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autoSpaceDN/>
        <w:jc w:val="center"/>
        <w:rPr>
          <w:rFonts w:ascii="黑体" w:eastAsia="黑体"/>
          <w:sz w:val="72"/>
          <w:szCs w:val="72"/>
        </w:rPr>
      </w:pPr>
      <w:r>
        <w:rPr>
          <w:rFonts w:hint="eastAsia" w:ascii="黑体" w:eastAsia="黑体"/>
          <w:sz w:val="72"/>
          <w:szCs w:val="72"/>
        </w:rPr>
        <w:t>诸暨市20</w:t>
      </w:r>
      <w:r>
        <w:rPr>
          <w:rFonts w:ascii="黑体" w:eastAsia="黑体"/>
          <w:sz w:val="72"/>
          <w:szCs w:val="72"/>
        </w:rPr>
        <w:t>20</w:t>
      </w:r>
      <w:r>
        <w:rPr>
          <w:rFonts w:hint="eastAsia" w:ascii="黑体" w:eastAsia="黑体"/>
          <w:sz w:val="72"/>
          <w:szCs w:val="72"/>
        </w:rPr>
        <w:t>年度矿业权评估采购项目</w:t>
      </w:r>
    </w:p>
    <w:p>
      <w:pPr>
        <w:autoSpaceDE/>
        <w:autoSpaceDN/>
        <w:jc w:val="center"/>
        <w:rPr>
          <w:rFonts w:ascii="黑体" w:eastAsia="黑体" w:cs="黑体"/>
          <w:color w:val="auto"/>
          <w:sz w:val="32"/>
          <w:szCs w:val="32"/>
        </w:rPr>
      </w:pPr>
      <w:r>
        <w:rPr>
          <w:rFonts w:hint="eastAsia" w:ascii="黑体" w:eastAsia="黑体" w:cs="黑体"/>
          <w:color w:val="auto"/>
          <w:sz w:val="32"/>
          <w:szCs w:val="32"/>
        </w:rPr>
        <w:t>（编号：诸政采2020-09-05）</w:t>
      </w:r>
    </w:p>
    <w:p>
      <w:pPr>
        <w:autoSpaceDE/>
        <w:autoSpaceDN/>
        <w:jc w:val="center"/>
        <w:rPr>
          <w:rFonts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11"/>
        <w:snapToGrid w:val="0"/>
        <w:spacing w:before="120" w:after="120" w:line="360" w:lineRule="auto"/>
        <w:rPr>
          <w:rFonts w:ascii="隶书" w:hAnsi="Arial Narrow" w:eastAsia="隶书"/>
          <w:b/>
          <w:sz w:val="30"/>
          <w:szCs w:val="48"/>
        </w:rPr>
      </w:pPr>
      <w:r>
        <w:rPr>
          <w:rFonts w:ascii="楷体_GB2312" w:hAnsi="宋体" w:eastAsia="楷体_GB2312"/>
          <w:b/>
          <w:bCs/>
          <w:spacing w:val="70"/>
          <w:w w:val="95"/>
          <w:sz w:val="30"/>
          <w:szCs w:val="30"/>
        </w:rPr>
        <w:t>采购单位</w:t>
      </w:r>
      <w:r>
        <w:rPr>
          <w:rFonts w:ascii="楷体_GB2312" w:hAnsi="宋体" w:eastAsia="楷体_GB2312"/>
          <w:b/>
          <w:bCs/>
          <w:w w:val="95"/>
          <w:sz w:val="30"/>
          <w:szCs w:val="30"/>
        </w:rPr>
        <w:t>：</w:t>
      </w:r>
      <w:r>
        <w:rPr>
          <w:rFonts w:hint="eastAsia" w:ascii="楷体_GB2312" w:hAnsi="宋体" w:eastAsia="楷体_GB2312"/>
          <w:b/>
          <w:bCs/>
          <w:w w:val="95"/>
          <w:sz w:val="30"/>
          <w:szCs w:val="30"/>
        </w:rPr>
        <w:t>诸暨市自然资源和规划局</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：诸暨市公共资源交易中心</w:t>
      </w:r>
    </w:p>
    <w:p>
      <w:pPr>
        <w:pStyle w:val="11"/>
        <w:snapToGrid w:val="0"/>
        <w:spacing w:before="120" w:after="120" w:line="360" w:lineRule="auto"/>
        <w:rPr>
          <w:rFonts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w:t>
      </w:r>
      <w:r>
        <w:rPr>
          <w:rFonts w:hint="eastAsia" w:ascii="楷体_GB2312" w:hAnsi="宋体" w:eastAsia="楷体_GB2312"/>
          <w:b/>
          <w:bCs/>
          <w:w w:val="95"/>
          <w:sz w:val="30"/>
          <w:szCs w:val="30"/>
        </w:rPr>
        <w:t>诸暨市公共资源交易管理委员会办公室</w:t>
      </w:r>
    </w:p>
    <w:p>
      <w:pPr>
        <w:pStyle w:val="11"/>
        <w:snapToGrid w:val="0"/>
        <w:spacing w:before="120" w:after="120" w:line="360" w:lineRule="auto"/>
        <w:rPr>
          <w:rFonts w:ascii="楷体_GB2312" w:hAnsi="宋体" w:eastAsia="楷体_GB2312"/>
          <w:b/>
          <w:bCs/>
          <w:w w:val="95"/>
          <w:sz w:val="30"/>
          <w:szCs w:val="30"/>
        </w:rPr>
      </w:pPr>
      <w:r>
        <w:rPr>
          <w:rFonts w:hint="eastAsia" w:ascii="隶书" w:hAnsi="Arial Narrow" w:eastAsia="隶书"/>
          <w:b/>
          <w:sz w:val="30"/>
          <w:szCs w:val="48"/>
        </w:rPr>
        <w:t xml:space="preserve">              </w:t>
      </w:r>
      <w:r>
        <w:rPr>
          <w:rFonts w:hint="eastAsia" w:ascii="楷体_GB2312" w:hAnsi="宋体" w:eastAsia="楷体_GB2312"/>
          <w:b/>
          <w:bCs/>
          <w:w w:val="95"/>
          <w:sz w:val="30"/>
          <w:szCs w:val="30"/>
        </w:rPr>
        <w:t>诸暨市财政局</w:t>
      </w:r>
    </w:p>
    <w:p>
      <w:pPr>
        <w:jc w:val="center"/>
      </w:pPr>
      <w:r>
        <w:rPr>
          <w:rFonts w:hint="eastAsia" w:ascii="楷体_GB2312" w:hAnsi="宋体" w:eastAsia="楷体_GB2312"/>
          <w:b/>
          <w:bCs/>
          <w:w w:val="95"/>
          <w:sz w:val="30"/>
          <w:szCs w:val="30"/>
        </w:rPr>
        <w:t>二</w:t>
      </w:r>
      <w:r>
        <w:rPr>
          <w:rFonts w:hint="eastAsia" w:ascii="宋体" w:hAnsi="宋体" w:cs="宋体"/>
          <w:b/>
          <w:bCs/>
          <w:w w:val="95"/>
          <w:sz w:val="30"/>
          <w:szCs w:val="30"/>
        </w:rPr>
        <w:t>〇</w:t>
      </w:r>
      <w:r>
        <w:rPr>
          <w:rFonts w:hint="eastAsia" w:ascii="楷体_GB2312" w:hAnsi="楷体_GB2312" w:eastAsia="楷体_GB2312" w:cs="楷体_GB2312"/>
          <w:b/>
          <w:bCs/>
          <w:w w:val="95"/>
          <w:sz w:val="30"/>
          <w:szCs w:val="30"/>
        </w:rPr>
        <w:t>二</w:t>
      </w:r>
      <w:r>
        <w:rPr>
          <w:rFonts w:hint="eastAsia" w:ascii="宋体" w:hAnsi="宋体" w:cs="宋体"/>
          <w:b/>
          <w:bCs/>
          <w:w w:val="95"/>
          <w:sz w:val="30"/>
          <w:szCs w:val="30"/>
        </w:rPr>
        <w:t>〇</w:t>
      </w:r>
      <w:r>
        <w:rPr>
          <w:rFonts w:hint="eastAsia" w:ascii="楷体_GB2312" w:hAnsi="楷体_GB2312" w:eastAsia="楷体_GB2312" w:cs="楷体_GB2312"/>
          <w:b/>
          <w:bCs/>
          <w:w w:val="95"/>
          <w:sz w:val="30"/>
          <w:szCs w:val="30"/>
        </w:rPr>
        <w:t>年九月</w:t>
      </w:r>
    </w:p>
    <w:p>
      <w:pPr>
        <w:jc w:val="center"/>
        <w:rPr>
          <w:rFonts w:ascii="隶书" w:eastAsia="隶书"/>
          <w:b/>
          <w:sz w:val="44"/>
          <w:szCs w:val="44"/>
        </w:rPr>
      </w:pPr>
    </w:p>
    <w:p>
      <w:pPr>
        <w:jc w:val="center"/>
        <w:rPr>
          <w:rFonts w:ascii="隶书" w:eastAsia="隶书"/>
          <w:b/>
          <w:sz w:val="44"/>
          <w:szCs w:val="44"/>
        </w:rPr>
      </w:pPr>
    </w:p>
    <w:p>
      <w:pPr>
        <w:jc w:val="center"/>
        <w:rPr>
          <w:rFonts w:ascii="隶书" w:eastAsia="隶书"/>
          <w:b/>
          <w:sz w:val="44"/>
          <w:szCs w:val="44"/>
        </w:rPr>
      </w:pPr>
    </w:p>
    <w:p>
      <w:pPr>
        <w:jc w:val="center"/>
        <w:rPr>
          <w:rFonts w:ascii="仿宋_GB2312" w:eastAsia="仿宋_GB2312"/>
          <w:b/>
          <w:sz w:val="44"/>
          <w:szCs w:val="44"/>
        </w:rPr>
      </w:pPr>
      <w:r>
        <w:rPr>
          <w:rFonts w:hint="eastAsia" w:ascii="仿宋_GB2312" w:eastAsia="仿宋_GB2312"/>
          <w:b/>
          <w:sz w:val="44"/>
          <w:szCs w:val="44"/>
        </w:rPr>
        <w:t>目录</w:t>
      </w:r>
    </w:p>
    <w:p>
      <w:pPr>
        <w:jc w:val="center"/>
        <w:rPr>
          <w:rFonts w:ascii="隶书" w:eastAsia="隶书"/>
          <w:b/>
          <w:sz w:val="44"/>
          <w:szCs w:val="44"/>
        </w:rPr>
      </w:pPr>
    </w:p>
    <w:p>
      <w:pPr>
        <w:jc w:val="center"/>
        <w:rPr>
          <w:rFonts w:ascii="隶书" w:eastAsia="隶书"/>
        </w:rPr>
      </w:pP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第一章    招标公告</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第二章    投标须知</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第三章    招标需求</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第四章    诸暨市政府采购合同</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第五章    应提交的有关格式范例</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 xml:space="preserve">  </w:t>
      </w:r>
    </w:p>
    <w:p>
      <w:pPr>
        <w:spacing w:line="360" w:lineRule="auto"/>
        <w:ind w:firstLine="482" w:firstLineChars="200"/>
        <w:jc w:val="center"/>
        <w:rPr>
          <w:rFonts w:ascii="宋体" w:hAnsi="宋体"/>
          <w:b/>
          <w:sz w:val="24"/>
        </w:rPr>
      </w:pPr>
      <w:r>
        <w:rPr>
          <w:rFonts w:hint="eastAsia" w:ascii="宋体" w:hAnsi="宋体"/>
          <w:b/>
          <w:sz w:val="24"/>
        </w:rPr>
        <w:t>本招标文件为2020年新制版本，请各位投标人详细阅读各项条款</w:t>
      </w:r>
    </w:p>
    <w:p>
      <w:pPr>
        <w:spacing w:line="360" w:lineRule="auto"/>
        <w:ind w:firstLine="482" w:firstLineChars="200"/>
        <w:jc w:val="center"/>
        <w:rPr>
          <w:rFonts w:ascii="宋体" w:hAnsi="宋体"/>
          <w:b/>
          <w:sz w:val="24"/>
        </w:rPr>
      </w:pPr>
    </w:p>
    <w:p>
      <w:pPr>
        <w:jc w:val="center"/>
        <w:rPr>
          <w:rFonts w:ascii="宋体" w:hAnsi="宋体"/>
          <w:b/>
          <w:sz w:val="36"/>
          <w:szCs w:val="36"/>
        </w:rPr>
        <w:sectPr>
          <w:headerReference r:id="rId3" w:type="first"/>
          <w:footerReference r:id="rId4" w:type="default"/>
          <w:footerReference r:id="rId5" w:type="even"/>
          <w:pgSz w:w="11906" w:h="16838"/>
          <w:pgMar w:top="1247" w:right="1418" w:bottom="1247" w:left="1418" w:header="851" w:footer="907" w:gutter="0"/>
          <w:pgNumType w:start="0"/>
          <w:cols w:space="720" w:num="1"/>
          <w:docGrid w:type="lines" w:linePitch="312" w:charSpace="0"/>
        </w:sectPr>
      </w:pPr>
      <w:bookmarkStart w:id="0" w:name="_Toc125344501"/>
    </w:p>
    <w:p>
      <w:pPr>
        <w:jc w:val="center"/>
        <w:rPr>
          <w:rFonts w:ascii="宋体" w:hAnsi="宋体"/>
          <w:b/>
          <w:sz w:val="36"/>
          <w:szCs w:val="36"/>
        </w:rPr>
      </w:pPr>
      <w:r>
        <w:rPr>
          <w:rFonts w:hint="eastAsia" w:ascii="宋体" w:hAnsi="宋体"/>
          <w:b/>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1" w:firstLineChars="100"/>
        <w:rPr>
          <w:rFonts w:ascii="仿宋" w:hAnsi="仿宋" w:eastAsia="仿宋"/>
          <w:sz w:val="28"/>
          <w:szCs w:val="28"/>
        </w:rPr>
      </w:pPr>
      <w:r>
        <w:rPr>
          <w:rFonts w:hint="eastAsia" w:ascii="宋体" w:hAnsi="宋体"/>
          <w:b/>
          <w:color w:val="FFFFFF" w:themeColor="background1"/>
          <w:sz w:val="24"/>
          <w:szCs w:val="24"/>
          <w:u w:val="single"/>
        </w:rPr>
        <w:t>.</w:t>
      </w:r>
      <w:r>
        <w:rPr>
          <w:rFonts w:hint="eastAsia" w:ascii="宋体" w:hAnsi="宋体"/>
          <w:b/>
          <w:sz w:val="24"/>
          <w:szCs w:val="24"/>
          <w:u w:val="single"/>
        </w:rPr>
        <w:t xml:space="preserve">  </w:t>
      </w:r>
      <w:r>
        <w:rPr>
          <w:rFonts w:hint="eastAsia" w:ascii="宋体" w:hAnsi="宋体" w:cs="宋体"/>
          <w:sz w:val="24"/>
          <w:u w:val="single"/>
        </w:rPr>
        <w:t>诸暨市20</w:t>
      </w:r>
      <w:r>
        <w:rPr>
          <w:rFonts w:ascii="宋体" w:hAnsi="宋体" w:cs="宋体"/>
          <w:sz w:val="24"/>
          <w:u w:val="single"/>
        </w:rPr>
        <w:t>20</w:t>
      </w:r>
      <w:r>
        <w:rPr>
          <w:rFonts w:hint="eastAsia" w:ascii="宋体" w:hAnsi="宋体" w:cs="宋体"/>
          <w:sz w:val="24"/>
          <w:u w:val="single"/>
        </w:rPr>
        <w:t>年度矿业权评估采购项目</w:t>
      </w:r>
      <w:r>
        <w:rPr>
          <w:rFonts w:hint="eastAsia" w:ascii="宋体" w:hAnsi="宋体"/>
          <w:b/>
          <w:sz w:val="24"/>
          <w:szCs w:val="24"/>
          <w:u w:val="single"/>
        </w:rPr>
        <w:t xml:space="preserve">   </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color w:val="auto"/>
          <w:sz w:val="24"/>
          <w:szCs w:val="24"/>
          <w:u w:val="single"/>
        </w:rPr>
        <w:t xml:space="preserve">  </w:t>
      </w:r>
      <w:r>
        <w:rPr>
          <w:rFonts w:hint="eastAsia" w:ascii="宋体" w:hAnsi="宋体"/>
          <w:b/>
          <w:color w:val="auto"/>
          <w:sz w:val="24"/>
          <w:szCs w:val="24"/>
          <w:u w:val="single"/>
        </w:rPr>
        <w:t>2</w:t>
      </w:r>
      <w:r>
        <w:rPr>
          <w:rFonts w:hint="eastAsia" w:ascii="宋体" w:hAnsi="宋体"/>
          <w:b/>
          <w:sz w:val="24"/>
          <w:szCs w:val="24"/>
          <w:u w:val="single"/>
        </w:rPr>
        <w:t>020 年 9 月 29 日 9 时 30 分</w:t>
      </w:r>
      <w:r>
        <w:rPr>
          <w:rFonts w:hint="eastAsia" w:ascii="宋体" w:hAnsi="宋体"/>
          <w:sz w:val="24"/>
          <w:szCs w:val="24"/>
          <w:u w:val="single"/>
        </w:rPr>
        <w:t xml:space="preserve">（北京时间）  </w:t>
      </w:r>
      <w:r>
        <w:rPr>
          <w:rFonts w:hint="eastAsia" w:ascii="宋体" w:hAnsi="宋体"/>
          <w:sz w:val="24"/>
          <w:szCs w:val="24"/>
        </w:rPr>
        <w:t>前递交（上传）投标文件。</w:t>
      </w:r>
    </w:p>
    <w:p>
      <w:pPr>
        <w:rPr>
          <w:rFonts w:asciiTheme="minorEastAsia" w:hAnsiTheme="minorEastAsia" w:eastAsiaTheme="minorEastAsia"/>
          <w:b/>
          <w:sz w:val="28"/>
          <w:szCs w:val="28"/>
        </w:rPr>
      </w:pPr>
      <w:bookmarkStart w:id="2" w:name="_Toc28359002"/>
      <w:bookmarkStart w:id="3" w:name="_Toc28359079"/>
      <w:bookmarkStart w:id="4" w:name="_Toc35393790"/>
      <w:bookmarkStart w:id="5" w:name="_Toc35393621"/>
      <w:r>
        <w:rPr>
          <w:rFonts w:hint="eastAsia" w:asciiTheme="minorEastAsia" w:hAnsiTheme="minorEastAsia" w:eastAsiaTheme="minorEastAsia"/>
          <w:b/>
          <w:sz w:val="28"/>
          <w:szCs w:val="28"/>
        </w:rPr>
        <w:t>一、项目基本情况</w:t>
      </w:r>
      <w:bookmarkEnd w:id="2"/>
      <w:bookmarkEnd w:id="3"/>
      <w:bookmarkEnd w:id="4"/>
      <w:bookmarkEnd w:id="5"/>
    </w:p>
    <w:p>
      <w:pPr>
        <w:pStyle w:val="11"/>
        <w:ind w:firstLine="480" w:firstLineChars="200"/>
        <w:rPr>
          <w:rFonts w:ascii="宋体" w:hAnsi="宋体"/>
          <w:szCs w:val="24"/>
        </w:rPr>
      </w:pPr>
      <w:r>
        <w:rPr>
          <w:rFonts w:hint="eastAsia" w:ascii="宋体" w:hAnsi="宋体"/>
          <w:szCs w:val="24"/>
        </w:rPr>
        <w:t>项目编号：诸政采2020-09-05</w:t>
      </w:r>
    </w:p>
    <w:p>
      <w:pPr>
        <w:pStyle w:val="11"/>
        <w:ind w:firstLine="480" w:firstLineChars="200"/>
        <w:rPr>
          <w:rFonts w:ascii="宋体" w:hAnsi="宋体"/>
          <w:szCs w:val="24"/>
        </w:rPr>
      </w:pPr>
      <w:r>
        <w:rPr>
          <w:rFonts w:hint="eastAsia" w:ascii="宋体" w:hAnsi="宋体"/>
          <w:szCs w:val="24"/>
        </w:rPr>
        <w:t>项目名称：</w:t>
      </w:r>
      <w:r>
        <w:rPr>
          <w:rFonts w:hint="eastAsia" w:ascii="宋体" w:hAnsi="宋体" w:cs="宋体"/>
          <w:kern w:val="0"/>
        </w:rPr>
        <w:t>诸暨市20</w:t>
      </w:r>
      <w:r>
        <w:rPr>
          <w:rFonts w:ascii="宋体" w:hAnsi="宋体" w:cs="宋体"/>
          <w:kern w:val="0"/>
        </w:rPr>
        <w:t>20</w:t>
      </w:r>
      <w:r>
        <w:rPr>
          <w:rFonts w:hint="eastAsia" w:ascii="宋体" w:hAnsi="宋体" w:cs="宋体"/>
          <w:kern w:val="0"/>
        </w:rPr>
        <w:t>年度矿业权评估采购项目</w:t>
      </w:r>
    </w:p>
    <w:p>
      <w:pPr>
        <w:pStyle w:val="11"/>
        <w:ind w:firstLine="480" w:firstLineChars="200"/>
        <w:rPr>
          <w:rFonts w:ascii="宋体" w:hAnsi="宋体"/>
          <w:szCs w:val="24"/>
        </w:rPr>
      </w:pPr>
      <w:r>
        <w:rPr>
          <w:rFonts w:hint="eastAsia" w:ascii="宋体" w:hAnsi="宋体"/>
          <w:szCs w:val="24"/>
        </w:rPr>
        <w:t>预算金额：标的总预算9.9万元</w:t>
      </w:r>
    </w:p>
    <w:p>
      <w:pPr>
        <w:pStyle w:val="11"/>
        <w:ind w:firstLine="480" w:firstLineChars="200"/>
        <w:rPr>
          <w:rFonts w:ascii="宋体" w:hAnsi="宋体"/>
          <w:szCs w:val="24"/>
        </w:rPr>
      </w:pPr>
      <w:r>
        <w:rPr>
          <w:rFonts w:hint="eastAsia" w:ascii="宋体" w:hAnsi="宋体"/>
          <w:szCs w:val="24"/>
        </w:rPr>
        <w:t>最高限价：9.9万元</w:t>
      </w:r>
    </w:p>
    <w:p>
      <w:pPr>
        <w:pStyle w:val="11"/>
        <w:ind w:firstLine="480" w:firstLineChars="200"/>
        <w:rPr>
          <w:rFonts w:ascii="宋体" w:hAnsi="宋体"/>
          <w:szCs w:val="24"/>
        </w:rPr>
      </w:pPr>
      <w:r>
        <w:rPr>
          <w:rFonts w:hint="eastAsia" w:ascii="宋体" w:hAnsi="宋体"/>
          <w:szCs w:val="24"/>
        </w:rPr>
        <w:t>采购需求：详见招标文件，标的内容如下：</w:t>
      </w:r>
    </w:p>
    <w:tbl>
      <w:tblPr>
        <w:tblStyle w:val="21"/>
        <w:tblW w:w="0" w:type="auto"/>
        <w:jc w:val="center"/>
        <w:tblLayout w:type="fixed"/>
        <w:tblCellMar>
          <w:top w:w="0" w:type="dxa"/>
          <w:left w:w="0" w:type="dxa"/>
          <w:bottom w:w="0" w:type="dxa"/>
          <w:right w:w="0" w:type="dxa"/>
        </w:tblCellMar>
      </w:tblPr>
      <w:tblGrid>
        <w:gridCol w:w="4307"/>
        <w:gridCol w:w="1283"/>
        <w:gridCol w:w="1709"/>
        <w:gridCol w:w="1171"/>
      </w:tblGrid>
      <w:tr>
        <w:tblPrEx>
          <w:tblCellMar>
            <w:top w:w="0" w:type="dxa"/>
            <w:left w:w="0" w:type="dxa"/>
            <w:bottom w:w="0" w:type="dxa"/>
            <w:right w:w="0" w:type="dxa"/>
          </w:tblCellMar>
        </w:tblPrEx>
        <w:trPr>
          <w:trHeight w:val="261" w:hRule="atLeast"/>
          <w:jc w:val="center"/>
        </w:trPr>
        <w:tc>
          <w:tcPr>
            <w:tcW w:w="43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pPr>
            <w:r>
              <w:rPr>
                <w:rFonts w:hint="eastAsia" w:ascii="宋体" w:hAnsi="宋体"/>
                <w:b/>
                <w:bCs/>
                <w:sz w:val="24"/>
              </w:rPr>
              <w:t>采购内容</w:t>
            </w:r>
          </w:p>
        </w:tc>
        <w:tc>
          <w:tcPr>
            <w:tcW w:w="1283" w:type="dxa"/>
            <w:tcBorders>
              <w:top w:val="single" w:color="auto" w:sz="8" w:space="0"/>
              <w:left w:val="single" w:color="auto" w:sz="8" w:space="0"/>
              <w:bottom w:val="single" w:color="auto" w:sz="8" w:space="0"/>
              <w:right w:val="single" w:color="auto" w:sz="4" w:space="0"/>
            </w:tcBorders>
            <w:vAlign w:val="center"/>
          </w:tcPr>
          <w:p>
            <w:pPr>
              <w:widowControl/>
              <w:jc w:val="center"/>
              <w:rPr>
                <w:b/>
              </w:rPr>
            </w:pPr>
            <w:r>
              <w:rPr>
                <w:rFonts w:hint="eastAsia"/>
                <w:b/>
              </w:rPr>
              <w:t>数量</w:t>
            </w:r>
          </w:p>
        </w:tc>
        <w:tc>
          <w:tcPr>
            <w:tcW w:w="1709" w:type="dxa"/>
            <w:tcBorders>
              <w:top w:val="single" w:color="auto" w:sz="8" w:space="0"/>
              <w:left w:val="single" w:color="auto" w:sz="4" w:space="0"/>
              <w:bottom w:val="single" w:color="auto" w:sz="8" w:space="0"/>
              <w:right w:val="single" w:color="auto" w:sz="8" w:space="0"/>
            </w:tcBorders>
            <w:vAlign w:val="center"/>
          </w:tcPr>
          <w:p>
            <w:pPr>
              <w:widowControl/>
              <w:jc w:val="center"/>
              <w:rPr>
                <w:b/>
              </w:rPr>
            </w:pPr>
            <w:r>
              <w:rPr>
                <w:rFonts w:hint="eastAsia"/>
                <w:b/>
              </w:rPr>
              <w:t>简要技术需求</w:t>
            </w:r>
          </w:p>
          <w:p>
            <w:pPr>
              <w:widowControl/>
              <w:jc w:val="center"/>
              <w:rPr>
                <w:b/>
              </w:rPr>
            </w:pPr>
            <w:r>
              <w:rPr>
                <w:rFonts w:hint="eastAsia"/>
                <w:b/>
              </w:rPr>
              <w:t>或服务要求</w:t>
            </w:r>
          </w:p>
        </w:tc>
        <w:tc>
          <w:tcPr>
            <w:tcW w:w="1171" w:type="dxa"/>
            <w:tcBorders>
              <w:top w:val="single" w:color="auto" w:sz="8" w:space="0"/>
              <w:left w:val="single" w:color="auto" w:sz="8" w:space="0"/>
              <w:bottom w:val="single" w:color="auto" w:sz="8" w:space="0"/>
              <w:right w:val="single" w:color="auto" w:sz="8" w:space="0"/>
            </w:tcBorders>
            <w:vAlign w:val="center"/>
          </w:tcPr>
          <w:p>
            <w:pPr>
              <w:widowControl/>
              <w:jc w:val="center"/>
              <w:rPr>
                <w:b/>
              </w:rPr>
            </w:pPr>
            <w:r>
              <w:rPr>
                <w:rFonts w:hint="eastAsia"/>
                <w:b/>
              </w:rPr>
              <w:t>最高限价</w:t>
            </w:r>
          </w:p>
          <w:p>
            <w:pPr>
              <w:widowControl/>
              <w:jc w:val="center"/>
              <w:rPr>
                <w:b/>
              </w:rPr>
            </w:pPr>
            <w:r>
              <w:rPr>
                <w:rFonts w:hint="eastAsia"/>
                <w:b/>
              </w:rPr>
              <w:t>（万元）</w:t>
            </w:r>
          </w:p>
        </w:tc>
      </w:tr>
      <w:tr>
        <w:tblPrEx>
          <w:tblCellMar>
            <w:top w:w="0" w:type="dxa"/>
            <w:left w:w="0" w:type="dxa"/>
            <w:bottom w:w="0" w:type="dxa"/>
            <w:right w:w="0" w:type="dxa"/>
          </w:tblCellMar>
        </w:tblPrEx>
        <w:trPr>
          <w:trHeight w:val="1401" w:hRule="atLeast"/>
          <w:jc w:val="center"/>
        </w:trPr>
        <w:tc>
          <w:tcPr>
            <w:tcW w:w="4307"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276" w:lineRule="auto"/>
              <w:rPr>
                <w:rFonts w:ascii="宋体" w:hAnsi="宋体"/>
                <w:kern w:val="2"/>
                <w:sz w:val="24"/>
                <w:szCs w:val="24"/>
              </w:rPr>
            </w:pPr>
            <w:r>
              <w:rPr>
                <w:rFonts w:hint="eastAsia" w:ascii="宋体" w:hAnsi="宋体"/>
                <w:kern w:val="2"/>
                <w:sz w:val="24"/>
                <w:szCs w:val="24"/>
              </w:rPr>
              <w:t>诸暨市20</w:t>
            </w:r>
            <w:r>
              <w:rPr>
                <w:rFonts w:ascii="宋体" w:hAnsi="宋体"/>
                <w:kern w:val="2"/>
                <w:sz w:val="24"/>
                <w:szCs w:val="24"/>
              </w:rPr>
              <w:t>20</w:t>
            </w:r>
            <w:r>
              <w:rPr>
                <w:rFonts w:hint="eastAsia" w:ascii="宋体" w:hAnsi="宋体"/>
                <w:kern w:val="2"/>
                <w:sz w:val="24"/>
                <w:szCs w:val="24"/>
              </w:rPr>
              <w:t>年度矿业权评估采购项目</w:t>
            </w:r>
          </w:p>
        </w:tc>
        <w:tc>
          <w:tcPr>
            <w:tcW w:w="1283" w:type="dxa"/>
            <w:tcBorders>
              <w:top w:val="single" w:color="auto" w:sz="8" w:space="0"/>
              <w:left w:val="single" w:color="auto" w:sz="8" w:space="0"/>
              <w:bottom w:val="single" w:color="auto" w:sz="4" w:space="0"/>
              <w:right w:val="single" w:color="auto" w:sz="4" w:space="0"/>
            </w:tcBorders>
            <w:vAlign w:val="center"/>
          </w:tcPr>
          <w:p>
            <w:pPr>
              <w:spacing w:line="276" w:lineRule="auto"/>
              <w:jc w:val="center"/>
              <w:rPr>
                <w:rFonts w:ascii="宋体" w:hAnsi="宋体"/>
                <w:kern w:val="2"/>
                <w:sz w:val="24"/>
                <w:szCs w:val="24"/>
              </w:rPr>
            </w:pPr>
            <w:r>
              <w:rPr>
                <w:rFonts w:hint="eastAsia" w:ascii="宋体" w:hAnsi="宋体"/>
                <w:kern w:val="2"/>
                <w:sz w:val="24"/>
                <w:szCs w:val="24"/>
              </w:rPr>
              <w:t>3个</w:t>
            </w:r>
          </w:p>
        </w:tc>
        <w:tc>
          <w:tcPr>
            <w:tcW w:w="1709" w:type="dxa"/>
            <w:tcBorders>
              <w:top w:val="single" w:color="auto" w:sz="8" w:space="0"/>
              <w:left w:val="single" w:color="auto" w:sz="4" w:space="0"/>
              <w:bottom w:val="single" w:color="auto" w:sz="4" w:space="0"/>
              <w:right w:val="single" w:color="auto" w:sz="8" w:space="0"/>
            </w:tcBorders>
            <w:vAlign w:val="center"/>
          </w:tcPr>
          <w:p>
            <w:pPr>
              <w:widowControl/>
              <w:autoSpaceDE/>
              <w:autoSpaceDN/>
              <w:adjustRightInd/>
              <w:jc w:val="center"/>
              <w:rPr>
                <w:rFonts w:ascii="宋体" w:hAnsi="宋体"/>
                <w:kern w:val="2"/>
                <w:sz w:val="24"/>
                <w:szCs w:val="24"/>
              </w:rPr>
            </w:pPr>
            <w:r>
              <w:rPr>
                <w:rFonts w:hint="eastAsia" w:ascii="宋体" w:hAnsi="宋体"/>
                <w:kern w:val="2"/>
                <w:sz w:val="24"/>
                <w:szCs w:val="24"/>
              </w:rPr>
              <w:t>详见招标文件</w:t>
            </w:r>
          </w:p>
        </w:tc>
        <w:tc>
          <w:tcPr>
            <w:tcW w:w="1171" w:type="dxa"/>
            <w:tcBorders>
              <w:top w:val="single" w:color="auto" w:sz="8" w:space="0"/>
              <w:left w:val="single" w:color="auto" w:sz="8" w:space="0"/>
              <w:bottom w:val="single" w:color="auto" w:sz="4" w:space="0"/>
              <w:right w:val="single" w:color="auto" w:sz="8" w:space="0"/>
            </w:tcBorders>
            <w:vAlign w:val="center"/>
          </w:tcPr>
          <w:p>
            <w:pPr>
              <w:widowControl/>
              <w:autoSpaceDE/>
              <w:autoSpaceDN/>
              <w:adjustRightInd/>
              <w:jc w:val="center"/>
              <w:rPr>
                <w:rFonts w:ascii="宋体" w:hAnsi="宋体"/>
                <w:kern w:val="2"/>
                <w:sz w:val="24"/>
                <w:szCs w:val="24"/>
              </w:rPr>
            </w:pPr>
            <w:r>
              <w:rPr>
                <w:rFonts w:hint="eastAsia" w:ascii="宋体" w:hAnsi="宋体"/>
                <w:kern w:val="2"/>
                <w:sz w:val="24"/>
                <w:szCs w:val="24"/>
              </w:rPr>
              <w:t>9.9</w:t>
            </w:r>
          </w:p>
        </w:tc>
      </w:tr>
    </w:tbl>
    <w:p>
      <w:pPr>
        <w:pStyle w:val="11"/>
        <w:ind w:firstLine="480" w:firstLineChars="200"/>
        <w:rPr>
          <w:rFonts w:ascii="宋体" w:hAnsi="宋体"/>
          <w:szCs w:val="24"/>
        </w:rPr>
      </w:pPr>
      <w:r>
        <w:rPr>
          <w:rFonts w:hint="eastAsia" w:ascii="宋体" w:hAnsi="宋体"/>
          <w:szCs w:val="24"/>
        </w:rPr>
        <w:t xml:space="preserve"> </w:t>
      </w:r>
      <w:bookmarkStart w:id="6" w:name="_Toc28359080"/>
      <w:bookmarkStart w:id="7" w:name="_Toc35393791"/>
      <w:bookmarkStart w:id="8" w:name="_Toc28359003"/>
      <w:bookmarkStart w:id="9" w:name="_Toc35393622"/>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二、申请人的资格要求：</w:t>
      </w:r>
      <w:bookmarkEnd w:id="6"/>
      <w:bookmarkEnd w:id="7"/>
      <w:bookmarkEnd w:id="8"/>
      <w:bookmarkEnd w:id="9"/>
    </w:p>
    <w:p>
      <w:pPr>
        <w:pStyle w:val="11"/>
        <w:spacing w:line="360" w:lineRule="exact"/>
        <w:ind w:firstLine="480" w:firstLineChars="200"/>
        <w:rPr>
          <w:rFonts w:ascii="宋体" w:hAnsi="宋体"/>
          <w:szCs w:val="24"/>
        </w:rPr>
      </w:pPr>
      <w:r>
        <w:rPr>
          <w:rFonts w:hint="eastAsia" w:ascii="宋体" w:hAnsi="宋体"/>
          <w:szCs w:val="24"/>
        </w:rPr>
        <w:t>1.符合《中华人民共和国政府采购法》第二十二条。</w:t>
      </w:r>
    </w:p>
    <w:p>
      <w:pPr>
        <w:pStyle w:val="11"/>
        <w:spacing w:line="360" w:lineRule="exact"/>
        <w:ind w:firstLine="480" w:firstLineChars="200"/>
        <w:rPr>
          <w:rFonts w:ascii="宋体" w:hAnsi="宋体"/>
          <w:szCs w:val="24"/>
        </w:rPr>
      </w:pPr>
      <w:r>
        <w:rPr>
          <w:rFonts w:ascii="宋体" w:hAnsi="宋体"/>
          <w:szCs w:val="24"/>
        </w:rPr>
        <w:t>2</w:t>
      </w:r>
      <w:r>
        <w:rPr>
          <w:rFonts w:hint="eastAsia" w:ascii="宋体" w:hAnsi="宋体"/>
          <w:szCs w:val="24"/>
        </w:rPr>
        <w:t>.未被“信用中国”（www.creditchina.gov.cn）、中国政府采购网（www.ccgp.gov.cn）列入失信被执行人、重大税收违法案件当事人、政府采购严重违法失信行为记录名单。</w:t>
      </w:r>
    </w:p>
    <w:p>
      <w:pPr>
        <w:kinsoku w:val="0"/>
        <w:overflowPunct w:val="0"/>
        <w:spacing w:line="360" w:lineRule="exact"/>
        <w:ind w:left="479" w:leftChars="228"/>
        <w:jc w:val="left"/>
        <w:rPr>
          <w:rFonts w:ascii="宋体" w:hAnsi="宋体"/>
          <w:sz w:val="24"/>
        </w:rPr>
      </w:pPr>
      <w:r>
        <w:rPr>
          <w:rFonts w:hint="eastAsia" w:ascii="宋体" w:hAnsi="宋体"/>
          <w:sz w:val="24"/>
        </w:rPr>
        <w:t>3、</w:t>
      </w:r>
      <w:r>
        <w:rPr>
          <w:rFonts w:ascii="宋体" w:hAnsi="宋体"/>
          <w:sz w:val="24"/>
        </w:rPr>
        <w:t>具备中国矿业权评估师协会颁发的矿业权评估资质</w:t>
      </w:r>
      <w:r>
        <w:rPr>
          <w:rFonts w:hint="eastAsia" w:ascii="宋体" w:hAnsi="宋体"/>
          <w:sz w:val="24"/>
        </w:rPr>
        <w:t>,投标截止时间前，已在浙江省自然资源厅备案并允许开展矿业权评估工作；</w:t>
      </w:r>
    </w:p>
    <w:p>
      <w:pPr>
        <w:pStyle w:val="90"/>
        <w:widowControl w:val="0"/>
        <w:spacing w:after="156" w:line="360" w:lineRule="exact"/>
        <w:ind w:firstLine="480"/>
        <w:rPr>
          <w:rFonts w:ascii="宋体" w:hAnsi="宋体"/>
          <w:kern w:val="2"/>
          <w:szCs w:val="24"/>
        </w:rPr>
      </w:pPr>
      <w:r>
        <w:rPr>
          <w:rFonts w:hint="eastAsia" w:ascii="宋体" w:hAnsi="宋体"/>
          <w:szCs w:val="24"/>
        </w:rPr>
        <w:t>4、</w:t>
      </w:r>
      <w:r>
        <w:rPr>
          <w:rFonts w:hint="eastAsia" w:ascii="宋体" w:hAnsi="宋体"/>
          <w:kern w:val="2"/>
          <w:szCs w:val="24"/>
        </w:rPr>
        <w:t>本项目不接受联合体投标。</w:t>
      </w:r>
    </w:p>
    <w:p>
      <w:pPr>
        <w:rPr>
          <w:rFonts w:asciiTheme="minorEastAsia" w:hAnsiTheme="minorEastAsia" w:eastAsiaTheme="minorEastAsia"/>
          <w:b/>
          <w:sz w:val="28"/>
          <w:szCs w:val="28"/>
        </w:rPr>
      </w:pPr>
      <w:bookmarkStart w:id="10" w:name="_Toc35393623"/>
      <w:bookmarkStart w:id="11" w:name="_Toc35393792"/>
      <w:r>
        <w:rPr>
          <w:rFonts w:hint="eastAsia" w:asciiTheme="minorEastAsia" w:hAnsiTheme="minorEastAsia" w:eastAsiaTheme="minorEastAsia"/>
          <w:b/>
          <w:sz w:val="28"/>
          <w:szCs w:val="28"/>
        </w:rPr>
        <w:t>三、获取招标文件</w:t>
      </w:r>
      <w:bookmarkEnd w:id="10"/>
      <w:bookmarkEnd w:id="11"/>
    </w:p>
    <w:p>
      <w:pPr>
        <w:pStyle w:val="11"/>
        <w:ind w:firstLine="480" w:firstLineChars="200"/>
        <w:rPr>
          <w:rFonts w:ascii="宋体" w:hAnsi="宋体"/>
          <w:szCs w:val="24"/>
        </w:rPr>
      </w:pPr>
      <w:r>
        <w:rPr>
          <w:rFonts w:hint="eastAsia" w:ascii="宋体" w:hAnsi="宋体"/>
          <w:szCs w:val="24"/>
        </w:rPr>
        <w:t>时间：2020 年 9 月8 日至 2020 年 9月 18日（</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11"/>
        <w:ind w:firstLine="480" w:firstLineChars="200"/>
        <w:rPr>
          <w:rFonts w:ascii="宋体" w:hAnsi="宋体"/>
          <w:szCs w:val="24"/>
        </w:rPr>
      </w:pPr>
      <w:r>
        <w:rPr>
          <w:rFonts w:hint="eastAsia" w:ascii="宋体" w:hAnsi="宋体"/>
          <w:szCs w:val="24"/>
        </w:rPr>
        <w:t>地点：诸暨市公共资源交易网（http://ggb.zhuji.gov.cn/）和浙江政府采购网（http://zfcg.czt.zj.gov.cn/）</w:t>
      </w:r>
    </w:p>
    <w:p>
      <w:pPr>
        <w:pStyle w:val="11"/>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11"/>
        <w:ind w:firstLine="480" w:firstLineChars="200"/>
        <w:rPr>
          <w:rFonts w:ascii="宋体" w:hAnsi="宋体"/>
          <w:szCs w:val="24"/>
        </w:rPr>
      </w:pPr>
      <w:r>
        <w:rPr>
          <w:rFonts w:hint="eastAsia" w:ascii="宋体" w:hAnsi="宋体"/>
          <w:szCs w:val="24"/>
        </w:rPr>
        <w:t>售价：本项目招标文件免费网上下载</w:t>
      </w:r>
    </w:p>
    <w:p>
      <w:pPr>
        <w:rPr>
          <w:rFonts w:asciiTheme="minorEastAsia" w:hAnsiTheme="minorEastAsia" w:eastAsiaTheme="minorEastAsia"/>
          <w:b/>
          <w:sz w:val="28"/>
          <w:szCs w:val="28"/>
        </w:rPr>
      </w:pPr>
      <w:bookmarkStart w:id="12" w:name="_Toc28359005"/>
      <w:bookmarkStart w:id="13" w:name="_Toc28359082"/>
      <w:bookmarkStart w:id="14" w:name="_Toc35393793"/>
      <w:bookmarkStart w:id="15" w:name="_Toc35393624"/>
      <w:r>
        <w:rPr>
          <w:rFonts w:hint="eastAsia" w:asciiTheme="minorEastAsia" w:hAnsiTheme="minorEastAsia" w:eastAsiaTheme="minorEastAsia"/>
          <w:b/>
          <w:sz w:val="28"/>
          <w:szCs w:val="28"/>
        </w:rPr>
        <w:t>四、提交投标文件</w:t>
      </w:r>
      <w:bookmarkEnd w:id="12"/>
      <w:bookmarkEnd w:id="13"/>
      <w:r>
        <w:rPr>
          <w:rFonts w:hint="eastAsia" w:asciiTheme="minorEastAsia" w:hAnsiTheme="minorEastAsia" w:eastAsiaTheme="minorEastAsia"/>
          <w:b/>
          <w:sz w:val="28"/>
          <w:szCs w:val="28"/>
        </w:rPr>
        <w:t>截止时间、开标时间和地点</w:t>
      </w:r>
      <w:bookmarkEnd w:id="14"/>
      <w:bookmarkEnd w:id="15"/>
    </w:p>
    <w:p>
      <w:pPr>
        <w:pStyle w:val="11"/>
        <w:ind w:firstLine="480" w:firstLineChars="200"/>
        <w:rPr>
          <w:rFonts w:ascii="宋体" w:hAnsi="宋体"/>
          <w:szCs w:val="24"/>
        </w:rPr>
      </w:pPr>
      <w:r>
        <w:rPr>
          <w:rFonts w:hint="eastAsia" w:ascii="宋体" w:hAnsi="宋体"/>
          <w:szCs w:val="24"/>
        </w:rPr>
        <w:t>提交投标文件截止时间及开标时间：投标人应于2020 年 9月29日9时30分（北京时间）前按照电子投标要求将电子加密标书上传到“政采云”平台，逾期或未上传成功的将导致无法投标或投标无效。</w:t>
      </w:r>
    </w:p>
    <w:p>
      <w:pPr>
        <w:pStyle w:val="11"/>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35393794"/>
      <w:bookmarkStart w:id="17" w:name="_Toc28359084"/>
      <w:bookmarkStart w:id="18" w:name="_Toc35393625"/>
      <w:bookmarkStart w:id="19" w:name="_Toc28359007"/>
      <w:r>
        <w:rPr>
          <w:rFonts w:hint="eastAsia" w:ascii="宋体" w:hAnsi="宋体"/>
          <w:szCs w:val="24"/>
        </w:rPr>
        <w:t>。</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五、公告期限</w:t>
      </w:r>
      <w:bookmarkEnd w:id="16"/>
      <w:bookmarkEnd w:id="17"/>
      <w:bookmarkEnd w:id="18"/>
      <w:bookmarkEnd w:id="19"/>
    </w:p>
    <w:p>
      <w:pPr>
        <w:pStyle w:val="11"/>
        <w:ind w:firstLine="480" w:firstLineChars="200"/>
        <w:rPr>
          <w:rFonts w:ascii="宋体" w:hAnsi="宋体"/>
          <w:szCs w:val="24"/>
        </w:rPr>
      </w:pPr>
      <w:r>
        <w:rPr>
          <w:rFonts w:hint="eastAsia" w:ascii="宋体" w:hAnsi="宋体"/>
          <w:szCs w:val="24"/>
        </w:rPr>
        <w:t>自本公告发布之日起5个工作日。</w:t>
      </w:r>
    </w:p>
    <w:p>
      <w:pPr>
        <w:rPr>
          <w:rFonts w:asciiTheme="minorEastAsia" w:hAnsiTheme="minorEastAsia" w:eastAsiaTheme="minorEastAsia"/>
          <w:b/>
          <w:sz w:val="28"/>
          <w:szCs w:val="28"/>
        </w:rPr>
      </w:pPr>
      <w:bookmarkStart w:id="20" w:name="_Toc35393626"/>
      <w:bookmarkStart w:id="21" w:name="_Toc35393795"/>
      <w:r>
        <w:rPr>
          <w:rFonts w:hint="eastAsia" w:asciiTheme="minorEastAsia" w:hAnsiTheme="minorEastAsia" w:eastAsiaTheme="minorEastAsia"/>
          <w:b/>
          <w:sz w:val="28"/>
          <w:szCs w:val="28"/>
        </w:rPr>
        <w:t>六、其他补充事宜</w:t>
      </w:r>
      <w:bookmarkEnd w:id="20"/>
      <w:bookmarkEnd w:id="21"/>
    </w:p>
    <w:p>
      <w:pPr>
        <w:pStyle w:val="11"/>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p>
    <w:p>
      <w:pPr>
        <w:pStyle w:val="11"/>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11"/>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11"/>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11"/>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一个小时内期间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11"/>
        <w:ind w:firstLine="480" w:firstLineChars="200"/>
        <w:rPr>
          <w:rFonts w:ascii="宋体" w:hAnsi="宋体"/>
          <w:szCs w:val="24"/>
        </w:rPr>
      </w:pPr>
      <w:r>
        <w:rPr>
          <w:rFonts w:hint="eastAsia" w:ascii="宋体" w:hAnsi="宋体"/>
          <w:szCs w:val="24"/>
        </w:rPr>
        <w:t>6、本项目不收取投标保证金。</w:t>
      </w:r>
    </w:p>
    <w:p>
      <w:pPr>
        <w:rPr>
          <w:rFonts w:asciiTheme="minorEastAsia" w:hAnsiTheme="minorEastAsia" w:eastAsiaTheme="minorEastAsia"/>
          <w:b/>
          <w:sz w:val="28"/>
          <w:szCs w:val="28"/>
        </w:rPr>
      </w:pPr>
      <w:bookmarkStart w:id="22" w:name="_Toc28359085"/>
      <w:bookmarkStart w:id="23" w:name="_Toc35393627"/>
      <w:bookmarkStart w:id="24" w:name="_Toc35393796"/>
      <w:bookmarkStart w:id="25" w:name="_Toc28359008"/>
      <w:r>
        <w:rPr>
          <w:rFonts w:hint="eastAsia" w:asciiTheme="minorEastAsia" w:hAnsiTheme="minorEastAsia" w:eastAsiaTheme="minorEastAsia"/>
          <w:b/>
          <w:sz w:val="28"/>
          <w:szCs w:val="28"/>
        </w:rPr>
        <w:t>七、对本次招标提出询问，请按</w:t>
      </w:r>
      <w:r>
        <w:rPr>
          <w:rFonts w:asciiTheme="minorEastAsia" w:hAnsiTheme="minorEastAsia" w:eastAsiaTheme="minorEastAsia"/>
          <w:b/>
          <w:sz w:val="28"/>
          <w:szCs w:val="28"/>
        </w:rPr>
        <w:t>以下方式</w:t>
      </w:r>
      <w:r>
        <w:rPr>
          <w:rFonts w:hint="eastAsia" w:asciiTheme="minorEastAsia" w:hAnsiTheme="minorEastAsia" w:eastAsiaTheme="minorEastAsia"/>
          <w:b/>
          <w:sz w:val="28"/>
          <w:szCs w:val="28"/>
        </w:rPr>
        <w:t>联系。</w:t>
      </w:r>
      <w:bookmarkEnd w:id="22"/>
      <w:bookmarkEnd w:id="23"/>
      <w:bookmarkEnd w:id="24"/>
      <w:bookmarkEnd w:id="25"/>
    </w:p>
    <w:p>
      <w:pPr>
        <w:pStyle w:val="11"/>
        <w:ind w:firstLine="482" w:firstLineChars="200"/>
        <w:rPr>
          <w:rFonts w:ascii="宋体" w:hAnsi="宋体"/>
          <w:b/>
          <w:szCs w:val="24"/>
        </w:rPr>
      </w:pPr>
      <w:r>
        <w:rPr>
          <w:rFonts w:hint="eastAsia" w:ascii="宋体" w:hAnsi="宋体"/>
          <w:b/>
          <w:szCs w:val="24"/>
        </w:rPr>
        <w:t>1.采购人信息</w:t>
      </w:r>
    </w:p>
    <w:p>
      <w:pPr>
        <w:pStyle w:val="11"/>
        <w:ind w:firstLine="480" w:firstLineChars="200"/>
        <w:rPr>
          <w:rFonts w:ascii="宋体" w:hAnsi="宋体" w:cs="宋体"/>
          <w:kern w:val="0"/>
        </w:rPr>
      </w:pPr>
      <w:r>
        <w:rPr>
          <w:rFonts w:hint="eastAsia" w:ascii="宋体" w:hAnsi="宋体"/>
          <w:szCs w:val="24"/>
        </w:rPr>
        <w:t>名      称：</w:t>
      </w:r>
      <w:r>
        <w:rPr>
          <w:rFonts w:hint="eastAsia" w:ascii="宋体" w:hAnsi="宋体" w:cs="宋体"/>
          <w:kern w:val="0"/>
        </w:rPr>
        <w:t>诸暨市自然资源和规划局</w:t>
      </w:r>
    </w:p>
    <w:p>
      <w:pPr>
        <w:pStyle w:val="11"/>
        <w:ind w:firstLine="480" w:firstLineChars="200"/>
        <w:rPr>
          <w:rFonts w:ascii="宋体" w:hAnsi="宋体"/>
          <w:szCs w:val="24"/>
        </w:rPr>
      </w:pPr>
      <w:r>
        <w:rPr>
          <w:rFonts w:hint="eastAsia" w:ascii="宋体" w:hAnsi="宋体"/>
          <w:szCs w:val="24"/>
        </w:rPr>
        <w:t>地      址：诸暨市东二路53号</w:t>
      </w:r>
    </w:p>
    <w:p>
      <w:pPr>
        <w:pStyle w:val="11"/>
        <w:ind w:firstLine="480" w:firstLineChars="200"/>
        <w:rPr>
          <w:rFonts w:ascii="宋体" w:hAnsi="宋体"/>
          <w:szCs w:val="24"/>
        </w:rPr>
      </w:pPr>
      <w:r>
        <w:rPr>
          <w:rFonts w:hint="eastAsia" w:ascii="宋体" w:hAnsi="宋体"/>
          <w:szCs w:val="24"/>
        </w:rPr>
        <w:t>项目联系人：</w:t>
      </w:r>
      <w:r>
        <w:rPr>
          <w:rFonts w:hint="eastAsia" w:ascii="宋体" w:hAnsi="宋体" w:cs="宋体"/>
          <w:kern w:val="0"/>
        </w:rPr>
        <w:t>傅清伟</w:t>
      </w:r>
    </w:p>
    <w:p>
      <w:pPr>
        <w:widowControl/>
        <w:shd w:val="clear" w:color="auto" w:fill="FDFAF5"/>
        <w:spacing w:line="320" w:lineRule="exact"/>
        <w:ind w:firstLine="480" w:firstLineChars="200"/>
        <w:jc w:val="left"/>
        <w:rPr>
          <w:rFonts w:ascii="宋体" w:hAnsi="宋体"/>
          <w:kern w:val="2"/>
          <w:sz w:val="24"/>
          <w:szCs w:val="24"/>
        </w:rPr>
      </w:pPr>
      <w:r>
        <w:rPr>
          <w:rFonts w:hint="eastAsia" w:ascii="宋体" w:hAnsi="宋体"/>
          <w:kern w:val="2"/>
          <w:sz w:val="24"/>
          <w:szCs w:val="24"/>
        </w:rPr>
        <w:t>联系  方式：</w:t>
      </w:r>
      <w:bookmarkStart w:id="26" w:name="_Toc28359009"/>
      <w:bookmarkStart w:id="27" w:name="_Toc28359086"/>
      <w:r>
        <w:rPr>
          <w:rFonts w:hint="eastAsia" w:ascii="宋体" w:hAnsi="宋体"/>
          <w:kern w:val="2"/>
          <w:sz w:val="24"/>
          <w:szCs w:val="24"/>
        </w:rPr>
        <w:t>0575-87980073</w:t>
      </w:r>
    </w:p>
    <w:p>
      <w:pPr>
        <w:pStyle w:val="11"/>
        <w:ind w:firstLine="480" w:firstLineChars="200"/>
        <w:rPr>
          <w:rFonts w:ascii="宋体" w:hAnsi="宋体"/>
          <w:szCs w:val="24"/>
        </w:rPr>
      </w:pP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2.采购代理机构信息</w:t>
      </w:r>
      <w:bookmarkEnd w:id="26"/>
      <w:bookmarkEnd w:id="27"/>
    </w:p>
    <w:p>
      <w:pPr>
        <w:pStyle w:val="11"/>
        <w:ind w:firstLine="480" w:firstLineChars="200"/>
        <w:rPr>
          <w:rFonts w:ascii="宋体" w:hAnsi="宋体"/>
          <w:szCs w:val="24"/>
        </w:rPr>
      </w:pPr>
      <w:r>
        <w:rPr>
          <w:rFonts w:hint="eastAsia" w:ascii="宋体" w:hAnsi="宋体"/>
          <w:szCs w:val="24"/>
        </w:rPr>
        <w:t>名      称：诸暨市公共资源交易中心</w:t>
      </w:r>
    </w:p>
    <w:p>
      <w:pPr>
        <w:pStyle w:val="11"/>
        <w:ind w:firstLine="480" w:firstLineChars="200"/>
        <w:rPr>
          <w:rFonts w:ascii="宋体" w:hAnsi="宋体"/>
          <w:szCs w:val="24"/>
        </w:rPr>
      </w:pPr>
      <w:r>
        <w:rPr>
          <w:rFonts w:hint="eastAsia" w:ascii="宋体" w:hAnsi="宋体"/>
          <w:szCs w:val="24"/>
        </w:rPr>
        <w:t>地　    址：诸暨市暨东路58号6楼北602办公室</w:t>
      </w:r>
    </w:p>
    <w:p>
      <w:pPr>
        <w:pStyle w:val="11"/>
        <w:ind w:firstLine="480" w:firstLineChars="200"/>
        <w:rPr>
          <w:rFonts w:ascii="宋体" w:hAnsi="宋体"/>
          <w:szCs w:val="24"/>
        </w:rPr>
      </w:pPr>
      <w:r>
        <w:rPr>
          <w:rFonts w:hint="eastAsia" w:ascii="宋体" w:hAnsi="宋体"/>
          <w:szCs w:val="24"/>
        </w:rPr>
        <w:t>项目联系人：王洁</w:t>
      </w:r>
    </w:p>
    <w:p>
      <w:pPr>
        <w:pStyle w:val="11"/>
        <w:ind w:firstLine="480" w:firstLineChars="200"/>
        <w:rPr>
          <w:rFonts w:ascii="宋体" w:hAnsi="宋体"/>
          <w:szCs w:val="24"/>
        </w:rPr>
      </w:pPr>
      <w:r>
        <w:rPr>
          <w:rFonts w:hint="eastAsia" w:ascii="宋体" w:hAnsi="宋体"/>
          <w:szCs w:val="24"/>
        </w:rPr>
        <w:t xml:space="preserve">联系  方式：0575-87253016  </w:t>
      </w:r>
      <w:r>
        <w:rPr>
          <w:rFonts w:hint="eastAsia" w:ascii="宋体"/>
          <w:color w:val="auto"/>
          <w:szCs w:val="24"/>
        </w:rPr>
        <w:t>传真：</w:t>
      </w:r>
      <w:r>
        <w:rPr>
          <w:rFonts w:hint="eastAsia" w:ascii="宋体" w:hAnsi="宋体"/>
          <w:szCs w:val="24"/>
        </w:rPr>
        <w:t>0575-</w:t>
      </w:r>
      <w:r>
        <w:rPr>
          <w:rFonts w:hint="eastAsia" w:ascii="宋体"/>
          <w:color w:val="auto"/>
          <w:szCs w:val="24"/>
        </w:rPr>
        <w:t>87221107</w:t>
      </w:r>
    </w:p>
    <w:p>
      <w:pPr>
        <w:pStyle w:val="11"/>
        <w:ind w:firstLine="480" w:firstLineChars="200"/>
        <w:rPr>
          <w:rFonts w:ascii="宋体" w:hAnsi="宋体"/>
          <w:szCs w:val="24"/>
        </w:rPr>
      </w:pPr>
    </w:p>
    <w:p>
      <w:pPr>
        <w:pStyle w:val="11"/>
        <w:ind w:firstLine="482" w:firstLineChars="200"/>
        <w:rPr>
          <w:rFonts w:ascii="宋体" w:hAnsi="宋体"/>
          <w:b/>
          <w:szCs w:val="24"/>
        </w:rPr>
      </w:pPr>
      <w:r>
        <w:rPr>
          <w:rFonts w:hint="eastAsia" w:ascii="宋体" w:hAnsi="宋体"/>
          <w:b/>
          <w:szCs w:val="24"/>
        </w:rPr>
        <w:t>3.同级政府采购监督管理部门</w:t>
      </w:r>
    </w:p>
    <w:p>
      <w:pPr>
        <w:pStyle w:val="11"/>
        <w:ind w:firstLine="480" w:firstLineChars="200"/>
        <w:rPr>
          <w:rFonts w:ascii="宋体" w:hAnsi="宋体"/>
          <w:szCs w:val="24"/>
        </w:rPr>
      </w:pPr>
      <w:r>
        <w:rPr>
          <w:rFonts w:hint="eastAsia" w:ascii="宋体" w:hAnsi="宋体"/>
          <w:szCs w:val="24"/>
        </w:rPr>
        <w:t>名      称：诸暨市财政局政府采购监管科</w:t>
      </w:r>
    </w:p>
    <w:p>
      <w:pPr>
        <w:pStyle w:val="11"/>
        <w:ind w:firstLine="480" w:firstLineChars="200"/>
        <w:rPr>
          <w:rFonts w:ascii="宋体" w:hAnsi="宋体"/>
          <w:szCs w:val="24"/>
        </w:rPr>
      </w:pPr>
      <w:r>
        <w:rPr>
          <w:rFonts w:hint="eastAsia" w:ascii="宋体" w:hAnsi="宋体"/>
          <w:szCs w:val="24"/>
        </w:rPr>
        <w:t>地      址：诸暨市人民中路356号</w:t>
      </w:r>
    </w:p>
    <w:p>
      <w:pPr>
        <w:pStyle w:val="11"/>
        <w:ind w:firstLine="480" w:firstLineChars="200"/>
        <w:rPr>
          <w:rFonts w:ascii="宋体" w:hAnsi="宋体"/>
          <w:szCs w:val="24"/>
        </w:rPr>
      </w:pPr>
      <w:r>
        <w:rPr>
          <w:rFonts w:hint="eastAsia" w:ascii="宋体" w:hAnsi="宋体"/>
          <w:szCs w:val="24"/>
        </w:rPr>
        <w:t>联  系  人：金永康 </w:t>
      </w:r>
    </w:p>
    <w:p>
      <w:pPr>
        <w:pStyle w:val="11"/>
        <w:ind w:firstLine="480" w:firstLineChars="200"/>
        <w:rPr>
          <w:rFonts w:ascii="宋体" w:hAnsi="宋体"/>
          <w:szCs w:val="24"/>
        </w:rPr>
      </w:pPr>
      <w:r>
        <w:rPr>
          <w:rFonts w:hint="eastAsia" w:ascii="宋体" w:hAnsi="宋体"/>
          <w:szCs w:val="24"/>
        </w:rPr>
        <w:t>监督投诉电话：0575-87113458</w:t>
      </w:r>
    </w:p>
    <w:p>
      <w:pPr>
        <w:pStyle w:val="11"/>
        <w:ind w:firstLine="480" w:firstLineChars="200"/>
        <w:rPr>
          <w:rFonts w:ascii="宋体" w:hAnsi="宋体"/>
          <w:szCs w:val="24"/>
        </w:rPr>
      </w:pPr>
    </w:p>
    <w:p>
      <w:pPr>
        <w:pStyle w:val="11"/>
        <w:ind w:firstLine="482"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320" w:lineRule="exact"/>
        <w:ind w:right="480" w:firstLine="5160" w:firstLineChars="2150"/>
        <w:rPr>
          <w:rFonts w:ascii="宋体" w:hAnsi="宋体" w:cs="宋体"/>
          <w:sz w:val="24"/>
        </w:rPr>
      </w:pPr>
      <w:r>
        <w:rPr>
          <w:rFonts w:hint="eastAsia" w:ascii="宋体" w:hAnsi="宋体" w:cs="宋体"/>
          <w:sz w:val="24"/>
        </w:rPr>
        <w:t xml:space="preserve">      诸暨市自然资源和规划局</w:t>
      </w:r>
    </w:p>
    <w:p>
      <w:pPr>
        <w:spacing w:line="320" w:lineRule="exact"/>
        <w:jc w:val="center"/>
        <w:rPr>
          <w:rFonts w:ascii="宋体" w:hAnsi="宋体"/>
          <w:sz w:val="24"/>
          <w:szCs w:val="24"/>
        </w:rPr>
      </w:pPr>
      <w:r>
        <w:rPr>
          <w:rFonts w:hint="eastAsia" w:ascii="宋体" w:hAnsi="宋体"/>
          <w:sz w:val="24"/>
          <w:szCs w:val="24"/>
        </w:rPr>
        <w:t>　　　　　　　　　　　　                     诸暨市公共资源交易中心</w:t>
      </w:r>
    </w:p>
    <w:p>
      <w:pPr>
        <w:spacing w:line="320" w:lineRule="exact"/>
        <w:jc w:val="center"/>
        <w:rPr>
          <w:rFonts w:ascii="宋体" w:hAnsi="宋体"/>
          <w:sz w:val="24"/>
          <w:szCs w:val="24"/>
        </w:rPr>
      </w:pPr>
      <w:r>
        <w:rPr>
          <w:rFonts w:hint="eastAsia" w:ascii="宋体" w:hAnsi="宋体"/>
          <w:sz w:val="24"/>
          <w:szCs w:val="24"/>
        </w:rPr>
        <w:t>　　　　　　　　　　　　            2020年9</w:t>
      </w:r>
      <w:r>
        <w:rPr>
          <w:rFonts w:hint="eastAsia" w:ascii="宋体" w:hAnsi="宋体" w:cs="Arial"/>
          <w:sz w:val="24"/>
        </w:rPr>
        <w:t>月8日</w:t>
      </w:r>
    </w:p>
    <w:p>
      <w:pPr>
        <w:spacing w:line="500" w:lineRule="exact"/>
        <w:ind w:firstLine="540"/>
        <w:rPr>
          <w:rFonts w:ascii="仿宋" w:hAnsi="仿宋" w:eastAsia="仿宋" w:cs="宋体"/>
          <w:sz w:val="28"/>
          <w:szCs w:val="28"/>
        </w:rPr>
      </w:pPr>
    </w:p>
    <w:p>
      <w:pPr>
        <w:jc w:val="center"/>
        <w:rPr>
          <w:rFonts w:ascii="宋体" w:hAnsi="宋体"/>
          <w:b/>
          <w:sz w:val="36"/>
          <w:szCs w:val="36"/>
        </w:rPr>
      </w:pPr>
      <w:r>
        <w:rPr>
          <w:rFonts w:ascii="宋体" w:hAnsi="宋体"/>
          <w:sz w:val="36"/>
          <w:szCs w:val="36"/>
        </w:rPr>
        <w:br w:type="page"/>
      </w:r>
      <w:r>
        <w:rPr>
          <w:rFonts w:hint="eastAsia" w:ascii="宋体" w:hAnsi="宋体"/>
          <w:sz w:val="36"/>
          <w:szCs w:val="36"/>
        </w:rPr>
        <w:t>第二章   投标须知</w:t>
      </w:r>
    </w:p>
    <w:p>
      <w:pPr>
        <w:jc w:val="center"/>
        <w:rPr>
          <w:rFonts w:ascii="宋体" w:hAnsi="宋体"/>
          <w:bCs/>
          <w:sz w:val="28"/>
          <w:szCs w:val="28"/>
        </w:rPr>
      </w:pPr>
      <w:r>
        <w:rPr>
          <w:rFonts w:hint="eastAsia" w:ascii="宋体" w:hAnsi="宋体"/>
          <w:bCs/>
          <w:sz w:val="28"/>
          <w:szCs w:val="28"/>
        </w:rPr>
        <w:t>前  附  表</w:t>
      </w:r>
    </w:p>
    <w:tbl>
      <w:tblPr>
        <w:tblStyle w:val="21"/>
        <w:tblW w:w="100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cs="宋体"/>
              </w:rPr>
              <w:t>诸暨市20</w:t>
            </w:r>
            <w:r>
              <w:rPr>
                <w:rFonts w:ascii="宋体" w:hAnsi="宋体" w:cs="宋体"/>
              </w:rPr>
              <w:t>20</w:t>
            </w:r>
            <w:r>
              <w:rPr>
                <w:rFonts w:hint="eastAsia" w:ascii="宋体" w:hAnsi="宋体" w:cs="宋体"/>
              </w:rPr>
              <w:t>年度矿业权评估采购项目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ind w:right="-107" w:rightChars="-51"/>
              <w:rPr>
                <w:rFonts w:ascii="宋体" w:hAnsi="宋体"/>
                <w:szCs w:val="24"/>
              </w:rPr>
            </w:pPr>
            <w:r>
              <w:rPr>
                <w:rFonts w:hint="eastAsia" w:ascii="宋体" w:hAnsi="宋体"/>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cs="宋体"/>
                <w:bCs/>
                <w:szCs w:val="24"/>
                <w:u w:val="single"/>
              </w:rPr>
              <w:t>本次招标标的最高限价为人民币</w:t>
            </w:r>
            <w:r>
              <w:rPr>
                <w:rFonts w:hint="eastAsia" w:ascii="宋体" w:hAnsi="宋体" w:cs="宋体"/>
                <w:b/>
                <w:bCs/>
                <w:szCs w:val="24"/>
                <w:u w:val="single"/>
              </w:rPr>
              <w:t>玖万玖仟圆（¥99000.00）整</w:t>
            </w:r>
            <w:r>
              <w:rPr>
                <w:rFonts w:hint="eastAsia" w:ascii="宋体" w:hAnsi="宋体" w:cs="宋体"/>
                <w:bCs/>
                <w:szCs w:val="24"/>
                <w:u w:val="single"/>
              </w:rPr>
              <w:t>，任何超过最高限价的报价将被认定为无效报价。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本次招标采购共</w:t>
            </w:r>
            <w:r>
              <w:rPr>
                <w:rFonts w:hint="eastAsia" w:ascii="宋体" w:hAnsi="宋体"/>
                <w:b/>
                <w:sz w:val="24"/>
                <w:szCs w:val="24"/>
              </w:rPr>
              <w:t>1</w:t>
            </w:r>
            <w:r>
              <w:rPr>
                <w:rFonts w:hint="eastAsia" w:ascii="宋体" w:hAnsi="宋体"/>
                <w:sz w:val="24"/>
                <w:szCs w:val="24"/>
              </w:rPr>
              <w:t>个标的，招标人将择优择定中标人。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资格审查方式</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r>
              <w:rPr>
                <w:rFonts w:ascii="宋体" w:hAnsi="宋体"/>
                <w:sz w:val="24"/>
                <w:szCs w:val="24"/>
              </w:rPr>
              <w:t>供应商资格采用资格后审方式</w:t>
            </w:r>
            <w:r>
              <w:rPr>
                <w:rFonts w:hint="eastAsia" w:ascii="宋体" w:hAnsi="宋体"/>
                <w:sz w:val="24"/>
                <w:szCs w:val="24"/>
              </w:rPr>
              <w:t>，</w:t>
            </w:r>
            <w:r>
              <w:rPr>
                <w:rFonts w:ascii="宋体" w:hAnsi="宋体"/>
                <w:sz w:val="24"/>
                <w:szCs w:val="24"/>
              </w:rPr>
              <w:t>由评标委员会进行审查。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招标文件的</w:t>
            </w:r>
          </w:p>
          <w:p>
            <w:pPr>
              <w:pStyle w:val="11"/>
              <w:jc w:val="center"/>
              <w:rPr>
                <w:rFonts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704" w:type="dxa"/>
            <w:tcBorders>
              <w:top w:val="single" w:color="auto" w:sz="4" w:space="0"/>
              <w:left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10</w:t>
            </w:r>
          </w:p>
        </w:tc>
        <w:tc>
          <w:tcPr>
            <w:tcW w:w="1776" w:type="dxa"/>
            <w:tcBorders>
              <w:top w:val="single" w:color="auto" w:sz="4" w:space="0"/>
              <w:left w:val="single" w:color="auto" w:sz="4" w:space="0"/>
              <w:right w:val="single" w:color="auto" w:sz="4" w:space="0"/>
            </w:tcBorders>
            <w:vAlign w:val="center"/>
          </w:tcPr>
          <w:p>
            <w:pPr>
              <w:pStyle w:val="11"/>
              <w:jc w:val="center"/>
              <w:rPr>
                <w:rFonts w:ascii="宋体" w:hAnsi="宋体"/>
                <w:b/>
                <w:szCs w:val="24"/>
              </w:rPr>
            </w:pPr>
            <w:r>
              <w:rPr>
                <w:rFonts w:hint="eastAsia" w:ascii="宋体" w:hAnsi="宋体" w:cs="宋体"/>
              </w:rPr>
              <w:t>资格审查</w:t>
            </w:r>
          </w:p>
        </w:tc>
        <w:tc>
          <w:tcPr>
            <w:tcW w:w="7589" w:type="dxa"/>
            <w:tcBorders>
              <w:top w:val="single" w:color="auto" w:sz="4" w:space="0"/>
              <w:left w:val="single" w:color="auto" w:sz="4" w:space="0"/>
              <w:right w:val="single" w:color="auto" w:sz="4" w:space="0"/>
            </w:tcBorders>
            <w:vAlign w:val="center"/>
          </w:tcPr>
          <w:p>
            <w:pPr>
              <w:rPr>
                <w:rFonts w:ascii="宋体" w:hAnsi="宋体" w:cs="宋体"/>
                <w:sz w:val="24"/>
              </w:rPr>
            </w:pPr>
            <w:r>
              <w:rPr>
                <w:rFonts w:hint="eastAsia" w:ascii="宋体" w:hAnsi="宋体" w:cs="宋体"/>
                <w:sz w:val="24"/>
              </w:rPr>
              <w:t>评标委员会负责资格审查，审查内容包括：</w:t>
            </w:r>
          </w:p>
          <w:p>
            <w:pPr>
              <w:rPr>
                <w:rFonts w:ascii="宋体" w:hAnsi="宋体" w:cs="宋体"/>
                <w:color w:val="auto"/>
                <w:sz w:val="24"/>
              </w:rPr>
            </w:pPr>
            <w:r>
              <w:rPr>
                <w:rFonts w:hint="eastAsia" w:ascii="宋体" w:hAnsi="宋体" w:cs="宋体"/>
                <w:sz w:val="24"/>
              </w:rPr>
              <w:t>1、</w:t>
            </w:r>
            <w:r>
              <w:rPr>
                <w:rFonts w:hint="eastAsia" w:ascii="宋体" w:hAnsi="宋体" w:cs="宋体"/>
                <w:color w:val="auto"/>
                <w:sz w:val="24"/>
              </w:rPr>
              <w:t>营业执照复印件。</w:t>
            </w:r>
          </w:p>
          <w:p>
            <w:pPr>
              <w:rPr>
                <w:rFonts w:ascii="宋体" w:hAnsi="宋体" w:cs="宋体"/>
                <w:color w:val="auto"/>
                <w:sz w:val="24"/>
              </w:rPr>
            </w:pPr>
            <w:r>
              <w:rPr>
                <w:rFonts w:hint="eastAsia" w:ascii="宋体" w:hAnsi="宋体" w:cs="宋体"/>
                <w:color w:val="auto"/>
                <w:sz w:val="24"/>
              </w:rPr>
              <w:t>2、信用记录查询。</w:t>
            </w:r>
          </w:p>
          <w:p>
            <w:pPr>
              <w:rPr>
                <w:rFonts w:ascii="宋体" w:hAnsi="宋体" w:cs="宋体"/>
                <w:color w:val="FF0000"/>
                <w:sz w:val="24"/>
              </w:rPr>
            </w:pPr>
            <w:r>
              <w:rPr>
                <w:rFonts w:hint="eastAsia" w:ascii="宋体" w:hAnsi="宋体" w:cs="宋体"/>
                <w:color w:val="auto"/>
                <w:sz w:val="24"/>
              </w:rPr>
              <w:t>3、其他资格条件证明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rPr>
                <w:rFonts w:ascii="宋体" w:hAnsi="宋体"/>
                <w:sz w:val="24"/>
                <w:szCs w:val="24"/>
              </w:rPr>
            </w:pPr>
            <w:r>
              <w:rPr>
                <w:rFonts w:hint="eastAsia" w:ascii="宋体" w:hAnsi="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资格文件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企业法人营业执照复印件（加盖单位公章）；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bookmarkStart w:id="86" w:name="_GoBack"/>
            <w:r>
              <w:rPr>
                <w:rFonts w:ascii="宋体" w:hAnsi="宋体"/>
                <w:color w:val="auto"/>
                <w:sz w:val="24"/>
                <w:szCs w:val="24"/>
              </w:rPr>
              <w:t>法定代表人授权委托书</w:t>
            </w:r>
            <w:r>
              <w:rPr>
                <w:rFonts w:hint="eastAsia" w:ascii="宋体" w:hAnsi="宋体"/>
                <w:color w:val="auto"/>
                <w:sz w:val="24"/>
                <w:szCs w:val="24"/>
              </w:rPr>
              <w:t>（法定代表人提供身份证复印件，</w:t>
            </w:r>
            <w:r>
              <w:rPr>
                <w:rFonts w:ascii="宋体" w:hAnsi="宋体"/>
                <w:color w:val="auto"/>
                <w:sz w:val="24"/>
                <w:szCs w:val="24"/>
              </w:rPr>
              <w:t>格式见附件)</w:t>
            </w:r>
            <w:bookmarkEnd w:id="86"/>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提供自招标公告发布之日起至投标截止日内任意时间的“信用中国”网站（www.creditchina.gov.cn）、中国政府采购网（www.ccgp.gov.cn）投标人信用查询网页截图。（以开标当日采购人或由采购人委托评标委员会核实的查询结果为准）；</w:t>
            </w:r>
          </w:p>
          <w:p>
            <w:pPr>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矿业权评估资质证书复印件（加盖公章）；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商务</w:t>
            </w:r>
            <w:r>
              <w:rPr>
                <w:rFonts w:hint="eastAsia" w:ascii="宋体" w:hAnsi="宋体"/>
                <w:color w:val="auto"/>
                <w:sz w:val="24"/>
                <w:szCs w:val="24"/>
              </w:rPr>
              <w:t>技术文件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投标人情况介绍；</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相关资质证明或文件复印件（如有，加盖单位公章）；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sz w:val="24"/>
                <w:szCs w:val="24"/>
              </w:rPr>
              <w:t>（4）</w:t>
            </w:r>
            <w:r>
              <w:rPr>
                <w:rFonts w:ascii="宋体" w:hAnsi="宋体"/>
                <w:color w:val="auto"/>
                <w:sz w:val="24"/>
                <w:szCs w:val="24"/>
              </w:rPr>
              <w:t>对本项目系统总体要求的理解</w:t>
            </w:r>
            <w:r>
              <w:rPr>
                <w:rFonts w:hint="eastAsia" w:ascii="宋体" w:hAnsi="宋体"/>
                <w:color w:val="auto"/>
                <w:sz w:val="24"/>
                <w:szCs w:val="24"/>
              </w:rPr>
              <w:t>，包括：功能说明、性能指标及设备选型说明（如需要）；</w:t>
            </w:r>
          </w:p>
          <w:p>
            <w:pPr>
              <w:snapToGrid w:val="0"/>
              <w:jc w:val="left"/>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w:t>
            </w:r>
            <w:r>
              <w:rPr>
                <w:rFonts w:hint="eastAsia" w:ascii="宋体" w:hAnsi="宋体"/>
                <w:color w:val="auto"/>
                <w:sz w:val="24"/>
                <w:szCs w:val="24"/>
              </w:rPr>
              <w:t>投标设备详细配置清单和技术偏离表；</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）招标文件</w:t>
            </w:r>
            <w:r>
              <w:rPr>
                <w:rFonts w:hint="eastAsia" w:ascii="宋体" w:hAnsi="宋体"/>
                <w:color w:val="auto"/>
                <w:sz w:val="24"/>
                <w:szCs w:val="24"/>
              </w:rPr>
              <w:t>标</w:t>
            </w:r>
            <w:r>
              <w:rPr>
                <w:rFonts w:ascii="宋体" w:hAnsi="宋体"/>
                <w:color w:val="auto"/>
                <w:sz w:val="24"/>
                <w:szCs w:val="24"/>
              </w:rPr>
              <w:t>明</w:t>
            </w:r>
            <w:r>
              <w:rPr>
                <w:rFonts w:ascii="宋体" w:hAnsi="宋体"/>
                <w:sz w:val="24"/>
                <w:szCs w:val="24"/>
              </w:rPr>
              <w:t>的影响投标人资格的其他证明文件（如</w:t>
            </w:r>
            <w:r>
              <w:rPr>
                <w:rFonts w:hint="eastAsia" w:ascii="宋体" w:hAnsi="宋体"/>
                <w:sz w:val="24"/>
                <w:szCs w:val="24"/>
              </w:rPr>
              <w:t>主要设备材料的原厂商对本项目的售后服务承诺，本地化服务能力证明）；</w:t>
            </w:r>
          </w:p>
          <w:p>
            <w:pPr>
              <w:snapToGrid w:val="0"/>
              <w:jc w:val="left"/>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w:t>
            </w:r>
            <w:r>
              <w:rPr>
                <w:rFonts w:ascii="宋体" w:hAnsi="宋体"/>
                <w:sz w:val="24"/>
                <w:szCs w:val="24"/>
              </w:rPr>
              <w:t>保证工程</w:t>
            </w:r>
            <w:r>
              <w:rPr>
                <w:rFonts w:ascii="宋体" w:hAnsi="宋体"/>
                <w:color w:val="auto"/>
                <w:sz w:val="24"/>
                <w:szCs w:val="24"/>
              </w:rPr>
              <w:t>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）投标人需要说明的其他文件和说明</w:t>
            </w:r>
            <w:r>
              <w:rPr>
                <w:rFonts w:hint="eastAsia" w:ascii="宋体" w:hAnsi="宋体"/>
                <w:color w:val="auto"/>
                <w:sz w:val="24"/>
                <w:szCs w:val="24"/>
              </w:rPr>
              <w:t>。</w:t>
            </w:r>
          </w:p>
          <w:p>
            <w:pPr>
              <w:pStyle w:val="11"/>
              <w:rPr>
                <w:rFonts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报价</w:t>
            </w:r>
            <w:r>
              <w:rPr>
                <w:rFonts w:ascii="宋体" w:hAnsi="宋体"/>
                <w:szCs w:val="24"/>
              </w:rPr>
              <w:t>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小微企业声明函、网页证明资料（若有，格式见附件）；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tabs>
                <w:tab w:val="left" w:pos="3870"/>
                <w:tab w:val="left" w:pos="4085"/>
              </w:tabs>
              <w:snapToGrid w:val="0"/>
              <w:jc w:val="left"/>
              <w:rPr>
                <w:rFonts w:ascii="宋体" w:hAnsi="宋体"/>
                <w:b/>
                <w:color w:val="FF0000"/>
                <w:sz w:val="24"/>
                <w:szCs w:val="24"/>
              </w:rPr>
            </w:pPr>
            <w:r>
              <w:rPr>
                <w:rFonts w:ascii="宋体" w:hAnsi="宋体"/>
                <w:sz w:val="24"/>
                <w:szCs w:val="24"/>
              </w:rPr>
              <w:t>注：投标函、开标一览表必须加盖单位公章。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现场演示</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投标样品</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上传电子投标文件时间</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00" w:lineRule="exact"/>
              <w:jc w:val="left"/>
            </w:pPr>
            <w:r>
              <w:rPr>
                <w:rFonts w:hint="eastAsia" w:ascii="宋体" w:hAnsi="宋体"/>
                <w:bCs/>
                <w:color w:val="auto"/>
                <w:sz w:val="24"/>
                <w:szCs w:val="24"/>
              </w:rPr>
              <w:t>供应商应于投标截止时间前在“政采云”上自行加密上传电子投标文件，</w:t>
            </w:r>
            <w:r>
              <w:rPr>
                <w:rFonts w:ascii="宋体" w:hAnsi="宋体"/>
                <w:bCs/>
                <w:color w:val="auto"/>
                <w:sz w:val="24"/>
                <w:szCs w:val="24"/>
              </w:rPr>
              <w:t>逾期</w:t>
            </w:r>
            <w:r>
              <w:rPr>
                <w:rFonts w:hint="eastAsia" w:ascii="宋体" w:hAnsi="宋体"/>
                <w:bCs/>
                <w:color w:val="auto"/>
                <w:sz w:val="24"/>
                <w:szCs w:val="24"/>
              </w:rPr>
              <w:t>上传</w:t>
            </w:r>
            <w:r>
              <w:rPr>
                <w:rFonts w:ascii="宋体" w:hAnsi="宋体"/>
                <w:bCs/>
                <w:color w:val="auto"/>
                <w:sz w:val="24"/>
                <w:szCs w:val="24"/>
              </w:rPr>
              <w:t>或未按要求</w:t>
            </w:r>
            <w:r>
              <w:rPr>
                <w:rFonts w:hint="eastAsia" w:ascii="宋体" w:hAnsi="宋体"/>
                <w:bCs/>
                <w:color w:val="auto"/>
                <w:sz w:val="24"/>
                <w:szCs w:val="24"/>
              </w:rPr>
              <w:t>上传</w:t>
            </w:r>
            <w:r>
              <w:rPr>
                <w:rFonts w:ascii="宋体" w:hAnsi="宋体"/>
                <w:bCs/>
                <w:color w:val="auto"/>
                <w:sz w:val="24"/>
                <w:szCs w:val="24"/>
              </w:rPr>
              <w:t>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color w:val="FF00FF"/>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ascii="宋体" w:hAnsi="宋体"/>
                <w:szCs w:val="24"/>
              </w:rPr>
              <w:t>本项目不允许转包</w:t>
            </w:r>
            <w:r>
              <w:rPr>
                <w:rFonts w:hint="eastAsia" w:ascii="宋体" w:hAnsi="宋体"/>
                <w:szCs w:val="24"/>
              </w:rPr>
              <w:t>和</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21</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szCs w:val="24"/>
              </w:rPr>
            </w:pPr>
            <w:r>
              <w:rPr>
                <w:rFonts w:hint="eastAsia" w:ascii="宋体" w:hAnsi="宋体"/>
                <w:szCs w:val="24"/>
              </w:rPr>
              <w:t>签订合同时，中标人须向采购单位交入</w:t>
            </w:r>
            <w:r>
              <w:rPr>
                <w:rFonts w:hint="eastAsia" w:ascii="宋体" w:hAnsi="宋体"/>
                <w:b/>
                <w:szCs w:val="24"/>
              </w:rPr>
              <w:t>中标价5%的履约保证金</w:t>
            </w:r>
            <w:r>
              <w:rPr>
                <w:rFonts w:hint="eastAsia" w:ascii="宋体" w:hAnsi="宋体"/>
                <w:szCs w:val="24"/>
              </w:rPr>
              <w:t>。</w:t>
            </w:r>
            <w:r>
              <w:rPr>
                <w:rFonts w:hint="eastAsia" w:ascii="宋体" w:hAnsi="宋体"/>
              </w:rPr>
              <w:t>履约保证金在采购单位将货物（服务、工程）验收合格后5日内无息退还。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投标文件上传截止时间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25</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26</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投标产品若属于节能环保产品的，请提供财政部、环境保护保部发布有效期内环境标志产品政府采购清单以及财政部、发改委联合发布有效期内节能产品政府采购清单。</w:t>
            </w:r>
          </w:p>
          <w:p>
            <w:pPr>
              <w:pStyle w:val="11"/>
              <w:rPr>
                <w:rFonts w:ascii="宋体" w:hAnsi="宋体"/>
              </w:rPr>
            </w:pPr>
            <w:r>
              <w:rPr>
                <w:rFonts w:hint="eastAsia" w:ascii="宋体" w:hAnsi="宋体"/>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1"/>
              <w:spacing w:line="440" w:lineRule="exact"/>
              <w:jc w:val="center"/>
              <w:rPr>
                <w:rFonts w:ascii="宋体" w:hAnsi="宋体"/>
                <w:b/>
                <w:szCs w:val="24"/>
              </w:rPr>
            </w:pPr>
            <w:r>
              <w:rPr>
                <w:rFonts w:hint="eastAsia" w:ascii="宋体" w:hAnsi="宋体"/>
                <w:b/>
                <w:szCs w:val="24"/>
              </w:rPr>
              <w:t>27</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589" w:type="dxa"/>
            <w:tcBorders>
              <w:top w:val="single" w:color="auto" w:sz="4" w:space="0"/>
              <w:left w:val="single" w:color="auto" w:sz="4" w:space="0"/>
              <w:bottom w:val="single" w:color="auto" w:sz="4" w:space="0"/>
              <w:right w:val="single" w:color="auto" w:sz="4" w:space="0"/>
            </w:tcBorders>
            <w:vAlign w:val="center"/>
          </w:tcPr>
          <w:p>
            <w:pPr>
              <w:pStyle w:val="11"/>
              <w:rPr>
                <w:rFonts w:ascii="宋体" w:hAnsi="宋体"/>
              </w:rPr>
            </w:pPr>
            <w:r>
              <w:rPr>
                <w:rFonts w:hint="eastAsia" w:ascii="宋体" w:hAnsi="宋体"/>
              </w:rPr>
              <w:t xml:space="preserve">1、根据财库〔2011〕181号的相关规定，在评审时对小型和微型企业的投标报价给予 </w:t>
            </w:r>
            <w:bookmarkStart w:id="28" w:name="小微企业价格扣除比例2"/>
            <w:r>
              <w:rPr>
                <w:rFonts w:ascii="宋体" w:hAnsi="宋体"/>
              </w:rPr>
              <w:t>6</w:t>
            </w:r>
            <w:bookmarkEnd w:id="28"/>
            <w:r>
              <w:rPr>
                <w:rFonts w:hint="eastAsia" w:ascii="宋体" w:hAnsi="宋体"/>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r>
              <w:rPr>
                <w:rFonts w:hint="eastAsia" w:ascii="宋体" w:hAnsi="宋体"/>
                <w:b/>
              </w:rPr>
              <w:t>（如</w:t>
            </w:r>
            <w:r>
              <w:rPr>
                <w:rFonts w:ascii="宋体" w:hAnsi="宋体"/>
                <w:b/>
              </w:rPr>
              <w:t>小微企业投标且提供其它小型、微型企业产品</w:t>
            </w:r>
            <w:r>
              <w:rPr>
                <w:rFonts w:hint="eastAsia" w:ascii="宋体" w:hAnsi="宋体"/>
                <w:b/>
              </w:rPr>
              <w:t>，其所投产品制造商也须满足此规定，方可享受《暂行办法》规定的优惠政策。）</w:t>
            </w:r>
          </w:p>
          <w:p>
            <w:pPr>
              <w:pStyle w:val="11"/>
              <w:rPr>
                <w:rFonts w:ascii="宋体" w:hAnsi="宋体"/>
              </w:rPr>
            </w:pPr>
            <w:r>
              <w:rPr>
                <w:rFonts w:hint="eastAsia" w:ascii="宋体" w:hAnsi="宋体"/>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2%的价格扣除，须同时提供联合体协议约定（包含小型、微型企业的协议合同份额）。</w:t>
            </w:r>
          </w:p>
          <w:p>
            <w:pPr>
              <w:pStyle w:val="11"/>
              <w:rPr>
                <w:rFonts w:ascii="宋体" w:hAnsi="宋体"/>
              </w:rPr>
            </w:pPr>
            <w:r>
              <w:rPr>
                <w:rFonts w:hint="eastAsia" w:ascii="宋体" w:hAnsi="宋体"/>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残疾人福利性单位属于小型、微型企业的，不重复享受政策。</w:t>
            </w:r>
          </w:p>
          <w:p>
            <w:pPr>
              <w:pStyle w:val="11"/>
              <w:rPr>
                <w:rFonts w:ascii="宋体" w:hAnsi="宋体"/>
              </w:rPr>
            </w:pPr>
            <w:r>
              <w:rPr>
                <w:rFonts w:hint="eastAsia" w:ascii="宋体" w:hAnsi="宋体"/>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1"/>
              <w:rPr>
                <w:rFonts w:ascii="宋体" w:hAnsi="宋体"/>
              </w:rPr>
            </w:pPr>
            <w:r>
              <w:rPr>
                <w:rFonts w:hint="eastAsia" w:ascii="宋体" w:hAnsi="宋体"/>
              </w:rPr>
              <w:t>(注：未提供以上材料的，均不给予价格扣除）。</w:t>
            </w:r>
          </w:p>
        </w:tc>
      </w:tr>
    </w:tbl>
    <w:p>
      <w:pPr>
        <w:jc w:val="center"/>
        <w:rPr>
          <w:b/>
          <w:sz w:val="28"/>
        </w:rPr>
      </w:pPr>
      <w:r>
        <w:br w:type="page"/>
      </w:r>
      <w:r>
        <w:rPr>
          <w:rFonts w:hint="eastAsia"/>
          <w:b/>
          <w:sz w:val="28"/>
        </w:rPr>
        <w:t>一、总   则</w:t>
      </w:r>
      <w:bookmarkEnd w:id="1"/>
    </w:p>
    <w:p>
      <w:pPr>
        <w:spacing w:line="360" w:lineRule="exact"/>
        <w:ind w:firstLine="482" w:firstLineChars="200"/>
        <w:rPr>
          <w:rFonts w:ascii="宋体" w:hAnsi="宋体"/>
        </w:rPr>
      </w:pPr>
      <w:bookmarkStart w:id="29" w:name="_Toc125344512"/>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ind w:firstLine="482" w:firstLineChars="20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2.1“采购人”系指委托招标方采购本次货物、服务项目的国家机关、事业单位和团体组织。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pacing w:line="360" w:lineRule="exact"/>
        <w:ind w:firstLine="482" w:firstLineChars="200"/>
        <w:rPr>
          <w:rFonts w:ascii="宋体" w:hAnsi="宋体"/>
          <w:b/>
          <w:bCs/>
          <w:sz w:val="24"/>
        </w:rPr>
      </w:pPr>
      <w:r>
        <w:rPr>
          <w:rFonts w:hint="eastAsia" w:ascii="宋体" w:hAnsi="宋体"/>
          <w:b/>
          <w:bCs/>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pacing w:line="360" w:lineRule="exact"/>
        <w:ind w:firstLine="482" w:firstLineChars="200"/>
        <w:rPr>
          <w:rFonts w:ascii="宋体" w:hAnsi="宋体"/>
          <w:b/>
          <w:bCs/>
          <w:sz w:val="24"/>
        </w:rPr>
      </w:pPr>
      <w:r>
        <w:rPr>
          <w:rFonts w:hint="eastAsia" w:ascii="宋体" w:hAnsi="宋体"/>
          <w:b/>
          <w:bCs/>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pacing w:line="360" w:lineRule="exact"/>
        <w:ind w:firstLine="482" w:firstLineChars="200"/>
        <w:rPr>
          <w:rFonts w:ascii="宋体" w:hAnsi="宋体"/>
          <w:b/>
          <w:bCs/>
          <w:sz w:val="24"/>
        </w:rPr>
      </w:pPr>
      <w:r>
        <w:rPr>
          <w:rFonts w:hint="eastAsia" w:ascii="宋体" w:hAnsi="宋体"/>
          <w:b/>
          <w:bCs/>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pacing w:line="360" w:lineRule="exact"/>
        <w:ind w:firstLine="482" w:firstLineChars="200"/>
        <w:rPr>
          <w:rFonts w:ascii="宋体" w:hAnsi="宋体"/>
          <w:b/>
          <w:bCs/>
          <w:sz w:val="24"/>
        </w:rPr>
      </w:pPr>
      <w:r>
        <w:rPr>
          <w:rFonts w:hint="eastAsia" w:ascii="宋体" w:hAnsi="宋体"/>
          <w:b/>
          <w:bCs/>
          <w:sz w:val="24"/>
        </w:rPr>
        <w:t>6.特别说明：</w:t>
      </w:r>
    </w:p>
    <w:p>
      <w:pPr>
        <w:pStyle w:val="11"/>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11"/>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11"/>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11"/>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11"/>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11"/>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11"/>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pacing w:line="360" w:lineRule="exact"/>
        <w:ind w:firstLine="482" w:firstLineChars="200"/>
        <w:rPr>
          <w:rFonts w:ascii="宋体" w:hAnsi="宋体"/>
          <w:b/>
          <w:bCs/>
          <w:sz w:val="24"/>
        </w:rPr>
      </w:pPr>
      <w:r>
        <w:rPr>
          <w:rFonts w:hint="eastAsia" w:ascii="宋体" w:hAnsi="宋体"/>
          <w:b/>
          <w:bCs/>
          <w:sz w:val="24"/>
        </w:rPr>
        <w:t>7.询问、</w:t>
      </w:r>
      <w:r>
        <w:rPr>
          <w:rFonts w:ascii="宋体" w:hAnsi="宋体"/>
          <w:b/>
          <w:bCs/>
          <w:sz w:val="24"/>
        </w:rPr>
        <w:t>质疑和投诉</w:t>
      </w:r>
    </w:p>
    <w:p>
      <w:pPr>
        <w:pStyle w:val="11"/>
        <w:snapToGrid w:val="0"/>
        <w:ind w:left="1" w:firstLine="480" w:firstLineChars="200"/>
        <w:rPr>
          <w:rFonts w:ascii="宋体" w:hAnsi="宋体"/>
          <w:bCs/>
        </w:rPr>
      </w:pPr>
      <w:bookmarkStart w:id="30" w:name="_Toc125344504"/>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11"/>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11"/>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11"/>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11"/>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11"/>
        <w:snapToGrid w:val="0"/>
        <w:ind w:left="1" w:firstLine="480" w:firstLineChars="200"/>
        <w:rPr>
          <w:rFonts w:ascii="宋体" w:hAnsi="宋体"/>
        </w:rPr>
      </w:pPr>
      <w:r>
        <w:rPr>
          <w:rFonts w:hint="eastAsia" w:ascii="宋体" w:hAnsi="宋体"/>
        </w:rPr>
        <w:t>7.6供应商</w:t>
      </w:r>
      <w:r>
        <w:rPr>
          <w:rFonts w:ascii="宋体" w:hAnsi="宋体"/>
        </w:rPr>
        <w:t>对采购人的质疑答复不满意或者采购人未在规定时间内作出答复的，可以在答复期满后十五个工作日内向同级采购监管部门投诉。</w:t>
      </w:r>
      <w:r>
        <w:rPr>
          <w:rFonts w:hint="eastAsia" w:ascii="宋体" w:hAnsi="宋体"/>
        </w:rPr>
        <w:t>逾期提出的，采购代理机构不予受理、答复。</w:t>
      </w:r>
    </w:p>
    <w:p>
      <w:pPr>
        <w:pStyle w:val="11"/>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b/>
          <w:sz w:val="28"/>
        </w:rPr>
      </w:pPr>
      <w:r>
        <w:rPr>
          <w:rFonts w:hint="eastAsia"/>
          <w:b/>
          <w:sz w:val="28"/>
        </w:rPr>
        <w:t>二、招标文件</w:t>
      </w:r>
      <w:bookmarkEnd w:id="30"/>
    </w:p>
    <w:p>
      <w:pPr>
        <w:spacing w:line="360" w:lineRule="exact"/>
        <w:ind w:firstLine="482" w:firstLineChars="200"/>
        <w:rPr>
          <w:rFonts w:ascii="宋体" w:hAnsi="宋体"/>
          <w:b/>
          <w:bCs/>
          <w:sz w:val="24"/>
        </w:rPr>
      </w:pPr>
      <w:r>
        <w:rPr>
          <w:rFonts w:hint="eastAsia" w:ascii="宋体" w:hAnsi="宋体"/>
          <w:b/>
          <w:bCs/>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8.3采购需求；</w:t>
      </w:r>
    </w:p>
    <w:p>
      <w:pPr>
        <w:snapToGrid w:val="0"/>
        <w:ind w:firstLine="480" w:firstLineChars="200"/>
        <w:jc w:val="left"/>
        <w:rPr>
          <w:rFonts w:ascii="宋体" w:hAnsi="宋体"/>
          <w:sz w:val="24"/>
        </w:rPr>
      </w:pPr>
      <w:r>
        <w:rPr>
          <w:rFonts w:hint="eastAsia" w:ascii="宋体" w:hAnsi="宋体"/>
          <w:sz w:val="24"/>
        </w:rPr>
        <w:t>8.4应提交的有关格式范例；</w:t>
      </w:r>
    </w:p>
    <w:p>
      <w:pPr>
        <w:snapToGrid w:val="0"/>
        <w:ind w:firstLine="480" w:firstLineChars="200"/>
        <w:jc w:val="left"/>
        <w:rPr>
          <w:rFonts w:ascii="宋体" w:hAnsi="宋体"/>
          <w:sz w:val="24"/>
        </w:rPr>
      </w:pPr>
      <w:r>
        <w:rPr>
          <w:rFonts w:hint="eastAsia" w:ascii="宋体" w:hAnsi="宋体"/>
          <w:sz w:val="24"/>
        </w:rPr>
        <w:t>8.5本项目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exact"/>
        <w:ind w:firstLine="482" w:firstLineChars="200"/>
        <w:rPr>
          <w:rFonts w:ascii="宋体" w:hAnsi="宋体"/>
          <w:b/>
          <w:bCs/>
          <w:sz w:val="24"/>
        </w:rPr>
      </w:pPr>
      <w:r>
        <w:rPr>
          <w:rFonts w:hint="eastAsia" w:ascii="宋体" w:hAnsi="宋体"/>
          <w:b/>
          <w:bCs/>
          <w:sz w:val="24"/>
        </w:rPr>
        <w:t>10.招标文件的澄清与修改</w:t>
      </w:r>
      <w:r>
        <w:rPr>
          <w:rFonts w:ascii="宋体" w:hAnsi="宋体"/>
          <w:b/>
          <w:bCs/>
          <w:sz w:val="24"/>
        </w:rPr>
        <w:t xml:space="preserve"> </w:t>
      </w:r>
    </w:p>
    <w:p>
      <w:pPr>
        <w:pStyle w:val="11"/>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投标人可以通过诸暨市公共资源交易网自行下载，以确认已阅知该澄清或修改内容，否则，由此导致的风险由投标人自行承担，采购人不承担任何责任。</w:t>
      </w:r>
    </w:p>
    <w:p>
      <w:pPr>
        <w:pStyle w:val="11"/>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1"/>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11"/>
        <w:snapToGrid w:val="0"/>
        <w:ind w:firstLine="480" w:firstLineChars="200"/>
        <w:rPr>
          <w:rFonts w:hAnsi="宋体"/>
        </w:rPr>
      </w:pPr>
      <w:r>
        <w:rPr>
          <w:rFonts w:hint="eastAsia" w:ascii="宋体" w:hAnsi="宋体"/>
        </w:rPr>
        <w:t>10.4为使投标人在编制投标文件时，把补充公告内容进行研究，采购代理机构可以酌情推迟递交投标文件的截止时间。</w:t>
      </w:r>
    </w:p>
    <w:p>
      <w:pPr>
        <w:pStyle w:val="11"/>
        <w:snapToGrid w:val="0"/>
        <w:ind w:firstLine="480" w:firstLineChars="200"/>
        <w:rPr>
          <w:rFonts w:ascii="宋体" w:hAnsi="宋体"/>
        </w:rPr>
      </w:pPr>
      <w:r>
        <w:rPr>
          <w:rFonts w:hint="eastAsia" w:ascii="宋体" w:hAnsi="宋体"/>
        </w:rPr>
        <w:t>10.5投标人一旦参与本次招标活动，即被视为接受了本招标文件的所有内容，如有任何异议，均须在答疑截止时间前提出。</w:t>
      </w:r>
    </w:p>
    <w:p>
      <w:pPr>
        <w:jc w:val="center"/>
        <w:rPr>
          <w:b/>
          <w:sz w:val="28"/>
        </w:rPr>
      </w:pPr>
      <w:bookmarkStart w:id="31" w:name="_Toc125344505"/>
      <w:r>
        <w:rPr>
          <w:rFonts w:hint="eastAsia"/>
          <w:b/>
          <w:sz w:val="28"/>
        </w:rPr>
        <w:t>三、投标文件编制</w:t>
      </w:r>
      <w:bookmarkEnd w:id="31"/>
      <w:r>
        <w:rPr>
          <w:rFonts w:hint="eastAsia"/>
          <w:b/>
          <w:sz w:val="28"/>
        </w:rPr>
        <w:t>和提交</w:t>
      </w:r>
    </w:p>
    <w:p>
      <w:pPr>
        <w:spacing w:line="360" w:lineRule="exact"/>
        <w:ind w:firstLine="482" w:firstLineChars="200"/>
        <w:rPr>
          <w:rFonts w:ascii="宋体" w:hAnsi="宋体"/>
          <w:b/>
          <w:bCs/>
          <w:sz w:val="24"/>
        </w:rPr>
      </w:pPr>
      <w:r>
        <w:rPr>
          <w:rFonts w:hint="eastAsia" w:ascii="宋体" w:hAnsi="宋体"/>
          <w:b/>
          <w:bCs/>
          <w:sz w:val="24"/>
        </w:rPr>
        <w:t>11.投标文件的组成</w:t>
      </w:r>
    </w:p>
    <w:p>
      <w:pPr>
        <w:snapToGrid w:val="0"/>
        <w:ind w:firstLine="480" w:firstLineChars="200"/>
        <w:jc w:val="left"/>
        <w:rPr>
          <w:rFonts w:ascii="宋体" w:hAnsi="宋体"/>
          <w:sz w:val="24"/>
        </w:rPr>
      </w:pPr>
      <w:r>
        <w:rPr>
          <w:rFonts w:hint="eastAsia" w:ascii="宋体" w:hAnsi="宋体"/>
          <w:sz w:val="24"/>
        </w:rPr>
        <w:t>投标文件由资格文件、商务技术文件、报价文件三部分组成。投标文件应当对招标文件提出的要求和条件作出明确响应。</w:t>
      </w:r>
    </w:p>
    <w:p>
      <w:pPr>
        <w:spacing w:line="360" w:lineRule="exact"/>
        <w:ind w:firstLine="482" w:firstLineChars="200"/>
        <w:rPr>
          <w:rFonts w:ascii="宋体" w:hAnsi="宋体"/>
          <w:b/>
          <w:bCs/>
          <w:sz w:val="24"/>
        </w:rPr>
      </w:pPr>
      <w:r>
        <w:rPr>
          <w:rFonts w:hint="eastAsia" w:ascii="宋体" w:hAnsi="宋体"/>
          <w:b/>
          <w:bCs/>
          <w:sz w:val="24"/>
        </w:rPr>
        <w:t>12.投标文件的语言及计量</w:t>
      </w:r>
    </w:p>
    <w:p>
      <w:pPr>
        <w:pStyle w:val="11"/>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11"/>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pacing w:line="360" w:lineRule="exact"/>
        <w:ind w:firstLine="482" w:firstLineChars="200"/>
        <w:rPr>
          <w:rFonts w:ascii="宋体" w:hAnsi="宋体"/>
          <w:b/>
          <w:bCs/>
          <w:sz w:val="24"/>
        </w:rPr>
      </w:pPr>
      <w:r>
        <w:rPr>
          <w:rFonts w:hint="eastAsia" w:ascii="宋体" w:hAnsi="宋体"/>
          <w:b/>
          <w:bCs/>
          <w:sz w:val="24"/>
        </w:rPr>
        <w:t>13.投标报价</w:t>
      </w:r>
    </w:p>
    <w:p>
      <w:pPr>
        <w:pStyle w:val="11"/>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11"/>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11"/>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1"/>
        <w:snapToGrid w:val="0"/>
        <w:ind w:firstLine="480" w:firstLineChars="200"/>
        <w:rPr>
          <w:rFonts w:ascii="宋体" w:hAnsi="宋体"/>
        </w:rPr>
      </w:pPr>
      <w:r>
        <w:rPr>
          <w:rFonts w:hint="eastAsia" w:ascii="宋体" w:hAnsi="宋体"/>
        </w:rPr>
        <w:t>13.4招标文件未列明，而投标人认为必需的费用也需列入报价。</w:t>
      </w:r>
    </w:p>
    <w:p>
      <w:pPr>
        <w:pStyle w:val="11"/>
        <w:snapToGrid w:val="0"/>
        <w:ind w:firstLine="480" w:firstLineChars="200"/>
        <w:rPr>
          <w:rFonts w:ascii="宋体" w:hAnsi="宋体"/>
        </w:rPr>
      </w:pPr>
      <w:r>
        <w:rPr>
          <w:rFonts w:hint="eastAsia" w:ascii="宋体" w:hAnsi="宋体"/>
        </w:rPr>
        <w:t>13.5中标后，中标人所填写的单价在合同实施期间不因市场变化因素而变动，投标人在计算报价时应考虑一定的风险系数。</w:t>
      </w:r>
    </w:p>
    <w:p>
      <w:pPr>
        <w:pStyle w:val="11"/>
        <w:snapToGrid w:val="0"/>
        <w:ind w:firstLine="482" w:firstLineChars="200"/>
        <w:rPr>
          <w:rFonts w:ascii="宋体" w:hAnsi="宋体"/>
          <w:color w:val="FF0000"/>
        </w:rPr>
      </w:pPr>
      <w:r>
        <w:rPr>
          <w:rFonts w:hint="eastAsia" w:ascii="宋体" w:hAnsi="宋体"/>
          <w:b/>
        </w:rPr>
        <w:t>13.6</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spacing w:line="360" w:lineRule="exact"/>
        <w:ind w:firstLine="482" w:firstLineChars="200"/>
        <w:rPr>
          <w:rFonts w:ascii="宋体" w:hAnsi="宋体"/>
          <w:b/>
          <w:bCs/>
          <w:sz w:val="24"/>
        </w:rPr>
      </w:pPr>
      <w:r>
        <w:rPr>
          <w:rFonts w:hint="eastAsia" w:ascii="宋体" w:hAnsi="宋体"/>
          <w:b/>
          <w:bCs/>
          <w:sz w:val="24"/>
        </w:rPr>
        <w:t>14.投标文件的有效期</w:t>
      </w:r>
    </w:p>
    <w:p>
      <w:pPr>
        <w:pStyle w:val="11"/>
        <w:snapToGrid w:val="0"/>
        <w:ind w:firstLine="480" w:firstLineChars="200"/>
        <w:rPr>
          <w:rFonts w:ascii="宋体" w:hAnsi="宋体"/>
        </w:rPr>
      </w:pPr>
      <w:r>
        <w:rPr>
          <w:rFonts w:hint="eastAsia" w:ascii="宋体" w:hAnsi="宋体"/>
        </w:rPr>
        <w:t>14.1投标有效期为</w:t>
      </w:r>
      <w:r>
        <w:rPr>
          <w:rFonts w:hint="eastAsia" w:ascii="Arial" w:hAnsi="Arial" w:cs="Arial"/>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1"/>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11"/>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11"/>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pacing w:line="360" w:lineRule="exact"/>
        <w:ind w:firstLine="482" w:firstLineChars="200"/>
        <w:rPr>
          <w:rFonts w:ascii="宋体" w:hAnsi="宋体"/>
          <w:b/>
          <w:bCs/>
          <w:sz w:val="24"/>
        </w:rPr>
      </w:pPr>
      <w:r>
        <w:rPr>
          <w:rFonts w:hint="eastAsia" w:ascii="宋体" w:hAnsi="宋体"/>
          <w:b/>
          <w:bCs/>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2" w:firstLineChars="200"/>
        <w:jc w:val="left"/>
        <w:rPr>
          <w:rFonts w:ascii="宋体" w:hAnsi="宋体"/>
          <w:color w:val="auto"/>
          <w:sz w:val="24"/>
          <w:szCs w:val="24"/>
        </w:rPr>
      </w:pPr>
      <w:r>
        <w:rPr>
          <w:rFonts w:hint="eastAsia" w:ascii="宋体" w:hAnsi="宋体"/>
          <w:b/>
          <w:color w:val="auto"/>
          <w:sz w:val="24"/>
          <w:szCs w:val="24"/>
        </w:rPr>
        <w:t>16.5投标人应认真阅读招标文件中所有的内容。如果投标人编制的投标文件实质上不响应招标文件的要求，其投标文件将作无效标处理。</w:t>
      </w:r>
    </w:p>
    <w:p>
      <w:pPr>
        <w:spacing w:line="360" w:lineRule="exact"/>
        <w:ind w:firstLine="482" w:firstLineChars="200"/>
        <w:rPr>
          <w:rFonts w:ascii="宋体" w:hAnsi="宋体"/>
          <w:b/>
          <w:bCs/>
          <w:sz w:val="24"/>
        </w:rPr>
      </w:pPr>
      <w:r>
        <w:rPr>
          <w:rFonts w:hint="eastAsia" w:ascii="宋体" w:hAnsi="宋体"/>
          <w:b/>
          <w:bCs/>
          <w:sz w:val="24"/>
        </w:rPr>
        <w:t>17.投标文件的递交、修改和撤回</w:t>
      </w:r>
    </w:p>
    <w:p>
      <w:pPr>
        <w:pStyle w:val="5"/>
        <w:snapToGrid w:val="0"/>
        <w:ind w:firstLine="480" w:firstLineChars="200"/>
        <w:rPr>
          <w:rFonts w:ascii="宋体" w:hAnsi="宋体"/>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如投标文件商务技术标内容含有报价的内容，将被视作无效标处理。</w:t>
      </w:r>
    </w:p>
    <w:p>
      <w:pPr>
        <w:pStyle w:val="5"/>
        <w:snapToGrid w:val="0"/>
        <w:ind w:firstLine="482"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pStyle w:val="5"/>
        <w:snapToGrid w:val="0"/>
        <w:ind w:firstLine="482" w:firstLineChars="200"/>
        <w:rPr>
          <w:rFonts w:ascii="宋体" w:hAnsi="宋体"/>
          <w:b/>
          <w:sz w:val="24"/>
          <w:szCs w:val="24"/>
        </w:rPr>
      </w:pPr>
      <w:r>
        <w:rPr>
          <w:rFonts w:hint="eastAsia" w:ascii="宋体" w:hAnsi="宋体"/>
          <w:b/>
          <w:sz w:val="24"/>
          <w:szCs w:val="24"/>
        </w:rPr>
        <w:t>17.3</w:t>
      </w:r>
      <w:r>
        <w:rPr>
          <w:rFonts w:hint="eastAsia" w:ascii="宋体" w:hAnsi="宋体"/>
          <w:sz w:val="24"/>
          <w:szCs w:val="24"/>
        </w:rPr>
        <w:t>投标人在投标截止时间之前，可以对已提交的投标文件进行修改或撤回，补充、修改的内容为投标文件的组成部分。</w:t>
      </w:r>
    </w:p>
    <w:p>
      <w:pPr>
        <w:pStyle w:val="5"/>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pStyle w:val="5"/>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pStyle w:val="5"/>
        <w:snapToGrid w:val="0"/>
        <w:ind w:firstLine="482" w:firstLineChars="200"/>
        <w:rPr>
          <w:rFonts w:ascii="宋体" w:hAnsi="宋体"/>
          <w:b/>
          <w:sz w:val="24"/>
          <w:szCs w:val="24"/>
        </w:rPr>
      </w:pPr>
      <w:r>
        <w:rPr>
          <w:rFonts w:hint="eastAsia" w:ascii="宋体" w:hAnsi="宋体"/>
          <w:b/>
          <w:sz w:val="24"/>
          <w:szCs w:val="24"/>
        </w:rPr>
        <w:t>17.6未按时解密的，视为投标文件撤回。</w:t>
      </w:r>
    </w:p>
    <w:p>
      <w:pPr>
        <w:spacing w:line="360" w:lineRule="exact"/>
        <w:ind w:firstLine="482" w:firstLineChars="200"/>
        <w:rPr>
          <w:rFonts w:ascii="宋体" w:hAnsi="宋体"/>
          <w:b/>
          <w:bCs/>
          <w:sz w:val="24"/>
        </w:rPr>
      </w:pPr>
      <w:r>
        <w:rPr>
          <w:rFonts w:hint="eastAsia" w:ascii="宋体" w:hAnsi="宋体"/>
          <w:b/>
          <w:bCs/>
          <w:sz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10"/>
        <w:snapToGrid w:val="0"/>
        <w:spacing w:after="0"/>
        <w:ind w:left="0" w:leftChars="0" w:firstLine="472"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18.1.6投标文件的技术标内容含有商务报价的内容；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10"/>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10"/>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jc w:val="center"/>
        <w:rPr>
          <w:b/>
          <w:sz w:val="28"/>
        </w:rPr>
      </w:pPr>
      <w:bookmarkStart w:id="32" w:name="_Toc125344507"/>
      <w:r>
        <w:rPr>
          <w:rFonts w:hint="eastAsia"/>
          <w:b/>
          <w:sz w:val="28"/>
        </w:rPr>
        <w:t>四、开  标</w:t>
      </w:r>
      <w:bookmarkEnd w:id="32"/>
    </w:p>
    <w:p>
      <w:pPr>
        <w:spacing w:line="360" w:lineRule="exact"/>
        <w:ind w:firstLine="482" w:firstLineChars="200"/>
        <w:rPr>
          <w:rFonts w:ascii="宋体" w:hAnsi="宋体"/>
          <w:b/>
          <w:bCs/>
          <w:sz w:val="24"/>
        </w:rPr>
      </w:pPr>
      <w:r>
        <w:rPr>
          <w:rFonts w:hint="eastAsia" w:ascii="宋体" w:hAnsi="宋体"/>
          <w:b/>
          <w:bCs/>
          <w:sz w:val="24"/>
        </w:rPr>
        <w:t>19.开标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spacing w:line="360" w:lineRule="exact"/>
        <w:ind w:firstLine="482" w:firstLineChars="200"/>
        <w:rPr>
          <w:rFonts w:ascii="宋体" w:hAnsi="宋体"/>
          <w:b/>
          <w:bCs/>
          <w:sz w:val="24"/>
        </w:rPr>
      </w:pPr>
      <w:r>
        <w:rPr>
          <w:rFonts w:hint="eastAsia" w:ascii="宋体" w:hAnsi="宋体"/>
          <w:b/>
          <w:bCs/>
          <w:sz w:val="24"/>
        </w:rPr>
        <w:t>20.开标程序</w:t>
      </w:r>
    </w:p>
    <w:p>
      <w:pPr>
        <w:ind w:firstLine="482"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采购人或受采购人委托的评标委员会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20.4评标委员会将根据招标文件和有关规定，履行评标工作职责，并对投标人技术响应文件进行评审；</w:t>
      </w:r>
    </w:p>
    <w:p>
      <w:pPr>
        <w:ind w:firstLine="480" w:firstLineChars="200"/>
        <w:rPr>
          <w:rFonts w:ascii="宋体" w:hAnsi="宋体"/>
          <w:sz w:val="24"/>
        </w:rPr>
      </w:pPr>
      <w:r>
        <w:rPr>
          <w:rFonts w:hint="eastAsia" w:ascii="宋体" w:hAnsi="宋体"/>
          <w:sz w:val="24"/>
        </w:rPr>
        <w:t>20.3对技术标有效的投标单位的投标报价在“政采云”平台上予以公开；</w:t>
      </w:r>
    </w:p>
    <w:p>
      <w:pPr>
        <w:ind w:firstLine="480" w:firstLineChars="200"/>
        <w:rPr>
          <w:rFonts w:ascii="宋体" w:hAnsi="宋体"/>
          <w:sz w:val="24"/>
        </w:rPr>
      </w:pPr>
      <w:r>
        <w:rPr>
          <w:rFonts w:hint="eastAsia" w:ascii="宋体" w:hAnsi="宋体"/>
          <w:sz w:val="24"/>
        </w:rPr>
        <w:t>20.4评标委员会对技术标有效的投标单位进行投标报价评审，确定投标报价评审有效投标单位；</w:t>
      </w:r>
    </w:p>
    <w:p>
      <w:pPr>
        <w:ind w:firstLine="480" w:firstLineChars="200"/>
        <w:rPr>
          <w:rFonts w:ascii="宋体" w:hAnsi="宋体"/>
          <w:b/>
          <w:sz w:val="24"/>
        </w:rPr>
      </w:pPr>
      <w:r>
        <w:rPr>
          <w:rFonts w:hint="eastAsia" w:ascii="宋体" w:hAnsi="宋体"/>
          <w:sz w:val="24"/>
        </w:rPr>
        <w:t>20.5确定预中标人。</w:t>
      </w:r>
    </w:p>
    <w:p>
      <w:pPr>
        <w:ind w:firstLine="482" w:firstLineChars="200"/>
        <w:rPr>
          <w:rFonts w:ascii="宋体" w:hAnsi="宋体"/>
          <w:b/>
          <w:sz w:val="24"/>
        </w:rPr>
      </w:pPr>
      <w:r>
        <w:rPr>
          <w:rFonts w:hint="eastAsia" w:ascii="宋体" w:hAnsi="宋体"/>
          <w:b/>
          <w:sz w:val="24"/>
        </w:rPr>
        <w:t>特别说明：</w:t>
      </w:r>
    </w:p>
    <w:p>
      <w:pPr>
        <w:ind w:firstLine="482"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2"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2"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16"/>
        <w:ind w:firstLine="480" w:firstLineChars="200"/>
        <w:rPr>
          <w:rFonts w:ascii="宋体" w:hAnsi="宋体"/>
          <w:sz w:val="24"/>
        </w:rPr>
      </w:pPr>
      <w:r>
        <w:rPr>
          <w:rFonts w:hint="eastAsia" w:ascii="宋体" w:hAnsi="宋体"/>
          <w:sz w:val="24"/>
        </w:rPr>
        <w:t>（一）电子交易平台发生故障而无法登录访问的； </w:t>
      </w:r>
    </w:p>
    <w:p>
      <w:pPr>
        <w:pStyle w:val="16"/>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16"/>
        <w:ind w:firstLine="480" w:firstLineChars="200"/>
        <w:rPr>
          <w:rFonts w:ascii="宋体" w:hAnsi="宋体"/>
          <w:sz w:val="24"/>
        </w:rPr>
      </w:pPr>
      <w:r>
        <w:rPr>
          <w:rFonts w:hint="eastAsia" w:ascii="宋体" w:hAnsi="宋体"/>
          <w:sz w:val="24"/>
        </w:rPr>
        <w:t>（三）电子交易平台发现严重安全漏洞，有潜在泄密危险的；</w:t>
      </w:r>
    </w:p>
    <w:p>
      <w:pPr>
        <w:pStyle w:val="16"/>
        <w:ind w:firstLine="480" w:firstLineChars="200"/>
        <w:rPr>
          <w:rFonts w:ascii="宋体" w:hAnsi="宋体"/>
          <w:sz w:val="24"/>
        </w:rPr>
      </w:pPr>
      <w:r>
        <w:rPr>
          <w:rFonts w:hint="eastAsia" w:ascii="宋体" w:hAnsi="宋体"/>
          <w:sz w:val="24"/>
        </w:rPr>
        <w:t>（四）病毒发作导致不能进行正常操作的； </w:t>
      </w:r>
    </w:p>
    <w:p>
      <w:pPr>
        <w:pStyle w:val="16"/>
        <w:ind w:firstLine="480" w:firstLineChars="200"/>
        <w:rPr>
          <w:rFonts w:ascii="宋体" w:hAnsi="宋体"/>
          <w:sz w:val="24"/>
        </w:rPr>
      </w:pPr>
      <w:r>
        <w:rPr>
          <w:rFonts w:hint="eastAsia" w:ascii="宋体" w:hAnsi="宋体"/>
          <w:sz w:val="24"/>
        </w:rPr>
        <w:t>（五）其他无法保证电子交易的公平、公正和安全的情况。</w:t>
      </w:r>
    </w:p>
    <w:p>
      <w:pPr>
        <w:pStyle w:val="16"/>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jc w:val="center"/>
        <w:rPr>
          <w:b/>
          <w:sz w:val="28"/>
        </w:rPr>
      </w:pPr>
      <w:bookmarkStart w:id="33" w:name="_Toc125344508"/>
      <w:r>
        <w:rPr>
          <w:rFonts w:hint="eastAsia"/>
          <w:b/>
          <w:sz w:val="28"/>
        </w:rPr>
        <w:t xml:space="preserve"> 五、评　标</w:t>
      </w:r>
      <w:bookmarkEnd w:id="33"/>
    </w:p>
    <w:p>
      <w:pPr>
        <w:spacing w:line="360" w:lineRule="exact"/>
        <w:ind w:firstLine="482" w:firstLineChars="200"/>
        <w:rPr>
          <w:rFonts w:ascii="宋体" w:hAnsi="宋体"/>
          <w:b/>
          <w:bCs/>
          <w:sz w:val="24"/>
        </w:rPr>
      </w:pPr>
      <w:r>
        <w:rPr>
          <w:rFonts w:hint="eastAsia" w:ascii="宋体" w:hAnsi="宋体"/>
          <w:b/>
          <w:bCs/>
          <w:sz w:val="24"/>
        </w:rPr>
        <w:t>21. 组建评标委员会</w:t>
      </w:r>
    </w:p>
    <w:p>
      <w:pPr>
        <w:pStyle w:val="16"/>
        <w:ind w:firstLine="480" w:firstLineChars="200"/>
        <w:rPr>
          <w:rFonts w:ascii="宋体" w:hAnsi="宋体"/>
          <w:sz w:val="24"/>
        </w:rPr>
      </w:pPr>
      <w:r>
        <w:rPr>
          <w:rFonts w:hint="eastAsia" w:ascii="宋体" w:hAnsi="宋体"/>
          <w:sz w:val="24"/>
        </w:rPr>
        <w:t>评标委员会按照有关规定组建。</w:t>
      </w:r>
    </w:p>
    <w:p>
      <w:pPr>
        <w:spacing w:line="360" w:lineRule="exact"/>
        <w:ind w:firstLine="482" w:firstLineChars="200"/>
        <w:rPr>
          <w:rFonts w:ascii="宋体" w:hAnsi="宋体"/>
          <w:b/>
          <w:bCs/>
          <w:sz w:val="24"/>
        </w:rPr>
      </w:pPr>
      <w:r>
        <w:rPr>
          <w:rFonts w:hint="eastAsia" w:ascii="宋体" w:hAnsi="宋体"/>
          <w:b/>
          <w:bCs/>
          <w:sz w:val="24"/>
        </w:rPr>
        <w:t>22.评标原则</w:t>
      </w:r>
    </w:p>
    <w:p>
      <w:pPr>
        <w:pStyle w:val="16"/>
        <w:ind w:firstLine="480" w:firstLineChars="200"/>
        <w:rPr>
          <w:rFonts w:ascii="宋体" w:hAnsi="宋体"/>
          <w:sz w:val="24"/>
        </w:rPr>
      </w:pPr>
      <w:r>
        <w:rPr>
          <w:rFonts w:hint="eastAsia" w:ascii="宋体" w:hAnsi="宋体"/>
          <w:sz w:val="24"/>
        </w:rPr>
        <w:t>22.1评标委员会必须公平、公正、客观，不带任何倾向性和启发性；</w:t>
      </w:r>
    </w:p>
    <w:p>
      <w:pPr>
        <w:pStyle w:val="16"/>
        <w:ind w:firstLine="480" w:firstLineChars="200"/>
        <w:rPr>
          <w:rFonts w:ascii="宋体" w:hAnsi="宋体"/>
          <w:sz w:val="24"/>
        </w:rPr>
      </w:pPr>
      <w:r>
        <w:rPr>
          <w:rFonts w:hint="eastAsia" w:ascii="宋体" w:hAnsi="宋体"/>
          <w:sz w:val="24"/>
        </w:rPr>
        <w:t>22.2不得向外界透露任何与评标有关的内容；</w:t>
      </w:r>
    </w:p>
    <w:p>
      <w:pPr>
        <w:pStyle w:val="16"/>
        <w:ind w:firstLine="480" w:firstLineChars="200"/>
        <w:rPr>
          <w:rFonts w:ascii="宋体" w:hAnsi="宋体"/>
          <w:sz w:val="24"/>
        </w:rPr>
      </w:pPr>
      <w:r>
        <w:rPr>
          <w:rFonts w:hint="eastAsia" w:ascii="宋体" w:hAnsi="宋体"/>
          <w:sz w:val="24"/>
        </w:rPr>
        <w:t>22.3任何单位和个人不得干扰、影响评标的正常进行；</w:t>
      </w:r>
    </w:p>
    <w:p>
      <w:pPr>
        <w:pStyle w:val="16"/>
        <w:ind w:firstLine="480" w:firstLineChars="200"/>
        <w:rPr>
          <w:rFonts w:ascii="宋体" w:hAnsi="宋体"/>
          <w:sz w:val="24"/>
        </w:rPr>
      </w:pPr>
      <w:r>
        <w:rPr>
          <w:rFonts w:hint="eastAsia" w:ascii="宋体" w:hAnsi="宋体"/>
          <w:sz w:val="24"/>
        </w:rPr>
        <w:t>22.4评标委员会及有关工作人员不得私下与投标人接触。</w:t>
      </w:r>
    </w:p>
    <w:p>
      <w:pPr>
        <w:pStyle w:val="16"/>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2"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2"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bCs/>
          <w:sz w:val="24"/>
        </w:rPr>
      </w:pPr>
      <w:r>
        <w:rPr>
          <w:rFonts w:hint="eastAsia" w:ascii="宋体" w:hAnsi="宋体"/>
          <w:bCs/>
          <w:sz w:val="24"/>
        </w:rPr>
        <w:t>22.7以联合体形式参加政府采购活动的，联合体各方不得再单独参加或者与其他供应商另外组成联合体参加同一合同项下的政府采购活动。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11"/>
        <w:snapToGrid w:val="0"/>
        <w:ind w:left="2" w:leftChars="1"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spacing w:line="360" w:lineRule="exact"/>
        <w:ind w:firstLine="482" w:firstLineChars="200"/>
        <w:rPr>
          <w:rFonts w:ascii="宋体" w:hAnsi="宋体"/>
          <w:b/>
          <w:bCs/>
          <w:sz w:val="24"/>
        </w:rPr>
      </w:pPr>
      <w:r>
        <w:rPr>
          <w:rFonts w:hint="eastAsia" w:ascii="宋体" w:hAnsi="宋体"/>
          <w:b/>
          <w:bCs/>
          <w:sz w:val="24"/>
        </w:rPr>
        <w:t>23.评标程序</w:t>
      </w:r>
    </w:p>
    <w:p>
      <w:pPr>
        <w:snapToGrid w:val="0"/>
        <w:ind w:firstLine="472" w:firstLineChars="196"/>
        <w:rPr>
          <w:rFonts w:ascii="宋体" w:hAnsi="宋体"/>
          <w:b/>
          <w:bCs/>
          <w:sz w:val="24"/>
        </w:rPr>
      </w:pPr>
      <w:r>
        <w:rPr>
          <w:rFonts w:hint="eastAsia" w:ascii="宋体" w:hAnsi="宋体"/>
          <w:b/>
          <w:bCs/>
          <w:sz w:val="24"/>
        </w:rPr>
        <w:t>23.1在评审专家中推选评标委员会组长</w:t>
      </w:r>
    </w:p>
    <w:p>
      <w:pPr>
        <w:snapToGrid w:val="0"/>
        <w:ind w:firstLine="472" w:firstLineChars="196"/>
        <w:rPr>
          <w:rFonts w:ascii="宋体" w:hAnsi="宋体"/>
          <w:b/>
          <w:bCs/>
          <w:sz w:val="24"/>
        </w:rPr>
      </w:pPr>
      <w:r>
        <w:rPr>
          <w:rFonts w:hint="eastAsia" w:ascii="宋体" w:hAnsi="宋体"/>
          <w:b/>
          <w:bCs/>
          <w:sz w:val="24"/>
        </w:rPr>
        <w:t>23.2资格及形式审查</w:t>
      </w:r>
    </w:p>
    <w:p>
      <w:pPr>
        <w:ind w:firstLine="480" w:firstLineChars="200"/>
        <w:rPr>
          <w:rFonts w:ascii="宋体" w:hAnsi="宋体"/>
          <w:sz w:val="24"/>
        </w:rPr>
      </w:pPr>
      <w:r>
        <w:rPr>
          <w:rFonts w:hint="eastAsia" w:ascii="宋体" w:hAnsi="宋体"/>
          <w:color w:val="auto"/>
          <w:kern w:val="2"/>
          <w:sz w:val="24"/>
          <w:szCs w:val="24"/>
        </w:rPr>
        <w:t>评标委员会对投标人资格进行审查，并审查</w:t>
      </w:r>
      <w:r>
        <w:rPr>
          <w:rFonts w:ascii="宋体" w:hAnsi="宋体"/>
          <w:sz w:val="24"/>
        </w:rPr>
        <w:t>投标文件的</w:t>
      </w:r>
      <w:r>
        <w:rPr>
          <w:rFonts w:hint="eastAsia" w:ascii="宋体" w:hAnsi="宋体"/>
          <w:sz w:val="24"/>
        </w:rPr>
        <w:t>有效性、</w:t>
      </w:r>
      <w:r>
        <w:rPr>
          <w:rFonts w:ascii="宋体" w:hAnsi="宋体"/>
          <w:sz w:val="24"/>
        </w:rPr>
        <w:t>完整性、合法性等。</w:t>
      </w:r>
    </w:p>
    <w:p>
      <w:pPr>
        <w:snapToGrid w:val="0"/>
        <w:ind w:firstLine="472"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16"/>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16"/>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16"/>
        <w:ind w:firstLine="482"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16"/>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16"/>
        <w:ind w:firstLine="480" w:firstLineChars="200"/>
        <w:rPr>
          <w:rFonts w:ascii="宋体" w:hAnsi="宋体"/>
          <w:sz w:val="24"/>
        </w:rPr>
      </w:pPr>
      <w:r>
        <w:rPr>
          <w:rFonts w:hint="eastAsia" w:ascii="宋体" w:hAnsi="宋体"/>
          <w:sz w:val="24"/>
        </w:rPr>
        <w:t>23.3.5评标委员会根据评标原则推荐中标候选人，同时</w:t>
      </w:r>
      <w:r>
        <w:rPr>
          <w:rFonts w:ascii="宋体" w:hAnsi="宋体"/>
          <w:sz w:val="24"/>
        </w:rPr>
        <w:t>起草评标报</w:t>
      </w:r>
      <w:r>
        <w:rPr>
          <w:rFonts w:hint="eastAsia" w:ascii="宋体" w:hAnsi="宋体"/>
          <w:sz w:val="24"/>
        </w:rPr>
        <w:t>告</w:t>
      </w:r>
      <w:r>
        <w:rPr>
          <w:rFonts w:ascii="宋体" w:hAnsi="宋体"/>
          <w:sz w:val="24"/>
        </w:rPr>
        <w:t>。</w:t>
      </w:r>
    </w:p>
    <w:p>
      <w:pPr>
        <w:pStyle w:val="16"/>
        <w:ind w:firstLine="482" w:firstLineChars="200"/>
        <w:rPr>
          <w:rFonts w:ascii="宋体" w:hAnsi="宋体"/>
          <w:sz w:val="24"/>
        </w:rPr>
      </w:pPr>
      <w:r>
        <w:rPr>
          <w:rFonts w:hint="eastAsia" w:ascii="宋体" w:hAnsi="宋体"/>
          <w:b/>
          <w:sz w:val="24"/>
        </w:rPr>
        <w:t>23.3.6评标委员会对明显不合理的投标报价，有权要求投标人在规定时间内提交说明，投标人不能提供的或提供的材料不能说明问题的，评标委员会可以判定其投标无效。</w:t>
      </w:r>
    </w:p>
    <w:p>
      <w:pPr>
        <w:pStyle w:val="16"/>
        <w:ind w:firstLine="480" w:firstLineChars="200"/>
        <w:rPr>
          <w:rFonts w:ascii="宋体" w:hAnsi="宋体"/>
          <w:b/>
          <w:sz w:val="24"/>
        </w:rPr>
      </w:pPr>
      <w:r>
        <w:rPr>
          <w:rFonts w:hint="eastAsia" w:ascii="宋体" w:hAnsi="宋体"/>
          <w:sz w:val="24"/>
        </w:rPr>
        <w:t>23.3.7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16"/>
        <w:ind w:firstLine="480" w:firstLineChars="200"/>
        <w:rPr>
          <w:rFonts w:ascii="宋体" w:hAnsi="宋体"/>
          <w:sz w:val="24"/>
        </w:rPr>
      </w:pPr>
      <w:r>
        <w:rPr>
          <w:rFonts w:hint="eastAsia" w:ascii="宋体" w:hAnsi="宋体"/>
          <w:sz w:val="24"/>
        </w:rPr>
        <w:t>23.3.8</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79" w:firstLineChars="199"/>
        <w:rPr>
          <w:rFonts w:ascii="宋体" w:hAnsi="宋体"/>
          <w:sz w:val="24"/>
          <w:szCs w:val="24"/>
        </w:rPr>
      </w:pPr>
      <w:r>
        <w:rPr>
          <w:rFonts w:hint="eastAsia" w:ascii="宋体" w:hAnsi="宋体"/>
          <w:b/>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spacing w:line="360" w:lineRule="exact"/>
        <w:ind w:firstLine="482" w:firstLineChars="200"/>
        <w:rPr>
          <w:rFonts w:ascii="宋体" w:hAnsi="宋体"/>
          <w:b/>
          <w:bCs/>
          <w:color w:val="auto"/>
          <w:sz w:val="24"/>
        </w:rPr>
      </w:pPr>
      <w:r>
        <w:rPr>
          <w:rFonts w:hint="eastAsia" w:ascii="宋体" w:hAnsi="宋体"/>
          <w:b/>
          <w:bCs/>
          <w:color w:val="auto"/>
          <w:sz w:val="24"/>
        </w:rPr>
        <w:t>25.投标文件的澄清</w:t>
      </w:r>
    </w:p>
    <w:p>
      <w:pPr>
        <w:spacing w:line="360" w:lineRule="exact"/>
        <w:ind w:firstLine="480" w:firstLineChars="200"/>
        <w:rPr>
          <w:rFonts w:ascii="宋体" w:hAnsi="宋体"/>
          <w:color w:val="auto"/>
          <w:sz w:val="24"/>
        </w:rPr>
      </w:pPr>
      <w:r>
        <w:rPr>
          <w:rFonts w:hint="eastAsia" w:ascii="宋体" w:hAnsi="宋体"/>
          <w:color w:val="auto"/>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spacing w:line="360" w:lineRule="exact"/>
        <w:ind w:firstLine="482" w:firstLineChars="200"/>
        <w:rPr>
          <w:rFonts w:ascii="宋体" w:hAnsi="宋体"/>
          <w:b/>
          <w:bCs/>
          <w:sz w:val="24"/>
        </w:rPr>
      </w:pPr>
      <w:r>
        <w:rPr>
          <w:rFonts w:hint="eastAsia" w:ascii="宋体" w:hAnsi="宋体"/>
          <w:b/>
          <w:bCs/>
          <w:sz w:val="24"/>
        </w:rPr>
        <w:t>26.</w:t>
      </w:r>
      <w:r>
        <w:rPr>
          <w:rFonts w:ascii="宋体" w:hAnsi="宋体"/>
          <w:b/>
          <w:bCs/>
          <w:sz w:val="24"/>
        </w:rPr>
        <w:t>错误修正</w:t>
      </w:r>
    </w:p>
    <w:p>
      <w:pPr>
        <w:pStyle w:val="16"/>
        <w:ind w:firstLine="480" w:firstLineChars="200"/>
        <w:rPr>
          <w:rFonts w:ascii="宋体" w:hAnsi="宋体"/>
          <w:sz w:val="24"/>
        </w:rPr>
      </w:pPr>
      <w:r>
        <w:rPr>
          <w:rFonts w:hint="eastAsia" w:ascii="宋体" w:hAnsi="宋体"/>
          <w:sz w:val="24"/>
        </w:rPr>
        <w:t>投标文件报价出现前后不一致的，按照下列规定修正：</w:t>
      </w:r>
    </w:p>
    <w:p>
      <w:pPr>
        <w:pStyle w:val="16"/>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16"/>
        <w:ind w:firstLine="480" w:firstLineChars="200"/>
        <w:rPr>
          <w:rFonts w:ascii="宋体" w:hAnsi="宋体"/>
          <w:sz w:val="24"/>
        </w:rPr>
      </w:pPr>
      <w:r>
        <w:rPr>
          <w:rFonts w:hint="eastAsia" w:ascii="宋体" w:hAnsi="宋体"/>
          <w:sz w:val="24"/>
        </w:rPr>
        <w:t>26.2大写金额和小写金额不一致的，以大写金额为准。</w:t>
      </w:r>
    </w:p>
    <w:p>
      <w:pPr>
        <w:pStyle w:val="16"/>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16"/>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16"/>
        <w:ind w:firstLine="480" w:firstLineChars="200"/>
        <w:rPr>
          <w:rFonts w:ascii="宋体" w:hAnsi="宋体"/>
          <w:sz w:val="24"/>
        </w:rPr>
      </w:pPr>
      <w:r>
        <w:rPr>
          <w:rFonts w:hint="eastAsia" w:ascii="宋体" w:hAnsi="宋体"/>
          <w:sz w:val="24"/>
        </w:rPr>
        <w:t>同时出现两种以上不一致的，按照上述规定的顺序修正。</w:t>
      </w:r>
    </w:p>
    <w:p>
      <w:pPr>
        <w:pStyle w:val="16"/>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27.评标办法。</w:t>
      </w:r>
    </w:p>
    <w:p>
      <w:pPr>
        <w:ind w:firstLine="480" w:firstLineChars="200"/>
        <w:rPr>
          <w:rFonts w:ascii="宋体" w:hAnsi="宋体"/>
          <w:sz w:val="24"/>
        </w:rPr>
      </w:pPr>
      <w:r>
        <w:rPr>
          <w:rFonts w:hint="eastAsia" w:ascii="宋体" w:hAnsi="宋体"/>
          <w:sz w:val="24"/>
        </w:rPr>
        <w:t>本项目评标办法是最低评标价法，即在符合采购文件要求的前提下，择定评标价格最低者为第一中标候选人，即中标供应商。</w:t>
      </w:r>
    </w:p>
    <w:p>
      <w:pPr>
        <w:spacing w:line="360" w:lineRule="exact"/>
        <w:ind w:firstLine="482" w:firstLineChars="200"/>
        <w:rPr>
          <w:rFonts w:ascii="宋体" w:hAnsi="宋体"/>
          <w:b/>
          <w:bCs/>
          <w:sz w:val="24"/>
        </w:rPr>
      </w:pPr>
      <w:r>
        <w:rPr>
          <w:rFonts w:hint="eastAsia" w:ascii="宋体" w:hAnsi="宋体"/>
          <w:b/>
          <w:bCs/>
          <w:sz w:val="24"/>
        </w:rPr>
        <w:t>28.评标过程的保密</w:t>
      </w:r>
    </w:p>
    <w:p>
      <w:pPr>
        <w:pStyle w:val="16"/>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16"/>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16"/>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jc w:val="center"/>
        <w:rPr>
          <w:b/>
          <w:sz w:val="28"/>
        </w:rPr>
      </w:pPr>
      <w:bookmarkStart w:id="34" w:name="_Toc125344509"/>
      <w:r>
        <w:rPr>
          <w:rFonts w:hint="eastAsia"/>
          <w:b/>
          <w:sz w:val="28"/>
        </w:rPr>
        <w:t>六、</w:t>
      </w:r>
      <w:bookmarkEnd w:id="34"/>
      <w:r>
        <w:rPr>
          <w:rFonts w:hint="eastAsia"/>
          <w:b/>
          <w:sz w:val="28"/>
        </w:rPr>
        <w:t>定标</w:t>
      </w:r>
    </w:p>
    <w:p>
      <w:pPr>
        <w:spacing w:line="360" w:lineRule="exact"/>
        <w:ind w:firstLine="482" w:firstLineChars="200"/>
        <w:rPr>
          <w:rFonts w:ascii="宋体" w:hAnsi="宋体"/>
          <w:b/>
          <w:bCs/>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color w:val="auto"/>
          <w:sz w:val="24"/>
        </w:rPr>
        <w:t>29.1采购人应当自收到评标报告之日起5个工作日内，在评标报告确定的中标候选人名单中按顺序确定中标人。采购人在收到评标报告5个工作日内未按评标报告推荐的中标候选人顺序确定中标人，又不能说明合法理由的，视同按评标报告推荐的顺序确定</w:t>
      </w:r>
      <w:r>
        <w:rPr>
          <w:rFonts w:hint="eastAsia" w:ascii="宋体" w:hAnsi="宋体"/>
          <w:sz w:val="24"/>
        </w:rPr>
        <w:t>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spacing w:line="360" w:lineRule="exact"/>
        <w:ind w:firstLine="482"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pacing w:line="360" w:lineRule="exact"/>
        <w:ind w:firstLine="482" w:firstLineChars="200"/>
        <w:rPr>
          <w:rFonts w:ascii="宋体" w:hAnsi="宋体"/>
          <w:b/>
          <w:bCs/>
          <w:sz w:val="24"/>
        </w:rPr>
      </w:pPr>
      <w:r>
        <w:rPr>
          <w:rFonts w:hint="eastAsia" w:ascii="宋体" w:hAnsi="宋体"/>
          <w:b/>
          <w:bCs/>
          <w:sz w:val="24"/>
        </w:rPr>
        <w:t>31. 中标无效情形</w:t>
      </w:r>
    </w:p>
    <w:p>
      <w:pPr>
        <w:pStyle w:val="16"/>
        <w:ind w:firstLine="480" w:firstLineChars="200"/>
        <w:rPr>
          <w:rFonts w:ascii="宋体" w:hAnsi="宋体"/>
          <w:sz w:val="24"/>
        </w:rPr>
      </w:pPr>
      <w:r>
        <w:rPr>
          <w:rFonts w:hint="eastAsia" w:ascii="宋体" w:hAnsi="宋体"/>
          <w:sz w:val="24"/>
        </w:rPr>
        <w:t>中标人存在下列情形之一的，中标无效：</w:t>
      </w:r>
    </w:p>
    <w:p>
      <w:pPr>
        <w:pStyle w:val="16"/>
        <w:ind w:firstLine="480" w:firstLineChars="200"/>
        <w:rPr>
          <w:rFonts w:ascii="宋体" w:hAnsi="宋体"/>
          <w:sz w:val="24"/>
        </w:rPr>
      </w:pPr>
      <w:r>
        <w:rPr>
          <w:rFonts w:hint="eastAsia" w:ascii="宋体" w:hAnsi="宋体"/>
          <w:sz w:val="24"/>
        </w:rPr>
        <w:t>31.1提供虚假材料谋取中标的；</w:t>
      </w:r>
    </w:p>
    <w:p>
      <w:pPr>
        <w:pStyle w:val="16"/>
        <w:ind w:firstLine="480" w:firstLineChars="200"/>
        <w:rPr>
          <w:rFonts w:ascii="宋体" w:hAnsi="宋体"/>
          <w:sz w:val="24"/>
        </w:rPr>
      </w:pPr>
      <w:r>
        <w:rPr>
          <w:rFonts w:hint="eastAsia" w:ascii="宋体" w:hAnsi="宋体"/>
          <w:sz w:val="24"/>
        </w:rPr>
        <w:t>31.2采取不正当手段诋毁、排挤其他投标人的；</w:t>
      </w:r>
    </w:p>
    <w:p>
      <w:pPr>
        <w:pStyle w:val="16"/>
        <w:ind w:firstLine="480" w:firstLineChars="200"/>
        <w:rPr>
          <w:rFonts w:ascii="宋体" w:hAnsi="宋体"/>
          <w:sz w:val="24"/>
        </w:rPr>
      </w:pPr>
      <w:r>
        <w:rPr>
          <w:rFonts w:hint="eastAsia" w:ascii="宋体" w:hAnsi="宋体"/>
          <w:sz w:val="24"/>
        </w:rPr>
        <w:t>31.3与采购人、其他投标人恶意串通的；</w:t>
      </w:r>
    </w:p>
    <w:p>
      <w:pPr>
        <w:pStyle w:val="16"/>
        <w:ind w:firstLine="480" w:firstLineChars="200"/>
        <w:rPr>
          <w:rFonts w:ascii="宋体" w:hAnsi="宋体"/>
          <w:sz w:val="24"/>
        </w:rPr>
      </w:pPr>
      <w:r>
        <w:rPr>
          <w:rFonts w:hint="eastAsia" w:ascii="宋体" w:hAnsi="宋体"/>
          <w:sz w:val="24"/>
        </w:rPr>
        <w:t>31.4向采购人、采购代理机构行贿或者提供其他不正当利益的；</w:t>
      </w:r>
    </w:p>
    <w:p>
      <w:pPr>
        <w:pStyle w:val="16"/>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16"/>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pacing w:line="360" w:lineRule="exact"/>
        <w:ind w:firstLine="482" w:firstLineChars="200"/>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投标截止时及评审期间，出现有效供应商不足3家的，本项目招标失败，重新组织采购</w:t>
      </w:r>
      <w:r>
        <w:rPr>
          <w:rFonts w:ascii="宋体" w:hAnsi="宋体"/>
          <w:sz w:val="24"/>
        </w:rPr>
        <w:t>。</w:t>
      </w:r>
    </w:p>
    <w:p>
      <w:pPr>
        <w:jc w:val="center"/>
        <w:rPr>
          <w:b/>
          <w:sz w:val="28"/>
        </w:rPr>
      </w:pPr>
      <w:r>
        <w:rPr>
          <w:rFonts w:hint="eastAsia"/>
          <w:b/>
          <w:sz w:val="28"/>
        </w:rPr>
        <w:t>七、授予合同</w:t>
      </w:r>
    </w:p>
    <w:p>
      <w:pPr>
        <w:spacing w:line="360" w:lineRule="exact"/>
        <w:ind w:firstLine="482" w:firstLineChars="200"/>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2"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pacing w:line="360" w:lineRule="exact"/>
        <w:ind w:firstLine="482" w:firstLineChars="200"/>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pacing w:line="360" w:lineRule="exact"/>
        <w:ind w:firstLine="482" w:firstLineChars="200"/>
        <w:rPr>
          <w:rFonts w:ascii="宋体" w:hAnsi="宋体"/>
          <w:b/>
          <w:bCs/>
          <w:sz w:val="24"/>
        </w:rPr>
      </w:pPr>
      <w:r>
        <w:rPr>
          <w:rFonts w:hint="eastAsia" w:ascii="宋体" w:hAnsi="宋体"/>
          <w:b/>
          <w:bCs/>
          <w:sz w:val="24"/>
        </w:rPr>
        <w:t>35.合同备案</w:t>
      </w:r>
    </w:p>
    <w:p>
      <w:pPr>
        <w:ind w:firstLine="480" w:firstLineChars="200"/>
        <w:rPr>
          <w:sz w:val="24"/>
        </w:rPr>
      </w:pPr>
      <w:r>
        <w:rPr>
          <w:rFonts w:hint="eastAsia"/>
          <w:sz w:val="24"/>
        </w:rPr>
        <w:t>采购人应当自采购合同签订之日起七个工作日内，按照有关规定通过政采云系统将采购合同进行网上备案。</w:t>
      </w:r>
    </w:p>
    <w:p>
      <w:pPr>
        <w:jc w:val="center"/>
        <w:rPr>
          <w:b/>
          <w:sz w:val="28"/>
        </w:rPr>
      </w:pPr>
      <w:bookmarkStart w:id="35" w:name="_Toc339459646"/>
      <w:bookmarkStart w:id="36" w:name="_Toc352165696"/>
      <w:bookmarkStart w:id="37" w:name="_Toc125344511"/>
      <w:r>
        <w:rPr>
          <w:rFonts w:hint="eastAsia"/>
          <w:b/>
          <w:sz w:val="28"/>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jc w:val="center"/>
        <w:rPr>
          <w:b/>
          <w:sz w:val="28"/>
        </w:rPr>
      </w:pPr>
      <w:r>
        <w:rPr>
          <w:rFonts w:hint="eastAsia"/>
          <w:b/>
          <w:sz w:val="28"/>
        </w:rPr>
        <w:t>九、良行为记录</w:t>
      </w:r>
      <w:bookmarkEnd w:id="35"/>
      <w:bookmarkEnd w:id="36"/>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2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vAlign w:val="center"/>
          </w:tcPr>
          <w:p>
            <w:pPr>
              <w:jc w:val="center"/>
              <w:rPr>
                <w:rFonts w:ascii="宋体" w:hAnsi="宋体"/>
                <w:b/>
                <w:bCs/>
                <w:sz w:val="24"/>
              </w:rPr>
            </w:pPr>
            <w:r>
              <w:rPr>
                <w:rFonts w:hint="eastAsia" w:ascii="宋体" w:hAnsi="宋体"/>
                <w:b/>
                <w:bCs/>
                <w:sz w:val="24"/>
              </w:rPr>
              <w:t>序号</w:t>
            </w:r>
          </w:p>
        </w:tc>
        <w:tc>
          <w:tcPr>
            <w:tcW w:w="6433" w:type="dxa"/>
            <w:vAlign w:val="center"/>
          </w:tcPr>
          <w:p>
            <w:pPr>
              <w:jc w:val="center"/>
              <w:rPr>
                <w:rFonts w:ascii="宋体" w:hAnsi="宋体"/>
                <w:b/>
                <w:bCs/>
                <w:sz w:val="24"/>
              </w:rPr>
            </w:pPr>
            <w:r>
              <w:rPr>
                <w:rFonts w:hint="eastAsia" w:ascii="宋体" w:hAnsi="宋体"/>
                <w:b/>
                <w:bCs/>
                <w:sz w:val="24"/>
              </w:rPr>
              <w:t>不良行为</w:t>
            </w:r>
          </w:p>
        </w:tc>
        <w:tc>
          <w:tcPr>
            <w:tcW w:w="1326" w:type="dxa"/>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1</w:t>
            </w:r>
          </w:p>
        </w:tc>
        <w:tc>
          <w:tcPr>
            <w:tcW w:w="6433" w:type="dxa"/>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2</w:t>
            </w:r>
          </w:p>
        </w:tc>
        <w:tc>
          <w:tcPr>
            <w:tcW w:w="6433" w:type="dxa"/>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3</w:t>
            </w:r>
          </w:p>
        </w:tc>
        <w:tc>
          <w:tcPr>
            <w:tcW w:w="6433" w:type="dxa"/>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jc w:val="center"/>
              <w:rPr>
                <w:rFonts w:ascii="宋体" w:hAnsi="宋体"/>
                <w:sz w:val="24"/>
              </w:rPr>
            </w:pPr>
            <w:r>
              <w:rPr>
                <w:rFonts w:hint="eastAsia" w:ascii="宋体" w:hAnsi="宋体"/>
                <w:sz w:val="24"/>
              </w:rPr>
              <w:t>4</w:t>
            </w:r>
          </w:p>
        </w:tc>
        <w:tc>
          <w:tcPr>
            <w:tcW w:w="6433" w:type="dxa"/>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5</w:t>
            </w:r>
          </w:p>
        </w:tc>
        <w:tc>
          <w:tcPr>
            <w:tcW w:w="6433" w:type="dxa"/>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6</w:t>
            </w:r>
          </w:p>
        </w:tc>
        <w:tc>
          <w:tcPr>
            <w:tcW w:w="6433" w:type="dxa"/>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7</w:t>
            </w:r>
          </w:p>
        </w:tc>
        <w:tc>
          <w:tcPr>
            <w:tcW w:w="6433" w:type="dxa"/>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8</w:t>
            </w:r>
          </w:p>
        </w:tc>
        <w:tc>
          <w:tcPr>
            <w:tcW w:w="6433" w:type="dxa"/>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9</w:t>
            </w:r>
          </w:p>
        </w:tc>
        <w:tc>
          <w:tcPr>
            <w:tcW w:w="6433" w:type="dxa"/>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10</w:t>
            </w:r>
          </w:p>
        </w:tc>
        <w:tc>
          <w:tcPr>
            <w:tcW w:w="6433" w:type="dxa"/>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11</w:t>
            </w:r>
          </w:p>
        </w:tc>
        <w:tc>
          <w:tcPr>
            <w:tcW w:w="6433" w:type="dxa"/>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12</w:t>
            </w:r>
          </w:p>
        </w:tc>
        <w:tc>
          <w:tcPr>
            <w:tcW w:w="6433" w:type="dxa"/>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13</w:t>
            </w:r>
          </w:p>
        </w:tc>
        <w:tc>
          <w:tcPr>
            <w:tcW w:w="6433" w:type="dxa"/>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14</w:t>
            </w:r>
          </w:p>
        </w:tc>
        <w:tc>
          <w:tcPr>
            <w:tcW w:w="6433" w:type="dxa"/>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15</w:t>
            </w:r>
          </w:p>
        </w:tc>
        <w:tc>
          <w:tcPr>
            <w:tcW w:w="6433" w:type="dxa"/>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16</w:t>
            </w:r>
          </w:p>
        </w:tc>
        <w:tc>
          <w:tcPr>
            <w:tcW w:w="6433" w:type="dxa"/>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17</w:t>
            </w:r>
          </w:p>
        </w:tc>
        <w:tc>
          <w:tcPr>
            <w:tcW w:w="6433" w:type="dxa"/>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18</w:t>
            </w:r>
          </w:p>
        </w:tc>
        <w:tc>
          <w:tcPr>
            <w:tcW w:w="6433" w:type="dxa"/>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vAlign w:val="center"/>
          </w:tcPr>
          <w:p>
            <w:pPr>
              <w:spacing w:line="400" w:lineRule="exact"/>
              <w:jc w:val="center"/>
              <w:rPr>
                <w:rFonts w:ascii="宋体" w:hAnsi="宋体"/>
                <w:sz w:val="24"/>
              </w:rPr>
            </w:pPr>
            <w:r>
              <w:rPr>
                <w:rFonts w:hint="eastAsia" w:ascii="宋体" w:hAnsi="宋体"/>
                <w:sz w:val="24"/>
              </w:rPr>
              <w:t>19</w:t>
            </w:r>
          </w:p>
        </w:tc>
        <w:tc>
          <w:tcPr>
            <w:tcW w:w="6433" w:type="dxa"/>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vAlign w:val="center"/>
          </w:tcPr>
          <w:p>
            <w:pPr>
              <w:spacing w:line="400" w:lineRule="exact"/>
              <w:jc w:val="center"/>
              <w:rPr>
                <w:rFonts w:ascii="宋体" w:hAnsi="宋体"/>
                <w:sz w:val="24"/>
              </w:rPr>
            </w:pPr>
            <w:r>
              <w:rPr>
                <w:rFonts w:hint="eastAsia" w:ascii="宋体" w:hAnsi="宋体"/>
                <w:sz w:val="24"/>
              </w:rPr>
              <w:t>20</w:t>
            </w:r>
          </w:p>
        </w:tc>
        <w:tc>
          <w:tcPr>
            <w:tcW w:w="6433" w:type="dxa"/>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21</w:t>
            </w:r>
          </w:p>
        </w:tc>
        <w:tc>
          <w:tcPr>
            <w:tcW w:w="6433" w:type="dxa"/>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00" w:lineRule="exact"/>
              <w:jc w:val="center"/>
              <w:rPr>
                <w:rFonts w:ascii="宋体" w:hAnsi="宋体"/>
                <w:sz w:val="24"/>
              </w:rPr>
            </w:pPr>
            <w:r>
              <w:rPr>
                <w:rFonts w:hint="eastAsia" w:ascii="宋体" w:hAnsi="宋体"/>
                <w:sz w:val="24"/>
              </w:rPr>
              <w:t>22</w:t>
            </w:r>
          </w:p>
        </w:tc>
        <w:tc>
          <w:tcPr>
            <w:tcW w:w="6433" w:type="dxa"/>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23</w:t>
            </w:r>
          </w:p>
        </w:tc>
        <w:tc>
          <w:tcPr>
            <w:tcW w:w="6433" w:type="dxa"/>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24</w:t>
            </w:r>
          </w:p>
        </w:tc>
        <w:tc>
          <w:tcPr>
            <w:tcW w:w="6433" w:type="dxa"/>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25</w:t>
            </w:r>
          </w:p>
        </w:tc>
        <w:tc>
          <w:tcPr>
            <w:tcW w:w="6433" w:type="dxa"/>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vAlign w:val="center"/>
          </w:tcPr>
          <w:p>
            <w:pPr>
              <w:spacing w:line="440" w:lineRule="exact"/>
              <w:jc w:val="center"/>
              <w:rPr>
                <w:rFonts w:ascii="宋体" w:hAnsi="宋体"/>
                <w:sz w:val="24"/>
              </w:rPr>
            </w:pPr>
            <w:r>
              <w:rPr>
                <w:rFonts w:hint="eastAsia" w:ascii="宋体" w:hAnsi="宋体"/>
                <w:sz w:val="24"/>
              </w:rPr>
              <w:t>26</w:t>
            </w:r>
          </w:p>
        </w:tc>
        <w:tc>
          <w:tcPr>
            <w:tcW w:w="6433" w:type="dxa"/>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vAlign w:val="center"/>
          </w:tcPr>
          <w:p>
            <w:pPr>
              <w:jc w:val="center"/>
              <w:rPr>
                <w:rFonts w:ascii="宋体" w:hAnsi="宋体"/>
                <w:sz w:val="24"/>
              </w:rPr>
            </w:pPr>
            <w:r>
              <w:rPr>
                <w:rFonts w:hint="eastAsia" w:ascii="宋体" w:hAnsi="宋体"/>
                <w:sz w:val="24"/>
              </w:rPr>
              <w:t>酌情处理</w:t>
            </w:r>
          </w:p>
        </w:tc>
      </w:tr>
    </w:tbl>
    <w:p>
      <w:pPr>
        <w:jc w:val="center"/>
        <w:rPr>
          <w:b/>
          <w:sz w:val="28"/>
        </w:rPr>
      </w:pPr>
      <w:r>
        <w:rPr>
          <w:rFonts w:hint="eastAsia"/>
          <w:b/>
          <w:sz w:val="28"/>
        </w:rPr>
        <w:t>十、监督和解释</w:t>
      </w:r>
      <w:bookmarkEnd w:id="37"/>
    </w:p>
    <w:p>
      <w:pPr>
        <w:ind w:firstLine="482"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2"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jc w:val="center"/>
        <w:rPr>
          <w:rFonts w:ascii="宋体" w:hAnsi="宋体"/>
          <w:b/>
          <w:sz w:val="36"/>
          <w:szCs w:val="36"/>
        </w:rPr>
      </w:pPr>
      <w:r>
        <w:rPr>
          <w:rFonts w:ascii="宋体" w:hAnsi="宋体"/>
          <w:b/>
          <w:sz w:val="36"/>
          <w:szCs w:val="36"/>
        </w:rPr>
        <w:br w:type="page"/>
      </w:r>
      <w:r>
        <w:rPr>
          <w:rFonts w:hint="eastAsia" w:ascii="宋体" w:hAnsi="宋体"/>
          <w:b/>
          <w:sz w:val="36"/>
          <w:szCs w:val="36"/>
        </w:rPr>
        <w:t>第三章   采购需求</w:t>
      </w:r>
      <w:bookmarkEnd w:id="29"/>
    </w:p>
    <w:p>
      <w:pPr>
        <w:numPr>
          <w:ilvl w:val="0"/>
          <w:numId w:val="2"/>
        </w:numPr>
        <w:autoSpaceDE/>
        <w:autoSpaceDN/>
        <w:adjustRightInd/>
        <w:spacing w:line="500" w:lineRule="exact"/>
        <w:rPr>
          <w:rFonts w:ascii="宋体" w:hAnsi="宋体"/>
          <w:sz w:val="24"/>
        </w:rPr>
      </w:pPr>
      <w:bookmarkStart w:id="38" w:name="_Toc125344513"/>
      <w:r>
        <w:rPr>
          <w:rFonts w:hint="eastAsia" w:ascii="宋体" w:hAnsi="宋体"/>
          <w:sz w:val="24"/>
        </w:rPr>
        <w:t>采购内容及要求：</w:t>
      </w:r>
    </w:p>
    <w:p>
      <w:pPr>
        <w:numPr>
          <w:ilvl w:val="0"/>
          <w:numId w:val="3"/>
        </w:numPr>
        <w:autoSpaceDE/>
        <w:autoSpaceDN/>
        <w:adjustRightInd/>
        <w:rPr>
          <w:rFonts w:ascii="宋体" w:hAnsi="宋体"/>
          <w:sz w:val="24"/>
        </w:rPr>
      </w:pPr>
      <w:r>
        <w:rPr>
          <w:rFonts w:hint="eastAsia" w:ascii="宋体" w:hAnsi="宋体"/>
          <w:sz w:val="24"/>
        </w:rPr>
        <w:t>采购内容：</w:t>
      </w:r>
    </w:p>
    <w:p>
      <w:pPr>
        <w:ind w:left="945"/>
        <w:rPr>
          <w:rFonts w:ascii="宋体" w:hAnsi="宋体"/>
          <w:sz w:val="24"/>
        </w:rPr>
      </w:pPr>
      <w:r>
        <w:rPr>
          <w:rFonts w:hint="eastAsia" w:ascii="宋体" w:hAnsi="宋体"/>
          <w:sz w:val="24"/>
        </w:rPr>
        <w:t xml:space="preserve">  </w:t>
      </w:r>
    </w:p>
    <w:tbl>
      <w:tblPr>
        <w:tblStyle w:val="21"/>
        <w:tblW w:w="6521"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eastAsia="仿宋_GB2312"/>
                <w:sz w:val="24"/>
              </w:rPr>
            </w:pPr>
            <w:r>
              <w:rPr>
                <w:rFonts w:hint="eastAsia" w:eastAsia="仿宋_GB2312"/>
                <w:sz w:val="24"/>
              </w:rPr>
              <w:t>项目名称</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eastAsia="仿宋_GB2312"/>
                <w:sz w:val="24"/>
              </w:rPr>
            </w:pPr>
            <w:r>
              <w:rPr>
                <w:rFonts w:hint="eastAsia" w:eastAsia="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45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sz w:val="24"/>
              </w:rPr>
            </w:pPr>
            <w:r>
              <w:rPr>
                <w:rFonts w:hint="eastAsia" w:ascii="仿宋" w:hAnsi="仿宋" w:eastAsia="仿宋"/>
                <w:sz w:val="24"/>
              </w:rPr>
              <w:t>诸暨市20</w:t>
            </w:r>
            <w:r>
              <w:rPr>
                <w:rFonts w:ascii="仿宋" w:hAnsi="仿宋" w:eastAsia="仿宋"/>
                <w:sz w:val="24"/>
              </w:rPr>
              <w:t>20</w:t>
            </w:r>
            <w:r>
              <w:rPr>
                <w:rFonts w:hint="eastAsia" w:ascii="仿宋" w:hAnsi="仿宋" w:eastAsia="仿宋"/>
                <w:sz w:val="24"/>
              </w:rPr>
              <w:t>年度矿业权评估采购项目</w:t>
            </w:r>
          </w:p>
        </w:tc>
        <w:tc>
          <w:tcPr>
            <w:tcW w:w="198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eastAsia="仿宋_GB2312"/>
                <w:sz w:val="24"/>
              </w:rPr>
            </w:pPr>
            <w:r>
              <w:rPr>
                <w:rFonts w:hint="eastAsia" w:eastAsia="仿宋_GB2312"/>
                <w:sz w:val="24"/>
              </w:rPr>
              <w:t>3个</w:t>
            </w:r>
          </w:p>
        </w:tc>
      </w:tr>
    </w:tbl>
    <w:p>
      <w:pPr>
        <w:ind w:firstLine="482" w:firstLineChars="200"/>
        <w:rPr>
          <w:rFonts w:ascii="宋体" w:hAnsi="宋体" w:eastAsia="仿宋_GB2312"/>
          <w:b/>
          <w:sz w:val="24"/>
        </w:rPr>
      </w:pPr>
      <w:r>
        <w:rPr>
          <w:rFonts w:hint="eastAsia" w:ascii="宋体" w:hAnsi="宋体" w:eastAsia="仿宋_GB2312"/>
          <w:b/>
          <w:sz w:val="24"/>
        </w:rPr>
        <w:t>注：1、项目数量如有增减，按中标单价和完成项目数按实结算。</w:t>
      </w:r>
    </w:p>
    <w:p>
      <w:pPr>
        <w:ind w:firstLine="482" w:firstLineChars="200"/>
        <w:rPr>
          <w:rFonts w:ascii="宋体" w:hAnsi="宋体" w:eastAsia="仿宋_GB2312"/>
          <w:b/>
          <w:sz w:val="24"/>
        </w:rPr>
      </w:pPr>
      <w:r>
        <w:rPr>
          <w:rFonts w:hint="eastAsia" w:ascii="宋体" w:hAnsi="宋体" w:eastAsia="仿宋_GB2312"/>
          <w:b/>
          <w:sz w:val="24"/>
        </w:rPr>
        <w:t xml:space="preserve">    2、项目数量包括不设采矿权的工程采矿项目。</w:t>
      </w:r>
    </w:p>
    <w:p>
      <w:pPr>
        <w:ind w:left="945"/>
        <w:rPr>
          <w:rFonts w:ascii="宋体" w:hAnsi="宋体"/>
          <w:sz w:val="24"/>
        </w:rPr>
      </w:pPr>
    </w:p>
    <w:p>
      <w:pPr>
        <w:widowControl/>
        <w:spacing w:line="500" w:lineRule="exact"/>
        <w:ind w:firstLine="600"/>
        <w:jc w:val="left"/>
        <w:rPr>
          <w:rFonts w:ascii="宋体" w:hAnsi="宋体"/>
          <w:sz w:val="24"/>
        </w:rPr>
      </w:pPr>
      <w:r>
        <w:rPr>
          <w:rFonts w:hint="eastAsia" w:ascii="宋体" w:hAnsi="宋体"/>
          <w:sz w:val="24"/>
        </w:rPr>
        <w:t>2、要求：评估单位具有中国矿业权评估师协会颁发的矿业权评估资质，按合同约定时间提交评估成果。</w:t>
      </w:r>
    </w:p>
    <w:p>
      <w:pPr>
        <w:widowControl/>
        <w:spacing w:line="500" w:lineRule="exact"/>
        <w:ind w:firstLine="720" w:firstLineChars="300"/>
        <w:jc w:val="left"/>
        <w:rPr>
          <w:rFonts w:ascii="宋体" w:hAnsi="宋体"/>
          <w:sz w:val="24"/>
        </w:rPr>
      </w:pPr>
      <w:r>
        <w:rPr>
          <w:rFonts w:hint="eastAsia" w:ascii="宋体" w:hAnsi="宋体"/>
          <w:sz w:val="24"/>
        </w:rPr>
        <w:t>2.1矿业权评估报告文本一式三份。</w:t>
      </w:r>
    </w:p>
    <w:p>
      <w:pPr>
        <w:widowControl/>
        <w:spacing w:line="500" w:lineRule="exact"/>
        <w:ind w:firstLine="720" w:firstLineChars="300"/>
        <w:jc w:val="left"/>
        <w:rPr>
          <w:rFonts w:ascii="宋体" w:hAnsi="宋体"/>
          <w:sz w:val="24"/>
        </w:rPr>
      </w:pPr>
      <w:r>
        <w:rPr>
          <w:rFonts w:hint="eastAsia" w:ascii="宋体" w:hAnsi="宋体"/>
          <w:sz w:val="24"/>
        </w:rPr>
        <w:t>2.2报送矿业权评估报告的函。</w:t>
      </w:r>
    </w:p>
    <w:p>
      <w:pPr>
        <w:widowControl/>
        <w:spacing w:line="500" w:lineRule="exact"/>
        <w:ind w:firstLine="720" w:firstLineChars="300"/>
        <w:jc w:val="left"/>
        <w:rPr>
          <w:rFonts w:ascii="宋体" w:hAnsi="宋体"/>
          <w:sz w:val="24"/>
        </w:rPr>
      </w:pPr>
      <w:r>
        <w:rPr>
          <w:rFonts w:hint="eastAsia" w:ascii="宋体" w:hAnsi="宋体"/>
          <w:sz w:val="24"/>
        </w:rPr>
        <w:t>2.3承诺书（应经矿业权评估机构及矿业权评估师盖章、签字）</w:t>
      </w:r>
    </w:p>
    <w:p>
      <w:pPr>
        <w:widowControl/>
        <w:spacing w:line="500" w:lineRule="exact"/>
        <w:ind w:firstLine="720" w:firstLineChars="300"/>
        <w:jc w:val="left"/>
        <w:rPr>
          <w:rFonts w:ascii="宋体" w:hAnsi="宋体"/>
          <w:sz w:val="24"/>
        </w:rPr>
      </w:pPr>
      <w:r>
        <w:rPr>
          <w:rFonts w:hint="eastAsia" w:ascii="宋体" w:hAnsi="宋体"/>
          <w:sz w:val="24"/>
        </w:rPr>
        <w:t>2.4矿业权评估报告参数表</w:t>
      </w:r>
    </w:p>
    <w:p>
      <w:pPr>
        <w:widowControl/>
        <w:spacing w:line="500" w:lineRule="exact"/>
        <w:ind w:firstLine="600"/>
        <w:jc w:val="left"/>
        <w:rPr>
          <w:rFonts w:ascii="宋体" w:hAnsi="宋体"/>
          <w:sz w:val="24"/>
        </w:rPr>
      </w:pPr>
      <w:r>
        <w:rPr>
          <w:rFonts w:hint="eastAsia" w:ascii="宋体" w:hAnsi="宋体"/>
          <w:sz w:val="24"/>
        </w:rPr>
        <w:t>3、现场踏勘：投标人自行踏勘（工作时间）。</w:t>
      </w:r>
    </w:p>
    <w:p>
      <w:pPr>
        <w:widowControl/>
        <w:spacing w:line="500" w:lineRule="exact"/>
        <w:rPr>
          <w:rFonts w:ascii="宋体" w:hAnsi="宋体"/>
          <w:sz w:val="24"/>
        </w:rPr>
      </w:pPr>
      <w:r>
        <w:rPr>
          <w:rFonts w:hint="eastAsia" w:ascii="宋体" w:hAnsi="宋体"/>
          <w:sz w:val="24"/>
        </w:rPr>
        <w:t>（二）付款方式：</w:t>
      </w:r>
    </w:p>
    <w:p>
      <w:pPr>
        <w:spacing w:line="500" w:lineRule="exact"/>
        <w:ind w:firstLine="480" w:firstLineChars="200"/>
        <w:rPr>
          <w:rFonts w:ascii="宋体" w:hAnsi="宋体"/>
          <w:sz w:val="24"/>
        </w:rPr>
      </w:pPr>
      <w:r>
        <w:rPr>
          <w:rFonts w:hint="eastAsia" w:ascii="宋体" w:hAnsi="宋体"/>
          <w:sz w:val="24"/>
        </w:rPr>
        <w:t>中标人提交报告，经业主组织验收合格后按完成项目单价支付，完成一个，支付一个（项目数量如有增减，根据中标单价和完成项目数按实结算）。</w:t>
      </w:r>
    </w:p>
    <w:p>
      <w:pPr>
        <w:spacing w:line="500" w:lineRule="exact"/>
        <w:rPr>
          <w:rFonts w:ascii="宋体" w:hAnsi="宋体"/>
          <w:sz w:val="24"/>
        </w:rPr>
      </w:pPr>
      <w:r>
        <w:rPr>
          <w:rFonts w:hint="eastAsia" w:ascii="宋体" w:hAnsi="宋体"/>
          <w:sz w:val="24"/>
        </w:rPr>
        <w:t>（三）最高限价：</w:t>
      </w:r>
    </w:p>
    <w:p>
      <w:pPr>
        <w:spacing w:line="500" w:lineRule="exact"/>
        <w:ind w:firstLine="480" w:firstLineChars="200"/>
        <w:rPr>
          <w:rFonts w:ascii="宋体" w:hAnsi="宋体"/>
          <w:sz w:val="24"/>
        </w:rPr>
      </w:pPr>
      <w:r>
        <w:rPr>
          <w:rFonts w:hint="eastAsia" w:ascii="宋体" w:hAnsi="宋体"/>
          <w:sz w:val="24"/>
        </w:rPr>
        <w:t>本次采购最高限价为人民币</w:t>
      </w:r>
      <w:r>
        <w:rPr>
          <w:rFonts w:hint="eastAsia" w:ascii="宋体" w:hAnsi="宋体"/>
          <w:b/>
          <w:sz w:val="24"/>
          <w:u w:val="single"/>
        </w:rPr>
        <w:t>玖万玖仟元整（¥99000.00）</w:t>
      </w:r>
      <w:r>
        <w:rPr>
          <w:rFonts w:hint="eastAsia" w:ascii="宋体" w:hAnsi="宋体"/>
          <w:sz w:val="24"/>
        </w:rPr>
        <w:t>，任何超过最高限价的报价将被认定为无效报价。</w:t>
      </w:r>
    </w:p>
    <w:bookmarkEnd w:id="38"/>
    <w:p>
      <w:pPr>
        <w:ind w:firstLine="480" w:firstLineChars="200"/>
        <w:rPr>
          <w:rFonts w:ascii="宋体" w:hAnsi="宋体"/>
          <w:sz w:val="24"/>
        </w:rPr>
      </w:pPr>
    </w:p>
    <w:p>
      <w:pPr>
        <w:ind w:firstLine="482" w:firstLineChars="200"/>
        <w:jc w:val="left"/>
        <w:rPr>
          <w:rFonts w:ascii="宋体" w:hAnsi="宋体"/>
          <w:b/>
          <w:sz w:val="24"/>
        </w:rPr>
      </w:pPr>
    </w:p>
    <w:p>
      <w:pPr>
        <w:ind w:firstLine="562" w:firstLineChars="200"/>
        <w:rPr>
          <w:rFonts w:ascii="宋体" w:hAnsi="宋体"/>
          <w:b/>
          <w:sz w:val="28"/>
          <w:szCs w:val="28"/>
        </w:rPr>
      </w:pPr>
    </w:p>
    <w:p>
      <w:pPr>
        <w:ind w:firstLine="562" w:firstLineChars="200"/>
        <w:rPr>
          <w:rFonts w:ascii="宋体" w:hAnsi="宋体"/>
          <w:b/>
          <w:sz w:val="28"/>
          <w:szCs w:val="28"/>
        </w:rPr>
      </w:pPr>
    </w:p>
    <w:p>
      <w:pPr>
        <w:ind w:firstLine="562" w:firstLineChars="200"/>
        <w:rPr>
          <w:rFonts w:ascii="宋体" w:hAnsi="宋体"/>
          <w:b/>
          <w:sz w:val="28"/>
          <w:szCs w:val="28"/>
        </w:rPr>
      </w:pPr>
    </w:p>
    <w:p>
      <w:pPr>
        <w:ind w:firstLine="562" w:firstLineChars="200"/>
        <w:rPr>
          <w:rFonts w:ascii="宋体" w:hAnsi="宋体"/>
          <w:b/>
          <w:sz w:val="28"/>
          <w:szCs w:val="28"/>
        </w:rPr>
      </w:pPr>
    </w:p>
    <w:p>
      <w:pPr>
        <w:ind w:firstLine="562" w:firstLineChars="200"/>
        <w:rPr>
          <w:rFonts w:ascii="宋体" w:hAnsi="宋体"/>
          <w:b/>
          <w:sz w:val="28"/>
          <w:szCs w:val="28"/>
        </w:rPr>
      </w:pPr>
    </w:p>
    <w:p>
      <w:pPr>
        <w:ind w:firstLine="562" w:firstLineChars="200"/>
        <w:rPr>
          <w:rFonts w:ascii="宋体" w:hAnsi="宋体"/>
          <w:b/>
          <w:sz w:val="28"/>
          <w:szCs w:val="28"/>
        </w:rPr>
      </w:pPr>
    </w:p>
    <w:p>
      <w:pPr>
        <w:jc w:val="center"/>
        <w:rPr>
          <w:rFonts w:ascii="黑体" w:eastAsia="黑体"/>
          <w:sz w:val="44"/>
          <w:szCs w:val="44"/>
        </w:rPr>
      </w:pPr>
      <w:r>
        <w:rPr>
          <w:rFonts w:hint="eastAsia" w:ascii="黑体" w:hAnsi="宋体" w:eastAsia="黑体"/>
          <w:sz w:val="44"/>
          <w:szCs w:val="44"/>
        </w:rPr>
        <w:t xml:space="preserve">第四章  </w:t>
      </w:r>
      <w:r>
        <w:rPr>
          <w:rFonts w:hint="eastAsia" w:ascii="黑体" w:eastAsia="黑体"/>
          <w:sz w:val="44"/>
          <w:szCs w:val="44"/>
        </w:rPr>
        <w:t>诸暨市政府采购合同（通用条款）</w:t>
      </w:r>
    </w:p>
    <w:p>
      <w:pPr>
        <w:jc w:val="center"/>
      </w:pPr>
      <w:r>
        <w:rPr>
          <w:rFonts w:hint="eastAsia"/>
        </w:rPr>
        <w:t>合同编号：</w:t>
      </w:r>
    </w:p>
    <w:p>
      <w:pPr>
        <w:rPr>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pPr>
      <w:r>
        <w:rPr>
          <w:rFonts w:hint="eastAsia"/>
        </w:rPr>
        <w:t>根据《中华人民共和国合同法》、《中华人民共和国政府采购法》等有关规定，以及诸暨市公共资源交易中心（编号：诸政采20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号）招标文件相关要求，经法定程序采购，双方同意签订以下合同条款，以便双方共同遵守、履行合同。</w:t>
      </w:r>
    </w:p>
    <w:p>
      <w:pPr>
        <w:rPr>
          <w:b/>
        </w:rPr>
      </w:pPr>
      <w:r>
        <w:rPr>
          <w:rFonts w:hint="eastAsia"/>
        </w:rPr>
        <w:t xml:space="preserve">   </w:t>
      </w:r>
      <w:r>
        <w:rPr>
          <w:rFonts w:hint="eastAsia"/>
          <w:b/>
        </w:rPr>
        <w:t xml:space="preserve"> 一、采购产品</w:t>
      </w: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vAlign w:val="center"/>
          </w:tcPr>
          <w:p>
            <w:r>
              <w:rPr>
                <w:rFonts w:hint="eastAsia"/>
              </w:rPr>
              <w:t xml:space="preserve">合计人民币（大写）：  佰   拾   万   仟   佰   拾   元    角    分  </w:t>
            </w:r>
            <w:r>
              <w:rPr>
                <w:rFonts w:hint="eastAsia" w:ascii="宋体" w:hAnsi="宋体"/>
              </w:rPr>
              <w:t>￥：</w:t>
            </w:r>
          </w:p>
        </w:tc>
      </w:tr>
    </w:tbl>
    <w:p>
      <w:pPr>
        <w:rPr>
          <w:b/>
        </w:rPr>
      </w:pPr>
      <w:r>
        <w:rPr>
          <w:rFonts w:hint="eastAsia"/>
        </w:rPr>
        <w:t xml:space="preserve">    </w:t>
      </w:r>
      <w:r>
        <w:rPr>
          <w:rFonts w:hint="eastAsia"/>
          <w:b/>
        </w:rPr>
        <w:t>二、供货要求</w:t>
      </w:r>
    </w:p>
    <w:p>
      <w:pPr>
        <w:ind w:firstLine="420" w:firstLineChars="200"/>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pPr>
      <w:r>
        <w:rPr>
          <w:rFonts w:hint="eastAsia"/>
        </w:rPr>
        <w:t>3、乙方不得将采购产品转包给其他供应商，否则视为违约，并将追究其违约责任，甲方有权解除采购合同，所造成的损失由乙方承担。</w:t>
      </w:r>
    </w:p>
    <w:p>
      <w:pPr>
        <w:ind w:firstLine="420" w:firstLineChars="200"/>
      </w:pPr>
      <w:r>
        <w:rPr>
          <w:rFonts w:hint="eastAsia"/>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2" w:firstLineChars="200"/>
        <w:rPr>
          <w:b/>
        </w:rPr>
      </w:pPr>
      <w:r>
        <w:rPr>
          <w:rFonts w:hint="eastAsia"/>
          <w:b/>
        </w:rPr>
        <w:t>三、质量要求</w:t>
      </w:r>
    </w:p>
    <w:p>
      <w:pPr>
        <w:ind w:firstLine="420" w:firstLineChars="200"/>
        <w:rPr>
          <w:rFonts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pPr>
      <w:r>
        <w:rPr>
          <w:rFonts w:hint="eastAsia" w:ascii="宋体" w:hAnsi="宋体"/>
        </w:rPr>
        <w:t>2、乙方应保证设备经正确安装、正常运转和保养，保证在在其使用寿命内应具有满意的性能。</w:t>
      </w:r>
    </w:p>
    <w:p>
      <w:pPr>
        <w:ind w:firstLine="420" w:firstLineChars="200"/>
        <w:rPr>
          <w:rFonts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ascii="宋体" w:hAnsi="宋体"/>
          <w:b/>
        </w:rPr>
      </w:pPr>
      <w:r>
        <w:rPr>
          <w:rFonts w:hint="eastAsia" w:ascii="宋体" w:hAnsi="宋体"/>
          <w:b/>
        </w:rPr>
        <w:t>四、产品验收</w:t>
      </w:r>
    </w:p>
    <w:p>
      <w:pPr>
        <w:ind w:firstLine="420" w:firstLineChars="200"/>
        <w:rPr>
          <w:rFonts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天内提出质量异议。具体按照《诸暨市政府采购合同履约和验收管理暂行规定》执行。</w:t>
      </w:r>
    </w:p>
    <w:p>
      <w:pPr>
        <w:ind w:firstLine="422" w:firstLineChars="200"/>
        <w:rPr>
          <w:rFonts w:ascii="宋体" w:hAnsi="宋体"/>
          <w:b/>
        </w:rPr>
      </w:pPr>
      <w:r>
        <w:rPr>
          <w:rFonts w:hint="eastAsia" w:ascii="宋体" w:hAnsi="宋体"/>
          <w:b/>
        </w:rPr>
        <w:t>五、付款方式</w:t>
      </w:r>
    </w:p>
    <w:p>
      <w:pPr>
        <w:ind w:firstLine="420" w:firstLineChars="200"/>
        <w:rPr>
          <w:rFonts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ascii="宋体" w:hAnsi="宋体"/>
        </w:rPr>
      </w:pPr>
      <w:r>
        <w:rPr>
          <w:rFonts w:hint="eastAsia" w:ascii="宋体" w:hAnsi="宋体"/>
        </w:rPr>
        <w:t>2、甲方凭乙方提供的经诸暨市公共资源交易中心与诸暨市政府采购工作办公室（地址：诸暨市人民中路</w:t>
      </w:r>
      <w:r>
        <w:rPr>
          <w:rFonts w:ascii="宋体" w:hAnsi="宋体"/>
        </w:rPr>
        <w:t>356</w:t>
      </w:r>
      <w:r>
        <w:rPr>
          <w:rFonts w:hint="eastAsia" w:ascii="宋体" w:hAnsi="宋体"/>
        </w:rPr>
        <w:t>号）审核后的发票复印件（要求在复印件上加盖用户单位公章）、验收结算书、合同，将合同款直接拨入乙方开户银行。</w:t>
      </w:r>
    </w:p>
    <w:p>
      <w:pPr>
        <w:ind w:firstLine="422" w:firstLineChars="200"/>
        <w:rPr>
          <w:rFonts w:ascii="宋体" w:hAnsi="宋体"/>
          <w:b/>
        </w:rPr>
      </w:pPr>
      <w:r>
        <w:rPr>
          <w:rFonts w:hint="eastAsia" w:ascii="宋体" w:hAnsi="宋体"/>
          <w:b/>
        </w:rPr>
        <w:t>六、履约保证金</w:t>
      </w:r>
    </w:p>
    <w:p>
      <w:pPr>
        <w:ind w:firstLine="420" w:firstLineChars="200"/>
        <w:rPr>
          <w:rFonts w:ascii="宋体" w:hAnsi="宋体"/>
        </w:rPr>
      </w:pPr>
      <w:r>
        <w:rPr>
          <w:rFonts w:hint="eastAsia" w:ascii="宋体" w:hAnsi="宋体"/>
        </w:rPr>
        <w:t>1、乙方在签订合同之前，须向甲方缴纳合同款5%的履约保证金。</w:t>
      </w:r>
    </w:p>
    <w:p>
      <w:pPr>
        <w:ind w:firstLine="420" w:firstLineChars="200"/>
        <w:rPr>
          <w:rFonts w:ascii="宋体" w:hAnsi="宋体"/>
        </w:rPr>
      </w:pPr>
      <w:r>
        <w:rPr>
          <w:rFonts w:hint="eastAsia" w:ascii="宋体" w:hAnsi="宋体"/>
        </w:rPr>
        <w:t>2、履约保证金在甲方将货物验收合格后，无息退还给乙方。</w:t>
      </w:r>
    </w:p>
    <w:p>
      <w:pPr>
        <w:ind w:firstLine="420" w:firstLineChars="200"/>
        <w:rPr>
          <w:rFonts w:ascii="宋体" w:hAnsi="宋体"/>
        </w:rPr>
      </w:pPr>
      <w:r>
        <w:rPr>
          <w:rFonts w:hint="eastAsia" w:ascii="宋体" w:hAnsi="宋体"/>
        </w:rPr>
        <w:t>3、如乙方未能履行合同规定的义务，甲方有权在履约保证金中取得补偿。</w:t>
      </w:r>
    </w:p>
    <w:p>
      <w:pPr>
        <w:ind w:firstLine="422" w:firstLineChars="200"/>
        <w:rPr>
          <w:rFonts w:ascii="宋体" w:hAnsi="宋体"/>
          <w:b/>
        </w:rPr>
      </w:pPr>
      <w:r>
        <w:rPr>
          <w:rFonts w:hint="eastAsia" w:ascii="宋体" w:hAnsi="宋体"/>
          <w:b/>
        </w:rPr>
        <w:t>七、产品数量变更</w:t>
      </w:r>
    </w:p>
    <w:p>
      <w:pPr>
        <w:ind w:firstLine="420" w:firstLineChars="200"/>
        <w:rPr>
          <w:rFonts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2" w:firstLineChars="200"/>
        <w:rPr>
          <w:rFonts w:ascii="宋体" w:hAnsi="宋体"/>
          <w:b/>
        </w:rPr>
      </w:pPr>
      <w:r>
        <w:rPr>
          <w:rFonts w:hint="eastAsia" w:ascii="宋体" w:hAnsi="宋体"/>
          <w:b/>
        </w:rPr>
        <w:t>八、售后服务</w:t>
      </w:r>
    </w:p>
    <w:p>
      <w:pPr>
        <w:ind w:firstLine="420" w:firstLineChars="200"/>
        <w:rPr>
          <w:rFonts w:ascii="宋体" w:hAnsi="宋体"/>
        </w:rPr>
      </w:pPr>
      <w:r>
        <w:rPr>
          <w:rFonts w:hint="eastAsia" w:ascii="宋体" w:hAnsi="宋体"/>
        </w:rPr>
        <w:t>具体售后服务条款参照招标文件及乙方投标文件中的售后服务承诺。</w:t>
      </w:r>
    </w:p>
    <w:p>
      <w:pPr>
        <w:ind w:firstLine="422" w:firstLineChars="200"/>
        <w:rPr>
          <w:rFonts w:ascii="宋体" w:hAnsi="宋体"/>
          <w:b/>
        </w:rPr>
      </w:pPr>
      <w:r>
        <w:rPr>
          <w:rFonts w:hint="eastAsia" w:ascii="宋体" w:hAnsi="宋体"/>
          <w:b/>
        </w:rPr>
        <w:t>九、违约责任</w:t>
      </w:r>
    </w:p>
    <w:p>
      <w:pPr>
        <w:ind w:firstLine="420" w:firstLineChars="200"/>
        <w:rPr>
          <w:rFonts w:ascii="宋体" w:hAnsi="宋体"/>
        </w:rPr>
      </w:pPr>
      <w:r>
        <w:rPr>
          <w:rFonts w:hint="eastAsia" w:ascii="宋体" w:hAnsi="宋体"/>
        </w:rPr>
        <w:t>1、甲方无正当理由拒收货物，由甲方向乙方偿付合同总价的5%违约金。</w:t>
      </w:r>
    </w:p>
    <w:p>
      <w:pPr>
        <w:ind w:firstLine="420" w:firstLineChars="200"/>
        <w:rPr>
          <w:rFonts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ascii="宋体" w:hAnsi="宋体"/>
          <w:b/>
        </w:rPr>
      </w:pPr>
      <w:r>
        <w:rPr>
          <w:rFonts w:hint="eastAsia" w:ascii="宋体" w:hAnsi="宋体"/>
          <w:b/>
        </w:rPr>
        <w:t>十、其他约定事项</w:t>
      </w:r>
    </w:p>
    <w:p>
      <w:pPr>
        <w:ind w:firstLine="420" w:firstLineChars="200"/>
        <w:rPr>
          <w:rFonts w:ascii="宋体" w:hAnsi="宋体"/>
          <w:u w:val="single"/>
        </w:rPr>
      </w:pPr>
      <w:r>
        <w:rPr>
          <w:rFonts w:hint="eastAsia" w:ascii="宋体" w:hAnsi="宋体"/>
          <w:u w:val="single"/>
        </w:rPr>
        <w:t xml:space="preserve">                                                                                         </w:t>
      </w:r>
    </w:p>
    <w:p>
      <w:pPr>
        <w:rPr>
          <w:rFonts w:ascii="宋体" w:hAnsi="宋体"/>
          <w:u w:val="single"/>
        </w:rPr>
      </w:pPr>
      <w:r>
        <w:rPr>
          <w:rFonts w:hint="eastAsia" w:ascii="宋体" w:hAnsi="宋体"/>
          <w:u w:val="single"/>
        </w:rPr>
        <w:t xml:space="preserve">                                                                                       </w:t>
      </w:r>
    </w:p>
    <w:p>
      <w:pPr>
        <w:ind w:firstLine="422" w:firstLineChars="200"/>
        <w:rPr>
          <w:rFonts w:ascii="宋体" w:hAnsi="宋体"/>
          <w:b/>
        </w:rPr>
      </w:pPr>
      <w:r>
        <w:rPr>
          <w:rFonts w:hint="eastAsia" w:ascii="宋体" w:hAnsi="宋体"/>
          <w:b/>
        </w:rPr>
        <w:t>十一、解决合同纠纷方式</w:t>
      </w:r>
    </w:p>
    <w:p>
      <w:pPr>
        <w:ind w:firstLine="420" w:firstLineChars="200"/>
        <w:rPr>
          <w:rFonts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ascii="宋体" w:hAnsi="宋体"/>
          <w:b/>
        </w:rPr>
      </w:pPr>
      <w:r>
        <w:rPr>
          <w:rFonts w:hint="eastAsia" w:ascii="宋体" w:hAnsi="宋体"/>
          <w:b/>
        </w:rPr>
        <w:t>十二、其它</w:t>
      </w:r>
    </w:p>
    <w:p>
      <w:pPr>
        <w:ind w:left="420"/>
        <w:rPr>
          <w:rFonts w:ascii="宋体" w:hAnsi="宋体"/>
        </w:rPr>
      </w:pPr>
      <w:r>
        <w:rPr>
          <w:rFonts w:hint="eastAsia" w:ascii="宋体" w:hAnsi="宋体"/>
        </w:rPr>
        <w:t>1、本项目的招标文件、投标文件、中标通知书作为合同的附件，具有同等法律效力。</w:t>
      </w:r>
    </w:p>
    <w:p>
      <w:pPr>
        <w:ind w:left="420"/>
        <w:rPr>
          <w:rFonts w:ascii="宋体" w:hAnsi="宋体"/>
        </w:rPr>
      </w:pPr>
      <w:r>
        <w:rPr>
          <w:rFonts w:hint="eastAsia" w:ascii="宋体" w:hAnsi="宋体"/>
        </w:rPr>
        <w:t>2、本合同自签订之日起生效。</w:t>
      </w:r>
    </w:p>
    <w:p>
      <w:pPr>
        <w:ind w:left="420"/>
        <w:rPr>
          <w:rFonts w:ascii="宋体" w:hAnsi="宋体"/>
        </w:rPr>
      </w:pPr>
      <w:r>
        <w:rPr>
          <w:rFonts w:hint="eastAsia" w:ascii="宋体" w:hAnsi="宋体"/>
        </w:rPr>
        <w:t>3、本合同一式四份，甲乙双方各执两份。</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采购单位</w:t>
            </w:r>
          </w:p>
        </w:tc>
        <w:tc>
          <w:tcPr>
            <w:tcW w:w="4234" w:type="dxa"/>
            <w:vAlign w:val="center"/>
          </w:tcPr>
          <w:p>
            <w:pPr>
              <w:jc w:val="center"/>
            </w:pPr>
            <w:r>
              <w:rPr>
                <w:rFonts w:hint="eastAsia"/>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tc>
      </w:tr>
    </w:tbl>
    <w:p/>
    <w:p>
      <w:pPr>
        <w:jc w:val="center"/>
        <w:rPr>
          <w:rFonts w:ascii="黑体" w:hAnsi="宋体" w:eastAsia="黑体"/>
          <w:sz w:val="44"/>
          <w:szCs w:val="44"/>
        </w:rPr>
      </w:pPr>
    </w:p>
    <w:p>
      <w:pPr>
        <w:jc w:val="center"/>
        <w:rPr>
          <w:rFonts w:ascii="黑体" w:hAnsi="宋体" w:eastAsia="黑体"/>
          <w:sz w:val="44"/>
          <w:szCs w:val="44"/>
        </w:rPr>
      </w:pPr>
      <w:r>
        <w:rPr>
          <w:rFonts w:hint="eastAsia" w:ascii="黑体" w:hAnsi="宋体" w:eastAsia="黑体"/>
          <w:sz w:val="44"/>
          <w:szCs w:val="44"/>
        </w:rPr>
        <w:t>第五章  应提交的有关格式范例</w:t>
      </w:r>
    </w:p>
    <w:p>
      <w:pPr>
        <w:widowControl/>
        <w:tabs>
          <w:tab w:val="left" w:pos="45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2"/>
          <w:szCs w:val="32"/>
        </w:rPr>
      </w:pPr>
      <w:r>
        <w:rPr>
          <w:rFonts w:hint="eastAsia" w:ascii="黑体" w:hAnsi="黑体" w:eastAsia="黑体"/>
          <w:sz w:val="32"/>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jc w:val="left"/>
        <w:rPr>
          <w:rFonts w:ascii="仿宋_GB2312" w:hAnsi="宋体" w:eastAsia="仿宋_GB2312" w:cs="宋体"/>
          <w:b/>
          <w:sz w:val="32"/>
          <w:szCs w:val="32"/>
        </w:rPr>
      </w:pPr>
    </w:p>
    <w:p>
      <w:pPr>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二、投标函（格式）</w:t>
      </w:r>
    </w:p>
    <w:p>
      <w:pPr>
        <w:spacing w:line="660" w:lineRule="exact"/>
        <w:rPr>
          <w:rFonts w:ascii="宋体" w:hAnsi="宋体"/>
          <w:spacing w:val="8"/>
          <w:sz w:val="24"/>
          <w:szCs w:val="24"/>
        </w:rPr>
      </w:pPr>
      <w:r>
        <w:rPr>
          <w:rFonts w:hint="eastAsia" w:ascii="宋体" w:hAnsi="宋体"/>
          <w:spacing w:val="8"/>
          <w:sz w:val="24"/>
          <w:szCs w:val="24"/>
        </w:rPr>
        <w:t>致：诸暨市公共资源交易中心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w:t>
      </w:r>
      <w:r>
        <w:rPr>
          <w:rFonts w:hint="eastAsia" w:ascii="宋体" w:hAnsi="宋体"/>
          <w:spacing w:val="8"/>
          <w:sz w:val="24"/>
          <w:szCs w:val="24"/>
        </w:rPr>
        <w:t>*</w:t>
      </w:r>
      <w:r>
        <w:rPr>
          <w:rFonts w:ascii="宋体" w:hAnsi="宋体"/>
          <w:spacing w:val="8"/>
          <w:sz w:val="24"/>
          <w:szCs w:val="24"/>
        </w:rPr>
        <w:t xml:space="preserve">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 xml:space="preserve"> 投标人名称：</w:t>
      </w:r>
      <w:r>
        <w:rPr>
          <w:rFonts w:hint="eastAsia" w:ascii="宋体" w:hAnsi="宋体"/>
          <w:sz w:val="24"/>
          <w:szCs w:val="24"/>
          <w:u w:val="single"/>
        </w:rPr>
        <w:t xml:space="preserve">             （公章）          </w:t>
      </w:r>
    </w:p>
    <w:p>
      <w:pPr>
        <w:spacing w:line="360" w:lineRule="auto"/>
        <w:ind w:firstLine="425"/>
        <w:rPr>
          <w:rFonts w:ascii="宋体" w:hAnsi="宋体"/>
          <w:sz w:val="24"/>
          <w:szCs w:val="24"/>
        </w:rPr>
      </w:pPr>
      <w:r>
        <w:rPr>
          <w:rFonts w:hint="eastAsia" w:ascii="宋体" w:hAnsi="宋体"/>
          <w:sz w:val="24"/>
          <w:szCs w:val="24"/>
        </w:rPr>
        <w:t xml:space="preserve"> 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jc w:val="center"/>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三、授权委托书（格式）</w:t>
      </w:r>
    </w:p>
    <w:p>
      <w:pPr>
        <w:spacing w:line="360" w:lineRule="auto"/>
        <w:rPr>
          <w:rFonts w:ascii="宋体" w:hAnsi="宋体"/>
          <w:sz w:val="24"/>
          <w:szCs w:val="24"/>
        </w:rPr>
      </w:pPr>
      <w:r>
        <w:rPr>
          <w:rFonts w:hint="eastAsia" w:ascii="宋体" w:hAnsi="宋体"/>
          <w:sz w:val="24"/>
          <w:szCs w:val="24"/>
        </w:rPr>
        <w:t>致：诸暨市公共资源交易中心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1、法定代表人和被授权人身份证复印件。</w:t>
      </w: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jc w:val="center"/>
        <w:rPr>
          <w:rFonts w:ascii="仿宋" w:hAnsi="仿宋" w:eastAsia="仿宋"/>
          <w:b/>
          <w:sz w:val="36"/>
          <w:szCs w:val="36"/>
        </w:rPr>
      </w:pPr>
      <w:r>
        <w:rPr>
          <w:rFonts w:ascii="宋体" w:hAnsi="宋体"/>
          <w:sz w:val="24"/>
          <w:szCs w:val="24"/>
        </w:rPr>
        <w:br w:type="page"/>
      </w:r>
      <w:r>
        <w:rPr>
          <w:rFonts w:hint="eastAsia" w:ascii="仿宋" w:hAnsi="仿宋" w:eastAsia="仿宋"/>
          <w:b/>
          <w:sz w:val="36"/>
          <w:szCs w:val="36"/>
        </w:rPr>
        <w:t>四、</w:t>
      </w:r>
      <w:bookmarkStart w:id="39" w:name="_Toc48672384"/>
      <w:bookmarkStart w:id="40" w:name="_Toc331876394"/>
      <w:r>
        <w:rPr>
          <w:rFonts w:hint="eastAsia" w:ascii="仿宋" w:hAnsi="仿宋" w:eastAsia="仿宋"/>
          <w:b/>
          <w:sz w:val="36"/>
          <w:szCs w:val="36"/>
        </w:rPr>
        <w:t>开标一览表（格式）</w:t>
      </w:r>
    </w:p>
    <w:p>
      <w:pPr>
        <w:rPr>
          <w:rFonts w:ascii="宋体" w:hAnsi="宋体"/>
          <w:sz w:val="24"/>
          <w:szCs w:val="24"/>
        </w:rPr>
      </w:pPr>
      <w:r>
        <w:rPr>
          <w:rFonts w:hint="eastAsia"/>
          <w:sz w:val="28"/>
        </w:rPr>
        <w:t>项目名称：                    （编号：</w:t>
      </w:r>
      <w:r>
        <w:rPr>
          <w:rFonts w:ascii="宋体" w:hAnsi="宋体"/>
          <w:sz w:val="24"/>
          <w:szCs w:val="24"/>
        </w:rPr>
        <w:t>诸政采 20</w:t>
      </w:r>
      <w:r>
        <w:rPr>
          <w:rFonts w:hint="eastAsia" w:ascii="宋体" w:hAnsi="宋体"/>
          <w:sz w:val="24"/>
          <w:szCs w:val="24"/>
        </w:rPr>
        <w:t xml:space="preserve">2 </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p>
    <w:p>
      <w:pPr>
        <w:rPr>
          <w:rFonts w:ascii="仿宋_GB2312" w:eastAsia="仿宋_GB2312"/>
          <w:sz w:val="28"/>
        </w:rPr>
      </w:pPr>
      <w:r>
        <w:rPr>
          <w:rFonts w:hint="eastAsia" w:ascii="仿宋_GB2312" w:eastAsia="仿宋_GB2312"/>
          <w:sz w:val="28"/>
        </w:rPr>
        <w:t xml:space="preserve">标一： </w:t>
      </w:r>
    </w:p>
    <w:p>
      <w:r>
        <w:rPr>
          <w:rFonts w:hint="eastAsia"/>
          <w:sz w:val="28"/>
        </w:rPr>
        <w:t xml:space="preserve">                                                          </w:t>
      </w:r>
      <w:r>
        <w:rPr>
          <w:rFonts w:hint="eastAsia"/>
        </w:rPr>
        <w:t>单位：元</w:t>
      </w:r>
    </w:p>
    <w:tbl>
      <w:tblPr>
        <w:tblStyle w:val="21"/>
        <w:tblW w:w="9220" w:type="dxa"/>
        <w:tblInd w:w="-5" w:type="dxa"/>
        <w:tblLayout w:type="fixed"/>
        <w:tblCellMar>
          <w:top w:w="0" w:type="dxa"/>
          <w:left w:w="0" w:type="dxa"/>
          <w:bottom w:w="0" w:type="dxa"/>
          <w:right w:w="0" w:type="dxa"/>
        </w:tblCellMar>
      </w:tblPr>
      <w:tblGrid>
        <w:gridCol w:w="1230"/>
        <w:gridCol w:w="1332"/>
        <w:gridCol w:w="1559"/>
        <w:gridCol w:w="1134"/>
        <w:gridCol w:w="2268"/>
        <w:gridCol w:w="992"/>
        <w:gridCol w:w="705"/>
      </w:tblGrid>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r>
              <w:rPr>
                <w:rFonts w:hint="eastAsia" w:ascii="宋体" w:hAnsi="宋体" w:cs="Arial Unicode MS"/>
                <w:sz w:val="20"/>
              </w:rPr>
              <w:t>服务名称</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r>
              <w:rPr>
                <w:rFonts w:hint="eastAsia"/>
              </w:rPr>
              <w:t>服务范围</w:t>
            </w:r>
          </w:p>
        </w:tc>
        <w:tc>
          <w:tcPr>
            <w:tcW w:w="155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服务要求</w:t>
            </w:r>
          </w:p>
        </w:tc>
        <w:tc>
          <w:tcPr>
            <w:tcW w:w="1134"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服务时间</w:t>
            </w:r>
          </w:p>
        </w:tc>
        <w:tc>
          <w:tcPr>
            <w:tcW w:w="2268"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服务标准</w:t>
            </w:r>
          </w:p>
        </w:tc>
        <w:tc>
          <w:tcPr>
            <w:tcW w:w="992"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单价</w:t>
            </w:r>
          </w:p>
        </w:tc>
        <w:tc>
          <w:tcPr>
            <w:tcW w:w="705"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r>
              <w:rPr>
                <w:rFonts w:hint="eastAsia"/>
                <w:color w:val="000000"/>
                <w:szCs w:val="21"/>
              </w:rPr>
              <w:t>次数</w:t>
            </w: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pPr>
          </w:p>
        </w:tc>
        <w:tc>
          <w:tcPr>
            <w:tcW w:w="155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705"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pPr>
          </w:p>
        </w:tc>
        <w:tc>
          <w:tcPr>
            <w:tcW w:w="155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705"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Unicode MS"/>
                <w:sz w:val="20"/>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pPr>
          </w:p>
        </w:tc>
        <w:tc>
          <w:tcPr>
            <w:tcW w:w="1559"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5"/>
              <w:ind w:left="63" w:right="63"/>
              <w:rPr>
                <w:color w:val="000000"/>
                <w:szCs w:val="21"/>
              </w:rPr>
            </w:pPr>
          </w:p>
        </w:tc>
        <w:tc>
          <w:tcPr>
            <w:tcW w:w="705" w:type="dxa"/>
            <w:tcBorders>
              <w:top w:val="single" w:color="auto" w:sz="4" w:space="0"/>
              <w:left w:val="nil"/>
              <w:bottom w:val="single" w:color="auto" w:sz="4" w:space="0"/>
              <w:right w:val="single" w:color="auto" w:sz="4" w:space="0"/>
            </w:tcBorders>
            <w:vAlign w:val="center"/>
          </w:tcPr>
          <w:p>
            <w:pPr>
              <w:pStyle w:val="35"/>
              <w:ind w:left="63" w:right="63"/>
              <w:rPr>
                <w:color w:val="000000"/>
                <w:szCs w:val="21"/>
              </w:rPr>
            </w:pPr>
          </w:p>
        </w:tc>
      </w:tr>
      <w:tr>
        <w:tblPrEx>
          <w:tblCellMar>
            <w:top w:w="0" w:type="dxa"/>
            <w:left w:w="0" w:type="dxa"/>
            <w:bottom w:w="0" w:type="dxa"/>
            <w:right w:w="0" w:type="dxa"/>
          </w:tblCellMar>
        </w:tblPrEx>
        <w:trPr>
          <w:trHeight w:val="714" w:hRule="atLeast"/>
        </w:trPr>
        <w:tc>
          <w:tcPr>
            <w:tcW w:w="9220" w:type="dxa"/>
            <w:gridSpan w:val="7"/>
            <w:tcBorders>
              <w:top w:val="single" w:color="auto" w:sz="4" w:space="0"/>
              <w:left w:val="single" w:color="auto" w:sz="4" w:space="0"/>
              <w:bottom w:val="single" w:color="auto" w:sz="4" w:space="0"/>
              <w:right w:val="single" w:color="auto" w:sz="4" w:space="0"/>
            </w:tcBorders>
            <w:vAlign w:val="center"/>
          </w:tcPr>
          <w:p>
            <w:pPr>
              <w:ind w:right="400"/>
              <w:jc w:val="left"/>
              <w:rPr>
                <w:rFonts w:ascii="宋体" w:hAnsi="宋体" w:cs="Arial Unicode MS"/>
                <w:sz w:val="20"/>
                <w:u w:val="single"/>
              </w:rPr>
            </w:pPr>
            <w:r>
              <w:rPr>
                <w:rFonts w:hint="eastAsia" w:ascii="宋体" w:hAnsi="宋体"/>
                <w:sz w:val="20"/>
              </w:rPr>
              <w:t>合</w:t>
            </w:r>
            <w:r>
              <w:rPr>
                <w:rFonts w:hint="eastAsia" w:ascii="宋体" w:hAnsi="宋体"/>
              </w:rPr>
              <w:t>计金额</w:t>
            </w:r>
            <w:r>
              <w:rPr>
                <w:rFonts w:hint="eastAsia" w:ascii="宋体" w:hAnsi="宋体" w:cs="Arial Unicode MS"/>
              </w:rPr>
              <w:t>大写： ￥</w:t>
            </w:r>
            <w:r>
              <w:rPr>
                <w:rFonts w:hint="eastAsia" w:ascii="宋体" w:hAnsi="宋体" w:cs="Arial Unicode MS"/>
                <w:u w:val="single"/>
              </w:rPr>
              <w:t xml:space="preserve">                           </w:t>
            </w:r>
            <w:r>
              <w:rPr>
                <w:rFonts w:hint="eastAsia" w:ascii="宋体" w:hAnsi="宋体" w:cs="Arial Unicode MS"/>
              </w:rPr>
              <w:t>小写：￥</w:t>
            </w:r>
            <w:r>
              <w:rPr>
                <w:rFonts w:hint="eastAsia" w:ascii="宋体" w:hAnsi="宋体" w:cs="Arial Unicode MS"/>
                <w:u w:val="single"/>
              </w:rPr>
              <w:t xml:space="preserve">                          </w:t>
            </w:r>
          </w:p>
        </w:tc>
      </w:tr>
    </w:tbl>
    <w:p>
      <w:pPr>
        <w:spacing w:line="440" w:lineRule="exact"/>
        <w:rPr>
          <w:rFonts w:ascii="仿宋_GB2312" w:hAnsi="仿宋_GB2312" w:eastAsia="仿宋_GB2312"/>
          <w:color w:val="auto"/>
          <w:sz w:val="28"/>
          <w:szCs w:val="24"/>
        </w:rPr>
      </w:pPr>
    </w:p>
    <w:p>
      <w:pPr>
        <w:spacing w:line="440" w:lineRule="exact"/>
        <w:rPr>
          <w:rFonts w:ascii="仿宋_GB2312" w:hAnsi="仿宋_GB2312" w:eastAsia="仿宋_GB2312"/>
          <w:color w:val="auto"/>
          <w:sz w:val="28"/>
          <w:szCs w:val="24"/>
        </w:rPr>
      </w:pPr>
      <w:r>
        <w:rPr>
          <w:rFonts w:hint="eastAsia" w:ascii="仿宋_GB2312" w:hAnsi="仿宋_GB2312" w:eastAsia="仿宋_GB2312"/>
          <w:color w:val="auto"/>
          <w:sz w:val="28"/>
          <w:szCs w:val="24"/>
        </w:rPr>
        <w:t>标的二：</w:t>
      </w:r>
    </w:p>
    <w:p>
      <w:pPr>
        <w:spacing w:line="440" w:lineRule="exact"/>
        <w:rPr>
          <w:rFonts w:ascii="仿宋_GB2312" w:hAnsi="仿宋_GB2312" w:eastAsia="仿宋_GB2312"/>
          <w:color w:val="auto"/>
          <w:sz w:val="28"/>
          <w:szCs w:val="24"/>
        </w:rPr>
      </w:pPr>
    </w:p>
    <w:p>
      <w:pPr>
        <w:spacing w:line="440" w:lineRule="exact"/>
        <w:rPr>
          <w:rFonts w:ascii="仿宋_GB2312" w:hAnsi="仿宋_GB2312" w:eastAsia="仿宋_GB2312"/>
          <w:color w:val="auto"/>
          <w:sz w:val="28"/>
          <w:szCs w:val="24"/>
        </w:rPr>
      </w:pPr>
      <w:r>
        <w:rPr>
          <w:rFonts w:hint="eastAsia" w:ascii="仿宋_GB2312" w:hAnsi="仿宋_GB2312" w:eastAsia="仿宋_GB2312"/>
          <w:color w:val="auto"/>
          <w:sz w:val="28"/>
          <w:szCs w:val="24"/>
        </w:rPr>
        <w:t>标的三：</w:t>
      </w:r>
    </w:p>
    <w:p>
      <w:pPr>
        <w:spacing w:line="440" w:lineRule="exact"/>
        <w:rPr>
          <w:rFonts w:ascii="仿宋_GB2312" w:hAnsi="仿宋_GB2312" w:eastAsia="仿宋_GB2312"/>
          <w:color w:val="auto"/>
          <w:sz w:val="24"/>
          <w:szCs w:val="24"/>
        </w:rPr>
      </w:pPr>
    </w:p>
    <w:p>
      <w:pPr>
        <w:spacing w:line="440" w:lineRule="exact"/>
        <w:rPr>
          <w:rFonts w:ascii="仿宋_GB2312" w:hAnsi="仿宋_GB2312" w:eastAsia="仿宋_GB2312"/>
          <w:color w:val="auto"/>
          <w:sz w:val="24"/>
          <w:szCs w:val="24"/>
        </w:rPr>
      </w:pPr>
      <w:r>
        <w:rPr>
          <w:rFonts w:ascii="仿宋_GB2312" w:hAnsi="仿宋_GB2312" w:eastAsia="仿宋_GB2312"/>
          <w:color w:val="auto"/>
          <w:sz w:val="24"/>
          <w:szCs w:val="24"/>
        </w:rPr>
        <w:t>…………</w:t>
      </w:r>
    </w:p>
    <w:p>
      <w:pPr>
        <w:spacing w:line="440" w:lineRule="exact"/>
        <w:rPr>
          <w:rFonts w:ascii="仿宋_GB2312" w:hAnsi="仿宋_GB2312" w:eastAsia="仿宋_GB2312"/>
          <w:color w:val="auto"/>
          <w:sz w:val="24"/>
          <w:szCs w:val="24"/>
        </w:rPr>
      </w:pPr>
    </w:p>
    <w:p>
      <w:pPr>
        <w:spacing w:line="440" w:lineRule="exact"/>
        <w:rPr>
          <w:rFonts w:ascii="黑体" w:hAnsi="仿宋_GB2312" w:eastAsia="黑体"/>
          <w:color w:val="auto"/>
          <w:sz w:val="32"/>
          <w:szCs w:val="24"/>
        </w:rPr>
      </w:pPr>
      <w:r>
        <w:rPr>
          <w:rFonts w:hint="eastAsia" w:ascii="黑体" w:hAnsi="仿宋_GB2312" w:eastAsia="黑体"/>
          <w:color w:val="auto"/>
          <w:sz w:val="32"/>
          <w:szCs w:val="24"/>
        </w:rPr>
        <w:t>上述表格样式供参考，投标人根据项目实际情况自行调整。</w:t>
      </w:r>
    </w:p>
    <w:p>
      <w:pPr>
        <w:spacing w:line="440" w:lineRule="exact"/>
        <w:rPr>
          <w:rFonts w:ascii="仿宋_GB2312" w:hAnsi="仿宋_GB2312" w:eastAsia="仿宋_GB2312"/>
          <w:color w:val="auto"/>
          <w:sz w:val="24"/>
          <w:szCs w:val="24"/>
        </w:rPr>
      </w:pPr>
    </w:p>
    <w:p>
      <w:pPr>
        <w:spacing w:line="440" w:lineRule="exact"/>
        <w:rPr>
          <w:rFonts w:ascii="仿宋_GB2312" w:hAnsi="仿宋_GB2312" w:eastAsia="仿宋_GB2312"/>
          <w:color w:val="auto"/>
          <w:sz w:val="24"/>
          <w:szCs w:val="24"/>
        </w:rPr>
      </w:pPr>
    </w:p>
    <w:p>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（盖章）</w:t>
      </w:r>
      <w:r>
        <w:rPr>
          <w:sz w:val="28"/>
          <w:u w:val="single"/>
        </w:rPr>
        <w:t xml:space="preserve">     </w:t>
      </w:r>
      <w:r>
        <w:rPr>
          <w:rFonts w:hint="eastAsia"/>
          <w:sz w:val="28"/>
          <w:u w:val="single"/>
        </w:rPr>
        <w:t xml:space="preserve">  </w:t>
      </w:r>
      <w:r>
        <w:rPr>
          <w:sz w:val="28"/>
          <w:u w:val="single"/>
        </w:rPr>
        <w:t xml:space="preserve">           </w:t>
      </w:r>
      <w:r>
        <w:rPr>
          <w:sz w:val="28"/>
        </w:rPr>
        <w:t xml:space="preserve">      </w:t>
      </w:r>
    </w:p>
    <w:p>
      <w:pPr>
        <w:rPr>
          <w:sz w:val="28"/>
        </w:rPr>
      </w:pPr>
    </w:p>
    <w:p>
      <w:pPr>
        <w:rPr>
          <w:sz w:val="28"/>
        </w:rPr>
      </w:pPr>
      <w:r>
        <w:rPr>
          <w:rFonts w:hint="eastAsia"/>
          <w:sz w:val="28"/>
        </w:rPr>
        <w:t>法定代表人或委托代理人：</w:t>
      </w:r>
      <w:r>
        <w:rPr>
          <w:rFonts w:hint="eastAsia"/>
          <w:sz w:val="28"/>
          <w:u w:val="single"/>
        </w:rPr>
        <w:t xml:space="preserve">        签字或盖章        </w:t>
      </w:r>
      <w:r>
        <w:rPr>
          <w:sz w:val="28"/>
          <w:u w:val="single"/>
        </w:rPr>
        <w:t xml:space="preserve">  </w:t>
      </w:r>
      <w:r>
        <w:rPr>
          <w:sz w:val="28"/>
        </w:rPr>
        <w:t xml:space="preserve">    </w:t>
      </w:r>
    </w:p>
    <w:p>
      <w:pPr>
        <w:spacing w:line="340" w:lineRule="exact"/>
        <w:rPr>
          <w:sz w:val="28"/>
        </w:rPr>
      </w:pPr>
    </w:p>
    <w:p>
      <w:pPr>
        <w:jc w:val="center"/>
        <w:rPr>
          <w:sz w:val="28"/>
        </w:rPr>
      </w:pPr>
      <w:r>
        <w:rPr>
          <w:rFonts w:hint="eastAsia" w:ascii="仿宋" w:hAnsi="仿宋" w:eastAsia="仿宋"/>
          <w:bCs/>
          <w:sz w:val="36"/>
          <w:szCs w:val="36"/>
        </w:rPr>
        <w:t xml:space="preserve">     </w:t>
      </w:r>
      <w:r>
        <w:rPr>
          <w:rFonts w:hint="eastAsia"/>
          <w:sz w:val="28"/>
        </w:rPr>
        <w:t xml:space="preserve">      日  期：     年    月    日</w:t>
      </w:r>
    </w:p>
    <w:p>
      <w:pPr>
        <w:jc w:val="center"/>
        <w:rPr>
          <w:rFonts w:ascii="仿宋" w:hAnsi="仿宋" w:eastAsia="仿宋"/>
          <w:b/>
          <w:sz w:val="36"/>
          <w:szCs w:val="36"/>
        </w:rPr>
      </w:pPr>
      <w:r>
        <w:rPr>
          <w:rFonts w:ascii="仿宋" w:hAnsi="仿宋" w:eastAsia="仿宋"/>
          <w:bCs/>
          <w:sz w:val="36"/>
          <w:szCs w:val="36"/>
        </w:rPr>
        <w:br w:type="page"/>
      </w:r>
      <w:r>
        <w:rPr>
          <w:rFonts w:hint="eastAsia" w:ascii="仿宋" w:hAnsi="仿宋" w:eastAsia="仿宋"/>
          <w:b/>
          <w:sz w:val="36"/>
          <w:szCs w:val="36"/>
        </w:rPr>
        <w:t>五、</w:t>
      </w:r>
      <w:bookmarkEnd w:id="39"/>
      <w:bookmarkEnd w:id="40"/>
      <w:r>
        <w:rPr>
          <w:rFonts w:hint="eastAsia" w:ascii="仿宋" w:hAnsi="仿宋" w:eastAsia="仿宋"/>
          <w:b/>
          <w:sz w:val="36"/>
          <w:szCs w:val="36"/>
        </w:rPr>
        <w:t>投标承诺书（格式）</w:t>
      </w: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3"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sz w:val="28"/>
        </w:rPr>
      </w:pPr>
      <w:r>
        <w:rPr>
          <w:rFonts w:hint="eastAsia"/>
          <w:sz w:val="28"/>
        </w:rPr>
        <w:t>日      期：     年    月    日</w:t>
      </w:r>
    </w:p>
    <w:p>
      <w:pPr>
        <w:spacing w:line="560" w:lineRule="exact"/>
        <w:ind w:firstLine="560" w:firstLineChars="200"/>
        <w:rPr>
          <w:rFonts w:ascii="仿宋_GB2312" w:hAnsi="仿宋_GB2312" w:eastAsia="仿宋_GB2312"/>
          <w:sz w:val="28"/>
        </w:rPr>
      </w:pP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六、技 术 偏 离 表</w:t>
      </w:r>
    </w:p>
    <w:tbl>
      <w:tblPr>
        <w:tblStyle w:val="2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内容</w:t>
            </w:r>
          </w:p>
        </w:tc>
        <w:tc>
          <w:tcPr>
            <w:tcW w:w="234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招标文件</w:t>
            </w:r>
          </w:p>
          <w:p>
            <w:pPr>
              <w:pStyle w:val="11"/>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投标文件</w:t>
            </w:r>
          </w:p>
          <w:p>
            <w:pPr>
              <w:pStyle w:val="11"/>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vAlign w:val="center"/>
          </w:tcPr>
          <w:p>
            <w:pPr>
              <w:pStyle w:val="11"/>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1"/>
              <w:spacing w:line="400" w:lineRule="atLeast"/>
              <w:jc w:val="center"/>
              <w:rPr>
                <w:rFonts w:ascii="仿宋_GB2312" w:eastAsia="仿宋_GB2312"/>
                <w:szCs w:val="24"/>
              </w:rPr>
            </w:pPr>
          </w:p>
        </w:tc>
        <w:tc>
          <w:tcPr>
            <w:tcW w:w="234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c>
          <w:tcPr>
            <w:tcW w:w="2160" w:type="dxa"/>
            <w:vAlign w:val="center"/>
          </w:tcPr>
          <w:p>
            <w:pPr>
              <w:pStyle w:val="11"/>
              <w:spacing w:line="400" w:lineRule="atLeast"/>
              <w:jc w:val="center"/>
              <w:rPr>
                <w:rFonts w:ascii="仿宋_GB2312" w:eastAsia="仿宋_GB2312"/>
                <w:szCs w:val="24"/>
              </w:rPr>
            </w:pPr>
          </w:p>
        </w:tc>
      </w:tr>
    </w:tbl>
    <w:p>
      <w:pPr>
        <w:pStyle w:val="11"/>
        <w:spacing w:line="400" w:lineRule="atLeast"/>
        <w:rPr>
          <w:rFonts w:ascii="宋体" w:hAnsi="宋体"/>
          <w:szCs w:val="24"/>
        </w:rPr>
      </w:pPr>
      <w:r>
        <w:rPr>
          <w:rFonts w:hint="eastAsia" w:ascii="宋体" w:hAnsi="宋体"/>
          <w:szCs w:val="24"/>
        </w:rPr>
        <w:t>注：</w:t>
      </w:r>
    </w:p>
    <w:p>
      <w:pPr>
        <w:pStyle w:val="11"/>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1"/>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11"/>
        <w:spacing w:line="400" w:lineRule="atLeast"/>
        <w:rPr>
          <w:rFonts w:ascii="宋体" w:hAnsi="宋体"/>
          <w:szCs w:val="24"/>
        </w:rPr>
      </w:pPr>
      <w:r>
        <w:rPr>
          <w:rFonts w:hint="eastAsia" w:ascii="宋体" w:hAnsi="宋体"/>
          <w:szCs w:val="24"/>
        </w:rPr>
        <w:t>3、此表在不改变格式的情况下可自行制作。</w:t>
      </w:r>
    </w:p>
    <w:p>
      <w:pPr>
        <w:pStyle w:val="11"/>
        <w:spacing w:line="400" w:lineRule="atLeast"/>
        <w:rPr>
          <w:rFonts w:ascii="宋体" w:hAnsi="宋体"/>
          <w:szCs w:val="24"/>
        </w:rPr>
      </w:pPr>
      <w:r>
        <w:rPr>
          <w:rFonts w:hint="eastAsia" w:ascii="宋体" w:hAnsi="宋体"/>
          <w:szCs w:val="24"/>
        </w:rPr>
        <w:t>4、此表置于技术标书中。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pPr>
      <w:r>
        <w:rPr>
          <w:rFonts w:hint="eastAsia"/>
          <w:sz w:val="28"/>
        </w:rPr>
        <w:t>日      期：     年    月    日</w:t>
      </w:r>
    </w:p>
    <w:p>
      <w:r>
        <w:rPr>
          <w:sz w:val="28"/>
        </w:rPr>
        <w:t xml:space="preserve">             </w:t>
      </w:r>
    </w:p>
    <w:p/>
    <w:p/>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七、小微企业声明函</w:t>
      </w:r>
    </w:p>
    <w:p>
      <w:pPr>
        <w:snapToGrid w:val="0"/>
        <w:spacing w:line="360" w:lineRule="auto"/>
        <w:rPr>
          <w:rFonts w:ascii="仿宋" w:hAnsi="仿宋" w:eastAsia="仿宋"/>
          <w:sz w:val="28"/>
          <w:szCs w:val="28"/>
        </w:rPr>
      </w:pPr>
    </w:p>
    <w:p>
      <w:pPr>
        <w:snapToGrid w:val="0"/>
        <w:ind w:firstLine="480" w:firstLineChars="200"/>
        <w:rPr>
          <w:rFonts w:ascii="宋体" w:hAnsi="宋体"/>
          <w:sz w:val="24"/>
          <w:szCs w:val="24"/>
        </w:rPr>
      </w:pPr>
      <w:r>
        <w:rPr>
          <w:rFonts w:hint="eastAsia" w:ascii="宋体" w:hAnsi="宋体"/>
          <w:sz w:val="24"/>
          <w:szCs w:val="24"/>
        </w:rPr>
        <w:t>本公司郑重声明，根据《政府采购促进中小企业发展暂行办法》（财库〔2011〕181号）的规定，本公司为</w:t>
      </w:r>
      <w:r>
        <w:rPr>
          <w:rFonts w:hint="eastAsia" w:ascii="宋体" w:hAnsi="宋体"/>
          <w:sz w:val="24"/>
          <w:szCs w:val="24"/>
          <w:u w:val="single"/>
        </w:rPr>
        <w:t xml:space="preserve">                  </w:t>
      </w:r>
      <w:r>
        <w:rPr>
          <w:rFonts w:hint="eastAsia" w:ascii="宋体" w:hAnsi="宋体"/>
          <w:sz w:val="24"/>
          <w:szCs w:val="24"/>
        </w:rPr>
        <w:t>（请填写：小型、微型）企业。即，本公司同时满足以下条件：</w:t>
      </w:r>
    </w:p>
    <w:p>
      <w:pPr>
        <w:snapToGrid w:val="0"/>
        <w:ind w:firstLine="480" w:firstLineChars="200"/>
        <w:rPr>
          <w:rFonts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szCs w:val="24"/>
          <w:u w:val="single"/>
        </w:rPr>
        <w:t xml:space="preserve">               </w:t>
      </w:r>
      <w:r>
        <w:rPr>
          <w:rFonts w:hint="eastAsia" w:ascii="宋体" w:hAnsi="宋体"/>
          <w:sz w:val="24"/>
          <w:szCs w:val="24"/>
        </w:rPr>
        <w:t>（请填写：小型、微型）企业。</w:t>
      </w:r>
    </w:p>
    <w:p>
      <w:pPr>
        <w:snapToGrid w:val="0"/>
        <w:ind w:firstLine="480" w:firstLineChars="200"/>
        <w:rPr>
          <w:rFonts w:ascii="宋体" w:hAnsi="宋体"/>
          <w:sz w:val="24"/>
          <w:szCs w:val="24"/>
          <w:u w:val="single"/>
        </w:rPr>
      </w:pPr>
      <w:r>
        <w:rPr>
          <w:rFonts w:hint="eastAsia" w:ascii="宋体" w:hAnsi="宋体"/>
          <w:sz w:val="24"/>
          <w:szCs w:val="24"/>
        </w:rPr>
        <w:t>2.本公司参加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项目采购活动提供本企业制造的货物，由本企业承担工程、提供服务，或者提供其他</w:t>
      </w:r>
      <w:r>
        <w:rPr>
          <w:rFonts w:hint="eastAsia" w:ascii="宋体" w:hAnsi="宋体"/>
          <w:sz w:val="24"/>
          <w:szCs w:val="24"/>
          <w:u w:val="single"/>
        </w:rPr>
        <w:t xml:space="preserve"> 　　　　　　　　　　　　　 </w:t>
      </w:r>
    </w:p>
    <w:p>
      <w:pPr>
        <w:snapToGrid w:val="0"/>
        <w:rPr>
          <w:rFonts w:ascii="宋体" w:hAnsi="宋体"/>
          <w:sz w:val="24"/>
          <w:szCs w:val="24"/>
        </w:rPr>
      </w:pPr>
      <w:r>
        <w:rPr>
          <w:rFonts w:hint="eastAsia" w:ascii="宋体" w:hAnsi="宋体"/>
          <w:sz w:val="24"/>
          <w:szCs w:val="24"/>
        </w:rPr>
        <w:t>（请填写：小型、微型）企业制造的货物。本条所称货物不包括使用大中型企业注册商标的货物。</w:t>
      </w:r>
    </w:p>
    <w:p>
      <w:pPr>
        <w:snapToGrid w:val="0"/>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napToGrid w:val="0"/>
        <w:jc w:val="right"/>
        <w:rPr>
          <w:rFonts w:ascii="宋体" w:hAnsi="宋体"/>
          <w:sz w:val="24"/>
          <w:szCs w:val="24"/>
        </w:rPr>
      </w:pPr>
      <w:r>
        <w:rPr>
          <w:rFonts w:hint="eastAsia" w:ascii="宋体" w:hAnsi="宋体"/>
          <w:sz w:val="24"/>
          <w:szCs w:val="24"/>
        </w:rPr>
        <w:t xml:space="preserve">                     企业名称（盖章）： </w:t>
      </w:r>
    </w:p>
    <w:p>
      <w:pPr>
        <w:spacing w:before="100" w:beforeAutospacing="1" w:after="100" w:afterAutospacing="1"/>
        <w:ind w:firstLine="7093" w:firstLineChars="3378"/>
        <w:rPr>
          <w:rFonts w:hAnsi="宋体"/>
        </w:rPr>
      </w:pPr>
      <w:r>
        <w:rPr>
          <w:rFonts w:hAnsi="宋体"/>
        </w:rPr>
        <w:t>日</w:t>
      </w:r>
      <w:r>
        <w:t>   </w:t>
      </w:r>
      <w:r>
        <w:rPr>
          <w:rFonts w:hAnsi="宋体"/>
        </w:rPr>
        <w:t>期：</w:t>
      </w:r>
    </w:p>
    <w:p>
      <w:pPr>
        <w:snapToGrid w:val="0"/>
        <w:rPr>
          <w:rFonts w:ascii="宋体" w:hAnsi="宋体"/>
          <w:sz w:val="24"/>
          <w:szCs w:val="24"/>
        </w:rPr>
      </w:pPr>
      <w:r>
        <w:rPr>
          <w:rFonts w:hint="eastAsia" w:ascii="宋体" w:hAnsi="宋体"/>
          <w:b/>
          <w:sz w:val="24"/>
          <w:szCs w:val="24"/>
        </w:rPr>
        <w:t>备注说明：</w:t>
      </w:r>
    </w:p>
    <w:p>
      <w:pPr>
        <w:snapToGrid w:val="0"/>
        <w:rPr>
          <w:rFonts w:ascii="宋体" w:hAnsi="宋体"/>
          <w:sz w:val="24"/>
          <w:szCs w:val="24"/>
        </w:rPr>
      </w:pPr>
      <w:r>
        <w:rPr>
          <w:rFonts w:hint="eastAsia" w:ascii="宋体" w:hAnsi="宋体"/>
          <w:sz w:val="24"/>
          <w:szCs w:val="24"/>
        </w:rPr>
        <w:t>1、《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rPr>
          <w:rFonts w:ascii="宋体" w:hAnsi="宋体"/>
          <w:sz w:val="24"/>
          <w:szCs w:val="24"/>
        </w:rPr>
      </w:pPr>
      <w:r>
        <w:rPr>
          <w:rFonts w:hint="eastAsia" w:ascii="宋体" w:hAnsi="宋体"/>
          <w:sz w:val="24"/>
          <w:szCs w:val="24"/>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snapToGrid w:val="0"/>
        <w:rPr>
          <w:rFonts w:ascii="宋体" w:hAnsi="宋体"/>
          <w:sz w:val="24"/>
          <w:szCs w:val="24"/>
        </w:rPr>
      </w:pPr>
      <w:r>
        <w:rPr>
          <w:rFonts w:hint="eastAsia" w:ascii="宋体" w:hAnsi="宋体"/>
          <w:sz w:val="24"/>
          <w:szCs w:val="24"/>
        </w:rPr>
        <w:t>３、如小型、微型企业提供中型企业制造的货物的，视同为中型企业。</w:t>
      </w:r>
    </w:p>
    <w:p>
      <w:pPr>
        <w:snapToGrid w:val="0"/>
        <w:rPr>
          <w:rFonts w:ascii="宋体" w:hAnsi="宋体"/>
          <w:sz w:val="24"/>
          <w:szCs w:val="24"/>
        </w:rPr>
      </w:pPr>
      <w:r>
        <w:rPr>
          <w:rFonts w:hint="eastAsia" w:ascii="宋体" w:hAnsi="宋体"/>
          <w:sz w:val="24"/>
          <w:szCs w:val="24"/>
        </w:rPr>
        <w:t>４、如中标人声明为小微企业，本声明函将随中标结果同时公告，接受社会监督。</w:t>
      </w:r>
    </w:p>
    <w:p>
      <w:pPr>
        <w:snapToGrid w:val="0"/>
        <w:spacing w:line="312" w:lineRule="auto"/>
        <w:ind w:firstLine="750" w:firstLineChars="250"/>
        <w:rPr>
          <w:rFonts w:ascii="仿宋" w:hAnsi="仿宋" w:eastAsia="仿宋"/>
          <w:sz w:val="30"/>
          <w:szCs w:val="30"/>
        </w:rPr>
      </w:pPr>
    </w:p>
    <w:p>
      <w:pPr>
        <w:jc w:val="center"/>
        <w:rPr>
          <w:rFonts w:ascii="仿宋_GB2312" w:eastAsia="仿宋_GB2312"/>
          <w:b/>
          <w:spacing w:val="6"/>
          <w:sz w:val="32"/>
          <w:szCs w:val="32"/>
        </w:rPr>
      </w:pPr>
      <w:r>
        <w:rPr>
          <w:rFonts w:ascii="仿宋" w:hAnsi="仿宋" w:eastAsia="仿宋"/>
          <w:sz w:val="30"/>
          <w:szCs w:val="30"/>
        </w:rPr>
        <w:br w:type="page"/>
      </w:r>
      <w:r>
        <w:rPr>
          <w:rFonts w:hint="eastAsia" w:ascii="仿宋_GB2312" w:eastAsia="仿宋_GB2312"/>
          <w:b/>
          <w:spacing w:val="6"/>
          <w:sz w:val="32"/>
          <w:szCs w:val="32"/>
        </w:rPr>
        <w:t>八、残疾人福利性单位声明函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2"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2"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2"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
    <w:p/>
    <w:p/>
    <w:p/>
    <w:p/>
    <w:p/>
    <w:p/>
    <w:p>
      <w:pPr>
        <w:snapToGrid w:val="0"/>
        <w:spacing w:before="50" w:after="50"/>
        <w:jc w:val="center"/>
        <w:rPr>
          <w:rFonts w:ascii="仿宋" w:hAnsi="仿宋" w:eastAsia="仿宋"/>
          <w:b/>
          <w:sz w:val="36"/>
          <w:szCs w:val="36"/>
        </w:rPr>
      </w:pPr>
      <w:bookmarkStart w:id="41" w:name="_Toc23409"/>
      <w:r>
        <w:rPr>
          <w:rFonts w:hint="eastAsia" w:ascii="仿宋" w:hAnsi="仿宋" w:eastAsia="仿宋"/>
          <w:b/>
          <w:sz w:val="36"/>
          <w:szCs w:val="36"/>
        </w:rPr>
        <w:t xml:space="preserve">九  </w:t>
      </w:r>
      <w:r>
        <w:rPr>
          <w:rFonts w:ascii="仿宋" w:hAnsi="仿宋" w:eastAsia="仿宋"/>
          <w:b/>
          <w:sz w:val="36"/>
          <w:szCs w:val="36"/>
        </w:rPr>
        <w:t>政府采购政策情况表</w:t>
      </w:r>
      <w:bookmarkEnd w:id="41"/>
    </w:p>
    <w:p>
      <w:pPr>
        <w:pStyle w:val="11"/>
        <w:spacing w:before="156" w:after="156" w:line="360" w:lineRule="auto"/>
        <w:rPr>
          <w:b/>
          <w:sz w:val="28"/>
          <w:szCs w:val="28"/>
        </w:rPr>
      </w:pPr>
      <w:r>
        <w:rPr>
          <w:rFonts w:hAnsi="宋体"/>
          <w:b/>
          <w:kern w:val="0"/>
        </w:rPr>
        <w:t>项目</w:t>
      </w:r>
      <w:r>
        <w:rPr>
          <w:rFonts w:hint="eastAsia" w:hAnsi="宋体"/>
          <w:b/>
          <w:kern w:val="0"/>
        </w:rPr>
        <w:t>编号</w:t>
      </w:r>
      <w:r>
        <w:rPr>
          <w:rFonts w:hAnsi="宋体"/>
          <w:b/>
          <w:kern w:val="0"/>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6"/>
        <w:gridCol w:w="2130"/>
        <w:gridCol w:w="1965"/>
        <w:gridCol w:w="1611"/>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119"/>
              <w:tabs>
                <w:tab w:val="left" w:pos="1260"/>
              </w:tabs>
              <w:snapToGrid w:val="0"/>
              <w:spacing w:line="360" w:lineRule="auto"/>
              <w:jc w:val="center"/>
              <w:rPr>
                <w:szCs w:val="21"/>
                <w:lang w:val="en-GB"/>
              </w:rPr>
            </w:pPr>
            <w:r>
              <w:rPr>
                <w:rFonts w:hAnsi="宋体"/>
                <w:szCs w:val="21"/>
                <w:lang w:val="en-GB"/>
              </w:rPr>
              <w:t>中小企业</w:t>
            </w:r>
            <w:r>
              <w:rPr>
                <w:rFonts w:hint="eastAsia" w:hAnsi="宋体"/>
                <w:szCs w:val="21"/>
                <w:lang w:val="en-GB"/>
              </w:rPr>
              <w:t>、监狱企业及残疾人福利性单位</w:t>
            </w:r>
            <w:r>
              <w:rPr>
                <w:rFonts w:hAnsi="宋体"/>
                <w:szCs w:val="21"/>
                <w:lang w:val="en-GB"/>
              </w:rPr>
              <w:t>扶持政策</w:t>
            </w:r>
          </w:p>
        </w:tc>
        <w:tc>
          <w:tcPr>
            <w:tcW w:w="8700" w:type="dxa"/>
            <w:gridSpan w:val="5"/>
            <w:vAlign w:val="center"/>
          </w:tcPr>
          <w:p>
            <w:pPr>
              <w:pStyle w:val="119"/>
              <w:tabs>
                <w:tab w:val="left" w:pos="1260"/>
              </w:tabs>
              <w:snapToGrid w:val="0"/>
              <w:spacing w:line="360" w:lineRule="auto"/>
              <w:rPr>
                <w:szCs w:val="21"/>
                <w:lang w:val="en-GB"/>
              </w:rPr>
            </w:pPr>
            <w:r>
              <w:rPr>
                <w:rFonts w:hAnsi="宋体"/>
                <w:szCs w:val="21"/>
                <w:lang w:val="en-GB"/>
              </w:rPr>
              <w:t>如属所列情形的，请在括号内打</w:t>
            </w:r>
            <w:r>
              <w:rPr>
                <w:szCs w:val="21"/>
                <w:lang w:val="en-GB"/>
              </w:rPr>
              <w:t>“√”</w:t>
            </w:r>
            <w:r>
              <w:rPr>
                <w:rFonts w:hint="eastAsia"/>
                <w:szCs w:val="21"/>
                <w:lang w:val="en-GB"/>
              </w:rPr>
              <w:t>，并</w:t>
            </w:r>
            <w:r>
              <w:rPr>
                <w:rFonts w:hAnsi="宋体"/>
                <w:szCs w:val="21"/>
              </w:rPr>
              <w:t>请填写下表内容：</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）小型、微型企业投标且提供本企业制造的产品。</w:t>
            </w:r>
          </w:p>
          <w:p>
            <w:pPr>
              <w:pStyle w:val="119"/>
              <w:tabs>
                <w:tab w:val="left" w:pos="1260"/>
              </w:tabs>
              <w:snapToGrid w:val="0"/>
              <w:spacing w:line="360" w:lineRule="auto"/>
              <w:rPr>
                <w:szCs w:val="21"/>
              </w:rPr>
            </w:pPr>
            <w:r>
              <w:rPr>
                <w:rFonts w:hint="eastAsia" w:hAnsi="宋体"/>
                <w:szCs w:val="21"/>
              </w:rPr>
              <w:t>（  ）监狱企业投标</w:t>
            </w:r>
            <w:r>
              <w:rPr>
                <w:rFonts w:hAnsi="宋体"/>
                <w:szCs w:val="21"/>
              </w:rPr>
              <w:t>且提供本企业制造的产品。</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）小微企业投标且提供其它小型、微型企业产品</w:t>
            </w:r>
            <w:r>
              <w:rPr>
                <w:rFonts w:hint="eastAsia" w:hAnsi="宋体"/>
                <w:szCs w:val="21"/>
              </w:rPr>
              <w:t>。</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且提供本企业制造的产品</w:t>
            </w:r>
            <w:r>
              <w:rPr>
                <w:rFonts w:hint="eastAsia" w:hAnsi="宋体"/>
                <w:szCs w:val="21"/>
              </w:rPr>
              <w:t>。</w:t>
            </w:r>
          </w:p>
          <w:p>
            <w:pPr>
              <w:pStyle w:val="119"/>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且提供其它</w:t>
            </w:r>
            <w:r>
              <w:rPr>
                <w:rFonts w:hint="eastAsia" w:ascii="宋体" w:hAnsi="宋体"/>
                <w:color w:val="000000"/>
                <w:szCs w:val="20"/>
              </w:rPr>
              <w:t>残疾人福利性单位制造的</w:t>
            </w:r>
            <w:r>
              <w:rPr>
                <w:rFonts w:hint="eastAsia" w:hAnsi="宋体"/>
                <w:szCs w:val="21"/>
              </w:rPr>
              <w:t>货物</w:t>
            </w:r>
            <w:r>
              <w:rPr>
                <w:rFonts w:hint="eastAsia" w:ascii="宋体" w:hAnsi="宋体"/>
                <w:color w:val="000000"/>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r>
              <w:rPr>
                <w:rFonts w:hint="eastAsia" w:hAnsi="宋体"/>
                <w:szCs w:val="21"/>
                <w:lang w:val="en-GB"/>
              </w:rPr>
              <w:t>货物</w:t>
            </w:r>
            <w:r>
              <w:rPr>
                <w:rFonts w:hAnsi="宋体"/>
                <w:szCs w:val="21"/>
                <w:lang w:val="en-GB"/>
              </w:rPr>
              <w:t>名称</w:t>
            </w:r>
          </w:p>
        </w:tc>
        <w:tc>
          <w:tcPr>
            <w:tcW w:w="2130" w:type="dxa"/>
            <w:vAlign w:val="center"/>
          </w:tcPr>
          <w:p>
            <w:pPr>
              <w:pStyle w:val="119"/>
              <w:tabs>
                <w:tab w:val="left" w:pos="1260"/>
              </w:tabs>
              <w:snapToGrid w:val="0"/>
              <w:spacing w:line="360" w:lineRule="auto"/>
              <w:jc w:val="center"/>
              <w:rPr>
                <w:szCs w:val="21"/>
                <w:lang w:val="en-GB"/>
              </w:rPr>
            </w:pPr>
            <w:r>
              <w:rPr>
                <w:rFonts w:hAnsi="宋体"/>
                <w:szCs w:val="21"/>
                <w:lang w:val="en-GB"/>
              </w:rPr>
              <w:t>品牌</w:t>
            </w:r>
            <w:r>
              <w:rPr>
                <w:rFonts w:hint="eastAsia" w:ascii="宋体" w:hAnsi="宋体"/>
                <w:color w:val="000000"/>
                <w:szCs w:val="21"/>
              </w:rPr>
              <w:t>规格型号</w:t>
            </w:r>
          </w:p>
        </w:tc>
        <w:tc>
          <w:tcPr>
            <w:tcW w:w="1965" w:type="dxa"/>
            <w:vAlign w:val="center"/>
          </w:tcPr>
          <w:p>
            <w:pPr>
              <w:pStyle w:val="119"/>
              <w:tabs>
                <w:tab w:val="left" w:pos="1260"/>
              </w:tabs>
              <w:snapToGrid w:val="0"/>
              <w:spacing w:line="360" w:lineRule="auto"/>
              <w:jc w:val="center"/>
              <w:rPr>
                <w:szCs w:val="21"/>
                <w:lang w:val="en-GB"/>
              </w:rPr>
            </w:pPr>
            <w:r>
              <w:rPr>
                <w:rFonts w:hAnsi="宋体"/>
                <w:szCs w:val="21"/>
                <w:lang w:val="en-GB"/>
              </w:rPr>
              <w:t>制造商</w:t>
            </w:r>
          </w:p>
        </w:tc>
        <w:tc>
          <w:tcPr>
            <w:tcW w:w="1611" w:type="dxa"/>
            <w:vAlign w:val="center"/>
          </w:tcPr>
          <w:p>
            <w:pPr>
              <w:pStyle w:val="119"/>
              <w:tabs>
                <w:tab w:val="left" w:pos="1260"/>
              </w:tabs>
              <w:snapToGrid w:val="0"/>
              <w:spacing w:line="360" w:lineRule="auto"/>
              <w:jc w:val="center"/>
              <w:rPr>
                <w:szCs w:val="21"/>
                <w:lang w:val="en-GB"/>
              </w:rPr>
            </w:pPr>
            <w:r>
              <w:rPr>
                <w:rFonts w:hAnsi="宋体"/>
                <w:szCs w:val="21"/>
                <w:lang w:val="en-GB"/>
              </w:rPr>
              <w:t>制造商</w:t>
            </w:r>
          </w:p>
          <w:p>
            <w:pPr>
              <w:pStyle w:val="119"/>
              <w:tabs>
                <w:tab w:val="left" w:pos="1260"/>
              </w:tabs>
              <w:snapToGrid w:val="0"/>
              <w:spacing w:line="360" w:lineRule="auto"/>
              <w:jc w:val="center"/>
              <w:rPr>
                <w:szCs w:val="21"/>
                <w:lang w:val="en-GB"/>
              </w:rPr>
            </w:pPr>
            <w:r>
              <w:rPr>
                <w:rFonts w:hAnsi="宋体"/>
                <w:szCs w:val="21"/>
                <w:lang w:val="en-GB"/>
              </w:rPr>
              <w:t>企业类型</w:t>
            </w:r>
          </w:p>
        </w:tc>
        <w:tc>
          <w:tcPr>
            <w:tcW w:w="1628" w:type="dxa"/>
            <w:vAlign w:val="center"/>
          </w:tcPr>
          <w:p>
            <w:pPr>
              <w:pStyle w:val="119"/>
              <w:tabs>
                <w:tab w:val="left" w:pos="1260"/>
              </w:tabs>
              <w:snapToGrid w:val="0"/>
              <w:spacing w:line="360" w:lineRule="auto"/>
              <w:jc w:val="center"/>
              <w:rPr>
                <w:szCs w:val="21"/>
                <w:lang w:val="en-GB"/>
              </w:rPr>
            </w:pPr>
            <w:r>
              <w:rPr>
                <w:rFonts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1366" w:type="dxa"/>
            <w:vAlign w:val="center"/>
          </w:tcPr>
          <w:p>
            <w:pPr>
              <w:pStyle w:val="119"/>
              <w:tabs>
                <w:tab w:val="left" w:pos="1260"/>
              </w:tabs>
              <w:snapToGrid w:val="0"/>
              <w:spacing w:line="360" w:lineRule="auto"/>
              <w:jc w:val="center"/>
              <w:rPr>
                <w:szCs w:val="21"/>
                <w:lang w:val="en-GB"/>
              </w:rPr>
            </w:pPr>
          </w:p>
        </w:tc>
        <w:tc>
          <w:tcPr>
            <w:tcW w:w="2130" w:type="dxa"/>
            <w:vAlign w:val="center"/>
          </w:tcPr>
          <w:p>
            <w:pPr>
              <w:pStyle w:val="119"/>
              <w:tabs>
                <w:tab w:val="left" w:pos="1260"/>
              </w:tabs>
              <w:snapToGrid w:val="0"/>
              <w:spacing w:line="360" w:lineRule="auto"/>
              <w:jc w:val="center"/>
              <w:rPr>
                <w:szCs w:val="21"/>
                <w:lang w:val="en-GB"/>
              </w:rPr>
            </w:pPr>
          </w:p>
        </w:tc>
        <w:tc>
          <w:tcPr>
            <w:tcW w:w="1965" w:type="dxa"/>
            <w:vAlign w:val="center"/>
          </w:tcPr>
          <w:p>
            <w:pPr>
              <w:pStyle w:val="119"/>
              <w:tabs>
                <w:tab w:val="left" w:pos="1260"/>
              </w:tabs>
              <w:snapToGrid w:val="0"/>
              <w:spacing w:line="360" w:lineRule="auto"/>
              <w:jc w:val="center"/>
              <w:rPr>
                <w:szCs w:val="21"/>
                <w:lang w:val="en-GB"/>
              </w:rPr>
            </w:pPr>
          </w:p>
        </w:tc>
        <w:tc>
          <w:tcPr>
            <w:tcW w:w="1611" w:type="dxa"/>
            <w:vAlign w:val="center"/>
          </w:tcPr>
          <w:p>
            <w:pPr>
              <w:pStyle w:val="119"/>
              <w:tabs>
                <w:tab w:val="left" w:pos="1260"/>
              </w:tabs>
              <w:snapToGrid w:val="0"/>
              <w:spacing w:line="360" w:lineRule="auto"/>
              <w:jc w:val="center"/>
              <w:rPr>
                <w:szCs w:val="21"/>
                <w:lang w:val="en-GB"/>
              </w:rPr>
            </w:pPr>
          </w:p>
        </w:tc>
        <w:tc>
          <w:tcPr>
            <w:tcW w:w="1628" w:type="dxa"/>
            <w:vAlign w:val="center"/>
          </w:tcPr>
          <w:p>
            <w:pPr>
              <w:pStyle w:val="119"/>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119"/>
              <w:tabs>
                <w:tab w:val="left" w:pos="1260"/>
              </w:tabs>
              <w:snapToGrid w:val="0"/>
              <w:spacing w:line="360" w:lineRule="auto"/>
              <w:jc w:val="center"/>
              <w:rPr>
                <w:szCs w:val="21"/>
                <w:lang w:val="en-GB"/>
              </w:rPr>
            </w:pPr>
          </w:p>
        </w:tc>
        <w:tc>
          <w:tcPr>
            <w:tcW w:w="7072" w:type="dxa"/>
            <w:gridSpan w:val="4"/>
            <w:vAlign w:val="center"/>
          </w:tcPr>
          <w:p>
            <w:pPr>
              <w:pStyle w:val="119"/>
              <w:tabs>
                <w:tab w:val="left" w:pos="1260"/>
              </w:tabs>
              <w:snapToGrid w:val="0"/>
              <w:spacing w:line="360" w:lineRule="auto"/>
              <w:jc w:val="center"/>
              <w:rPr>
                <w:szCs w:val="21"/>
                <w:lang w:val="en-GB"/>
              </w:rPr>
            </w:pPr>
            <w:r>
              <w:rPr>
                <w:rFonts w:hAnsi="宋体"/>
                <w:szCs w:val="21"/>
              </w:rPr>
              <w:t>小型、微型企业产品</w:t>
            </w:r>
            <w:r>
              <w:rPr>
                <w:rFonts w:hAnsi="宋体"/>
                <w:szCs w:val="21"/>
                <w:lang w:val="en-GB"/>
              </w:rPr>
              <w:t>金额合计</w:t>
            </w:r>
          </w:p>
        </w:tc>
        <w:tc>
          <w:tcPr>
            <w:tcW w:w="1628" w:type="dxa"/>
            <w:vAlign w:val="center"/>
          </w:tcPr>
          <w:p>
            <w:pPr>
              <w:pStyle w:val="119"/>
              <w:tabs>
                <w:tab w:val="left" w:pos="1260"/>
              </w:tabs>
              <w:snapToGrid w:val="0"/>
              <w:spacing w:line="360" w:lineRule="auto"/>
              <w:jc w:val="center"/>
              <w:rPr>
                <w:szCs w:val="21"/>
                <w:lang w:val="en-GB"/>
              </w:rPr>
            </w:pPr>
          </w:p>
        </w:tc>
      </w:tr>
    </w:tbl>
    <w:p>
      <w:pPr>
        <w:pStyle w:val="119"/>
        <w:tabs>
          <w:tab w:val="left" w:pos="1260"/>
        </w:tabs>
        <w:snapToGrid w:val="0"/>
        <w:spacing w:line="360" w:lineRule="auto"/>
        <w:rPr>
          <w:rFonts w:hAnsi="宋体"/>
          <w:szCs w:val="21"/>
        </w:rPr>
      </w:pPr>
      <w:bookmarkStart w:id="42" w:name="_Toc515011118"/>
      <w:bookmarkStart w:id="43" w:name="_Toc509218976"/>
      <w:bookmarkStart w:id="44" w:name="_Toc16182"/>
      <w:bookmarkStart w:id="45" w:name="_Toc513560346"/>
      <w:bookmarkStart w:id="46" w:name="_Toc508709359"/>
      <w:bookmarkStart w:id="47" w:name="_Toc515011017"/>
      <w:bookmarkStart w:id="48" w:name="_Toc18384"/>
      <w:bookmarkStart w:id="49" w:name="_Toc518478272"/>
      <w:bookmarkStart w:id="50" w:name="_Toc514337540"/>
      <w:bookmarkStart w:id="51" w:name="_Toc514420711"/>
      <w:bookmarkStart w:id="52" w:name="_Toc6057"/>
      <w:r>
        <w:rPr>
          <w:rFonts w:hAnsi="宋体"/>
          <w:szCs w:val="21"/>
        </w:rPr>
        <w:t>填报要求：</w:t>
      </w:r>
      <w:bookmarkEnd w:id="42"/>
      <w:bookmarkEnd w:id="43"/>
      <w:bookmarkEnd w:id="44"/>
      <w:bookmarkEnd w:id="45"/>
      <w:bookmarkEnd w:id="46"/>
      <w:bookmarkEnd w:id="47"/>
      <w:bookmarkEnd w:id="48"/>
      <w:bookmarkEnd w:id="49"/>
      <w:bookmarkEnd w:id="50"/>
      <w:bookmarkEnd w:id="51"/>
      <w:bookmarkEnd w:id="52"/>
    </w:p>
    <w:p>
      <w:pPr>
        <w:pStyle w:val="119"/>
        <w:tabs>
          <w:tab w:val="left" w:pos="1260"/>
        </w:tabs>
        <w:snapToGrid w:val="0"/>
        <w:spacing w:line="360" w:lineRule="auto"/>
        <w:rPr>
          <w:rFonts w:hAnsi="宋体"/>
          <w:szCs w:val="21"/>
        </w:rPr>
      </w:pPr>
      <w:bookmarkStart w:id="53" w:name="_Toc18997"/>
      <w:bookmarkStart w:id="54" w:name="_Toc27763"/>
      <w:bookmarkStart w:id="55" w:name="_Toc21278"/>
      <w:bookmarkStart w:id="56" w:name="_Toc508709360"/>
      <w:bookmarkStart w:id="57" w:name="_Toc513560347"/>
      <w:bookmarkStart w:id="58" w:name="_Toc515011119"/>
      <w:bookmarkStart w:id="59" w:name="_Toc514337541"/>
      <w:bookmarkStart w:id="60" w:name="_Toc515011018"/>
      <w:bookmarkStart w:id="61" w:name="_Toc514420712"/>
      <w:bookmarkStart w:id="62" w:name="_Toc509218977"/>
      <w:bookmarkStart w:id="63" w:name="_Toc518478273"/>
      <w:r>
        <w:rPr>
          <w:rFonts w:hAnsi="宋体"/>
          <w:szCs w:val="21"/>
        </w:rPr>
        <w:t>1. 本表的</w:t>
      </w:r>
      <w:r>
        <w:rPr>
          <w:rFonts w:hint="eastAsia" w:hAnsi="宋体"/>
          <w:szCs w:val="21"/>
        </w:rPr>
        <w:t>“货物</w:t>
      </w:r>
      <w:r>
        <w:rPr>
          <w:rFonts w:hAnsi="宋体"/>
          <w:szCs w:val="21"/>
        </w:rPr>
        <w:t>名称</w:t>
      </w:r>
      <w:r>
        <w:rPr>
          <w:rFonts w:hint="eastAsia" w:hAnsi="宋体"/>
          <w:szCs w:val="21"/>
        </w:rPr>
        <w:t>”</w:t>
      </w:r>
      <w:r>
        <w:rPr>
          <w:rFonts w:hAnsi="宋体"/>
          <w:szCs w:val="21"/>
        </w:rPr>
        <w:t>、</w:t>
      </w:r>
      <w:r>
        <w:rPr>
          <w:rFonts w:hint="eastAsia" w:hAnsi="宋体"/>
          <w:szCs w:val="21"/>
        </w:rPr>
        <w:t>“</w:t>
      </w:r>
      <w:r>
        <w:rPr>
          <w:rFonts w:hAnsi="宋体"/>
          <w:szCs w:val="21"/>
        </w:rPr>
        <w:t>品牌</w:t>
      </w:r>
      <w:r>
        <w:rPr>
          <w:rFonts w:hint="eastAsia" w:hAnsi="宋体"/>
          <w:szCs w:val="21"/>
        </w:rPr>
        <w:t>规格型号”、“金额”</w:t>
      </w:r>
      <w:r>
        <w:rPr>
          <w:rFonts w:hAnsi="宋体"/>
          <w:szCs w:val="21"/>
        </w:rPr>
        <w:t>应与《</w:t>
      </w:r>
      <w:r>
        <w:rPr>
          <w:rFonts w:hint="eastAsia" w:hAnsi="宋体"/>
          <w:szCs w:val="21"/>
        </w:rPr>
        <w:t>开标一览表</w:t>
      </w:r>
      <w:r>
        <w:rPr>
          <w:rFonts w:hAnsi="宋体"/>
          <w:szCs w:val="21"/>
        </w:rPr>
        <w:t>》</w:t>
      </w:r>
      <w:r>
        <w:rPr>
          <w:rFonts w:hint="eastAsia" w:hAnsi="宋体"/>
          <w:szCs w:val="21"/>
        </w:rPr>
        <w:t>的“货物名称”、“</w:t>
      </w:r>
      <w:r>
        <w:rPr>
          <w:rFonts w:hAnsi="宋体"/>
          <w:szCs w:val="21"/>
        </w:rPr>
        <w:t>品牌</w:t>
      </w:r>
      <w:r>
        <w:rPr>
          <w:rFonts w:hint="eastAsia" w:hAnsi="宋体"/>
          <w:szCs w:val="21"/>
        </w:rPr>
        <w:t>规格型号”、“投标单价”</w:t>
      </w:r>
      <w:r>
        <w:rPr>
          <w:rFonts w:hAnsi="宋体"/>
          <w:szCs w:val="21"/>
        </w:rPr>
        <w:t>一致</w:t>
      </w:r>
      <w:r>
        <w:rPr>
          <w:rFonts w:hint="eastAsia" w:hAnsi="宋体"/>
          <w:szCs w:val="21"/>
        </w:rPr>
        <w:t>。</w:t>
      </w:r>
      <w:bookmarkEnd w:id="53"/>
      <w:bookmarkEnd w:id="54"/>
      <w:bookmarkEnd w:id="55"/>
      <w:bookmarkEnd w:id="56"/>
      <w:bookmarkEnd w:id="57"/>
      <w:bookmarkEnd w:id="58"/>
      <w:bookmarkEnd w:id="59"/>
      <w:bookmarkEnd w:id="60"/>
      <w:bookmarkEnd w:id="61"/>
      <w:bookmarkEnd w:id="62"/>
      <w:bookmarkEnd w:id="63"/>
    </w:p>
    <w:p>
      <w:pPr>
        <w:pStyle w:val="119"/>
        <w:tabs>
          <w:tab w:val="left" w:pos="1260"/>
        </w:tabs>
        <w:snapToGrid w:val="0"/>
        <w:spacing w:line="360" w:lineRule="auto"/>
        <w:rPr>
          <w:rFonts w:hAnsi="宋体"/>
          <w:szCs w:val="21"/>
        </w:rPr>
      </w:pPr>
      <w:bookmarkStart w:id="64" w:name="_Toc508709361"/>
      <w:bookmarkStart w:id="65" w:name="_Toc4592"/>
      <w:bookmarkStart w:id="66" w:name="_Toc27098"/>
      <w:bookmarkStart w:id="67" w:name="_Toc18212"/>
      <w:bookmarkStart w:id="68" w:name="_Toc514420713"/>
      <w:bookmarkStart w:id="69" w:name="_Toc518478274"/>
      <w:bookmarkStart w:id="70" w:name="_Toc515011120"/>
      <w:bookmarkStart w:id="71" w:name="_Toc513560348"/>
      <w:bookmarkStart w:id="72" w:name="_Toc515011019"/>
      <w:bookmarkStart w:id="73" w:name="_Toc509218978"/>
      <w:bookmarkStart w:id="74" w:name="_Toc514337542"/>
      <w:r>
        <w:rPr>
          <w:rFonts w:hAnsi="宋体"/>
          <w:szCs w:val="21"/>
        </w:rPr>
        <w:t>2. “制造商企业类型”栏填写内容</w:t>
      </w:r>
      <w:r>
        <w:rPr>
          <w:rFonts w:hint="eastAsia" w:hAnsi="宋体"/>
          <w:szCs w:val="21"/>
        </w:rPr>
        <w:t>应</w:t>
      </w:r>
      <w:r>
        <w:rPr>
          <w:rFonts w:hAnsi="宋体"/>
          <w:szCs w:val="21"/>
        </w:rPr>
        <w:t>为“小型”</w:t>
      </w:r>
      <w:r>
        <w:rPr>
          <w:rFonts w:hint="eastAsia" w:hAnsi="宋体"/>
          <w:szCs w:val="21"/>
        </w:rPr>
        <w:t>、</w:t>
      </w:r>
      <w:r>
        <w:rPr>
          <w:rFonts w:hAnsi="宋体"/>
          <w:szCs w:val="21"/>
        </w:rPr>
        <w:t>“微型”</w:t>
      </w:r>
      <w:r>
        <w:rPr>
          <w:rFonts w:hint="eastAsia" w:hAnsi="宋体"/>
          <w:szCs w:val="21"/>
        </w:rPr>
        <w:t>、“监狱企业”或“残疾人福利性单位”</w:t>
      </w:r>
      <w:r>
        <w:rPr>
          <w:rFonts w:hAnsi="宋体"/>
          <w:szCs w:val="21"/>
        </w:rPr>
        <w:t>。</w:t>
      </w:r>
      <w:bookmarkEnd w:id="64"/>
      <w:bookmarkEnd w:id="65"/>
      <w:bookmarkEnd w:id="66"/>
      <w:bookmarkEnd w:id="67"/>
      <w:bookmarkEnd w:id="68"/>
      <w:bookmarkEnd w:id="69"/>
      <w:bookmarkEnd w:id="70"/>
      <w:bookmarkEnd w:id="71"/>
      <w:bookmarkEnd w:id="72"/>
      <w:bookmarkEnd w:id="73"/>
      <w:bookmarkEnd w:id="74"/>
    </w:p>
    <w:p>
      <w:pPr>
        <w:pStyle w:val="119"/>
        <w:tabs>
          <w:tab w:val="left" w:pos="1260"/>
        </w:tabs>
        <w:snapToGrid w:val="0"/>
        <w:spacing w:line="360" w:lineRule="auto"/>
        <w:rPr>
          <w:rFonts w:hAnsi="宋体"/>
          <w:szCs w:val="21"/>
        </w:rPr>
      </w:pPr>
      <w:bookmarkStart w:id="75" w:name="_Toc32452"/>
      <w:bookmarkStart w:id="76" w:name="_Toc508709362"/>
      <w:bookmarkStart w:id="77" w:name="_Toc515011020"/>
      <w:bookmarkStart w:id="78" w:name="_Toc513560349"/>
      <w:bookmarkStart w:id="79" w:name="_Toc11702"/>
      <w:bookmarkStart w:id="80" w:name="_Toc26567"/>
      <w:bookmarkStart w:id="81" w:name="_Toc509218979"/>
      <w:bookmarkStart w:id="82" w:name="_Toc514337543"/>
      <w:bookmarkStart w:id="83" w:name="_Toc514420714"/>
      <w:bookmarkStart w:id="84" w:name="_Toc515011121"/>
      <w:bookmarkStart w:id="85" w:name="_Toc518478275"/>
      <w:r>
        <w:rPr>
          <w:rFonts w:hint="eastAsia" w:hAnsi="宋体"/>
          <w:szCs w:val="21"/>
        </w:rPr>
        <w:t>3</w:t>
      </w:r>
      <w:r>
        <w:rPr>
          <w:rFonts w:hAnsi="宋体"/>
          <w:szCs w:val="21"/>
        </w:rPr>
        <w:t>. 请投标人正确填写本表，所填内容将作为</w:t>
      </w:r>
      <w:r>
        <w:rPr>
          <w:rFonts w:hint="eastAsia" w:hAnsi="宋体"/>
          <w:szCs w:val="21"/>
        </w:rPr>
        <w:t>报价的</w:t>
      </w:r>
      <w:r>
        <w:rPr>
          <w:rFonts w:hAnsi="宋体"/>
          <w:szCs w:val="21"/>
        </w:rPr>
        <w:t>评分依据。如果填写不完整或有误，不再享受上述政策优惠。</w:t>
      </w:r>
      <w:bookmarkEnd w:id="75"/>
      <w:bookmarkEnd w:id="76"/>
      <w:bookmarkEnd w:id="77"/>
      <w:bookmarkEnd w:id="78"/>
      <w:bookmarkEnd w:id="79"/>
      <w:bookmarkEnd w:id="80"/>
      <w:bookmarkEnd w:id="81"/>
      <w:bookmarkEnd w:id="82"/>
      <w:bookmarkEnd w:id="83"/>
      <w:bookmarkEnd w:id="84"/>
      <w:bookmarkEnd w:id="85"/>
    </w:p>
    <w:p>
      <w:pPr>
        <w:pStyle w:val="119"/>
        <w:tabs>
          <w:tab w:val="left" w:pos="1260"/>
        </w:tabs>
        <w:snapToGrid w:val="0"/>
        <w:spacing w:line="360" w:lineRule="auto"/>
        <w:rPr>
          <w:rFonts w:hAnsi="宋体"/>
          <w:b/>
          <w:szCs w:val="21"/>
        </w:rPr>
      </w:pPr>
      <w:r>
        <w:rPr>
          <w:rFonts w:hint="eastAsia" w:hAnsi="宋体"/>
          <w:b/>
          <w:szCs w:val="21"/>
        </w:rPr>
        <w:t>４．该表格只针对货物类招标项目。</w:t>
      </w:r>
    </w:p>
    <w:p>
      <w:pPr>
        <w:spacing w:line="360" w:lineRule="auto"/>
        <w:ind w:firstLine="420" w:firstLineChars="200"/>
        <w:outlineLvl w:val="0"/>
      </w:pPr>
    </w:p>
    <w:p>
      <w:pPr>
        <w:spacing w:line="360" w:lineRule="auto"/>
        <w:ind w:firstLine="420" w:firstLineChars="200"/>
        <w:outlineLvl w:val="0"/>
      </w:pPr>
    </w:p>
    <w:p>
      <w:pPr>
        <w:spacing w:beforeLines="50" w:line="360" w:lineRule="auto"/>
        <w:ind w:left="3969" w:leftChars="1890" w:right="-21" w:rightChars="-10" w:firstLine="945" w:firstLineChars="450"/>
        <w:rPr>
          <w:rFonts w:ascii="仿宋_GB2312" w:hAnsi="宋体"/>
        </w:rPr>
      </w:pPr>
      <w:r>
        <w:rPr>
          <w:rFonts w:hint="eastAsia" w:ascii="仿宋_GB2312" w:hAnsi="宋体"/>
        </w:rPr>
        <w:t>投标人（盖章）：</w:t>
      </w:r>
    </w:p>
    <w:p>
      <w:pPr>
        <w:spacing w:beforeLines="50" w:line="360" w:lineRule="auto"/>
        <w:ind w:left="3969" w:leftChars="1890" w:right="-21" w:rightChars="-10" w:firstLine="945" w:firstLineChars="450"/>
        <w:rPr>
          <w:rFonts w:ascii="仿宋_GB2312" w:hAnsi="宋体"/>
        </w:rPr>
      </w:pPr>
      <w:r>
        <w:rPr>
          <w:rFonts w:hint="eastAsia" w:ascii="仿宋_GB2312" w:hAnsi="宋体"/>
        </w:rPr>
        <w:t>日期：</w:t>
      </w:r>
    </w:p>
    <w:p/>
    <w:p/>
    <w:p/>
    <w:p/>
    <w:p/>
    <w:p>
      <w:pPr>
        <w:snapToGrid w:val="0"/>
        <w:spacing w:before="50" w:after="50"/>
        <w:jc w:val="center"/>
        <w:rPr>
          <w:rFonts w:ascii="仿宋" w:hAnsi="仿宋" w:eastAsia="仿宋"/>
          <w:b/>
          <w:sz w:val="36"/>
          <w:szCs w:val="36"/>
        </w:rPr>
      </w:pPr>
      <w:r>
        <w:rPr>
          <w:rFonts w:hint="eastAsia" w:ascii="仿宋" w:hAnsi="仿宋" w:eastAsia="仿宋"/>
          <w:b/>
          <w:sz w:val="36"/>
          <w:szCs w:val="36"/>
        </w:rPr>
        <w:t>十、质 疑 函 范 本（供参考）</w:t>
      </w:r>
    </w:p>
    <w:p>
      <w:pPr>
        <w:snapToGrid w:val="0"/>
        <w:spacing w:beforeLines="100"/>
        <w:rPr>
          <w:rFonts w:ascii="宋体" w:hAnsi="宋体" w:cs="仿宋"/>
          <w:bCs/>
        </w:rPr>
      </w:pPr>
      <w:r>
        <w:rPr>
          <w:rFonts w:hint="eastAsia" w:ascii="宋体" w:hAnsi="宋体" w:cs="仿宋"/>
          <w:bCs/>
        </w:rPr>
        <w:t>一、质疑供应商基本信息</w:t>
      </w:r>
    </w:p>
    <w:p>
      <w:pPr>
        <w:snapToGrid w:val="0"/>
        <w:rPr>
          <w:rFonts w:ascii="宋体" w:hAnsi="宋体" w:cs="仿宋"/>
          <w:u w:val="dotted"/>
        </w:rPr>
      </w:pPr>
      <w:r>
        <w:rPr>
          <w:rFonts w:hint="eastAsia" w:ascii="宋体" w:hAnsi="宋体" w:cs="仿宋"/>
        </w:rPr>
        <w:t>质疑供应商：</w:t>
      </w:r>
      <w:r>
        <w:rPr>
          <w:rFonts w:hint="eastAsia" w:ascii="宋体" w:hAnsi="宋体" w:cs="仿宋"/>
          <w:u w:val="dotted"/>
        </w:rPr>
        <w:t xml:space="preserve">                                        </w:t>
      </w:r>
    </w:p>
    <w:p>
      <w:pPr>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hint="eastAsia" w:ascii="宋体" w:hAnsi="宋体" w:cs="仿宋"/>
        </w:rPr>
        <w:t xml:space="preserve"> </w:t>
      </w:r>
    </w:p>
    <w:p>
      <w:pPr>
        <w:snapToGrid w:val="0"/>
        <w:rPr>
          <w:rFonts w:ascii="宋体" w:hAnsi="宋体" w:cs="仿宋"/>
        </w:rPr>
      </w:pPr>
      <w:r>
        <w:rPr>
          <w:rFonts w:hint="eastAsia" w:ascii="宋体" w:hAnsi="宋体" w:cs="仿宋"/>
        </w:rPr>
        <w:t xml:space="preserve">地址：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二、质疑项目基本情况</w:t>
      </w:r>
    </w:p>
    <w:p>
      <w:pPr>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包号（如有请填写）：</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招标文件获取日期：</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三、质疑事项具体内容</w:t>
      </w:r>
    </w:p>
    <w:p>
      <w:pPr>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snapToGrid w:val="0"/>
        <w:rPr>
          <w:rFonts w:ascii="宋体" w:hAnsi="宋体" w:cs="仿宋"/>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质疑事项2</w:t>
      </w:r>
    </w:p>
    <w:p>
      <w:pPr>
        <w:snapToGrid w:val="0"/>
        <w:rPr>
          <w:rFonts w:ascii="宋体" w:hAnsi="宋体" w:cs="仿宋"/>
        </w:rPr>
      </w:pPr>
      <w:r>
        <w:rPr>
          <w:rFonts w:hint="eastAsia" w:ascii="宋体" w:hAnsi="宋体" w:cs="仿宋"/>
        </w:rPr>
        <w:t>……</w:t>
      </w:r>
    </w:p>
    <w:p>
      <w:pPr>
        <w:snapToGrid w:val="0"/>
        <w:rPr>
          <w:rFonts w:ascii="宋体" w:hAnsi="宋体" w:cs="仿宋"/>
          <w:bCs/>
        </w:rPr>
      </w:pPr>
      <w:r>
        <w:rPr>
          <w:rFonts w:hint="eastAsia" w:ascii="宋体" w:hAnsi="宋体" w:cs="仿宋"/>
          <w:bCs/>
        </w:rPr>
        <w:t>四、与质疑事项相关的质疑请求</w:t>
      </w:r>
    </w:p>
    <w:p>
      <w:pPr>
        <w:snapToGrid w:val="0"/>
        <w:rPr>
          <w:rFonts w:ascii="宋体" w:hAnsi="宋体" w:cs="仿宋"/>
          <w:u w:val="dotted"/>
        </w:rPr>
      </w:pPr>
      <w:r>
        <w:rPr>
          <w:rFonts w:hint="eastAsia" w:ascii="宋体" w:hAnsi="宋体" w:cs="仿宋"/>
        </w:rPr>
        <w:t>请求：</w:t>
      </w:r>
      <w:r>
        <w:rPr>
          <w:rFonts w:hint="eastAsia" w:ascii="宋体" w:hAnsi="宋体" w:cs="仿宋"/>
          <w:u w:val="dotted"/>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cs="仿宋"/>
        </w:rPr>
      </w:pPr>
    </w:p>
    <w:p>
      <w:pPr>
        <w:rPr>
          <w:rFonts w:ascii="宋体" w:hAnsi="宋体"/>
          <w:b/>
        </w:rPr>
      </w:pPr>
      <w:r>
        <w:rPr>
          <w:rFonts w:hint="eastAsia" w:ascii="宋体" w:hAnsi="宋体"/>
          <w:b/>
        </w:rPr>
        <w:t>质疑函制作说明：</w:t>
      </w:r>
    </w:p>
    <w:p>
      <w:pPr>
        <w:ind w:firstLine="420" w:firstLineChars="200"/>
        <w:rPr>
          <w:rFonts w:ascii="宋体" w:hAnsi="宋体"/>
        </w:rPr>
      </w:pPr>
      <w:r>
        <w:rPr>
          <w:rFonts w:hint="eastAsia" w:ascii="宋体" w:hAnsi="宋体"/>
        </w:rPr>
        <w:t>1.供应商提出质疑时，应提交质疑函和必要的证明材料。</w:t>
      </w:r>
    </w:p>
    <w:p>
      <w:pPr>
        <w:ind w:firstLine="420" w:firstLineChars="200"/>
        <w:rPr>
          <w:rFonts w:ascii="宋体" w:hAnsi="宋体"/>
        </w:rPr>
      </w:pPr>
      <w:r>
        <w:rPr>
          <w:rFonts w:hint="eastAsia" w:ascii="宋体" w:hAnsi="宋体"/>
        </w:rPr>
        <w:t>2.质疑供应商若委托代理人进行质疑的，质疑函应按要求列明“授权代表”的有关内容，并在附件中提交由质疑</w:t>
      </w:r>
      <w:r>
        <w:rPr>
          <w:rFonts w:hint="eastAsia" w:ascii="宋体" w:hAnsi="宋体" w:cs="宋体"/>
        </w:rPr>
        <w:t>供应商签署的授权委托书。授权委托书应载明代理人的姓名或者名称、代理事项、具体权限、期限和相关事项。</w:t>
      </w:r>
    </w:p>
    <w:p>
      <w:pPr>
        <w:ind w:firstLine="420" w:firstLineChars="200"/>
        <w:rPr>
          <w:rFonts w:ascii="宋体" w:hAnsi="宋体"/>
        </w:rPr>
      </w:pPr>
      <w:r>
        <w:rPr>
          <w:rFonts w:hint="eastAsia" w:ascii="宋体" w:hAnsi="宋体"/>
        </w:rPr>
        <w:t>3.质疑供应商若对项目的某一分包进行质疑，质疑函中应列明具体分包号。</w:t>
      </w:r>
    </w:p>
    <w:p>
      <w:pPr>
        <w:ind w:firstLine="420" w:firstLineChars="200"/>
        <w:rPr>
          <w:rFonts w:ascii="宋体" w:hAnsi="宋体"/>
        </w:rPr>
      </w:pPr>
      <w:r>
        <w:rPr>
          <w:rFonts w:hint="eastAsia" w:ascii="宋体" w:hAnsi="宋体"/>
        </w:rPr>
        <w:t>4.质疑函的质疑事项应具体、明确，并有必要的事实依据和法律依据。</w:t>
      </w:r>
    </w:p>
    <w:p>
      <w:pPr>
        <w:ind w:firstLine="420" w:firstLineChars="200"/>
        <w:rPr>
          <w:rFonts w:ascii="宋体" w:hAnsi="宋体"/>
        </w:rPr>
      </w:pPr>
      <w:r>
        <w:rPr>
          <w:rFonts w:hint="eastAsia" w:ascii="宋体" w:hAnsi="宋体"/>
        </w:rPr>
        <w:t>5.质疑函的质疑请求应与质疑事项相关。</w:t>
      </w:r>
    </w:p>
    <w:p>
      <w:pPr>
        <w:ind w:firstLine="420" w:firstLineChars="200"/>
        <w:rPr>
          <w:rFonts w:ascii="宋体" w:hAnsi="宋体"/>
        </w:rPr>
      </w:pPr>
      <w:r>
        <w:rPr>
          <w:rFonts w:hint="eastAsia" w:ascii="宋体" w:hAnsi="宋体"/>
        </w:rPr>
        <w:t>6.质疑供应商为自然人的，质疑函应由本人签字；质疑供应商为法人或者其他组织的，质疑函应由法定代表人、主要负责人，或者其授权代表签字或者盖章，并加盖公章。</w:t>
      </w: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十一、投 诉 书 范 本（供参考）</w:t>
      </w:r>
    </w:p>
    <w:p>
      <w:pPr>
        <w:rPr>
          <w:rFonts w:ascii="宋体" w:hAnsi="宋体"/>
        </w:rPr>
      </w:pPr>
      <w:r>
        <w:rPr>
          <w:rFonts w:hint="eastAsia" w:ascii="宋体" w:hAnsi="宋体"/>
        </w:rPr>
        <w:t>一、投诉相关主体基本情况</w:t>
      </w:r>
    </w:p>
    <w:p>
      <w:pPr>
        <w:snapToGrid w:val="0"/>
        <w:rPr>
          <w:rFonts w:ascii="宋体" w:hAnsi="宋体" w:cs="仿宋"/>
          <w:u w:val="dotted"/>
        </w:rPr>
      </w:pPr>
      <w:r>
        <w:rPr>
          <w:rFonts w:hint="eastAsia" w:ascii="宋体" w:hAnsi="宋体" w:cs="仿宋"/>
        </w:rPr>
        <w:t>投诉人：</w:t>
      </w:r>
      <w:r>
        <w:rPr>
          <w:rFonts w:hint="eastAsia" w:ascii="宋体" w:hAnsi="宋体" w:cs="仿宋"/>
          <w:u w:val="dotted"/>
        </w:rPr>
        <w:t xml:space="preserve">                                               </w:t>
      </w:r>
    </w:p>
    <w:p>
      <w:pPr>
        <w:rPr>
          <w:rFonts w:ascii="宋体" w:hAnsi="宋体"/>
          <w:u w:val="single"/>
        </w:rPr>
      </w:pPr>
      <w:r>
        <w:rPr>
          <w:rFonts w:hint="eastAsia" w:ascii="宋体" w:hAnsi="宋体" w:cs="仿宋"/>
        </w:rPr>
        <w:t>地     址：</w:t>
      </w:r>
      <w:r>
        <w:rPr>
          <w:rFonts w:hint="eastAsia" w:ascii="宋体" w:hAnsi="宋体" w:cs="仿宋"/>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tabs>
          <w:tab w:val="left" w:pos="6510"/>
        </w:tabs>
        <w:rPr>
          <w:rFonts w:ascii="宋体" w:hAnsi="宋体"/>
        </w:rPr>
      </w:pPr>
      <w:r>
        <w:rPr>
          <w:rFonts w:hint="eastAsia" w:ascii="宋体" w:hAnsi="宋体"/>
        </w:rPr>
        <w:t>法定代表人/主要负责人：</w:t>
      </w:r>
      <w:r>
        <w:rPr>
          <w:rFonts w:hint="eastAsia" w:ascii="宋体" w:hAnsi="宋体"/>
          <w:u w:val="dotted"/>
        </w:rPr>
        <w:t xml:space="preserve">                                   </w:t>
      </w:r>
      <w:r>
        <w:rPr>
          <w:rFonts w:hint="eastAsia" w:ascii="宋体" w:hAnsi="宋体"/>
        </w:rPr>
        <w:t xml:space="preserve">  </w:t>
      </w:r>
    </w:p>
    <w:p>
      <w:pPr>
        <w:tabs>
          <w:tab w:val="left" w:pos="6510"/>
        </w:tabs>
        <w:rPr>
          <w:rFonts w:ascii="宋体" w:hAnsi="宋体"/>
          <w:u w:val="dotted"/>
        </w:rPr>
      </w:pP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授权代表：</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r>
        <w:rPr>
          <w:rFonts w:hint="eastAsia" w:ascii="宋体" w:hAnsi="宋体"/>
          <w:u w:val="dotted"/>
        </w:rPr>
        <w:t xml:space="preserve">                   </w:t>
      </w:r>
    </w:p>
    <w:p>
      <w:pPr>
        <w:rPr>
          <w:rFonts w:ascii="宋体" w:hAnsi="宋体"/>
          <w:u w:val="single"/>
        </w:rPr>
      </w:pPr>
      <w:r>
        <w:rPr>
          <w:rFonts w:hint="eastAsia" w:ascii="宋体" w:hAnsi="宋体"/>
        </w:rPr>
        <w:t>被投诉人1：</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被投诉人2</w:t>
      </w:r>
    </w:p>
    <w:p>
      <w:pPr>
        <w:rPr>
          <w:rFonts w:ascii="宋体" w:hAnsi="宋体"/>
          <w:u w:val="dotted"/>
        </w:rPr>
      </w:pPr>
      <w:r>
        <w:rPr>
          <w:rFonts w:hint="eastAsia" w:ascii="宋体" w:hAnsi="宋体"/>
        </w:rPr>
        <w:t>……</w:t>
      </w:r>
    </w:p>
    <w:p>
      <w:pPr>
        <w:rPr>
          <w:rFonts w:ascii="宋体" w:hAnsi="宋体"/>
          <w:u w:val="single"/>
        </w:rPr>
      </w:pPr>
      <w:r>
        <w:rPr>
          <w:rFonts w:hint="eastAsia" w:ascii="宋体" w:hAnsi="宋体"/>
        </w:rPr>
        <w:t>相关供应商：</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二、投诉项目基本情况</w:t>
      </w:r>
    </w:p>
    <w:p>
      <w:pPr>
        <w:rPr>
          <w:rFonts w:ascii="宋体" w:hAnsi="宋体"/>
          <w:u w:val="dotted"/>
        </w:rPr>
      </w:pPr>
      <w:r>
        <w:rPr>
          <w:rFonts w:hint="eastAsia" w:ascii="宋体" w:hAnsi="宋体"/>
        </w:rPr>
        <w:t>采购项目名称：</w:t>
      </w:r>
      <w:r>
        <w:rPr>
          <w:rFonts w:hint="eastAsia" w:ascii="宋体" w:hAnsi="宋体"/>
          <w:u w:val="dotted"/>
        </w:rPr>
        <w:t xml:space="preserve">                                        </w:t>
      </w:r>
    </w:p>
    <w:p>
      <w:pPr>
        <w:rPr>
          <w:rFonts w:ascii="宋体" w:hAnsi="宋体"/>
          <w:u w:val="single"/>
        </w:rPr>
      </w:pPr>
      <w:r>
        <w:rPr>
          <w:rFonts w:hint="eastAsia" w:ascii="宋体" w:hAnsi="宋体"/>
        </w:rPr>
        <w:t>采购项目编号：</w:t>
      </w:r>
      <w:r>
        <w:rPr>
          <w:rFonts w:hint="eastAsia" w:ascii="宋体" w:hAnsi="宋体"/>
          <w:u w:val="dotted"/>
        </w:rPr>
        <w:t xml:space="preserve">                 </w:t>
      </w:r>
      <w:r>
        <w:rPr>
          <w:rFonts w:hint="eastAsia" w:ascii="宋体" w:hAnsi="宋体"/>
        </w:rPr>
        <w:t>包号：</w:t>
      </w:r>
      <w:r>
        <w:rPr>
          <w:rFonts w:hint="eastAsia" w:ascii="宋体" w:hAnsi="宋体"/>
          <w:u w:val="dotted"/>
        </w:rPr>
        <w:t xml:space="preserve">              </w:t>
      </w:r>
    </w:p>
    <w:p>
      <w:pPr>
        <w:rPr>
          <w:rFonts w:ascii="宋体" w:hAnsi="宋体"/>
        </w:rPr>
      </w:pPr>
      <w:r>
        <w:rPr>
          <w:rFonts w:hint="eastAsia" w:ascii="宋体" w:hAnsi="宋体"/>
        </w:rPr>
        <w:t>采购人名称：</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代理机构名称：</w:t>
      </w:r>
      <w:r>
        <w:rPr>
          <w:rFonts w:hint="eastAsia" w:ascii="宋体" w:hAnsi="宋体"/>
          <w:u w:val="dotted"/>
        </w:rPr>
        <w:t xml:space="preserve">                                         </w:t>
      </w:r>
    </w:p>
    <w:p>
      <w:pPr>
        <w:rPr>
          <w:rFonts w:ascii="宋体" w:hAnsi="宋体"/>
          <w:u w:val="dotted"/>
        </w:rPr>
      </w:pPr>
      <w:r>
        <w:rPr>
          <w:rFonts w:hint="eastAsia" w:ascii="宋体" w:hAnsi="宋体"/>
        </w:rPr>
        <w:t>招标文件公告: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rPr>
      </w:pPr>
      <w:r>
        <w:rPr>
          <w:rFonts w:hint="eastAsia" w:ascii="宋体" w:hAnsi="宋体"/>
        </w:rPr>
        <w:t>三、质疑基本情况</w:t>
      </w:r>
    </w:p>
    <w:p>
      <w:pPr>
        <w:ind w:firstLine="420" w:firstLineChars="200"/>
        <w:rPr>
          <w:rFonts w:ascii="宋体" w:hAnsi="宋体"/>
          <w:u w:val="dotted"/>
        </w:rPr>
      </w:pPr>
      <w:r>
        <w:rPr>
          <w:rFonts w:hint="eastAsia" w:ascii="宋体" w:hAnsi="宋体"/>
        </w:rPr>
        <w:t>投诉人于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日,向</w:t>
      </w:r>
      <w:r>
        <w:rPr>
          <w:rFonts w:hint="eastAsia" w:ascii="宋体" w:hAnsi="宋体"/>
          <w:u w:val="dotted"/>
        </w:rPr>
        <w:t xml:space="preserve">                   </w:t>
      </w:r>
      <w:r>
        <w:rPr>
          <w:rFonts w:hint="eastAsia" w:ascii="宋体" w:hAnsi="宋体"/>
        </w:rPr>
        <w:t>提出质疑，质疑事项为：</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r>
        <w:rPr>
          <w:rFonts w:hint="eastAsia" w:ascii="宋体" w:hAnsi="宋体"/>
        </w:rPr>
        <w:t xml:space="preserve">  </w:t>
      </w:r>
    </w:p>
    <w:p>
      <w:pPr>
        <w:ind w:firstLine="315" w:firstLineChars="150"/>
        <w:rPr>
          <w:rFonts w:ascii="宋体" w:hAnsi="宋体"/>
        </w:rPr>
      </w:pPr>
      <w:r>
        <w:rPr>
          <w:rFonts w:hint="eastAsia" w:ascii="宋体" w:hAnsi="宋体"/>
          <w:u w:val="dotted"/>
        </w:rPr>
        <w:t>采购人/代理机构</w:t>
      </w:r>
      <w:r>
        <w:rPr>
          <w:rFonts w:hint="eastAsia" w:ascii="宋体" w:hAnsi="宋体"/>
        </w:rPr>
        <w:t>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日,就质疑事项作出了答复/没有在法定期限内作出答复。</w:t>
      </w:r>
    </w:p>
    <w:p>
      <w:pPr>
        <w:rPr>
          <w:rFonts w:ascii="宋体" w:hAnsi="宋体"/>
        </w:rPr>
      </w:pPr>
      <w:r>
        <w:rPr>
          <w:rFonts w:hint="eastAsia" w:ascii="宋体" w:hAnsi="宋体"/>
        </w:rPr>
        <w:t>四、投诉事项具体内容</w:t>
      </w:r>
    </w:p>
    <w:p>
      <w:pPr>
        <w:rPr>
          <w:rFonts w:ascii="宋体" w:hAnsi="宋体"/>
          <w:u w:val="single"/>
        </w:rPr>
      </w:pPr>
      <w:r>
        <w:rPr>
          <w:rFonts w:hint="eastAsia" w:ascii="宋体" w:hAnsi="宋体"/>
        </w:rPr>
        <w:t>投诉事项 1：</w:t>
      </w:r>
      <w:r>
        <w:rPr>
          <w:rFonts w:hint="eastAsia" w:ascii="宋体" w:hAnsi="宋体"/>
          <w:u w:val="dotted"/>
        </w:rPr>
        <w:t xml:space="preserve">                                       </w:t>
      </w:r>
    </w:p>
    <w:p>
      <w:pPr>
        <w:rPr>
          <w:rFonts w:ascii="宋体" w:hAnsi="宋体"/>
        </w:rPr>
      </w:pPr>
      <w:r>
        <w:rPr>
          <w:rFonts w:hint="eastAsia" w:ascii="宋体" w:hAnsi="宋体"/>
        </w:rPr>
        <w:t>事实依据：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u w:val="single"/>
        </w:rPr>
      </w:pPr>
      <w:r>
        <w:rPr>
          <w:rFonts w:hint="eastAsia" w:ascii="宋体" w:hAnsi="宋体"/>
        </w:rPr>
        <w:t>法律依据：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rPr>
      </w:pPr>
      <w:r>
        <w:rPr>
          <w:rFonts w:hint="eastAsia" w:ascii="宋体" w:hAnsi="宋体"/>
        </w:rPr>
        <w:t>投诉事项2</w:t>
      </w:r>
    </w:p>
    <w:p>
      <w:pPr>
        <w:rPr>
          <w:rFonts w:ascii="宋体" w:hAnsi="宋体"/>
          <w:u w:val="dotted"/>
        </w:rPr>
      </w:pPr>
      <w:r>
        <w:rPr>
          <w:rFonts w:hint="eastAsia" w:ascii="宋体" w:hAnsi="宋体"/>
        </w:rPr>
        <w:t>……</w:t>
      </w:r>
    </w:p>
    <w:p>
      <w:pPr>
        <w:rPr>
          <w:rFonts w:ascii="宋体" w:hAnsi="宋体"/>
        </w:rPr>
      </w:pPr>
      <w:r>
        <w:rPr>
          <w:rFonts w:hint="eastAsia" w:ascii="宋体" w:hAnsi="宋体"/>
        </w:rPr>
        <w:t>五、与投诉事项相关的投诉请求</w:t>
      </w:r>
    </w:p>
    <w:p>
      <w:pPr>
        <w:rPr>
          <w:rFonts w:ascii="宋体" w:hAnsi="宋体"/>
        </w:rPr>
      </w:pPr>
      <w:r>
        <w:rPr>
          <w:rFonts w:hint="eastAsia" w:ascii="宋体" w:hAnsi="宋体"/>
        </w:rPr>
        <w:t>请求：</w:t>
      </w:r>
      <w:r>
        <w:rPr>
          <w:rFonts w:hint="eastAsia" w:ascii="宋体" w:hAnsi="宋体"/>
          <w:u w:val="dotted"/>
        </w:rPr>
        <w:t xml:space="preserve">                                              </w:t>
      </w:r>
      <w:r>
        <w:rPr>
          <w:rFonts w:hint="eastAsia" w:ascii="宋体" w:hAnsi="宋体"/>
        </w:rPr>
        <w:t xml:space="preserve"> </w:t>
      </w:r>
    </w:p>
    <w:p>
      <w:pPr>
        <w:rPr>
          <w:rFonts w:ascii="宋体" w:hAnsi="宋体"/>
          <w:u w:val="single"/>
        </w:rPr>
      </w:pPr>
      <w:r>
        <w:rPr>
          <w:rFonts w:hint="eastAsia" w:ascii="宋体" w:hAnsi="宋体"/>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b/>
        </w:rPr>
      </w:pPr>
    </w:p>
    <w:p>
      <w:pPr>
        <w:rPr>
          <w:rFonts w:ascii="宋体" w:hAnsi="宋体"/>
          <w:b/>
        </w:rPr>
      </w:pPr>
      <w:r>
        <w:rPr>
          <w:rFonts w:hint="eastAsia" w:ascii="宋体" w:hAnsi="宋体"/>
          <w:b/>
        </w:rPr>
        <w:t>投诉书制作说明：</w:t>
      </w:r>
    </w:p>
    <w:p>
      <w:pPr>
        <w:ind w:firstLine="420" w:firstLineChars="200"/>
        <w:rPr>
          <w:rFonts w:ascii="宋体" w:hAnsi="宋体"/>
        </w:rPr>
      </w:pPr>
      <w:r>
        <w:rPr>
          <w:rFonts w:hint="eastAsia" w:ascii="宋体" w:hAnsi="宋体"/>
        </w:rPr>
        <w:t>1.投诉人提起投诉时，应当提交投诉书和必要的证明材料，并按照被投诉人和与投诉事项有关的供应商数量提供投诉书副本。</w:t>
      </w:r>
    </w:p>
    <w:p>
      <w:pPr>
        <w:ind w:firstLine="420" w:firstLineChars="200"/>
        <w:rPr>
          <w:rFonts w:ascii="宋体" w:hAnsi="宋体"/>
        </w:rPr>
      </w:pPr>
      <w:r>
        <w:rPr>
          <w:rFonts w:hint="eastAsia" w:ascii="宋体" w:hAnsi="宋体"/>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20" w:firstLineChars="200"/>
        <w:rPr>
          <w:rFonts w:ascii="宋体" w:hAnsi="宋体"/>
        </w:rPr>
      </w:pPr>
      <w:r>
        <w:rPr>
          <w:rFonts w:hint="eastAsia" w:ascii="宋体" w:hAnsi="宋体"/>
        </w:rPr>
        <w:t>3.投诉人若对项目的某一分包进行投诉，投诉书应列明具体分包号。</w:t>
      </w:r>
    </w:p>
    <w:p>
      <w:pPr>
        <w:ind w:firstLine="420" w:firstLineChars="200"/>
        <w:rPr>
          <w:rFonts w:ascii="宋体" w:hAnsi="宋体"/>
        </w:rPr>
      </w:pPr>
      <w:r>
        <w:rPr>
          <w:rFonts w:hint="eastAsia" w:ascii="宋体" w:hAnsi="宋体"/>
        </w:rPr>
        <w:t>4.投诉书应简要列明质疑事项，质疑函、质疑答复等作为附件材料提供。</w:t>
      </w:r>
    </w:p>
    <w:p>
      <w:pPr>
        <w:ind w:firstLine="420" w:firstLineChars="200"/>
        <w:rPr>
          <w:rFonts w:ascii="宋体" w:hAnsi="宋体"/>
        </w:rPr>
      </w:pPr>
      <w:r>
        <w:rPr>
          <w:rFonts w:hint="eastAsia" w:ascii="宋体" w:hAnsi="宋体"/>
        </w:rPr>
        <w:t>5.投诉书的投诉事项应具体、明确，并有必要的事实依据和法律依据。</w:t>
      </w:r>
    </w:p>
    <w:p>
      <w:pPr>
        <w:ind w:firstLine="420" w:firstLineChars="200"/>
        <w:rPr>
          <w:rFonts w:ascii="宋体" w:hAnsi="宋体"/>
        </w:rPr>
      </w:pPr>
      <w:r>
        <w:rPr>
          <w:rFonts w:hint="eastAsia" w:ascii="宋体" w:hAnsi="宋体"/>
        </w:rPr>
        <w:t>6.投诉书的投诉请求应与投诉事项相关。</w:t>
      </w:r>
    </w:p>
    <w:p>
      <w:pPr>
        <w:ind w:firstLine="420" w:firstLineChars="200"/>
        <w:rPr>
          <w:rFonts w:ascii="宋体" w:hAnsi="宋体"/>
        </w:rPr>
      </w:pPr>
      <w:r>
        <w:rPr>
          <w:rFonts w:hint="eastAsia" w:ascii="宋体" w:hAnsi="宋体"/>
        </w:rPr>
        <w:t>7.投诉人为自然人的，投诉书应当由本人签字；投诉人为法人或者其他组织的，投诉书应当由法定代表人、主要负责人，或者其授权代表签字或者盖章，并加盖公章。</w:t>
      </w:r>
    </w:p>
    <w:p>
      <w:pPr>
        <w:jc w:val="center"/>
        <w:rPr>
          <w:rFonts w:ascii="宋体" w:hAnsi="宋体"/>
          <w:sz w:val="24"/>
          <w:szCs w:val="24"/>
        </w:rPr>
      </w:pPr>
    </w:p>
    <w:sectPr>
      <w:headerReference r:id="rId7" w:type="first"/>
      <w:headerReference r:id="rId6" w:type="default"/>
      <w:footerReference r:id="rId8" w:type="default"/>
      <w:pgSz w:w="11906" w:h="16838"/>
      <w:pgMar w:top="1247" w:right="1418" w:bottom="1247" w:left="1418" w:header="851"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fldChar w:fldCharType="begin"/>
    </w:r>
    <w:r>
      <w:rPr>
        <w:rStyle w:val="26"/>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5</w:t>
    </w:r>
    <w:r>
      <w:rPr>
        <w:lang w:val="zh-CN"/>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诸暨市公共资源交易中心政府招标文件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060" w:firstLineChars="1700"/>
      <w:jc w:val="both"/>
    </w:pPr>
    <w:r>
      <w:rPr>
        <w:rFonts w:hint="eastAsia"/>
      </w:rPr>
      <w:t>诸暨市公共资源交易中心政府招标文件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pStyle w:val="4"/>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48F1D28"/>
    <w:multiLevelType w:val="multilevel"/>
    <w:tmpl w:val="348F1D28"/>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715347DF"/>
    <w:multiLevelType w:val="multilevel"/>
    <w:tmpl w:val="715347DF"/>
    <w:lvl w:ilvl="0" w:tentative="0">
      <w:start w:val="1"/>
      <w:numFmt w:val="decimal"/>
      <w:lvlText w:val="%1、"/>
      <w:lvlJc w:val="left"/>
      <w:pPr>
        <w:ind w:left="945" w:hanging="36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CE"/>
    <w:rsid w:val="000152C8"/>
    <w:rsid w:val="00023566"/>
    <w:rsid w:val="000274B8"/>
    <w:rsid w:val="00044084"/>
    <w:rsid w:val="00046F76"/>
    <w:rsid w:val="000523CD"/>
    <w:rsid w:val="00052AF2"/>
    <w:rsid w:val="00055FCE"/>
    <w:rsid w:val="00057EEC"/>
    <w:rsid w:val="00064B79"/>
    <w:rsid w:val="000A50B4"/>
    <w:rsid w:val="000A52B3"/>
    <w:rsid w:val="000B15B6"/>
    <w:rsid w:val="000B1D09"/>
    <w:rsid w:val="000B30EC"/>
    <w:rsid w:val="000F6AB6"/>
    <w:rsid w:val="00106DD7"/>
    <w:rsid w:val="001110A3"/>
    <w:rsid w:val="0011468F"/>
    <w:rsid w:val="00115993"/>
    <w:rsid w:val="001308B5"/>
    <w:rsid w:val="00133535"/>
    <w:rsid w:val="00134FB6"/>
    <w:rsid w:val="00150E45"/>
    <w:rsid w:val="001534C2"/>
    <w:rsid w:val="00155C60"/>
    <w:rsid w:val="0016649F"/>
    <w:rsid w:val="00172A27"/>
    <w:rsid w:val="00173380"/>
    <w:rsid w:val="00186DFF"/>
    <w:rsid w:val="00187CC0"/>
    <w:rsid w:val="00191E2F"/>
    <w:rsid w:val="00193575"/>
    <w:rsid w:val="001C34F3"/>
    <w:rsid w:val="001C7441"/>
    <w:rsid w:val="001D0062"/>
    <w:rsid w:val="001E1271"/>
    <w:rsid w:val="00211203"/>
    <w:rsid w:val="00213618"/>
    <w:rsid w:val="0021463F"/>
    <w:rsid w:val="00215FD1"/>
    <w:rsid w:val="00221977"/>
    <w:rsid w:val="0023140E"/>
    <w:rsid w:val="00242E37"/>
    <w:rsid w:val="0024504F"/>
    <w:rsid w:val="00252990"/>
    <w:rsid w:val="00262946"/>
    <w:rsid w:val="00264FF8"/>
    <w:rsid w:val="00271143"/>
    <w:rsid w:val="002716CE"/>
    <w:rsid w:val="00276983"/>
    <w:rsid w:val="0027710F"/>
    <w:rsid w:val="002822D8"/>
    <w:rsid w:val="00290B7B"/>
    <w:rsid w:val="002979B3"/>
    <w:rsid w:val="00297DF4"/>
    <w:rsid w:val="002C2CA8"/>
    <w:rsid w:val="002C2D03"/>
    <w:rsid w:val="002D5A4B"/>
    <w:rsid w:val="002D6E16"/>
    <w:rsid w:val="002E73F8"/>
    <w:rsid w:val="002E7835"/>
    <w:rsid w:val="0030045F"/>
    <w:rsid w:val="00303CD0"/>
    <w:rsid w:val="00304273"/>
    <w:rsid w:val="00306679"/>
    <w:rsid w:val="00307ED8"/>
    <w:rsid w:val="003140C9"/>
    <w:rsid w:val="003257C1"/>
    <w:rsid w:val="00332C3D"/>
    <w:rsid w:val="00334E5F"/>
    <w:rsid w:val="00335D87"/>
    <w:rsid w:val="0034174B"/>
    <w:rsid w:val="00343149"/>
    <w:rsid w:val="003444E5"/>
    <w:rsid w:val="0034587C"/>
    <w:rsid w:val="00350078"/>
    <w:rsid w:val="00363554"/>
    <w:rsid w:val="00370496"/>
    <w:rsid w:val="00370B16"/>
    <w:rsid w:val="003776CB"/>
    <w:rsid w:val="0038090F"/>
    <w:rsid w:val="0039414F"/>
    <w:rsid w:val="0039795C"/>
    <w:rsid w:val="003A3E69"/>
    <w:rsid w:val="003B4A95"/>
    <w:rsid w:val="003C1DAA"/>
    <w:rsid w:val="003C4D8D"/>
    <w:rsid w:val="003D0A26"/>
    <w:rsid w:val="003D437E"/>
    <w:rsid w:val="003D6A13"/>
    <w:rsid w:val="003E0C51"/>
    <w:rsid w:val="003F29CB"/>
    <w:rsid w:val="003F39C0"/>
    <w:rsid w:val="00413CBA"/>
    <w:rsid w:val="00427FCD"/>
    <w:rsid w:val="00432523"/>
    <w:rsid w:val="00447769"/>
    <w:rsid w:val="004707A2"/>
    <w:rsid w:val="00470B5F"/>
    <w:rsid w:val="0047295C"/>
    <w:rsid w:val="00482DD1"/>
    <w:rsid w:val="0048405D"/>
    <w:rsid w:val="0049044E"/>
    <w:rsid w:val="00494A03"/>
    <w:rsid w:val="004A1123"/>
    <w:rsid w:val="004A4033"/>
    <w:rsid w:val="004C32C1"/>
    <w:rsid w:val="004E6F8E"/>
    <w:rsid w:val="004F05D6"/>
    <w:rsid w:val="00507A89"/>
    <w:rsid w:val="00516970"/>
    <w:rsid w:val="005441A5"/>
    <w:rsid w:val="00544480"/>
    <w:rsid w:val="00544E5D"/>
    <w:rsid w:val="00547F97"/>
    <w:rsid w:val="00551BD6"/>
    <w:rsid w:val="0055389A"/>
    <w:rsid w:val="0055473F"/>
    <w:rsid w:val="00555A4D"/>
    <w:rsid w:val="00561191"/>
    <w:rsid w:val="00580611"/>
    <w:rsid w:val="00581BCC"/>
    <w:rsid w:val="005836C4"/>
    <w:rsid w:val="00584F02"/>
    <w:rsid w:val="00593A96"/>
    <w:rsid w:val="005942B8"/>
    <w:rsid w:val="005964D1"/>
    <w:rsid w:val="005A13A0"/>
    <w:rsid w:val="005A578B"/>
    <w:rsid w:val="005B5788"/>
    <w:rsid w:val="005B7947"/>
    <w:rsid w:val="005C74A9"/>
    <w:rsid w:val="005E0DCA"/>
    <w:rsid w:val="005E57F3"/>
    <w:rsid w:val="005E7581"/>
    <w:rsid w:val="005F475B"/>
    <w:rsid w:val="00601186"/>
    <w:rsid w:val="00604DB6"/>
    <w:rsid w:val="00605314"/>
    <w:rsid w:val="00606949"/>
    <w:rsid w:val="006106A8"/>
    <w:rsid w:val="00616E9C"/>
    <w:rsid w:val="00636B18"/>
    <w:rsid w:val="00637917"/>
    <w:rsid w:val="00644029"/>
    <w:rsid w:val="0065020C"/>
    <w:rsid w:val="0066204C"/>
    <w:rsid w:val="00662DD3"/>
    <w:rsid w:val="00682905"/>
    <w:rsid w:val="006A44C8"/>
    <w:rsid w:val="006B287E"/>
    <w:rsid w:val="006C0392"/>
    <w:rsid w:val="006C1CFD"/>
    <w:rsid w:val="006C5997"/>
    <w:rsid w:val="006D4D55"/>
    <w:rsid w:val="006F2F61"/>
    <w:rsid w:val="006F4ABD"/>
    <w:rsid w:val="00700C30"/>
    <w:rsid w:val="00712E38"/>
    <w:rsid w:val="00724884"/>
    <w:rsid w:val="007308B7"/>
    <w:rsid w:val="00733F8A"/>
    <w:rsid w:val="007460A4"/>
    <w:rsid w:val="00750A11"/>
    <w:rsid w:val="00761B31"/>
    <w:rsid w:val="00762959"/>
    <w:rsid w:val="00765A67"/>
    <w:rsid w:val="00766700"/>
    <w:rsid w:val="007721DF"/>
    <w:rsid w:val="0077316E"/>
    <w:rsid w:val="007734E5"/>
    <w:rsid w:val="007750B7"/>
    <w:rsid w:val="00776E97"/>
    <w:rsid w:val="00790027"/>
    <w:rsid w:val="00795E2F"/>
    <w:rsid w:val="007A5541"/>
    <w:rsid w:val="007B7FF7"/>
    <w:rsid w:val="007C3E1A"/>
    <w:rsid w:val="007C3F83"/>
    <w:rsid w:val="007D3E1C"/>
    <w:rsid w:val="007D4C48"/>
    <w:rsid w:val="007E416F"/>
    <w:rsid w:val="007E42F4"/>
    <w:rsid w:val="007E5238"/>
    <w:rsid w:val="00802A0F"/>
    <w:rsid w:val="00812EF3"/>
    <w:rsid w:val="00824112"/>
    <w:rsid w:val="00824456"/>
    <w:rsid w:val="00836F76"/>
    <w:rsid w:val="0084072D"/>
    <w:rsid w:val="00840816"/>
    <w:rsid w:val="00841D5A"/>
    <w:rsid w:val="0085414A"/>
    <w:rsid w:val="008545B9"/>
    <w:rsid w:val="00867651"/>
    <w:rsid w:val="00874DC1"/>
    <w:rsid w:val="00876335"/>
    <w:rsid w:val="00885357"/>
    <w:rsid w:val="008978B7"/>
    <w:rsid w:val="008A3E96"/>
    <w:rsid w:val="008A47FE"/>
    <w:rsid w:val="008B1834"/>
    <w:rsid w:val="008C2CD9"/>
    <w:rsid w:val="008D1563"/>
    <w:rsid w:val="008D2883"/>
    <w:rsid w:val="00912DD2"/>
    <w:rsid w:val="009167C9"/>
    <w:rsid w:val="0092536D"/>
    <w:rsid w:val="0093429F"/>
    <w:rsid w:val="00935D5F"/>
    <w:rsid w:val="00942A9B"/>
    <w:rsid w:val="009465B3"/>
    <w:rsid w:val="00946BDA"/>
    <w:rsid w:val="00950B0B"/>
    <w:rsid w:val="00950DEA"/>
    <w:rsid w:val="00951007"/>
    <w:rsid w:val="009570E2"/>
    <w:rsid w:val="00974596"/>
    <w:rsid w:val="009760D4"/>
    <w:rsid w:val="00976E86"/>
    <w:rsid w:val="0099122E"/>
    <w:rsid w:val="009B55A0"/>
    <w:rsid w:val="009C03B0"/>
    <w:rsid w:val="009C1CDF"/>
    <w:rsid w:val="009D00EB"/>
    <w:rsid w:val="009D103A"/>
    <w:rsid w:val="009D7F1F"/>
    <w:rsid w:val="009E2B43"/>
    <w:rsid w:val="009F73D3"/>
    <w:rsid w:val="00A068FE"/>
    <w:rsid w:val="00A160D8"/>
    <w:rsid w:val="00A177CD"/>
    <w:rsid w:val="00A215E7"/>
    <w:rsid w:val="00A41E80"/>
    <w:rsid w:val="00A505BD"/>
    <w:rsid w:val="00A5319D"/>
    <w:rsid w:val="00A542B0"/>
    <w:rsid w:val="00A55000"/>
    <w:rsid w:val="00A61BE8"/>
    <w:rsid w:val="00A72F14"/>
    <w:rsid w:val="00A926B3"/>
    <w:rsid w:val="00A93561"/>
    <w:rsid w:val="00AA2B7B"/>
    <w:rsid w:val="00AA37DB"/>
    <w:rsid w:val="00AA75C2"/>
    <w:rsid w:val="00AC7D64"/>
    <w:rsid w:val="00AE4C0B"/>
    <w:rsid w:val="00AE59EB"/>
    <w:rsid w:val="00AF051C"/>
    <w:rsid w:val="00AF4733"/>
    <w:rsid w:val="00AF661D"/>
    <w:rsid w:val="00B060DA"/>
    <w:rsid w:val="00B1400E"/>
    <w:rsid w:val="00B20DC7"/>
    <w:rsid w:val="00B226AF"/>
    <w:rsid w:val="00B31C8D"/>
    <w:rsid w:val="00B33F00"/>
    <w:rsid w:val="00B42EA9"/>
    <w:rsid w:val="00B47B2E"/>
    <w:rsid w:val="00B556F2"/>
    <w:rsid w:val="00B61211"/>
    <w:rsid w:val="00B62E64"/>
    <w:rsid w:val="00B73903"/>
    <w:rsid w:val="00B85432"/>
    <w:rsid w:val="00B94215"/>
    <w:rsid w:val="00B959D8"/>
    <w:rsid w:val="00BA7A57"/>
    <w:rsid w:val="00BB3EC9"/>
    <w:rsid w:val="00BB65FC"/>
    <w:rsid w:val="00BD2E36"/>
    <w:rsid w:val="00BD4AC7"/>
    <w:rsid w:val="00BD5735"/>
    <w:rsid w:val="00BE118D"/>
    <w:rsid w:val="00C02745"/>
    <w:rsid w:val="00C06991"/>
    <w:rsid w:val="00C165D6"/>
    <w:rsid w:val="00C2235D"/>
    <w:rsid w:val="00C25FD1"/>
    <w:rsid w:val="00C268F1"/>
    <w:rsid w:val="00C44FAA"/>
    <w:rsid w:val="00C46162"/>
    <w:rsid w:val="00C71FD8"/>
    <w:rsid w:val="00C8366E"/>
    <w:rsid w:val="00C85D3A"/>
    <w:rsid w:val="00CA521B"/>
    <w:rsid w:val="00CB43D3"/>
    <w:rsid w:val="00CB5B9F"/>
    <w:rsid w:val="00CB656D"/>
    <w:rsid w:val="00CC09E1"/>
    <w:rsid w:val="00CC0B18"/>
    <w:rsid w:val="00CC3C5A"/>
    <w:rsid w:val="00CE027C"/>
    <w:rsid w:val="00CE3E2E"/>
    <w:rsid w:val="00CE798F"/>
    <w:rsid w:val="00CF1340"/>
    <w:rsid w:val="00D0540E"/>
    <w:rsid w:val="00D11DCC"/>
    <w:rsid w:val="00D124CE"/>
    <w:rsid w:val="00D141FA"/>
    <w:rsid w:val="00D357A7"/>
    <w:rsid w:val="00D4068D"/>
    <w:rsid w:val="00D44CAC"/>
    <w:rsid w:val="00D5603F"/>
    <w:rsid w:val="00D71131"/>
    <w:rsid w:val="00D72395"/>
    <w:rsid w:val="00D7434E"/>
    <w:rsid w:val="00D80BFA"/>
    <w:rsid w:val="00D87422"/>
    <w:rsid w:val="00DA3425"/>
    <w:rsid w:val="00DB2C21"/>
    <w:rsid w:val="00DB2E10"/>
    <w:rsid w:val="00DC1C6D"/>
    <w:rsid w:val="00DC5E4E"/>
    <w:rsid w:val="00DD0D72"/>
    <w:rsid w:val="00DD2800"/>
    <w:rsid w:val="00DD7DB0"/>
    <w:rsid w:val="00DF0F7A"/>
    <w:rsid w:val="00DF47A6"/>
    <w:rsid w:val="00DF5F6F"/>
    <w:rsid w:val="00E004C4"/>
    <w:rsid w:val="00E111CC"/>
    <w:rsid w:val="00E139F4"/>
    <w:rsid w:val="00E13F96"/>
    <w:rsid w:val="00E169BD"/>
    <w:rsid w:val="00E175F5"/>
    <w:rsid w:val="00E216B5"/>
    <w:rsid w:val="00E22775"/>
    <w:rsid w:val="00E273C2"/>
    <w:rsid w:val="00E27EE7"/>
    <w:rsid w:val="00E351D2"/>
    <w:rsid w:val="00E36B92"/>
    <w:rsid w:val="00E6462C"/>
    <w:rsid w:val="00E65D6D"/>
    <w:rsid w:val="00E73797"/>
    <w:rsid w:val="00E76C97"/>
    <w:rsid w:val="00E84273"/>
    <w:rsid w:val="00E846A7"/>
    <w:rsid w:val="00EB3155"/>
    <w:rsid w:val="00EB465C"/>
    <w:rsid w:val="00EB7CFF"/>
    <w:rsid w:val="00EC1ED7"/>
    <w:rsid w:val="00EC3B8C"/>
    <w:rsid w:val="00ED432F"/>
    <w:rsid w:val="00ED52BF"/>
    <w:rsid w:val="00EE526F"/>
    <w:rsid w:val="00EE72B2"/>
    <w:rsid w:val="00EF312D"/>
    <w:rsid w:val="00EF4E71"/>
    <w:rsid w:val="00EF5174"/>
    <w:rsid w:val="00EF7AD3"/>
    <w:rsid w:val="00F02479"/>
    <w:rsid w:val="00F15EA9"/>
    <w:rsid w:val="00F2027F"/>
    <w:rsid w:val="00F26046"/>
    <w:rsid w:val="00F26449"/>
    <w:rsid w:val="00F31DAF"/>
    <w:rsid w:val="00F32D11"/>
    <w:rsid w:val="00F40533"/>
    <w:rsid w:val="00F44B9A"/>
    <w:rsid w:val="00F61ED3"/>
    <w:rsid w:val="00F62257"/>
    <w:rsid w:val="00F7190B"/>
    <w:rsid w:val="00F75D69"/>
    <w:rsid w:val="00F82259"/>
    <w:rsid w:val="00F82EB7"/>
    <w:rsid w:val="00F95253"/>
    <w:rsid w:val="00F95940"/>
    <w:rsid w:val="00F9602D"/>
    <w:rsid w:val="00FA151D"/>
    <w:rsid w:val="00FA32A6"/>
    <w:rsid w:val="00FA352E"/>
    <w:rsid w:val="00FA4AB5"/>
    <w:rsid w:val="00FA5D92"/>
    <w:rsid w:val="00FC3458"/>
    <w:rsid w:val="00FC534F"/>
    <w:rsid w:val="00FE32E3"/>
    <w:rsid w:val="00FE5BDB"/>
    <w:rsid w:val="00FF2E97"/>
    <w:rsid w:val="00FF466F"/>
    <w:rsid w:val="00FF4FA8"/>
    <w:rsid w:val="1FD765F1"/>
    <w:rsid w:val="2C802EB8"/>
    <w:rsid w:val="3200698C"/>
    <w:rsid w:val="3D3E2B57"/>
    <w:rsid w:val="3DDD5D82"/>
    <w:rsid w:val="56157803"/>
    <w:rsid w:val="6C163AB2"/>
    <w:rsid w:val="70E606CC"/>
    <w:rsid w:val="7BAA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nhideWhenUsed="0" w:uiPriority="0" w:semiHidden="0"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kern w:val="44"/>
      <w:sz w:val="44"/>
    </w:rPr>
  </w:style>
  <w:style w:type="paragraph" w:styleId="3">
    <w:name w:val="heading 2"/>
    <w:basedOn w:val="1"/>
    <w:next w:val="1"/>
    <w:link w:val="32"/>
    <w:qFormat/>
    <w:uiPriority w:val="0"/>
    <w:pPr>
      <w:keepNext/>
      <w:keepLines/>
      <w:autoSpaceDE/>
      <w:autoSpaceDN/>
      <w:adjustRightInd/>
      <w:spacing w:before="260" w:after="260" w:line="415" w:lineRule="auto"/>
      <w:outlineLvl w:val="1"/>
    </w:pPr>
    <w:rPr>
      <w:rFonts w:ascii="Arial" w:hAnsi="Arial" w:eastAsia="黑体"/>
      <w:b/>
      <w:bCs/>
      <w:kern w:val="2"/>
      <w:sz w:val="32"/>
      <w:szCs w:val="32"/>
    </w:rPr>
  </w:style>
  <w:style w:type="character" w:default="1" w:styleId="24">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List Number"/>
    <w:basedOn w:val="1"/>
    <w:uiPriority w:val="0"/>
    <w:pPr>
      <w:widowControl/>
      <w:numPr>
        <w:ilvl w:val="0"/>
        <w:numId w:val="1"/>
      </w:numPr>
      <w:tabs>
        <w:tab w:val="left" w:pos="720"/>
      </w:tabs>
      <w:autoSpaceDE/>
      <w:autoSpaceDN/>
      <w:adjustRightInd/>
      <w:spacing w:afterLines="50"/>
      <w:jc w:val="left"/>
    </w:pPr>
    <w:rPr>
      <w:color w:val="auto"/>
      <w:sz w:val="24"/>
      <w:szCs w:val="20"/>
    </w:rPr>
  </w:style>
  <w:style w:type="paragraph" w:styleId="5">
    <w:name w:val="Normal Indent"/>
    <w:basedOn w:val="1"/>
    <w:link w:val="44"/>
    <w:qFormat/>
    <w:uiPriority w:val="0"/>
    <w:pPr>
      <w:autoSpaceDE/>
      <w:autoSpaceDN/>
      <w:adjustRightInd/>
      <w:ind w:firstLine="420"/>
    </w:pPr>
    <w:rPr>
      <w:kern w:val="2"/>
    </w:rPr>
  </w:style>
  <w:style w:type="paragraph" w:styleId="6">
    <w:name w:val="caption"/>
    <w:basedOn w:val="1"/>
    <w:next w:val="1"/>
    <w:semiHidden/>
    <w:unhideWhenUsed/>
    <w:qFormat/>
    <w:uiPriority w:val="0"/>
    <w:pPr>
      <w:autoSpaceDE/>
      <w:autoSpaceDN/>
      <w:adjustRightInd/>
    </w:pPr>
    <w:rPr>
      <w:rFonts w:ascii="Cambria" w:hAnsi="Cambria" w:eastAsia="黑体"/>
      <w:color w:val="auto"/>
      <w:kern w:val="2"/>
      <w:sz w:val="20"/>
      <w:szCs w:val="20"/>
    </w:rPr>
  </w:style>
  <w:style w:type="paragraph" w:styleId="7">
    <w:name w:val="Document Map"/>
    <w:basedOn w:val="1"/>
    <w:link w:val="43"/>
    <w:qFormat/>
    <w:uiPriority w:val="0"/>
    <w:pPr>
      <w:shd w:val="clear" w:color="auto" w:fill="000080"/>
      <w:autoSpaceDE/>
      <w:autoSpaceDN/>
      <w:adjustRightInd/>
    </w:pPr>
    <w:rPr>
      <w:kern w:val="2"/>
      <w:szCs w:val="24"/>
      <w:shd w:val="clear" w:color="auto" w:fill="000080"/>
    </w:rPr>
  </w:style>
  <w:style w:type="paragraph" w:styleId="8">
    <w:name w:val="index 6"/>
    <w:next w:val="1"/>
    <w:qFormat/>
    <w:uiPriority w:val="0"/>
    <w:pPr>
      <w:jc w:val="both"/>
    </w:pPr>
    <w:rPr>
      <w:rFonts w:ascii="Times New Roman" w:hAnsi="Times New Roman" w:eastAsia="宋体" w:cs="Times New Roman"/>
      <w:sz w:val="21"/>
      <w:szCs w:val="24"/>
      <w:lang w:val="en-US" w:eastAsia="zh-CN" w:bidi="ar-SA"/>
    </w:rPr>
  </w:style>
  <w:style w:type="paragraph" w:styleId="9">
    <w:name w:val="Body Text"/>
    <w:basedOn w:val="1"/>
    <w:link w:val="36"/>
    <w:qFormat/>
    <w:uiPriority w:val="1"/>
    <w:pPr>
      <w:spacing w:after="120"/>
    </w:pPr>
  </w:style>
  <w:style w:type="paragraph" w:styleId="10">
    <w:name w:val="Body Text Indent"/>
    <w:basedOn w:val="1"/>
    <w:link w:val="56"/>
    <w:qFormat/>
    <w:uiPriority w:val="0"/>
    <w:pPr>
      <w:spacing w:after="120"/>
      <w:ind w:left="420" w:leftChars="200"/>
    </w:pPr>
  </w:style>
  <w:style w:type="paragraph" w:styleId="11">
    <w:name w:val="Plain Text"/>
    <w:basedOn w:val="1"/>
    <w:link w:val="33"/>
    <w:qFormat/>
    <w:uiPriority w:val="0"/>
    <w:pPr>
      <w:autoSpaceDE/>
      <w:autoSpaceDN/>
      <w:adjustRightInd/>
    </w:pPr>
    <w:rPr>
      <w:kern w:val="2"/>
      <w:sz w:val="24"/>
    </w:rPr>
  </w:style>
  <w:style w:type="paragraph" w:styleId="12">
    <w:name w:val="Balloon Text"/>
    <w:basedOn w:val="1"/>
    <w:link w:val="57"/>
    <w:qFormat/>
    <w:uiPriority w:val="99"/>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pPr>
      <w:spacing w:line="360" w:lineRule="auto"/>
    </w:pPr>
    <w:rPr>
      <w:rFonts w:eastAsia="黑体"/>
      <w:sz w:val="24"/>
    </w:rPr>
  </w:style>
  <w:style w:type="paragraph" w:styleId="16">
    <w:name w:val="Body Text Indent 3"/>
    <w:basedOn w:val="1"/>
    <w:link w:val="58"/>
    <w:qFormat/>
    <w:uiPriority w:val="0"/>
    <w:pPr>
      <w:autoSpaceDE/>
      <w:autoSpaceDN/>
      <w:adjustRightInd/>
      <w:ind w:firstLine="435"/>
    </w:pPr>
    <w:rPr>
      <w:color w:val="auto"/>
      <w:kern w:val="2"/>
      <w:szCs w:val="24"/>
    </w:rPr>
  </w:style>
  <w:style w:type="paragraph" w:styleId="17">
    <w:name w:val="index 7"/>
    <w:basedOn w:val="1"/>
    <w:next w:val="1"/>
    <w:uiPriority w:val="0"/>
    <w:pPr>
      <w:ind w:left="1200" w:leftChars="1200"/>
    </w:pPr>
  </w:style>
  <w:style w:type="paragraph" w:styleId="18">
    <w:name w:val="Normal (Web)"/>
    <w:basedOn w:val="1"/>
    <w:qFormat/>
    <w:uiPriority w:val="99"/>
    <w:pPr>
      <w:autoSpaceDE/>
      <w:autoSpaceDN/>
      <w:adjustRightInd/>
    </w:pPr>
    <w:rPr>
      <w:rFonts w:ascii="Calibri" w:hAnsi="Calibri"/>
      <w:color w:val="auto"/>
      <w:kern w:val="2"/>
      <w:sz w:val="24"/>
      <w:szCs w:val="24"/>
    </w:rPr>
  </w:style>
  <w:style w:type="paragraph" w:styleId="19">
    <w:name w:val="Title"/>
    <w:basedOn w:val="1"/>
    <w:next w:val="1"/>
    <w:link w:val="104"/>
    <w:qFormat/>
    <w:uiPriority w:val="0"/>
    <w:pPr>
      <w:autoSpaceDE/>
      <w:autoSpaceDN/>
      <w:adjustRightInd/>
      <w:spacing w:before="240" w:after="60"/>
      <w:jc w:val="center"/>
      <w:outlineLvl w:val="0"/>
    </w:pPr>
    <w:rPr>
      <w:rFonts w:ascii="Cambria" w:hAnsi="Cambria"/>
      <w:b/>
      <w:bCs/>
      <w:color w:val="auto"/>
      <w:kern w:val="2"/>
      <w:sz w:val="32"/>
      <w:szCs w:val="32"/>
    </w:rPr>
  </w:style>
  <w:style w:type="paragraph" w:styleId="20">
    <w:name w:val="Body Text First Indent 2"/>
    <w:basedOn w:val="10"/>
    <w:link w:val="118"/>
    <w:unhideWhenUsed/>
    <w:qFormat/>
    <w:uiPriority w:val="99"/>
    <w:pPr>
      <w:ind w:firstLine="420" w:firstLineChars="200"/>
    </w:p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Table Elegant"/>
    <w:basedOn w:val="2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25">
    <w:name w:val="Strong"/>
    <w:qFormat/>
    <w:uiPriority w:val="0"/>
    <w:rPr>
      <w:b/>
      <w:bCs/>
    </w:rPr>
  </w:style>
  <w:style w:type="character" w:styleId="26">
    <w:name w:val="page number"/>
    <w:basedOn w:val="24"/>
    <w:uiPriority w:val="0"/>
  </w:style>
  <w:style w:type="character" w:styleId="27">
    <w:name w:val="FollowedHyperlink"/>
    <w:basedOn w:val="24"/>
    <w:semiHidden/>
    <w:unhideWhenUsed/>
    <w:uiPriority w:val="99"/>
    <w:rPr>
      <w:color w:val="800080"/>
      <w:u w:val="single"/>
    </w:rPr>
  </w:style>
  <w:style w:type="character" w:styleId="28">
    <w:name w:val="Emphasis"/>
    <w:basedOn w:val="24"/>
    <w:qFormat/>
    <w:uiPriority w:val="0"/>
    <w:rPr>
      <w:i/>
      <w:iCs/>
    </w:rPr>
  </w:style>
  <w:style w:type="character" w:styleId="29">
    <w:name w:val="Hyperlink"/>
    <w:basedOn w:val="24"/>
    <w:uiPriority w:val="0"/>
    <w:rPr>
      <w:color w:val="0000FF"/>
      <w:u w:val="single"/>
    </w:rPr>
  </w:style>
  <w:style w:type="character" w:styleId="30">
    <w:name w:val="annotation reference"/>
    <w:uiPriority w:val="0"/>
    <w:rPr>
      <w:sz w:val="21"/>
      <w:szCs w:val="21"/>
    </w:rPr>
  </w:style>
  <w:style w:type="character" w:customStyle="1" w:styleId="31">
    <w:name w:val="标题 1 Char"/>
    <w:basedOn w:val="24"/>
    <w:link w:val="2"/>
    <w:uiPriority w:val="0"/>
    <w:rPr>
      <w:b/>
      <w:color w:val="000000"/>
      <w:kern w:val="44"/>
      <w:sz w:val="44"/>
      <w:szCs w:val="21"/>
    </w:rPr>
  </w:style>
  <w:style w:type="character" w:customStyle="1" w:styleId="32">
    <w:name w:val="标题 2 Char"/>
    <w:basedOn w:val="24"/>
    <w:link w:val="3"/>
    <w:uiPriority w:val="0"/>
    <w:rPr>
      <w:rFonts w:ascii="Arial" w:hAnsi="Arial" w:eastAsia="黑体"/>
      <w:b/>
      <w:bCs/>
      <w:kern w:val="2"/>
      <w:sz w:val="32"/>
      <w:szCs w:val="32"/>
    </w:rPr>
  </w:style>
  <w:style w:type="character" w:customStyle="1" w:styleId="33">
    <w:name w:val="纯文本 Char"/>
    <w:basedOn w:val="24"/>
    <w:link w:val="11"/>
    <w:qFormat/>
    <w:uiPriority w:val="0"/>
    <w:rPr>
      <w:rFonts w:eastAsia="宋体"/>
      <w:kern w:val="2"/>
      <w:sz w:val="24"/>
      <w:lang w:val="en-US" w:eastAsia="zh-CN" w:bidi="ar-SA"/>
    </w:rPr>
  </w:style>
  <w:style w:type="character" w:customStyle="1" w:styleId="34">
    <w:name w:val="正文文字2 Char"/>
    <w:link w:val="35"/>
    <w:qFormat/>
    <w:uiPriority w:val="0"/>
    <w:rPr>
      <w:rFonts w:ascii="Arial" w:eastAsia="黑体"/>
      <w:sz w:val="21"/>
      <w:lang w:val="en-US" w:eastAsia="zh-CN" w:bidi="ar-SA"/>
    </w:rPr>
  </w:style>
  <w:style w:type="paragraph" w:customStyle="1" w:styleId="35">
    <w:name w:val="正文文字2"/>
    <w:basedOn w:val="9"/>
    <w:link w:val="34"/>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36">
    <w:name w:val="正文文本 Char"/>
    <w:basedOn w:val="24"/>
    <w:link w:val="9"/>
    <w:uiPriority w:val="1"/>
    <w:rPr>
      <w:color w:val="000000"/>
      <w:sz w:val="21"/>
      <w:szCs w:val="21"/>
    </w:rPr>
  </w:style>
  <w:style w:type="character" w:customStyle="1" w:styleId="37">
    <w:name w:val="ca-32"/>
    <w:basedOn w:val="24"/>
    <w:uiPriority w:val="0"/>
  </w:style>
  <w:style w:type="character" w:customStyle="1" w:styleId="38">
    <w:name w:val="ca-72"/>
    <w:basedOn w:val="24"/>
    <w:uiPriority w:val="0"/>
  </w:style>
  <w:style w:type="character" w:customStyle="1" w:styleId="39">
    <w:name w:val="页脚 Char"/>
    <w:basedOn w:val="24"/>
    <w:link w:val="13"/>
    <w:qFormat/>
    <w:uiPriority w:val="99"/>
    <w:rPr>
      <w:color w:val="000000"/>
      <w:sz w:val="18"/>
      <w:szCs w:val="18"/>
    </w:rPr>
  </w:style>
  <w:style w:type="character" w:customStyle="1" w:styleId="40">
    <w:name w:val="大纲 Char"/>
    <w:basedOn w:val="24"/>
    <w:link w:val="41"/>
    <w:uiPriority w:val="0"/>
    <w:rPr>
      <w:rFonts w:ascii="宋体" w:hAnsi="宋体"/>
      <w:b/>
      <w:kern w:val="2"/>
      <w:sz w:val="28"/>
      <w:szCs w:val="28"/>
      <w:lang w:bidi="ar-SA"/>
    </w:rPr>
  </w:style>
  <w:style w:type="paragraph" w:customStyle="1" w:styleId="41">
    <w:name w:val="大纲"/>
    <w:basedOn w:val="1"/>
    <w:link w:val="40"/>
    <w:uiPriority w:val="0"/>
    <w:pPr>
      <w:autoSpaceDE/>
      <w:autoSpaceDN/>
      <w:adjustRightInd/>
      <w:spacing w:line="500" w:lineRule="exact"/>
      <w:jc w:val="left"/>
      <w:outlineLvl w:val="0"/>
    </w:pPr>
    <w:rPr>
      <w:rFonts w:ascii="宋体" w:hAnsi="宋体"/>
      <w:b/>
      <w:kern w:val="2"/>
      <w:sz w:val="28"/>
      <w:szCs w:val="28"/>
    </w:rPr>
  </w:style>
  <w:style w:type="character" w:customStyle="1" w:styleId="42">
    <w:name w:val="ca-42"/>
    <w:basedOn w:val="24"/>
    <w:uiPriority w:val="0"/>
  </w:style>
  <w:style w:type="character" w:customStyle="1" w:styleId="43">
    <w:name w:val="文档结构图 Char"/>
    <w:basedOn w:val="24"/>
    <w:link w:val="7"/>
    <w:uiPriority w:val="0"/>
    <w:rPr>
      <w:kern w:val="2"/>
      <w:sz w:val="21"/>
      <w:szCs w:val="24"/>
      <w:shd w:val="clear" w:color="auto" w:fill="000080"/>
    </w:rPr>
  </w:style>
  <w:style w:type="character" w:customStyle="1" w:styleId="44">
    <w:name w:val="正文缩进 Char"/>
    <w:basedOn w:val="24"/>
    <w:link w:val="5"/>
    <w:qFormat/>
    <w:uiPriority w:val="0"/>
    <w:rPr>
      <w:rFonts w:eastAsia="宋体"/>
      <w:kern w:val="2"/>
      <w:sz w:val="21"/>
      <w:lang w:val="en-US" w:eastAsia="zh-CN" w:bidi="ar-SA"/>
    </w:rPr>
  </w:style>
  <w:style w:type="character" w:customStyle="1" w:styleId="45">
    <w:name w:val="ca-52"/>
    <w:basedOn w:val="24"/>
    <w:uiPriority w:val="0"/>
  </w:style>
  <w:style w:type="character" w:customStyle="1" w:styleId="46">
    <w:name w:val="so-ask-best"/>
    <w:basedOn w:val="24"/>
    <w:uiPriority w:val="0"/>
  </w:style>
  <w:style w:type="character" w:customStyle="1" w:styleId="47">
    <w:name w:val="页眉 Char"/>
    <w:basedOn w:val="24"/>
    <w:link w:val="14"/>
    <w:qFormat/>
    <w:uiPriority w:val="99"/>
    <w:rPr>
      <w:color w:val="000000"/>
      <w:sz w:val="18"/>
      <w:szCs w:val="18"/>
    </w:rPr>
  </w:style>
  <w:style w:type="character" w:customStyle="1" w:styleId="48">
    <w:name w:val="ca-12"/>
    <w:basedOn w:val="24"/>
    <w:uiPriority w:val="0"/>
  </w:style>
  <w:style w:type="character" w:customStyle="1" w:styleId="49">
    <w:name w:val="ca-22"/>
    <w:basedOn w:val="24"/>
    <w:uiPriority w:val="0"/>
  </w:style>
  <w:style w:type="character" w:customStyle="1" w:styleId="50">
    <w:name w:val="ca-62"/>
    <w:basedOn w:val="24"/>
    <w:uiPriority w:val="0"/>
  </w:style>
  <w:style w:type="character" w:customStyle="1" w:styleId="51">
    <w:name w:val="无间隔 Char"/>
    <w:link w:val="52"/>
    <w:locked/>
    <w:uiPriority w:val="0"/>
    <w:rPr>
      <w:rFonts w:ascii="Calibri" w:hAnsi="Calibri"/>
      <w:sz w:val="22"/>
      <w:szCs w:val="22"/>
      <w:lang w:val="en-US" w:eastAsia="zh-CN" w:bidi="ar-SA"/>
    </w:rPr>
  </w:style>
  <w:style w:type="paragraph" w:styleId="52">
    <w:name w:val="No Spacing"/>
    <w:link w:val="51"/>
    <w:qFormat/>
    <w:uiPriority w:val="0"/>
    <w:rPr>
      <w:rFonts w:ascii="Calibri" w:hAnsi="Calibri" w:eastAsia="宋体" w:cs="Times New Roman"/>
      <w:sz w:val="22"/>
      <w:szCs w:val="22"/>
      <w:lang w:val="en-US" w:eastAsia="zh-CN" w:bidi="ar-SA"/>
    </w:rPr>
  </w:style>
  <w:style w:type="character" w:customStyle="1" w:styleId="53">
    <w:name w:val="纯文本 Char1"/>
    <w:basedOn w:val="24"/>
    <w:qFormat/>
    <w:locked/>
    <w:uiPriority w:val="0"/>
    <w:rPr>
      <w:rFonts w:eastAsia="宋体"/>
      <w:kern w:val="2"/>
      <w:sz w:val="24"/>
      <w:lang w:val="en-US" w:eastAsia="zh-CN" w:bidi="ar-SA"/>
    </w:rPr>
  </w:style>
  <w:style w:type="character" w:customStyle="1" w:styleId="54">
    <w:name w:val="apple-converted-space"/>
    <w:basedOn w:val="24"/>
    <w:uiPriority w:val="0"/>
  </w:style>
  <w:style w:type="character" w:customStyle="1" w:styleId="55">
    <w:name w:val="font01"/>
    <w:basedOn w:val="24"/>
    <w:qFormat/>
    <w:uiPriority w:val="0"/>
    <w:rPr>
      <w:rFonts w:hint="eastAsia" w:ascii="宋体" w:hAnsi="宋体" w:eastAsia="宋体" w:cs="宋体"/>
      <w:color w:val="000000"/>
      <w:sz w:val="22"/>
      <w:szCs w:val="22"/>
      <w:u w:val="none"/>
    </w:rPr>
  </w:style>
  <w:style w:type="character" w:customStyle="1" w:styleId="56">
    <w:name w:val="正文文本缩进 Char"/>
    <w:basedOn w:val="24"/>
    <w:link w:val="10"/>
    <w:qFormat/>
    <w:uiPriority w:val="0"/>
    <w:rPr>
      <w:color w:val="000000"/>
      <w:sz w:val="21"/>
      <w:szCs w:val="21"/>
    </w:rPr>
  </w:style>
  <w:style w:type="character" w:customStyle="1" w:styleId="57">
    <w:name w:val="批注框文本 Char"/>
    <w:basedOn w:val="24"/>
    <w:link w:val="12"/>
    <w:qFormat/>
    <w:uiPriority w:val="99"/>
    <w:rPr>
      <w:color w:val="000000"/>
      <w:sz w:val="18"/>
      <w:szCs w:val="18"/>
    </w:rPr>
  </w:style>
  <w:style w:type="character" w:customStyle="1" w:styleId="58">
    <w:name w:val="正文文本缩进 3 Char"/>
    <w:basedOn w:val="24"/>
    <w:link w:val="16"/>
    <w:qFormat/>
    <w:uiPriority w:val="0"/>
    <w:rPr>
      <w:kern w:val="2"/>
      <w:sz w:val="21"/>
      <w:szCs w:val="24"/>
    </w:rPr>
  </w:style>
  <w:style w:type="paragraph" w:customStyle="1" w:styleId="59">
    <w:name w:val="列出段落1"/>
    <w:basedOn w:val="1"/>
    <w:qFormat/>
    <w:uiPriority w:val="34"/>
    <w:pPr>
      <w:autoSpaceDE/>
      <w:autoSpaceDN/>
      <w:adjustRightInd/>
      <w:ind w:firstLine="420" w:firstLineChars="200"/>
    </w:pPr>
    <w:rPr>
      <w:color w:val="auto"/>
      <w:kern w:val="2"/>
      <w:szCs w:val="20"/>
    </w:rPr>
  </w:style>
  <w:style w:type="paragraph" w:customStyle="1" w:styleId="60">
    <w:name w:val="pa-21"/>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1">
    <w:name w:val="pa-5"/>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2">
    <w:name w:val="小节标题"/>
    <w:basedOn w:val="1"/>
    <w:uiPriority w:val="0"/>
    <w:pPr>
      <w:widowControl/>
      <w:autoSpaceDE/>
      <w:autoSpaceDN/>
      <w:adjustRightInd/>
      <w:spacing w:before="175" w:after="102" w:line="351" w:lineRule="atLeast"/>
      <w:textAlignment w:val="baseline"/>
    </w:pPr>
    <w:rPr>
      <w:rFonts w:eastAsia="黑体"/>
      <w:szCs w:val="20"/>
      <w:u w:color="000000"/>
    </w:rPr>
  </w:style>
  <w:style w:type="paragraph" w:customStyle="1" w:styleId="63">
    <w:name w:val="pa-20"/>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4">
    <w:name w:val="默认段落字体 Para Char Char Char"/>
    <w:basedOn w:val="1"/>
    <w:uiPriority w:val="0"/>
    <w:pPr>
      <w:autoSpaceDE/>
      <w:autoSpaceDN/>
      <w:adjustRightInd/>
    </w:pPr>
    <w:rPr>
      <w:color w:val="auto"/>
      <w:kern w:val="2"/>
      <w:szCs w:val="24"/>
    </w:rPr>
  </w:style>
  <w:style w:type="paragraph" w:customStyle="1" w:styleId="65">
    <w:name w:val="pa-4"/>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6">
    <w:name w:val="pa-15"/>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7">
    <w:name w:val="SS正文首行缩进 +"/>
    <w:next w:val="1"/>
    <w:uiPriority w:val="0"/>
    <w:pPr>
      <w:widowControl w:val="0"/>
      <w:spacing w:beforeLines="50" w:afterLines="50"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68">
    <w:name w:val="无间隔1"/>
    <w:qFormat/>
    <w:uiPriority w:val="1"/>
    <w:rPr>
      <w:rFonts w:ascii="Calibri" w:hAnsi="Calibri" w:eastAsia="宋体" w:cs="Times New Roman"/>
      <w:sz w:val="22"/>
      <w:szCs w:val="22"/>
      <w:lang w:val="en-US" w:eastAsia="zh-CN" w:bidi="ar-SA"/>
    </w:rPr>
  </w:style>
  <w:style w:type="paragraph" w:customStyle="1" w:styleId="69">
    <w:name w:val="pa-8"/>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0">
    <w:name w:val="pa-19"/>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1">
    <w:name w:val="pa-12"/>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styleId="72">
    <w:name w:val="List Paragraph"/>
    <w:basedOn w:val="1"/>
    <w:link w:val="73"/>
    <w:qFormat/>
    <w:uiPriority w:val="34"/>
    <w:pPr>
      <w:autoSpaceDE/>
      <w:autoSpaceDN/>
      <w:adjustRightInd/>
      <w:ind w:firstLine="420" w:firstLineChars="200"/>
    </w:pPr>
    <w:rPr>
      <w:rFonts w:ascii="Calibri" w:hAnsi="Calibri"/>
      <w:color w:val="auto"/>
      <w:kern w:val="2"/>
      <w:szCs w:val="22"/>
    </w:rPr>
  </w:style>
  <w:style w:type="character" w:customStyle="1" w:styleId="73">
    <w:name w:val="列出段落 Char"/>
    <w:link w:val="72"/>
    <w:uiPriority w:val="34"/>
    <w:rPr>
      <w:rFonts w:ascii="Calibri" w:hAnsi="Calibri"/>
      <w:kern w:val="2"/>
      <w:sz w:val="21"/>
      <w:szCs w:val="22"/>
    </w:rPr>
  </w:style>
  <w:style w:type="paragraph" w:customStyle="1" w:styleId="74">
    <w:name w:val="pa-16"/>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5">
    <w:name w:val="xl8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left"/>
    </w:pPr>
    <w:rPr>
      <w:color w:val="auto"/>
      <w:sz w:val="24"/>
      <w:szCs w:val="24"/>
    </w:rPr>
  </w:style>
  <w:style w:type="paragraph" w:customStyle="1" w:styleId="76">
    <w:name w:val="H-TextFormat"/>
    <w:uiPriority w:val="0"/>
    <w:pPr>
      <w:autoSpaceDE w:val="0"/>
      <w:autoSpaceDN w:val="0"/>
      <w:adjustRightInd w:val="0"/>
    </w:pPr>
    <w:rPr>
      <w:rFonts w:ascii="Arial" w:hAnsi="Arial" w:eastAsia="宋体" w:cs="Arial"/>
      <w:sz w:val="22"/>
      <w:szCs w:val="22"/>
      <w:lang w:val="en-US" w:eastAsia="zh-CN" w:bidi="ar-SA"/>
    </w:rPr>
  </w:style>
  <w:style w:type="paragraph" w:customStyle="1" w:styleId="77">
    <w:name w:val="pa-17"/>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8">
    <w:name w:val="font5"/>
    <w:basedOn w:val="1"/>
    <w:uiPriority w:val="0"/>
    <w:pPr>
      <w:widowControl/>
      <w:autoSpaceDE/>
      <w:autoSpaceDN/>
      <w:adjustRightInd/>
      <w:spacing w:before="100" w:beforeAutospacing="1" w:after="100" w:afterAutospacing="1"/>
      <w:jc w:val="left"/>
    </w:pPr>
    <w:rPr>
      <w:rFonts w:hint="eastAsia" w:ascii="宋体" w:hAnsi="宋体"/>
      <w:color w:val="auto"/>
      <w:sz w:val="18"/>
      <w:szCs w:val="20"/>
    </w:rPr>
  </w:style>
  <w:style w:type="paragraph" w:customStyle="1" w:styleId="79">
    <w:name w:val="pa-9"/>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0">
    <w:name w:val="pa-13"/>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1">
    <w:name w:val="pa-14"/>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2">
    <w:name w:val="p15"/>
    <w:basedOn w:val="1"/>
    <w:qFormat/>
    <w:uiPriority w:val="0"/>
    <w:pPr>
      <w:widowControl/>
      <w:autoSpaceDE/>
      <w:autoSpaceDN/>
      <w:adjustRightInd/>
      <w:snapToGrid w:val="0"/>
    </w:pPr>
  </w:style>
  <w:style w:type="paragraph" w:customStyle="1" w:styleId="83">
    <w:name w:val="pa-18"/>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4">
    <w:name w:val="pa-3"/>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5">
    <w:name w:val="pa-6"/>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6">
    <w:name w:val="pa-10"/>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7">
    <w:name w:val="pa-2"/>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8">
    <w:name w:val="Char Char Char Char1 Char Char Char Char Char"/>
    <w:basedOn w:val="7"/>
    <w:uiPriority w:val="0"/>
  </w:style>
  <w:style w:type="paragraph" w:customStyle="1" w:styleId="89">
    <w:name w:val="pa-7"/>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0">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91">
    <w:name w:val="pa-11"/>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2">
    <w:name w:val="p0"/>
    <w:next w:val="17"/>
    <w:qFormat/>
    <w:uiPriority w:val="0"/>
    <w:pPr>
      <w:snapToGrid w:val="0"/>
    </w:pPr>
    <w:rPr>
      <w:rFonts w:ascii="Times New Roman" w:hAnsi="Times New Roman" w:eastAsia="宋体" w:cs="Times New Roman"/>
      <w:sz w:val="21"/>
      <w:szCs w:val="21"/>
      <w:lang w:val="en-US" w:eastAsia="zh-CN" w:bidi="ar-SA"/>
    </w:rPr>
  </w:style>
  <w:style w:type="paragraph" w:customStyle="1" w:styleId="93">
    <w:name w:val="Char"/>
    <w:basedOn w:val="1"/>
    <w:uiPriority w:val="0"/>
    <w:pPr>
      <w:autoSpaceDE/>
      <w:autoSpaceDN/>
      <w:adjustRightInd/>
      <w:ind w:firstLine="200" w:firstLineChars="200"/>
    </w:pPr>
    <w:rPr>
      <w:rFonts w:ascii="Tahoma" w:hAnsi="Tahoma"/>
      <w:color w:val="auto"/>
      <w:kern w:val="2"/>
      <w:sz w:val="24"/>
      <w:szCs w:val="20"/>
    </w:rPr>
  </w:style>
  <w:style w:type="paragraph" w:customStyle="1" w:styleId="94">
    <w:name w:val="Char Char Char"/>
    <w:basedOn w:val="1"/>
    <w:uiPriority w:val="0"/>
    <w:pPr>
      <w:widowControl/>
      <w:autoSpaceDE/>
      <w:autoSpaceDN/>
      <w:adjustRightInd/>
      <w:jc w:val="left"/>
    </w:pPr>
    <w:rPr>
      <w:color w:val="auto"/>
      <w:sz w:val="20"/>
      <w:szCs w:val="20"/>
    </w:rPr>
  </w:style>
  <w:style w:type="paragraph" w:customStyle="1" w:styleId="95">
    <w:name w:val="_Style 2"/>
    <w:qFormat/>
    <w:uiPriority w:val="99"/>
    <w:rPr>
      <w:rFonts w:ascii="Calibri" w:hAnsi="Calibri" w:eastAsia="宋体" w:cs="Times New Roman"/>
      <w:sz w:val="22"/>
      <w:szCs w:val="22"/>
      <w:lang w:val="en-US" w:eastAsia="zh-CN" w:bidi="ar-SA"/>
    </w:rPr>
  </w:style>
  <w:style w:type="paragraph" w:customStyle="1" w:styleId="96">
    <w:name w:val="列出段落11"/>
    <w:basedOn w:val="1"/>
    <w:qFormat/>
    <w:uiPriority w:val="34"/>
    <w:pPr>
      <w:autoSpaceDE/>
      <w:autoSpaceDN/>
      <w:adjustRightInd/>
      <w:ind w:firstLine="420" w:firstLineChars="200"/>
    </w:pPr>
    <w:rPr>
      <w:rFonts w:ascii="Calibri" w:hAnsi="Calibri"/>
      <w:color w:val="auto"/>
      <w:kern w:val="2"/>
      <w:szCs w:val="24"/>
    </w:rPr>
  </w:style>
  <w:style w:type="character" w:customStyle="1" w:styleId="97">
    <w:name w:val="15"/>
    <w:basedOn w:val="24"/>
    <w:qFormat/>
    <w:uiPriority w:val="0"/>
    <w:rPr>
      <w:rFonts w:hint="eastAsia" w:ascii="宋体" w:hAnsi="宋体" w:eastAsia="宋体"/>
      <w:color w:val="000000"/>
      <w:sz w:val="20"/>
      <w:szCs w:val="20"/>
    </w:rPr>
  </w:style>
  <w:style w:type="character" w:customStyle="1" w:styleId="98">
    <w:name w:val="16"/>
    <w:basedOn w:val="24"/>
    <w:qFormat/>
    <w:uiPriority w:val="0"/>
    <w:rPr>
      <w:rFonts w:hint="default" w:ascii="Arial" w:hAnsi="Arial" w:cs="Arial"/>
      <w:color w:val="000000"/>
      <w:sz w:val="20"/>
      <w:szCs w:val="20"/>
    </w:rPr>
  </w:style>
  <w:style w:type="character" w:customStyle="1" w:styleId="99">
    <w:name w:val="17"/>
    <w:basedOn w:val="24"/>
    <w:qFormat/>
    <w:uiPriority w:val="0"/>
    <w:rPr>
      <w:rFonts w:hint="default" w:ascii="Arial" w:hAnsi="Arial" w:cs="Arial"/>
      <w:color w:val="FF0000"/>
      <w:sz w:val="20"/>
      <w:szCs w:val="20"/>
    </w:rPr>
  </w:style>
  <w:style w:type="character" w:customStyle="1" w:styleId="100">
    <w:name w:val="18"/>
    <w:basedOn w:val="24"/>
    <w:qFormat/>
    <w:uiPriority w:val="0"/>
    <w:rPr>
      <w:rFonts w:hint="eastAsia" w:ascii="宋体" w:hAnsi="宋体" w:eastAsia="宋体"/>
      <w:color w:val="FF0000"/>
      <w:sz w:val="20"/>
      <w:szCs w:val="20"/>
    </w:rPr>
  </w:style>
  <w:style w:type="character" w:customStyle="1" w:styleId="101">
    <w:name w:val="19"/>
    <w:basedOn w:val="24"/>
    <w:qFormat/>
    <w:uiPriority w:val="0"/>
    <w:rPr>
      <w:rFonts w:hint="eastAsia" w:ascii="宋体" w:hAnsi="宋体" w:eastAsia="宋体"/>
      <w:color w:val="000000"/>
      <w:sz w:val="20"/>
      <w:szCs w:val="20"/>
    </w:rPr>
  </w:style>
  <w:style w:type="character" w:customStyle="1" w:styleId="102">
    <w:name w:val="20"/>
    <w:basedOn w:val="24"/>
    <w:qFormat/>
    <w:uiPriority w:val="0"/>
    <w:rPr>
      <w:rFonts w:hint="default" w:ascii="Arial" w:hAnsi="Arial" w:cs="Arial"/>
      <w:color w:val="000000"/>
      <w:sz w:val="20"/>
      <w:szCs w:val="20"/>
    </w:rPr>
  </w:style>
  <w:style w:type="paragraph" w:customStyle="1" w:styleId="103">
    <w:name w:val="List Paragraph1"/>
    <w:basedOn w:val="1"/>
    <w:qFormat/>
    <w:uiPriority w:val="0"/>
    <w:pPr>
      <w:autoSpaceDE/>
      <w:autoSpaceDN/>
      <w:adjustRightInd/>
      <w:ind w:firstLine="420" w:firstLineChars="200"/>
    </w:pPr>
    <w:rPr>
      <w:rFonts w:ascii="Calibri" w:hAnsi="Calibri" w:cs="黑体"/>
      <w:color w:val="auto"/>
      <w:kern w:val="2"/>
    </w:rPr>
  </w:style>
  <w:style w:type="character" w:customStyle="1" w:styleId="104">
    <w:name w:val="标题 Char"/>
    <w:basedOn w:val="24"/>
    <w:link w:val="19"/>
    <w:uiPriority w:val="0"/>
    <w:rPr>
      <w:rFonts w:ascii="Cambria" w:hAnsi="Cambria"/>
      <w:b/>
      <w:bCs/>
      <w:kern w:val="2"/>
      <w:sz w:val="32"/>
      <w:szCs w:val="32"/>
    </w:rPr>
  </w:style>
  <w:style w:type="paragraph" w:customStyle="1" w:styleId="105">
    <w:name w:val="TOC 标题1"/>
    <w:basedOn w:val="2"/>
    <w:next w:val="1"/>
    <w:unhideWhenUsed/>
    <w:qFormat/>
    <w:uiPriority w:val="39"/>
    <w:pPr>
      <w:widowControl/>
      <w:autoSpaceDE/>
      <w:autoSpaceDN/>
      <w:adjustRightInd/>
      <w:spacing w:before="240" w:after="0" w:line="259" w:lineRule="auto"/>
      <w:jc w:val="left"/>
      <w:outlineLvl w:val="9"/>
    </w:pPr>
    <w:rPr>
      <w:rFonts w:ascii="Calibri Light" w:hAnsi="Calibri Light"/>
      <w:b w:val="0"/>
      <w:color w:val="2E74B5"/>
      <w:kern w:val="0"/>
      <w:sz w:val="32"/>
      <w:szCs w:val="32"/>
    </w:rPr>
  </w:style>
  <w:style w:type="paragraph" w:customStyle="1" w:styleId="106">
    <w:name w:val="Table Paragraph"/>
    <w:basedOn w:val="1"/>
    <w:qFormat/>
    <w:uiPriority w:val="1"/>
    <w:pPr>
      <w:adjustRightInd/>
      <w:spacing w:line="287" w:lineRule="exact"/>
      <w:ind w:left="301" w:right="287"/>
      <w:jc w:val="center"/>
    </w:pPr>
    <w:rPr>
      <w:rFonts w:ascii="宋体" w:hAnsi="宋体" w:cs="宋体"/>
      <w:color w:val="auto"/>
      <w:sz w:val="22"/>
      <w:szCs w:val="22"/>
      <w:lang w:val="zh-CN" w:bidi="zh-CN"/>
    </w:rPr>
  </w:style>
  <w:style w:type="paragraph" w:customStyle="1" w:styleId="107">
    <w:name w:val="正文缩进1"/>
    <w:basedOn w:val="1"/>
    <w:uiPriority w:val="0"/>
    <w:pPr>
      <w:ind w:firstLine="420"/>
      <w:jc w:val="left"/>
    </w:pPr>
    <w:rPr>
      <w:rFonts w:ascii="宋体"/>
      <w:color w:val="auto"/>
      <w:sz w:val="24"/>
      <w:szCs w:val="20"/>
    </w:rPr>
  </w:style>
  <w:style w:type="paragraph" w:customStyle="1" w:styleId="108">
    <w:name w:val="Char1"/>
    <w:basedOn w:val="1"/>
    <w:uiPriority w:val="0"/>
    <w:pPr>
      <w:autoSpaceDE/>
      <w:autoSpaceDN/>
      <w:adjustRightInd/>
    </w:pPr>
    <w:rPr>
      <w:rFonts w:ascii="仿宋_GB2312" w:eastAsia="仿宋_GB2312"/>
      <w:b/>
      <w:color w:val="auto"/>
      <w:kern w:val="2"/>
      <w:sz w:val="32"/>
      <w:szCs w:val="32"/>
    </w:rPr>
  </w:style>
  <w:style w:type="character" w:customStyle="1" w:styleId="109">
    <w:name w:val="font61"/>
    <w:basedOn w:val="24"/>
    <w:uiPriority w:val="0"/>
    <w:rPr>
      <w:rFonts w:ascii="Arial" w:hAnsi="Arial" w:cs="Arial"/>
      <w:color w:val="000000"/>
      <w:sz w:val="20"/>
      <w:szCs w:val="20"/>
      <w:u w:val="none"/>
    </w:rPr>
  </w:style>
  <w:style w:type="character" w:customStyle="1" w:styleId="110">
    <w:name w:val="font51"/>
    <w:basedOn w:val="24"/>
    <w:qFormat/>
    <w:uiPriority w:val="0"/>
    <w:rPr>
      <w:rFonts w:hint="eastAsia" w:ascii="宋体" w:hAnsi="宋体" w:eastAsia="宋体" w:cs="宋体"/>
      <w:color w:val="FF0000"/>
      <w:sz w:val="20"/>
      <w:szCs w:val="20"/>
      <w:u w:val="none"/>
    </w:rPr>
  </w:style>
  <w:style w:type="character" w:customStyle="1" w:styleId="111">
    <w:name w:val="font31"/>
    <w:basedOn w:val="24"/>
    <w:uiPriority w:val="0"/>
    <w:rPr>
      <w:rFonts w:hint="default" w:ascii="Arial" w:hAnsi="Arial" w:cs="Arial"/>
      <w:color w:val="FF0000"/>
      <w:sz w:val="20"/>
      <w:szCs w:val="20"/>
      <w:u w:val="none"/>
    </w:rPr>
  </w:style>
  <w:style w:type="character" w:customStyle="1" w:styleId="112">
    <w:name w:val="font41"/>
    <w:basedOn w:val="24"/>
    <w:uiPriority w:val="0"/>
    <w:rPr>
      <w:rFonts w:hint="default" w:ascii="Arial" w:hAnsi="Arial" w:cs="Arial"/>
      <w:color w:val="000000"/>
      <w:sz w:val="20"/>
      <w:szCs w:val="20"/>
      <w:u w:val="none"/>
    </w:rPr>
  </w:style>
  <w:style w:type="character" w:customStyle="1" w:styleId="113">
    <w:name w:val="font11"/>
    <w:basedOn w:val="24"/>
    <w:uiPriority w:val="0"/>
    <w:rPr>
      <w:rFonts w:hint="eastAsia" w:ascii="宋体" w:hAnsi="宋体" w:eastAsia="宋体" w:cs="宋体"/>
      <w:color w:val="000000"/>
      <w:sz w:val="20"/>
      <w:szCs w:val="20"/>
      <w:u w:val="none"/>
    </w:rPr>
  </w:style>
  <w:style w:type="paragraph" w:customStyle="1" w:styleId="114">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5">
    <w:name w:val="top_title1"/>
    <w:basedOn w:val="24"/>
    <w:qFormat/>
    <w:uiPriority w:val="0"/>
    <w:rPr>
      <w:b/>
      <w:bCs/>
      <w:color w:val="333333"/>
      <w:sz w:val="24"/>
      <w:szCs w:val="24"/>
    </w:rPr>
  </w:style>
  <w:style w:type="paragraph" w:customStyle="1" w:styleId="116">
    <w:name w:val="Heading1"/>
    <w:basedOn w:val="1"/>
    <w:next w:val="1"/>
    <w:uiPriority w:val="0"/>
    <w:pPr>
      <w:keepNext/>
      <w:keepLines/>
      <w:widowControl/>
      <w:autoSpaceDE/>
      <w:autoSpaceDN/>
      <w:adjustRightInd/>
      <w:spacing w:line="360" w:lineRule="auto"/>
      <w:jc w:val="left"/>
    </w:pPr>
    <w:rPr>
      <w:rFonts w:ascii="宋体" w:hAnsi="宋体" w:cs="宋体"/>
      <w:b/>
      <w:bCs/>
      <w:color w:val="auto"/>
      <w:kern w:val="44"/>
      <w:sz w:val="28"/>
      <w:szCs w:val="28"/>
    </w:rPr>
  </w:style>
  <w:style w:type="character" w:customStyle="1" w:styleId="117">
    <w:name w:val="NormalCharacter"/>
    <w:semiHidden/>
    <w:uiPriority w:val="0"/>
    <w:rPr>
      <w:sz w:val="24"/>
    </w:rPr>
  </w:style>
  <w:style w:type="character" w:customStyle="1" w:styleId="118">
    <w:name w:val="正文首行缩进 2 Char"/>
    <w:basedOn w:val="56"/>
    <w:link w:val="20"/>
    <w:uiPriority w:val="99"/>
  </w:style>
  <w:style w:type="paragraph" w:customStyle="1" w:styleId="11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1">
    <w:name w:val="_Style 14"/>
    <w:next w:val="6"/>
    <w:uiPriority w:val="0"/>
    <w:pPr>
      <w:widowControl w:val="0"/>
      <w:jc w:val="both"/>
    </w:pPr>
    <w:rPr>
      <w:rFonts w:ascii="宋体"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0FEFA-4647-4A81-B97D-D6B9F73E74D0}">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36</Pages>
  <Words>4594</Words>
  <Characters>26190</Characters>
  <Lines>218</Lines>
  <Paragraphs>61</Paragraphs>
  <TotalTime>1652</TotalTime>
  <ScaleCrop>false</ScaleCrop>
  <LinksUpToDate>false</LinksUpToDate>
  <CharactersWithSpaces>30723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2020-07-16T08:44:00Z</dcterms:created>
  <dc:creator>微软中国</dc:creator>
  <cp:lastModifiedBy>愿你年少有为不自卑</cp:lastModifiedBy>
  <cp:lastPrinted>2020-09-07T03:02:00Z</cp:lastPrinted>
  <dcterms:modified xsi:type="dcterms:W3CDTF">2020-09-08T08:14:29Z</dcterms:modified>
  <dc:title>诸暨市　　　　　　项目</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