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ascii="黑体" w:eastAsia="黑体"/>
          <w:sz w:val="72"/>
          <w:szCs w:val="72"/>
        </w:rPr>
      </w:pPr>
      <w:r>
        <w:rPr>
          <w:rFonts w:hint="eastAsia" w:ascii="黑体" w:eastAsia="黑体"/>
          <w:sz w:val="72"/>
          <w:szCs w:val="72"/>
        </w:rPr>
        <w:t>诸暨市20</w:t>
      </w:r>
      <w:r>
        <w:rPr>
          <w:rFonts w:ascii="黑体" w:eastAsia="黑体"/>
          <w:sz w:val="72"/>
          <w:szCs w:val="72"/>
        </w:rPr>
        <w:t>20</w:t>
      </w:r>
      <w:r>
        <w:rPr>
          <w:rFonts w:hint="eastAsia" w:ascii="黑体" w:eastAsia="黑体"/>
          <w:sz w:val="72"/>
          <w:szCs w:val="72"/>
        </w:rPr>
        <w:t>年度矿业权评估采购项目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（编号：诸政采2020-09-05）</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rPr>
          <w:rFonts w:ascii="隶书" w:hAnsi="Arial Narrow" w:eastAsia="隶书"/>
          <w:b/>
          <w:sz w:val="30"/>
          <w:szCs w:val="48"/>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rPr>
        <w:t>诸暨市自然资源和规划局</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11"/>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年九月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w:t>
      </w:r>
      <w:r>
        <w:rPr>
          <w:rFonts w:hint="eastAsia" w:ascii="宋体" w:hAnsi="宋体" w:cs="宋体"/>
          <w:sz w:val="24"/>
          <w:u w:val="single"/>
        </w:rPr>
        <w:t>诸暨市20</w:t>
      </w:r>
      <w:r>
        <w:rPr>
          <w:rFonts w:ascii="宋体" w:hAnsi="宋体" w:cs="宋体"/>
          <w:sz w:val="24"/>
          <w:u w:val="single"/>
        </w:rPr>
        <w:t>20</w:t>
      </w:r>
      <w:r>
        <w:rPr>
          <w:rFonts w:hint="eastAsia" w:ascii="宋体" w:hAnsi="宋体" w:cs="宋体"/>
          <w:sz w:val="24"/>
          <w:u w:val="single"/>
        </w:rPr>
        <w:t>年度矿业权评估采购项目</w:t>
      </w:r>
      <w:r>
        <w:rPr>
          <w:rFonts w:hint="eastAsia" w:ascii="宋体" w:hAnsi="宋体"/>
          <w:b/>
          <w:sz w:val="24"/>
          <w:szCs w:val="24"/>
          <w:u w:val="single"/>
        </w:rPr>
        <w:t xml:space="preserve">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020 年 9 月 29 日 9 时 30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28359002"/>
      <w:bookmarkStart w:id="3" w:name="_Toc28359079"/>
      <w:bookmarkStart w:id="4" w:name="_Toc35393790"/>
      <w:bookmarkStart w:id="5" w:name="_Toc35393621"/>
      <w:r>
        <w:rPr>
          <w:rFonts w:hint="eastAsia" w:asciiTheme="minorEastAsia" w:hAnsiTheme="minorEastAsia" w:eastAsiaTheme="minorEastAsia"/>
          <w:b/>
          <w:sz w:val="28"/>
          <w:szCs w:val="28"/>
        </w:rPr>
        <w:t>一、项目基本情况</w:t>
      </w:r>
      <w:bookmarkEnd w:id="2"/>
      <w:bookmarkEnd w:id="3"/>
      <w:bookmarkEnd w:id="4"/>
      <w:bookmarkEnd w:id="5"/>
    </w:p>
    <w:p>
      <w:pPr>
        <w:pStyle w:val="11"/>
        <w:ind w:firstLine="480" w:firstLineChars="200"/>
        <w:rPr>
          <w:rFonts w:ascii="宋体" w:hAnsi="宋体"/>
          <w:szCs w:val="24"/>
        </w:rPr>
      </w:pPr>
      <w:r>
        <w:rPr>
          <w:rFonts w:hint="eastAsia" w:ascii="宋体" w:hAnsi="宋体"/>
          <w:szCs w:val="24"/>
        </w:rPr>
        <w:t>项目编号：诸政采2020-09-05</w:t>
      </w:r>
    </w:p>
    <w:p>
      <w:pPr>
        <w:pStyle w:val="11"/>
        <w:ind w:firstLine="480" w:firstLineChars="200"/>
        <w:rPr>
          <w:rFonts w:ascii="宋体" w:hAnsi="宋体"/>
          <w:szCs w:val="24"/>
        </w:rPr>
      </w:pPr>
      <w:r>
        <w:rPr>
          <w:rFonts w:hint="eastAsia" w:ascii="宋体" w:hAnsi="宋体"/>
          <w:szCs w:val="24"/>
        </w:rPr>
        <w:t>项目名称：</w:t>
      </w:r>
      <w:r>
        <w:rPr>
          <w:rFonts w:hint="eastAsia" w:ascii="宋体" w:hAnsi="宋体" w:cs="宋体"/>
          <w:kern w:val="0"/>
        </w:rPr>
        <w:t>诸暨市20</w:t>
      </w:r>
      <w:r>
        <w:rPr>
          <w:rFonts w:ascii="宋体" w:hAnsi="宋体" w:cs="宋体"/>
          <w:kern w:val="0"/>
        </w:rPr>
        <w:t>20</w:t>
      </w:r>
      <w:r>
        <w:rPr>
          <w:rFonts w:hint="eastAsia" w:ascii="宋体" w:hAnsi="宋体" w:cs="宋体"/>
          <w:kern w:val="0"/>
        </w:rPr>
        <w:t>年度矿业权评估采购项目</w:t>
      </w:r>
    </w:p>
    <w:p>
      <w:pPr>
        <w:pStyle w:val="11"/>
        <w:ind w:firstLine="480" w:firstLineChars="200"/>
        <w:rPr>
          <w:rFonts w:ascii="宋体" w:hAnsi="宋体"/>
          <w:szCs w:val="24"/>
        </w:rPr>
      </w:pPr>
      <w:r>
        <w:rPr>
          <w:rFonts w:hint="eastAsia" w:ascii="宋体" w:hAnsi="宋体"/>
          <w:szCs w:val="24"/>
        </w:rPr>
        <w:t>预算金额：标的总预算9.9万元</w:t>
      </w:r>
    </w:p>
    <w:p>
      <w:pPr>
        <w:pStyle w:val="11"/>
        <w:ind w:firstLine="480" w:firstLineChars="200"/>
        <w:rPr>
          <w:rFonts w:ascii="宋体" w:hAnsi="宋体"/>
          <w:szCs w:val="24"/>
        </w:rPr>
      </w:pPr>
      <w:r>
        <w:rPr>
          <w:rFonts w:hint="eastAsia" w:ascii="宋体" w:hAnsi="宋体"/>
          <w:szCs w:val="24"/>
        </w:rPr>
        <w:t>最高限价：9.9万元</w:t>
      </w:r>
    </w:p>
    <w:p>
      <w:pPr>
        <w:pStyle w:val="11"/>
        <w:ind w:firstLine="480" w:firstLineChars="200"/>
        <w:rPr>
          <w:rFonts w:ascii="宋体" w:hAnsi="宋体"/>
          <w:szCs w:val="24"/>
        </w:rPr>
      </w:pPr>
      <w:r>
        <w:rPr>
          <w:rFonts w:hint="eastAsia" w:ascii="宋体" w:hAnsi="宋体"/>
          <w:szCs w:val="24"/>
        </w:rPr>
        <w:t>采购需求：详见招标文件，标的内容如下：</w:t>
      </w:r>
    </w:p>
    <w:tbl>
      <w:tblPr>
        <w:tblStyle w:val="21"/>
        <w:tblW w:w="0" w:type="auto"/>
        <w:jc w:val="center"/>
        <w:tblLayout w:type="fixed"/>
        <w:tblCellMar>
          <w:top w:w="0" w:type="dxa"/>
          <w:left w:w="0" w:type="dxa"/>
          <w:bottom w:w="0" w:type="dxa"/>
          <w:right w:w="0" w:type="dxa"/>
        </w:tblCellMar>
      </w:tblPr>
      <w:tblGrid>
        <w:gridCol w:w="4307"/>
        <w:gridCol w:w="1283"/>
        <w:gridCol w:w="1709"/>
        <w:gridCol w:w="1171"/>
      </w:tblGrid>
      <w:tr>
        <w:tblPrEx>
          <w:tblCellMar>
            <w:top w:w="0" w:type="dxa"/>
            <w:left w:w="0" w:type="dxa"/>
            <w:bottom w:w="0" w:type="dxa"/>
            <w:right w:w="0" w:type="dxa"/>
          </w:tblCellMar>
        </w:tblPrEx>
        <w:trPr>
          <w:trHeight w:val="261" w:hRule="atLeast"/>
          <w:jc w:val="center"/>
        </w:trPr>
        <w:tc>
          <w:tcPr>
            <w:tcW w:w="43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1283" w:type="dxa"/>
            <w:tcBorders>
              <w:top w:val="single" w:color="auto" w:sz="8" w:space="0"/>
              <w:left w:val="single" w:color="auto" w:sz="8" w:space="0"/>
              <w:bottom w:val="single" w:color="auto" w:sz="8" w:space="0"/>
              <w:right w:val="single" w:color="auto" w:sz="4" w:space="0"/>
            </w:tcBorders>
            <w:vAlign w:val="center"/>
          </w:tcPr>
          <w:p>
            <w:pPr>
              <w:widowControl/>
              <w:jc w:val="center"/>
              <w:rPr>
                <w:b/>
              </w:rPr>
            </w:pPr>
            <w:r>
              <w:rPr>
                <w:rFonts w:hint="eastAsia"/>
                <w:b/>
              </w:rPr>
              <w:t>数量</w:t>
            </w:r>
          </w:p>
        </w:tc>
        <w:tc>
          <w:tcPr>
            <w:tcW w:w="1709" w:type="dxa"/>
            <w:tcBorders>
              <w:top w:val="single" w:color="auto" w:sz="8" w:space="0"/>
              <w:left w:val="single" w:color="auto" w:sz="4" w:space="0"/>
              <w:bottom w:val="single" w:color="auto" w:sz="8" w:space="0"/>
              <w:right w:val="single" w:color="auto" w:sz="8" w:space="0"/>
            </w:tcBorders>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171" w:type="dxa"/>
            <w:tcBorders>
              <w:top w:val="single" w:color="auto" w:sz="8" w:space="0"/>
              <w:left w:val="single" w:color="auto" w:sz="8" w:space="0"/>
              <w:bottom w:val="single" w:color="auto" w:sz="8" w:space="0"/>
              <w:right w:val="single" w:color="auto" w:sz="8" w:space="0"/>
            </w:tcBorders>
            <w:vAlign w:val="center"/>
          </w:tcPr>
          <w:p>
            <w:pPr>
              <w:widowControl/>
              <w:jc w:val="center"/>
              <w:rPr>
                <w:b/>
              </w:rPr>
            </w:pPr>
            <w:r>
              <w:rPr>
                <w:rFonts w:hint="eastAsia"/>
                <w:b/>
              </w:rPr>
              <w:t>最高限价</w:t>
            </w:r>
          </w:p>
          <w:p>
            <w:pPr>
              <w:widowControl/>
              <w:jc w:val="center"/>
              <w:rPr>
                <w:b/>
              </w:rPr>
            </w:pPr>
            <w:r>
              <w:rPr>
                <w:rFonts w:hint="eastAsia"/>
                <w:b/>
              </w:rPr>
              <w:t>（万元）</w:t>
            </w:r>
          </w:p>
        </w:tc>
      </w:tr>
      <w:tr>
        <w:tblPrEx>
          <w:tblCellMar>
            <w:top w:w="0" w:type="dxa"/>
            <w:left w:w="0" w:type="dxa"/>
            <w:bottom w:w="0" w:type="dxa"/>
            <w:right w:w="0" w:type="dxa"/>
          </w:tblCellMar>
        </w:tblPrEx>
        <w:trPr>
          <w:trHeight w:val="1401" w:hRule="atLeast"/>
          <w:jc w:val="center"/>
        </w:trPr>
        <w:tc>
          <w:tcPr>
            <w:tcW w:w="4307"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276" w:lineRule="auto"/>
              <w:rPr>
                <w:rFonts w:ascii="宋体" w:hAnsi="宋体"/>
                <w:kern w:val="2"/>
                <w:sz w:val="24"/>
                <w:szCs w:val="24"/>
              </w:rPr>
            </w:pPr>
            <w:r>
              <w:rPr>
                <w:rFonts w:hint="eastAsia" w:ascii="宋体" w:hAnsi="宋体"/>
                <w:kern w:val="2"/>
                <w:sz w:val="24"/>
                <w:szCs w:val="24"/>
              </w:rPr>
              <w:t>诸暨市20</w:t>
            </w:r>
            <w:r>
              <w:rPr>
                <w:rFonts w:ascii="宋体" w:hAnsi="宋体"/>
                <w:kern w:val="2"/>
                <w:sz w:val="24"/>
                <w:szCs w:val="24"/>
              </w:rPr>
              <w:t>20</w:t>
            </w:r>
            <w:r>
              <w:rPr>
                <w:rFonts w:hint="eastAsia" w:ascii="宋体" w:hAnsi="宋体"/>
                <w:kern w:val="2"/>
                <w:sz w:val="24"/>
                <w:szCs w:val="24"/>
              </w:rPr>
              <w:t>年度矿业权评估采购项目</w:t>
            </w:r>
          </w:p>
        </w:tc>
        <w:tc>
          <w:tcPr>
            <w:tcW w:w="1283" w:type="dxa"/>
            <w:tcBorders>
              <w:top w:val="single" w:color="auto" w:sz="8" w:space="0"/>
              <w:left w:val="single" w:color="auto" w:sz="8" w:space="0"/>
              <w:bottom w:val="single" w:color="auto" w:sz="4" w:space="0"/>
              <w:right w:val="single" w:color="auto" w:sz="4" w:space="0"/>
            </w:tcBorders>
            <w:vAlign w:val="center"/>
          </w:tcPr>
          <w:p>
            <w:pPr>
              <w:spacing w:line="276" w:lineRule="auto"/>
              <w:jc w:val="center"/>
              <w:rPr>
                <w:rFonts w:ascii="宋体" w:hAnsi="宋体"/>
                <w:kern w:val="2"/>
                <w:sz w:val="24"/>
                <w:szCs w:val="24"/>
              </w:rPr>
            </w:pPr>
            <w:r>
              <w:rPr>
                <w:rFonts w:hint="eastAsia" w:ascii="宋体" w:hAnsi="宋体"/>
                <w:kern w:val="2"/>
                <w:sz w:val="24"/>
                <w:szCs w:val="24"/>
              </w:rPr>
              <w:t>3个</w:t>
            </w:r>
          </w:p>
        </w:tc>
        <w:tc>
          <w:tcPr>
            <w:tcW w:w="1709" w:type="dxa"/>
            <w:tcBorders>
              <w:top w:val="single" w:color="auto" w:sz="8" w:space="0"/>
              <w:left w:val="single" w:color="auto" w:sz="4" w:space="0"/>
              <w:bottom w:val="single" w:color="auto" w:sz="4" w:space="0"/>
              <w:right w:val="single" w:color="auto" w:sz="8" w:space="0"/>
            </w:tcBorders>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详见招标文件</w:t>
            </w:r>
          </w:p>
        </w:tc>
        <w:tc>
          <w:tcPr>
            <w:tcW w:w="1171" w:type="dxa"/>
            <w:tcBorders>
              <w:top w:val="single" w:color="auto" w:sz="8" w:space="0"/>
              <w:left w:val="single" w:color="auto" w:sz="8" w:space="0"/>
              <w:bottom w:val="single" w:color="auto" w:sz="4" w:space="0"/>
              <w:right w:val="single" w:color="auto" w:sz="8" w:space="0"/>
            </w:tcBorders>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9.9</w:t>
            </w:r>
          </w:p>
        </w:tc>
      </w:tr>
    </w:tbl>
    <w:p>
      <w:pPr>
        <w:pStyle w:val="11"/>
        <w:ind w:firstLine="480" w:firstLineChars="200"/>
        <w:rPr>
          <w:rFonts w:ascii="宋体" w:hAnsi="宋体"/>
          <w:szCs w:val="24"/>
        </w:rPr>
      </w:pPr>
      <w:r>
        <w:rPr>
          <w:rFonts w:hint="eastAsia" w:ascii="宋体" w:hAnsi="宋体"/>
          <w:szCs w:val="24"/>
        </w:rPr>
        <w:t xml:space="preserve"> </w:t>
      </w:r>
      <w:bookmarkStart w:id="6" w:name="_Toc28359080"/>
      <w:bookmarkStart w:id="7" w:name="_Toc35393791"/>
      <w:bookmarkStart w:id="8" w:name="_Toc28359003"/>
      <w:bookmarkStart w:id="9" w:name="_Toc35393622"/>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1"/>
        <w:spacing w:line="360" w:lineRule="exact"/>
        <w:ind w:firstLine="480" w:firstLineChars="200"/>
        <w:rPr>
          <w:rFonts w:ascii="宋体" w:hAnsi="宋体"/>
          <w:szCs w:val="24"/>
        </w:rPr>
      </w:pPr>
      <w:r>
        <w:rPr>
          <w:rFonts w:hint="eastAsia" w:ascii="宋体" w:hAnsi="宋体"/>
          <w:szCs w:val="24"/>
        </w:rPr>
        <w:t>1.符合《中华人民共和国政府采购法》第二十二条。</w:t>
      </w:r>
    </w:p>
    <w:p>
      <w:pPr>
        <w:pStyle w:val="11"/>
        <w:spacing w:line="360" w:lineRule="exact"/>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kinsoku w:val="0"/>
        <w:overflowPunct w:val="0"/>
        <w:spacing w:line="360" w:lineRule="exact"/>
        <w:ind w:left="479" w:leftChars="228"/>
        <w:jc w:val="left"/>
        <w:rPr>
          <w:rFonts w:ascii="宋体" w:hAnsi="宋体"/>
          <w:sz w:val="24"/>
        </w:rPr>
      </w:pPr>
      <w:r>
        <w:rPr>
          <w:rFonts w:hint="eastAsia" w:ascii="宋体" w:hAnsi="宋体"/>
          <w:sz w:val="24"/>
        </w:rPr>
        <w:t>3、</w:t>
      </w:r>
      <w:r>
        <w:rPr>
          <w:rFonts w:ascii="宋体" w:hAnsi="宋体"/>
          <w:sz w:val="24"/>
        </w:rPr>
        <w:t>具备中国矿业权评估师协会颁发的矿业权评估资质</w:t>
      </w:r>
      <w:r>
        <w:rPr>
          <w:rFonts w:hint="eastAsia" w:ascii="宋体" w:hAnsi="宋体"/>
          <w:sz w:val="24"/>
        </w:rPr>
        <w:t>,投标截止时间前，已在浙江省自然资源厅备案并允许开展矿业权评估工作；</w:t>
      </w:r>
    </w:p>
    <w:p>
      <w:pPr>
        <w:pStyle w:val="90"/>
        <w:widowControl w:val="0"/>
        <w:spacing w:after="156" w:line="360" w:lineRule="exact"/>
        <w:ind w:firstLine="480"/>
        <w:rPr>
          <w:rFonts w:ascii="宋体" w:hAnsi="宋体"/>
          <w:kern w:val="2"/>
          <w:szCs w:val="24"/>
        </w:rPr>
      </w:pPr>
      <w:r>
        <w:rPr>
          <w:rFonts w:hint="eastAsia" w:ascii="宋体" w:hAnsi="宋体"/>
          <w:szCs w:val="24"/>
        </w:rPr>
        <w:t>4、</w:t>
      </w:r>
      <w:r>
        <w:rPr>
          <w:rFonts w:hint="eastAsia" w:ascii="宋体" w:hAnsi="宋体"/>
          <w:kern w:val="2"/>
          <w:szCs w:val="24"/>
        </w:rPr>
        <w:t>本项目不接受联合体投标。</w:t>
      </w:r>
    </w:p>
    <w:p>
      <w:pPr>
        <w:rPr>
          <w:rFonts w:asciiTheme="minorEastAsia" w:hAnsiTheme="minorEastAsia" w:eastAsiaTheme="minorEastAsia"/>
          <w:b/>
          <w:sz w:val="28"/>
          <w:szCs w:val="28"/>
        </w:rPr>
      </w:pPr>
      <w:bookmarkStart w:id="10" w:name="_Toc35393623"/>
      <w:bookmarkStart w:id="11" w:name="_Toc35393792"/>
      <w:r>
        <w:rPr>
          <w:rFonts w:hint="eastAsia" w:asciiTheme="minorEastAsia" w:hAnsiTheme="minorEastAsia" w:eastAsiaTheme="minorEastAsia"/>
          <w:b/>
          <w:sz w:val="28"/>
          <w:szCs w:val="28"/>
        </w:rPr>
        <w:t>三、获取招标文件</w:t>
      </w:r>
      <w:bookmarkEnd w:id="10"/>
      <w:bookmarkEnd w:id="11"/>
    </w:p>
    <w:p>
      <w:pPr>
        <w:pStyle w:val="11"/>
        <w:ind w:firstLine="480" w:firstLineChars="200"/>
        <w:rPr>
          <w:rFonts w:ascii="宋体" w:hAnsi="宋体"/>
          <w:szCs w:val="24"/>
        </w:rPr>
      </w:pPr>
      <w:r>
        <w:rPr>
          <w:rFonts w:hint="eastAsia" w:ascii="宋体" w:hAnsi="宋体"/>
          <w:szCs w:val="24"/>
        </w:rPr>
        <w:t>时间：2020 年 9 月8 日至 2020 年 9月 18日（</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1"/>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11"/>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1"/>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1"/>
        <w:ind w:firstLine="480" w:firstLineChars="200"/>
        <w:rPr>
          <w:rFonts w:ascii="宋体" w:hAnsi="宋体"/>
          <w:szCs w:val="24"/>
        </w:rPr>
      </w:pPr>
      <w:r>
        <w:rPr>
          <w:rFonts w:hint="eastAsia" w:ascii="宋体" w:hAnsi="宋体"/>
          <w:szCs w:val="24"/>
        </w:rPr>
        <w:t>提交投标文件截止时间及开标时间：投标人应于2020 年 9月29日9时30分（北京时间）前按照电子投标要求将电子加密标书上传到“政采云”平台，逾期或未上传成功的将导致无法投标或投标无效。</w:t>
      </w:r>
    </w:p>
    <w:p>
      <w:pPr>
        <w:pStyle w:val="1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35393794"/>
      <w:bookmarkStart w:id="17" w:name="_Toc28359084"/>
      <w:bookmarkStart w:id="18" w:name="_Toc35393625"/>
      <w:bookmarkStart w:id="19" w:name="_Toc28359007"/>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1"/>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1"/>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p>
    <w:p>
      <w:pPr>
        <w:pStyle w:val="11"/>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1"/>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1"/>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1"/>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1"/>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28359085"/>
      <w:bookmarkStart w:id="23" w:name="_Toc35393627"/>
      <w:bookmarkStart w:id="24" w:name="_Toc35393796"/>
      <w:bookmarkStart w:id="25" w:name="_Toc28359008"/>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1"/>
        <w:ind w:firstLine="482" w:firstLineChars="200"/>
        <w:rPr>
          <w:rFonts w:ascii="宋体" w:hAnsi="宋体"/>
          <w:b/>
          <w:szCs w:val="24"/>
        </w:rPr>
      </w:pPr>
      <w:r>
        <w:rPr>
          <w:rFonts w:hint="eastAsia" w:ascii="宋体" w:hAnsi="宋体"/>
          <w:b/>
          <w:szCs w:val="24"/>
        </w:rPr>
        <w:t>1.采购人信息</w:t>
      </w:r>
    </w:p>
    <w:p>
      <w:pPr>
        <w:pStyle w:val="11"/>
        <w:ind w:firstLine="480" w:firstLineChars="200"/>
        <w:rPr>
          <w:rFonts w:ascii="宋体" w:hAnsi="宋体" w:cs="宋体"/>
          <w:kern w:val="0"/>
        </w:rPr>
      </w:pPr>
      <w:r>
        <w:rPr>
          <w:rFonts w:hint="eastAsia" w:ascii="宋体" w:hAnsi="宋体"/>
          <w:szCs w:val="24"/>
        </w:rPr>
        <w:t>名      称：</w:t>
      </w:r>
      <w:r>
        <w:rPr>
          <w:rFonts w:hint="eastAsia" w:ascii="宋体" w:hAnsi="宋体" w:cs="宋体"/>
          <w:kern w:val="0"/>
        </w:rPr>
        <w:t>诸暨市自然资源和规划局</w:t>
      </w:r>
    </w:p>
    <w:p>
      <w:pPr>
        <w:pStyle w:val="11"/>
        <w:ind w:firstLine="480" w:firstLineChars="200"/>
        <w:rPr>
          <w:rFonts w:ascii="宋体" w:hAnsi="宋体"/>
          <w:szCs w:val="24"/>
        </w:rPr>
      </w:pPr>
      <w:r>
        <w:rPr>
          <w:rFonts w:hint="eastAsia" w:ascii="宋体" w:hAnsi="宋体"/>
          <w:szCs w:val="24"/>
        </w:rPr>
        <w:t>地      址：诸暨市东二路53号</w:t>
      </w:r>
    </w:p>
    <w:p>
      <w:pPr>
        <w:pStyle w:val="11"/>
        <w:ind w:firstLine="480" w:firstLineChars="200"/>
        <w:rPr>
          <w:rFonts w:ascii="宋体" w:hAnsi="宋体"/>
          <w:szCs w:val="24"/>
        </w:rPr>
      </w:pPr>
      <w:r>
        <w:rPr>
          <w:rFonts w:hint="eastAsia" w:ascii="宋体" w:hAnsi="宋体"/>
          <w:szCs w:val="24"/>
        </w:rPr>
        <w:t>项目联系人：</w:t>
      </w:r>
      <w:r>
        <w:rPr>
          <w:rFonts w:hint="eastAsia" w:ascii="宋体" w:hAnsi="宋体" w:cs="宋体"/>
          <w:kern w:val="0"/>
        </w:rPr>
        <w:t>傅清伟</w:t>
      </w:r>
    </w:p>
    <w:p>
      <w:pPr>
        <w:widowControl/>
        <w:shd w:val="clear" w:color="auto" w:fill="FDFAF5"/>
        <w:spacing w:line="320" w:lineRule="exact"/>
        <w:ind w:firstLine="480" w:firstLineChars="200"/>
        <w:jc w:val="left"/>
        <w:rPr>
          <w:rFonts w:ascii="宋体" w:hAnsi="宋体"/>
          <w:kern w:val="2"/>
          <w:sz w:val="24"/>
          <w:szCs w:val="24"/>
        </w:rPr>
      </w:pPr>
      <w:r>
        <w:rPr>
          <w:rFonts w:hint="eastAsia" w:ascii="宋体" w:hAnsi="宋体"/>
          <w:kern w:val="2"/>
          <w:sz w:val="24"/>
          <w:szCs w:val="24"/>
        </w:rPr>
        <w:t>联系  方式：</w:t>
      </w:r>
      <w:bookmarkStart w:id="26" w:name="_Toc28359009"/>
      <w:bookmarkStart w:id="27" w:name="_Toc28359086"/>
      <w:r>
        <w:rPr>
          <w:rFonts w:hint="eastAsia" w:ascii="宋体" w:hAnsi="宋体"/>
          <w:kern w:val="2"/>
          <w:sz w:val="24"/>
          <w:szCs w:val="24"/>
        </w:rPr>
        <w:t>0575-87980073</w:t>
      </w:r>
    </w:p>
    <w:p>
      <w:pPr>
        <w:pStyle w:val="11"/>
        <w:ind w:firstLine="480" w:firstLineChars="200"/>
        <w:rPr>
          <w:rFonts w:ascii="宋体" w:hAnsi="宋体"/>
          <w:szCs w:val="24"/>
        </w:rPr>
      </w:pP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2.采购代理机构信息</w:t>
      </w:r>
      <w:bookmarkEnd w:id="26"/>
      <w:bookmarkEnd w:id="27"/>
    </w:p>
    <w:p>
      <w:pPr>
        <w:pStyle w:val="11"/>
        <w:ind w:firstLine="480" w:firstLineChars="200"/>
        <w:rPr>
          <w:rFonts w:ascii="宋体" w:hAnsi="宋体"/>
          <w:szCs w:val="24"/>
        </w:rPr>
      </w:pPr>
      <w:r>
        <w:rPr>
          <w:rFonts w:hint="eastAsia" w:ascii="宋体" w:hAnsi="宋体"/>
          <w:szCs w:val="24"/>
        </w:rPr>
        <w:t>名      称：诸暨市公共资源交易中心</w:t>
      </w:r>
    </w:p>
    <w:p>
      <w:pPr>
        <w:pStyle w:val="11"/>
        <w:ind w:firstLine="480" w:firstLineChars="200"/>
        <w:rPr>
          <w:rFonts w:ascii="宋体" w:hAnsi="宋体"/>
          <w:szCs w:val="24"/>
        </w:rPr>
      </w:pPr>
      <w:r>
        <w:rPr>
          <w:rFonts w:hint="eastAsia" w:ascii="宋体" w:hAnsi="宋体"/>
          <w:szCs w:val="24"/>
        </w:rPr>
        <w:t>地　    址：诸暨市暨东路58号6楼北602办公室</w:t>
      </w:r>
    </w:p>
    <w:p>
      <w:pPr>
        <w:pStyle w:val="11"/>
        <w:ind w:firstLine="480" w:firstLineChars="200"/>
        <w:rPr>
          <w:rFonts w:ascii="宋体" w:hAnsi="宋体"/>
          <w:szCs w:val="24"/>
        </w:rPr>
      </w:pPr>
      <w:r>
        <w:rPr>
          <w:rFonts w:hint="eastAsia" w:ascii="宋体" w:hAnsi="宋体"/>
          <w:szCs w:val="24"/>
        </w:rPr>
        <w:t>项目联系人：王洁</w:t>
      </w:r>
    </w:p>
    <w:p>
      <w:pPr>
        <w:pStyle w:val="11"/>
        <w:ind w:firstLine="480" w:firstLineChars="200"/>
        <w:rPr>
          <w:rFonts w:ascii="宋体" w:hAnsi="宋体"/>
          <w:szCs w:val="24"/>
        </w:rPr>
      </w:pPr>
      <w:r>
        <w:rPr>
          <w:rFonts w:hint="eastAsia" w:ascii="宋体" w:hAnsi="宋体"/>
          <w:szCs w:val="24"/>
        </w:rPr>
        <w:t xml:space="preserve">联系  方式：0575-87253016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3.同级政府采购监督管理部门</w:t>
      </w:r>
    </w:p>
    <w:p>
      <w:pPr>
        <w:pStyle w:val="11"/>
        <w:ind w:firstLine="480" w:firstLineChars="200"/>
        <w:rPr>
          <w:rFonts w:ascii="宋体" w:hAnsi="宋体"/>
          <w:szCs w:val="24"/>
        </w:rPr>
      </w:pPr>
      <w:r>
        <w:rPr>
          <w:rFonts w:hint="eastAsia" w:ascii="宋体" w:hAnsi="宋体"/>
          <w:szCs w:val="24"/>
        </w:rPr>
        <w:t>名      称：诸暨市财政局政府采购监管科</w:t>
      </w:r>
    </w:p>
    <w:p>
      <w:pPr>
        <w:pStyle w:val="11"/>
        <w:ind w:firstLine="480" w:firstLineChars="200"/>
        <w:rPr>
          <w:rFonts w:ascii="宋体" w:hAnsi="宋体"/>
          <w:szCs w:val="24"/>
        </w:rPr>
      </w:pPr>
      <w:r>
        <w:rPr>
          <w:rFonts w:hint="eastAsia" w:ascii="宋体" w:hAnsi="宋体"/>
          <w:szCs w:val="24"/>
        </w:rPr>
        <w:t>地      址：诸暨市人民中路356号</w:t>
      </w:r>
    </w:p>
    <w:p>
      <w:pPr>
        <w:pStyle w:val="11"/>
        <w:ind w:firstLine="480" w:firstLineChars="200"/>
        <w:rPr>
          <w:rFonts w:ascii="宋体" w:hAnsi="宋体"/>
          <w:szCs w:val="24"/>
        </w:rPr>
      </w:pPr>
      <w:r>
        <w:rPr>
          <w:rFonts w:hint="eastAsia" w:ascii="宋体" w:hAnsi="宋体"/>
          <w:szCs w:val="24"/>
        </w:rPr>
        <w:t>联  系  人：金永康 </w:t>
      </w:r>
    </w:p>
    <w:p>
      <w:pPr>
        <w:pStyle w:val="11"/>
        <w:ind w:firstLine="480" w:firstLineChars="200"/>
        <w:rPr>
          <w:rFonts w:ascii="宋体" w:hAnsi="宋体"/>
          <w:szCs w:val="24"/>
        </w:rPr>
      </w:pPr>
      <w:r>
        <w:rPr>
          <w:rFonts w:hint="eastAsia" w:ascii="宋体" w:hAnsi="宋体"/>
          <w:szCs w:val="24"/>
        </w:rPr>
        <w:t>监督投诉电话：0575-87113458</w:t>
      </w:r>
    </w:p>
    <w:p>
      <w:pPr>
        <w:pStyle w:val="11"/>
        <w:ind w:firstLine="480" w:firstLineChars="200"/>
        <w:rPr>
          <w:rFonts w:ascii="宋体" w:hAnsi="宋体"/>
          <w:szCs w:val="24"/>
        </w:rPr>
      </w:pPr>
    </w:p>
    <w:p>
      <w:pPr>
        <w:pStyle w:val="1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320" w:lineRule="exact"/>
        <w:ind w:right="480" w:firstLine="5160" w:firstLineChars="2150"/>
        <w:rPr>
          <w:rFonts w:ascii="宋体" w:hAnsi="宋体" w:cs="宋体"/>
          <w:sz w:val="24"/>
        </w:rPr>
      </w:pPr>
      <w:r>
        <w:rPr>
          <w:rFonts w:hint="eastAsia" w:ascii="宋体" w:hAnsi="宋体" w:cs="宋体"/>
          <w:sz w:val="24"/>
        </w:rPr>
        <w:t xml:space="preserve">      诸暨市自然资源和规划局</w:t>
      </w:r>
    </w:p>
    <w:p>
      <w:pPr>
        <w:spacing w:line="320" w:lineRule="exact"/>
        <w:jc w:val="center"/>
        <w:rPr>
          <w:rFonts w:ascii="宋体" w:hAnsi="宋体"/>
          <w:sz w:val="24"/>
          <w:szCs w:val="24"/>
        </w:rPr>
      </w:pPr>
      <w:r>
        <w:rPr>
          <w:rFonts w:hint="eastAsia" w:ascii="宋体" w:hAnsi="宋体"/>
          <w:sz w:val="24"/>
          <w:szCs w:val="24"/>
        </w:rPr>
        <w:t>　　　　　　　　　　　　                     诸暨市公共资源交易中心</w:t>
      </w:r>
    </w:p>
    <w:p>
      <w:pPr>
        <w:spacing w:line="320" w:lineRule="exact"/>
        <w:jc w:val="center"/>
        <w:rPr>
          <w:rFonts w:ascii="宋体" w:hAnsi="宋体"/>
          <w:sz w:val="24"/>
          <w:szCs w:val="24"/>
        </w:rPr>
      </w:pPr>
      <w:r>
        <w:rPr>
          <w:rFonts w:hint="eastAsia" w:ascii="宋体" w:hAnsi="宋体"/>
          <w:sz w:val="24"/>
          <w:szCs w:val="24"/>
        </w:rPr>
        <w:t>　　　　　　　　　　　　            2020年9</w:t>
      </w:r>
      <w:r>
        <w:rPr>
          <w:rFonts w:hint="eastAsia" w:ascii="宋体" w:hAnsi="宋体" w:cs="Arial"/>
          <w:sz w:val="24"/>
        </w:rPr>
        <w:t>月8日</w:t>
      </w:r>
    </w:p>
    <w:p>
      <w:pPr>
        <w:spacing w:line="500" w:lineRule="exact"/>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cs="宋体"/>
              </w:rPr>
              <w:t>诸暨市20</w:t>
            </w:r>
            <w:r>
              <w:rPr>
                <w:rFonts w:ascii="宋体" w:hAnsi="宋体" w:cs="宋体"/>
              </w:rPr>
              <w:t>20</w:t>
            </w:r>
            <w:r>
              <w:rPr>
                <w:rFonts w:hint="eastAsia" w:ascii="宋体" w:hAnsi="宋体" w:cs="宋体"/>
              </w:rPr>
              <w:t>年度矿业权评估采购项目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cs="宋体"/>
                <w:bCs/>
                <w:szCs w:val="24"/>
                <w:u w:val="single"/>
              </w:rPr>
              <w:t>本次招标标的最高限价为人民币</w:t>
            </w:r>
            <w:r>
              <w:rPr>
                <w:rFonts w:hint="eastAsia" w:ascii="宋体" w:hAnsi="宋体" w:cs="宋体"/>
                <w:b/>
                <w:bCs/>
                <w:szCs w:val="24"/>
                <w:u w:val="single"/>
              </w:rPr>
              <w:t>玖万玖仟圆（¥99000.00）整</w:t>
            </w:r>
            <w:r>
              <w:rPr>
                <w:rFonts w:hint="eastAsia" w:ascii="宋体" w:hAnsi="宋体" w:cs="宋体"/>
                <w:bCs/>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w:t>
            </w:r>
            <w:r>
              <w:rPr>
                <w:rFonts w:hint="eastAsia" w:ascii="宋体" w:hAnsi="宋体"/>
                <w:b/>
                <w:sz w:val="24"/>
                <w:szCs w:val="24"/>
              </w:rPr>
              <w:t>1</w:t>
            </w:r>
            <w:r>
              <w:rPr>
                <w:rFonts w:hint="eastAsia" w:ascii="宋体" w:hAnsi="宋体"/>
                <w:sz w:val="24"/>
                <w:szCs w:val="24"/>
              </w:rPr>
              <w:t>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招标文件的</w:t>
            </w:r>
          </w:p>
          <w:p>
            <w:pPr>
              <w:pStyle w:val="11"/>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1"/>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评标委员会负责资格审查，审查内容包括：</w:t>
            </w:r>
          </w:p>
          <w:p>
            <w:pPr>
              <w:rPr>
                <w:rFonts w:ascii="宋体" w:hAnsi="宋体" w:cs="宋体"/>
                <w:color w:val="auto"/>
                <w:sz w:val="24"/>
              </w:rPr>
            </w:pPr>
            <w:r>
              <w:rPr>
                <w:rFonts w:hint="eastAsia" w:ascii="宋体" w:hAnsi="宋体" w:cs="宋体"/>
                <w:sz w:val="24"/>
              </w:rPr>
              <w:t>1、</w:t>
            </w:r>
            <w:r>
              <w:rPr>
                <w:rFonts w:hint="eastAsia" w:ascii="宋体" w:hAnsi="宋体" w:cs="宋体"/>
                <w:color w:val="auto"/>
                <w:sz w:val="24"/>
              </w:rPr>
              <w:t>营业执照复印件。</w:t>
            </w:r>
          </w:p>
          <w:p>
            <w:pPr>
              <w:rPr>
                <w:rFonts w:ascii="宋体" w:hAnsi="宋体" w:cs="宋体"/>
                <w:color w:val="auto"/>
                <w:sz w:val="24"/>
              </w:rPr>
            </w:pPr>
            <w:r>
              <w:rPr>
                <w:rFonts w:hint="eastAsia" w:ascii="宋体" w:hAnsi="宋体" w:cs="宋体"/>
                <w:color w:val="auto"/>
                <w:sz w:val="24"/>
              </w:rPr>
              <w:t>2、信用记录查询。</w:t>
            </w:r>
          </w:p>
          <w:p>
            <w:pPr>
              <w:rPr>
                <w:rFonts w:ascii="宋体" w:hAnsi="宋体" w:cs="宋体"/>
                <w:color w:val="FF0000"/>
                <w:sz w:val="24"/>
              </w:rPr>
            </w:pPr>
            <w:r>
              <w:rPr>
                <w:rFonts w:hint="eastAsia" w:ascii="宋体" w:hAnsi="宋体" w:cs="宋体"/>
                <w:color w:val="auto"/>
                <w:sz w:val="24"/>
              </w:rPr>
              <w:t>3、其他资格条件证明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bookmarkStart w:id="86" w:name="_GoBack"/>
            <w:r>
              <w:rPr>
                <w:rFonts w:ascii="宋体" w:hAnsi="宋体"/>
                <w:color w:val="auto"/>
                <w:sz w:val="24"/>
                <w:szCs w:val="24"/>
              </w:rPr>
              <w:t>法定代表人授权委托书</w:t>
            </w:r>
            <w:r>
              <w:rPr>
                <w:rFonts w:hint="eastAsia" w:ascii="宋体" w:hAnsi="宋体"/>
                <w:color w:val="auto"/>
                <w:sz w:val="24"/>
                <w:szCs w:val="24"/>
              </w:rPr>
              <w:t>（法定代表人提供身份证复印件，</w:t>
            </w:r>
            <w:r>
              <w:rPr>
                <w:rFonts w:ascii="宋体" w:hAnsi="宋体"/>
                <w:color w:val="auto"/>
                <w:sz w:val="24"/>
                <w:szCs w:val="24"/>
              </w:rPr>
              <w:t>格式见附件)</w:t>
            </w:r>
            <w:bookmarkEnd w:id="86"/>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提供自招标公告发布之日起至投标截止日内任意时间的“信用中国”网站（www.creditchina.gov.cn）、中国政府采购网（www.ccgp.gov.cn）投标人信用查询网页截图。（以开标当日采购人或由采购人委托评标委员会核实的查询结果为准）；</w:t>
            </w:r>
          </w:p>
          <w:p>
            <w:pPr>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矿业权评估资质证书复印件（加盖公章）；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1"/>
              <w:rPr>
                <w:rFonts w:ascii="宋体" w:hAnsi="宋体"/>
              </w:rPr>
            </w:pPr>
            <w:r>
              <w:rPr>
                <w:rFonts w:hint="eastAsia" w:ascii="宋体"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1、根据财库〔2011〕181号的相关规定，在评审时对小型和微型企业的投标报价给予 </w:t>
            </w:r>
            <w:bookmarkStart w:id="28" w:name="小微企业价格扣除比例2"/>
            <w:r>
              <w:rPr>
                <w:rFonts w:ascii="宋体" w:hAnsi="宋体"/>
              </w:rPr>
              <w:t>6</w:t>
            </w:r>
            <w:bookmarkEnd w:id="28"/>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1"/>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1"/>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1"/>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rPr>
                <w:rFonts w:ascii="宋体" w:hAnsi="宋体"/>
              </w:rPr>
            </w:pPr>
            <w:r>
              <w:rPr>
                <w:rFonts w:hint="eastAsia" w:ascii="宋体" w:hAnsi="宋体"/>
              </w:rPr>
              <w:t>(注：未提供以上材料的，均不给予价格扣除）。</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9"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bookmarkStart w:id="30"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30"/>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1" w:name="_Toc125344505"/>
      <w:r>
        <w:rPr>
          <w:rFonts w:hint="eastAsia"/>
          <w:b/>
          <w:sz w:val="28"/>
        </w:rPr>
        <w:t>三、投标文件编制</w:t>
      </w:r>
      <w:bookmarkEnd w:id="31"/>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5"/>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5"/>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5"/>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5"/>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5"/>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5"/>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0"/>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2" w:name="_Toc125344507"/>
      <w:r>
        <w:rPr>
          <w:rFonts w:hint="eastAsia"/>
          <w:b/>
          <w:sz w:val="28"/>
        </w:rPr>
        <w:t>四、开  标</w:t>
      </w:r>
      <w:bookmarkEnd w:id="32"/>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6"/>
        <w:ind w:firstLine="480" w:firstLineChars="200"/>
        <w:rPr>
          <w:rFonts w:ascii="宋体" w:hAnsi="宋体"/>
          <w:sz w:val="24"/>
        </w:rPr>
      </w:pPr>
      <w:r>
        <w:rPr>
          <w:rFonts w:hint="eastAsia" w:ascii="宋体" w:hAnsi="宋体"/>
          <w:sz w:val="24"/>
        </w:rPr>
        <w:t>（一）电子交易平台发生故障而无法登录访问的； </w:t>
      </w:r>
    </w:p>
    <w:p>
      <w:pPr>
        <w:pStyle w:val="16"/>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6"/>
        <w:ind w:firstLine="480" w:firstLineChars="200"/>
        <w:rPr>
          <w:rFonts w:ascii="宋体" w:hAnsi="宋体"/>
          <w:sz w:val="24"/>
        </w:rPr>
      </w:pPr>
      <w:r>
        <w:rPr>
          <w:rFonts w:hint="eastAsia" w:ascii="宋体" w:hAnsi="宋体"/>
          <w:sz w:val="24"/>
        </w:rPr>
        <w:t>（三）电子交易平台发现严重安全漏洞，有潜在泄密危险的；</w:t>
      </w:r>
    </w:p>
    <w:p>
      <w:pPr>
        <w:pStyle w:val="16"/>
        <w:ind w:firstLine="480" w:firstLineChars="200"/>
        <w:rPr>
          <w:rFonts w:ascii="宋体" w:hAnsi="宋体"/>
          <w:sz w:val="24"/>
        </w:rPr>
      </w:pPr>
      <w:r>
        <w:rPr>
          <w:rFonts w:hint="eastAsia" w:ascii="宋体" w:hAnsi="宋体"/>
          <w:sz w:val="24"/>
        </w:rPr>
        <w:t>（四）病毒发作导致不能进行正常操作的； </w:t>
      </w:r>
    </w:p>
    <w:p>
      <w:pPr>
        <w:pStyle w:val="16"/>
        <w:ind w:firstLine="480" w:firstLineChars="200"/>
        <w:rPr>
          <w:rFonts w:ascii="宋体" w:hAnsi="宋体"/>
          <w:sz w:val="24"/>
        </w:rPr>
      </w:pPr>
      <w:r>
        <w:rPr>
          <w:rFonts w:hint="eastAsia" w:ascii="宋体" w:hAnsi="宋体"/>
          <w:sz w:val="24"/>
        </w:rPr>
        <w:t>（五）其他无法保证电子交易的公平、公正和安全的情况。</w:t>
      </w:r>
    </w:p>
    <w:p>
      <w:pPr>
        <w:pStyle w:val="16"/>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3" w:name="_Toc125344508"/>
      <w:r>
        <w:rPr>
          <w:rFonts w:hint="eastAsia"/>
          <w:b/>
          <w:sz w:val="28"/>
        </w:rPr>
        <w:t xml:space="preserve"> 五、评　标</w:t>
      </w:r>
      <w:bookmarkEnd w:id="33"/>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6"/>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6"/>
        <w:ind w:firstLine="480" w:firstLineChars="200"/>
        <w:rPr>
          <w:rFonts w:ascii="宋体" w:hAnsi="宋体"/>
          <w:sz w:val="24"/>
        </w:rPr>
      </w:pPr>
      <w:r>
        <w:rPr>
          <w:rFonts w:hint="eastAsia" w:ascii="宋体" w:hAnsi="宋体"/>
          <w:sz w:val="24"/>
        </w:rPr>
        <w:t>22.1评标委员会必须公平、公正、客观，不带任何倾向性和启发性；</w:t>
      </w:r>
    </w:p>
    <w:p>
      <w:pPr>
        <w:pStyle w:val="16"/>
        <w:ind w:firstLine="480" w:firstLineChars="200"/>
        <w:rPr>
          <w:rFonts w:ascii="宋体" w:hAnsi="宋体"/>
          <w:sz w:val="24"/>
        </w:rPr>
      </w:pPr>
      <w:r>
        <w:rPr>
          <w:rFonts w:hint="eastAsia" w:ascii="宋体" w:hAnsi="宋体"/>
          <w:sz w:val="24"/>
        </w:rPr>
        <w:t>22.2不得向外界透露任何与评标有关的内容；</w:t>
      </w:r>
    </w:p>
    <w:p>
      <w:pPr>
        <w:pStyle w:val="16"/>
        <w:ind w:firstLine="480" w:firstLineChars="200"/>
        <w:rPr>
          <w:rFonts w:ascii="宋体" w:hAnsi="宋体"/>
          <w:sz w:val="24"/>
        </w:rPr>
      </w:pPr>
      <w:r>
        <w:rPr>
          <w:rFonts w:hint="eastAsia" w:ascii="宋体" w:hAnsi="宋体"/>
          <w:sz w:val="24"/>
        </w:rPr>
        <w:t>22.3任何单位和个人不得干扰、影响评标的正常进行；</w:t>
      </w:r>
    </w:p>
    <w:p>
      <w:pPr>
        <w:pStyle w:val="16"/>
        <w:ind w:firstLine="480" w:firstLineChars="200"/>
        <w:rPr>
          <w:rFonts w:ascii="宋体" w:hAnsi="宋体"/>
          <w:sz w:val="24"/>
        </w:rPr>
      </w:pPr>
      <w:r>
        <w:rPr>
          <w:rFonts w:hint="eastAsia" w:ascii="宋体" w:hAnsi="宋体"/>
          <w:sz w:val="24"/>
        </w:rPr>
        <w:t>22.4评标委员会及有关工作人员不得私下与投标人接触。</w:t>
      </w:r>
    </w:p>
    <w:p>
      <w:pPr>
        <w:pStyle w:val="16"/>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6"/>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6"/>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6"/>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6"/>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6"/>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6"/>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6"/>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6"/>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6"/>
        <w:ind w:firstLine="480" w:firstLineChars="200"/>
        <w:rPr>
          <w:rFonts w:ascii="宋体" w:hAnsi="宋体"/>
          <w:sz w:val="24"/>
        </w:rPr>
      </w:pPr>
      <w:r>
        <w:rPr>
          <w:rFonts w:hint="eastAsia" w:ascii="宋体" w:hAnsi="宋体"/>
          <w:sz w:val="24"/>
        </w:rPr>
        <w:t>投标文件报价出现前后不一致的，按照下列规定修正：</w:t>
      </w:r>
    </w:p>
    <w:p>
      <w:pPr>
        <w:pStyle w:val="16"/>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6"/>
        <w:ind w:firstLine="480" w:firstLineChars="200"/>
        <w:rPr>
          <w:rFonts w:ascii="宋体" w:hAnsi="宋体"/>
          <w:sz w:val="24"/>
        </w:rPr>
      </w:pPr>
      <w:r>
        <w:rPr>
          <w:rFonts w:hint="eastAsia" w:ascii="宋体" w:hAnsi="宋体"/>
          <w:sz w:val="24"/>
        </w:rPr>
        <w:t>26.2大写金额和小写金额不一致的，以大写金额为准。</w:t>
      </w:r>
    </w:p>
    <w:p>
      <w:pPr>
        <w:pStyle w:val="16"/>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6"/>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6"/>
        <w:ind w:firstLine="480" w:firstLineChars="200"/>
        <w:rPr>
          <w:rFonts w:ascii="宋体" w:hAnsi="宋体"/>
          <w:sz w:val="24"/>
        </w:rPr>
      </w:pPr>
      <w:r>
        <w:rPr>
          <w:rFonts w:hint="eastAsia" w:ascii="宋体" w:hAnsi="宋体"/>
          <w:sz w:val="24"/>
        </w:rPr>
        <w:t>同时出现两种以上不一致的，按照上述规定的顺序修正。</w:t>
      </w:r>
    </w:p>
    <w:p>
      <w:pPr>
        <w:pStyle w:val="16"/>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6"/>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6"/>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4" w:name="_Toc125344509"/>
      <w:r>
        <w:rPr>
          <w:rFonts w:hint="eastAsia"/>
          <w:b/>
          <w:sz w:val="28"/>
        </w:rPr>
        <w:t>六、</w:t>
      </w:r>
      <w:bookmarkEnd w:id="34"/>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6"/>
        <w:ind w:firstLine="480" w:firstLineChars="200"/>
        <w:rPr>
          <w:rFonts w:ascii="宋体" w:hAnsi="宋体"/>
          <w:sz w:val="24"/>
        </w:rPr>
      </w:pPr>
      <w:r>
        <w:rPr>
          <w:rFonts w:hint="eastAsia" w:ascii="宋体" w:hAnsi="宋体"/>
          <w:sz w:val="24"/>
        </w:rPr>
        <w:t>中标人存在下列情形之一的，中标无效：</w:t>
      </w:r>
    </w:p>
    <w:p>
      <w:pPr>
        <w:pStyle w:val="16"/>
        <w:ind w:firstLine="480" w:firstLineChars="200"/>
        <w:rPr>
          <w:rFonts w:ascii="宋体" w:hAnsi="宋体"/>
          <w:sz w:val="24"/>
        </w:rPr>
      </w:pPr>
      <w:r>
        <w:rPr>
          <w:rFonts w:hint="eastAsia" w:ascii="宋体" w:hAnsi="宋体"/>
          <w:sz w:val="24"/>
        </w:rPr>
        <w:t>31.1提供虚假材料谋取中标的；</w:t>
      </w:r>
    </w:p>
    <w:p>
      <w:pPr>
        <w:pStyle w:val="16"/>
        <w:ind w:firstLine="480" w:firstLineChars="200"/>
        <w:rPr>
          <w:rFonts w:ascii="宋体" w:hAnsi="宋体"/>
          <w:sz w:val="24"/>
        </w:rPr>
      </w:pPr>
      <w:r>
        <w:rPr>
          <w:rFonts w:hint="eastAsia" w:ascii="宋体" w:hAnsi="宋体"/>
          <w:sz w:val="24"/>
        </w:rPr>
        <w:t>31.2采取不正当手段诋毁、排挤其他投标人的；</w:t>
      </w:r>
    </w:p>
    <w:p>
      <w:pPr>
        <w:pStyle w:val="16"/>
        <w:ind w:firstLine="480" w:firstLineChars="200"/>
        <w:rPr>
          <w:rFonts w:ascii="宋体" w:hAnsi="宋体"/>
          <w:sz w:val="24"/>
        </w:rPr>
      </w:pPr>
      <w:r>
        <w:rPr>
          <w:rFonts w:hint="eastAsia" w:ascii="宋体" w:hAnsi="宋体"/>
          <w:sz w:val="24"/>
        </w:rPr>
        <w:t>31.3与采购人、其他投标人恶意串通的；</w:t>
      </w:r>
    </w:p>
    <w:p>
      <w:pPr>
        <w:pStyle w:val="16"/>
        <w:ind w:firstLine="480" w:firstLineChars="200"/>
        <w:rPr>
          <w:rFonts w:ascii="宋体" w:hAnsi="宋体"/>
          <w:sz w:val="24"/>
        </w:rPr>
      </w:pPr>
      <w:r>
        <w:rPr>
          <w:rFonts w:hint="eastAsia" w:ascii="宋体" w:hAnsi="宋体"/>
          <w:sz w:val="24"/>
        </w:rPr>
        <w:t>31.4向采购人、采购代理机构行贿或者提供其他不正当利益的；</w:t>
      </w:r>
    </w:p>
    <w:p>
      <w:pPr>
        <w:pStyle w:val="16"/>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6"/>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jc w:val="center"/>
        <w:rPr>
          <w:b/>
          <w:sz w:val="28"/>
        </w:rPr>
      </w:pPr>
      <w:bookmarkStart w:id="35" w:name="_Toc339459646"/>
      <w:bookmarkStart w:id="36" w:name="_Toc352165696"/>
      <w:bookmarkStart w:id="37"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九、良行为记录</w:t>
      </w:r>
      <w:bookmarkEnd w:id="35"/>
      <w:bookmarkEnd w:id="36"/>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7"/>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9"/>
    </w:p>
    <w:p>
      <w:pPr>
        <w:numPr>
          <w:ilvl w:val="0"/>
          <w:numId w:val="2"/>
        </w:numPr>
        <w:autoSpaceDE/>
        <w:autoSpaceDN/>
        <w:adjustRightInd/>
        <w:spacing w:line="500" w:lineRule="exact"/>
        <w:rPr>
          <w:rFonts w:ascii="宋体" w:hAnsi="宋体"/>
          <w:sz w:val="24"/>
        </w:rPr>
      </w:pPr>
      <w:bookmarkStart w:id="38" w:name="_Toc125344513"/>
      <w:r>
        <w:rPr>
          <w:rFonts w:hint="eastAsia" w:ascii="宋体" w:hAnsi="宋体"/>
          <w:sz w:val="24"/>
        </w:rPr>
        <w:t>采购内容及要求：</w:t>
      </w:r>
    </w:p>
    <w:p>
      <w:pPr>
        <w:numPr>
          <w:ilvl w:val="0"/>
          <w:numId w:val="3"/>
        </w:numPr>
        <w:autoSpaceDE/>
        <w:autoSpaceDN/>
        <w:adjustRightInd/>
        <w:rPr>
          <w:rFonts w:ascii="宋体" w:hAnsi="宋体"/>
          <w:sz w:val="24"/>
        </w:rPr>
      </w:pPr>
      <w:r>
        <w:rPr>
          <w:rFonts w:hint="eastAsia" w:ascii="宋体" w:hAnsi="宋体"/>
          <w:sz w:val="24"/>
        </w:rPr>
        <w:t>采购内容：</w:t>
      </w:r>
    </w:p>
    <w:p>
      <w:pPr>
        <w:ind w:left="945"/>
        <w:rPr>
          <w:rFonts w:ascii="宋体" w:hAnsi="宋体"/>
          <w:sz w:val="24"/>
        </w:rPr>
      </w:pPr>
      <w:r>
        <w:rPr>
          <w:rFonts w:hint="eastAsia" w:ascii="宋体" w:hAnsi="宋体"/>
          <w:sz w:val="24"/>
        </w:rPr>
        <w:t xml:space="preserve">  </w:t>
      </w:r>
    </w:p>
    <w:tbl>
      <w:tblPr>
        <w:tblStyle w:val="21"/>
        <w:tblW w:w="652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5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仿宋_GB2312"/>
                <w:sz w:val="24"/>
              </w:rPr>
            </w:pPr>
            <w:r>
              <w:rPr>
                <w:rFonts w:hint="eastAsia" w:eastAsia="仿宋_GB2312"/>
                <w:sz w:val="24"/>
              </w:rPr>
              <w:t>项目名称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仿宋_GB2312"/>
                <w:sz w:val="24"/>
              </w:rPr>
            </w:pPr>
            <w:r>
              <w:rPr>
                <w:rFonts w:hint="eastAsia" w:eastAsia="仿宋_GB231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sz w:val="24"/>
              </w:rPr>
            </w:pPr>
            <w:r>
              <w:rPr>
                <w:rFonts w:hint="eastAsia" w:ascii="仿宋" w:hAnsi="仿宋" w:eastAsia="仿宋"/>
                <w:sz w:val="24"/>
              </w:rPr>
              <w:t>诸暨市20</w:t>
            </w:r>
            <w:r>
              <w:rPr>
                <w:rFonts w:ascii="仿宋" w:hAnsi="仿宋" w:eastAsia="仿宋"/>
                <w:sz w:val="24"/>
              </w:rPr>
              <w:t>20</w:t>
            </w:r>
            <w:r>
              <w:rPr>
                <w:rFonts w:hint="eastAsia" w:ascii="仿宋" w:hAnsi="仿宋" w:eastAsia="仿宋"/>
                <w:sz w:val="24"/>
              </w:rPr>
              <w:t>年度矿业权评估采购项目</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仿宋_GB2312"/>
                <w:sz w:val="24"/>
              </w:rPr>
            </w:pPr>
            <w:r>
              <w:rPr>
                <w:rFonts w:hint="eastAsia" w:eastAsia="仿宋_GB2312"/>
                <w:sz w:val="24"/>
              </w:rPr>
              <w:t>3个</w:t>
            </w:r>
          </w:p>
        </w:tc>
      </w:tr>
    </w:tbl>
    <w:p>
      <w:pPr>
        <w:ind w:firstLine="482" w:firstLineChars="200"/>
        <w:rPr>
          <w:rFonts w:ascii="宋体" w:hAnsi="宋体" w:eastAsia="仿宋_GB2312"/>
          <w:b/>
          <w:sz w:val="24"/>
        </w:rPr>
      </w:pPr>
      <w:r>
        <w:rPr>
          <w:rFonts w:hint="eastAsia" w:ascii="宋体" w:hAnsi="宋体" w:eastAsia="仿宋_GB2312"/>
          <w:b/>
          <w:sz w:val="24"/>
        </w:rPr>
        <w:t>注：1、项目数量如有增减，按中标单价和完成项目数按实结算。</w:t>
      </w:r>
    </w:p>
    <w:p>
      <w:pPr>
        <w:ind w:firstLine="482" w:firstLineChars="200"/>
        <w:rPr>
          <w:rFonts w:ascii="宋体" w:hAnsi="宋体" w:eastAsia="仿宋_GB2312"/>
          <w:b/>
          <w:sz w:val="24"/>
        </w:rPr>
      </w:pPr>
      <w:r>
        <w:rPr>
          <w:rFonts w:hint="eastAsia" w:ascii="宋体" w:hAnsi="宋体" w:eastAsia="仿宋_GB2312"/>
          <w:b/>
          <w:sz w:val="24"/>
        </w:rPr>
        <w:t xml:space="preserve">    2、项目数量包括不设采矿权的工程采矿项目。</w:t>
      </w:r>
    </w:p>
    <w:p>
      <w:pPr>
        <w:ind w:left="945"/>
        <w:rPr>
          <w:rFonts w:ascii="宋体" w:hAnsi="宋体"/>
          <w:sz w:val="24"/>
        </w:rPr>
      </w:pPr>
    </w:p>
    <w:p>
      <w:pPr>
        <w:widowControl/>
        <w:spacing w:line="500" w:lineRule="exact"/>
        <w:ind w:firstLine="600"/>
        <w:jc w:val="left"/>
        <w:rPr>
          <w:rFonts w:ascii="宋体" w:hAnsi="宋体"/>
          <w:sz w:val="24"/>
        </w:rPr>
      </w:pPr>
      <w:r>
        <w:rPr>
          <w:rFonts w:hint="eastAsia" w:ascii="宋体" w:hAnsi="宋体"/>
          <w:sz w:val="24"/>
        </w:rPr>
        <w:t>2、要求：评估单位具有中国矿业权评估师协会颁发的矿业权评估资质，按合同约定时间提交评估成果。</w:t>
      </w:r>
    </w:p>
    <w:p>
      <w:pPr>
        <w:widowControl/>
        <w:spacing w:line="500" w:lineRule="exact"/>
        <w:ind w:firstLine="720" w:firstLineChars="300"/>
        <w:jc w:val="left"/>
        <w:rPr>
          <w:rFonts w:ascii="宋体" w:hAnsi="宋体"/>
          <w:sz w:val="24"/>
        </w:rPr>
      </w:pPr>
      <w:r>
        <w:rPr>
          <w:rFonts w:hint="eastAsia" w:ascii="宋体" w:hAnsi="宋体"/>
          <w:sz w:val="24"/>
        </w:rPr>
        <w:t>2.1矿业权评估报告文本一式三份。</w:t>
      </w:r>
    </w:p>
    <w:p>
      <w:pPr>
        <w:widowControl/>
        <w:spacing w:line="500" w:lineRule="exact"/>
        <w:ind w:firstLine="720" w:firstLineChars="300"/>
        <w:jc w:val="left"/>
        <w:rPr>
          <w:rFonts w:ascii="宋体" w:hAnsi="宋体"/>
          <w:sz w:val="24"/>
        </w:rPr>
      </w:pPr>
      <w:r>
        <w:rPr>
          <w:rFonts w:hint="eastAsia" w:ascii="宋体" w:hAnsi="宋体"/>
          <w:sz w:val="24"/>
        </w:rPr>
        <w:t>2.2报送矿业权评估报告的函。</w:t>
      </w:r>
    </w:p>
    <w:p>
      <w:pPr>
        <w:widowControl/>
        <w:spacing w:line="500" w:lineRule="exact"/>
        <w:ind w:firstLine="720" w:firstLineChars="300"/>
        <w:jc w:val="left"/>
        <w:rPr>
          <w:rFonts w:ascii="宋体" w:hAnsi="宋体"/>
          <w:sz w:val="24"/>
        </w:rPr>
      </w:pPr>
      <w:r>
        <w:rPr>
          <w:rFonts w:hint="eastAsia" w:ascii="宋体" w:hAnsi="宋体"/>
          <w:sz w:val="24"/>
        </w:rPr>
        <w:t>2.3承诺书（应经矿业权评估机构及矿业权评估师盖章、签字）</w:t>
      </w:r>
    </w:p>
    <w:p>
      <w:pPr>
        <w:widowControl/>
        <w:spacing w:line="500" w:lineRule="exact"/>
        <w:ind w:firstLine="720" w:firstLineChars="300"/>
        <w:jc w:val="left"/>
        <w:rPr>
          <w:rFonts w:ascii="宋体" w:hAnsi="宋体"/>
          <w:sz w:val="24"/>
        </w:rPr>
      </w:pPr>
      <w:r>
        <w:rPr>
          <w:rFonts w:hint="eastAsia" w:ascii="宋体" w:hAnsi="宋体"/>
          <w:sz w:val="24"/>
        </w:rPr>
        <w:t>2.4矿业权评估报告参数表</w:t>
      </w:r>
    </w:p>
    <w:p>
      <w:pPr>
        <w:widowControl/>
        <w:spacing w:line="500" w:lineRule="exact"/>
        <w:ind w:firstLine="600"/>
        <w:jc w:val="left"/>
        <w:rPr>
          <w:rFonts w:ascii="宋体" w:hAnsi="宋体"/>
          <w:sz w:val="24"/>
        </w:rPr>
      </w:pPr>
      <w:r>
        <w:rPr>
          <w:rFonts w:hint="eastAsia" w:ascii="宋体" w:hAnsi="宋体"/>
          <w:sz w:val="24"/>
        </w:rPr>
        <w:t>3、现场踏勘：投标人自行踏勘（工作时间）。</w:t>
      </w:r>
    </w:p>
    <w:p>
      <w:pPr>
        <w:widowControl/>
        <w:spacing w:line="500" w:lineRule="exact"/>
        <w:rPr>
          <w:rFonts w:ascii="宋体" w:hAnsi="宋体"/>
          <w:sz w:val="24"/>
        </w:rPr>
      </w:pPr>
      <w:r>
        <w:rPr>
          <w:rFonts w:hint="eastAsia" w:ascii="宋体" w:hAnsi="宋体"/>
          <w:sz w:val="24"/>
        </w:rPr>
        <w:t>（二）付款方式：</w:t>
      </w:r>
    </w:p>
    <w:p>
      <w:pPr>
        <w:spacing w:line="500" w:lineRule="exact"/>
        <w:ind w:firstLine="480" w:firstLineChars="200"/>
        <w:rPr>
          <w:rFonts w:ascii="宋体" w:hAnsi="宋体"/>
          <w:sz w:val="24"/>
        </w:rPr>
      </w:pPr>
      <w:r>
        <w:rPr>
          <w:rFonts w:hint="eastAsia" w:ascii="宋体" w:hAnsi="宋体"/>
          <w:sz w:val="24"/>
        </w:rPr>
        <w:t>中标人提交报告，经业主组织验收合格后按完成项目单价支付，完成一个，支付一个（项目数量如有增减，根据中标单价和完成项目数按实结算）。</w:t>
      </w:r>
    </w:p>
    <w:p>
      <w:pPr>
        <w:spacing w:line="500" w:lineRule="exact"/>
        <w:rPr>
          <w:rFonts w:ascii="宋体" w:hAnsi="宋体"/>
          <w:sz w:val="24"/>
        </w:rPr>
      </w:pPr>
      <w:r>
        <w:rPr>
          <w:rFonts w:hint="eastAsia" w:ascii="宋体" w:hAnsi="宋体"/>
          <w:sz w:val="24"/>
        </w:rPr>
        <w:t>（三）最高限价：</w:t>
      </w:r>
    </w:p>
    <w:p>
      <w:pPr>
        <w:spacing w:line="500" w:lineRule="exact"/>
        <w:ind w:firstLine="480" w:firstLineChars="200"/>
        <w:rPr>
          <w:rFonts w:ascii="宋体" w:hAnsi="宋体"/>
          <w:sz w:val="24"/>
        </w:rPr>
      </w:pPr>
      <w:r>
        <w:rPr>
          <w:rFonts w:hint="eastAsia" w:ascii="宋体" w:hAnsi="宋体"/>
          <w:sz w:val="24"/>
        </w:rPr>
        <w:t>本次采购最高限价为人民币</w:t>
      </w:r>
      <w:r>
        <w:rPr>
          <w:rFonts w:hint="eastAsia" w:ascii="宋体" w:hAnsi="宋体"/>
          <w:b/>
          <w:sz w:val="24"/>
          <w:u w:val="single"/>
        </w:rPr>
        <w:t>玖万玖仟元整（¥99000.00）</w:t>
      </w:r>
      <w:r>
        <w:rPr>
          <w:rFonts w:hint="eastAsia" w:ascii="宋体" w:hAnsi="宋体"/>
          <w:sz w:val="24"/>
        </w:rPr>
        <w:t>，任何超过最高限价的报价将被认定为无效报价。</w:t>
      </w:r>
    </w:p>
    <w:bookmarkEnd w:id="38"/>
    <w:p>
      <w:pPr>
        <w:ind w:firstLine="480" w:firstLineChars="200"/>
        <w:rPr>
          <w:rFonts w:ascii="宋体" w:hAnsi="宋体"/>
          <w:sz w:val="24"/>
        </w:rPr>
      </w:pPr>
    </w:p>
    <w:p>
      <w:pPr>
        <w:ind w:firstLine="482" w:firstLineChars="200"/>
        <w:jc w:val="left"/>
        <w:rPr>
          <w:rFonts w:ascii="宋体" w:hAnsi="宋体"/>
          <w:b/>
          <w:sz w:val="24"/>
        </w:rPr>
      </w:pPr>
    </w:p>
    <w:p>
      <w:pPr>
        <w:ind w:firstLine="562" w:firstLineChars="200"/>
        <w:rPr>
          <w:rFonts w:ascii="宋体" w:hAnsi="宋体"/>
          <w:b/>
          <w:sz w:val="28"/>
          <w:szCs w:val="28"/>
        </w:rPr>
      </w:pPr>
    </w:p>
    <w:p>
      <w:pPr>
        <w:ind w:firstLine="562" w:firstLineChars="200"/>
        <w:rPr>
          <w:rFonts w:ascii="宋体" w:hAnsi="宋体"/>
          <w:b/>
          <w:sz w:val="28"/>
          <w:szCs w:val="28"/>
        </w:rPr>
      </w:pPr>
    </w:p>
    <w:p>
      <w:pPr>
        <w:ind w:firstLine="562" w:firstLineChars="200"/>
        <w:rPr>
          <w:rFonts w:ascii="宋体" w:hAnsi="宋体"/>
          <w:b/>
          <w:sz w:val="28"/>
          <w:szCs w:val="28"/>
        </w:rPr>
      </w:pPr>
    </w:p>
    <w:p>
      <w:pPr>
        <w:ind w:firstLine="562" w:firstLineChars="200"/>
        <w:rPr>
          <w:rFonts w:ascii="宋体" w:hAnsi="宋体"/>
          <w:b/>
          <w:sz w:val="28"/>
          <w:szCs w:val="28"/>
        </w:rPr>
      </w:pPr>
    </w:p>
    <w:p>
      <w:pPr>
        <w:ind w:firstLine="562" w:firstLineChars="200"/>
        <w:rPr>
          <w:rFonts w:ascii="宋体" w:hAnsi="宋体"/>
          <w:b/>
          <w:sz w:val="28"/>
          <w:szCs w:val="28"/>
        </w:rPr>
      </w:pPr>
    </w:p>
    <w:p>
      <w:pPr>
        <w:ind w:firstLine="562" w:firstLineChars="200"/>
        <w:rPr>
          <w:rFonts w:ascii="宋体" w:hAnsi="宋体"/>
          <w:b/>
          <w:sz w:val="28"/>
          <w:szCs w:val="28"/>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w:t>
      </w:r>
      <w:r>
        <w:rPr>
          <w:rFonts w:hint="eastAsia" w:ascii="宋体" w:hAnsi="宋体"/>
          <w:spacing w:val="8"/>
          <w:sz w:val="24"/>
          <w:szCs w:val="24"/>
        </w:rPr>
        <w:t>*</w:t>
      </w:r>
      <w:r>
        <w:rPr>
          <w:rFonts w:ascii="宋体" w:hAnsi="宋体"/>
          <w:spacing w:val="8"/>
          <w:sz w:val="24"/>
          <w:szCs w:val="24"/>
        </w:rPr>
        <w:t xml:space="preserve">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1、法定代表人和被授权人身份证复印件。</w:t>
      </w: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仿宋" w:hAnsi="仿宋" w:eastAsia="仿宋"/>
          <w:b/>
          <w:sz w:val="36"/>
          <w:szCs w:val="36"/>
        </w:rPr>
      </w:pPr>
      <w:r>
        <w:rPr>
          <w:rFonts w:ascii="宋体" w:hAnsi="宋体"/>
          <w:sz w:val="24"/>
          <w:szCs w:val="24"/>
        </w:rPr>
        <w:br w:type="page"/>
      </w:r>
      <w:r>
        <w:rPr>
          <w:rFonts w:hint="eastAsia" w:ascii="仿宋" w:hAnsi="仿宋" w:eastAsia="仿宋"/>
          <w:b/>
          <w:sz w:val="36"/>
          <w:szCs w:val="36"/>
        </w:rPr>
        <w:t>四、</w:t>
      </w:r>
      <w:bookmarkStart w:id="39" w:name="_Toc48672384"/>
      <w:bookmarkStart w:id="40" w:name="_Toc331876394"/>
      <w:r>
        <w:rPr>
          <w:rFonts w:hint="eastAsia" w:ascii="仿宋" w:hAnsi="仿宋" w:eastAsia="仿宋"/>
          <w:b/>
          <w:sz w:val="36"/>
          <w:szCs w:val="36"/>
        </w:rPr>
        <w:t>开标一览表（格式）</w:t>
      </w:r>
    </w:p>
    <w:p>
      <w:pPr>
        <w:rPr>
          <w:rFonts w:ascii="宋体" w:hAnsi="宋体"/>
          <w:sz w:val="24"/>
          <w:szCs w:val="24"/>
        </w:rPr>
      </w:pPr>
      <w:r>
        <w:rPr>
          <w:rFonts w:hint="eastAsia"/>
          <w:sz w:val="28"/>
        </w:rPr>
        <w:t>项目名称：                    （编号：</w:t>
      </w:r>
      <w:r>
        <w:rPr>
          <w:rFonts w:ascii="宋体" w:hAnsi="宋体"/>
          <w:sz w:val="24"/>
          <w:szCs w:val="24"/>
        </w:rPr>
        <w:t>诸政采 20</w:t>
      </w:r>
      <w:r>
        <w:rPr>
          <w:rFonts w:hint="eastAsia" w:ascii="宋体" w:hAnsi="宋体"/>
          <w:sz w:val="24"/>
          <w:szCs w:val="24"/>
        </w:rPr>
        <w:t xml:space="preserve">2 </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p>
      <w:pPr>
        <w:rPr>
          <w:rFonts w:ascii="仿宋_GB2312" w:eastAsia="仿宋_GB2312"/>
          <w:sz w:val="28"/>
        </w:rPr>
      </w:pPr>
      <w:r>
        <w:rPr>
          <w:rFonts w:hint="eastAsia" w:ascii="仿宋_GB2312" w:eastAsia="仿宋_GB2312"/>
          <w:sz w:val="28"/>
        </w:rPr>
        <w:t xml:space="preserve">标一： </w:t>
      </w:r>
    </w:p>
    <w:p>
      <w:r>
        <w:rPr>
          <w:rFonts w:hint="eastAsia"/>
          <w:sz w:val="28"/>
        </w:rPr>
        <w:t xml:space="preserve">                                                          </w:t>
      </w:r>
      <w:r>
        <w:rPr>
          <w:rFonts w:hint="eastAsia"/>
        </w:rPr>
        <w:t>单位：元</w:t>
      </w:r>
    </w:p>
    <w:tbl>
      <w:tblPr>
        <w:tblStyle w:val="21"/>
        <w:tblW w:w="9220" w:type="dxa"/>
        <w:tblInd w:w="-5" w:type="dxa"/>
        <w:tblLayout w:type="fixed"/>
        <w:tblCellMar>
          <w:top w:w="0" w:type="dxa"/>
          <w:left w:w="0" w:type="dxa"/>
          <w:bottom w:w="0" w:type="dxa"/>
          <w:right w:w="0" w:type="dxa"/>
        </w:tblCellMar>
      </w:tblPr>
      <w:tblGrid>
        <w:gridCol w:w="1230"/>
        <w:gridCol w:w="1332"/>
        <w:gridCol w:w="1559"/>
        <w:gridCol w:w="1134"/>
        <w:gridCol w:w="2268"/>
        <w:gridCol w:w="992"/>
        <w:gridCol w:w="705"/>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r>
              <w:rPr>
                <w:rFonts w:hint="eastAsia" w:ascii="宋体" w:hAnsi="宋体" w:cs="Arial Unicode MS"/>
                <w:sz w:val="20"/>
              </w:rPr>
              <w:t>服务名称</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r>
              <w:rPr>
                <w:rFonts w:hint="eastAsia"/>
              </w:rPr>
              <w:t>服务范围</w:t>
            </w:r>
          </w:p>
        </w:tc>
        <w:tc>
          <w:tcPr>
            <w:tcW w:w="155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服务要求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服务时间</w:t>
            </w:r>
          </w:p>
        </w:tc>
        <w:tc>
          <w:tcPr>
            <w:tcW w:w="2268"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服务标准</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单价</w:t>
            </w:r>
          </w:p>
        </w:tc>
        <w:tc>
          <w:tcPr>
            <w:tcW w:w="705"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次数</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05"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05"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05"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714" w:hRule="atLeast"/>
        </w:trPr>
        <w:tc>
          <w:tcPr>
            <w:tcW w:w="9220"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sz w:val="20"/>
                <w:u w:val="single"/>
              </w:rPr>
            </w:pPr>
            <w:r>
              <w:rPr>
                <w:rFonts w:hint="eastAsia" w:ascii="宋体" w:hAnsi="宋体"/>
                <w:sz w:val="20"/>
              </w:rPr>
              <w:t>合</w:t>
            </w:r>
            <w:r>
              <w:rPr>
                <w:rFonts w:hint="eastAsia" w:ascii="宋体" w:hAnsi="宋体"/>
              </w:rPr>
              <w:t>计金额</w:t>
            </w:r>
            <w:r>
              <w:rPr>
                <w:rFonts w:hint="eastAsia" w:ascii="宋体" w:hAnsi="宋体" w:cs="Arial Unicode MS"/>
              </w:rPr>
              <w:t>大写： ￥</w:t>
            </w:r>
            <w:r>
              <w:rPr>
                <w:rFonts w:hint="eastAsia" w:ascii="宋体" w:hAnsi="宋体" w:cs="Arial Unicode MS"/>
                <w:u w:val="single"/>
              </w:rPr>
              <w:t xml:space="preserve">                           </w:t>
            </w:r>
            <w:r>
              <w:rPr>
                <w:rFonts w:hint="eastAsia" w:ascii="宋体" w:hAnsi="宋体" w:cs="Arial Unicode MS"/>
              </w:rPr>
              <w:t>小写：￥</w:t>
            </w:r>
            <w:r>
              <w:rPr>
                <w:rFonts w:hint="eastAsia" w:ascii="宋体" w:hAnsi="宋体" w:cs="Arial Unicode MS"/>
                <w:u w:val="single"/>
              </w:rPr>
              <w:t xml:space="preserve">                          </w:t>
            </w:r>
          </w:p>
        </w:tc>
      </w:tr>
    </w:tbl>
    <w:p>
      <w:pPr>
        <w:spacing w:line="440" w:lineRule="exact"/>
        <w:rPr>
          <w:rFonts w:ascii="仿宋_GB2312" w:hAnsi="仿宋_GB2312" w:eastAsia="仿宋_GB2312"/>
          <w:color w:val="auto"/>
          <w:sz w:val="28"/>
          <w:szCs w:val="24"/>
        </w:rPr>
      </w:pPr>
    </w:p>
    <w:p>
      <w:pPr>
        <w:spacing w:line="440" w:lineRule="exact"/>
        <w:rPr>
          <w:rFonts w:ascii="仿宋_GB2312" w:hAnsi="仿宋_GB2312" w:eastAsia="仿宋_GB2312"/>
          <w:color w:val="auto"/>
          <w:sz w:val="28"/>
          <w:szCs w:val="24"/>
        </w:rPr>
      </w:pPr>
      <w:r>
        <w:rPr>
          <w:rFonts w:hint="eastAsia" w:ascii="仿宋_GB2312" w:hAnsi="仿宋_GB2312" w:eastAsia="仿宋_GB2312"/>
          <w:color w:val="auto"/>
          <w:sz w:val="28"/>
          <w:szCs w:val="24"/>
        </w:rPr>
        <w:t>标的二：</w:t>
      </w:r>
    </w:p>
    <w:p>
      <w:pPr>
        <w:spacing w:line="440" w:lineRule="exact"/>
        <w:rPr>
          <w:rFonts w:ascii="仿宋_GB2312" w:hAnsi="仿宋_GB2312" w:eastAsia="仿宋_GB2312"/>
          <w:color w:val="auto"/>
          <w:sz w:val="28"/>
          <w:szCs w:val="24"/>
        </w:rPr>
      </w:pPr>
    </w:p>
    <w:p>
      <w:pPr>
        <w:spacing w:line="440" w:lineRule="exact"/>
        <w:rPr>
          <w:rFonts w:ascii="仿宋_GB2312" w:hAnsi="仿宋_GB2312" w:eastAsia="仿宋_GB2312"/>
          <w:color w:val="auto"/>
          <w:sz w:val="28"/>
          <w:szCs w:val="24"/>
        </w:rPr>
      </w:pPr>
      <w:r>
        <w:rPr>
          <w:rFonts w:hint="eastAsia" w:ascii="仿宋_GB2312" w:hAnsi="仿宋_GB2312" w:eastAsia="仿宋_GB2312"/>
          <w:color w:val="auto"/>
          <w:sz w:val="28"/>
          <w:szCs w:val="24"/>
        </w:rPr>
        <w:t>标的三：</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r>
        <w:rPr>
          <w:rFonts w:ascii="仿宋_GB2312" w:hAnsi="仿宋_GB2312" w:eastAsia="仿宋_GB2312"/>
          <w:color w:val="auto"/>
          <w:sz w:val="24"/>
          <w:szCs w:val="24"/>
        </w:rPr>
        <w:t>…………</w:t>
      </w:r>
    </w:p>
    <w:p>
      <w:pPr>
        <w:spacing w:line="440" w:lineRule="exact"/>
        <w:rPr>
          <w:rFonts w:ascii="仿宋_GB2312" w:hAnsi="仿宋_GB2312" w:eastAsia="仿宋_GB2312"/>
          <w:color w:val="auto"/>
          <w:sz w:val="24"/>
          <w:szCs w:val="24"/>
        </w:rPr>
      </w:pPr>
    </w:p>
    <w:p>
      <w:pPr>
        <w:spacing w:line="440" w:lineRule="exact"/>
        <w:rPr>
          <w:rFonts w:ascii="黑体" w:hAnsi="仿宋_GB2312" w:eastAsia="黑体"/>
          <w:color w:val="auto"/>
          <w:sz w:val="32"/>
          <w:szCs w:val="24"/>
        </w:rPr>
      </w:pPr>
      <w:r>
        <w:rPr>
          <w:rFonts w:hint="eastAsia" w:ascii="黑体" w:hAnsi="仿宋_GB2312" w:eastAsia="黑体"/>
          <w:color w:val="auto"/>
          <w:sz w:val="32"/>
          <w:szCs w:val="24"/>
        </w:rPr>
        <w:t>上述表格样式供参考，投标人根据项目实际情况自行调整。</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sz w:val="28"/>
        </w:rPr>
      </w:pPr>
    </w:p>
    <w:p>
      <w:pPr>
        <w:rPr>
          <w:sz w:val="28"/>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sz w:val="28"/>
        </w:rPr>
      </w:pPr>
    </w:p>
    <w:p>
      <w:pPr>
        <w:jc w:val="center"/>
        <w:rPr>
          <w:sz w:val="28"/>
        </w:rPr>
      </w:pPr>
      <w:r>
        <w:rPr>
          <w:rFonts w:hint="eastAsia" w:ascii="仿宋" w:hAnsi="仿宋" w:eastAsia="仿宋"/>
          <w:bCs/>
          <w:sz w:val="36"/>
          <w:szCs w:val="36"/>
        </w:rPr>
        <w:t xml:space="preserve">     </w:t>
      </w:r>
      <w:r>
        <w:rPr>
          <w:rFonts w:hint="eastAsia"/>
          <w:sz w:val="28"/>
        </w:rPr>
        <w:t xml:space="preserve">      日  期：     年    月    日</w:t>
      </w:r>
    </w:p>
    <w:p>
      <w:pPr>
        <w:jc w:val="center"/>
        <w:rPr>
          <w:rFonts w:ascii="仿宋" w:hAnsi="仿宋" w:eastAsia="仿宋"/>
          <w:b/>
          <w:sz w:val="36"/>
          <w:szCs w:val="36"/>
        </w:rPr>
      </w:pPr>
      <w:r>
        <w:rPr>
          <w:rFonts w:ascii="仿宋" w:hAnsi="仿宋" w:eastAsia="仿宋"/>
          <w:bCs/>
          <w:sz w:val="36"/>
          <w:szCs w:val="36"/>
        </w:rPr>
        <w:br w:type="page"/>
      </w:r>
      <w:r>
        <w:rPr>
          <w:rFonts w:hint="eastAsia" w:ascii="仿宋" w:hAnsi="仿宋" w:eastAsia="仿宋"/>
          <w:b/>
          <w:sz w:val="36"/>
          <w:szCs w:val="36"/>
        </w:rPr>
        <w:t>五、</w:t>
      </w:r>
      <w:bookmarkEnd w:id="39"/>
      <w:bookmarkEnd w:id="40"/>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六、技 术 偏 离 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招标文件</w:t>
            </w:r>
          </w:p>
          <w:p>
            <w:pPr>
              <w:pStyle w:val="11"/>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投标文件</w:t>
            </w:r>
          </w:p>
          <w:p>
            <w:pPr>
              <w:pStyle w:val="11"/>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bl>
    <w:p>
      <w:pPr>
        <w:pStyle w:val="11"/>
        <w:spacing w:line="400" w:lineRule="atLeast"/>
        <w:rPr>
          <w:rFonts w:ascii="宋体" w:hAnsi="宋体"/>
          <w:szCs w:val="24"/>
        </w:rPr>
      </w:pPr>
      <w:r>
        <w:rPr>
          <w:rFonts w:hint="eastAsia" w:ascii="宋体" w:hAnsi="宋体"/>
          <w:szCs w:val="24"/>
        </w:rPr>
        <w:t>注：</w:t>
      </w:r>
    </w:p>
    <w:p>
      <w:pPr>
        <w:pStyle w:val="11"/>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1"/>
        <w:spacing w:line="400" w:lineRule="atLeast"/>
        <w:rPr>
          <w:rFonts w:ascii="宋体" w:hAnsi="宋体"/>
          <w:szCs w:val="24"/>
        </w:rPr>
      </w:pPr>
      <w:r>
        <w:rPr>
          <w:rFonts w:hint="eastAsia" w:ascii="宋体" w:hAnsi="宋体"/>
          <w:szCs w:val="24"/>
        </w:rPr>
        <w:t>3、此表在不改变格式的情况下可自行制作。</w:t>
      </w:r>
    </w:p>
    <w:p>
      <w:pPr>
        <w:pStyle w:val="11"/>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七、小微企业声明函</w:t>
      </w:r>
    </w:p>
    <w:p>
      <w:pPr>
        <w:snapToGrid w:val="0"/>
        <w:spacing w:line="360" w:lineRule="auto"/>
        <w:rPr>
          <w:rFonts w:ascii="仿宋" w:hAnsi="仿宋" w:eastAsia="仿宋"/>
          <w:sz w:val="28"/>
          <w:szCs w:val="28"/>
        </w:rPr>
      </w:pPr>
    </w:p>
    <w:p>
      <w:pPr>
        <w:snapToGrid w:val="0"/>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（请填写：小型、微型）企业。即，本公司同时满足以下条件：</w:t>
      </w:r>
    </w:p>
    <w:p>
      <w:pPr>
        <w:snapToGrid w:val="0"/>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（请填写：小型、微型）企业。</w:t>
      </w:r>
    </w:p>
    <w:p>
      <w:pPr>
        <w:snapToGrid w:val="0"/>
        <w:ind w:firstLine="480" w:firstLineChars="200"/>
        <w:rPr>
          <w:rFonts w:ascii="宋体" w:hAnsi="宋体"/>
          <w:sz w:val="24"/>
          <w:szCs w:val="24"/>
          <w:u w:val="single"/>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p>
    <w:p>
      <w:pPr>
        <w:snapToGrid w:val="0"/>
        <w:rPr>
          <w:rFonts w:ascii="宋体" w:hAnsi="宋体"/>
          <w:sz w:val="24"/>
          <w:szCs w:val="24"/>
        </w:rPr>
      </w:pPr>
      <w:r>
        <w:rPr>
          <w:rFonts w:hint="eastAsia" w:ascii="宋体" w:hAnsi="宋体"/>
          <w:sz w:val="24"/>
          <w:szCs w:val="24"/>
        </w:rPr>
        <w:t>（请填写：小型、微型）企业制造的货物。本条所称货物不包括使用大中型企业注册商标的货物。</w:t>
      </w:r>
    </w:p>
    <w:p>
      <w:pPr>
        <w:snapToGrid w:val="0"/>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snapToGrid w:val="0"/>
        <w:jc w:val="right"/>
        <w:rPr>
          <w:rFonts w:ascii="宋体" w:hAnsi="宋体"/>
          <w:sz w:val="24"/>
          <w:szCs w:val="24"/>
        </w:rPr>
      </w:pPr>
      <w:r>
        <w:rPr>
          <w:rFonts w:hint="eastAsia" w:ascii="宋体" w:hAnsi="宋体"/>
          <w:sz w:val="24"/>
          <w:szCs w:val="24"/>
        </w:rPr>
        <w:t xml:space="preserve">                     企业名称（盖章）： </w:t>
      </w:r>
    </w:p>
    <w:p>
      <w:pPr>
        <w:spacing w:before="100" w:beforeAutospacing="1" w:after="100" w:afterAutospacing="1"/>
        <w:ind w:firstLine="7093" w:firstLineChars="3378"/>
        <w:rPr>
          <w:rFonts w:hAnsi="宋体"/>
        </w:rPr>
      </w:pPr>
      <w:r>
        <w:rPr>
          <w:rFonts w:hAnsi="宋体"/>
        </w:rPr>
        <w:t>日</w:t>
      </w:r>
      <w:r>
        <w:t>   </w:t>
      </w:r>
      <w:r>
        <w:rPr>
          <w:rFonts w:hAnsi="宋体"/>
        </w:rPr>
        <w:t>期：</w:t>
      </w:r>
    </w:p>
    <w:p>
      <w:pPr>
        <w:snapToGrid w:val="0"/>
        <w:rPr>
          <w:rFonts w:ascii="宋体" w:hAnsi="宋体"/>
          <w:sz w:val="24"/>
          <w:szCs w:val="24"/>
        </w:rPr>
      </w:pPr>
      <w:r>
        <w:rPr>
          <w:rFonts w:hint="eastAsia" w:ascii="宋体" w:hAnsi="宋体"/>
          <w:b/>
          <w:sz w:val="24"/>
          <w:szCs w:val="24"/>
        </w:rPr>
        <w:t>备注说明：</w:t>
      </w:r>
    </w:p>
    <w:p>
      <w:pPr>
        <w:snapToGrid w:val="0"/>
        <w:rPr>
          <w:rFonts w:ascii="宋体" w:hAnsi="宋体"/>
          <w:sz w:val="24"/>
          <w:szCs w:val="24"/>
        </w:rPr>
      </w:pPr>
      <w:r>
        <w:rPr>
          <w:rFonts w:hint="eastAsia" w:ascii="宋体" w:hAnsi="宋体"/>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rPr>
          <w:rFonts w:ascii="宋体" w:hAnsi="宋体"/>
          <w:sz w:val="24"/>
          <w:szCs w:val="24"/>
        </w:rPr>
      </w:pPr>
      <w:r>
        <w:rPr>
          <w:rFonts w:hint="eastAsia" w:ascii="宋体" w:hAnsi="宋体"/>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sz w:val="24"/>
          <w:szCs w:val="24"/>
        </w:rPr>
      </w:pPr>
      <w:r>
        <w:rPr>
          <w:rFonts w:hint="eastAsia" w:ascii="宋体" w:hAnsi="宋体"/>
          <w:sz w:val="24"/>
          <w:szCs w:val="24"/>
        </w:rPr>
        <w:t>３、如小型、微型企业提供中型企业制造的货物的，视同为中型企业。</w:t>
      </w:r>
    </w:p>
    <w:p>
      <w:pPr>
        <w:snapToGrid w:val="0"/>
        <w:rPr>
          <w:rFonts w:ascii="宋体" w:hAnsi="宋体"/>
          <w:sz w:val="24"/>
          <w:szCs w:val="24"/>
        </w:rPr>
      </w:pPr>
      <w:r>
        <w:rPr>
          <w:rFonts w:hint="eastAsia" w:ascii="宋体" w:hAnsi="宋体"/>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sz w:val="30"/>
          <w:szCs w:val="30"/>
        </w:rPr>
      </w:pPr>
    </w:p>
    <w:p>
      <w:pPr>
        <w:jc w:val="center"/>
        <w:rPr>
          <w:rFonts w:ascii="仿宋_GB2312" w:eastAsia="仿宋_GB2312"/>
          <w:b/>
          <w:spacing w:val="6"/>
          <w:sz w:val="32"/>
          <w:szCs w:val="32"/>
        </w:rPr>
      </w:pPr>
      <w:r>
        <w:rPr>
          <w:rFonts w:ascii="仿宋" w:hAnsi="仿宋" w:eastAsia="仿宋"/>
          <w:sz w:val="30"/>
          <w:szCs w:val="30"/>
        </w:rPr>
        <w:br w:type="page"/>
      </w:r>
      <w:r>
        <w:rPr>
          <w:rFonts w:hint="eastAsia" w:ascii="仿宋_GB2312" w:eastAsia="仿宋_GB2312"/>
          <w:b/>
          <w:spacing w:val="6"/>
          <w:sz w:val="32"/>
          <w:szCs w:val="32"/>
        </w:rPr>
        <w:t>八、残疾人福利性单位声明函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snapToGrid w:val="0"/>
        <w:spacing w:before="50" w:after="50"/>
        <w:jc w:val="center"/>
        <w:rPr>
          <w:rFonts w:ascii="仿宋" w:hAnsi="仿宋" w:eastAsia="仿宋"/>
          <w:b/>
          <w:sz w:val="36"/>
          <w:szCs w:val="36"/>
        </w:rPr>
      </w:pPr>
      <w:bookmarkStart w:id="41" w:name="_Toc23409"/>
      <w:r>
        <w:rPr>
          <w:rFonts w:hint="eastAsia" w:ascii="仿宋" w:hAnsi="仿宋" w:eastAsia="仿宋"/>
          <w:b/>
          <w:sz w:val="36"/>
          <w:szCs w:val="36"/>
        </w:rPr>
        <w:t xml:space="preserve">九  </w:t>
      </w:r>
      <w:r>
        <w:rPr>
          <w:rFonts w:ascii="仿宋" w:hAnsi="仿宋" w:eastAsia="仿宋"/>
          <w:b/>
          <w:sz w:val="36"/>
          <w:szCs w:val="36"/>
        </w:rPr>
        <w:t>政府采购政策情况表</w:t>
      </w:r>
      <w:bookmarkEnd w:id="41"/>
    </w:p>
    <w:p>
      <w:pPr>
        <w:pStyle w:val="11"/>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19"/>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19"/>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19"/>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19"/>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p>
            <w:pPr>
              <w:pStyle w:val="119"/>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19"/>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7072" w:type="dxa"/>
            <w:gridSpan w:val="4"/>
            <w:vAlign w:val="center"/>
          </w:tcPr>
          <w:p>
            <w:pPr>
              <w:pStyle w:val="119"/>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19"/>
              <w:tabs>
                <w:tab w:val="left" w:pos="1260"/>
              </w:tabs>
              <w:snapToGrid w:val="0"/>
              <w:spacing w:line="360" w:lineRule="auto"/>
              <w:jc w:val="center"/>
              <w:rPr>
                <w:szCs w:val="21"/>
                <w:lang w:val="en-GB"/>
              </w:rPr>
            </w:pPr>
          </w:p>
        </w:tc>
      </w:tr>
    </w:tbl>
    <w:p>
      <w:pPr>
        <w:pStyle w:val="119"/>
        <w:tabs>
          <w:tab w:val="left" w:pos="1260"/>
        </w:tabs>
        <w:snapToGrid w:val="0"/>
        <w:spacing w:line="360" w:lineRule="auto"/>
        <w:rPr>
          <w:rFonts w:hAnsi="宋体"/>
          <w:szCs w:val="21"/>
        </w:rPr>
      </w:pPr>
      <w:bookmarkStart w:id="42" w:name="_Toc515011118"/>
      <w:bookmarkStart w:id="43" w:name="_Toc509218976"/>
      <w:bookmarkStart w:id="44" w:name="_Toc16182"/>
      <w:bookmarkStart w:id="45" w:name="_Toc513560346"/>
      <w:bookmarkStart w:id="46" w:name="_Toc508709359"/>
      <w:bookmarkStart w:id="47" w:name="_Toc515011017"/>
      <w:bookmarkStart w:id="48" w:name="_Toc18384"/>
      <w:bookmarkStart w:id="49" w:name="_Toc518478272"/>
      <w:bookmarkStart w:id="50" w:name="_Toc514337540"/>
      <w:bookmarkStart w:id="51" w:name="_Toc514420711"/>
      <w:bookmarkStart w:id="52" w:name="_Toc6057"/>
      <w:r>
        <w:rPr>
          <w:rFonts w:hAnsi="宋体"/>
          <w:szCs w:val="21"/>
        </w:rPr>
        <w:t>填报要求：</w:t>
      </w:r>
      <w:bookmarkEnd w:id="42"/>
      <w:bookmarkEnd w:id="43"/>
      <w:bookmarkEnd w:id="44"/>
      <w:bookmarkEnd w:id="45"/>
      <w:bookmarkEnd w:id="46"/>
      <w:bookmarkEnd w:id="47"/>
      <w:bookmarkEnd w:id="48"/>
      <w:bookmarkEnd w:id="49"/>
      <w:bookmarkEnd w:id="50"/>
      <w:bookmarkEnd w:id="51"/>
      <w:bookmarkEnd w:id="52"/>
    </w:p>
    <w:p>
      <w:pPr>
        <w:pStyle w:val="119"/>
        <w:tabs>
          <w:tab w:val="left" w:pos="1260"/>
        </w:tabs>
        <w:snapToGrid w:val="0"/>
        <w:spacing w:line="360" w:lineRule="auto"/>
        <w:rPr>
          <w:rFonts w:hAnsi="宋体"/>
          <w:szCs w:val="21"/>
        </w:rPr>
      </w:pPr>
      <w:bookmarkStart w:id="53" w:name="_Toc18997"/>
      <w:bookmarkStart w:id="54" w:name="_Toc27763"/>
      <w:bookmarkStart w:id="55" w:name="_Toc21278"/>
      <w:bookmarkStart w:id="56" w:name="_Toc508709360"/>
      <w:bookmarkStart w:id="57" w:name="_Toc513560347"/>
      <w:bookmarkStart w:id="58" w:name="_Toc515011119"/>
      <w:bookmarkStart w:id="59" w:name="_Toc514337541"/>
      <w:bookmarkStart w:id="60" w:name="_Toc515011018"/>
      <w:bookmarkStart w:id="61" w:name="_Toc514420712"/>
      <w:bookmarkStart w:id="62" w:name="_Toc509218977"/>
      <w:bookmarkStart w:id="63" w:name="_Toc518478273"/>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3"/>
      <w:bookmarkEnd w:id="54"/>
      <w:bookmarkEnd w:id="55"/>
      <w:bookmarkEnd w:id="56"/>
      <w:bookmarkEnd w:id="57"/>
      <w:bookmarkEnd w:id="58"/>
      <w:bookmarkEnd w:id="59"/>
      <w:bookmarkEnd w:id="60"/>
      <w:bookmarkEnd w:id="61"/>
      <w:bookmarkEnd w:id="62"/>
      <w:bookmarkEnd w:id="63"/>
    </w:p>
    <w:p>
      <w:pPr>
        <w:pStyle w:val="119"/>
        <w:tabs>
          <w:tab w:val="left" w:pos="1260"/>
        </w:tabs>
        <w:snapToGrid w:val="0"/>
        <w:spacing w:line="360" w:lineRule="auto"/>
        <w:rPr>
          <w:rFonts w:hAnsi="宋体"/>
          <w:szCs w:val="21"/>
        </w:rPr>
      </w:pPr>
      <w:bookmarkStart w:id="64" w:name="_Toc508709361"/>
      <w:bookmarkStart w:id="65" w:name="_Toc4592"/>
      <w:bookmarkStart w:id="66" w:name="_Toc27098"/>
      <w:bookmarkStart w:id="67" w:name="_Toc18212"/>
      <w:bookmarkStart w:id="68" w:name="_Toc514420713"/>
      <w:bookmarkStart w:id="69" w:name="_Toc518478274"/>
      <w:bookmarkStart w:id="70" w:name="_Toc515011120"/>
      <w:bookmarkStart w:id="71" w:name="_Toc513560348"/>
      <w:bookmarkStart w:id="72" w:name="_Toc515011019"/>
      <w:bookmarkStart w:id="73" w:name="_Toc509218978"/>
      <w:bookmarkStart w:id="74" w:name="_Toc514337542"/>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4"/>
      <w:bookmarkEnd w:id="65"/>
      <w:bookmarkEnd w:id="66"/>
      <w:bookmarkEnd w:id="67"/>
      <w:bookmarkEnd w:id="68"/>
      <w:bookmarkEnd w:id="69"/>
      <w:bookmarkEnd w:id="70"/>
      <w:bookmarkEnd w:id="71"/>
      <w:bookmarkEnd w:id="72"/>
      <w:bookmarkEnd w:id="73"/>
      <w:bookmarkEnd w:id="74"/>
    </w:p>
    <w:p>
      <w:pPr>
        <w:pStyle w:val="119"/>
        <w:tabs>
          <w:tab w:val="left" w:pos="1260"/>
        </w:tabs>
        <w:snapToGrid w:val="0"/>
        <w:spacing w:line="360" w:lineRule="auto"/>
        <w:rPr>
          <w:rFonts w:hAnsi="宋体"/>
          <w:szCs w:val="21"/>
        </w:rPr>
      </w:pPr>
      <w:bookmarkStart w:id="75" w:name="_Toc32452"/>
      <w:bookmarkStart w:id="76" w:name="_Toc508709362"/>
      <w:bookmarkStart w:id="77" w:name="_Toc515011020"/>
      <w:bookmarkStart w:id="78" w:name="_Toc513560349"/>
      <w:bookmarkStart w:id="79" w:name="_Toc11702"/>
      <w:bookmarkStart w:id="80" w:name="_Toc26567"/>
      <w:bookmarkStart w:id="81" w:name="_Toc509218979"/>
      <w:bookmarkStart w:id="82" w:name="_Toc514337543"/>
      <w:bookmarkStart w:id="83" w:name="_Toc514420714"/>
      <w:bookmarkStart w:id="84" w:name="_Toc515011121"/>
      <w:bookmarkStart w:id="85" w:name="_Toc518478275"/>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5"/>
      <w:bookmarkEnd w:id="76"/>
      <w:bookmarkEnd w:id="77"/>
      <w:bookmarkEnd w:id="78"/>
      <w:bookmarkEnd w:id="79"/>
      <w:bookmarkEnd w:id="80"/>
      <w:bookmarkEnd w:id="81"/>
      <w:bookmarkEnd w:id="82"/>
      <w:bookmarkEnd w:id="83"/>
      <w:bookmarkEnd w:id="84"/>
      <w:bookmarkEnd w:id="85"/>
    </w:p>
    <w:p>
      <w:pPr>
        <w:pStyle w:val="119"/>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
      <w:pPr>
        <w:snapToGrid w:val="0"/>
        <w:spacing w:before="50" w:after="50"/>
        <w:jc w:val="center"/>
        <w:rPr>
          <w:rFonts w:ascii="仿宋" w:hAnsi="仿宋" w:eastAsia="仿宋"/>
          <w:b/>
          <w:sz w:val="36"/>
          <w:szCs w:val="36"/>
        </w:rPr>
      </w:pPr>
      <w:r>
        <w:rPr>
          <w:rFonts w:hint="eastAsia" w:ascii="仿宋" w:hAnsi="仿宋" w:eastAsia="仿宋"/>
          <w:b/>
          <w:sz w:val="36"/>
          <w:szCs w:val="36"/>
        </w:rPr>
        <w:t>十、质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十一、投 诉 书 范 本（供参考）</w:t>
      </w:r>
    </w:p>
    <w:p>
      <w:pPr>
        <w:rPr>
          <w:rFonts w:ascii="宋体" w:hAnsi="宋体"/>
        </w:rPr>
      </w:pPr>
      <w:r>
        <w:rPr>
          <w:rFonts w:hint="eastAsia" w:ascii="宋体" w:hAnsi="宋体"/>
        </w:rPr>
        <w:t>一、投诉相关主体基本情况</w:t>
      </w:r>
    </w:p>
    <w:p>
      <w:pPr>
        <w:snapToGrid w:val="0"/>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48F1D28"/>
    <w:multiLevelType w:val="multilevel"/>
    <w:tmpl w:val="348F1D28"/>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715347DF"/>
    <w:multiLevelType w:val="multilevel"/>
    <w:tmpl w:val="715347DF"/>
    <w:lvl w:ilvl="0" w:tentative="0">
      <w:start w:val="1"/>
      <w:numFmt w:val="decimal"/>
      <w:lvlText w:val="%1、"/>
      <w:lvlJc w:val="left"/>
      <w:pPr>
        <w:ind w:left="945" w:hanging="36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52C8"/>
    <w:rsid w:val="00023566"/>
    <w:rsid w:val="000274B8"/>
    <w:rsid w:val="00044084"/>
    <w:rsid w:val="00046F76"/>
    <w:rsid w:val="000523CD"/>
    <w:rsid w:val="00052AF2"/>
    <w:rsid w:val="00055FCE"/>
    <w:rsid w:val="00057EEC"/>
    <w:rsid w:val="00064B79"/>
    <w:rsid w:val="000A50B4"/>
    <w:rsid w:val="000A52B3"/>
    <w:rsid w:val="000B15B6"/>
    <w:rsid w:val="000B1D09"/>
    <w:rsid w:val="000B30EC"/>
    <w:rsid w:val="000F6AB6"/>
    <w:rsid w:val="00106DD7"/>
    <w:rsid w:val="001110A3"/>
    <w:rsid w:val="0011468F"/>
    <w:rsid w:val="00115993"/>
    <w:rsid w:val="001308B5"/>
    <w:rsid w:val="00133535"/>
    <w:rsid w:val="00134FB6"/>
    <w:rsid w:val="00150E45"/>
    <w:rsid w:val="001534C2"/>
    <w:rsid w:val="00155C60"/>
    <w:rsid w:val="0016649F"/>
    <w:rsid w:val="00172A27"/>
    <w:rsid w:val="00173380"/>
    <w:rsid w:val="00186DFF"/>
    <w:rsid w:val="00187CC0"/>
    <w:rsid w:val="00191E2F"/>
    <w:rsid w:val="00193575"/>
    <w:rsid w:val="001C34F3"/>
    <w:rsid w:val="001C7441"/>
    <w:rsid w:val="001D0062"/>
    <w:rsid w:val="001E1271"/>
    <w:rsid w:val="00211203"/>
    <w:rsid w:val="00213618"/>
    <w:rsid w:val="0021463F"/>
    <w:rsid w:val="00215FD1"/>
    <w:rsid w:val="00221977"/>
    <w:rsid w:val="0023140E"/>
    <w:rsid w:val="00242E37"/>
    <w:rsid w:val="0024504F"/>
    <w:rsid w:val="00252990"/>
    <w:rsid w:val="00262946"/>
    <w:rsid w:val="00264FF8"/>
    <w:rsid w:val="00271143"/>
    <w:rsid w:val="002716CE"/>
    <w:rsid w:val="00276983"/>
    <w:rsid w:val="0027710F"/>
    <w:rsid w:val="002822D8"/>
    <w:rsid w:val="00290B7B"/>
    <w:rsid w:val="002979B3"/>
    <w:rsid w:val="00297DF4"/>
    <w:rsid w:val="002C2CA8"/>
    <w:rsid w:val="002C2D03"/>
    <w:rsid w:val="002D5A4B"/>
    <w:rsid w:val="002D6E16"/>
    <w:rsid w:val="002E73F8"/>
    <w:rsid w:val="002E7835"/>
    <w:rsid w:val="0030045F"/>
    <w:rsid w:val="00303CD0"/>
    <w:rsid w:val="00304273"/>
    <w:rsid w:val="00306679"/>
    <w:rsid w:val="00307ED8"/>
    <w:rsid w:val="003140C9"/>
    <w:rsid w:val="003257C1"/>
    <w:rsid w:val="00332C3D"/>
    <w:rsid w:val="00334E5F"/>
    <w:rsid w:val="00335D87"/>
    <w:rsid w:val="0034174B"/>
    <w:rsid w:val="00343149"/>
    <w:rsid w:val="003444E5"/>
    <w:rsid w:val="0034587C"/>
    <w:rsid w:val="00350078"/>
    <w:rsid w:val="00363554"/>
    <w:rsid w:val="00370496"/>
    <w:rsid w:val="00370B16"/>
    <w:rsid w:val="003776CB"/>
    <w:rsid w:val="0038090F"/>
    <w:rsid w:val="0039414F"/>
    <w:rsid w:val="0039795C"/>
    <w:rsid w:val="003A3E69"/>
    <w:rsid w:val="003B4A95"/>
    <w:rsid w:val="003C1DAA"/>
    <w:rsid w:val="003C4D8D"/>
    <w:rsid w:val="003D0A26"/>
    <w:rsid w:val="003D437E"/>
    <w:rsid w:val="003D6A13"/>
    <w:rsid w:val="003E0C51"/>
    <w:rsid w:val="003F29CB"/>
    <w:rsid w:val="003F39C0"/>
    <w:rsid w:val="00413CBA"/>
    <w:rsid w:val="00427FCD"/>
    <w:rsid w:val="00432523"/>
    <w:rsid w:val="00447769"/>
    <w:rsid w:val="004707A2"/>
    <w:rsid w:val="00470B5F"/>
    <w:rsid w:val="0047295C"/>
    <w:rsid w:val="00482DD1"/>
    <w:rsid w:val="0048405D"/>
    <w:rsid w:val="0049044E"/>
    <w:rsid w:val="00494A03"/>
    <w:rsid w:val="004A1123"/>
    <w:rsid w:val="004A4033"/>
    <w:rsid w:val="004C32C1"/>
    <w:rsid w:val="004E6F8E"/>
    <w:rsid w:val="004F05D6"/>
    <w:rsid w:val="00507A89"/>
    <w:rsid w:val="00516970"/>
    <w:rsid w:val="005441A5"/>
    <w:rsid w:val="00544480"/>
    <w:rsid w:val="00544E5D"/>
    <w:rsid w:val="00547F97"/>
    <w:rsid w:val="00551BD6"/>
    <w:rsid w:val="0055389A"/>
    <w:rsid w:val="0055473F"/>
    <w:rsid w:val="00555A4D"/>
    <w:rsid w:val="00561191"/>
    <w:rsid w:val="00580611"/>
    <w:rsid w:val="00581BCC"/>
    <w:rsid w:val="005836C4"/>
    <w:rsid w:val="00584F02"/>
    <w:rsid w:val="00593A96"/>
    <w:rsid w:val="005942B8"/>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6204C"/>
    <w:rsid w:val="00662DD3"/>
    <w:rsid w:val="00682905"/>
    <w:rsid w:val="006A44C8"/>
    <w:rsid w:val="006B287E"/>
    <w:rsid w:val="006C0392"/>
    <w:rsid w:val="006C1CFD"/>
    <w:rsid w:val="006C5997"/>
    <w:rsid w:val="006D4D55"/>
    <w:rsid w:val="006F2F61"/>
    <w:rsid w:val="006F4ABD"/>
    <w:rsid w:val="00700C30"/>
    <w:rsid w:val="00712E38"/>
    <w:rsid w:val="00724884"/>
    <w:rsid w:val="007308B7"/>
    <w:rsid w:val="00733F8A"/>
    <w:rsid w:val="007460A4"/>
    <w:rsid w:val="00750A11"/>
    <w:rsid w:val="00761B31"/>
    <w:rsid w:val="00762959"/>
    <w:rsid w:val="00765A67"/>
    <w:rsid w:val="00766700"/>
    <w:rsid w:val="007721DF"/>
    <w:rsid w:val="0077316E"/>
    <w:rsid w:val="007734E5"/>
    <w:rsid w:val="007750B7"/>
    <w:rsid w:val="00776E97"/>
    <w:rsid w:val="00790027"/>
    <w:rsid w:val="00795E2F"/>
    <w:rsid w:val="007A5541"/>
    <w:rsid w:val="007B7FF7"/>
    <w:rsid w:val="007C3E1A"/>
    <w:rsid w:val="007C3F83"/>
    <w:rsid w:val="007D3E1C"/>
    <w:rsid w:val="007D4C48"/>
    <w:rsid w:val="007E416F"/>
    <w:rsid w:val="007E42F4"/>
    <w:rsid w:val="007E5238"/>
    <w:rsid w:val="00802A0F"/>
    <w:rsid w:val="00812EF3"/>
    <w:rsid w:val="00824112"/>
    <w:rsid w:val="00824456"/>
    <w:rsid w:val="00836F76"/>
    <w:rsid w:val="0084072D"/>
    <w:rsid w:val="00840816"/>
    <w:rsid w:val="00841D5A"/>
    <w:rsid w:val="0085414A"/>
    <w:rsid w:val="008545B9"/>
    <w:rsid w:val="00867651"/>
    <w:rsid w:val="00874DC1"/>
    <w:rsid w:val="00876335"/>
    <w:rsid w:val="00885357"/>
    <w:rsid w:val="008978B7"/>
    <w:rsid w:val="008A3E96"/>
    <w:rsid w:val="008A47FE"/>
    <w:rsid w:val="008B1834"/>
    <w:rsid w:val="008C2CD9"/>
    <w:rsid w:val="008D1563"/>
    <w:rsid w:val="008D2883"/>
    <w:rsid w:val="00912DD2"/>
    <w:rsid w:val="009167C9"/>
    <w:rsid w:val="0092536D"/>
    <w:rsid w:val="0093429F"/>
    <w:rsid w:val="00935D5F"/>
    <w:rsid w:val="00942A9B"/>
    <w:rsid w:val="009465B3"/>
    <w:rsid w:val="00946BDA"/>
    <w:rsid w:val="00950B0B"/>
    <w:rsid w:val="00950DEA"/>
    <w:rsid w:val="00951007"/>
    <w:rsid w:val="009570E2"/>
    <w:rsid w:val="00974596"/>
    <w:rsid w:val="009760D4"/>
    <w:rsid w:val="00976E86"/>
    <w:rsid w:val="0099122E"/>
    <w:rsid w:val="009B55A0"/>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C7D64"/>
    <w:rsid w:val="00AE4C0B"/>
    <w:rsid w:val="00AE59EB"/>
    <w:rsid w:val="00AF051C"/>
    <w:rsid w:val="00AF4733"/>
    <w:rsid w:val="00AF661D"/>
    <w:rsid w:val="00B060DA"/>
    <w:rsid w:val="00B1400E"/>
    <w:rsid w:val="00B20DC7"/>
    <w:rsid w:val="00B226AF"/>
    <w:rsid w:val="00B31C8D"/>
    <w:rsid w:val="00B33F00"/>
    <w:rsid w:val="00B42EA9"/>
    <w:rsid w:val="00B47B2E"/>
    <w:rsid w:val="00B556F2"/>
    <w:rsid w:val="00B61211"/>
    <w:rsid w:val="00B62E64"/>
    <w:rsid w:val="00B73903"/>
    <w:rsid w:val="00B85432"/>
    <w:rsid w:val="00B94215"/>
    <w:rsid w:val="00B959D8"/>
    <w:rsid w:val="00BA7A57"/>
    <w:rsid w:val="00BB3EC9"/>
    <w:rsid w:val="00BB65FC"/>
    <w:rsid w:val="00BD2E36"/>
    <w:rsid w:val="00BD4AC7"/>
    <w:rsid w:val="00BD5735"/>
    <w:rsid w:val="00BE118D"/>
    <w:rsid w:val="00C02745"/>
    <w:rsid w:val="00C06991"/>
    <w:rsid w:val="00C165D6"/>
    <w:rsid w:val="00C2235D"/>
    <w:rsid w:val="00C25FD1"/>
    <w:rsid w:val="00C268F1"/>
    <w:rsid w:val="00C44FAA"/>
    <w:rsid w:val="00C46162"/>
    <w:rsid w:val="00C71FD8"/>
    <w:rsid w:val="00C8366E"/>
    <w:rsid w:val="00C85D3A"/>
    <w:rsid w:val="00CA521B"/>
    <w:rsid w:val="00CB43D3"/>
    <w:rsid w:val="00CB5B9F"/>
    <w:rsid w:val="00CB656D"/>
    <w:rsid w:val="00CC09E1"/>
    <w:rsid w:val="00CC0B18"/>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3F96"/>
    <w:rsid w:val="00E169BD"/>
    <w:rsid w:val="00E175F5"/>
    <w:rsid w:val="00E216B5"/>
    <w:rsid w:val="00E22775"/>
    <w:rsid w:val="00E273C2"/>
    <w:rsid w:val="00E27EE7"/>
    <w:rsid w:val="00E351D2"/>
    <w:rsid w:val="00E36B92"/>
    <w:rsid w:val="00E6462C"/>
    <w:rsid w:val="00E65D6D"/>
    <w:rsid w:val="00E73797"/>
    <w:rsid w:val="00E76C97"/>
    <w:rsid w:val="00E84273"/>
    <w:rsid w:val="00E846A7"/>
    <w:rsid w:val="00EB3155"/>
    <w:rsid w:val="00EB465C"/>
    <w:rsid w:val="00EB7CFF"/>
    <w:rsid w:val="00EC1ED7"/>
    <w:rsid w:val="00EC3B8C"/>
    <w:rsid w:val="00ED432F"/>
    <w:rsid w:val="00ED52BF"/>
    <w:rsid w:val="00EE526F"/>
    <w:rsid w:val="00EE72B2"/>
    <w:rsid w:val="00EF312D"/>
    <w:rsid w:val="00EF4E71"/>
    <w:rsid w:val="00EF5174"/>
    <w:rsid w:val="00EF7AD3"/>
    <w:rsid w:val="00F02479"/>
    <w:rsid w:val="00F15EA9"/>
    <w:rsid w:val="00F2027F"/>
    <w:rsid w:val="00F26046"/>
    <w:rsid w:val="00F26449"/>
    <w:rsid w:val="00F31DAF"/>
    <w:rsid w:val="00F32D11"/>
    <w:rsid w:val="00F40533"/>
    <w:rsid w:val="00F44B9A"/>
    <w:rsid w:val="00F61ED3"/>
    <w:rsid w:val="00F62257"/>
    <w:rsid w:val="00F7190B"/>
    <w:rsid w:val="00F75D69"/>
    <w:rsid w:val="00F82259"/>
    <w:rsid w:val="00F82EB7"/>
    <w:rsid w:val="00F95253"/>
    <w:rsid w:val="00F95940"/>
    <w:rsid w:val="00F9602D"/>
    <w:rsid w:val="00FA151D"/>
    <w:rsid w:val="00FA32A6"/>
    <w:rsid w:val="00FA352E"/>
    <w:rsid w:val="00FA4AB5"/>
    <w:rsid w:val="00FA5D92"/>
    <w:rsid w:val="00FC3458"/>
    <w:rsid w:val="00FC534F"/>
    <w:rsid w:val="00FE32E3"/>
    <w:rsid w:val="00FE5BDB"/>
    <w:rsid w:val="00FF2E97"/>
    <w:rsid w:val="00FF466F"/>
    <w:rsid w:val="00FF4FA8"/>
    <w:rsid w:val="1FD765F1"/>
    <w:rsid w:val="2C802EB8"/>
    <w:rsid w:val="3200698C"/>
    <w:rsid w:val="3D3E2B57"/>
    <w:rsid w:val="3DDD5D82"/>
    <w:rsid w:val="56157803"/>
    <w:rsid w:val="6C163AB2"/>
    <w:rsid w:val="70E606CC"/>
    <w:rsid w:val="7BAA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5">
    <w:name w:val="Normal Indent"/>
    <w:basedOn w:val="1"/>
    <w:link w:val="44"/>
    <w:qFormat/>
    <w:uiPriority w:val="0"/>
    <w:pPr>
      <w:autoSpaceDE/>
      <w:autoSpaceDN/>
      <w:adjustRightInd/>
      <w:ind w:firstLine="420"/>
    </w:pPr>
    <w:rPr>
      <w:kern w:val="2"/>
    </w:rPr>
  </w:style>
  <w:style w:type="paragraph" w:styleId="6">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7">
    <w:name w:val="Document Map"/>
    <w:basedOn w:val="1"/>
    <w:link w:val="43"/>
    <w:qFormat/>
    <w:uiPriority w:val="0"/>
    <w:pPr>
      <w:shd w:val="clear" w:color="auto" w:fill="000080"/>
      <w:autoSpaceDE/>
      <w:autoSpaceDN/>
      <w:adjustRightInd/>
    </w:pPr>
    <w:rPr>
      <w:kern w:val="2"/>
      <w:szCs w:val="24"/>
      <w:shd w:val="clear" w:color="auto" w:fill="00008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36"/>
    <w:qFormat/>
    <w:uiPriority w:val="1"/>
    <w:pPr>
      <w:spacing w:after="120"/>
    </w:pPr>
  </w:style>
  <w:style w:type="paragraph" w:styleId="10">
    <w:name w:val="Body Text Indent"/>
    <w:basedOn w:val="1"/>
    <w:link w:val="56"/>
    <w:qFormat/>
    <w:uiPriority w:val="0"/>
    <w:pPr>
      <w:spacing w:after="120"/>
      <w:ind w:left="420" w:leftChars="200"/>
    </w:pPr>
  </w:style>
  <w:style w:type="paragraph" w:styleId="11">
    <w:name w:val="Plain Text"/>
    <w:basedOn w:val="1"/>
    <w:link w:val="33"/>
    <w:qFormat/>
    <w:uiPriority w:val="0"/>
    <w:pPr>
      <w:autoSpaceDE/>
      <w:autoSpaceDN/>
      <w:adjustRightInd/>
    </w:pPr>
    <w:rPr>
      <w:kern w:val="2"/>
      <w:sz w:val="24"/>
    </w:rPr>
  </w:style>
  <w:style w:type="paragraph" w:styleId="12">
    <w:name w:val="Balloon Text"/>
    <w:basedOn w:val="1"/>
    <w:link w:val="57"/>
    <w:qFormat/>
    <w:uiPriority w:val="99"/>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pPr>
      <w:spacing w:line="360" w:lineRule="auto"/>
    </w:pPr>
    <w:rPr>
      <w:rFonts w:eastAsia="黑体"/>
      <w:sz w:val="24"/>
    </w:rPr>
  </w:style>
  <w:style w:type="paragraph" w:styleId="16">
    <w:name w:val="Body Text Indent 3"/>
    <w:basedOn w:val="1"/>
    <w:link w:val="58"/>
    <w:qFormat/>
    <w:uiPriority w:val="0"/>
    <w:pPr>
      <w:autoSpaceDE/>
      <w:autoSpaceDN/>
      <w:adjustRightInd/>
      <w:ind w:firstLine="435"/>
    </w:pPr>
    <w:rPr>
      <w:color w:val="auto"/>
      <w:kern w:val="2"/>
      <w:szCs w:val="24"/>
    </w:rPr>
  </w:style>
  <w:style w:type="paragraph" w:styleId="17">
    <w:name w:val="index 7"/>
    <w:basedOn w:val="1"/>
    <w:next w:val="1"/>
    <w:uiPriority w:val="0"/>
    <w:pPr>
      <w:ind w:left="1200" w:leftChars="1200"/>
    </w:pPr>
  </w:style>
  <w:style w:type="paragraph" w:styleId="18">
    <w:name w:val="Normal (Web)"/>
    <w:basedOn w:val="1"/>
    <w:qFormat/>
    <w:uiPriority w:val="99"/>
    <w:pPr>
      <w:autoSpaceDE/>
      <w:autoSpaceDN/>
      <w:adjustRightInd/>
    </w:pPr>
    <w:rPr>
      <w:rFonts w:ascii="Calibri" w:hAnsi="Calibri"/>
      <w:color w:val="auto"/>
      <w:kern w:val="2"/>
      <w:sz w:val="24"/>
      <w:szCs w:val="24"/>
    </w:rPr>
  </w:style>
  <w:style w:type="paragraph" w:styleId="19">
    <w:name w:val="Title"/>
    <w:basedOn w:val="1"/>
    <w:next w:val="1"/>
    <w:link w:val="104"/>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0">
    <w:name w:val="Body Text First Indent 2"/>
    <w:basedOn w:val="10"/>
    <w:link w:val="118"/>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uiPriority w:val="0"/>
  </w:style>
  <w:style w:type="character" w:styleId="27">
    <w:name w:val="FollowedHyperlink"/>
    <w:basedOn w:val="24"/>
    <w:semiHidden/>
    <w:unhideWhenUsed/>
    <w:uiPriority w:val="99"/>
    <w:rPr>
      <w:color w:val="800080"/>
      <w:u w:val="single"/>
    </w:rPr>
  </w:style>
  <w:style w:type="character" w:styleId="28">
    <w:name w:val="Emphasis"/>
    <w:basedOn w:val="24"/>
    <w:qFormat/>
    <w:uiPriority w:val="0"/>
    <w:rPr>
      <w:i/>
      <w:iCs/>
    </w:rPr>
  </w:style>
  <w:style w:type="character" w:styleId="29">
    <w:name w:val="Hyperlink"/>
    <w:basedOn w:val="24"/>
    <w:uiPriority w:val="0"/>
    <w:rPr>
      <w:color w:val="0000FF"/>
      <w:u w:val="single"/>
    </w:rPr>
  </w:style>
  <w:style w:type="character" w:styleId="30">
    <w:name w:val="annotation reference"/>
    <w:uiPriority w:val="0"/>
    <w:rPr>
      <w:sz w:val="21"/>
      <w:szCs w:val="21"/>
    </w:rPr>
  </w:style>
  <w:style w:type="character" w:customStyle="1" w:styleId="31">
    <w:name w:val="标题 1 Char"/>
    <w:basedOn w:val="24"/>
    <w:link w:val="2"/>
    <w:uiPriority w:val="0"/>
    <w:rPr>
      <w:b/>
      <w:color w:val="000000"/>
      <w:kern w:val="44"/>
      <w:sz w:val="44"/>
      <w:szCs w:val="21"/>
    </w:rPr>
  </w:style>
  <w:style w:type="character" w:customStyle="1" w:styleId="32">
    <w:name w:val="标题 2 Char"/>
    <w:basedOn w:val="24"/>
    <w:link w:val="3"/>
    <w:uiPriority w:val="0"/>
    <w:rPr>
      <w:rFonts w:ascii="Arial" w:hAnsi="Arial" w:eastAsia="黑体"/>
      <w:b/>
      <w:bCs/>
      <w:kern w:val="2"/>
      <w:sz w:val="32"/>
      <w:szCs w:val="32"/>
    </w:rPr>
  </w:style>
  <w:style w:type="character" w:customStyle="1" w:styleId="33">
    <w:name w:val="纯文本 Char"/>
    <w:basedOn w:val="24"/>
    <w:link w:val="11"/>
    <w:qFormat/>
    <w:uiPriority w:val="0"/>
    <w:rPr>
      <w:rFonts w:eastAsia="宋体"/>
      <w:kern w:val="2"/>
      <w:sz w:val="24"/>
      <w:lang w:val="en-US" w:eastAsia="zh-CN" w:bidi="ar-SA"/>
    </w:rPr>
  </w:style>
  <w:style w:type="character" w:customStyle="1" w:styleId="34">
    <w:name w:val="正文文字2 Char"/>
    <w:link w:val="35"/>
    <w:qFormat/>
    <w:uiPriority w:val="0"/>
    <w:rPr>
      <w:rFonts w:ascii="Arial" w:eastAsia="黑体"/>
      <w:sz w:val="21"/>
      <w:lang w:val="en-US" w:eastAsia="zh-CN" w:bidi="ar-SA"/>
    </w:rPr>
  </w:style>
  <w:style w:type="paragraph" w:customStyle="1" w:styleId="35">
    <w:name w:val="正文文字2"/>
    <w:basedOn w:val="9"/>
    <w:link w:val="3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6">
    <w:name w:val="正文文本 Char"/>
    <w:basedOn w:val="24"/>
    <w:link w:val="9"/>
    <w:uiPriority w:val="1"/>
    <w:rPr>
      <w:color w:val="000000"/>
      <w:sz w:val="21"/>
      <w:szCs w:val="21"/>
    </w:rPr>
  </w:style>
  <w:style w:type="character" w:customStyle="1" w:styleId="37">
    <w:name w:val="ca-32"/>
    <w:basedOn w:val="24"/>
    <w:uiPriority w:val="0"/>
  </w:style>
  <w:style w:type="character" w:customStyle="1" w:styleId="38">
    <w:name w:val="ca-72"/>
    <w:basedOn w:val="24"/>
    <w:uiPriority w:val="0"/>
  </w:style>
  <w:style w:type="character" w:customStyle="1" w:styleId="39">
    <w:name w:val="页脚 Char"/>
    <w:basedOn w:val="24"/>
    <w:link w:val="13"/>
    <w:qFormat/>
    <w:uiPriority w:val="99"/>
    <w:rPr>
      <w:color w:val="000000"/>
      <w:sz w:val="18"/>
      <w:szCs w:val="18"/>
    </w:rPr>
  </w:style>
  <w:style w:type="character" w:customStyle="1" w:styleId="40">
    <w:name w:val="大纲 Char"/>
    <w:basedOn w:val="24"/>
    <w:link w:val="41"/>
    <w:uiPriority w:val="0"/>
    <w:rPr>
      <w:rFonts w:ascii="宋体" w:hAnsi="宋体"/>
      <w:b/>
      <w:kern w:val="2"/>
      <w:sz w:val="28"/>
      <w:szCs w:val="28"/>
      <w:lang w:bidi="ar-SA"/>
    </w:rPr>
  </w:style>
  <w:style w:type="paragraph" w:customStyle="1" w:styleId="41">
    <w:name w:val="大纲"/>
    <w:basedOn w:val="1"/>
    <w:link w:val="40"/>
    <w:uiPriority w:val="0"/>
    <w:pPr>
      <w:autoSpaceDE/>
      <w:autoSpaceDN/>
      <w:adjustRightInd/>
      <w:spacing w:line="500" w:lineRule="exact"/>
      <w:jc w:val="left"/>
      <w:outlineLvl w:val="0"/>
    </w:pPr>
    <w:rPr>
      <w:rFonts w:ascii="宋体" w:hAnsi="宋体"/>
      <w:b/>
      <w:kern w:val="2"/>
      <w:sz w:val="28"/>
      <w:szCs w:val="28"/>
    </w:rPr>
  </w:style>
  <w:style w:type="character" w:customStyle="1" w:styleId="42">
    <w:name w:val="ca-42"/>
    <w:basedOn w:val="24"/>
    <w:uiPriority w:val="0"/>
  </w:style>
  <w:style w:type="character" w:customStyle="1" w:styleId="43">
    <w:name w:val="文档结构图 Char"/>
    <w:basedOn w:val="24"/>
    <w:link w:val="7"/>
    <w:uiPriority w:val="0"/>
    <w:rPr>
      <w:kern w:val="2"/>
      <w:sz w:val="21"/>
      <w:szCs w:val="24"/>
      <w:shd w:val="clear" w:color="auto" w:fill="000080"/>
    </w:rPr>
  </w:style>
  <w:style w:type="character" w:customStyle="1" w:styleId="44">
    <w:name w:val="正文缩进 Char"/>
    <w:basedOn w:val="24"/>
    <w:link w:val="5"/>
    <w:qFormat/>
    <w:uiPriority w:val="0"/>
    <w:rPr>
      <w:rFonts w:eastAsia="宋体"/>
      <w:kern w:val="2"/>
      <w:sz w:val="21"/>
      <w:lang w:val="en-US" w:eastAsia="zh-CN" w:bidi="ar-SA"/>
    </w:rPr>
  </w:style>
  <w:style w:type="character" w:customStyle="1" w:styleId="45">
    <w:name w:val="ca-52"/>
    <w:basedOn w:val="24"/>
    <w:uiPriority w:val="0"/>
  </w:style>
  <w:style w:type="character" w:customStyle="1" w:styleId="46">
    <w:name w:val="so-ask-best"/>
    <w:basedOn w:val="24"/>
    <w:uiPriority w:val="0"/>
  </w:style>
  <w:style w:type="character" w:customStyle="1" w:styleId="47">
    <w:name w:val="页眉 Char"/>
    <w:basedOn w:val="24"/>
    <w:link w:val="14"/>
    <w:qFormat/>
    <w:uiPriority w:val="99"/>
    <w:rPr>
      <w:color w:val="000000"/>
      <w:sz w:val="18"/>
      <w:szCs w:val="18"/>
    </w:rPr>
  </w:style>
  <w:style w:type="character" w:customStyle="1" w:styleId="48">
    <w:name w:val="ca-12"/>
    <w:basedOn w:val="24"/>
    <w:uiPriority w:val="0"/>
  </w:style>
  <w:style w:type="character" w:customStyle="1" w:styleId="49">
    <w:name w:val="ca-22"/>
    <w:basedOn w:val="24"/>
    <w:uiPriority w:val="0"/>
  </w:style>
  <w:style w:type="character" w:customStyle="1" w:styleId="50">
    <w:name w:val="ca-62"/>
    <w:basedOn w:val="24"/>
    <w:uiPriority w:val="0"/>
  </w:style>
  <w:style w:type="character" w:customStyle="1" w:styleId="51">
    <w:name w:val="无间隔 Char"/>
    <w:link w:val="52"/>
    <w:locked/>
    <w:uiPriority w:val="0"/>
    <w:rPr>
      <w:rFonts w:ascii="Calibri" w:hAnsi="Calibri"/>
      <w:sz w:val="22"/>
      <w:szCs w:val="22"/>
      <w:lang w:val="en-US" w:eastAsia="zh-CN" w:bidi="ar-SA"/>
    </w:rPr>
  </w:style>
  <w:style w:type="paragraph" w:styleId="52">
    <w:name w:val="No Spacing"/>
    <w:link w:val="51"/>
    <w:qFormat/>
    <w:uiPriority w:val="0"/>
    <w:rPr>
      <w:rFonts w:ascii="Calibri" w:hAnsi="Calibri" w:eastAsia="宋体" w:cs="Times New Roman"/>
      <w:sz w:val="22"/>
      <w:szCs w:val="22"/>
      <w:lang w:val="en-US" w:eastAsia="zh-CN" w:bidi="ar-SA"/>
    </w:rPr>
  </w:style>
  <w:style w:type="character" w:customStyle="1" w:styleId="53">
    <w:name w:val="纯文本 Char1"/>
    <w:basedOn w:val="24"/>
    <w:qFormat/>
    <w:locked/>
    <w:uiPriority w:val="0"/>
    <w:rPr>
      <w:rFonts w:eastAsia="宋体"/>
      <w:kern w:val="2"/>
      <w:sz w:val="24"/>
      <w:lang w:val="en-US" w:eastAsia="zh-CN" w:bidi="ar-SA"/>
    </w:rPr>
  </w:style>
  <w:style w:type="character" w:customStyle="1" w:styleId="54">
    <w:name w:val="apple-converted-space"/>
    <w:basedOn w:val="24"/>
    <w:uiPriority w:val="0"/>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正文文本缩进 Char"/>
    <w:basedOn w:val="24"/>
    <w:link w:val="10"/>
    <w:qFormat/>
    <w:uiPriority w:val="0"/>
    <w:rPr>
      <w:color w:val="000000"/>
      <w:sz w:val="21"/>
      <w:szCs w:val="21"/>
    </w:rPr>
  </w:style>
  <w:style w:type="character" w:customStyle="1" w:styleId="57">
    <w:name w:val="批注框文本 Char"/>
    <w:basedOn w:val="24"/>
    <w:link w:val="12"/>
    <w:qFormat/>
    <w:uiPriority w:val="99"/>
    <w:rPr>
      <w:color w:val="000000"/>
      <w:sz w:val="18"/>
      <w:szCs w:val="18"/>
    </w:rPr>
  </w:style>
  <w:style w:type="character" w:customStyle="1" w:styleId="58">
    <w:name w:val="正文文本缩进 3 Char"/>
    <w:basedOn w:val="24"/>
    <w:link w:val="16"/>
    <w:qFormat/>
    <w:uiPriority w:val="0"/>
    <w:rPr>
      <w:kern w:val="2"/>
      <w:sz w:val="21"/>
      <w:szCs w:val="24"/>
    </w:rPr>
  </w:style>
  <w:style w:type="paragraph" w:customStyle="1" w:styleId="59">
    <w:name w:val="列出段落1"/>
    <w:basedOn w:val="1"/>
    <w:qFormat/>
    <w:uiPriority w:val="34"/>
    <w:pPr>
      <w:autoSpaceDE/>
      <w:autoSpaceDN/>
      <w:adjustRightInd/>
      <w:ind w:firstLine="420" w:firstLineChars="200"/>
    </w:pPr>
    <w:rPr>
      <w:color w:val="auto"/>
      <w:kern w:val="2"/>
      <w:szCs w:val="20"/>
    </w:rPr>
  </w:style>
  <w:style w:type="paragraph" w:customStyle="1" w:styleId="60">
    <w:name w:val="pa-2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1">
    <w:name w:val="pa-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小节标题"/>
    <w:basedOn w:val="1"/>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3">
    <w:name w:val="pa-2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4">
    <w:name w:val="默认段落字体 Para Char Char Char"/>
    <w:basedOn w:val="1"/>
    <w:uiPriority w:val="0"/>
    <w:pPr>
      <w:autoSpaceDE/>
      <w:autoSpaceDN/>
      <w:adjustRightInd/>
    </w:pPr>
    <w:rPr>
      <w:color w:val="auto"/>
      <w:kern w:val="2"/>
      <w:szCs w:val="24"/>
    </w:rPr>
  </w:style>
  <w:style w:type="paragraph" w:customStyle="1" w:styleId="65">
    <w:name w:val="pa-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6">
    <w:name w:val="pa-1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SS正文首行缩进 +"/>
    <w:next w:val="1"/>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8">
    <w:name w:val="无间隔1"/>
    <w:qFormat/>
    <w:uiPriority w:val="1"/>
    <w:rPr>
      <w:rFonts w:ascii="Calibri" w:hAnsi="Calibri" w:eastAsia="宋体" w:cs="Times New Roman"/>
      <w:sz w:val="22"/>
      <w:szCs w:val="22"/>
      <w:lang w:val="en-US" w:eastAsia="zh-CN" w:bidi="ar-SA"/>
    </w:rPr>
  </w:style>
  <w:style w:type="paragraph" w:customStyle="1" w:styleId="69">
    <w:name w:val="pa-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0">
    <w:name w:val="pa-1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2">
    <w:name w:val="List Paragraph"/>
    <w:basedOn w:val="1"/>
    <w:link w:val="73"/>
    <w:qFormat/>
    <w:uiPriority w:val="34"/>
    <w:pPr>
      <w:autoSpaceDE/>
      <w:autoSpaceDN/>
      <w:adjustRightInd/>
      <w:ind w:firstLine="420" w:firstLineChars="200"/>
    </w:pPr>
    <w:rPr>
      <w:rFonts w:ascii="Calibri" w:hAnsi="Calibri"/>
      <w:color w:val="auto"/>
      <w:kern w:val="2"/>
      <w:szCs w:val="22"/>
    </w:rPr>
  </w:style>
  <w:style w:type="character" w:customStyle="1" w:styleId="73">
    <w:name w:val="列出段落 Char"/>
    <w:link w:val="72"/>
    <w:uiPriority w:val="34"/>
    <w:rPr>
      <w:rFonts w:ascii="Calibri" w:hAnsi="Calibri"/>
      <w:kern w:val="2"/>
      <w:sz w:val="21"/>
      <w:szCs w:val="22"/>
    </w:rPr>
  </w:style>
  <w:style w:type="paragraph" w:customStyle="1" w:styleId="74">
    <w:name w:val="pa-1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5">
    <w:name w:val="xl8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6">
    <w:name w:val="H-TextFormat"/>
    <w:uiPriority w:val="0"/>
    <w:pPr>
      <w:autoSpaceDE w:val="0"/>
      <w:autoSpaceDN w:val="0"/>
      <w:adjustRightInd w:val="0"/>
    </w:pPr>
    <w:rPr>
      <w:rFonts w:ascii="Arial" w:hAnsi="Arial" w:eastAsia="宋体" w:cs="Arial"/>
      <w:sz w:val="22"/>
      <w:szCs w:val="22"/>
      <w:lang w:val="en-US" w:eastAsia="zh-CN" w:bidi="ar-SA"/>
    </w:rPr>
  </w:style>
  <w:style w:type="paragraph" w:customStyle="1" w:styleId="77">
    <w:name w:val="pa-17"/>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8">
    <w:name w:val="font5"/>
    <w:basedOn w:val="1"/>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79">
    <w:name w:val="pa-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1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15"/>
    <w:basedOn w:val="1"/>
    <w:qFormat/>
    <w:uiPriority w:val="0"/>
    <w:pPr>
      <w:widowControl/>
      <w:autoSpaceDE/>
      <w:autoSpaceDN/>
      <w:adjustRightInd/>
      <w:snapToGrid w:val="0"/>
    </w:pPr>
  </w:style>
  <w:style w:type="paragraph" w:customStyle="1" w:styleId="83">
    <w:name w:val="pa-1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4">
    <w:name w:val="pa-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Char Char Char Char1 Char Char Char Char Char"/>
    <w:basedOn w:val="7"/>
    <w:uiPriority w:val="0"/>
  </w:style>
  <w:style w:type="paragraph" w:customStyle="1" w:styleId="89">
    <w:name w:val="pa-7"/>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1">
    <w:name w:val="pa-1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2">
    <w:name w:val="p0"/>
    <w:next w:val="17"/>
    <w:qFormat/>
    <w:uiPriority w:val="0"/>
    <w:pPr>
      <w:snapToGrid w:val="0"/>
    </w:pPr>
    <w:rPr>
      <w:rFonts w:ascii="Times New Roman" w:hAnsi="Times New Roman" w:eastAsia="宋体" w:cs="Times New Roman"/>
      <w:sz w:val="21"/>
      <w:szCs w:val="21"/>
      <w:lang w:val="en-US" w:eastAsia="zh-CN" w:bidi="ar-SA"/>
    </w:rPr>
  </w:style>
  <w:style w:type="paragraph" w:customStyle="1" w:styleId="93">
    <w:name w:val="Char"/>
    <w:basedOn w:val="1"/>
    <w:uiPriority w:val="0"/>
    <w:pPr>
      <w:autoSpaceDE/>
      <w:autoSpaceDN/>
      <w:adjustRightInd/>
      <w:ind w:firstLine="200" w:firstLineChars="200"/>
    </w:pPr>
    <w:rPr>
      <w:rFonts w:ascii="Tahoma" w:hAnsi="Tahoma"/>
      <w:color w:val="auto"/>
      <w:kern w:val="2"/>
      <w:sz w:val="24"/>
      <w:szCs w:val="20"/>
    </w:rPr>
  </w:style>
  <w:style w:type="paragraph" w:customStyle="1" w:styleId="94">
    <w:name w:val="Char Char Char"/>
    <w:basedOn w:val="1"/>
    <w:uiPriority w:val="0"/>
    <w:pPr>
      <w:widowControl/>
      <w:autoSpaceDE/>
      <w:autoSpaceDN/>
      <w:adjustRightInd/>
      <w:jc w:val="left"/>
    </w:pPr>
    <w:rPr>
      <w:color w:val="auto"/>
      <w:sz w:val="20"/>
      <w:szCs w:val="20"/>
    </w:rPr>
  </w:style>
  <w:style w:type="paragraph" w:customStyle="1" w:styleId="95">
    <w:name w:val="_Style 2"/>
    <w:qFormat/>
    <w:uiPriority w:val="99"/>
    <w:rPr>
      <w:rFonts w:ascii="Calibri" w:hAnsi="Calibri" w:eastAsia="宋体" w:cs="Times New Roman"/>
      <w:sz w:val="22"/>
      <w:szCs w:val="22"/>
      <w:lang w:val="en-US" w:eastAsia="zh-CN" w:bidi="ar-SA"/>
    </w:rPr>
  </w:style>
  <w:style w:type="paragraph" w:customStyle="1" w:styleId="96">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7">
    <w:name w:val="15"/>
    <w:basedOn w:val="24"/>
    <w:qFormat/>
    <w:uiPriority w:val="0"/>
    <w:rPr>
      <w:rFonts w:hint="eastAsia" w:ascii="宋体" w:hAnsi="宋体" w:eastAsia="宋体"/>
      <w:color w:val="000000"/>
      <w:sz w:val="20"/>
      <w:szCs w:val="20"/>
    </w:rPr>
  </w:style>
  <w:style w:type="character" w:customStyle="1" w:styleId="98">
    <w:name w:val="16"/>
    <w:basedOn w:val="24"/>
    <w:qFormat/>
    <w:uiPriority w:val="0"/>
    <w:rPr>
      <w:rFonts w:hint="default" w:ascii="Arial" w:hAnsi="Arial" w:cs="Arial"/>
      <w:color w:val="000000"/>
      <w:sz w:val="20"/>
      <w:szCs w:val="20"/>
    </w:rPr>
  </w:style>
  <w:style w:type="character" w:customStyle="1" w:styleId="99">
    <w:name w:val="17"/>
    <w:basedOn w:val="24"/>
    <w:qFormat/>
    <w:uiPriority w:val="0"/>
    <w:rPr>
      <w:rFonts w:hint="default" w:ascii="Arial" w:hAnsi="Arial" w:cs="Arial"/>
      <w:color w:val="FF0000"/>
      <w:sz w:val="20"/>
      <w:szCs w:val="20"/>
    </w:rPr>
  </w:style>
  <w:style w:type="character" w:customStyle="1" w:styleId="100">
    <w:name w:val="18"/>
    <w:basedOn w:val="24"/>
    <w:qFormat/>
    <w:uiPriority w:val="0"/>
    <w:rPr>
      <w:rFonts w:hint="eastAsia" w:ascii="宋体" w:hAnsi="宋体" w:eastAsia="宋体"/>
      <w:color w:val="FF0000"/>
      <w:sz w:val="20"/>
      <w:szCs w:val="20"/>
    </w:rPr>
  </w:style>
  <w:style w:type="character" w:customStyle="1" w:styleId="101">
    <w:name w:val="19"/>
    <w:basedOn w:val="24"/>
    <w:qFormat/>
    <w:uiPriority w:val="0"/>
    <w:rPr>
      <w:rFonts w:hint="eastAsia" w:ascii="宋体" w:hAnsi="宋体" w:eastAsia="宋体"/>
      <w:color w:val="000000"/>
      <w:sz w:val="20"/>
      <w:szCs w:val="20"/>
    </w:rPr>
  </w:style>
  <w:style w:type="character" w:customStyle="1" w:styleId="102">
    <w:name w:val="20"/>
    <w:basedOn w:val="24"/>
    <w:qFormat/>
    <w:uiPriority w:val="0"/>
    <w:rPr>
      <w:rFonts w:hint="default" w:ascii="Arial" w:hAnsi="Arial" w:cs="Arial"/>
      <w:color w:val="000000"/>
      <w:sz w:val="20"/>
      <w:szCs w:val="20"/>
    </w:rPr>
  </w:style>
  <w:style w:type="paragraph" w:customStyle="1" w:styleId="103">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4">
    <w:name w:val="标题 Char"/>
    <w:basedOn w:val="24"/>
    <w:link w:val="19"/>
    <w:uiPriority w:val="0"/>
    <w:rPr>
      <w:rFonts w:ascii="Cambria" w:hAnsi="Cambria"/>
      <w:b/>
      <w:bCs/>
      <w:kern w:val="2"/>
      <w:sz w:val="32"/>
      <w:szCs w:val="32"/>
    </w:rPr>
  </w:style>
  <w:style w:type="paragraph" w:customStyle="1" w:styleId="105">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6">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7">
    <w:name w:val="正文缩进1"/>
    <w:basedOn w:val="1"/>
    <w:uiPriority w:val="0"/>
    <w:pPr>
      <w:ind w:firstLine="420"/>
      <w:jc w:val="left"/>
    </w:pPr>
    <w:rPr>
      <w:rFonts w:ascii="宋体"/>
      <w:color w:val="auto"/>
      <w:sz w:val="24"/>
      <w:szCs w:val="20"/>
    </w:rPr>
  </w:style>
  <w:style w:type="paragraph" w:customStyle="1" w:styleId="108">
    <w:name w:val="Char1"/>
    <w:basedOn w:val="1"/>
    <w:uiPriority w:val="0"/>
    <w:pPr>
      <w:autoSpaceDE/>
      <w:autoSpaceDN/>
      <w:adjustRightInd/>
    </w:pPr>
    <w:rPr>
      <w:rFonts w:ascii="仿宋_GB2312" w:eastAsia="仿宋_GB2312"/>
      <w:b/>
      <w:color w:val="auto"/>
      <w:kern w:val="2"/>
      <w:sz w:val="32"/>
      <w:szCs w:val="32"/>
    </w:rPr>
  </w:style>
  <w:style w:type="character" w:customStyle="1" w:styleId="109">
    <w:name w:val="font61"/>
    <w:basedOn w:val="24"/>
    <w:uiPriority w:val="0"/>
    <w:rPr>
      <w:rFonts w:ascii="Arial" w:hAnsi="Arial" w:cs="Arial"/>
      <w:color w:val="000000"/>
      <w:sz w:val="20"/>
      <w:szCs w:val="20"/>
      <w:u w:val="none"/>
    </w:rPr>
  </w:style>
  <w:style w:type="character" w:customStyle="1" w:styleId="110">
    <w:name w:val="font51"/>
    <w:basedOn w:val="24"/>
    <w:qFormat/>
    <w:uiPriority w:val="0"/>
    <w:rPr>
      <w:rFonts w:hint="eastAsia" w:ascii="宋体" w:hAnsi="宋体" w:eastAsia="宋体" w:cs="宋体"/>
      <w:color w:val="FF0000"/>
      <w:sz w:val="20"/>
      <w:szCs w:val="20"/>
      <w:u w:val="none"/>
    </w:rPr>
  </w:style>
  <w:style w:type="character" w:customStyle="1" w:styleId="111">
    <w:name w:val="font31"/>
    <w:basedOn w:val="24"/>
    <w:uiPriority w:val="0"/>
    <w:rPr>
      <w:rFonts w:hint="default" w:ascii="Arial" w:hAnsi="Arial" w:cs="Arial"/>
      <w:color w:val="FF0000"/>
      <w:sz w:val="20"/>
      <w:szCs w:val="20"/>
      <w:u w:val="none"/>
    </w:rPr>
  </w:style>
  <w:style w:type="character" w:customStyle="1" w:styleId="112">
    <w:name w:val="font41"/>
    <w:basedOn w:val="24"/>
    <w:uiPriority w:val="0"/>
    <w:rPr>
      <w:rFonts w:hint="default" w:ascii="Arial" w:hAnsi="Arial" w:cs="Arial"/>
      <w:color w:val="000000"/>
      <w:sz w:val="20"/>
      <w:szCs w:val="20"/>
      <w:u w:val="none"/>
    </w:rPr>
  </w:style>
  <w:style w:type="character" w:customStyle="1" w:styleId="113">
    <w:name w:val="font11"/>
    <w:basedOn w:val="24"/>
    <w:uiPriority w:val="0"/>
    <w:rPr>
      <w:rFonts w:hint="eastAsia" w:ascii="宋体" w:hAnsi="宋体" w:eastAsia="宋体" w:cs="宋体"/>
      <w:color w:val="000000"/>
      <w:sz w:val="20"/>
      <w:szCs w:val="20"/>
      <w:u w:val="none"/>
    </w:rPr>
  </w:style>
  <w:style w:type="paragraph" w:customStyle="1" w:styleId="1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5">
    <w:name w:val="top_title1"/>
    <w:basedOn w:val="24"/>
    <w:qFormat/>
    <w:uiPriority w:val="0"/>
    <w:rPr>
      <w:b/>
      <w:bCs/>
      <w:color w:val="333333"/>
      <w:sz w:val="24"/>
      <w:szCs w:val="24"/>
    </w:rPr>
  </w:style>
  <w:style w:type="paragraph" w:customStyle="1" w:styleId="116">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7">
    <w:name w:val="NormalCharacter"/>
    <w:semiHidden/>
    <w:uiPriority w:val="0"/>
    <w:rPr>
      <w:sz w:val="24"/>
    </w:rPr>
  </w:style>
  <w:style w:type="character" w:customStyle="1" w:styleId="118">
    <w:name w:val="正文首行缩进 2 Char"/>
    <w:basedOn w:val="56"/>
    <w:link w:val="20"/>
    <w:uiPriority w:val="99"/>
  </w:style>
  <w:style w:type="paragraph" w:customStyle="1" w:styleId="11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_Style 14"/>
    <w:next w:val="6"/>
    <w:uiPriority w:val="0"/>
    <w:pPr>
      <w:widowControl w:val="0"/>
      <w:jc w:val="both"/>
    </w:pPr>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0FEFA-4647-4A81-B97D-D6B9F73E74D0}">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36</Pages>
  <Words>4594</Words>
  <Characters>26190</Characters>
  <Lines>218</Lines>
  <Paragraphs>61</Paragraphs>
  <TotalTime>1652</TotalTime>
  <ScaleCrop>false</ScaleCrop>
  <LinksUpToDate>false</LinksUpToDate>
  <CharactersWithSpaces>30723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2020-09-07T03:02:00Z</cp:lastPrinted>
  <dcterms:modified xsi:type="dcterms:W3CDTF">2020-09-08T08:14:29Z</dcterms:modified>
  <dc:title>诸暨市　　　　　　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