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ind w:left="420" w:hanging="420"/>
        <w:jc w:val="center"/>
        <w:rPr>
          <w:rFonts w:ascii="宋体" w:hAnsi="宋体" w:cs="宋体"/>
          <w:b/>
          <w:bCs/>
          <w:color w:val="auto"/>
          <w:sz w:val="32"/>
          <w:szCs w:val="32"/>
        </w:rPr>
      </w:pPr>
      <w:bookmarkStart w:id="0" w:name="_Toc125344502"/>
    </w:p>
    <w:p>
      <w:pPr>
        <w:autoSpaceDE/>
        <w:autoSpaceDN/>
        <w:spacing w:line="360" w:lineRule="auto"/>
        <w:ind w:left="420" w:hanging="420"/>
        <w:jc w:val="center"/>
        <w:rPr>
          <w:rFonts w:ascii="宋体" w:hAnsi="宋体" w:cs="宋体"/>
          <w:b/>
          <w:bCs/>
          <w:color w:val="auto"/>
          <w:sz w:val="32"/>
          <w:szCs w:val="32"/>
        </w:rPr>
      </w:pPr>
    </w:p>
    <w:p>
      <w:pPr>
        <w:autoSpaceDE/>
        <w:autoSpaceDN/>
        <w:spacing w:line="360" w:lineRule="auto"/>
        <w:jc w:val="center"/>
        <w:rPr>
          <w:rFonts w:ascii="宋体" w:hAnsi="宋体" w:cs="宋体"/>
          <w:b/>
          <w:bCs/>
          <w:color w:val="auto"/>
          <w:sz w:val="48"/>
          <w:szCs w:val="48"/>
        </w:rPr>
      </w:pPr>
      <w:r>
        <w:rPr>
          <w:rFonts w:hint="eastAsia" w:ascii="宋体" w:hAnsi="宋体" w:cs="宋体"/>
          <w:b/>
          <w:bCs/>
          <w:color w:val="auto"/>
          <w:sz w:val="48"/>
          <w:szCs w:val="48"/>
        </w:rPr>
        <w:t>诸暨市自然资源和规划局第七期档案整理及数字化加工项目</w:t>
      </w:r>
    </w:p>
    <w:p>
      <w:pPr>
        <w:autoSpaceDE/>
        <w:autoSpaceDN/>
        <w:spacing w:line="360" w:lineRule="auto"/>
        <w:jc w:val="center"/>
        <w:rPr>
          <w:rFonts w:ascii="仿宋" w:hAnsi="仿宋" w:eastAsia="仿宋" w:cs="黑体"/>
          <w:color w:val="auto"/>
          <w:sz w:val="30"/>
          <w:szCs w:val="30"/>
        </w:rPr>
      </w:pPr>
      <w:r>
        <w:rPr>
          <w:rFonts w:hint="eastAsia" w:ascii="仿宋" w:hAnsi="仿宋" w:eastAsia="仿宋" w:cs="黑体"/>
          <w:color w:val="auto"/>
          <w:sz w:val="30"/>
          <w:szCs w:val="30"/>
        </w:rPr>
        <w:t>（项目编号：浙江新顺2024-04-18）</w:t>
      </w:r>
    </w:p>
    <w:p>
      <w:pPr>
        <w:spacing w:beforeLines="750" w:line="360" w:lineRule="auto"/>
        <w:jc w:val="center"/>
        <w:rPr>
          <w:rFonts w:ascii="宋体" w:hAnsi="宋体"/>
          <w:b/>
          <w:color w:val="auto"/>
          <w:spacing w:val="-6"/>
          <w:sz w:val="84"/>
          <w:szCs w:val="84"/>
        </w:rPr>
      </w:pPr>
      <w:r>
        <w:rPr>
          <w:rFonts w:hint="eastAsia" w:ascii="宋体" w:hAnsi="宋体"/>
          <w:b/>
          <w:color w:val="auto"/>
          <w:spacing w:val="-6"/>
          <w:sz w:val="84"/>
          <w:szCs w:val="84"/>
        </w:rPr>
        <w:t>招 标 文 件</w:t>
      </w:r>
    </w:p>
    <w:p>
      <w:pPr>
        <w:autoSpaceDE/>
        <w:autoSpaceDN/>
        <w:spacing w:afterLines="600" w:line="360" w:lineRule="auto"/>
        <w:jc w:val="center"/>
        <w:rPr>
          <w:rFonts w:ascii="宋体" w:hAnsi="宋体"/>
          <w:b/>
          <w:color w:val="auto"/>
          <w:spacing w:val="36"/>
          <w:sz w:val="36"/>
        </w:rPr>
      </w:pPr>
      <w:r>
        <w:rPr>
          <w:rFonts w:hint="eastAsia" w:ascii="宋体" w:hAnsi="宋体"/>
          <w:b/>
          <w:color w:val="auto"/>
          <w:spacing w:val="36"/>
          <w:sz w:val="36"/>
        </w:rPr>
        <w:t>（电子招投标）</w:t>
      </w:r>
    </w:p>
    <w:tbl>
      <w:tblPr>
        <w:tblStyle w:val="5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14" w:type="dxa"/>
            <w:vAlign w:val="center"/>
          </w:tcPr>
          <w:p>
            <w:pPr>
              <w:pStyle w:val="44"/>
              <w:shd w:val="clear" w:color="auto" w:fill="FFFFFF"/>
              <w:spacing w:beforeAutospacing="0" w:afterAutospacing="0"/>
              <w:rPr>
                <w:rFonts w:ascii="仿宋" w:hAnsi="仿宋" w:eastAsia="仿宋" w:cs="宋体"/>
                <w:color w:val="auto"/>
              </w:rPr>
            </w:pPr>
            <w:r>
              <w:rPr>
                <w:rFonts w:ascii="仿宋" w:hAnsi="仿宋" w:eastAsia="仿宋" w:cs="楷体_GB2312"/>
                <w:b/>
                <w:bCs/>
                <w:color w:val="auto"/>
                <w:spacing w:val="12"/>
                <w:w w:val="95"/>
                <w:kern w:val="0"/>
                <w:sz w:val="30"/>
                <w:szCs w:val="30"/>
              </w:rPr>
              <w:t>采购单位：</w:t>
            </w:r>
            <w:r>
              <w:rPr>
                <w:rFonts w:ascii="仿宋" w:hAnsi="仿宋" w:eastAsia="仿宋" w:cs="楷体_GB2312"/>
                <w:b/>
                <w:bCs/>
                <w:color w:val="auto"/>
                <w:w w:val="95"/>
                <w:kern w:val="0"/>
                <w:sz w:val="30"/>
                <w:szCs w:val="30"/>
              </w:rPr>
              <w:t>诸暨市自然资源和规划局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5914" w:type="dxa"/>
            <w:vAlign w:val="center"/>
          </w:tcPr>
          <w:p>
            <w:pPr>
              <w:pStyle w:val="26"/>
              <w:snapToGrid w:val="0"/>
              <w:spacing w:before="120" w:after="120" w:line="360" w:lineRule="auto"/>
              <w:rPr>
                <w:rFonts w:ascii="仿宋" w:hAnsi="仿宋" w:eastAsia="仿宋" w:cs="楷体_GB2312"/>
                <w:b/>
                <w:bCs/>
                <w:w w:val="95"/>
                <w:kern w:val="0"/>
                <w:sz w:val="30"/>
                <w:szCs w:val="30"/>
              </w:rPr>
            </w:pPr>
            <w:r>
              <w:rPr>
                <w:rFonts w:hint="eastAsia" w:ascii="仿宋" w:hAnsi="仿宋" w:eastAsia="仿宋" w:cs="楷体_GB2312"/>
                <w:b/>
                <w:bCs/>
                <w:w w:val="95"/>
                <w:kern w:val="0"/>
                <w:sz w:val="30"/>
                <w:szCs w:val="30"/>
              </w:rPr>
              <w:t>采购代理机构</w:t>
            </w:r>
            <w:r>
              <w:rPr>
                <w:rFonts w:ascii="仿宋" w:hAnsi="仿宋" w:eastAsia="仿宋" w:cs="楷体_GB2312"/>
                <w:b/>
                <w:bCs/>
                <w:w w:val="95"/>
                <w:kern w:val="0"/>
                <w:sz w:val="30"/>
                <w:szCs w:val="30"/>
              </w:rPr>
              <w:t>：</w:t>
            </w:r>
            <w:r>
              <w:rPr>
                <w:rFonts w:hint="eastAsia" w:ascii="仿宋" w:hAnsi="仿宋" w:eastAsia="仿宋" w:cs="楷体_GB2312"/>
                <w:b/>
                <w:bCs/>
                <w:w w:val="95"/>
                <w:kern w:val="0"/>
                <w:sz w:val="30"/>
                <w:szCs w:val="30"/>
              </w:rPr>
              <w:t>浙江新顺项目管理有限公司</w:t>
            </w:r>
          </w:p>
        </w:tc>
      </w:tr>
    </w:tbl>
    <w:p>
      <w:pPr>
        <w:spacing w:line="360" w:lineRule="auto"/>
        <w:jc w:val="center"/>
        <w:rPr>
          <w:rFonts w:ascii="仿宋" w:hAnsi="仿宋" w:eastAsia="仿宋" w:cs="楷体_GB2312"/>
          <w:b/>
          <w:bCs/>
          <w:color w:val="auto"/>
          <w:w w:val="95"/>
          <w:sz w:val="30"/>
          <w:szCs w:val="30"/>
        </w:rPr>
      </w:pPr>
      <w:r>
        <w:rPr>
          <w:rFonts w:hint="eastAsia" w:ascii="仿宋" w:hAnsi="仿宋" w:eastAsia="仿宋"/>
          <w:b/>
          <w:bCs/>
          <w:color w:val="auto"/>
          <w:w w:val="95"/>
          <w:sz w:val="30"/>
          <w:szCs w:val="30"/>
        </w:rPr>
        <w:t>二</w:t>
      </w:r>
      <w:r>
        <w:rPr>
          <w:rFonts w:hint="eastAsia" w:ascii="仿宋" w:hAnsi="仿宋" w:eastAsia="仿宋" w:cs="宋体"/>
          <w:b/>
          <w:bCs/>
          <w:color w:val="auto"/>
          <w:w w:val="95"/>
          <w:sz w:val="30"/>
          <w:szCs w:val="30"/>
        </w:rPr>
        <w:t>〇</w:t>
      </w:r>
      <w:r>
        <w:rPr>
          <w:rFonts w:hint="eastAsia" w:ascii="仿宋" w:hAnsi="仿宋" w:eastAsia="仿宋" w:cs="楷体_GB2312"/>
          <w:b/>
          <w:bCs/>
          <w:color w:val="auto"/>
          <w:w w:val="95"/>
          <w:sz w:val="30"/>
          <w:szCs w:val="30"/>
        </w:rPr>
        <w:t>二四年五月</w:t>
      </w:r>
    </w:p>
    <w:p>
      <w:pPr>
        <w:spacing w:line="360" w:lineRule="auto"/>
        <w:rPr>
          <w:rFonts w:ascii="宋体" w:hAnsi="宋体" w:cs="楷体_GB2312"/>
          <w:b/>
          <w:bCs/>
          <w:color w:val="auto"/>
          <w:w w:val="95"/>
          <w:sz w:val="30"/>
          <w:szCs w:val="30"/>
        </w:rPr>
        <w:sectPr>
          <w:headerReference r:id="rId3" w:type="default"/>
          <w:footerReference r:id="rId4" w:type="default"/>
          <w:pgSz w:w="11910" w:h="16840"/>
          <w:pgMar w:top="1600" w:right="1260" w:bottom="1700" w:left="1420" w:header="283" w:footer="1508" w:gutter="0"/>
          <w:pgNumType w:fmt="numberInDash"/>
          <w:cols w:space="720" w:num="1"/>
          <w:docGrid w:linePitch="286" w:charSpace="0"/>
        </w:sectPr>
      </w:pPr>
    </w:p>
    <w:p>
      <w:pPr>
        <w:spacing w:beforeLines="300" w:afterLines="300" w:line="360" w:lineRule="auto"/>
        <w:jc w:val="center"/>
        <w:rPr>
          <w:rFonts w:ascii="仿宋" w:hAnsi="仿宋" w:eastAsia="仿宋"/>
          <w:b/>
          <w:color w:val="auto"/>
          <w:sz w:val="44"/>
          <w:szCs w:val="44"/>
        </w:rPr>
      </w:pPr>
      <w:r>
        <w:rPr>
          <w:rFonts w:hint="eastAsia" w:ascii="仿宋" w:hAnsi="仿宋" w:eastAsia="仿宋"/>
          <w:b/>
          <w:color w:val="auto"/>
          <w:sz w:val="44"/>
          <w:szCs w:val="44"/>
        </w:rPr>
        <w:t>目录</w:t>
      </w:r>
    </w:p>
    <w:p>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第一章    招标公告</w:t>
      </w:r>
    </w:p>
    <w:p>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第二章    投标人须知</w:t>
      </w:r>
    </w:p>
    <w:p>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第三章    评标方法及评分标准</w:t>
      </w:r>
    </w:p>
    <w:p>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第四章    采购需求</w:t>
      </w:r>
    </w:p>
    <w:p>
      <w:pPr>
        <w:snapToGrid w:val="0"/>
        <w:spacing w:line="48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第五章    拟签订的合同文本</w:t>
      </w:r>
    </w:p>
    <w:p>
      <w:pPr>
        <w:snapToGrid w:val="0"/>
        <w:spacing w:line="480" w:lineRule="auto"/>
        <w:ind w:firstLine="2168" w:firstLineChars="600"/>
        <w:jc w:val="left"/>
        <w:rPr>
          <w:rStyle w:val="60"/>
          <w:rFonts w:ascii="仿宋" w:hAnsi="仿宋" w:eastAsia="仿宋"/>
          <w:b/>
          <w:color w:val="auto"/>
          <w:sz w:val="36"/>
          <w:szCs w:val="36"/>
          <w:u w:val="none"/>
        </w:rPr>
      </w:pPr>
      <w:r>
        <w:rPr>
          <w:rFonts w:hint="eastAsia" w:ascii="仿宋" w:hAnsi="仿宋" w:eastAsia="仿宋"/>
          <w:b/>
          <w:color w:val="auto"/>
          <w:sz w:val="36"/>
          <w:szCs w:val="36"/>
        </w:rPr>
        <w:t>第六章    应提交的有关格式范例</w:t>
      </w:r>
    </w:p>
    <w:p>
      <w:pPr>
        <w:spacing w:line="360" w:lineRule="auto"/>
        <w:rPr>
          <w:rStyle w:val="60"/>
          <w:rFonts w:ascii="宋体" w:hAnsi="宋体"/>
          <w:color w:val="auto"/>
          <w:sz w:val="30"/>
        </w:rPr>
        <w:sectPr>
          <w:pgSz w:w="11910" w:h="16840"/>
          <w:pgMar w:top="1600" w:right="1260" w:bottom="1700" w:left="1420" w:header="283" w:footer="1508" w:gutter="0"/>
          <w:pgNumType w:fmt="numberInDash"/>
          <w:cols w:space="720" w:num="1"/>
          <w:docGrid w:linePitch="286" w:charSpace="0"/>
        </w:sectPr>
      </w:pPr>
    </w:p>
    <w:p>
      <w:pPr>
        <w:pStyle w:val="3"/>
        <w:spacing w:before="0" w:after="160" w:line="240" w:lineRule="auto"/>
        <w:jc w:val="center"/>
        <w:rPr>
          <w:rFonts w:ascii="华文中宋" w:hAnsi="华文中宋" w:eastAsia="华文中宋"/>
          <w:color w:val="auto"/>
          <w:sz w:val="36"/>
          <w:szCs w:val="36"/>
        </w:rPr>
      </w:pPr>
      <w:bookmarkStart w:id="1" w:name="_Toc125344501"/>
      <w:r>
        <w:rPr>
          <w:rFonts w:hint="eastAsia" w:ascii="华文中宋" w:hAnsi="华文中宋" w:eastAsia="华文中宋"/>
          <w:color w:val="auto"/>
          <w:sz w:val="36"/>
          <w:szCs w:val="36"/>
        </w:rPr>
        <w:t>第一章  招标公告</w:t>
      </w:r>
      <w:bookmarkEnd w:id="1"/>
    </w:p>
    <w:tbl>
      <w:tblPr>
        <w:tblStyle w:val="5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628" w:type="dxa"/>
            <w:tcBorders>
              <w:top w:val="single" w:color="auto" w:sz="12" w:space="0"/>
            </w:tcBorders>
          </w:tcPr>
          <w:p>
            <w:pPr>
              <w:spacing w:beforeLines="50" w:afterLines="50" w:line="360" w:lineRule="exact"/>
              <w:rPr>
                <w:rFonts w:ascii="仿宋" w:hAnsi="仿宋" w:eastAsia="仿宋"/>
                <w:b/>
                <w:color w:val="auto"/>
                <w:sz w:val="24"/>
                <w:szCs w:val="24"/>
              </w:rPr>
            </w:pPr>
            <w:r>
              <w:rPr>
                <w:rFonts w:ascii="仿宋" w:hAnsi="仿宋" w:eastAsia="仿宋"/>
                <w:b/>
                <w:color w:val="auto"/>
                <w:sz w:val="24"/>
                <w:szCs w:val="24"/>
              </w:rPr>
              <w:t>项目概况</w:t>
            </w:r>
          </w:p>
          <w:p>
            <w:pPr>
              <w:spacing w:line="360" w:lineRule="exact"/>
              <w:ind w:firstLine="480" w:firstLineChars="200"/>
              <w:rPr>
                <w:rFonts w:ascii="仿宋" w:hAnsi="仿宋" w:eastAsia="仿宋"/>
                <w:b/>
                <w:color w:val="auto"/>
                <w:sz w:val="24"/>
                <w:szCs w:val="24"/>
              </w:rPr>
            </w:pPr>
            <w:r>
              <w:rPr>
                <w:rFonts w:hint="eastAsia" w:ascii="仿宋" w:hAnsi="仿宋" w:eastAsia="仿宋"/>
                <w:sz w:val="24"/>
                <w:szCs w:val="24"/>
              </w:rPr>
              <w:t>诸暨市自然资源和规划局第七期档案整理及数字化加工项目</w:t>
            </w:r>
            <w:r>
              <w:rPr>
                <w:rFonts w:hint="eastAsia" w:ascii="仿宋" w:hAnsi="仿宋" w:eastAsia="仿宋"/>
                <w:color w:val="auto"/>
                <w:sz w:val="24"/>
                <w:szCs w:val="24"/>
              </w:rPr>
              <w:t>的潜在投标人应在</w:t>
            </w:r>
            <w:r>
              <w:rPr>
                <w:rFonts w:hint="eastAsia" w:ascii="仿宋" w:hAnsi="仿宋" w:eastAsia="仿宋"/>
                <w:color w:val="auto"/>
                <w:sz w:val="24"/>
                <w:szCs w:val="24"/>
                <w:u w:val="single"/>
              </w:rPr>
              <w:t>政府采购云平台</w:t>
            </w:r>
            <w:r>
              <w:rPr>
                <w:rStyle w:val="254"/>
                <w:rFonts w:ascii="仿宋" w:hAnsi="仿宋" w:eastAsia="仿宋"/>
                <w:color w:val="auto"/>
                <w:sz w:val="24"/>
                <w:szCs w:val="24"/>
              </w:rPr>
              <w:t>（</w:t>
            </w:r>
            <w:r>
              <w:rPr>
                <w:rFonts w:hint="eastAsia" w:ascii="仿宋" w:hAnsi="仿宋" w:eastAsia="仿宋"/>
                <w:color w:val="auto"/>
                <w:sz w:val="24"/>
                <w:szCs w:val="24"/>
              </w:rPr>
              <w:t>https://www.zcygov.cn/</w:t>
            </w:r>
            <w:r>
              <w:rPr>
                <w:rStyle w:val="254"/>
                <w:rFonts w:ascii="仿宋" w:hAnsi="仿宋" w:eastAsia="仿宋"/>
                <w:color w:val="auto"/>
                <w:sz w:val="24"/>
                <w:szCs w:val="24"/>
              </w:rPr>
              <w:t>）</w:t>
            </w:r>
            <w:r>
              <w:rPr>
                <w:rFonts w:ascii="仿宋" w:hAnsi="仿宋" w:eastAsia="仿宋"/>
                <w:color w:val="auto"/>
                <w:sz w:val="24"/>
                <w:szCs w:val="24"/>
              </w:rPr>
              <w:t>获取（下载）招标文件</w:t>
            </w:r>
            <w:r>
              <w:rPr>
                <w:rFonts w:hint="eastAsia" w:ascii="仿宋" w:hAnsi="仿宋" w:eastAsia="仿宋"/>
                <w:color w:val="auto"/>
                <w:sz w:val="24"/>
                <w:szCs w:val="24"/>
              </w:rPr>
              <w:t>，并于</w:t>
            </w:r>
            <w:r>
              <w:rPr>
                <w:rFonts w:ascii="仿宋" w:hAnsi="仿宋" w:eastAsia="仿宋"/>
                <w:color w:val="auto"/>
                <w:sz w:val="24"/>
                <w:szCs w:val="24"/>
                <w:u w:val="single"/>
              </w:rPr>
              <w:t>202</w:t>
            </w:r>
            <w:r>
              <w:rPr>
                <w:rFonts w:hint="eastAsia" w:ascii="仿宋" w:hAnsi="仿宋" w:eastAsia="仿宋"/>
                <w:color w:val="auto"/>
                <w:sz w:val="24"/>
                <w:szCs w:val="24"/>
                <w:u w:val="single"/>
              </w:rPr>
              <w:t>4</w:t>
            </w:r>
            <w:r>
              <w:rPr>
                <w:rFonts w:ascii="仿宋" w:hAnsi="仿宋" w:eastAsia="仿宋"/>
                <w:color w:val="auto"/>
                <w:sz w:val="24"/>
                <w:szCs w:val="24"/>
                <w:u w:val="single"/>
              </w:rPr>
              <w:t>年</w:t>
            </w:r>
            <w:r>
              <w:rPr>
                <w:rFonts w:hint="eastAsia" w:ascii="仿宋" w:hAnsi="仿宋" w:eastAsia="仿宋"/>
                <w:color w:val="auto"/>
                <w:sz w:val="24"/>
                <w:szCs w:val="24"/>
                <w:u w:val="single"/>
              </w:rPr>
              <w:t>06月</w:t>
            </w:r>
            <w:r>
              <w:rPr>
                <w:rFonts w:hint="eastAsia" w:ascii="仿宋" w:hAnsi="仿宋" w:eastAsia="仿宋"/>
                <w:color w:val="auto"/>
                <w:sz w:val="24"/>
                <w:szCs w:val="24"/>
                <w:u w:val="single"/>
                <w:lang w:val="en-US" w:eastAsia="zh-CN"/>
              </w:rPr>
              <w:t>05</w:t>
            </w:r>
            <w:r>
              <w:rPr>
                <w:rFonts w:hint="eastAsia" w:ascii="仿宋" w:hAnsi="仿宋" w:eastAsia="仿宋"/>
                <w:color w:val="auto"/>
                <w:sz w:val="24"/>
                <w:szCs w:val="24"/>
                <w:u w:val="single"/>
              </w:rPr>
              <w:t>日 09点30分00秒（北京时间）</w:t>
            </w:r>
            <w:r>
              <w:rPr>
                <w:rFonts w:hint="eastAsia" w:ascii="仿宋" w:hAnsi="仿宋" w:eastAsia="仿宋"/>
                <w:color w:val="auto"/>
                <w:sz w:val="24"/>
                <w:szCs w:val="24"/>
              </w:rPr>
              <w:t>前递交（上传）投标文件。</w:t>
            </w:r>
          </w:p>
        </w:tc>
      </w:tr>
    </w:tbl>
    <w:p>
      <w:pPr>
        <w:pStyle w:val="4"/>
        <w:spacing w:before="240" w:afterLines="50" w:line="360" w:lineRule="exact"/>
        <w:rPr>
          <w:rFonts w:ascii="仿宋" w:hAnsi="仿宋" w:eastAsia="仿宋"/>
          <w:color w:val="auto"/>
          <w:sz w:val="24"/>
          <w:szCs w:val="24"/>
        </w:rPr>
      </w:pPr>
      <w:r>
        <w:rPr>
          <w:rFonts w:hint="eastAsia" w:ascii="仿宋" w:hAnsi="仿宋" w:eastAsia="仿宋"/>
          <w:bCs w:val="0"/>
          <w:color w:val="auto"/>
          <w:sz w:val="24"/>
          <w:szCs w:val="24"/>
        </w:rPr>
        <w:t>一、项目基本情况</w:t>
      </w:r>
    </w:p>
    <w:p>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项目编号：浙江新顺2024-04-18</w:t>
      </w:r>
    </w:p>
    <w:p>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项目名称：</w:t>
      </w:r>
      <w:r>
        <w:rPr>
          <w:rFonts w:hint="eastAsia" w:ascii="仿宋" w:hAnsi="仿宋" w:eastAsia="仿宋"/>
        </w:rPr>
        <w:t>诸暨市自然资源和规划局第七期档案整理及数字化加工项目</w:t>
      </w:r>
    </w:p>
    <w:p>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预算金额（元）：</w:t>
      </w:r>
      <w:r>
        <w:rPr>
          <w:rFonts w:hint="eastAsia" w:ascii="仿宋" w:hAnsi="仿宋" w:eastAsia="仿宋"/>
        </w:rPr>
        <w:t>3</w:t>
      </w:r>
      <w:r>
        <w:rPr>
          <w:rFonts w:hint="eastAsia" w:ascii="仿宋" w:hAnsi="仿宋" w:eastAsia="仿宋" w:cs="宋体"/>
          <w:bCs/>
        </w:rPr>
        <w:t>200</w:t>
      </w:r>
      <w:r>
        <w:rPr>
          <w:rFonts w:ascii="仿宋" w:hAnsi="仿宋" w:eastAsia="仿宋" w:cs="宋体"/>
          <w:bCs/>
        </w:rPr>
        <w:t>000</w:t>
      </w:r>
    </w:p>
    <w:p>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最高限价（元）：</w:t>
      </w:r>
      <w:r>
        <w:rPr>
          <w:rFonts w:hint="eastAsia" w:ascii="仿宋" w:hAnsi="仿宋" w:eastAsia="仿宋" w:cs="宋体"/>
          <w:bCs/>
          <w:color w:val="auto"/>
        </w:rPr>
        <w:t>/</w:t>
      </w:r>
    </w:p>
    <w:p>
      <w:pPr>
        <w:pStyle w:val="44"/>
        <w:spacing w:beforeLines="50" w:beforeAutospacing="0" w:afterLines="50" w:afterAutospacing="0" w:line="300" w:lineRule="exact"/>
        <w:ind w:left="120" w:leftChars="57" w:firstLine="434" w:firstLineChars="181"/>
        <w:rPr>
          <w:rFonts w:ascii="仿宋" w:hAnsi="仿宋" w:eastAsia="仿宋" w:cs="宋体"/>
          <w:color w:val="auto"/>
        </w:rPr>
      </w:pPr>
      <w:r>
        <w:rPr>
          <w:rFonts w:hint="eastAsia" w:ascii="仿宋" w:hAnsi="仿宋" w:eastAsia="仿宋"/>
          <w:color w:val="auto"/>
        </w:rPr>
        <w:t>采购需求：</w:t>
      </w:r>
    </w:p>
    <w:p>
      <w:pPr>
        <w:snapToGrid w:val="0"/>
        <w:spacing w:beforeLines="100" w:line="360" w:lineRule="auto"/>
        <w:ind w:firstLine="840" w:firstLineChars="350"/>
        <w:rPr>
          <w:rFonts w:eastAsia="仿宋"/>
          <w:color w:val="auto"/>
        </w:rPr>
      </w:pPr>
      <w:r>
        <w:rPr>
          <w:rFonts w:hint="eastAsia" w:ascii="仿宋" w:hAnsi="仿宋" w:eastAsia="仿宋" w:cs="宋体"/>
          <w:color w:val="auto"/>
          <w:sz w:val="24"/>
          <w:szCs w:val="24"/>
        </w:rPr>
        <w:t>标项名称：</w:t>
      </w:r>
      <w:r>
        <w:rPr>
          <w:rFonts w:hint="eastAsia" w:ascii="仿宋" w:hAnsi="仿宋" w:eastAsia="仿宋"/>
          <w:sz w:val="24"/>
          <w:szCs w:val="24"/>
        </w:rPr>
        <w:t>诸暨市自然资源和规划局第七期档案整理及数字化加工项目</w:t>
      </w:r>
    </w:p>
    <w:p>
      <w:pPr>
        <w:snapToGrid w:val="0"/>
        <w:spacing w:line="360" w:lineRule="auto"/>
        <w:ind w:firstLine="840" w:firstLineChars="350"/>
        <w:rPr>
          <w:rFonts w:ascii="仿宋" w:hAnsi="仿宋" w:eastAsia="仿宋" w:cs="宋体"/>
          <w:color w:val="auto"/>
          <w:sz w:val="24"/>
          <w:szCs w:val="24"/>
        </w:rPr>
      </w:pPr>
      <w:r>
        <w:rPr>
          <w:rFonts w:ascii="仿宋" w:hAnsi="仿宋" w:eastAsia="仿宋" w:cs="宋体"/>
          <w:color w:val="auto"/>
          <w:sz w:val="24"/>
          <w:szCs w:val="24"/>
        </w:rPr>
        <w:t>数量</w:t>
      </w:r>
      <w:r>
        <w:rPr>
          <w:rFonts w:hint="eastAsia" w:ascii="仿宋" w:hAnsi="仿宋" w:eastAsia="仿宋" w:cs="宋体"/>
          <w:color w:val="auto"/>
          <w:sz w:val="24"/>
          <w:szCs w:val="24"/>
        </w:rPr>
        <w:t>: 不限</w:t>
      </w:r>
    </w:p>
    <w:p>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预算金额（元）：</w:t>
      </w:r>
      <w:r>
        <w:rPr>
          <w:rFonts w:hint="eastAsia" w:ascii="仿宋" w:hAnsi="仿宋" w:eastAsia="仿宋"/>
          <w:sz w:val="24"/>
          <w:szCs w:val="24"/>
        </w:rPr>
        <w:t>3</w:t>
      </w:r>
      <w:r>
        <w:rPr>
          <w:rFonts w:hint="eastAsia" w:ascii="仿宋" w:hAnsi="仿宋" w:eastAsia="仿宋" w:cs="宋体"/>
          <w:bCs/>
          <w:sz w:val="24"/>
          <w:szCs w:val="24"/>
        </w:rPr>
        <w:t>200</w:t>
      </w:r>
      <w:r>
        <w:rPr>
          <w:rFonts w:ascii="仿宋" w:hAnsi="仿宋" w:eastAsia="仿宋" w:cs="宋体"/>
          <w:bCs/>
          <w:sz w:val="24"/>
          <w:szCs w:val="24"/>
        </w:rPr>
        <w:t>000</w:t>
      </w:r>
    </w:p>
    <w:p>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简要规格描述或项目基本概况介绍、用途：</w:t>
      </w:r>
      <w:r>
        <w:rPr>
          <w:rFonts w:ascii="仿宋" w:hAnsi="仿宋" w:eastAsia="仿宋" w:cs="宋体"/>
          <w:sz w:val="24"/>
          <w:szCs w:val="24"/>
        </w:rPr>
        <w:t>具体内容详见招标文件采购需求。</w:t>
      </w:r>
    </w:p>
    <w:p>
      <w:pPr>
        <w:snapToGrid w:val="0"/>
        <w:spacing w:line="360" w:lineRule="auto"/>
        <w:ind w:firstLine="840" w:firstLineChars="350"/>
        <w:rPr>
          <w:rFonts w:ascii="仿宋" w:hAnsi="仿宋" w:eastAsia="仿宋" w:cs="宋体"/>
          <w:b/>
          <w:bCs/>
          <w:color w:val="auto"/>
          <w:sz w:val="24"/>
        </w:rPr>
      </w:pPr>
      <w:r>
        <w:rPr>
          <w:rFonts w:hint="eastAsia" w:ascii="仿宋" w:hAnsi="仿宋" w:eastAsia="仿宋" w:cs="宋体"/>
          <w:color w:val="auto"/>
          <w:sz w:val="24"/>
          <w:szCs w:val="24"/>
        </w:rPr>
        <w:t>备注：</w:t>
      </w:r>
      <w:r>
        <w:rPr>
          <w:rFonts w:hint="eastAsia" w:ascii="仿宋" w:hAnsi="仿宋" w:eastAsia="仿宋" w:cs="宋体"/>
          <w:bCs/>
          <w:color w:val="auto"/>
          <w:sz w:val="24"/>
        </w:rPr>
        <w:t>/</w:t>
      </w:r>
    </w:p>
    <w:p>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合同履约期限：详见招标文件采购需求。</w:t>
      </w:r>
    </w:p>
    <w:p>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本项目接受联合体投标：□是；</w:t>
      </w:r>
      <w:r>
        <w:rPr>
          <w:rFonts w:hint="eastAsia" w:ascii="仿宋" w:hAnsi="仿宋" w:eastAsia="仿宋"/>
          <w:b/>
          <w:color w:val="auto"/>
        </w:rPr>
        <w:sym w:font="Wingdings" w:char="F0FE"/>
      </w:r>
      <w:r>
        <w:rPr>
          <w:rFonts w:hint="eastAsia" w:ascii="仿宋" w:hAnsi="仿宋" w:eastAsia="仿宋"/>
          <w:b/>
          <w:color w:val="auto"/>
        </w:rPr>
        <w:t>否。</w:t>
      </w:r>
    </w:p>
    <w:p>
      <w:pPr>
        <w:pStyle w:val="4"/>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二、申请人的资格要求：</w:t>
      </w:r>
    </w:p>
    <w:p>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2.落实政府采购政策需满足的资格要求：</w:t>
      </w:r>
      <w:r>
        <w:rPr>
          <w:rFonts w:hint="eastAsia" w:ascii="仿宋" w:hAnsi="仿宋" w:eastAsia="仿宋" w:cs="宋体"/>
          <w:bCs/>
          <w:color w:val="auto"/>
        </w:rPr>
        <w:t>专门面向</w:t>
      </w:r>
      <w:r>
        <w:rPr>
          <w:rFonts w:hint="eastAsia" w:ascii="仿宋" w:hAnsi="仿宋" w:eastAsia="仿宋" w:cs="宋体"/>
          <w:b/>
          <w:bCs/>
          <w:color w:val="auto"/>
        </w:rPr>
        <w:t>小微企业</w:t>
      </w:r>
      <w:r>
        <w:rPr>
          <w:rFonts w:hint="eastAsia" w:ascii="仿宋" w:hAnsi="仿宋" w:eastAsia="仿宋" w:cs="宋体"/>
          <w:bCs/>
          <w:color w:val="auto"/>
        </w:rPr>
        <w:t>，服务全部由符合政策要求的</w:t>
      </w:r>
      <w:r>
        <w:rPr>
          <w:rFonts w:hint="eastAsia" w:ascii="仿宋" w:hAnsi="仿宋" w:eastAsia="仿宋" w:cs="宋体"/>
          <w:b/>
          <w:bCs/>
          <w:color w:val="auto"/>
        </w:rPr>
        <w:t>小微企业</w:t>
      </w:r>
      <w:r>
        <w:rPr>
          <w:rFonts w:hint="eastAsia" w:ascii="仿宋" w:hAnsi="仿宋" w:eastAsia="仿宋" w:cs="宋体"/>
          <w:bCs/>
          <w:color w:val="auto"/>
        </w:rPr>
        <w:t>承接，提供中小企业声明函</w:t>
      </w:r>
      <w:r>
        <w:rPr>
          <w:rFonts w:ascii="仿宋" w:hAnsi="仿宋" w:eastAsia="仿宋" w:cs="宋体"/>
          <w:bCs/>
          <w:color w:val="auto"/>
        </w:rPr>
        <w:t>。</w:t>
      </w:r>
    </w:p>
    <w:p>
      <w:pPr>
        <w:pStyle w:val="44"/>
        <w:spacing w:beforeLines="50" w:beforeAutospacing="0" w:afterLines="50" w:afterAutospacing="0" w:line="360" w:lineRule="exact"/>
        <w:ind w:firstLine="556"/>
        <w:rPr>
          <w:rFonts w:ascii="仿宋" w:hAnsi="仿宋" w:eastAsia="仿宋"/>
          <w:color w:val="auto"/>
        </w:rPr>
      </w:pPr>
      <w:r>
        <w:rPr>
          <w:rFonts w:hint="eastAsia" w:ascii="仿宋" w:hAnsi="仿宋" w:eastAsia="仿宋"/>
          <w:color w:val="auto"/>
        </w:rPr>
        <w:t>3.本项目的特定资格要求：无</w:t>
      </w:r>
      <w:r>
        <w:rPr>
          <w:rFonts w:hint="eastAsia" w:ascii="仿宋" w:hAnsi="仿宋" w:eastAsia="仿宋" w:cs="宋体"/>
          <w:bCs/>
          <w:color w:val="auto"/>
        </w:rPr>
        <w:t>。</w:t>
      </w:r>
    </w:p>
    <w:p>
      <w:pPr>
        <w:pStyle w:val="4"/>
        <w:spacing w:before="240" w:after="120" w:line="360" w:lineRule="exact"/>
        <w:rPr>
          <w:rFonts w:ascii="仿宋" w:hAnsi="仿宋" w:eastAsia="仿宋"/>
          <w:color w:val="auto"/>
        </w:rPr>
      </w:pPr>
      <w:r>
        <w:rPr>
          <w:rFonts w:hint="eastAsia" w:ascii="仿宋" w:hAnsi="仿宋" w:eastAsia="仿宋"/>
          <w:bCs w:val="0"/>
          <w:color w:val="auto"/>
          <w:sz w:val="24"/>
          <w:szCs w:val="24"/>
        </w:rPr>
        <w:t>三、获取招标文件</w:t>
      </w:r>
    </w:p>
    <w:p>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时间：</w:t>
      </w:r>
      <w:r>
        <w:rPr>
          <w:rFonts w:hint="eastAsia" w:ascii="仿宋" w:hAnsi="仿宋" w:eastAsia="仿宋"/>
          <w:color w:val="auto"/>
          <w:u w:val="single"/>
        </w:rPr>
        <w:t>__/__</w:t>
      </w:r>
      <w:r>
        <w:rPr>
          <w:rFonts w:hint="eastAsia" w:ascii="仿宋" w:hAnsi="仿宋" w:eastAsia="仿宋"/>
          <w:color w:val="auto"/>
        </w:rPr>
        <w:t>至</w:t>
      </w:r>
      <w:r>
        <w:rPr>
          <w:rFonts w:hint="eastAsia" w:ascii="仿宋" w:hAnsi="仿宋" w:eastAsia="仿宋"/>
          <w:color w:val="auto"/>
          <w:u w:val="single"/>
        </w:rPr>
        <w:t>2024年06月</w:t>
      </w:r>
      <w:r>
        <w:rPr>
          <w:rFonts w:hint="eastAsia" w:ascii="仿宋" w:hAnsi="仿宋" w:eastAsia="仿宋"/>
          <w:color w:val="auto"/>
          <w:u w:val="single"/>
          <w:lang w:val="en-US" w:eastAsia="zh-CN"/>
        </w:rPr>
        <w:t>05</w:t>
      </w:r>
      <w:r>
        <w:rPr>
          <w:rFonts w:hint="eastAsia" w:ascii="仿宋" w:hAnsi="仿宋" w:eastAsia="仿宋"/>
          <w:color w:val="auto"/>
          <w:u w:val="single"/>
        </w:rPr>
        <w:t>日</w:t>
      </w:r>
      <w:r>
        <w:rPr>
          <w:rFonts w:hint="eastAsia" w:ascii="仿宋" w:hAnsi="仿宋" w:eastAsia="仿宋"/>
          <w:color w:val="auto"/>
        </w:rPr>
        <w:t>，每天上午</w:t>
      </w:r>
      <w:r>
        <w:rPr>
          <w:rFonts w:hint="eastAsia" w:ascii="仿宋" w:hAnsi="仿宋" w:eastAsia="仿宋"/>
          <w:color w:val="auto"/>
          <w:u w:val="single"/>
        </w:rPr>
        <w:t>00:00</w:t>
      </w:r>
      <w:r>
        <w:rPr>
          <w:rFonts w:hint="eastAsia" w:ascii="仿宋" w:hAnsi="仿宋" w:eastAsia="仿宋"/>
          <w:color w:val="auto"/>
        </w:rPr>
        <w:t>至</w:t>
      </w:r>
      <w:r>
        <w:rPr>
          <w:rFonts w:hint="eastAsia" w:ascii="仿宋" w:hAnsi="仿宋" w:eastAsia="仿宋"/>
          <w:color w:val="auto"/>
          <w:u w:val="single"/>
        </w:rPr>
        <w:t>12:00</w:t>
      </w:r>
      <w:r>
        <w:rPr>
          <w:rFonts w:hint="eastAsia" w:ascii="仿宋" w:hAnsi="仿宋" w:eastAsia="仿宋"/>
          <w:color w:val="auto"/>
        </w:rPr>
        <w:t>，下午</w:t>
      </w:r>
      <w:r>
        <w:rPr>
          <w:rFonts w:hint="eastAsia" w:ascii="仿宋" w:hAnsi="仿宋" w:eastAsia="仿宋"/>
          <w:color w:val="auto"/>
          <w:u w:val="single"/>
        </w:rPr>
        <w:t>12:00</w:t>
      </w:r>
      <w:r>
        <w:rPr>
          <w:rFonts w:hint="eastAsia" w:ascii="仿宋" w:hAnsi="仿宋" w:eastAsia="仿宋"/>
          <w:color w:val="auto"/>
        </w:rPr>
        <w:t>至</w:t>
      </w:r>
      <w:r>
        <w:rPr>
          <w:rFonts w:ascii="仿宋" w:hAnsi="仿宋" w:eastAsia="仿宋"/>
          <w:color w:val="auto"/>
          <w:u w:val="single"/>
        </w:rPr>
        <w:t>23:59</w:t>
      </w:r>
      <w:r>
        <w:rPr>
          <w:rFonts w:hint="eastAsia" w:ascii="仿宋" w:hAnsi="仿宋" w:eastAsia="仿宋"/>
          <w:color w:val="auto"/>
        </w:rPr>
        <w:t>（北京时间，线上获取法定节假日均可，线下获取文件法定节假日除外）</w:t>
      </w:r>
    </w:p>
    <w:p>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地点（网址）：政府采购云平台（https://www.zcygov.cn/）</w:t>
      </w:r>
    </w:p>
    <w:p>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方式：</w:t>
      </w:r>
      <w:r>
        <w:rPr>
          <w:rStyle w:val="52"/>
          <w:rFonts w:hint="eastAsia" w:ascii="仿宋" w:hAnsi="仿宋" w:eastAsia="仿宋"/>
          <w:b w:val="0"/>
          <w:color w:val="auto"/>
        </w:rPr>
        <w:t>潜在供应商登录政府采购云平台，在线申请获取招标文件（进入“项目采购”应用，在获取招标文件菜单中选择项目，申请获取招标文件）。</w:t>
      </w:r>
      <w:r>
        <w:rPr>
          <w:rFonts w:hint="eastAsia" w:ascii="仿宋" w:hAnsi="仿宋" w:eastAsia="仿宋"/>
          <w:color w:val="auto"/>
        </w:rPr>
        <w:t>仅需浏览招标文件的供应商可点击“游客，浏览招标文件”直接下载招标文件浏览。</w:t>
      </w:r>
    </w:p>
    <w:p>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售价（元）：免费。</w:t>
      </w:r>
    </w:p>
    <w:p>
      <w:pPr>
        <w:pStyle w:val="4"/>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四、提交投标文件截止时间、开标时间和地点</w:t>
      </w:r>
    </w:p>
    <w:p>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提交投标文件截止时间：</w:t>
      </w:r>
      <w:r>
        <w:rPr>
          <w:rFonts w:ascii="仿宋" w:hAnsi="仿宋" w:eastAsia="仿宋"/>
          <w:color w:val="auto"/>
          <w:u w:val="single"/>
        </w:rPr>
        <w:t>202</w:t>
      </w:r>
      <w:r>
        <w:rPr>
          <w:rFonts w:hint="eastAsia" w:ascii="仿宋" w:hAnsi="仿宋" w:eastAsia="仿宋"/>
          <w:color w:val="auto"/>
          <w:u w:val="single"/>
        </w:rPr>
        <w:t>4</w:t>
      </w:r>
      <w:r>
        <w:rPr>
          <w:rFonts w:ascii="仿宋" w:hAnsi="仿宋" w:eastAsia="仿宋"/>
          <w:color w:val="auto"/>
          <w:u w:val="single"/>
        </w:rPr>
        <w:t>年</w:t>
      </w:r>
      <w:r>
        <w:rPr>
          <w:rFonts w:hint="eastAsia" w:ascii="仿宋" w:hAnsi="仿宋" w:eastAsia="仿宋"/>
          <w:color w:val="auto"/>
          <w:u w:val="single"/>
        </w:rPr>
        <w:t>06</w:t>
      </w:r>
      <w:r>
        <w:rPr>
          <w:rFonts w:ascii="仿宋" w:hAnsi="仿宋" w:eastAsia="仿宋"/>
          <w:color w:val="auto"/>
          <w:u w:val="single"/>
        </w:rPr>
        <w:t>月</w:t>
      </w:r>
      <w:r>
        <w:rPr>
          <w:rFonts w:hint="eastAsia" w:ascii="仿宋" w:hAnsi="仿宋" w:eastAsia="仿宋"/>
          <w:color w:val="auto"/>
          <w:u w:val="single"/>
          <w:lang w:val="en-US" w:eastAsia="zh-CN"/>
        </w:rPr>
        <w:t>05</w:t>
      </w:r>
      <w:r>
        <w:rPr>
          <w:rFonts w:ascii="仿宋" w:hAnsi="仿宋" w:eastAsia="仿宋"/>
          <w:color w:val="auto"/>
          <w:u w:val="single"/>
        </w:rPr>
        <w:t xml:space="preserve">日 </w:t>
      </w:r>
      <w:r>
        <w:rPr>
          <w:rFonts w:hint="eastAsia" w:ascii="仿宋" w:hAnsi="仿宋" w:eastAsia="仿宋"/>
          <w:color w:val="auto"/>
          <w:u w:val="single"/>
        </w:rPr>
        <w:t>09</w:t>
      </w:r>
      <w:r>
        <w:rPr>
          <w:rFonts w:ascii="仿宋" w:hAnsi="仿宋" w:eastAsia="仿宋"/>
          <w:color w:val="auto"/>
          <w:u w:val="single"/>
        </w:rPr>
        <w:t>点</w:t>
      </w:r>
      <w:r>
        <w:rPr>
          <w:rFonts w:hint="eastAsia" w:ascii="仿宋" w:hAnsi="仿宋" w:eastAsia="仿宋"/>
          <w:color w:val="auto"/>
          <w:u w:val="single"/>
        </w:rPr>
        <w:t>30</w:t>
      </w:r>
      <w:r>
        <w:rPr>
          <w:rFonts w:ascii="仿宋" w:hAnsi="仿宋" w:eastAsia="仿宋"/>
          <w:color w:val="auto"/>
          <w:u w:val="single"/>
        </w:rPr>
        <w:t>分00秒</w:t>
      </w:r>
      <w:r>
        <w:rPr>
          <w:rFonts w:hint="eastAsia" w:ascii="仿宋" w:hAnsi="仿宋" w:eastAsia="仿宋"/>
          <w:color w:val="auto"/>
        </w:rPr>
        <w:t>（北京时间）</w:t>
      </w:r>
    </w:p>
    <w:p>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投标地点（网址）：政府采购云平台（https://www.zcygov.cn/）</w:t>
      </w:r>
    </w:p>
    <w:p>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开标时间：</w:t>
      </w:r>
      <w:r>
        <w:rPr>
          <w:rFonts w:hint="eastAsia" w:ascii="仿宋" w:hAnsi="仿宋" w:eastAsia="仿宋"/>
          <w:color w:val="auto"/>
          <w:u w:val="single"/>
        </w:rPr>
        <w:t>2024年06月</w:t>
      </w:r>
      <w:r>
        <w:rPr>
          <w:rFonts w:hint="eastAsia" w:ascii="仿宋" w:hAnsi="仿宋" w:eastAsia="仿宋"/>
          <w:color w:val="auto"/>
          <w:u w:val="single"/>
          <w:lang w:val="en-US" w:eastAsia="zh-CN"/>
        </w:rPr>
        <w:t>05</w:t>
      </w:r>
      <w:r>
        <w:rPr>
          <w:rFonts w:hint="eastAsia" w:ascii="仿宋" w:hAnsi="仿宋" w:eastAsia="仿宋"/>
          <w:color w:val="auto"/>
          <w:u w:val="single"/>
        </w:rPr>
        <w:t>日 09</w:t>
      </w:r>
      <w:r>
        <w:rPr>
          <w:rFonts w:ascii="仿宋" w:hAnsi="仿宋" w:eastAsia="仿宋"/>
          <w:color w:val="auto"/>
          <w:u w:val="single"/>
        </w:rPr>
        <w:t>点</w:t>
      </w:r>
      <w:r>
        <w:rPr>
          <w:rFonts w:hint="eastAsia" w:ascii="仿宋" w:hAnsi="仿宋" w:eastAsia="仿宋"/>
          <w:color w:val="auto"/>
          <w:u w:val="single"/>
        </w:rPr>
        <w:t>30</w:t>
      </w:r>
      <w:r>
        <w:rPr>
          <w:rFonts w:ascii="仿宋" w:hAnsi="仿宋" w:eastAsia="仿宋"/>
          <w:color w:val="auto"/>
          <w:u w:val="single"/>
        </w:rPr>
        <w:t>分00秒</w:t>
      </w:r>
    </w:p>
    <w:p>
      <w:pPr>
        <w:pStyle w:val="44"/>
        <w:spacing w:beforeLines="50" w:beforeAutospacing="0" w:afterLines="50" w:afterAutospacing="0" w:line="300" w:lineRule="exact"/>
        <w:ind w:firstLine="480" w:firstLineChars="200"/>
        <w:rPr>
          <w:rFonts w:ascii="仿宋" w:hAnsi="仿宋" w:eastAsia="仿宋"/>
          <w:color w:val="auto"/>
        </w:rPr>
      </w:pPr>
      <w:r>
        <w:rPr>
          <w:rFonts w:hint="eastAsia" w:ascii="仿宋" w:hAnsi="仿宋" w:eastAsia="仿宋"/>
          <w:color w:val="auto"/>
        </w:rPr>
        <w:t>开标地点（网址）：政府采购云平台（https://www.zcygov.cn/）</w:t>
      </w:r>
    </w:p>
    <w:p>
      <w:pPr>
        <w:pStyle w:val="4"/>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五、公告期限</w:t>
      </w:r>
    </w:p>
    <w:p>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自本公告发布之日起5个工作日。</w:t>
      </w:r>
    </w:p>
    <w:p>
      <w:pPr>
        <w:pStyle w:val="4"/>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六、其他补充事宜</w:t>
      </w:r>
    </w:p>
    <w:p>
      <w:pPr>
        <w:spacing w:afterLines="50" w:line="300" w:lineRule="exact"/>
        <w:ind w:firstLine="556"/>
        <w:jc w:val="left"/>
        <w:rPr>
          <w:rFonts w:ascii="仿宋" w:hAnsi="仿宋" w:eastAsia="仿宋" w:cstheme="minorBidi"/>
          <w:color w:val="auto"/>
          <w:kern w:val="2"/>
          <w:sz w:val="24"/>
          <w:szCs w:val="24"/>
        </w:rPr>
      </w:pPr>
      <w:r>
        <w:rPr>
          <w:rFonts w:hint="eastAsia" w:ascii="仿宋" w:hAnsi="仿宋" w:eastAsia="仿宋"/>
          <w:color w:val="auto"/>
          <w:sz w:val="24"/>
          <w:szCs w:val="24"/>
        </w:rPr>
        <w:t>1.</w:t>
      </w:r>
      <w:r>
        <w:rPr>
          <w:rFonts w:ascii="仿宋" w:hAnsi="仿宋" w:eastAsia="仿宋"/>
          <w:color w:val="auto"/>
          <w:sz w:val="24"/>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4"/>
        <w:spacing w:before="0" w:beforeAutospacing="0" w:after="0" w:afterAutospacing="0" w:line="360" w:lineRule="exact"/>
        <w:ind w:firstLine="556"/>
        <w:rPr>
          <w:rFonts w:ascii="仿宋" w:hAnsi="仿宋" w:eastAsia="仿宋"/>
          <w:color w:val="auto"/>
          <w:szCs w:val="28"/>
          <w:u w:val="single"/>
        </w:rPr>
      </w:pPr>
      <w:r>
        <w:rPr>
          <w:rFonts w:hint="eastAsia" w:ascii="仿宋" w:hAnsi="仿宋" w:eastAsia="仿宋"/>
          <w:color w:val="auto"/>
        </w:rPr>
        <w:t>2.其他事项：</w:t>
      </w:r>
    </w:p>
    <w:p>
      <w:pPr>
        <w:pStyle w:val="44"/>
        <w:spacing w:before="0" w:beforeAutospacing="0" w:after="0" w:afterAutospacing="0" w:line="360" w:lineRule="exact"/>
        <w:ind w:firstLine="360" w:firstLineChars="150"/>
        <w:rPr>
          <w:rFonts w:ascii="仿宋" w:hAnsi="仿宋" w:eastAsia="仿宋"/>
          <w:color w:val="auto"/>
        </w:rPr>
      </w:pPr>
      <w:r>
        <w:rPr>
          <w:rFonts w:hint="eastAsia" w:ascii="仿宋" w:hAnsi="仿宋" w:eastAsia="仿宋"/>
          <w:color w:val="auto"/>
        </w:rPr>
        <w:t>（1）需要落实的政府采购政策：</w:t>
      </w:r>
      <w:r>
        <w:rPr>
          <w:rFonts w:hint="eastAsia" w:ascii="仿宋" w:hAnsi="仿宋" w:eastAsia="仿宋" w:cs="Times New Roman"/>
          <w:color w:val="auto"/>
        </w:rPr>
        <w:t>包括节约资源、保护环境、支持创新、促进中小企业发展等。详见招标文件的第二</w:t>
      </w:r>
      <w:r>
        <w:rPr>
          <w:rFonts w:hint="eastAsia" w:ascii="仿宋" w:hAnsi="仿宋" w:eastAsia="仿宋"/>
          <w:color w:val="auto"/>
        </w:rPr>
        <w:t>章</w:t>
      </w:r>
      <w:r>
        <w:rPr>
          <w:rFonts w:hint="eastAsia" w:ascii="仿宋" w:hAnsi="仿宋" w:eastAsia="仿宋" w:cs="Times New Roman"/>
          <w:color w:val="auto"/>
        </w:rPr>
        <w:t>总则。</w:t>
      </w:r>
    </w:p>
    <w:p>
      <w:pPr>
        <w:pStyle w:val="44"/>
        <w:spacing w:before="0" w:beforeAutospacing="0" w:after="0" w:afterAutospacing="0" w:line="360" w:lineRule="exact"/>
        <w:ind w:firstLine="360" w:firstLineChars="150"/>
        <w:rPr>
          <w:rFonts w:ascii="仿宋" w:hAnsi="仿宋" w:eastAsia="仿宋"/>
          <w:color w:val="auto"/>
          <w:u w:val="single"/>
        </w:rPr>
      </w:pPr>
      <w:r>
        <w:rPr>
          <w:rFonts w:ascii="仿宋" w:hAnsi="仿宋" w:eastAsia="仿宋"/>
          <w:color w:val="auto"/>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4"/>
        <w:spacing w:before="0" w:beforeAutospacing="0" w:after="0" w:afterAutospacing="0" w:line="300" w:lineRule="auto"/>
        <w:ind w:firstLine="360" w:firstLineChars="150"/>
        <w:rPr>
          <w:rFonts w:ascii="仿宋" w:hAnsi="仿宋" w:eastAsia="仿宋"/>
          <w:color w:val="auto"/>
        </w:rPr>
      </w:pPr>
      <w:r>
        <w:rPr>
          <w:rFonts w:hint="eastAsia" w:ascii="仿宋" w:hAnsi="仿宋" w:eastAsia="仿宋"/>
          <w:color w:val="auto"/>
        </w:rPr>
        <w:t>（3）电子招投标（电子交易）说明：</w:t>
      </w:r>
    </w:p>
    <w:p>
      <w:pPr>
        <w:pStyle w:val="44"/>
        <w:spacing w:before="0" w:beforeAutospacing="0" w:after="0" w:afterAutospacing="0" w:line="360" w:lineRule="exact"/>
        <w:ind w:firstLine="480" w:firstLineChars="200"/>
        <w:rPr>
          <w:rFonts w:ascii="仿宋" w:hAnsi="仿宋" w:eastAsia="仿宋"/>
          <w:color w:val="auto"/>
        </w:rPr>
      </w:pPr>
      <w:r>
        <w:rPr>
          <w:rFonts w:hint="eastAsia" w:ascii="仿宋" w:hAnsi="仿宋" w:eastAsia="仿宋" w:cs="Times New Roman"/>
          <w:color w:val="auto"/>
          <w:szCs w:val="28"/>
        </w:rPr>
        <w:t>①本项目以数据电文形式，依托“政府采购云平台（www.zcygov.cn）”进行招投标活动，不接受纸质投标文件。</w:t>
      </w:r>
      <w:r>
        <w:rPr>
          <w:rFonts w:hint="eastAsia" w:ascii="仿宋" w:hAnsi="仿宋" w:eastAsia="仿宋"/>
          <w:color w:val="auto"/>
          <w:szCs w:val="28"/>
        </w:rPr>
        <w:t>投标人</w:t>
      </w:r>
      <w:r>
        <w:rPr>
          <w:rFonts w:hint="eastAsia" w:ascii="仿宋" w:hAnsi="仿宋" w:eastAsia="仿宋"/>
          <w:color w:val="auto"/>
        </w:rPr>
        <w:t>应当按照本项目招标文件和政采云平台的要求编制、加密并传输递交电子投标文件。招标文件公告期限与招标公告的公告期限一致。</w:t>
      </w:r>
    </w:p>
    <w:p>
      <w:pPr>
        <w:pStyle w:val="44"/>
        <w:spacing w:before="0" w:beforeAutospacing="0" w:after="0" w:afterAutospacing="0" w:line="360" w:lineRule="exact"/>
        <w:ind w:firstLine="480" w:firstLineChars="200"/>
        <w:rPr>
          <w:rFonts w:ascii="仿宋" w:hAnsi="仿宋" w:eastAsia="仿宋"/>
          <w:color w:val="auto"/>
          <w:u w:val="single"/>
        </w:rPr>
      </w:pPr>
      <w:r>
        <w:rPr>
          <w:rFonts w:hint="eastAsia" w:ascii="仿宋" w:hAnsi="仿宋" w:eastAsia="仿宋"/>
          <w:color w:val="auto"/>
        </w:rPr>
        <w:t>②投标准备：供应商应在投标前完成政采云平台账号注册、CA数字证书办理、“</w:t>
      </w:r>
      <w:r>
        <w:rPr>
          <w:rFonts w:hint="eastAsia" w:ascii="仿宋" w:hAnsi="仿宋" w:eastAsia="仿宋" w:cs="宋体"/>
          <w:color w:val="auto"/>
        </w:rPr>
        <w:t>政采云电子交易客户端”下载安装</w:t>
      </w:r>
      <w:r>
        <w:rPr>
          <w:rFonts w:hint="eastAsia" w:ascii="仿宋" w:hAnsi="仿宋" w:eastAsia="仿宋"/>
          <w:color w:val="auto"/>
        </w:rPr>
        <w:t>等。</w:t>
      </w:r>
    </w:p>
    <w:p>
      <w:pPr>
        <w:pStyle w:val="44"/>
        <w:spacing w:before="0" w:beforeAutospacing="0" w:after="0" w:afterAutospacing="0" w:line="360" w:lineRule="exact"/>
        <w:ind w:firstLine="480" w:firstLineChars="200"/>
        <w:rPr>
          <w:rFonts w:ascii="仿宋" w:hAnsi="仿宋" w:eastAsia="仿宋" w:cs="宋体"/>
          <w:b/>
          <w:color w:val="auto"/>
        </w:rPr>
      </w:pPr>
      <w:r>
        <w:rPr>
          <w:rFonts w:hint="eastAsia" w:ascii="仿宋" w:hAnsi="仿宋" w:eastAsia="仿宋"/>
          <w:color w:val="auto"/>
        </w:rPr>
        <w:t>③</w:t>
      </w:r>
      <w:r>
        <w:rPr>
          <w:rFonts w:hint="eastAsia" w:ascii="仿宋" w:hAnsi="仿宋" w:eastAsia="仿宋"/>
          <w:color w:val="auto"/>
          <w:szCs w:val="28"/>
        </w:rPr>
        <w:t>招标文件的获取：本项目不提供招标文件纸质版。</w:t>
      </w:r>
      <w:r>
        <w:rPr>
          <w:rFonts w:hint="eastAsia" w:ascii="仿宋" w:hAnsi="仿宋" w:eastAsia="仿宋"/>
          <w:color w:val="auto"/>
        </w:rPr>
        <w:t>潜在供应商只有在“政府采购云平台”完成获取招标文件申请并下载了招标文件后才视作依法获取招标文件（供应商获取招标文件时间以供应商完成获取招标文件申请后下载招标文件的时间为准）。</w:t>
      </w:r>
      <w:r>
        <w:rPr>
          <w:rFonts w:hint="eastAsia" w:ascii="仿宋" w:hAnsi="仿宋" w:eastAsia="仿宋" w:cs="宋体"/>
          <w:color w:val="auto"/>
        </w:rPr>
        <w:t>对未按上述方式获取招标文件的供应商对该文件提出的质疑，采购人或采购代理机构将不予处理。</w:t>
      </w:r>
    </w:p>
    <w:p>
      <w:pPr>
        <w:pStyle w:val="44"/>
        <w:spacing w:before="0" w:beforeAutospacing="0" w:after="0" w:afterAutospacing="0" w:line="360" w:lineRule="exact"/>
        <w:ind w:firstLine="480" w:firstLineChars="200"/>
        <w:rPr>
          <w:rFonts w:ascii="仿宋" w:hAnsi="仿宋" w:eastAsia="仿宋"/>
          <w:color w:val="auto"/>
        </w:rPr>
      </w:pPr>
      <w:r>
        <w:rPr>
          <w:rFonts w:hint="eastAsia" w:ascii="仿宋" w:hAnsi="仿宋" w:eastAsia="仿宋"/>
          <w:color w:val="auto"/>
        </w:rPr>
        <w:t>④投标文件的制作：</w:t>
      </w:r>
      <w:r>
        <w:rPr>
          <w:rFonts w:ascii="仿宋" w:hAnsi="仿宋" w:eastAsia="仿宋"/>
          <w:color w:val="auto"/>
        </w:rPr>
        <w:t>在“政采云电子交易客户端”中完成“填写基本信息”、“导入投标文件”、“标书关联”、“标书检查”、“电子签名”、“生成电子标书”等操作。</w:t>
      </w:r>
    </w:p>
    <w:p>
      <w:pPr>
        <w:pStyle w:val="44"/>
        <w:spacing w:before="0" w:beforeAutospacing="0" w:after="0" w:afterAutospacing="0" w:line="360" w:lineRule="exact"/>
        <w:ind w:firstLine="480" w:firstLineChars="200"/>
        <w:rPr>
          <w:rFonts w:ascii="仿宋" w:hAnsi="仿宋" w:eastAsia="仿宋"/>
          <w:color w:val="auto"/>
        </w:rPr>
      </w:pPr>
      <w:r>
        <w:rPr>
          <w:rFonts w:hint="eastAsia" w:ascii="仿宋" w:hAnsi="仿宋" w:eastAsia="仿宋" w:cs="宋体"/>
          <w:color w:val="auto"/>
        </w:rPr>
        <w:t>⑤采购人、采购代理机构将依托政采云平台完成本项目的电子交易活动，平台不接受未按上述方式获取招标文件的供应商进行投标活动。</w:t>
      </w:r>
    </w:p>
    <w:p>
      <w:pPr>
        <w:pStyle w:val="44"/>
        <w:spacing w:before="0" w:beforeAutospacing="0" w:after="0" w:afterAutospacing="0" w:line="360" w:lineRule="exact"/>
        <w:ind w:firstLine="480" w:firstLineChars="200"/>
        <w:rPr>
          <w:rFonts w:ascii="仿宋" w:hAnsi="仿宋" w:eastAsia="仿宋"/>
          <w:color w:val="auto"/>
        </w:rPr>
      </w:pPr>
      <w:r>
        <w:rPr>
          <w:rFonts w:hint="eastAsia" w:ascii="仿宋" w:hAnsi="仿宋" w:eastAsia="仿宋"/>
          <w:color w:val="auto"/>
        </w:rPr>
        <w:t>⑥投标文件的传输递交：投标人应当在投标截止时间前完成电子加密投标文件的传输递交。投标截止时间后上传递交的投标文件，将被政采云平台拒收。</w:t>
      </w:r>
    </w:p>
    <w:p>
      <w:pPr>
        <w:pStyle w:val="44"/>
        <w:spacing w:before="0" w:beforeAutospacing="0" w:after="0" w:afterAutospacing="0" w:line="360" w:lineRule="exact"/>
        <w:ind w:firstLine="480" w:firstLineChars="200"/>
        <w:rPr>
          <w:rFonts w:ascii="仿宋" w:hAnsi="仿宋" w:eastAsia="仿宋"/>
          <w:color w:val="auto"/>
        </w:rPr>
      </w:pPr>
      <w:r>
        <w:rPr>
          <w:rFonts w:hint="eastAsia" w:ascii="仿宋" w:hAnsi="仿宋" w:eastAsia="仿宋"/>
          <w:color w:val="auto"/>
        </w:rPr>
        <w:t>⑦投标文件的解密：投标人按照政府采购云平台的提示和招标文件的规定，在30分钟内通过政采云平台完成电子加密投标文件的在线解密。</w:t>
      </w:r>
    </w:p>
    <w:p>
      <w:pPr>
        <w:pStyle w:val="44"/>
        <w:spacing w:before="0" w:beforeAutospacing="0" w:after="0" w:afterAutospacing="0" w:line="360" w:lineRule="exact"/>
        <w:ind w:firstLine="480" w:firstLineChars="200"/>
        <w:rPr>
          <w:rFonts w:ascii="仿宋" w:hAnsi="仿宋" w:eastAsia="仿宋" w:cs="Times New Roman"/>
          <w:color w:val="auto"/>
          <w:szCs w:val="28"/>
        </w:rPr>
      </w:pPr>
      <w:r>
        <w:rPr>
          <w:rFonts w:hint="eastAsia" w:ascii="仿宋" w:hAnsi="仿宋" w:eastAsia="仿宋"/>
          <w:color w:val="auto"/>
        </w:rPr>
        <w:t>⑧</w:t>
      </w:r>
      <w:r>
        <w:rPr>
          <w:rFonts w:hint="eastAsia" w:ascii="仿宋" w:hAnsi="仿宋" w:eastAsia="仿宋" w:cs="Times New Roman"/>
          <w:color w:val="auto"/>
          <w:szCs w:val="28"/>
        </w:rPr>
        <w:t>具体操作指南：详见政采云平台“服务中心-帮助文档-项目采购-操作流程-电子招投标-政府采购项目电子交易管理操作指南-供应商”。</w:t>
      </w:r>
    </w:p>
    <w:p>
      <w:pPr>
        <w:pStyle w:val="44"/>
        <w:spacing w:before="0" w:beforeAutospacing="0" w:after="0" w:afterAutospacing="0" w:line="360" w:lineRule="exact"/>
        <w:ind w:firstLine="360" w:firstLineChars="150"/>
        <w:rPr>
          <w:rFonts w:ascii="仿宋" w:hAnsi="仿宋" w:eastAsia="仿宋"/>
          <w:color w:val="auto"/>
        </w:rPr>
      </w:pPr>
      <w:r>
        <w:rPr>
          <w:rFonts w:hint="eastAsia" w:ascii="仿宋" w:hAnsi="仿宋" w:eastAsia="仿宋"/>
          <w:color w:val="auto"/>
        </w:rPr>
        <w:t>（4）</w:t>
      </w:r>
      <w:r>
        <w:rPr>
          <w:rFonts w:ascii="仿宋" w:hAnsi="仿宋" w:eastAsia="仿宋"/>
          <w:color w:val="auto"/>
        </w:rPr>
        <w:t>《浙江省财政厅关于进一步发挥政府采购政策功能全力推动经济稳进提质的通知》 （浙财采监</w:t>
      </w:r>
      <w:r>
        <w:rPr>
          <w:rFonts w:hint="eastAsia" w:ascii="仿宋" w:hAnsi="仿宋" w:eastAsia="仿宋"/>
          <w:bCs/>
          <w:color w:val="auto"/>
        </w:rPr>
        <w:t>〔2022〕</w:t>
      </w:r>
      <w:r>
        <w:rPr>
          <w:rFonts w:ascii="仿宋" w:hAnsi="仿宋" w:eastAsia="仿宋"/>
          <w:color w:val="auto"/>
        </w:rPr>
        <w:t>3号）、《浙江省财政厅关于进一步促进政府采购公平竞争打造最优营商环境的通知》（浙财采监</w:t>
      </w:r>
      <w:r>
        <w:rPr>
          <w:rFonts w:hint="eastAsia" w:ascii="仿宋" w:hAnsi="仿宋" w:eastAsia="仿宋"/>
          <w:bCs/>
          <w:color w:val="auto"/>
        </w:rPr>
        <w:t>〔2021〕</w:t>
      </w:r>
      <w:r>
        <w:rPr>
          <w:rFonts w:ascii="仿宋" w:hAnsi="仿宋" w:eastAsia="仿宋"/>
          <w:color w:val="auto"/>
        </w:rPr>
        <w:t>22号）、《浙江省财政厅关于进一步加大政府采购支持中小企业力度助力扎实稳住经济的通知》（浙财采监</w:t>
      </w:r>
      <w:r>
        <w:rPr>
          <w:rFonts w:hint="eastAsia" w:ascii="仿宋" w:hAnsi="仿宋" w:eastAsia="仿宋"/>
          <w:bCs/>
          <w:color w:val="auto"/>
        </w:rPr>
        <w:t>〔2022〕</w:t>
      </w:r>
      <w:r>
        <w:rPr>
          <w:rFonts w:hint="eastAsia" w:ascii="仿宋" w:hAnsi="仿宋" w:eastAsia="仿宋"/>
          <w:color w:val="auto"/>
        </w:rPr>
        <w:t>8</w:t>
      </w:r>
      <w:r>
        <w:rPr>
          <w:rFonts w:ascii="仿宋" w:hAnsi="仿宋" w:eastAsia="仿宋"/>
          <w:color w:val="auto"/>
        </w:rPr>
        <w:t>号）已分别于2022年1月29日、2022年2月1日和</w:t>
      </w:r>
      <w:r>
        <w:rPr>
          <w:rFonts w:hint="eastAsia" w:ascii="仿宋" w:hAnsi="仿宋" w:eastAsia="仿宋"/>
          <w:color w:val="auto"/>
        </w:rPr>
        <w:t>2022年7月1日</w:t>
      </w:r>
      <w:r>
        <w:rPr>
          <w:rFonts w:ascii="仿宋" w:hAnsi="仿宋" w:eastAsia="仿宋"/>
          <w:color w:val="auto"/>
        </w:rPr>
        <w:t>开始实施，此前有关规定与上述文件内容不一致的，按上述文件要求执行。</w:t>
      </w:r>
    </w:p>
    <w:p>
      <w:pPr>
        <w:pStyle w:val="44"/>
        <w:spacing w:before="0" w:beforeAutospacing="0" w:after="0" w:afterAutospacing="0" w:line="360" w:lineRule="exact"/>
        <w:ind w:firstLine="360" w:firstLineChars="150"/>
        <w:rPr>
          <w:rFonts w:ascii="仿宋" w:hAnsi="仿宋" w:eastAsia="仿宋"/>
          <w:color w:val="auto"/>
        </w:rPr>
      </w:pPr>
      <w:r>
        <w:rPr>
          <w:rFonts w:hint="eastAsia" w:ascii="仿宋" w:hAnsi="仿宋" w:eastAsia="仿宋"/>
          <w:color w:val="auto"/>
        </w:rPr>
        <w:t>（5）</w:t>
      </w:r>
      <w:r>
        <w:rPr>
          <w:rFonts w:ascii="仿宋" w:hAnsi="仿宋" w:eastAsia="仿宋"/>
          <w:color w:val="auto"/>
        </w:rPr>
        <w:t>根据《浙江省财政厅关于进一步促进政府采购公平竞争打造最优营商环境的通知》（浙财采监</w:t>
      </w:r>
      <w:r>
        <w:rPr>
          <w:rFonts w:hint="eastAsia" w:ascii="仿宋" w:hAnsi="仿宋" w:eastAsia="仿宋"/>
          <w:bCs/>
          <w:color w:val="auto"/>
        </w:rPr>
        <w:t>〔2021〕</w:t>
      </w:r>
      <w:r>
        <w:rPr>
          <w:rFonts w:ascii="仿宋" w:hAnsi="仿宋" w:eastAsia="仿宋"/>
          <w:color w:val="auto"/>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4"/>
        <w:spacing w:before="0" w:beforeAutospacing="0" w:after="0" w:afterAutospacing="0" w:line="360" w:lineRule="exact"/>
        <w:ind w:firstLine="360" w:firstLineChars="150"/>
        <w:rPr>
          <w:rFonts w:ascii="仿宋" w:hAnsi="仿宋" w:eastAsia="仿宋"/>
          <w:color w:val="auto"/>
          <w:u w:val="single"/>
        </w:rPr>
      </w:pPr>
      <w:r>
        <w:rPr>
          <w:rFonts w:hint="eastAsia" w:ascii="仿宋" w:hAnsi="仿宋" w:eastAsia="仿宋"/>
          <w:color w:val="auto"/>
        </w:rPr>
        <w:t>（6）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pPr>
        <w:pStyle w:val="4"/>
        <w:spacing w:before="240" w:after="120" w:line="360" w:lineRule="exact"/>
        <w:rPr>
          <w:rFonts w:ascii="仿宋" w:hAnsi="仿宋" w:eastAsia="仿宋"/>
          <w:color w:val="auto"/>
          <w:sz w:val="24"/>
          <w:szCs w:val="24"/>
        </w:rPr>
      </w:pPr>
      <w:r>
        <w:rPr>
          <w:rFonts w:hint="eastAsia" w:ascii="仿宋" w:hAnsi="仿宋" w:eastAsia="仿宋"/>
          <w:bCs w:val="0"/>
          <w:color w:val="auto"/>
          <w:sz w:val="24"/>
          <w:szCs w:val="24"/>
        </w:rPr>
        <w:t>七、对本次采购提出询问、质疑、投诉，请按以下方式联系</w:t>
      </w:r>
    </w:p>
    <w:p>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1.采购人信息</w:t>
      </w:r>
    </w:p>
    <w:p>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w:t>
      </w:r>
      <w:r>
        <w:rPr>
          <w:rStyle w:val="157"/>
          <w:rFonts w:eastAsia="仿宋" w:cs="Calibri"/>
          <w:color w:val="auto"/>
        </w:rPr>
        <w:t> </w:t>
      </w:r>
      <w:r>
        <w:rPr>
          <w:rFonts w:hint="eastAsia" w:ascii="仿宋" w:hAnsi="仿宋" w:eastAsia="仿宋"/>
          <w:color w:val="auto"/>
        </w:rPr>
        <w:t>称：</w:t>
      </w:r>
      <w:r>
        <w:rPr>
          <w:rFonts w:ascii="仿宋" w:hAnsi="仿宋" w:eastAsia="仿宋"/>
          <w:color w:val="auto"/>
        </w:rPr>
        <w:t>诸暨市自然资源和规划局</w:t>
      </w:r>
    </w:p>
    <w:p>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 址：</w:t>
      </w:r>
      <w:r>
        <w:rPr>
          <w:rFonts w:ascii="仿宋" w:hAnsi="仿宋" w:eastAsia="仿宋"/>
          <w:color w:val="auto"/>
        </w:rPr>
        <w:t>诸暨市东二路53号</w:t>
      </w:r>
    </w:p>
    <w:p>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项目联系人（询问）：</w:t>
      </w:r>
      <w:r>
        <w:rPr>
          <w:rFonts w:ascii="仿宋" w:hAnsi="仿宋" w:eastAsia="仿宋"/>
          <w:color w:val="auto"/>
        </w:rPr>
        <w:t>顾燕飞</w:t>
      </w:r>
    </w:p>
    <w:p>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项目联系方式（询问）：</w:t>
      </w:r>
      <w:r>
        <w:rPr>
          <w:rFonts w:ascii="仿宋" w:hAnsi="仿宋" w:eastAsia="仿宋"/>
          <w:color w:val="auto"/>
        </w:rPr>
        <w:t>0575-87980019</w:t>
      </w:r>
    </w:p>
    <w:p>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质疑联系人：</w:t>
      </w:r>
      <w:r>
        <w:rPr>
          <w:rFonts w:ascii="仿宋" w:hAnsi="仿宋" w:eastAsia="仿宋"/>
          <w:color w:val="auto"/>
        </w:rPr>
        <w:t>马奇锋</w:t>
      </w:r>
    </w:p>
    <w:p>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质疑联系方式：</w:t>
      </w:r>
      <w:r>
        <w:rPr>
          <w:rFonts w:ascii="仿宋" w:hAnsi="仿宋" w:eastAsia="仿宋"/>
          <w:color w:val="auto"/>
        </w:rPr>
        <w:t>0575-87980013</w:t>
      </w:r>
    </w:p>
    <w:p>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2.采购代理机构信息</w:t>
      </w:r>
    </w:p>
    <w:p>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w:t>
      </w:r>
      <w:r>
        <w:rPr>
          <w:rFonts w:eastAsia="仿宋"/>
          <w:color w:val="auto"/>
        </w:rPr>
        <w:t> </w:t>
      </w:r>
      <w:r>
        <w:rPr>
          <w:rFonts w:hint="eastAsia" w:ascii="仿宋" w:hAnsi="仿宋" w:eastAsia="仿宋"/>
          <w:color w:val="auto"/>
        </w:rPr>
        <w:t>称：浙江新顺项目管理有限公司</w:t>
      </w:r>
    </w:p>
    <w:p>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w:t>
      </w:r>
      <w:r>
        <w:rPr>
          <w:rFonts w:eastAsia="仿宋"/>
          <w:color w:val="auto"/>
        </w:rPr>
        <w:t> </w:t>
      </w:r>
      <w:r>
        <w:rPr>
          <w:rFonts w:hint="eastAsia" w:ascii="仿宋" w:hAnsi="仿宋" w:eastAsia="仿宋"/>
          <w:color w:val="auto"/>
        </w:rPr>
        <w:t>址：诸暨市东三路4</w:t>
      </w:r>
      <w:r>
        <w:rPr>
          <w:rFonts w:ascii="仿宋" w:hAnsi="仿宋" w:eastAsia="仿宋"/>
          <w:color w:val="auto"/>
        </w:rPr>
        <w:t>60</w:t>
      </w:r>
      <w:r>
        <w:rPr>
          <w:rFonts w:hint="eastAsia" w:ascii="仿宋" w:hAnsi="仿宋" w:eastAsia="仿宋"/>
          <w:color w:val="auto"/>
        </w:rPr>
        <w:t>弄2</w:t>
      </w:r>
      <w:r>
        <w:rPr>
          <w:rFonts w:ascii="仿宋" w:hAnsi="仿宋" w:eastAsia="仿宋"/>
          <w:color w:val="auto"/>
        </w:rPr>
        <w:t>1</w:t>
      </w:r>
      <w:r>
        <w:rPr>
          <w:rFonts w:hint="eastAsia" w:ascii="仿宋" w:hAnsi="仿宋" w:eastAsia="仿宋"/>
          <w:color w:val="auto"/>
        </w:rPr>
        <w:t>-</w:t>
      </w:r>
      <w:r>
        <w:rPr>
          <w:rFonts w:ascii="仿宋" w:hAnsi="仿宋" w:eastAsia="仿宋"/>
          <w:color w:val="auto"/>
        </w:rPr>
        <w:t>23</w:t>
      </w:r>
      <w:r>
        <w:rPr>
          <w:rFonts w:hint="eastAsia" w:ascii="仿宋" w:hAnsi="仿宋" w:eastAsia="仿宋"/>
          <w:color w:val="auto"/>
        </w:rPr>
        <w:t>号</w:t>
      </w:r>
    </w:p>
    <w:p>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项目联系人（询问）：吴金伟</w:t>
      </w:r>
    </w:p>
    <w:p>
      <w:pPr>
        <w:pStyle w:val="44"/>
        <w:spacing w:before="0" w:beforeAutospacing="0" w:afterLines="50" w:afterAutospacing="0" w:line="300" w:lineRule="exact"/>
        <w:ind w:firstLine="556"/>
        <w:rPr>
          <w:rFonts w:ascii="仿宋" w:hAnsi="仿宋" w:eastAsia="仿宋"/>
          <w:color w:val="auto"/>
        </w:rPr>
      </w:pPr>
      <w:r>
        <w:rPr>
          <w:rFonts w:eastAsia="仿宋"/>
          <w:color w:val="auto"/>
        </w:rPr>
        <w:t>项目</w:t>
      </w:r>
      <w:r>
        <w:rPr>
          <w:rFonts w:hint="eastAsia" w:ascii="仿宋" w:hAnsi="仿宋" w:eastAsia="仿宋"/>
          <w:color w:val="auto"/>
        </w:rPr>
        <w:t>联系方式（询问）：13567507571（工作电话）</w:t>
      </w:r>
    </w:p>
    <w:p>
      <w:pPr>
        <w:pStyle w:val="44"/>
        <w:spacing w:before="0" w:beforeAutospacing="0" w:afterLines="50" w:afterAutospacing="0" w:line="300" w:lineRule="exact"/>
        <w:ind w:firstLine="556"/>
        <w:rPr>
          <w:rFonts w:eastAsia="仿宋"/>
          <w:color w:val="auto"/>
        </w:rPr>
      </w:pPr>
      <w:r>
        <w:rPr>
          <w:rFonts w:hint="eastAsia" w:ascii="仿宋" w:hAnsi="仿宋" w:eastAsia="仿宋"/>
          <w:color w:val="auto"/>
        </w:rPr>
        <w:t>质疑联系人：宣哲</w:t>
      </w:r>
    </w:p>
    <w:p>
      <w:pPr>
        <w:pStyle w:val="44"/>
        <w:spacing w:before="0" w:beforeAutospacing="0" w:afterLines="50" w:afterAutospacing="0" w:line="300" w:lineRule="exact"/>
        <w:ind w:firstLine="556"/>
        <w:rPr>
          <w:rFonts w:ascii="仿宋" w:hAnsi="仿宋" w:eastAsia="仿宋"/>
          <w:color w:val="auto"/>
        </w:rPr>
      </w:pPr>
      <w:r>
        <w:rPr>
          <w:rFonts w:eastAsia="仿宋"/>
          <w:color w:val="auto"/>
        </w:rPr>
        <w:t>质疑</w:t>
      </w:r>
      <w:r>
        <w:rPr>
          <w:rFonts w:hint="eastAsia" w:ascii="仿宋" w:hAnsi="仿宋" w:eastAsia="仿宋"/>
          <w:color w:val="auto"/>
        </w:rPr>
        <w:t>联系方式：05</w:t>
      </w:r>
      <w:r>
        <w:rPr>
          <w:rFonts w:ascii="仿宋" w:hAnsi="仿宋" w:eastAsia="仿宋"/>
          <w:color w:val="auto"/>
        </w:rPr>
        <w:t>75</w:t>
      </w:r>
      <w:r>
        <w:rPr>
          <w:rFonts w:hint="eastAsia" w:ascii="仿宋" w:hAnsi="仿宋" w:eastAsia="仿宋"/>
          <w:color w:val="auto"/>
        </w:rPr>
        <w:t>-</w:t>
      </w:r>
      <w:r>
        <w:rPr>
          <w:rFonts w:ascii="仿宋" w:hAnsi="仿宋" w:eastAsia="仿宋"/>
          <w:color w:val="auto"/>
        </w:rPr>
        <w:t>87025690</w:t>
      </w:r>
    </w:p>
    <w:p>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3.同级政府采购监督管理部门</w:t>
      </w:r>
    </w:p>
    <w:p>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名称：诸暨市财政局</w:t>
      </w:r>
    </w:p>
    <w:p>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地址：诸暨市人民中路356号</w:t>
      </w:r>
    </w:p>
    <w:p>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联系人：</w:t>
      </w:r>
      <w:r>
        <w:rPr>
          <w:rFonts w:ascii="仿宋" w:hAnsi="仿宋" w:eastAsia="仿宋"/>
          <w:color w:val="auto"/>
        </w:rPr>
        <w:t>吕康玮</w:t>
      </w:r>
    </w:p>
    <w:p>
      <w:pPr>
        <w:pStyle w:val="44"/>
        <w:spacing w:before="0" w:beforeAutospacing="0" w:afterLines="50" w:afterAutospacing="0" w:line="300" w:lineRule="exact"/>
        <w:ind w:firstLine="556"/>
        <w:rPr>
          <w:rFonts w:ascii="仿宋" w:hAnsi="仿宋" w:eastAsia="仿宋"/>
          <w:color w:val="auto"/>
        </w:rPr>
      </w:pPr>
      <w:r>
        <w:rPr>
          <w:rFonts w:hint="eastAsia" w:ascii="仿宋" w:hAnsi="仿宋" w:eastAsia="仿宋"/>
          <w:color w:val="auto"/>
        </w:rPr>
        <w:t>监督投诉电话：</w:t>
      </w:r>
      <w:r>
        <w:rPr>
          <w:rFonts w:ascii="仿宋" w:hAnsi="仿宋" w:eastAsia="仿宋"/>
          <w:color w:val="auto"/>
        </w:rPr>
        <w:t>0575-87111685</w:t>
      </w:r>
    </w:p>
    <w:p>
      <w:pPr>
        <w:pStyle w:val="44"/>
        <w:spacing w:beforeLines="50" w:beforeAutospacing="0" w:after="120" w:afterAutospacing="0" w:line="360" w:lineRule="exact"/>
        <w:ind w:firstLine="556"/>
        <w:rPr>
          <w:rFonts w:eastAsia="宋体"/>
          <w:color w:val="auto"/>
          <w:sz w:val="21"/>
          <w:szCs w:val="21"/>
        </w:rPr>
      </w:pPr>
      <w:r>
        <w:rPr>
          <w:rFonts w:ascii="仿宋" w:hAnsi="仿宋" w:eastAsia="仿宋"/>
          <w:color w:val="auto"/>
          <w:sz w:val="21"/>
          <w:szCs w:val="21"/>
        </w:rPr>
        <w:t>若对项目采购电子交易系统操作有疑问，可登录政采云（https://www.zcygov.cn/），点击右侧咨询小采，获取采小蜜智能服务管家帮助，或拨打政采云服务热线</w:t>
      </w:r>
      <w:r>
        <w:rPr>
          <w:rFonts w:hint="eastAsia" w:ascii="仿宋" w:hAnsi="仿宋" w:eastAsia="仿宋"/>
          <w:color w:val="auto"/>
          <w:sz w:val="21"/>
          <w:szCs w:val="21"/>
        </w:rPr>
        <w:t>95763</w:t>
      </w:r>
      <w:r>
        <w:rPr>
          <w:rFonts w:ascii="仿宋" w:hAnsi="仿宋" w:eastAsia="仿宋"/>
          <w:color w:val="auto"/>
          <w:sz w:val="21"/>
          <w:szCs w:val="21"/>
        </w:rPr>
        <w:t>获取热线服务帮助。CA问题联系电话（人工）：汇信CA 400-888-4636；天谷CA 400-087-8198。</w:t>
      </w:r>
    </w:p>
    <w:p>
      <w:pPr>
        <w:spacing w:line="360" w:lineRule="auto"/>
        <w:rPr>
          <w:rFonts w:ascii="宋体" w:hAnsi="宋体"/>
          <w:color w:val="auto"/>
        </w:rPr>
        <w:sectPr>
          <w:headerReference r:id="rId6" w:type="first"/>
          <w:footerReference r:id="rId9" w:type="first"/>
          <w:headerReference r:id="rId5" w:type="default"/>
          <w:footerReference r:id="rId7" w:type="default"/>
          <w:footerReference r:id="rId8" w:type="even"/>
          <w:pgSz w:w="11906" w:h="16838"/>
          <w:pgMar w:top="1021" w:right="1247" w:bottom="1021" w:left="1247" w:header="284" w:footer="454" w:gutter="0"/>
          <w:pgNumType w:fmt="numberInDash" w:start="1"/>
          <w:cols w:space="720" w:num="1"/>
          <w:titlePg/>
          <w:docGrid w:type="lines" w:linePitch="312" w:charSpace="0"/>
        </w:sectPr>
      </w:pPr>
    </w:p>
    <w:bookmarkEnd w:id="0"/>
    <w:p>
      <w:pPr>
        <w:pStyle w:val="3"/>
        <w:spacing w:before="0" w:after="240" w:line="400" w:lineRule="exact"/>
        <w:jc w:val="center"/>
        <w:rPr>
          <w:rFonts w:ascii="华文中宋" w:hAnsi="华文中宋" w:eastAsia="华文中宋"/>
          <w:color w:val="auto"/>
          <w:sz w:val="36"/>
          <w:szCs w:val="36"/>
        </w:rPr>
      </w:pPr>
      <w:bookmarkStart w:id="2" w:name="_Toc125344503"/>
      <w:r>
        <w:rPr>
          <w:rFonts w:hint="eastAsia" w:ascii="华文中宋" w:hAnsi="华文中宋" w:eastAsia="华文中宋"/>
          <w:color w:val="auto"/>
          <w:sz w:val="36"/>
          <w:szCs w:val="36"/>
        </w:rPr>
        <w:t>第二章   投标人须知</w:t>
      </w:r>
    </w:p>
    <w:p>
      <w:pPr>
        <w:spacing w:afterLines="50" w:line="400" w:lineRule="exact"/>
        <w:jc w:val="center"/>
        <w:rPr>
          <w:rFonts w:ascii="华文中宋" w:hAnsi="华文中宋" w:eastAsia="华文中宋"/>
          <w:b/>
          <w:bCs/>
          <w:color w:val="auto"/>
          <w:sz w:val="32"/>
          <w:szCs w:val="32"/>
        </w:rPr>
      </w:pPr>
      <w:r>
        <w:rPr>
          <w:rFonts w:hint="eastAsia" w:ascii="华文中宋" w:hAnsi="华文中宋" w:eastAsia="华文中宋"/>
          <w:b/>
          <w:bCs/>
          <w:color w:val="auto"/>
          <w:sz w:val="32"/>
          <w:szCs w:val="32"/>
        </w:rPr>
        <w:t>前  附  表</w:t>
      </w:r>
    </w:p>
    <w:tbl>
      <w:tblPr>
        <w:tblStyle w:val="49"/>
        <w:tblW w:w="10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776"/>
        <w:gridCol w:w="75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blHeader/>
          <w:jc w:val="center"/>
        </w:trPr>
        <w:tc>
          <w:tcPr>
            <w:tcW w:w="704" w:type="dxa"/>
            <w:tcBorders>
              <w:top w:val="single" w:color="auto" w:sz="12" w:space="0"/>
              <w:bottom w:val="single" w:color="auto" w:sz="6" w:space="0"/>
            </w:tcBorders>
            <w:shd w:val="clear" w:color="auto" w:fill="DAEBFB"/>
            <w:vAlign w:val="center"/>
          </w:tcPr>
          <w:p>
            <w:pPr>
              <w:pStyle w:val="26"/>
              <w:spacing w:line="300" w:lineRule="auto"/>
              <w:jc w:val="center"/>
              <w:rPr>
                <w:rFonts w:ascii="仿宋" w:hAnsi="仿宋" w:eastAsia="仿宋"/>
                <w:b/>
                <w:szCs w:val="24"/>
              </w:rPr>
            </w:pPr>
            <w:r>
              <w:rPr>
                <w:rFonts w:hint="eastAsia" w:ascii="仿宋" w:hAnsi="仿宋" w:eastAsia="仿宋"/>
                <w:b/>
                <w:szCs w:val="24"/>
              </w:rPr>
              <w:t>序号</w:t>
            </w:r>
          </w:p>
        </w:tc>
        <w:tc>
          <w:tcPr>
            <w:tcW w:w="1776" w:type="dxa"/>
            <w:tcBorders>
              <w:top w:val="single" w:color="auto" w:sz="12" w:space="0"/>
              <w:bottom w:val="single" w:color="auto" w:sz="6" w:space="0"/>
            </w:tcBorders>
            <w:shd w:val="clear" w:color="auto" w:fill="DAEBFB"/>
            <w:vAlign w:val="center"/>
          </w:tcPr>
          <w:p>
            <w:pPr>
              <w:pStyle w:val="26"/>
              <w:spacing w:line="300" w:lineRule="auto"/>
              <w:jc w:val="center"/>
              <w:rPr>
                <w:rFonts w:ascii="仿宋" w:hAnsi="仿宋" w:eastAsia="仿宋"/>
                <w:b/>
                <w:szCs w:val="24"/>
              </w:rPr>
            </w:pPr>
            <w:r>
              <w:rPr>
                <w:rFonts w:hint="eastAsia" w:ascii="仿宋" w:hAnsi="仿宋" w:eastAsia="仿宋"/>
                <w:b/>
                <w:szCs w:val="24"/>
              </w:rPr>
              <w:t>内容</w:t>
            </w:r>
          </w:p>
        </w:tc>
        <w:tc>
          <w:tcPr>
            <w:tcW w:w="7589" w:type="dxa"/>
            <w:tcBorders>
              <w:top w:val="single" w:color="auto" w:sz="12" w:space="0"/>
              <w:bottom w:val="single" w:color="auto" w:sz="6" w:space="0"/>
            </w:tcBorders>
            <w:shd w:val="clear" w:color="auto" w:fill="DAEBFB"/>
            <w:vAlign w:val="center"/>
          </w:tcPr>
          <w:p>
            <w:pPr>
              <w:pStyle w:val="26"/>
              <w:spacing w:line="300" w:lineRule="auto"/>
              <w:jc w:val="center"/>
              <w:rPr>
                <w:rFonts w:ascii="仿宋" w:hAnsi="仿宋" w:eastAsia="仿宋"/>
                <w:b/>
                <w:szCs w:val="24"/>
              </w:rPr>
            </w:pPr>
            <w:r>
              <w:rPr>
                <w:rFonts w:hint="eastAsia" w:ascii="仿宋" w:hAnsi="仿宋" w:eastAsia="仿宋"/>
                <w:b/>
                <w:szCs w:val="24"/>
              </w:rPr>
              <w:t>本项目说明与特别规定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tcBorders>
              <w:top w:val="single" w:color="auto" w:sz="6" w:space="0"/>
            </w:tcBorders>
            <w:vAlign w:val="center"/>
          </w:tcPr>
          <w:p>
            <w:pPr>
              <w:pStyle w:val="26"/>
              <w:spacing w:line="300" w:lineRule="auto"/>
              <w:jc w:val="center"/>
              <w:rPr>
                <w:rFonts w:ascii="仿宋" w:hAnsi="仿宋" w:eastAsia="仿宋"/>
                <w:b/>
                <w:szCs w:val="24"/>
              </w:rPr>
            </w:pPr>
            <w:r>
              <w:rPr>
                <w:rFonts w:hint="eastAsia" w:ascii="仿宋" w:hAnsi="仿宋" w:eastAsia="仿宋"/>
                <w:b/>
                <w:szCs w:val="24"/>
              </w:rPr>
              <w:t>1</w:t>
            </w:r>
          </w:p>
        </w:tc>
        <w:tc>
          <w:tcPr>
            <w:tcW w:w="1776" w:type="dxa"/>
            <w:tcBorders>
              <w:top w:val="single" w:color="auto" w:sz="6" w:space="0"/>
            </w:tcBorders>
            <w:vAlign w:val="center"/>
          </w:tcPr>
          <w:p>
            <w:pPr>
              <w:pStyle w:val="26"/>
              <w:spacing w:line="300" w:lineRule="auto"/>
              <w:jc w:val="center"/>
              <w:rPr>
                <w:rFonts w:ascii="仿宋" w:hAnsi="仿宋" w:eastAsia="仿宋"/>
                <w:b/>
                <w:szCs w:val="24"/>
              </w:rPr>
            </w:pPr>
            <w:r>
              <w:rPr>
                <w:rFonts w:hint="eastAsia" w:ascii="仿宋" w:hAnsi="仿宋" w:eastAsia="仿宋"/>
                <w:b/>
                <w:szCs w:val="24"/>
              </w:rPr>
              <w:t>项目名称</w:t>
            </w:r>
          </w:p>
        </w:tc>
        <w:tc>
          <w:tcPr>
            <w:tcW w:w="7589" w:type="dxa"/>
            <w:tcBorders>
              <w:top w:val="single" w:color="auto" w:sz="6" w:space="0"/>
            </w:tcBorders>
            <w:vAlign w:val="center"/>
          </w:tcPr>
          <w:p>
            <w:pPr>
              <w:spacing w:line="300" w:lineRule="auto"/>
              <w:rPr>
                <w:rFonts w:ascii="仿宋" w:hAnsi="仿宋" w:eastAsia="仿宋" w:cs="宋体"/>
                <w:color w:val="auto"/>
                <w:sz w:val="24"/>
                <w:szCs w:val="24"/>
              </w:rPr>
            </w:pPr>
            <w:r>
              <w:rPr>
                <w:rFonts w:hint="eastAsia" w:ascii="仿宋" w:hAnsi="仿宋" w:eastAsia="仿宋"/>
                <w:sz w:val="24"/>
                <w:szCs w:val="24"/>
              </w:rPr>
              <w:t>诸暨市自然资源和规划局第七期档案整理及数字化加工项目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2</w:t>
            </w:r>
          </w:p>
        </w:tc>
        <w:tc>
          <w:tcPr>
            <w:tcW w:w="1776"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采购方式</w:t>
            </w:r>
          </w:p>
        </w:tc>
        <w:tc>
          <w:tcPr>
            <w:tcW w:w="7589" w:type="dxa"/>
            <w:vAlign w:val="center"/>
          </w:tcPr>
          <w:p>
            <w:pPr>
              <w:pStyle w:val="26"/>
              <w:spacing w:line="300" w:lineRule="auto"/>
              <w:ind w:right="-107" w:rightChars="-51"/>
              <w:rPr>
                <w:rFonts w:ascii="仿宋" w:hAnsi="仿宋" w:eastAsia="仿宋"/>
                <w:szCs w:val="24"/>
              </w:rPr>
            </w:pPr>
            <w:r>
              <w:rPr>
                <w:rFonts w:hint="eastAsia" w:ascii="仿宋" w:hAnsi="仿宋" w:eastAsia="仿宋"/>
                <w:szCs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3</w:t>
            </w:r>
          </w:p>
        </w:tc>
        <w:tc>
          <w:tcPr>
            <w:tcW w:w="1776"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评标方法</w:t>
            </w:r>
          </w:p>
        </w:tc>
        <w:tc>
          <w:tcPr>
            <w:tcW w:w="7589" w:type="dxa"/>
            <w:vAlign w:val="center"/>
          </w:tcPr>
          <w:p>
            <w:pPr>
              <w:pStyle w:val="26"/>
              <w:spacing w:line="300" w:lineRule="auto"/>
              <w:ind w:right="-107" w:rightChars="-51"/>
              <w:rPr>
                <w:rFonts w:ascii="仿宋" w:hAnsi="仿宋" w:eastAsia="仿宋"/>
                <w:szCs w:val="24"/>
              </w:rPr>
            </w:pPr>
            <w:r>
              <w:rPr>
                <w:rFonts w:hint="eastAsia" w:ascii="仿宋" w:hAnsi="仿宋" w:eastAsia="仿宋"/>
                <w:szCs w:val="24"/>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4</w:t>
            </w:r>
          </w:p>
        </w:tc>
        <w:tc>
          <w:tcPr>
            <w:tcW w:w="1776"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最高限价</w:t>
            </w:r>
          </w:p>
        </w:tc>
        <w:tc>
          <w:tcPr>
            <w:tcW w:w="7589" w:type="dxa"/>
            <w:vAlign w:val="center"/>
          </w:tcPr>
          <w:p>
            <w:pPr>
              <w:spacing w:line="276" w:lineRule="auto"/>
              <w:rPr>
                <w:rFonts w:ascii="仿宋" w:hAnsi="仿宋" w:eastAsia="仿宋"/>
                <w:color w:val="auto"/>
                <w:sz w:val="24"/>
                <w:szCs w:val="24"/>
              </w:rPr>
            </w:pPr>
            <w:r>
              <w:rPr>
                <w:rFonts w:ascii="仿宋" w:hAnsi="仿宋" w:eastAsia="仿宋"/>
                <w:color w:val="auto"/>
                <w:sz w:val="24"/>
                <w:szCs w:val="24"/>
              </w:rPr>
              <w:t>详见招标文件第四章“采购需求”。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5</w:t>
            </w:r>
          </w:p>
        </w:tc>
        <w:tc>
          <w:tcPr>
            <w:tcW w:w="1776"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项目属性</w:t>
            </w:r>
          </w:p>
          <w:p>
            <w:pPr>
              <w:pStyle w:val="26"/>
              <w:spacing w:line="300" w:lineRule="auto"/>
              <w:jc w:val="center"/>
              <w:rPr>
                <w:rFonts w:ascii="仿宋" w:hAnsi="仿宋" w:eastAsia="仿宋"/>
                <w:b/>
                <w:szCs w:val="24"/>
              </w:rPr>
            </w:pPr>
            <w:r>
              <w:rPr>
                <w:rFonts w:hint="eastAsia" w:ascii="仿宋" w:hAnsi="仿宋" w:eastAsia="仿宋"/>
                <w:b/>
                <w:szCs w:val="24"/>
              </w:rPr>
              <w:t>与核心产品</w:t>
            </w:r>
          </w:p>
        </w:tc>
        <w:tc>
          <w:tcPr>
            <w:tcW w:w="7589" w:type="dxa"/>
            <w:vAlign w:val="center"/>
          </w:tcPr>
          <w:p>
            <w:pPr>
              <w:pStyle w:val="26"/>
              <w:spacing w:line="300" w:lineRule="auto"/>
              <w:rPr>
                <w:rFonts w:ascii="仿宋" w:hAnsi="仿宋" w:eastAsia="仿宋"/>
                <w:szCs w:val="24"/>
              </w:rPr>
            </w:pPr>
            <w:r>
              <w:rPr>
                <w:rFonts w:hint="eastAsia" w:ascii="仿宋" w:hAnsi="仿宋" w:eastAsia="仿宋"/>
                <w:szCs w:val="24"/>
              </w:rPr>
              <w:t>□货物类，单一产品或核心产品：</w:t>
            </w:r>
            <w:r>
              <w:rPr>
                <w:rFonts w:hint="eastAsia" w:ascii="仿宋" w:hAnsi="仿宋" w:eastAsia="仿宋"/>
                <w:sz w:val="21"/>
                <w:szCs w:val="21"/>
              </w:rPr>
              <w:t>[</w:t>
            </w:r>
            <w:r>
              <w:rPr>
                <w:rFonts w:hint="eastAsia" w:ascii="仿宋" w:hAnsi="仿宋" w:eastAsia="仿宋"/>
                <w:sz w:val="21"/>
                <w:szCs w:val="21"/>
                <w:u w:val="single"/>
              </w:rPr>
              <w:t xml:space="preserve">__/_ </w:t>
            </w:r>
            <w:r>
              <w:rPr>
                <w:rFonts w:hint="eastAsia" w:ascii="仿宋" w:hAnsi="仿宋" w:eastAsia="仿宋"/>
                <w:sz w:val="21"/>
                <w:szCs w:val="21"/>
              </w:rPr>
              <w:t>]</w:t>
            </w:r>
            <w:r>
              <w:rPr>
                <w:rFonts w:hint="eastAsia" w:ascii="仿宋" w:hAnsi="仿宋" w:eastAsia="仿宋"/>
                <w:szCs w:val="24"/>
              </w:rPr>
              <w:t>。</w:t>
            </w:r>
          </w:p>
          <w:p>
            <w:pPr>
              <w:pStyle w:val="26"/>
              <w:spacing w:line="300" w:lineRule="auto"/>
              <w:rPr>
                <w:rFonts w:ascii="仿宋" w:hAnsi="仿宋" w:eastAsia="仿宋"/>
                <w:b/>
                <w:szCs w:val="24"/>
              </w:rPr>
            </w:pPr>
            <w:r>
              <w:rPr>
                <w:rFonts w:hint="eastAsia" w:ascii="仿宋" w:hAnsi="仿宋" w:eastAsia="仿宋"/>
                <w:szCs w:val="24"/>
              </w:rPr>
              <w:sym w:font="Wingdings" w:char="F0FE"/>
            </w:r>
            <w:r>
              <w:rPr>
                <w:rFonts w:hint="eastAsia" w:ascii="仿宋" w:hAnsi="仿宋" w:eastAsia="仿宋"/>
                <w:szCs w:val="24"/>
              </w:rPr>
              <w:t>【服务类】。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6</w:t>
            </w:r>
          </w:p>
        </w:tc>
        <w:tc>
          <w:tcPr>
            <w:tcW w:w="1776" w:type="dxa"/>
            <w:vAlign w:val="center"/>
          </w:tcPr>
          <w:p>
            <w:pPr>
              <w:pStyle w:val="26"/>
              <w:spacing w:line="300" w:lineRule="auto"/>
              <w:jc w:val="center"/>
              <w:rPr>
                <w:rFonts w:ascii="仿宋" w:hAnsi="仿宋" w:eastAsia="仿宋"/>
                <w:b/>
                <w:szCs w:val="24"/>
              </w:rPr>
            </w:pPr>
            <w:r>
              <w:rPr>
                <w:rFonts w:hint="eastAsia" w:ascii="仿宋" w:hAnsi="仿宋" w:eastAsia="仿宋" w:cs="仿宋_GB2312"/>
                <w:b/>
              </w:rPr>
              <w:t>中小企业划分标准所属行业</w:t>
            </w:r>
          </w:p>
        </w:tc>
        <w:tc>
          <w:tcPr>
            <w:tcW w:w="7589" w:type="dxa"/>
            <w:vAlign w:val="center"/>
          </w:tcPr>
          <w:p>
            <w:pPr>
              <w:spacing w:line="300" w:lineRule="auto"/>
              <w:rPr>
                <w:rFonts w:ascii="仿宋" w:hAnsi="仿宋" w:eastAsia="仿宋"/>
                <w:color w:val="auto"/>
                <w:sz w:val="24"/>
                <w:szCs w:val="24"/>
              </w:rPr>
            </w:pPr>
            <w:r>
              <w:rPr>
                <w:rFonts w:hint="eastAsia" w:ascii="仿宋" w:hAnsi="仿宋" w:eastAsia="仿宋"/>
                <w:color w:val="auto"/>
                <w:sz w:val="24"/>
                <w:szCs w:val="24"/>
              </w:rPr>
              <w:t>采购标的：</w:t>
            </w:r>
            <w:r>
              <w:rPr>
                <w:rFonts w:hint="eastAsia" w:ascii="仿宋" w:hAnsi="仿宋" w:eastAsia="仿宋"/>
                <w:sz w:val="24"/>
                <w:szCs w:val="24"/>
                <w:u w:val="single"/>
              </w:rPr>
              <w:t>诸暨市自然资源和规划局第七期档案整理及数字化加工项目</w:t>
            </w:r>
            <w:r>
              <w:rPr>
                <w:rFonts w:hint="eastAsia" w:ascii="仿宋" w:hAnsi="仿宋" w:eastAsia="仿宋" w:cs="仿宋"/>
                <w:color w:val="auto"/>
                <w:sz w:val="24"/>
                <w:szCs w:val="24"/>
              </w:rPr>
              <w:t>，</w:t>
            </w:r>
            <w:r>
              <w:rPr>
                <w:rFonts w:hint="eastAsia" w:ascii="仿宋" w:hAnsi="仿宋" w:eastAsia="仿宋"/>
                <w:color w:val="auto"/>
                <w:sz w:val="24"/>
                <w:szCs w:val="24"/>
              </w:rPr>
              <w:t>对应的中小企业划分标准所属行业：</w:t>
            </w:r>
            <w:r>
              <w:rPr>
                <w:rFonts w:hint="eastAsia" w:ascii="仿宋" w:hAnsi="仿宋" w:eastAsia="仿宋"/>
                <w:sz w:val="24"/>
                <w:szCs w:val="24"/>
                <w:u w:val="single"/>
              </w:rPr>
              <w:t>其他未列明行业</w:t>
            </w:r>
            <w:r>
              <w:rPr>
                <w:rFonts w:hint="eastAsia" w:ascii="仿宋" w:hAnsi="仿宋" w:eastAsia="仿宋"/>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7</w:t>
            </w:r>
          </w:p>
        </w:tc>
        <w:tc>
          <w:tcPr>
            <w:tcW w:w="1776" w:type="dxa"/>
            <w:vAlign w:val="center"/>
          </w:tcPr>
          <w:p>
            <w:pPr>
              <w:pStyle w:val="26"/>
              <w:spacing w:line="300" w:lineRule="auto"/>
              <w:jc w:val="center"/>
              <w:rPr>
                <w:rFonts w:ascii="仿宋" w:hAnsi="仿宋" w:eastAsia="仿宋" w:cs="仿宋_GB2312"/>
                <w:b/>
              </w:rPr>
            </w:pPr>
            <w:r>
              <w:rPr>
                <w:rFonts w:hint="eastAsia" w:ascii="仿宋" w:hAnsi="仿宋" w:eastAsia="仿宋" w:cs="仿宋_GB2312"/>
                <w:b/>
              </w:rPr>
              <w:t>转包</w:t>
            </w:r>
          </w:p>
        </w:tc>
        <w:tc>
          <w:tcPr>
            <w:tcW w:w="7589" w:type="dxa"/>
            <w:vAlign w:val="center"/>
          </w:tcPr>
          <w:p>
            <w:pPr>
              <w:spacing w:line="300" w:lineRule="auto"/>
              <w:rPr>
                <w:rFonts w:ascii="仿宋" w:hAnsi="仿宋" w:eastAsia="仿宋"/>
                <w:color w:val="auto"/>
                <w:sz w:val="24"/>
                <w:szCs w:val="24"/>
              </w:rPr>
            </w:pPr>
            <w:r>
              <w:rPr>
                <w:rFonts w:hint="eastAsia" w:ascii="仿宋" w:hAnsi="仿宋" w:eastAsia="仿宋"/>
                <w:color w:val="auto"/>
                <w:sz w:val="24"/>
                <w:szCs w:val="24"/>
              </w:rPr>
              <w:t>本项目不允许转包。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8</w:t>
            </w:r>
          </w:p>
        </w:tc>
        <w:tc>
          <w:tcPr>
            <w:tcW w:w="1776" w:type="dxa"/>
            <w:vAlign w:val="center"/>
          </w:tcPr>
          <w:p>
            <w:pPr>
              <w:pStyle w:val="26"/>
              <w:spacing w:line="300" w:lineRule="auto"/>
              <w:jc w:val="center"/>
              <w:rPr>
                <w:rFonts w:ascii="仿宋" w:hAnsi="仿宋" w:eastAsia="仿宋" w:cs="仿宋_GB2312"/>
                <w:b/>
              </w:rPr>
            </w:pPr>
            <w:r>
              <w:rPr>
                <w:rFonts w:hint="eastAsia" w:ascii="仿宋" w:hAnsi="仿宋" w:eastAsia="仿宋" w:cs="仿宋_GB2312"/>
                <w:b/>
              </w:rPr>
              <w:t>分包</w:t>
            </w:r>
          </w:p>
        </w:tc>
        <w:tc>
          <w:tcPr>
            <w:tcW w:w="7589" w:type="dxa"/>
            <w:vAlign w:val="center"/>
          </w:tcPr>
          <w:p>
            <w:pPr>
              <w:spacing w:line="300" w:lineRule="auto"/>
              <w:rPr>
                <w:rFonts w:ascii="仿宋" w:hAnsi="仿宋" w:eastAsia="仿宋"/>
                <w:b/>
                <w:color w:val="auto"/>
                <w:sz w:val="24"/>
                <w:szCs w:val="24"/>
              </w:rPr>
            </w:pPr>
            <w:r>
              <w:rPr>
                <w:rFonts w:hint="eastAsia" w:ascii="仿宋" w:hAnsi="仿宋" w:eastAsia="仿宋"/>
                <w:color w:val="auto"/>
                <w:sz w:val="24"/>
                <w:szCs w:val="24"/>
              </w:rPr>
              <w:sym w:font="Wingdings" w:char="F0FE"/>
            </w:r>
            <w:r>
              <w:rPr>
                <w:rFonts w:hint="eastAsia" w:ascii="仿宋" w:hAnsi="仿宋" w:eastAsia="仿宋"/>
                <w:color w:val="auto"/>
                <w:sz w:val="24"/>
                <w:szCs w:val="24"/>
              </w:rPr>
              <w:t>【不同意分包】。</w:t>
            </w:r>
          </w:p>
          <w:p>
            <w:pPr>
              <w:spacing w:line="300" w:lineRule="auto"/>
              <w:rPr>
                <w:rFonts w:ascii="仿宋" w:hAnsi="仿宋" w:eastAsia="仿宋"/>
                <w:color w:val="auto"/>
                <w:sz w:val="24"/>
              </w:rPr>
            </w:pPr>
            <w:r>
              <w:rPr>
                <w:rFonts w:hint="eastAsia" w:ascii="仿宋" w:hAnsi="仿宋" w:eastAsia="仿宋"/>
                <w:color w:val="auto"/>
                <w:sz w:val="24"/>
                <w:szCs w:val="24"/>
              </w:rPr>
              <w:t>□同意，</w:t>
            </w:r>
            <w:r>
              <w:rPr>
                <w:rFonts w:hint="eastAsia" w:ascii="仿宋" w:hAnsi="仿宋" w:eastAsia="仿宋"/>
                <w:color w:val="auto"/>
                <w:sz w:val="24"/>
              </w:rPr>
              <w:t>同意将非主体、非关键性的</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r>
              <w:rPr>
                <w:rFonts w:hint="eastAsia" w:ascii="仿宋" w:hAnsi="仿宋" w:eastAsia="仿宋"/>
                <w:color w:val="auto"/>
                <w:sz w:val="24"/>
                <w:szCs w:val="24"/>
              </w:rPr>
              <w:t>工作分包。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9</w:t>
            </w:r>
          </w:p>
        </w:tc>
        <w:tc>
          <w:tcPr>
            <w:tcW w:w="1776" w:type="dxa"/>
            <w:vAlign w:val="center"/>
          </w:tcPr>
          <w:p>
            <w:pPr>
              <w:pStyle w:val="26"/>
              <w:spacing w:line="300" w:lineRule="auto"/>
              <w:jc w:val="center"/>
              <w:rPr>
                <w:rFonts w:ascii="仿宋" w:hAnsi="仿宋" w:eastAsia="仿宋" w:cs="仿宋_GB2312"/>
                <w:b/>
              </w:rPr>
            </w:pPr>
            <w:r>
              <w:rPr>
                <w:rFonts w:hint="eastAsia" w:ascii="仿宋" w:hAnsi="仿宋" w:eastAsia="仿宋" w:cs="仿宋_GB2312"/>
                <w:b/>
              </w:rPr>
              <w:t>是否允许采购进口产品</w:t>
            </w:r>
          </w:p>
        </w:tc>
        <w:tc>
          <w:tcPr>
            <w:tcW w:w="7589" w:type="dxa"/>
            <w:vAlign w:val="center"/>
          </w:tcPr>
          <w:p>
            <w:pPr>
              <w:spacing w:line="300" w:lineRule="auto"/>
              <w:rPr>
                <w:rFonts w:ascii="仿宋" w:hAnsi="仿宋" w:eastAsia="仿宋"/>
                <w:b/>
                <w:color w:val="auto"/>
                <w:sz w:val="24"/>
                <w:szCs w:val="24"/>
              </w:rPr>
            </w:pPr>
            <w:r>
              <w:rPr>
                <w:rFonts w:hint="eastAsia" w:ascii="仿宋" w:hAnsi="仿宋" w:eastAsia="仿宋"/>
                <w:color w:val="auto"/>
                <w:sz w:val="24"/>
              </w:rPr>
              <w:sym w:font="Wingdings" w:char="F0FE"/>
            </w:r>
            <w:r>
              <w:rPr>
                <w:rFonts w:hint="eastAsia" w:ascii="仿宋" w:hAnsi="仿宋" w:eastAsia="仿宋"/>
                <w:color w:val="auto"/>
                <w:sz w:val="24"/>
              </w:rPr>
              <w:t>【</w:t>
            </w:r>
            <w:r>
              <w:rPr>
                <w:rFonts w:hint="eastAsia" w:ascii="仿宋" w:hAnsi="仿宋" w:eastAsia="仿宋"/>
                <w:color w:val="auto"/>
                <w:sz w:val="24"/>
                <w:szCs w:val="24"/>
              </w:rPr>
              <w:t>本项目不允许采购进口产品</w:t>
            </w:r>
            <w:r>
              <w:rPr>
                <w:rFonts w:hint="eastAsia" w:ascii="仿宋" w:hAnsi="仿宋" w:eastAsia="仿宋"/>
                <w:color w:val="auto"/>
                <w:sz w:val="24"/>
              </w:rPr>
              <w:t>】。</w:t>
            </w:r>
          </w:p>
          <w:p>
            <w:pPr>
              <w:spacing w:line="300" w:lineRule="auto"/>
              <w:rPr>
                <w:rFonts w:ascii="仿宋" w:hAnsi="仿宋" w:eastAsia="仿宋"/>
                <w:color w:val="auto"/>
                <w:sz w:val="24"/>
              </w:rPr>
            </w:pPr>
            <w:r>
              <w:rPr>
                <w:rFonts w:hint="eastAsia" w:ascii="仿宋" w:hAnsi="仿宋" w:eastAsia="仿宋"/>
                <w:color w:val="auto"/>
                <w:sz w:val="24"/>
                <w:szCs w:val="24"/>
              </w:rPr>
              <w:t>□允许（可以就</w:t>
            </w:r>
            <w:r>
              <w:rPr>
                <w:rFonts w:hint="eastAsia" w:ascii="仿宋" w:hAnsi="仿宋" w:eastAsia="仿宋"/>
                <w:b/>
                <w:color w:val="auto"/>
                <w:u w:val="single"/>
              </w:rPr>
              <w:t>__</w:t>
            </w:r>
            <w:r>
              <w:rPr>
                <w:rFonts w:hint="eastAsia" w:ascii="仿宋" w:hAnsi="仿宋" w:eastAsia="仿宋"/>
                <w:b/>
                <w:color w:val="auto"/>
                <w:szCs w:val="24"/>
                <w:u w:val="single"/>
              </w:rPr>
              <w:t>/</w:t>
            </w:r>
            <w:r>
              <w:rPr>
                <w:rFonts w:hint="eastAsia" w:ascii="仿宋" w:hAnsi="仿宋" w:eastAsia="仿宋"/>
                <w:b/>
                <w:color w:val="auto"/>
                <w:u w:val="single"/>
              </w:rPr>
              <w:t>_</w:t>
            </w:r>
            <w:r>
              <w:rPr>
                <w:rFonts w:hint="eastAsia" w:ascii="仿宋" w:hAnsi="仿宋" w:eastAsia="仿宋" w:cs="宋体"/>
                <w:color w:val="auto"/>
                <w:sz w:val="24"/>
                <w:szCs w:val="24"/>
              </w:rPr>
              <w:t>采购进口产品</w:t>
            </w:r>
            <w:r>
              <w:rPr>
                <w:rFonts w:hint="eastAsia" w:ascii="仿宋" w:hAnsi="仿宋" w:eastAsia="仿宋"/>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10</w:t>
            </w:r>
          </w:p>
        </w:tc>
        <w:tc>
          <w:tcPr>
            <w:tcW w:w="1776" w:type="dxa"/>
            <w:vAlign w:val="center"/>
          </w:tcPr>
          <w:p>
            <w:pPr>
              <w:pStyle w:val="26"/>
              <w:spacing w:line="300" w:lineRule="auto"/>
              <w:jc w:val="center"/>
              <w:rPr>
                <w:rFonts w:ascii="仿宋" w:hAnsi="仿宋" w:eastAsia="仿宋" w:cs="仿宋_GB2312"/>
                <w:b/>
              </w:rPr>
            </w:pPr>
            <w:r>
              <w:rPr>
                <w:rFonts w:hint="eastAsia" w:ascii="仿宋" w:hAnsi="仿宋" w:eastAsia="仿宋" w:cs="仿宋_GB2312"/>
                <w:b/>
              </w:rPr>
              <w:t>现场考察</w:t>
            </w:r>
          </w:p>
        </w:tc>
        <w:tc>
          <w:tcPr>
            <w:tcW w:w="7589" w:type="dxa"/>
            <w:vAlign w:val="center"/>
          </w:tcPr>
          <w:p>
            <w:pPr>
              <w:spacing w:line="300" w:lineRule="auto"/>
              <w:rPr>
                <w:rFonts w:ascii="仿宋" w:hAnsi="仿宋" w:eastAsia="仿宋"/>
                <w:b/>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【不组织】。</w:t>
            </w:r>
          </w:p>
          <w:p>
            <w:pPr>
              <w:spacing w:line="300" w:lineRule="auto"/>
              <w:rPr>
                <w:rFonts w:ascii="仿宋" w:hAnsi="仿宋" w:eastAsia="仿宋"/>
                <w:color w:val="auto"/>
                <w:sz w:val="24"/>
              </w:rPr>
            </w:pPr>
            <w:r>
              <w:rPr>
                <w:rFonts w:hint="eastAsia" w:ascii="仿宋" w:hAnsi="仿宋" w:eastAsia="仿宋"/>
                <w:color w:val="auto"/>
                <w:sz w:val="24"/>
              </w:rPr>
              <w:t>□组织，</w:t>
            </w:r>
            <w:r>
              <w:rPr>
                <w:rFonts w:hint="eastAsia" w:ascii="仿宋" w:hAnsi="仿宋" w:eastAsia="仿宋"/>
                <w:color w:val="auto"/>
                <w:sz w:val="24"/>
                <w:szCs w:val="24"/>
              </w:rPr>
              <w:t>时间、地点、联系人、联系方式如下：</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11</w:t>
            </w:r>
          </w:p>
        </w:tc>
        <w:tc>
          <w:tcPr>
            <w:tcW w:w="1776" w:type="dxa"/>
            <w:vAlign w:val="center"/>
          </w:tcPr>
          <w:p>
            <w:pPr>
              <w:pStyle w:val="26"/>
              <w:spacing w:line="300" w:lineRule="auto"/>
              <w:jc w:val="center"/>
              <w:rPr>
                <w:rFonts w:ascii="仿宋" w:hAnsi="仿宋" w:eastAsia="仿宋" w:cs="仿宋_GB2312"/>
                <w:b/>
              </w:rPr>
            </w:pPr>
            <w:r>
              <w:rPr>
                <w:rFonts w:hint="eastAsia" w:ascii="仿宋" w:hAnsi="仿宋" w:eastAsia="仿宋" w:cs="仿宋_GB2312"/>
                <w:b/>
              </w:rPr>
              <w:t>开标前答疑会</w:t>
            </w:r>
          </w:p>
        </w:tc>
        <w:tc>
          <w:tcPr>
            <w:tcW w:w="7589" w:type="dxa"/>
            <w:vAlign w:val="center"/>
          </w:tcPr>
          <w:p>
            <w:pPr>
              <w:spacing w:line="300" w:lineRule="auto"/>
              <w:rPr>
                <w:rFonts w:ascii="仿宋" w:hAnsi="仿宋" w:eastAsia="仿宋"/>
                <w:b/>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【不组织】。</w:t>
            </w:r>
          </w:p>
          <w:p>
            <w:pPr>
              <w:spacing w:line="300" w:lineRule="auto"/>
              <w:rPr>
                <w:rFonts w:ascii="仿宋" w:hAnsi="仿宋" w:eastAsia="仿宋"/>
                <w:color w:val="auto"/>
                <w:sz w:val="24"/>
              </w:rPr>
            </w:pPr>
            <w:r>
              <w:rPr>
                <w:rFonts w:hint="eastAsia" w:ascii="仿宋" w:hAnsi="仿宋" w:eastAsia="仿宋"/>
                <w:color w:val="auto"/>
                <w:sz w:val="24"/>
              </w:rPr>
              <w:t>□组织，</w:t>
            </w:r>
            <w:r>
              <w:rPr>
                <w:rFonts w:hint="eastAsia" w:ascii="仿宋" w:hAnsi="仿宋" w:eastAsia="仿宋"/>
                <w:color w:val="auto"/>
                <w:sz w:val="24"/>
                <w:szCs w:val="24"/>
              </w:rPr>
              <w:t>时间、地点、联系人、联系方式如下：</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12</w:t>
            </w:r>
          </w:p>
        </w:tc>
        <w:tc>
          <w:tcPr>
            <w:tcW w:w="1776" w:type="dxa"/>
            <w:vAlign w:val="center"/>
          </w:tcPr>
          <w:p>
            <w:pPr>
              <w:pStyle w:val="26"/>
              <w:spacing w:line="300" w:lineRule="auto"/>
              <w:jc w:val="center"/>
              <w:rPr>
                <w:rFonts w:ascii="仿宋" w:hAnsi="仿宋" w:eastAsia="仿宋" w:cs="宋体"/>
                <w:b/>
                <w:kern w:val="0"/>
                <w:szCs w:val="21"/>
              </w:rPr>
            </w:pPr>
            <w:r>
              <w:rPr>
                <w:rFonts w:hint="eastAsia" w:ascii="仿宋" w:hAnsi="仿宋" w:eastAsia="仿宋"/>
                <w:b/>
                <w:szCs w:val="24"/>
              </w:rPr>
              <w:t>投标保证金</w:t>
            </w:r>
          </w:p>
        </w:tc>
        <w:tc>
          <w:tcPr>
            <w:tcW w:w="7589" w:type="dxa"/>
            <w:vAlign w:val="center"/>
          </w:tcPr>
          <w:p>
            <w:pPr>
              <w:spacing w:line="300" w:lineRule="auto"/>
              <w:rPr>
                <w:rFonts w:ascii="仿宋" w:hAnsi="仿宋" w:eastAsia="仿宋" w:cs="宋体"/>
                <w:color w:val="auto"/>
                <w:sz w:val="24"/>
                <w:szCs w:val="24"/>
              </w:rPr>
            </w:pPr>
            <w:r>
              <w:rPr>
                <w:rFonts w:hint="eastAsia" w:ascii="仿宋" w:hAnsi="仿宋" w:eastAsia="仿宋"/>
                <w:color w:val="auto"/>
                <w:sz w:val="24"/>
                <w:szCs w:val="24"/>
              </w:rPr>
              <w:t>本项目【不收取】投标保证金。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13</w:t>
            </w:r>
          </w:p>
        </w:tc>
        <w:tc>
          <w:tcPr>
            <w:tcW w:w="1776" w:type="dxa"/>
            <w:vAlign w:val="center"/>
          </w:tcPr>
          <w:p>
            <w:pPr>
              <w:pStyle w:val="26"/>
              <w:spacing w:line="300" w:lineRule="auto"/>
              <w:jc w:val="center"/>
              <w:rPr>
                <w:rFonts w:ascii="仿宋" w:hAnsi="仿宋" w:eastAsia="仿宋"/>
                <w:b/>
                <w:szCs w:val="24"/>
              </w:rPr>
            </w:pPr>
            <w:r>
              <w:rPr>
                <w:rFonts w:ascii="仿宋" w:hAnsi="仿宋" w:eastAsia="仿宋"/>
                <w:b/>
                <w:szCs w:val="24"/>
              </w:rPr>
              <w:t>投标文件组成</w:t>
            </w:r>
          </w:p>
        </w:tc>
        <w:tc>
          <w:tcPr>
            <w:tcW w:w="7589" w:type="dxa"/>
            <w:vAlign w:val="center"/>
          </w:tcPr>
          <w:p>
            <w:pPr>
              <w:spacing w:line="300" w:lineRule="auto"/>
              <w:rPr>
                <w:rFonts w:ascii="仿宋" w:hAnsi="仿宋" w:eastAsia="仿宋" w:cs="宋体"/>
                <w:color w:val="auto"/>
                <w:sz w:val="24"/>
              </w:rPr>
            </w:pPr>
            <w:r>
              <w:rPr>
                <w:rFonts w:ascii="仿宋" w:hAnsi="仿宋" w:eastAsia="仿宋" w:cs="宋体"/>
                <w:color w:val="auto"/>
                <w:sz w:val="24"/>
              </w:rPr>
              <w:t>投标文件由资格文件、商务技术文件、报价文件三部分组成。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14</w:t>
            </w:r>
          </w:p>
        </w:tc>
        <w:tc>
          <w:tcPr>
            <w:tcW w:w="1776"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资格文件</w:t>
            </w:r>
          </w:p>
        </w:tc>
        <w:tc>
          <w:tcPr>
            <w:tcW w:w="7589" w:type="dxa"/>
            <w:vAlign w:val="center"/>
          </w:tcPr>
          <w:p>
            <w:pPr>
              <w:snapToGrid w:val="0"/>
              <w:spacing w:line="300" w:lineRule="auto"/>
              <w:jc w:val="left"/>
              <w:rPr>
                <w:rFonts w:ascii="仿宋" w:hAnsi="仿宋" w:eastAsia="仿宋"/>
                <w:b/>
                <w:color w:val="auto"/>
                <w:sz w:val="24"/>
                <w:szCs w:val="24"/>
              </w:rPr>
            </w:pPr>
            <w:r>
              <w:rPr>
                <w:rFonts w:hint="eastAsia" w:ascii="仿宋" w:hAnsi="仿宋" w:eastAsia="仿宋"/>
                <w:b/>
                <w:color w:val="auto"/>
                <w:sz w:val="24"/>
                <w:szCs w:val="24"/>
              </w:rPr>
              <w:t>1.基本资格要求证明材料：</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1.1符合参加政府采购活动应当具备的一般条件的承诺函（</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pPr>
              <w:snapToGrid w:val="0"/>
              <w:spacing w:line="300" w:lineRule="auto"/>
              <w:jc w:val="left"/>
              <w:rPr>
                <w:rFonts w:ascii="仿宋" w:hAnsi="仿宋" w:eastAsia="仿宋"/>
                <w:b/>
                <w:color w:val="auto"/>
                <w:sz w:val="24"/>
                <w:szCs w:val="24"/>
              </w:rPr>
            </w:pPr>
            <w:r>
              <w:rPr>
                <w:rFonts w:hint="eastAsia" w:ascii="仿宋" w:hAnsi="仿宋" w:eastAsia="仿宋"/>
                <w:b/>
                <w:color w:val="auto"/>
                <w:sz w:val="24"/>
                <w:szCs w:val="24"/>
              </w:rPr>
              <w:t>2.落实政府采购政策需满足的资格要求证明材料：</w:t>
            </w:r>
          </w:p>
          <w:p>
            <w:pPr>
              <w:snapToGrid w:val="0"/>
              <w:spacing w:line="276" w:lineRule="auto"/>
              <w:jc w:val="left"/>
              <w:rPr>
                <w:rFonts w:ascii="仿宋" w:hAnsi="仿宋" w:eastAsia="仿宋"/>
                <w:color w:val="auto"/>
                <w:sz w:val="24"/>
                <w:szCs w:val="24"/>
              </w:rPr>
            </w:pPr>
            <w:r>
              <w:rPr>
                <w:rFonts w:hint="eastAsia" w:ascii="仿宋" w:hAnsi="仿宋" w:eastAsia="仿宋"/>
                <w:color w:val="auto"/>
                <w:sz w:val="24"/>
                <w:szCs w:val="24"/>
              </w:rPr>
              <w:t>2.1</w:t>
            </w:r>
            <w:r>
              <w:rPr>
                <w:rFonts w:ascii="仿宋" w:hAnsi="仿宋" w:eastAsia="仿宋"/>
                <w:color w:val="auto"/>
                <w:sz w:val="24"/>
                <w:szCs w:val="24"/>
              </w:rPr>
              <w:t>《中小企业声明函》（</w:t>
            </w:r>
            <w:r>
              <w:rPr>
                <w:rFonts w:ascii="仿宋" w:hAnsi="仿宋" w:eastAsia="仿宋"/>
                <w:color w:val="auto"/>
                <w:sz w:val="24"/>
                <w:szCs w:val="24"/>
                <w:u w:val="single"/>
              </w:rPr>
              <w:t>格式见第六章</w:t>
            </w:r>
            <w:r>
              <w:rPr>
                <w:rFonts w:ascii="仿宋" w:hAnsi="仿宋" w:eastAsia="仿宋"/>
                <w:color w:val="auto"/>
                <w:sz w:val="24"/>
                <w:szCs w:val="24"/>
              </w:rPr>
              <w:t>）</w:t>
            </w:r>
            <w:r>
              <w:rPr>
                <w:rFonts w:hint="eastAsia" w:ascii="仿宋" w:hAnsi="仿宋" w:eastAsia="仿宋"/>
                <w:color w:val="auto"/>
                <w:sz w:val="24"/>
                <w:szCs w:val="24"/>
              </w:rPr>
              <w:t>；</w:t>
            </w:r>
          </w:p>
          <w:p>
            <w:pPr>
              <w:snapToGrid w:val="0"/>
              <w:spacing w:line="300" w:lineRule="auto"/>
              <w:jc w:val="left"/>
              <w:rPr>
                <w:rFonts w:ascii="仿宋" w:hAnsi="仿宋" w:eastAsia="仿宋"/>
                <w:b/>
                <w:color w:val="auto"/>
                <w:sz w:val="24"/>
                <w:szCs w:val="24"/>
              </w:rPr>
            </w:pPr>
            <w:r>
              <w:rPr>
                <w:rFonts w:hint="eastAsia" w:ascii="仿宋" w:hAnsi="仿宋" w:eastAsia="仿宋"/>
                <w:color w:val="auto"/>
                <w:sz w:val="24"/>
                <w:szCs w:val="24"/>
              </w:rPr>
              <w:t>（说明：若为残疾人福利性单位，提供《残疾人福利性单位声明函》（</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）；若为监狱企业，提供</w:t>
            </w:r>
            <w:r>
              <w:rPr>
                <w:rFonts w:hint="eastAsia" w:ascii="仿宋" w:hAnsi="仿宋" w:eastAsia="仿宋"/>
                <w:bCs/>
                <w:color w:val="auto"/>
                <w:sz w:val="24"/>
                <w:szCs w:val="24"/>
              </w:rPr>
              <w:t>由省级以上监狱管理局、戒毒管理局（含新疆生产建设兵团）出具的属于监狱企业证明文件并加盖企业公章</w:t>
            </w:r>
            <w:r>
              <w:rPr>
                <w:rFonts w:hint="eastAsia" w:ascii="仿宋" w:hAnsi="仿宋" w:eastAsia="仿宋"/>
                <w:color w:val="auto"/>
                <w:sz w:val="24"/>
                <w:szCs w:val="24"/>
              </w:rPr>
              <w:t>。）</w:t>
            </w:r>
          </w:p>
          <w:p>
            <w:pPr>
              <w:snapToGrid w:val="0"/>
              <w:spacing w:line="300" w:lineRule="auto"/>
              <w:jc w:val="left"/>
              <w:rPr>
                <w:rFonts w:ascii="仿宋" w:hAnsi="仿宋" w:eastAsia="仿宋" w:cs="仿宋_GB2312"/>
                <w:b/>
                <w:color w:val="auto"/>
                <w:sz w:val="24"/>
              </w:rPr>
            </w:pPr>
            <w:r>
              <w:rPr>
                <w:rFonts w:hint="eastAsia" w:ascii="仿宋" w:hAnsi="仿宋" w:eastAsia="仿宋" w:cs="仿宋_GB2312"/>
                <w:b/>
                <w:color w:val="auto"/>
                <w:sz w:val="24"/>
              </w:rPr>
              <w:t>3.特定资格要求证明材料：无</w:t>
            </w:r>
            <w:r>
              <w:rPr>
                <w:rFonts w:hint="eastAsia" w:ascii="仿宋" w:hAnsi="仿宋" w:eastAsia="仿宋"/>
                <w:b/>
                <w:color w:val="auto"/>
                <w:sz w:val="24"/>
              </w:rPr>
              <w:t>。</w:t>
            </w:r>
          </w:p>
          <w:p>
            <w:pPr>
              <w:pStyle w:val="26"/>
              <w:rPr>
                <w:rFonts w:ascii="仿宋" w:hAnsi="仿宋" w:eastAsia="仿宋"/>
                <w:szCs w:val="24"/>
              </w:rPr>
            </w:pPr>
            <w:r>
              <w:rPr>
                <w:rFonts w:ascii="仿宋" w:hAnsi="仿宋" w:eastAsia="仿宋"/>
                <w:szCs w:val="24"/>
              </w:rPr>
              <w:t>注：投标人未按照上述要求提供与</w:t>
            </w:r>
            <w:r>
              <w:rPr>
                <w:rFonts w:hint="eastAsia" w:ascii="仿宋" w:hAnsi="仿宋" w:eastAsia="仿宋"/>
                <w:szCs w:val="24"/>
              </w:rPr>
              <w:t>基本资格要求、落实政府采购政策需满足的资格要求、特定资格要求相应的有效资格证明材料的，视为投标人不具备招标文件中规定的资格要求，其投标无效。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15</w:t>
            </w:r>
          </w:p>
        </w:tc>
        <w:tc>
          <w:tcPr>
            <w:tcW w:w="1776"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商务技术文件</w:t>
            </w:r>
          </w:p>
        </w:tc>
        <w:tc>
          <w:tcPr>
            <w:tcW w:w="7589" w:type="dxa"/>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1.投标函（</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授权委托书</w:t>
            </w:r>
            <w:r>
              <w:rPr>
                <w:rFonts w:hint="eastAsia" w:ascii="仿宋" w:hAnsi="仿宋" w:eastAsia="仿宋" w:cs="Arial"/>
                <w:color w:val="auto"/>
                <w:sz w:val="24"/>
              </w:rPr>
              <w:t>或法定代表人（单位负责人、自然人本人）身份证明</w:t>
            </w:r>
            <w:r>
              <w:rPr>
                <w:rFonts w:hint="eastAsia" w:ascii="仿宋" w:hAnsi="仿宋" w:eastAsia="仿宋"/>
                <w:color w:val="auto"/>
                <w:sz w:val="24"/>
                <w:szCs w:val="24"/>
              </w:rPr>
              <w:t>（</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3.商务技术偏离表（</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4.评分标准相应的商务技术资料（</w:t>
            </w:r>
            <w:r>
              <w:rPr>
                <w:rFonts w:hint="eastAsia" w:ascii="仿宋" w:hAnsi="仿宋" w:eastAsia="仿宋"/>
                <w:color w:val="auto"/>
                <w:sz w:val="24"/>
                <w:szCs w:val="24"/>
                <w:u w:val="single"/>
              </w:rPr>
              <w:t>按商务技术评分细则</w:t>
            </w:r>
            <w:r>
              <w:rPr>
                <w:rFonts w:hint="eastAsia" w:ascii="仿宋" w:hAnsi="仿宋" w:eastAsia="仿宋" w:cs="宋体"/>
                <w:color w:val="auto"/>
                <w:sz w:val="24"/>
                <w:szCs w:val="24"/>
                <w:u w:val="single"/>
              </w:rPr>
              <w:t>提供评分标准中相应的商务技术资料</w:t>
            </w:r>
            <w:r>
              <w:rPr>
                <w:rFonts w:hint="eastAsia" w:ascii="仿宋" w:hAnsi="仿宋" w:eastAsia="仿宋" w:cs="宋体"/>
                <w:color w:val="auto"/>
                <w:sz w:val="24"/>
                <w:szCs w:val="24"/>
              </w:rPr>
              <w:t>）；</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5.政府采购供应商廉洁自律承诺书（</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6.</w:t>
            </w:r>
            <w:r>
              <w:rPr>
                <w:rFonts w:ascii="仿宋" w:hAnsi="仿宋" w:eastAsia="仿宋"/>
                <w:color w:val="auto"/>
                <w:sz w:val="24"/>
                <w:szCs w:val="24"/>
              </w:rPr>
              <w:t>其他与商务技术有关的资料或说明（如有，格式自拟）</w:t>
            </w:r>
            <w:r>
              <w:rPr>
                <w:rFonts w:hint="eastAsia" w:ascii="仿宋" w:hAnsi="仿宋" w:eastAsia="仿宋"/>
                <w:color w:val="auto"/>
                <w:sz w:val="24"/>
                <w:szCs w:val="24"/>
              </w:rPr>
              <w:t>。</w:t>
            </w:r>
          </w:p>
          <w:p>
            <w:pPr>
              <w:pStyle w:val="26"/>
              <w:rPr>
                <w:rFonts w:ascii="仿宋" w:hAnsi="仿宋" w:eastAsia="仿宋"/>
                <w:szCs w:val="24"/>
                <w:u w:val="single"/>
              </w:rPr>
            </w:pPr>
            <w:r>
              <w:rPr>
                <w:rFonts w:hint="eastAsia" w:ascii="仿宋" w:hAnsi="仿宋" w:eastAsia="仿宋"/>
                <w:szCs w:val="24"/>
              </w:rPr>
              <w:t>注：投标人需按上述要求（包含但不限于）提供相应材料；</w:t>
            </w:r>
            <w:r>
              <w:rPr>
                <w:rFonts w:ascii="仿宋" w:hAnsi="仿宋" w:eastAsia="仿宋"/>
                <w:szCs w:val="24"/>
              </w:rPr>
              <w:t>招标文件已提供格式的，投标人在编制投标文件时须按照</w:t>
            </w:r>
            <w:r>
              <w:rPr>
                <w:rFonts w:hint="eastAsia" w:ascii="仿宋" w:hAnsi="仿宋" w:eastAsia="仿宋"/>
                <w:szCs w:val="24"/>
              </w:rPr>
              <w:t>规定的格式进行，</w:t>
            </w:r>
            <w:r>
              <w:rPr>
                <w:rFonts w:hint="eastAsia" w:ascii="仿宋" w:hAnsi="仿宋" w:eastAsia="仿宋" w:cs="仿宋_GB2312"/>
                <w:szCs w:val="24"/>
                <w:lang w:val="zh-CN"/>
              </w:rPr>
              <w:t>否则视同未提供</w:t>
            </w:r>
            <w:r>
              <w:rPr>
                <w:rFonts w:hint="eastAsia" w:ascii="仿宋" w:hAnsi="仿宋" w:eastAsia="仿宋"/>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16</w:t>
            </w:r>
          </w:p>
        </w:tc>
        <w:tc>
          <w:tcPr>
            <w:tcW w:w="1776" w:type="dxa"/>
            <w:vAlign w:val="center"/>
          </w:tcPr>
          <w:p>
            <w:pPr>
              <w:pStyle w:val="26"/>
              <w:spacing w:line="300" w:lineRule="auto"/>
              <w:jc w:val="center"/>
              <w:rPr>
                <w:rFonts w:ascii="仿宋" w:hAnsi="仿宋" w:eastAsia="仿宋"/>
                <w:szCs w:val="24"/>
              </w:rPr>
            </w:pPr>
            <w:r>
              <w:rPr>
                <w:rFonts w:ascii="仿宋" w:hAnsi="仿宋" w:eastAsia="仿宋"/>
                <w:b/>
                <w:szCs w:val="24"/>
              </w:rPr>
              <w:t>报价文件</w:t>
            </w:r>
          </w:p>
        </w:tc>
        <w:tc>
          <w:tcPr>
            <w:tcW w:w="7589" w:type="dxa"/>
            <w:vAlign w:val="center"/>
          </w:tcPr>
          <w:p>
            <w:pPr>
              <w:tabs>
                <w:tab w:val="left" w:pos="3870"/>
                <w:tab w:val="left" w:pos="4085"/>
              </w:tabs>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开标一览表（报价表）（</w:t>
            </w:r>
            <w:r>
              <w:rPr>
                <w:rFonts w:ascii="仿宋" w:hAnsi="仿宋" w:eastAsia="仿宋"/>
                <w:color w:val="auto"/>
                <w:sz w:val="24"/>
                <w:szCs w:val="24"/>
                <w:u w:val="single"/>
              </w:rPr>
              <w:t>格式见第六章</w:t>
            </w:r>
            <w:r>
              <w:rPr>
                <w:rFonts w:ascii="仿宋" w:hAnsi="仿宋" w:eastAsia="仿宋"/>
                <w:color w:val="auto"/>
                <w:sz w:val="24"/>
                <w:szCs w:val="24"/>
              </w:rPr>
              <w:t>）；</w:t>
            </w:r>
          </w:p>
          <w:p>
            <w:pPr>
              <w:snapToGrid w:val="0"/>
              <w:jc w:val="left"/>
              <w:rPr>
                <w:rFonts w:ascii="仿宋" w:hAnsi="仿宋" w:eastAsia="仿宋"/>
                <w:color w:val="auto"/>
                <w:sz w:val="24"/>
                <w:szCs w:val="24"/>
                <w:u w:val="single"/>
              </w:rPr>
            </w:pPr>
            <w:r>
              <w:rPr>
                <w:rFonts w:ascii="仿宋" w:hAnsi="仿宋" w:eastAsia="仿宋"/>
                <w:color w:val="auto"/>
                <w:sz w:val="24"/>
                <w:szCs w:val="24"/>
              </w:rPr>
              <w:t>注：投标人</w:t>
            </w:r>
            <w:r>
              <w:rPr>
                <w:rFonts w:hint="eastAsia" w:ascii="仿宋" w:hAnsi="仿宋" w:eastAsia="仿宋"/>
                <w:color w:val="auto"/>
                <w:sz w:val="24"/>
                <w:szCs w:val="24"/>
              </w:rPr>
              <w:t>需按上述要求（包含但不限于）提供相应材料；招标文件</w:t>
            </w:r>
            <w:r>
              <w:rPr>
                <w:rFonts w:ascii="仿宋" w:hAnsi="仿宋" w:eastAsia="仿宋"/>
                <w:color w:val="auto"/>
                <w:sz w:val="24"/>
                <w:szCs w:val="24"/>
              </w:rPr>
              <w:t>已提供格式的，</w:t>
            </w:r>
            <w:r>
              <w:rPr>
                <w:rFonts w:hint="eastAsia" w:ascii="仿宋" w:hAnsi="仿宋" w:eastAsia="仿宋" w:cs="仿宋_GB2312"/>
                <w:color w:val="auto"/>
                <w:sz w:val="24"/>
                <w:szCs w:val="24"/>
                <w:lang w:val="zh-CN"/>
              </w:rPr>
              <w:t>投标人在编制投标文件时须按照规定的格式进行，否则视同未提供</w:t>
            </w:r>
            <w:r>
              <w:rPr>
                <w:rFonts w:hint="eastAsia" w:ascii="仿宋" w:hAnsi="仿宋" w:eastAsia="仿宋"/>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17</w:t>
            </w:r>
          </w:p>
        </w:tc>
        <w:tc>
          <w:tcPr>
            <w:tcW w:w="1776" w:type="dxa"/>
            <w:vAlign w:val="center"/>
          </w:tcPr>
          <w:p>
            <w:pPr>
              <w:pStyle w:val="26"/>
              <w:spacing w:line="300" w:lineRule="auto"/>
              <w:jc w:val="center"/>
              <w:rPr>
                <w:rFonts w:ascii="仿宋" w:hAnsi="仿宋" w:eastAsia="仿宋" w:cs="仿宋_GB2312"/>
                <w:b/>
              </w:rPr>
            </w:pPr>
            <w:r>
              <w:rPr>
                <w:rFonts w:hint="eastAsia" w:ascii="仿宋" w:hAnsi="仿宋" w:eastAsia="仿宋" w:cs="仿宋_GB2312"/>
                <w:b/>
              </w:rPr>
              <w:t>投标样品</w:t>
            </w:r>
          </w:p>
        </w:tc>
        <w:tc>
          <w:tcPr>
            <w:tcW w:w="7589" w:type="dxa"/>
            <w:vAlign w:val="center"/>
          </w:tcPr>
          <w:p>
            <w:pPr>
              <w:spacing w:line="300" w:lineRule="auto"/>
              <w:rPr>
                <w:rFonts w:ascii="仿宋" w:hAnsi="仿宋" w:eastAsia="仿宋"/>
                <w:b/>
                <w:color w:val="auto"/>
                <w:sz w:val="24"/>
              </w:rPr>
            </w:pPr>
            <w:r>
              <w:rPr>
                <w:rFonts w:hint="eastAsia" w:ascii="仿宋" w:hAnsi="仿宋" w:eastAsia="仿宋"/>
                <w:color w:val="auto"/>
                <w:sz w:val="24"/>
              </w:rPr>
              <w:sym w:font="Wingdings" w:char="F0FE"/>
            </w:r>
            <w:r>
              <w:rPr>
                <w:rFonts w:hint="eastAsia" w:ascii="仿宋" w:hAnsi="仿宋" w:eastAsia="仿宋"/>
                <w:color w:val="auto"/>
                <w:sz w:val="24"/>
              </w:rPr>
              <w:t>【不需要提供】。</w:t>
            </w:r>
          </w:p>
          <w:p>
            <w:pPr>
              <w:spacing w:line="300" w:lineRule="auto"/>
              <w:rPr>
                <w:rFonts w:ascii="仿宋" w:hAnsi="仿宋" w:eastAsia="仿宋"/>
                <w:color w:val="auto"/>
                <w:sz w:val="24"/>
              </w:rPr>
            </w:pPr>
            <w:r>
              <w:rPr>
                <w:rFonts w:hint="eastAsia" w:ascii="仿宋" w:hAnsi="仿宋" w:eastAsia="仿宋"/>
                <w:color w:val="auto"/>
                <w:sz w:val="24"/>
              </w:rPr>
              <w:t>□需要提供，具体规定</w:t>
            </w:r>
            <w:r>
              <w:rPr>
                <w:rFonts w:hint="eastAsia" w:ascii="仿宋" w:hAnsi="仿宋" w:eastAsia="仿宋"/>
                <w:color w:val="auto"/>
                <w:sz w:val="24"/>
                <w:szCs w:val="24"/>
              </w:rPr>
              <w:t>如下：</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18</w:t>
            </w:r>
          </w:p>
        </w:tc>
        <w:tc>
          <w:tcPr>
            <w:tcW w:w="1776" w:type="dxa"/>
            <w:vAlign w:val="center"/>
          </w:tcPr>
          <w:p>
            <w:pPr>
              <w:pStyle w:val="26"/>
              <w:spacing w:line="300" w:lineRule="auto"/>
              <w:jc w:val="center"/>
              <w:rPr>
                <w:rFonts w:ascii="仿宋" w:hAnsi="仿宋" w:eastAsia="仿宋" w:cs="仿宋_GB2312"/>
                <w:b/>
              </w:rPr>
            </w:pPr>
            <w:r>
              <w:rPr>
                <w:rFonts w:hint="eastAsia" w:ascii="仿宋" w:hAnsi="仿宋" w:eastAsia="仿宋" w:cs="仿宋_GB2312"/>
                <w:b/>
              </w:rPr>
              <w:t>方案讲解演示</w:t>
            </w:r>
          </w:p>
        </w:tc>
        <w:tc>
          <w:tcPr>
            <w:tcW w:w="7589" w:type="dxa"/>
            <w:vAlign w:val="center"/>
          </w:tcPr>
          <w:p>
            <w:pPr>
              <w:spacing w:line="300" w:lineRule="auto"/>
              <w:rPr>
                <w:rFonts w:ascii="仿宋" w:hAnsi="仿宋" w:eastAsia="仿宋"/>
                <w:b/>
                <w:color w:val="auto"/>
                <w:sz w:val="24"/>
              </w:rPr>
            </w:pPr>
            <w:r>
              <w:rPr>
                <w:rFonts w:hint="eastAsia" w:ascii="仿宋" w:hAnsi="仿宋" w:eastAsia="仿宋"/>
                <w:color w:val="auto"/>
                <w:sz w:val="24"/>
              </w:rPr>
              <w:t>□不组织。</w:t>
            </w:r>
          </w:p>
          <w:p>
            <w:pPr>
              <w:spacing w:line="300" w:lineRule="auto"/>
              <w:rPr>
                <w:rFonts w:ascii="仿宋" w:hAnsi="仿宋" w:eastAsia="仿宋"/>
                <w:color w:val="auto"/>
              </w:rPr>
            </w:pPr>
            <w:r>
              <w:rPr>
                <w:rFonts w:hint="eastAsia" w:ascii="仿宋" w:hAnsi="仿宋" w:eastAsia="仿宋"/>
                <w:color w:val="auto"/>
                <w:sz w:val="24"/>
              </w:rPr>
              <w:sym w:font="Wingdings" w:char="F0FE"/>
            </w:r>
            <w:r>
              <w:rPr>
                <w:rFonts w:hint="eastAsia" w:ascii="仿宋" w:hAnsi="仿宋" w:eastAsia="仿宋"/>
                <w:color w:val="auto"/>
                <w:sz w:val="24"/>
              </w:rPr>
              <w:t>【组织】，相关规定</w:t>
            </w:r>
            <w:r>
              <w:rPr>
                <w:rFonts w:hint="eastAsia" w:ascii="仿宋" w:hAnsi="仿宋" w:eastAsia="仿宋"/>
                <w:color w:val="auto"/>
                <w:sz w:val="24"/>
                <w:szCs w:val="24"/>
              </w:rPr>
              <w:t>如下：</w:t>
            </w:r>
          </w:p>
          <w:p>
            <w:pPr>
              <w:rPr>
                <w:rFonts w:ascii="仿宋" w:hAnsi="仿宋" w:eastAsia="仿宋" w:cs="宋体"/>
                <w:color w:val="auto"/>
                <w:sz w:val="24"/>
              </w:rPr>
            </w:pPr>
            <w:r>
              <w:rPr>
                <w:rFonts w:hint="eastAsia" w:ascii="仿宋" w:hAnsi="仿宋" w:eastAsia="仿宋" w:cs="宋体"/>
                <w:color w:val="auto"/>
                <w:sz w:val="24"/>
              </w:rPr>
              <w:t>1.在评标时安排每个投标人进行演示。每个投标人演示时间要求：详见招标文件第三章评审细则。演示顺序安排：按电子投标文件的解密时间先后顺序依次进行。</w:t>
            </w:r>
          </w:p>
          <w:p>
            <w:pPr>
              <w:rPr>
                <w:rFonts w:ascii="仿宋" w:hAnsi="仿宋" w:eastAsia="仿宋"/>
                <w:sz w:val="24"/>
                <w:szCs w:val="24"/>
              </w:rPr>
            </w:pPr>
            <w:r>
              <w:rPr>
                <w:rFonts w:hint="eastAsia" w:ascii="仿宋" w:hAnsi="仿宋" w:eastAsia="仿宋" w:cs="宋体"/>
                <w:color w:val="auto"/>
                <w:sz w:val="24"/>
              </w:rPr>
              <w:t>2.演示方式：评审现场演示。现场演示地点为</w:t>
            </w:r>
            <w:r>
              <w:rPr>
                <w:rFonts w:hint="eastAsia" w:ascii="仿宋" w:hAnsi="仿宋" w:eastAsia="仿宋"/>
                <w:sz w:val="24"/>
              </w:rPr>
              <w:t>浙江新顺项目管理有限公司（诸暨市东三路4</w:t>
            </w:r>
            <w:r>
              <w:rPr>
                <w:rFonts w:ascii="仿宋" w:hAnsi="仿宋" w:eastAsia="仿宋"/>
                <w:sz w:val="24"/>
              </w:rPr>
              <w:t>60</w:t>
            </w:r>
            <w:r>
              <w:rPr>
                <w:rFonts w:hint="eastAsia" w:ascii="仿宋" w:hAnsi="仿宋" w:eastAsia="仿宋"/>
                <w:sz w:val="24"/>
              </w:rPr>
              <w:t>弄2</w:t>
            </w:r>
            <w:r>
              <w:rPr>
                <w:rFonts w:ascii="仿宋" w:hAnsi="仿宋" w:eastAsia="仿宋"/>
                <w:sz w:val="24"/>
              </w:rPr>
              <w:t>1</w:t>
            </w:r>
            <w:r>
              <w:rPr>
                <w:rFonts w:hint="eastAsia" w:ascii="仿宋" w:hAnsi="仿宋" w:eastAsia="仿宋"/>
                <w:sz w:val="24"/>
              </w:rPr>
              <w:t>-</w:t>
            </w:r>
            <w:r>
              <w:rPr>
                <w:rFonts w:ascii="仿宋" w:hAnsi="仿宋" w:eastAsia="仿宋"/>
                <w:sz w:val="24"/>
              </w:rPr>
              <w:t>23</w:t>
            </w:r>
            <w:r>
              <w:rPr>
                <w:rFonts w:hint="eastAsia" w:ascii="仿宋" w:hAnsi="仿宋" w:eastAsia="仿宋"/>
                <w:sz w:val="24"/>
              </w:rPr>
              <w:t>号）会议</w:t>
            </w:r>
            <w:r>
              <w:rPr>
                <w:rFonts w:hint="eastAsia" w:ascii="仿宋" w:hAnsi="仿宋" w:eastAsia="仿宋"/>
                <w:sz w:val="24"/>
                <w:szCs w:val="24"/>
              </w:rPr>
              <w:t>室。演示所用电脑等设备由投标人自备。现场演示人员进场时提供演示人员名单（加盖公章或授权代表签名）及身份证明，否则不得演示。</w:t>
            </w:r>
          </w:p>
          <w:p>
            <w:r>
              <w:rPr>
                <w:rFonts w:ascii="仿宋" w:hAnsi="仿宋" w:eastAsia="仿宋" w:cs="宋体"/>
                <w:color w:val="auto"/>
                <w:sz w:val="24"/>
              </w:rPr>
              <w:t>注：</w:t>
            </w:r>
            <w:r>
              <w:rPr>
                <w:rFonts w:hint="eastAsia" w:ascii="仿宋" w:hAnsi="仿宋" w:eastAsia="仿宋" w:cs="宋体"/>
                <w:color w:val="auto"/>
                <w:kern w:val="2"/>
                <w:sz w:val="24"/>
                <w:szCs w:val="24"/>
              </w:rPr>
              <w:t>因投标人自身原因导致无法演示或者演示效果不理想的，责任自负。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19</w:t>
            </w:r>
          </w:p>
        </w:tc>
        <w:tc>
          <w:tcPr>
            <w:tcW w:w="1776" w:type="dxa"/>
            <w:vAlign w:val="center"/>
          </w:tcPr>
          <w:p>
            <w:pPr>
              <w:pStyle w:val="26"/>
              <w:spacing w:line="300" w:lineRule="auto"/>
              <w:jc w:val="center"/>
              <w:rPr>
                <w:rFonts w:ascii="仿宋" w:hAnsi="仿宋" w:eastAsia="仿宋"/>
                <w:b/>
                <w:szCs w:val="24"/>
              </w:rPr>
            </w:pPr>
            <w:r>
              <w:rPr>
                <w:rFonts w:hint="eastAsia" w:ascii="仿宋" w:hAnsi="仿宋" w:eastAsia="仿宋"/>
                <w:b/>
              </w:rPr>
              <w:t>上传电子投标文件</w:t>
            </w:r>
          </w:p>
        </w:tc>
        <w:tc>
          <w:tcPr>
            <w:tcW w:w="7589" w:type="dxa"/>
            <w:vAlign w:val="center"/>
          </w:tcPr>
          <w:p>
            <w:pPr>
              <w:spacing w:line="276" w:lineRule="auto"/>
              <w:rPr>
                <w:rFonts w:ascii="仿宋" w:hAnsi="仿宋" w:eastAsia="仿宋" w:cstheme="minorBidi"/>
                <w:color w:val="auto"/>
                <w:kern w:val="2"/>
                <w:sz w:val="24"/>
                <w:szCs w:val="24"/>
              </w:rPr>
            </w:pPr>
            <w:r>
              <w:rPr>
                <w:rFonts w:hint="eastAsia" w:ascii="仿宋" w:hAnsi="仿宋" w:eastAsia="仿宋"/>
                <w:color w:val="auto"/>
                <w:sz w:val="24"/>
                <w:szCs w:val="24"/>
              </w:rPr>
              <w:t>供应商应当于投标截止时间前在“政采云”</w:t>
            </w:r>
            <w:r>
              <w:rPr>
                <w:rFonts w:hAnsi="仿宋" w:eastAsia="仿宋"/>
                <w:color w:val="auto"/>
                <w:kern w:val="2"/>
              </w:rPr>
              <w:t>（</w:t>
            </w:r>
            <w:r>
              <w:rPr>
                <w:rFonts w:eastAsia="仿宋"/>
                <w:color w:val="auto"/>
                <w:kern w:val="2"/>
              </w:rPr>
              <w:t>https://www.zcygov.cn/</w:t>
            </w:r>
            <w:r>
              <w:rPr>
                <w:rFonts w:hAnsi="仿宋" w:eastAsia="仿宋"/>
                <w:color w:val="auto"/>
                <w:kern w:val="2"/>
              </w:rPr>
              <w:t>）</w:t>
            </w:r>
            <w:r>
              <w:rPr>
                <w:rFonts w:ascii="仿宋" w:hAnsi="仿宋" w:eastAsia="仿宋"/>
                <w:color w:val="auto"/>
                <w:kern w:val="2"/>
                <w:sz w:val="24"/>
                <w:szCs w:val="24"/>
              </w:rPr>
              <w:t>平台</w:t>
            </w:r>
            <w:r>
              <w:rPr>
                <w:rFonts w:hint="eastAsia" w:ascii="仿宋" w:hAnsi="仿宋" w:eastAsia="仿宋"/>
                <w:color w:val="auto"/>
                <w:sz w:val="24"/>
                <w:szCs w:val="24"/>
              </w:rPr>
              <w:t>上自行加密上传电子投标文件，逾期上传或未按要求上传的投标文件将予以拒收。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20</w:t>
            </w:r>
          </w:p>
        </w:tc>
        <w:tc>
          <w:tcPr>
            <w:tcW w:w="1776" w:type="dxa"/>
            <w:vAlign w:val="center"/>
          </w:tcPr>
          <w:p>
            <w:pPr>
              <w:pStyle w:val="26"/>
              <w:spacing w:line="300" w:lineRule="auto"/>
              <w:jc w:val="center"/>
              <w:rPr>
                <w:rFonts w:ascii="仿宋" w:hAnsi="仿宋" w:eastAsia="仿宋"/>
                <w:b/>
              </w:rPr>
            </w:pPr>
            <w:r>
              <w:rPr>
                <w:rFonts w:hint="eastAsia" w:ascii="仿宋" w:hAnsi="仿宋" w:eastAsia="仿宋"/>
                <w:b/>
              </w:rPr>
              <w:t>电子加密投标文件的解密</w:t>
            </w:r>
          </w:p>
        </w:tc>
        <w:tc>
          <w:tcPr>
            <w:tcW w:w="7589" w:type="dxa"/>
            <w:vAlign w:val="center"/>
          </w:tcPr>
          <w:p>
            <w:pPr>
              <w:rPr>
                <w:rFonts w:ascii="仿宋" w:hAnsi="仿宋" w:eastAsia="仿宋" w:cs="宋体"/>
                <w:color w:val="auto"/>
                <w:sz w:val="24"/>
              </w:rPr>
            </w:pPr>
            <w:r>
              <w:rPr>
                <w:rFonts w:hint="eastAsia" w:ascii="仿宋" w:hAnsi="仿宋" w:eastAsia="仿宋" w:cs="宋体"/>
                <w:color w:val="auto"/>
                <w:sz w:val="24"/>
              </w:rPr>
              <w:t>开标后，采购代理机构将依托“政府采购云平台”向各投标供应商发出“电子加密投标文件”的“开始解密”通知，各投标供应商代表应当登录“政府采购云平台”并按照平台提示在30分钟内完成在线解密。[提示：制作电子投标文件和解密“电子加密投标文件”的需为同一把CA。同时为保障项目开标的连贯性、减少电子投标的意外事件，制作电子投标人员与开标人员最好为同一人，预留同一手机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pPr>
              <w:pStyle w:val="26"/>
              <w:spacing w:line="300" w:lineRule="auto"/>
              <w:jc w:val="center"/>
              <w:rPr>
                <w:rFonts w:ascii="仿宋" w:hAnsi="仿宋" w:eastAsia="仿宋"/>
                <w:b/>
                <w:szCs w:val="24"/>
              </w:rPr>
            </w:pPr>
            <w:r>
              <w:rPr>
                <w:rFonts w:ascii="仿宋" w:hAnsi="仿宋" w:eastAsia="仿宋"/>
                <w:b/>
                <w:szCs w:val="24"/>
              </w:rPr>
              <w:t>2</w:t>
            </w:r>
            <w:r>
              <w:rPr>
                <w:rFonts w:hint="eastAsia" w:ascii="仿宋" w:hAnsi="仿宋" w:eastAsia="仿宋"/>
                <w:b/>
                <w:szCs w:val="24"/>
              </w:rPr>
              <w:t>1</w:t>
            </w:r>
          </w:p>
        </w:tc>
        <w:tc>
          <w:tcPr>
            <w:tcW w:w="1776"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履约保证金</w:t>
            </w:r>
          </w:p>
        </w:tc>
        <w:tc>
          <w:tcPr>
            <w:tcW w:w="7589" w:type="dxa"/>
            <w:vAlign w:val="center"/>
          </w:tcPr>
          <w:p>
            <w:pPr>
              <w:spacing w:line="276" w:lineRule="auto"/>
              <w:rPr>
                <w:rFonts w:ascii="仿宋" w:hAnsi="仿宋" w:eastAsia="仿宋"/>
                <w:color w:val="auto"/>
                <w:sz w:val="24"/>
              </w:rPr>
            </w:pPr>
            <w:r>
              <w:rPr>
                <w:rFonts w:ascii="仿宋" w:hAnsi="仿宋" w:eastAsia="仿宋"/>
                <w:color w:val="auto"/>
                <w:sz w:val="24"/>
              </w:rPr>
              <w:t>本项目</w:t>
            </w:r>
            <w:r>
              <w:rPr>
                <w:rFonts w:hint="eastAsia" w:ascii="仿宋" w:hAnsi="仿宋" w:eastAsia="仿宋"/>
                <w:color w:val="auto"/>
                <w:sz w:val="24"/>
                <w:szCs w:val="24"/>
              </w:rPr>
              <w:t>【不收取】履约保证金。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22</w:t>
            </w:r>
          </w:p>
        </w:tc>
        <w:tc>
          <w:tcPr>
            <w:tcW w:w="1776" w:type="dxa"/>
            <w:vAlign w:val="center"/>
          </w:tcPr>
          <w:p>
            <w:pPr>
              <w:pStyle w:val="26"/>
              <w:spacing w:line="300" w:lineRule="auto"/>
              <w:jc w:val="center"/>
              <w:rPr>
                <w:rFonts w:ascii="仿宋" w:hAnsi="仿宋" w:eastAsia="仿宋"/>
                <w:b/>
                <w:szCs w:val="24"/>
              </w:rPr>
            </w:pPr>
            <w:r>
              <w:rPr>
                <w:rFonts w:ascii="仿宋" w:hAnsi="仿宋" w:eastAsia="仿宋"/>
                <w:b/>
                <w:szCs w:val="24"/>
              </w:rPr>
              <w:t>节能产品、环境标志产品</w:t>
            </w:r>
            <w:r>
              <w:rPr>
                <w:rFonts w:hint="eastAsia" w:ascii="仿宋" w:hAnsi="仿宋" w:eastAsia="仿宋"/>
                <w:b/>
                <w:szCs w:val="24"/>
              </w:rPr>
              <w:t>政府优先采购或强制采购</w:t>
            </w:r>
          </w:p>
        </w:tc>
        <w:tc>
          <w:tcPr>
            <w:tcW w:w="7589" w:type="dxa"/>
            <w:vAlign w:val="center"/>
          </w:tcPr>
          <w:p>
            <w:pPr>
              <w:spacing w:line="276" w:lineRule="auto"/>
              <w:rPr>
                <w:rFonts w:ascii="仿宋" w:hAnsi="仿宋" w:eastAsia="仿宋"/>
                <w:color w:val="auto"/>
                <w:sz w:val="24"/>
              </w:rPr>
            </w:pPr>
            <w:r>
              <w:rPr>
                <w:rFonts w:hint="eastAsia" w:ascii="仿宋" w:hAnsi="仿宋" w:eastAsia="仿宋"/>
                <w:color w:val="auto"/>
                <w:sz w:val="24"/>
              </w:rPr>
              <w:sym w:font="Wingdings" w:char="F0FE"/>
            </w:r>
            <w:r>
              <w:rPr>
                <w:rFonts w:hint="eastAsia" w:ascii="仿宋" w:hAnsi="仿宋" w:eastAsia="仿宋"/>
                <w:b/>
                <w:color w:val="auto"/>
                <w:sz w:val="24"/>
              </w:rPr>
              <w:t>无。</w:t>
            </w:r>
          </w:p>
          <w:p>
            <w:pPr>
              <w:spacing w:line="276" w:lineRule="auto"/>
              <w:rPr>
                <w:rFonts w:ascii="仿宋" w:hAnsi="仿宋" w:eastAsia="仿宋"/>
                <w:color w:val="auto"/>
                <w:sz w:val="24"/>
              </w:rPr>
            </w:pPr>
            <w:r>
              <w:rPr>
                <w:rFonts w:hint="eastAsia" w:ascii="仿宋" w:hAnsi="仿宋" w:eastAsia="仿宋"/>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pPr>
              <w:spacing w:line="276" w:lineRule="auto"/>
              <w:rPr>
                <w:rFonts w:ascii="仿宋" w:hAnsi="仿宋" w:eastAsia="仿宋"/>
                <w:color w:val="auto"/>
                <w:sz w:val="24"/>
              </w:rPr>
            </w:pPr>
            <w:r>
              <w:rPr>
                <w:rFonts w:hint="eastAsia" w:ascii="仿宋" w:hAnsi="仿宋" w:eastAsia="仿宋"/>
                <w:color w:val="auto"/>
                <w:sz w:val="24"/>
              </w:rPr>
              <w:t>□依据国家确定的认证机构出具的、处于有效期之内的环境标志产品认证证书，对获得证书的产品名称__实施政府优先采购，详见评分标准。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23</w:t>
            </w:r>
          </w:p>
        </w:tc>
        <w:tc>
          <w:tcPr>
            <w:tcW w:w="1776"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支持中小</w:t>
            </w:r>
          </w:p>
          <w:p>
            <w:pPr>
              <w:pStyle w:val="26"/>
              <w:spacing w:line="300" w:lineRule="auto"/>
              <w:jc w:val="center"/>
              <w:rPr>
                <w:rFonts w:ascii="仿宋" w:hAnsi="仿宋" w:eastAsia="仿宋"/>
                <w:b/>
                <w:szCs w:val="24"/>
              </w:rPr>
            </w:pPr>
            <w:r>
              <w:rPr>
                <w:rFonts w:hint="eastAsia" w:ascii="仿宋" w:hAnsi="仿宋" w:eastAsia="仿宋"/>
                <w:b/>
                <w:szCs w:val="24"/>
              </w:rPr>
              <w:t>企业发展</w:t>
            </w:r>
          </w:p>
        </w:tc>
        <w:tc>
          <w:tcPr>
            <w:tcW w:w="7589" w:type="dxa"/>
            <w:vAlign w:val="center"/>
          </w:tcPr>
          <w:p>
            <w:pPr>
              <w:snapToGrid w:val="0"/>
              <w:spacing w:line="300" w:lineRule="auto"/>
              <w:jc w:val="left"/>
              <w:rPr>
                <w:rFonts w:ascii="仿宋" w:hAnsi="仿宋" w:eastAsia="仿宋" w:cs="微软雅黑"/>
                <w:color w:val="auto"/>
                <w:sz w:val="24"/>
                <w:szCs w:val="24"/>
              </w:rPr>
            </w:pPr>
            <w:r>
              <w:rPr>
                <w:rFonts w:hint="eastAsia" w:ascii="仿宋" w:hAnsi="仿宋" w:eastAsia="仿宋"/>
                <w:color w:val="auto"/>
                <w:sz w:val="24"/>
              </w:rPr>
              <w:sym w:font="Wingdings" w:char="F0FE"/>
            </w:r>
            <w:r>
              <w:rPr>
                <w:rFonts w:hint="eastAsia" w:ascii="仿宋" w:hAnsi="仿宋" w:eastAsia="仿宋"/>
                <w:color w:val="auto"/>
                <w:sz w:val="24"/>
              </w:rPr>
              <w:t>【</w:t>
            </w:r>
            <w:r>
              <w:rPr>
                <w:rFonts w:hint="eastAsia" w:ascii="仿宋" w:hAnsi="仿宋" w:eastAsia="仿宋" w:cs="微软雅黑"/>
                <w:color w:val="auto"/>
                <w:sz w:val="24"/>
                <w:szCs w:val="24"/>
              </w:rPr>
              <w:t>本项目专门面向</w:t>
            </w:r>
            <w:r>
              <w:rPr>
                <w:rFonts w:hint="eastAsia" w:ascii="仿宋" w:hAnsi="仿宋" w:eastAsia="仿宋" w:cs="微软雅黑"/>
                <w:b/>
                <w:color w:val="auto"/>
                <w:sz w:val="24"/>
                <w:szCs w:val="24"/>
              </w:rPr>
              <w:t>小型、微型企业</w:t>
            </w:r>
            <w:r>
              <w:rPr>
                <w:rFonts w:hint="eastAsia" w:ascii="仿宋" w:hAnsi="仿宋" w:eastAsia="仿宋" w:cs="微软雅黑"/>
                <w:color w:val="auto"/>
                <w:sz w:val="24"/>
                <w:szCs w:val="24"/>
              </w:rPr>
              <w:t>采购</w:t>
            </w:r>
            <w:r>
              <w:rPr>
                <w:rFonts w:hint="eastAsia" w:ascii="仿宋" w:hAnsi="仿宋" w:eastAsia="仿宋"/>
                <w:color w:val="auto"/>
                <w:sz w:val="24"/>
              </w:rPr>
              <w:t>】</w:t>
            </w:r>
            <w:r>
              <w:rPr>
                <w:rFonts w:hint="eastAsia" w:ascii="仿宋" w:hAnsi="仿宋" w:eastAsia="仿宋" w:cs="微软雅黑"/>
                <w:color w:val="auto"/>
                <w:sz w:val="24"/>
                <w:szCs w:val="24"/>
              </w:rPr>
              <w:t>。</w:t>
            </w:r>
          </w:p>
          <w:p>
            <w:pPr>
              <w:rPr>
                <w:rFonts w:ascii="仿宋" w:hAnsi="仿宋" w:eastAsia="仿宋"/>
                <w:bCs/>
                <w:color w:val="auto"/>
                <w:sz w:val="24"/>
              </w:rPr>
            </w:pPr>
            <w:r>
              <w:rPr>
                <w:rFonts w:hint="eastAsia" w:ascii="仿宋" w:hAnsi="仿宋" w:eastAsia="仿宋"/>
                <w:color w:val="auto"/>
                <w:sz w:val="24"/>
                <w:szCs w:val="24"/>
              </w:rPr>
              <w:t>□</w:t>
            </w:r>
            <w:r>
              <w:rPr>
                <w:rFonts w:hint="eastAsia" w:ascii="仿宋" w:hAnsi="仿宋" w:eastAsia="仿宋" w:cs="微软雅黑"/>
                <w:color w:val="auto"/>
                <w:sz w:val="24"/>
                <w:szCs w:val="24"/>
              </w:rPr>
              <w:t>本项目非专门面向中小企业采购：</w:t>
            </w:r>
            <w:r>
              <w:rPr>
                <w:rFonts w:hint="eastAsia" w:ascii="仿宋" w:hAnsi="仿宋" w:eastAsia="仿宋"/>
                <w:color w:val="auto"/>
              </w:rPr>
              <w:t>[</w:t>
            </w:r>
            <w:r>
              <w:rPr>
                <w:rFonts w:hint="eastAsia" w:ascii="仿宋" w:hAnsi="仿宋" w:eastAsia="仿宋"/>
                <w:color w:val="auto"/>
                <w:u w:val="single"/>
              </w:rPr>
              <w:t xml:space="preserve">__/_ </w:t>
            </w:r>
            <w:r>
              <w:rPr>
                <w:rFonts w:hint="eastAsia" w:ascii="仿宋" w:hAnsi="仿宋" w:eastAsia="仿宋"/>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9"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24</w:t>
            </w:r>
          </w:p>
        </w:tc>
        <w:tc>
          <w:tcPr>
            <w:tcW w:w="1776" w:type="dxa"/>
            <w:vAlign w:val="center"/>
          </w:tcPr>
          <w:p>
            <w:pPr>
              <w:pStyle w:val="26"/>
              <w:spacing w:line="300" w:lineRule="auto"/>
              <w:jc w:val="center"/>
              <w:rPr>
                <w:rFonts w:ascii="仿宋" w:hAnsi="仿宋" w:eastAsia="仿宋"/>
                <w:b/>
                <w:szCs w:val="24"/>
              </w:rPr>
            </w:pPr>
            <w:r>
              <w:rPr>
                <w:rFonts w:ascii="仿宋" w:hAnsi="仿宋" w:eastAsia="仿宋"/>
                <w:b/>
                <w:szCs w:val="24"/>
              </w:rPr>
              <w:t>招标代理</w:t>
            </w:r>
          </w:p>
          <w:p>
            <w:pPr>
              <w:pStyle w:val="26"/>
              <w:spacing w:line="300" w:lineRule="auto"/>
              <w:jc w:val="center"/>
              <w:rPr>
                <w:rFonts w:ascii="仿宋" w:hAnsi="仿宋" w:eastAsia="仿宋"/>
                <w:b/>
                <w:szCs w:val="24"/>
              </w:rPr>
            </w:pPr>
            <w:r>
              <w:rPr>
                <w:rFonts w:ascii="仿宋" w:hAnsi="仿宋" w:eastAsia="仿宋"/>
                <w:b/>
                <w:szCs w:val="24"/>
              </w:rPr>
              <w:t>服务费</w:t>
            </w:r>
          </w:p>
        </w:tc>
        <w:tc>
          <w:tcPr>
            <w:tcW w:w="7589" w:type="dxa"/>
            <w:vAlign w:val="center"/>
          </w:tcPr>
          <w:p>
            <w:pPr>
              <w:spacing w:line="276" w:lineRule="auto"/>
              <w:rPr>
                <w:rStyle w:val="52"/>
                <w:rFonts w:ascii="仿宋" w:hAnsi="仿宋" w:eastAsia="仿宋" w:cs="宋体"/>
                <w:b w:val="0"/>
                <w:color w:val="auto"/>
                <w:sz w:val="24"/>
                <w:szCs w:val="24"/>
              </w:rPr>
            </w:pPr>
            <w:bookmarkStart w:id="3" w:name="_Hlk28095012"/>
            <w:r>
              <w:rPr>
                <w:rFonts w:hint="eastAsia" w:ascii="仿宋" w:hAnsi="仿宋" w:eastAsia="仿宋"/>
                <w:color w:val="auto"/>
                <w:sz w:val="24"/>
                <w:szCs w:val="24"/>
              </w:rPr>
              <w:t>1.</w:t>
            </w:r>
            <w:bookmarkEnd w:id="3"/>
            <w:r>
              <w:rPr>
                <w:rFonts w:hint="eastAsia" w:ascii="仿宋" w:hAnsi="仿宋" w:eastAsia="仿宋"/>
                <w:color w:val="auto"/>
                <w:sz w:val="24"/>
                <w:szCs w:val="24"/>
              </w:rPr>
              <w:t>招标代理服务费收费标准：</w:t>
            </w:r>
            <w:r>
              <w:rPr>
                <w:rStyle w:val="52"/>
                <w:rFonts w:hint="eastAsia" w:ascii="仿宋" w:hAnsi="仿宋" w:eastAsia="仿宋" w:cs="宋体"/>
                <w:b w:val="0"/>
                <w:color w:val="auto"/>
                <w:sz w:val="24"/>
                <w:szCs w:val="24"/>
              </w:rPr>
              <w:t>本项目</w:t>
            </w:r>
            <w:r>
              <w:rPr>
                <w:rFonts w:hint="eastAsia" w:ascii="仿宋" w:hAnsi="仿宋" w:eastAsia="仿宋" w:cs="宋体"/>
                <w:color w:val="auto"/>
                <w:kern w:val="2"/>
                <w:sz w:val="24"/>
                <w:szCs w:val="24"/>
              </w:rPr>
              <w:t>招标代理服务费以采购预算</w:t>
            </w:r>
            <w:r>
              <w:rPr>
                <w:rStyle w:val="52"/>
                <w:rFonts w:hint="eastAsia" w:ascii="仿宋" w:hAnsi="仿宋" w:eastAsia="仿宋" w:cs="宋体"/>
                <w:b w:val="0"/>
                <w:color w:val="auto"/>
                <w:sz w:val="24"/>
                <w:szCs w:val="24"/>
              </w:rPr>
              <w:t>金额为计算基数</w:t>
            </w:r>
            <w:r>
              <w:rPr>
                <w:rFonts w:hint="eastAsia" w:ascii="仿宋" w:hAnsi="仿宋" w:eastAsia="仿宋" w:cs="宋体"/>
                <w:color w:val="auto"/>
                <w:kern w:val="2"/>
                <w:sz w:val="24"/>
                <w:szCs w:val="24"/>
              </w:rPr>
              <w:t>，</w:t>
            </w:r>
            <w:r>
              <w:rPr>
                <w:rStyle w:val="52"/>
                <w:rFonts w:hint="eastAsia" w:ascii="仿宋" w:hAnsi="仿宋" w:eastAsia="仿宋" w:cs="宋体"/>
                <w:b w:val="0"/>
                <w:color w:val="auto"/>
                <w:sz w:val="24"/>
                <w:szCs w:val="24"/>
              </w:rPr>
              <w:t>按以下费率标准计算，计算方式采用差额定率累进法：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9"/>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49" w:type="dxa"/>
                  <w:vAlign w:val="center"/>
                </w:tcPr>
                <w:p>
                  <w:pPr>
                    <w:spacing w:line="300" w:lineRule="auto"/>
                    <w:jc w:val="center"/>
                    <w:rPr>
                      <w:rStyle w:val="52"/>
                      <w:rFonts w:ascii="仿宋" w:hAnsi="仿宋" w:eastAsia="仿宋" w:cs="宋体"/>
                      <w:b w:val="0"/>
                      <w:color w:val="auto"/>
                      <w:sz w:val="24"/>
                      <w:szCs w:val="24"/>
                    </w:rPr>
                  </w:pPr>
                  <w:r>
                    <w:rPr>
                      <w:rStyle w:val="52"/>
                      <w:rFonts w:ascii="仿宋" w:hAnsi="仿宋" w:eastAsia="仿宋" w:cs="宋体"/>
                      <w:b w:val="0"/>
                      <w:color w:val="auto"/>
                      <w:sz w:val="24"/>
                      <w:szCs w:val="24"/>
                    </w:rPr>
                    <w:t>金额（万元）</w:t>
                  </w:r>
                </w:p>
              </w:tc>
              <w:tc>
                <w:tcPr>
                  <w:tcW w:w="2316" w:type="dxa"/>
                  <w:vAlign w:val="center"/>
                </w:tcPr>
                <w:p>
                  <w:pPr>
                    <w:spacing w:line="300" w:lineRule="auto"/>
                    <w:jc w:val="center"/>
                    <w:rPr>
                      <w:rStyle w:val="52"/>
                      <w:rFonts w:ascii="仿宋" w:hAnsi="仿宋" w:eastAsia="仿宋" w:cs="宋体"/>
                      <w:b w:val="0"/>
                      <w:color w:val="auto"/>
                      <w:sz w:val="24"/>
                      <w:szCs w:val="24"/>
                    </w:rPr>
                  </w:pPr>
                  <w:r>
                    <w:rPr>
                      <w:rStyle w:val="52"/>
                      <w:rFonts w:ascii="仿宋" w:hAnsi="仿宋" w:eastAsia="仿宋" w:cs="宋体"/>
                      <w:b w:val="0"/>
                      <w:color w:val="auto"/>
                      <w:sz w:val="24"/>
                      <w:szCs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49" w:type="dxa"/>
                  <w:vAlign w:val="center"/>
                </w:tcPr>
                <w:p>
                  <w:pPr>
                    <w:spacing w:line="300" w:lineRule="auto"/>
                    <w:jc w:val="center"/>
                    <w:rPr>
                      <w:rStyle w:val="52"/>
                      <w:rFonts w:ascii="仿宋" w:hAnsi="仿宋" w:eastAsia="仿宋" w:cs="宋体"/>
                      <w:b w:val="0"/>
                      <w:color w:val="auto"/>
                      <w:sz w:val="24"/>
                      <w:szCs w:val="24"/>
                    </w:rPr>
                  </w:pPr>
                  <w:r>
                    <w:rPr>
                      <w:rStyle w:val="52"/>
                      <w:rFonts w:hint="eastAsia" w:ascii="仿宋" w:hAnsi="仿宋" w:eastAsia="仿宋" w:cs="宋体"/>
                      <w:b w:val="0"/>
                      <w:color w:val="auto"/>
                      <w:sz w:val="24"/>
                      <w:szCs w:val="24"/>
                    </w:rPr>
                    <w:t>100（含）以下部分</w:t>
                  </w:r>
                </w:p>
              </w:tc>
              <w:tc>
                <w:tcPr>
                  <w:tcW w:w="2316" w:type="dxa"/>
                  <w:vAlign w:val="center"/>
                </w:tcPr>
                <w:p>
                  <w:pPr>
                    <w:spacing w:line="300" w:lineRule="auto"/>
                    <w:jc w:val="center"/>
                    <w:rPr>
                      <w:rStyle w:val="52"/>
                      <w:rFonts w:ascii="仿宋" w:hAnsi="仿宋" w:eastAsia="仿宋" w:cs="宋体"/>
                      <w:b w:val="0"/>
                      <w:color w:val="auto"/>
                      <w:sz w:val="24"/>
                      <w:szCs w:val="24"/>
                    </w:rPr>
                  </w:pPr>
                  <w:r>
                    <w:rPr>
                      <w:rStyle w:val="52"/>
                      <w:rFonts w:hint="eastAsia" w:ascii="仿宋" w:hAnsi="仿宋" w:eastAsia="仿宋" w:cs="宋体"/>
                      <w:b w:val="0"/>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749" w:type="dxa"/>
                  <w:vAlign w:val="center"/>
                </w:tcPr>
                <w:p>
                  <w:pPr>
                    <w:spacing w:line="300" w:lineRule="auto"/>
                    <w:jc w:val="center"/>
                    <w:rPr>
                      <w:rStyle w:val="52"/>
                      <w:rFonts w:ascii="仿宋" w:hAnsi="仿宋" w:eastAsia="仿宋" w:cs="宋体"/>
                      <w:b w:val="0"/>
                      <w:color w:val="auto"/>
                      <w:sz w:val="24"/>
                      <w:szCs w:val="24"/>
                    </w:rPr>
                  </w:pPr>
                  <w:r>
                    <w:rPr>
                      <w:rStyle w:val="52"/>
                      <w:rFonts w:hint="eastAsia" w:ascii="仿宋" w:hAnsi="仿宋" w:eastAsia="仿宋" w:cs="宋体"/>
                      <w:b w:val="0"/>
                      <w:color w:val="auto"/>
                      <w:sz w:val="24"/>
                      <w:szCs w:val="24"/>
                    </w:rPr>
                    <w:t>100（不含）～500部分</w:t>
                  </w:r>
                </w:p>
              </w:tc>
              <w:tc>
                <w:tcPr>
                  <w:tcW w:w="2316" w:type="dxa"/>
                  <w:vAlign w:val="center"/>
                </w:tcPr>
                <w:p>
                  <w:pPr>
                    <w:spacing w:line="300" w:lineRule="auto"/>
                    <w:jc w:val="center"/>
                    <w:rPr>
                      <w:rStyle w:val="52"/>
                      <w:rFonts w:ascii="仿宋" w:hAnsi="仿宋" w:eastAsia="仿宋" w:cs="宋体"/>
                      <w:b w:val="0"/>
                      <w:color w:val="auto"/>
                      <w:sz w:val="24"/>
                      <w:szCs w:val="24"/>
                    </w:rPr>
                  </w:pPr>
                  <w:r>
                    <w:rPr>
                      <w:rStyle w:val="52"/>
                      <w:rFonts w:hint="eastAsia" w:ascii="仿宋" w:hAnsi="仿宋" w:eastAsia="仿宋" w:cs="宋体"/>
                      <w:b w:val="0"/>
                      <w:color w:val="auto"/>
                      <w:sz w:val="24"/>
                      <w:szCs w:val="24"/>
                    </w:rPr>
                    <w:t>0.8%</w:t>
                  </w:r>
                </w:p>
              </w:tc>
            </w:tr>
          </w:tbl>
          <w:p>
            <w:pPr>
              <w:spacing w:line="276" w:lineRule="auto"/>
              <w:rPr>
                <w:rFonts w:ascii="仿宋" w:hAnsi="仿宋" w:eastAsia="仿宋"/>
                <w:color w:val="auto"/>
                <w:sz w:val="24"/>
                <w:szCs w:val="24"/>
              </w:rPr>
            </w:pPr>
            <w:r>
              <w:rPr>
                <w:rFonts w:hint="eastAsia" w:ascii="仿宋" w:hAnsi="仿宋" w:eastAsia="仿宋" w:cs="宋体"/>
                <w:color w:val="auto"/>
                <w:kern w:val="2"/>
                <w:sz w:val="24"/>
                <w:szCs w:val="24"/>
              </w:rPr>
              <w:t>招标代理服务费最高不超过人民币壹万伍仟元整。</w:t>
            </w:r>
          </w:p>
          <w:p>
            <w:pPr>
              <w:spacing w:line="276" w:lineRule="auto"/>
              <w:rPr>
                <w:rFonts w:ascii="仿宋" w:hAnsi="仿宋" w:eastAsia="仿宋"/>
                <w:color w:val="auto"/>
                <w:sz w:val="24"/>
                <w:szCs w:val="24"/>
              </w:rPr>
            </w:pPr>
            <w:r>
              <w:rPr>
                <w:rFonts w:hint="eastAsia" w:ascii="仿宋" w:hAnsi="仿宋" w:eastAsia="仿宋"/>
                <w:color w:val="auto"/>
                <w:sz w:val="24"/>
                <w:szCs w:val="24"/>
              </w:rPr>
              <w:t>2.收取方式：本项目的招标代理服务费由中标人支付，中标人在采购结果公告发布之日起5个工作日内一次性向采购代理机构付清。</w:t>
            </w:r>
          </w:p>
          <w:p>
            <w:pPr>
              <w:spacing w:line="276" w:lineRule="auto"/>
              <w:rPr>
                <w:rFonts w:ascii="仿宋" w:hAnsi="仿宋" w:eastAsia="仿宋"/>
                <w:color w:val="auto"/>
                <w:sz w:val="24"/>
                <w:szCs w:val="24"/>
              </w:rPr>
            </w:pPr>
            <w:r>
              <w:rPr>
                <w:rFonts w:hint="eastAsia" w:ascii="仿宋" w:hAnsi="仿宋" w:eastAsia="仿宋"/>
                <w:color w:val="auto"/>
                <w:sz w:val="24"/>
                <w:szCs w:val="24"/>
              </w:rPr>
              <w:t>3.收款账户信息：浙江新顺项目管理有限公司，开户行：浙江诸暨农村商业银行股份有限公司浣东支行，账号：</w:t>
            </w:r>
            <w:r>
              <w:rPr>
                <w:rFonts w:ascii="仿宋" w:hAnsi="仿宋" w:eastAsia="仿宋"/>
                <w:color w:val="auto"/>
                <w:sz w:val="24"/>
                <w:szCs w:val="24"/>
              </w:rPr>
              <w:t>201000214232891</w:t>
            </w:r>
            <w:r>
              <w:rPr>
                <w:rFonts w:hint="eastAsia" w:ascii="仿宋" w:hAnsi="仿宋" w:eastAsia="仿宋"/>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4" w:hRule="atLeast"/>
          <w:jc w:val="center"/>
        </w:trPr>
        <w:tc>
          <w:tcPr>
            <w:tcW w:w="704"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25</w:t>
            </w:r>
          </w:p>
        </w:tc>
        <w:tc>
          <w:tcPr>
            <w:tcW w:w="1776" w:type="dxa"/>
            <w:vAlign w:val="center"/>
          </w:tcPr>
          <w:p>
            <w:pPr>
              <w:pStyle w:val="26"/>
              <w:spacing w:line="300" w:lineRule="auto"/>
              <w:jc w:val="center"/>
              <w:rPr>
                <w:rFonts w:ascii="仿宋" w:hAnsi="仿宋" w:eastAsia="仿宋"/>
                <w:b/>
                <w:szCs w:val="24"/>
              </w:rPr>
            </w:pPr>
            <w:r>
              <w:rPr>
                <w:rFonts w:hint="eastAsia" w:ascii="仿宋" w:hAnsi="仿宋" w:eastAsia="仿宋"/>
                <w:b/>
                <w:szCs w:val="24"/>
              </w:rPr>
              <w:t>特别提醒</w:t>
            </w:r>
          </w:p>
        </w:tc>
        <w:tc>
          <w:tcPr>
            <w:tcW w:w="7589" w:type="dxa"/>
            <w:vAlign w:val="center"/>
          </w:tcPr>
          <w:p>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2、如本前附表规定与投标人须知条款的内容有不一致的，以本前附表为准。</w:t>
            </w:r>
          </w:p>
        </w:tc>
      </w:tr>
    </w:tbl>
    <w:p>
      <w:pPr>
        <w:rPr>
          <w:rFonts w:ascii="宋体" w:hAnsi="宋体"/>
          <w:color w:val="auto"/>
        </w:rPr>
      </w:pPr>
    </w:p>
    <w:p>
      <w:pPr>
        <w:rPr>
          <w:rFonts w:ascii="宋体" w:hAnsi="宋体"/>
          <w:color w:val="auto"/>
        </w:rPr>
        <w:sectPr>
          <w:pgSz w:w="11906" w:h="16838"/>
          <w:pgMar w:top="1134" w:right="1247" w:bottom="1021" w:left="1247" w:header="284" w:footer="454" w:gutter="0"/>
          <w:pgNumType w:fmt="numberInDash"/>
          <w:cols w:space="720" w:num="1"/>
          <w:titlePg/>
          <w:docGrid w:type="lines" w:linePitch="312" w:charSpace="0"/>
        </w:sectPr>
      </w:pPr>
    </w:p>
    <w:bookmarkEnd w:id="2"/>
    <w:p>
      <w:pPr>
        <w:pStyle w:val="4"/>
        <w:spacing w:before="0" w:after="0" w:line="240" w:lineRule="auto"/>
        <w:jc w:val="center"/>
        <w:rPr>
          <w:rFonts w:ascii="仿宋" w:hAnsi="仿宋" w:eastAsia="仿宋"/>
          <w:color w:val="auto"/>
          <w:sz w:val="28"/>
          <w:szCs w:val="28"/>
        </w:rPr>
      </w:pPr>
      <w:r>
        <w:rPr>
          <w:rFonts w:hint="eastAsia" w:ascii="仿宋" w:hAnsi="仿宋" w:eastAsia="仿宋"/>
          <w:color w:val="auto"/>
          <w:sz w:val="28"/>
          <w:szCs w:val="28"/>
        </w:rPr>
        <w:t>一、总   则</w:t>
      </w:r>
    </w:p>
    <w:p>
      <w:pPr>
        <w:spacing w:line="276" w:lineRule="auto"/>
        <w:ind w:firstLine="472" w:firstLineChars="196"/>
        <w:rPr>
          <w:rFonts w:ascii="仿宋" w:hAnsi="仿宋" w:eastAsia="仿宋"/>
          <w:b/>
          <w:color w:val="auto"/>
        </w:rPr>
      </w:pPr>
      <w:r>
        <w:rPr>
          <w:rFonts w:hint="eastAsia" w:ascii="仿宋" w:hAnsi="仿宋" w:eastAsia="仿宋"/>
          <w:b/>
          <w:bCs/>
          <w:color w:val="auto"/>
          <w:sz w:val="24"/>
        </w:rPr>
        <w:t>1.</w:t>
      </w:r>
      <w:r>
        <w:rPr>
          <w:rFonts w:ascii="仿宋" w:hAnsi="仿宋" w:eastAsia="仿宋"/>
          <w:b/>
          <w:color w:val="auto"/>
          <w:sz w:val="24"/>
        </w:rPr>
        <w:t>适用范围</w:t>
      </w:r>
    </w:p>
    <w:p>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本招标文件适用于本次所述项目的招标、投标、开标、</w:t>
      </w:r>
      <w:r>
        <w:rPr>
          <w:rFonts w:hint="eastAsia" w:ascii="仿宋" w:hAnsi="仿宋" w:eastAsia="仿宋" w:cs="宋体"/>
          <w:color w:val="auto"/>
          <w:sz w:val="24"/>
        </w:rPr>
        <w:t>资格审查与信用信息查询、评标、定标、合同、验收等行为（法律、法规另有规定的，从其规定）。</w:t>
      </w:r>
    </w:p>
    <w:p>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2.定义</w:t>
      </w:r>
    </w:p>
    <w:p>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2.1“采购</w:t>
      </w:r>
      <w:r>
        <w:rPr>
          <w:rFonts w:ascii="仿宋" w:hAnsi="仿宋" w:eastAsia="仿宋"/>
          <w:color w:val="auto"/>
          <w:sz w:val="24"/>
        </w:rPr>
        <w:t>人</w:t>
      </w:r>
      <w:r>
        <w:rPr>
          <w:rFonts w:hint="eastAsia" w:ascii="仿宋" w:hAnsi="仿宋" w:eastAsia="仿宋"/>
          <w:color w:val="auto"/>
          <w:sz w:val="24"/>
        </w:rPr>
        <w:t>”</w:t>
      </w:r>
      <w:r>
        <w:rPr>
          <w:rFonts w:ascii="仿宋" w:hAnsi="仿宋" w:eastAsia="仿宋"/>
          <w:color w:val="auto"/>
          <w:sz w:val="24"/>
        </w:rPr>
        <w:t>系指依法进行政府采购的国家机关、事业单位、团体组织，详见本项目招标公告。</w:t>
      </w:r>
    </w:p>
    <w:p>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2.2</w:t>
      </w:r>
      <w:r>
        <w:rPr>
          <w:rFonts w:ascii="仿宋" w:hAnsi="仿宋" w:eastAsia="仿宋"/>
          <w:color w:val="auto"/>
          <w:sz w:val="24"/>
        </w:rPr>
        <w:t>“</w:t>
      </w:r>
      <w:r>
        <w:rPr>
          <w:rFonts w:hint="eastAsia" w:ascii="仿宋" w:hAnsi="仿宋" w:eastAsia="仿宋"/>
          <w:color w:val="auto"/>
          <w:sz w:val="24"/>
        </w:rPr>
        <w:t>采购代理机构</w:t>
      </w:r>
      <w:r>
        <w:rPr>
          <w:rFonts w:ascii="仿宋" w:hAnsi="仿宋" w:eastAsia="仿宋"/>
          <w:color w:val="auto"/>
          <w:sz w:val="24"/>
        </w:rPr>
        <w:t>”系指组织本次采购的</w:t>
      </w:r>
      <w:r>
        <w:rPr>
          <w:rFonts w:hint="eastAsia" w:ascii="仿宋" w:hAnsi="仿宋" w:eastAsia="仿宋"/>
          <w:color w:val="auto"/>
          <w:sz w:val="24"/>
        </w:rPr>
        <w:t>浙江新顺项目管理有限公司</w:t>
      </w:r>
      <w:r>
        <w:rPr>
          <w:rFonts w:ascii="仿宋" w:hAnsi="仿宋" w:eastAsia="仿宋"/>
          <w:color w:val="auto"/>
          <w:sz w:val="24"/>
        </w:rPr>
        <w:t>。</w:t>
      </w:r>
    </w:p>
    <w:p>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2.3“</w:t>
      </w:r>
      <w:r>
        <w:rPr>
          <w:rFonts w:ascii="仿宋" w:hAnsi="仿宋" w:eastAsia="仿宋"/>
          <w:color w:val="auto"/>
          <w:sz w:val="24"/>
        </w:rPr>
        <w:t>投标人”系指</w:t>
      </w:r>
      <w:r>
        <w:rPr>
          <w:rFonts w:hint="eastAsia" w:ascii="仿宋" w:hAnsi="仿宋" w:eastAsia="仿宋" w:cs="宋体"/>
          <w:color w:val="auto"/>
          <w:sz w:val="24"/>
        </w:rPr>
        <w:t>响应招标、参加投标竞争的供应商，包括法人或者其他组织等。</w:t>
      </w:r>
    </w:p>
    <w:p>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2.4“负责人”系指单位法定代表人或者法律、行政法规规定代表单位行使职权的主要负责人，或自然人本人。</w:t>
      </w:r>
    </w:p>
    <w:p>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2.5“电子签名”系指数据电文中以电子形式所含、所附用于识别签名人身份并表明签名人认可其中内容的数据；“公章”系指单位法定名称章。</w:t>
      </w:r>
    </w:p>
    <w:p>
      <w:pPr>
        <w:snapToGrid w:val="0"/>
        <w:spacing w:line="276" w:lineRule="auto"/>
        <w:ind w:firstLine="480" w:firstLineChars="200"/>
        <w:jc w:val="left"/>
        <w:rPr>
          <w:rFonts w:ascii="仿宋" w:hAnsi="仿宋" w:eastAsia="仿宋"/>
          <w:bCs/>
          <w:color w:val="auto"/>
          <w:sz w:val="24"/>
        </w:rPr>
      </w:pPr>
      <w:r>
        <w:rPr>
          <w:rFonts w:hint="eastAsia" w:ascii="仿宋" w:hAnsi="仿宋" w:eastAsia="仿宋"/>
          <w:bCs/>
          <w:color w:val="auto"/>
          <w:sz w:val="24"/>
        </w:rPr>
        <w:t>2.6</w:t>
      </w:r>
      <w:r>
        <w:rPr>
          <w:rFonts w:ascii="仿宋" w:hAnsi="仿宋" w:eastAsia="仿宋"/>
          <w:bCs/>
          <w:color w:val="auto"/>
          <w:sz w:val="24"/>
        </w:rPr>
        <w:t>“电子交易平台”</w:t>
      </w:r>
      <w:r>
        <w:rPr>
          <w:rFonts w:hint="eastAsia" w:ascii="仿宋" w:hAnsi="仿宋" w:eastAsia="仿宋"/>
          <w:bCs/>
          <w:color w:val="auto"/>
          <w:sz w:val="24"/>
        </w:rPr>
        <w:t>系指</w:t>
      </w:r>
      <w:r>
        <w:rPr>
          <w:rFonts w:ascii="仿宋" w:hAnsi="仿宋" w:eastAsia="仿宋"/>
          <w:bCs/>
          <w:color w:val="auto"/>
          <w:sz w:val="24"/>
        </w:rPr>
        <w:t>本项目政府采购活动所依托的政府采购云平台</w:t>
      </w:r>
      <w:r>
        <w:rPr>
          <w:rFonts w:hAnsi="仿宋" w:eastAsia="仿宋"/>
          <w:bCs/>
          <w:color w:val="auto"/>
          <w:sz w:val="24"/>
        </w:rPr>
        <w:t>，详见本项目招标公告</w:t>
      </w:r>
      <w:r>
        <w:rPr>
          <w:rFonts w:ascii="仿宋" w:hAnsi="仿宋" w:eastAsia="仿宋"/>
          <w:bCs/>
          <w:color w:val="auto"/>
          <w:sz w:val="24"/>
        </w:rPr>
        <w:t>。</w:t>
      </w:r>
    </w:p>
    <w:p>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2.7“电子加密投标文件”系指</w:t>
      </w:r>
      <w:r>
        <w:rPr>
          <w:rFonts w:hint="eastAsia" w:ascii="仿宋" w:hAnsi="仿宋" w:eastAsia="仿宋"/>
          <w:bCs/>
          <w:color w:val="auto"/>
          <w:spacing w:val="-6"/>
          <w:sz w:val="24"/>
          <w:szCs w:val="24"/>
        </w:rPr>
        <w:t>通过“政采云电子交易客户端”完成投标文件编制后生成并加密的数据电文形式的投标文件。</w:t>
      </w:r>
    </w:p>
    <w:p>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2.8</w:t>
      </w:r>
      <w:r>
        <w:rPr>
          <w:rFonts w:ascii="仿宋" w:hAnsi="仿宋" w:eastAsia="仿宋"/>
          <w:color w:val="auto"/>
          <w:sz w:val="24"/>
        </w:rPr>
        <w:t>“</w:t>
      </w:r>
      <w:r>
        <w:rPr>
          <w:rFonts w:hint="eastAsia" w:ascii="仿宋" w:hAnsi="仿宋" w:eastAsia="仿宋"/>
          <w:color w:val="auto"/>
          <w:sz w:val="24"/>
        </w:rPr>
        <w:t>★</w:t>
      </w:r>
      <w:r>
        <w:rPr>
          <w:rFonts w:ascii="仿宋" w:hAnsi="仿宋" w:eastAsia="仿宋"/>
          <w:color w:val="auto"/>
          <w:sz w:val="24"/>
        </w:rPr>
        <w:t>”系指实质性要求条款；“</w:t>
      </w:r>
      <w:r>
        <w:rPr>
          <w:rFonts w:ascii="仿宋" w:hAnsi="仿宋" w:eastAsia="仿宋"/>
          <w:color w:val="auto"/>
          <w:sz w:val="24"/>
        </w:rPr>
        <w:sym w:font="Wingdings" w:char="F0FE"/>
      </w:r>
      <w:r>
        <w:rPr>
          <w:rFonts w:ascii="仿宋" w:hAnsi="仿宋" w:eastAsia="仿宋"/>
          <w:color w:val="auto"/>
          <w:sz w:val="24"/>
        </w:rPr>
        <w:t>”系指适用本项目的要求；“</w:t>
      </w:r>
      <w:r>
        <w:rPr>
          <w:rFonts w:hint="eastAsia" w:ascii="仿宋" w:hAnsi="仿宋" w:eastAsia="仿宋"/>
          <w:color w:val="auto"/>
          <w:sz w:val="24"/>
        </w:rPr>
        <w:t>□</w:t>
      </w:r>
      <w:r>
        <w:rPr>
          <w:rFonts w:ascii="仿宋" w:hAnsi="仿宋" w:eastAsia="仿宋"/>
          <w:color w:val="auto"/>
          <w:sz w:val="24"/>
        </w:rPr>
        <w:t>”系指不适用本项目的要求。</w:t>
      </w:r>
    </w:p>
    <w:p>
      <w:pPr>
        <w:snapToGrid w:val="0"/>
        <w:spacing w:line="276" w:lineRule="auto"/>
        <w:ind w:firstLine="472" w:firstLineChars="196"/>
        <w:jc w:val="left"/>
        <w:rPr>
          <w:rFonts w:ascii="仿宋" w:hAnsi="仿宋" w:eastAsia="仿宋"/>
          <w:b/>
          <w:color w:val="auto"/>
          <w:sz w:val="24"/>
        </w:rPr>
      </w:pPr>
      <w:r>
        <w:rPr>
          <w:rFonts w:hint="eastAsia" w:ascii="仿宋" w:hAnsi="仿宋" w:eastAsia="仿宋"/>
          <w:b/>
          <w:color w:val="auto"/>
          <w:sz w:val="24"/>
        </w:rPr>
        <w:t>3.采购方式</w:t>
      </w:r>
    </w:p>
    <w:p>
      <w:pPr>
        <w:snapToGrid w:val="0"/>
        <w:spacing w:line="276" w:lineRule="auto"/>
        <w:ind w:firstLine="480" w:firstLineChars="200"/>
        <w:jc w:val="left"/>
        <w:rPr>
          <w:rFonts w:ascii="仿宋" w:hAnsi="仿宋" w:eastAsia="仿宋"/>
          <w:color w:val="auto"/>
          <w:sz w:val="24"/>
        </w:rPr>
      </w:pPr>
      <w:r>
        <w:rPr>
          <w:rFonts w:ascii="仿宋" w:hAnsi="仿宋" w:eastAsia="仿宋"/>
          <w:color w:val="auto"/>
          <w:sz w:val="24"/>
        </w:rPr>
        <w:t>本次</w:t>
      </w:r>
      <w:r>
        <w:rPr>
          <w:rFonts w:hint="eastAsia" w:ascii="仿宋" w:hAnsi="仿宋" w:eastAsia="仿宋"/>
          <w:color w:val="auto"/>
          <w:sz w:val="24"/>
        </w:rPr>
        <w:t>采购</w:t>
      </w:r>
      <w:r>
        <w:rPr>
          <w:rFonts w:ascii="仿宋" w:hAnsi="仿宋" w:eastAsia="仿宋"/>
          <w:color w:val="auto"/>
          <w:sz w:val="24"/>
        </w:rPr>
        <w:t>采用公开招标方式进行。</w:t>
      </w:r>
    </w:p>
    <w:p>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4.投标委托</w:t>
      </w:r>
    </w:p>
    <w:p>
      <w:pPr>
        <w:snapToGrid w:val="0"/>
        <w:spacing w:line="276" w:lineRule="auto"/>
        <w:ind w:firstLine="480" w:firstLineChars="200"/>
        <w:jc w:val="left"/>
        <w:rPr>
          <w:rFonts w:ascii="仿宋" w:hAnsi="仿宋" w:eastAsia="仿宋"/>
          <w:color w:val="auto"/>
          <w:sz w:val="24"/>
        </w:rPr>
      </w:pPr>
      <w:r>
        <w:rPr>
          <w:rFonts w:ascii="仿宋" w:hAnsi="仿宋" w:eastAsia="仿宋"/>
          <w:color w:val="auto"/>
          <w:sz w:val="24"/>
        </w:rPr>
        <w:t>投标人代表不是法定代表人、单位负责人或自然人本人，应当按招标文件要求提供授权委托书。投标人代表是</w:t>
      </w:r>
      <w:r>
        <w:rPr>
          <w:rFonts w:hint="eastAsia" w:ascii="仿宋" w:hAnsi="仿宋" w:eastAsia="仿宋"/>
          <w:color w:val="auto"/>
          <w:sz w:val="24"/>
        </w:rPr>
        <w:t>法定代表人、单位负责人或自然人本人的，投标文件中只需提供法定代表人、单位负责人或自然人本人身份证件复印件并按招标文件要求签署或盖章。</w:t>
      </w:r>
    </w:p>
    <w:p>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5.投标费用</w:t>
      </w:r>
    </w:p>
    <w:p>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投标人应自行承担获得招标文件和编制、提交投标文件所涉及的一切费用。不论投标结果如何，投标人均应自行承担所有与投标有关的全部费用。对中标人收取政府采购代理服务费。</w:t>
      </w:r>
    </w:p>
    <w:p>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6.联合体投标</w:t>
      </w:r>
    </w:p>
    <w:p>
      <w:pPr>
        <w:pStyle w:val="26"/>
        <w:snapToGrid w:val="0"/>
        <w:spacing w:line="276" w:lineRule="auto"/>
        <w:ind w:firstLine="480" w:firstLineChars="200"/>
        <w:jc w:val="left"/>
        <w:rPr>
          <w:rFonts w:ascii="仿宋" w:hAnsi="仿宋" w:eastAsia="仿宋"/>
        </w:rPr>
      </w:pPr>
      <w:r>
        <w:rPr>
          <w:rFonts w:ascii="仿宋" w:hAnsi="仿宋" w:eastAsia="仿宋"/>
        </w:rPr>
        <w:t>本项目</w:t>
      </w:r>
      <w:r>
        <w:rPr>
          <w:rFonts w:hint="eastAsia" w:ascii="仿宋" w:hAnsi="仿宋" w:eastAsia="仿宋"/>
          <w:szCs w:val="24"/>
          <w:u w:val="single"/>
        </w:rPr>
        <w:t>不接受</w:t>
      </w:r>
      <w:r>
        <w:rPr>
          <w:rFonts w:ascii="仿宋" w:hAnsi="仿宋" w:eastAsia="仿宋"/>
        </w:rPr>
        <w:t>联合体投标。</w:t>
      </w:r>
    </w:p>
    <w:p>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7.转包、分包</w:t>
      </w:r>
    </w:p>
    <w:p>
      <w:pPr>
        <w:snapToGrid w:val="0"/>
        <w:spacing w:line="276" w:lineRule="auto"/>
        <w:ind w:firstLine="470" w:firstLineChars="196"/>
        <w:jc w:val="left"/>
        <w:outlineLvl w:val="1"/>
        <w:rPr>
          <w:rFonts w:ascii="仿宋" w:hAnsi="仿宋" w:eastAsia="仿宋"/>
          <w:color w:val="auto"/>
          <w:sz w:val="24"/>
        </w:rPr>
      </w:pPr>
      <w:r>
        <w:rPr>
          <w:rFonts w:hint="eastAsia" w:ascii="仿宋" w:hAnsi="仿宋" w:eastAsia="仿宋"/>
          <w:color w:val="auto"/>
          <w:sz w:val="24"/>
        </w:rPr>
        <w:t>7.1转包：本项目不允许转包。</w:t>
      </w:r>
    </w:p>
    <w:p>
      <w:pPr>
        <w:snapToGrid w:val="0"/>
        <w:spacing w:line="276" w:lineRule="auto"/>
        <w:ind w:firstLine="470" w:firstLineChars="196"/>
        <w:jc w:val="left"/>
        <w:outlineLvl w:val="1"/>
        <w:rPr>
          <w:rFonts w:ascii="仿宋" w:hAnsi="仿宋" w:eastAsia="仿宋"/>
          <w:color w:val="auto"/>
          <w:sz w:val="24"/>
        </w:rPr>
      </w:pPr>
      <w:r>
        <w:rPr>
          <w:rFonts w:hint="eastAsia" w:ascii="仿宋" w:hAnsi="仿宋" w:eastAsia="仿宋"/>
          <w:color w:val="auto"/>
          <w:sz w:val="24"/>
        </w:rPr>
        <w:t>7.2分包：</w:t>
      </w:r>
      <w:r>
        <w:rPr>
          <w:rFonts w:hint="eastAsia" w:ascii="仿宋" w:hAnsi="仿宋" w:eastAsia="仿宋"/>
          <w:color w:val="auto"/>
          <w:sz w:val="24"/>
          <w:u w:val="single"/>
        </w:rPr>
        <w:t>具体见第二章《投标人须知前附表》</w:t>
      </w:r>
      <w:r>
        <w:rPr>
          <w:rFonts w:hint="eastAsia" w:ascii="仿宋" w:hAnsi="仿宋" w:eastAsia="仿宋"/>
          <w:color w:val="auto"/>
          <w:sz w:val="24"/>
        </w:rPr>
        <w:t>。《投标人须知前附表》若声明允许分包的，投标人可以根据招标文件的规定和采购项目的实际情况进行分包。投标人根据招标文件的规定和采购项目的实际情况，拟在中标后将中标项目的非主体、非关键性工作分包的，应当在投标文件中载明分包承担主体，分包承担主体应当具备相应资质条件且不得再次分包。</w:t>
      </w:r>
    </w:p>
    <w:p>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8.采购项目需要落实的政府采购政策</w:t>
      </w:r>
    </w:p>
    <w:p>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8.1采购进口产品</w:t>
      </w:r>
    </w:p>
    <w:p>
      <w:pPr>
        <w:pStyle w:val="26"/>
        <w:snapToGrid w:val="0"/>
        <w:spacing w:line="276" w:lineRule="auto"/>
        <w:ind w:left="1" w:firstLine="480" w:firstLineChars="200"/>
        <w:rPr>
          <w:rFonts w:ascii="仿宋" w:hAnsi="仿宋" w:eastAsia="仿宋"/>
        </w:rPr>
      </w:pPr>
      <w:r>
        <w:rPr>
          <w:rFonts w:hint="eastAsia" w:ascii="仿宋" w:hAnsi="仿宋" w:eastAsia="仿宋"/>
        </w:rPr>
        <w:t>8.1.1</w:t>
      </w:r>
      <w:r>
        <w:rPr>
          <w:rFonts w:ascii="仿宋" w:hAnsi="仿宋" w:eastAsia="仿宋"/>
        </w:rPr>
        <w:t>本项目是否允许采购进口产品：</w:t>
      </w:r>
      <w:r>
        <w:rPr>
          <w:rFonts w:hint="eastAsia" w:ascii="仿宋" w:hAnsi="仿宋" w:eastAsia="仿宋"/>
          <w:u w:val="single"/>
        </w:rPr>
        <w:t>具体见第二章《投标人须知前附表》</w:t>
      </w:r>
      <w:r>
        <w:rPr>
          <w:rFonts w:hint="eastAsia" w:ascii="仿宋" w:hAnsi="仿宋" w:eastAsia="仿宋"/>
        </w:rPr>
        <w:t>。</w:t>
      </w:r>
    </w:p>
    <w:p>
      <w:pPr>
        <w:pStyle w:val="26"/>
        <w:snapToGrid w:val="0"/>
        <w:spacing w:line="276" w:lineRule="auto"/>
        <w:ind w:left="1" w:firstLine="480" w:firstLineChars="200"/>
        <w:rPr>
          <w:rFonts w:ascii="仿宋" w:hAnsi="仿宋" w:eastAsia="仿宋"/>
        </w:rPr>
      </w:pPr>
      <w:r>
        <w:rPr>
          <w:rFonts w:hint="eastAsia" w:ascii="仿宋" w:hAnsi="仿宋" w:eastAsia="仿宋"/>
        </w:rPr>
        <w:t>8.1.2《投标人须知前附表》若声明允许采购进口产品的，则允许进口产品参加投标（但如果因信息不对称等原因，仍有满足需求的国内产品要求参与采购竞争的，采购人、采购代理机构不会对其加以限制，仍将按照公平竞争原则实施采购）；若声明不允许采购进口产品的，则不允许进口产品参加投标。</w:t>
      </w:r>
    </w:p>
    <w:p>
      <w:pPr>
        <w:pStyle w:val="26"/>
        <w:snapToGrid w:val="0"/>
        <w:spacing w:line="276" w:lineRule="auto"/>
        <w:ind w:left="1" w:firstLine="480" w:firstLineChars="200"/>
        <w:rPr>
          <w:rFonts w:ascii="仿宋" w:hAnsi="仿宋" w:eastAsia="仿宋"/>
        </w:rPr>
      </w:pPr>
      <w:r>
        <w:rPr>
          <w:rFonts w:hint="eastAsia" w:ascii="仿宋" w:hAnsi="仿宋" w:eastAsia="仿宋"/>
        </w:rPr>
        <w:t>8.2支持绿色发展</w:t>
      </w:r>
    </w:p>
    <w:p>
      <w:pPr>
        <w:pStyle w:val="26"/>
        <w:snapToGrid w:val="0"/>
        <w:spacing w:line="276" w:lineRule="auto"/>
        <w:ind w:left="1" w:firstLine="480" w:firstLineChars="200"/>
        <w:rPr>
          <w:rFonts w:ascii="仿宋" w:hAnsi="仿宋" w:eastAsia="仿宋"/>
        </w:rPr>
      </w:pPr>
      <w:r>
        <w:rPr>
          <w:rFonts w:hint="eastAsia" w:ascii="仿宋" w:hAnsi="仿宋" w:eastAsia="仿宋"/>
        </w:rPr>
        <w:t>8</w:t>
      </w:r>
      <w:r>
        <w:rPr>
          <w:rFonts w:ascii="仿宋" w:hAnsi="仿宋" w:eastAsia="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rPr>
        <w:t>。</w:t>
      </w:r>
    </w:p>
    <w:p>
      <w:pPr>
        <w:pStyle w:val="26"/>
        <w:snapToGrid w:val="0"/>
        <w:spacing w:line="276" w:lineRule="auto"/>
        <w:ind w:left="1" w:firstLine="480" w:firstLineChars="200"/>
        <w:rPr>
          <w:rFonts w:ascii="仿宋" w:hAnsi="仿宋" w:eastAsia="仿宋"/>
        </w:rPr>
      </w:pPr>
      <w:r>
        <w:rPr>
          <w:rFonts w:hint="eastAsia" w:ascii="仿宋" w:hAnsi="仿宋" w:eastAsia="仿宋"/>
        </w:rPr>
        <w:t>8</w:t>
      </w:r>
      <w:r>
        <w:rPr>
          <w:rFonts w:ascii="仿宋" w:hAnsi="仿宋" w:eastAsia="仿宋"/>
        </w:rPr>
        <w:t xml:space="preserve">.2.2 </w:t>
      </w:r>
      <w:r>
        <w:rPr>
          <w:rFonts w:hint="eastAsia" w:ascii="仿宋" w:hAnsi="仿宋" w:eastAsia="仿宋"/>
        </w:rPr>
        <w:t>修缮、装修类项目采购建材的，采购人应将绿色建筑和绿色建材性能、指标等作为实质性条件纳入招标文件和合同。</w:t>
      </w:r>
    </w:p>
    <w:p>
      <w:pPr>
        <w:pStyle w:val="26"/>
        <w:snapToGrid w:val="0"/>
        <w:spacing w:line="276" w:lineRule="auto"/>
        <w:ind w:left="1" w:firstLine="480" w:firstLineChars="200"/>
        <w:rPr>
          <w:rFonts w:ascii="仿宋" w:hAnsi="仿宋" w:eastAsia="仿宋"/>
        </w:rPr>
      </w:pPr>
      <w:r>
        <w:rPr>
          <w:rFonts w:hint="eastAsia" w:ascii="仿宋" w:hAnsi="仿宋" w:eastAsia="仿宋"/>
        </w:rPr>
        <w:t>8</w:t>
      </w:r>
      <w:r>
        <w:rPr>
          <w:rFonts w:ascii="仿宋" w:hAnsi="仿宋" w:eastAsia="仿宋"/>
        </w:rPr>
        <w:t>.2.3</w:t>
      </w:r>
      <w:r>
        <w:rPr>
          <w:rFonts w:hint="eastAsia" w:ascii="仿宋" w:hAnsi="仿宋" w:eastAsia="仿宋"/>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26"/>
        <w:snapToGrid w:val="0"/>
        <w:spacing w:line="276" w:lineRule="auto"/>
        <w:ind w:left="1" w:firstLine="480" w:firstLineChars="200"/>
        <w:rPr>
          <w:rFonts w:ascii="仿宋" w:hAnsi="仿宋" w:eastAsia="仿宋"/>
        </w:rPr>
      </w:pPr>
      <w:r>
        <w:rPr>
          <w:rFonts w:hint="eastAsia" w:ascii="仿宋" w:hAnsi="仿宋" w:eastAsia="仿宋"/>
        </w:rPr>
        <w:t>8.3支持中小企业发展</w:t>
      </w:r>
    </w:p>
    <w:p>
      <w:pPr>
        <w:spacing w:line="276" w:lineRule="auto"/>
        <w:ind w:firstLine="480" w:firstLineChars="200"/>
        <w:rPr>
          <w:rFonts w:ascii="仿宋" w:hAnsi="仿宋" w:eastAsia="仿宋"/>
          <w:bCs/>
          <w:color w:val="auto"/>
          <w:sz w:val="24"/>
        </w:rPr>
      </w:pPr>
      <w:r>
        <w:rPr>
          <w:rFonts w:hint="eastAsia" w:ascii="仿宋" w:hAnsi="仿宋" w:eastAsia="仿宋" w:cstheme="minorBidi"/>
          <w:color w:val="auto"/>
          <w:kern w:val="2"/>
          <w:sz w:val="24"/>
          <w:szCs w:val="22"/>
        </w:rPr>
        <w:t>8.3.1</w:t>
      </w:r>
      <w:r>
        <w:rPr>
          <w:rFonts w:hint="eastAsia" w:ascii="仿宋" w:hAnsi="仿宋" w:eastAsia="仿宋"/>
          <w:bCs/>
          <w:color w:val="auto"/>
          <w:sz w:val="24"/>
        </w:rPr>
        <w:t>根据《政府采购促进中小企业发展管理办法》（财库〔2020〕46号）相关规定：</w:t>
      </w:r>
    </w:p>
    <w:p>
      <w:pPr>
        <w:spacing w:line="276" w:lineRule="auto"/>
        <w:ind w:firstLine="360" w:firstLineChars="150"/>
        <w:rPr>
          <w:rFonts w:ascii="仿宋" w:hAnsi="仿宋" w:eastAsia="仿宋"/>
          <w:bCs/>
          <w:color w:val="auto"/>
          <w:sz w:val="24"/>
        </w:rPr>
      </w:pPr>
      <w:r>
        <w:rPr>
          <w:rFonts w:hint="eastAsia" w:ascii="仿宋" w:hAnsi="仿宋" w:eastAsia="仿宋"/>
          <w:bCs/>
          <w:color w:val="auto"/>
          <w:sz w:val="24"/>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276" w:lineRule="auto"/>
        <w:ind w:firstLine="360" w:firstLineChars="150"/>
        <w:rPr>
          <w:rFonts w:ascii="仿宋" w:hAnsi="仿宋" w:eastAsia="仿宋"/>
          <w:bCs/>
          <w:color w:val="auto"/>
          <w:sz w:val="24"/>
        </w:rPr>
      </w:pPr>
      <w:r>
        <w:rPr>
          <w:rFonts w:hint="eastAsia" w:ascii="仿宋" w:hAnsi="仿宋" w:eastAsia="仿宋"/>
          <w:bCs/>
          <w:color w:val="auto"/>
          <w:sz w:val="24"/>
        </w:rPr>
        <w:t>（2）在政府采购活动中，供应商提供的货物或者服务符合下列情形的，方可享受中小企业扶持政策：</w:t>
      </w:r>
    </w:p>
    <w:p>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①在货物采购项目中，货物由中小企业制造，即货物由中小企业生产且使用该中小企业商号或者注册商标。供应商提供的货物既有中小企业制造货物，也有大型企业制造货物的，不享受中小企业扶持政策。</w:t>
      </w:r>
    </w:p>
    <w:p>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②在服务采购项目中，服务由中小企业承接，即提供服务的人员为中小企业依照《中华人民共和国劳动合同法》订立劳动合同的从业人员。</w:t>
      </w:r>
    </w:p>
    <w:p>
      <w:pPr>
        <w:spacing w:line="276" w:lineRule="auto"/>
        <w:ind w:firstLine="360" w:firstLineChars="150"/>
        <w:rPr>
          <w:rFonts w:ascii="仿宋" w:hAnsi="仿宋" w:eastAsia="仿宋"/>
          <w:bCs/>
          <w:color w:val="auto"/>
          <w:sz w:val="24"/>
        </w:rPr>
      </w:pPr>
      <w:r>
        <w:rPr>
          <w:rFonts w:hint="eastAsia" w:ascii="仿宋" w:hAnsi="仿宋" w:eastAsia="仿宋"/>
          <w:bCs/>
          <w:color w:val="auto"/>
          <w:sz w:val="24"/>
        </w:rPr>
        <w:t>（3）如接受联合体投标时，联合体各方均为中小企业的，联合体视同中小企业。其中，联合体各方均为小微企业的，联合体视同小微企业。</w:t>
      </w:r>
    </w:p>
    <w:p>
      <w:pPr>
        <w:spacing w:line="276" w:lineRule="auto"/>
        <w:ind w:firstLine="360" w:firstLineChars="150"/>
        <w:rPr>
          <w:rFonts w:ascii="仿宋" w:hAnsi="仿宋" w:eastAsia="仿宋"/>
          <w:bCs/>
          <w:color w:val="auto"/>
          <w:sz w:val="24"/>
          <w:u w:val="single"/>
        </w:rPr>
      </w:pPr>
      <w:r>
        <w:rPr>
          <w:rFonts w:hint="eastAsia" w:ascii="仿宋" w:hAnsi="仿宋" w:eastAsia="仿宋"/>
          <w:bCs/>
          <w:color w:val="auto"/>
          <w:sz w:val="24"/>
        </w:rPr>
        <w:t>8.3.2对于未预留份额专门面向中小企业的政府采购货物或服务项目，以及预留份额政府采购货物或服务项目中的非预留部分标项，对小型和微型企业的投标报价给予2</w:t>
      </w:r>
      <w:r>
        <w:rPr>
          <w:rFonts w:ascii="仿宋" w:hAnsi="仿宋" w:eastAsia="仿宋"/>
          <w:bCs/>
          <w:color w:val="auto"/>
          <w:sz w:val="24"/>
        </w:rPr>
        <w:t>0%的扣除，用扣除后的价格参与评审。如接受大中型企业与小微企业组成联合体或者允许大中型企业向一家或者多家小微企业分包的</w:t>
      </w:r>
      <w:r>
        <w:rPr>
          <w:rFonts w:hint="eastAsia" w:ascii="仿宋" w:hAnsi="仿宋" w:eastAsia="仿宋"/>
          <w:bCs/>
          <w:color w:val="auto"/>
          <w:sz w:val="24"/>
        </w:rPr>
        <w:t>政府</w:t>
      </w:r>
      <w:r>
        <w:rPr>
          <w:rFonts w:ascii="仿宋" w:hAnsi="仿宋" w:eastAsia="仿宋"/>
          <w:bCs/>
          <w:color w:val="auto"/>
          <w:sz w:val="24"/>
        </w:rPr>
        <w:t>采购</w:t>
      </w:r>
      <w:r>
        <w:rPr>
          <w:rFonts w:hint="eastAsia" w:ascii="仿宋" w:hAnsi="仿宋" w:eastAsia="仿宋"/>
          <w:bCs/>
          <w:color w:val="auto"/>
          <w:sz w:val="24"/>
        </w:rPr>
        <w:t>货物或服务</w:t>
      </w:r>
      <w:r>
        <w:rPr>
          <w:rFonts w:ascii="仿宋" w:hAnsi="仿宋" w:eastAsia="仿宋"/>
          <w:bCs/>
          <w:color w:val="auto"/>
          <w:sz w:val="24"/>
        </w:rPr>
        <w:t>项目，对于联合协议或者分包意向协议约定小微企业的合同份额占到合同总金额30%以上的，对联合体或者大中型企业的报价给予</w:t>
      </w:r>
      <w:r>
        <w:rPr>
          <w:rFonts w:hint="eastAsia" w:ascii="仿宋" w:hAnsi="仿宋" w:eastAsia="仿宋"/>
          <w:bCs/>
          <w:color w:val="auto"/>
          <w:sz w:val="24"/>
        </w:rPr>
        <w:t>6</w:t>
      </w:r>
      <w:r>
        <w:rPr>
          <w:rFonts w:ascii="仿宋" w:hAnsi="仿宋" w:eastAsia="仿宋"/>
          <w:bCs/>
          <w:color w:val="auto"/>
          <w:sz w:val="24"/>
        </w:rPr>
        <w:t>%的扣除，用扣除后的价格参加评审。组成联合体或者接受分包的小微企业与联合体内其他企业、分包企业之间存在直接控股、管理关系的，不享受价格扣除优惠政策。</w:t>
      </w:r>
    </w:p>
    <w:p>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8.3.3</w:t>
      </w:r>
      <w:r>
        <w:rPr>
          <w:rFonts w:hint="eastAsia" w:ascii="仿宋" w:hAnsi="仿宋" w:eastAsia="仿宋"/>
          <w:bCs/>
          <w:color w:val="auto"/>
          <w:sz w:val="24"/>
          <w:u w:val="single"/>
        </w:rPr>
        <w:t>符合《政府采购促进中小企业发展管理办法》（财库〔2020〕46号）规定可享受中小企业扶持政策的供应商参加本项目投标活动，应在投标文件中按招标文件要求提供《中小企业声明函》，否则不得享受中小企业扶持政策</w:t>
      </w:r>
      <w:r>
        <w:rPr>
          <w:rFonts w:hint="eastAsia" w:ascii="仿宋" w:hAnsi="仿宋" w:eastAsia="仿宋"/>
          <w:bCs/>
          <w:color w:val="auto"/>
          <w:sz w:val="24"/>
        </w:rPr>
        <w:t>。</w:t>
      </w:r>
    </w:p>
    <w:p>
      <w:pPr>
        <w:pStyle w:val="26"/>
        <w:spacing w:line="276" w:lineRule="auto"/>
        <w:ind w:firstLine="480" w:firstLineChars="200"/>
        <w:rPr>
          <w:rFonts w:ascii="仿宋" w:hAnsi="仿宋" w:eastAsia="仿宋" w:cs="Times New Roman"/>
          <w:bCs/>
          <w:kern w:val="0"/>
          <w:szCs w:val="21"/>
        </w:rPr>
      </w:pPr>
      <w:r>
        <w:rPr>
          <w:rFonts w:hint="eastAsia" w:ascii="仿宋" w:hAnsi="仿宋" w:eastAsia="仿宋" w:cs="Times New Roman"/>
          <w:bCs/>
          <w:kern w:val="0"/>
          <w:szCs w:val="21"/>
        </w:rPr>
        <w:t>8.3.4符合《关于促进残疾人就业政府采购政策的通知》（财库〔2017〕141号）规定的条件并且在投标文件中按招标文件要求提供《残疾人福利性单位声明函》的残疾人福利性单位视同小型、微型企业。</w:t>
      </w:r>
    </w:p>
    <w:p>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8.3.5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hAnsi="仿宋" w:eastAsia="仿宋" w:cs="Times New Roman"/>
          <w:bCs/>
          <w:kern w:val="0"/>
          <w:szCs w:val="21"/>
        </w:rPr>
        <w:t>。</w:t>
      </w:r>
    </w:p>
    <w:p>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8.3.6</w:t>
      </w:r>
      <w:r>
        <w:rPr>
          <w:rFonts w:ascii="仿宋" w:hAnsi="仿宋" w:eastAsia="仿宋" w:cs="Times New Roman"/>
          <w:bCs/>
          <w:kern w:val="0"/>
          <w:szCs w:val="21"/>
        </w:rPr>
        <w:t>中小企业享受扶持政策获得政府采购合同的，小微企业不得将合同分包给大中型企业，中型企业不得将合同分包给大型企业</w:t>
      </w:r>
      <w:r>
        <w:rPr>
          <w:rFonts w:hint="eastAsia" w:ascii="仿宋" w:hAnsi="仿宋" w:eastAsia="仿宋" w:cs="Times New Roman"/>
          <w:bCs/>
          <w:kern w:val="0"/>
          <w:szCs w:val="21"/>
        </w:rPr>
        <w:t>。</w:t>
      </w:r>
    </w:p>
    <w:p>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8.4支持创新发展</w:t>
      </w:r>
    </w:p>
    <w:p>
      <w:pPr>
        <w:pStyle w:val="26"/>
        <w:snapToGrid w:val="0"/>
        <w:spacing w:line="276" w:lineRule="auto"/>
        <w:ind w:left="1" w:firstLine="480" w:firstLineChars="200"/>
        <w:rPr>
          <w:rFonts w:ascii="仿宋" w:hAnsi="仿宋" w:eastAsia="仿宋" w:cs="Times New Roman"/>
          <w:bCs/>
          <w:kern w:val="0"/>
          <w:szCs w:val="21"/>
        </w:rPr>
      </w:pPr>
      <w:r>
        <w:rPr>
          <w:rFonts w:hint="eastAsia" w:ascii="仿宋" w:hAnsi="仿宋" w:eastAsia="仿宋" w:cs="Times New Roman"/>
          <w:bCs/>
          <w:kern w:val="0"/>
          <w:szCs w:val="21"/>
        </w:rPr>
        <w:t>8</w:t>
      </w:r>
      <w:r>
        <w:rPr>
          <w:rFonts w:ascii="仿宋" w:hAnsi="仿宋" w:eastAsia="仿宋" w:cs="Times New Roman"/>
          <w:bCs/>
          <w:kern w:val="0"/>
          <w:szCs w:val="21"/>
        </w:rPr>
        <w:t>.4.1 采购人优先采购被认定</w:t>
      </w:r>
      <w:r>
        <w:rPr>
          <w:rFonts w:hint="eastAsia" w:ascii="仿宋" w:hAnsi="仿宋" w:eastAsia="仿宋" w:cs="Times New Roman"/>
          <w:bCs/>
          <w:kern w:val="0"/>
          <w:szCs w:val="21"/>
        </w:rPr>
        <w:t>为首台套产品和“制造精品”的自主创新产品。</w:t>
      </w:r>
    </w:p>
    <w:p>
      <w:pPr>
        <w:pStyle w:val="26"/>
        <w:snapToGrid w:val="0"/>
        <w:spacing w:line="276" w:lineRule="auto"/>
        <w:ind w:left="1" w:firstLine="480" w:firstLineChars="200"/>
        <w:rPr>
          <w:rFonts w:ascii="仿宋" w:hAnsi="仿宋" w:eastAsia="仿宋"/>
        </w:rPr>
      </w:pPr>
      <w:r>
        <w:rPr>
          <w:rFonts w:hint="eastAsia" w:ascii="仿宋" w:hAnsi="仿宋" w:eastAsia="仿宋" w:cs="Times New Roman"/>
          <w:bCs/>
          <w:kern w:val="0"/>
          <w:szCs w:val="21"/>
        </w:rPr>
        <w:t>8</w:t>
      </w:r>
      <w:r>
        <w:rPr>
          <w:rFonts w:ascii="仿宋" w:hAnsi="仿宋" w:eastAsia="仿宋" w:cs="Times New Roman"/>
          <w:bCs/>
          <w:kern w:val="0"/>
          <w:szCs w:val="21"/>
        </w:rPr>
        <w:t>.4.2首台套产品</w:t>
      </w:r>
      <w:r>
        <w:rPr>
          <w:rFonts w:hint="eastAsia" w:ascii="仿宋" w:hAnsi="仿宋" w:eastAsia="仿宋" w:cs="Times New Roman"/>
          <w:bCs/>
          <w:kern w:val="0"/>
          <w:szCs w:val="21"/>
        </w:rPr>
        <w:t>被纳入《首台套产品推广应用指导目录》之日起3</w:t>
      </w:r>
      <w:r>
        <w:rPr>
          <w:rFonts w:ascii="仿宋" w:hAnsi="仿宋" w:eastAsia="仿宋" w:cs="Times New Roman"/>
          <w:bCs/>
          <w:kern w:val="0"/>
          <w:szCs w:val="21"/>
        </w:rPr>
        <w:t>年内，以及产品核心技术高于国内领先水平，并具有明晰自主知识产权的“制造精品”产品，</w:t>
      </w:r>
      <w:r>
        <w:rPr>
          <w:rFonts w:hint="eastAsia" w:ascii="仿宋" w:hAnsi="仿宋" w:eastAsia="仿宋" w:cs="Times New Roman"/>
          <w:bCs/>
          <w:kern w:val="0"/>
          <w:szCs w:val="21"/>
        </w:rPr>
        <w:t>自认定之日起</w:t>
      </w:r>
      <w:r>
        <w:rPr>
          <w:rFonts w:ascii="仿宋" w:hAnsi="仿宋" w:eastAsia="仿宋" w:cs="Times New Roman"/>
          <w:bCs/>
          <w:kern w:val="0"/>
          <w:szCs w:val="21"/>
        </w:rPr>
        <w:t>2年内视同已具备相应销售业绩，参加政府采购活动</w:t>
      </w:r>
      <w:r>
        <w:rPr>
          <w:rFonts w:hint="eastAsia" w:ascii="仿宋" w:hAnsi="仿宋" w:eastAsia="仿宋" w:cs="Times New Roman"/>
          <w:bCs/>
          <w:kern w:val="0"/>
          <w:szCs w:val="21"/>
        </w:rPr>
        <w:t>时业绩分值为满分。</w:t>
      </w:r>
    </w:p>
    <w:p>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9.询问、</w:t>
      </w:r>
      <w:r>
        <w:rPr>
          <w:rFonts w:ascii="仿宋" w:hAnsi="仿宋" w:eastAsia="仿宋"/>
          <w:b/>
          <w:color w:val="auto"/>
          <w:sz w:val="24"/>
        </w:rPr>
        <w:t>质疑和投诉</w:t>
      </w:r>
    </w:p>
    <w:p>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9.</w:t>
      </w:r>
      <w:r>
        <w:rPr>
          <w:rFonts w:ascii="仿宋" w:hAnsi="仿宋" w:eastAsia="仿宋"/>
          <w:bCs/>
          <w:szCs w:val="24"/>
        </w:rPr>
        <w:t>1询问</w:t>
      </w:r>
    </w:p>
    <w:p>
      <w:pPr>
        <w:pStyle w:val="26"/>
        <w:snapToGrid w:val="0"/>
        <w:spacing w:line="276" w:lineRule="auto"/>
        <w:ind w:left="1" w:firstLine="480" w:firstLineChars="200"/>
        <w:rPr>
          <w:rFonts w:ascii="仿宋" w:hAnsi="仿宋" w:eastAsia="仿宋"/>
          <w:bCs/>
          <w:szCs w:val="24"/>
        </w:rPr>
      </w:pPr>
      <w:r>
        <w:rPr>
          <w:rFonts w:ascii="仿宋" w:hAnsi="仿宋" w:eastAsia="仿宋"/>
          <w:bCs/>
          <w:szCs w:val="24"/>
        </w:rPr>
        <w:t>供应商对政府采购活动事项有疑问的，可以向采购人或采购代理机构提出询问，</w:t>
      </w:r>
      <w:r>
        <w:rPr>
          <w:rFonts w:hint="eastAsia" w:ascii="仿宋" w:hAnsi="仿宋" w:eastAsia="仿宋"/>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9.</w:t>
      </w:r>
      <w:r>
        <w:rPr>
          <w:rFonts w:ascii="仿宋" w:hAnsi="仿宋" w:eastAsia="仿宋"/>
          <w:bCs/>
          <w:szCs w:val="24"/>
        </w:rPr>
        <w:t>2质疑</w:t>
      </w:r>
    </w:p>
    <w:p>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9.2.1供应商认为采购文件、采购过程、中标或者成交结果使自己的权益受到损害的，应当在知道或者应知其权益受到损害之日起7个工作日内，以书面形式向采购人、采购代理机构提出质疑。供应商应知其权益受到损害之日，是指：</w:t>
      </w:r>
    </w:p>
    <w:p>
      <w:pPr>
        <w:pStyle w:val="26"/>
        <w:snapToGrid w:val="0"/>
        <w:spacing w:line="276" w:lineRule="auto"/>
        <w:ind w:left="1" w:firstLine="480" w:firstLineChars="200"/>
        <w:rPr>
          <w:rFonts w:ascii="仿宋" w:hAnsi="仿宋" w:eastAsia="仿宋" w:cs="Times New Roman"/>
        </w:rPr>
      </w:pPr>
      <w:r>
        <w:rPr>
          <w:rFonts w:hint="eastAsia" w:ascii="仿宋" w:hAnsi="仿宋" w:eastAsia="仿宋"/>
          <w:szCs w:val="24"/>
        </w:rPr>
        <w:t>9.2.1.1对采购文件提出质疑的，为获取采购文件之日或者采购文件公告期限届满之日（在公告期限届满后获取采购文件的，</w:t>
      </w:r>
      <w:r>
        <w:rPr>
          <w:rFonts w:ascii="仿宋" w:hAnsi="仿宋" w:eastAsia="仿宋"/>
          <w:szCs w:val="24"/>
        </w:rPr>
        <w:t>以公告期限届满之日为准</w:t>
      </w:r>
      <w:r>
        <w:rPr>
          <w:rFonts w:hint="eastAsia" w:ascii="仿宋" w:hAnsi="仿宋" w:eastAsia="仿宋"/>
          <w:szCs w:val="24"/>
        </w:rPr>
        <w:t>）。</w:t>
      </w:r>
    </w:p>
    <w:p>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9.2.1.2</w:t>
      </w:r>
      <w:r>
        <w:rPr>
          <w:rFonts w:ascii="仿宋" w:hAnsi="仿宋" w:eastAsia="仿宋"/>
          <w:szCs w:val="24"/>
        </w:rPr>
        <w:t>对采购过程提出质疑的，为各采购程序环节结束之日。</w:t>
      </w:r>
    </w:p>
    <w:p>
      <w:pPr>
        <w:pStyle w:val="26"/>
        <w:snapToGrid w:val="0"/>
        <w:spacing w:line="276" w:lineRule="auto"/>
        <w:ind w:left="1" w:firstLine="480" w:firstLineChars="200"/>
        <w:rPr>
          <w:rFonts w:ascii="仿宋" w:hAnsi="仿宋" w:eastAsia="仿宋"/>
          <w:bCs/>
          <w:szCs w:val="24"/>
        </w:rPr>
      </w:pPr>
      <w:r>
        <w:rPr>
          <w:rFonts w:hint="eastAsia" w:ascii="仿宋" w:hAnsi="仿宋" w:eastAsia="仿宋"/>
          <w:szCs w:val="24"/>
        </w:rPr>
        <w:t>9.2.1.3</w:t>
      </w:r>
      <w:r>
        <w:rPr>
          <w:rFonts w:ascii="仿宋" w:hAnsi="仿宋" w:eastAsia="仿宋"/>
          <w:szCs w:val="24"/>
        </w:rPr>
        <w:t>对采购结果提出质疑的，为采购结果公告期限届满之日。</w:t>
      </w:r>
    </w:p>
    <w:p>
      <w:pPr>
        <w:pStyle w:val="26"/>
        <w:snapToGrid w:val="0"/>
        <w:spacing w:line="276" w:lineRule="auto"/>
        <w:ind w:left="1" w:firstLine="480" w:firstLineChars="200"/>
        <w:rPr>
          <w:rFonts w:ascii="仿宋" w:hAnsi="仿宋" w:eastAsia="仿宋"/>
          <w:bCs/>
          <w:szCs w:val="24"/>
          <w:u w:val="single"/>
        </w:rPr>
      </w:pPr>
      <w:r>
        <w:rPr>
          <w:rFonts w:hint="eastAsia" w:ascii="仿宋" w:hAnsi="仿宋" w:eastAsia="仿宋"/>
          <w:szCs w:val="24"/>
        </w:rPr>
        <w:t>9.2.2</w:t>
      </w:r>
      <w:r>
        <w:rPr>
          <w:rFonts w:hint="eastAsia" w:ascii="仿宋" w:hAnsi="仿宋" w:eastAsia="仿宋"/>
          <w:bCs/>
          <w:szCs w:val="24"/>
        </w:rPr>
        <w:t>供应商应当在法定质疑期内一次性提出针对同一采购程序环节的质疑。</w:t>
      </w:r>
    </w:p>
    <w:p>
      <w:pPr>
        <w:pStyle w:val="26"/>
        <w:snapToGrid w:val="0"/>
        <w:spacing w:line="276" w:lineRule="auto"/>
        <w:ind w:left="1" w:firstLine="480" w:firstLineChars="200"/>
        <w:rPr>
          <w:rFonts w:ascii="仿宋" w:hAnsi="仿宋" w:eastAsia="仿宋"/>
          <w:bCs/>
          <w:szCs w:val="24"/>
        </w:rPr>
      </w:pPr>
      <w:r>
        <w:rPr>
          <w:rFonts w:hint="eastAsia" w:ascii="仿宋" w:hAnsi="仿宋" w:eastAsia="仿宋"/>
          <w:bCs/>
          <w:szCs w:val="24"/>
        </w:rPr>
        <w:t>9.2.3提出质疑的供应商应当是参与所质疑项目采购活动的供应商。未按采购公告相关规定依法获取采购文件的供应商对采购文件提出的质疑，采购人或采购代理机构将不予处理。采购文件随采购公告一同发布的，采购公告期限即为采购文件公告期限。</w:t>
      </w:r>
    </w:p>
    <w:p>
      <w:pPr>
        <w:pStyle w:val="26"/>
        <w:snapToGrid w:val="0"/>
        <w:spacing w:line="276" w:lineRule="auto"/>
        <w:ind w:left="1" w:firstLine="480" w:firstLineChars="200"/>
        <w:rPr>
          <w:rFonts w:ascii="仿宋" w:hAnsi="仿宋" w:eastAsia="仿宋"/>
          <w:szCs w:val="24"/>
        </w:rPr>
      </w:pPr>
      <w:r>
        <w:rPr>
          <w:rFonts w:hint="eastAsia" w:ascii="仿宋" w:hAnsi="仿宋" w:eastAsia="仿宋"/>
          <w:bCs/>
          <w:szCs w:val="24"/>
        </w:rPr>
        <w:t>9.2.4</w:t>
      </w:r>
      <w:r>
        <w:rPr>
          <w:rFonts w:hint="eastAsia" w:ascii="仿宋" w:hAnsi="仿宋" w:eastAsia="仿宋"/>
          <w:szCs w:val="24"/>
        </w:rPr>
        <w:t>供应商提出质疑应当提交质疑函和必要的证明材料。质疑函应当包括下列内容：</w:t>
      </w:r>
    </w:p>
    <w:p>
      <w:pPr>
        <w:pStyle w:val="26"/>
        <w:snapToGrid w:val="0"/>
        <w:spacing w:line="276" w:lineRule="auto"/>
        <w:ind w:left="1" w:firstLine="480" w:firstLineChars="200"/>
        <w:rPr>
          <w:rFonts w:cs="微软雅黑" w:asciiTheme="minorEastAsia" w:hAnsiTheme="minorEastAsia"/>
          <w:kern w:val="0"/>
          <w:lang w:val="zh-CN"/>
        </w:rPr>
      </w:pPr>
      <w:r>
        <w:rPr>
          <w:rFonts w:hint="eastAsia" w:ascii="仿宋" w:hAnsi="仿宋" w:eastAsia="仿宋"/>
          <w:szCs w:val="24"/>
        </w:rPr>
        <w:t>（1）供应商的姓名或者名称、地址、邮编、联系人及联系电话；</w:t>
      </w:r>
    </w:p>
    <w:p>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（2）质疑项目的名称、编号；</w:t>
      </w:r>
    </w:p>
    <w:p>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（3）具体、明确的质疑事项和与质疑事项相关的请求；</w:t>
      </w:r>
    </w:p>
    <w:p>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（4）事实依据；</w:t>
      </w:r>
    </w:p>
    <w:p>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（5）必要的法律依据；</w:t>
      </w:r>
    </w:p>
    <w:p>
      <w:pPr>
        <w:pStyle w:val="26"/>
        <w:snapToGrid w:val="0"/>
        <w:spacing w:line="276" w:lineRule="auto"/>
        <w:ind w:left="1" w:firstLine="480" w:firstLineChars="200"/>
        <w:rPr>
          <w:rFonts w:ascii="仿宋" w:hAnsi="仿宋" w:eastAsia="仿宋"/>
          <w:szCs w:val="24"/>
        </w:rPr>
      </w:pPr>
      <w:r>
        <w:rPr>
          <w:rFonts w:hint="eastAsia" w:ascii="仿宋" w:hAnsi="仿宋" w:eastAsia="仿宋"/>
          <w:szCs w:val="24"/>
        </w:rPr>
        <w:t>（6）提出质疑的日期。</w:t>
      </w:r>
    </w:p>
    <w:p>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供应商提交的质疑函需一式三份。供应商为自然人的，应当由本人签字；供应商为法人或者其他组织的，应当由法定代表人、主要负责人，或者其授权代表签字或者盖章，并加盖公章。</w:t>
      </w:r>
    </w:p>
    <w:p>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9.2.5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hAnsi="仿宋" w:eastAsia="仿宋" w:cs="Times New Roman"/>
          <w:bCs/>
          <w:kern w:val="0"/>
          <w:szCs w:val="24"/>
        </w:rPr>
        <w:t>5个工作日内，在浙江政府采购网的“其他公告”栏目公开质疑答复，答复内容应当完整。</w:t>
      </w:r>
    </w:p>
    <w:p>
      <w:pPr>
        <w:pStyle w:val="26"/>
        <w:snapToGrid w:val="0"/>
        <w:spacing w:line="276" w:lineRule="auto"/>
        <w:ind w:left="1" w:firstLine="480" w:firstLineChars="200"/>
        <w:rPr>
          <w:rFonts w:ascii="仿宋" w:hAnsi="仿宋" w:eastAsia="仿宋" w:cs="Times New Roman"/>
          <w:bCs/>
          <w:kern w:val="0"/>
          <w:szCs w:val="24"/>
        </w:rPr>
      </w:pPr>
      <w:r>
        <w:rPr>
          <w:rFonts w:hint="eastAsia" w:ascii="仿宋" w:hAnsi="仿宋" w:eastAsia="仿宋" w:cs="Times New Roman"/>
          <w:bCs/>
          <w:kern w:val="0"/>
          <w:szCs w:val="24"/>
        </w:rPr>
        <w:t>9.3投诉</w:t>
      </w:r>
    </w:p>
    <w:p>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9</w:t>
      </w:r>
      <w:r>
        <w:rPr>
          <w:rFonts w:ascii="仿宋" w:hAnsi="仿宋" w:eastAsia="仿宋"/>
          <w:bCs/>
          <w:color w:val="auto"/>
          <w:sz w:val="24"/>
          <w:szCs w:val="24"/>
        </w:rPr>
        <w:t>.3.1质疑供应商对采购人、采购代理机构的答复不满意或者采购人、采购代理机构未在规定的时间内</w:t>
      </w:r>
      <w:r>
        <w:rPr>
          <w:rFonts w:hint="eastAsia" w:ascii="仿宋" w:hAnsi="仿宋" w:eastAsia="仿宋"/>
          <w:bCs/>
          <w:color w:val="auto"/>
          <w:sz w:val="24"/>
          <w:szCs w:val="24"/>
        </w:rPr>
        <w:t>作出答复的，可以在答复期满后十五个工作日内向同级政府采购监督管理部门提出投诉。</w:t>
      </w:r>
    </w:p>
    <w:p>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9</w:t>
      </w:r>
      <w:r>
        <w:rPr>
          <w:rFonts w:ascii="仿宋" w:hAnsi="仿宋" w:eastAsia="仿宋"/>
          <w:bCs/>
          <w:color w:val="auto"/>
          <w:sz w:val="24"/>
          <w:szCs w:val="24"/>
        </w:rPr>
        <w:t>.3.2</w:t>
      </w:r>
      <w:r>
        <w:rPr>
          <w:rFonts w:hint="eastAsia" w:ascii="仿宋" w:hAnsi="仿宋" w:eastAsia="仿宋"/>
          <w:bCs/>
          <w:color w:val="auto"/>
          <w:sz w:val="24"/>
          <w:szCs w:val="24"/>
        </w:rPr>
        <w:t>供应商投诉的事项不得超出已质疑事项的范围，基于质疑答复内容提出的投诉事项除外。</w:t>
      </w:r>
    </w:p>
    <w:p>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9</w:t>
      </w:r>
      <w:r>
        <w:rPr>
          <w:rFonts w:ascii="仿宋" w:hAnsi="仿宋" w:eastAsia="仿宋"/>
          <w:bCs/>
          <w:color w:val="auto"/>
          <w:sz w:val="24"/>
          <w:szCs w:val="24"/>
        </w:rPr>
        <w:t>.3.3供应</w:t>
      </w:r>
      <w:r>
        <w:rPr>
          <w:rFonts w:hint="eastAsia" w:ascii="仿宋" w:hAnsi="仿宋" w:eastAsia="仿宋"/>
          <w:bCs/>
          <w:color w:val="auto"/>
          <w:sz w:val="24"/>
          <w:szCs w:val="24"/>
        </w:rPr>
        <w:t>商投诉应当有明确的请求和必要的证明材料。</w:t>
      </w:r>
    </w:p>
    <w:p>
      <w:pPr>
        <w:snapToGrid w:val="0"/>
        <w:spacing w:line="276" w:lineRule="auto"/>
        <w:ind w:firstLine="470" w:firstLineChars="196"/>
        <w:jc w:val="left"/>
        <w:outlineLvl w:val="1"/>
        <w:rPr>
          <w:rFonts w:ascii="仿宋" w:hAnsi="仿宋" w:eastAsia="仿宋"/>
          <w:bCs/>
          <w:color w:val="auto"/>
          <w:sz w:val="24"/>
          <w:szCs w:val="24"/>
        </w:rPr>
      </w:pPr>
      <w:r>
        <w:rPr>
          <w:rFonts w:hint="eastAsia" w:ascii="仿宋" w:hAnsi="仿宋" w:eastAsia="仿宋"/>
          <w:bCs/>
          <w:color w:val="auto"/>
          <w:sz w:val="24"/>
          <w:szCs w:val="24"/>
        </w:rPr>
        <w:t>9</w:t>
      </w:r>
      <w:r>
        <w:rPr>
          <w:rFonts w:ascii="仿宋" w:hAnsi="仿宋" w:eastAsia="仿宋"/>
          <w:bCs/>
          <w:color w:val="auto"/>
          <w:sz w:val="24"/>
          <w:szCs w:val="24"/>
        </w:rPr>
        <w:t>.3.</w:t>
      </w:r>
      <w:r>
        <w:rPr>
          <w:rFonts w:hint="eastAsia" w:ascii="仿宋" w:hAnsi="仿宋" w:eastAsia="仿宋"/>
          <w:bCs/>
          <w:color w:val="auto"/>
          <w:sz w:val="24"/>
          <w:szCs w:val="24"/>
        </w:rPr>
        <w:t>4以联合体形式参加政府采购活动的，其投诉应当由组成联合体的所有供应商共同提出。</w:t>
      </w:r>
    </w:p>
    <w:p>
      <w:pPr>
        <w:pStyle w:val="4"/>
        <w:spacing w:before="0" w:after="0" w:line="276" w:lineRule="auto"/>
        <w:jc w:val="center"/>
        <w:rPr>
          <w:rFonts w:ascii="仿宋" w:hAnsi="仿宋" w:eastAsia="仿宋"/>
          <w:color w:val="auto"/>
          <w:sz w:val="28"/>
          <w:szCs w:val="28"/>
        </w:rPr>
      </w:pPr>
      <w:bookmarkStart w:id="4" w:name="_Toc125344504"/>
      <w:r>
        <w:rPr>
          <w:rFonts w:hint="eastAsia" w:ascii="仿宋" w:hAnsi="仿宋" w:eastAsia="仿宋"/>
          <w:color w:val="auto"/>
          <w:sz w:val="28"/>
          <w:szCs w:val="28"/>
        </w:rPr>
        <w:t>二、招标文件</w:t>
      </w:r>
      <w:bookmarkEnd w:id="4"/>
      <w:r>
        <w:rPr>
          <w:rFonts w:hint="eastAsia" w:ascii="仿宋" w:hAnsi="仿宋" w:eastAsia="仿宋"/>
          <w:color w:val="auto"/>
          <w:sz w:val="28"/>
          <w:szCs w:val="28"/>
        </w:rPr>
        <w:t>的构成、澄清、修改</w:t>
      </w:r>
    </w:p>
    <w:p>
      <w:pPr>
        <w:snapToGrid w:val="0"/>
        <w:spacing w:line="276" w:lineRule="auto"/>
        <w:ind w:firstLine="472" w:firstLineChars="196"/>
        <w:jc w:val="left"/>
        <w:rPr>
          <w:rFonts w:ascii="仿宋" w:hAnsi="仿宋" w:eastAsia="仿宋"/>
          <w:b/>
          <w:color w:val="auto"/>
          <w:sz w:val="24"/>
        </w:rPr>
      </w:pPr>
      <w:r>
        <w:rPr>
          <w:rFonts w:hint="eastAsia" w:ascii="仿宋" w:hAnsi="仿宋" w:eastAsia="仿宋"/>
          <w:b/>
          <w:color w:val="auto"/>
          <w:sz w:val="24"/>
        </w:rPr>
        <w:t>10.招标文件的构成</w:t>
      </w:r>
    </w:p>
    <w:p>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本招标文件由以下部分组成：</w:t>
      </w:r>
    </w:p>
    <w:p>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10.</w:t>
      </w:r>
      <w:r>
        <w:rPr>
          <w:rFonts w:ascii="仿宋" w:hAnsi="仿宋" w:eastAsia="仿宋"/>
          <w:color w:val="auto"/>
          <w:sz w:val="24"/>
        </w:rPr>
        <w:t>1招标公告</w:t>
      </w:r>
      <w:r>
        <w:rPr>
          <w:rFonts w:hint="eastAsia" w:ascii="仿宋" w:hAnsi="仿宋" w:eastAsia="仿宋"/>
          <w:color w:val="auto"/>
          <w:sz w:val="24"/>
        </w:rPr>
        <w:t>；</w:t>
      </w:r>
    </w:p>
    <w:p>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10.2投标人须知；</w:t>
      </w:r>
    </w:p>
    <w:p>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10.3评标方法及评分标准；</w:t>
      </w:r>
    </w:p>
    <w:p>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10.4采购需求；</w:t>
      </w:r>
    </w:p>
    <w:p>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10.5拟签订的合同文本；</w:t>
      </w:r>
    </w:p>
    <w:p>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10.6应提交的有关格式范例；</w:t>
      </w:r>
    </w:p>
    <w:p>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10.7本项目</w:t>
      </w:r>
      <w:r>
        <w:rPr>
          <w:rFonts w:ascii="仿宋" w:hAnsi="仿宋" w:eastAsia="仿宋"/>
          <w:color w:val="auto"/>
          <w:sz w:val="24"/>
        </w:rPr>
        <w:t>招标文件</w:t>
      </w:r>
      <w:r>
        <w:rPr>
          <w:rFonts w:hint="eastAsia" w:ascii="仿宋" w:hAnsi="仿宋" w:eastAsia="仿宋"/>
          <w:color w:val="auto"/>
          <w:sz w:val="24"/>
        </w:rPr>
        <w:t>的</w:t>
      </w:r>
      <w:r>
        <w:rPr>
          <w:rFonts w:ascii="仿宋" w:hAnsi="仿宋" w:eastAsia="仿宋"/>
          <w:color w:val="auto"/>
          <w:sz w:val="24"/>
        </w:rPr>
        <w:t>澄清、答复、修改、补充的内容（如有）</w:t>
      </w:r>
      <w:r>
        <w:rPr>
          <w:rFonts w:hint="eastAsia" w:ascii="仿宋" w:hAnsi="仿宋" w:eastAsia="仿宋"/>
          <w:color w:val="auto"/>
          <w:sz w:val="24"/>
        </w:rPr>
        <w:t>。</w:t>
      </w:r>
    </w:p>
    <w:p>
      <w:pPr>
        <w:snapToGrid w:val="0"/>
        <w:spacing w:line="276" w:lineRule="auto"/>
        <w:ind w:firstLine="472" w:firstLineChars="196"/>
        <w:jc w:val="left"/>
        <w:outlineLvl w:val="1"/>
        <w:rPr>
          <w:rFonts w:ascii="仿宋" w:hAnsi="仿宋" w:eastAsia="仿宋"/>
          <w:b/>
          <w:color w:val="auto"/>
          <w:sz w:val="24"/>
        </w:rPr>
      </w:pPr>
      <w:r>
        <w:rPr>
          <w:rFonts w:hint="eastAsia" w:ascii="仿宋" w:hAnsi="仿宋" w:eastAsia="仿宋"/>
          <w:b/>
          <w:color w:val="auto"/>
          <w:sz w:val="24"/>
        </w:rPr>
        <w:t>11.招标文件的澄清与修改</w:t>
      </w:r>
    </w:p>
    <w:p>
      <w:pPr>
        <w:pStyle w:val="26"/>
        <w:snapToGrid w:val="0"/>
        <w:spacing w:line="276" w:lineRule="auto"/>
        <w:ind w:firstLine="480" w:firstLineChars="200"/>
        <w:rPr>
          <w:rFonts w:ascii="仿宋" w:hAnsi="仿宋" w:eastAsia="仿宋"/>
          <w:szCs w:val="24"/>
        </w:rPr>
      </w:pPr>
      <w:r>
        <w:rPr>
          <w:rFonts w:hint="eastAsia" w:ascii="仿宋" w:hAnsi="仿宋" w:eastAsia="仿宋"/>
        </w:rPr>
        <w:t>11.1已依法获取</w:t>
      </w:r>
      <w:r>
        <w:rPr>
          <w:rFonts w:hint="eastAsia" w:ascii="仿宋" w:hAnsi="仿宋" w:eastAsia="仿宋"/>
          <w:bCs/>
        </w:rPr>
        <w:t>招标文件的潜在投标人，</w:t>
      </w:r>
      <w:r>
        <w:rPr>
          <w:rFonts w:ascii="仿宋" w:hAnsi="仿宋" w:eastAsia="仿宋"/>
          <w:bCs/>
        </w:rPr>
        <w:t>应认真阅读本招标文件</w:t>
      </w:r>
      <w:r>
        <w:rPr>
          <w:rFonts w:hint="eastAsia" w:ascii="仿宋" w:hAnsi="仿宋" w:eastAsia="仿宋"/>
          <w:bCs/>
        </w:rPr>
        <w:t>的所有内容</w:t>
      </w:r>
      <w:r>
        <w:rPr>
          <w:rFonts w:ascii="仿宋" w:hAnsi="仿宋" w:eastAsia="仿宋"/>
          <w:bCs/>
        </w:rPr>
        <w:t>，发现其中有误或有</w:t>
      </w:r>
      <w:r>
        <w:rPr>
          <w:rFonts w:hint="eastAsia" w:ascii="仿宋" w:hAnsi="仿宋" w:eastAsia="仿宋" w:cs="Times New Roman"/>
        </w:rPr>
        <w:t>问题需要澄清</w:t>
      </w:r>
      <w:r>
        <w:rPr>
          <w:rFonts w:ascii="仿宋" w:hAnsi="仿宋" w:eastAsia="仿宋"/>
          <w:bCs/>
        </w:rPr>
        <w:t>的，应在</w:t>
      </w:r>
      <w:r>
        <w:rPr>
          <w:rFonts w:hint="eastAsia" w:ascii="仿宋" w:hAnsi="仿宋" w:eastAsia="仿宋" w:cs="Times New Roman"/>
        </w:rPr>
        <w:t>公告发布之日起至公告期限届满之日内</w:t>
      </w:r>
      <w:r>
        <w:rPr>
          <w:rFonts w:hint="eastAsia" w:ascii="仿宋" w:hAnsi="仿宋" w:eastAsia="仿宋"/>
          <w:szCs w:val="24"/>
        </w:rPr>
        <w:t>（在公告期限届满后获取招标文件的，</w:t>
      </w:r>
      <w:r>
        <w:rPr>
          <w:rFonts w:ascii="仿宋" w:hAnsi="仿宋" w:eastAsia="仿宋"/>
          <w:szCs w:val="24"/>
        </w:rPr>
        <w:t>以公告期限届满之日起七个工作日内</w:t>
      </w:r>
      <w:r>
        <w:rPr>
          <w:rFonts w:hint="eastAsia" w:ascii="仿宋" w:hAnsi="仿宋" w:eastAsia="仿宋"/>
          <w:szCs w:val="24"/>
        </w:rPr>
        <w:t>）</w:t>
      </w:r>
      <w:r>
        <w:rPr>
          <w:rFonts w:ascii="仿宋" w:hAnsi="仿宋" w:eastAsia="仿宋"/>
          <w:bCs/>
        </w:rPr>
        <w:t>以书面形</w:t>
      </w:r>
      <w:r>
        <w:rPr>
          <w:rFonts w:hint="eastAsia" w:ascii="仿宋" w:hAnsi="仿宋" w:eastAsia="仿宋"/>
          <w:bCs/>
        </w:rPr>
        <w:t>式</w:t>
      </w:r>
      <w:r>
        <w:rPr>
          <w:rFonts w:hint="eastAsia" w:ascii="仿宋" w:hAnsi="仿宋" w:eastAsia="仿宋"/>
        </w:rPr>
        <w:t>向</w:t>
      </w:r>
      <w:r>
        <w:rPr>
          <w:rFonts w:hint="eastAsia" w:ascii="仿宋" w:hAnsi="仿宋" w:eastAsia="仿宋" w:cs="Times New Roman"/>
        </w:rPr>
        <w:t>采购代理机构提出</w:t>
      </w:r>
      <w:r>
        <w:rPr>
          <w:rFonts w:hint="eastAsia" w:ascii="仿宋" w:hAnsi="仿宋" w:eastAsia="仿宋"/>
        </w:rPr>
        <w:t>。</w:t>
      </w:r>
      <w:r>
        <w:rPr>
          <w:rFonts w:hint="eastAsia" w:ascii="仿宋" w:hAnsi="仿宋" w:eastAsia="仿宋"/>
          <w:szCs w:val="24"/>
        </w:rPr>
        <w:t>采购代理机构对招标文件进行澄清或者修改的，将以网上发布更正公告的形式通知所有潜在投标人。潜在投标人可以通过浙江政府采购网自行下载，以确认已阅知该澄清或修改内容，否则，由此导致的风险由潜在投标人自行承担，采购人及采购代理机构不承担任何责任。</w:t>
      </w:r>
    </w:p>
    <w:p>
      <w:pPr>
        <w:pStyle w:val="26"/>
        <w:snapToGrid w:val="0"/>
        <w:spacing w:line="276" w:lineRule="auto"/>
        <w:ind w:firstLine="480" w:firstLineChars="200"/>
        <w:rPr>
          <w:rFonts w:ascii="仿宋" w:hAnsi="仿宋" w:eastAsia="仿宋"/>
        </w:rPr>
      </w:pPr>
      <w:r>
        <w:rPr>
          <w:rFonts w:hint="eastAsia" w:ascii="仿宋" w:hAnsi="仿宋" w:eastAsia="仿宋"/>
          <w:szCs w:val="24"/>
        </w:rPr>
        <w:t>11.2</w:t>
      </w:r>
      <w:r>
        <w:rPr>
          <w:rFonts w:ascii="仿宋" w:hAnsi="仿宋" w:eastAsia="仿宋"/>
        </w:rPr>
        <w:t>招标文件的澄清或者修改的内容为招标文件的组成部分。当招标文件与招标文件的澄清或者修改就同一内容的表述不一致时，以最后发出的文件</w:t>
      </w:r>
      <w:r>
        <w:rPr>
          <w:rFonts w:hint="eastAsia" w:ascii="仿宋" w:hAnsi="仿宋" w:eastAsia="仿宋"/>
        </w:rPr>
        <w:t>或公告</w:t>
      </w:r>
      <w:r>
        <w:rPr>
          <w:rFonts w:ascii="仿宋" w:hAnsi="仿宋" w:eastAsia="仿宋"/>
        </w:rPr>
        <w:t>为准。</w:t>
      </w:r>
      <w:r>
        <w:rPr>
          <w:rFonts w:hint="eastAsia" w:ascii="仿宋" w:hAnsi="仿宋" w:eastAsia="仿宋"/>
        </w:rPr>
        <w:t>同时视情况延长投标截止时间和开标时间。</w:t>
      </w:r>
    </w:p>
    <w:p>
      <w:pPr>
        <w:pStyle w:val="4"/>
        <w:spacing w:before="0" w:after="0" w:line="276" w:lineRule="auto"/>
        <w:jc w:val="center"/>
        <w:rPr>
          <w:rFonts w:ascii="仿宋" w:hAnsi="仿宋" w:eastAsia="仿宋"/>
          <w:color w:val="auto"/>
          <w:sz w:val="28"/>
          <w:szCs w:val="28"/>
        </w:rPr>
      </w:pPr>
      <w:bookmarkStart w:id="5" w:name="_Toc125344505"/>
      <w:r>
        <w:rPr>
          <w:rFonts w:hint="eastAsia" w:ascii="仿宋" w:hAnsi="仿宋" w:eastAsia="仿宋"/>
          <w:color w:val="auto"/>
          <w:sz w:val="28"/>
          <w:szCs w:val="28"/>
        </w:rPr>
        <w:t>三、投标</w:t>
      </w:r>
      <w:bookmarkEnd w:id="5"/>
    </w:p>
    <w:p>
      <w:pPr>
        <w:snapToGrid w:val="0"/>
        <w:spacing w:line="276" w:lineRule="auto"/>
        <w:ind w:firstLine="472" w:firstLineChars="196"/>
        <w:jc w:val="left"/>
        <w:outlineLvl w:val="0"/>
        <w:rPr>
          <w:rFonts w:ascii="仿宋" w:hAnsi="仿宋" w:eastAsia="仿宋"/>
          <w:b/>
          <w:color w:val="auto"/>
          <w:sz w:val="24"/>
        </w:rPr>
      </w:pPr>
      <w:r>
        <w:rPr>
          <w:rFonts w:hint="eastAsia" w:ascii="仿宋" w:hAnsi="仿宋" w:eastAsia="仿宋"/>
          <w:b/>
          <w:color w:val="auto"/>
          <w:sz w:val="24"/>
        </w:rPr>
        <w:t>12.招标文件的获取</w:t>
      </w:r>
    </w:p>
    <w:p>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rPr>
        <w:t>12.1招标文件的获取时间、地点、方式、售价：</w:t>
      </w:r>
      <w:r>
        <w:rPr>
          <w:rFonts w:hint="eastAsia" w:ascii="仿宋" w:hAnsi="仿宋" w:eastAsia="仿宋"/>
          <w:color w:val="auto"/>
          <w:sz w:val="24"/>
          <w:szCs w:val="24"/>
          <w:u w:val="single"/>
        </w:rPr>
        <w:t>具体见第一章《招标公告》</w:t>
      </w:r>
      <w:r>
        <w:rPr>
          <w:rFonts w:hint="eastAsia" w:ascii="仿宋" w:hAnsi="仿宋" w:eastAsia="仿宋"/>
          <w:color w:val="auto"/>
          <w:sz w:val="24"/>
          <w:szCs w:val="24"/>
        </w:rPr>
        <w:t>。</w:t>
      </w:r>
    </w:p>
    <w:p>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12.2</w:t>
      </w:r>
      <w:r>
        <w:rPr>
          <w:rFonts w:hint="eastAsia" w:ascii="仿宋" w:hAnsi="仿宋" w:eastAsia="仿宋"/>
          <w:color w:val="auto"/>
          <w:sz w:val="24"/>
        </w:rPr>
        <w:t>投标人应仔细阅读招标文件的所有内容，并按照招标文件的要求提交投标文件。投标人没有按照招标文件要求提供全部资料或者投标人没有对招标文件在各方面的要求作出实质性响应是投标人的风险，并可能导致其投标被拒绝，由此造成的一切后果由投标人自行承担。任何人或任何组织向投标人提交的任何书面资料或口头答复，未经采购代理机构在网上发布或书面通知，均作无效处理，不得作为招标文件的组成部分，采购代理机构对投标人由此而做出的推论、理解和结论概不负责。</w:t>
      </w:r>
    </w:p>
    <w:p>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13.现场考察或开标前答疑会</w:t>
      </w:r>
    </w:p>
    <w:p>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13.1现场考察</w:t>
      </w:r>
    </w:p>
    <w:p>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13.1.1本项目是否组织现场考察：</w:t>
      </w:r>
      <w:r>
        <w:rPr>
          <w:rFonts w:hint="eastAsia" w:ascii="仿宋" w:hAnsi="仿宋" w:eastAsia="仿宋"/>
          <w:color w:val="auto"/>
          <w:sz w:val="24"/>
          <w:szCs w:val="24"/>
          <w:u w:val="single"/>
        </w:rPr>
        <w:t>具体见第二章《投标人须知前附表》</w:t>
      </w:r>
      <w:r>
        <w:rPr>
          <w:rFonts w:hint="eastAsia" w:ascii="仿宋" w:hAnsi="仿宋" w:eastAsia="仿宋"/>
          <w:color w:val="auto"/>
          <w:sz w:val="24"/>
          <w:szCs w:val="24"/>
        </w:rPr>
        <w:t>。</w:t>
      </w:r>
    </w:p>
    <w:p>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13.1.2若《投标人须知前附表》规定组织统一现场考察的：</w:t>
      </w:r>
    </w:p>
    <w:p>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（1）采购人将按《投标人须知前附表》规定的时间、地点统一组织供应商进行现场考察，除此以外的其他任何时间，采购人不再组织供应商进行现场考察工作。</w:t>
      </w:r>
    </w:p>
    <w:p>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（2）供应商应当在规定的时间内，自行前往规定的地点参加现场考察，因参加现场考察而发生的所有费用由供应商自行承担。</w:t>
      </w:r>
    </w:p>
    <w:p>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（3）考察过程中，供应商应注意安全，供应商在考察过程中所发生的人员伤亡和财产损失均由供应商自行承担。</w:t>
      </w:r>
    </w:p>
    <w:p>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（4）采购人在现场考察中介绍的场地和相关周边环境等情况，仅供参加考察的供应商在编制投标文件时参考，采购人不对供应商据此作出的任何判断和决策负责。</w:t>
      </w:r>
    </w:p>
    <w:p>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13.2开标前答疑会</w:t>
      </w:r>
    </w:p>
    <w:p>
      <w:pPr>
        <w:snapToGrid w:val="0"/>
        <w:spacing w:line="276" w:lineRule="auto"/>
        <w:ind w:firstLine="470" w:firstLineChars="196"/>
        <w:jc w:val="left"/>
        <w:outlineLvl w:val="0"/>
        <w:rPr>
          <w:rFonts w:ascii="仿宋" w:hAnsi="仿宋" w:eastAsia="仿宋"/>
          <w:b/>
          <w:color w:val="auto"/>
          <w:sz w:val="24"/>
          <w:szCs w:val="24"/>
        </w:rPr>
      </w:pPr>
      <w:r>
        <w:rPr>
          <w:rFonts w:hint="eastAsia" w:ascii="仿宋" w:hAnsi="仿宋" w:eastAsia="仿宋"/>
          <w:color w:val="auto"/>
          <w:sz w:val="24"/>
          <w:szCs w:val="24"/>
        </w:rPr>
        <w:t>13.2.1本项目是否组织开标前答疑会：</w:t>
      </w:r>
      <w:r>
        <w:rPr>
          <w:rFonts w:hint="eastAsia" w:ascii="仿宋" w:hAnsi="仿宋" w:eastAsia="仿宋"/>
          <w:color w:val="auto"/>
          <w:sz w:val="24"/>
          <w:szCs w:val="24"/>
          <w:u w:val="single"/>
        </w:rPr>
        <w:t>具体见第二章《投标人须知前附表》</w:t>
      </w:r>
      <w:r>
        <w:rPr>
          <w:rFonts w:hint="eastAsia" w:ascii="仿宋" w:hAnsi="仿宋" w:eastAsia="仿宋"/>
          <w:color w:val="auto"/>
          <w:sz w:val="24"/>
          <w:szCs w:val="24"/>
        </w:rPr>
        <w:t>。</w:t>
      </w:r>
    </w:p>
    <w:p>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13.2.2若《投标人须知前附表》规定组织开标前答疑会的：采购组织机构将按《投标人须知前附表》规定的时间和地点召开开标前答疑会，邀请所有潜在投标人参加。</w:t>
      </w:r>
    </w:p>
    <w:p>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14.投标保证金</w:t>
      </w:r>
    </w:p>
    <w:p>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本项目</w:t>
      </w:r>
      <w:r>
        <w:rPr>
          <w:rFonts w:hint="eastAsia" w:ascii="仿宋" w:hAnsi="仿宋" w:eastAsia="仿宋"/>
          <w:color w:val="auto"/>
          <w:sz w:val="24"/>
          <w:szCs w:val="24"/>
          <w:u w:val="single"/>
        </w:rPr>
        <w:t>不需要缴纳</w:t>
      </w:r>
      <w:r>
        <w:rPr>
          <w:rFonts w:hint="eastAsia" w:ascii="仿宋" w:hAnsi="仿宋" w:eastAsia="仿宋"/>
          <w:color w:val="auto"/>
          <w:sz w:val="24"/>
          <w:szCs w:val="24"/>
        </w:rPr>
        <w:t>投标保证金。</w:t>
      </w:r>
    </w:p>
    <w:p>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15.投标文件的语言及计量</w:t>
      </w:r>
    </w:p>
    <w:p>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15.1除专业术语、签名、盖章、专用名称等特殊情形外，投标文件及投标供应商与本次采购活动有关的来往通知、函件和文件均应使用中文。专业术语、专业名称等特殊情形应附有中文注释，仅以中文以外的文字表述的材料或文件均视同未提供。对不同文字文本的解释发生异议的，以中文文本为准。</w:t>
      </w:r>
    </w:p>
    <w:p>
      <w:pPr>
        <w:snapToGrid w:val="0"/>
        <w:spacing w:line="276" w:lineRule="auto"/>
        <w:ind w:firstLine="470" w:firstLineChars="196"/>
        <w:jc w:val="left"/>
        <w:outlineLvl w:val="0"/>
        <w:rPr>
          <w:rFonts w:ascii="仿宋" w:hAnsi="仿宋" w:eastAsia="仿宋"/>
          <w:color w:val="auto"/>
          <w:sz w:val="24"/>
          <w:szCs w:val="24"/>
        </w:rPr>
      </w:pPr>
      <w:r>
        <w:rPr>
          <w:rFonts w:hint="eastAsia" w:ascii="仿宋" w:hAnsi="仿宋" w:eastAsia="仿宋"/>
          <w:color w:val="auto"/>
          <w:sz w:val="24"/>
          <w:szCs w:val="24"/>
        </w:rPr>
        <w:t>15.2</w:t>
      </w:r>
      <w:r>
        <w:rPr>
          <w:rFonts w:ascii="仿宋" w:hAnsi="仿宋" w:eastAsia="仿宋"/>
          <w:color w:val="auto"/>
          <w:sz w:val="24"/>
          <w:szCs w:val="24"/>
        </w:rPr>
        <w:t>投标计量单位，招标文件已有明确规定的，使用招标文件规定的计量单位；招标文件没有规定的，应采用中华人民共和国法定计量单位（货币单位：人民币元），否则视同未响应。</w:t>
      </w:r>
    </w:p>
    <w:p>
      <w:pPr>
        <w:snapToGrid w:val="0"/>
        <w:spacing w:line="276" w:lineRule="auto"/>
        <w:ind w:firstLine="472" w:firstLineChars="196"/>
        <w:jc w:val="left"/>
        <w:outlineLvl w:val="0"/>
        <w:rPr>
          <w:rFonts w:ascii="仿宋" w:hAnsi="仿宋" w:eastAsia="仿宋"/>
          <w:b/>
          <w:color w:val="auto"/>
          <w:sz w:val="24"/>
          <w:szCs w:val="24"/>
        </w:rPr>
      </w:pPr>
      <w:r>
        <w:rPr>
          <w:rFonts w:hint="eastAsia" w:ascii="仿宋" w:hAnsi="仿宋" w:eastAsia="仿宋"/>
          <w:b/>
          <w:color w:val="auto"/>
          <w:sz w:val="24"/>
          <w:szCs w:val="24"/>
        </w:rPr>
        <w:t>16.投标文件的形式</w:t>
      </w:r>
    </w:p>
    <w:p>
      <w:pPr>
        <w:snapToGrid w:val="0"/>
        <w:spacing w:line="276" w:lineRule="auto"/>
        <w:ind w:firstLine="470" w:firstLineChars="196"/>
        <w:jc w:val="left"/>
        <w:outlineLvl w:val="0"/>
        <w:rPr>
          <w:rFonts w:ascii="仿宋" w:hAnsi="仿宋" w:eastAsia="仿宋"/>
          <w:color w:val="auto"/>
          <w:sz w:val="24"/>
        </w:rPr>
      </w:pPr>
      <w:r>
        <w:rPr>
          <w:rFonts w:hint="eastAsia" w:ascii="仿宋" w:hAnsi="仿宋" w:eastAsia="仿宋"/>
          <w:color w:val="auto"/>
          <w:sz w:val="24"/>
          <w:szCs w:val="24"/>
        </w:rPr>
        <w:t>本项目投标文件的形式：电子加密的投标文件（</w:t>
      </w:r>
      <w:r>
        <w:rPr>
          <w:rFonts w:hint="eastAsia" w:ascii="仿宋" w:hAnsi="仿宋" w:eastAsia="仿宋"/>
          <w:bCs/>
          <w:color w:val="auto"/>
          <w:spacing w:val="-6"/>
          <w:sz w:val="24"/>
          <w:szCs w:val="24"/>
        </w:rPr>
        <w:t>通过“政采云电子交易客户端”完成投标文件编制后生成并加密的数据电文形式的投标文件</w:t>
      </w:r>
      <w:r>
        <w:rPr>
          <w:rFonts w:hint="eastAsia" w:ascii="仿宋" w:hAnsi="仿宋" w:eastAsia="仿宋"/>
          <w:color w:val="auto"/>
          <w:sz w:val="24"/>
          <w:szCs w:val="24"/>
        </w:rPr>
        <w:t>）。</w:t>
      </w:r>
    </w:p>
    <w:p>
      <w:pPr>
        <w:snapToGrid w:val="0"/>
        <w:spacing w:line="276" w:lineRule="auto"/>
        <w:ind w:firstLine="472" w:firstLineChars="196"/>
        <w:jc w:val="left"/>
        <w:outlineLvl w:val="0"/>
        <w:rPr>
          <w:rFonts w:ascii="仿宋" w:hAnsi="仿宋" w:eastAsia="仿宋"/>
          <w:b/>
          <w:color w:val="auto"/>
          <w:sz w:val="24"/>
        </w:rPr>
      </w:pPr>
      <w:r>
        <w:rPr>
          <w:rFonts w:hint="eastAsia" w:ascii="仿宋" w:hAnsi="仿宋" w:eastAsia="仿宋"/>
          <w:b/>
          <w:color w:val="auto"/>
          <w:sz w:val="24"/>
        </w:rPr>
        <w:t>17.投标文件的组成</w:t>
      </w:r>
    </w:p>
    <w:p>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投标文件由资格文件、商务技术文件、报价文件三部分组成</w:t>
      </w:r>
      <w:r>
        <w:rPr>
          <w:rFonts w:hint="eastAsia" w:ascii="仿宋" w:hAnsi="仿宋" w:eastAsia="仿宋"/>
          <w:color w:val="auto"/>
          <w:sz w:val="24"/>
          <w:szCs w:val="24"/>
        </w:rPr>
        <w:t>（具体见第二章《投标人须知前附表》）</w:t>
      </w:r>
      <w:r>
        <w:rPr>
          <w:rFonts w:hint="eastAsia" w:ascii="仿宋" w:hAnsi="仿宋" w:eastAsia="仿宋"/>
          <w:color w:val="auto"/>
          <w:sz w:val="24"/>
        </w:rPr>
        <w:t>，投标文件应当对招标文件提出的要求和条件作出明确响应。</w:t>
      </w:r>
    </w:p>
    <w:p>
      <w:pPr>
        <w:snapToGrid w:val="0"/>
        <w:spacing w:line="276" w:lineRule="auto"/>
        <w:ind w:firstLine="472" w:firstLineChars="196"/>
        <w:jc w:val="left"/>
        <w:outlineLvl w:val="0"/>
        <w:rPr>
          <w:rFonts w:ascii="仿宋" w:hAnsi="仿宋" w:eastAsia="仿宋"/>
          <w:b/>
          <w:color w:val="auto"/>
          <w:sz w:val="24"/>
        </w:rPr>
      </w:pPr>
      <w:r>
        <w:rPr>
          <w:rFonts w:hint="eastAsia" w:ascii="仿宋" w:hAnsi="仿宋" w:eastAsia="仿宋"/>
          <w:b/>
          <w:color w:val="auto"/>
          <w:sz w:val="24"/>
        </w:rPr>
        <w:t>18.投标报价</w:t>
      </w:r>
    </w:p>
    <w:p>
      <w:pPr>
        <w:pStyle w:val="26"/>
        <w:snapToGrid w:val="0"/>
        <w:spacing w:line="276" w:lineRule="auto"/>
        <w:ind w:firstLine="480" w:firstLineChars="200"/>
        <w:rPr>
          <w:rFonts w:ascii="仿宋" w:hAnsi="仿宋" w:eastAsia="仿宋"/>
        </w:rPr>
      </w:pPr>
      <w:r>
        <w:rPr>
          <w:rFonts w:hint="eastAsia" w:ascii="仿宋" w:hAnsi="仿宋" w:eastAsia="仿宋"/>
        </w:rPr>
        <w:t>18.1</w:t>
      </w:r>
      <w:r>
        <w:rPr>
          <w:rFonts w:ascii="仿宋" w:hAnsi="仿宋" w:eastAsia="仿宋"/>
        </w:rPr>
        <w:t>投标报价应按招标文件中相关附表格式填写。</w:t>
      </w:r>
    </w:p>
    <w:p>
      <w:pPr>
        <w:pStyle w:val="26"/>
        <w:spacing w:line="276" w:lineRule="auto"/>
        <w:ind w:firstLine="480" w:firstLineChars="200"/>
        <w:rPr>
          <w:rFonts w:ascii="仿宋" w:hAnsi="仿宋" w:eastAsia="仿宋"/>
        </w:rPr>
      </w:pPr>
      <w:r>
        <w:rPr>
          <w:rFonts w:hint="eastAsia" w:ascii="仿宋" w:hAnsi="仿宋" w:eastAsia="仿宋"/>
        </w:rPr>
        <w:t>18.2</w:t>
      </w:r>
      <w:r>
        <w:rPr>
          <w:rFonts w:hint="eastAsia" w:ascii="仿宋" w:hAnsi="仿宋" w:eastAsia="仿宋" w:cs="仿宋_GB2312"/>
        </w:rPr>
        <w:t>有关本项目实施所需的所有费用（含税费）均计入报价。开标一览表（报价表）是报价的唯一载体。投标文件中价格全部采用人民币报价（招标文件另有报价格式要求的按要求执行）。</w:t>
      </w:r>
    </w:p>
    <w:p>
      <w:pPr>
        <w:pStyle w:val="26"/>
        <w:snapToGrid w:val="0"/>
        <w:spacing w:line="276" w:lineRule="auto"/>
        <w:ind w:firstLine="480" w:firstLineChars="200"/>
        <w:rPr>
          <w:rFonts w:ascii="仿宋" w:hAnsi="仿宋" w:eastAsia="仿宋"/>
        </w:rPr>
      </w:pPr>
      <w:r>
        <w:rPr>
          <w:rFonts w:hint="eastAsia" w:ascii="仿宋" w:hAnsi="仿宋" w:eastAsia="仿宋"/>
        </w:rPr>
        <w:t>18.3</w:t>
      </w:r>
      <w:r>
        <w:rPr>
          <w:rFonts w:ascii="仿宋" w:hAnsi="仿宋" w:eastAsia="仿宋"/>
        </w:rPr>
        <w:t>投标文件只允许有一个报价，有选择的</w:t>
      </w:r>
      <w:r>
        <w:rPr>
          <w:rFonts w:hint="eastAsia" w:ascii="仿宋" w:hAnsi="仿宋" w:eastAsia="仿宋"/>
        </w:rPr>
        <w:t>或有条件的</w:t>
      </w:r>
      <w:r>
        <w:rPr>
          <w:rFonts w:ascii="仿宋" w:hAnsi="仿宋" w:eastAsia="仿宋"/>
        </w:rPr>
        <w:t>报价将不予接受。</w:t>
      </w:r>
    </w:p>
    <w:p>
      <w:pPr>
        <w:pStyle w:val="26"/>
        <w:snapToGrid w:val="0"/>
        <w:spacing w:line="276" w:lineRule="auto"/>
        <w:ind w:firstLine="480" w:firstLineChars="200"/>
        <w:rPr>
          <w:rFonts w:ascii="仿宋" w:hAnsi="仿宋" w:eastAsia="仿宋"/>
        </w:rPr>
      </w:pPr>
      <w:r>
        <w:rPr>
          <w:rFonts w:hint="eastAsia" w:ascii="仿宋" w:hAnsi="仿宋" w:eastAsia="仿宋"/>
        </w:rPr>
        <w:t>18.4招标文件未列明，而投标人认为必需的费用也需列入报价。</w:t>
      </w:r>
    </w:p>
    <w:p>
      <w:pPr>
        <w:pStyle w:val="26"/>
        <w:spacing w:line="276" w:lineRule="auto"/>
        <w:ind w:firstLine="480" w:firstLineChars="200"/>
        <w:rPr>
          <w:rFonts w:ascii="仿宋" w:hAnsi="仿宋" w:eastAsia="仿宋"/>
          <w:szCs w:val="24"/>
        </w:rPr>
      </w:pPr>
      <w:r>
        <w:rPr>
          <w:rFonts w:hint="eastAsia" w:ascii="仿宋" w:hAnsi="仿宋" w:eastAsia="仿宋"/>
        </w:rPr>
        <w:t>18.5</w:t>
      </w:r>
      <w:r>
        <w:rPr>
          <w:rFonts w:hint="eastAsia" w:ascii="仿宋" w:hAnsi="仿宋" w:eastAsia="仿宋"/>
          <w:szCs w:val="24"/>
        </w:rPr>
        <w:t>中标后，中标人的投标报价</w:t>
      </w:r>
      <w:r>
        <w:rPr>
          <w:rFonts w:ascii="仿宋" w:hAnsi="仿宋" w:eastAsia="仿宋" w:cs="Times New Roman"/>
          <w:szCs w:val="24"/>
        </w:rPr>
        <w:t>是履行合同的最终价格，</w:t>
      </w:r>
      <w:r>
        <w:rPr>
          <w:rFonts w:hint="eastAsia" w:ascii="仿宋" w:hAnsi="仿宋" w:eastAsia="仿宋"/>
          <w:szCs w:val="24"/>
        </w:rPr>
        <w:t>在合同实施期间不因市场变化因素而变动，投标人在计算报价时应考虑一定的风险系数。</w:t>
      </w:r>
    </w:p>
    <w:p>
      <w:pPr>
        <w:pStyle w:val="26"/>
        <w:spacing w:line="276" w:lineRule="auto"/>
        <w:ind w:firstLine="482" w:firstLineChars="200"/>
        <w:rPr>
          <w:rFonts w:ascii="仿宋" w:hAnsi="仿宋" w:eastAsia="仿宋"/>
          <w:b/>
          <w:szCs w:val="24"/>
        </w:rPr>
      </w:pPr>
      <w:r>
        <w:rPr>
          <w:rFonts w:hint="eastAsia" w:ascii="仿宋" w:hAnsi="仿宋" w:eastAsia="仿宋"/>
          <w:b/>
          <w:szCs w:val="24"/>
        </w:rPr>
        <w:t>19.投标文件的编制</w:t>
      </w:r>
    </w:p>
    <w:p>
      <w:pPr>
        <w:pStyle w:val="26"/>
        <w:spacing w:line="276" w:lineRule="auto"/>
        <w:ind w:firstLine="480" w:firstLineChars="200"/>
        <w:rPr>
          <w:rFonts w:ascii="仿宋" w:hAnsi="仿宋" w:eastAsia="仿宋"/>
        </w:rPr>
      </w:pPr>
      <w:r>
        <w:rPr>
          <w:rFonts w:hint="eastAsia" w:ascii="仿宋" w:hAnsi="仿宋" w:eastAsia="仿宋"/>
        </w:rPr>
        <w:t>19</w:t>
      </w:r>
      <w:r>
        <w:rPr>
          <w:rFonts w:ascii="仿宋" w:hAnsi="仿宋" w:eastAsia="仿宋"/>
        </w:rPr>
        <w:t>.1</w:t>
      </w:r>
      <w:r>
        <w:rPr>
          <w:rFonts w:hint="eastAsia" w:ascii="仿宋" w:hAnsi="仿宋" w:eastAsia="仿宋"/>
        </w:rPr>
        <w:t>投标文件分为资格文件、商务技术文件、报价文件三部分</w:t>
      </w:r>
      <w:r>
        <w:rPr>
          <w:rFonts w:ascii="仿宋" w:hAnsi="仿宋" w:eastAsia="仿宋"/>
        </w:rPr>
        <w:t>。各投标人在编制投标文件时请按照招标文件</w:t>
      </w:r>
      <w:r>
        <w:rPr>
          <w:rFonts w:ascii="仿宋" w:hAnsi="仿宋" w:eastAsia="仿宋"/>
          <w:u w:val="single"/>
        </w:rPr>
        <w:t>第二章</w:t>
      </w:r>
      <w:r>
        <w:rPr>
          <w:rFonts w:hint="eastAsia" w:ascii="仿宋" w:hAnsi="仿宋" w:eastAsia="仿宋"/>
          <w:szCs w:val="24"/>
          <w:u w:val="single"/>
        </w:rPr>
        <w:t>《投标人须知前附表》及第六章</w:t>
      </w:r>
      <w:r>
        <w:rPr>
          <w:rFonts w:hint="eastAsia" w:ascii="仿宋" w:hAnsi="仿宋" w:eastAsia="仿宋"/>
        </w:rPr>
        <w:t>规定的格式进行编制。混乱的编排导致投标文件被误读、漏读或者评标委员会查找不到相关内容或有效文件的，是投标人的风险与责任。</w:t>
      </w:r>
    </w:p>
    <w:p>
      <w:pPr>
        <w:pStyle w:val="26"/>
        <w:spacing w:line="276" w:lineRule="auto"/>
        <w:ind w:firstLine="480" w:firstLineChars="200"/>
        <w:rPr>
          <w:rFonts w:ascii="仿宋" w:hAnsi="仿宋" w:eastAsia="仿宋"/>
        </w:rPr>
      </w:pPr>
      <w:r>
        <w:rPr>
          <w:rFonts w:hint="eastAsia" w:ascii="仿宋" w:hAnsi="仿宋" w:eastAsia="仿宋"/>
        </w:rPr>
        <w:t>19</w:t>
      </w:r>
      <w:r>
        <w:rPr>
          <w:rFonts w:ascii="仿宋" w:hAnsi="仿宋" w:eastAsia="仿宋"/>
        </w:rPr>
        <w:t>.</w:t>
      </w:r>
      <w:r>
        <w:rPr>
          <w:rFonts w:hint="eastAsia" w:ascii="仿宋" w:hAnsi="仿宋" w:eastAsia="仿宋"/>
        </w:rPr>
        <w:t>2</w:t>
      </w:r>
      <w:r>
        <w:rPr>
          <w:rFonts w:ascii="仿宋" w:hAnsi="仿宋" w:eastAsia="仿宋"/>
        </w:rPr>
        <w:t>投标人进行电子投标前，应安装客户端软件—“政</w:t>
      </w:r>
      <w:r>
        <w:rPr>
          <w:rFonts w:hint="eastAsia" w:ascii="仿宋" w:hAnsi="仿宋" w:eastAsia="仿宋"/>
        </w:rPr>
        <w:t>采云电子交易客户端”，并按照招标文件和电子交易平台的要求编制并加密投标文件。投标人未按规定加密的投标文件，电子交易平台将拒收并提示。</w:t>
      </w:r>
    </w:p>
    <w:p>
      <w:pPr>
        <w:pStyle w:val="26"/>
        <w:spacing w:line="276" w:lineRule="auto"/>
        <w:ind w:firstLine="480" w:firstLineChars="200"/>
        <w:rPr>
          <w:rFonts w:ascii="仿宋" w:hAnsi="仿宋" w:eastAsia="仿宋"/>
        </w:rPr>
      </w:pPr>
      <w:r>
        <w:rPr>
          <w:rFonts w:hint="eastAsia" w:ascii="仿宋" w:hAnsi="仿宋" w:eastAsia="仿宋"/>
        </w:rPr>
        <w:t>19</w:t>
      </w:r>
      <w:r>
        <w:rPr>
          <w:rFonts w:ascii="仿宋" w:hAnsi="仿宋" w:eastAsia="仿宋"/>
        </w:rPr>
        <w:t>.</w:t>
      </w:r>
      <w:r>
        <w:rPr>
          <w:rFonts w:hint="eastAsia" w:ascii="仿宋" w:hAnsi="仿宋" w:eastAsia="仿宋"/>
        </w:rPr>
        <w:t>3</w:t>
      </w:r>
      <w:r>
        <w:rPr>
          <w:rFonts w:ascii="仿宋" w:hAnsi="仿宋" w:eastAsia="仿宋"/>
        </w:rPr>
        <w:t>使用“政</w:t>
      </w:r>
      <w:r>
        <w:rPr>
          <w:rFonts w:hint="eastAsia" w:ascii="仿宋" w:hAnsi="仿宋" w:eastAsia="仿宋"/>
        </w:rPr>
        <w:t>采云电子交易客户端”需要提前申领</w:t>
      </w:r>
      <w:r>
        <w:rPr>
          <w:rFonts w:ascii="仿宋" w:hAnsi="仿宋" w:eastAsia="仿宋"/>
        </w:rPr>
        <w:t>CA数字证书，申领流程请自行前往“浙江政府采购网-下载专区-电子交易客户端-CA驱动和申领流程”进行查阅。</w:t>
      </w:r>
    </w:p>
    <w:p>
      <w:pPr>
        <w:pStyle w:val="26"/>
        <w:spacing w:line="276" w:lineRule="auto"/>
        <w:ind w:firstLine="482" w:firstLineChars="200"/>
        <w:rPr>
          <w:rFonts w:ascii="仿宋" w:hAnsi="仿宋" w:eastAsia="仿宋"/>
          <w:b/>
        </w:rPr>
      </w:pPr>
      <w:r>
        <w:rPr>
          <w:rFonts w:hint="eastAsia" w:ascii="仿宋" w:hAnsi="仿宋" w:eastAsia="仿宋"/>
          <w:b/>
        </w:rPr>
        <w:t>20.投标文件的签署、盖章</w:t>
      </w:r>
    </w:p>
    <w:p>
      <w:pPr>
        <w:pStyle w:val="26"/>
        <w:spacing w:line="276" w:lineRule="auto"/>
        <w:ind w:firstLine="480" w:firstLineChars="200"/>
        <w:rPr>
          <w:rFonts w:ascii="仿宋" w:hAnsi="仿宋" w:eastAsia="仿宋"/>
        </w:rPr>
      </w:pPr>
      <w:r>
        <w:rPr>
          <w:rFonts w:hint="eastAsia" w:ascii="仿宋" w:hAnsi="仿宋" w:eastAsia="仿宋"/>
        </w:rPr>
        <w:t>20.1投标文件的签章形式：电子签名（电子签章）</w:t>
      </w:r>
      <w:r>
        <w:rPr>
          <w:rFonts w:hint="eastAsia" w:ascii="仿宋" w:hAnsi="仿宋" w:eastAsia="仿宋"/>
          <w:szCs w:val="24"/>
        </w:rPr>
        <w:t>。</w:t>
      </w:r>
    </w:p>
    <w:p>
      <w:pPr>
        <w:pStyle w:val="26"/>
        <w:spacing w:line="276" w:lineRule="auto"/>
        <w:ind w:firstLine="480" w:firstLineChars="200"/>
        <w:rPr>
          <w:rFonts w:ascii="仿宋" w:hAnsi="仿宋" w:eastAsia="仿宋"/>
        </w:rPr>
      </w:pPr>
      <w:r>
        <w:rPr>
          <w:rFonts w:hint="eastAsia" w:ascii="仿宋" w:hAnsi="仿宋" w:eastAsia="仿宋"/>
        </w:rPr>
        <w:t>20</w:t>
      </w:r>
      <w:r>
        <w:rPr>
          <w:rFonts w:ascii="仿宋" w:hAnsi="仿宋" w:eastAsia="仿宋"/>
        </w:rPr>
        <w:t>.</w:t>
      </w:r>
      <w:r>
        <w:rPr>
          <w:rFonts w:hint="eastAsia" w:ascii="仿宋" w:hAnsi="仿宋" w:eastAsia="仿宋"/>
        </w:rPr>
        <w:t>2</w:t>
      </w:r>
      <w:r>
        <w:rPr>
          <w:rFonts w:ascii="仿宋" w:hAnsi="仿宋" w:eastAsia="仿宋"/>
          <w:szCs w:val="24"/>
        </w:rPr>
        <w:t>投标文件按照招标文件第六章格式要求进行签署、盖章</w:t>
      </w:r>
      <w:r>
        <w:rPr>
          <w:rFonts w:hint="eastAsia" w:ascii="仿宋" w:hAnsi="仿宋" w:eastAsia="仿宋"/>
          <w:szCs w:val="24"/>
        </w:rPr>
        <w:t>。</w:t>
      </w:r>
      <w:r>
        <w:rPr>
          <w:rFonts w:hint="eastAsia" w:ascii="仿宋" w:hAnsi="仿宋" w:eastAsia="仿宋"/>
          <w:u w:val="single"/>
        </w:rPr>
        <w:t>投标人的投标文件未按照招标文件要求签署、盖章的，其投标无效</w:t>
      </w:r>
      <w:r>
        <w:rPr>
          <w:rFonts w:hint="eastAsia" w:ascii="仿宋" w:hAnsi="仿宋" w:eastAsia="仿宋"/>
        </w:rPr>
        <w:t>。</w:t>
      </w:r>
    </w:p>
    <w:p>
      <w:pPr>
        <w:pStyle w:val="26"/>
        <w:spacing w:line="276" w:lineRule="auto"/>
        <w:ind w:firstLine="480" w:firstLineChars="200"/>
        <w:rPr>
          <w:rFonts w:ascii="仿宋" w:hAnsi="仿宋" w:eastAsia="仿宋"/>
        </w:rPr>
      </w:pPr>
      <w:r>
        <w:rPr>
          <w:rFonts w:hint="eastAsia" w:ascii="仿宋" w:hAnsi="仿宋" w:eastAsia="仿宋"/>
        </w:rPr>
        <w:t>20</w:t>
      </w:r>
      <w:r>
        <w:rPr>
          <w:rFonts w:ascii="仿宋" w:hAnsi="仿宋" w:eastAsia="仿宋"/>
        </w:rPr>
        <w:t>.</w:t>
      </w:r>
      <w:r>
        <w:rPr>
          <w:rFonts w:hint="eastAsia" w:ascii="仿宋" w:hAnsi="仿宋" w:eastAsia="仿宋"/>
        </w:rPr>
        <w:t>3</w:t>
      </w:r>
      <w:r>
        <w:rPr>
          <w:rFonts w:ascii="仿宋" w:hAnsi="仿宋" w:eastAsia="仿宋"/>
        </w:rPr>
        <w:t>为确保网上操作合法、有效和安全，投标人应当在投标截止时间前完成在“政府采购云平台”的身份认证，确保在电子投标过程中能够对相关数据电文进行加密和使用电子签名。</w:t>
      </w:r>
    </w:p>
    <w:p>
      <w:pPr>
        <w:pStyle w:val="26"/>
        <w:spacing w:line="276" w:lineRule="auto"/>
        <w:ind w:firstLine="480" w:firstLineChars="200"/>
        <w:rPr>
          <w:rFonts w:ascii="仿宋" w:hAnsi="仿宋" w:eastAsia="仿宋"/>
        </w:rPr>
      </w:pPr>
      <w:r>
        <w:rPr>
          <w:rFonts w:hint="eastAsia" w:ascii="仿宋" w:hAnsi="仿宋" w:eastAsia="仿宋"/>
        </w:rPr>
        <w:t>20</w:t>
      </w:r>
      <w:r>
        <w:rPr>
          <w:rFonts w:ascii="仿宋" w:hAnsi="仿宋" w:eastAsia="仿宋"/>
        </w:rPr>
        <w:t>.</w:t>
      </w:r>
      <w:r>
        <w:rPr>
          <w:rFonts w:hint="eastAsia" w:ascii="仿宋" w:hAnsi="仿宋" w:eastAsia="仿宋"/>
        </w:rPr>
        <w:t>4</w:t>
      </w:r>
      <w:r>
        <w:rPr>
          <w:rFonts w:ascii="仿宋" w:hAnsi="仿宋" w:eastAsia="仿宋"/>
        </w:rPr>
        <w:t>招标文件对投标文件签署、盖章的要求适用于电子签名。</w:t>
      </w:r>
    </w:p>
    <w:p>
      <w:pPr>
        <w:pStyle w:val="26"/>
        <w:spacing w:line="276" w:lineRule="auto"/>
        <w:ind w:firstLine="482" w:firstLineChars="200"/>
        <w:rPr>
          <w:rFonts w:ascii="仿宋" w:hAnsi="仿宋" w:eastAsia="仿宋"/>
          <w:b/>
        </w:rPr>
      </w:pPr>
      <w:r>
        <w:rPr>
          <w:rFonts w:hint="eastAsia" w:ascii="仿宋" w:hAnsi="仿宋" w:eastAsia="仿宋"/>
          <w:b/>
        </w:rPr>
        <w:t>21.投标文件的提交、补充、修改、撤回</w:t>
      </w:r>
    </w:p>
    <w:p>
      <w:pPr>
        <w:pStyle w:val="26"/>
        <w:spacing w:line="276" w:lineRule="auto"/>
        <w:ind w:firstLine="480" w:firstLineChars="200"/>
        <w:rPr>
          <w:rFonts w:ascii="仿宋" w:hAnsi="仿宋" w:eastAsia="仿宋"/>
        </w:rPr>
      </w:pPr>
      <w:r>
        <w:rPr>
          <w:rFonts w:hint="eastAsia" w:ascii="仿宋" w:hAnsi="仿宋" w:eastAsia="仿宋"/>
        </w:rPr>
        <w:t>21</w:t>
      </w:r>
      <w:r>
        <w:rPr>
          <w:rFonts w:ascii="仿宋" w:hAnsi="仿宋" w:eastAsia="仿宋"/>
        </w:rPr>
        <w:t xml:space="preserve">.1 </w:t>
      </w:r>
      <w:r>
        <w:rPr>
          <w:rFonts w:hint="eastAsia" w:ascii="仿宋" w:hAnsi="仿宋" w:eastAsia="仿宋"/>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6"/>
        <w:spacing w:line="276" w:lineRule="auto"/>
        <w:ind w:firstLine="480" w:firstLineChars="200"/>
        <w:rPr>
          <w:rFonts w:ascii="仿宋" w:hAnsi="仿宋" w:eastAsia="仿宋"/>
        </w:rPr>
      </w:pPr>
      <w:r>
        <w:rPr>
          <w:rFonts w:hint="eastAsia" w:ascii="仿宋" w:hAnsi="仿宋" w:eastAsia="仿宋"/>
        </w:rPr>
        <w:t>21</w:t>
      </w:r>
      <w:r>
        <w:rPr>
          <w:rFonts w:ascii="仿宋" w:hAnsi="仿宋" w:eastAsia="仿宋"/>
        </w:rPr>
        <w:t>.</w:t>
      </w:r>
      <w:r>
        <w:rPr>
          <w:rFonts w:hint="eastAsia" w:ascii="仿宋" w:hAnsi="仿宋" w:eastAsia="仿宋"/>
        </w:rPr>
        <w:t>2</w:t>
      </w:r>
      <w:r>
        <w:rPr>
          <w:rFonts w:ascii="仿宋" w:hAnsi="仿宋" w:eastAsia="仿宋"/>
        </w:rPr>
        <w:t>电子交易平台收到投标文件，将妥善保存并即时向供应商发出确认回执通知。在投标截止时间前，除供应商补充、修改或者撤回投标文件外，任何单位和个人不得解密或提取投标文件。</w:t>
      </w:r>
    </w:p>
    <w:p>
      <w:pPr>
        <w:pStyle w:val="26"/>
        <w:spacing w:line="276" w:lineRule="auto"/>
        <w:ind w:firstLine="480" w:firstLineChars="200"/>
        <w:rPr>
          <w:rFonts w:ascii="仿宋" w:hAnsi="仿宋" w:eastAsia="仿宋"/>
        </w:rPr>
      </w:pPr>
      <w:r>
        <w:rPr>
          <w:rFonts w:hint="eastAsia" w:ascii="仿宋" w:hAnsi="仿宋" w:eastAsia="仿宋"/>
        </w:rPr>
        <w:t>21</w:t>
      </w:r>
      <w:r>
        <w:rPr>
          <w:rFonts w:ascii="仿宋" w:hAnsi="仿宋" w:eastAsia="仿宋"/>
        </w:rPr>
        <w:t>.</w:t>
      </w:r>
      <w:r>
        <w:rPr>
          <w:rFonts w:hint="eastAsia" w:ascii="仿宋" w:hAnsi="仿宋" w:eastAsia="仿宋"/>
        </w:rPr>
        <w:t>3</w:t>
      </w:r>
      <w:r>
        <w:rPr>
          <w:rFonts w:ascii="仿宋" w:hAnsi="仿宋" w:eastAsia="仿宋"/>
        </w:rPr>
        <w:t>采购人、采购代理机构可以视情况延长投标文件提交的截止时间。在上述情况下，采购代理机构与投标人以前在投标截止期方面的全部权利、责任和义务，将适用于延长至新的投标截止期。</w:t>
      </w:r>
    </w:p>
    <w:p>
      <w:pPr>
        <w:pStyle w:val="26"/>
        <w:spacing w:line="276" w:lineRule="auto"/>
        <w:ind w:firstLine="482" w:firstLineChars="200"/>
        <w:rPr>
          <w:rFonts w:ascii="仿宋" w:hAnsi="仿宋" w:eastAsia="仿宋"/>
          <w:b/>
        </w:rPr>
      </w:pPr>
      <w:r>
        <w:rPr>
          <w:rFonts w:hint="eastAsia" w:ascii="仿宋" w:hAnsi="仿宋" w:eastAsia="仿宋"/>
          <w:b/>
        </w:rPr>
        <w:t>22.备份投标文件</w:t>
      </w:r>
    </w:p>
    <w:p>
      <w:pPr>
        <w:pStyle w:val="9"/>
        <w:snapToGrid w:val="0"/>
        <w:spacing w:line="276" w:lineRule="auto"/>
        <w:ind w:firstLine="480" w:firstLineChars="200"/>
        <w:rPr>
          <w:rFonts w:ascii="仿宋" w:hAnsi="仿宋" w:eastAsia="仿宋" w:cs="宋体"/>
          <w:sz w:val="24"/>
          <w:szCs w:val="24"/>
        </w:rPr>
      </w:pPr>
      <w:r>
        <w:rPr>
          <w:rFonts w:hint="eastAsia" w:ascii="仿宋" w:hAnsi="仿宋" w:eastAsia="仿宋"/>
          <w:sz w:val="24"/>
          <w:szCs w:val="24"/>
        </w:rPr>
        <w:t>22.1</w:t>
      </w:r>
      <w:r>
        <w:rPr>
          <w:rFonts w:hint="eastAsia" w:ascii="仿宋" w:hAnsi="仿宋" w:eastAsia="仿宋" w:cs="宋体"/>
          <w:sz w:val="24"/>
          <w:szCs w:val="24"/>
        </w:rPr>
        <w:t>投标人可自主选择是否</w:t>
      </w:r>
      <w:r>
        <w:rPr>
          <w:rFonts w:hint="eastAsia" w:ascii="仿宋" w:hAnsi="仿宋" w:eastAsia="仿宋"/>
          <w:sz w:val="24"/>
          <w:szCs w:val="24"/>
        </w:rPr>
        <w:t>在投标截止时间前，直接提交或者以</w:t>
      </w:r>
      <w:r>
        <w:rPr>
          <w:rFonts w:hint="eastAsia" w:ascii="仿宋" w:hAnsi="仿宋" w:eastAsia="仿宋" w:cs="宋体"/>
          <w:sz w:val="24"/>
          <w:szCs w:val="24"/>
        </w:rPr>
        <w:t>EMS或顺丰快递方式向采购代理机构提交以介质（U盘）存储的数据电文形式的“备份投标文件”一份。备份投标文件送达地点及签收人：详见</w:t>
      </w:r>
      <w:r>
        <w:rPr>
          <w:rFonts w:hint="eastAsia" w:ascii="仿宋" w:hAnsi="仿宋" w:eastAsia="仿宋"/>
          <w:sz w:val="24"/>
          <w:szCs w:val="24"/>
        </w:rPr>
        <w:t>招标公告中采购代理机构信息（地址、项目联系人）。</w:t>
      </w:r>
    </w:p>
    <w:p>
      <w:pPr>
        <w:pStyle w:val="9"/>
        <w:snapToGrid w:val="0"/>
        <w:spacing w:line="276" w:lineRule="auto"/>
        <w:ind w:firstLine="480" w:firstLineChars="200"/>
        <w:rPr>
          <w:rFonts w:ascii="仿宋" w:hAnsi="仿宋" w:eastAsia="仿宋" w:cs="仿宋_GB2312"/>
          <w:sz w:val="24"/>
          <w:szCs w:val="24"/>
        </w:rPr>
      </w:pPr>
      <w:r>
        <w:rPr>
          <w:rFonts w:hint="eastAsia" w:ascii="仿宋" w:hAnsi="仿宋" w:eastAsia="仿宋" w:cs="宋体"/>
          <w:sz w:val="24"/>
          <w:szCs w:val="24"/>
        </w:rPr>
        <w:t>22.2备份投标文件须在“政采云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不符合上述制作、存储、密封规定的备份投标文件将被视为无效或者被拒绝接收。</w:t>
      </w:r>
    </w:p>
    <w:p>
      <w:pPr>
        <w:pStyle w:val="9"/>
        <w:snapToGrid w:val="0"/>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22.3直接提交备份投标文件的，投标人应于投标截止时间前在招标公告中载明的采购代理机构地点将备份投标文件提交给采购代理机构，采购代理机构将拒绝接受逾期送达的备份投标文件。</w:t>
      </w:r>
    </w:p>
    <w:p>
      <w:pPr>
        <w:pStyle w:val="9"/>
        <w:snapToGrid w:val="0"/>
        <w:spacing w:line="276" w:lineRule="auto"/>
        <w:ind w:firstLine="480" w:firstLineChars="200"/>
        <w:rPr>
          <w:rFonts w:ascii="仿宋" w:hAnsi="仿宋" w:eastAsia="仿宋" w:cs="仿宋_GB2312"/>
          <w:sz w:val="24"/>
          <w:szCs w:val="24"/>
        </w:rPr>
      </w:pPr>
      <w:r>
        <w:rPr>
          <w:rFonts w:hint="eastAsia" w:ascii="仿宋" w:hAnsi="仿宋" w:eastAsia="仿宋" w:cs="宋体"/>
          <w:sz w:val="24"/>
          <w:szCs w:val="24"/>
        </w:rPr>
        <w:t>22.4以快递方式递交备份投标文件的，投标人应先将备份投标文件按要求密封和标记，再进行快递包装后邮寄。备份投标文件须在投标截止时间之前送达招标文件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26"/>
        <w:spacing w:line="276" w:lineRule="auto"/>
        <w:ind w:firstLine="480" w:firstLineChars="200"/>
        <w:rPr>
          <w:rFonts w:ascii="仿宋" w:hAnsi="仿宋" w:eastAsia="仿宋"/>
          <w:szCs w:val="24"/>
        </w:rPr>
      </w:pPr>
      <w:r>
        <w:rPr>
          <w:rFonts w:hint="eastAsia" w:ascii="仿宋" w:hAnsi="仿宋" w:eastAsia="仿宋"/>
          <w:szCs w:val="24"/>
        </w:rPr>
        <w:t>22.5投标截止时间前，投标人仅仅只递交了“备份投标文件”而没有将“电子加密投标文件”成功上传至“政采云”平台的，其投标无效。</w:t>
      </w:r>
    </w:p>
    <w:p>
      <w:pPr>
        <w:pStyle w:val="26"/>
        <w:spacing w:line="276" w:lineRule="auto"/>
        <w:ind w:firstLine="482" w:firstLineChars="200"/>
        <w:rPr>
          <w:rFonts w:ascii="仿宋" w:hAnsi="仿宋" w:eastAsia="仿宋"/>
          <w:b/>
          <w:szCs w:val="24"/>
        </w:rPr>
      </w:pPr>
      <w:r>
        <w:rPr>
          <w:rFonts w:hint="eastAsia" w:ascii="仿宋" w:hAnsi="仿宋" w:eastAsia="仿宋"/>
          <w:b/>
          <w:szCs w:val="24"/>
        </w:rPr>
        <w:t>23.投标截止时间、投标地点</w:t>
      </w:r>
    </w:p>
    <w:p>
      <w:pPr>
        <w:pStyle w:val="26"/>
        <w:spacing w:line="276" w:lineRule="auto"/>
        <w:ind w:firstLine="480" w:firstLineChars="200"/>
        <w:rPr>
          <w:rFonts w:ascii="仿宋" w:hAnsi="仿宋" w:eastAsia="仿宋"/>
          <w:szCs w:val="24"/>
        </w:rPr>
      </w:pPr>
      <w:r>
        <w:rPr>
          <w:rFonts w:hint="eastAsia" w:ascii="仿宋" w:hAnsi="仿宋" w:eastAsia="仿宋"/>
          <w:szCs w:val="24"/>
        </w:rPr>
        <w:t>投标截止时间、投标地点：</w:t>
      </w:r>
      <w:r>
        <w:rPr>
          <w:rFonts w:hint="eastAsia" w:ascii="仿宋" w:hAnsi="仿宋" w:eastAsia="仿宋"/>
          <w:szCs w:val="24"/>
          <w:u w:val="single"/>
        </w:rPr>
        <w:t>具体见第一章《招标公告》</w:t>
      </w:r>
      <w:r>
        <w:rPr>
          <w:rFonts w:hint="eastAsia" w:ascii="仿宋" w:hAnsi="仿宋" w:eastAsia="仿宋"/>
          <w:szCs w:val="24"/>
        </w:rPr>
        <w:t>。</w:t>
      </w:r>
    </w:p>
    <w:p>
      <w:pPr>
        <w:pStyle w:val="26"/>
        <w:spacing w:line="276" w:lineRule="auto"/>
        <w:ind w:firstLine="482" w:firstLineChars="200"/>
        <w:rPr>
          <w:rFonts w:ascii="仿宋" w:hAnsi="仿宋" w:eastAsia="仿宋"/>
          <w:b/>
          <w:szCs w:val="24"/>
        </w:rPr>
      </w:pPr>
      <w:r>
        <w:rPr>
          <w:rFonts w:hint="eastAsia" w:ascii="仿宋" w:hAnsi="仿宋" w:eastAsia="仿宋"/>
          <w:b/>
          <w:szCs w:val="24"/>
        </w:rPr>
        <w:t>24.投标文件的无效处理</w:t>
      </w:r>
    </w:p>
    <w:p>
      <w:pPr>
        <w:pStyle w:val="26"/>
        <w:spacing w:line="276" w:lineRule="auto"/>
        <w:ind w:firstLine="480" w:firstLineChars="200"/>
        <w:rPr>
          <w:rFonts w:ascii="仿宋" w:hAnsi="仿宋" w:eastAsia="仿宋"/>
          <w:szCs w:val="24"/>
        </w:rPr>
      </w:pPr>
      <w:r>
        <w:rPr>
          <w:rFonts w:hint="eastAsia" w:ascii="仿宋" w:hAnsi="仿宋" w:eastAsia="仿宋"/>
          <w:szCs w:val="24"/>
        </w:rPr>
        <w:t>存在招标文件第二章“五、评标”规定的无效情形的，其投标无效。</w:t>
      </w:r>
    </w:p>
    <w:p>
      <w:pPr>
        <w:pStyle w:val="16"/>
        <w:widowControl w:val="0"/>
        <w:numPr>
          <w:ilvl w:val="0"/>
          <w:numId w:val="0"/>
        </w:numPr>
        <w:snapToGrid w:val="0"/>
        <w:spacing w:afterLines="0" w:line="276" w:lineRule="auto"/>
        <w:ind w:left="357" w:leftChars="170" w:firstLine="118" w:firstLineChars="49"/>
        <w:rPr>
          <w:rFonts w:ascii="仿宋" w:hAnsi="仿宋" w:eastAsia="仿宋"/>
          <w:b/>
          <w:szCs w:val="24"/>
        </w:rPr>
      </w:pPr>
      <w:r>
        <w:rPr>
          <w:rFonts w:hint="eastAsia" w:ascii="仿宋" w:hAnsi="仿宋" w:eastAsia="仿宋"/>
          <w:b/>
          <w:szCs w:val="24"/>
        </w:rPr>
        <w:t>25.投标有效期</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25</w:t>
      </w:r>
      <w:r>
        <w:rPr>
          <w:rFonts w:ascii="仿宋" w:hAnsi="仿宋" w:eastAsia="仿宋"/>
          <w:szCs w:val="24"/>
        </w:rPr>
        <w:t>.1投标有效期为从提交投标文件的截止之日起</w:t>
      </w:r>
      <w:r>
        <w:rPr>
          <w:rFonts w:ascii="仿宋" w:hAnsi="仿宋" w:eastAsia="仿宋"/>
          <w:szCs w:val="24"/>
          <w:u w:val="single"/>
        </w:rPr>
        <w:t>90天</w:t>
      </w:r>
      <w:r>
        <w:rPr>
          <w:rFonts w:ascii="仿宋" w:hAnsi="仿宋" w:eastAsia="仿宋"/>
          <w:szCs w:val="24"/>
        </w:rPr>
        <w:t>。</w:t>
      </w:r>
      <w:r>
        <w:rPr>
          <w:rFonts w:hint="eastAsia" w:ascii="仿宋" w:hAnsi="仿宋" w:eastAsia="仿宋"/>
          <w:szCs w:val="24"/>
          <w:u w:val="single"/>
        </w:rPr>
        <w:t>投标人的投标文件中承诺的投标有效期少于招标文件中载明的投标有效期的，其投标无效</w:t>
      </w:r>
      <w:r>
        <w:rPr>
          <w:rFonts w:hint="eastAsia" w:ascii="仿宋" w:hAnsi="仿宋" w:eastAsia="仿宋"/>
          <w:szCs w:val="24"/>
        </w:rPr>
        <w:t>。</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25</w:t>
      </w:r>
      <w:r>
        <w:rPr>
          <w:rFonts w:ascii="仿宋" w:hAnsi="仿宋" w:eastAsia="仿宋"/>
          <w:szCs w:val="24"/>
        </w:rPr>
        <w:t>.2投标文件合格投递后，自投标截止日期起，在投标有效期内有效。</w:t>
      </w:r>
    </w:p>
    <w:p>
      <w:pPr>
        <w:pStyle w:val="26"/>
        <w:snapToGrid w:val="0"/>
        <w:spacing w:line="276" w:lineRule="auto"/>
        <w:ind w:firstLine="480" w:firstLineChars="200"/>
        <w:rPr>
          <w:rFonts w:ascii="仿宋" w:hAnsi="仿宋" w:eastAsia="仿宋"/>
        </w:rPr>
      </w:pPr>
      <w:r>
        <w:rPr>
          <w:rFonts w:hint="eastAsia" w:ascii="仿宋" w:hAnsi="仿宋" w:eastAsia="仿宋"/>
          <w:szCs w:val="24"/>
        </w:rPr>
        <w:t>25</w:t>
      </w:r>
      <w:r>
        <w:rPr>
          <w:rFonts w:ascii="仿宋" w:hAnsi="仿宋" w:eastAsia="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pPr>
        <w:pStyle w:val="26"/>
        <w:snapToGrid w:val="0"/>
        <w:spacing w:line="276" w:lineRule="auto"/>
        <w:ind w:firstLine="480" w:firstLineChars="200"/>
        <w:rPr>
          <w:rFonts w:ascii="仿宋" w:hAnsi="仿宋" w:eastAsia="仿宋"/>
        </w:rPr>
      </w:pPr>
      <w:r>
        <w:rPr>
          <w:rFonts w:hint="eastAsia" w:ascii="仿宋" w:hAnsi="仿宋" w:eastAsia="仿宋"/>
        </w:rPr>
        <w:t>25.4在投标截止时间起至投标有效期届满，供应商投标文件不可撤销。</w:t>
      </w:r>
    </w:p>
    <w:p>
      <w:pPr>
        <w:pStyle w:val="26"/>
        <w:snapToGrid w:val="0"/>
        <w:spacing w:line="276" w:lineRule="auto"/>
        <w:ind w:firstLine="482" w:firstLineChars="200"/>
        <w:rPr>
          <w:rFonts w:ascii="仿宋" w:hAnsi="仿宋" w:eastAsia="仿宋"/>
          <w:b/>
        </w:rPr>
      </w:pPr>
      <w:r>
        <w:rPr>
          <w:rFonts w:hint="eastAsia" w:ascii="仿宋" w:hAnsi="仿宋" w:eastAsia="仿宋"/>
          <w:b/>
        </w:rPr>
        <w:t>26.投标样品</w:t>
      </w:r>
    </w:p>
    <w:p>
      <w:pPr>
        <w:pStyle w:val="26"/>
        <w:snapToGrid w:val="0"/>
        <w:spacing w:line="276" w:lineRule="auto"/>
        <w:ind w:firstLine="480" w:firstLineChars="200"/>
        <w:rPr>
          <w:rFonts w:ascii="仿宋" w:hAnsi="仿宋" w:eastAsia="仿宋"/>
          <w:szCs w:val="24"/>
        </w:rPr>
      </w:pPr>
      <w:r>
        <w:rPr>
          <w:rFonts w:hint="eastAsia" w:ascii="仿宋" w:hAnsi="仿宋" w:eastAsia="仿宋"/>
        </w:rPr>
        <w:t>投标样品的名称、规格、数量、检测报告、递交时间与地点等相关规定：</w:t>
      </w:r>
      <w:r>
        <w:rPr>
          <w:rFonts w:hint="eastAsia" w:ascii="仿宋" w:hAnsi="仿宋" w:eastAsia="仿宋"/>
          <w:szCs w:val="24"/>
          <w:u w:val="single"/>
        </w:rPr>
        <w:t>具体见第二章《投标人须知前附表》</w:t>
      </w:r>
      <w:r>
        <w:rPr>
          <w:rFonts w:hint="eastAsia" w:ascii="仿宋" w:hAnsi="仿宋" w:eastAsia="仿宋"/>
          <w:szCs w:val="24"/>
        </w:rPr>
        <w:t>。</w:t>
      </w:r>
    </w:p>
    <w:p>
      <w:pPr>
        <w:pStyle w:val="26"/>
        <w:snapToGrid w:val="0"/>
        <w:spacing w:line="276" w:lineRule="auto"/>
        <w:ind w:firstLine="482" w:firstLineChars="200"/>
        <w:rPr>
          <w:rFonts w:ascii="仿宋" w:hAnsi="仿宋" w:eastAsia="仿宋"/>
          <w:b/>
          <w:szCs w:val="24"/>
        </w:rPr>
      </w:pPr>
      <w:r>
        <w:rPr>
          <w:rFonts w:hint="eastAsia" w:ascii="仿宋" w:hAnsi="仿宋" w:eastAsia="仿宋"/>
          <w:b/>
          <w:szCs w:val="24"/>
        </w:rPr>
        <w:t>27.方案讲解演示</w:t>
      </w:r>
    </w:p>
    <w:p>
      <w:pPr>
        <w:pStyle w:val="26"/>
        <w:snapToGrid w:val="0"/>
        <w:spacing w:line="276" w:lineRule="auto"/>
        <w:ind w:firstLine="480" w:firstLineChars="200"/>
        <w:rPr>
          <w:rFonts w:ascii="仿宋" w:hAnsi="仿宋" w:eastAsia="仿宋"/>
        </w:rPr>
      </w:pPr>
      <w:r>
        <w:rPr>
          <w:rFonts w:hint="eastAsia" w:ascii="仿宋" w:hAnsi="仿宋" w:eastAsia="仿宋"/>
          <w:szCs w:val="24"/>
        </w:rPr>
        <w:t>方案讲解演示的组织与方式等相关规定：</w:t>
      </w:r>
      <w:r>
        <w:rPr>
          <w:rFonts w:hint="eastAsia" w:ascii="仿宋" w:hAnsi="仿宋" w:eastAsia="仿宋"/>
          <w:szCs w:val="24"/>
          <w:u w:val="single"/>
        </w:rPr>
        <w:t>具体见第二章《投标人须知前附表》</w:t>
      </w:r>
      <w:r>
        <w:rPr>
          <w:rFonts w:hint="eastAsia" w:ascii="仿宋" w:hAnsi="仿宋" w:eastAsia="仿宋"/>
          <w:szCs w:val="24"/>
        </w:rPr>
        <w:t>。</w:t>
      </w:r>
    </w:p>
    <w:p>
      <w:pPr>
        <w:pStyle w:val="4"/>
        <w:spacing w:before="0" w:after="0" w:line="276" w:lineRule="auto"/>
        <w:jc w:val="center"/>
        <w:rPr>
          <w:rFonts w:ascii="仿宋" w:hAnsi="仿宋" w:eastAsia="仿宋"/>
          <w:color w:val="auto"/>
          <w:sz w:val="28"/>
          <w:szCs w:val="28"/>
        </w:rPr>
      </w:pPr>
      <w:bookmarkStart w:id="6" w:name="_Toc125344507"/>
      <w:r>
        <w:rPr>
          <w:rFonts w:hint="eastAsia" w:ascii="仿宋" w:hAnsi="仿宋" w:eastAsia="仿宋"/>
          <w:color w:val="auto"/>
          <w:sz w:val="28"/>
          <w:szCs w:val="28"/>
        </w:rPr>
        <w:t>四、开标</w:t>
      </w:r>
      <w:bookmarkEnd w:id="6"/>
      <w:r>
        <w:rPr>
          <w:rFonts w:hint="eastAsia" w:ascii="仿宋" w:hAnsi="仿宋" w:eastAsia="仿宋"/>
          <w:color w:val="auto"/>
          <w:sz w:val="28"/>
          <w:szCs w:val="28"/>
        </w:rPr>
        <w:t>、资格审查与信用信息查询</w:t>
      </w:r>
    </w:p>
    <w:p>
      <w:pPr>
        <w:spacing w:line="276" w:lineRule="auto"/>
        <w:ind w:firstLine="472" w:firstLineChars="196"/>
        <w:rPr>
          <w:rFonts w:ascii="仿宋" w:hAnsi="仿宋" w:eastAsia="仿宋"/>
          <w:b/>
          <w:color w:val="auto"/>
          <w:sz w:val="24"/>
        </w:rPr>
      </w:pPr>
      <w:r>
        <w:rPr>
          <w:rFonts w:hint="eastAsia" w:ascii="仿宋" w:hAnsi="仿宋" w:eastAsia="仿宋"/>
          <w:b/>
          <w:bCs/>
          <w:color w:val="auto"/>
          <w:sz w:val="24"/>
        </w:rPr>
        <w:t>28.</w:t>
      </w:r>
      <w:r>
        <w:rPr>
          <w:rFonts w:hint="eastAsia" w:ascii="仿宋" w:hAnsi="仿宋" w:eastAsia="仿宋"/>
          <w:b/>
          <w:color w:val="auto"/>
          <w:sz w:val="24"/>
        </w:rPr>
        <w:t>开标</w:t>
      </w:r>
    </w:p>
    <w:p>
      <w:pPr>
        <w:spacing w:line="276" w:lineRule="auto"/>
        <w:ind w:firstLine="470" w:firstLineChars="196"/>
        <w:rPr>
          <w:rFonts w:ascii="仿宋" w:hAnsi="仿宋" w:eastAsia="仿宋"/>
          <w:color w:val="auto"/>
          <w:sz w:val="24"/>
          <w:szCs w:val="24"/>
        </w:rPr>
      </w:pPr>
      <w:r>
        <w:rPr>
          <w:rFonts w:hint="eastAsia" w:ascii="仿宋" w:hAnsi="仿宋" w:eastAsia="仿宋"/>
          <w:color w:val="auto"/>
          <w:sz w:val="24"/>
        </w:rPr>
        <w:t>28.1本项目开标时间及开标地点：</w:t>
      </w:r>
      <w:r>
        <w:rPr>
          <w:rFonts w:hint="eastAsia" w:ascii="仿宋" w:hAnsi="仿宋" w:eastAsia="仿宋"/>
          <w:color w:val="auto"/>
          <w:sz w:val="24"/>
          <w:szCs w:val="24"/>
          <w:u w:val="single"/>
        </w:rPr>
        <w:t>具体见第一章《招标公告》</w:t>
      </w:r>
      <w:r>
        <w:rPr>
          <w:rFonts w:hint="eastAsia" w:ascii="仿宋" w:hAnsi="仿宋" w:eastAsia="仿宋"/>
          <w:color w:val="auto"/>
          <w:sz w:val="24"/>
          <w:szCs w:val="24"/>
        </w:rPr>
        <w:t>。</w:t>
      </w:r>
      <w:r>
        <w:rPr>
          <w:rFonts w:ascii="仿宋" w:hAnsi="仿宋" w:eastAsia="仿宋"/>
          <w:color w:val="auto"/>
          <w:sz w:val="24"/>
          <w:szCs w:val="24"/>
        </w:rPr>
        <w:t>采购代理机构按照招标文件规定的时间通过电子交易平台组织开标，所有投标人均应当准时在线参加。投标人不足3家的，不得开标。</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28.2</w:t>
      </w:r>
      <w:r>
        <w:rPr>
          <w:rFonts w:ascii="仿宋" w:hAnsi="仿宋" w:eastAsia="仿宋"/>
          <w:szCs w:val="24"/>
        </w:rPr>
        <w:t>开标时，电子交易平台按开标时间自动提取所有投标文件。采购代理机构依托电子交易平台发起开始解密指令，投标人按照平台提示在招标文件规定的时间内完成</w:t>
      </w:r>
      <w:r>
        <w:rPr>
          <w:rFonts w:hint="eastAsia" w:ascii="仿宋" w:hAnsi="仿宋" w:eastAsia="仿宋"/>
        </w:rPr>
        <w:t>“电子加密投标文件”的</w:t>
      </w:r>
      <w:r>
        <w:rPr>
          <w:rFonts w:ascii="仿宋" w:hAnsi="仿宋" w:eastAsia="仿宋"/>
          <w:szCs w:val="24"/>
        </w:rPr>
        <w:t>在线解密。</w:t>
      </w:r>
    </w:p>
    <w:p>
      <w:pPr>
        <w:pStyle w:val="26"/>
        <w:snapToGrid w:val="0"/>
        <w:spacing w:line="276" w:lineRule="auto"/>
        <w:ind w:firstLine="480" w:firstLineChars="200"/>
        <w:rPr>
          <w:rFonts w:ascii="仿宋" w:hAnsi="仿宋" w:eastAsia="仿宋"/>
        </w:rPr>
      </w:pPr>
      <w:r>
        <w:rPr>
          <w:rFonts w:hint="eastAsia" w:ascii="仿宋" w:hAnsi="仿宋" w:eastAsia="仿宋"/>
          <w:szCs w:val="24"/>
        </w:rPr>
        <w:t>28.3</w:t>
      </w:r>
      <w:r>
        <w:rPr>
          <w:rFonts w:hint="eastAsia" w:ascii="仿宋" w:hAnsi="仿宋" w:eastAsia="仿宋"/>
        </w:rPr>
        <w:t>“电子加密投标文件”因在线解密异常而导致无法按时解密，投标人提供了“备份投标文件”的，以“备份投标文件”作为依据，否则视为投标文件撤回。“电子加密投标文件”已按时解密的，“备份投标文件”自动失效。</w:t>
      </w:r>
    </w:p>
    <w:p>
      <w:pPr>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29.资格审查</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29</w:t>
      </w:r>
      <w:r>
        <w:rPr>
          <w:rFonts w:ascii="仿宋" w:hAnsi="仿宋" w:eastAsia="仿宋"/>
          <w:szCs w:val="24"/>
        </w:rPr>
        <w:t>.1开标后，采购人或采购代理机构将依法对投标人的资格进行审查。</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29</w:t>
      </w:r>
      <w:r>
        <w:rPr>
          <w:rFonts w:ascii="仿宋" w:hAnsi="仿宋" w:eastAsia="仿宋"/>
          <w:szCs w:val="24"/>
        </w:rPr>
        <w:t>.2</w:t>
      </w:r>
      <w:r>
        <w:rPr>
          <w:rFonts w:hint="eastAsia" w:ascii="仿宋" w:hAnsi="仿宋" w:eastAsia="仿宋"/>
          <w:szCs w:val="24"/>
        </w:rPr>
        <w:t>采购人或采购代理机构依据法律法规和招标文件的规定，对投标人的基本资格条件、</w:t>
      </w:r>
      <w:r>
        <w:rPr>
          <w:rFonts w:hint="eastAsia" w:ascii="仿宋" w:hAnsi="仿宋" w:eastAsia="仿宋"/>
        </w:rPr>
        <w:t>落实政府采购政策需满足的资格条件、</w:t>
      </w:r>
      <w:r>
        <w:rPr>
          <w:rFonts w:hint="eastAsia" w:ascii="仿宋" w:hAnsi="仿宋" w:eastAsia="仿宋"/>
          <w:szCs w:val="24"/>
        </w:rPr>
        <w:t>特定资格条件进行审查。</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29</w:t>
      </w:r>
      <w:r>
        <w:rPr>
          <w:rFonts w:ascii="仿宋" w:hAnsi="仿宋" w:eastAsia="仿宋"/>
          <w:szCs w:val="24"/>
        </w:rPr>
        <w:t>.3投标人未按照招标文件要求提供与</w:t>
      </w:r>
      <w:r>
        <w:rPr>
          <w:rFonts w:hint="eastAsia" w:ascii="仿宋" w:hAnsi="仿宋" w:eastAsia="仿宋"/>
          <w:szCs w:val="24"/>
        </w:rPr>
        <w:t>基本资格要求、</w:t>
      </w:r>
      <w:r>
        <w:rPr>
          <w:rFonts w:hint="eastAsia" w:ascii="仿宋" w:hAnsi="仿宋" w:eastAsia="仿宋"/>
        </w:rPr>
        <w:t>落实政府采购政策需满足的资格要求、</w:t>
      </w:r>
      <w:r>
        <w:rPr>
          <w:rFonts w:hint="eastAsia" w:ascii="仿宋" w:hAnsi="仿宋" w:eastAsia="仿宋"/>
          <w:szCs w:val="24"/>
        </w:rPr>
        <w:t>特定资格要求相应的有效资格证明材料的，视为投标人不具备招标文件中规定的资格要求，其投标无效。</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29</w:t>
      </w:r>
      <w:r>
        <w:rPr>
          <w:rFonts w:ascii="仿宋" w:hAnsi="仿宋" w:eastAsia="仿宋"/>
          <w:szCs w:val="24"/>
        </w:rPr>
        <w:t>.4对未通过资格审查的投标人，告知其未通过的原因。</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29</w:t>
      </w:r>
      <w:r>
        <w:rPr>
          <w:rFonts w:ascii="仿宋" w:hAnsi="仿宋" w:eastAsia="仿宋"/>
          <w:szCs w:val="24"/>
        </w:rPr>
        <w:t>.5合格投标人不足3家的，不再评标。</w:t>
      </w:r>
    </w:p>
    <w:p>
      <w:pPr>
        <w:spacing w:line="276" w:lineRule="auto"/>
        <w:ind w:firstLine="472" w:firstLineChars="196"/>
        <w:rPr>
          <w:rFonts w:ascii="仿宋" w:hAnsi="仿宋" w:eastAsia="仿宋"/>
          <w:b/>
          <w:color w:val="auto"/>
          <w:szCs w:val="24"/>
        </w:rPr>
      </w:pPr>
      <w:r>
        <w:rPr>
          <w:rFonts w:hint="eastAsia" w:ascii="仿宋" w:hAnsi="仿宋" w:eastAsia="仿宋"/>
          <w:b/>
          <w:bCs/>
          <w:color w:val="auto"/>
          <w:sz w:val="24"/>
        </w:rPr>
        <w:t>30.信用信息查询</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30</w:t>
      </w:r>
      <w:r>
        <w:rPr>
          <w:rFonts w:ascii="仿宋" w:hAnsi="仿宋" w:eastAsia="仿宋"/>
          <w:szCs w:val="24"/>
        </w:rPr>
        <w:t>.1信用信息查询渠道及截止时间：采购代理机构将在资格审查时通过“信用中国”网站(www.creditchina.gov.cn)、中国政府采购网(www.ccgp.gov.cn)渠道查询投标人接受资格审查时的信用记录。</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30</w:t>
      </w:r>
      <w:r>
        <w:rPr>
          <w:rFonts w:ascii="仿宋" w:hAnsi="仿宋" w:eastAsia="仿宋"/>
          <w:szCs w:val="24"/>
        </w:rPr>
        <w:t>.2信用信息查询记录和证据留存的具体方式：现场查询的投标人的信用记录、查询结果经确认后将与招标文件一起存档。</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30</w:t>
      </w:r>
      <w:r>
        <w:rPr>
          <w:rFonts w:ascii="仿宋" w:hAnsi="仿宋" w:eastAsia="仿宋"/>
          <w:szCs w:val="24"/>
        </w:rPr>
        <w:t>.3信用信息的使用规则：经查询列入失信被执行人名单、重大税收违法案件当事人名单、政府采购严重违法失信行为记录名单的投标人将被拒绝参与政府采购活动。</w:t>
      </w:r>
    </w:p>
    <w:p>
      <w:pPr>
        <w:pStyle w:val="26"/>
        <w:snapToGrid w:val="0"/>
        <w:spacing w:line="276" w:lineRule="auto"/>
        <w:ind w:firstLine="480" w:firstLineChars="200"/>
        <w:rPr>
          <w:rFonts w:ascii="仿宋" w:hAnsi="仿宋" w:eastAsia="仿宋"/>
        </w:rPr>
      </w:pPr>
      <w:r>
        <w:rPr>
          <w:rFonts w:hint="eastAsia" w:ascii="仿宋" w:hAnsi="仿宋" w:eastAsia="仿宋"/>
          <w:szCs w:val="24"/>
        </w:rPr>
        <w:t>30</w:t>
      </w:r>
      <w:r>
        <w:rPr>
          <w:rFonts w:ascii="仿宋" w:hAnsi="仿宋" w:eastAsia="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szCs w:val="24"/>
        </w:rPr>
        <w:t>。</w:t>
      </w:r>
    </w:p>
    <w:p>
      <w:pPr>
        <w:spacing w:line="276" w:lineRule="auto"/>
        <w:ind w:firstLine="482" w:firstLineChars="200"/>
        <w:rPr>
          <w:rFonts w:ascii="仿宋" w:hAnsi="仿宋" w:eastAsia="仿宋"/>
          <w:b/>
          <w:color w:val="auto"/>
          <w:sz w:val="24"/>
        </w:rPr>
      </w:pPr>
      <w:bookmarkStart w:id="7" w:name="_Toc125344508"/>
      <w:r>
        <w:rPr>
          <w:rFonts w:hint="eastAsia" w:ascii="仿宋" w:hAnsi="仿宋" w:eastAsia="仿宋"/>
          <w:b/>
          <w:color w:val="auto"/>
          <w:sz w:val="24"/>
        </w:rPr>
        <w:t>31.特别提醒：</w:t>
      </w:r>
    </w:p>
    <w:p>
      <w:pPr>
        <w:spacing w:line="276" w:lineRule="auto"/>
        <w:ind w:firstLine="480" w:firstLineChars="200"/>
        <w:rPr>
          <w:rFonts w:ascii="仿宋" w:hAnsi="仿宋" w:eastAsia="仿宋"/>
          <w:color w:val="auto"/>
          <w:sz w:val="24"/>
        </w:rPr>
      </w:pPr>
      <w:r>
        <w:rPr>
          <w:rFonts w:hint="eastAsia" w:ascii="仿宋" w:hAnsi="仿宋" w:eastAsia="仿宋"/>
          <w:color w:val="auto"/>
          <w:sz w:val="24"/>
        </w:rPr>
        <w:t>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pStyle w:val="4"/>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 xml:space="preserve"> 五、评　标</w:t>
      </w:r>
      <w:bookmarkEnd w:id="7"/>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p>
    <w:p>
      <w:pPr>
        <w:pStyle w:val="26"/>
        <w:snapToGrid w:val="0"/>
        <w:spacing w:line="276" w:lineRule="auto"/>
        <w:ind w:firstLine="482" w:firstLineChars="200"/>
        <w:rPr>
          <w:rFonts w:ascii="仿宋" w:hAnsi="仿宋" w:eastAsia="仿宋"/>
          <w:b/>
          <w:szCs w:val="24"/>
        </w:rPr>
      </w:pPr>
      <w:r>
        <w:rPr>
          <w:rFonts w:hint="eastAsia" w:ascii="仿宋" w:hAnsi="仿宋" w:eastAsia="仿宋"/>
          <w:b/>
          <w:szCs w:val="24"/>
        </w:rPr>
        <w:t>32.评标程序</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32.1评标前准备。由评审专家推选评审小组组长，采购人代表不得担任评审小组组长。</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32.2</w:t>
      </w:r>
      <w:r>
        <w:rPr>
          <w:rFonts w:ascii="仿宋" w:hAnsi="仿宋" w:eastAsia="仿宋"/>
          <w:szCs w:val="24"/>
        </w:rPr>
        <w:t>符合性审查。评标委员会应当对符合资格的投标人的投标文件进行符合性审查，以确定其是否满足招标文件的实质性要求。</w:t>
      </w:r>
      <w:r>
        <w:rPr>
          <w:rFonts w:hint="eastAsia" w:ascii="仿宋" w:hAnsi="仿宋" w:eastAsia="仿宋"/>
          <w:szCs w:val="24"/>
        </w:rPr>
        <w:t>不</w:t>
      </w:r>
      <w:r>
        <w:rPr>
          <w:rFonts w:ascii="仿宋" w:hAnsi="仿宋" w:eastAsia="仿宋"/>
          <w:szCs w:val="24"/>
        </w:rPr>
        <w:t>满足招标文件的实质性要求</w:t>
      </w:r>
      <w:r>
        <w:rPr>
          <w:rFonts w:hint="eastAsia" w:ascii="仿宋" w:hAnsi="仿宋" w:eastAsia="仿宋"/>
          <w:szCs w:val="24"/>
        </w:rPr>
        <w:t>的，投标无效。</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32.3比较与评价。</w:t>
      </w:r>
      <w:r>
        <w:rPr>
          <w:rFonts w:ascii="仿宋" w:hAnsi="仿宋" w:eastAsia="仿宋"/>
          <w:szCs w:val="24"/>
        </w:rPr>
        <w:t>评标委员会应当按照招标文件中规定的评标方法和标准，对符合性审查合格的投标文件进行商务和技术评估，综合比较与评价。</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32.4</w:t>
      </w:r>
      <w:r>
        <w:rPr>
          <w:rFonts w:ascii="仿宋" w:hAnsi="仿宋" w:eastAsia="仿宋"/>
          <w:szCs w:val="24"/>
        </w:rPr>
        <w:t>汇总商务技术得分。</w:t>
      </w:r>
      <w:r>
        <w:rPr>
          <w:rFonts w:hint="eastAsia" w:ascii="仿宋" w:hAnsi="仿宋" w:eastAsia="仿宋"/>
          <w:szCs w:val="24"/>
        </w:rPr>
        <w:t>评标委员会各成员应当独立对每个投标人的商务和技术文件进行评价，并汇总商务技术得分情况。</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32.5</w:t>
      </w:r>
      <w:r>
        <w:rPr>
          <w:rFonts w:ascii="仿宋" w:hAnsi="仿宋" w:eastAsia="仿宋"/>
          <w:szCs w:val="24"/>
        </w:rPr>
        <w:t>报价评审</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32.5.1</w:t>
      </w:r>
      <w:r>
        <w:rPr>
          <w:rFonts w:hint="eastAsia" w:ascii="仿宋" w:hAnsi="仿宋" w:eastAsia="仿宋" w:cs="Arial"/>
        </w:rPr>
        <w:t>供应商在“政府采购云平台”进行标书关联时，在“政府采购云平台”上单独填报（录入）的报价与加密上传的报价文件中的开标一览表（报价表）报价不一致时，以加密上传的报价文件中的开标一览表（报价表）为准进行修正。</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32.5.2</w:t>
      </w:r>
      <w:r>
        <w:rPr>
          <w:rFonts w:ascii="仿宋" w:hAnsi="仿宋" w:eastAsia="仿宋"/>
          <w:szCs w:val="24"/>
        </w:rPr>
        <w:t>投标文件报价出现前后不一致的，按照下列规定修正：</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1</w:t>
      </w:r>
      <w:r>
        <w:rPr>
          <w:rFonts w:ascii="仿宋" w:hAnsi="仿宋" w:eastAsia="仿宋"/>
          <w:szCs w:val="24"/>
        </w:rPr>
        <w:t>）投标文件中开标一览表(报价表)内容与投标文件中相应内容不一致的，以开标一览表(报价表)为准;</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2</w:t>
      </w:r>
      <w:r>
        <w:rPr>
          <w:rFonts w:ascii="仿宋" w:hAnsi="仿宋" w:eastAsia="仿宋"/>
          <w:szCs w:val="24"/>
        </w:rPr>
        <w:t>）大写金额和小写金额不一致的，以大写金额为准;</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3</w:t>
      </w:r>
      <w:r>
        <w:rPr>
          <w:rFonts w:ascii="仿宋" w:hAnsi="仿宋" w:eastAsia="仿宋"/>
          <w:szCs w:val="24"/>
        </w:rPr>
        <w:t>）单价金额小数点或者百分比有明显错位的，以开标一览表的总价为准，并修改单价;</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4</w:t>
      </w:r>
      <w:r>
        <w:rPr>
          <w:rFonts w:ascii="仿宋" w:hAnsi="仿宋" w:eastAsia="仿宋"/>
          <w:szCs w:val="24"/>
        </w:rPr>
        <w:t>）总价金额与按单价汇总金额不一致的，以单价金额计算结果为准。</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5</w:t>
      </w:r>
      <w:r>
        <w:rPr>
          <w:rFonts w:ascii="仿宋" w:hAnsi="仿宋" w:eastAsia="仿宋"/>
          <w:szCs w:val="24"/>
        </w:rPr>
        <w:t>）同时出现两种以上不一致的，按照上述（</w:t>
      </w:r>
      <w:r>
        <w:rPr>
          <w:rFonts w:hint="eastAsia" w:ascii="仿宋" w:hAnsi="仿宋" w:eastAsia="仿宋"/>
          <w:szCs w:val="24"/>
        </w:rPr>
        <w:t>1</w:t>
      </w:r>
      <w:r>
        <w:rPr>
          <w:rFonts w:ascii="仿宋" w:hAnsi="仿宋" w:eastAsia="仿宋"/>
          <w:szCs w:val="24"/>
        </w:rPr>
        <w:t>）～（</w:t>
      </w:r>
      <w:r>
        <w:rPr>
          <w:rFonts w:hint="eastAsia" w:ascii="仿宋" w:hAnsi="仿宋" w:eastAsia="仿宋"/>
          <w:szCs w:val="24"/>
        </w:rPr>
        <w:t>4</w:t>
      </w:r>
      <w:r>
        <w:rPr>
          <w:rFonts w:ascii="仿宋" w:hAnsi="仿宋" w:eastAsia="仿宋"/>
          <w:szCs w:val="24"/>
        </w:rPr>
        <w:t>）</w:t>
      </w:r>
      <w:r>
        <w:rPr>
          <w:rFonts w:hint="eastAsia" w:ascii="仿宋" w:hAnsi="仿宋" w:eastAsia="仿宋"/>
          <w:szCs w:val="24"/>
        </w:rPr>
        <w:t>规定的顺序修正。修正后的报价按照财政部第</w:t>
      </w:r>
      <w:r>
        <w:rPr>
          <w:rFonts w:ascii="仿宋" w:hAnsi="仿宋" w:eastAsia="仿宋"/>
          <w:szCs w:val="24"/>
        </w:rPr>
        <w:t xml:space="preserve">87号令 </w:t>
      </w:r>
      <w:r>
        <w:rPr>
          <w:rFonts w:hint="eastAsia" w:ascii="仿宋" w:hAnsi="仿宋" w:eastAsia="仿宋"/>
          <w:szCs w:val="24"/>
        </w:rPr>
        <w:t>《政府采购货物和服务招标投标管理办法》第五十一条第二款的规定经投标人确认后产生约束力。</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32.5.3投标文件出现不是唯一的、有选择性投标报价的，投标无效。</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32.5.4投标报价超过招标文件中规定的预算金额或者最高限价的，投标无效。</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32.5.5评标委员会认为投标人的报价明显低于其他通过符合性审查投标人的报价，有可能影响产品质量或者不能诚信履约的，应当要求其在合理的时间内提供书面说明，必要时提交相关证明材料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szCs w:val="24"/>
        </w:rPr>
        <w:t>;投标人不能证明其报价合理性的，评标委员会应当将其作为无效投标处理。</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32.5.6对于未预留份额专门面向中小企业的政府采购货物或服务项目，以及预留份额政府采购货物或服务项目中的非预留部分标项，对小型和微型企业的投标报价给予2</w:t>
      </w:r>
      <w:r>
        <w:rPr>
          <w:rFonts w:ascii="仿宋" w:hAnsi="仿宋" w:eastAsia="仿宋"/>
          <w:szCs w:val="24"/>
        </w:rPr>
        <w:t>0%的扣除，用扣除后的价格参与评审。接受大中型企业与小</w:t>
      </w:r>
      <w:r>
        <w:rPr>
          <w:rFonts w:hint="eastAsia" w:ascii="仿宋" w:hAnsi="仿宋" w:eastAsia="仿宋"/>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szCs w:val="24"/>
        </w:rPr>
        <w:t>30%以上的，对联合体或者大中型企业的报价给予</w:t>
      </w:r>
      <w:r>
        <w:rPr>
          <w:rFonts w:hint="eastAsia" w:ascii="仿宋" w:hAnsi="仿宋" w:eastAsia="仿宋"/>
          <w:szCs w:val="24"/>
        </w:rPr>
        <w:t>6</w:t>
      </w:r>
      <w:r>
        <w:rPr>
          <w:rFonts w:ascii="仿宋" w:hAnsi="仿宋" w:eastAsia="仿宋"/>
          <w:szCs w:val="24"/>
        </w:rPr>
        <w:t>%的扣除，用扣除后的价格参加评审。组成联合体或者接受分包的小</w:t>
      </w:r>
      <w:r>
        <w:rPr>
          <w:rFonts w:hint="eastAsia" w:ascii="仿宋" w:hAnsi="仿宋" w:eastAsia="仿宋"/>
          <w:szCs w:val="24"/>
        </w:rPr>
        <w:t>微企业与联合体内其他企业、分包企业之间存在直接控股、管理关系的，不享受价格扣除优惠政策。</w:t>
      </w:r>
      <w:r>
        <w:rPr>
          <w:rFonts w:hint="eastAsia" w:ascii="仿宋" w:hAnsi="仿宋" w:eastAsia="仿宋"/>
          <w:szCs w:val="24"/>
          <w:u w:val="single"/>
        </w:rPr>
        <w:t>（本项目不适用）</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32.6排序与推荐。</w:t>
      </w:r>
      <w:r>
        <w:rPr>
          <w:rFonts w:ascii="仿宋" w:hAnsi="仿宋" w:eastAsia="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szCs w:val="24"/>
        </w:rPr>
        <w:t>。</w:t>
      </w:r>
      <w:r>
        <w:rPr>
          <w:rFonts w:hint="eastAsia" w:ascii="仿宋" w:hAnsi="仿宋" w:eastAsia="仿宋" w:cs="Arial"/>
          <w:kern w:val="0"/>
        </w:rPr>
        <w:t>（本项目推荐一个中标候选人）</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32.7</w:t>
      </w:r>
      <w:r>
        <w:rPr>
          <w:rFonts w:ascii="仿宋" w:hAnsi="仿宋" w:eastAsia="仿宋"/>
          <w:szCs w:val="24"/>
        </w:rPr>
        <w:t>编写评标报告。评标委员会根据全体评标成员签字的原始评标记录和评标结果编写评标报告。</w:t>
      </w:r>
      <w:r>
        <w:rPr>
          <w:rFonts w:hint="eastAsia" w:ascii="仿宋" w:hAnsi="仿宋" w:eastAsia="仿宋"/>
          <w:szCs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26"/>
        <w:snapToGrid w:val="0"/>
        <w:spacing w:line="276" w:lineRule="auto"/>
        <w:ind w:firstLine="482" w:firstLineChars="200"/>
        <w:rPr>
          <w:rFonts w:ascii="仿宋" w:hAnsi="仿宋" w:eastAsia="仿宋"/>
          <w:b/>
          <w:szCs w:val="24"/>
        </w:rPr>
      </w:pPr>
      <w:r>
        <w:rPr>
          <w:rFonts w:hint="eastAsia" w:ascii="仿宋" w:hAnsi="仿宋" w:eastAsia="仿宋"/>
          <w:b/>
          <w:szCs w:val="24"/>
        </w:rPr>
        <w:t>33.评标中的其他事项</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33.1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33.2</w:t>
      </w:r>
      <w:r>
        <w:rPr>
          <w:rFonts w:ascii="仿宋" w:hAnsi="仿宋" w:eastAsia="仿宋"/>
          <w:szCs w:val="24"/>
        </w:rPr>
        <w:t>投标无效。</w:t>
      </w:r>
      <w:r>
        <w:rPr>
          <w:rFonts w:hint="eastAsia" w:ascii="仿宋" w:hAnsi="仿宋" w:eastAsia="仿宋"/>
          <w:szCs w:val="24"/>
        </w:rPr>
        <w:t>有下列情形之一的，投标无效：</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1</w:t>
      </w:r>
      <w:r>
        <w:rPr>
          <w:rFonts w:ascii="仿宋" w:hAnsi="仿宋" w:eastAsia="仿宋"/>
          <w:szCs w:val="24"/>
        </w:rPr>
        <w:t>）投标人不具备招标文件中规定的资格要求的（投标人未提供有效的资格文件的，视为投标人不具备招标文件中规定的资格要求）；</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2</w:t>
      </w:r>
      <w:r>
        <w:rPr>
          <w:rFonts w:ascii="仿宋" w:hAnsi="仿宋" w:eastAsia="仿宋"/>
          <w:szCs w:val="24"/>
        </w:rPr>
        <w:t>）投标文件未按照招标文件要求签署、盖章的；</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（3）采购人拟采购的产品属于政府强制采购的节能产品品目清单范围的，投标人未按招标文件要求提供国家确定的认证机构出具的、处于有效期之内的节能产品认证证书的；</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w:t>
      </w:r>
      <w:r>
        <w:rPr>
          <w:rFonts w:ascii="仿宋" w:hAnsi="仿宋" w:eastAsia="仿宋"/>
          <w:szCs w:val="24"/>
        </w:rPr>
        <w:t>投标文件含有采购人不能接受的附加条件的；</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5</w:t>
      </w:r>
      <w:r>
        <w:rPr>
          <w:rFonts w:ascii="仿宋" w:hAnsi="仿宋" w:eastAsia="仿宋"/>
          <w:szCs w:val="24"/>
        </w:rPr>
        <w:t>）投标文件中承诺的投标有效期少于招标文件中载明的投标有效期的；</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6</w:t>
      </w:r>
      <w:r>
        <w:rPr>
          <w:rFonts w:ascii="仿宋" w:hAnsi="仿宋" w:eastAsia="仿宋"/>
          <w:szCs w:val="24"/>
        </w:rPr>
        <w:t>）投标文件出现不是唯一的、有选择性投标报价的;</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7</w:t>
      </w:r>
      <w:r>
        <w:rPr>
          <w:rFonts w:ascii="仿宋" w:hAnsi="仿宋" w:eastAsia="仿宋"/>
          <w:szCs w:val="24"/>
        </w:rPr>
        <w:t>）投标报价超过招标文件中规定的预算金额或者最高限价的;</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8</w:t>
      </w:r>
      <w:r>
        <w:rPr>
          <w:rFonts w:ascii="仿宋" w:hAnsi="仿宋" w:eastAsia="仿宋"/>
          <w:szCs w:val="24"/>
        </w:rPr>
        <w:t>）报价明显低于其他通过符合性审查投标人的报价，有可能影响产品质量或者不能诚信履约的，未能按要求提供书面说明或者提交相关证明材料，不能证明其报价合理性的;</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9</w:t>
      </w:r>
      <w:r>
        <w:rPr>
          <w:rFonts w:ascii="仿宋" w:hAnsi="仿宋" w:eastAsia="仿宋"/>
          <w:szCs w:val="24"/>
        </w:rPr>
        <w:t>）投标人对根据修正原则修正后的报价不确认的；</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（10）</w:t>
      </w:r>
      <w:r>
        <w:rPr>
          <w:rFonts w:hint="eastAsia" w:ascii="仿宋" w:hAnsi="仿宋" w:eastAsia="仿宋" w:cs="Times New Roman"/>
          <w:szCs w:val="24"/>
        </w:rPr>
        <w:t>投标人提供虚假材料投标的</w:t>
      </w:r>
      <w:r>
        <w:rPr>
          <w:rFonts w:ascii="仿宋" w:hAnsi="仿宋" w:eastAsia="仿宋"/>
          <w:szCs w:val="24"/>
        </w:rPr>
        <w:t>；</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11</w:t>
      </w:r>
      <w:r>
        <w:rPr>
          <w:rFonts w:ascii="仿宋" w:hAnsi="仿宋" w:eastAsia="仿宋"/>
          <w:szCs w:val="24"/>
        </w:rPr>
        <w:t>）投标人有恶意串通、妨碍其他投标人的竞争行为、损害采购人或者其他投标人的合法权益情形的；</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12</w:t>
      </w:r>
      <w:r>
        <w:rPr>
          <w:rFonts w:ascii="仿宋" w:hAnsi="仿宋" w:eastAsia="仿宋"/>
          <w:szCs w:val="24"/>
        </w:rPr>
        <w:t>）投标人仅提交备份投标文件，</w:t>
      </w:r>
      <w:r>
        <w:rPr>
          <w:rFonts w:hint="eastAsia" w:ascii="仿宋" w:hAnsi="仿宋" w:eastAsia="仿宋"/>
          <w:szCs w:val="24"/>
        </w:rPr>
        <w:t>未</w:t>
      </w:r>
      <w:r>
        <w:rPr>
          <w:rFonts w:ascii="仿宋" w:hAnsi="仿宋" w:eastAsia="仿宋"/>
          <w:szCs w:val="24"/>
        </w:rPr>
        <w:t>在电子交易平台传输递交投标文件的；</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（13）</w:t>
      </w:r>
      <w:r>
        <w:rPr>
          <w:rFonts w:hint="eastAsia" w:ascii="仿宋" w:hAnsi="仿宋" w:eastAsia="仿宋" w:cs="宋体"/>
          <w:bCs/>
          <w:kern w:val="0"/>
          <w:szCs w:val="24"/>
        </w:rPr>
        <w:t>投标文件不满足招标文件的其它实质性要求的；</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14</w:t>
      </w:r>
      <w:r>
        <w:rPr>
          <w:rFonts w:ascii="仿宋" w:hAnsi="仿宋" w:eastAsia="仿宋"/>
          <w:szCs w:val="24"/>
        </w:rPr>
        <w:t>）法律、法规、规章（适用本市的）及省级以上规范性文件（适用本市的）规定的其他无效情形。</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33.3</w:t>
      </w:r>
      <w:r>
        <w:rPr>
          <w:rFonts w:ascii="仿宋" w:hAnsi="仿宋" w:eastAsia="仿宋"/>
          <w:szCs w:val="24"/>
        </w:rPr>
        <w:t>废标。</w:t>
      </w:r>
      <w:r>
        <w:rPr>
          <w:rFonts w:hint="eastAsia" w:ascii="仿宋" w:hAnsi="仿宋" w:eastAsia="仿宋"/>
          <w:szCs w:val="24"/>
        </w:rPr>
        <w:t>根据《中华人民共和国政府采购法》第三十六条之规定，在采购中，出现下列情形之一的，应予废标：</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1</w:t>
      </w:r>
      <w:r>
        <w:rPr>
          <w:rFonts w:ascii="仿宋" w:hAnsi="仿宋" w:eastAsia="仿宋"/>
          <w:szCs w:val="24"/>
        </w:rPr>
        <w:t>）符合专业条件的供应商或者对招标文件作实质响应的供应商不足3家的；</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2</w:t>
      </w:r>
      <w:r>
        <w:rPr>
          <w:rFonts w:ascii="仿宋" w:hAnsi="仿宋" w:eastAsia="仿宋"/>
          <w:szCs w:val="24"/>
        </w:rPr>
        <w:t>）出现影响采购公正的违法、违规行为的；</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3</w:t>
      </w:r>
      <w:r>
        <w:rPr>
          <w:rFonts w:ascii="仿宋" w:hAnsi="仿宋" w:eastAsia="仿宋"/>
          <w:szCs w:val="24"/>
        </w:rPr>
        <w:t>）投标人的报价均超过了采购预算，采购人不能支付的；</w:t>
      </w:r>
    </w:p>
    <w:p>
      <w:pPr>
        <w:pStyle w:val="26"/>
        <w:snapToGrid w:val="0"/>
        <w:spacing w:line="276" w:lineRule="auto"/>
        <w:ind w:firstLine="480" w:firstLineChars="200"/>
        <w:rPr>
          <w:rFonts w:ascii="仿宋" w:hAnsi="仿宋" w:eastAsia="仿宋"/>
          <w:szCs w:val="24"/>
        </w:rPr>
      </w:pPr>
      <w:r>
        <w:rPr>
          <w:rFonts w:ascii="仿宋" w:hAnsi="仿宋" w:eastAsia="仿宋"/>
          <w:szCs w:val="24"/>
        </w:rPr>
        <w:t>（</w:t>
      </w:r>
      <w:r>
        <w:rPr>
          <w:rFonts w:hint="eastAsia" w:ascii="仿宋" w:hAnsi="仿宋" w:eastAsia="仿宋"/>
          <w:szCs w:val="24"/>
        </w:rPr>
        <w:t>4</w:t>
      </w:r>
      <w:r>
        <w:rPr>
          <w:rFonts w:ascii="仿宋" w:hAnsi="仿宋" w:eastAsia="仿宋"/>
          <w:szCs w:val="24"/>
        </w:rPr>
        <w:t>）因重大变故，采购任务取消的。</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废标后，采购代理机构应当将废标理由通知所有投标人。</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33.4</w:t>
      </w:r>
      <w:r>
        <w:rPr>
          <w:rFonts w:ascii="仿宋" w:hAnsi="仿宋" w:eastAsia="仿宋"/>
          <w:szCs w:val="24"/>
        </w:rPr>
        <w:t>修改招标文件，重新组织采购活动。</w:t>
      </w:r>
      <w:r>
        <w:rPr>
          <w:rFonts w:hint="eastAsia" w:ascii="仿宋" w:hAnsi="仿宋" w:eastAsia="仿宋"/>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33.5重新开展采购。有政府采购法第七十一条、第七十二条规定的违法行为之一，影响或者可能影响中标结果的，依照下列规定处理：</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（1）未确定中标供应商的，终止本次政府采购活动，重新开展政府采购活动。</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（2）已确定中标供应商但尚未签订政府采购合同的，中标结果无效，从合格的中标候选人中另行确定中标供应商；没有合格的中标候选人的，重新开展政府采购活动。</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（3）政府采购合同已签订但尚未履行的，撤销合同，从合格的中标候选人中另行确定中标供应商；没有合格的中标候选人的，重新开展政府采购活动。</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（4）政府采购合同已经履行，给采购人、供应商造成损失的，由责任人承担赔偿责任。</w:t>
      </w:r>
    </w:p>
    <w:p>
      <w:pPr>
        <w:pStyle w:val="26"/>
        <w:snapToGrid w:val="0"/>
        <w:spacing w:line="276" w:lineRule="auto"/>
        <w:ind w:firstLine="480" w:firstLineChars="200"/>
        <w:rPr>
          <w:rFonts w:ascii="仿宋" w:hAnsi="仿宋" w:eastAsia="仿宋"/>
          <w:szCs w:val="24"/>
          <w:u w:val="single"/>
        </w:rPr>
      </w:pPr>
      <w:r>
        <w:rPr>
          <w:rFonts w:hint="eastAsia" w:ascii="仿宋" w:hAnsi="仿宋" w:eastAsia="仿宋"/>
          <w:szCs w:val="24"/>
        </w:rPr>
        <w:t>（5）政府采购当事人有其他违反政府采购法或者政府采购法实施条例等法律法规规定的行为，经改正后仍然影响或者可能影响中标结果或者依法被认定为中标无效的，依照上述（1）～（4）规定处理。</w:t>
      </w:r>
    </w:p>
    <w:p>
      <w:pPr>
        <w:pStyle w:val="26"/>
        <w:snapToGrid w:val="0"/>
        <w:spacing w:line="276" w:lineRule="auto"/>
        <w:ind w:firstLine="480" w:firstLineChars="200"/>
        <w:rPr>
          <w:rFonts w:ascii="仿宋" w:hAnsi="仿宋" w:eastAsia="仿宋"/>
        </w:rPr>
      </w:pPr>
      <w:r>
        <w:rPr>
          <w:rFonts w:hint="eastAsia" w:ascii="仿宋" w:hAnsi="仿宋" w:eastAsia="仿宋"/>
        </w:rPr>
        <w:t>33.6串通投标的认定。有下列情形之一的，视为投标人串通投标，其投标无效：</w:t>
      </w:r>
    </w:p>
    <w:p>
      <w:pPr>
        <w:pStyle w:val="26"/>
        <w:snapToGrid w:val="0"/>
        <w:spacing w:line="276" w:lineRule="auto"/>
        <w:ind w:firstLine="480" w:firstLineChars="200"/>
        <w:rPr>
          <w:rFonts w:ascii="仿宋" w:hAnsi="仿宋" w:eastAsia="仿宋"/>
        </w:rPr>
      </w:pPr>
      <w:r>
        <w:rPr>
          <w:rFonts w:hint="eastAsia" w:ascii="仿宋" w:hAnsi="仿宋" w:eastAsia="仿宋"/>
        </w:rPr>
        <w:t>（1）不同投标人的投标文件由同一单位或者个人编制；</w:t>
      </w:r>
    </w:p>
    <w:p>
      <w:pPr>
        <w:pStyle w:val="26"/>
        <w:snapToGrid w:val="0"/>
        <w:spacing w:line="276" w:lineRule="auto"/>
        <w:ind w:firstLine="480" w:firstLineChars="200"/>
        <w:rPr>
          <w:rFonts w:ascii="仿宋" w:hAnsi="仿宋" w:eastAsia="仿宋"/>
        </w:rPr>
      </w:pPr>
      <w:r>
        <w:rPr>
          <w:rFonts w:hint="eastAsia" w:ascii="仿宋" w:hAnsi="仿宋" w:eastAsia="仿宋"/>
        </w:rPr>
        <w:t>（2）不同投标人委托同一单位或者个人办理投标事宜；</w:t>
      </w:r>
    </w:p>
    <w:p>
      <w:pPr>
        <w:pStyle w:val="26"/>
        <w:snapToGrid w:val="0"/>
        <w:spacing w:line="276" w:lineRule="auto"/>
        <w:ind w:firstLine="480" w:firstLineChars="200"/>
        <w:rPr>
          <w:rFonts w:ascii="仿宋" w:hAnsi="仿宋" w:eastAsia="仿宋"/>
          <w:szCs w:val="24"/>
        </w:rPr>
      </w:pPr>
      <w:r>
        <w:rPr>
          <w:rFonts w:hint="eastAsia" w:ascii="仿宋" w:hAnsi="仿宋" w:eastAsia="仿宋"/>
        </w:rPr>
        <w:t>（3）</w:t>
      </w:r>
      <w:r>
        <w:rPr>
          <w:rFonts w:ascii="仿宋" w:hAnsi="仿宋" w:eastAsia="仿宋"/>
          <w:szCs w:val="24"/>
        </w:rPr>
        <w:t>不同</w:t>
      </w:r>
      <w:r>
        <w:rPr>
          <w:rFonts w:hint="eastAsia" w:ascii="仿宋" w:hAnsi="仿宋" w:eastAsia="仿宋"/>
          <w:szCs w:val="24"/>
        </w:rPr>
        <w:t>投标人</w:t>
      </w:r>
      <w:r>
        <w:rPr>
          <w:rFonts w:ascii="仿宋" w:hAnsi="仿宋" w:eastAsia="仿宋"/>
          <w:szCs w:val="24"/>
        </w:rPr>
        <w:t>的</w:t>
      </w:r>
      <w:r>
        <w:rPr>
          <w:rFonts w:hint="eastAsia" w:ascii="仿宋" w:hAnsi="仿宋" w:eastAsia="仿宋"/>
          <w:szCs w:val="24"/>
        </w:rPr>
        <w:t>投标</w:t>
      </w:r>
      <w:r>
        <w:rPr>
          <w:rFonts w:ascii="仿宋" w:hAnsi="仿宋" w:eastAsia="仿宋"/>
          <w:szCs w:val="24"/>
        </w:rPr>
        <w:t>文件载明的项目管理成员或者</w:t>
      </w:r>
      <w:r>
        <w:rPr>
          <w:rFonts w:hint="eastAsia" w:ascii="仿宋" w:hAnsi="仿宋" w:eastAsia="仿宋"/>
          <w:szCs w:val="24"/>
        </w:rPr>
        <w:t>联系人员为</w:t>
      </w:r>
      <w:r>
        <w:rPr>
          <w:rFonts w:ascii="仿宋" w:hAnsi="仿宋" w:eastAsia="仿宋"/>
          <w:szCs w:val="24"/>
        </w:rPr>
        <w:t>同一人；</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（4）</w:t>
      </w:r>
      <w:r>
        <w:rPr>
          <w:rFonts w:ascii="仿宋" w:hAnsi="仿宋" w:eastAsia="仿宋"/>
          <w:szCs w:val="24"/>
        </w:rPr>
        <w:t>不同</w:t>
      </w:r>
      <w:r>
        <w:rPr>
          <w:rFonts w:hint="eastAsia" w:ascii="仿宋" w:hAnsi="仿宋" w:eastAsia="仿宋"/>
          <w:szCs w:val="24"/>
        </w:rPr>
        <w:t>投标人</w:t>
      </w:r>
      <w:r>
        <w:rPr>
          <w:rFonts w:ascii="仿宋" w:hAnsi="仿宋" w:eastAsia="仿宋"/>
          <w:szCs w:val="24"/>
        </w:rPr>
        <w:t>的</w:t>
      </w:r>
      <w:r>
        <w:rPr>
          <w:rFonts w:hint="eastAsia" w:ascii="仿宋" w:hAnsi="仿宋" w:eastAsia="仿宋"/>
          <w:szCs w:val="24"/>
        </w:rPr>
        <w:t>投标</w:t>
      </w:r>
      <w:r>
        <w:rPr>
          <w:rFonts w:ascii="仿宋" w:hAnsi="仿宋" w:eastAsia="仿宋"/>
          <w:szCs w:val="24"/>
        </w:rPr>
        <w:t>文件</w:t>
      </w:r>
      <w:r>
        <w:rPr>
          <w:rFonts w:hint="eastAsia" w:ascii="仿宋" w:hAnsi="仿宋" w:eastAsia="仿宋"/>
          <w:szCs w:val="24"/>
        </w:rPr>
        <w:t>异常一致</w:t>
      </w:r>
      <w:r>
        <w:rPr>
          <w:rFonts w:ascii="仿宋" w:hAnsi="仿宋" w:eastAsia="仿宋"/>
          <w:szCs w:val="24"/>
        </w:rPr>
        <w:t>或者</w:t>
      </w:r>
      <w:r>
        <w:rPr>
          <w:rFonts w:hint="eastAsia" w:ascii="仿宋" w:hAnsi="仿宋" w:eastAsia="仿宋"/>
          <w:szCs w:val="24"/>
        </w:rPr>
        <w:t>投标</w:t>
      </w:r>
      <w:r>
        <w:rPr>
          <w:rFonts w:ascii="仿宋" w:hAnsi="仿宋" w:eastAsia="仿宋"/>
          <w:szCs w:val="24"/>
        </w:rPr>
        <w:t>报价呈规律性</w:t>
      </w:r>
      <w:r>
        <w:rPr>
          <w:rFonts w:hint="eastAsia" w:ascii="仿宋" w:hAnsi="仿宋" w:eastAsia="仿宋"/>
          <w:szCs w:val="24"/>
        </w:rPr>
        <w:t>差异</w:t>
      </w:r>
      <w:r>
        <w:rPr>
          <w:rFonts w:ascii="仿宋" w:hAnsi="仿宋" w:eastAsia="仿宋"/>
          <w:szCs w:val="24"/>
        </w:rPr>
        <w:t>；</w:t>
      </w:r>
    </w:p>
    <w:p>
      <w:pPr>
        <w:pStyle w:val="26"/>
        <w:snapToGrid w:val="0"/>
        <w:spacing w:line="276" w:lineRule="auto"/>
        <w:ind w:firstLine="480" w:firstLineChars="200"/>
        <w:rPr>
          <w:rFonts w:ascii="仿宋" w:hAnsi="仿宋" w:eastAsia="仿宋"/>
          <w:szCs w:val="24"/>
        </w:rPr>
      </w:pPr>
      <w:r>
        <w:rPr>
          <w:rFonts w:hint="eastAsia" w:ascii="仿宋" w:hAnsi="仿宋" w:eastAsia="仿宋"/>
          <w:szCs w:val="24"/>
        </w:rPr>
        <w:t>（5）不同投标人的投标文件相互混装。</w:t>
      </w:r>
    </w:p>
    <w:p>
      <w:pPr>
        <w:pStyle w:val="26"/>
        <w:snapToGrid w:val="0"/>
        <w:spacing w:line="276" w:lineRule="auto"/>
        <w:ind w:firstLine="482" w:firstLineChars="200"/>
        <w:rPr>
          <w:rFonts w:ascii="仿宋" w:hAnsi="仿宋" w:eastAsia="仿宋"/>
          <w:b/>
          <w:szCs w:val="24"/>
        </w:rPr>
      </w:pPr>
      <w:r>
        <w:rPr>
          <w:rFonts w:hint="eastAsia" w:ascii="仿宋" w:hAnsi="仿宋" w:eastAsia="仿宋"/>
          <w:b/>
          <w:szCs w:val="24"/>
        </w:rPr>
        <w:t>33.7评标过程保密</w:t>
      </w:r>
    </w:p>
    <w:p>
      <w:pPr>
        <w:pStyle w:val="38"/>
        <w:spacing w:line="276" w:lineRule="auto"/>
        <w:ind w:firstLine="480" w:firstLineChars="200"/>
        <w:rPr>
          <w:rFonts w:ascii="仿宋" w:hAnsi="仿宋" w:eastAsia="仿宋"/>
          <w:sz w:val="24"/>
        </w:rPr>
      </w:pPr>
      <w:r>
        <w:rPr>
          <w:rFonts w:hint="eastAsia" w:ascii="仿宋" w:hAnsi="仿宋" w:eastAsia="仿宋"/>
          <w:sz w:val="24"/>
        </w:rPr>
        <w:t>33.7.1评审活动在严格保密的情况下进行。评审过程中凡是与采购响应文件评审、中标成交供应商推荐等评审有关的情况和评审文件，以及涉及国家秘密和商业秘密等信息，评标委员会成员、采购人等与评审有关的人员应当予以保密。</w:t>
      </w:r>
    </w:p>
    <w:p>
      <w:pPr>
        <w:pStyle w:val="38"/>
        <w:spacing w:line="276" w:lineRule="auto"/>
        <w:ind w:firstLine="480" w:firstLineChars="200"/>
        <w:rPr>
          <w:rFonts w:ascii="仿宋" w:hAnsi="仿宋" w:eastAsia="仿宋"/>
          <w:sz w:val="24"/>
        </w:rPr>
      </w:pPr>
      <w:r>
        <w:rPr>
          <w:rFonts w:hint="eastAsia" w:ascii="仿宋" w:hAnsi="仿宋" w:eastAsia="仿宋"/>
          <w:sz w:val="24"/>
        </w:rPr>
        <w:t>33.7.2任何单位和个人都不得干扰、影响评标活动的正常进行。投标人在评标过程中所进行的试图影响评标结果的一切不符合法律或招标规定的活动，都可能导致其被取消投标资格，并由其承担相应的法律责任。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4"/>
        <w:spacing w:before="0" w:after="0" w:line="276" w:lineRule="auto"/>
        <w:jc w:val="center"/>
        <w:rPr>
          <w:rFonts w:ascii="仿宋" w:hAnsi="仿宋" w:eastAsia="仿宋"/>
          <w:color w:val="auto"/>
          <w:sz w:val="28"/>
          <w:szCs w:val="28"/>
        </w:rPr>
      </w:pPr>
      <w:bookmarkStart w:id="8" w:name="_Toc125344509"/>
      <w:r>
        <w:rPr>
          <w:rFonts w:hint="eastAsia" w:ascii="仿宋" w:hAnsi="仿宋" w:eastAsia="仿宋"/>
          <w:color w:val="auto"/>
          <w:sz w:val="28"/>
          <w:szCs w:val="28"/>
        </w:rPr>
        <w:t>六、</w:t>
      </w:r>
      <w:bookmarkEnd w:id="8"/>
      <w:r>
        <w:rPr>
          <w:rFonts w:hint="eastAsia" w:ascii="仿宋" w:hAnsi="仿宋" w:eastAsia="仿宋"/>
          <w:color w:val="auto"/>
          <w:sz w:val="28"/>
          <w:szCs w:val="28"/>
        </w:rPr>
        <w:t>定标</w:t>
      </w:r>
    </w:p>
    <w:p>
      <w:pPr>
        <w:pStyle w:val="38"/>
        <w:spacing w:line="276" w:lineRule="auto"/>
        <w:ind w:firstLine="472" w:firstLineChars="196"/>
        <w:rPr>
          <w:rFonts w:ascii="仿宋" w:hAnsi="仿宋" w:eastAsia="仿宋"/>
          <w:b/>
          <w:sz w:val="24"/>
        </w:rPr>
      </w:pPr>
      <w:r>
        <w:rPr>
          <w:rFonts w:hint="eastAsia" w:ascii="仿宋" w:hAnsi="仿宋" w:eastAsia="仿宋"/>
          <w:b/>
          <w:bCs/>
          <w:sz w:val="24"/>
        </w:rPr>
        <w:t>34.确定中标供应商</w:t>
      </w:r>
    </w:p>
    <w:p>
      <w:pPr>
        <w:spacing w:line="276" w:lineRule="auto"/>
        <w:ind w:firstLine="480" w:firstLineChars="200"/>
        <w:rPr>
          <w:rFonts w:ascii="仿宋" w:hAnsi="仿宋" w:eastAsia="仿宋"/>
          <w:bCs/>
          <w:color w:val="auto"/>
          <w:sz w:val="24"/>
        </w:rPr>
      </w:pPr>
      <w:r>
        <w:rPr>
          <w:rFonts w:hint="eastAsia" w:ascii="仿宋" w:hAnsi="仿宋" w:eastAsia="仿宋" w:cs="宋体"/>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pPr>
        <w:pStyle w:val="38"/>
        <w:spacing w:line="276" w:lineRule="auto"/>
        <w:ind w:firstLine="472" w:firstLineChars="196"/>
        <w:rPr>
          <w:rFonts w:ascii="仿宋" w:hAnsi="仿宋" w:eastAsia="仿宋"/>
          <w:b/>
          <w:bCs/>
          <w:sz w:val="24"/>
        </w:rPr>
      </w:pPr>
      <w:r>
        <w:rPr>
          <w:rFonts w:hint="eastAsia" w:ascii="仿宋" w:hAnsi="仿宋" w:eastAsia="仿宋"/>
          <w:b/>
          <w:bCs/>
          <w:sz w:val="24"/>
        </w:rPr>
        <w:t>35.中标通知与中标结果公告</w:t>
      </w:r>
    </w:p>
    <w:p>
      <w:pPr>
        <w:spacing w:line="276" w:lineRule="auto"/>
        <w:ind w:firstLine="480" w:firstLineChars="200"/>
        <w:rPr>
          <w:rFonts w:ascii="仿宋" w:hAnsi="仿宋" w:eastAsia="仿宋"/>
          <w:color w:val="auto"/>
          <w:sz w:val="24"/>
        </w:rPr>
      </w:pPr>
      <w:r>
        <w:rPr>
          <w:rFonts w:hint="eastAsia" w:ascii="仿宋" w:hAnsi="仿宋" w:eastAsia="仿宋"/>
          <w:color w:val="auto"/>
          <w:sz w:val="24"/>
        </w:rPr>
        <w:t>35.1自中标人确定之日起2个工作日内，采购代理机构将在浙江省政府采购网上发布中标结果公告（中标结果公告期限为1个工作日），同时由采购代理机构通过“政采云”平台确认并签发《中标通知书》，中标人可在“政采云”平台自行下载《中标通知书》。采购代理机构也可以以纸质形式进行中标通知。</w:t>
      </w:r>
    </w:p>
    <w:p>
      <w:pPr>
        <w:spacing w:line="276" w:lineRule="auto"/>
        <w:ind w:firstLine="480" w:firstLineChars="200"/>
        <w:rPr>
          <w:rFonts w:ascii="仿宋" w:hAnsi="仿宋" w:eastAsia="仿宋"/>
          <w:color w:val="auto"/>
          <w:sz w:val="24"/>
        </w:rPr>
      </w:pPr>
      <w:r>
        <w:rPr>
          <w:rFonts w:hint="eastAsia" w:ascii="仿宋" w:hAnsi="仿宋" w:eastAsia="仿宋"/>
          <w:color w:val="auto"/>
          <w:sz w:val="24"/>
        </w:rPr>
        <w:t>35.2</w:t>
      </w:r>
      <w:r>
        <w:rPr>
          <w:rFonts w:ascii="仿宋" w:hAnsi="仿宋" w:eastAsia="仿宋"/>
          <w:color w:val="auto"/>
          <w:sz w:val="24"/>
        </w:rPr>
        <w:t>中标结果公告内容包括采购人及其委托的采购</w:t>
      </w:r>
      <w:r>
        <w:rPr>
          <w:rFonts w:hint="eastAsia" w:ascii="仿宋" w:hAnsi="仿宋" w:eastAsia="仿宋"/>
          <w:color w:val="auto"/>
          <w:sz w:val="24"/>
        </w:rPr>
        <w:t>代理机构</w:t>
      </w:r>
      <w:r>
        <w:rPr>
          <w:rFonts w:ascii="仿宋" w:hAnsi="仿宋" w:eastAsia="仿宋"/>
          <w:color w:val="auto"/>
          <w:sz w:val="24"/>
        </w:rPr>
        <w:t>的名称、地址、联系方式，项目名称和项目编号，中标人名称、地址和中标金额，主要中标标的的名称、规格型号、数量、单价、服务要求，中标公告期限以及评审专家名单。</w:t>
      </w:r>
    </w:p>
    <w:p>
      <w:pPr>
        <w:pStyle w:val="4"/>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七、授予合同</w:t>
      </w:r>
    </w:p>
    <w:p>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36.签订合同</w:t>
      </w:r>
    </w:p>
    <w:p>
      <w:pPr>
        <w:spacing w:line="276" w:lineRule="auto"/>
        <w:ind w:firstLine="480" w:firstLineChars="200"/>
        <w:rPr>
          <w:rFonts w:ascii="仿宋" w:hAnsi="仿宋" w:eastAsia="仿宋"/>
          <w:bCs/>
          <w:color w:val="auto"/>
          <w:sz w:val="24"/>
        </w:rPr>
      </w:pPr>
      <w:r>
        <w:rPr>
          <w:rFonts w:hint="eastAsia" w:ascii="仿宋" w:hAnsi="仿宋" w:eastAsia="仿宋"/>
          <w:color w:val="auto"/>
          <w:sz w:val="24"/>
        </w:rPr>
        <w:t>36.1采购人与中标人应当在《中标通知书》发出之日起30日内，</w:t>
      </w:r>
      <w:r>
        <w:rPr>
          <w:rFonts w:hint="eastAsia" w:ascii="仿宋" w:hAnsi="仿宋" w:eastAsia="仿宋"/>
          <w:bCs/>
          <w:color w:val="auto"/>
          <w:sz w:val="24"/>
        </w:rPr>
        <w:t>按照招标文件确定的事项签订政府采购合同，并在签订之日起2个工作日内将政府采购合同在浙江政府采购网上公告。</w:t>
      </w:r>
    </w:p>
    <w:p>
      <w:pPr>
        <w:spacing w:line="276" w:lineRule="auto"/>
        <w:ind w:firstLine="480" w:firstLineChars="200"/>
        <w:rPr>
          <w:rFonts w:ascii="仿宋" w:hAnsi="仿宋" w:eastAsia="仿宋"/>
          <w:bCs/>
          <w:color w:val="auto"/>
          <w:sz w:val="24"/>
        </w:rPr>
      </w:pPr>
      <w:r>
        <w:rPr>
          <w:rFonts w:hint="eastAsia" w:ascii="仿宋" w:hAnsi="仿宋" w:eastAsia="仿宋"/>
          <w:bCs/>
          <w:color w:val="auto"/>
          <w:sz w:val="24"/>
        </w:rPr>
        <w:t>36.2中标人按规定的日期、时间、地点，由法定代表人或其授权代表与采购人代表签订合同。如中标人为联合体的，由联合体成员各方法定代表人或其授权代表与采购人代表签订合同。</w:t>
      </w:r>
    </w:p>
    <w:p>
      <w:pPr>
        <w:spacing w:line="276" w:lineRule="auto"/>
        <w:ind w:firstLine="480" w:firstLineChars="200"/>
        <w:rPr>
          <w:rFonts w:ascii="仿宋" w:hAnsi="仿宋" w:eastAsia="仿宋"/>
          <w:color w:val="auto"/>
          <w:sz w:val="24"/>
        </w:rPr>
      </w:pPr>
      <w:r>
        <w:rPr>
          <w:rFonts w:hint="eastAsia" w:ascii="仿宋" w:hAnsi="仿宋" w:eastAsia="仿宋"/>
          <w:color w:val="auto"/>
          <w:sz w:val="24"/>
        </w:rPr>
        <w:t>36.3中标人和采购单位不得擅自变更、中止或者终止合同，不得另外订立背离合同实质性内容的其它协议。</w:t>
      </w:r>
    </w:p>
    <w:p>
      <w:pPr>
        <w:spacing w:line="276" w:lineRule="auto"/>
        <w:ind w:firstLine="480" w:firstLineChars="200"/>
        <w:rPr>
          <w:rFonts w:ascii="仿宋" w:hAnsi="仿宋" w:eastAsia="仿宋"/>
          <w:color w:val="auto"/>
          <w:sz w:val="24"/>
        </w:rPr>
      </w:pPr>
      <w:r>
        <w:rPr>
          <w:rFonts w:hint="eastAsia" w:ascii="仿宋" w:hAnsi="仿宋" w:eastAsia="仿宋"/>
          <w:color w:val="auto"/>
          <w:sz w:val="24"/>
        </w:rPr>
        <w:t>36</w:t>
      </w:r>
      <w:r>
        <w:rPr>
          <w:rFonts w:ascii="仿宋" w:hAnsi="仿宋" w:eastAsia="仿宋"/>
          <w:color w:val="auto"/>
          <w:sz w:val="24"/>
        </w:rPr>
        <w:t>.</w:t>
      </w:r>
      <w:r>
        <w:rPr>
          <w:rFonts w:hint="eastAsia" w:ascii="仿宋" w:hAnsi="仿宋" w:eastAsia="仿宋"/>
          <w:color w:val="auto"/>
          <w:sz w:val="24"/>
        </w:rPr>
        <w:t>4</w:t>
      </w:r>
      <w:r>
        <w:rPr>
          <w:rFonts w:ascii="仿宋" w:hAnsi="仿宋" w:eastAsia="仿宋"/>
          <w:color w:val="auto"/>
          <w:sz w:val="24"/>
        </w:rPr>
        <w:t>如签订合同并生效后，供应商无故拒绝或延期，除按照合同条款处理外，列入不良行为记录一次，并给予通报。</w:t>
      </w:r>
    </w:p>
    <w:p>
      <w:pPr>
        <w:spacing w:line="276" w:lineRule="auto"/>
        <w:ind w:firstLine="480" w:firstLineChars="200"/>
        <w:rPr>
          <w:rFonts w:ascii="仿宋" w:hAnsi="仿宋" w:eastAsia="仿宋"/>
          <w:color w:val="auto"/>
          <w:sz w:val="24"/>
        </w:rPr>
      </w:pPr>
      <w:r>
        <w:rPr>
          <w:rFonts w:hint="eastAsia" w:ascii="仿宋" w:hAnsi="仿宋" w:eastAsia="仿宋"/>
          <w:color w:val="auto"/>
          <w:sz w:val="24"/>
        </w:rPr>
        <w:t>36</w:t>
      </w:r>
      <w:r>
        <w:rPr>
          <w:rFonts w:ascii="仿宋" w:hAnsi="仿宋" w:eastAsia="仿宋"/>
          <w:color w:val="auto"/>
          <w:sz w:val="24"/>
        </w:rPr>
        <w:t>.</w:t>
      </w:r>
      <w:r>
        <w:rPr>
          <w:rFonts w:hint="eastAsia" w:ascii="仿宋" w:hAnsi="仿宋" w:eastAsia="仿宋"/>
          <w:color w:val="auto"/>
          <w:sz w:val="24"/>
        </w:rPr>
        <w:t>5</w:t>
      </w:r>
      <w:r>
        <w:rPr>
          <w:rFonts w:ascii="仿宋" w:hAnsi="仿宋" w:eastAsia="仿宋"/>
          <w:color w:val="auto"/>
          <w:sz w:val="24"/>
        </w:rPr>
        <w:t>中标供应</w:t>
      </w:r>
      <w:r>
        <w:rPr>
          <w:rFonts w:hint="eastAsia" w:ascii="仿宋" w:hAnsi="仿宋" w:eastAsia="仿宋"/>
          <w:color w:val="auto"/>
          <w:sz w:val="24"/>
        </w:rPr>
        <w:t>商拒绝与采购人签订合同的，采购人可以按照评审报告推荐的中标或者成交候选人名单排序，确定下一候选人为中标供应商，也可以重新开展政府采购活动。</w:t>
      </w:r>
    </w:p>
    <w:p>
      <w:pPr>
        <w:spacing w:line="276" w:lineRule="auto"/>
        <w:ind w:firstLine="480" w:firstLineChars="200"/>
        <w:rPr>
          <w:rFonts w:ascii="仿宋" w:hAnsi="仿宋" w:eastAsia="仿宋"/>
          <w:color w:val="auto"/>
          <w:sz w:val="24"/>
        </w:rPr>
      </w:pPr>
      <w:r>
        <w:rPr>
          <w:rFonts w:hint="eastAsia" w:ascii="仿宋" w:hAnsi="仿宋" w:eastAsia="仿宋"/>
          <w:color w:val="auto"/>
          <w:sz w:val="24"/>
        </w:rPr>
        <w:t>36</w:t>
      </w:r>
      <w:r>
        <w:rPr>
          <w:rFonts w:ascii="仿宋" w:hAnsi="仿宋" w:eastAsia="仿宋"/>
          <w:color w:val="auto"/>
          <w:sz w:val="24"/>
        </w:rPr>
        <w:t>.</w:t>
      </w:r>
      <w:r>
        <w:rPr>
          <w:rFonts w:hint="eastAsia" w:ascii="仿宋" w:hAnsi="仿宋" w:eastAsia="仿宋"/>
          <w:color w:val="auto"/>
          <w:sz w:val="24"/>
        </w:rPr>
        <w:t>6</w:t>
      </w:r>
      <w:r>
        <w:rPr>
          <w:rFonts w:ascii="仿宋" w:hAnsi="仿宋" w:eastAsia="仿宋"/>
          <w:color w:val="auto"/>
          <w:sz w:val="24"/>
        </w:rPr>
        <w:t>采购合同由采购人与中标供应商根据</w:t>
      </w:r>
      <w:r>
        <w:rPr>
          <w:rFonts w:hint="eastAsia" w:ascii="仿宋" w:hAnsi="仿宋" w:eastAsia="仿宋"/>
          <w:color w:val="auto"/>
          <w:sz w:val="24"/>
        </w:rPr>
        <w:t>招标文件、投标文件等内容签订并通过政府采购电子交易平台自动备案。</w:t>
      </w:r>
    </w:p>
    <w:p>
      <w:pPr>
        <w:snapToGrid w:val="0"/>
        <w:spacing w:line="276" w:lineRule="auto"/>
        <w:ind w:firstLine="472" w:firstLineChars="196"/>
        <w:rPr>
          <w:rFonts w:ascii="仿宋" w:hAnsi="仿宋" w:eastAsia="仿宋"/>
          <w:b/>
          <w:bCs/>
          <w:color w:val="auto"/>
          <w:sz w:val="24"/>
        </w:rPr>
      </w:pPr>
      <w:r>
        <w:rPr>
          <w:rFonts w:hint="eastAsia" w:ascii="仿宋" w:hAnsi="仿宋" w:eastAsia="仿宋"/>
          <w:b/>
          <w:bCs/>
          <w:color w:val="auto"/>
          <w:sz w:val="24"/>
        </w:rPr>
        <w:t>37.</w:t>
      </w:r>
      <w:r>
        <w:rPr>
          <w:rFonts w:ascii="仿宋" w:hAnsi="仿宋" w:eastAsia="仿宋"/>
          <w:b/>
          <w:bCs/>
          <w:color w:val="auto"/>
          <w:sz w:val="24"/>
        </w:rPr>
        <w:t>履约保证金</w:t>
      </w:r>
    </w:p>
    <w:p>
      <w:pPr>
        <w:spacing w:line="276" w:lineRule="auto"/>
        <w:ind w:firstLine="480" w:firstLineChars="200"/>
        <w:rPr>
          <w:rFonts w:ascii="仿宋" w:hAnsi="仿宋" w:eastAsia="仿宋"/>
          <w:color w:val="auto"/>
          <w:sz w:val="24"/>
        </w:rPr>
      </w:pPr>
      <w:r>
        <w:rPr>
          <w:rFonts w:hint="eastAsia" w:ascii="仿宋" w:hAnsi="仿宋" w:eastAsia="仿宋"/>
          <w:color w:val="auto"/>
          <w:sz w:val="24"/>
        </w:rPr>
        <w:t>37.1招标文件要求中标人提交履约保证金的，</w:t>
      </w:r>
      <w:r>
        <w:rPr>
          <w:rFonts w:ascii="仿宋" w:hAnsi="仿宋" w:eastAsia="仿宋"/>
          <w:color w:val="auto"/>
          <w:sz w:val="24"/>
        </w:rPr>
        <w:t>中标人</w:t>
      </w:r>
      <w:r>
        <w:rPr>
          <w:rFonts w:hint="eastAsia" w:ascii="仿宋" w:hAnsi="仿宋" w:eastAsia="仿宋"/>
          <w:color w:val="auto"/>
          <w:sz w:val="24"/>
        </w:rPr>
        <w:t>应按招标文件要求向采购人</w:t>
      </w:r>
      <w:r>
        <w:rPr>
          <w:rFonts w:ascii="仿宋" w:hAnsi="仿宋" w:eastAsia="仿宋"/>
          <w:color w:val="auto"/>
          <w:sz w:val="24"/>
        </w:rPr>
        <w:t>提交履约保证金</w:t>
      </w:r>
      <w:r>
        <w:rPr>
          <w:rFonts w:hint="eastAsia" w:ascii="仿宋" w:hAnsi="仿宋" w:eastAsia="仿宋"/>
          <w:color w:val="auto"/>
          <w:sz w:val="24"/>
        </w:rPr>
        <w:t>，</w:t>
      </w:r>
      <w:r>
        <w:rPr>
          <w:rFonts w:ascii="仿宋" w:hAnsi="仿宋" w:eastAsia="仿宋"/>
          <w:color w:val="auto"/>
          <w:sz w:val="24"/>
        </w:rPr>
        <w:t>履约保证金</w:t>
      </w:r>
      <w:r>
        <w:rPr>
          <w:rFonts w:hint="eastAsia" w:ascii="仿宋" w:hAnsi="仿宋" w:eastAsia="仿宋"/>
          <w:color w:val="auto"/>
          <w:sz w:val="24"/>
        </w:rPr>
        <w:t>作为中标人在履行合同和服务承诺的保证。</w:t>
      </w:r>
    </w:p>
    <w:p>
      <w:pPr>
        <w:spacing w:line="276" w:lineRule="auto"/>
        <w:ind w:firstLine="480" w:firstLineChars="200"/>
        <w:rPr>
          <w:rFonts w:ascii="仿宋" w:hAnsi="仿宋" w:eastAsia="仿宋"/>
          <w:color w:val="auto"/>
          <w:sz w:val="24"/>
        </w:rPr>
      </w:pPr>
      <w:r>
        <w:rPr>
          <w:rFonts w:hint="eastAsia" w:ascii="仿宋" w:hAnsi="仿宋" w:eastAsia="仿宋"/>
          <w:color w:val="auto"/>
          <w:sz w:val="24"/>
        </w:rPr>
        <w:t>37.2中标人应当以支票、汇票、本票或者金融机构、担保机构出具的保函等非现金形式提交。中标人在履行完合同约定事项后，采购人应及时退还履约保证金。履约保证金不计息。</w:t>
      </w:r>
    </w:p>
    <w:p>
      <w:pPr>
        <w:pStyle w:val="4"/>
        <w:spacing w:before="0" w:after="0" w:line="276" w:lineRule="auto"/>
        <w:jc w:val="center"/>
        <w:rPr>
          <w:rFonts w:ascii="仿宋" w:hAnsi="仿宋" w:eastAsia="仿宋"/>
          <w:color w:val="auto"/>
          <w:sz w:val="28"/>
          <w:szCs w:val="28"/>
        </w:rPr>
      </w:pPr>
      <w:r>
        <w:rPr>
          <w:rFonts w:hint="eastAsia" w:ascii="仿宋" w:hAnsi="仿宋" w:eastAsia="仿宋"/>
          <w:color w:val="auto"/>
          <w:sz w:val="28"/>
          <w:szCs w:val="28"/>
        </w:rPr>
        <w:t>八、电子交易活动的中止</w:t>
      </w:r>
    </w:p>
    <w:p>
      <w:pPr>
        <w:spacing w:line="276" w:lineRule="auto"/>
        <w:ind w:firstLine="480" w:firstLineChars="200"/>
        <w:rPr>
          <w:rFonts w:ascii="仿宋" w:hAnsi="仿宋" w:eastAsia="仿宋"/>
          <w:color w:val="auto"/>
          <w:sz w:val="24"/>
        </w:rPr>
      </w:pPr>
      <w:r>
        <w:rPr>
          <w:rFonts w:hint="eastAsia" w:ascii="仿宋" w:hAnsi="仿宋" w:eastAsia="仿宋"/>
          <w:color w:val="auto"/>
          <w:sz w:val="24"/>
        </w:rPr>
        <w:t>38.采购过程中出现以下情形，导致电子交易平台无法正常运行，或者无法保证电子交易的公平、公正和安全时，采购代理机构可中止电子交易活动：</w:t>
      </w:r>
    </w:p>
    <w:p>
      <w:pPr>
        <w:pStyle w:val="38"/>
        <w:spacing w:line="276" w:lineRule="auto"/>
        <w:ind w:firstLine="480" w:firstLineChars="200"/>
        <w:rPr>
          <w:rFonts w:ascii="仿宋" w:hAnsi="仿宋" w:eastAsia="仿宋"/>
          <w:sz w:val="24"/>
        </w:rPr>
      </w:pPr>
      <w:r>
        <w:rPr>
          <w:rFonts w:hint="eastAsia" w:ascii="仿宋" w:hAnsi="仿宋" w:eastAsia="仿宋"/>
          <w:sz w:val="24"/>
        </w:rPr>
        <w:t>（一）电子交易平台发生故障而无法登录访问的；</w:t>
      </w:r>
      <w:r>
        <w:rPr>
          <w:rFonts w:hint="eastAsia" w:ascii="宋体" w:hAnsi="宋体" w:eastAsia="仿宋"/>
          <w:sz w:val="24"/>
        </w:rPr>
        <w:t> </w:t>
      </w:r>
    </w:p>
    <w:p>
      <w:pPr>
        <w:pStyle w:val="38"/>
        <w:spacing w:line="276" w:lineRule="auto"/>
        <w:ind w:firstLine="480" w:firstLineChars="200"/>
        <w:rPr>
          <w:rFonts w:ascii="仿宋" w:hAnsi="仿宋" w:eastAsia="仿宋"/>
          <w:sz w:val="24"/>
        </w:rPr>
      </w:pPr>
      <w:r>
        <w:rPr>
          <w:rFonts w:hint="eastAsia" w:ascii="仿宋" w:hAnsi="仿宋" w:eastAsia="仿宋"/>
          <w:sz w:val="24"/>
        </w:rPr>
        <w:t>（二）电子交易平台应用或数据库出现错误，不能进行正常操作的；</w:t>
      </w:r>
    </w:p>
    <w:p>
      <w:pPr>
        <w:pStyle w:val="38"/>
        <w:spacing w:line="276" w:lineRule="auto"/>
        <w:ind w:firstLine="480" w:firstLineChars="200"/>
        <w:rPr>
          <w:rFonts w:ascii="仿宋" w:hAnsi="仿宋" w:eastAsia="仿宋"/>
          <w:sz w:val="24"/>
        </w:rPr>
      </w:pPr>
      <w:r>
        <w:rPr>
          <w:rFonts w:hint="eastAsia" w:ascii="仿宋" w:hAnsi="仿宋" w:eastAsia="仿宋"/>
          <w:sz w:val="24"/>
        </w:rPr>
        <w:t>（三）电子交易平台发现严重安全漏洞，有潜在泄密危险的；</w:t>
      </w:r>
    </w:p>
    <w:p>
      <w:pPr>
        <w:pStyle w:val="38"/>
        <w:spacing w:line="276" w:lineRule="auto"/>
        <w:ind w:firstLine="480" w:firstLineChars="200"/>
        <w:rPr>
          <w:rFonts w:ascii="仿宋" w:hAnsi="仿宋" w:eastAsia="仿宋"/>
          <w:sz w:val="24"/>
        </w:rPr>
      </w:pPr>
      <w:r>
        <w:rPr>
          <w:rFonts w:hint="eastAsia" w:ascii="仿宋" w:hAnsi="仿宋" w:eastAsia="仿宋"/>
          <w:sz w:val="24"/>
        </w:rPr>
        <w:t>（四）病毒发作导致不能进行正常操作的；</w:t>
      </w:r>
      <w:r>
        <w:rPr>
          <w:rFonts w:hint="eastAsia" w:ascii="宋体" w:hAnsi="宋体" w:eastAsia="仿宋"/>
          <w:sz w:val="24"/>
        </w:rPr>
        <w:t> </w:t>
      </w:r>
    </w:p>
    <w:p>
      <w:pPr>
        <w:pStyle w:val="38"/>
        <w:spacing w:line="276" w:lineRule="auto"/>
        <w:ind w:firstLine="480" w:firstLineChars="200"/>
        <w:rPr>
          <w:rFonts w:ascii="仿宋" w:hAnsi="仿宋" w:eastAsia="仿宋"/>
          <w:sz w:val="24"/>
        </w:rPr>
      </w:pPr>
      <w:r>
        <w:rPr>
          <w:rFonts w:hint="eastAsia" w:ascii="仿宋" w:hAnsi="仿宋" w:eastAsia="仿宋"/>
          <w:sz w:val="24"/>
        </w:rPr>
        <w:t>（五）其他无法保证电子交易的公平、公正和安全的情况。</w:t>
      </w:r>
    </w:p>
    <w:p>
      <w:pPr>
        <w:spacing w:line="276" w:lineRule="auto"/>
        <w:ind w:firstLine="480" w:firstLineChars="200"/>
        <w:rPr>
          <w:rFonts w:ascii="仿宋" w:hAnsi="仿宋" w:eastAsia="仿宋"/>
          <w:color w:val="auto"/>
          <w:sz w:val="24"/>
        </w:rPr>
      </w:pPr>
      <w:r>
        <w:rPr>
          <w:rFonts w:hint="eastAsia" w:ascii="仿宋" w:hAnsi="仿宋" w:eastAsia="仿宋"/>
          <w:color w:val="auto"/>
          <w:sz w:val="24"/>
        </w:rPr>
        <w:t>出现以上规定情形，不影响采购公平、公正性的，采购代理机构可以待上述情形消除后继续组织电子交易活动，</w:t>
      </w:r>
      <w:r>
        <w:rPr>
          <w:rFonts w:ascii="仿宋" w:hAnsi="仿宋" w:eastAsia="仿宋"/>
          <w:color w:val="auto"/>
          <w:sz w:val="24"/>
        </w:rPr>
        <w:t>也可以决定某些环节以纸质形式进行</w:t>
      </w:r>
      <w:r>
        <w:rPr>
          <w:rFonts w:hint="eastAsia" w:ascii="仿宋" w:hAnsi="仿宋" w:eastAsia="仿宋"/>
          <w:color w:val="auto"/>
          <w:sz w:val="24"/>
        </w:rPr>
        <w:t>；影响或可能影响采购公平、公正性的，报告政府采购监管部门并组织重新采购。</w:t>
      </w:r>
    </w:p>
    <w:p>
      <w:pPr>
        <w:pStyle w:val="4"/>
        <w:spacing w:before="0" w:after="0" w:line="276" w:lineRule="auto"/>
        <w:jc w:val="center"/>
        <w:rPr>
          <w:color w:val="auto"/>
        </w:rPr>
      </w:pPr>
      <w:r>
        <w:rPr>
          <w:rFonts w:hint="eastAsia" w:ascii="仿宋" w:hAnsi="仿宋" w:eastAsia="仿宋"/>
          <w:color w:val="auto"/>
          <w:sz w:val="28"/>
          <w:szCs w:val="28"/>
        </w:rPr>
        <w:t>九、验收</w:t>
      </w:r>
    </w:p>
    <w:p>
      <w:pPr>
        <w:spacing w:line="276" w:lineRule="auto"/>
        <w:ind w:firstLine="480" w:firstLineChars="200"/>
        <w:rPr>
          <w:rFonts w:ascii="仿宋" w:hAnsi="仿宋" w:eastAsia="仿宋"/>
          <w:color w:val="auto"/>
          <w:sz w:val="24"/>
        </w:rPr>
      </w:pPr>
      <w:r>
        <w:rPr>
          <w:rFonts w:hint="eastAsia" w:ascii="仿宋" w:hAnsi="仿宋" w:eastAsia="仿宋"/>
          <w:color w:val="auto"/>
          <w:sz w:val="24"/>
        </w:rPr>
        <w:t>39.验收</w:t>
      </w:r>
    </w:p>
    <w:p>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39</w:t>
      </w:r>
      <w:r>
        <w:rPr>
          <w:rFonts w:ascii="仿宋" w:hAnsi="仿宋" w:eastAsia="仿宋" w:cs="Helvetica"/>
          <w:color w:val="auto"/>
          <w:sz w:val="24"/>
        </w:rPr>
        <w:t>.1</w:t>
      </w:r>
      <w:r>
        <w:rPr>
          <w:rFonts w:hint="eastAsia" w:ascii="仿宋" w:hAnsi="仿宋" w:eastAsia="仿宋" w:cs="Helvetica"/>
          <w:color w:val="auto"/>
          <w:sz w:val="24"/>
        </w:rPr>
        <w:t>采购人应当根据采购项目的具体情况，自行组织项目验收或者委托采购代理机构验收。</w:t>
      </w:r>
      <w:r>
        <w:rPr>
          <w:rFonts w:ascii="仿宋" w:hAnsi="仿宋" w:eastAsia="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39</w:t>
      </w:r>
      <w:r>
        <w:rPr>
          <w:rFonts w:ascii="仿宋" w:hAnsi="仿宋" w:eastAsia="仿宋" w:cs="Helvetica"/>
          <w:color w:val="auto"/>
          <w:sz w:val="24"/>
        </w:rPr>
        <w:t>.2采购人可以邀请参加本项目的其他投标人或者第三方机构参与验收。参与验收的投标人或者第三方机构的意见作为</w:t>
      </w:r>
      <w:r>
        <w:rPr>
          <w:rFonts w:hint="eastAsia" w:ascii="仿宋" w:hAnsi="仿宋" w:eastAsia="仿宋" w:cs="Helvetica"/>
          <w:color w:val="auto"/>
          <w:sz w:val="24"/>
        </w:rPr>
        <w:t>验收书的参考资料一并存档。</w:t>
      </w:r>
    </w:p>
    <w:p>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39</w:t>
      </w:r>
      <w:r>
        <w:rPr>
          <w:rFonts w:ascii="仿宋" w:hAnsi="仿宋" w:eastAsia="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276" w:lineRule="auto"/>
        <w:ind w:firstLine="480" w:firstLineChars="200"/>
        <w:rPr>
          <w:rFonts w:ascii="仿宋" w:hAnsi="仿宋" w:eastAsia="仿宋" w:cs="Helvetica"/>
          <w:color w:val="auto"/>
          <w:sz w:val="24"/>
        </w:rPr>
      </w:pPr>
      <w:r>
        <w:rPr>
          <w:rFonts w:hint="eastAsia" w:ascii="仿宋" w:hAnsi="仿宋" w:eastAsia="仿宋" w:cs="Helvetica"/>
          <w:color w:val="auto"/>
          <w:sz w:val="24"/>
        </w:rPr>
        <w:t>39</w:t>
      </w:r>
      <w:r>
        <w:rPr>
          <w:rFonts w:ascii="仿宋" w:hAnsi="仿宋" w:eastAsia="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rPr>
          <w:rFonts w:ascii="仿宋" w:hAnsi="仿宋" w:eastAsia="仿宋"/>
          <w:color w:val="auto"/>
          <w:sz w:val="24"/>
        </w:rPr>
        <w:sectPr>
          <w:pgSz w:w="11906" w:h="16838"/>
          <w:pgMar w:top="1134" w:right="1247" w:bottom="1021" w:left="1247" w:header="284" w:footer="454" w:gutter="0"/>
          <w:pgNumType w:fmt="numberInDash"/>
          <w:cols w:space="720" w:num="1"/>
          <w:titlePg/>
          <w:docGrid w:type="lines" w:linePitch="312" w:charSpace="0"/>
        </w:sectPr>
      </w:pPr>
    </w:p>
    <w:p>
      <w:pPr>
        <w:pStyle w:val="3"/>
        <w:spacing w:before="0" w:after="120" w:line="30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第三章   评标方法及评分标准</w:t>
      </w:r>
    </w:p>
    <w:p>
      <w:pPr>
        <w:spacing w:line="300" w:lineRule="auto"/>
        <w:rPr>
          <w:rFonts w:ascii="仿宋" w:hAnsi="仿宋" w:eastAsia="仿宋"/>
          <w:b/>
          <w:color w:val="auto"/>
          <w:sz w:val="28"/>
          <w:szCs w:val="28"/>
        </w:rPr>
      </w:pPr>
      <w:bookmarkStart w:id="9" w:name="_Toc125344512"/>
      <w:r>
        <w:rPr>
          <w:rFonts w:hint="eastAsia" w:ascii="仿宋" w:hAnsi="仿宋" w:eastAsia="仿宋"/>
          <w:b/>
          <w:color w:val="auto"/>
          <w:sz w:val="28"/>
          <w:szCs w:val="28"/>
        </w:rPr>
        <w:t>一、评标方法</w:t>
      </w:r>
    </w:p>
    <w:p>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1.本项目采用</w:t>
      </w:r>
      <w:r>
        <w:rPr>
          <w:rFonts w:hint="eastAsia" w:ascii="仿宋" w:hAnsi="仿宋" w:eastAsia="仿宋"/>
          <w:color w:val="auto"/>
          <w:sz w:val="24"/>
          <w:szCs w:val="24"/>
          <w:u w:val="single"/>
        </w:rPr>
        <w:t>综合评分法</w:t>
      </w:r>
      <w:r>
        <w:rPr>
          <w:rFonts w:hint="eastAsia" w:ascii="仿宋" w:hAnsi="仿宋" w:eastAsia="仿宋"/>
          <w:color w:val="auto"/>
          <w:sz w:val="24"/>
          <w:szCs w:val="24"/>
        </w:rPr>
        <w:t>（综合评分法：是指投标文件满足招标文件全部实质性要求，且按照评审因素的量化指标评审得分最高的投标人为中标候选人的评标方法）。</w:t>
      </w:r>
    </w:p>
    <w:p>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2.投标人的综合得分﹦商务技术得分＋报价得分，综合得分满分为100分。</w:t>
      </w:r>
    </w:p>
    <w:p>
      <w:pPr>
        <w:spacing w:line="360" w:lineRule="auto"/>
        <w:ind w:firstLine="470" w:firstLineChars="196"/>
        <w:rPr>
          <w:rFonts w:ascii="仿宋" w:hAnsi="仿宋" w:eastAsia="仿宋"/>
          <w:b/>
          <w:color w:val="auto"/>
          <w:sz w:val="24"/>
          <w:szCs w:val="24"/>
        </w:rPr>
      </w:pPr>
      <w:r>
        <w:rPr>
          <w:rFonts w:hint="eastAsia" w:ascii="仿宋" w:hAnsi="仿宋" w:eastAsia="仿宋"/>
          <w:color w:val="auto"/>
          <w:sz w:val="24"/>
          <w:szCs w:val="24"/>
        </w:rPr>
        <w:t>3.</w:t>
      </w:r>
      <w:r>
        <w:rPr>
          <w:rFonts w:hint="eastAsia" w:ascii="仿宋" w:hAnsi="仿宋" w:eastAsia="仿宋" w:cs="仿宋"/>
          <w:bCs/>
          <w:color w:val="auto"/>
          <w:spacing w:val="-6"/>
          <w:sz w:val="24"/>
          <w:szCs w:val="24"/>
        </w:rPr>
        <w:t>评分过程中采用四舍五入法，并保留小数2位。</w:t>
      </w:r>
    </w:p>
    <w:p>
      <w:pPr>
        <w:spacing w:line="300" w:lineRule="auto"/>
        <w:rPr>
          <w:rFonts w:ascii="仿宋" w:hAnsi="仿宋" w:eastAsia="仿宋"/>
          <w:b/>
          <w:color w:val="auto"/>
          <w:sz w:val="28"/>
          <w:szCs w:val="28"/>
        </w:rPr>
      </w:pPr>
      <w:r>
        <w:rPr>
          <w:rFonts w:hint="eastAsia" w:ascii="仿宋" w:hAnsi="仿宋" w:eastAsia="仿宋"/>
          <w:b/>
          <w:color w:val="auto"/>
          <w:sz w:val="28"/>
          <w:szCs w:val="28"/>
        </w:rPr>
        <w:t>二、评分标准</w:t>
      </w:r>
    </w:p>
    <w:p>
      <w:pPr>
        <w:spacing w:line="360" w:lineRule="auto"/>
        <w:ind w:firstLine="551" w:firstLineChars="196"/>
        <w:rPr>
          <w:rFonts w:ascii="仿宋" w:hAnsi="仿宋" w:eastAsia="仿宋"/>
          <w:b/>
          <w:color w:val="auto"/>
          <w:sz w:val="28"/>
          <w:szCs w:val="28"/>
        </w:rPr>
      </w:pPr>
      <w:r>
        <w:rPr>
          <w:rFonts w:hint="eastAsia" w:ascii="仿宋" w:hAnsi="仿宋" w:eastAsia="仿宋"/>
          <w:b/>
          <w:color w:val="auto"/>
          <w:sz w:val="28"/>
          <w:szCs w:val="28"/>
        </w:rPr>
        <w:t>1.商务技术分（80分）</w:t>
      </w:r>
    </w:p>
    <w:p>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（1）商务技术得分=商务技术评分，商务技术评分=所有评委的有效评分的算术平均数。</w:t>
      </w:r>
    </w:p>
    <w:p>
      <w:pPr>
        <w:spacing w:line="360" w:lineRule="auto"/>
        <w:ind w:firstLine="470" w:firstLineChars="196"/>
        <w:rPr>
          <w:rFonts w:ascii="仿宋" w:hAnsi="仿宋" w:eastAsia="仿宋"/>
          <w:color w:val="auto"/>
          <w:sz w:val="24"/>
          <w:szCs w:val="24"/>
        </w:rPr>
      </w:pPr>
      <w:r>
        <w:rPr>
          <w:rFonts w:hint="eastAsia" w:ascii="仿宋" w:hAnsi="仿宋" w:eastAsia="仿宋"/>
          <w:color w:val="auto"/>
          <w:sz w:val="24"/>
          <w:szCs w:val="24"/>
        </w:rPr>
        <w:t>（2）商务技术分评分细则</w:t>
      </w:r>
    </w:p>
    <w:tbl>
      <w:tblPr>
        <w:tblStyle w:val="49"/>
        <w:tblW w:w="95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217"/>
        <w:gridCol w:w="6864"/>
        <w:gridCol w:w="7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12" w:type="dxa"/>
            <w:vAlign w:val="center"/>
          </w:tcPr>
          <w:p>
            <w:pPr>
              <w:spacing w:line="360" w:lineRule="exact"/>
              <w:jc w:val="center"/>
              <w:rPr>
                <w:rFonts w:ascii="仿宋" w:hAnsi="仿宋" w:eastAsia="仿宋" w:cs="宋体"/>
                <w:b/>
                <w:bCs/>
                <w:sz w:val="24"/>
              </w:rPr>
            </w:pPr>
            <w:r>
              <w:rPr>
                <w:rFonts w:ascii="仿宋" w:hAnsi="仿宋" w:eastAsia="仿宋" w:cs="宋体"/>
                <w:b/>
                <w:bCs/>
                <w:sz w:val="24"/>
              </w:rPr>
              <w:t>序号</w:t>
            </w:r>
          </w:p>
        </w:tc>
        <w:tc>
          <w:tcPr>
            <w:tcW w:w="1217" w:type="dxa"/>
            <w:vAlign w:val="center"/>
          </w:tcPr>
          <w:p>
            <w:pPr>
              <w:spacing w:line="360" w:lineRule="exact"/>
              <w:jc w:val="center"/>
              <w:rPr>
                <w:rFonts w:ascii="仿宋" w:hAnsi="仿宋" w:eastAsia="仿宋" w:cs="宋体"/>
                <w:b/>
                <w:bCs/>
                <w:sz w:val="24"/>
              </w:rPr>
            </w:pPr>
            <w:r>
              <w:rPr>
                <w:rFonts w:ascii="仿宋" w:hAnsi="仿宋" w:eastAsia="仿宋" w:cs="宋体"/>
                <w:b/>
                <w:bCs/>
                <w:sz w:val="24"/>
              </w:rPr>
              <w:t>项目</w:t>
            </w:r>
          </w:p>
        </w:tc>
        <w:tc>
          <w:tcPr>
            <w:tcW w:w="6864" w:type="dxa"/>
            <w:vAlign w:val="center"/>
          </w:tcPr>
          <w:p>
            <w:pPr>
              <w:spacing w:line="360" w:lineRule="exact"/>
              <w:jc w:val="center"/>
              <w:rPr>
                <w:rFonts w:ascii="仿宋" w:hAnsi="仿宋" w:eastAsia="仿宋" w:cs="宋体"/>
                <w:b/>
                <w:bCs/>
                <w:sz w:val="24"/>
              </w:rPr>
            </w:pPr>
            <w:r>
              <w:rPr>
                <w:rFonts w:hint="eastAsia" w:ascii="仿宋" w:hAnsi="仿宋" w:eastAsia="仿宋" w:cs="宋体"/>
                <w:b/>
                <w:bCs/>
                <w:sz w:val="24"/>
              </w:rPr>
              <w:t>评分标准</w:t>
            </w:r>
          </w:p>
        </w:tc>
        <w:tc>
          <w:tcPr>
            <w:tcW w:w="733" w:type="dxa"/>
            <w:vAlign w:val="center"/>
          </w:tcPr>
          <w:p>
            <w:pPr>
              <w:spacing w:line="360" w:lineRule="exact"/>
              <w:jc w:val="center"/>
              <w:rPr>
                <w:rFonts w:ascii="仿宋" w:hAnsi="仿宋" w:eastAsia="仿宋" w:cs="宋体"/>
                <w:b/>
                <w:bCs/>
                <w:sz w:val="24"/>
              </w:rPr>
            </w:pPr>
            <w:r>
              <w:rPr>
                <w:rFonts w:hint="eastAsia" w:ascii="仿宋" w:hAnsi="仿宋" w:eastAsia="仿宋" w:cs="宋体"/>
                <w:b/>
                <w:bCs/>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4" w:hRule="atLeast"/>
          <w:jc w:val="center"/>
        </w:trPr>
        <w:tc>
          <w:tcPr>
            <w:tcW w:w="712"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1</w:t>
            </w:r>
          </w:p>
        </w:tc>
        <w:tc>
          <w:tcPr>
            <w:tcW w:w="1217" w:type="dxa"/>
            <w:vAlign w:val="center"/>
          </w:tcPr>
          <w:p>
            <w:pPr>
              <w:spacing w:line="360" w:lineRule="exact"/>
              <w:jc w:val="center"/>
              <w:rPr>
                <w:rFonts w:ascii="仿宋" w:hAnsi="仿宋" w:eastAsia="仿宋" w:cs="宋体"/>
                <w:bCs/>
                <w:sz w:val="24"/>
              </w:rPr>
            </w:pPr>
            <w:r>
              <w:rPr>
                <w:rFonts w:ascii="仿宋" w:hAnsi="仿宋" w:eastAsia="仿宋" w:cs="宋体"/>
                <w:bCs/>
                <w:sz w:val="24"/>
              </w:rPr>
              <w:t>企业资信</w:t>
            </w:r>
          </w:p>
        </w:tc>
        <w:tc>
          <w:tcPr>
            <w:tcW w:w="6864" w:type="dxa"/>
            <w:vAlign w:val="center"/>
          </w:tcPr>
          <w:p>
            <w:pPr>
              <w:spacing w:line="276" w:lineRule="auto"/>
              <w:rPr>
                <w:rFonts w:ascii="仿宋" w:hAnsi="仿宋" w:eastAsia="仿宋"/>
                <w:color w:val="auto"/>
                <w:sz w:val="24"/>
                <w:szCs w:val="24"/>
              </w:rPr>
            </w:pPr>
            <w:r>
              <w:rPr>
                <w:rFonts w:hint="eastAsia" w:ascii="仿宋" w:hAnsi="仿宋" w:eastAsia="仿宋"/>
                <w:color w:val="auto"/>
                <w:sz w:val="24"/>
                <w:szCs w:val="24"/>
              </w:rPr>
              <w:t>投标人具有有效的ISO9001质量管理体系认证证书、ISO14001</w:t>
            </w:r>
            <w:r>
              <w:rPr>
                <w:rFonts w:hint="eastAsia" w:ascii="仿宋" w:hAnsi="仿宋" w:eastAsia="仿宋" w:cs="宋体"/>
                <w:color w:val="auto"/>
                <w:sz w:val="24"/>
                <w:szCs w:val="24"/>
              </w:rPr>
              <w:t>环境管理体系认证</w:t>
            </w:r>
            <w:r>
              <w:rPr>
                <w:rFonts w:hint="eastAsia" w:ascii="仿宋" w:hAnsi="仿宋" w:eastAsia="仿宋"/>
                <w:color w:val="auto"/>
                <w:sz w:val="24"/>
                <w:szCs w:val="24"/>
              </w:rPr>
              <w:t>证书、ISO45001</w:t>
            </w:r>
            <w:r>
              <w:rPr>
                <w:rFonts w:hint="eastAsia" w:ascii="仿宋" w:hAnsi="仿宋" w:eastAsia="仿宋" w:cs="宋体"/>
                <w:color w:val="auto"/>
                <w:sz w:val="24"/>
                <w:szCs w:val="24"/>
              </w:rPr>
              <w:t>职业健康安全管理体系认证</w:t>
            </w:r>
            <w:r>
              <w:rPr>
                <w:rFonts w:hint="eastAsia" w:ascii="仿宋" w:hAnsi="仿宋" w:eastAsia="仿宋"/>
                <w:color w:val="auto"/>
                <w:sz w:val="24"/>
                <w:szCs w:val="24"/>
              </w:rPr>
              <w:t>证书且上述证书认证范围均包含档案整理或数字化加工相关内容的，</w:t>
            </w:r>
            <w:r>
              <w:rPr>
                <w:rFonts w:hint="eastAsia" w:ascii="仿宋" w:hAnsi="仿宋" w:eastAsia="仿宋" w:cs="宋体"/>
                <w:color w:val="auto"/>
                <w:sz w:val="24"/>
                <w:szCs w:val="24"/>
              </w:rPr>
              <w:t>每提供其中一项证书得1分，最高得3分。</w:t>
            </w:r>
            <w:r>
              <w:rPr>
                <w:rFonts w:hint="eastAsia" w:ascii="仿宋" w:hAnsi="仿宋" w:eastAsia="仿宋" w:cs="仿宋"/>
                <w:color w:val="auto"/>
                <w:w w:val="90"/>
                <w:sz w:val="24"/>
                <w:szCs w:val="24"/>
              </w:rPr>
              <w:t>（注：需提供证书复印件以及全国认证认可信息公共服务平台网站证书信息查询页面截图，否则不得分。）</w:t>
            </w:r>
          </w:p>
        </w:tc>
        <w:tc>
          <w:tcPr>
            <w:tcW w:w="733"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12"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2</w:t>
            </w:r>
          </w:p>
        </w:tc>
        <w:tc>
          <w:tcPr>
            <w:tcW w:w="1217" w:type="dxa"/>
            <w:vAlign w:val="center"/>
          </w:tcPr>
          <w:p>
            <w:pPr>
              <w:spacing w:line="360" w:lineRule="exact"/>
              <w:jc w:val="center"/>
              <w:rPr>
                <w:rFonts w:ascii="仿宋" w:hAnsi="仿宋" w:eastAsia="仿宋" w:cs="宋体"/>
                <w:bCs/>
                <w:sz w:val="24"/>
              </w:rPr>
            </w:pPr>
            <w:r>
              <w:rPr>
                <w:rFonts w:ascii="仿宋" w:hAnsi="仿宋" w:eastAsia="仿宋" w:cs="宋体"/>
                <w:bCs/>
                <w:sz w:val="24"/>
              </w:rPr>
              <w:t>业绩</w:t>
            </w:r>
          </w:p>
        </w:tc>
        <w:tc>
          <w:tcPr>
            <w:tcW w:w="6864" w:type="dxa"/>
            <w:vAlign w:val="center"/>
          </w:tcPr>
          <w:p>
            <w:pPr>
              <w:spacing w:line="276" w:lineRule="auto"/>
              <w:rPr>
                <w:rFonts w:ascii="仿宋" w:hAnsi="仿宋" w:eastAsia="仿宋" w:cs="宋体"/>
                <w:sz w:val="24"/>
                <w:szCs w:val="24"/>
              </w:rPr>
            </w:pPr>
            <w:r>
              <w:rPr>
                <w:rFonts w:hint="eastAsia" w:ascii="仿宋" w:hAnsi="仿宋" w:eastAsia="仿宋" w:cs="宋体"/>
                <w:sz w:val="24"/>
                <w:szCs w:val="24"/>
              </w:rPr>
              <w:t>投标人自2020年1月1日以来（以合同签订时间为准）具有承接过类似项目业绩的，每个业绩得1分，最高得2分。</w:t>
            </w:r>
            <w:r>
              <w:rPr>
                <w:rFonts w:ascii="仿宋" w:hAnsi="仿宋" w:eastAsia="仿宋" w:cs="仿宋"/>
                <w:w w:val="90"/>
                <w:sz w:val="24"/>
                <w:szCs w:val="24"/>
              </w:rPr>
              <w:t>（注：需同时提供业绩的以下两项证明材料，否则不计分：</w:t>
            </w:r>
            <w:r>
              <w:rPr>
                <w:rFonts w:hint="eastAsia" w:ascii="仿宋" w:hAnsi="仿宋" w:eastAsia="仿宋" w:cs="仿宋"/>
                <w:w w:val="90"/>
                <w:sz w:val="24"/>
                <w:szCs w:val="24"/>
              </w:rPr>
              <w:t>①</w:t>
            </w:r>
            <w:r>
              <w:rPr>
                <w:rFonts w:ascii="仿宋" w:hAnsi="仿宋" w:eastAsia="仿宋" w:cs="仿宋"/>
                <w:w w:val="90"/>
                <w:sz w:val="24"/>
                <w:szCs w:val="24"/>
              </w:rPr>
              <w:t>合同复印件</w:t>
            </w:r>
            <w:r>
              <w:rPr>
                <w:rFonts w:hint="eastAsia" w:ascii="仿宋" w:hAnsi="仿宋" w:eastAsia="仿宋" w:cs="仿宋"/>
                <w:w w:val="90"/>
                <w:sz w:val="24"/>
                <w:szCs w:val="24"/>
              </w:rPr>
              <w:t>；②业绩项目经验收合格或履约完成的相关</w:t>
            </w:r>
            <w:r>
              <w:rPr>
                <w:rFonts w:ascii="仿宋" w:hAnsi="仿宋" w:eastAsia="仿宋" w:cs="仿宋"/>
                <w:w w:val="90"/>
                <w:sz w:val="24"/>
                <w:szCs w:val="24"/>
              </w:rPr>
              <w:t>证明材料。）</w:t>
            </w:r>
          </w:p>
        </w:tc>
        <w:tc>
          <w:tcPr>
            <w:tcW w:w="733"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12" w:type="dxa"/>
            <w:vMerge w:val="restart"/>
            <w:vAlign w:val="center"/>
          </w:tcPr>
          <w:p>
            <w:pPr>
              <w:spacing w:line="360" w:lineRule="exact"/>
              <w:jc w:val="center"/>
              <w:rPr>
                <w:rFonts w:ascii="仿宋" w:hAnsi="仿宋" w:eastAsia="仿宋" w:cs="宋体"/>
                <w:bCs/>
                <w:sz w:val="24"/>
              </w:rPr>
            </w:pPr>
            <w:r>
              <w:rPr>
                <w:rFonts w:hint="eastAsia" w:ascii="仿宋" w:hAnsi="仿宋" w:eastAsia="仿宋" w:cs="宋体"/>
                <w:bCs/>
                <w:sz w:val="24"/>
              </w:rPr>
              <w:t>3</w:t>
            </w:r>
          </w:p>
        </w:tc>
        <w:tc>
          <w:tcPr>
            <w:tcW w:w="1217" w:type="dxa"/>
            <w:vMerge w:val="restart"/>
            <w:vAlign w:val="center"/>
          </w:tcPr>
          <w:p>
            <w:pPr>
              <w:spacing w:line="360" w:lineRule="exact"/>
              <w:jc w:val="center"/>
              <w:rPr>
                <w:rFonts w:ascii="仿宋" w:hAnsi="仿宋" w:eastAsia="仿宋" w:cs="宋体"/>
                <w:bCs/>
                <w:sz w:val="24"/>
              </w:rPr>
            </w:pPr>
            <w:r>
              <w:rPr>
                <w:rFonts w:ascii="仿宋" w:hAnsi="仿宋" w:eastAsia="仿宋" w:cs="宋体"/>
                <w:bCs/>
                <w:sz w:val="24"/>
              </w:rPr>
              <w:t>数字化加工方案</w:t>
            </w:r>
          </w:p>
        </w:tc>
        <w:tc>
          <w:tcPr>
            <w:tcW w:w="6864" w:type="dxa"/>
            <w:vAlign w:val="center"/>
          </w:tcPr>
          <w:p>
            <w:pPr>
              <w:pStyle w:val="280"/>
              <w:spacing w:line="276" w:lineRule="auto"/>
              <w:ind w:firstLine="0" w:firstLineChars="0"/>
              <w:rPr>
                <w:rFonts w:ascii="仿宋" w:hAnsi="仿宋" w:eastAsia="仿宋" w:cs="宋体"/>
                <w:bCs/>
                <w:color w:val="auto"/>
                <w:sz w:val="24"/>
              </w:rPr>
            </w:pPr>
            <w:r>
              <w:rPr>
                <w:rFonts w:hint="eastAsia" w:ascii="仿宋" w:hAnsi="仿宋" w:eastAsia="仿宋" w:cs="宋体"/>
                <w:bCs/>
                <w:color w:val="auto"/>
                <w:sz w:val="24"/>
              </w:rPr>
              <w:t>根据投标人对数字化加工流程整体设计方案进行综合评分：</w:t>
            </w:r>
          </w:p>
          <w:p>
            <w:pPr>
              <w:pStyle w:val="280"/>
              <w:spacing w:line="276" w:lineRule="auto"/>
              <w:ind w:firstLine="0" w:firstLineChars="0"/>
              <w:rPr>
                <w:rFonts w:ascii="仿宋" w:hAnsi="仿宋" w:eastAsia="仿宋" w:cs="宋体"/>
                <w:bCs/>
                <w:color w:val="auto"/>
                <w:sz w:val="24"/>
              </w:rPr>
            </w:pPr>
            <w:r>
              <w:rPr>
                <w:rFonts w:hint="eastAsia" w:ascii="仿宋" w:hAnsi="仿宋" w:eastAsia="仿宋" w:cs="宋体"/>
                <w:bCs/>
                <w:color w:val="auto"/>
                <w:sz w:val="24"/>
              </w:rPr>
              <w:t>1.根据投标人提供的档案出入库交接、前处理、目录著录、档案扫描、图像处理、数据挂接、数据验收与档案装订还原等实施流程的完整性、合理可行性进行综合评分。</w:t>
            </w:r>
            <w:r>
              <w:rPr>
                <w:rFonts w:hint="eastAsia" w:ascii="仿宋" w:hAnsi="仿宋" w:eastAsia="仿宋" w:cs="仿宋"/>
                <w:color w:val="auto"/>
                <w:sz w:val="24"/>
              </w:rPr>
              <w:t>内容全面</w:t>
            </w:r>
            <w:r>
              <w:rPr>
                <w:rFonts w:hint="eastAsia" w:ascii="仿宋" w:hAnsi="仿宋" w:eastAsia="仿宋"/>
                <w:color w:val="auto"/>
                <w:sz w:val="24"/>
              </w:rPr>
              <w:t>且合理可行的，得</w:t>
            </w:r>
            <w:r>
              <w:rPr>
                <w:rFonts w:hint="eastAsia" w:ascii="仿宋" w:hAnsi="仿宋" w:eastAsia="仿宋" w:cs="宋体"/>
                <w:color w:val="auto"/>
                <w:sz w:val="24"/>
              </w:rPr>
              <w:t>3</w:t>
            </w:r>
            <w:r>
              <w:rPr>
                <w:rFonts w:hint="eastAsia" w:ascii="仿宋" w:hAnsi="仿宋" w:eastAsia="仿宋"/>
                <w:color w:val="auto"/>
                <w:sz w:val="24"/>
              </w:rPr>
              <w:t>分；部分内容有欠缺但基本全面，基本合理可行的，得</w:t>
            </w:r>
            <w:r>
              <w:rPr>
                <w:rFonts w:hint="eastAsia" w:ascii="仿宋" w:hAnsi="仿宋" w:eastAsia="仿宋" w:cs="宋体"/>
                <w:color w:val="auto"/>
                <w:sz w:val="24"/>
              </w:rPr>
              <w:t>2</w:t>
            </w:r>
            <w:r>
              <w:rPr>
                <w:rFonts w:hint="eastAsia" w:ascii="仿宋" w:hAnsi="仿宋" w:eastAsia="仿宋"/>
                <w:color w:val="auto"/>
                <w:sz w:val="24"/>
              </w:rPr>
              <w:t>分；内容粗略</w:t>
            </w:r>
            <w:r>
              <w:rPr>
                <w:rFonts w:hint="eastAsia" w:ascii="仿宋" w:hAnsi="仿宋" w:eastAsia="仿宋" w:cs="宋体"/>
                <w:color w:val="auto"/>
                <w:sz w:val="24"/>
              </w:rPr>
              <w:t>、缺陷较多</w:t>
            </w:r>
            <w:r>
              <w:rPr>
                <w:rFonts w:hint="eastAsia" w:ascii="仿宋" w:hAnsi="仿宋" w:eastAsia="仿宋"/>
                <w:color w:val="auto"/>
                <w:sz w:val="24"/>
              </w:rPr>
              <w:t>，合理可行性较欠缺的，得</w:t>
            </w:r>
            <w:r>
              <w:rPr>
                <w:rFonts w:hint="eastAsia" w:ascii="仿宋" w:hAnsi="仿宋" w:eastAsia="仿宋" w:cs="宋体"/>
                <w:color w:val="auto"/>
                <w:sz w:val="24"/>
              </w:rPr>
              <w:t>1</w:t>
            </w:r>
            <w:r>
              <w:rPr>
                <w:rFonts w:hint="eastAsia" w:ascii="仿宋" w:hAnsi="仿宋" w:eastAsia="仿宋"/>
                <w:color w:val="auto"/>
                <w:sz w:val="24"/>
              </w:rPr>
              <w:t>分；</w:t>
            </w:r>
            <w:r>
              <w:rPr>
                <w:rFonts w:hint="eastAsia" w:ascii="仿宋" w:hAnsi="仿宋" w:eastAsia="仿宋"/>
                <w:bCs/>
                <w:color w:val="auto"/>
                <w:sz w:val="24"/>
              </w:rPr>
              <w:t>完全不符或未提供的不得分。</w:t>
            </w:r>
          </w:p>
          <w:p>
            <w:pPr>
              <w:pStyle w:val="280"/>
              <w:spacing w:line="276" w:lineRule="auto"/>
              <w:ind w:firstLine="0" w:firstLineChars="0"/>
              <w:rPr>
                <w:rFonts w:ascii="仿宋" w:hAnsi="仿宋" w:eastAsia="仿宋" w:cs="宋体"/>
                <w:bCs/>
                <w:color w:val="auto"/>
                <w:sz w:val="24"/>
              </w:rPr>
            </w:pPr>
            <w:r>
              <w:rPr>
                <w:rFonts w:hint="eastAsia" w:ascii="仿宋" w:hAnsi="仿宋" w:eastAsia="仿宋"/>
                <w:bCs/>
                <w:color w:val="auto"/>
                <w:sz w:val="24"/>
              </w:rPr>
              <w:t>2.图像处理：包括对扫描后形成的图像通过计算机自动处理和人工处理进行逐页纠偏、版心调整；去污、去黑边、去除图像杂点；对图像进行字体加深；图片拆分、合并等处理，确保每幅图像清晰、不失真。根据投标人提供的图像处理方案进行综合评分。</w:t>
            </w:r>
            <w:r>
              <w:rPr>
                <w:rFonts w:hint="eastAsia" w:ascii="仿宋" w:hAnsi="仿宋" w:eastAsia="仿宋" w:cs="仿宋"/>
                <w:color w:val="auto"/>
                <w:sz w:val="24"/>
              </w:rPr>
              <w:t>内容全面</w:t>
            </w:r>
            <w:r>
              <w:rPr>
                <w:rFonts w:hint="eastAsia" w:ascii="仿宋" w:hAnsi="仿宋" w:eastAsia="仿宋"/>
                <w:color w:val="auto"/>
                <w:sz w:val="24"/>
              </w:rPr>
              <w:t>且合理可行的，得</w:t>
            </w:r>
            <w:r>
              <w:rPr>
                <w:rFonts w:hint="eastAsia" w:ascii="仿宋" w:hAnsi="仿宋" w:eastAsia="仿宋" w:cs="宋体"/>
                <w:color w:val="auto"/>
                <w:sz w:val="24"/>
              </w:rPr>
              <w:t>3</w:t>
            </w:r>
            <w:r>
              <w:rPr>
                <w:rFonts w:hint="eastAsia" w:ascii="仿宋" w:hAnsi="仿宋" w:eastAsia="仿宋"/>
                <w:color w:val="auto"/>
                <w:sz w:val="24"/>
              </w:rPr>
              <w:t>分；部分内容有欠缺但基本全面，基本合理可行的，得</w:t>
            </w:r>
            <w:r>
              <w:rPr>
                <w:rFonts w:hint="eastAsia" w:ascii="仿宋" w:hAnsi="仿宋" w:eastAsia="仿宋" w:cs="宋体"/>
                <w:color w:val="auto"/>
                <w:sz w:val="24"/>
              </w:rPr>
              <w:t>2</w:t>
            </w:r>
            <w:r>
              <w:rPr>
                <w:rFonts w:hint="eastAsia" w:ascii="仿宋" w:hAnsi="仿宋" w:eastAsia="仿宋"/>
                <w:color w:val="auto"/>
                <w:sz w:val="24"/>
              </w:rPr>
              <w:t>分；内容粗略</w:t>
            </w:r>
            <w:r>
              <w:rPr>
                <w:rFonts w:hint="eastAsia" w:ascii="仿宋" w:hAnsi="仿宋" w:eastAsia="仿宋" w:cs="宋体"/>
                <w:color w:val="auto"/>
                <w:sz w:val="24"/>
              </w:rPr>
              <w:t>、缺陷较多</w:t>
            </w:r>
            <w:r>
              <w:rPr>
                <w:rFonts w:hint="eastAsia" w:ascii="仿宋" w:hAnsi="仿宋" w:eastAsia="仿宋"/>
                <w:color w:val="auto"/>
                <w:sz w:val="24"/>
              </w:rPr>
              <w:t>，合理可行性较欠缺的，得</w:t>
            </w:r>
            <w:r>
              <w:rPr>
                <w:rFonts w:hint="eastAsia" w:ascii="仿宋" w:hAnsi="仿宋" w:eastAsia="仿宋" w:cs="宋体"/>
                <w:color w:val="auto"/>
                <w:sz w:val="24"/>
              </w:rPr>
              <w:t>1</w:t>
            </w:r>
            <w:r>
              <w:rPr>
                <w:rFonts w:hint="eastAsia" w:ascii="仿宋" w:hAnsi="仿宋" w:eastAsia="仿宋"/>
                <w:color w:val="auto"/>
                <w:sz w:val="24"/>
              </w:rPr>
              <w:t>分；</w:t>
            </w:r>
            <w:r>
              <w:rPr>
                <w:rFonts w:hint="eastAsia" w:ascii="仿宋" w:hAnsi="仿宋" w:eastAsia="仿宋"/>
                <w:bCs/>
                <w:color w:val="auto"/>
                <w:sz w:val="24"/>
              </w:rPr>
              <w:t>完全不符或未提供的不得分。</w:t>
            </w:r>
          </w:p>
        </w:tc>
        <w:tc>
          <w:tcPr>
            <w:tcW w:w="733"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12" w:type="dxa"/>
            <w:vMerge w:val="continue"/>
            <w:vAlign w:val="center"/>
          </w:tcPr>
          <w:p>
            <w:pPr>
              <w:spacing w:line="360" w:lineRule="exact"/>
              <w:jc w:val="center"/>
              <w:rPr>
                <w:rFonts w:ascii="仿宋" w:hAnsi="仿宋" w:eastAsia="仿宋" w:cs="宋体"/>
                <w:bCs/>
                <w:sz w:val="24"/>
              </w:rPr>
            </w:pPr>
          </w:p>
        </w:tc>
        <w:tc>
          <w:tcPr>
            <w:tcW w:w="1217" w:type="dxa"/>
            <w:vMerge w:val="continue"/>
            <w:vAlign w:val="center"/>
          </w:tcPr>
          <w:p>
            <w:pPr>
              <w:spacing w:line="360" w:lineRule="exact"/>
              <w:jc w:val="center"/>
              <w:rPr>
                <w:rFonts w:ascii="仿宋" w:hAnsi="仿宋" w:eastAsia="仿宋" w:cs="宋体"/>
                <w:bCs/>
                <w:sz w:val="24"/>
              </w:rPr>
            </w:pPr>
          </w:p>
        </w:tc>
        <w:tc>
          <w:tcPr>
            <w:tcW w:w="6864" w:type="dxa"/>
            <w:vAlign w:val="center"/>
          </w:tcPr>
          <w:p>
            <w:pPr>
              <w:pStyle w:val="280"/>
              <w:spacing w:line="276" w:lineRule="auto"/>
              <w:ind w:firstLine="0" w:firstLineChars="0"/>
              <w:rPr>
                <w:rFonts w:ascii="仿宋" w:hAnsi="仿宋" w:eastAsia="仿宋" w:cs="宋体"/>
                <w:bCs/>
                <w:color w:val="auto"/>
                <w:sz w:val="24"/>
              </w:rPr>
            </w:pPr>
            <w:r>
              <w:rPr>
                <w:rFonts w:hint="eastAsia" w:ascii="仿宋" w:hAnsi="仿宋" w:eastAsia="仿宋"/>
                <w:bCs/>
                <w:sz w:val="24"/>
              </w:rPr>
              <w:t>投标人对本项目投入的档案数字化加工软件及配套功能(扫描</w:t>
            </w:r>
            <w:r>
              <w:rPr>
                <w:rFonts w:hint="eastAsia" w:ascii="仿宋" w:hAnsi="仿宋" w:eastAsia="仿宋" w:cs="宋体"/>
                <w:bCs/>
                <w:color w:val="auto"/>
                <w:sz w:val="24"/>
              </w:rPr>
              <w:t>、录入、图像处理、数字化成果质量检测等软件)进行评分：</w:t>
            </w:r>
          </w:p>
          <w:p>
            <w:pPr>
              <w:pStyle w:val="280"/>
              <w:spacing w:line="276" w:lineRule="auto"/>
              <w:ind w:firstLine="0" w:firstLineChars="0"/>
              <w:rPr>
                <w:rFonts w:ascii="仿宋" w:hAnsi="仿宋" w:eastAsia="仿宋"/>
                <w:bCs/>
                <w:sz w:val="24"/>
              </w:rPr>
            </w:pPr>
            <w:r>
              <w:rPr>
                <w:rFonts w:hint="eastAsia" w:ascii="仿宋" w:hAnsi="仿宋" w:eastAsia="仿宋" w:cs="宋体"/>
                <w:bCs/>
                <w:color w:val="auto"/>
                <w:sz w:val="24"/>
              </w:rPr>
              <w:t>提供</w:t>
            </w:r>
            <w:r>
              <w:rPr>
                <w:rFonts w:hint="eastAsia" w:ascii="仿宋" w:hAnsi="仿宋" w:eastAsia="仿宋"/>
                <w:bCs/>
                <w:sz w:val="24"/>
              </w:rPr>
              <w:t>具有知识产权的相关软件著作权（共5类）：①档案工程图纸自动甄别扫描系统相关软件；②</w:t>
            </w:r>
            <w:r>
              <w:rPr>
                <w:rFonts w:hint="eastAsia" w:ascii="仿宋" w:hAnsi="仿宋" w:eastAsia="仿宋" w:cs="宋体"/>
                <w:bCs/>
                <w:color w:val="auto"/>
                <w:sz w:val="24"/>
              </w:rPr>
              <w:t>档案目录双机著录系统</w:t>
            </w:r>
            <w:r>
              <w:rPr>
                <w:rFonts w:hint="eastAsia" w:ascii="仿宋" w:hAnsi="仿宋" w:eastAsia="仿宋"/>
                <w:bCs/>
                <w:sz w:val="24"/>
              </w:rPr>
              <w:t>相关软件</w:t>
            </w:r>
            <w:r>
              <w:rPr>
                <w:rFonts w:hint="eastAsia" w:ascii="仿宋" w:hAnsi="仿宋" w:eastAsia="仿宋" w:cs="宋体"/>
                <w:bCs/>
                <w:color w:val="auto"/>
                <w:sz w:val="24"/>
              </w:rPr>
              <w:t>；③</w:t>
            </w:r>
            <w:r>
              <w:rPr>
                <w:rFonts w:hint="eastAsia" w:ascii="仿宋" w:hAnsi="仿宋" w:eastAsia="仿宋"/>
                <w:bCs/>
                <w:sz w:val="24"/>
              </w:rPr>
              <w:t>档</w:t>
            </w:r>
            <w:r>
              <w:rPr>
                <w:rFonts w:hint="eastAsia" w:ascii="仿宋" w:hAnsi="仿宋" w:eastAsia="仿宋" w:cs="宋体"/>
                <w:bCs/>
                <w:color w:val="auto"/>
                <w:sz w:val="24"/>
              </w:rPr>
              <w:t>案数字化加</w:t>
            </w:r>
            <w:r>
              <w:rPr>
                <w:rFonts w:hint="eastAsia" w:ascii="仿宋" w:hAnsi="仿宋" w:eastAsia="仿宋"/>
                <w:bCs/>
                <w:sz w:val="24"/>
              </w:rPr>
              <w:t>工OCR文字及图像识别系统相关软件；④双层P</w:t>
            </w:r>
            <w:r>
              <w:rPr>
                <w:rFonts w:ascii="仿宋" w:hAnsi="仿宋" w:eastAsia="仿宋"/>
                <w:bCs/>
                <w:sz w:val="24"/>
              </w:rPr>
              <w:t>DF</w:t>
            </w:r>
            <w:r>
              <w:rPr>
                <w:rFonts w:hint="eastAsia" w:ascii="仿宋" w:hAnsi="仿宋" w:eastAsia="仿宋"/>
                <w:bCs/>
                <w:sz w:val="24"/>
              </w:rPr>
              <w:t>制作系统相关软件；⑤档案数字化加工质检管理系统相关软件。每提供一类得1分，最高得</w:t>
            </w:r>
            <w:r>
              <w:rPr>
                <w:rFonts w:ascii="仿宋" w:hAnsi="仿宋" w:eastAsia="仿宋"/>
                <w:bCs/>
                <w:sz w:val="24"/>
              </w:rPr>
              <w:t>5</w:t>
            </w:r>
            <w:r>
              <w:rPr>
                <w:rFonts w:hint="eastAsia" w:ascii="仿宋" w:hAnsi="仿宋" w:eastAsia="仿宋"/>
                <w:bCs/>
                <w:sz w:val="24"/>
              </w:rPr>
              <w:t>分。</w:t>
            </w:r>
          </w:p>
          <w:p>
            <w:pPr>
              <w:spacing w:line="276" w:lineRule="auto"/>
              <w:rPr>
                <w:rFonts w:ascii="仿宋" w:hAnsi="仿宋" w:eastAsia="仿宋" w:cs="仿宋"/>
                <w:w w:val="90"/>
                <w:sz w:val="24"/>
                <w:szCs w:val="24"/>
              </w:rPr>
            </w:pPr>
            <w:r>
              <w:rPr>
                <w:rFonts w:hint="eastAsia" w:ascii="仿宋" w:hAnsi="仿宋" w:eastAsia="仿宋" w:cs="仿宋"/>
                <w:w w:val="90"/>
                <w:sz w:val="24"/>
                <w:szCs w:val="24"/>
              </w:rPr>
              <w:t>（注：若为投标人自有的，提供软件著作权登记证书复印件（著作权人为投标人）；若为投标人外购或租赁的，提供软件著作权登记证书复印件及购买（或租赁）合同（协议）复印件（合同（协议）中的买方（或承租方）为投标人、卖方（或出租方）为软件著作权人）。未按要求提供的不得分。）</w:t>
            </w:r>
          </w:p>
        </w:tc>
        <w:tc>
          <w:tcPr>
            <w:tcW w:w="733"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712" w:type="dxa"/>
            <w:vMerge w:val="restart"/>
            <w:vAlign w:val="center"/>
          </w:tcPr>
          <w:p>
            <w:pPr>
              <w:spacing w:line="360" w:lineRule="exact"/>
              <w:jc w:val="center"/>
              <w:rPr>
                <w:rFonts w:ascii="仿宋" w:hAnsi="仿宋" w:eastAsia="仿宋" w:cs="宋体"/>
                <w:bCs/>
                <w:sz w:val="24"/>
              </w:rPr>
            </w:pPr>
            <w:r>
              <w:rPr>
                <w:rFonts w:hint="eastAsia" w:ascii="仿宋" w:hAnsi="仿宋" w:eastAsia="仿宋" w:cs="宋体"/>
                <w:bCs/>
                <w:sz w:val="24"/>
              </w:rPr>
              <w:t>4</w:t>
            </w:r>
          </w:p>
        </w:tc>
        <w:tc>
          <w:tcPr>
            <w:tcW w:w="1217" w:type="dxa"/>
            <w:vMerge w:val="restart"/>
            <w:vAlign w:val="center"/>
          </w:tcPr>
          <w:p>
            <w:pPr>
              <w:spacing w:line="360" w:lineRule="exact"/>
              <w:jc w:val="center"/>
              <w:rPr>
                <w:rFonts w:ascii="仿宋" w:hAnsi="仿宋" w:eastAsia="仿宋" w:cs="宋体"/>
                <w:bCs/>
                <w:sz w:val="24"/>
              </w:rPr>
            </w:pPr>
            <w:r>
              <w:rPr>
                <w:rFonts w:ascii="仿宋" w:hAnsi="仿宋" w:eastAsia="仿宋" w:cs="宋体"/>
                <w:bCs/>
                <w:sz w:val="24"/>
              </w:rPr>
              <w:t>项目整理处理方案</w:t>
            </w:r>
          </w:p>
        </w:tc>
        <w:tc>
          <w:tcPr>
            <w:tcW w:w="6864" w:type="dxa"/>
            <w:vAlign w:val="center"/>
          </w:tcPr>
          <w:p>
            <w:pPr>
              <w:spacing w:line="276" w:lineRule="auto"/>
              <w:rPr>
                <w:rFonts w:ascii="仿宋" w:hAnsi="仿宋" w:eastAsia="仿宋" w:cs="宋体"/>
                <w:sz w:val="24"/>
                <w:szCs w:val="24"/>
              </w:rPr>
            </w:pPr>
            <w:r>
              <w:rPr>
                <w:rFonts w:hint="eastAsia" w:ascii="仿宋" w:hAnsi="仿宋" w:eastAsia="仿宋" w:cs="宋体"/>
                <w:sz w:val="24"/>
                <w:szCs w:val="24"/>
              </w:rPr>
              <w:t>根据项目需求阐述本项目单位档案分类方案：</w:t>
            </w:r>
          </w:p>
          <w:p>
            <w:pPr>
              <w:spacing w:line="276" w:lineRule="auto"/>
              <w:rPr>
                <w:rFonts w:ascii="仿宋" w:hAnsi="仿宋" w:eastAsia="仿宋" w:cs="宋体"/>
                <w:sz w:val="24"/>
                <w:szCs w:val="24"/>
              </w:rPr>
            </w:pPr>
            <w:r>
              <w:rPr>
                <w:rFonts w:hint="eastAsia" w:ascii="仿宋" w:hAnsi="仿宋" w:eastAsia="仿宋" w:cs="宋体"/>
                <w:sz w:val="24"/>
                <w:szCs w:val="24"/>
              </w:rPr>
              <w:t>1.根据投标人提供的地籍档案分类方案（包括但不限于地籍档案分类标准）进行综合评分。</w:t>
            </w:r>
            <w:r>
              <w:rPr>
                <w:rFonts w:hint="eastAsia" w:ascii="仿宋" w:hAnsi="仿宋" w:eastAsia="仿宋" w:cs="宋体"/>
                <w:sz w:val="24"/>
              </w:rPr>
              <w:t>内容阐述全面且合理可行的，得5分；内容阐述较为全面、基本合理可行的，得3分；内容阐述粗略、缺陷较多，合理可行性较欠缺的，得1分；</w:t>
            </w:r>
            <w:r>
              <w:rPr>
                <w:rFonts w:hint="eastAsia" w:ascii="仿宋" w:hAnsi="仿宋" w:eastAsia="仿宋" w:cs="宋体"/>
                <w:sz w:val="24"/>
                <w:szCs w:val="24"/>
              </w:rPr>
              <w:t>未提供相关内容阐述或不符合项目的不得分。</w:t>
            </w:r>
          </w:p>
          <w:p>
            <w:pPr>
              <w:spacing w:line="276" w:lineRule="auto"/>
              <w:rPr>
                <w:rFonts w:ascii="仿宋" w:hAnsi="仿宋" w:eastAsia="仿宋" w:cs="宋体"/>
                <w:sz w:val="24"/>
                <w:szCs w:val="24"/>
              </w:rPr>
            </w:pPr>
            <w:r>
              <w:rPr>
                <w:rFonts w:hint="eastAsia" w:ascii="仿宋" w:hAnsi="仿宋" w:eastAsia="仿宋" w:cs="宋体"/>
                <w:sz w:val="24"/>
                <w:szCs w:val="24"/>
              </w:rPr>
              <w:t>2. 根据投标人提供的规划档案分类方案（包括但不限于规划档案分类标准）进行综合评分。</w:t>
            </w:r>
            <w:r>
              <w:rPr>
                <w:rFonts w:hint="eastAsia" w:ascii="仿宋" w:hAnsi="仿宋" w:eastAsia="仿宋" w:cs="宋体"/>
                <w:sz w:val="24"/>
              </w:rPr>
              <w:t>内容阐述全面且合理可行的，得5分；内容阐述较为全面、基本合理可行的，得3分；内容阐述粗略、缺陷较多，合理可行性较欠缺的，得1分；</w:t>
            </w:r>
            <w:r>
              <w:rPr>
                <w:rFonts w:hint="eastAsia" w:ascii="仿宋" w:hAnsi="仿宋" w:eastAsia="仿宋" w:cs="宋体"/>
                <w:sz w:val="24"/>
                <w:szCs w:val="24"/>
              </w:rPr>
              <w:t>未提供相关内容阐述或不符合项目的不得分。</w:t>
            </w:r>
          </w:p>
        </w:tc>
        <w:tc>
          <w:tcPr>
            <w:tcW w:w="733"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712" w:type="dxa"/>
            <w:vMerge w:val="continue"/>
            <w:vAlign w:val="center"/>
          </w:tcPr>
          <w:p>
            <w:pPr>
              <w:spacing w:line="360" w:lineRule="exact"/>
              <w:jc w:val="center"/>
              <w:rPr>
                <w:rFonts w:ascii="仿宋" w:hAnsi="仿宋" w:eastAsia="仿宋" w:cs="宋体"/>
                <w:bCs/>
                <w:sz w:val="24"/>
              </w:rPr>
            </w:pPr>
          </w:p>
        </w:tc>
        <w:tc>
          <w:tcPr>
            <w:tcW w:w="1217" w:type="dxa"/>
            <w:vMerge w:val="continue"/>
            <w:vAlign w:val="center"/>
          </w:tcPr>
          <w:p>
            <w:pPr>
              <w:spacing w:line="360" w:lineRule="exact"/>
              <w:jc w:val="center"/>
              <w:rPr>
                <w:rFonts w:ascii="仿宋" w:hAnsi="仿宋" w:eastAsia="仿宋" w:cs="宋体"/>
                <w:bCs/>
                <w:sz w:val="24"/>
              </w:rPr>
            </w:pPr>
          </w:p>
        </w:tc>
        <w:tc>
          <w:tcPr>
            <w:tcW w:w="6864" w:type="dxa"/>
            <w:vAlign w:val="center"/>
          </w:tcPr>
          <w:p>
            <w:pPr>
              <w:spacing w:line="276" w:lineRule="auto"/>
              <w:rPr>
                <w:rFonts w:ascii="仿宋" w:hAnsi="仿宋" w:eastAsia="仿宋" w:cs="宋体"/>
                <w:sz w:val="24"/>
                <w:szCs w:val="24"/>
              </w:rPr>
            </w:pPr>
            <w:r>
              <w:rPr>
                <w:rFonts w:hint="eastAsia" w:ascii="仿宋" w:hAnsi="仿宋" w:eastAsia="仿宋" w:cs="宋体"/>
                <w:sz w:val="24"/>
                <w:szCs w:val="24"/>
              </w:rPr>
              <w:t>重、难点分析及解决方案：</w:t>
            </w:r>
          </w:p>
          <w:p>
            <w:pPr>
              <w:spacing w:line="276" w:lineRule="auto"/>
              <w:rPr>
                <w:rFonts w:ascii="仿宋" w:hAnsi="仿宋" w:eastAsia="仿宋" w:cs="宋体"/>
                <w:sz w:val="24"/>
                <w:szCs w:val="24"/>
              </w:rPr>
            </w:pPr>
            <w:r>
              <w:rPr>
                <w:rFonts w:hint="eastAsia" w:ascii="仿宋" w:hAnsi="仿宋" w:eastAsia="仿宋" w:cs="宋体"/>
                <w:sz w:val="24"/>
                <w:szCs w:val="24"/>
              </w:rPr>
              <w:t>1.根据投标人针对本项目地籍档案在实施过程中重点、难点的分析情况以及相对应的解决方案进行综合评分。内容阐述详细合理，可行性强的，得4分；内容阐述较为详细合理，具有一定可行性的，得2分；内容阐述粗略或偏离较大，合理性、可行性较欠缺的，得1分；未提供相关内容阐述或不符合项目的不得分。</w:t>
            </w:r>
          </w:p>
          <w:p>
            <w:pPr>
              <w:spacing w:line="276" w:lineRule="auto"/>
              <w:rPr>
                <w:rFonts w:ascii="仿宋" w:hAnsi="仿宋" w:eastAsia="仿宋" w:cs="宋体"/>
                <w:sz w:val="24"/>
                <w:szCs w:val="24"/>
              </w:rPr>
            </w:pPr>
            <w:r>
              <w:rPr>
                <w:rFonts w:hint="eastAsia" w:ascii="仿宋" w:hAnsi="仿宋" w:eastAsia="仿宋" w:cs="宋体"/>
                <w:sz w:val="24"/>
                <w:szCs w:val="24"/>
              </w:rPr>
              <w:t>2.根据投标人针对本项目规划档案在实施过程中重点、难点的分析情况以及相对应的解决方案进行综合评分。内容阐述详细合理，可行性强的，得3分；内容阐述较为详细合理，具有一定可行性的，得2分；内容阐述粗略或偏离较大，合理性、可行性较欠缺的，得1分；未提供相关内容阐述或不符合项目的不得分。</w:t>
            </w:r>
          </w:p>
        </w:tc>
        <w:tc>
          <w:tcPr>
            <w:tcW w:w="733"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712" w:type="dxa"/>
            <w:vMerge w:val="continue"/>
            <w:vAlign w:val="center"/>
          </w:tcPr>
          <w:p>
            <w:pPr>
              <w:spacing w:line="360" w:lineRule="exact"/>
              <w:jc w:val="center"/>
              <w:rPr>
                <w:rFonts w:ascii="仿宋" w:hAnsi="仿宋" w:eastAsia="仿宋" w:cs="宋体"/>
                <w:bCs/>
                <w:sz w:val="24"/>
              </w:rPr>
            </w:pPr>
          </w:p>
        </w:tc>
        <w:tc>
          <w:tcPr>
            <w:tcW w:w="1217" w:type="dxa"/>
            <w:vMerge w:val="continue"/>
            <w:vAlign w:val="center"/>
          </w:tcPr>
          <w:p>
            <w:pPr>
              <w:spacing w:line="360" w:lineRule="exact"/>
              <w:jc w:val="center"/>
              <w:rPr>
                <w:rFonts w:ascii="仿宋" w:hAnsi="仿宋" w:eastAsia="仿宋" w:cs="宋体"/>
                <w:bCs/>
                <w:sz w:val="24"/>
              </w:rPr>
            </w:pPr>
          </w:p>
        </w:tc>
        <w:tc>
          <w:tcPr>
            <w:tcW w:w="6864" w:type="dxa"/>
            <w:vAlign w:val="center"/>
          </w:tcPr>
          <w:p>
            <w:pPr>
              <w:spacing w:line="276" w:lineRule="auto"/>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档案规范化整理：</w:t>
            </w:r>
          </w:p>
          <w:p>
            <w:pPr>
              <w:spacing w:line="276" w:lineRule="auto"/>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1.根据投标人提供的地籍档案规范化整理方案（包括但不限于地籍档案在不同类别、不同时期的规范化整理的操作流程、规范要求）进行综合评分。</w:t>
            </w:r>
            <w:r>
              <w:rPr>
                <w:rFonts w:hint="eastAsia" w:ascii="仿宋" w:hAnsi="仿宋" w:eastAsia="仿宋" w:cs="仿宋"/>
                <w:color w:val="000000" w:themeColor="text1"/>
                <w:sz w:val="24"/>
              </w:rPr>
              <w:t>内容全面</w:t>
            </w:r>
            <w:r>
              <w:rPr>
                <w:rFonts w:hint="eastAsia" w:ascii="仿宋" w:hAnsi="仿宋" w:eastAsia="仿宋"/>
                <w:color w:val="000000" w:themeColor="text1"/>
                <w:sz w:val="24"/>
              </w:rPr>
              <w:t>且合理可行的，得</w:t>
            </w:r>
            <w:r>
              <w:rPr>
                <w:rFonts w:hint="eastAsia" w:ascii="仿宋" w:hAnsi="仿宋" w:eastAsia="仿宋" w:cs="宋体"/>
                <w:color w:val="000000" w:themeColor="text1"/>
                <w:sz w:val="24"/>
              </w:rPr>
              <w:t>5</w:t>
            </w:r>
            <w:r>
              <w:rPr>
                <w:rFonts w:hint="eastAsia" w:ascii="仿宋" w:hAnsi="仿宋" w:eastAsia="仿宋"/>
                <w:color w:val="000000" w:themeColor="text1"/>
                <w:sz w:val="24"/>
              </w:rPr>
              <w:t>分；部分内容有欠缺但基本全面，基本合理可行的，得</w:t>
            </w:r>
            <w:r>
              <w:rPr>
                <w:rFonts w:hint="eastAsia" w:ascii="仿宋" w:hAnsi="仿宋" w:eastAsia="仿宋" w:cs="宋体"/>
                <w:color w:val="000000" w:themeColor="text1"/>
                <w:sz w:val="24"/>
              </w:rPr>
              <w:t>3</w:t>
            </w:r>
            <w:r>
              <w:rPr>
                <w:rFonts w:hint="eastAsia" w:ascii="仿宋" w:hAnsi="仿宋" w:eastAsia="仿宋"/>
                <w:color w:val="000000" w:themeColor="text1"/>
                <w:sz w:val="24"/>
              </w:rPr>
              <w:t>分；内容粗略</w:t>
            </w:r>
            <w:r>
              <w:rPr>
                <w:rFonts w:hint="eastAsia" w:ascii="仿宋" w:hAnsi="仿宋" w:eastAsia="仿宋" w:cs="宋体"/>
                <w:color w:val="000000" w:themeColor="text1"/>
                <w:sz w:val="24"/>
              </w:rPr>
              <w:t>、缺陷较多</w:t>
            </w:r>
            <w:r>
              <w:rPr>
                <w:rFonts w:hint="eastAsia" w:ascii="仿宋" w:hAnsi="仿宋" w:eastAsia="仿宋"/>
                <w:color w:val="000000" w:themeColor="text1"/>
                <w:sz w:val="24"/>
              </w:rPr>
              <w:t>，合理可行性较欠缺的，得</w:t>
            </w:r>
            <w:r>
              <w:rPr>
                <w:rFonts w:hint="eastAsia" w:ascii="仿宋" w:hAnsi="仿宋" w:eastAsia="仿宋" w:cs="宋体"/>
                <w:color w:val="000000" w:themeColor="text1"/>
                <w:sz w:val="24"/>
              </w:rPr>
              <w:t>1</w:t>
            </w:r>
            <w:r>
              <w:rPr>
                <w:rFonts w:hint="eastAsia" w:ascii="仿宋" w:hAnsi="仿宋" w:eastAsia="仿宋"/>
                <w:color w:val="000000" w:themeColor="text1"/>
                <w:sz w:val="24"/>
              </w:rPr>
              <w:t>分；</w:t>
            </w:r>
            <w:r>
              <w:rPr>
                <w:rFonts w:hint="eastAsia" w:ascii="仿宋" w:hAnsi="仿宋" w:eastAsia="仿宋"/>
                <w:bCs/>
                <w:color w:val="000000" w:themeColor="text1"/>
                <w:sz w:val="24"/>
              </w:rPr>
              <w:t>完全不符或未提供的不得分。</w:t>
            </w:r>
          </w:p>
          <w:p>
            <w:pPr>
              <w:spacing w:line="276" w:lineRule="auto"/>
              <w:rPr>
                <w:rFonts w:ascii="仿宋" w:hAnsi="仿宋" w:eastAsia="仿宋" w:cs="宋体"/>
                <w:smallCaps/>
                <w:sz w:val="24"/>
                <w:szCs w:val="24"/>
              </w:rPr>
            </w:pPr>
            <w:r>
              <w:rPr>
                <w:rFonts w:hint="eastAsia" w:ascii="仿宋" w:hAnsi="仿宋" w:eastAsia="仿宋" w:cs="宋体"/>
                <w:smallCaps/>
                <w:color w:val="000000" w:themeColor="text1"/>
                <w:sz w:val="24"/>
                <w:szCs w:val="24"/>
              </w:rPr>
              <w:t>2.</w:t>
            </w:r>
            <w:r>
              <w:rPr>
                <w:rFonts w:hint="eastAsia" w:ascii="仿宋" w:hAnsi="仿宋" w:eastAsia="仿宋" w:cs="宋体"/>
                <w:color w:val="000000" w:themeColor="text1"/>
                <w:sz w:val="24"/>
                <w:szCs w:val="24"/>
              </w:rPr>
              <w:t>根据投标人提供的规划档案规范化整理方案（包括但不限于规划档案在不同类别、不同时期的规范化整理的操作流程、规范要求）进行综合评分。</w:t>
            </w:r>
            <w:r>
              <w:rPr>
                <w:rFonts w:hint="eastAsia" w:ascii="仿宋" w:hAnsi="仿宋" w:eastAsia="仿宋" w:cs="仿宋"/>
                <w:color w:val="000000" w:themeColor="text1"/>
                <w:sz w:val="24"/>
              </w:rPr>
              <w:t>内容全面</w:t>
            </w:r>
            <w:r>
              <w:rPr>
                <w:rFonts w:hint="eastAsia" w:ascii="仿宋" w:hAnsi="仿宋" w:eastAsia="仿宋"/>
                <w:color w:val="000000" w:themeColor="text1"/>
                <w:sz w:val="24"/>
              </w:rPr>
              <w:t>且合理可行的，得</w:t>
            </w:r>
            <w:r>
              <w:rPr>
                <w:rFonts w:hint="eastAsia" w:ascii="仿宋" w:hAnsi="仿宋" w:eastAsia="仿宋" w:cs="宋体"/>
                <w:color w:val="000000" w:themeColor="text1"/>
                <w:sz w:val="24"/>
              </w:rPr>
              <w:t>5</w:t>
            </w:r>
            <w:r>
              <w:rPr>
                <w:rFonts w:hint="eastAsia" w:ascii="仿宋" w:hAnsi="仿宋" w:eastAsia="仿宋"/>
                <w:color w:val="000000" w:themeColor="text1"/>
                <w:sz w:val="24"/>
              </w:rPr>
              <w:t>分；部分内容有欠缺但基本全面，基本合理可行的，得</w:t>
            </w:r>
            <w:r>
              <w:rPr>
                <w:rFonts w:hint="eastAsia" w:ascii="仿宋" w:hAnsi="仿宋" w:eastAsia="仿宋" w:cs="宋体"/>
                <w:color w:val="000000" w:themeColor="text1"/>
                <w:sz w:val="24"/>
              </w:rPr>
              <w:t>3</w:t>
            </w:r>
            <w:r>
              <w:rPr>
                <w:rFonts w:hint="eastAsia" w:ascii="仿宋" w:hAnsi="仿宋" w:eastAsia="仿宋"/>
                <w:color w:val="000000" w:themeColor="text1"/>
                <w:sz w:val="24"/>
              </w:rPr>
              <w:t>分；内容粗略</w:t>
            </w:r>
            <w:r>
              <w:rPr>
                <w:rFonts w:hint="eastAsia" w:ascii="仿宋" w:hAnsi="仿宋" w:eastAsia="仿宋" w:cs="宋体"/>
                <w:color w:val="000000" w:themeColor="text1"/>
                <w:sz w:val="24"/>
              </w:rPr>
              <w:t>、缺陷较多</w:t>
            </w:r>
            <w:r>
              <w:rPr>
                <w:rFonts w:hint="eastAsia" w:ascii="仿宋" w:hAnsi="仿宋" w:eastAsia="仿宋"/>
                <w:color w:val="000000" w:themeColor="text1"/>
                <w:sz w:val="24"/>
              </w:rPr>
              <w:t>，合理可行性较欠缺的，得</w:t>
            </w:r>
            <w:r>
              <w:rPr>
                <w:rFonts w:hint="eastAsia" w:ascii="仿宋" w:hAnsi="仿宋" w:eastAsia="仿宋" w:cs="宋体"/>
                <w:color w:val="000000" w:themeColor="text1"/>
                <w:sz w:val="24"/>
              </w:rPr>
              <w:t>1</w:t>
            </w:r>
            <w:r>
              <w:rPr>
                <w:rFonts w:hint="eastAsia" w:ascii="仿宋" w:hAnsi="仿宋" w:eastAsia="仿宋"/>
                <w:color w:val="000000" w:themeColor="text1"/>
                <w:sz w:val="24"/>
              </w:rPr>
              <w:t>分；</w:t>
            </w:r>
            <w:r>
              <w:rPr>
                <w:rFonts w:hint="eastAsia" w:ascii="仿宋" w:hAnsi="仿宋" w:eastAsia="仿宋"/>
                <w:bCs/>
                <w:color w:val="000000" w:themeColor="text1"/>
                <w:sz w:val="24"/>
              </w:rPr>
              <w:t>完全不符或未提供的不得分。</w:t>
            </w:r>
          </w:p>
        </w:tc>
        <w:tc>
          <w:tcPr>
            <w:tcW w:w="733"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12" w:type="dxa"/>
            <w:vMerge w:val="restart"/>
            <w:vAlign w:val="center"/>
          </w:tcPr>
          <w:p>
            <w:pPr>
              <w:spacing w:line="360" w:lineRule="exact"/>
              <w:jc w:val="center"/>
              <w:rPr>
                <w:rFonts w:ascii="仿宋" w:hAnsi="仿宋" w:eastAsia="仿宋" w:cs="宋体"/>
                <w:bCs/>
                <w:sz w:val="24"/>
              </w:rPr>
            </w:pPr>
            <w:r>
              <w:rPr>
                <w:rFonts w:hint="eastAsia" w:ascii="仿宋" w:hAnsi="仿宋" w:eastAsia="仿宋" w:cs="宋体"/>
                <w:bCs/>
                <w:sz w:val="24"/>
              </w:rPr>
              <w:t>5</w:t>
            </w:r>
          </w:p>
        </w:tc>
        <w:tc>
          <w:tcPr>
            <w:tcW w:w="1217" w:type="dxa"/>
            <w:vMerge w:val="restart"/>
            <w:vAlign w:val="center"/>
          </w:tcPr>
          <w:p>
            <w:pPr>
              <w:spacing w:line="360" w:lineRule="exact"/>
              <w:jc w:val="center"/>
              <w:rPr>
                <w:rFonts w:ascii="仿宋" w:hAnsi="仿宋" w:eastAsia="仿宋" w:cs="宋体"/>
                <w:bCs/>
                <w:sz w:val="24"/>
              </w:rPr>
            </w:pPr>
            <w:r>
              <w:rPr>
                <w:rFonts w:ascii="仿宋" w:hAnsi="仿宋" w:eastAsia="仿宋" w:cs="宋体"/>
                <w:bCs/>
                <w:sz w:val="24"/>
              </w:rPr>
              <w:t>项目质量控制及系统对接</w:t>
            </w:r>
          </w:p>
        </w:tc>
        <w:tc>
          <w:tcPr>
            <w:tcW w:w="6864" w:type="dxa"/>
            <w:vAlign w:val="center"/>
          </w:tcPr>
          <w:p>
            <w:pPr>
              <w:spacing w:line="276" w:lineRule="auto"/>
              <w:rPr>
                <w:rFonts w:ascii="仿宋" w:hAnsi="仿宋" w:eastAsia="仿宋" w:cs="宋体"/>
                <w:sz w:val="24"/>
                <w:szCs w:val="24"/>
              </w:rPr>
            </w:pPr>
            <w:r>
              <w:rPr>
                <w:rFonts w:hint="eastAsia" w:ascii="仿宋" w:hAnsi="仿宋" w:eastAsia="仿宋"/>
                <w:sz w:val="24"/>
                <w:szCs w:val="24"/>
              </w:rPr>
              <w:t>项目质量控制：档案实体整理工作流程中，对年代久远档案的处理，有明确的档案修复修裱质量控制措施；对图纸等特殊纸张的整理有明确的档案整理质量控制措施，符合相关规定和要求。</w:t>
            </w:r>
            <w:r>
              <w:rPr>
                <w:rFonts w:hint="eastAsia" w:ascii="仿宋" w:hAnsi="仿宋" w:eastAsia="仿宋"/>
                <w:bCs/>
                <w:sz w:val="24"/>
              </w:rPr>
              <w:t>根据投标人提供的</w:t>
            </w:r>
            <w:r>
              <w:rPr>
                <w:rFonts w:hint="eastAsia" w:ascii="仿宋" w:hAnsi="仿宋" w:eastAsia="仿宋"/>
                <w:sz w:val="24"/>
                <w:szCs w:val="24"/>
              </w:rPr>
              <w:t>项目质量控制</w:t>
            </w:r>
            <w:r>
              <w:rPr>
                <w:rFonts w:hint="eastAsia" w:ascii="仿宋" w:hAnsi="仿宋" w:eastAsia="仿宋"/>
                <w:bCs/>
                <w:sz w:val="24"/>
              </w:rPr>
              <w:t>方案进行综合评分。</w:t>
            </w:r>
            <w:r>
              <w:rPr>
                <w:rFonts w:hint="eastAsia" w:ascii="仿宋" w:hAnsi="仿宋" w:eastAsia="仿宋" w:cs="仿宋"/>
                <w:sz w:val="24"/>
              </w:rPr>
              <w:t>内容全面</w:t>
            </w:r>
            <w:r>
              <w:rPr>
                <w:rFonts w:hint="eastAsia" w:ascii="仿宋" w:hAnsi="仿宋" w:eastAsia="仿宋"/>
                <w:sz w:val="24"/>
              </w:rPr>
              <w:t>且合理可行的，得</w:t>
            </w:r>
            <w:r>
              <w:rPr>
                <w:rFonts w:hint="eastAsia" w:ascii="仿宋" w:hAnsi="仿宋" w:eastAsia="仿宋" w:cs="宋体"/>
                <w:sz w:val="24"/>
              </w:rPr>
              <w:t>3</w:t>
            </w:r>
            <w:r>
              <w:rPr>
                <w:rFonts w:hint="eastAsia" w:ascii="仿宋" w:hAnsi="仿宋" w:eastAsia="仿宋"/>
                <w:sz w:val="24"/>
              </w:rPr>
              <w:t>分；部分内容有欠缺但基本全面，基本合理可行的，得</w:t>
            </w:r>
            <w:r>
              <w:rPr>
                <w:rFonts w:hint="eastAsia" w:ascii="仿宋" w:hAnsi="仿宋" w:eastAsia="仿宋" w:cs="宋体"/>
                <w:sz w:val="24"/>
              </w:rPr>
              <w:t>2</w:t>
            </w:r>
            <w:r>
              <w:rPr>
                <w:rFonts w:hint="eastAsia" w:ascii="仿宋" w:hAnsi="仿宋" w:eastAsia="仿宋"/>
                <w:sz w:val="24"/>
              </w:rPr>
              <w:t>分；内容粗略</w:t>
            </w:r>
            <w:r>
              <w:rPr>
                <w:rFonts w:hint="eastAsia" w:ascii="仿宋" w:hAnsi="仿宋" w:eastAsia="仿宋" w:cs="宋体"/>
                <w:sz w:val="24"/>
              </w:rPr>
              <w:t>、缺陷较多</w:t>
            </w:r>
            <w:r>
              <w:rPr>
                <w:rFonts w:hint="eastAsia" w:ascii="仿宋" w:hAnsi="仿宋" w:eastAsia="仿宋"/>
                <w:sz w:val="24"/>
              </w:rPr>
              <w:t>，合理可行性较欠缺的，得</w:t>
            </w:r>
            <w:r>
              <w:rPr>
                <w:rFonts w:hint="eastAsia" w:ascii="仿宋" w:hAnsi="仿宋" w:eastAsia="仿宋" w:cs="宋体"/>
                <w:sz w:val="24"/>
              </w:rPr>
              <w:t>1</w:t>
            </w:r>
            <w:r>
              <w:rPr>
                <w:rFonts w:hint="eastAsia" w:ascii="仿宋" w:hAnsi="仿宋" w:eastAsia="仿宋"/>
                <w:sz w:val="24"/>
              </w:rPr>
              <w:t>分；</w:t>
            </w:r>
            <w:r>
              <w:rPr>
                <w:rFonts w:hint="eastAsia" w:ascii="仿宋" w:hAnsi="仿宋" w:eastAsia="仿宋"/>
                <w:bCs/>
                <w:sz w:val="24"/>
              </w:rPr>
              <w:t>完全不符或未提供的不得分。</w:t>
            </w:r>
          </w:p>
        </w:tc>
        <w:tc>
          <w:tcPr>
            <w:tcW w:w="733"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12" w:type="dxa"/>
            <w:vMerge w:val="continue"/>
            <w:vAlign w:val="center"/>
          </w:tcPr>
          <w:p>
            <w:pPr>
              <w:spacing w:line="360" w:lineRule="exact"/>
              <w:jc w:val="center"/>
              <w:rPr>
                <w:rFonts w:ascii="仿宋" w:hAnsi="仿宋" w:eastAsia="仿宋" w:cs="宋体"/>
                <w:bCs/>
                <w:sz w:val="24"/>
              </w:rPr>
            </w:pPr>
          </w:p>
        </w:tc>
        <w:tc>
          <w:tcPr>
            <w:tcW w:w="1217" w:type="dxa"/>
            <w:vMerge w:val="continue"/>
            <w:vAlign w:val="center"/>
          </w:tcPr>
          <w:p>
            <w:pPr>
              <w:spacing w:line="360" w:lineRule="exact"/>
              <w:jc w:val="center"/>
              <w:rPr>
                <w:rFonts w:ascii="仿宋" w:hAnsi="仿宋" w:eastAsia="仿宋" w:cs="宋体"/>
                <w:bCs/>
                <w:sz w:val="24"/>
              </w:rPr>
            </w:pPr>
          </w:p>
        </w:tc>
        <w:tc>
          <w:tcPr>
            <w:tcW w:w="6864" w:type="dxa"/>
            <w:vAlign w:val="center"/>
          </w:tcPr>
          <w:p>
            <w:pPr>
              <w:spacing w:line="276" w:lineRule="auto"/>
              <w:rPr>
                <w:rFonts w:ascii="仿宋" w:hAnsi="仿宋" w:eastAsia="仿宋" w:cs="宋体"/>
                <w:sz w:val="24"/>
                <w:szCs w:val="24"/>
              </w:rPr>
            </w:pPr>
            <w:r>
              <w:rPr>
                <w:rFonts w:hint="eastAsia" w:ascii="仿宋" w:hAnsi="仿宋" w:eastAsia="仿宋" w:cs="宋体"/>
                <w:sz w:val="24"/>
                <w:szCs w:val="24"/>
              </w:rPr>
              <w:t>提供具有知识产权的软件著作权：历史档案修复系统相关软件，得2分。</w:t>
            </w:r>
            <w:r>
              <w:rPr>
                <w:rFonts w:hint="eastAsia" w:ascii="仿宋" w:hAnsi="仿宋" w:eastAsia="仿宋" w:cs="仿宋"/>
                <w:w w:val="90"/>
                <w:sz w:val="24"/>
                <w:szCs w:val="24"/>
              </w:rPr>
              <w:t>（注：若为投标人自有的，提供软件著作权登记证书复印件（著作权人为投标人）；若为投标人外购或租赁的，提供软件著作权登记证书复印件及购买（或租赁）合同（协议）复印件（合同（协议）中的买方（或承租方）为投标人、卖方（或出租方）为软件著作权人）。未按要求提供的不得分。）</w:t>
            </w:r>
          </w:p>
        </w:tc>
        <w:tc>
          <w:tcPr>
            <w:tcW w:w="733"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712" w:type="dxa"/>
            <w:vMerge w:val="continue"/>
            <w:vAlign w:val="center"/>
          </w:tcPr>
          <w:p>
            <w:pPr>
              <w:spacing w:line="360" w:lineRule="exact"/>
              <w:jc w:val="center"/>
              <w:rPr>
                <w:rFonts w:ascii="仿宋" w:hAnsi="仿宋" w:eastAsia="仿宋" w:cs="宋体"/>
                <w:bCs/>
                <w:sz w:val="24"/>
              </w:rPr>
            </w:pPr>
          </w:p>
        </w:tc>
        <w:tc>
          <w:tcPr>
            <w:tcW w:w="1217" w:type="dxa"/>
            <w:vMerge w:val="continue"/>
            <w:vAlign w:val="center"/>
          </w:tcPr>
          <w:p>
            <w:pPr>
              <w:spacing w:line="360" w:lineRule="exact"/>
              <w:jc w:val="center"/>
              <w:rPr>
                <w:rFonts w:ascii="仿宋" w:hAnsi="仿宋" w:eastAsia="仿宋" w:cs="宋体"/>
                <w:bCs/>
                <w:sz w:val="24"/>
              </w:rPr>
            </w:pPr>
          </w:p>
        </w:tc>
        <w:tc>
          <w:tcPr>
            <w:tcW w:w="6864" w:type="dxa"/>
            <w:vAlign w:val="center"/>
          </w:tcPr>
          <w:p>
            <w:pPr>
              <w:spacing w:line="276" w:lineRule="auto"/>
              <w:rPr>
                <w:rFonts w:ascii="仿宋" w:hAnsi="仿宋" w:eastAsia="仿宋" w:cs="宋体"/>
                <w:sz w:val="24"/>
                <w:szCs w:val="24"/>
              </w:rPr>
            </w:pPr>
            <w:r>
              <w:rPr>
                <w:rFonts w:hint="eastAsia" w:ascii="仿宋" w:hAnsi="仿宋" w:eastAsia="仿宋"/>
                <w:sz w:val="24"/>
                <w:szCs w:val="24"/>
              </w:rPr>
              <w:t>系统对接：投标人的档案系统能实现与单位“一张图”档案管理系统实现无缝对接，实现海量、批量挂接。提供具有知识产权的相关</w:t>
            </w:r>
            <w:r>
              <w:rPr>
                <w:rFonts w:hint="eastAsia" w:ascii="仿宋" w:hAnsi="仿宋" w:eastAsia="仿宋" w:cs="宋体"/>
                <w:sz w:val="24"/>
                <w:szCs w:val="24"/>
              </w:rPr>
              <w:t>软件著作权（共5类）：①</w:t>
            </w:r>
            <w:r>
              <w:rPr>
                <w:rFonts w:hint="eastAsia" w:ascii="仿宋" w:hAnsi="仿宋" w:eastAsia="仿宋"/>
                <w:sz w:val="24"/>
                <w:szCs w:val="24"/>
              </w:rPr>
              <w:t>档案数据批量重命名系统</w:t>
            </w:r>
            <w:r>
              <w:rPr>
                <w:rFonts w:hint="eastAsia" w:ascii="仿宋" w:hAnsi="仿宋" w:eastAsia="仿宋"/>
                <w:bCs/>
                <w:sz w:val="24"/>
              </w:rPr>
              <w:t>相关软件</w:t>
            </w:r>
            <w:r>
              <w:rPr>
                <w:rFonts w:hint="eastAsia" w:ascii="仿宋" w:hAnsi="仿宋" w:eastAsia="仿宋"/>
                <w:sz w:val="24"/>
                <w:szCs w:val="24"/>
              </w:rPr>
              <w:t>；②</w:t>
            </w:r>
            <w:r>
              <w:rPr>
                <w:rFonts w:hint="eastAsia" w:ascii="仿宋" w:hAnsi="仿宋" w:eastAsia="仿宋" w:cs="宋体"/>
                <w:sz w:val="24"/>
                <w:szCs w:val="24"/>
              </w:rPr>
              <w:t>图纸档案数字化批量智能拼接系统</w:t>
            </w:r>
            <w:r>
              <w:rPr>
                <w:rFonts w:hint="eastAsia" w:ascii="仿宋" w:hAnsi="仿宋" w:eastAsia="仿宋"/>
                <w:bCs/>
                <w:sz w:val="24"/>
              </w:rPr>
              <w:t>相关软件</w:t>
            </w:r>
            <w:r>
              <w:rPr>
                <w:rFonts w:hint="eastAsia" w:ascii="仿宋" w:hAnsi="仿宋" w:eastAsia="仿宋"/>
                <w:sz w:val="24"/>
                <w:szCs w:val="24"/>
              </w:rPr>
              <w:t>；③档案数据多层PDF智能转换系统</w:t>
            </w:r>
            <w:r>
              <w:rPr>
                <w:rFonts w:hint="eastAsia" w:ascii="仿宋" w:hAnsi="仿宋" w:eastAsia="仿宋"/>
                <w:bCs/>
                <w:sz w:val="24"/>
              </w:rPr>
              <w:t>相关软件</w:t>
            </w:r>
            <w:r>
              <w:rPr>
                <w:rFonts w:hint="eastAsia" w:ascii="仿宋" w:hAnsi="仿宋" w:eastAsia="仿宋"/>
                <w:sz w:val="24"/>
                <w:szCs w:val="24"/>
              </w:rPr>
              <w:t>；④档案数据批量挂接系统</w:t>
            </w:r>
            <w:r>
              <w:rPr>
                <w:rFonts w:hint="eastAsia" w:ascii="仿宋" w:hAnsi="仿宋" w:eastAsia="仿宋"/>
                <w:bCs/>
                <w:sz w:val="24"/>
              </w:rPr>
              <w:t>相关软件</w:t>
            </w:r>
            <w:r>
              <w:rPr>
                <w:rFonts w:hint="eastAsia" w:ascii="仿宋" w:hAnsi="仿宋" w:eastAsia="仿宋"/>
                <w:sz w:val="24"/>
                <w:szCs w:val="24"/>
              </w:rPr>
              <w:t>；⑤档案数据智能分类系统</w:t>
            </w:r>
            <w:r>
              <w:rPr>
                <w:rFonts w:hint="eastAsia" w:ascii="仿宋" w:hAnsi="仿宋" w:eastAsia="仿宋"/>
                <w:bCs/>
                <w:sz w:val="24"/>
              </w:rPr>
              <w:t>相关软件</w:t>
            </w:r>
            <w:r>
              <w:rPr>
                <w:rFonts w:hint="eastAsia" w:ascii="仿宋" w:hAnsi="仿宋" w:eastAsia="仿宋" w:cs="宋体"/>
                <w:sz w:val="24"/>
                <w:szCs w:val="24"/>
              </w:rPr>
              <w:t>。</w:t>
            </w:r>
            <w:r>
              <w:rPr>
                <w:rFonts w:hint="eastAsia" w:ascii="仿宋" w:hAnsi="仿宋" w:eastAsia="仿宋"/>
                <w:bCs/>
                <w:sz w:val="24"/>
              </w:rPr>
              <w:t>每提供一类得2分，最高得10分。</w:t>
            </w:r>
            <w:r>
              <w:rPr>
                <w:rFonts w:hint="eastAsia" w:ascii="仿宋" w:hAnsi="仿宋" w:eastAsia="仿宋" w:cs="仿宋"/>
                <w:w w:val="90"/>
                <w:sz w:val="24"/>
                <w:szCs w:val="24"/>
              </w:rPr>
              <w:t>（注：若为投标人自有的，提供软件著作权登记证书复印件（著作权人为投标人）；若为投标人外购或租赁的，提供软件著作权登记证书复印件及购买（或租赁）合同（协议）复印件（合同（协议）中的买方（或承租方）为投标人、卖方（或出租方）为软件著作权人）。未按要求提供的不得分。）</w:t>
            </w:r>
          </w:p>
        </w:tc>
        <w:tc>
          <w:tcPr>
            <w:tcW w:w="733"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12" w:type="dxa"/>
            <w:vMerge w:val="restart"/>
            <w:vAlign w:val="center"/>
          </w:tcPr>
          <w:p>
            <w:pPr>
              <w:spacing w:line="360" w:lineRule="exact"/>
              <w:jc w:val="center"/>
              <w:rPr>
                <w:rFonts w:ascii="仿宋" w:hAnsi="仿宋" w:eastAsia="仿宋" w:cs="宋体"/>
                <w:bCs/>
                <w:sz w:val="24"/>
              </w:rPr>
            </w:pPr>
            <w:r>
              <w:rPr>
                <w:rFonts w:hint="eastAsia" w:ascii="仿宋" w:hAnsi="仿宋" w:eastAsia="仿宋" w:cs="宋体"/>
                <w:bCs/>
                <w:sz w:val="24"/>
              </w:rPr>
              <w:t>6</w:t>
            </w:r>
          </w:p>
        </w:tc>
        <w:tc>
          <w:tcPr>
            <w:tcW w:w="1217" w:type="dxa"/>
            <w:vMerge w:val="restart"/>
            <w:vAlign w:val="center"/>
          </w:tcPr>
          <w:p>
            <w:pPr>
              <w:spacing w:line="360" w:lineRule="exact"/>
              <w:jc w:val="center"/>
              <w:rPr>
                <w:rFonts w:ascii="仿宋" w:hAnsi="仿宋" w:eastAsia="仿宋" w:cs="宋体"/>
                <w:bCs/>
                <w:sz w:val="24"/>
              </w:rPr>
            </w:pPr>
            <w:r>
              <w:rPr>
                <w:rFonts w:ascii="仿宋" w:hAnsi="仿宋" w:eastAsia="仿宋" w:cs="宋体"/>
                <w:bCs/>
                <w:sz w:val="24"/>
              </w:rPr>
              <w:t>安全和业务能力保证方案</w:t>
            </w:r>
          </w:p>
        </w:tc>
        <w:tc>
          <w:tcPr>
            <w:tcW w:w="6864" w:type="dxa"/>
            <w:vAlign w:val="center"/>
          </w:tcPr>
          <w:p>
            <w:pPr>
              <w:spacing w:line="276" w:lineRule="auto"/>
              <w:rPr>
                <w:rFonts w:ascii="仿宋" w:hAnsi="仿宋" w:eastAsia="仿宋"/>
                <w:sz w:val="24"/>
                <w:szCs w:val="24"/>
              </w:rPr>
            </w:pPr>
            <w:r>
              <w:rPr>
                <w:rFonts w:hint="eastAsia" w:ascii="仿宋" w:hAnsi="仿宋" w:eastAsia="仿宋"/>
                <w:sz w:val="24"/>
                <w:szCs w:val="24"/>
              </w:rPr>
              <w:t>根据投标人提供的安全保证方案（包括档案实体安全、信息安全保密、数字化成果安全防范的管理措施）进行综合评分。</w:t>
            </w:r>
            <w:r>
              <w:rPr>
                <w:rFonts w:hint="eastAsia" w:ascii="仿宋" w:hAnsi="仿宋" w:eastAsia="仿宋" w:cs="仿宋"/>
                <w:sz w:val="24"/>
              </w:rPr>
              <w:t>内容全面</w:t>
            </w:r>
            <w:r>
              <w:rPr>
                <w:rFonts w:hint="eastAsia" w:ascii="仿宋" w:hAnsi="仿宋" w:eastAsia="仿宋"/>
                <w:sz w:val="24"/>
              </w:rPr>
              <w:t>且合理可行的，得</w:t>
            </w:r>
            <w:r>
              <w:rPr>
                <w:rFonts w:hint="eastAsia" w:ascii="仿宋" w:hAnsi="仿宋" w:eastAsia="仿宋" w:cs="宋体"/>
                <w:sz w:val="24"/>
              </w:rPr>
              <w:t>5</w:t>
            </w:r>
            <w:r>
              <w:rPr>
                <w:rFonts w:hint="eastAsia" w:ascii="仿宋" w:hAnsi="仿宋" w:eastAsia="仿宋"/>
                <w:sz w:val="24"/>
              </w:rPr>
              <w:t>分；部分内容有欠缺但基本全面，基本合理可行的，得</w:t>
            </w:r>
            <w:r>
              <w:rPr>
                <w:rFonts w:hint="eastAsia" w:ascii="仿宋" w:hAnsi="仿宋" w:eastAsia="仿宋" w:cs="宋体"/>
                <w:sz w:val="24"/>
              </w:rPr>
              <w:t>3</w:t>
            </w:r>
            <w:r>
              <w:rPr>
                <w:rFonts w:hint="eastAsia" w:ascii="仿宋" w:hAnsi="仿宋" w:eastAsia="仿宋"/>
                <w:sz w:val="24"/>
              </w:rPr>
              <w:t>分；内容粗略</w:t>
            </w:r>
            <w:r>
              <w:rPr>
                <w:rFonts w:hint="eastAsia" w:ascii="仿宋" w:hAnsi="仿宋" w:eastAsia="仿宋" w:cs="宋体"/>
                <w:sz w:val="24"/>
              </w:rPr>
              <w:t>、缺陷较多</w:t>
            </w:r>
            <w:r>
              <w:rPr>
                <w:rFonts w:hint="eastAsia" w:ascii="仿宋" w:hAnsi="仿宋" w:eastAsia="仿宋"/>
                <w:sz w:val="24"/>
              </w:rPr>
              <w:t>，合理可行性较欠缺的，得</w:t>
            </w:r>
            <w:r>
              <w:rPr>
                <w:rFonts w:hint="eastAsia" w:ascii="仿宋" w:hAnsi="仿宋" w:eastAsia="仿宋" w:cs="宋体"/>
                <w:sz w:val="24"/>
              </w:rPr>
              <w:t>1</w:t>
            </w:r>
            <w:r>
              <w:rPr>
                <w:rFonts w:hint="eastAsia" w:ascii="仿宋" w:hAnsi="仿宋" w:eastAsia="仿宋"/>
                <w:sz w:val="24"/>
              </w:rPr>
              <w:t>分；</w:t>
            </w:r>
            <w:r>
              <w:rPr>
                <w:rFonts w:hint="eastAsia" w:ascii="仿宋" w:hAnsi="仿宋" w:eastAsia="仿宋"/>
                <w:bCs/>
                <w:sz w:val="24"/>
              </w:rPr>
              <w:t>完全不符或未提供的不得分。</w:t>
            </w:r>
          </w:p>
        </w:tc>
        <w:tc>
          <w:tcPr>
            <w:tcW w:w="733"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12" w:type="dxa"/>
            <w:vMerge w:val="continue"/>
            <w:vAlign w:val="center"/>
          </w:tcPr>
          <w:p>
            <w:pPr>
              <w:spacing w:line="360" w:lineRule="exact"/>
              <w:jc w:val="center"/>
              <w:rPr>
                <w:rFonts w:ascii="仿宋" w:hAnsi="仿宋" w:eastAsia="仿宋" w:cs="宋体"/>
                <w:bCs/>
                <w:sz w:val="24"/>
              </w:rPr>
            </w:pPr>
          </w:p>
        </w:tc>
        <w:tc>
          <w:tcPr>
            <w:tcW w:w="1217" w:type="dxa"/>
            <w:vMerge w:val="continue"/>
            <w:vAlign w:val="center"/>
          </w:tcPr>
          <w:p>
            <w:pPr>
              <w:spacing w:line="360" w:lineRule="exact"/>
              <w:jc w:val="center"/>
              <w:rPr>
                <w:rFonts w:ascii="仿宋" w:hAnsi="仿宋" w:eastAsia="仿宋" w:cs="宋体"/>
                <w:bCs/>
                <w:sz w:val="24"/>
              </w:rPr>
            </w:pPr>
          </w:p>
        </w:tc>
        <w:tc>
          <w:tcPr>
            <w:tcW w:w="6864" w:type="dxa"/>
            <w:vAlign w:val="center"/>
          </w:tcPr>
          <w:p>
            <w:pPr>
              <w:spacing w:line="276" w:lineRule="auto"/>
              <w:rPr>
                <w:rFonts w:ascii="仿宋" w:hAnsi="仿宋" w:eastAsia="仿宋"/>
                <w:sz w:val="24"/>
                <w:szCs w:val="24"/>
              </w:rPr>
            </w:pPr>
            <w:r>
              <w:rPr>
                <w:rFonts w:hint="eastAsia" w:ascii="仿宋" w:hAnsi="仿宋" w:eastAsia="仿宋"/>
                <w:sz w:val="24"/>
                <w:szCs w:val="24"/>
              </w:rPr>
              <w:t>投标人具有有效的ISO27001信息安全管理体系认证证书（认证范围必须包含档案整理或数字化相关内容）的，得3分。</w:t>
            </w:r>
            <w:r>
              <w:rPr>
                <w:rFonts w:hint="eastAsia" w:ascii="仿宋" w:hAnsi="仿宋" w:eastAsia="仿宋" w:cs="仿宋"/>
                <w:w w:val="90"/>
                <w:sz w:val="24"/>
                <w:szCs w:val="24"/>
              </w:rPr>
              <w:t>（注：需提供证书复印件以及全国认证认可信息公共服务平台网站证书信息查询页面截图，否则不得分。）</w:t>
            </w:r>
          </w:p>
        </w:tc>
        <w:tc>
          <w:tcPr>
            <w:tcW w:w="733"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712" w:type="dxa"/>
            <w:vMerge w:val="continue"/>
            <w:vAlign w:val="center"/>
          </w:tcPr>
          <w:p>
            <w:pPr>
              <w:spacing w:line="360" w:lineRule="exact"/>
              <w:jc w:val="center"/>
              <w:rPr>
                <w:rFonts w:ascii="仿宋" w:hAnsi="仿宋" w:eastAsia="仿宋" w:cs="宋体"/>
                <w:bCs/>
                <w:sz w:val="24"/>
              </w:rPr>
            </w:pPr>
          </w:p>
        </w:tc>
        <w:tc>
          <w:tcPr>
            <w:tcW w:w="1217" w:type="dxa"/>
            <w:vMerge w:val="continue"/>
            <w:vAlign w:val="center"/>
          </w:tcPr>
          <w:p>
            <w:pPr>
              <w:spacing w:line="360" w:lineRule="exact"/>
              <w:jc w:val="center"/>
              <w:rPr>
                <w:rFonts w:ascii="仿宋" w:hAnsi="仿宋" w:eastAsia="仿宋" w:cs="宋体"/>
                <w:bCs/>
                <w:sz w:val="24"/>
              </w:rPr>
            </w:pPr>
          </w:p>
        </w:tc>
        <w:tc>
          <w:tcPr>
            <w:tcW w:w="6864" w:type="dxa"/>
            <w:vAlign w:val="center"/>
          </w:tcPr>
          <w:p>
            <w:pPr>
              <w:spacing w:line="276" w:lineRule="auto"/>
              <w:rPr>
                <w:rFonts w:ascii="仿宋" w:hAnsi="仿宋" w:eastAsia="仿宋" w:cs="宋体"/>
                <w:color w:val="auto"/>
                <w:sz w:val="24"/>
              </w:rPr>
            </w:pPr>
            <w:r>
              <w:rPr>
                <w:rFonts w:hint="eastAsia" w:ascii="仿宋" w:hAnsi="仿宋" w:eastAsia="仿宋" w:cs="宋体"/>
                <w:color w:val="auto"/>
                <w:sz w:val="24"/>
              </w:rPr>
              <w:t>根据档案整理操作流程、规范要求，由拟派项目经理现场演示：存量地籍档案和规划类档案在不同类别不同时期实际规范化整理的专业性和完整性以及实际利用中可行性合理打分操作方案，包括：（1）档案整理与数字化前期处理环节符合业务规范的现场演示，根据演示内容的合理性打分。</w:t>
            </w:r>
            <w:r>
              <w:rPr>
                <w:rFonts w:hint="eastAsia" w:ascii="仿宋" w:hAnsi="仿宋" w:eastAsia="仿宋" w:cs="宋体"/>
                <w:color w:val="auto"/>
                <w:sz w:val="24"/>
                <w:szCs w:val="24"/>
              </w:rPr>
              <w:t>演示内容合理，步骤可行，操作规范得2分；演示内容基本合理，步骤基本可行，操作基本规范得1分；演示内容缺失，步骤不规范得0.5分；未提供演示的不得分。</w:t>
            </w:r>
          </w:p>
          <w:p>
            <w:pPr>
              <w:spacing w:line="276" w:lineRule="auto"/>
              <w:rPr>
                <w:rFonts w:ascii="仿宋" w:hAnsi="仿宋" w:eastAsia="仿宋" w:cs="宋体"/>
                <w:color w:val="auto"/>
                <w:sz w:val="24"/>
              </w:rPr>
            </w:pPr>
            <w:r>
              <w:rPr>
                <w:rFonts w:hint="eastAsia" w:ascii="仿宋" w:hAnsi="仿宋" w:eastAsia="仿宋" w:cs="宋体"/>
                <w:color w:val="auto"/>
                <w:sz w:val="24"/>
              </w:rPr>
              <w:t>（2）案卷级条目和卷内目录符合实际业务规范化处理方法的现场演示，根据演示内容的合理性打分。</w:t>
            </w:r>
            <w:r>
              <w:rPr>
                <w:rFonts w:hint="eastAsia" w:ascii="仿宋" w:hAnsi="仿宋" w:eastAsia="仿宋" w:cs="宋体"/>
                <w:color w:val="auto"/>
                <w:sz w:val="24"/>
                <w:szCs w:val="24"/>
              </w:rPr>
              <w:t>演示内容合理，步骤可行，操作规范得3分；演示内容基本合理，步骤基本可行，操作基本规范得2分；演示内容缺失，步骤不规范得1分；未提供演示的不得分。</w:t>
            </w:r>
          </w:p>
          <w:p>
            <w:pPr>
              <w:spacing w:line="276" w:lineRule="auto"/>
              <w:rPr>
                <w:rFonts w:ascii="仿宋" w:hAnsi="仿宋" w:eastAsia="仿宋" w:cs="宋体"/>
                <w:color w:val="auto"/>
                <w:sz w:val="24"/>
              </w:rPr>
            </w:pPr>
            <w:r>
              <w:rPr>
                <w:rFonts w:hint="eastAsia" w:ascii="仿宋" w:hAnsi="仿宋" w:eastAsia="仿宋" w:cs="宋体"/>
                <w:color w:val="auto"/>
                <w:sz w:val="24"/>
              </w:rPr>
              <w:t>（3）存量地籍档案和规划类档案的规范化整理组卷的实际处理方法的现场演示，根据演示内容的合理性打分。</w:t>
            </w:r>
            <w:r>
              <w:rPr>
                <w:rFonts w:hint="eastAsia" w:ascii="仿宋" w:hAnsi="仿宋" w:eastAsia="仿宋" w:cs="宋体"/>
                <w:color w:val="auto"/>
                <w:sz w:val="24"/>
                <w:szCs w:val="24"/>
              </w:rPr>
              <w:t>演示内容合理，步骤可行，操作规范得2分；演示内容基本合理，步骤基本可行，操作基本规范得1分；演示内容缺失，步骤不规范得0.5分；未提供演示的不得分。</w:t>
            </w:r>
          </w:p>
          <w:p>
            <w:pPr>
              <w:spacing w:line="276" w:lineRule="auto"/>
              <w:rPr>
                <w:rFonts w:ascii="仿宋" w:hAnsi="仿宋" w:eastAsia="仿宋" w:cs="宋体"/>
                <w:color w:val="auto"/>
                <w:sz w:val="24"/>
              </w:rPr>
            </w:pPr>
            <w:r>
              <w:rPr>
                <w:rFonts w:hint="eastAsia" w:ascii="仿宋" w:hAnsi="仿宋" w:eastAsia="仿宋" w:cs="宋体"/>
                <w:color w:val="auto"/>
                <w:sz w:val="24"/>
              </w:rPr>
              <w:t>（4）装盒（盒外填写）环节的规范化处理方法的现场演示，根据演示内容的合理性打分。</w:t>
            </w:r>
            <w:r>
              <w:rPr>
                <w:rFonts w:hint="eastAsia" w:ascii="仿宋" w:hAnsi="仿宋" w:eastAsia="仿宋" w:cs="宋体"/>
                <w:color w:val="auto"/>
                <w:sz w:val="24"/>
                <w:szCs w:val="24"/>
              </w:rPr>
              <w:t>演示内容合理，步骤可行，操作规范得2分；演示内容基本合理，步骤基本可行，操作基本规范得1分；演示内容缺失，步骤不规范得0.5分；未提供演示的不得分。</w:t>
            </w:r>
          </w:p>
          <w:p>
            <w:pPr>
              <w:spacing w:line="276" w:lineRule="auto"/>
              <w:rPr>
                <w:rFonts w:ascii="仿宋" w:hAnsi="仿宋" w:eastAsia="仿宋"/>
                <w:color w:val="auto"/>
              </w:rPr>
            </w:pPr>
            <w:r>
              <w:rPr>
                <w:rFonts w:hint="eastAsia" w:ascii="仿宋" w:hAnsi="仿宋" w:eastAsia="仿宋" w:cs="宋体"/>
                <w:color w:val="auto"/>
                <w:sz w:val="24"/>
              </w:rPr>
              <w:t>（甲方提供资料以供演示，演示过程所需耗材全部由投标方自行解决，投标时拟派演示项目负责人即默认为现场驻场项目经理。演示时间控制在10分钟以内）</w:t>
            </w:r>
          </w:p>
        </w:tc>
        <w:tc>
          <w:tcPr>
            <w:tcW w:w="733" w:type="dxa"/>
            <w:vAlign w:val="center"/>
          </w:tcPr>
          <w:p>
            <w:pPr>
              <w:spacing w:line="360" w:lineRule="exact"/>
              <w:jc w:val="center"/>
              <w:rPr>
                <w:rFonts w:ascii="仿宋" w:hAnsi="仿宋" w:eastAsia="仿宋" w:cs="宋体"/>
                <w:bCs/>
                <w:sz w:val="24"/>
              </w:rPr>
            </w:pPr>
            <w:r>
              <w:rPr>
                <w:rFonts w:hint="eastAsia" w:ascii="仿宋" w:hAnsi="仿宋" w:eastAsia="仿宋" w:cs="宋体"/>
                <w:bCs/>
                <w:color w:val="000000" w:themeColor="text1"/>
                <w:sz w:val="24"/>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712"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7</w:t>
            </w:r>
          </w:p>
        </w:tc>
        <w:tc>
          <w:tcPr>
            <w:tcW w:w="1217" w:type="dxa"/>
            <w:vAlign w:val="center"/>
          </w:tcPr>
          <w:p>
            <w:pPr>
              <w:spacing w:line="360" w:lineRule="exact"/>
              <w:jc w:val="center"/>
              <w:rPr>
                <w:rFonts w:ascii="仿宋" w:hAnsi="仿宋" w:eastAsia="仿宋" w:cs="宋体"/>
                <w:bCs/>
                <w:sz w:val="24"/>
              </w:rPr>
            </w:pPr>
            <w:r>
              <w:rPr>
                <w:rFonts w:ascii="仿宋" w:hAnsi="仿宋" w:eastAsia="仿宋" w:cs="宋体"/>
                <w:bCs/>
                <w:sz w:val="24"/>
              </w:rPr>
              <w:t>售后服务</w:t>
            </w:r>
          </w:p>
        </w:tc>
        <w:tc>
          <w:tcPr>
            <w:tcW w:w="6864" w:type="dxa"/>
            <w:vAlign w:val="center"/>
          </w:tcPr>
          <w:p>
            <w:pPr>
              <w:spacing w:line="276" w:lineRule="auto"/>
              <w:rPr>
                <w:rFonts w:ascii="仿宋" w:hAnsi="仿宋" w:eastAsia="仿宋"/>
                <w:sz w:val="24"/>
                <w:szCs w:val="24"/>
              </w:rPr>
            </w:pPr>
            <w:r>
              <w:rPr>
                <w:rFonts w:hint="eastAsia" w:ascii="仿宋" w:hAnsi="仿宋" w:eastAsia="仿宋"/>
                <w:sz w:val="24"/>
                <w:szCs w:val="24"/>
              </w:rPr>
              <w:t>根据投标人提供的售后服务方案（包括服务技术力量配备、服务响应措施、售后回访反馈、技术培训计划等）进行综合评分。</w:t>
            </w:r>
            <w:r>
              <w:rPr>
                <w:rFonts w:hint="eastAsia" w:ascii="仿宋" w:hAnsi="仿宋" w:eastAsia="仿宋" w:cs="仿宋"/>
                <w:sz w:val="24"/>
              </w:rPr>
              <w:t>内容阐述全面</w:t>
            </w:r>
            <w:r>
              <w:rPr>
                <w:rFonts w:hint="eastAsia" w:ascii="仿宋" w:hAnsi="仿宋" w:eastAsia="仿宋"/>
                <w:sz w:val="24"/>
              </w:rPr>
              <w:t>且合理可行的，得</w:t>
            </w:r>
            <w:r>
              <w:rPr>
                <w:rFonts w:hint="eastAsia" w:ascii="仿宋" w:hAnsi="仿宋" w:eastAsia="仿宋" w:cs="宋体"/>
                <w:sz w:val="24"/>
              </w:rPr>
              <w:t>5</w:t>
            </w:r>
            <w:r>
              <w:rPr>
                <w:rFonts w:hint="eastAsia" w:ascii="仿宋" w:hAnsi="仿宋" w:eastAsia="仿宋"/>
                <w:sz w:val="24"/>
              </w:rPr>
              <w:t>分；内容阐述有欠缺但基本全面，基本合理可行的，得</w:t>
            </w:r>
            <w:r>
              <w:rPr>
                <w:rFonts w:hint="eastAsia" w:ascii="仿宋" w:hAnsi="仿宋" w:eastAsia="仿宋" w:cs="宋体"/>
                <w:sz w:val="24"/>
              </w:rPr>
              <w:t>3</w:t>
            </w:r>
            <w:r>
              <w:rPr>
                <w:rFonts w:hint="eastAsia" w:ascii="仿宋" w:hAnsi="仿宋" w:eastAsia="仿宋"/>
                <w:sz w:val="24"/>
              </w:rPr>
              <w:t>分；内容阐述粗略</w:t>
            </w:r>
            <w:r>
              <w:rPr>
                <w:rFonts w:hint="eastAsia" w:ascii="仿宋" w:hAnsi="仿宋" w:eastAsia="仿宋" w:cs="宋体"/>
                <w:sz w:val="24"/>
              </w:rPr>
              <w:t>、缺陷较多</w:t>
            </w:r>
            <w:r>
              <w:rPr>
                <w:rFonts w:hint="eastAsia" w:ascii="仿宋" w:hAnsi="仿宋" w:eastAsia="仿宋"/>
                <w:sz w:val="24"/>
              </w:rPr>
              <w:t>，合理可行性较欠缺的，得</w:t>
            </w:r>
            <w:r>
              <w:rPr>
                <w:rFonts w:hint="eastAsia" w:ascii="仿宋" w:hAnsi="仿宋" w:eastAsia="仿宋" w:cs="宋体"/>
                <w:sz w:val="24"/>
              </w:rPr>
              <w:t>1</w:t>
            </w:r>
            <w:r>
              <w:rPr>
                <w:rFonts w:hint="eastAsia" w:ascii="仿宋" w:hAnsi="仿宋" w:eastAsia="仿宋"/>
                <w:sz w:val="24"/>
              </w:rPr>
              <w:t>分；</w:t>
            </w:r>
            <w:r>
              <w:rPr>
                <w:rFonts w:hint="eastAsia" w:ascii="仿宋" w:hAnsi="仿宋" w:eastAsia="仿宋"/>
                <w:bCs/>
                <w:sz w:val="24"/>
              </w:rPr>
              <w:t>完全不符或未提供的不得分。</w:t>
            </w:r>
          </w:p>
        </w:tc>
        <w:tc>
          <w:tcPr>
            <w:tcW w:w="733"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5</w:t>
            </w:r>
          </w:p>
        </w:tc>
      </w:tr>
    </w:tbl>
    <w:p>
      <w:pPr>
        <w:spacing w:line="30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备注：投标人编制投标文件（商务技术文件部分）时，建议按上述评审细则的顺序提供评分标准中相对应的商务技术资料。</w:t>
      </w:r>
    </w:p>
    <w:p>
      <w:pPr>
        <w:spacing w:line="360" w:lineRule="auto"/>
        <w:ind w:firstLine="551" w:firstLineChars="196"/>
        <w:rPr>
          <w:rFonts w:ascii="仿宋" w:hAnsi="仿宋" w:eastAsia="仿宋" w:cs="宋体"/>
          <w:b/>
          <w:color w:val="auto"/>
          <w:sz w:val="28"/>
          <w:szCs w:val="28"/>
        </w:rPr>
      </w:pPr>
      <w:r>
        <w:rPr>
          <w:rFonts w:hint="eastAsia" w:ascii="仿宋" w:hAnsi="仿宋" w:eastAsia="仿宋" w:cs="宋体"/>
          <w:b/>
          <w:color w:val="auto"/>
          <w:sz w:val="28"/>
          <w:szCs w:val="28"/>
        </w:rPr>
        <w:t>2.报价分（20分）</w:t>
      </w:r>
    </w:p>
    <w:p>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报价得分计算方法：</w:t>
      </w:r>
    </w:p>
    <w:p>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（1）报价得分=（评标基准价/投标报价）×价格权值×100，评标基准价=有效投标人的最低投标报价，</w:t>
      </w:r>
      <w:r>
        <w:rPr>
          <w:rFonts w:hint="eastAsia" w:ascii="仿宋" w:hAnsi="仿宋" w:eastAsia="仿宋" w:cs="宋体"/>
          <w:b/>
          <w:color w:val="auto"/>
          <w:sz w:val="24"/>
          <w:szCs w:val="24"/>
        </w:rPr>
        <w:t>价格权值=20%</w:t>
      </w:r>
      <w:r>
        <w:rPr>
          <w:rFonts w:hint="eastAsia" w:ascii="仿宋" w:hAnsi="仿宋" w:eastAsia="仿宋" w:cs="宋体"/>
          <w:color w:val="auto"/>
          <w:sz w:val="24"/>
          <w:szCs w:val="24"/>
        </w:rPr>
        <w:t>；</w:t>
      </w:r>
    </w:p>
    <w:p>
      <w:pPr>
        <w:spacing w:line="360" w:lineRule="auto"/>
        <w:ind w:firstLine="470" w:firstLineChars="196"/>
        <w:rPr>
          <w:rFonts w:ascii="仿宋" w:hAnsi="仿宋" w:eastAsia="仿宋" w:cs="宋体"/>
          <w:color w:val="auto"/>
          <w:sz w:val="24"/>
          <w:szCs w:val="24"/>
        </w:rPr>
      </w:pPr>
      <w:r>
        <w:rPr>
          <w:rFonts w:hint="eastAsia" w:ascii="仿宋" w:hAnsi="仿宋" w:eastAsia="仿宋" w:cs="宋体"/>
          <w:color w:val="auto"/>
          <w:sz w:val="24"/>
          <w:szCs w:val="24"/>
        </w:rPr>
        <w:t>（2）评标过程中，不得去掉报价中的最高报价和最低报价；</w:t>
      </w:r>
    </w:p>
    <w:p>
      <w:pPr>
        <w:spacing w:line="360" w:lineRule="auto"/>
        <w:ind w:firstLine="470" w:firstLineChars="196"/>
        <w:rPr>
          <w:rFonts w:ascii="仿宋" w:hAnsi="仿宋" w:eastAsia="仿宋" w:cs="宋体"/>
          <w:b/>
          <w:color w:val="auto"/>
          <w:sz w:val="24"/>
          <w:szCs w:val="24"/>
          <w:u w:val="single"/>
        </w:rPr>
      </w:pPr>
      <w:r>
        <w:rPr>
          <w:rFonts w:hint="eastAsia" w:ascii="仿宋" w:hAnsi="仿宋" w:eastAsia="仿宋" w:cs="宋体"/>
          <w:color w:val="auto"/>
          <w:sz w:val="24"/>
          <w:szCs w:val="24"/>
        </w:rPr>
        <w:t>（3）</w:t>
      </w:r>
      <w:r>
        <w:rPr>
          <w:rFonts w:ascii="仿宋" w:hAnsi="仿宋" w:eastAsia="仿宋" w:cs="宋体"/>
          <w:color w:val="auto"/>
          <w:sz w:val="24"/>
          <w:szCs w:val="24"/>
        </w:rPr>
        <w:t>因落实政府采购政策</w:t>
      </w:r>
      <w:r>
        <w:rPr>
          <w:rFonts w:hint="eastAsia" w:ascii="仿宋" w:hAnsi="仿宋" w:eastAsia="仿宋" w:cs="宋体"/>
          <w:color w:val="auto"/>
          <w:sz w:val="24"/>
          <w:szCs w:val="24"/>
        </w:rPr>
        <w:t>需要</w:t>
      </w:r>
      <w:r>
        <w:rPr>
          <w:rFonts w:ascii="仿宋" w:hAnsi="仿宋" w:eastAsia="仿宋" w:cs="宋体"/>
          <w:color w:val="auto"/>
          <w:sz w:val="24"/>
          <w:szCs w:val="24"/>
        </w:rPr>
        <w:t>进行价格调整的，以调整后的价格计算评标基准价和投标报价。</w:t>
      </w:r>
      <w:r>
        <w:rPr>
          <w:rFonts w:ascii="仿宋" w:hAnsi="仿宋" w:eastAsia="仿宋" w:cs="宋体"/>
          <w:b/>
          <w:color w:val="auto"/>
          <w:sz w:val="24"/>
          <w:szCs w:val="24"/>
          <w:u w:val="single"/>
        </w:rPr>
        <w:t>（本项目不适用）</w:t>
      </w:r>
    </w:p>
    <w:p>
      <w:pPr>
        <w:rPr>
          <w:rFonts w:ascii="宋体" w:hAnsi="宋体"/>
          <w:color w:val="auto"/>
          <w:sz w:val="24"/>
          <w:szCs w:val="24"/>
        </w:rPr>
        <w:sectPr>
          <w:pgSz w:w="11906" w:h="16838"/>
          <w:pgMar w:top="1134" w:right="1247" w:bottom="1021" w:left="1247" w:header="284" w:footer="454" w:gutter="0"/>
          <w:pgNumType w:fmt="numberInDash"/>
          <w:cols w:space="720" w:num="1"/>
          <w:titlePg/>
          <w:docGrid w:type="lines" w:linePitch="312" w:charSpace="0"/>
        </w:sectPr>
      </w:pPr>
    </w:p>
    <w:bookmarkEnd w:id="9"/>
    <w:p>
      <w:pPr>
        <w:pStyle w:val="3"/>
        <w:spacing w:before="0" w:after="120" w:line="400" w:lineRule="exact"/>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第四章   采购需求</w:t>
      </w:r>
    </w:p>
    <w:p>
      <w:pPr>
        <w:spacing w:line="360" w:lineRule="auto"/>
        <w:ind w:firstLine="482" w:firstLineChars="200"/>
        <w:outlineLvl w:val="0"/>
        <w:rPr>
          <w:rFonts w:ascii="仿宋" w:hAnsi="仿宋" w:eastAsia="仿宋" w:cs="Arial"/>
          <w:b/>
          <w:bCs/>
          <w:sz w:val="24"/>
        </w:rPr>
      </w:pPr>
      <w:r>
        <w:rPr>
          <w:rFonts w:hint="eastAsia" w:ascii="仿宋" w:hAnsi="仿宋" w:eastAsia="仿宋" w:cs="Arial"/>
          <w:b/>
          <w:bCs/>
          <w:sz w:val="24"/>
        </w:rPr>
        <w:t>（一）项目概述</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按照我省自然资源信息化建设的相关要求，为加快自然资源档案的信息化管理与应用；根据绍兴市自然资源和规划局统一布署，以县级为单位，开展现有集体土地所有权确权登记成果整理入库、数字化成果更新汇交工作。充分发挥集体土地所有权确权登记成果在自然资源管理相关业务中的基础性工作，更好地为社会群众提供高效快捷的便民查询服务。</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在本项目建设过程中，须遵循以下标准、规范：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国家档案局中央档案馆《档案管理软件功能要求暂行规定》、《计算机信息系统安全保护条例》《档案与电子文件登记备份工作规范（试行）》</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DA/T 68-2022 档案服务外包工作规范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DA/T 22-2015 归档文件整理规则</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DA/T 13-2022 档号编制规则</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DA/T 18-2022 档案著录规则</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DA/T 31-2017 纸质档案数字化规范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DA/T 25-2000 档案修裱技术规范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DA/Z 64-2018 纸质档案抢救与修复规范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DT/A 69-2018 纸质归档文件装订规范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DA/T 75-2019 档案数据硬磁盘离线存储管理规范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GB/T 18894—2016 电子文件归档与电子档案管理规范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GB/T 33190—2016 电子文件存储与交换格式版式文档</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DT/T11995磁性载体档案管理与保护规范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DA/T 23-2000地质资料档案著录细则</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GB/T 50328-2001《建设工程文件归档整理规范》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GB/T 50328—2014《建设工程文件归档规范》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GB/T 50323—2001《城市建设档案著录规范》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CJJT158—2011《城建档案业务管理规范》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《浙江省地籍调查数据库规范》（浙江省国土资源厅，2008）</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《浙江省数字地籍调查技术规范》（浙江省国土资源厅，2008）</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《浙江省自然资源厅关于转发自然资源部自然资源确权登记局关于严格规范登簿行为切实提高记数据质量的通知》</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《关于加快完成集体土地所有权确权登记成果更新汇交的通知》（自然资发[2022]19号</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《图文地质资料扫描数字化规范(试行)》（数字国土工程工作标准SZ1999001-2000）</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《中华人民共和国行政区划代码》（国标GB/T 2260-1999）</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《1:500、1:1000、1:2000地形图数字化规范》（国标GB/T 17160-1997）</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《计算机软件产品开发文件编制指南》（GB 8567-88）</w:t>
      </w:r>
    </w:p>
    <w:p>
      <w:pPr>
        <w:pStyle w:val="40"/>
        <w:tabs>
          <w:tab w:val="right" w:leader="dot" w:pos="9403"/>
          <w:tab w:val="clear" w:pos="8296"/>
        </w:tabs>
        <w:snapToGrid w:val="0"/>
        <w:ind w:left="0" w:firstLine="480" w:firstLineChars="200"/>
        <w:jc w:val="both"/>
      </w:pPr>
      <w:r>
        <w:rPr>
          <w:rFonts w:hint="eastAsia" w:ascii="仿宋" w:hAnsi="仿宋" w:eastAsia="仿宋" w:cs="宋体"/>
          <w:sz w:val="24"/>
          <w:szCs w:val="24"/>
        </w:rPr>
        <w:t>《计算机软件需求说明编制指南》（GB 9385-88）</w:t>
      </w:r>
    </w:p>
    <w:p>
      <w:pPr>
        <w:spacing w:line="360" w:lineRule="auto"/>
        <w:ind w:firstLine="482" w:firstLineChars="200"/>
        <w:outlineLvl w:val="0"/>
        <w:rPr>
          <w:rFonts w:ascii="仿宋" w:hAnsi="仿宋" w:eastAsia="仿宋" w:cs="Arial"/>
          <w:b/>
          <w:bCs/>
          <w:sz w:val="24"/>
        </w:rPr>
      </w:pPr>
      <w:r>
        <w:rPr>
          <w:rFonts w:hint="eastAsia" w:ascii="仿宋" w:hAnsi="仿宋" w:eastAsia="仿宋" w:cs="Arial"/>
          <w:b/>
          <w:bCs/>
          <w:sz w:val="24"/>
        </w:rPr>
        <w:t>（二）项目基本情况</w:t>
      </w:r>
    </w:p>
    <w:p>
      <w:pPr>
        <w:pStyle w:val="40"/>
        <w:tabs>
          <w:tab w:val="right" w:leader="dot" w:pos="9403"/>
          <w:tab w:val="clear" w:pos="8296"/>
        </w:tabs>
        <w:snapToGrid w:val="0"/>
        <w:ind w:left="0" w:firstLine="480" w:firstLineChars="200"/>
        <w:jc w:val="both"/>
        <w:rPr>
          <w:rFonts w:ascii="仿宋" w:hAnsi="仿宋" w:eastAsia="仿宋" w:cs="宋体"/>
          <w:sz w:val="24"/>
          <w:szCs w:val="24"/>
        </w:rPr>
      </w:pPr>
      <w:r>
        <w:rPr>
          <w:rFonts w:hint="eastAsia" w:ascii="仿宋" w:hAnsi="仿宋" w:eastAsia="仿宋" w:cs="宋体"/>
          <w:sz w:val="24"/>
          <w:szCs w:val="24"/>
        </w:rPr>
        <w:t>1.项目主要工作包括12个乡镇存量历史地籍档案和部分规划档案的规范化整理及数字化加工。其中档案整理和数字化加工地籍档案约15.5万宗，需重新整理及著录、制作目录；规划档案约1万余卷需规范化档案整理与数字化加工。本次数字化加工的内容的档案为历史档案，有部分手写稿和不规则图纸，纸质差别较大，纸质文档以小于A4幅面为主，数量以A4计算，不规则的纸张、图纸等全部折算为A4结算。</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2631"/>
        <w:gridCol w:w="1418"/>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项目名称</w:t>
            </w:r>
          </w:p>
        </w:tc>
        <w:tc>
          <w:tcPr>
            <w:tcW w:w="1857"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数量</w:t>
            </w:r>
          </w:p>
        </w:tc>
        <w:tc>
          <w:tcPr>
            <w:tcW w:w="4049" w:type="dxa"/>
            <w:gridSpan w:val="2"/>
            <w:vAlign w:val="center"/>
          </w:tcPr>
          <w:p>
            <w:pPr>
              <w:spacing w:line="360" w:lineRule="auto"/>
              <w:jc w:val="center"/>
              <w:rPr>
                <w:rFonts w:ascii="仿宋" w:hAnsi="仿宋" w:eastAsia="仿宋"/>
                <w:sz w:val="24"/>
                <w:szCs w:val="24"/>
              </w:rPr>
            </w:pPr>
            <w:r>
              <w:rPr>
                <w:rFonts w:hint="eastAsia" w:ascii="仿宋" w:hAnsi="仿宋" w:eastAsia="仿宋"/>
                <w:sz w:val="24"/>
                <w:szCs w:val="24"/>
              </w:rPr>
              <w:t>最高单价限价（单价：元）</w:t>
            </w:r>
          </w:p>
        </w:tc>
        <w:tc>
          <w:tcPr>
            <w:tcW w:w="1523"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restart"/>
            <w:vAlign w:val="center"/>
          </w:tcPr>
          <w:p>
            <w:pPr>
              <w:spacing w:line="360" w:lineRule="auto"/>
              <w:jc w:val="center"/>
              <w:rPr>
                <w:rFonts w:ascii="仿宋" w:hAnsi="仿宋" w:eastAsia="仿宋"/>
                <w:sz w:val="24"/>
                <w:szCs w:val="24"/>
              </w:rPr>
            </w:pPr>
            <w:r>
              <w:rPr>
                <w:rFonts w:hint="eastAsia" w:ascii="仿宋" w:hAnsi="仿宋" w:eastAsia="仿宋"/>
                <w:sz w:val="24"/>
                <w:szCs w:val="24"/>
              </w:rPr>
              <w:t>诸暨市自然资源和规划局第七期档案整理及数字化加工项目</w:t>
            </w:r>
          </w:p>
        </w:tc>
        <w:tc>
          <w:tcPr>
            <w:tcW w:w="1857" w:type="dxa"/>
            <w:vMerge w:val="restart"/>
            <w:vAlign w:val="center"/>
          </w:tcPr>
          <w:p>
            <w:pPr>
              <w:spacing w:line="360" w:lineRule="auto"/>
              <w:jc w:val="center"/>
              <w:rPr>
                <w:rFonts w:ascii="仿宋" w:hAnsi="仿宋" w:eastAsia="仿宋"/>
                <w:sz w:val="24"/>
                <w:szCs w:val="24"/>
              </w:rPr>
            </w:pPr>
            <w:r>
              <w:rPr>
                <w:rFonts w:hint="eastAsia" w:ascii="仿宋" w:hAnsi="仿宋" w:eastAsia="仿宋"/>
                <w:sz w:val="24"/>
                <w:szCs w:val="24"/>
              </w:rPr>
              <w:t>地籍档案整理和数字化：约15.5万宗</w:t>
            </w:r>
          </w:p>
        </w:tc>
        <w:tc>
          <w:tcPr>
            <w:tcW w:w="2631"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档案整理：4.2元/件</w:t>
            </w:r>
          </w:p>
        </w:tc>
        <w:tc>
          <w:tcPr>
            <w:tcW w:w="1418" w:type="dxa"/>
            <w:vMerge w:val="restart"/>
            <w:vAlign w:val="center"/>
          </w:tcPr>
          <w:p>
            <w:pPr>
              <w:spacing w:line="360" w:lineRule="auto"/>
              <w:jc w:val="center"/>
              <w:rPr>
                <w:rFonts w:ascii="仿宋" w:hAnsi="仿宋" w:eastAsia="仿宋"/>
                <w:sz w:val="24"/>
                <w:szCs w:val="24"/>
              </w:rPr>
            </w:pPr>
            <w:r>
              <w:rPr>
                <w:rFonts w:hint="eastAsia" w:ascii="仿宋" w:hAnsi="仿宋" w:eastAsia="仿宋"/>
                <w:sz w:val="24"/>
                <w:szCs w:val="24"/>
              </w:rPr>
              <w:t>图纸及A3等折算成A4纸计算</w:t>
            </w:r>
          </w:p>
        </w:tc>
        <w:tc>
          <w:tcPr>
            <w:tcW w:w="1523" w:type="dxa"/>
            <w:vMerge w:val="restart"/>
            <w:vAlign w:val="center"/>
          </w:tcPr>
          <w:p>
            <w:pPr>
              <w:spacing w:line="360" w:lineRule="auto"/>
              <w:jc w:val="center"/>
              <w:rPr>
                <w:rFonts w:ascii="仿宋" w:hAnsi="仿宋" w:eastAsia="仿宋"/>
                <w:sz w:val="24"/>
                <w:szCs w:val="24"/>
              </w:rPr>
            </w:pPr>
            <w:r>
              <w:rPr>
                <w:rFonts w:hint="eastAsia" w:ascii="仿宋" w:hAnsi="仿宋" w:eastAsia="仿宋"/>
                <w:sz w:val="24"/>
                <w:szCs w:val="24"/>
              </w:rPr>
              <w:t>预算金额两年合计320万元（具体以财政预算数为准）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vAlign w:val="center"/>
          </w:tcPr>
          <w:p>
            <w:pPr>
              <w:spacing w:line="360" w:lineRule="auto"/>
              <w:jc w:val="center"/>
              <w:rPr>
                <w:rFonts w:ascii="仿宋" w:hAnsi="仿宋" w:eastAsia="仿宋"/>
                <w:sz w:val="24"/>
                <w:szCs w:val="24"/>
              </w:rPr>
            </w:pPr>
          </w:p>
        </w:tc>
        <w:tc>
          <w:tcPr>
            <w:tcW w:w="1857" w:type="dxa"/>
            <w:vMerge w:val="continue"/>
            <w:vAlign w:val="center"/>
          </w:tcPr>
          <w:p>
            <w:pPr>
              <w:spacing w:line="360" w:lineRule="auto"/>
              <w:jc w:val="center"/>
              <w:rPr>
                <w:rFonts w:ascii="仿宋" w:hAnsi="仿宋" w:eastAsia="仿宋"/>
                <w:sz w:val="24"/>
                <w:szCs w:val="24"/>
              </w:rPr>
            </w:pPr>
          </w:p>
        </w:tc>
        <w:tc>
          <w:tcPr>
            <w:tcW w:w="2631"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条目著录：0.43元/条</w:t>
            </w:r>
          </w:p>
        </w:tc>
        <w:tc>
          <w:tcPr>
            <w:tcW w:w="1418" w:type="dxa"/>
            <w:vMerge w:val="continue"/>
            <w:vAlign w:val="center"/>
          </w:tcPr>
          <w:p>
            <w:pPr>
              <w:spacing w:line="360" w:lineRule="auto"/>
              <w:jc w:val="center"/>
              <w:rPr>
                <w:rFonts w:ascii="仿宋" w:hAnsi="仿宋" w:eastAsia="仿宋"/>
                <w:sz w:val="24"/>
                <w:szCs w:val="24"/>
              </w:rPr>
            </w:pPr>
          </w:p>
        </w:tc>
        <w:tc>
          <w:tcPr>
            <w:tcW w:w="1523" w:type="dxa"/>
            <w:vMerge w:val="continue"/>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vAlign w:val="center"/>
          </w:tcPr>
          <w:p>
            <w:pPr>
              <w:spacing w:line="360" w:lineRule="auto"/>
              <w:jc w:val="center"/>
              <w:rPr>
                <w:rFonts w:ascii="仿宋" w:hAnsi="仿宋" w:eastAsia="仿宋"/>
                <w:sz w:val="24"/>
                <w:szCs w:val="24"/>
              </w:rPr>
            </w:pPr>
          </w:p>
        </w:tc>
        <w:tc>
          <w:tcPr>
            <w:tcW w:w="1857" w:type="dxa"/>
            <w:vMerge w:val="continue"/>
            <w:vAlign w:val="center"/>
          </w:tcPr>
          <w:p>
            <w:pPr>
              <w:spacing w:line="360" w:lineRule="auto"/>
              <w:jc w:val="center"/>
              <w:rPr>
                <w:rFonts w:ascii="仿宋" w:hAnsi="仿宋" w:eastAsia="仿宋"/>
                <w:sz w:val="24"/>
                <w:szCs w:val="24"/>
              </w:rPr>
            </w:pPr>
          </w:p>
        </w:tc>
        <w:tc>
          <w:tcPr>
            <w:tcW w:w="2631"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扫描：0.43元/页</w:t>
            </w:r>
          </w:p>
        </w:tc>
        <w:tc>
          <w:tcPr>
            <w:tcW w:w="1418" w:type="dxa"/>
            <w:vMerge w:val="continue"/>
            <w:vAlign w:val="center"/>
          </w:tcPr>
          <w:p>
            <w:pPr>
              <w:spacing w:line="360" w:lineRule="auto"/>
              <w:jc w:val="center"/>
              <w:rPr>
                <w:rFonts w:ascii="仿宋" w:hAnsi="仿宋" w:eastAsia="仿宋"/>
                <w:sz w:val="24"/>
                <w:szCs w:val="24"/>
              </w:rPr>
            </w:pPr>
          </w:p>
        </w:tc>
        <w:tc>
          <w:tcPr>
            <w:tcW w:w="1523" w:type="dxa"/>
            <w:vMerge w:val="continue"/>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vAlign w:val="center"/>
          </w:tcPr>
          <w:p>
            <w:pPr>
              <w:spacing w:line="360" w:lineRule="auto"/>
              <w:jc w:val="center"/>
              <w:rPr>
                <w:rFonts w:ascii="仿宋" w:hAnsi="仿宋" w:eastAsia="仿宋"/>
                <w:sz w:val="24"/>
                <w:szCs w:val="24"/>
              </w:rPr>
            </w:pPr>
          </w:p>
        </w:tc>
        <w:tc>
          <w:tcPr>
            <w:tcW w:w="1857" w:type="dxa"/>
            <w:vMerge w:val="restart"/>
            <w:vAlign w:val="center"/>
          </w:tcPr>
          <w:p>
            <w:pPr>
              <w:spacing w:line="360" w:lineRule="auto"/>
              <w:jc w:val="center"/>
              <w:rPr>
                <w:rFonts w:ascii="仿宋" w:hAnsi="仿宋" w:eastAsia="仿宋"/>
                <w:sz w:val="24"/>
                <w:szCs w:val="24"/>
              </w:rPr>
            </w:pPr>
            <w:r>
              <w:rPr>
                <w:rFonts w:hint="eastAsia" w:ascii="仿宋" w:hAnsi="仿宋" w:eastAsia="仿宋"/>
                <w:sz w:val="24"/>
                <w:szCs w:val="24"/>
              </w:rPr>
              <w:t>规划档案整理和数字化：约1万余卷</w:t>
            </w:r>
          </w:p>
        </w:tc>
        <w:tc>
          <w:tcPr>
            <w:tcW w:w="2631"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档案整理：20.5元/卷</w:t>
            </w:r>
          </w:p>
          <w:p>
            <w:pPr>
              <w:pStyle w:val="2"/>
              <w:spacing w:line="360" w:lineRule="auto"/>
              <w:ind w:left="105" w:leftChars="50" w:firstLine="0"/>
              <w:jc w:val="center"/>
              <w:rPr>
                <w:rFonts w:ascii="仿宋" w:hAnsi="仿宋" w:eastAsia="仿宋"/>
                <w:sz w:val="24"/>
              </w:rPr>
            </w:pPr>
            <w:r>
              <w:rPr>
                <w:rFonts w:hint="eastAsia" w:ascii="仿宋" w:hAnsi="仿宋" w:eastAsia="仿宋"/>
                <w:sz w:val="24"/>
              </w:rPr>
              <w:t>（包含条目著录）</w:t>
            </w:r>
          </w:p>
        </w:tc>
        <w:tc>
          <w:tcPr>
            <w:tcW w:w="1418" w:type="dxa"/>
            <w:vMerge w:val="continue"/>
            <w:vAlign w:val="center"/>
          </w:tcPr>
          <w:p>
            <w:pPr>
              <w:spacing w:line="360" w:lineRule="auto"/>
              <w:jc w:val="center"/>
              <w:rPr>
                <w:rFonts w:ascii="仿宋" w:hAnsi="仿宋" w:eastAsia="仿宋"/>
                <w:sz w:val="24"/>
                <w:szCs w:val="24"/>
              </w:rPr>
            </w:pPr>
          </w:p>
        </w:tc>
        <w:tc>
          <w:tcPr>
            <w:tcW w:w="1523" w:type="dxa"/>
            <w:vMerge w:val="continue"/>
            <w:vAlign w:val="center"/>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vAlign w:val="center"/>
          </w:tcPr>
          <w:p>
            <w:pPr>
              <w:spacing w:line="360" w:lineRule="auto"/>
              <w:jc w:val="center"/>
              <w:rPr>
                <w:rFonts w:ascii="仿宋" w:hAnsi="仿宋" w:eastAsia="仿宋"/>
                <w:sz w:val="24"/>
                <w:szCs w:val="24"/>
              </w:rPr>
            </w:pPr>
          </w:p>
        </w:tc>
        <w:tc>
          <w:tcPr>
            <w:tcW w:w="1857" w:type="dxa"/>
            <w:vMerge w:val="continue"/>
            <w:vAlign w:val="center"/>
          </w:tcPr>
          <w:p>
            <w:pPr>
              <w:spacing w:line="360" w:lineRule="auto"/>
              <w:jc w:val="center"/>
              <w:rPr>
                <w:rFonts w:ascii="仿宋" w:hAnsi="仿宋" w:eastAsia="仿宋"/>
                <w:sz w:val="24"/>
                <w:szCs w:val="24"/>
              </w:rPr>
            </w:pPr>
          </w:p>
        </w:tc>
        <w:tc>
          <w:tcPr>
            <w:tcW w:w="2631"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扫描：0.43元/页</w:t>
            </w:r>
          </w:p>
        </w:tc>
        <w:tc>
          <w:tcPr>
            <w:tcW w:w="1418" w:type="dxa"/>
            <w:vMerge w:val="continue"/>
            <w:vAlign w:val="center"/>
          </w:tcPr>
          <w:p>
            <w:pPr>
              <w:spacing w:line="360" w:lineRule="auto"/>
              <w:jc w:val="center"/>
              <w:rPr>
                <w:rFonts w:ascii="仿宋" w:hAnsi="仿宋" w:eastAsia="仿宋"/>
                <w:sz w:val="24"/>
                <w:szCs w:val="24"/>
              </w:rPr>
            </w:pPr>
          </w:p>
        </w:tc>
        <w:tc>
          <w:tcPr>
            <w:tcW w:w="1523" w:type="dxa"/>
            <w:vMerge w:val="continue"/>
            <w:vAlign w:val="center"/>
          </w:tcPr>
          <w:p>
            <w:pPr>
              <w:spacing w:line="360" w:lineRule="auto"/>
              <w:jc w:val="center"/>
              <w:rPr>
                <w:rFonts w:ascii="仿宋" w:hAnsi="仿宋" w:eastAsia="仿宋"/>
                <w:sz w:val="24"/>
                <w:szCs w:val="24"/>
              </w:rPr>
            </w:pPr>
          </w:p>
        </w:tc>
      </w:tr>
    </w:tbl>
    <w:p>
      <w:pPr>
        <w:spacing w:line="360" w:lineRule="auto"/>
        <w:rPr>
          <w:rFonts w:ascii="仿宋" w:hAnsi="仿宋" w:eastAsia="仿宋"/>
          <w:sz w:val="24"/>
          <w:szCs w:val="24"/>
        </w:rPr>
      </w:pPr>
      <w:r>
        <w:rPr>
          <w:rFonts w:hint="eastAsia" w:ascii="仿宋" w:hAnsi="仿宋" w:eastAsia="仿宋"/>
          <w:sz w:val="24"/>
          <w:szCs w:val="24"/>
        </w:rPr>
        <w:t>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（1）工期要求：24个月，并分阶段通过验收。</w:t>
      </w:r>
    </w:p>
    <w:p>
      <w:pPr>
        <w:spacing w:line="360" w:lineRule="auto"/>
        <w:ind w:firstLine="480" w:firstLineChars="200"/>
        <w:rPr>
          <w:rFonts w:ascii="仿宋" w:hAnsi="仿宋" w:eastAsia="仿宋"/>
          <w:sz w:val="24"/>
        </w:rPr>
      </w:pPr>
      <w:r>
        <w:rPr>
          <w:rFonts w:hint="eastAsia" w:ascii="仿宋" w:hAnsi="仿宋" w:eastAsia="仿宋"/>
          <w:sz w:val="24"/>
          <w:szCs w:val="24"/>
        </w:rPr>
        <w:t>（2）报价要求：本项目采用统一单价折扣报价，折扣以百分比（%）进行表述（如折扣报价九折，则填写为90%（百分之九十）），折扣百分比数值越小则报价越低。中标单价=最高单价限价（详见上表）×中标折扣（例：上表“地籍档案整理和数字化”中的“档案整理”最高单价限价为4.2元/件，若中标人的折扣报价为90.00%（即中标折扣），则该“档案整理”的中标单价=4.2元/件×90.00%=3.78元/件）。</w:t>
      </w:r>
    </w:p>
    <w:p>
      <w:pPr>
        <w:spacing w:line="360" w:lineRule="auto"/>
        <w:ind w:firstLine="480" w:firstLineChars="200"/>
        <w:rPr>
          <w:rFonts w:ascii="仿宋" w:hAnsi="仿宋" w:eastAsia="仿宋"/>
          <w:sz w:val="24"/>
        </w:rPr>
      </w:pPr>
      <w:r>
        <w:rPr>
          <w:rFonts w:hint="eastAsia" w:ascii="仿宋" w:hAnsi="仿宋" w:eastAsia="仿宋"/>
          <w:sz w:val="24"/>
        </w:rPr>
        <w:t>2.项目加工内容主要包括：</w:t>
      </w:r>
    </w:p>
    <w:p>
      <w:pPr>
        <w:spacing w:line="360" w:lineRule="auto"/>
        <w:ind w:firstLine="480" w:firstLineChars="200"/>
        <w:rPr>
          <w:rFonts w:ascii="仿宋" w:hAnsi="仿宋" w:eastAsia="仿宋" w:cs="宋体"/>
          <w:sz w:val="24"/>
          <w:szCs w:val="24"/>
        </w:rPr>
      </w:pPr>
      <w:r>
        <w:rPr>
          <w:rFonts w:hint="eastAsia" w:ascii="仿宋" w:hAnsi="仿宋" w:eastAsia="仿宋"/>
          <w:sz w:val="24"/>
        </w:rPr>
        <w:t>（1）</w:t>
      </w:r>
      <w:r>
        <w:rPr>
          <w:rFonts w:hint="eastAsia" w:ascii="仿宋" w:hAnsi="仿宋" w:eastAsia="仿宋" w:cs="宋体"/>
          <w:sz w:val="24"/>
          <w:szCs w:val="24"/>
        </w:rPr>
        <w:t>12个乡镇约15.5万宗存量地籍档案的整理</w:t>
      </w:r>
      <w:r>
        <w:rPr>
          <w:rFonts w:hint="eastAsia" w:ascii="仿宋" w:hAnsi="仿宋" w:eastAsia="仿宋"/>
          <w:sz w:val="24"/>
        </w:rPr>
        <w:t>登记和整理拆卷、分类、组件、排列、编号、编目等；部份年代久远差别较大的纸质档案需修补修整、重新编页、装盒、排架等一系列有序化档案整理 ；档案案卷级和文件级条目著录、目录建库；档案案卷卷皮定制、卷内目录及备考表制作，并重新打印；档案数字化包括</w:t>
      </w:r>
      <w:r>
        <w:rPr>
          <w:rFonts w:hint="eastAsia" w:ascii="仿宋" w:hAnsi="仿宋" w:eastAsia="仿宋" w:cs="宋体"/>
          <w:sz w:val="24"/>
          <w:szCs w:val="24"/>
        </w:rPr>
        <w:t>档案扫描、图像处理、图像存储、数据质检、数据挂接、数据验收、数据备份、案卷（件）复原、成果管理等工作。</w:t>
      </w:r>
    </w:p>
    <w:p>
      <w:pPr>
        <w:spacing w:line="360" w:lineRule="auto"/>
        <w:ind w:firstLine="480" w:firstLineChars="200"/>
        <w:rPr>
          <w:rFonts w:ascii="仿宋" w:hAnsi="仿宋" w:eastAsia="仿宋" w:cs="宋体"/>
          <w:sz w:val="24"/>
          <w:szCs w:val="24"/>
        </w:rPr>
      </w:pPr>
      <w:r>
        <w:rPr>
          <w:rFonts w:hint="eastAsia" w:ascii="仿宋" w:hAnsi="仿宋" w:eastAsia="仿宋"/>
          <w:sz w:val="24"/>
          <w:szCs w:val="24"/>
        </w:rPr>
        <w:t>（2）对约1万余卷规划档案资料进行整理、敲页码、扫描修图、目录建库、打印卷皮、卷内目录、</w:t>
      </w:r>
      <w:r>
        <w:rPr>
          <w:rFonts w:hint="eastAsia" w:ascii="仿宋" w:hAnsi="仿宋" w:eastAsia="仿宋" w:cs="宋体"/>
          <w:sz w:val="24"/>
          <w:szCs w:val="24"/>
        </w:rPr>
        <w:t>备考表，装订、装盒和上架，图纸需按规范化标准修整、折叠、装订；并对其需要数字化的档案进行数字化加工，</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本项目从合同签订之日起至合同履约期满项目验收合格之日起一年内，派驻3名工作人员在采购方档案室驻场服务，对土地登记资料和批文资料实物档案进行变更与注销更新工作，包括重新整理、编目、扫描、装订、装盒和上架；并协助查复等系列工作，一切费用由乙方负责并承担，。</w:t>
      </w:r>
    </w:p>
    <w:p>
      <w:pPr>
        <w:spacing w:line="360" w:lineRule="auto"/>
        <w:ind w:firstLine="480" w:firstLineChars="200"/>
        <w:rPr>
          <w:rFonts w:ascii="仿宋" w:hAnsi="仿宋" w:eastAsia="仿宋" w:cs="宋体"/>
          <w:sz w:val="24"/>
          <w:szCs w:val="24"/>
        </w:rPr>
      </w:pPr>
      <w:r>
        <w:rPr>
          <w:rFonts w:hint="eastAsia" w:ascii="仿宋" w:hAnsi="仿宋" w:eastAsia="仿宋"/>
          <w:sz w:val="24"/>
        </w:rPr>
        <w:t>（4）</w:t>
      </w:r>
      <w:r>
        <w:rPr>
          <w:rFonts w:hint="eastAsia" w:ascii="仿宋" w:hAnsi="仿宋" w:eastAsia="仿宋"/>
          <w:sz w:val="24"/>
          <w:szCs w:val="24"/>
        </w:rPr>
        <w:t>整个项目的数字化成果应用于</w:t>
      </w:r>
      <w:r>
        <w:rPr>
          <w:rFonts w:hint="eastAsia" w:ascii="仿宋" w:hAnsi="仿宋" w:eastAsia="仿宋" w:cs="宋体"/>
          <w:bCs/>
          <w:sz w:val="24"/>
          <w:szCs w:val="24"/>
        </w:rPr>
        <w:t>国土资源“一张图”系统</w:t>
      </w:r>
      <w:r>
        <w:rPr>
          <w:rFonts w:hint="eastAsia" w:ascii="仿宋" w:hAnsi="仿宋" w:eastAsia="仿宋"/>
          <w:sz w:val="24"/>
          <w:szCs w:val="24"/>
        </w:rPr>
        <w:t>，完善地籍档案登记功能</w:t>
      </w:r>
      <w:r>
        <w:rPr>
          <w:rFonts w:hint="eastAsia" w:ascii="仿宋" w:hAnsi="仿宋" w:eastAsia="仿宋" w:cs="宋体"/>
          <w:sz w:val="24"/>
          <w:szCs w:val="24"/>
        </w:rPr>
        <w:t>模块，新增规划档案功能模块。</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3.合同履行期限：24个月。</w:t>
      </w:r>
    </w:p>
    <w:p>
      <w:pPr>
        <w:spacing w:line="360" w:lineRule="auto"/>
        <w:ind w:firstLine="482" w:firstLineChars="200"/>
        <w:outlineLvl w:val="0"/>
        <w:rPr>
          <w:rFonts w:ascii="仿宋" w:hAnsi="仿宋" w:eastAsia="仿宋" w:cs="Arial"/>
          <w:b/>
          <w:bCs/>
          <w:sz w:val="24"/>
        </w:rPr>
      </w:pPr>
      <w:r>
        <w:rPr>
          <w:rFonts w:hint="eastAsia" w:ascii="仿宋" w:hAnsi="仿宋" w:eastAsia="仿宋" w:cs="Arial"/>
          <w:b/>
          <w:bCs/>
          <w:sz w:val="24"/>
        </w:rPr>
        <w:t>（三）总体要求</w:t>
      </w:r>
    </w:p>
    <w:p>
      <w:pPr>
        <w:spacing w:line="360" w:lineRule="auto"/>
        <w:ind w:firstLine="480" w:firstLineChars="200"/>
        <w:rPr>
          <w:rFonts w:ascii="仿宋" w:hAnsi="仿宋" w:eastAsia="仿宋" w:cs="宋体"/>
          <w:bCs/>
          <w:sz w:val="24"/>
          <w:szCs w:val="24"/>
        </w:rPr>
      </w:pPr>
      <w:r>
        <w:rPr>
          <w:rFonts w:hint="eastAsia" w:ascii="仿宋" w:hAnsi="仿宋" w:eastAsia="仿宋"/>
          <w:sz w:val="24"/>
          <w:szCs w:val="24"/>
        </w:rPr>
        <w:t>完善国土“一张图”登记系统建设，规范集体土地所有权确权登记功能模块，满足集体土地所有权变更、注销、更正等日常登记业务需求。因机构改革后原规划局、原林业局部分档案移交到采购人，为了满足全局信息化建设的需要，现对12个乡镇的地籍档案和部份规划档案的档案整理和数字化扫描项目进行招标，</w:t>
      </w:r>
      <w:r>
        <w:rPr>
          <w:rFonts w:hint="eastAsia" w:ascii="仿宋" w:hAnsi="仿宋" w:eastAsia="仿宋" w:cs="宋体"/>
          <w:bCs/>
          <w:sz w:val="24"/>
          <w:szCs w:val="24"/>
        </w:rPr>
        <w:t>最终采购人将按照地籍档案和规划档案的分类方案来验收。</w:t>
      </w:r>
    </w:p>
    <w:p>
      <w:pPr>
        <w:spacing w:line="360" w:lineRule="auto"/>
        <w:ind w:firstLine="420" w:firstLineChars="200"/>
        <w:rPr>
          <w:rFonts w:ascii="仿宋" w:hAnsi="仿宋" w:eastAsia="仿宋" w:cs="宋体"/>
          <w:bCs/>
          <w:sz w:val="24"/>
          <w:szCs w:val="24"/>
        </w:rPr>
      </w:pPr>
      <w:r>
        <w:rPr>
          <w:rFonts w:hint="eastAsia" w:ascii="仿宋" w:hAnsi="仿宋" w:eastAsia="仿宋"/>
        </w:rPr>
        <w:t>本</w:t>
      </w:r>
      <w:r>
        <w:rPr>
          <w:rFonts w:hint="eastAsia" w:ascii="仿宋" w:hAnsi="仿宋" w:eastAsia="仿宋" w:cs="宋体"/>
          <w:bCs/>
          <w:sz w:val="24"/>
          <w:szCs w:val="24"/>
        </w:rPr>
        <w:t>项目涉及档案整理和数字化成果应用于国土资源“一张图”系统，在该系统中完善</w:t>
      </w:r>
      <w:r>
        <w:rPr>
          <w:rFonts w:hint="eastAsia" w:ascii="仿宋" w:hAnsi="仿宋" w:eastAsia="仿宋"/>
          <w:sz w:val="24"/>
          <w:szCs w:val="24"/>
        </w:rPr>
        <w:t>集体土地所有权确权登记功能模块同时新增规划档案登记模块，全部</w:t>
      </w:r>
      <w:r>
        <w:rPr>
          <w:rFonts w:hint="eastAsia" w:ascii="仿宋" w:hAnsi="仿宋" w:eastAsia="仿宋" w:cs="宋体"/>
          <w:bCs/>
          <w:sz w:val="24"/>
          <w:szCs w:val="24"/>
        </w:rPr>
        <w:t>影像数据成果必须实现采购人档案数据库与“一张图”系统及档案管理系统无缝衔接，以实现统一管理、系统对接、数据共享。</w:t>
      </w:r>
    </w:p>
    <w:p>
      <w:pPr>
        <w:spacing w:line="360" w:lineRule="auto"/>
        <w:ind w:firstLine="480" w:firstLineChars="200"/>
        <w:rPr>
          <w:rFonts w:ascii="仿宋" w:hAnsi="仿宋" w:eastAsia="仿宋" w:cs="宋体"/>
          <w:bCs/>
          <w:sz w:val="24"/>
          <w:szCs w:val="24"/>
        </w:rPr>
      </w:pPr>
      <w:r>
        <w:rPr>
          <w:rFonts w:hint="eastAsia" w:ascii="仿宋" w:hAnsi="仿宋" w:eastAsia="仿宋" w:cs="宋体"/>
          <w:sz w:val="24"/>
          <w:szCs w:val="24"/>
        </w:rPr>
        <w:t>1.</w:t>
      </w:r>
      <w:r>
        <w:rPr>
          <w:rFonts w:hint="eastAsia" w:ascii="仿宋" w:hAnsi="仿宋" w:eastAsia="仿宋" w:cs="宋体"/>
          <w:bCs/>
          <w:sz w:val="24"/>
          <w:szCs w:val="24"/>
        </w:rPr>
        <w:t>档案整理装订所需的粘贴纸、装订线、目录纸、订制卷皮、专用档案盒等材料及设备设施、电脑耗材等由中标供应商自备，且必须符合相关国家标准和档案用品规范。</w:t>
      </w:r>
    </w:p>
    <w:p>
      <w:pPr>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2.</w:t>
      </w:r>
      <w:r>
        <w:rPr>
          <w:rFonts w:hint="eastAsia" w:ascii="仿宋" w:hAnsi="仿宋" w:eastAsia="仿宋" w:cs="宋体"/>
          <w:sz w:val="24"/>
          <w:szCs w:val="24"/>
        </w:rPr>
        <w:t>采购人不提供档案整理扫描和挂接所需的任何相应设备和数字化加工软件，所有扫描加工的硬件、软件设备均由中标供应商提供，且软件必须为正版。</w:t>
      </w:r>
    </w:p>
    <w:p>
      <w:pPr>
        <w:widowControl/>
        <w:spacing w:line="360" w:lineRule="auto"/>
        <w:ind w:left="62" w:right="62" w:firstLine="480" w:firstLineChars="200"/>
        <w:rPr>
          <w:rFonts w:ascii="仿宋" w:hAnsi="仿宋" w:eastAsia="仿宋" w:cs="宋体"/>
          <w:sz w:val="24"/>
          <w:szCs w:val="24"/>
        </w:rPr>
      </w:pPr>
      <w:r>
        <w:rPr>
          <w:rFonts w:hint="eastAsia" w:ascii="仿宋" w:hAnsi="仿宋" w:eastAsia="仿宋" w:cs="宋体"/>
          <w:sz w:val="24"/>
          <w:szCs w:val="24"/>
        </w:rPr>
        <w:t>3.</w:t>
      </w:r>
      <w:r>
        <w:rPr>
          <w:rFonts w:hint="eastAsia" w:ascii="仿宋" w:hAnsi="仿宋" w:eastAsia="仿宋" w:cs="宋体"/>
          <w:bCs/>
          <w:sz w:val="24"/>
          <w:szCs w:val="24"/>
        </w:rPr>
        <w:t>要求投标时拟派项目经理与驻场项目经理为同一人，并在签立合同时列清项目负责人姓名。项目经理需常驻采购人单位，加</w:t>
      </w:r>
      <w:r>
        <w:rPr>
          <w:rFonts w:hint="eastAsia" w:ascii="仿宋" w:hAnsi="仿宋" w:eastAsia="仿宋" w:cs="宋体"/>
          <w:sz w:val="24"/>
          <w:szCs w:val="24"/>
        </w:rPr>
        <w:t>工期间项目经理不得更换。除不可抗力因素以外更换的，需得到采购人书面同意。</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4.要求中标供应商配有档案扫描工作流程管理系统，加强全过程管理。提供的计算机必须单独运行在自己网络，并安装必要的安全软件，不得在外网使用。未经允许不得使用移动介质拷贝任何文件。</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严格遵守《保密守则》及采购人的有关规定，中标供应商应与采购人签订保密协议。档案扫描工作必须在采购人指定的场所内进行，确保场所正常秩序和安全，需严格管理责任到位。加工方还应严格管理所有纸质档案，不得遗失、损坏档案，如有违法者，将追究相关责任人法律责任。</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6.项目组负责人必须为投标时项目经理一致，本项目实施人员资格证书人员名单核对并备份资格证书于采购人，核查无犯罪记录证明，签订人员保密协议。在项目实施期间，采购人对项目人员到位严格把关，监督检查。项目人员必须具备一定的档案业务知识的实际操作经验。对所有项目人员建立严格的保密制度，所有加工计算机设备不能接入互联网，保证档案原件和档案数据的安全和保密工作。加强管理，杜绝工作人员对档案及档案信息的私自复制行为。</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7.项目人员在服务期间，须严格遵守现场管理制度、保密制度、安全制度等，全程监控。</w:t>
      </w:r>
    </w:p>
    <w:p>
      <w:pPr>
        <w:pStyle w:val="40"/>
        <w:tabs>
          <w:tab w:val="left" w:pos="7770"/>
          <w:tab w:val="clear" w:pos="8296"/>
        </w:tabs>
        <w:snapToGrid w:val="0"/>
        <w:ind w:left="0" w:firstLine="480" w:firstLineChars="200"/>
        <w:jc w:val="both"/>
      </w:pPr>
      <w:r>
        <w:rPr>
          <w:rFonts w:hint="eastAsia" w:ascii="仿宋" w:hAnsi="仿宋" w:eastAsia="仿宋" w:cs="宋体"/>
          <w:sz w:val="24"/>
          <w:szCs w:val="24"/>
        </w:rPr>
        <w:t>8.项目服务质量保证期为1年（自项目验收合格之日起计算）。</w:t>
      </w:r>
    </w:p>
    <w:p>
      <w:pPr>
        <w:spacing w:line="360" w:lineRule="auto"/>
        <w:ind w:firstLine="482" w:firstLineChars="200"/>
        <w:outlineLvl w:val="0"/>
        <w:rPr>
          <w:rFonts w:ascii="仿宋" w:hAnsi="仿宋" w:eastAsia="仿宋" w:cs="Arial"/>
          <w:b/>
          <w:bCs/>
          <w:sz w:val="24"/>
        </w:rPr>
      </w:pPr>
      <w:r>
        <w:rPr>
          <w:rFonts w:hint="eastAsia" w:ascii="仿宋" w:hAnsi="仿宋" w:eastAsia="仿宋" w:cs="Arial"/>
          <w:b/>
          <w:bCs/>
          <w:sz w:val="24"/>
        </w:rPr>
        <w:t>（四）档案整理要求</w:t>
      </w:r>
    </w:p>
    <w:p>
      <w:pPr>
        <w:spacing w:line="360" w:lineRule="auto"/>
        <w:ind w:firstLine="465"/>
        <w:rPr>
          <w:rFonts w:ascii="仿宋" w:hAnsi="仿宋" w:eastAsia="仿宋" w:cs="宋体"/>
          <w:sz w:val="24"/>
          <w:szCs w:val="24"/>
        </w:rPr>
      </w:pPr>
      <w:r>
        <w:rPr>
          <w:rFonts w:hint="eastAsia" w:ascii="仿宋" w:hAnsi="仿宋" w:eastAsia="仿宋" w:cs="宋体"/>
          <w:sz w:val="24"/>
          <w:szCs w:val="24"/>
        </w:rPr>
        <w:t>本项目档案整理采用案卷级管理方式。</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对需进行数字化加工的实体档案进行重新整理，内容包括区分是否归档、确定保管期限、确定类目号；按要求重新进行鉴定、分类、排序、敲页码、编制录入专业案卷级文件级条目信息；不规则和有破损现象的纸张进行托裱折叠、裱糊、修复修裱、编页、编号、著录、核对和档案盒填写相关数据、打印名称、打印卷内目录、打印A3封面，打孔、装订复原；装盒入册等。</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1、档案出库</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档案进出库交接必须严格执行档案进出库管理制度。中标单位必须建立管理制度，指定专人管理档案实体，并建立《档案出入库登记审批单》等工作流程单，做好调档出入库交接等各环节的登记工作。</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2、整理前审核</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在档案接收后需进行整理前审核。审查档案实体与档案袋登记信息是否一致，其中包括分类号、案卷号是否一致；权证号是否一致，是否有错放乱放现象，档案登记分类信息与原件实体分类信息是否一致。对于发现异常的需在档案检查情况登记表进行登记，并告知采购方指定工作人员进行确认、纠正、补缺，待修正完毕后进行正式整理工作。</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3、档案整理</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在检查档案完整性后才能进行档案整理工作；在实体档案中如发现有金属物应立即去掉，如订书针、大头针和回形针。</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对纸质资料进行排序，按照档案规范要求对形成资料的结果文本、过程文本和审批要件进行编排。</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对破损、不规则纸张进行裱糊和裁剪处理，并根据档案规范要求对图纸进行折叠整理。</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纸张大小在A4纸以上的按规范折叠，小于A4纸的按规范粘贴，破损纸张按规范修整，褪变字迹纸张的复印后再归档。</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对编排和整理好的档案进行编页码，以案卷为单位，对其左下角和反面右下角编码。档案整理在遵循档案整理规范的前提下，须要注意保持档案的整齐和便于扫描。</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4、条目著录</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根据档案类别号的编排顺序，由采购方统一分配；按照采购方档案管理目录制作要求著录，著录信息按规范要求字段著录，有权证号、座落、性质、权利人；建设单位名称、用地位置、许可证号等“两书两证”的关键信息。</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档号目录与图像命名一致，命名方式需符合采购方档案管理规范要求。</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5、档案装订、装盒</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根据采购方档案规范的格式要求，打印A3封皮、卷内目录、备考表和档案盒。档案扫描完成后，装订原则遵循尽可能保持档案原貌，装订不得缺页、漏页、错页，保持装订牢固，卷内材料不松动、脱落，装订合格率不低于99%。</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装订均采用三孔一线进行装订，装订孔不得破坏原档案信息，如装订边线不符合要求应重新装订。装订遵循“两对齐”原则，即装订线一侧边缘线对其，档案内页下边缘对齐。装盒和脊背格式根据采购方档案室规范要求要求进行装盒。</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6、档案归档、上架</w:t>
      </w:r>
    </w:p>
    <w:p>
      <w:pPr>
        <w:pStyle w:val="40"/>
        <w:tabs>
          <w:tab w:val="right" w:leader="dot" w:pos="9403"/>
          <w:tab w:val="clear" w:pos="8296"/>
        </w:tabs>
        <w:snapToGrid w:val="0"/>
        <w:ind w:left="0" w:firstLine="480" w:firstLineChars="200"/>
        <w:jc w:val="both"/>
      </w:pPr>
      <w:r>
        <w:rPr>
          <w:rFonts w:hint="eastAsia" w:ascii="仿宋" w:hAnsi="仿宋" w:eastAsia="仿宋" w:cs="宋体"/>
          <w:sz w:val="24"/>
          <w:szCs w:val="24"/>
        </w:rPr>
        <w:t>中标单位必须对档案实体进行逐卷清点，按档案数量、卷内文件目录、页数与顺序、文件状况、装订要求进行检查，并形成《归还档案登记表》等工作流程表，如发现丢失、损坏、圈划或涂改等将追求法律责任；顺序错误、卷间文件颠倒等情况，中标单位要重新进行处理和无条件整改。同时应配合采购方指定的专人一起做好实体清点交接工作和上架工作。</w:t>
      </w:r>
    </w:p>
    <w:p>
      <w:pPr>
        <w:spacing w:line="360" w:lineRule="auto"/>
        <w:ind w:firstLine="482" w:firstLineChars="200"/>
        <w:outlineLvl w:val="0"/>
        <w:rPr>
          <w:rFonts w:ascii="仿宋" w:hAnsi="仿宋" w:eastAsia="仿宋" w:cs="Arial"/>
          <w:b/>
          <w:bCs/>
          <w:sz w:val="24"/>
        </w:rPr>
      </w:pPr>
      <w:r>
        <w:rPr>
          <w:rFonts w:hint="eastAsia" w:ascii="仿宋" w:hAnsi="仿宋" w:eastAsia="仿宋" w:cs="Arial"/>
          <w:b/>
          <w:bCs/>
          <w:sz w:val="24"/>
        </w:rPr>
        <w:t>（五）档案扫描加工要求</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档案扫描加工处理工作包括：档案出库、档案拆卷整理、目录著录、档案扫描、图像处理、图像存储、数据质检、数据挂接、数据验收、数据备份、案卷（件）复原、成果管理等，并确保档案实体及其档案信息的安全保密，档案拆装时应注意保护档案不受损害。</w:t>
      </w:r>
    </w:p>
    <w:p>
      <w:pPr>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1.总则</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严格管理，明确责任，落实安全保密管理机制和质量管理机制，确保档案原件和数字化档案信息的安全保密，确保各环节工作符合档案行业标准的要求，并建立完整、规范的工作记录。</w:t>
      </w:r>
    </w:p>
    <w:p>
      <w:pPr>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2.拆卷整理</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档案出入库存需登记表格，填写记录单核对签字，明确双方责任。在扫描之前，根据档案实际情况，按下述步骤对档案进行适当整理，并视需要作出标识，立即汇报采购方确认方案，以确保档案数字化处理质量。</w:t>
      </w:r>
    </w:p>
    <w:p>
      <w:pPr>
        <w:snapToGrid w:val="0"/>
        <w:spacing w:line="360" w:lineRule="auto"/>
        <w:ind w:left="56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1</w:t>
      </w:r>
      <w:r>
        <w:rPr>
          <w:rFonts w:hint="eastAsia" w:ascii="仿宋" w:hAnsi="仿宋" w:eastAsia="仿宋" w:cs="宋体"/>
          <w:sz w:val="24"/>
          <w:szCs w:val="24"/>
          <w:lang w:val="zh-CN"/>
        </w:rPr>
        <w:t>）目录数据准备</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按照《档案著录规则》(DA/T18)等的要求，规范档案中的目录内容。案卷编目包含编写页号、填写卷内目录、填写备考表、编制案卷封面和编制案卷脊背和案卷目录等工作。包括确定档案目录的著录项、字段长度和内容要求等。如有错误或不规范的案卷题名、文件名、责任者、起止页号和页数等，应注明具体原因和处理方法并登记表单。提交采购方审核同意后，进行下一步处理。</w:t>
      </w:r>
    </w:p>
    <w:p>
      <w:pPr>
        <w:snapToGrid w:val="0"/>
        <w:spacing w:line="360" w:lineRule="auto"/>
        <w:ind w:left="56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2</w:t>
      </w:r>
      <w:r>
        <w:rPr>
          <w:rFonts w:hint="eastAsia" w:ascii="仿宋" w:hAnsi="仿宋" w:eastAsia="仿宋" w:cs="宋体"/>
          <w:sz w:val="24"/>
          <w:szCs w:val="24"/>
          <w:lang w:val="zh-CN"/>
        </w:rPr>
        <w:t>）拆除装订</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在不去除装订物情况下，影响扫描工作进行的档案，应拆除装订物。拆除装订物时应注意保护档案不受损害。</w:t>
      </w:r>
    </w:p>
    <w:p>
      <w:pPr>
        <w:snapToGrid w:val="0"/>
        <w:spacing w:line="360" w:lineRule="auto"/>
        <w:ind w:left="56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3</w:t>
      </w:r>
      <w:r>
        <w:rPr>
          <w:rFonts w:hint="eastAsia" w:ascii="仿宋" w:hAnsi="仿宋" w:eastAsia="仿宋" w:cs="宋体"/>
          <w:sz w:val="24"/>
          <w:szCs w:val="24"/>
          <w:lang w:val="zh-CN"/>
        </w:rPr>
        <w:t>）页面修整</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破损严重、无法直接进行扫描的档案，应先进行技术修复，褶皱不平影响扫描质量的原件应先进行相应处理(压平或烫平等)后再进行扫描。</w:t>
      </w:r>
    </w:p>
    <w:p>
      <w:pPr>
        <w:snapToGrid w:val="0"/>
        <w:spacing w:line="360" w:lineRule="auto"/>
        <w:ind w:left="56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4</w:t>
      </w:r>
      <w:r>
        <w:rPr>
          <w:rFonts w:hint="eastAsia" w:ascii="仿宋" w:hAnsi="仿宋" w:eastAsia="仿宋" w:cs="宋体"/>
          <w:sz w:val="24"/>
          <w:szCs w:val="24"/>
          <w:lang w:val="zh-CN"/>
        </w:rPr>
        <w:t>）档案整理登记</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制作并填写纸质档案数字化加工过程表单，档案整理后每份文件页数等情况录入。</w:t>
      </w:r>
    </w:p>
    <w:p>
      <w:pPr>
        <w:snapToGrid w:val="0"/>
        <w:spacing w:line="360" w:lineRule="auto"/>
        <w:ind w:left="56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5</w:t>
      </w:r>
      <w:r>
        <w:rPr>
          <w:rFonts w:hint="eastAsia" w:ascii="仿宋" w:hAnsi="仿宋" w:eastAsia="仿宋" w:cs="宋体"/>
          <w:sz w:val="24"/>
          <w:szCs w:val="24"/>
          <w:lang w:val="zh-CN"/>
        </w:rPr>
        <w:t>）装订</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扫描工作完成后，拆除过装订物的档案必须按实体档案保管的要求重新装订复原。恢复装订时，要保持档案的排列顺序不变，做到安全、准确、无遗漏，达到采购单位的入库标准。</w:t>
      </w:r>
    </w:p>
    <w:p>
      <w:pPr>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3.目录著录</w:t>
      </w:r>
    </w:p>
    <w:p>
      <w:pPr>
        <w:snapToGrid w:val="0"/>
        <w:spacing w:line="360" w:lineRule="auto"/>
        <w:ind w:left="56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1</w:t>
      </w:r>
      <w:r>
        <w:rPr>
          <w:rFonts w:hint="eastAsia" w:ascii="仿宋" w:hAnsi="仿宋" w:eastAsia="仿宋" w:cs="宋体"/>
          <w:sz w:val="24"/>
          <w:szCs w:val="24"/>
          <w:lang w:val="zh-CN"/>
        </w:rPr>
        <w:t>）数据格式选择</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目录建库应选择通用的数据格式。所选定的数据格式应能直接或间接通过XML文档进行数据交换。</w:t>
      </w:r>
    </w:p>
    <w:p>
      <w:pPr>
        <w:snapToGrid w:val="0"/>
        <w:spacing w:line="360" w:lineRule="auto"/>
        <w:ind w:left="56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2</w:t>
      </w:r>
      <w:r>
        <w:rPr>
          <w:rFonts w:hint="eastAsia" w:ascii="仿宋" w:hAnsi="仿宋" w:eastAsia="仿宋" w:cs="宋体"/>
          <w:sz w:val="24"/>
          <w:szCs w:val="24"/>
          <w:lang w:val="zh-CN"/>
        </w:rPr>
        <w:t>）档案著录</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按照《档案著录规则》(DA/T18)的要求进行著录，建立档案级目录数据库。同时对数据库相应的目录进行修正，确保目录的准确率；</w:t>
      </w:r>
      <w:r>
        <w:rPr>
          <w:rFonts w:hint="eastAsia" w:ascii="仿宋" w:hAnsi="仿宋" w:eastAsia="仿宋"/>
          <w:sz w:val="24"/>
          <w:szCs w:val="24"/>
        </w:rPr>
        <w:t>包括档案案卷级和文件级条目著录、内容数据校对、补录、目录打印和建库等。</w:t>
      </w:r>
    </w:p>
    <w:p>
      <w:pPr>
        <w:snapToGrid w:val="0"/>
        <w:spacing w:line="360" w:lineRule="auto"/>
        <w:ind w:left="56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3</w:t>
      </w:r>
      <w:r>
        <w:rPr>
          <w:rFonts w:hint="eastAsia" w:ascii="仿宋" w:hAnsi="仿宋" w:eastAsia="仿宋" w:cs="宋体"/>
          <w:sz w:val="24"/>
          <w:szCs w:val="24"/>
          <w:lang w:val="zh-CN"/>
        </w:rPr>
        <w:t>）目录数据质量检查</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采用双机对录自动校对的方式，对目录数据库的建库质量进行检查。核对著录项目是否完整、著录内容是否规范、准确，发现不合格的数据立即进行修改或重录。</w:t>
      </w:r>
    </w:p>
    <w:p>
      <w:pPr>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4．档案扫描</w:t>
      </w:r>
    </w:p>
    <w:p>
      <w:pPr>
        <w:snapToGrid w:val="0"/>
        <w:spacing w:line="360" w:lineRule="auto"/>
        <w:ind w:left="56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1</w:t>
      </w:r>
      <w:r>
        <w:rPr>
          <w:rFonts w:hint="eastAsia" w:ascii="仿宋" w:hAnsi="仿宋" w:eastAsia="仿宋" w:cs="宋体"/>
          <w:sz w:val="24"/>
          <w:szCs w:val="24"/>
          <w:lang w:val="zh-CN"/>
        </w:rPr>
        <w:t>）扫描方式</w:t>
      </w:r>
    </w:p>
    <w:p>
      <w:pPr>
        <w:snapToGrid w:val="0"/>
        <w:spacing w:line="360" w:lineRule="auto"/>
        <w:ind w:firstLine="480" w:firstLineChars="200"/>
        <w:rPr>
          <w:rFonts w:ascii="仿宋" w:hAnsi="仿宋" w:eastAsia="仿宋" w:cs="宋体"/>
          <w:sz w:val="24"/>
          <w:szCs w:val="24"/>
        </w:rPr>
      </w:pPr>
      <w:r>
        <w:rPr>
          <w:rFonts w:hint="eastAsia" w:ascii="仿宋" w:hAnsi="仿宋" w:eastAsia="仿宋"/>
          <w:sz w:val="24"/>
          <w:szCs w:val="24"/>
        </w:rPr>
        <w:t>为保护档案原件，</w:t>
      </w:r>
      <w:r>
        <w:rPr>
          <w:rFonts w:hint="eastAsia" w:ascii="仿宋" w:hAnsi="仿宋" w:eastAsia="仿宋" w:cs="宋体"/>
          <w:sz w:val="24"/>
          <w:szCs w:val="24"/>
        </w:rPr>
        <w:t>根据档案幅面的大小</w:t>
      </w:r>
      <w:r>
        <w:rPr>
          <w:rFonts w:ascii="仿宋" w:hAnsi="仿宋" w:eastAsia="仿宋" w:cs="宋体"/>
          <w:sz w:val="24"/>
          <w:szCs w:val="24"/>
        </w:rPr>
        <w:t>(A4</w:t>
      </w:r>
      <w:r>
        <w:rPr>
          <w:rFonts w:hint="eastAsia" w:ascii="仿宋" w:hAnsi="仿宋" w:eastAsia="仿宋" w:cs="宋体"/>
          <w:sz w:val="24"/>
          <w:szCs w:val="24"/>
        </w:rPr>
        <w:t>、</w:t>
      </w:r>
      <w:r>
        <w:rPr>
          <w:rFonts w:ascii="仿宋" w:hAnsi="仿宋" w:eastAsia="仿宋" w:cs="宋体"/>
          <w:sz w:val="24"/>
          <w:szCs w:val="24"/>
        </w:rPr>
        <w:t>16K</w:t>
      </w:r>
      <w:r>
        <w:rPr>
          <w:rFonts w:hint="eastAsia" w:ascii="仿宋" w:hAnsi="仿宋" w:eastAsia="仿宋" w:cs="宋体"/>
          <w:sz w:val="24"/>
          <w:szCs w:val="24"/>
        </w:rPr>
        <w:t>、</w:t>
      </w:r>
      <w:r>
        <w:rPr>
          <w:rFonts w:ascii="仿宋" w:hAnsi="仿宋" w:eastAsia="仿宋" w:cs="宋体"/>
          <w:sz w:val="24"/>
          <w:szCs w:val="24"/>
        </w:rPr>
        <w:t>A3</w:t>
      </w:r>
      <w:r>
        <w:rPr>
          <w:rFonts w:hint="eastAsia" w:ascii="仿宋" w:hAnsi="仿宋" w:eastAsia="仿宋" w:cs="宋体"/>
          <w:sz w:val="24"/>
          <w:szCs w:val="24"/>
        </w:rPr>
        <w:t>等</w:t>
      </w:r>
      <w:r>
        <w:rPr>
          <w:rFonts w:ascii="仿宋" w:hAnsi="仿宋" w:eastAsia="仿宋" w:cs="宋体"/>
          <w:sz w:val="24"/>
          <w:szCs w:val="24"/>
        </w:rPr>
        <w:t>)</w:t>
      </w:r>
      <w:r>
        <w:rPr>
          <w:rFonts w:hint="eastAsia" w:ascii="仿宋" w:hAnsi="仿宋" w:eastAsia="仿宋" w:cs="宋体"/>
          <w:sz w:val="24"/>
          <w:szCs w:val="24"/>
        </w:rPr>
        <w:t>一律</w:t>
      </w:r>
      <w:r>
        <w:rPr>
          <w:rFonts w:hint="eastAsia" w:ascii="仿宋" w:hAnsi="仿宋" w:eastAsia="仿宋"/>
          <w:sz w:val="24"/>
          <w:szCs w:val="24"/>
        </w:rPr>
        <w:t>使用平板扫描仪进行数字化加工。</w:t>
      </w:r>
      <w:r>
        <w:rPr>
          <w:rFonts w:hint="eastAsia" w:ascii="仿宋" w:hAnsi="仿宋" w:eastAsia="仿宋" w:cs="宋体"/>
          <w:sz w:val="24"/>
          <w:szCs w:val="24"/>
        </w:rPr>
        <w:t>A3以上大幅面规划图纸档案采用宽幅工程扫描仪设备扫描。纸张状况较差，以及过薄、过软或超厚的档案，要先修补修复完整才可以用平板扫描仪扫描；所有档案不得采用高速扫描仪扫描。</w:t>
      </w:r>
    </w:p>
    <w:p>
      <w:pPr>
        <w:snapToGrid w:val="0"/>
        <w:spacing w:line="360" w:lineRule="auto"/>
        <w:ind w:left="56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2</w:t>
      </w:r>
      <w:r>
        <w:rPr>
          <w:rFonts w:hint="eastAsia" w:ascii="仿宋" w:hAnsi="仿宋" w:eastAsia="仿宋" w:cs="宋体"/>
          <w:sz w:val="24"/>
          <w:szCs w:val="24"/>
          <w:lang w:val="zh-CN"/>
        </w:rPr>
        <w:t>）扫描模式</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文档资料等主要内容的扫描模式采用彩色模式进行扫描，其分辨率要求为300dpi。为保证图片的不失真，必须为JPEG或TIF格式压缩扫描。扫描图像字迹清晰、颜色恰当，不宜过浅和过深，并且不得出现字迹笔画残缺或字迹笔画叠合而影响阅读的情况，即使原档案存在锈斑变质、颜色过浅或深浅不一致，也应保证扫描图像可读，扫描留下的墨迹宽度不得超过0.5厘米，并且指印和黑线不能覆盖或影响书本正文内容。扫描的页面内容居中显示，不可出现明显偏左或偏右的现象，正文内容、页眉、页脚、反面印章、附件、手写注释等信息完整；图像内容与书本面完全对应，不得出现书页内容残缺或将旁边页面信息扫入本页的现象。扫描图像必须与原图页面一一对应，不得出现颠倒、缺页、重页或错页情况。</w:t>
      </w:r>
    </w:p>
    <w:p>
      <w:pPr>
        <w:snapToGrid w:val="0"/>
        <w:spacing w:line="360" w:lineRule="auto"/>
        <w:ind w:left="56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3</w:t>
      </w:r>
      <w:r>
        <w:rPr>
          <w:rFonts w:hint="eastAsia" w:ascii="仿宋" w:hAnsi="仿宋" w:eastAsia="仿宋" w:cs="宋体"/>
          <w:sz w:val="24"/>
          <w:szCs w:val="24"/>
          <w:lang w:val="zh-CN"/>
        </w:rPr>
        <w:t>）扫描登记</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认真填写纸质档案数字化转换过程交接登记表单，登记扫描页数，核对每份文件的实际扫描页数与档案整理时填写的文件页数是否一致，不一致时应注明具体原因和处理方法。并提交采购单位审核同意后，进行处理。</w:t>
      </w:r>
    </w:p>
    <w:p>
      <w:pPr>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5.图像处理</w:t>
      </w:r>
    </w:p>
    <w:p>
      <w:pPr>
        <w:pStyle w:val="48"/>
        <w:spacing w:after="0" w:line="360" w:lineRule="auto"/>
        <w:ind w:firstLine="480" w:firstLineChars="200"/>
        <w:rPr>
          <w:rFonts w:ascii="仿宋" w:hAnsi="仿宋" w:eastAsia="仿宋" w:cs="宋体"/>
          <w:sz w:val="24"/>
          <w:szCs w:val="24"/>
        </w:rPr>
      </w:pPr>
      <w:r>
        <w:rPr>
          <w:rFonts w:hint="eastAsia" w:ascii="仿宋" w:hAnsi="仿宋" w:eastAsia="仿宋" w:cs="宋体"/>
          <w:sz w:val="24"/>
          <w:szCs w:val="24"/>
          <w:lang w:val="zh-CN"/>
        </w:rPr>
        <w:t>（</w:t>
      </w:r>
      <w:r>
        <w:rPr>
          <w:rFonts w:hint="eastAsia" w:ascii="仿宋" w:hAnsi="仿宋" w:eastAsia="仿宋" w:cs="宋体"/>
          <w:sz w:val="24"/>
          <w:szCs w:val="24"/>
        </w:rPr>
        <w:t>1</w:t>
      </w:r>
      <w:r>
        <w:rPr>
          <w:rFonts w:hint="eastAsia" w:ascii="仿宋" w:hAnsi="仿宋" w:eastAsia="仿宋" w:cs="宋体"/>
          <w:sz w:val="24"/>
          <w:szCs w:val="24"/>
          <w:lang w:val="zh-CN"/>
        </w:rPr>
        <w:t>）图像处理</w:t>
      </w:r>
      <w:r>
        <w:rPr>
          <w:rFonts w:hint="eastAsia" w:ascii="仿宋" w:hAnsi="仿宋" w:eastAsia="仿宋" w:cs="宋体"/>
          <w:sz w:val="24"/>
          <w:szCs w:val="24"/>
        </w:rPr>
        <w:t>要求文字及线条清晰、背景干净、图面上有效信号无损，页面按原始档案标准化处理。</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lang w:val="zh-CN"/>
        </w:rPr>
        <w:t>（</w:t>
      </w:r>
      <w:r>
        <w:rPr>
          <w:rFonts w:hint="eastAsia" w:ascii="仿宋" w:hAnsi="仿宋" w:eastAsia="仿宋" w:cs="宋体"/>
          <w:sz w:val="24"/>
          <w:szCs w:val="24"/>
        </w:rPr>
        <w:t>2</w:t>
      </w:r>
      <w:r>
        <w:rPr>
          <w:rFonts w:hint="eastAsia" w:ascii="仿宋" w:hAnsi="仿宋" w:eastAsia="仿宋" w:cs="宋体"/>
          <w:sz w:val="24"/>
          <w:szCs w:val="24"/>
          <w:lang w:val="zh-CN"/>
        </w:rPr>
        <w:t>）</w:t>
      </w:r>
      <w:r>
        <w:rPr>
          <w:rFonts w:hint="eastAsia" w:ascii="仿宋" w:hAnsi="仿宋" w:eastAsia="仿宋" w:cs="宋体"/>
          <w:sz w:val="24"/>
          <w:szCs w:val="24"/>
        </w:rPr>
        <w:t>图像纠偏：图像整体倾斜不得超过1度；不得出现图像的一部分倾斜或扭曲而影响阅读的现象。如果档案页面存在部分倾斜的，以页面中标题纠正为准。</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lang w:val="zh-CN"/>
        </w:rPr>
        <w:t>（</w:t>
      </w:r>
      <w:r>
        <w:rPr>
          <w:rFonts w:hint="eastAsia" w:ascii="仿宋" w:hAnsi="仿宋" w:eastAsia="仿宋" w:cs="宋体"/>
          <w:sz w:val="24"/>
          <w:szCs w:val="24"/>
        </w:rPr>
        <w:t>3</w:t>
      </w:r>
      <w:r>
        <w:rPr>
          <w:rFonts w:hint="eastAsia" w:ascii="仿宋" w:hAnsi="仿宋" w:eastAsia="仿宋" w:cs="宋体"/>
          <w:sz w:val="24"/>
          <w:szCs w:val="24"/>
          <w:lang w:val="zh-CN"/>
        </w:rPr>
        <w:t>）</w:t>
      </w:r>
      <w:r>
        <w:rPr>
          <w:rFonts w:hint="eastAsia" w:ascii="仿宋" w:hAnsi="仿宋" w:eastAsia="仿宋" w:cs="宋体"/>
          <w:sz w:val="24"/>
          <w:szCs w:val="24"/>
        </w:rPr>
        <w:t>图像去污：所有扫描留下的黑线、指印、阴影或污点都必须清除干净（在放大50%的情况下）。由于印刷质量或纸张质量等造成的页面上有零星的污点和反面倒映文字污点比较多，如果在页面视图下看不清楚，或该污点嵌在文本行中无法清除，可以不清除，但应尽量保证图像可读。应遵循展现档案原貌的原则，处理过程中不得去除档案页面原有的纸张褪变斑点、水渍、污点、装订孔等痕迹。用图像处理软件去污不得使用橡皮擦工具。</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lang w:val="zh-CN"/>
        </w:rPr>
        <w:t>（</w:t>
      </w:r>
      <w:r>
        <w:rPr>
          <w:rFonts w:hint="eastAsia" w:ascii="仿宋" w:hAnsi="仿宋" w:eastAsia="仿宋" w:cs="宋体"/>
          <w:sz w:val="24"/>
          <w:szCs w:val="24"/>
        </w:rPr>
        <w:t>4</w:t>
      </w:r>
      <w:r>
        <w:rPr>
          <w:rFonts w:hint="eastAsia" w:ascii="仿宋" w:hAnsi="仿宋" w:eastAsia="仿宋" w:cs="宋体"/>
          <w:sz w:val="24"/>
          <w:szCs w:val="24"/>
          <w:lang w:val="zh-CN"/>
        </w:rPr>
        <w:t>）</w:t>
      </w:r>
      <w:r>
        <w:rPr>
          <w:rFonts w:hint="eastAsia" w:ascii="仿宋" w:hAnsi="仿宋" w:eastAsia="仿宋" w:cs="宋体"/>
          <w:sz w:val="24"/>
          <w:szCs w:val="24"/>
        </w:rPr>
        <w:t>图像拼接：对大幅面档案进行分区扫描形成的多幅图像，应进行拼接处理，合并为一个完整的图像，以保证档案数字化图像的整体性。拼接时应确保拼接处平滑地融合，拼接后整幅图像无明显拼接痕迹。</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lang w:val="zh-CN"/>
        </w:rPr>
        <w:t>（</w:t>
      </w:r>
      <w:r>
        <w:rPr>
          <w:rFonts w:hint="eastAsia" w:ascii="仿宋" w:hAnsi="仿宋" w:eastAsia="仿宋" w:cs="宋体"/>
          <w:sz w:val="24"/>
          <w:szCs w:val="24"/>
        </w:rPr>
        <w:t>5</w:t>
      </w:r>
      <w:r>
        <w:rPr>
          <w:rFonts w:hint="eastAsia" w:ascii="仿宋" w:hAnsi="仿宋" w:eastAsia="仿宋" w:cs="宋体"/>
          <w:sz w:val="24"/>
          <w:szCs w:val="24"/>
          <w:lang w:val="zh-CN"/>
        </w:rPr>
        <w:t>）</w:t>
      </w:r>
      <w:r>
        <w:rPr>
          <w:rFonts w:hint="eastAsia" w:ascii="仿宋" w:hAnsi="仿宋" w:eastAsia="仿宋" w:cs="宋体"/>
          <w:sz w:val="24"/>
          <w:szCs w:val="24"/>
        </w:rPr>
        <w:t>图像数据质量检验</w:t>
      </w:r>
    </w:p>
    <w:p>
      <w:pPr>
        <w:snapToGri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rPr>
        <w:t>①</w:t>
      </w:r>
      <w:r>
        <w:rPr>
          <w:rFonts w:hint="eastAsia" w:ascii="仿宋" w:hAnsi="仿宋" w:eastAsia="仿宋" w:cs="宋体"/>
          <w:sz w:val="24"/>
          <w:szCs w:val="24"/>
          <w:lang w:val="zh-CN"/>
        </w:rPr>
        <w:t>对图像偏斜度、清晰度、失真度等进行检查。发现不符合图像质量要求时，应重新进行图像的处理。</w:t>
      </w:r>
    </w:p>
    <w:p>
      <w:pPr>
        <w:snapToGri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rPr>
        <w:t>②</w:t>
      </w:r>
      <w:r>
        <w:rPr>
          <w:rFonts w:hint="eastAsia" w:ascii="仿宋" w:hAnsi="仿宋" w:eastAsia="仿宋" w:cs="宋体"/>
          <w:sz w:val="24"/>
          <w:szCs w:val="24"/>
          <w:lang w:val="zh-CN"/>
        </w:rPr>
        <w:t>由于操作不当，造成扫描的图像文件不完整或无法清晰识别时，应重新扫描。</w:t>
      </w:r>
    </w:p>
    <w:p>
      <w:pPr>
        <w:snapToGri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rPr>
        <w:t>③</w:t>
      </w:r>
      <w:r>
        <w:rPr>
          <w:rFonts w:hint="eastAsia" w:ascii="仿宋" w:hAnsi="仿宋" w:eastAsia="仿宋" w:cs="宋体"/>
          <w:sz w:val="24"/>
          <w:szCs w:val="24"/>
          <w:lang w:val="zh-CN"/>
        </w:rPr>
        <w:t>发现文件漏扫时，应及时补扫并正确插入图像。</w:t>
      </w:r>
    </w:p>
    <w:p>
      <w:pPr>
        <w:snapToGri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rPr>
        <w:t>④</w:t>
      </w:r>
      <w:r>
        <w:rPr>
          <w:rFonts w:hint="eastAsia" w:ascii="仿宋" w:hAnsi="仿宋" w:eastAsia="仿宋" w:cs="宋体"/>
          <w:sz w:val="24"/>
          <w:szCs w:val="24"/>
          <w:lang w:val="zh-CN"/>
        </w:rPr>
        <w:t>发现扫描图像的排列顺序与档案原件不一致时，应及时进行调整。</w:t>
      </w:r>
    </w:p>
    <w:p>
      <w:pPr>
        <w:snapToGri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rPr>
        <w:t>⑤</w:t>
      </w:r>
      <w:r>
        <w:rPr>
          <w:rFonts w:hint="eastAsia" w:ascii="仿宋" w:hAnsi="仿宋" w:eastAsia="仿宋" w:cs="宋体"/>
          <w:sz w:val="24"/>
          <w:szCs w:val="24"/>
          <w:lang w:val="zh-CN"/>
        </w:rPr>
        <w:t>认真填写相关表单，记录质检结果和处理意见。并提交采购单位审核同意后，进行处理。</w:t>
      </w:r>
    </w:p>
    <w:p>
      <w:pPr>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6．数据存储</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（1）存储格式：纸质档案原始图像以JPEG或TIF格式存储；最终成果为PDF格式备份。PDF文件只允许由原始JPEG或TIFF文件转化而成，不得由其它途径生成。</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（2）图像文件的命名： 案卷目录数据库中的每一卷，都有一个与之相对应的唯一案卷档号；目录图片命名格式需由图片顺序号+题名批量重命名完成，保证图片题名准确性以达到最大化利用。</w:t>
      </w:r>
    </w:p>
    <w:p>
      <w:pPr>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7．数据自检</w:t>
      </w:r>
    </w:p>
    <w:p>
      <w:pPr>
        <w:spacing w:line="360" w:lineRule="auto"/>
        <w:ind w:firstLine="420" w:firstLineChars="175"/>
        <w:rPr>
          <w:rFonts w:ascii="仿宋" w:hAnsi="仿宋" w:eastAsia="仿宋"/>
          <w:sz w:val="24"/>
          <w:szCs w:val="24"/>
        </w:rPr>
      </w:pPr>
      <w:r>
        <w:rPr>
          <w:rFonts w:hint="eastAsia" w:ascii="仿宋" w:hAnsi="仿宋" w:eastAsia="仿宋"/>
          <w:sz w:val="24"/>
          <w:szCs w:val="24"/>
        </w:rPr>
        <w:t>将图像数据与条目数据进行对应分件中，并进行自检，对错误和不规范的数据及时进行修改或重录，保证条目与影像的100%对应，再提交甲方单位抽检。</w:t>
      </w:r>
    </w:p>
    <w:p>
      <w:pPr>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8．数据验收</w:t>
      </w:r>
    </w:p>
    <w:p>
      <w:pPr>
        <w:snapToGrid w:val="0"/>
        <w:spacing w:line="360" w:lineRule="auto"/>
        <w:ind w:left="120" w:leftChars="57" w:firstLine="420" w:firstLineChars="175"/>
        <w:rPr>
          <w:rFonts w:ascii="仿宋" w:hAnsi="仿宋" w:eastAsia="仿宋" w:cs="宋体"/>
          <w:sz w:val="24"/>
          <w:szCs w:val="24"/>
        </w:rPr>
      </w:pPr>
      <w:r>
        <w:rPr>
          <w:rFonts w:hint="eastAsia" w:ascii="仿宋" w:hAnsi="仿宋" w:eastAsia="仿宋" w:cs="宋体"/>
          <w:sz w:val="24"/>
          <w:szCs w:val="24"/>
        </w:rPr>
        <w:t>数字化成果由中标单位自检后提交采购方专人负责抽检，抽检比率不低于10%，数据库条目与数字图像内容对应的准确性，抽检合格率应为100%。以</w:t>
      </w:r>
      <w:r>
        <w:rPr>
          <w:rFonts w:hint="eastAsia" w:ascii="仿宋" w:hAnsi="仿宋" w:eastAsia="仿宋" w:cs="宋体"/>
          <w:sz w:val="24"/>
          <w:szCs w:val="24"/>
          <w:lang w:val="zh-CN"/>
        </w:rPr>
        <w:t>抽检的方式检查已完成数字化转换的所有数据，包括目录数据库、图像文件及数据挂接前的总体质量进行。</w:t>
      </w:r>
    </w:p>
    <w:p>
      <w:pPr>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9．数据挂接</w:t>
      </w:r>
    </w:p>
    <w:p>
      <w:pPr>
        <w:snapToGrid w:val="0"/>
        <w:spacing w:line="360" w:lineRule="auto"/>
        <w:ind w:left="120" w:leftChars="57" w:firstLine="420" w:firstLineChars="175"/>
        <w:rPr>
          <w:rFonts w:ascii="仿宋" w:hAnsi="仿宋" w:eastAsia="仿宋" w:cs="宋体"/>
          <w:sz w:val="24"/>
          <w:szCs w:val="24"/>
        </w:rPr>
      </w:pPr>
      <w:r>
        <w:rPr>
          <w:rFonts w:hint="eastAsia" w:ascii="仿宋" w:hAnsi="仿宋" w:eastAsia="仿宋" w:cs="宋体"/>
          <w:sz w:val="24"/>
          <w:szCs w:val="24"/>
        </w:rPr>
        <w:t>档案数字化转换过程中形成的目录数据库与图像数据库，通过编制程序或借助相应软件，实现目录数据对相关联的数据及时加载到数据服务器端汇总。实现目录数据对相关联的数字图像的自动搜索，实现批量、快速挂接；并实现条目和原文查阅。</w:t>
      </w:r>
    </w:p>
    <w:p>
      <w:pPr>
        <w:spacing w:line="360" w:lineRule="auto"/>
        <w:ind w:left="120" w:leftChars="57" w:firstLine="348" w:firstLineChars="145"/>
        <w:rPr>
          <w:rFonts w:ascii="仿宋" w:hAnsi="仿宋" w:eastAsia="仿宋"/>
          <w:sz w:val="24"/>
          <w:szCs w:val="24"/>
        </w:rPr>
      </w:pPr>
      <w:r>
        <w:rPr>
          <w:rFonts w:hint="eastAsia" w:ascii="仿宋" w:hAnsi="仿宋" w:eastAsia="仿宋"/>
          <w:sz w:val="24"/>
          <w:szCs w:val="24"/>
        </w:rPr>
        <w:t>数据质检通过后返还中标单位进行图像格式转换、批量重命名、批量挂接至单位“一张图”档案管理系统通过最终验收。</w:t>
      </w:r>
    </w:p>
    <w:p>
      <w:pPr>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10．整理装订</w:t>
      </w:r>
    </w:p>
    <w:p>
      <w:pPr>
        <w:spacing w:line="360" w:lineRule="auto"/>
        <w:ind w:firstLine="480"/>
        <w:rPr>
          <w:rFonts w:ascii="仿宋" w:hAnsi="仿宋" w:eastAsia="仿宋"/>
          <w:sz w:val="24"/>
          <w:szCs w:val="24"/>
        </w:rPr>
      </w:pPr>
      <w:r>
        <w:rPr>
          <w:rFonts w:hint="eastAsia" w:ascii="仿宋" w:hAnsi="仿宋" w:eastAsia="仿宋"/>
          <w:sz w:val="24"/>
          <w:szCs w:val="24"/>
        </w:rPr>
        <w:t>数字化后的档案和拆除整理过装订物的资料应按档案保管的要求重新装订。档案实体必须逐卷清点，按档案数量、文件状况、卷内文件页数与顺序及装订要求等进行检查。恢复装订时，应注意保持档案的排列顺序不变，案卷不掉页、左边和底边整齐，做到安全无遗漏。</w:t>
      </w:r>
    </w:p>
    <w:p>
      <w:pPr>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11．数据备份</w:t>
      </w:r>
    </w:p>
    <w:p>
      <w:pPr>
        <w:snapToGrid w:val="0"/>
        <w:spacing w:line="360" w:lineRule="auto"/>
        <w:ind w:firstLine="540"/>
        <w:rPr>
          <w:rFonts w:ascii="仿宋" w:hAnsi="仿宋" w:eastAsia="仿宋" w:cs="宋体"/>
          <w:sz w:val="24"/>
          <w:szCs w:val="24"/>
        </w:rPr>
      </w:pPr>
      <w:r>
        <w:rPr>
          <w:rFonts w:hint="eastAsia" w:ascii="仿宋" w:hAnsi="仿宋" w:eastAsia="仿宋" w:cs="宋体"/>
          <w:sz w:val="24"/>
          <w:szCs w:val="24"/>
        </w:rPr>
        <w:t>经验收合格的完整数据应及时进行备份。为保证数据安全，扫描加工后的电子文件需要提交移动硬盘存储做挂接数据的JPEG和PDF双重备份。数据备份后应在相应的备份介质上做好标签，以便查找和管理。</w:t>
      </w:r>
    </w:p>
    <w:p>
      <w:pPr>
        <w:pStyle w:val="40"/>
        <w:tabs>
          <w:tab w:val="right" w:leader="dot" w:pos="9403"/>
          <w:tab w:val="clear" w:pos="8296"/>
        </w:tabs>
        <w:snapToGrid w:val="0"/>
        <w:ind w:left="0" w:firstLine="480" w:firstLineChars="200"/>
        <w:jc w:val="both"/>
      </w:pPr>
      <w:r>
        <w:rPr>
          <w:rFonts w:hint="eastAsia" w:ascii="仿宋" w:hAnsi="仿宋" w:eastAsia="仿宋" w:cs="宋体"/>
          <w:sz w:val="24"/>
          <w:szCs w:val="24"/>
        </w:rPr>
        <w:t>备份数据也应进行检验。备份数据的检验的内容主要包括备份数据能否打开、数据信息是否完整、文件数量是否准确等。</w:t>
      </w:r>
    </w:p>
    <w:p>
      <w:pPr>
        <w:spacing w:line="360" w:lineRule="auto"/>
        <w:ind w:firstLine="482" w:firstLineChars="200"/>
        <w:outlineLvl w:val="0"/>
        <w:rPr>
          <w:rFonts w:ascii="仿宋" w:hAnsi="仿宋" w:eastAsia="仿宋" w:cs="Arial"/>
          <w:b/>
          <w:bCs/>
          <w:sz w:val="24"/>
        </w:rPr>
      </w:pPr>
      <w:r>
        <w:rPr>
          <w:rFonts w:hint="eastAsia" w:ascii="仿宋" w:hAnsi="仿宋" w:eastAsia="仿宋" w:cs="Arial"/>
          <w:b/>
          <w:bCs/>
          <w:sz w:val="24"/>
        </w:rPr>
        <w:t>（六）安全保密要求</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严格遵守《中华人民共和国档案法》、《保密法》及采购单位的保密规定及相关规章制度。本项目所有工作必须在采购单位指定的场所内进行，确保加工场所的正常秩序和安全。在进行数字化加工过程中，所有人员不得将任何资料带出工作区域，不得向任何人以任何方式泄漏档案信息，接触到档案资料的人员，都必须对经手的案卷作详细记录，在项目执行过程中和项目结束后，所有磁性存储设备需要进行格式化处理，加工使用的硬盘归采购方所有不得带离现场。不得损毁、丢失档案，如有违反，将依法追究法律责任。加工单位应与采购单位签订保密协议，加工单位应做到：</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1.加工场地工作区随时清扫保持清洁，做好卫生工作。场所内不得放置除档案资料工作以外的任何物品，上岗前必须进行安全教育。</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2.强化人员管理，项目负责人员持证上岗，全部人员须填写个人简历，如有人员变动，应及时通知采购单位。</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建立严格的保密制度，落实相关安全措施，加强管理，杜绝工作人员对档案及档案信息的私自复制行为。对聘用的工作人员进行身份审查、资质审核，与人员个人签订保密协议，开展相关的保密知识和岗位知识培训，加强对工作人员的安全保密教育。为避免项目人员挂靠挂职而弄虚作假，在项目服务期间数字化加工所有服务人员情况表、人员身份审查表原件、资格证书原件及保密协议原件必须提交采购单位审核保存备案，直至项目结束归还原件。</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4.不同的工序之间要采取严格措施，杜绝泄密事故的发生。在加工过程中，投标人不能丢失、损毁档案，档案资料不能放错卷、盒。由于投标人过错导致档案资料及数据损毁或泄密的，投标人承担一切责任。</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5.扫描加工场地需配备必要设施，加装监控，实行录像确保档案原件和档案信息的安全和保密。</w:t>
      </w:r>
    </w:p>
    <w:p>
      <w:pPr>
        <w:pStyle w:val="40"/>
        <w:tabs>
          <w:tab w:val="right" w:leader="dot" w:pos="9403"/>
          <w:tab w:val="clear" w:pos="8296"/>
        </w:tabs>
        <w:snapToGrid w:val="0"/>
        <w:ind w:left="0" w:firstLine="480" w:firstLineChars="200"/>
        <w:jc w:val="both"/>
      </w:pPr>
      <w:r>
        <w:rPr>
          <w:rFonts w:hint="eastAsia" w:ascii="仿宋" w:hAnsi="仿宋" w:eastAsia="仿宋" w:cs="宋体"/>
          <w:sz w:val="24"/>
          <w:szCs w:val="24"/>
        </w:rPr>
        <w:t>6.不得在工作场所使用与工作无关的任何电子设备，不得使用手机、U盘等电子产品，以保证安全的稳定。</w:t>
      </w:r>
    </w:p>
    <w:p>
      <w:pPr>
        <w:spacing w:line="360" w:lineRule="auto"/>
        <w:ind w:firstLine="482" w:firstLineChars="200"/>
        <w:outlineLvl w:val="0"/>
      </w:pPr>
      <w:r>
        <w:rPr>
          <w:rFonts w:hint="eastAsia" w:ascii="仿宋" w:hAnsi="仿宋" w:eastAsia="仿宋" w:cs="Arial"/>
          <w:b/>
          <w:bCs/>
          <w:sz w:val="24"/>
        </w:rPr>
        <w:t>（七）服务地点及其他驻场要求</w:t>
      </w:r>
    </w:p>
    <w:p>
      <w:pPr>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sz w:val="24"/>
          <w:szCs w:val="24"/>
        </w:rPr>
        <w:t>1.服务地点：驻场加工地</w:t>
      </w:r>
      <w:r>
        <w:rPr>
          <w:rFonts w:hint="eastAsia" w:ascii="仿宋" w:hAnsi="仿宋" w:eastAsia="仿宋" w:cs="宋体"/>
          <w:color w:val="auto"/>
          <w:sz w:val="24"/>
          <w:szCs w:val="24"/>
        </w:rPr>
        <w:t>点由采购单位提供，项目中标单位遵照执行；中标单位必须根据实际工作量和采购单位的要求安排人员以及时完成扫描、整理、变更、注销、归档工作。</w:t>
      </w:r>
    </w:p>
    <w:p>
      <w:pPr>
        <w:spacing w:line="360" w:lineRule="auto"/>
        <w:ind w:firstLine="480" w:firstLineChars="200"/>
        <w:rPr>
          <w:rFonts w:ascii="仿宋" w:hAnsi="仿宋" w:eastAsia="仿宋" w:cs="宋体"/>
          <w:sz w:val="24"/>
          <w:szCs w:val="24"/>
        </w:rPr>
      </w:pPr>
      <w:r>
        <w:rPr>
          <w:rFonts w:hint="eastAsia" w:ascii="仿宋" w:hAnsi="仿宋" w:eastAsia="仿宋" w:cs="宋体"/>
          <w:color w:val="auto"/>
          <w:sz w:val="24"/>
          <w:szCs w:val="24"/>
        </w:rPr>
        <w:t>2.服务时间: 要求中标单位在签定合同后3个工作日内，将有关整理及数字化加工软、硬件设备、工作人员等进驻加工场地，并开始本项目启动工作。中标人所提供的软硬件设备必须是符合国家技术规范和质量标准的合格产品，满足采购单位的招投标使用需求，且必须保证与该软件的正常兼容，非采购单位人为因素而造成软件</w:t>
      </w:r>
      <w:r>
        <w:rPr>
          <w:rFonts w:hint="eastAsia" w:ascii="仿宋" w:hAnsi="仿宋" w:eastAsia="仿宋" w:cs="宋体"/>
          <w:sz w:val="24"/>
          <w:szCs w:val="24"/>
        </w:rPr>
        <w:t>任何损失由中标人承担相应责任。</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服务人员和驻场加工方式：中标单位在签订合同后派出的投标文件中指定资历和经验的项目经理三天内上岗，负责驻场项目管理，统筹相关工作，监督项目执行与情况汇报，控制工作质量，执行变更和应急情况管理，并根据项目实际状况实施人员安排，以保证项目的正常高效运作。要求项目负责人常驻项目实施地，每月驻场时间不少于24天，建立项目负责人到岗到位考核制。在整个项目期间，项目负责人不得更换，除不可抗力因素除外。乙方派出投标文件中指定资历和有实践经验的专业项目实施人员提供服务，甲方有权要求撤换不合格服务人员。若乙方原因，未经甲方书面同意，乙方不得擅自更换投标文件中的服务人员，否则甲方有权单方面解除合同，由此造成的损失由乙方承担。</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4.驻场加工时，驻场人员必须遵守采购方各项工作制度要求，并与采购单位相关人员形成良好的配合机制，人员进场后未经采购人同意不得擅自撤离；加工场所严格按照档案“八防”要求执行。</w:t>
      </w:r>
    </w:p>
    <w:p>
      <w:pPr>
        <w:snapToGrid w:val="0"/>
        <w:spacing w:line="360" w:lineRule="auto"/>
        <w:ind w:firstLine="480" w:firstLineChars="200"/>
      </w:pPr>
      <w:r>
        <w:rPr>
          <w:rFonts w:hint="eastAsia" w:ascii="仿宋" w:hAnsi="仿宋" w:eastAsia="仿宋" w:cs="宋体"/>
          <w:sz w:val="24"/>
          <w:szCs w:val="24"/>
        </w:rPr>
        <w:t>5.采购单位不提供档案扫描所需的任何相关设备和软件，所有扫描加工设备与软件均由中标单位自行提供。投标时，投标人应详细列明软硬件设备技术指标（品牌、规格型号、详细配置、主要技术参数等），任何因对其模糊的表述导致的不利投标影响责任在投标人。</w:t>
      </w:r>
    </w:p>
    <w:p>
      <w:pPr>
        <w:spacing w:line="360" w:lineRule="auto"/>
        <w:ind w:firstLine="482" w:firstLineChars="200"/>
        <w:outlineLvl w:val="0"/>
        <w:rPr>
          <w:rFonts w:ascii="仿宋" w:hAnsi="仿宋" w:eastAsia="仿宋" w:cs="Arial"/>
          <w:b/>
          <w:bCs/>
          <w:sz w:val="24"/>
        </w:rPr>
      </w:pPr>
      <w:r>
        <w:rPr>
          <w:rFonts w:hint="eastAsia" w:ascii="仿宋" w:hAnsi="仿宋" w:eastAsia="仿宋" w:cs="Arial"/>
          <w:b/>
          <w:bCs/>
          <w:sz w:val="24"/>
        </w:rPr>
        <w:t>（八）验收要求</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日常验收：投标人对每批次加工数据（包括档案装订、数据核对、档案扫描等）自检合格后，提交采购方验收。采购方按照验收标准10%的比例检查加工完成的档案，对图像质量，实体档案整理装订质量，图像与信息、实体的对应，图像属性的质量，图像与属性的对应，数据完整性，扫描件并案挂接准确性等方面进行多重质量检查。</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2、分期验收：投标人在完成计划中的每期任务后，正式提请分期验收。采购方接到申请后组成验收小组，按验收标准随机进行抽样检查。</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总验收：全部任务完成后，投标人正式提请总验收。采购方按规定组成验收小组，按验收标准随机进行抽样检查。保存在服务器上的图像及其属性数据与保存在存储介质上的数据要一致，并与档案实体保持一致。备份数据验收主要包括备份数据能否打开、数据信息是否完整、文件数量是否准确等。</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4、具体验收标准</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（1）纸质档案整档验收标准：</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①卷皮、卷内目录、备考表100%的比例检查打错；打码错误；材料顺序错误，差错率≤1‰，符合一项一次罚款50元，差错率＞1‰符合一项一次罚款100元。</w:t>
      </w:r>
    </w:p>
    <w:p>
      <w:pPr>
        <w:snapToGrid w:val="0"/>
        <w:spacing w:line="360" w:lineRule="auto"/>
        <w:ind w:firstLine="480" w:firstLineChars="200"/>
        <w:rPr>
          <w:rFonts w:ascii="仿宋" w:hAnsi="仿宋" w:eastAsia="仿宋" w:cs="宋体"/>
          <w:bCs/>
          <w:sz w:val="24"/>
          <w:szCs w:val="24"/>
        </w:rPr>
      </w:pPr>
      <w:r>
        <w:rPr>
          <w:rFonts w:hint="eastAsia" w:ascii="仿宋" w:hAnsi="仿宋" w:eastAsia="仿宋" w:cs="宋体"/>
          <w:sz w:val="24"/>
          <w:szCs w:val="24"/>
        </w:rPr>
        <w:t>②装订不规范，如脱页，掉页、裱糊不平整等，差错率≤1‰符合一项一次罚款50元，差错率＞</w:t>
      </w:r>
      <w:r>
        <w:rPr>
          <w:rFonts w:hint="eastAsia" w:ascii="仿宋" w:hAnsi="仿宋" w:eastAsia="仿宋" w:cs="宋体"/>
          <w:bCs/>
          <w:sz w:val="24"/>
          <w:szCs w:val="24"/>
        </w:rPr>
        <w:t>1‰符合一项一次罚款100元。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③两本或两本以上档案部分材料互换装订，差错率≤1‰一次罚款50元，差错率＞1‰一次罚款100元。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④档案原始材料：100%不得缺失。出现丢失、损毁的情况，第一次扣2万元，提交书面承诺书（对档案负完全责任），并予以警告；第二次则直接解除合同。</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（2）电子化档案验收标准：</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①扫描图像：漏扫率≤0.1‰发现一次罚款100元，漏扫率＞0.1‰发现一次罚款200元。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②图像质量：图像质量情况完好率98%。发现黑边、倒置、歪斜等，差错率≤2％符合一项一次罚款10元，差错率＞2％符合一项一次罚款20元。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③格式封装：图像文件的命名准确率100%。发现一宗罚款10元。</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④信息录入：以案卷（文件）为单位，关键字段正确率100%，错一字段等同于错一条记录，错误一条罚款20元；其余字段录入差错率≤３‰错误一条罚款10元，差错率＞３‰错误一条罚款20元。</w:t>
      </w:r>
    </w:p>
    <w:p>
      <w:pPr>
        <w:spacing w:line="360" w:lineRule="auto"/>
        <w:ind w:firstLine="480" w:firstLineChars="200"/>
        <w:outlineLvl w:val="0"/>
      </w:pPr>
      <w:r>
        <w:rPr>
          <w:rFonts w:hint="eastAsia" w:ascii="仿宋" w:hAnsi="仿宋" w:eastAsia="仿宋" w:cs="宋体"/>
          <w:sz w:val="24"/>
          <w:szCs w:val="24"/>
        </w:rPr>
        <w:t>⑤条目与图像挂接：条目与图像挂接正确率100%，扫描件挂接准确性100%。目录号、案卷号、权证号、权利人等错误的，符合一项罚款100元。</w:t>
      </w:r>
    </w:p>
    <w:p>
      <w:pPr>
        <w:spacing w:line="360" w:lineRule="auto"/>
        <w:ind w:firstLine="482" w:firstLineChars="200"/>
        <w:outlineLvl w:val="0"/>
        <w:rPr>
          <w:rFonts w:ascii="仿宋" w:hAnsi="仿宋" w:eastAsia="仿宋" w:cs="Arial"/>
          <w:b/>
          <w:bCs/>
          <w:sz w:val="24"/>
        </w:rPr>
      </w:pPr>
      <w:r>
        <w:rPr>
          <w:rFonts w:hint="eastAsia" w:ascii="仿宋" w:hAnsi="仿宋" w:eastAsia="仿宋" w:cs="Arial"/>
          <w:b/>
          <w:bCs/>
          <w:sz w:val="24"/>
        </w:rPr>
        <w:t>（九）验收方式和付款方式</w:t>
      </w:r>
    </w:p>
    <w:p>
      <w:pPr>
        <w:pStyle w:val="40"/>
        <w:tabs>
          <w:tab w:val="right" w:leader="dot" w:pos="9403"/>
          <w:tab w:val="clear" w:pos="8296"/>
        </w:tabs>
        <w:snapToGrid w:val="0"/>
        <w:ind w:left="0" w:firstLine="480" w:firstLineChars="200"/>
        <w:jc w:val="both"/>
        <w:rPr>
          <w:rFonts w:ascii="仿宋" w:hAnsi="仿宋" w:eastAsia="仿宋"/>
        </w:rPr>
      </w:pPr>
      <w:r>
        <w:rPr>
          <w:rFonts w:hint="eastAsia" w:ascii="仿宋" w:hAnsi="仿宋" w:eastAsia="仿宋" w:cs="宋体"/>
          <w:sz w:val="24"/>
          <w:szCs w:val="24"/>
        </w:rPr>
        <w:t>本项目合同期限：2年。本项目分期付款，合同签订生效后7日内预付至合同金额的</w:t>
      </w:r>
      <w:r>
        <w:rPr>
          <w:rFonts w:hint="eastAsia" w:ascii="仿宋" w:hAnsi="仿宋" w:eastAsia="仿宋" w:cs="宋体"/>
          <w:sz w:val="24"/>
          <w:szCs w:val="24"/>
          <w:lang w:val="en-US" w:eastAsia="zh-CN"/>
        </w:rPr>
        <w:t>3</w:t>
      </w:r>
      <w:bookmarkStart w:id="36" w:name="_GoBack"/>
      <w:bookmarkEnd w:id="36"/>
      <w:r>
        <w:rPr>
          <w:rFonts w:hint="eastAsia" w:ascii="仿宋" w:hAnsi="仿宋" w:eastAsia="仿宋" w:cs="宋体"/>
          <w:sz w:val="24"/>
          <w:szCs w:val="24"/>
        </w:rPr>
        <w:t>0%，剩余按季度根据实际档案的数字化建库工作量申请验收并按验收通过的实际工作量结款；项目最终完工后组织整体验收，验收合格并正常运行一个月后，再支付剩余的合同款。具体按实际工作量结算，累计结算金额最高不得超过预算金额。</w:t>
      </w:r>
    </w:p>
    <w:p>
      <w:pPr>
        <w:spacing w:line="360" w:lineRule="auto"/>
        <w:ind w:firstLine="482" w:firstLineChars="200"/>
        <w:outlineLvl w:val="0"/>
        <w:rPr>
          <w:rFonts w:ascii="仿宋" w:hAnsi="仿宋" w:eastAsia="仿宋" w:cs="Arial"/>
          <w:b/>
          <w:bCs/>
          <w:sz w:val="24"/>
        </w:rPr>
      </w:pPr>
      <w:r>
        <w:rPr>
          <w:rFonts w:hint="eastAsia" w:ascii="仿宋" w:hAnsi="仿宋" w:eastAsia="仿宋" w:cs="Arial"/>
          <w:b/>
          <w:bCs/>
          <w:sz w:val="24"/>
        </w:rPr>
        <w:t>（十）售后服务要求和违约责任</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1.售后服务期限：项目验收交付后提供一年免费售后服务。要求对项目7*24免费的现场售后服务，服务期满后，有义务向甲方提供有偿的后续技术支持。供应商承诺优于本要求的，以优惠者为准。</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2.违约责任</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（1）项目实施时确认场地负责人（项目经理）不按投标文件提供的到岗到位，视为弄虚作假不遵守招投标文件，由此甲方有权单方面终止合同，造成的损失由乙方自行承担。</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（2）中标方应严格按照本招标书规定的各项加工技术标准要求和投标时承诺的要求进行数字化加工。甲方将按进度、质量、管理等相关要求建立考核机制，如发生(产生)下列情形之一, 甲方可解除本合同：</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在加工期间，发生档案损坏、丢失、泄密或者其它违反《中华人民共和国档案法》有关规定的；</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在加工期间,发生火灾、治安、人员伤亡等安全生产事故的；</w:t>
      </w:r>
    </w:p>
    <w:p>
      <w:pPr>
        <w:pStyle w:val="40"/>
        <w:tabs>
          <w:tab w:val="right" w:leader="dot" w:pos="9403"/>
          <w:tab w:val="clear" w:pos="8296"/>
        </w:tabs>
        <w:snapToGrid w:val="0"/>
        <w:ind w:left="0" w:firstLine="480" w:firstLineChars="200"/>
        <w:jc w:val="both"/>
      </w:pPr>
      <w:r>
        <w:rPr>
          <w:rFonts w:hint="eastAsia" w:ascii="仿宋" w:hAnsi="仿宋" w:eastAsia="仿宋" w:cs="宋体"/>
          <w:sz w:val="24"/>
          <w:szCs w:val="24"/>
        </w:rPr>
        <w:t>整个项目逾期两个月未能完成的(除发生不可抗力的因素除外) 。</w:t>
      </w:r>
    </w:p>
    <w:p>
      <w:pPr>
        <w:spacing w:line="360" w:lineRule="auto"/>
        <w:ind w:firstLine="482" w:firstLineChars="200"/>
        <w:outlineLvl w:val="0"/>
        <w:rPr>
          <w:rFonts w:ascii="仿宋" w:hAnsi="仿宋" w:eastAsia="仿宋" w:cs="Arial"/>
          <w:b/>
          <w:bCs/>
          <w:sz w:val="24"/>
        </w:rPr>
      </w:pPr>
      <w:r>
        <w:rPr>
          <w:rFonts w:hint="eastAsia" w:ascii="仿宋" w:hAnsi="仿宋" w:eastAsia="仿宋" w:cs="Arial"/>
          <w:b/>
          <w:bCs/>
          <w:sz w:val="24"/>
        </w:rPr>
        <w:t>（十一）履约保证金</w:t>
      </w:r>
    </w:p>
    <w:p>
      <w:pPr>
        <w:pStyle w:val="40"/>
        <w:tabs>
          <w:tab w:val="right" w:leader="dot" w:pos="9403"/>
          <w:tab w:val="clear" w:pos="8296"/>
        </w:tabs>
        <w:snapToGrid w:val="0"/>
        <w:ind w:left="0" w:firstLine="480" w:firstLineChars="200"/>
        <w:jc w:val="both"/>
        <w:rPr>
          <w:rFonts w:ascii="仿宋" w:hAnsi="仿宋" w:eastAsia="仿宋" w:cs="宋体"/>
          <w:sz w:val="24"/>
          <w:szCs w:val="24"/>
        </w:rPr>
      </w:pPr>
      <w:r>
        <w:rPr>
          <w:rFonts w:hint="eastAsia" w:ascii="仿宋" w:hAnsi="仿宋" w:eastAsia="仿宋" w:cs="宋体"/>
          <w:sz w:val="24"/>
          <w:szCs w:val="24"/>
        </w:rPr>
        <w:t>本项目免收履约保证金。</w:t>
      </w:r>
    </w:p>
    <w:p>
      <w:pPr>
        <w:spacing w:line="360" w:lineRule="auto"/>
        <w:ind w:firstLine="482" w:firstLineChars="200"/>
        <w:outlineLvl w:val="0"/>
        <w:rPr>
          <w:rFonts w:ascii="仿宋" w:hAnsi="仿宋" w:eastAsia="仿宋" w:cs="Arial"/>
          <w:b/>
          <w:bCs/>
          <w:sz w:val="24"/>
        </w:rPr>
      </w:pPr>
      <w:r>
        <w:rPr>
          <w:rFonts w:hint="eastAsia" w:ascii="仿宋" w:hAnsi="仿宋" w:eastAsia="仿宋" w:cs="Arial"/>
          <w:b/>
          <w:bCs/>
          <w:sz w:val="24"/>
        </w:rPr>
        <w:t>（十二）最高限价</w:t>
      </w:r>
    </w:p>
    <w:p>
      <w:pPr>
        <w:pStyle w:val="40"/>
        <w:ind w:left="0" w:firstLine="480" w:firstLineChars="200"/>
        <w:rPr>
          <w:rFonts w:ascii="仿宋" w:hAnsi="仿宋" w:eastAsia="仿宋" w:cs="宋体"/>
          <w:sz w:val="24"/>
          <w:szCs w:val="24"/>
        </w:rPr>
      </w:pPr>
      <w:r>
        <w:rPr>
          <w:rFonts w:hint="eastAsia" w:ascii="仿宋" w:hAnsi="仿宋" w:eastAsia="仿宋" w:cs="宋体"/>
          <w:sz w:val="24"/>
          <w:szCs w:val="24"/>
        </w:rPr>
        <w:t>本项目按单价招标（最高单价限价详见“（二）项目基本情况”），采用统一单价折扣报价，折扣报价上限为100%，任何超过100%的报价将被认定为无效报价。</w:t>
      </w:r>
    </w:p>
    <w:p>
      <w:pPr>
        <w:autoSpaceDE/>
        <w:autoSpaceDN/>
        <w:adjustRightInd/>
        <w:spacing w:line="360" w:lineRule="auto"/>
        <w:ind w:firstLine="480" w:firstLineChars="200"/>
        <w:rPr>
          <w:color w:val="auto"/>
          <w:sz w:val="24"/>
          <w:szCs w:val="24"/>
        </w:rPr>
      </w:pPr>
      <w:r>
        <w:rPr>
          <w:rFonts w:hint="eastAsia" w:ascii="仿宋" w:hAnsi="仿宋" w:eastAsia="仿宋" w:cs="宋体"/>
          <w:sz w:val="24"/>
          <w:szCs w:val="24"/>
        </w:rPr>
        <w:t>数量按实结算，本项目最高合同金额不超过人民币叁佰贰拾万元整（￥3200000.00）。</w:t>
      </w:r>
    </w:p>
    <w:p>
      <w:pPr>
        <w:widowControl/>
        <w:tabs>
          <w:tab w:val="left" w:pos="420"/>
        </w:tabs>
        <w:spacing w:line="300" w:lineRule="auto"/>
        <w:ind w:right="-53" w:rightChars="-25" w:firstLine="470" w:firstLineChars="196"/>
        <w:textAlignment w:val="bottom"/>
        <w:rPr>
          <w:rFonts w:ascii="仿宋" w:hAnsi="仿宋" w:eastAsia="仿宋"/>
          <w:color w:val="auto"/>
          <w:sz w:val="24"/>
          <w:szCs w:val="24"/>
        </w:rPr>
        <w:sectPr>
          <w:pgSz w:w="11906" w:h="16838"/>
          <w:pgMar w:top="1134" w:right="1247" w:bottom="1021" w:left="1247" w:header="284" w:footer="454" w:gutter="0"/>
          <w:pgNumType w:fmt="numberInDash"/>
          <w:cols w:space="720" w:num="1"/>
          <w:titlePg/>
          <w:docGrid w:type="lines" w:linePitch="312" w:charSpace="0"/>
        </w:sectPr>
      </w:pPr>
    </w:p>
    <w:p>
      <w:pPr>
        <w:jc w:val="center"/>
        <w:rPr>
          <w:rFonts w:ascii="华文中宋" w:hAnsi="华文中宋" w:eastAsia="华文中宋"/>
          <w:b/>
          <w:color w:val="auto"/>
          <w:sz w:val="36"/>
          <w:szCs w:val="36"/>
        </w:rPr>
      </w:pPr>
      <w:r>
        <w:rPr>
          <w:rFonts w:hint="eastAsia" w:ascii="华文中宋" w:hAnsi="华文中宋" w:eastAsia="华文中宋"/>
          <w:b/>
          <w:color w:val="auto"/>
          <w:sz w:val="36"/>
          <w:szCs w:val="36"/>
        </w:rPr>
        <w:t>第五章  拟签订的合同文本</w:t>
      </w:r>
    </w:p>
    <w:p>
      <w:pPr>
        <w:spacing w:beforeLines="600" w:line="288" w:lineRule="auto"/>
        <w:rPr>
          <w:rFonts w:ascii="仿宋" w:hAnsi="仿宋" w:eastAsia="仿宋" w:cs="仿宋"/>
          <w:color w:val="auto"/>
          <w:sz w:val="24"/>
          <w:u w:val="single"/>
        </w:rPr>
      </w:pPr>
      <w:r>
        <w:rPr>
          <w:rFonts w:hint="eastAsia" w:ascii="仿宋" w:hAnsi="仿宋" w:eastAsia="仿宋" w:cs="仿宋"/>
          <w:color w:val="auto"/>
          <w:sz w:val="24"/>
        </w:rPr>
        <w:t>合同编号：</w:t>
      </w:r>
    </w:p>
    <w:p>
      <w:pPr>
        <w:spacing w:beforeLines="200" w:line="288"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pPr>
        <w:spacing w:line="288"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（服务类）</w:t>
      </w:r>
    </w:p>
    <w:p>
      <w:pPr>
        <w:pStyle w:val="9"/>
        <w:spacing w:beforeLines="500" w:line="288" w:lineRule="auto"/>
        <w:ind w:firstLine="0"/>
        <w:jc w:val="center"/>
        <w:rPr>
          <w:rFonts w:ascii="仿宋" w:hAnsi="仿宋" w:eastAsia="仿宋" w:cs="仿宋"/>
          <w:b/>
          <w:sz w:val="28"/>
          <w:szCs w:val="28"/>
        </w:rPr>
      </w:pPr>
      <w:r>
        <w:rPr>
          <w:rFonts w:hint="eastAsia" w:ascii="仿宋" w:hAnsi="仿宋" w:eastAsia="仿宋" w:cs="仿宋"/>
          <w:b/>
          <w:sz w:val="28"/>
          <w:szCs w:val="28"/>
        </w:rPr>
        <w:t>第一部分   合同书</w:t>
      </w:r>
    </w:p>
    <w:p>
      <w:pPr>
        <w:spacing w:before="120" w:line="288" w:lineRule="auto"/>
        <w:rPr>
          <w:rFonts w:ascii="仿宋" w:hAnsi="仿宋" w:eastAsia="仿宋" w:cs="仿宋"/>
          <w:color w:val="auto"/>
          <w:sz w:val="24"/>
        </w:rPr>
      </w:pPr>
    </w:p>
    <w:p>
      <w:pPr>
        <w:spacing w:before="120" w:line="288" w:lineRule="auto"/>
        <w:ind w:left="960"/>
        <w:rPr>
          <w:rFonts w:ascii="仿宋" w:hAnsi="仿宋" w:eastAsia="仿宋" w:cs="仿宋"/>
          <w:color w:val="auto"/>
          <w:sz w:val="24"/>
        </w:rPr>
      </w:pPr>
      <w:r>
        <w:rPr>
          <w:rFonts w:hint="eastAsia" w:ascii="仿宋" w:hAnsi="仿宋" w:eastAsia="仿宋" w:cs="仿宋"/>
          <w:color w:val="auto"/>
          <w:sz w:val="24"/>
        </w:rPr>
        <w:t>项目名称：</w:t>
      </w:r>
    </w:p>
    <w:p>
      <w:pPr>
        <w:spacing w:line="288" w:lineRule="auto"/>
        <w:rPr>
          <w:rFonts w:ascii="仿宋" w:hAnsi="仿宋" w:eastAsia="仿宋" w:cs="仿宋"/>
          <w:color w:val="auto"/>
          <w:sz w:val="24"/>
        </w:rPr>
      </w:pPr>
    </w:p>
    <w:p>
      <w:pPr>
        <w:spacing w:before="120" w:line="288" w:lineRule="auto"/>
        <w:ind w:left="960"/>
        <w:rPr>
          <w:rFonts w:ascii="仿宋" w:hAnsi="仿宋" w:eastAsia="仿宋" w:cs="仿宋"/>
          <w:color w:val="auto"/>
          <w:sz w:val="24"/>
          <w:u w:val="single"/>
        </w:rPr>
      </w:pPr>
      <w:r>
        <w:rPr>
          <w:rFonts w:hint="eastAsia" w:ascii="仿宋" w:hAnsi="仿宋" w:eastAsia="仿宋" w:cs="仿宋"/>
          <w:color w:val="auto"/>
          <w:sz w:val="24"/>
        </w:rPr>
        <w:t>甲方：</w:t>
      </w:r>
    </w:p>
    <w:p>
      <w:pPr>
        <w:spacing w:before="120" w:line="288" w:lineRule="auto"/>
        <w:rPr>
          <w:rFonts w:ascii="仿宋" w:hAnsi="仿宋" w:eastAsia="仿宋" w:cs="仿宋"/>
          <w:color w:val="auto"/>
          <w:sz w:val="24"/>
        </w:rPr>
      </w:pPr>
    </w:p>
    <w:p>
      <w:pPr>
        <w:spacing w:before="120" w:line="288" w:lineRule="auto"/>
        <w:ind w:left="960"/>
        <w:rPr>
          <w:rFonts w:ascii="仿宋" w:hAnsi="仿宋" w:eastAsia="仿宋" w:cs="仿宋"/>
          <w:color w:val="auto"/>
          <w:sz w:val="24"/>
          <w:u w:val="single"/>
        </w:rPr>
      </w:pPr>
      <w:r>
        <w:rPr>
          <w:rFonts w:hint="eastAsia" w:ascii="仿宋" w:hAnsi="仿宋" w:eastAsia="仿宋" w:cs="仿宋"/>
          <w:color w:val="auto"/>
          <w:sz w:val="24"/>
        </w:rPr>
        <w:t>乙方：</w:t>
      </w:r>
    </w:p>
    <w:p>
      <w:pPr>
        <w:spacing w:before="120" w:line="288" w:lineRule="auto"/>
        <w:rPr>
          <w:rFonts w:ascii="仿宋" w:hAnsi="仿宋" w:eastAsia="仿宋" w:cs="仿宋"/>
          <w:color w:val="auto"/>
          <w:sz w:val="24"/>
        </w:rPr>
      </w:pPr>
    </w:p>
    <w:p>
      <w:pPr>
        <w:spacing w:before="120" w:line="288" w:lineRule="auto"/>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p>
    <w:p>
      <w:pPr>
        <w:spacing w:before="120" w:line="288" w:lineRule="auto"/>
        <w:rPr>
          <w:rFonts w:ascii="仿宋" w:hAnsi="仿宋" w:eastAsia="仿宋" w:cs="仿宋"/>
          <w:color w:val="auto"/>
          <w:sz w:val="24"/>
        </w:rPr>
      </w:pPr>
    </w:p>
    <w:p>
      <w:pPr>
        <w:spacing w:beforeLines="50"/>
        <w:ind w:firstLine="960" w:firstLineChars="400"/>
        <w:rPr>
          <w:rFonts w:ascii="仿宋" w:hAnsi="仿宋" w:eastAsia="仿宋" w:cs="仿宋"/>
          <w:color w:val="auto"/>
          <w:sz w:val="24"/>
        </w:rPr>
        <w:sectPr>
          <w:pgSz w:w="11906" w:h="16838"/>
          <w:pgMar w:top="1247" w:right="1247" w:bottom="1247" w:left="1247" w:header="284" w:footer="454" w:gutter="0"/>
          <w:pgNumType w:fmt="numberInDash"/>
          <w:cols w:space="720" w:num="1"/>
          <w:titlePg/>
          <w:docGrid w:type="lines" w:linePitch="312" w:charSpace="0"/>
        </w:sectPr>
      </w:pPr>
      <w:r>
        <w:rPr>
          <w:rFonts w:hint="eastAsia" w:ascii="仿宋" w:hAnsi="仿宋" w:eastAsia="仿宋" w:cs="仿宋"/>
          <w:color w:val="auto"/>
          <w:sz w:val="24"/>
        </w:rPr>
        <w:t>签订日期：年月日</w:t>
      </w:r>
    </w:p>
    <w:p>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_____年_____月_____日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w:t>
      </w:r>
      <w:r>
        <w:rPr>
          <w:rFonts w:hint="eastAsia" w:ascii="仿宋" w:hAnsi="仿宋" w:eastAsia="仿宋" w:cs="仿宋"/>
          <w:color w:val="auto"/>
          <w:sz w:val="24"/>
        </w:rPr>
        <w:t>为该项目中标或者成交供应商。现于中标或者成交通知书发出之日起三十日内，按照采购文件确定的事项签订本合同。</w:t>
      </w:r>
    </w:p>
    <w:p>
      <w:pPr>
        <w:spacing w:line="276" w:lineRule="auto"/>
        <w:ind w:firstLine="480" w:firstLineChars="200"/>
        <w:rPr>
          <w:rFonts w:ascii="仿宋" w:hAnsi="仿宋" w:eastAsia="仿宋" w:cs="仿宋"/>
          <w:color w:val="auto"/>
          <w:sz w:val="24"/>
        </w:rPr>
      </w:pPr>
      <w:bookmarkStart w:id="10" w:name="_Toc24059"/>
      <w:bookmarkStart w:id="11" w:name="_Toc3029"/>
      <w:bookmarkStart w:id="12" w:name="_Toc2232"/>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1.1 合同组成部分</w:t>
      </w:r>
      <w:bookmarkEnd w:id="10"/>
      <w:bookmarkEnd w:id="11"/>
      <w:bookmarkEnd w:id="12"/>
    </w:p>
    <w:p>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1.1.2 中标或者成交通知书；</w:t>
      </w:r>
    </w:p>
    <w:p>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1.1.3 投标或者响应文件（含澄清或者说明文件）；</w:t>
      </w:r>
    </w:p>
    <w:p>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1.1.4 采购文件（含澄清或者修改文件）；</w:t>
      </w:r>
    </w:p>
    <w:p>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1.1.5 其他相关采购文件。</w:t>
      </w:r>
    </w:p>
    <w:p>
      <w:pPr>
        <w:spacing w:line="276" w:lineRule="auto"/>
        <w:ind w:firstLine="482" w:firstLineChars="200"/>
        <w:outlineLvl w:val="0"/>
        <w:rPr>
          <w:rFonts w:ascii="仿宋" w:hAnsi="仿宋" w:eastAsia="仿宋" w:cs="仿宋"/>
          <w:b/>
          <w:color w:val="auto"/>
          <w:sz w:val="24"/>
        </w:rPr>
      </w:pPr>
      <w:bookmarkStart w:id="13" w:name="_Toc21295"/>
      <w:bookmarkStart w:id="14" w:name="_Toc24300"/>
      <w:bookmarkStart w:id="15" w:name="_Toc27126"/>
      <w:r>
        <w:rPr>
          <w:rFonts w:hint="eastAsia" w:ascii="仿宋" w:hAnsi="仿宋" w:eastAsia="仿宋" w:cs="仿宋"/>
          <w:b/>
          <w:color w:val="auto"/>
          <w:sz w:val="24"/>
        </w:rPr>
        <w:t xml:space="preserve">1.2 </w:t>
      </w:r>
      <w:bookmarkEnd w:id="13"/>
      <w:bookmarkEnd w:id="14"/>
      <w:bookmarkEnd w:id="15"/>
      <w:r>
        <w:rPr>
          <w:rFonts w:hint="eastAsia" w:ascii="仿宋" w:hAnsi="仿宋" w:eastAsia="仿宋" w:cs="仿宋"/>
          <w:b/>
          <w:color w:val="auto"/>
          <w:sz w:val="24"/>
        </w:rPr>
        <w:t>标的</w:t>
      </w:r>
    </w:p>
    <w:p>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1.2.1 服务内容：</w:t>
      </w:r>
      <w:r>
        <w:rPr>
          <w:rFonts w:ascii="宋体" w:hAnsi="宋体"/>
          <w:color w:val="auto"/>
          <w:u w:val="single"/>
        </w:rPr>
        <w:t xml:space="preserve">　　             　      </w:t>
      </w:r>
      <w:r>
        <w:rPr>
          <w:rFonts w:hint="eastAsia" w:ascii="仿宋" w:hAnsi="仿宋" w:eastAsia="仿宋" w:cs="仿宋"/>
          <w:color w:val="auto"/>
          <w:sz w:val="24"/>
        </w:rPr>
        <w:t>；</w:t>
      </w:r>
    </w:p>
    <w:p>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1.2.2 服务标准：</w:t>
      </w:r>
      <w:r>
        <w:rPr>
          <w:rFonts w:ascii="宋体" w:hAnsi="宋体"/>
          <w:color w:val="auto"/>
          <w:u w:val="single"/>
        </w:rPr>
        <w:t xml:space="preserve">　　             　      </w:t>
      </w:r>
      <w:r>
        <w:rPr>
          <w:rFonts w:hint="eastAsia" w:ascii="仿宋" w:hAnsi="仿宋" w:eastAsia="仿宋" w:cs="仿宋"/>
          <w:color w:val="auto"/>
          <w:sz w:val="24"/>
        </w:rPr>
        <w:t>；</w:t>
      </w:r>
    </w:p>
    <w:p>
      <w:pPr>
        <w:spacing w:line="276" w:lineRule="auto"/>
        <w:ind w:firstLine="480" w:firstLineChars="200"/>
        <w:rPr>
          <w:rFonts w:ascii="仿宋" w:hAnsi="仿宋" w:eastAsia="仿宋" w:cs="仿宋"/>
          <w:color w:val="auto"/>
          <w:sz w:val="24"/>
        </w:rPr>
      </w:pPr>
      <w:r>
        <w:rPr>
          <w:rFonts w:ascii="仿宋" w:hAnsi="仿宋" w:eastAsia="仿宋" w:cs="仿宋"/>
          <w:color w:val="auto"/>
          <w:sz w:val="24"/>
        </w:rPr>
        <w:t>1.2.3 技术保障</w:t>
      </w:r>
      <w:r>
        <w:rPr>
          <w:rFonts w:hint="eastAsia" w:ascii="仿宋" w:hAnsi="仿宋" w:eastAsia="仿宋" w:cs="仿宋"/>
          <w:color w:val="auto"/>
          <w:sz w:val="24"/>
        </w:rPr>
        <w:t>：</w:t>
      </w:r>
      <w:r>
        <w:rPr>
          <w:rFonts w:ascii="宋体" w:hAnsi="宋体"/>
          <w:color w:val="auto"/>
          <w:u w:val="single"/>
        </w:rPr>
        <w:t xml:space="preserve">　　             　      </w:t>
      </w:r>
      <w:r>
        <w:rPr>
          <w:rFonts w:hint="eastAsia" w:ascii="仿宋" w:hAnsi="仿宋" w:eastAsia="仿宋" w:cs="仿宋"/>
          <w:color w:val="auto"/>
          <w:sz w:val="24"/>
        </w:rPr>
        <w:t>；</w:t>
      </w:r>
    </w:p>
    <w:p>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1.2.4 服务人员组成：</w:t>
      </w:r>
      <w:r>
        <w:rPr>
          <w:rFonts w:ascii="宋体" w:hAnsi="宋体"/>
          <w:color w:val="auto"/>
          <w:u w:val="single"/>
        </w:rPr>
        <w:t xml:space="preserve">　　             　      </w:t>
      </w:r>
      <w:r>
        <w:rPr>
          <w:rFonts w:hint="eastAsia" w:ascii="仿宋" w:hAnsi="仿宋" w:eastAsia="仿宋" w:cs="仿宋"/>
          <w:color w:val="auto"/>
          <w:sz w:val="24"/>
        </w:rPr>
        <w:t>；</w:t>
      </w:r>
    </w:p>
    <w:p>
      <w:pPr>
        <w:pStyle w:val="262"/>
        <w:spacing w:before="0" w:beforeAutospacing="0" w:after="0" w:afterAutospacing="0" w:line="276" w:lineRule="auto"/>
        <w:ind w:firstLine="482"/>
        <w:rPr>
          <w:rFonts w:ascii="仿宋" w:hAnsi="仿宋" w:eastAsia="仿宋"/>
        </w:rPr>
      </w:pPr>
      <w:r>
        <w:rPr>
          <w:rFonts w:hint="eastAsia" w:ascii="仿宋" w:hAnsi="仿宋" w:eastAsia="仿宋"/>
        </w:rPr>
        <w:t>1.2.5合同（是</w:t>
      </w:r>
      <w:r>
        <w:rPr>
          <w:rFonts w:hint="eastAsia" w:ascii="仿宋" w:hAnsi="仿宋" w:eastAsia="仿宋" w:cs="仿宋"/>
        </w:rPr>
        <w:t>/</w:t>
      </w:r>
      <w:r>
        <w:rPr>
          <w:rFonts w:hint="eastAsia" w:ascii="仿宋" w:hAnsi="仿宋" w:eastAsia="仿宋"/>
        </w:rPr>
        <w:t>否）涉及货物。若涉及货物的，则：</w:t>
      </w:r>
    </w:p>
    <w:p>
      <w:pPr>
        <w:spacing w:line="276" w:lineRule="auto"/>
        <w:ind w:firstLine="482"/>
        <w:rPr>
          <w:rFonts w:ascii="仿宋" w:hAnsi="仿宋" w:eastAsia="仿宋" w:cs="宋体"/>
          <w:color w:val="auto"/>
          <w:sz w:val="24"/>
          <w:u w:val="single"/>
        </w:rPr>
      </w:pPr>
      <w:r>
        <w:rPr>
          <w:rFonts w:hint="eastAsia" w:ascii="仿宋" w:hAnsi="仿宋" w:eastAsia="仿宋" w:cs="宋体"/>
          <w:color w:val="auto"/>
          <w:sz w:val="24"/>
        </w:rPr>
        <w:t>1.2.5.1 货物名称、品牌、规格型号、花色：；</w:t>
      </w:r>
    </w:p>
    <w:p>
      <w:pPr>
        <w:spacing w:line="276" w:lineRule="auto"/>
        <w:ind w:firstLine="482"/>
        <w:rPr>
          <w:rFonts w:ascii="仿宋" w:hAnsi="仿宋" w:eastAsia="仿宋" w:cs="宋体"/>
          <w:color w:val="auto"/>
          <w:sz w:val="24"/>
          <w:u w:val="single"/>
        </w:rPr>
      </w:pPr>
      <w:r>
        <w:rPr>
          <w:rFonts w:hint="eastAsia" w:ascii="仿宋" w:hAnsi="仿宋" w:eastAsia="仿宋" w:cs="宋体"/>
          <w:color w:val="auto"/>
          <w:sz w:val="24"/>
        </w:rPr>
        <w:t>1.2.5.2 货物数量：；</w:t>
      </w:r>
    </w:p>
    <w:p>
      <w:pPr>
        <w:spacing w:line="276" w:lineRule="auto"/>
        <w:ind w:firstLine="482"/>
        <w:rPr>
          <w:rFonts w:ascii="仿宋" w:hAnsi="仿宋" w:eastAsia="仿宋" w:cs="仿宋"/>
          <w:color w:val="auto"/>
          <w:sz w:val="24"/>
        </w:rPr>
      </w:pPr>
      <w:r>
        <w:rPr>
          <w:rFonts w:hint="eastAsia" w:ascii="仿宋" w:hAnsi="仿宋" w:eastAsia="仿宋" w:cs="宋体"/>
          <w:color w:val="auto"/>
          <w:sz w:val="24"/>
        </w:rPr>
        <w:t>1.2.5.3 货物质量：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pPr>
        <w:spacing w:line="276" w:lineRule="auto"/>
        <w:ind w:firstLine="482" w:firstLineChars="200"/>
        <w:outlineLvl w:val="0"/>
        <w:rPr>
          <w:rFonts w:ascii="仿宋" w:hAnsi="仿宋" w:eastAsia="仿宋" w:cs="仿宋"/>
          <w:b/>
          <w:color w:val="auto"/>
          <w:sz w:val="24"/>
        </w:rPr>
      </w:pPr>
      <w:bookmarkStart w:id="16" w:name="_Toc21551"/>
      <w:bookmarkStart w:id="17" w:name="_Toc23292"/>
      <w:bookmarkStart w:id="18" w:name="_Toc21631"/>
      <w:r>
        <w:rPr>
          <w:rFonts w:hint="eastAsia" w:ascii="仿宋" w:hAnsi="仿宋" w:eastAsia="仿宋" w:cs="仿宋"/>
          <w:b/>
          <w:color w:val="auto"/>
          <w:sz w:val="24"/>
        </w:rPr>
        <w:t>1.3 价款</w:t>
      </w:r>
      <w:bookmarkEnd w:id="16"/>
      <w:bookmarkEnd w:id="17"/>
      <w:bookmarkEnd w:id="18"/>
    </w:p>
    <w:p>
      <w:pPr>
        <w:spacing w:line="276" w:lineRule="auto"/>
        <w:ind w:firstLine="480" w:firstLineChars="200"/>
        <w:rPr>
          <w:rFonts w:ascii="仿宋" w:hAnsi="仿宋" w:eastAsia="仿宋"/>
          <w:color w:val="auto"/>
          <w:sz w:val="24"/>
        </w:rPr>
      </w:pPr>
      <w:bookmarkStart w:id="19" w:name="_Toc1814"/>
      <w:bookmarkStart w:id="20" w:name="_Toc22618"/>
      <w:bookmarkStart w:id="21" w:name="_Toc10340"/>
      <w:r>
        <w:rPr>
          <w:rFonts w:hint="eastAsia" w:ascii="仿宋" w:hAnsi="仿宋" w:eastAsia="仿宋" w:cs="宋体"/>
          <w:color w:val="auto"/>
          <w:sz w:val="24"/>
        </w:rPr>
        <w:t>本项目采用以下第</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条款规定的计价方式计价。</w:t>
      </w:r>
    </w:p>
    <w:p>
      <w:pPr>
        <w:spacing w:line="276" w:lineRule="auto"/>
        <w:ind w:firstLine="480" w:firstLineChars="200"/>
        <w:rPr>
          <w:rFonts w:ascii="仿宋" w:hAnsi="仿宋" w:eastAsia="仿宋"/>
          <w:color w:val="auto"/>
          <w:sz w:val="24"/>
        </w:rPr>
      </w:pPr>
      <w:r>
        <w:rPr>
          <w:rFonts w:hint="eastAsia" w:ascii="仿宋" w:hAnsi="仿宋" w:eastAsia="仿宋"/>
          <w:color w:val="auto"/>
          <w:sz w:val="24"/>
        </w:rPr>
        <w:t>1.3.1总价合同，</w:t>
      </w:r>
      <w:r>
        <w:rPr>
          <w:rFonts w:ascii="仿宋" w:hAnsi="仿宋" w:eastAsia="仿宋"/>
          <w:color w:val="auto"/>
          <w:sz w:val="24"/>
        </w:rPr>
        <w:t>本合同总价</w:t>
      </w:r>
      <w:r>
        <w:rPr>
          <w:rFonts w:hint="eastAsia" w:ascii="仿宋" w:hAnsi="仿宋" w:eastAsia="仿宋"/>
          <w:color w:val="auto"/>
          <w:sz w:val="24"/>
        </w:rPr>
        <w:t>（含税）</w:t>
      </w:r>
      <w:r>
        <w:rPr>
          <w:rFonts w:ascii="仿宋" w:hAnsi="仿宋" w:eastAsia="仿宋"/>
          <w:color w:val="auto"/>
          <w:sz w:val="24"/>
        </w:rPr>
        <w:t>为</w:t>
      </w:r>
      <w:r>
        <w:rPr>
          <w:rFonts w:hint="eastAsia" w:ascii="仿宋" w:hAnsi="仿宋" w:eastAsia="仿宋"/>
          <w:color w:val="auto"/>
          <w:sz w:val="24"/>
        </w:rPr>
        <w:t>：￥</w:t>
      </w:r>
      <w:r>
        <w:rPr>
          <w:rFonts w:ascii="仿宋" w:hAnsi="仿宋" w:eastAsia="仿宋"/>
          <w:color w:val="auto"/>
          <w:sz w:val="24"/>
        </w:rPr>
        <w:t>元</w:t>
      </w:r>
      <w:r>
        <w:rPr>
          <w:rFonts w:hint="eastAsia" w:ascii="仿宋" w:hAnsi="仿宋" w:eastAsia="仿宋"/>
          <w:color w:val="auto"/>
          <w:sz w:val="24"/>
        </w:rPr>
        <w:t>（大写：元人民币）</w:t>
      </w:r>
      <w:r>
        <w:rPr>
          <w:rFonts w:ascii="仿宋" w:hAnsi="仿宋" w:eastAsia="仿宋"/>
          <w:color w:val="auto"/>
          <w:sz w:val="24"/>
        </w:rPr>
        <w:t>。</w:t>
      </w:r>
    </w:p>
    <w:p>
      <w:pPr>
        <w:spacing w:line="276" w:lineRule="auto"/>
        <w:ind w:firstLine="480" w:firstLineChars="200"/>
        <w:rPr>
          <w:rFonts w:ascii="仿宋" w:hAnsi="仿宋" w:eastAsia="仿宋"/>
          <w:color w:val="auto"/>
          <w:sz w:val="24"/>
          <w:u w:val="single"/>
        </w:rPr>
      </w:pPr>
      <w:r>
        <w:rPr>
          <w:rFonts w:ascii="仿宋" w:hAnsi="仿宋" w:eastAsia="仿宋"/>
          <w:color w:val="auto"/>
          <w:sz w:val="24"/>
        </w:rPr>
        <w:t>分项价格：</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56"/>
              <w:spacing w:line="276" w:lineRule="auto"/>
              <w:ind w:firstLine="240"/>
              <w:jc w:val="center"/>
              <w:rPr>
                <w:rFonts w:ascii="仿宋" w:hAnsi="仿宋" w:eastAsia="仿宋"/>
                <w:sz w:val="24"/>
                <w:szCs w:val="24"/>
              </w:rPr>
            </w:pPr>
            <w:r>
              <w:rPr>
                <w:rFonts w:ascii="仿宋" w:hAnsi="仿宋" w:eastAsia="仿宋"/>
                <w:sz w:val="24"/>
                <w:szCs w:val="24"/>
              </w:rPr>
              <w:t>序号</w:t>
            </w:r>
          </w:p>
        </w:tc>
        <w:tc>
          <w:tcPr>
            <w:tcW w:w="3402" w:type="dxa"/>
            <w:vAlign w:val="center"/>
          </w:tcPr>
          <w:p>
            <w:pPr>
              <w:pStyle w:val="156"/>
              <w:spacing w:line="276" w:lineRule="auto"/>
              <w:ind w:firstLine="24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pPr>
              <w:pStyle w:val="156"/>
              <w:spacing w:line="276" w:lineRule="auto"/>
              <w:ind w:firstLine="240"/>
              <w:jc w:val="center"/>
              <w:rPr>
                <w:rFonts w:ascii="仿宋" w:hAnsi="仿宋" w:eastAsia="仿宋"/>
                <w:sz w:val="24"/>
                <w:szCs w:val="24"/>
              </w:rPr>
            </w:pPr>
            <w:r>
              <w:rPr>
                <w:rFonts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56"/>
              <w:spacing w:line="276" w:lineRule="auto"/>
              <w:ind w:firstLine="240"/>
              <w:jc w:val="center"/>
              <w:rPr>
                <w:rFonts w:ascii="仿宋" w:hAnsi="仿宋" w:eastAsia="仿宋"/>
                <w:sz w:val="24"/>
                <w:szCs w:val="24"/>
              </w:rPr>
            </w:pPr>
          </w:p>
        </w:tc>
        <w:tc>
          <w:tcPr>
            <w:tcW w:w="3402" w:type="dxa"/>
            <w:vAlign w:val="center"/>
          </w:tcPr>
          <w:p>
            <w:pPr>
              <w:pStyle w:val="156"/>
              <w:spacing w:line="276" w:lineRule="auto"/>
              <w:ind w:firstLine="240"/>
              <w:jc w:val="center"/>
              <w:rPr>
                <w:rFonts w:ascii="仿宋" w:hAnsi="仿宋" w:eastAsia="仿宋"/>
                <w:sz w:val="24"/>
                <w:szCs w:val="24"/>
              </w:rPr>
            </w:pPr>
          </w:p>
        </w:tc>
        <w:tc>
          <w:tcPr>
            <w:tcW w:w="2552" w:type="dxa"/>
            <w:vAlign w:val="center"/>
          </w:tcPr>
          <w:p>
            <w:pPr>
              <w:pStyle w:val="156"/>
              <w:spacing w:line="276" w:lineRule="auto"/>
              <w:ind w:firstLine="24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56"/>
              <w:spacing w:line="276" w:lineRule="auto"/>
              <w:ind w:firstLine="240"/>
              <w:jc w:val="center"/>
              <w:rPr>
                <w:rFonts w:ascii="仿宋" w:hAnsi="仿宋" w:eastAsia="仿宋"/>
                <w:sz w:val="24"/>
                <w:szCs w:val="24"/>
              </w:rPr>
            </w:pPr>
          </w:p>
        </w:tc>
        <w:tc>
          <w:tcPr>
            <w:tcW w:w="3402" w:type="dxa"/>
            <w:vAlign w:val="center"/>
          </w:tcPr>
          <w:p>
            <w:pPr>
              <w:pStyle w:val="156"/>
              <w:spacing w:line="276" w:lineRule="auto"/>
              <w:ind w:firstLine="240"/>
              <w:jc w:val="center"/>
              <w:rPr>
                <w:rFonts w:ascii="仿宋" w:hAnsi="仿宋" w:eastAsia="仿宋"/>
                <w:sz w:val="24"/>
                <w:szCs w:val="24"/>
              </w:rPr>
            </w:pPr>
          </w:p>
        </w:tc>
        <w:tc>
          <w:tcPr>
            <w:tcW w:w="2552" w:type="dxa"/>
            <w:vAlign w:val="center"/>
          </w:tcPr>
          <w:p>
            <w:pPr>
              <w:pStyle w:val="156"/>
              <w:spacing w:line="276" w:lineRule="auto"/>
              <w:ind w:firstLine="24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56"/>
              <w:spacing w:line="276" w:lineRule="auto"/>
              <w:ind w:firstLine="240"/>
              <w:jc w:val="center"/>
              <w:rPr>
                <w:rFonts w:ascii="仿宋" w:hAnsi="仿宋" w:eastAsia="仿宋"/>
                <w:sz w:val="24"/>
                <w:szCs w:val="24"/>
              </w:rPr>
            </w:pPr>
          </w:p>
        </w:tc>
        <w:tc>
          <w:tcPr>
            <w:tcW w:w="3402" w:type="dxa"/>
            <w:vAlign w:val="center"/>
          </w:tcPr>
          <w:p>
            <w:pPr>
              <w:pStyle w:val="156"/>
              <w:spacing w:line="276" w:lineRule="auto"/>
              <w:ind w:firstLine="240"/>
              <w:jc w:val="center"/>
              <w:rPr>
                <w:rFonts w:ascii="仿宋" w:hAnsi="仿宋" w:eastAsia="仿宋"/>
                <w:sz w:val="24"/>
                <w:szCs w:val="24"/>
              </w:rPr>
            </w:pPr>
          </w:p>
        </w:tc>
        <w:tc>
          <w:tcPr>
            <w:tcW w:w="2552" w:type="dxa"/>
            <w:vAlign w:val="center"/>
          </w:tcPr>
          <w:p>
            <w:pPr>
              <w:pStyle w:val="156"/>
              <w:spacing w:line="276" w:lineRule="auto"/>
              <w:ind w:firstLine="24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56"/>
              <w:spacing w:line="276" w:lineRule="auto"/>
              <w:ind w:firstLine="240"/>
              <w:jc w:val="center"/>
              <w:rPr>
                <w:rFonts w:ascii="仿宋" w:hAnsi="仿宋" w:eastAsia="仿宋"/>
                <w:sz w:val="24"/>
                <w:szCs w:val="24"/>
              </w:rPr>
            </w:pPr>
          </w:p>
        </w:tc>
        <w:tc>
          <w:tcPr>
            <w:tcW w:w="3402" w:type="dxa"/>
            <w:vAlign w:val="center"/>
          </w:tcPr>
          <w:p>
            <w:pPr>
              <w:pStyle w:val="156"/>
              <w:spacing w:line="276" w:lineRule="auto"/>
              <w:ind w:firstLine="240"/>
              <w:jc w:val="center"/>
              <w:rPr>
                <w:rFonts w:ascii="仿宋" w:hAnsi="仿宋" w:eastAsia="仿宋"/>
                <w:sz w:val="24"/>
                <w:szCs w:val="24"/>
              </w:rPr>
            </w:pPr>
          </w:p>
        </w:tc>
        <w:tc>
          <w:tcPr>
            <w:tcW w:w="2552" w:type="dxa"/>
            <w:vAlign w:val="center"/>
          </w:tcPr>
          <w:p>
            <w:pPr>
              <w:pStyle w:val="156"/>
              <w:spacing w:line="276" w:lineRule="auto"/>
              <w:ind w:firstLine="24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56"/>
              <w:spacing w:line="276" w:lineRule="auto"/>
              <w:ind w:firstLine="24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pPr>
              <w:pStyle w:val="156"/>
              <w:spacing w:line="276" w:lineRule="auto"/>
              <w:ind w:firstLine="240"/>
              <w:jc w:val="center"/>
              <w:rPr>
                <w:rFonts w:ascii="仿宋" w:hAnsi="仿宋" w:eastAsia="仿宋"/>
                <w:sz w:val="24"/>
                <w:szCs w:val="24"/>
              </w:rPr>
            </w:pPr>
          </w:p>
        </w:tc>
      </w:tr>
    </w:tbl>
    <w:p>
      <w:pPr>
        <w:spacing w:line="276" w:lineRule="auto"/>
        <w:ind w:firstLine="480" w:firstLineChars="200"/>
        <w:rPr>
          <w:rFonts w:ascii="仿宋" w:hAnsi="仿宋" w:eastAsia="仿宋"/>
          <w:color w:val="auto"/>
          <w:sz w:val="24"/>
        </w:rPr>
      </w:pPr>
      <w:r>
        <w:rPr>
          <w:rFonts w:hint="eastAsia" w:ascii="仿宋" w:hAnsi="仿宋" w:eastAsia="仿宋"/>
          <w:bCs/>
          <w:color w:val="auto"/>
          <w:sz w:val="24"/>
        </w:rPr>
        <w:t>1.3.2单价合同，本合同单价（含税）标准为：</w:t>
      </w:r>
      <w:r>
        <w:rPr>
          <w:rFonts w:ascii="仿宋" w:hAnsi="仿宋" w:eastAsia="仿宋"/>
          <w:color w:val="auto"/>
          <w:sz w:val="24"/>
        </w:rPr>
        <w:t>。</w:t>
      </w:r>
      <w:r>
        <w:rPr>
          <w:rFonts w:hint="eastAsia" w:ascii="仿宋" w:hAnsi="仿宋" w:eastAsia="仿宋"/>
          <w:color w:val="auto"/>
          <w:sz w:val="24"/>
        </w:rPr>
        <w:t>服务工作量的计量方式为：</w:t>
      </w:r>
      <w:r>
        <w:rPr>
          <w:rFonts w:hint="eastAsia" w:ascii="仿宋" w:hAnsi="仿宋" w:eastAsia="仿宋" w:cs="仿宋"/>
          <w:b/>
          <w:i/>
          <w:color w:val="auto"/>
          <w:sz w:val="24"/>
          <w:u w:val="single"/>
        </w:rPr>
        <w:t>合同专用条款</w:t>
      </w:r>
      <w:r>
        <w:rPr>
          <w:rFonts w:ascii="仿宋" w:hAnsi="仿宋" w:eastAsia="仿宋"/>
          <w:color w:val="auto"/>
          <w:sz w:val="24"/>
        </w:rPr>
        <w:t>。</w:t>
      </w:r>
      <w:r>
        <w:rPr>
          <w:rFonts w:hint="eastAsia" w:ascii="仿宋" w:hAnsi="仿宋" w:eastAsia="仿宋"/>
          <w:color w:val="auto"/>
          <w:sz w:val="24"/>
        </w:rPr>
        <w:t>单价合同，在合同履行期间内，根据实际完成的工作量据实结算，但结算总价上限不得超过预算金额或者双方确定的金额￥</w:t>
      </w:r>
      <w:r>
        <w:rPr>
          <w:rFonts w:ascii="仿宋" w:hAnsi="仿宋" w:eastAsia="仿宋"/>
          <w:color w:val="auto"/>
          <w:sz w:val="24"/>
        </w:rPr>
        <w:t>元</w:t>
      </w:r>
      <w:r>
        <w:rPr>
          <w:rFonts w:hint="eastAsia" w:ascii="仿宋" w:hAnsi="仿宋" w:eastAsia="仿宋"/>
          <w:color w:val="auto"/>
          <w:sz w:val="24"/>
        </w:rPr>
        <w:t>（大写：元人民币）。</w:t>
      </w:r>
    </w:p>
    <w:p>
      <w:pPr>
        <w:spacing w:line="276" w:lineRule="auto"/>
        <w:ind w:firstLine="480" w:firstLineChars="200"/>
        <w:outlineLvl w:val="0"/>
        <w:rPr>
          <w:rFonts w:ascii="宋体" w:hAnsi="宋体" w:cs="宋体"/>
          <w:color w:val="auto"/>
          <w:sz w:val="24"/>
          <w:szCs w:val="24"/>
        </w:rPr>
      </w:pPr>
      <w:r>
        <w:rPr>
          <w:rFonts w:hint="eastAsia" w:ascii="仿宋" w:hAnsi="仿宋" w:eastAsia="仿宋" w:cs="宋体"/>
          <w:color w:val="auto"/>
          <w:sz w:val="24"/>
          <w:szCs w:val="24"/>
        </w:rPr>
        <w:t>1.3.3其他计价方式。</w:t>
      </w:r>
    </w:p>
    <w:p>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 xml:space="preserve">1.4 </w:t>
      </w:r>
      <w:bookmarkEnd w:id="19"/>
      <w:bookmarkEnd w:id="20"/>
      <w:bookmarkEnd w:id="21"/>
      <w:r>
        <w:rPr>
          <w:rFonts w:hint="eastAsia" w:ascii="仿宋" w:hAnsi="仿宋" w:eastAsia="仿宋" w:cs="仿宋"/>
          <w:b/>
          <w:color w:val="auto"/>
          <w:sz w:val="24"/>
        </w:rPr>
        <w:t>履约保证金</w:t>
      </w:r>
    </w:p>
    <w:p>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乙方</w:t>
      </w:r>
      <w:r>
        <w:rPr>
          <w:rFonts w:hint="eastAsia" w:ascii="仿宋" w:hAnsi="仿宋" w:eastAsia="仿宋" w:cs="仿宋"/>
          <w:color w:val="auto"/>
          <w:sz w:val="24"/>
          <w:u w:val="single"/>
        </w:rPr>
        <w:t>（是/否）</w:t>
      </w:r>
      <w:r>
        <w:rPr>
          <w:rFonts w:hint="eastAsia" w:ascii="仿宋" w:hAnsi="仿宋" w:eastAsia="仿宋" w:cs="仿宋"/>
          <w:color w:val="auto"/>
          <w:sz w:val="24"/>
        </w:rPr>
        <w:t>需要支付履约保证金。若需要支付履约保证金的，则：</w:t>
      </w:r>
    </w:p>
    <w:p>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1.4.1履约保证金的比例为合同金额的</w:t>
      </w:r>
      <w:r>
        <w:rPr>
          <w:rFonts w:hint="eastAsia" w:ascii="仿宋" w:hAnsi="仿宋" w:eastAsia="仿宋"/>
          <w:color w:val="auto"/>
          <w:sz w:val="24"/>
          <w:u w:val="single"/>
        </w:rPr>
        <w:t>___</w:t>
      </w:r>
      <w:r>
        <w:rPr>
          <w:rFonts w:hint="eastAsia" w:ascii="仿宋" w:hAnsi="仿宋" w:eastAsia="仿宋" w:cs="仿宋"/>
          <w:color w:val="000000" w:themeColor="text1"/>
          <w:sz w:val="24"/>
        </w:rPr>
        <w:t>%</w:t>
      </w:r>
      <w:r>
        <w:rPr>
          <w:rFonts w:hint="eastAsia" w:ascii="仿宋" w:hAnsi="仿宋" w:eastAsia="仿宋" w:cs="仿宋"/>
          <w:color w:val="auto"/>
          <w:sz w:val="24"/>
        </w:rPr>
        <w:t>；</w:t>
      </w:r>
    </w:p>
    <w:p>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1.4.2履约保证金支付方式详见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1.4.4甲方在项目验收结束后及时退还履约保证金。甲方在项目通过验收之日起5       个工作日内将履约保证金无息退还乙方，逾期退还的，乙方可要求甲方支付违约金，违约金按每迟延退还一日的应退还而未退还金额的</w:t>
      </w:r>
      <w:r>
        <w:rPr>
          <w:rFonts w:hint="eastAsia" w:ascii="仿宋" w:hAnsi="仿宋" w:eastAsia="仿宋" w:cs="宋体"/>
          <w:sz w:val="24"/>
          <w:szCs w:val="24"/>
          <w:u w:val="single"/>
        </w:rPr>
        <w:t>0.05（可根据情况修改）</w:t>
      </w:r>
      <w:r>
        <w:rPr>
          <w:rFonts w:hint="eastAsia" w:ascii="仿宋" w:hAnsi="仿宋" w:eastAsia="仿宋" w:cs="仿宋"/>
          <w:color w:val="000000" w:themeColor="text1"/>
          <w:sz w:val="24"/>
        </w:rPr>
        <w:t>%</w:t>
      </w:r>
      <w:r>
        <w:rPr>
          <w:rFonts w:hint="eastAsia" w:ascii="仿宋" w:hAnsi="仿宋" w:eastAsia="仿宋" w:cs="仿宋"/>
          <w:color w:val="auto"/>
          <w:sz w:val="24"/>
        </w:rPr>
        <w:t>计算，最高限额为本合同履约保证金的</w:t>
      </w:r>
      <w:r>
        <w:rPr>
          <w:rFonts w:hint="eastAsia" w:ascii="仿宋" w:hAnsi="仿宋" w:eastAsia="仿宋"/>
          <w:color w:val="auto"/>
          <w:sz w:val="24"/>
          <w:u w:val="single"/>
        </w:rPr>
        <w:t>20</w:t>
      </w:r>
      <w:r>
        <w:rPr>
          <w:rFonts w:hint="eastAsia" w:ascii="仿宋" w:hAnsi="仿宋" w:eastAsia="仿宋" w:cs="仿宋"/>
          <w:color w:val="000000" w:themeColor="text1"/>
          <w:sz w:val="24"/>
        </w:rPr>
        <w:t>%</w:t>
      </w:r>
      <w:r>
        <w:rPr>
          <w:rFonts w:hint="eastAsia" w:ascii="仿宋" w:hAnsi="仿宋" w:eastAsia="仿宋" w:cs="仿宋"/>
          <w:color w:val="auto"/>
          <w:sz w:val="24"/>
        </w:rPr>
        <w:t>。</w:t>
      </w:r>
    </w:p>
    <w:p>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1.5</w:t>
      </w:r>
      <w:bookmarkStart w:id="22" w:name="_Toc21423"/>
      <w:bookmarkStart w:id="23" w:name="_Toc19554"/>
      <w:bookmarkStart w:id="24" w:name="_Toc27250"/>
      <w:r>
        <w:rPr>
          <w:rFonts w:hint="eastAsia" w:ascii="仿宋" w:hAnsi="仿宋" w:eastAsia="仿宋" w:cs="仿宋"/>
          <w:b/>
          <w:color w:val="auto"/>
          <w:sz w:val="24"/>
        </w:rPr>
        <w:t>预付款</w:t>
      </w:r>
    </w:p>
    <w:p>
      <w:pPr>
        <w:pStyle w:val="262"/>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甲方（是/否）需要支付预付款。若需要支付预付款的，则：</w:t>
      </w:r>
    </w:p>
    <w:p>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1.5.1预付款比例、支付方式、时间详见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pPr>
        <w:pStyle w:val="262"/>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1.5.2预付款的扣回方式详见</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pPr>
        <w:spacing w:line="276" w:lineRule="auto"/>
        <w:ind w:firstLine="480" w:firstLineChars="200"/>
        <w:rPr>
          <w:rFonts w:ascii="仿宋" w:hAnsi="仿宋" w:eastAsia="仿宋" w:cs="仿宋"/>
          <w:b/>
          <w:color w:val="auto"/>
          <w:sz w:val="24"/>
        </w:rPr>
      </w:pPr>
      <w:r>
        <w:rPr>
          <w:rFonts w:hint="eastAsia" w:ascii="仿宋" w:hAnsi="仿宋" w:eastAsia="仿宋" w:cs="仿宋"/>
          <w:color w:val="000000" w:themeColor="text1"/>
          <w:sz w:val="24"/>
          <w:szCs w:val="24"/>
        </w:rPr>
        <w:t>1.5.3预付款的担保措施详见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szCs w:val="24"/>
        </w:rPr>
        <w:t>。</w:t>
      </w:r>
    </w:p>
    <w:p>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1.6</w:t>
      </w:r>
      <w:bookmarkEnd w:id="22"/>
      <w:bookmarkEnd w:id="23"/>
      <w:bookmarkEnd w:id="24"/>
      <w:r>
        <w:rPr>
          <w:rFonts w:hint="eastAsia" w:ascii="仿宋" w:hAnsi="仿宋" w:eastAsia="仿宋" w:cs="仿宋"/>
          <w:b/>
          <w:color w:val="auto"/>
          <w:sz w:val="24"/>
        </w:rPr>
        <w:t>资金支付</w:t>
      </w:r>
    </w:p>
    <w:p>
      <w:pPr>
        <w:pStyle w:val="262"/>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276" w:lineRule="auto"/>
        <w:ind w:left="-420" w:leftChars="-200" w:right="-420" w:rightChars="-200" w:firstLine="960" w:firstLineChars="400"/>
        <w:rPr>
          <w:rFonts w:ascii="仿宋" w:hAnsi="仿宋" w:eastAsia="仿宋" w:cs="仿宋"/>
          <w:color w:val="auto"/>
        </w:rPr>
      </w:pPr>
      <w:r>
        <w:rPr>
          <w:rFonts w:hint="eastAsia" w:ascii="仿宋" w:hAnsi="仿宋" w:eastAsia="仿宋" w:cs="仿宋"/>
          <w:color w:val="000000" w:themeColor="text1"/>
          <w:sz w:val="24"/>
        </w:rPr>
        <w:t>1.6.2资金支付的方式、时间和条件详见</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pPr>
        <w:spacing w:line="276" w:lineRule="auto"/>
        <w:ind w:firstLine="482" w:firstLineChars="200"/>
        <w:outlineLvl w:val="0"/>
        <w:rPr>
          <w:rFonts w:ascii="仿宋" w:hAnsi="仿宋" w:eastAsia="仿宋" w:cs="仿宋"/>
          <w:b/>
          <w:color w:val="auto"/>
          <w:sz w:val="24"/>
        </w:rPr>
      </w:pPr>
      <w:bookmarkStart w:id="25" w:name="_Toc16021"/>
      <w:bookmarkStart w:id="26" w:name="_Toc15583"/>
      <w:bookmarkStart w:id="27" w:name="_Toc28375"/>
      <w:r>
        <w:rPr>
          <w:rFonts w:hint="eastAsia" w:ascii="仿宋" w:hAnsi="仿宋" w:eastAsia="仿宋" w:cs="仿宋"/>
          <w:b/>
          <w:color w:val="auto"/>
          <w:sz w:val="24"/>
        </w:rPr>
        <w:t>1.7</w:t>
      </w:r>
      <w:bookmarkEnd w:id="25"/>
      <w:bookmarkEnd w:id="26"/>
      <w:bookmarkEnd w:id="27"/>
      <w:r>
        <w:rPr>
          <w:rFonts w:hint="eastAsia" w:ascii="仿宋" w:hAnsi="仿宋" w:eastAsia="仿宋" w:cs="仿宋"/>
          <w:b/>
          <w:color w:val="auto"/>
          <w:sz w:val="24"/>
        </w:rPr>
        <w:t>履行期限、地点和方式</w:t>
      </w:r>
    </w:p>
    <w:p>
      <w:pPr>
        <w:spacing w:line="276" w:lineRule="auto"/>
        <w:ind w:firstLine="480" w:firstLineChars="200"/>
        <w:rPr>
          <w:rFonts w:ascii="仿宋" w:hAnsi="仿宋" w:eastAsia="仿宋" w:cs="仿宋"/>
          <w:color w:val="000000" w:themeColor="text1"/>
          <w:sz w:val="24"/>
          <w:u w:val="single"/>
        </w:rPr>
      </w:pPr>
      <w:r>
        <w:rPr>
          <w:rFonts w:hint="eastAsia" w:ascii="仿宋" w:hAnsi="仿宋" w:eastAsia="仿宋" w:cs="仿宋"/>
          <w:color w:val="000000" w:themeColor="text1"/>
          <w:sz w:val="24"/>
        </w:rPr>
        <w:t>1.7.1 服务交付（实施）的时间（期限）：</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1.7.2 服务交付（实施）的地点（地域范围）：</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pPr>
        <w:spacing w:line="276"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1.7.3 服务交付（实施）的方式：</w:t>
      </w:r>
      <w:r>
        <w:rPr>
          <w:rFonts w:hint="eastAsia" w:ascii="仿宋" w:hAnsi="仿宋" w:eastAsia="仿宋" w:cs="仿宋"/>
          <w:b/>
          <w:i/>
          <w:color w:val="000000" w:themeColor="text1"/>
          <w:sz w:val="24"/>
          <w:u w:val="single"/>
        </w:rPr>
        <w:t>合同专用条款</w:t>
      </w:r>
      <w:r>
        <w:rPr>
          <w:rFonts w:hint="eastAsia" w:ascii="仿宋" w:hAnsi="仿宋" w:eastAsia="仿宋" w:cs="仿宋"/>
          <w:color w:val="000000" w:themeColor="text1"/>
          <w:sz w:val="24"/>
        </w:rPr>
        <w:t>。</w:t>
      </w:r>
    </w:p>
    <w:p>
      <w:pPr>
        <w:pStyle w:val="262"/>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1.7.4若服务涉及货物的，则货物的：</w:t>
      </w:r>
    </w:p>
    <w:p>
      <w:pPr>
        <w:pStyle w:val="262"/>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1.7.4.1 交付期限：详见</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pPr>
        <w:pStyle w:val="262"/>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1.7.4.2 交付地点：</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pPr>
        <w:pStyle w:val="262"/>
        <w:spacing w:before="0" w:beforeAutospacing="0" w:after="0" w:afterAutospacing="0" w:line="276" w:lineRule="auto"/>
        <w:ind w:firstLine="480" w:firstLineChars="200"/>
        <w:rPr>
          <w:rFonts w:ascii="仿宋" w:hAnsi="仿宋" w:eastAsia="仿宋" w:cs="仿宋"/>
        </w:rPr>
      </w:pPr>
      <w:r>
        <w:rPr>
          <w:rFonts w:hint="eastAsia" w:ascii="仿宋" w:hAnsi="仿宋" w:eastAsia="仿宋" w:cs="仿宋"/>
          <w:color w:val="000000" w:themeColor="text1"/>
        </w:rPr>
        <w:t>1.7.4.3 交付方式：</w:t>
      </w:r>
      <w:r>
        <w:rPr>
          <w:rFonts w:hint="eastAsia" w:ascii="仿宋" w:hAnsi="仿宋" w:eastAsia="仿宋" w:cs="仿宋"/>
          <w:b/>
          <w:i/>
          <w:color w:val="000000" w:themeColor="text1"/>
          <w:u w:val="single"/>
        </w:rPr>
        <w:t>合同专用条款</w:t>
      </w:r>
      <w:r>
        <w:rPr>
          <w:rFonts w:hint="eastAsia" w:ascii="仿宋" w:hAnsi="仿宋" w:eastAsia="仿宋" w:cs="仿宋"/>
          <w:color w:val="000000" w:themeColor="text1"/>
        </w:rPr>
        <w:t>。</w:t>
      </w:r>
    </w:p>
    <w:p>
      <w:pPr>
        <w:spacing w:line="276" w:lineRule="auto"/>
        <w:ind w:firstLine="482" w:firstLineChars="200"/>
        <w:outlineLvl w:val="0"/>
        <w:rPr>
          <w:rFonts w:ascii="仿宋" w:hAnsi="仿宋" w:eastAsia="仿宋" w:cs="仿宋"/>
          <w:b/>
          <w:color w:val="auto"/>
          <w:sz w:val="24"/>
        </w:rPr>
      </w:pPr>
      <w:bookmarkStart w:id="28" w:name="_Toc11173"/>
      <w:bookmarkStart w:id="29" w:name="_Toc15322"/>
      <w:bookmarkStart w:id="30" w:name="_Toc7245"/>
      <w:r>
        <w:rPr>
          <w:rFonts w:hint="eastAsia" w:ascii="仿宋" w:hAnsi="仿宋" w:eastAsia="仿宋" w:cs="仿宋"/>
          <w:b/>
          <w:color w:val="auto"/>
          <w:sz w:val="24"/>
        </w:rPr>
        <w:t xml:space="preserve">1.8 </w:t>
      </w:r>
      <w:bookmarkEnd w:id="28"/>
      <w:bookmarkEnd w:id="29"/>
      <w:bookmarkEnd w:id="30"/>
      <w:r>
        <w:rPr>
          <w:rFonts w:hint="eastAsia" w:ascii="仿宋" w:hAnsi="仿宋" w:eastAsia="仿宋" w:cs="仿宋"/>
          <w:b/>
          <w:color w:val="auto"/>
          <w:sz w:val="24"/>
        </w:rPr>
        <w:t>违约责任</w:t>
      </w:r>
    </w:p>
    <w:p>
      <w:pPr>
        <w:pStyle w:val="262"/>
        <w:spacing w:before="0" w:beforeAutospacing="0" w:after="0" w:afterAutospacing="0" w:line="276" w:lineRule="auto"/>
        <w:ind w:firstLine="480" w:firstLineChars="200"/>
        <w:rPr>
          <w:rFonts w:ascii="仿宋" w:hAnsi="仿宋" w:eastAsia="仿宋" w:cs="仿宋"/>
          <w:color w:val="000000" w:themeColor="text1"/>
        </w:rPr>
      </w:pPr>
      <w:r>
        <w:rPr>
          <w:rFonts w:ascii="仿宋" w:hAnsi="仿宋" w:eastAsia="仿宋" w:cs="仿宋"/>
          <w:color w:val="000000" w:themeColor="text1"/>
        </w:rPr>
        <w:t>1.</w:t>
      </w:r>
      <w:r>
        <w:rPr>
          <w:rFonts w:hint="eastAsia" w:ascii="仿宋" w:hAnsi="仿宋" w:eastAsia="仿宋" w:cs="仿宋"/>
          <w:color w:val="000000" w:themeColor="text1"/>
        </w:rPr>
        <w:t>8</w:t>
      </w:r>
      <w:r>
        <w:rPr>
          <w:rFonts w:ascii="仿宋" w:hAnsi="仿宋" w:eastAsia="仿宋" w:cs="仿宋"/>
          <w:color w:val="000000" w:themeColor="text1"/>
        </w:rPr>
        <w:t>.1 除不可抗力外，如果乙方没有按照本合同约定的期限</w:t>
      </w:r>
      <w:r>
        <w:rPr>
          <w:rFonts w:hint="eastAsia" w:ascii="仿宋" w:hAnsi="仿宋" w:eastAsia="仿宋" w:cs="仿宋"/>
          <w:color w:val="000000" w:themeColor="text1"/>
        </w:rPr>
        <w:t>、</w:t>
      </w:r>
      <w:r>
        <w:rPr>
          <w:rFonts w:ascii="仿宋" w:hAnsi="仿宋" w:eastAsia="仿宋" w:cs="仿宋"/>
          <w:color w:val="000000" w:themeColor="text1"/>
        </w:rPr>
        <w:t>地点和方式</w:t>
      </w:r>
      <w:r>
        <w:rPr>
          <w:rFonts w:hint="eastAsia" w:ascii="仿宋" w:hAnsi="仿宋" w:eastAsia="仿宋" w:cs="仿宋"/>
          <w:color w:val="000000" w:themeColor="text1"/>
        </w:rPr>
        <w:t>交付服务成果或者实施服务</w:t>
      </w:r>
      <w:r>
        <w:rPr>
          <w:rFonts w:ascii="仿宋" w:hAnsi="仿宋" w:eastAsia="仿宋" w:cs="仿宋"/>
          <w:color w:val="000000" w:themeColor="text1"/>
        </w:rPr>
        <w:t>，那么甲方可要求乙方支付违约金</w:t>
      </w:r>
      <w:r>
        <w:rPr>
          <w:rFonts w:hint="eastAsia" w:ascii="仿宋" w:hAnsi="仿宋" w:eastAsia="仿宋" w:cs="仿宋"/>
          <w:color w:val="000000" w:themeColor="text1"/>
        </w:rPr>
        <w:t>，迟延履行</w:t>
      </w:r>
      <w:r>
        <w:rPr>
          <w:rFonts w:ascii="仿宋" w:hAnsi="仿宋" w:eastAsia="仿宋" w:cs="仿宋"/>
          <w:color w:val="000000" w:themeColor="text1"/>
        </w:rPr>
        <w:t>违约金按每迟延</w:t>
      </w:r>
      <w:r>
        <w:rPr>
          <w:rFonts w:hint="eastAsia" w:ascii="仿宋" w:hAnsi="仿宋" w:eastAsia="仿宋" w:cs="仿宋"/>
          <w:color w:val="000000" w:themeColor="text1"/>
        </w:rPr>
        <w:t>履行</w:t>
      </w:r>
      <w:r>
        <w:rPr>
          <w:rFonts w:ascii="仿宋" w:hAnsi="仿宋" w:eastAsia="仿宋" w:cs="仿宋"/>
          <w:color w:val="000000" w:themeColor="text1"/>
        </w:rPr>
        <w:t>一日的应提供而未</w:t>
      </w:r>
      <w:r>
        <w:rPr>
          <w:rFonts w:hint="eastAsia" w:ascii="仿宋" w:hAnsi="仿宋" w:eastAsia="仿宋" w:cs="仿宋"/>
          <w:color w:val="000000" w:themeColor="text1"/>
        </w:rPr>
        <w:t>提供</w:t>
      </w:r>
      <w:r>
        <w:rPr>
          <w:rFonts w:ascii="仿宋" w:hAnsi="仿宋" w:eastAsia="仿宋" w:cs="仿宋"/>
          <w:color w:val="000000" w:themeColor="text1"/>
        </w:rPr>
        <w:t>服务价格的</w:t>
      </w:r>
      <w:r>
        <w:rPr>
          <w:rFonts w:hint="eastAsia" w:ascii="仿宋" w:hAnsi="仿宋" w:eastAsia="仿宋" w:cs="仿宋"/>
          <w:u w:val="single"/>
        </w:rPr>
        <w:t>0.05（可根据情况修改）</w:t>
      </w:r>
      <w:r>
        <w:rPr>
          <w:rFonts w:hint="eastAsia" w:ascii="仿宋" w:hAnsi="仿宋" w:eastAsia="仿宋" w:cs="仿宋"/>
          <w:color w:val="000000" w:themeColor="text1"/>
        </w:rPr>
        <w:t>%</w:t>
      </w:r>
      <w:r>
        <w:rPr>
          <w:rFonts w:ascii="仿宋" w:hAnsi="仿宋" w:eastAsia="仿宋" w:cs="仿宋"/>
          <w:color w:val="000000" w:themeColor="text1"/>
        </w:rPr>
        <w:t>计算</w:t>
      </w:r>
      <w:r>
        <w:rPr>
          <w:rFonts w:hint="eastAsia" w:ascii="仿宋" w:hAnsi="仿宋" w:eastAsia="仿宋" w:cs="仿宋"/>
          <w:color w:val="000000" w:themeColor="text1"/>
        </w:rPr>
        <w:t>，</w:t>
      </w:r>
      <w:r>
        <w:rPr>
          <w:rFonts w:ascii="仿宋" w:hAnsi="仿宋" w:eastAsia="仿宋" w:cs="仿宋"/>
          <w:color w:val="000000" w:themeColor="text1"/>
        </w:rPr>
        <w:t>最高限额为</w:t>
      </w:r>
      <w:r>
        <w:rPr>
          <w:rFonts w:hint="eastAsia" w:ascii="仿宋" w:hAnsi="仿宋" w:eastAsia="仿宋" w:cs="仿宋"/>
          <w:color w:val="000000" w:themeColor="text1"/>
        </w:rPr>
        <w:t>本</w:t>
      </w:r>
      <w:r>
        <w:rPr>
          <w:rFonts w:ascii="仿宋" w:hAnsi="仿宋" w:eastAsia="仿宋" w:cs="仿宋"/>
          <w:color w:val="000000" w:themeColor="text1"/>
        </w:rPr>
        <w:t>合同总价的</w:t>
      </w:r>
      <w:r>
        <w:rPr>
          <w:rFonts w:hint="eastAsia" w:ascii="仿宋" w:hAnsi="仿宋" w:eastAsia="仿宋"/>
          <w:u w:val="single"/>
        </w:rPr>
        <w:t>_20_</w:t>
      </w:r>
      <w:r>
        <w:rPr>
          <w:rFonts w:hint="eastAsia" w:ascii="仿宋" w:hAnsi="仿宋" w:eastAsia="仿宋" w:cs="仿宋"/>
          <w:color w:val="000000" w:themeColor="text1"/>
        </w:rPr>
        <w:t>%；</w:t>
      </w:r>
      <w:r>
        <w:rPr>
          <w:rFonts w:ascii="仿宋" w:hAnsi="仿宋" w:eastAsia="仿宋" w:cs="仿宋"/>
          <w:color w:val="000000" w:themeColor="text1"/>
        </w:rPr>
        <w:t>迟延</w:t>
      </w:r>
      <w:r>
        <w:rPr>
          <w:rFonts w:hint="eastAsia" w:ascii="仿宋" w:hAnsi="仿宋" w:eastAsia="仿宋" w:cs="仿宋"/>
          <w:color w:val="000000" w:themeColor="text1"/>
        </w:rPr>
        <w:t>履行</w:t>
      </w:r>
      <w:r>
        <w:rPr>
          <w:rFonts w:ascii="仿宋" w:hAnsi="仿宋" w:eastAsia="仿宋" w:cs="仿宋"/>
          <w:color w:val="000000" w:themeColor="text1"/>
        </w:rPr>
        <w:t>的违约金计算数额达到前述最高限额之日起</w:t>
      </w:r>
      <w:r>
        <w:rPr>
          <w:rFonts w:hint="eastAsia" w:ascii="仿宋" w:hAnsi="仿宋" w:eastAsia="仿宋" w:cs="仿宋"/>
          <w:color w:val="000000" w:themeColor="text1"/>
        </w:rPr>
        <w:t>，</w:t>
      </w:r>
      <w:r>
        <w:rPr>
          <w:rFonts w:ascii="仿宋" w:hAnsi="仿宋" w:eastAsia="仿宋" w:cs="仿宋"/>
          <w:color w:val="000000" w:themeColor="text1"/>
        </w:rPr>
        <w:t>甲方有权在要求乙方支付违约金的同时</w:t>
      </w:r>
      <w:r>
        <w:rPr>
          <w:rFonts w:hint="eastAsia" w:ascii="仿宋" w:hAnsi="仿宋" w:eastAsia="仿宋" w:cs="仿宋"/>
          <w:color w:val="000000" w:themeColor="text1"/>
        </w:rPr>
        <w:t>，书面通知乙方</w:t>
      </w:r>
      <w:r>
        <w:rPr>
          <w:rFonts w:ascii="仿宋" w:hAnsi="仿宋" w:eastAsia="仿宋" w:cs="仿宋"/>
          <w:color w:val="000000" w:themeColor="text1"/>
        </w:rPr>
        <w:t>解除本合同</w:t>
      </w:r>
      <w:r>
        <w:rPr>
          <w:rFonts w:hint="eastAsia" w:ascii="仿宋" w:hAnsi="仿宋" w:eastAsia="仿宋" w:cs="仿宋"/>
          <w:color w:val="000000" w:themeColor="text1"/>
        </w:rPr>
        <w:t>；</w:t>
      </w:r>
    </w:p>
    <w:p>
      <w:pPr>
        <w:pStyle w:val="262"/>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u w:val="single"/>
        </w:rPr>
        <w:t>0.05（可根据情况修改）</w:t>
      </w:r>
      <w:r>
        <w:rPr>
          <w:rFonts w:hint="eastAsia" w:ascii="仿宋" w:hAnsi="仿宋" w:eastAsia="仿宋" w:cs="仿宋"/>
          <w:color w:val="000000" w:themeColor="text1"/>
        </w:rPr>
        <w:t>%计算，最高限额为本合同总价的</w:t>
      </w:r>
      <w:r>
        <w:rPr>
          <w:rFonts w:hint="eastAsia" w:ascii="仿宋" w:hAnsi="仿宋" w:eastAsia="仿宋"/>
          <w:u w:val="single"/>
        </w:rPr>
        <w:t>_20_</w:t>
      </w:r>
      <w:r>
        <w:rPr>
          <w:rFonts w:hint="eastAsia" w:ascii="仿宋" w:hAnsi="仿宋" w:eastAsia="仿宋" w:cs="仿宋"/>
          <w:color w:val="000000" w:themeColor="text1"/>
        </w:rPr>
        <w:t>%；迟延交付货物的违约金计算数额达到前述最高限额之日起，甲方有权在要求乙方支付违约金的同时，书面通知乙方解除本合同；</w:t>
      </w:r>
    </w:p>
    <w:p>
      <w:pPr>
        <w:pStyle w:val="262"/>
        <w:spacing w:before="0" w:beforeAutospacing="0" w:after="0" w:afterAutospacing="0" w:line="276" w:lineRule="auto"/>
        <w:ind w:firstLine="480" w:firstLineChars="200"/>
        <w:rPr>
          <w:rFonts w:ascii="仿宋" w:hAnsi="仿宋" w:eastAsia="仿宋" w:cs="仿宋"/>
          <w:color w:val="000000" w:themeColor="text1"/>
        </w:rPr>
      </w:pPr>
      <w:r>
        <w:rPr>
          <w:rFonts w:ascii="仿宋" w:hAnsi="仿宋" w:eastAsia="仿宋" w:cs="仿宋"/>
          <w:color w:val="000000" w:themeColor="text1"/>
        </w:rPr>
        <w:t>1.</w:t>
      </w:r>
      <w:r>
        <w:rPr>
          <w:rFonts w:hint="eastAsia" w:ascii="仿宋" w:hAnsi="仿宋" w:eastAsia="仿宋" w:cs="仿宋"/>
          <w:color w:val="000000" w:themeColor="text1"/>
        </w:rPr>
        <w:t>8</w:t>
      </w:r>
      <w:r>
        <w:rPr>
          <w:rFonts w:ascii="仿宋" w:hAnsi="仿宋" w:eastAsia="仿宋" w:cs="仿宋"/>
          <w:color w:val="000000" w:themeColor="text1"/>
        </w:rPr>
        <w:t>.</w:t>
      </w:r>
      <w:r>
        <w:rPr>
          <w:rFonts w:hint="eastAsia" w:ascii="仿宋" w:hAnsi="仿宋" w:eastAsia="仿宋" w:cs="仿宋"/>
          <w:color w:val="000000" w:themeColor="text1"/>
        </w:rPr>
        <w:t>3除不可抗力外，如果甲方没有按照本合同约定的付款方式付款，那么乙方可要求甲方支付违约金，违约金按每迟延付款一日的应付而未付款的</w:t>
      </w:r>
      <w:r>
        <w:rPr>
          <w:rFonts w:hint="eastAsia" w:ascii="仿宋" w:hAnsi="仿宋" w:eastAsia="仿宋" w:cs="仿宋"/>
          <w:u w:val="single"/>
        </w:rPr>
        <w:t>0.05（可根据情况修改）</w:t>
      </w:r>
      <w:r>
        <w:rPr>
          <w:rFonts w:hint="eastAsia" w:ascii="仿宋" w:hAnsi="仿宋" w:eastAsia="仿宋" w:cs="仿宋"/>
          <w:color w:val="000000" w:themeColor="text1"/>
        </w:rPr>
        <w:t>%计算，最高限额为本合同总价的</w:t>
      </w:r>
      <w:r>
        <w:rPr>
          <w:rFonts w:hint="eastAsia" w:ascii="仿宋" w:hAnsi="仿宋" w:eastAsia="仿宋"/>
          <w:u w:val="single"/>
        </w:rPr>
        <w:t>_20_</w:t>
      </w:r>
      <w:r>
        <w:rPr>
          <w:rFonts w:hint="eastAsia" w:ascii="仿宋" w:hAnsi="仿宋" w:eastAsia="仿宋" w:cs="仿宋"/>
          <w:color w:val="000000" w:themeColor="text1"/>
        </w:rPr>
        <w:t>%；迟延付款的违约金计算数额达到前述最高限额之日起，乙方有权在要求甲方支付违约金的同时，书面通知甲方解除本合同；</w:t>
      </w:r>
    </w:p>
    <w:p>
      <w:pPr>
        <w:pStyle w:val="262"/>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262"/>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262"/>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1.8.6如果出现政府采购监督管理部门在处理投诉事项期间，书面通知甲方暂停采购活动的情形，或者询问或质疑事项可能影响中标或者成交结果的，导致甲方中止履行合同的情形，均不视为甲方违约。</w:t>
      </w:r>
    </w:p>
    <w:p>
      <w:pPr>
        <w:pStyle w:val="262"/>
        <w:spacing w:before="0" w:beforeAutospacing="0" w:after="0" w:afterAutospacing="0" w:line="276" w:lineRule="auto"/>
        <w:ind w:firstLine="480" w:firstLineChars="200"/>
        <w:rPr>
          <w:rFonts w:ascii="仿宋" w:hAnsi="仿宋" w:eastAsia="仿宋" w:cs="仿宋"/>
          <w:color w:val="000000" w:themeColor="text1"/>
        </w:rPr>
      </w:pPr>
      <w:r>
        <w:rPr>
          <w:rFonts w:hint="eastAsia" w:ascii="仿宋" w:hAnsi="仿宋" w:eastAsia="仿宋" w:cs="仿宋"/>
          <w:color w:val="000000" w:themeColor="text1"/>
        </w:rPr>
        <w:t>1.8.7违约责任</w:t>
      </w:r>
      <w:r>
        <w:rPr>
          <w:rFonts w:hint="eastAsia" w:ascii="仿宋" w:hAnsi="仿宋" w:eastAsia="仿宋" w:cs="仿宋"/>
          <w:b/>
          <w:i/>
          <w:u w:val="single"/>
        </w:rPr>
        <w:t>合同专用条款</w:t>
      </w:r>
      <w:r>
        <w:rPr>
          <w:rFonts w:hint="eastAsia" w:ascii="仿宋" w:hAnsi="仿宋" w:eastAsia="仿宋" w:cs="仿宋"/>
          <w:color w:val="000000" w:themeColor="text1"/>
        </w:rPr>
        <w:t>另有约定的，从其约定。</w:t>
      </w:r>
    </w:p>
    <w:p>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1.9 合同争议的解决</w:t>
      </w:r>
    </w:p>
    <w:p>
      <w:pPr>
        <w:spacing w:line="276" w:lineRule="auto"/>
        <w:ind w:left="-61" w:leftChars="-29" w:right="-420" w:rightChars="-200" w:firstLine="240" w:firstLineChars="100"/>
        <w:rPr>
          <w:rFonts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本合同履行过程中发生的任何争议，双方当事人均可通过和解或者调解解决；不愿和解、调解或者和解、调解不成的，可以选择以下第</w:t>
      </w:r>
      <w:r>
        <w:rPr>
          <w:rFonts w:hint="eastAsia" w:ascii="仿宋" w:hAnsi="仿宋" w:eastAsia="仿宋"/>
          <w:color w:val="auto"/>
          <w:sz w:val="24"/>
          <w:u w:val="single"/>
        </w:rPr>
        <w:t>___</w:t>
      </w:r>
      <w:r>
        <w:rPr>
          <w:rFonts w:hint="eastAsia" w:ascii="仿宋" w:hAnsi="仿宋" w:eastAsia="仿宋" w:cs="仿宋"/>
          <w:color w:val="auto"/>
          <w:sz w:val="24"/>
        </w:rPr>
        <w:t>条款规定的方式解决：</w:t>
      </w:r>
    </w:p>
    <w:p>
      <w:pPr>
        <w:spacing w:line="276" w:lineRule="auto"/>
        <w:ind w:firstLine="480" w:firstLineChars="200"/>
        <w:rPr>
          <w:rFonts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pPr>
        <w:pStyle w:val="262"/>
        <w:spacing w:before="0" w:beforeAutospacing="0" w:after="0" w:afterAutospacing="0" w:line="276" w:lineRule="auto"/>
        <w:ind w:firstLine="480" w:firstLineChars="200"/>
        <w:rPr>
          <w:rFonts w:ascii="仿宋" w:hAnsi="仿宋" w:eastAsia="仿宋" w:cs="仿宋"/>
        </w:rPr>
      </w:pPr>
      <w:r>
        <w:rPr>
          <w:rFonts w:hint="eastAsia" w:ascii="仿宋" w:hAnsi="仿宋" w:eastAsia="仿宋" w:cs="仿宋"/>
        </w:rPr>
        <w:t>1.9.2 向</w:t>
      </w:r>
      <w:r>
        <w:rPr>
          <w:rFonts w:hint="eastAsia" w:ascii="仿宋" w:hAnsi="仿宋" w:eastAsia="仿宋" w:cs="仿宋"/>
          <w:b/>
          <w:i/>
          <w:u w:val="single"/>
        </w:rPr>
        <w:t>合同专用条款</w:t>
      </w:r>
      <w:r>
        <w:rPr>
          <w:rFonts w:hint="eastAsia" w:ascii="仿宋" w:hAnsi="仿宋" w:eastAsia="仿宋" w:cs="仿宋"/>
        </w:rPr>
        <w:t>人民法院起诉。</w:t>
      </w:r>
    </w:p>
    <w:p>
      <w:pPr>
        <w:spacing w:line="276"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1.10合同生效</w:t>
      </w:r>
    </w:p>
    <w:p>
      <w:pPr>
        <w:pStyle w:val="262"/>
        <w:spacing w:before="0" w:beforeAutospacing="0" w:after="0" w:afterAutospacing="0" w:line="276" w:lineRule="auto"/>
        <w:ind w:firstLine="480" w:firstLineChars="200"/>
        <w:rPr>
          <w:rFonts w:ascii="仿宋" w:hAnsi="仿宋" w:eastAsia="仿宋" w:cs="仿宋"/>
          <w:b/>
        </w:rPr>
      </w:pPr>
      <w:r>
        <w:rPr>
          <w:rFonts w:hint="eastAsia" w:ascii="仿宋" w:hAnsi="仿宋" w:eastAsia="仿宋" w:cs="仿宋"/>
        </w:rPr>
        <w:t>本合同自双方当事人盖章签字时生效。</w:t>
      </w:r>
    </w:p>
    <w:p>
      <w:pPr>
        <w:spacing w:line="288" w:lineRule="auto"/>
        <w:rPr>
          <w:rFonts w:ascii="仿宋" w:hAnsi="仿宋" w:eastAsia="仿宋" w:cs="仿宋"/>
          <w:color w:val="auto"/>
          <w:sz w:val="24"/>
          <w:lang w:val="zh-CN"/>
        </w:rPr>
      </w:pPr>
    </w:p>
    <w:p>
      <w:pPr>
        <w:spacing w:line="288" w:lineRule="auto"/>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spacing w:line="288" w:lineRule="auto"/>
        <w:rPr>
          <w:rFonts w:ascii="仿宋" w:hAnsi="仿宋" w:eastAsia="仿宋" w:cs="仿宋"/>
          <w:color w:val="auto"/>
          <w:sz w:val="24"/>
          <w:lang w:val="zh-CN"/>
        </w:rPr>
      </w:pPr>
    </w:p>
    <w:p>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住所：                                   住所：</w:t>
      </w:r>
    </w:p>
    <w:p>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spacing w:line="288" w:lineRule="auto"/>
        <w:rPr>
          <w:rFonts w:ascii="仿宋" w:hAnsi="仿宋" w:eastAsia="仿宋" w:cs="仿宋"/>
          <w:color w:val="auto"/>
          <w:sz w:val="24"/>
          <w:lang w:val="zh-CN"/>
        </w:rPr>
      </w:pPr>
      <w:r>
        <w:rPr>
          <w:rFonts w:hint="eastAsia" w:ascii="仿宋" w:hAnsi="仿宋" w:eastAsia="仿宋" w:cs="仿宋"/>
          <w:color w:val="auto"/>
          <w:sz w:val="24"/>
          <w:lang w:val="zh-CN"/>
        </w:rPr>
        <w:t>传真:                                    传真:</w:t>
      </w:r>
    </w:p>
    <w:p>
      <w:pPr>
        <w:spacing w:line="288" w:lineRule="auto"/>
        <w:rPr>
          <w:rFonts w:ascii="仿宋" w:hAnsi="仿宋" w:eastAsia="仿宋" w:cs="仿宋"/>
          <w:color w:val="auto"/>
          <w:sz w:val="24"/>
        </w:rPr>
      </w:pPr>
      <w:r>
        <w:rPr>
          <w:rFonts w:hint="eastAsia" w:ascii="仿宋" w:hAnsi="仿宋" w:eastAsia="仿宋" w:cs="仿宋"/>
          <w:color w:val="auto"/>
          <w:sz w:val="24"/>
          <w:lang w:val="zh-CN"/>
        </w:rPr>
        <w:t>电子邮箱：                               电子邮箱：</w:t>
      </w:r>
    </w:p>
    <w:p>
      <w:pPr>
        <w:spacing w:line="288" w:lineRule="auto"/>
        <w:rPr>
          <w:rFonts w:ascii="仿宋" w:hAnsi="仿宋" w:eastAsia="仿宋" w:cs="仿宋"/>
          <w:color w:val="auto"/>
          <w:sz w:val="24"/>
        </w:rPr>
      </w:pPr>
      <w:r>
        <w:rPr>
          <w:rFonts w:hint="eastAsia" w:ascii="仿宋" w:hAnsi="仿宋" w:eastAsia="仿宋" w:cs="仿宋"/>
          <w:color w:val="auto"/>
          <w:sz w:val="24"/>
        </w:rPr>
        <w:t xml:space="preserve">开户银行：                               开户银行： </w:t>
      </w:r>
    </w:p>
    <w:p>
      <w:pPr>
        <w:spacing w:line="288" w:lineRule="auto"/>
        <w:rPr>
          <w:rFonts w:ascii="仿宋" w:hAnsi="仿宋" w:eastAsia="仿宋" w:cs="仿宋"/>
          <w:color w:val="auto"/>
          <w:sz w:val="24"/>
        </w:rPr>
      </w:pPr>
      <w:r>
        <w:rPr>
          <w:rFonts w:hint="eastAsia" w:ascii="仿宋" w:hAnsi="仿宋" w:eastAsia="仿宋" w:cs="仿宋"/>
          <w:color w:val="auto"/>
          <w:sz w:val="24"/>
        </w:rPr>
        <w:t xml:space="preserve">开户名称：                               开户名称： </w:t>
      </w:r>
    </w:p>
    <w:p>
      <w:pPr>
        <w:spacing w:beforeLines="50"/>
        <w:rPr>
          <w:rFonts w:ascii="仿宋" w:hAnsi="仿宋" w:eastAsia="仿宋"/>
          <w:b/>
          <w:color w:val="auto"/>
        </w:rPr>
      </w:pPr>
      <w:r>
        <w:rPr>
          <w:rFonts w:hint="eastAsia" w:ascii="仿宋" w:hAnsi="仿宋" w:eastAsia="仿宋" w:cs="仿宋"/>
          <w:color w:val="auto"/>
          <w:sz w:val="24"/>
        </w:rPr>
        <w:t>开户账号：                               开户账号：</w:t>
      </w:r>
    </w:p>
    <w:p>
      <w:pPr>
        <w:spacing w:beforeLines="50"/>
        <w:rPr>
          <w:rFonts w:ascii="仿宋" w:hAnsi="仿宋" w:eastAsia="仿宋"/>
          <w:b/>
          <w:color w:val="auto"/>
        </w:rPr>
        <w:sectPr>
          <w:pgSz w:w="11906" w:h="16838"/>
          <w:pgMar w:top="1247" w:right="1247" w:bottom="1247" w:left="1247" w:header="284" w:footer="454" w:gutter="0"/>
          <w:pgNumType w:fmt="numberInDash"/>
          <w:cols w:space="720" w:num="1"/>
          <w:titlePg/>
          <w:docGrid w:type="lines" w:linePitch="312" w:charSpace="0"/>
        </w:sectPr>
      </w:pPr>
    </w:p>
    <w:p>
      <w:pPr>
        <w:pStyle w:val="9"/>
        <w:spacing w:line="276" w:lineRule="auto"/>
        <w:ind w:firstLine="402"/>
        <w:jc w:val="center"/>
        <w:rPr>
          <w:rFonts w:ascii="仿宋" w:hAnsi="仿宋" w:eastAsia="仿宋" w:cs="仿宋"/>
          <w:b/>
          <w:sz w:val="28"/>
          <w:szCs w:val="28"/>
        </w:rPr>
      </w:pPr>
      <w:r>
        <w:rPr>
          <w:rFonts w:hint="eastAsia" w:ascii="仿宋" w:hAnsi="仿宋" w:eastAsia="仿宋" w:cs="仿宋"/>
          <w:b/>
          <w:sz w:val="28"/>
          <w:szCs w:val="28"/>
        </w:rPr>
        <w:t>第二部分 合同一般条款</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 定义</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本合同中的下列</w:t>
      </w:r>
      <w:r>
        <w:rPr>
          <w:rFonts w:hint="eastAsia" w:ascii="仿宋" w:hAnsi="仿宋" w:eastAsia="仿宋"/>
          <w:color w:val="auto"/>
          <w:sz w:val="24"/>
          <w:szCs w:val="24"/>
        </w:rPr>
        <w:t>词</w:t>
      </w:r>
      <w:r>
        <w:rPr>
          <w:rFonts w:ascii="仿宋" w:hAnsi="仿宋" w:eastAsia="仿宋"/>
          <w:color w:val="auto"/>
          <w:sz w:val="24"/>
          <w:szCs w:val="24"/>
        </w:rPr>
        <w:t>语应</w:t>
      </w:r>
      <w:r>
        <w:rPr>
          <w:rFonts w:hint="eastAsia" w:ascii="仿宋" w:hAnsi="仿宋" w:eastAsia="仿宋"/>
          <w:color w:val="auto"/>
          <w:sz w:val="24"/>
          <w:szCs w:val="24"/>
        </w:rPr>
        <w:t>按以下内容进行</w:t>
      </w:r>
      <w:r>
        <w:rPr>
          <w:rFonts w:ascii="仿宋" w:hAnsi="仿宋" w:eastAsia="仿宋"/>
          <w:color w:val="auto"/>
          <w:sz w:val="24"/>
          <w:szCs w:val="24"/>
        </w:rPr>
        <w:t>解释：</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 “合同”系指采购人和</w:t>
      </w:r>
      <w:r>
        <w:rPr>
          <w:rFonts w:hint="eastAsia" w:ascii="仿宋" w:hAnsi="仿宋" w:eastAsia="仿宋"/>
          <w:color w:val="auto"/>
          <w:sz w:val="24"/>
          <w:szCs w:val="24"/>
        </w:rPr>
        <w:t>中标或成交</w:t>
      </w:r>
      <w:r>
        <w:rPr>
          <w:rFonts w:ascii="仿宋" w:hAnsi="仿宋" w:eastAsia="仿宋"/>
          <w:color w:val="auto"/>
          <w:sz w:val="24"/>
          <w:szCs w:val="24"/>
        </w:rPr>
        <w:t>供应商签订的载明双方当事人所达成的协议，并包括所有的附件、附录和构成合同的其他文件。</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2.1.2 “合同价”系指根据合同约定，</w:t>
      </w:r>
      <w:r>
        <w:rPr>
          <w:rFonts w:hint="eastAsia" w:ascii="仿宋" w:hAnsi="仿宋" w:eastAsia="仿宋"/>
          <w:color w:val="auto"/>
          <w:sz w:val="24"/>
          <w:szCs w:val="24"/>
        </w:rPr>
        <w:t>中标或成交</w:t>
      </w:r>
      <w:r>
        <w:rPr>
          <w:rFonts w:ascii="仿宋" w:hAnsi="仿宋" w:eastAsia="仿宋"/>
          <w:color w:val="auto"/>
          <w:sz w:val="24"/>
          <w:szCs w:val="24"/>
        </w:rPr>
        <w:t>供应商在完全履行合同义务后</w:t>
      </w:r>
      <w:r>
        <w:rPr>
          <w:rFonts w:hint="eastAsia" w:ascii="仿宋" w:hAnsi="仿宋" w:eastAsia="仿宋"/>
          <w:color w:val="auto"/>
          <w:sz w:val="24"/>
          <w:szCs w:val="24"/>
        </w:rPr>
        <w:t>，</w:t>
      </w:r>
      <w:r>
        <w:rPr>
          <w:rFonts w:ascii="仿宋" w:hAnsi="仿宋" w:eastAsia="仿宋"/>
          <w:color w:val="auto"/>
          <w:sz w:val="24"/>
          <w:szCs w:val="24"/>
        </w:rPr>
        <w:t>采购人应支付给</w:t>
      </w:r>
      <w:r>
        <w:rPr>
          <w:rFonts w:hint="eastAsia" w:ascii="仿宋" w:hAnsi="仿宋" w:eastAsia="仿宋"/>
          <w:color w:val="auto"/>
          <w:sz w:val="24"/>
          <w:szCs w:val="24"/>
        </w:rPr>
        <w:t>中标或成交</w:t>
      </w:r>
      <w:r>
        <w:rPr>
          <w:rFonts w:ascii="仿宋" w:hAnsi="仿宋" w:eastAsia="仿宋"/>
          <w:color w:val="auto"/>
          <w:sz w:val="24"/>
          <w:szCs w:val="24"/>
        </w:rPr>
        <w:t>供应商的价格。</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2.1.3 “</w:t>
      </w:r>
      <w:r>
        <w:rPr>
          <w:rFonts w:hint="eastAsia" w:ascii="仿宋" w:hAnsi="仿宋" w:eastAsia="仿宋"/>
          <w:color w:val="auto"/>
          <w:sz w:val="24"/>
          <w:szCs w:val="24"/>
        </w:rPr>
        <w:t>服务</w:t>
      </w:r>
      <w:r>
        <w:rPr>
          <w:rFonts w:ascii="仿宋" w:hAnsi="仿宋" w:eastAsia="仿宋"/>
          <w:color w:val="auto"/>
          <w:sz w:val="24"/>
          <w:szCs w:val="24"/>
        </w:rPr>
        <w:t>”系指</w:t>
      </w:r>
      <w:r>
        <w:rPr>
          <w:rFonts w:hint="eastAsia" w:ascii="仿宋" w:hAnsi="仿宋" w:eastAsia="仿宋"/>
          <w:color w:val="auto"/>
          <w:sz w:val="24"/>
          <w:szCs w:val="24"/>
        </w:rPr>
        <w:t>中标或成交供应商</w:t>
      </w:r>
      <w:r>
        <w:rPr>
          <w:rFonts w:ascii="仿宋" w:hAnsi="仿宋" w:eastAsia="仿宋"/>
          <w:color w:val="auto"/>
          <w:sz w:val="24"/>
          <w:szCs w:val="24"/>
        </w:rPr>
        <w:t>根据合同约定应向采购人</w:t>
      </w:r>
      <w:r>
        <w:rPr>
          <w:rFonts w:hint="eastAsia" w:ascii="仿宋" w:hAnsi="仿宋" w:eastAsia="仿宋"/>
          <w:color w:val="auto"/>
          <w:sz w:val="24"/>
          <w:szCs w:val="24"/>
        </w:rPr>
        <w:t>履行</w:t>
      </w:r>
      <w:r>
        <w:rPr>
          <w:rFonts w:ascii="仿宋" w:hAnsi="仿宋" w:eastAsia="仿宋"/>
          <w:color w:val="auto"/>
          <w:sz w:val="24"/>
          <w:szCs w:val="24"/>
        </w:rPr>
        <w:t>的</w:t>
      </w:r>
      <w:r>
        <w:rPr>
          <w:rFonts w:hint="eastAsia" w:ascii="仿宋" w:hAnsi="仿宋" w:eastAsia="仿宋"/>
          <w:color w:val="auto"/>
          <w:sz w:val="24"/>
          <w:szCs w:val="24"/>
        </w:rPr>
        <w:t>除货物和工程以外的其他政府采购对象，包括采购人自身需要的服务和向社会公众提供的公共服务。</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2.1.4 “</w:t>
      </w:r>
      <w:r>
        <w:rPr>
          <w:rFonts w:hint="eastAsia" w:ascii="仿宋" w:hAnsi="仿宋" w:eastAsia="仿宋"/>
          <w:color w:val="auto"/>
          <w:sz w:val="24"/>
          <w:szCs w:val="24"/>
        </w:rPr>
        <w:t>甲方</w:t>
      </w:r>
      <w:r>
        <w:rPr>
          <w:rFonts w:ascii="仿宋" w:hAnsi="仿宋" w:eastAsia="仿宋"/>
          <w:color w:val="auto"/>
          <w:sz w:val="24"/>
          <w:szCs w:val="24"/>
        </w:rPr>
        <w:t>”系指与</w:t>
      </w:r>
      <w:r>
        <w:rPr>
          <w:rFonts w:hint="eastAsia" w:ascii="仿宋" w:hAnsi="仿宋" w:eastAsia="仿宋"/>
          <w:color w:val="auto"/>
          <w:sz w:val="24"/>
          <w:szCs w:val="24"/>
        </w:rPr>
        <w:t>中标或成交供应商</w:t>
      </w:r>
      <w:r>
        <w:rPr>
          <w:rFonts w:ascii="仿宋" w:hAnsi="仿宋" w:eastAsia="仿宋"/>
          <w:color w:val="auto"/>
          <w:sz w:val="24"/>
          <w:szCs w:val="24"/>
        </w:rPr>
        <w:t>签署合同的采购人</w:t>
      </w:r>
      <w:r>
        <w:rPr>
          <w:rFonts w:hint="eastAsia" w:ascii="仿宋" w:hAnsi="仿宋" w:eastAsia="仿宋"/>
          <w:color w:val="auto"/>
          <w:sz w:val="24"/>
          <w:szCs w:val="24"/>
        </w:rPr>
        <w:t>；采购人委托采购代理机构代表其与乙方签订合同的，采购人的授权委托书作为合同附件。</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2.1.5 “乙方”系指根据合同约定提供服务的</w:t>
      </w:r>
      <w:r>
        <w:rPr>
          <w:rFonts w:hint="eastAsia" w:ascii="仿宋" w:hAnsi="仿宋" w:eastAsia="仿宋"/>
          <w:color w:val="auto"/>
          <w:sz w:val="24"/>
          <w:szCs w:val="24"/>
        </w:rPr>
        <w:t>中标或成交</w:t>
      </w:r>
      <w:r>
        <w:rPr>
          <w:rFonts w:ascii="仿宋" w:hAnsi="仿宋" w:eastAsia="仿宋"/>
          <w:color w:val="auto"/>
          <w:sz w:val="24"/>
          <w:szCs w:val="24"/>
        </w:rPr>
        <w:t>供应商</w:t>
      </w:r>
      <w:r>
        <w:rPr>
          <w:rFonts w:hint="eastAsia" w:ascii="仿宋" w:hAnsi="仿宋" w:eastAsia="仿宋"/>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2.1.6 “现场”系指合同约定提供服务的地点。</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2.2 技术规范</w:t>
      </w:r>
    </w:p>
    <w:p>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服务</w:t>
      </w:r>
      <w:r>
        <w:rPr>
          <w:rFonts w:ascii="仿宋" w:hAnsi="仿宋" w:eastAsia="仿宋"/>
          <w:color w:val="auto"/>
          <w:sz w:val="24"/>
          <w:szCs w:val="24"/>
        </w:rPr>
        <w:t>所应遵守的技术规范应与采购文件规定的技术规范和技术规范附件(如果有的话)及其技术规范偏差表(如果被甲方接受的话)相一致</w:t>
      </w:r>
      <w:r>
        <w:rPr>
          <w:rFonts w:hint="eastAsia" w:ascii="仿宋" w:hAnsi="仿宋" w:eastAsia="仿宋"/>
          <w:color w:val="auto"/>
          <w:sz w:val="24"/>
          <w:szCs w:val="24"/>
        </w:rPr>
        <w:t>；</w:t>
      </w:r>
      <w:r>
        <w:rPr>
          <w:rFonts w:ascii="仿宋" w:hAnsi="仿宋" w:eastAsia="仿宋"/>
          <w:color w:val="auto"/>
          <w:sz w:val="24"/>
          <w:szCs w:val="24"/>
        </w:rPr>
        <w:t>如果采购文件中没有技术规范的相应说明，那么应以国家有关部门最新颁布的相应标准</w:t>
      </w:r>
      <w:r>
        <w:rPr>
          <w:rFonts w:hint="eastAsia" w:ascii="仿宋" w:hAnsi="仿宋" w:eastAsia="仿宋"/>
          <w:color w:val="auto"/>
          <w:sz w:val="24"/>
          <w:szCs w:val="24"/>
        </w:rPr>
        <w:t>和</w:t>
      </w:r>
      <w:r>
        <w:rPr>
          <w:rFonts w:ascii="仿宋" w:hAnsi="仿宋" w:eastAsia="仿宋"/>
          <w:color w:val="auto"/>
          <w:sz w:val="24"/>
          <w:szCs w:val="24"/>
        </w:rPr>
        <w:t>规范为准。</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2.3 知识产权</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2.3.1 </w:t>
      </w:r>
      <w:r>
        <w:rPr>
          <w:rFonts w:hint="eastAsia" w:ascii="仿宋" w:hAnsi="仿宋" w:eastAsia="仿宋"/>
          <w:color w:val="auto"/>
          <w:sz w:val="24"/>
          <w:szCs w:val="24"/>
        </w:rPr>
        <w:t>乙</w:t>
      </w:r>
      <w:r>
        <w:rPr>
          <w:rFonts w:ascii="仿宋" w:hAnsi="仿宋" w:eastAsia="仿宋"/>
          <w:color w:val="auto"/>
          <w:sz w:val="24"/>
          <w:szCs w:val="24"/>
        </w:rPr>
        <w:t>方应保证</w:t>
      </w:r>
      <w:r>
        <w:rPr>
          <w:rFonts w:hint="eastAsia" w:ascii="仿宋" w:hAnsi="仿宋" w:eastAsia="仿宋"/>
          <w:color w:val="auto"/>
          <w:sz w:val="24"/>
          <w:szCs w:val="24"/>
        </w:rPr>
        <w:t>其提供的服务</w:t>
      </w:r>
      <w:r>
        <w:rPr>
          <w:rFonts w:ascii="仿宋" w:hAnsi="仿宋" w:eastAsia="仿宋"/>
          <w:color w:val="auto"/>
          <w:sz w:val="24"/>
          <w:szCs w:val="24"/>
        </w:rPr>
        <w:t>不受任何第三方提出的侵犯其著作权、商标权、专利权等知识产权方面的起诉</w:t>
      </w:r>
      <w:r>
        <w:rPr>
          <w:rFonts w:hint="eastAsia" w:ascii="仿宋" w:hAnsi="仿宋" w:eastAsia="仿宋"/>
          <w:color w:val="auto"/>
          <w:sz w:val="24"/>
          <w:szCs w:val="24"/>
        </w:rPr>
        <w:t>；</w:t>
      </w:r>
      <w:r>
        <w:rPr>
          <w:rFonts w:ascii="仿宋" w:hAnsi="仿宋" w:eastAsia="仿宋"/>
          <w:color w:val="auto"/>
          <w:sz w:val="24"/>
          <w:szCs w:val="24"/>
        </w:rPr>
        <w:t>如果任何第三方提出侵权</w:t>
      </w:r>
      <w:r>
        <w:rPr>
          <w:rFonts w:hint="eastAsia" w:ascii="仿宋" w:hAnsi="仿宋" w:eastAsia="仿宋"/>
          <w:color w:val="auto"/>
          <w:sz w:val="24"/>
          <w:szCs w:val="24"/>
        </w:rPr>
        <w:t>指控</w:t>
      </w:r>
      <w:r>
        <w:rPr>
          <w:rFonts w:ascii="仿宋" w:hAnsi="仿宋" w:eastAsia="仿宋"/>
          <w:color w:val="auto"/>
          <w:sz w:val="24"/>
          <w:szCs w:val="24"/>
        </w:rPr>
        <w:t>，那么乙方须与该第三方交涉并承担由此发生的一切责任、费用和赔偿</w:t>
      </w:r>
      <w:r>
        <w:rPr>
          <w:rFonts w:hint="eastAsia" w:ascii="仿宋" w:hAnsi="仿宋" w:eastAsia="仿宋"/>
          <w:color w:val="auto"/>
          <w:sz w:val="24"/>
          <w:szCs w:val="24"/>
        </w:rPr>
        <w:t>，乙方还应及时澄清相关信息，使甲方声誉免受损害，甲方保留追责的权利。</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2.3.2 </w:t>
      </w:r>
      <w:r>
        <w:rPr>
          <w:rFonts w:hint="eastAsia" w:ascii="仿宋" w:hAnsi="仿宋" w:eastAsia="仿宋"/>
          <w:color w:val="auto"/>
          <w:sz w:val="24"/>
          <w:szCs w:val="24"/>
        </w:rPr>
        <w:t>合同涉及技术成果的归属和收益的分成办法的，</w:t>
      </w:r>
      <w:r>
        <w:rPr>
          <w:rFonts w:ascii="仿宋" w:hAnsi="仿宋" w:eastAsia="仿宋"/>
          <w:color w:val="auto"/>
          <w:sz w:val="24"/>
          <w:szCs w:val="24"/>
        </w:rPr>
        <w:t>详见</w:t>
      </w:r>
      <w:r>
        <w:rPr>
          <w:rFonts w:ascii="仿宋" w:hAnsi="仿宋" w:eastAsia="仿宋"/>
          <w:b/>
          <w:i/>
          <w:color w:val="auto"/>
          <w:sz w:val="24"/>
          <w:szCs w:val="24"/>
          <w:u w:val="single"/>
        </w:rPr>
        <w:t>合同专用条款</w:t>
      </w:r>
      <w:r>
        <w:rPr>
          <w:rFonts w:ascii="仿宋" w:hAnsi="仿宋" w:eastAsia="仿宋"/>
          <w:color w:val="auto"/>
          <w:sz w:val="24"/>
          <w:szCs w:val="24"/>
        </w:rPr>
        <w:t>。</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2.4 </w:t>
      </w:r>
      <w:r>
        <w:rPr>
          <w:rFonts w:hint="eastAsia" w:ascii="仿宋" w:hAnsi="仿宋" w:eastAsia="仿宋"/>
          <w:b/>
          <w:color w:val="auto"/>
          <w:sz w:val="24"/>
          <w:szCs w:val="24"/>
        </w:rPr>
        <w:t>履约检查和问题反馈</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2.4.1甲方</w:t>
      </w:r>
      <w:r>
        <w:rPr>
          <w:rFonts w:hint="eastAsia" w:ascii="仿宋" w:hAnsi="仿宋" w:eastAsia="仿宋"/>
          <w:color w:val="auto"/>
          <w:sz w:val="24"/>
          <w:szCs w:val="24"/>
        </w:rPr>
        <w:t>有权</w:t>
      </w:r>
      <w:r>
        <w:rPr>
          <w:rFonts w:ascii="仿宋" w:hAnsi="仿宋" w:eastAsia="仿宋"/>
          <w:color w:val="auto"/>
          <w:sz w:val="24"/>
          <w:szCs w:val="24"/>
        </w:rPr>
        <w:t>在其认为必要时</w:t>
      </w:r>
      <w:r>
        <w:rPr>
          <w:rFonts w:hint="eastAsia" w:ascii="仿宋" w:hAnsi="仿宋" w:eastAsia="仿宋"/>
          <w:color w:val="auto"/>
          <w:sz w:val="24"/>
          <w:szCs w:val="24"/>
        </w:rPr>
        <w:t>，对乙方是否能够按照合同约定提供服务进行履约检查，以确保乙方所提供的服务能够依约满足甲方之项目需求，但不得因履约检查妨碍乙方的正常工作，乙方应予积极配合；</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2.4.2 </w:t>
      </w:r>
      <w:r>
        <w:rPr>
          <w:rFonts w:hint="eastAsia" w:ascii="仿宋" w:hAnsi="仿宋" w:eastAsia="仿宋"/>
          <w:color w:val="auto"/>
          <w:sz w:val="24"/>
          <w:szCs w:val="24"/>
        </w:rPr>
        <w:t>合同履行期间，甲方有权将履行过程中出现的问题反馈给乙方，双方当事人应以书面形式约定需要完善和改进的内容。</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2.5 结算方式和付款条件</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详见</w:t>
      </w:r>
      <w:r>
        <w:rPr>
          <w:rFonts w:ascii="仿宋" w:hAnsi="仿宋" w:eastAsia="仿宋"/>
          <w:b/>
          <w:i/>
          <w:color w:val="auto"/>
          <w:sz w:val="24"/>
          <w:szCs w:val="24"/>
          <w:u w:val="single"/>
        </w:rPr>
        <w:t>合同专用条款</w:t>
      </w:r>
      <w:r>
        <w:rPr>
          <w:rFonts w:ascii="仿宋" w:hAnsi="仿宋" w:eastAsia="仿宋"/>
          <w:color w:val="auto"/>
          <w:sz w:val="24"/>
          <w:szCs w:val="24"/>
        </w:rPr>
        <w:t>。</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2.6 技术资料和保密义务</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2.6.1 乙方有权依据合同约定和项目需要，向甲方了解有关情况，调阅有关资料等，甲方应予积极配合；</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2.6.2 </w:t>
      </w:r>
      <w:r>
        <w:rPr>
          <w:rFonts w:hint="eastAsia" w:ascii="仿宋" w:hAnsi="仿宋" w:eastAsia="仿宋"/>
          <w:color w:val="auto"/>
          <w:sz w:val="24"/>
          <w:szCs w:val="24"/>
        </w:rPr>
        <w:t>乙方有义务妥善保管和保护由甲方提供的前款信息和资料等；</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2.6.3 </w:t>
      </w:r>
      <w:r>
        <w:rPr>
          <w:rFonts w:hint="eastAsia" w:ascii="仿宋" w:hAnsi="仿宋" w:eastAsia="仿宋"/>
          <w:color w:val="auto"/>
          <w:sz w:val="24"/>
          <w:szCs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szCs w:val="24"/>
        </w:rPr>
        <w:t>技术情报</w:t>
      </w:r>
      <w:r>
        <w:rPr>
          <w:rFonts w:hint="eastAsia" w:ascii="仿宋" w:hAnsi="仿宋" w:eastAsia="仿宋"/>
          <w:color w:val="auto"/>
          <w:sz w:val="24"/>
          <w:szCs w:val="24"/>
        </w:rPr>
        <w:t>、</w:t>
      </w:r>
      <w:r>
        <w:rPr>
          <w:rFonts w:ascii="仿宋" w:hAnsi="仿宋" w:eastAsia="仿宋"/>
          <w:color w:val="auto"/>
          <w:sz w:val="24"/>
          <w:szCs w:val="24"/>
        </w:rPr>
        <w:t>技术资料</w:t>
      </w:r>
      <w:r>
        <w:rPr>
          <w:rFonts w:hint="eastAsia" w:ascii="仿宋" w:hAnsi="仿宋" w:eastAsia="仿宋"/>
          <w:color w:val="auto"/>
          <w:sz w:val="24"/>
          <w:szCs w:val="24"/>
        </w:rPr>
        <w:t>、商业秘密和商业信息等，并采取一切合理和必要措施和方式防止任何第三方接触到对方当事人的上述保密信息和资料。</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2.7 </w:t>
      </w:r>
      <w:r>
        <w:rPr>
          <w:rFonts w:hint="eastAsia" w:ascii="仿宋" w:hAnsi="仿宋" w:eastAsia="仿宋"/>
          <w:b/>
          <w:color w:val="auto"/>
          <w:sz w:val="24"/>
          <w:szCs w:val="24"/>
        </w:rPr>
        <w:t>质量保证</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2.7.1 </w:t>
      </w:r>
      <w:r>
        <w:rPr>
          <w:rFonts w:hint="eastAsia" w:ascii="仿宋" w:hAnsi="仿宋" w:eastAsia="仿宋"/>
          <w:color w:val="auto"/>
          <w:sz w:val="24"/>
          <w:szCs w:val="24"/>
        </w:rPr>
        <w:t>乙方应建立和完善履行合同的内部质量保证体系，并提供相关内部规章制度给甲方，以便甲方进行监督检查；</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2.7.2 </w:t>
      </w:r>
      <w:r>
        <w:rPr>
          <w:rFonts w:hint="eastAsia" w:ascii="仿宋" w:hAnsi="仿宋" w:eastAsia="仿宋"/>
          <w:color w:val="auto"/>
          <w:sz w:val="24"/>
          <w:szCs w:val="24"/>
        </w:rPr>
        <w:t>乙方应保证履行合同的人员数量和素质、软件和硬件设备的配置、场地、环境和设施等满足全面履行合同的要求，并应接受甲方的监督检查。</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2.8 </w:t>
      </w:r>
      <w:r>
        <w:rPr>
          <w:rFonts w:hint="eastAsia" w:ascii="仿宋" w:hAnsi="仿宋" w:eastAsia="仿宋"/>
          <w:b/>
          <w:color w:val="auto"/>
          <w:sz w:val="24"/>
          <w:szCs w:val="24"/>
        </w:rPr>
        <w:t>延迟履行</w:t>
      </w:r>
    </w:p>
    <w:p>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甲乙双方签订合同后，乙方应按照合同约定履行合同义务，除不可抗力外，乙方不得延迟履行。</w:t>
      </w:r>
      <w:r>
        <w:rPr>
          <w:rFonts w:ascii="仿宋" w:hAnsi="仿宋" w:eastAsia="仿宋"/>
          <w:color w:val="auto"/>
          <w:sz w:val="24"/>
          <w:szCs w:val="24"/>
        </w:rPr>
        <w:t>在合同履行过程中，如果</w:t>
      </w:r>
      <w:r>
        <w:rPr>
          <w:rFonts w:hint="eastAsia" w:ascii="仿宋" w:hAnsi="仿宋" w:eastAsia="仿宋"/>
          <w:color w:val="auto"/>
          <w:sz w:val="24"/>
          <w:szCs w:val="24"/>
        </w:rPr>
        <w:t>因不可抗力，</w:t>
      </w:r>
      <w:r>
        <w:rPr>
          <w:rFonts w:ascii="仿宋" w:hAnsi="仿宋" w:eastAsia="仿宋"/>
          <w:color w:val="auto"/>
          <w:sz w:val="24"/>
          <w:szCs w:val="24"/>
        </w:rPr>
        <w:t>乙方遇到不能按时</w:t>
      </w:r>
      <w:r>
        <w:rPr>
          <w:rFonts w:hint="eastAsia" w:ascii="仿宋" w:hAnsi="仿宋" w:eastAsia="仿宋"/>
          <w:color w:val="auto"/>
          <w:sz w:val="24"/>
          <w:szCs w:val="24"/>
        </w:rPr>
        <w:t>提供服务</w:t>
      </w:r>
      <w:r>
        <w:rPr>
          <w:rFonts w:ascii="仿宋" w:hAnsi="仿宋" w:eastAsia="仿宋"/>
          <w:color w:val="auto"/>
          <w:sz w:val="24"/>
          <w:szCs w:val="24"/>
        </w:rPr>
        <w:t>的情况，应及时以书面形式将不能按时</w:t>
      </w:r>
      <w:r>
        <w:rPr>
          <w:rFonts w:hint="eastAsia" w:ascii="仿宋" w:hAnsi="仿宋" w:eastAsia="仿宋"/>
          <w:color w:val="auto"/>
          <w:sz w:val="24"/>
          <w:szCs w:val="24"/>
        </w:rPr>
        <w:t>提供服务</w:t>
      </w:r>
      <w:r>
        <w:rPr>
          <w:rFonts w:ascii="仿宋" w:hAnsi="仿宋" w:eastAsia="仿宋"/>
          <w:color w:val="auto"/>
          <w:sz w:val="24"/>
          <w:szCs w:val="24"/>
        </w:rPr>
        <w:t>的理由、预期延误时间通知甲方</w:t>
      </w:r>
      <w:r>
        <w:rPr>
          <w:rFonts w:hint="eastAsia" w:ascii="仿宋" w:hAnsi="仿宋" w:eastAsia="仿宋"/>
          <w:color w:val="auto"/>
          <w:sz w:val="24"/>
          <w:szCs w:val="24"/>
        </w:rPr>
        <w:t>；甲</w:t>
      </w:r>
      <w:r>
        <w:rPr>
          <w:rFonts w:ascii="仿宋" w:hAnsi="仿宋" w:eastAsia="仿宋"/>
          <w:color w:val="auto"/>
          <w:sz w:val="24"/>
          <w:szCs w:val="24"/>
        </w:rPr>
        <w:t>方收到乙方通知后，认为其理由正当的，可以书面形式酌情同意乙方可以延长</w:t>
      </w:r>
      <w:r>
        <w:rPr>
          <w:rFonts w:hint="eastAsia" w:ascii="仿宋" w:hAnsi="仿宋" w:eastAsia="仿宋"/>
          <w:color w:val="auto"/>
          <w:sz w:val="24"/>
          <w:szCs w:val="24"/>
        </w:rPr>
        <w:t>履行</w:t>
      </w:r>
      <w:r>
        <w:rPr>
          <w:rFonts w:ascii="仿宋" w:hAnsi="仿宋" w:eastAsia="仿宋"/>
          <w:color w:val="auto"/>
          <w:sz w:val="24"/>
          <w:szCs w:val="24"/>
        </w:rPr>
        <w:t>的具体时间。</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2.9 </w:t>
      </w:r>
      <w:r>
        <w:rPr>
          <w:rFonts w:hint="eastAsia" w:ascii="仿宋" w:hAnsi="仿宋" w:eastAsia="仿宋"/>
          <w:b/>
          <w:color w:val="auto"/>
          <w:sz w:val="24"/>
          <w:szCs w:val="24"/>
        </w:rPr>
        <w:t>合同变更</w:t>
      </w:r>
    </w:p>
    <w:p>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合同继续履行将损害国家利益和社会公共利益的，双方当事人应当以书面形式变更合同。有过错的一方应当承担赔偿责任，双方当事人都有过错的，各自承担相应的责任。</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2.10 合同转让和分包</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合同的权利义务依法不</w:t>
      </w:r>
      <w:r>
        <w:rPr>
          <w:rFonts w:hint="eastAsia" w:ascii="仿宋" w:hAnsi="仿宋" w:eastAsia="仿宋"/>
          <w:color w:val="auto"/>
          <w:sz w:val="24"/>
          <w:szCs w:val="24"/>
        </w:rPr>
        <w:t>得</w:t>
      </w:r>
      <w:r>
        <w:rPr>
          <w:rFonts w:ascii="仿宋" w:hAnsi="仿宋" w:eastAsia="仿宋"/>
          <w:color w:val="auto"/>
          <w:sz w:val="24"/>
          <w:szCs w:val="24"/>
        </w:rPr>
        <w:t>转让</w:t>
      </w:r>
      <w:r>
        <w:rPr>
          <w:rFonts w:hint="eastAsia" w:ascii="仿宋" w:hAnsi="仿宋" w:eastAsia="仿宋"/>
          <w:color w:val="auto"/>
          <w:sz w:val="24"/>
          <w:szCs w:val="24"/>
        </w:rPr>
        <w:t>，</w:t>
      </w:r>
      <w:r>
        <w:rPr>
          <w:rFonts w:ascii="仿宋" w:hAnsi="仿宋" w:eastAsia="仿宋"/>
          <w:color w:val="auto"/>
          <w:sz w:val="24"/>
          <w:szCs w:val="24"/>
        </w:rPr>
        <w:t>但经甲方</w:t>
      </w:r>
      <w:r>
        <w:rPr>
          <w:rFonts w:hint="eastAsia" w:ascii="仿宋" w:hAnsi="仿宋" w:eastAsia="仿宋"/>
          <w:color w:val="auto"/>
          <w:sz w:val="24"/>
          <w:szCs w:val="24"/>
        </w:rPr>
        <w:t>书面同意，乙方可以依法采取分包方式履行合同，即：依法可以</w:t>
      </w:r>
      <w:r>
        <w:rPr>
          <w:rFonts w:ascii="仿宋" w:hAnsi="仿宋" w:eastAsia="仿宋"/>
          <w:color w:val="auto"/>
          <w:sz w:val="24"/>
          <w:szCs w:val="24"/>
        </w:rPr>
        <w:t>将合同项下的部分非主体、非关键性工作分包给他人完成</w:t>
      </w:r>
      <w:r>
        <w:rPr>
          <w:rFonts w:hint="eastAsia" w:ascii="仿宋" w:hAnsi="仿宋" w:eastAsia="仿宋"/>
          <w:color w:val="auto"/>
          <w:sz w:val="24"/>
          <w:szCs w:val="24"/>
        </w:rPr>
        <w:t>，</w:t>
      </w:r>
      <w:r>
        <w:rPr>
          <w:rFonts w:ascii="仿宋" w:hAnsi="仿宋" w:eastAsia="仿宋"/>
          <w:color w:val="auto"/>
          <w:sz w:val="24"/>
          <w:szCs w:val="24"/>
        </w:rPr>
        <w:t>接受分包的人应当具备相应的资格条件，并不得再次分包</w:t>
      </w:r>
      <w:r>
        <w:rPr>
          <w:rFonts w:hint="eastAsia" w:ascii="仿宋" w:hAnsi="仿宋" w:eastAsia="仿宋"/>
          <w:color w:val="auto"/>
          <w:sz w:val="24"/>
          <w:szCs w:val="24"/>
        </w:rPr>
        <w:t>，</w:t>
      </w:r>
      <w:r>
        <w:rPr>
          <w:rFonts w:ascii="仿宋" w:hAnsi="仿宋" w:eastAsia="仿宋"/>
          <w:color w:val="auto"/>
          <w:sz w:val="24"/>
          <w:szCs w:val="24"/>
        </w:rPr>
        <w:t>且乙方应就分包项目向甲方负责</w:t>
      </w:r>
      <w:r>
        <w:rPr>
          <w:rFonts w:hint="eastAsia" w:ascii="仿宋" w:hAnsi="仿宋" w:eastAsia="仿宋"/>
          <w:color w:val="auto"/>
          <w:sz w:val="24"/>
          <w:szCs w:val="24"/>
        </w:rPr>
        <w:t>，</w:t>
      </w:r>
      <w:r>
        <w:rPr>
          <w:rFonts w:ascii="仿宋" w:hAnsi="仿宋" w:eastAsia="仿宋"/>
          <w:color w:val="auto"/>
          <w:sz w:val="24"/>
          <w:szCs w:val="24"/>
        </w:rPr>
        <w:t>并</w:t>
      </w:r>
      <w:r>
        <w:rPr>
          <w:rFonts w:hint="eastAsia" w:ascii="仿宋" w:hAnsi="仿宋" w:eastAsia="仿宋"/>
          <w:color w:val="auto"/>
          <w:sz w:val="24"/>
          <w:szCs w:val="24"/>
        </w:rPr>
        <w:t>与分包供应商就分包项目向甲方承担连带责任。</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2.11 不可抗力</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szCs w:val="24"/>
        </w:rPr>
        <w:t>；</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2.11.2 </w:t>
      </w:r>
      <w:r>
        <w:rPr>
          <w:rFonts w:hint="eastAsia" w:ascii="仿宋" w:hAnsi="仿宋" w:eastAsia="仿宋"/>
          <w:color w:val="auto"/>
          <w:sz w:val="24"/>
          <w:szCs w:val="24"/>
        </w:rPr>
        <w:t>因不可抗力致使不能实现合同目的的，当事人可以解除合同；</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2.11.3 </w:t>
      </w:r>
      <w:r>
        <w:rPr>
          <w:rFonts w:hint="eastAsia" w:ascii="仿宋" w:hAnsi="仿宋" w:eastAsia="仿宋"/>
          <w:color w:val="auto"/>
          <w:sz w:val="24"/>
          <w:szCs w:val="24"/>
        </w:rPr>
        <w:t>因</w:t>
      </w:r>
      <w:r>
        <w:rPr>
          <w:rFonts w:ascii="仿宋" w:hAnsi="仿宋" w:eastAsia="仿宋"/>
          <w:color w:val="auto"/>
          <w:sz w:val="24"/>
          <w:szCs w:val="24"/>
        </w:rPr>
        <w:t>不可抗力致使合同有变更必要的，双方当事人应在</w:t>
      </w:r>
      <w:r>
        <w:rPr>
          <w:rFonts w:ascii="仿宋" w:hAnsi="仿宋" w:eastAsia="仿宋"/>
          <w:b/>
          <w:i/>
          <w:color w:val="auto"/>
          <w:sz w:val="24"/>
          <w:szCs w:val="24"/>
          <w:u w:val="single"/>
        </w:rPr>
        <w:t>合同专用条款</w:t>
      </w:r>
      <w:r>
        <w:rPr>
          <w:rFonts w:ascii="仿宋" w:hAnsi="仿宋" w:eastAsia="仿宋"/>
          <w:color w:val="auto"/>
          <w:sz w:val="24"/>
          <w:szCs w:val="24"/>
        </w:rPr>
        <w:t>约定时间内以书面形式变更合同</w:t>
      </w:r>
      <w:r>
        <w:rPr>
          <w:rFonts w:hint="eastAsia" w:ascii="仿宋" w:hAnsi="仿宋" w:eastAsia="仿宋"/>
          <w:color w:val="auto"/>
          <w:sz w:val="24"/>
          <w:szCs w:val="24"/>
        </w:rPr>
        <w:t>；</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2.11.4受</w:t>
      </w:r>
      <w:r>
        <w:rPr>
          <w:rFonts w:hint="eastAsia" w:ascii="仿宋" w:hAnsi="仿宋" w:eastAsia="仿宋"/>
          <w:color w:val="auto"/>
          <w:sz w:val="24"/>
          <w:szCs w:val="24"/>
        </w:rPr>
        <w:t>不可抗力</w:t>
      </w:r>
      <w:r>
        <w:rPr>
          <w:rFonts w:ascii="仿宋" w:hAnsi="仿宋" w:eastAsia="仿宋"/>
          <w:color w:val="auto"/>
          <w:sz w:val="24"/>
          <w:szCs w:val="24"/>
        </w:rPr>
        <w:t>影响的一方在不可抗力发生后</w:t>
      </w:r>
      <w:r>
        <w:rPr>
          <w:rFonts w:hint="eastAsia" w:ascii="仿宋" w:hAnsi="仿宋" w:eastAsia="仿宋"/>
          <w:color w:val="auto"/>
          <w:sz w:val="24"/>
          <w:szCs w:val="24"/>
        </w:rPr>
        <w:t>，</w:t>
      </w:r>
      <w:r>
        <w:rPr>
          <w:rFonts w:ascii="仿宋" w:hAnsi="仿宋" w:eastAsia="仿宋"/>
          <w:color w:val="auto"/>
          <w:sz w:val="24"/>
          <w:szCs w:val="24"/>
        </w:rPr>
        <w:t>应在</w:t>
      </w:r>
      <w:r>
        <w:rPr>
          <w:rFonts w:ascii="仿宋" w:hAnsi="仿宋" w:eastAsia="仿宋"/>
          <w:b/>
          <w:i/>
          <w:color w:val="auto"/>
          <w:sz w:val="24"/>
          <w:szCs w:val="24"/>
          <w:u w:val="single"/>
        </w:rPr>
        <w:t>合同专用条款</w:t>
      </w:r>
      <w:r>
        <w:rPr>
          <w:rFonts w:ascii="仿宋" w:hAnsi="仿宋" w:eastAsia="仿宋"/>
          <w:color w:val="auto"/>
          <w:sz w:val="24"/>
          <w:szCs w:val="24"/>
        </w:rPr>
        <w:t>约定时间内以书面形式通知</w:t>
      </w:r>
      <w:r>
        <w:rPr>
          <w:rFonts w:hint="eastAsia" w:ascii="仿宋" w:hAnsi="仿宋" w:eastAsia="仿宋"/>
          <w:color w:val="auto"/>
          <w:sz w:val="24"/>
          <w:szCs w:val="24"/>
        </w:rPr>
        <w:t>对</w:t>
      </w:r>
      <w:r>
        <w:rPr>
          <w:rFonts w:ascii="仿宋" w:hAnsi="仿宋" w:eastAsia="仿宋"/>
          <w:color w:val="auto"/>
          <w:sz w:val="24"/>
          <w:szCs w:val="24"/>
        </w:rPr>
        <w:t>方当事人，并在</w:t>
      </w:r>
      <w:r>
        <w:rPr>
          <w:rFonts w:ascii="仿宋" w:hAnsi="仿宋" w:eastAsia="仿宋"/>
          <w:b/>
          <w:i/>
          <w:color w:val="auto"/>
          <w:sz w:val="24"/>
          <w:szCs w:val="24"/>
          <w:u w:val="single"/>
        </w:rPr>
        <w:t>合同专用条款</w:t>
      </w:r>
      <w:r>
        <w:rPr>
          <w:rFonts w:ascii="仿宋" w:hAnsi="仿宋" w:eastAsia="仿宋"/>
          <w:color w:val="auto"/>
          <w:sz w:val="24"/>
          <w:szCs w:val="24"/>
        </w:rPr>
        <w:t>约定时间内，将有关部门出具的证明文件送达</w:t>
      </w:r>
      <w:r>
        <w:rPr>
          <w:rFonts w:hint="eastAsia" w:ascii="仿宋" w:hAnsi="仿宋" w:eastAsia="仿宋"/>
          <w:color w:val="auto"/>
          <w:sz w:val="24"/>
          <w:szCs w:val="24"/>
        </w:rPr>
        <w:t>对方当事人</w:t>
      </w:r>
      <w:r>
        <w:rPr>
          <w:rFonts w:ascii="仿宋" w:hAnsi="仿宋" w:eastAsia="仿宋"/>
          <w:color w:val="auto"/>
          <w:sz w:val="24"/>
          <w:szCs w:val="24"/>
        </w:rPr>
        <w:t>。</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2.12 税费</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与合同有关的一切税费</w:t>
      </w:r>
      <w:r>
        <w:rPr>
          <w:rFonts w:hint="eastAsia" w:ascii="仿宋" w:hAnsi="仿宋" w:eastAsia="仿宋"/>
          <w:color w:val="auto"/>
          <w:sz w:val="24"/>
          <w:szCs w:val="24"/>
        </w:rPr>
        <w:t>，</w:t>
      </w:r>
      <w:r>
        <w:rPr>
          <w:rFonts w:ascii="仿宋" w:hAnsi="仿宋" w:eastAsia="仿宋"/>
          <w:color w:val="auto"/>
          <w:sz w:val="24"/>
          <w:szCs w:val="24"/>
        </w:rPr>
        <w:t>均按照中华人民共和国法律的相关规定缴纳。</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2.13 乙方破产</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如果乙方破产导致合同无法履行时，甲方可以书面形式通知乙方终止合同且不给予乙方任何补偿和赔偿</w:t>
      </w:r>
      <w:r>
        <w:rPr>
          <w:rFonts w:hint="eastAsia" w:ascii="仿宋" w:hAnsi="仿宋" w:eastAsia="仿宋"/>
          <w:color w:val="auto"/>
          <w:sz w:val="24"/>
          <w:szCs w:val="24"/>
        </w:rPr>
        <w:t>，但合同的</w:t>
      </w:r>
      <w:r>
        <w:rPr>
          <w:rFonts w:ascii="仿宋" w:hAnsi="仿宋" w:eastAsia="仿宋"/>
          <w:color w:val="auto"/>
          <w:sz w:val="24"/>
          <w:szCs w:val="24"/>
        </w:rPr>
        <w:t>终止不损害或不影响甲方已经采取或将要采取的任何要求乙方支付违约金</w:t>
      </w:r>
      <w:r>
        <w:rPr>
          <w:rFonts w:hint="eastAsia" w:ascii="仿宋" w:hAnsi="仿宋" w:eastAsia="仿宋"/>
          <w:color w:val="auto"/>
          <w:sz w:val="24"/>
          <w:szCs w:val="24"/>
        </w:rPr>
        <w:t>、</w:t>
      </w:r>
      <w:r>
        <w:rPr>
          <w:rFonts w:ascii="仿宋" w:hAnsi="仿宋" w:eastAsia="仿宋"/>
          <w:color w:val="auto"/>
          <w:sz w:val="24"/>
          <w:szCs w:val="24"/>
        </w:rPr>
        <w:t>赔偿损失等的行动或补救措施的权利</w:t>
      </w:r>
      <w:r>
        <w:rPr>
          <w:rFonts w:hint="eastAsia" w:ascii="仿宋" w:hAnsi="仿宋" w:eastAsia="仿宋"/>
          <w:color w:val="auto"/>
          <w:sz w:val="24"/>
          <w:szCs w:val="24"/>
        </w:rPr>
        <w:t>。</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2.14 合同中止、终止</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2.14.1 </w:t>
      </w:r>
      <w:r>
        <w:rPr>
          <w:rFonts w:hint="eastAsia" w:ascii="仿宋" w:hAnsi="仿宋" w:eastAsia="仿宋"/>
          <w:color w:val="auto"/>
          <w:sz w:val="24"/>
          <w:szCs w:val="24"/>
        </w:rPr>
        <w:t>双方当事人不得擅自中止或者终止合同；</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2.14.2合同继续履行将损害国家利益和社会公共利益的，双方当事人应当中止或者终止合同。有过错的一方应当承担赔偿责任，双方当事人都有过错的，各自承担相应的责任。</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2.15 检验和验收</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2.15.1 </w:t>
      </w:r>
      <w:r>
        <w:rPr>
          <w:rFonts w:hint="eastAsia" w:ascii="仿宋" w:hAnsi="仿宋" w:eastAsia="仿宋"/>
          <w:color w:val="auto"/>
          <w:sz w:val="24"/>
          <w:szCs w:val="24"/>
        </w:rPr>
        <w:t>乙方按照</w:t>
      </w:r>
      <w:r>
        <w:rPr>
          <w:rFonts w:ascii="仿宋" w:hAnsi="仿宋" w:eastAsia="仿宋"/>
          <w:b/>
          <w:i/>
          <w:color w:val="auto"/>
          <w:sz w:val="24"/>
          <w:szCs w:val="24"/>
          <w:u w:val="single"/>
        </w:rPr>
        <w:t>合同专用条款</w:t>
      </w:r>
      <w:r>
        <w:rPr>
          <w:rFonts w:ascii="仿宋" w:hAnsi="仿宋" w:eastAsia="仿宋"/>
          <w:color w:val="auto"/>
          <w:sz w:val="24"/>
          <w:szCs w:val="24"/>
        </w:rPr>
        <w:t>的约定</w:t>
      </w:r>
      <w:r>
        <w:rPr>
          <w:rFonts w:hint="eastAsia" w:ascii="仿宋" w:hAnsi="仿宋" w:eastAsia="仿宋"/>
          <w:color w:val="auto"/>
          <w:sz w:val="24"/>
          <w:szCs w:val="24"/>
        </w:rPr>
        <w:t>，</w:t>
      </w:r>
      <w:r>
        <w:rPr>
          <w:rFonts w:ascii="仿宋" w:hAnsi="仿宋" w:eastAsia="仿宋"/>
          <w:color w:val="auto"/>
          <w:sz w:val="24"/>
          <w:szCs w:val="24"/>
        </w:rPr>
        <w:t>定期提交服务报告</w:t>
      </w:r>
      <w:r>
        <w:rPr>
          <w:rFonts w:hint="eastAsia" w:ascii="仿宋" w:hAnsi="仿宋" w:eastAsia="仿宋"/>
          <w:color w:val="auto"/>
          <w:sz w:val="24"/>
          <w:szCs w:val="24"/>
        </w:rPr>
        <w:t>，甲方按照</w:t>
      </w:r>
      <w:r>
        <w:rPr>
          <w:rFonts w:ascii="仿宋" w:hAnsi="仿宋" w:eastAsia="仿宋"/>
          <w:b/>
          <w:i/>
          <w:color w:val="auto"/>
          <w:sz w:val="24"/>
          <w:szCs w:val="24"/>
          <w:u w:val="single"/>
        </w:rPr>
        <w:t>合同专用条款</w:t>
      </w:r>
      <w:r>
        <w:rPr>
          <w:rFonts w:ascii="仿宋" w:hAnsi="仿宋" w:eastAsia="仿宋"/>
          <w:color w:val="auto"/>
          <w:sz w:val="24"/>
          <w:szCs w:val="24"/>
        </w:rPr>
        <w:t>的约定进行定期验收</w:t>
      </w:r>
      <w:r>
        <w:rPr>
          <w:rFonts w:hint="eastAsia" w:ascii="仿宋" w:hAnsi="仿宋" w:eastAsia="仿宋"/>
          <w:color w:val="auto"/>
          <w:sz w:val="24"/>
          <w:szCs w:val="24"/>
        </w:rPr>
        <w:t>；</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2.15.2 </w:t>
      </w:r>
      <w:r>
        <w:rPr>
          <w:rFonts w:hint="eastAsia" w:ascii="仿宋" w:hAnsi="仿宋" w:eastAsia="仿宋"/>
          <w:color w:val="auto"/>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2.15.3 </w:t>
      </w:r>
      <w:r>
        <w:rPr>
          <w:rFonts w:hint="eastAsia" w:ascii="仿宋" w:hAnsi="仿宋" w:eastAsia="仿宋"/>
          <w:color w:val="auto"/>
          <w:sz w:val="24"/>
          <w:szCs w:val="24"/>
        </w:rPr>
        <w:t>检验和验收标准、程序等具体内容以及前述验收书的效力详见</w:t>
      </w:r>
      <w:r>
        <w:rPr>
          <w:rFonts w:ascii="仿宋" w:hAnsi="仿宋" w:eastAsia="仿宋"/>
          <w:b/>
          <w:i/>
          <w:color w:val="auto"/>
          <w:sz w:val="24"/>
          <w:szCs w:val="24"/>
          <w:u w:val="single"/>
        </w:rPr>
        <w:t>合同专用条款</w:t>
      </w:r>
      <w:r>
        <w:rPr>
          <w:rFonts w:hint="eastAsia" w:ascii="仿宋" w:hAnsi="仿宋" w:eastAsia="仿宋"/>
          <w:color w:val="auto"/>
          <w:sz w:val="24"/>
          <w:szCs w:val="24"/>
        </w:rPr>
        <w:t>。</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2.16 通知和送达</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16</w:t>
      </w:r>
      <w:r>
        <w:rPr>
          <w:rFonts w:ascii="仿宋" w:hAnsi="仿宋" w:eastAsia="仿宋"/>
          <w:color w:val="auto"/>
          <w:sz w:val="24"/>
          <w:szCs w:val="24"/>
        </w:rPr>
        <w:t>.1</w:t>
      </w:r>
      <w:r>
        <w:rPr>
          <w:rFonts w:hint="eastAsia" w:ascii="仿宋" w:hAnsi="仿宋" w:eastAsia="仿宋"/>
          <w:color w:val="auto"/>
          <w:sz w:val="24"/>
          <w:szCs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szCs w:val="24"/>
          <w:u w:val="single"/>
        </w:rPr>
        <w:t>3</w:t>
      </w:r>
      <w:r>
        <w:rPr>
          <w:rFonts w:hint="eastAsia" w:ascii="仿宋" w:hAnsi="仿宋" w:eastAsia="仿宋"/>
          <w:color w:val="auto"/>
          <w:sz w:val="24"/>
          <w:szCs w:val="24"/>
        </w:rPr>
        <w:t>个工作日内书面通知对方当事人，在对方当事人收到有关变更通知之前，变更前的约定送达方式或者地址仍视为有效。</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16</w:t>
      </w:r>
      <w:r>
        <w:rPr>
          <w:rFonts w:ascii="仿宋" w:hAnsi="仿宋" w:eastAsia="仿宋"/>
          <w:color w:val="auto"/>
          <w:sz w:val="24"/>
          <w:szCs w:val="24"/>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szCs w:val="24"/>
        </w:rPr>
        <w:t>的，邮件挂号寄出或者交邮之日之次日视为送达。</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 xml:space="preserve">2.17 </w:t>
      </w:r>
      <w:r>
        <w:rPr>
          <w:rFonts w:hint="eastAsia" w:ascii="仿宋" w:hAnsi="仿宋" w:eastAsia="仿宋"/>
          <w:b/>
          <w:color w:val="auto"/>
          <w:sz w:val="24"/>
          <w:szCs w:val="24"/>
        </w:rPr>
        <w:t>合同使用的文字和</w:t>
      </w:r>
      <w:r>
        <w:rPr>
          <w:rFonts w:ascii="仿宋" w:hAnsi="仿宋" w:eastAsia="仿宋"/>
          <w:b/>
          <w:color w:val="auto"/>
          <w:sz w:val="24"/>
          <w:szCs w:val="24"/>
        </w:rPr>
        <w:t>适用的法律</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2.17.1 合同使用汉语书就</w:t>
      </w:r>
      <w:r>
        <w:rPr>
          <w:rFonts w:hint="eastAsia" w:ascii="仿宋" w:hAnsi="仿宋" w:eastAsia="仿宋"/>
          <w:color w:val="auto"/>
          <w:sz w:val="24"/>
          <w:szCs w:val="24"/>
        </w:rPr>
        <w:t>、</w:t>
      </w:r>
      <w:r>
        <w:rPr>
          <w:rFonts w:ascii="仿宋" w:hAnsi="仿宋" w:eastAsia="仿宋"/>
          <w:color w:val="auto"/>
          <w:sz w:val="24"/>
          <w:szCs w:val="24"/>
        </w:rPr>
        <w:t>变更和解释</w:t>
      </w:r>
      <w:r>
        <w:rPr>
          <w:rFonts w:hint="eastAsia" w:ascii="仿宋" w:hAnsi="仿宋" w:eastAsia="仿宋"/>
          <w:color w:val="auto"/>
          <w:sz w:val="24"/>
          <w:szCs w:val="24"/>
        </w:rPr>
        <w:t>；</w:t>
      </w:r>
    </w:p>
    <w:p>
      <w:pPr>
        <w:spacing w:line="276" w:lineRule="auto"/>
        <w:ind w:firstLine="480" w:firstLineChars="200"/>
        <w:rPr>
          <w:rFonts w:ascii="仿宋" w:hAnsi="仿宋" w:eastAsia="仿宋"/>
          <w:color w:val="auto"/>
          <w:sz w:val="24"/>
          <w:szCs w:val="24"/>
        </w:rPr>
      </w:pPr>
      <w:r>
        <w:rPr>
          <w:rFonts w:ascii="仿宋" w:hAnsi="仿宋" w:eastAsia="仿宋"/>
          <w:color w:val="auto"/>
          <w:sz w:val="24"/>
          <w:szCs w:val="24"/>
        </w:rPr>
        <w:t xml:space="preserve">2.17.2 </w:t>
      </w:r>
      <w:r>
        <w:rPr>
          <w:rFonts w:hint="eastAsia" w:ascii="仿宋" w:hAnsi="仿宋" w:eastAsia="仿宋"/>
          <w:color w:val="auto"/>
          <w:sz w:val="24"/>
          <w:szCs w:val="24"/>
        </w:rPr>
        <w:t>合同适用</w:t>
      </w:r>
      <w:r>
        <w:rPr>
          <w:rFonts w:ascii="仿宋" w:hAnsi="仿宋" w:eastAsia="仿宋"/>
          <w:color w:val="auto"/>
          <w:sz w:val="24"/>
          <w:szCs w:val="24"/>
        </w:rPr>
        <w:t>中华人民共和国法律。</w:t>
      </w:r>
    </w:p>
    <w:p>
      <w:pPr>
        <w:spacing w:line="276" w:lineRule="auto"/>
        <w:ind w:firstLine="482" w:firstLineChars="200"/>
        <w:rPr>
          <w:rFonts w:ascii="仿宋" w:hAnsi="仿宋" w:eastAsia="仿宋"/>
          <w:b/>
          <w:color w:val="auto"/>
          <w:sz w:val="24"/>
          <w:szCs w:val="24"/>
        </w:rPr>
      </w:pPr>
      <w:bookmarkStart w:id="31" w:name="_Toc30599"/>
      <w:bookmarkStart w:id="32" w:name="_Toc18540"/>
      <w:bookmarkStart w:id="33" w:name="_Toc4355"/>
      <w:r>
        <w:rPr>
          <w:rFonts w:hint="eastAsia" w:ascii="仿宋" w:hAnsi="仿宋" w:eastAsia="仿宋"/>
          <w:b/>
          <w:color w:val="auto"/>
          <w:sz w:val="24"/>
          <w:szCs w:val="24"/>
        </w:rPr>
        <w:t>2.18 计量单位</w:t>
      </w:r>
      <w:bookmarkEnd w:id="31"/>
      <w:bookmarkEnd w:id="32"/>
      <w:bookmarkEnd w:id="33"/>
    </w:p>
    <w:p>
      <w:pPr>
        <w:spacing w:line="276" w:lineRule="auto"/>
        <w:ind w:firstLine="480" w:firstLineChars="200"/>
        <w:rPr>
          <w:rFonts w:ascii="仿宋" w:hAnsi="仿宋" w:eastAsia="仿宋"/>
          <w:color w:val="auto"/>
          <w:sz w:val="24"/>
          <w:szCs w:val="24"/>
        </w:rPr>
      </w:pPr>
      <w:r>
        <w:rPr>
          <w:rFonts w:hint="eastAsia" w:ascii="仿宋" w:hAnsi="仿宋" w:eastAsia="仿宋"/>
          <w:color w:val="auto"/>
          <w:sz w:val="24"/>
          <w:szCs w:val="24"/>
        </w:rPr>
        <w:t>除技术规范中另有规定外,合同的计量单位均使用国家法定计量单位。</w:t>
      </w:r>
    </w:p>
    <w:p>
      <w:pPr>
        <w:spacing w:line="276" w:lineRule="auto"/>
        <w:ind w:firstLine="482" w:firstLineChars="200"/>
        <w:rPr>
          <w:rFonts w:ascii="仿宋" w:hAnsi="仿宋" w:eastAsia="仿宋"/>
          <w:b/>
          <w:color w:val="auto"/>
          <w:sz w:val="24"/>
          <w:szCs w:val="24"/>
        </w:rPr>
      </w:pPr>
      <w:r>
        <w:rPr>
          <w:rFonts w:ascii="仿宋" w:hAnsi="仿宋" w:eastAsia="仿宋"/>
          <w:b/>
          <w:color w:val="auto"/>
          <w:sz w:val="24"/>
          <w:szCs w:val="24"/>
        </w:rPr>
        <w:t>2.</w:t>
      </w:r>
      <w:r>
        <w:rPr>
          <w:rFonts w:hint="eastAsia" w:ascii="仿宋" w:hAnsi="仿宋" w:eastAsia="仿宋"/>
          <w:b/>
          <w:color w:val="auto"/>
          <w:sz w:val="24"/>
          <w:szCs w:val="24"/>
        </w:rPr>
        <w:t>19</w:t>
      </w:r>
      <w:r>
        <w:rPr>
          <w:rFonts w:ascii="仿宋" w:hAnsi="仿宋" w:eastAsia="仿宋"/>
          <w:b/>
          <w:color w:val="auto"/>
          <w:sz w:val="24"/>
          <w:szCs w:val="24"/>
        </w:rPr>
        <w:t>合同份数</w:t>
      </w:r>
    </w:p>
    <w:p>
      <w:pPr>
        <w:spacing w:line="276" w:lineRule="auto"/>
        <w:ind w:firstLine="480" w:firstLineChars="200"/>
        <w:rPr>
          <w:rFonts w:ascii="仿宋" w:hAnsi="仿宋" w:eastAsia="仿宋" w:cs="仿宋"/>
          <w:color w:val="auto"/>
          <w:sz w:val="24"/>
        </w:rPr>
      </w:pPr>
      <w:r>
        <w:rPr>
          <w:rFonts w:ascii="仿宋" w:hAnsi="仿宋" w:eastAsia="仿宋"/>
          <w:color w:val="auto"/>
          <w:sz w:val="24"/>
          <w:szCs w:val="24"/>
        </w:rPr>
        <w:t>合同份数按</w:t>
      </w:r>
      <w:r>
        <w:rPr>
          <w:rFonts w:ascii="仿宋" w:hAnsi="仿宋" w:eastAsia="仿宋"/>
          <w:b/>
          <w:i/>
          <w:color w:val="auto"/>
          <w:sz w:val="24"/>
          <w:szCs w:val="24"/>
          <w:u w:val="single"/>
        </w:rPr>
        <w:t>合同专用条款</w:t>
      </w:r>
      <w:r>
        <w:rPr>
          <w:rFonts w:ascii="仿宋" w:hAnsi="仿宋" w:eastAsia="仿宋"/>
          <w:color w:val="auto"/>
          <w:sz w:val="24"/>
          <w:szCs w:val="24"/>
        </w:rPr>
        <w:t>规定</w:t>
      </w:r>
      <w:r>
        <w:rPr>
          <w:rFonts w:hint="eastAsia" w:ascii="仿宋" w:hAnsi="仿宋" w:eastAsia="仿宋"/>
          <w:color w:val="auto"/>
          <w:sz w:val="24"/>
          <w:szCs w:val="24"/>
        </w:rPr>
        <w:t>，</w:t>
      </w:r>
      <w:r>
        <w:rPr>
          <w:rFonts w:ascii="仿宋" w:hAnsi="仿宋" w:eastAsia="仿宋"/>
          <w:color w:val="auto"/>
          <w:sz w:val="24"/>
          <w:szCs w:val="24"/>
        </w:rPr>
        <w:t>每份均具有同等法律效力</w:t>
      </w:r>
      <w:r>
        <w:rPr>
          <w:rFonts w:hint="eastAsia" w:ascii="仿宋" w:hAnsi="仿宋" w:eastAsia="仿宋"/>
          <w:color w:val="auto"/>
          <w:sz w:val="24"/>
          <w:szCs w:val="24"/>
        </w:rPr>
        <w:t>。</w:t>
      </w:r>
    </w:p>
    <w:p>
      <w:pPr>
        <w:spacing w:afterLines="200" w:line="288" w:lineRule="auto"/>
        <w:ind w:firstLine="480" w:firstLineChars="200"/>
        <w:rPr>
          <w:rFonts w:ascii="仿宋" w:hAnsi="仿宋" w:eastAsia="仿宋" w:cs="仿宋"/>
          <w:color w:val="auto"/>
          <w:sz w:val="24"/>
        </w:rPr>
      </w:pPr>
    </w:p>
    <w:p>
      <w:pPr>
        <w:spacing w:line="288" w:lineRule="auto"/>
        <w:ind w:firstLine="562" w:firstLineChars="200"/>
        <w:jc w:val="center"/>
        <w:rPr>
          <w:rFonts w:ascii="仿宋" w:hAnsi="仿宋" w:eastAsia="仿宋" w:cs="仿宋"/>
          <w:b/>
          <w:color w:val="auto"/>
          <w:sz w:val="28"/>
          <w:szCs w:val="28"/>
        </w:rPr>
      </w:pPr>
      <w:r>
        <w:rPr>
          <w:rFonts w:hint="eastAsia" w:ascii="仿宋" w:hAnsi="仿宋" w:eastAsia="仿宋" w:cs="仿宋"/>
          <w:b/>
          <w:color w:val="auto"/>
          <w:sz w:val="28"/>
          <w:szCs w:val="28"/>
        </w:rPr>
        <w:t>第三部分  合同专用条款</w:t>
      </w:r>
    </w:p>
    <w:p>
      <w:pPr>
        <w:spacing w:line="288" w:lineRule="auto"/>
        <w:ind w:left="-420" w:leftChars="-200" w:right="-420" w:rightChars="-200" w:firstLine="480" w:firstLineChars="200"/>
        <w:rPr>
          <w:rFonts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5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73" w:type="pct"/>
            <w:tcBorders>
              <w:left w:val="single" w:color="auto" w:sz="4" w:space="0"/>
            </w:tcBorders>
            <w:vAlign w:val="center"/>
          </w:tcPr>
          <w:p>
            <w:pPr>
              <w:spacing w:line="288" w:lineRule="auto"/>
              <w:jc w:val="center"/>
              <w:rPr>
                <w:rFonts w:ascii="仿宋" w:hAnsi="仿宋" w:eastAsia="仿宋" w:cs="仿宋"/>
                <w:b/>
                <w:color w:val="auto"/>
                <w:sz w:val="24"/>
              </w:rPr>
            </w:pPr>
            <w:r>
              <w:rPr>
                <w:rFonts w:hint="eastAsia" w:ascii="仿宋" w:hAnsi="仿宋" w:eastAsia="仿宋" w:cs="仿宋"/>
                <w:b/>
                <w:color w:val="auto"/>
                <w:sz w:val="24"/>
              </w:rPr>
              <w:t>条款号</w:t>
            </w:r>
          </w:p>
        </w:tc>
        <w:tc>
          <w:tcPr>
            <w:tcW w:w="4527" w:type="pct"/>
            <w:vAlign w:val="center"/>
          </w:tcPr>
          <w:p>
            <w:pPr>
              <w:spacing w:line="288" w:lineRule="auto"/>
              <w:jc w:val="center"/>
              <w:rPr>
                <w:rFonts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1.3</w:t>
            </w:r>
          </w:p>
        </w:tc>
        <w:tc>
          <w:tcPr>
            <w:tcW w:w="4527" w:type="pct"/>
            <w:vAlign w:val="center"/>
          </w:tcPr>
          <w:p>
            <w:pPr>
              <w:spacing w:line="288" w:lineRule="auto"/>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1.3.2</w:t>
            </w:r>
          </w:p>
        </w:tc>
        <w:tc>
          <w:tcPr>
            <w:tcW w:w="4527" w:type="pct"/>
            <w:vAlign w:val="center"/>
          </w:tcPr>
          <w:p>
            <w:pPr>
              <w:spacing w:line="288" w:lineRule="auto"/>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1.4.2</w:t>
            </w:r>
          </w:p>
        </w:tc>
        <w:tc>
          <w:tcPr>
            <w:tcW w:w="4527" w:type="pct"/>
            <w:vAlign w:val="center"/>
          </w:tcPr>
          <w:p>
            <w:pPr>
              <w:spacing w:line="288" w:lineRule="auto"/>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1.5.1</w:t>
            </w:r>
          </w:p>
        </w:tc>
        <w:tc>
          <w:tcPr>
            <w:tcW w:w="4527" w:type="pct"/>
            <w:vAlign w:val="center"/>
          </w:tcPr>
          <w:p>
            <w:pPr>
              <w:spacing w:line="288" w:lineRule="auto"/>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1.5.2</w:t>
            </w:r>
          </w:p>
        </w:tc>
        <w:tc>
          <w:tcPr>
            <w:tcW w:w="4527" w:type="pct"/>
            <w:vAlign w:val="center"/>
          </w:tcPr>
          <w:p>
            <w:pPr>
              <w:spacing w:line="288" w:lineRule="auto"/>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1.5.3</w:t>
            </w:r>
          </w:p>
        </w:tc>
        <w:tc>
          <w:tcPr>
            <w:tcW w:w="4527" w:type="pct"/>
            <w:vAlign w:val="center"/>
          </w:tcPr>
          <w:p>
            <w:pPr>
              <w:spacing w:line="288" w:lineRule="auto"/>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1.6.2</w:t>
            </w:r>
          </w:p>
        </w:tc>
        <w:tc>
          <w:tcPr>
            <w:tcW w:w="4527" w:type="pct"/>
            <w:vAlign w:val="center"/>
          </w:tcPr>
          <w:p>
            <w:pPr>
              <w:spacing w:line="288" w:lineRule="auto"/>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1.7.1</w:t>
            </w:r>
          </w:p>
        </w:tc>
        <w:tc>
          <w:tcPr>
            <w:tcW w:w="4527" w:type="pct"/>
            <w:vAlign w:val="center"/>
          </w:tcPr>
          <w:p>
            <w:pPr>
              <w:spacing w:line="288" w:lineRule="auto"/>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1.7.2</w:t>
            </w:r>
          </w:p>
        </w:tc>
        <w:tc>
          <w:tcPr>
            <w:tcW w:w="4527" w:type="pct"/>
            <w:vAlign w:val="center"/>
          </w:tcPr>
          <w:p>
            <w:pPr>
              <w:spacing w:line="288" w:lineRule="auto"/>
              <w:ind w:left="-420" w:leftChars="-200" w:right="-420" w:rightChars="-200" w:firstLine="480" w:firstLineChars="200"/>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1.7.3</w:t>
            </w:r>
          </w:p>
        </w:tc>
        <w:tc>
          <w:tcPr>
            <w:tcW w:w="4527" w:type="pct"/>
            <w:vAlign w:val="center"/>
          </w:tcPr>
          <w:p>
            <w:pPr>
              <w:spacing w:line="288" w:lineRule="auto"/>
              <w:ind w:left="-420" w:leftChars="-200" w:right="-420" w:rightChars="-200" w:firstLine="480" w:firstLineChars="200"/>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1.7.4.1</w:t>
            </w:r>
          </w:p>
        </w:tc>
        <w:tc>
          <w:tcPr>
            <w:tcW w:w="4527" w:type="pct"/>
            <w:vAlign w:val="center"/>
          </w:tcPr>
          <w:p>
            <w:pPr>
              <w:spacing w:line="288" w:lineRule="auto"/>
              <w:ind w:left="-420" w:leftChars="-200" w:right="-420" w:rightChars="-200" w:firstLine="480" w:firstLineChars="200"/>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1.7.4.2</w:t>
            </w:r>
          </w:p>
        </w:tc>
        <w:tc>
          <w:tcPr>
            <w:tcW w:w="4527" w:type="pct"/>
            <w:vAlign w:val="center"/>
          </w:tcPr>
          <w:p>
            <w:pPr>
              <w:spacing w:line="288" w:lineRule="auto"/>
              <w:ind w:left="-420" w:leftChars="-200" w:right="-420" w:rightChars="-200" w:firstLine="480" w:firstLineChars="200"/>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1.7.4.3</w:t>
            </w:r>
          </w:p>
        </w:tc>
        <w:tc>
          <w:tcPr>
            <w:tcW w:w="4527" w:type="pct"/>
            <w:vAlign w:val="center"/>
          </w:tcPr>
          <w:p>
            <w:pPr>
              <w:spacing w:line="288" w:lineRule="auto"/>
              <w:ind w:left="-420" w:leftChars="-200" w:right="-420" w:rightChars="-200" w:firstLine="480" w:firstLineChars="200"/>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1.8.7</w:t>
            </w:r>
          </w:p>
        </w:tc>
        <w:tc>
          <w:tcPr>
            <w:tcW w:w="4527" w:type="pct"/>
            <w:vAlign w:val="center"/>
          </w:tcPr>
          <w:p>
            <w:pPr>
              <w:spacing w:line="288" w:lineRule="auto"/>
              <w:ind w:left="-420" w:leftChars="-200" w:right="-420" w:rightChars="-200" w:firstLine="480" w:firstLineChars="200"/>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1.9.1</w:t>
            </w:r>
          </w:p>
        </w:tc>
        <w:tc>
          <w:tcPr>
            <w:tcW w:w="4527" w:type="pct"/>
            <w:vAlign w:val="center"/>
          </w:tcPr>
          <w:p>
            <w:pPr>
              <w:spacing w:line="288" w:lineRule="auto"/>
              <w:ind w:left="-420" w:leftChars="-200" w:right="-420" w:rightChars="-200" w:firstLine="480" w:firstLineChars="200"/>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1.9.2</w:t>
            </w:r>
          </w:p>
        </w:tc>
        <w:tc>
          <w:tcPr>
            <w:tcW w:w="4527" w:type="pct"/>
            <w:vAlign w:val="center"/>
          </w:tcPr>
          <w:p>
            <w:pPr>
              <w:spacing w:line="288" w:lineRule="auto"/>
              <w:ind w:left="-420" w:leftChars="-200" w:right="-420" w:rightChars="-200" w:firstLine="480" w:firstLineChars="200"/>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2.3.2</w:t>
            </w:r>
          </w:p>
        </w:tc>
        <w:tc>
          <w:tcPr>
            <w:tcW w:w="4527" w:type="pct"/>
            <w:vAlign w:val="center"/>
          </w:tcPr>
          <w:p>
            <w:pPr>
              <w:spacing w:line="288" w:lineRule="auto"/>
              <w:ind w:left="-420" w:leftChars="-200" w:right="-420" w:rightChars="-200" w:firstLine="480" w:firstLineChars="200"/>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2.5</w:t>
            </w:r>
          </w:p>
        </w:tc>
        <w:tc>
          <w:tcPr>
            <w:tcW w:w="4527" w:type="pct"/>
            <w:vAlign w:val="center"/>
          </w:tcPr>
          <w:p>
            <w:pPr>
              <w:spacing w:line="288" w:lineRule="auto"/>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2.11.3</w:t>
            </w:r>
          </w:p>
        </w:tc>
        <w:tc>
          <w:tcPr>
            <w:tcW w:w="4527" w:type="pct"/>
            <w:vAlign w:val="center"/>
          </w:tcPr>
          <w:p>
            <w:pPr>
              <w:spacing w:line="288" w:lineRule="auto"/>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tcPr>
          <w:p>
            <w:pPr>
              <w:spacing w:line="288" w:lineRule="auto"/>
              <w:rPr>
                <w:rFonts w:ascii="仿宋" w:hAnsi="仿宋" w:eastAsia="仿宋" w:cs="仿宋"/>
                <w:color w:val="auto"/>
                <w:sz w:val="24"/>
              </w:rPr>
            </w:pPr>
            <w:r>
              <w:rPr>
                <w:rFonts w:hint="eastAsia" w:ascii="仿宋" w:hAnsi="仿宋" w:eastAsia="仿宋" w:cs="仿宋"/>
                <w:color w:val="auto"/>
                <w:sz w:val="24"/>
              </w:rPr>
              <w:t xml:space="preserve">2.11.4 </w:t>
            </w:r>
          </w:p>
        </w:tc>
        <w:tc>
          <w:tcPr>
            <w:tcW w:w="4527" w:type="pct"/>
          </w:tcPr>
          <w:p>
            <w:pPr>
              <w:spacing w:line="288" w:lineRule="auto"/>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2.15.1</w:t>
            </w:r>
          </w:p>
        </w:tc>
        <w:tc>
          <w:tcPr>
            <w:tcW w:w="4527" w:type="pct"/>
            <w:vAlign w:val="center"/>
          </w:tcPr>
          <w:p>
            <w:pPr>
              <w:spacing w:line="288" w:lineRule="auto"/>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3" w:type="pct"/>
            <w:tcBorders>
              <w:left w:val="single" w:color="auto" w:sz="4" w:space="0"/>
            </w:tcBorders>
            <w:vAlign w:val="center"/>
          </w:tcPr>
          <w:p>
            <w:pPr>
              <w:spacing w:line="288" w:lineRule="auto"/>
              <w:rPr>
                <w:rFonts w:ascii="仿宋" w:hAnsi="仿宋" w:eastAsia="仿宋" w:cs="仿宋"/>
                <w:color w:val="auto"/>
                <w:sz w:val="24"/>
              </w:rPr>
            </w:pPr>
            <w:r>
              <w:rPr>
                <w:rFonts w:hint="eastAsia" w:ascii="仿宋" w:hAnsi="仿宋" w:eastAsia="仿宋" w:cs="仿宋"/>
                <w:color w:val="auto"/>
                <w:sz w:val="24"/>
              </w:rPr>
              <w:t>2.15.3</w:t>
            </w:r>
          </w:p>
        </w:tc>
        <w:tc>
          <w:tcPr>
            <w:tcW w:w="4527" w:type="pct"/>
            <w:vAlign w:val="center"/>
          </w:tcPr>
          <w:p>
            <w:pPr>
              <w:spacing w:line="288" w:lineRule="auto"/>
              <w:rPr>
                <w:rFonts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3" w:type="pct"/>
            <w:tcBorders>
              <w:left w:val="single" w:color="auto" w:sz="4" w:space="0"/>
            </w:tcBorders>
            <w:vAlign w:val="center"/>
          </w:tcPr>
          <w:p>
            <w:pPr>
              <w:spacing w:line="288" w:lineRule="auto"/>
              <w:ind w:right="-420" w:rightChars="-200"/>
              <w:outlineLvl w:val="0"/>
              <w:rPr>
                <w:rFonts w:ascii="仿宋" w:hAnsi="仿宋" w:eastAsia="仿宋" w:cs="仿宋"/>
                <w:color w:val="auto"/>
                <w:sz w:val="24"/>
              </w:rPr>
            </w:pPr>
            <w:r>
              <w:rPr>
                <w:rFonts w:hint="eastAsia" w:ascii="仿宋" w:hAnsi="仿宋" w:eastAsia="仿宋" w:cs="仿宋"/>
                <w:color w:val="auto"/>
                <w:sz w:val="24"/>
              </w:rPr>
              <w:t>2.19</w:t>
            </w:r>
          </w:p>
        </w:tc>
        <w:tc>
          <w:tcPr>
            <w:tcW w:w="4527" w:type="pct"/>
            <w:vAlign w:val="center"/>
          </w:tcPr>
          <w:p>
            <w:pPr>
              <w:spacing w:line="288" w:lineRule="auto"/>
              <w:rPr>
                <w:rFonts w:ascii="仿宋" w:hAnsi="仿宋" w:eastAsia="仿宋" w:cs="仿宋"/>
                <w:color w:val="auto"/>
                <w:sz w:val="24"/>
              </w:rPr>
            </w:pPr>
          </w:p>
        </w:tc>
      </w:tr>
    </w:tbl>
    <w:p>
      <w:pPr>
        <w:spacing w:beforeLines="50"/>
        <w:rPr>
          <w:rFonts w:ascii="仿宋" w:hAnsi="仿宋" w:eastAsia="仿宋"/>
          <w:b/>
          <w:color w:val="auto"/>
        </w:rPr>
      </w:pPr>
      <w:r>
        <w:rPr>
          <w:rFonts w:hint="eastAsia" w:ascii="仿宋" w:hAnsi="仿宋" w:eastAsia="仿宋"/>
          <w:b/>
          <w:color w:val="auto"/>
        </w:rPr>
        <w:t>注：</w:t>
      </w:r>
    </w:p>
    <w:p>
      <w:pPr>
        <w:rPr>
          <w:rFonts w:ascii="仿宋" w:hAnsi="仿宋" w:eastAsia="仿宋"/>
          <w:b/>
          <w:color w:val="auto"/>
        </w:rPr>
      </w:pPr>
      <w:r>
        <w:rPr>
          <w:rFonts w:hint="eastAsia" w:ascii="仿宋" w:hAnsi="仿宋" w:eastAsia="仿宋"/>
          <w:b/>
          <w:color w:val="auto"/>
        </w:rPr>
        <w:t>1、该合同模板与招标文件中实质性内容不相符部分，以招标文件规定为准，在签订前相应调整。</w:t>
      </w:r>
    </w:p>
    <w:p>
      <w:pPr>
        <w:rPr>
          <w:rFonts w:ascii="仿宋" w:hAnsi="仿宋" w:eastAsia="仿宋"/>
          <w:color w:val="auto"/>
          <w:sz w:val="24"/>
          <w:szCs w:val="24"/>
        </w:rPr>
      </w:pPr>
      <w:r>
        <w:rPr>
          <w:rFonts w:hint="eastAsia" w:ascii="仿宋" w:hAnsi="仿宋" w:eastAsia="仿宋"/>
          <w:b/>
          <w:color w:val="auto"/>
        </w:rPr>
        <w:t>2、在正式签订前，应根据招标文件要求、投标文件承诺及项目实际情况拟定更为详尽的合同书。</w:t>
      </w:r>
    </w:p>
    <w:p>
      <w:pPr>
        <w:rPr>
          <w:rFonts w:ascii="黑体" w:hAnsi="宋体" w:eastAsia="黑体"/>
          <w:color w:val="auto"/>
          <w:sz w:val="44"/>
          <w:szCs w:val="44"/>
        </w:rPr>
        <w:sectPr>
          <w:pgSz w:w="11906" w:h="16838"/>
          <w:pgMar w:top="1247" w:right="1247" w:bottom="1247" w:left="1247" w:header="284" w:footer="454" w:gutter="0"/>
          <w:pgNumType w:fmt="numberInDash"/>
          <w:cols w:space="720" w:num="1"/>
          <w:titlePg/>
          <w:docGrid w:type="lines" w:linePitch="312" w:charSpace="0"/>
        </w:sectPr>
      </w:pPr>
    </w:p>
    <w:p>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第六章  应提交的有关格式范例</w:t>
      </w:r>
    </w:p>
    <w:p>
      <w:pPr>
        <w:widowControl/>
        <w:tabs>
          <w:tab w:val="left" w:pos="450"/>
          <w:tab w:val="left" w:pos="8280"/>
        </w:tabs>
        <w:spacing w:afterLines="300" w:line="360" w:lineRule="auto"/>
        <w:ind w:firstLine="482"/>
        <w:jc w:val="center"/>
        <w:rPr>
          <w:rFonts w:ascii="华文中宋" w:hAnsi="华文中宋" w:eastAsia="华文中宋"/>
          <w:b/>
          <w:color w:val="auto"/>
          <w:sz w:val="32"/>
          <w:szCs w:val="32"/>
        </w:rPr>
      </w:pPr>
      <w:r>
        <w:rPr>
          <w:rFonts w:ascii="华文中宋" w:hAnsi="华文中宋" w:eastAsia="华文中宋"/>
          <w:b/>
          <w:color w:val="auto"/>
          <w:sz w:val="32"/>
          <w:szCs w:val="32"/>
        </w:rPr>
        <w:t>（注：未提供格式部分由投标人自拟）</w:t>
      </w:r>
    </w:p>
    <w:p>
      <w:pPr>
        <w:widowControl/>
        <w:tabs>
          <w:tab w:val="left" w:pos="350"/>
          <w:tab w:val="left" w:pos="8280"/>
        </w:tabs>
        <w:spacing w:afterLines="200" w:line="360" w:lineRule="auto"/>
        <w:jc w:val="center"/>
        <w:rPr>
          <w:rFonts w:ascii="仿宋" w:hAnsi="仿宋" w:eastAsia="仿宋" w:cs="宋体"/>
          <w:b/>
          <w:color w:val="auto"/>
          <w:sz w:val="36"/>
          <w:szCs w:val="36"/>
        </w:rPr>
      </w:pPr>
      <w:r>
        <w:rPr>
          <w:rFonts w:ascii="仿宋" w:hAnsi="仿宋" w:eastAsia="仿宋" w:cs="宋体"/>
          <w:b/>
          <w:color w:val="auto"/>
          <w:sz w:val="36"/>
          <w:szCs w:val="36"/>
        </w:rPr>
        <w:t>第一部分</w:t>
      </w:r>
      <w:r>
        <w:rPr>
          <w:rFonts w:hint="eastAsia" w:ascii="仿宋" w:hAnsi="仿宋" w:eastAsia="仿宋" w:cs="宋体"/>
          <w:b/>
          <w:color w:val="auto"/>
          <w:sz w:val="36"/>
          <w:szCs w:val="36"/>
        </w:rPr>
        <w:t xml:space="preserve">    资格文件（部分格式）</w:t>
      </w:r>
    </w:p>
    <w:p>
      <w:pPr>
        <w:widowControl/>
        <w:tabs>
          <w:tab w:val="left" w:pos="350"/>
          <w:tab w:val="left" w:pos="8280"/>
        </w:tabs>
        <w:spacing w:afterLines="100" w:line="360" w:lineRule="auto"/>
        <w:jc w:val="center"/>
        <w:rPr>
          <w:rFonts w:ascii="仿宋" w:hAnsi="仿宋" w:eastAsia="仿宋" w:cs="宋体"/>
          <w:b/>
          <w:color w:val="auto"/>
          <w:sz w:val="28"/>
          <w:szCs w:val="28"/>
        </w:rPr>
      </w:pPr>
      <w:r>
        <w:rPr>
          <w:rFonts w:hint="eastAsia" w:ascii="仿宋" w:hAnsi="仿宋" w:eastAsia="仿宋" w:cs="宋体"/>
          <w:b/>
          <w:color w:val="auto"/>
          <w:sz w:val="28"/>
          <w:szCs w:val="28"/>
        </w:rPr>
        <w:t>1、</w:t>
      </w:r>
      <w:r>
        <w:rPr>
          <w:rFonts w:hint="eastAsia" w:ascii="仿宋" w:hAnsi="仿宋" w:eastAsia="仿宋"/>
          <w:b/>
          <w:bCs/>
          <w:color w:val="auto"/>
          <w:kern w:val="2"/>
          <w:sz w:val="28"/>
          <w:szCs w:val="28"/>
        </w:rPr>
        <w:t>符合参加政府采购活动应当具备的一般条件的承诺函</w:t>
      </w:r>
    </w:p>
    <w:p>
      <w:pPr>
        <w:spacing w:line="360" w:lineRule="auto"/>
        <w:rPr>
          <w:rFonts w:ascii="仿宋" w:hAnsi="仿宋" w:eastAsia="仿宋" w:cs="宋体"/>
          <w:b/>
          <w:color w:val="auto"/>
          <w:sz w:val="24"/>
          <w:szCs w:val="24"/>
        </w:rPr>
      </w:pPr>
      <w:r>
        <w:rPr>
          <w:rFonts w:ascii="仿宋" w:hAnsi="仿宋" w:eastAsia="仿宋" w:cs="宋体"/>
          <w:color w:val="auto"/>
          <w:spacing w:val="8"/>
          <w:sz w:val="24"/>
          <w:szCs w:val="24"/>
        </w:rPr>
        <w:t>诸暨市自然资源和规划局</w:t>
      </w:r>
      <w:r>
        <w:rPr>
          <w:rFonts w:hint="eastAsia" w:ascii="仿宋" w:hAnsi="仿宋" w:eastAsia="仿宋" w:cs="宋体"/>
          <w:b/>
          <w:color w:val="auto"/>
          <w:sz w:val="24"/>
          <w:szCs w:val="24"/>
        </w:rPr>
        <w:t>、</w:t>
      </w:r>
      <w:r>
        <w:rPr>
          <w:rFonts w:hint="eastAsia" w:ascii="仿宋" w:hAnsi="仿宋" w:eastAsia="仿宋" w:cs="宋体"/>
          <w:color w:val="auto"/>
          <w:spacing w:val="8"/>
          <w:sz w:val="24"/>
          <w:szCs w:val="24"/>
        </w:rPr>
        <w:t>浙江新顺项目管理有限公司：</w:t>
      </w:r>
    </w:p>
    <w:p>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我方参与</w:t>
      </w:r>
      <w:r>
        <w:rPr>
          <w:rFonts w:hint="eastAsia" w:ascii="仿宋" w:hAnsi="仿宋" w:eastAsia="仿宋"/>
          <w:b/>
          <w:i/>
          <w:sz w:val="24"/>
          <w:szCs w:val="24"/>
          <w:u w:val="single"/>
        </w:rPr>
        <w:t>诸暨市自然资源和规划局第七期档案整理及数字化加工项目</w:t>
      </w:r>
      <w:r>
        <w:rPr>
          <w:rFonts w:hint="eastAsia" w:ascii="仿宋" w:hAnsi="仿宋" w:eastAsia="仿宋" w:cs="宋体"/>
          <w:b/>
          <w:i/>
          <w:color w:val="auto"/>
          <w:spacing w:val="8"/>
          <w:sz w:val="24"/>
          <w:szCs w:val="24"/>
          <w:u w:val="single"/>
        </w:rPr>
        <w:t>（项目编号：浙江新顺2024-04-18）</w:t>
      </w:r>
      <w:r>
        <w:rPr>
          <w:rFonts w:hint="eastAsia" w:ascii="仿宋" w:hAnsi="仿宋" w:eastAsia="仿宋" w:cs="宋体"/>
          <w:color w:val="auto"/>
          <w:spacing w:val="8"/>
          <w:sz w:val="24"/>
          <w:szCs w:val="24"/>
        </w:rPr>
        <w:t>的政府采购活动，</w:t>
      </w:r>
      <w:r>
        <w:rPr>
          <w:rFonts w:hint="eastAsia" w:ascii="仿宋" w:hAnsi="仿宋" w:eastAsia="仿宋" w:cs="Arial"/>
          <w:color w:val="auto"/>
          <w:sz w:val="24"/>
        </w:rPr>
        <w:t>郑重承诺</w:t>
      </w:r>
      <w:r>
        <w:rPr>
          <w:rFonts w:hint="eastAsia" w:ascii="仿宋" w:hAnsi="仿宋" w:eastAsia="仿宋" w:cs="宋体"/>
          <w:color w:val="auto"/>
          <w:spacing w:val="8"/>
          <w:sz w:val="24"/>
          <w:szCs w:val="24"/>
        </w:rPr>
        <w:t>：</w:t>
      </w:r>
    </w:p>
    <w:p>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（一）具备《中华人民共和国政府采购法》第二十二条第一款规定的条件：</w:t>
      </w:r>
    </w:p>
    <w:p>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1.具有独立承担民事责任的能力；</w:t>
      </w:r>
    </w:p>
    <w:p>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2.具有良好的商业信誉和健全的财务会计制度；</w:t>
      </w:r>
    </w:p>
    <w:p>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3.具有履行合同所必需的设备和专业技术能力；</w:t>
      </w:r>
    </w:p>
    <w:p>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4.有依法缴纳税收和社会保障资金的良好记录；</w:t>
      </w:r>
    </w:p>
    <w:p>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5.参加政府采购活动前三年内，在经营活动中没有重大违法记录；</w:t>
      </w:r>
    </w:p>
    <w:p>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6.具有法律、行政法规规定的其他条件。</w:t>
      </w:r>
    </w:p>
    <w:p>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（二）</w:t>
      </w:r>
      <w:r>
        <w:rPr>
          <w:rFonts w:ascii="仿宋" w:hAnsi="仿宋" w:eastAsia="仿宋" w:cs="宋体"/>
          <w:color w:val="auto"/>
          <w:spacing w:val="8"/>
          <w:sz w:val="24"/>
          <w:szCs w:val="24"/>
        </w:rPr>
        <w:t>未被“信用中国”</w:t>
      </w:r>
      <w:r>
        <w:rPr>
          <w:rFonts w:hAnsi="仿宋" w:eastAsia="仿宋"/>
          <w:color w:val="auto"/>
          <w:spacing w:val="8"/>
        </w:rPr>
        <w:t>（</w:t>
      </w:r>
      <w:r>
        <w:rPr>
          <w:rFonts w:eastAsia="仿宋"/>
          <w:color w:val="auto"/>
          <w:spacing w:val="8"/>
        </w:rPr>
        <w:t>www.creditchina.gov.cn)</w:t>
      </w:r>
      <w:r>
        <w:rPr>
          <w:rFonts w:ascii="仿宋" w:hAnsi="仿宋" w:eastAsia="仿宋" w:cs="宋体"/>
          <w:color w:val="auto"/>
          <w:spacing w:val="8"/>
          <w:sz w:val="24"/>
          <w:szCs w:val="24"/>
        </w:rPr>
        <w:t>、中国政府采购网</w:t>
      </w:r>
      <w:r>
        <w:rPr>
          <w:rFonts w:hAnsi="仿宋" w:eastAsia="仿宋"/>
          <w:color w:val="auto"/>
          <w:spacing w:val="8"/>
        </w:rPr>
        <w:t>（</w:t>
      </w:r>
      <w:r>
        <w:rPr>
          <w:rFonts w:eastAsia="仿宋"/>
          <w:color w:val="auto"/>
          <w:spacing w:val="8"/>
        </w:rPr>
        <w:t>www.ccgp.gov.cn</w:t>
      </w:r>
      <w:r>
        <w:rPr>
          <w:rFonts w:hAnsi="仿宋" w:eastAsia="仿宋"/>
          <w:color w:val="auto"/>
          <w:spacing w:val="8"/>
        </w:rPr>
        <w:t>）</w:t>
      </w:r>
      <w:r>
        <w:rPr>
          <w:rFonts w:ascii="仿宋" w:hAnsi="仿宋" w:eastAsia="仿宋" w:cs="宋体"/>
          <w:color w:val="auto"/>
          <w:spacing w:val="8"/>
          <w:sz w:val="24"/>
          <w:szCs w:val="24"/>
        </w:rPr>
        <w:t>列入失信被执行人、重大税收违法案件当事人名单、政府采购严重违法失信行为记录名单。</w:t>
      </w:r>
    </w:p>
    <w:p>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（三）不存在以下情况：</w:t>
      </w:r>
    </w:p>
    <w:p>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w:t>
      </w:r>
      <w:r>
        <w:rPr>
          <w:rFonts w:ascii="仿宋" w:hAnsi="仿宋" w:eastAsia="仿宋" w:cs="宋体"/>
          <w:color w:val="auto"/>
          <w:spacing w:val="8"/>
          <w:sz w:val="24"/>
          <w:szCs w:val="24"/>
        </w:rPr>
        <w:t>单位负责人为同一人或者存在直接控股、管理关系的不同供应商参加同一合同项下的政府采购活动的；</w:t>
      </w:r>
    </w:p>
    <w:p>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2.</w:t>
      </w:r>
      <w:r>
        <w:rPr>
          <w:rFonts w:ascii="仿宋" w:hAnsi="仿宋" w:eastAsia="仿宋" w:cs="宋体"/>
          <w:color w:val="auto"/>
          <w:spacing w:val="8"/>
          <w:sz w:val="24"/>
          <w:szCs w:val="24"/>
        </w:rPr>
        <w:t>为采购项目提供整体设计、规范编制或者项目管理、监理、检测等服务后再参加该采购项目的其他采购活动的。</w:t>
      </w:r>
    </w:p>
    <w:p>
      <w:pPr>
        <w:spacing w:line="300" w:lineRule="auto"/>
        <w:ind w:firstLine="512" w:firstLineChars="200"/>
        <w:rPr>
          <w:rFonts w:ascii="仿宋" w:hAnsi="仿宋" w:eastAsia="仿宋" w:cs="宋体"/>
          <w:color w:val="auto"/>
          <w:spacing w:val="8"/>
          <w:sz w:val="24"/>
          <w:szCs w:val="24"/>
        </w:rPr>
      </w:pP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投标人名称（电子签章）：</w:t>
      </w:r>
      <w:r>
        <w:rPr>
          <w:rFonts w:hint="eastAsia" w:ascii="仿宋" w:hAnsi="仿宋" w:eastAsia="仿宋"/>
          <w:color w:val="auto"/>
          <w:sz w:val="24"/>
          <w:szCs w:val="24"/>
          <w:u w:val="single"/>
        </w:rPr>
        <w:t>______________________</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日期：_______年_______月_______日</w:t>
      </w:r>
    </w:p>
    <w:p>
      <w:pPr>
        <w:spacing w:beforeLines="100" w:line="480" w:lineRule="auto"/>
        <w:rPr>
          <w:rFonts w:ascii="仿宋" w:hAnsi="仿宋" w:eastAsia="仿宋"/>
          <w:i/>
          <w:color w:val="auto"/>
          <w:sz w:val="24"/>
          <w:szCs w:val="24"/>
          <w:u w:val="single"/>
        </w:rPr>
      </w:pPr>
      <w:r>
        <w:rPr>
          <w:rFonts w:hint="eastAsia" w:ascii="仿宋" w:hAnsi="仿宋" w:eastAsia="仿宋"/>
          <w:i/>
          <w:color w:val="auto"/>
          <w:sz w:val="24"/>
          <w:szCs w:val="24"/>
          <w:u w:val="single"/>
        </w:rPr>
        <w:t>注：按本格式要求提供。</w:t>
      </w:r>
    </w:p>
    <w:p>
      <w:pPr>
        <w:spacing w:beforeLines="100" w:line="480" w:lineRule="auto"/>
        <w:rPr>
          <w:rFonts w:ascii="仿宋" w:hAnsi="仿宋" w:eastAsia="仿宋"/>
          <w:color w:val="auto"/>
          <w:sz w:val="24"/>
          <w:szCs w:val="24"/>
        </w:rPr>
        <w:sectPr>
          <w:pgSz w:w="11906" w:h="16838"/>
          <w:pgMar w:top="1247" w:right="1247" w:bottom="1247" w:left="1247" w:header="283" w:footer="454" w:gutter="0"/>
          <w:pgNumType w:fmt="numberInDash"/>
          <w:cols w:space="720" w:num="1"/>
          <w:titlePg/>
          <w:docGrid w:type="lines" w:linePitch="312" w:charSpace="0"/>
        </w:sectPr>
      </w:pPr>
    </w:p>
    <w:p>
      <w:pPr>
        <w:pStyle w:val="4"/>
        <w:spacing w:before="0" w:line="500" w:lineRule="exact"/>
        <w:jc w:val="center"/>
        <w:rPr>
          <w:rFonts w:ascii="仿宋" w:hAnsi="仿宋" w:eastAsia="仿宋" w:cs="宋体"/>
          <w:b w:val="0"/>
          <w:color w:val="auto"/>
        </w:rPr>
      </w:pPr>
      <w:r>
        <w:rPr>
          <w:rFonts w:hint="eastAsia" w:ascii="仿宋" w:hAnsi="仿宋" w:eastAsia="仿宋"/>
          <w:color w:val="auto"/>
          <w:sz w:val="28"/>
          <w:szCs w:val="28"/>
        </w:rPr>
        <w:t>2、中小企业声明函</w:t>
      </w:r>
    </w:p>
    <w:p>
      <w:pPr>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《中小企业声明函（服务）》</w:t>
      </w:r>
    </w:p>
    <w:p>
      <w:pPr>
        <w:spacing w:line="360" w:lineRule="auto"/>
        <w:ind w:firstLine="480" w:firstLineChars="200"/>
        <w:jc w:val="left"/>
        <w:rPr>
          <w:rFonts w:ascii="仿宋" w:hAnsi="仿宋" w:eastAsia="仿宋" w:cs="仿宋_GB2312"/>
          <w:color w:val="auto"/>
          <w:sz w:val="24"/>
          <w:szCs w:val="24"/>
        </w:rPr>
      </w:pPr>
      <w:r>
        <w:rPr>
          <w:rFonts w:hint="eastAsia" w:ascii="仿宋" w:hAnsi="仿宋" w:eastAsia="仿宋" w:cs="仿宋_GB2312"/>
          <w:color w:val="auto"/>
          <w:sz w:val="24"/>
          <w:szCs w:val="24"/>
        </w:rPr>
        <w:t>本公司郑重声明，根据《政府采购促进中小企业发展管理办法》 （财库</w:t>
      </w:r>
      <w:r>
        <w:rPr>
          <w:rFonts w:hint="eastAsia" w:ascii="仿宋" w:hAnsi="仿宋" w:eastAsia="仿宋" w:cs="宋体"/>
          <w:color w:val="auto"/>
          <w:sz w:val="24"/>
          <w:szCs w:val="24"/>
        </w:rPr>
        <w:t>﹝</w:t>
      </w:r>
      <w:r>
        <w:rPr>
          <w:rFonts w:hint="eastAsia" w:ascii="仿宋" w:hAnsi="仿宋" w:eastAsia="仿宋" w:cs="仿宋_GB2312"/>
          <w:color w:val="auto"/>
          <w:sz w:val="24"/>
          <w:szCs w:val="24"/>
        </w:rPr>
        <w:t>2020</w:t>
      </w:r>
      <w:r>
        <w:rPr>
          <w:rFonts w:hint="eastAsia" w:ascii="仿宋" w:hAnsi="仿宋" w:eastAsia="仿宋" w:cs="宋体"/>
          <w:color w:val="auto"/>
          <w:sz w:val="24"/>
          <w:szCs w:val="24"/>
        </w:rPr>
        <w:t>﹞</w:t>
      </w:r>
      <w:r>
        <w:rPr>
          <w:rFonts w:hint="eastAsia" w:ascii="仿宋" w:hAnsi="仿宋" w:eastAsia="仿宋" w:cs="仿宋_GB2312"/>
          <w:color w:val="auto"/>
          <w:sz w:val="24"/>
          <w:szCs w:val="24"/>
        </w:rPr>
        <w:t>46 号）的规定，本公司参加</w:t>
      </w:r>
      <w:r>
        <w:rPr>
          <w:rFonts w:ascii="仿宋" w:hAnsi="仿宋" w:eastAsia="仿宋" w:cs="宋体"/>
          <w:b/>
          <w:i/>
          <w:color w:val="auto"/>
          <w:spacing w:val="8"/>
          <w:sz w:val="24"/>
          <w:szCs w:val="24"/>
          <w:u w:val="single"/>
        </w:rPr>
        <w:t>诸暨市自然资源和规划局</w:t>
      </w:r>
      <w:r>
        <w:rPr>
          <w:rFonts w:hint="eastAsia" w:ascii="仿宋" w:hAnsi="仿宋" w:eastAsia="仿宋" w:cs="仿宋_GB2312"/>
          <w:color w:val="auto"/>
          <w:sz w:val="24"/>
          <w:szCs w:val="24"/>
        </w:rPr>
        <w:t>的</w:t>
      </w:r>
      <w:r>
        <w:rPr>
          <w:rFonts w:hint="eastAsia" w:ascii="仿宋" w:hAnsi="仿宋" w:eastAsia="仿宋"/>
          <w:b/>
          <w:i/>
          <w:sz w:val="24"/>
          <w:szCs w:val="24"/>
          <w:u w:val="single"/>
        </w:rPr>
        <w:t>诸暨市自然资源和规划局第七期档案整理及数字化加工项目</w:t>
      </w:r>
      <w:r>
        <w:rPr>
          <w:rFonts w:hint="eastAsia" w:ascii="仿宋" w:hAnsi="仿宋" w:eastAsia="仿宋" w:cs="仿宋_GB2312"/>
          <w:color w:val="auto"/>
          <w:sz w:val="24"/>
          <w:szCs w:val="24"/>
        </w:rPr>
        <w:t>采购活动，服务全部由符合政策要求的中小企业承接。相关企业的具体情况如下：</w:t>
      </w:r>
    </w:p>
    <w:p>
      <w:pPr>
        <w:spacing w:line="360" w:lineRule="auto"/>
        <w:ind w:left="120" w:leftChars="57" w:firstLine="360" w:firstLineChars="150"/>
        <w:jc w:val="left"/>
        <w:rPr>
          <w:rFonts w:ascii="仿宋" w:hAnsi="仿宋" w:eastAsia="仿宋" w:cs="仿宋_GB2312"/>
          <w:color w:val="auto"/>
          <w:sz w:val="24"/>
          <w:szCs w:val="24"/>
        </w:rPr>
      </w:pPr>
      <w:r>
        <w:rPr>
          <w:rFonts w:hint="eastAsia" w:ascii="仿宋" w:hAnsi="仿宋" w:eastAsia="仿宋" w:cs="仿宋_GB2312"/>
          <w:color w:val="auto"/>
          <w:sz w:val="24"/>
          <w:szCs w:val="24"/>
        </w:rPr>
        <w:t>1.</w:t>
      </w:r>
      <w:r>
        <w:rPr>
          <w:rFonts w:hint="eastAsia" w:ascii="仿宋" w:hAnsi="仿宋" w:eastAsia="仿宋"/>
          <w:sz w:val="24"/>
          <w:szCs w:val="24"/>
          <w:u w:val="single"/>
        </w:rPr>
        <w:t>诸暨市自然资源和规划局第七期档案整理及数字化加工项目</w:t>
      </w:r>
      <w:r>
        <w:rPr>
          <w:rFonts w:hint="eastAsia" w:ascii="仿宋" w:hAnsi="仿宋" w:eastAsia="仿宋" w:cs="仿宋_GB2312"/>
          <w:color w:val="auto"/>
          <w:sz w:val="24"/>
          <w:szCs w:val="24"/>
        </w:rPr>
        <w:t>，属于</w:t>
      </w:r>
      <w:r>
        <w:rPr>
          <w:rFonts w:hint="eastAsia" w:ascii="仿宋" w:hAnsi="仿宋" w:eastAsia="仿宋" w:cs="仿宋_GB2312"/>
          <w:color w:val="auto"/>
          <w:sz w:val="24"/>
          <w:szCs w:val="24"/>
          <w:u w:val="single"/>
        </w:rPr>
        <w:t>_其他未列明行业_</w:t>
      </w:r>
      <w:r>
        <w:rPr>
          <w:rFonts w:hint="eastAsia" w:ascii="仿宋" w:hAnsi="仿宋" w:eastAsia="仿宋" w:cs="仿宋_GB2312"/>
          <w:color w:val="auto"/>
          <w:sz w:val="24"/>
          <w:szCs w:val="24"/>
        </w:rPr>
        <w:t>；承接企业为</w:t>
      </w:r>
      <w:r>
        <w:rPr>
          <w:rFonts w:hint="eastAsia" w:ascii="仿宋" w:hAnsi="仿宋" w:eastAsia="仿宋" w:cs="仿宋_GB2312"/>
          <w:color w:val="auto"/>
          <w:sz w:val="24"/>
          <w:szCs w:val="24"/>
          <w:u w:val="single"/>
        </w:rPr>
        <w:t xml:space="preserve">   （企业名称）  </w:t>
      </w:r>
      <w:r>
        <w:rPr>
          <w:rFonts w:hint="eastAsia" w:ascii="仿宋" w:hAnsi="仿宋" w:eastAsia="仿宋" w:cs="仿宋_GB2312"/>
          <w:color w:val="auto"/>
          <w:sz w:val="24"/>
          <w:szCs w:val="24"/>
        </w:rPr>
        <w:t>，从业人员</w:t>
      </w:r>
      <w:r>
        <w:rPr>
          <w:rFonts w:hint="eastAsia" w:ascii="仿宋" w:hAnsi="仿宋" w:eastAsia="仿宋" w:cs="仿宋_GB2312"/>
          <w:color w:val="auto"/>
          <w:sz w:val="24"/>
          <w:szCs w:val="24"/>
          <w:u w:val="single"/>
        </w:rPr>
        <w:t>_______</w:t>
      </w:r>
      <w:r>
        <w:rPr>
          <w:rFonts w:hint="eastAsia" w:ascii="仿宋" w:hAnsi="仿宋" w:eastAsia="仿宋" w:cs="仿宋_GB2312"/>
          <w:color w:val="auto"/>
          <w:sz w:val="24"/>
          <w:szCs w:val="24"/>
        </w:rPr>
        <w:t>人，营业收入为</w:t>
      </w:r>
      <w:r>
        <w:rPr>
          <w:rFonts w:hint="eastAsia" w:ascii="仿宋" w:hAnsi="仿宋" w:eastAsia="仿宋" w:cs="仿宋_GB2312"/>
          <w:color w:val="auto"/>
          <w:sz w:val="24"/>
          <w:szCs w:val="24"/>
          <w:u w:val="single"/>
        </w:rPr>
        <w:t>_______</w:t>
      </w:r>
      <w:r>
        <w:rPr>
          <w:rFonts w:hint="eastAsia" w:ascii="仿宋" w:hAnsi="仿宋" w:eastAsia="仿宋" w:cs="仿宋_GB2312"/>
          <w:color w:val="auto"/>
          <w:sz w:val="24"/>
          <w:szCs w:val="24"/>
        </w:rPr>
        <w:t>万元，资产总额为</w:t>
      </w:r>
      <w:r>
        <w:rPr>
          <w:rFonts w:hint="eastAsia" w:ascii="仿宋" w:hAnsi="仿宋" w:eastAsia="仿宋" w:cs="仿宋_GB2312"/>
          <w:color w:val="auto"/>
          <w:sz w:val="24"/>
          <w:szCs w:val="24"/>
          <w:u w:val="single"/>
        </w:rPr>
        <w:t>_______</w:t>
      </w:r>
      <w:r>
        <w:rPr>
          <w:rFonts w:hint="eastAsia" w:ascii="仿宋" w:hAnsi="仿宋" w:eastAsia="仿宋" w:cs="仿宋_GB2312"/>
          <w:color w:val="auto"/>
          <w:sz w:val="24"/>
          <w:szCs w:val="24"/>
        </w:rPr>
        <w:t>万元 ，属于</w:t>
      </w:r>
      <w:r>
        <w:rPr>
          <w:rFonts w:hint="eastAsia" w:ascii="仿宋" w:hAnsi="仿宋" w:eastAsia="仿宋" w:cs="仿宋_GB2312"/>
          <w:color w:val="auto"/>
          <w:sz w:val="24"/>
          <w:szCs w:val="24"/>
          <w:u w:val="single"/>
        </w:rPr>
        <w:t xml:space="preserve">       （小型企业、微型企业）</w:t>
      </w:r>
      <w:r>
        <w:rPr>
          <w:rFonts w:hint="eastAsia" w:ascii="仿宋" w:hAnsi="仿宋" w:eastAsia="仿宋" w:cs="仿宋_GB2312"/>
          <w:color w:val="auto"/>
          <w:sz w:val="24"/>
          <w:szCs w:val="24"/>
        </w:rPr>
        <w:t xml:space="preserve"> 。</w:t>
      </w:r>
    </w:p>
    <w:p>
      <w:pPr>
        <w:spacing w:line="360" w:lineRule="auto"/>
        <w:ind w:firstLine="480" w:firstLineChars="200"/>
        <w:jc w:val="left"/>
        <w:rPr>
          <w:rFonts w:ascii="仿宋" w:hAnsi="仿宋" w:eastAsia="仿宋" w:cs="仿宋_GB2312"/>
          <w:color w:val="auto"/>
          <w:sz w:val="24"/>
          <w:szCs w:val="24"/>
        </w:rPr>
      </w:pPr>
      <w:r>
        <w:rPr>
          <w:rFonts w:hint="eastAsia" w:ascii="仿宋" w:hAnsi="仿宋" w:eastAsia="仿宋" w:cs="仿宋_GB2312"/>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仿宋_GB2312" w:eastAsia="仿宋_GB2312" w:cs="仿宋_GB2312"/>
          <w:color w:val="auto"/>
          <w:sz w:val="24"/>
        </w:rPr>
      </w:pPr>
      <w:r>
        <w:rPr>
          <w:rFonts w:hint="eastAsia" w:ascii="仿宋" w:hAnsi="仿宋" w:eastAsia="仿宋" w:cs="仿宋_GB2312"/>
          <w:color w:val="auto"/>
          <w:sz w:val="24"/>
          <w:szCs w:val="24"/>
        </w:rPr>
        <w:t>本企业对上述声明内容的真实性负责。如有虚假，将依法承担相应责任。</w:t>
      </w:r>
    </w:p>
    <w:p>
      <w:pPr>
        <w:snapToGrid w:val="0"/>
        <w:ind w:firstLine="480" w:firstLineChars="200"/>
        <w:rPr>
          <w:rFonts w:ascii="仿宋_GB2312" w:hAnsi="仿宋_GB2312" w:eastAsia="仿宋_GB2312" w:cs="仿宋_GB2312"/>
          <w:color w:val="auto"/>
          <w:sz w:val="24"/>
        </w:rPr>
      </w:pPr>
    </w:p>
    <w:p>
      <w:pPr>
        <w:wordWrap w:val="0"/>
        <w:snapToGrid w:val="0"/>
        <w:spacing w:line="360" w:lineRule="auto"/>
        <w:jc w:val="right"/>
        <w:rPr>
          <w:rFonts w:ascii="仿宋" w:hAnsi="仿宋" w:eastAsia="仿宋" w:cs="宋体"/>
          <w:color w:val="auto"/>
          <w:sz w:val="24"/>
          <w:szCs w:val="24"/>
        </w:rPr>
      </w:pPr>
      <w:r>
        <w:rPr>
          <w:rFonts w:hint="eastAsia" w:ascii="仿宋" w:hAnsi="仿宋" w:eastAsia="仿宋" w:cs="宋体"/>
          <w:color w:val="auto"/>
          <w:sz w:val="24"/>
          <w:szCs w:val="24"/>
        </w:rPr>
        <w:t>投标人名称（电子签章）：______________</w:t>
      </w:r>
    </w:p>
    <w:p>
      <w:pPr>
        <w:snapToGrid w:val="0"/>
        <w:spacing w:line="360" w:lineRule="auto"/>
        <w:ind w:right="600" w:firstLine="480" w:firstLineChars="200"/>
        <w:jc w:val="right"/>
        <w:rPr>
          <w:rFonts w:ascii="仿宋" w:hAnsi="仿宋" w:eastAsia="仿宋" w:cs="宋体"/>
          <w:color w:val="auto"/>
          <w:sz w:val="24"/>
          <w:szCs w:val="24"/>
        </w:rPr>
      </w:pPr>
      <w:r>
        <w:rPr>
          <w:rFonts w:hint="eastAsia" w:ascii="仿宋" w:hAnsi="仿宋" w:eastAsia="仿宋" w:cs="宋体"/>
          <w:color w:val="auto"/>
          <w:sz w:val="24"/>
          <w:szCs w:val="24"/>
        </w:rPr>
        <w:t>日 期：______年______月______日</w:t>
      </w:r>
    </w:p>
    <w:p>
      <w:pPr>
        <w:snapToGrid w:val="0"/>
        <w:ind w:right="240" w:firstLine="480" w:firstLineChars="200"/>
        <w:jc w:val="right"/>
        <w:rPr>
          <w:rFonts w:ascii="仿宋" w:hAnsi="仿宋" w:eastAsia="仿宋" w:cs="宋体"/>
          <w:color w:val="auto"/>
          <w:sz w:val="24"/>
          <w:szCs w:val="24"/>
        </w:rPr>
      </w:pPr>
    </w:p>
    <w:p>
      <w:pPr>
        <w:spacing w:line="360" w:lineRule="auto"/>
        <w:rPr>
          <w:rFonts w:ascii="仿宋" w:hAnsi="仿宋" w:eastAsia="仿宋" w:cs="仿宋_GB2312"/>
          <w:b/>
          <w:color w:val="auto"/>
          <w:sz w:val="24"/>
        </w:rPr>
      </w:pPr>
      <w:r>
        <w:rPr>
          <w:rFonts w:hint="eastAsia" w:ascii="仿宋" w:hAnsi="仿宋" w:eastAsia="仿宋" w:cs="仿宋_GB2312"/>
          <w:b/>
          <w:color w:val="auto"/>
          <w:sz w:val="24"/>
        </w:rPr>
        <w:t>注：</w:t>
      </w:r>
    </w:p>
    <w:p>
      <w:pPr>
        <w:spacing w:line="300" w:lineRule="auto"/>
        <w:ind w:firstLine="480" w:firstLineChars="200"/>
        <w:rPr>
          <w:rFonts w:ascii="仿宋" w:hAnsi="仿宋" w:eastAsia="仿宋"/>
          <w:color w:val="auto"/>
          <w:sz w:val="24"/>
        </w:rPr>
      </w:pPr>
      <w:r>
        <w:rPr>
          <w:rFonts w:hint="eastAsia" w:ascii="仿宋" w:hAnsi="仿宋" w:eastAsia="仿宋"/>
          <w:color w:val="auto"/>
          <w:sz w:val="24"/>
        </w:rPr>
        <w:t>1、填写要求：①从业人员、营业收入、资产总额填报上一年度数据，无上一年度数据的新成立企业可不填报；②投标供应商应根据采购文件中明确的“所属行业”对应的中小企业划分标准，结合以上企业实际情况如实判断，属于小型、微型企业的，应如实填写并提交《中小企业声明函》；③中小企业划分标准：详见《中小企业划型标准规定》（工信部联企业〔2011〕300号）；</w:t>
      </w:r>
      <w:r>
        <w:rPr>
          <w:rFonts w:hint="eastAsia" w:ascii="仿宋" w:hAnsi="仿宋" w:eastAsia="仿宋" w:cs="宋体"/>
          <w:color w:val="auto"/>
          <w:sz w:val="24"/>
          <w:szCs w:val="24"/>
        </w:rPr>
        <w:t>④</w:t>
      </w:r>
      <w:r>
        <w:rPr>
          <w:rFonts w:hint="eastAsia" w:ascii="仿宋" w:hAnsi="仿宋" w:eastAsia="仿宋"/>
          <w:color w:val="auto"/>
          <w:sz w:val="24"/>
        </w:rPr>
        <w:t>供应商对其提供的《中小企业声明函》真实性负责，声明函内容不实的，属于提供虚假材料谋取中标、成交，依照《中华人民共和国政府采购法》等国家有关规定追究其相应责任。</w:t>
      </w:r>
    </w:p>
    <w:p>
      <w:pPr>
        <w:spacing w:line="300" w:lineRule="auto"/>
        <w:ind w:firstLine="470" w:firstLineChars="196"/>
        <w:rPr>
          <w:rFonts w:ascii="仿宋" w:hAnsi="仿宋" w:eastAsia="仿宋"/>
          <w:b/>
          <w:color w:val="auto"/>
          <w:sz w:val="24"/>
        </w:rPr>
      </w:pPr>
      <w:r>
        <w:rPr>
          <w:rFonts w:hint="eastAsia" w:ascii="仿宋" w:hAnsi="仿宋" w:eastAsia="仿宋"/>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72" w:firstLineChars="196"/>
        <w:rPr>
          <w:rFonts w:ascii="仿宋" w:hAnsi="仿宋" w:eastAsia="仿宋"/>
          <w:b/>
          <w:color w:val="auto"/>
          <w:sz w:val="24"/>
        </w:rPr>
        <w:sectPr>
          <w:pgSz w:w="11906" w:h="16838"/>
          <w:pgMar w:top="1247" w:right="1247" w:bottom="1247" w:left="1247" w:header="283" w:footer="454" w:gutter="0"/>
          <w:pgNumType w:fmt="numberInDash"/>
          <w:cols w:space="720" w:num="1"/>
          <w:titlePg/>
          <w:docGrid w:type="lines" w:linePitch="312" w:charSpace="0"/>
        </w:sectPr>
      </w:pPr>
    </w:p>
    <w:p>
      <w:pPr>
        <w:pStyle w:val="4"/>
        <w:spacing w:before="0" w:line="500" w:lineRule="exact"/>
        <w:jc w:val="center"/>
        <w:rPr>
          <w:rFonts w:ascii="仿宋" w:hAnsi="仿宋" w:eastAsia="仿宋" w:cs="宋体"/>
          <w:b w:val="0"/>
          <w:color w:val="auto"/>
          <w:sz w:val="28"/>
          <w:szCs w:val="28"/>
        </w:rPr>
      </w:pPr>
      <w:r>
        <w:rPr>
          <w:rFonts w:hint="eastAsia" w:ascii="仿宋" w:hAnsi="仿宋" w:eastAsia="仿宋"/>
          <w:color w:val="auto"/>
          <w:sz w:val="28"/>
          <w:szCs w:val="28"/>
        </w:rPr>
        <w:t>3、残疾人福利性单位声明函</w:t>
      </w:r>
    </w:p>
    <w:p>
      <w:pPr>
        <w:snapToGrid w:val="0"/>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仿宋" w:hAnsi="仿宋" w:eastAsia="仿宋" w:cs="宋体"/>
          <w:color w:val="auto"/>
          <w:sz w:val="28"/>
          <w:szCs w:val="28"/>
        </w:rPr>
      </w:pPr>
      <w:r>
        <w:rPr>
          <w:rFonts w:hint="eastAsia" w:ascii="仿宋" w:hAnsi="仿宋" w:eastAsia="仿宋" w:cs="宋体"/>
          <w:color w:val="auto"/>
          <w:sz w:val="24"/>
          <w:szCs w:val="24"/>
        </w:rPr>
        <w:t>本单位对上述声明的真实性负责。如有虚假，将依法承担相应责任。</w:t>
      </w:r>
    </w:p>
    <w:p>
      <w:pPr>
        <w:ind w:firstLine="480"/>
        <w:rPr>
          <w:rFonts w:ascii="仿宋" w:hAnsi="仿宋" w:eastAsia="仿宋"/>
        </w:rPr>
      </w:pPr>
    </w:p>
    <w:p>
      <w:pPr>
        <w:snapToGrid w:val="0"/>
        <w:jc w:val="center"/>
        <w:rPr>
          <w:rFonts w:ascii="仿宋" w:hAnsi="仿宋" w:eastAsia="仿宋" w:cs="宋体"/>
          <w:color w:val="auto"/>
          <w:sz w:val="24"/>
          <w:szCs w:val="24"/>
        </w:rPr>
      </w:pPr>
      <w:r>
        <w:rPr>
          <w:rFonts w:hint="eastAsia" w:ascii="仿宋" w:hAnsi="仿宋" w:eastAsia="仿宋" w:cs="宋体"/>
          <w:color w:val="auto"/>
          <w:sz w:val="24"/>
          <w:szCs w:val="24"/>
        </w:rPr>
        <w:t xml:space="preserve">                                  单位名称（电子签章）：_____________</w:t>
      </w:r>
    </w:p>
    <w:p>
      <w:pPr>
        <w:spacing w:before="100" w:beforeAutospacing="1" w:after="100" w:afterAutospacing="1"/>
        <w:ind w:firstLine="4680" w:firstLineChars="1950"/>
        <w:rPr>
          <w:rFonts w:ascii="仿宋" w:hAnsi="仿宋" w:eastAsia="仿宋" w:cs="宋体"/>
          <w:color w:val="auto"/>
          <w:sz w:val="24"/>
          <w:szCs w:val="24"/>
        </w:rPr>
      </w:pPr>
      <w:r>
        <w:rPr>
          <w:rFonts w:hint="eastAsia" w:ascii="仿宋" w:hAnsi="仿宋" w:eastAsia="仿宋" w:cs="宋体"/>
          <w:color w:val="auto"/>
          <w:sz w:val="24"/>
          <w:szCs w:val="24"/>
        </w:rPr>
        <w:t>日</w:t>
      </w:r>
      <w:r>
        <w:rPr>
          <w:rFonts w:hint="eastAsia" w:ascii="宋体" w:hAnsi="宋体" w:eastAsia="仿宋" w:cs="宋体"/>
          <w:color w:val="auto"/>
          <w:sz w:val="24"/>
          <w:szCs w:val="24"/>
        </w:rPr>
        <w:t>  </w:t>
      </w:r>
      <w:r>
        <w:rPr>
          <w:rFonts w:hint="eastAsia" w:ascii="仿宋" w:hAnsi="仿宋" w:eastAsia="仿宋" w:cs="宋体"/>
          <w:color w:val="auto"/>
          <w:sz w:val="24"/>
          <w:szCs w:val="24"/>
        </w:rPr>
        <w:t xml:space="preserve">期：______年______月______日 </w:t>
      </w:r>
    </w:p>
    <w:p>
      <w:pPr>
        <w:snapToGrid w:val="0"/>
        <w:spacing w:line="360" w:lineRule="auto"/>
        <w:ind w:right="1120" w:firstLine="560" w:firstLineChars="200"/>
        <w:jc w:val="center"/>
        <w:rPr>
          <w:rFonts w:ascii="仿宋" w:hAnsi="仿宋" w:eastAsia="仿宋" w:cs="宋体"/>
          <w:color w:val="auto"/>
          <w:sz w:val="28"/>
          <w:szCs w:val="28"/>
        </w:rPr>
      </w:pPr>
    </w:p>
    <w:p>
      <w:pPr>
        <w:snapToGrid w:val="0"/>
        <w:spacing w:line="360" w:lineRule="auto"/>
        <w:rPr>
          <w:rFonts w:ascii="仿宋" w:hAnsi="仿宋" w:eastAsia="仿宋" w:cs="宋体"/>
          <w:color w:val="auto"/>
        </w:rPr>
      </w:pPr>
      <w:r>
        <w:rPr>
          <w:rFonts w:hint="eastAsia" w:ascii="仿宋" w:hAnsi="仿宋" w:eastAsia="仿宋" w:cs="宋体"/>
          <w:color w:val="auto"/>
        </w:rPr>
        <w:t>注：</w:t>
      </w:r>
    </w:p>
    <w:p>
      <w:pPr>
        <w:snapToGrid w:val="0"/>
        <w:spacing w:line="360" w:lineRule="auto"/>
        <w:ind w:firstLine="409" w:firstLineChars="195"/>
        <w:rPr>
          <w:rFonts w:ascii="仿宋" w:hAnsi="仿宋" w:eastAsia="仿宋" w:cs="宋体"/>
          <w:color w:val="auto"/>
        </w:rPr>
      </w:pPr>
      <w:r>
        <w:rPr>
          <w:rFonts w:hint="eastAsia" w:ascii="仿宋" w:hAnsi="仿宋" w:eastAsia="仿宋" w:cs="宋体"/>
          <w:color w:val="auto"/>
        </w:rPr>
        <w:t>1、残疾人福利性单位视同小型、微型企业。</w:t>
      </w:r>
    </w:p>
    <w:p>
      <w:pPr>
        <w:snapToGrid w:val="0"/>
        <w:spacing w:line="360" w:lineRule="auto"/>
        <w:ind w:firstLine="420" w:firstLineChars="200"/>
        <w:rPr>
          <w:rFonts w:ascii="仿宋" w:hAnsi="仿宋" w:eastAsia="仿宋" w:cs="宋体"/>
          <w:color w:val="auto"/>
        </w:rPr>
      </w:pPr>
      <w:r>
        <w:rPr>
          <w:rFonts w:hint="eastAsia" w:ascii="仿宋" w:hAnsi="仿宋" w:eastAsia="仿宋" w:cs="宋体"/>
          <w:color w:val="auto"/>
        </w:rPr>
        <w:t>2、如中标人声明为残疾人福利性单位，本声明函将随中标结果同时公告，接受社会监督。</w:t>
      </w:r>
    </w:p>
    <w:p>
      <w:pPr>
        <w:snapToGrid w:val="0"/>
        <w:spacing w:line="360" w:lineRule="auto"/>
        <w:ind w:firstLine="420" w:firstLineChars="200"/>
        <w:rPr>
          <w:rFonts w:ascii="仿宋" w:hAnsi="仿宋" w:eastAsia="仿宋" w:cs="宋体"/>
          <w:color w:val="auto"/>
        </w:rPr>
      </w:pPr>
      <w:r>
        <w:rPr>
          <w:rFonts w:hint="eastAsia" w:ascii="仿宋" w:hAnsi="仿宋" w:eastAsia="仿宋" w:cs="宋体"/>
          <w:color w:val="auto"/>
        </w:rPr>
        <w:t>3、享受政府采购支持政策的残疾人福利性单位应当同时满足以下条件：</w:t>
      </w:r>
    </w:p>
    <w:p>
      <w:pPr>
        <w:snapToGrid w:val="0"/>
        <w:spacing w:line="360" w:lineRule="auto"/>
        <w:ind w:firstLine="420" w:firstLineChars="200"/>
        <w:rPr>
          <w:rFonts w:ascii="仿宋" w:hAnsi="仿宋" w:eastAsia="仿宋" w:cs="宋体"/>
          <w:color w:val="auto"/>
        </w:rPr>
      </w:pPr>
      <w:r>
        <w:rPr>
          <w:rFonts w:hint="eastAsia" w:ascii="仿宋" w:hAnsi="仿宋" w:eastAsia="仿宋" w:cs="宋体"/>
          <w:color w:val="auto"/>
        </w:rPr>
        <w:t>（1）安置的残疾人占本单位在职职工人数的比例不低于25%（含25%），并且安置的残疾人人数不少于10人（含10人）；</w:t>
      </w:r>
    </w:p>
    <w:p>
      <w:pPr>
        <w:snapToGrid w:val="0"/>
        <w:spacing w:line="360" w:lineRule="auto"/>
        <w:ind w:firstLine="420" w:firstLineChars="200"/>
        <w:rPr>
          <w:rFonts w:ascii="仿宋" w:hAnsi="仿宋" w:eastAsia="仿宋" w:cs="宋体"/>
          <w:color w:val="auto"/>
        </w:rPr>
      </w:pPr>
      <w:r>
        <w:rPr>
          <w:rFonts w:hint="eastAsia" w:ascii="仿宋" w:hAnsi="仿宋" w:eastAsia="仿宋" w:cs="宋体"/>
          <w:color w:val="auto"/>
        </w:rPr>
        <w:t>（2）依法与安置的每位残疾人签订了一年以上（含一年）的劳动合同或服务协议；</w:t>
      </w:r>
    </w:p>
    <w:p>
      <w:pPr>
        <w:snapToGrid w:val="0"/>
        <w:spacing w:line="360" w:lineRule="auto"/>
        <w:ind w:firstLine="420" w:firstLineChars="200"/>
        <w:rPr>
          <w:rFonts w:ascii="仿宋" w:hAnsi="仿宋" w:eastAsia="仿宋" w:cs="宋体"/>
          <w:color w:val="auto"/>
        </w:rPr>
      </w:pPr>
      <w:r>
        <w:rPr>
          <w:rFonts w:hint="eastAsia" w:ascii="仿宋" w:hAnsi="仿宋" w:eastAsia="仿宋" w:cs="宋体"/>
          <w:color w:val="auto"/>
        </w:rPr>
        <w:t>（3）为安置的每位残疾人按月足额缴纳了基本养老保险、基本医疗保险、失业保险、工伤保险和生育保险等社会保险费；</w:t>
      </w:r>
    </w:p>
    <w:p>
      <w:pPr>
        <w:snapToGrid w:val="0"/>
        <w:spacing w:line="360" w:lineRule="auto"/>
        <w:ind w:firstLine="420" w:firstLineChars="200"/>
        <w:rPr>
          <w:rFonts w:ascii="仿宋" w:hAnsi="仿宋" w:eastAsia="仿宋" w:cs="宋体"/>
          <w:color w:val="auto"/>
        </w:rPr>
      </w:pPr>
      <w:r>
        <w:rPr>
          <w:rFonts w:hint="eastAsia" w:ascii="仿宋" w:hAnsi="仿宋" w:eastAsia="仿宋" w:cs="宋体"/>
          <w:color w:val="auto"/>
        </w:rPr>
        <w:t>（4）通过银行等金融机构向安置的每位残疾人，按月支付了不低于单位所在区县适用的经省级人民政府批准的月最低工资标准的工资；</w:t>
      </w:r>
    </w:p>
    <w:p>
      <w:pPr>
        <w:snapToGrid w:val="0"/>
        <w:spacing w:line="360" w:lineRule="auto"/>
        <w:ind w:firstLine="420" w:firstLineChars="200"/>
        <w:rPr>
          <w:rFonts w:ascii="仿宋" w:hAnsi="仿宋" w:eastAsia="仿宋"/>
          <w:color w:val="auto"/>
          <w:sz w:val="24"/>
          <w:szCs w:val="24"/>
        </w:rPr>
      </w:pPr>
      <w:r>
        <w:rPr>
          <w:rFonts w:hint="eastAsia" w:ascii="仿宋" w:hAnsi="仿宋" w:eastAsia="仿宋" w:cs="宋体"/>
          <w:color w:val="auto"/>
        </w:rPr>
        <w:t>（5）提供本单位制造的货物、承担的工程或者服务（以下简称产品），或者提供其他残疾人福利性单位制造的货物（不包括使用非残疾人福利性单位注册商标的货物）。</w:t>
      </w:r>
    </w:p>
    <w:p>
      <w:pPr>
        <w:spacing w:line="480" w:lineRule="auto"/>
        <w:ind w:firstLine="480" w:firstLineChars="200"/>
        <w:rPr>
          <w:rFonts w:ascii="仿宋" w:hAnsi="仿宋" w:eastAsia="仿宋"/>
          <w:color w:val="auto"/>
          <w:sz w:val="24"/>
          <w:szCs w:val="24"/>
        </w:rPr>
        <w:sectPr>
          <w:pgSz w:w="11906" w:h="16838"/>
          <w:pgMar w:top="1247" w:right="1247" w:bottom="1247" w:left="1247" w:header="283" w:footer="454" w:gutter="0"/>
          <w:pgNumType w:fmt="numberInDash"/>
          <w:cols w:space="720" w:num="1"/>
          <w:titlePg/>
          <w:docGrid w:type="lines" w:linePitch="312" w:charSpace="0"/>
        </w:sectPr>
      </w:pPr>
    </w:p>
    <w:p>
      <w:pPr>
        <w:widowControl/>
        <w:tabs>
          <w:tab w:val="left" w:pos="350"/>
          <w:tab w:val="left" w:pos="8280"/>
        </w:tabs>
        <w:spacing w:afterLines="200"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第二部分    商务技术文件（部分格式）</w:t>
      </w:r>
    </w:p>
    <w:p>
      <w:pPr>
        <w:pStyle w:val="4"/>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1、投标函</w:t>
      </w:r>
    </w:p>
    <w:p>
      <w:pPr>
        <w:spacing w:line="360" w:lineRule="auto"/>
        <w:rPr>
          <w:rFonts w:ascii="仿宋" w:hAnsi="仿宋" w:eastAsia="仿宋" w:cs="宋体"/>
          <w:color w:val="auto"/>
          <w:spacing w:val="8"/>
          <w:sz w:val="24"/>
          <w:szCs w:val="24"/>
        </w:rPr>
      </w:pPr>
      <w:r>
        <w:rPr>
          <w:rFonts w:ascii="仿宋" w:hAnsi="仿宋" w:eastAsia="仿宋" w:cs="宋体"/>
          <w:color w:val="auto"/>
          <w:spacing w:val="8"/>
          <w:sz w:val="24"/>
          <w:szCs w:val="24"/>
        </w:rPr>
        <w:t>诸暨市自然资源和规划局</w:t>
      </w:r>
      <w:r>
        <w:rPr>
          <w:rFonts w:hint="eastAsia" w:ascii="仿宋" w:hAnsi="仿宋" w:eastAsia="仿宋" w:cs="宋体"/>
          <w:color w:val="auto"/>
          <w:spacing w:val="8"/>
          <w:sz w:val="24"/>
          <w:szCs w:val="24"/>
        </w:rPr>
        <w:t>、浙江新顺项目管理有限公司：</w:t>
      </w:r>
    </w:p>
    <w:p>
      <w:pPr>
        <w:spacing w:line="360" w:lineRule="auto"/>
        <w:ind w:firstLine="512" w:firstLineChars="200"/>
        <w:rPr>
          <w:rFonts w:ascii="仿宋" w:hAnsi="仿宋" w:eastAsia="仿宋"/>
          <w:color w:val="auto"/>
          <w:sz w:val="24"/>
          <w:szCs w:val="24"/>
        </w:rPr>
      </w:pPr>
      <w:r>
        <w:rPr>
          <w:rFonts w:hint="eastAsia" w:ascii="仿宋" w:hAnsi="仿宋" w:eastAsia="仿宋" w:cs="宋体"/>
          <w:color w:val="auto"/>
          <w:spacing w:val="8"/>
          <w:sz w:val="24"/>
          <w:szCs w:val="24"/>
        </w:rPr>
        <w:t>我方参加你方组织的</w:t>
      </w:r>
      <w:r>
        <w:rPr>
          <w:rFonts w:hint="eastAsia" w:ascii="仿宋" w:hAnsi="仿宋" w:eastAsia="仿宋"/>
          <w:b/>
          <w:i/>
          <w:sz w:val="24"/>
          <w:szCs w:val="24"/>
          <w:u w:val="single"/>
        </w:rPr>
        <w:t>诸暨市自然资源和规划局第七期档案整理及数字化加工项目</w:t>
      </w:r>
      <w:r>
        <w:rPr>
          <w:rFonts w:ascii="仿宋" w:hAnsi="仿宋" w:eastAsia="仿宋" w:cs="Arial"/>
          <w:b/>
          <w:i/>
          <w:color w:val="auto"/>
          <w:sz w:val="24"/>
          <w:szCs w:val="22"/>
          <w:u w:val="single"/>
        </w:rPr>
        <w:t>（项目编号：</w:t>
      </w:r>
      <w:r>
        <w:rPr>
          <w:rFonts w:hint="eastAsia" w:ascii="仿宋" w:hAnsi="仿宋" w:eastAsia="仿宋" w:cs="Arial"/>
          <w:b/>
          <w:i/>
          <w:color w:val="auto"/>
          <w:sz w:val="24"/>
          <w:szCs w:val="22"/>
          <w:u w:val="single"/>
        </w:rPr>
        <w:t>浙江新顺2024-04-18</w:t>
      </w:r>
      <w:r>
        <w:rPr>
          <w:rFonts w:ascii="仿宋" w:hAnsi="仿宋" w:eastAsia="仿宋" w:cs="Arial"/>
          <w:b/>
          <w:i/>
          <w:color w:val="auto"/>
          <w:sz w:val="24"/>
          <w:szCs w:val="22"/>
          <w:u w:val="single"/>
        </w:rPr>
        <w:t>）</w:t>
      </w:r>
      <w:r>
        <w:rPr>
          <w:rFonts w:hint="eastAsia" w:ascii="仿宋" w:hAnsi="仿宋" w:eastAsia="仿宋"/>
          <w:color w:val="auto"/>
          <w:sz w:val="24"/>
          <w:szCs w:val="24"/>
        </w:rPr>
        <w:t>招标的有关活动，并对此项目进行投标。为此：</w:t>
      </w:r>
    </w:p>
    <w:p>
      <w:pPr>
        <w:tabs>
          <w:tab w:val="left" w:pos="900"/>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我方承诺投标有效期从提交投标文件的截止之日起</w:t>
      </w:r>
      <w:r>
        <w:rPr>
          <w:rFonts w:hint="eastAsia" w:ascii="仿宋" w:hAnsi="仿宋" w:eastAsia="仿宋"/>
          <w:color w:val="auto"/>
          <w:sz w:val="24"/>
          <w:szCs w:val="24"/>
        </w:rPr>
        <w:t>________天（不少于</w:t>
      </w:r>
      <w:r>
        <w:rPr>
          <w:rFonts w:ascii="仿宋" w:hAnsi="仿宋" w:eastAsia="仿宋"/>
          <w:color w:val="auto"/>
          <w:sz w:val="24"/>
          <w:szCs w:val="24"/>
        </w:rPr>
        <w:t>90天）</w:t>
      </w:r>
      <w:r>
        <w:rPr>
          <w:rFonts w:hint="eastAsia" w:ascii="仿宋" w:hAnsi="仿宋" w:eastAsia="仿宋"/>
          <w:color w:val="auto"/>
          <w:sz w:val="24"/>
          <w:szCs w:val="24"/>
        </w:rPr>
        <w:t>，本投标文件在投标有效期满之前均具有约束力。</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2、我方承诺已经具备招标文件规定的投标人应当具备的资格条件。</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3、我方严格按照招标文件的规定报价，并提供招标文件规定的全部投标文件。</w:t>
      </w:r>
    </w:p>
    <w:p>
      <w:pPr>
        <w:spacing w:line="360" w:lineRule="auto"/>
        <w:ind w:firstLine="480" w:firstLineChars="200"/>
        <w:rPr>
          <w:rFonts w:ascii="仿宋" w:hAnsi="仿宋" w:eastAsia="仿宋"/>
          <w:b/>
          <w:color w:val="auto"/>
          <w:sz w:val="24"/>
        </w:rPr>
      </w:pPr>
      <w:r>
        <w:rPr>
          <w:rFonts w:hint="eastAsia" w:ascii="仿宋" w:hAnsi="仿宋" w:eastAsia="仿宋"/>
          <w:color w:val="auto"/>
          <w:sz w:val="24"/>
          <w:szCs w:val="24"/>
        </w:rPr>
        <w:t>4、</w:t>
      </w:r>
      <w:r>
        <w:rPr>
          <w:rFonts w:hint="eastAsia" w:ascii="仿宋" w:hAnsi="仿宋" w:eastAsia="仿宋"/>
          <w:color w:val="auto"/>
          <w:sz w:val="24"/>
        </w:rPr>
        <w:t>我方承诺除商务技术偏离表列出的偏离外，我方响应招标文件的全部要求。</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5、如我方中标，我方承诺：</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（1）在收到中标通知书后，在中标通知书规定的期限内与你方签订合同；</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（2）在签订合同时不向你方提出附加条件；</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（3）按照招标文件要求提交履约保证金；</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rPr>
        <w:t>（4）在合同约定的期限内完成合同规定的全部义务。</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6、我方同意向你方提供任何与该项目投标有关的数据或资料。若你方需要，愿意提供我方做出的一切承诺的证明材料。</w:t>
      </w:r>
    </w:p>
    <w:p>
      <w:pPr>
        <w:spacing w:line="360" w:lineRule="auto"/>
        <w:rPr>
          <w:rFonts w:ascii="仿宋" w:hAnsi="仿宋" w:eastAsia="仿宋"/>
          <w:color w:val="auto"/>
          <w:sz w:val="24"/>
          <w:szCs w:val="24"/>
        </w:rPr>
      </w:pPr>
    </w:p>
    <w:p>
      <w:pPr>
        <w:spacing w:line="360" w:lineRule="auto"/>
        <w:ind w:firstLine="425"/>
        <w:rPr>
          <w:rFonts w:ascii="仿宋" w:hAnsi="仿宋" w:eastAsia="仿宋"/>
          <w:color w:val="auto"/>
          <w:sz w:val="24"/>
          <w:szCs w:val="24"/>
        </w:rPr>
      </w:pPr>
      <w:r>
        <w:rPr>
          <w:rFonts w:hint="eastAsia" w:ascii="仿宋" w:hAnsi="仿宋" w:eastAsia="仿宋"/>
          <w:color w:val="auto"/>
          <w:sz w:val="24"/>
          <w:szCs w:val="24"/>
        </w:rPr>
        <w:t>投标人名称（电子签章）：</w:t>
      </w:r>
      <w:r>
        <w:rPr>
          <w:rFonts w:hint="eastAsia" w:ascii="仿宋" w:hAnsi="仿宋" w:eastAsia="仿宋"/>
          <w:color w:val="auto"/>
          <w:sz w:val="24"/>
          <w:szCs w:val="24"/>
          <w:u w:val="single"/>
        </w:rPr>
        <w:t>______________________</w:t>
      </w:r>
    </w:p>
    <w:p>
      <w:pPr>
        <w:widowControl/>
        <w:tabs>
          <w:tab w:val="left" w:pos="350"/>
          <w:tab w:val="left" w:pos="8280"/>
        </w:tabs>
        <w:spacing w:afterLines="100" w:line="360" w:lineRule="auto"/>
        <w:ind w:firstLine="425"/>
        <w:rPr>
          <w:rFonts w:ascii="仿宋" w:hAnsi="仿宋" w:eastAsia="仿宋"/>
          <w:color w:val="auto"/>
          <w:sz w:val="24"/>
          <w:szCs w:val="24"/>
        </w:rPr>
      </w:pPr>
      <w:r>
        <w:rPr>
          <w:rFonts w:hint="eastAsia" w:ascii="仿宋" w:hAnsi="仿宋" w:eastAsia="仿宋"/>
          <w:color w:val="auto"/>
          <w:sz w:val="24"/>
          <w:szCs w:val="24"/>
        </w:rPr>
        <w:t>日期：________年________月________日</w:t>
      </w:r>
    </w:p>
    <w:p>
      <w:pPr>
        <w:widowControl/>
        <w:tabs>
          <w:tab w:val="left" w:pos="350"/>
          <w:tab w:val="left" w:pos="8280"/>
        </w:tabs>
        <w:spacing w:line="360" w:lineRule="auto"/>
        <w:ind w:firstLine="425"/>
        <w:rPr>
          <w:rFonts w:ascii="仿宋" w:hAnsi="仿宋" w:eastAsia="仿宋"/>
          <w:color w:val="auto"/>
          <w:sz w:val="24"/>
          <w:szCs w:val="24"/>
        </w:rPr>
      </w:pPr>
      <w:r>
        <w:rPr>
          <w:rFonts w:hint="eastAsia" w:ascii="仿宋" w:hAnsi="仿宋" w:eastAsia="仿宋"/>
          <w:i/>
          <w:color w:val="auto"/>
          <w:sz w:val="24"/>
          <w:szCs w:val="24"/>
          <w:u w:val="single"/>
        </w:rPr>
        <w:t>注：按本格式和要求提供。</w:t>
      </w:r>
    </w:p>
    <w:p>
      <w:pPr>
        <w:widowControl/>
        <w:tabs>
          <w:tab w:val="left" w:pos="350"/>
          <w:tab w:val="left" w:pos="8280"/>
        </w:tabs>
        <w:spacing w:afterLines="200" w:line="360" w:lineRule="auto"/>
        <w:ind w:firstLine="425"/>
        <w:rPr>
          <w:rFonts w:ascii="仿宋" w:hAnsi="仿宋" w:eastAsia="仿宋"/>
          <w:color w:val="auto"/>
          <w:sz w:val="24"/>
          <w:szCs w:val="24"/>
        </w:rPr>
        <w:sectPr>
          <w:pgSz w:w="11906" w:h="16838"/>
          <w:pgMar w:top="1247" w:right="1247" w:bottom="1247" w:left="1247" w:header="283" w:footer="454" w:gutter="0"/>
          <w:pgNumType w:fmt="numberInDash"/>
          <w:cols w:space="720" w:num="1"/>
          <w:titlePg/>
          <w:docGrid w:type="lines" w:linePitch="312" w:charSpace="0"/>
        </w:sectPr>
      </w:pPr>
    </w:p>
    <w:p>
      <w:pPr>
        <w:pStyle w:val="4"/>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《授权委托书》</w:t>
      </w:r>
      <w:r>
        <w:rPr>
          <w:rFonts w:hint="eastAsia" w:ascii="仿宋" w:hAnsi="仿宋" w:eastAsia="仿宋"/>
          <w:color w:val="auto"/>
          <w:sz w:val="28"/>
          <w:szCs w:val="28"/>
        </w:rPr>
        <w:t>或法定代表人（单位负责人、自然人本人）身份证明</w:t>
      </w:r>
    </w:p>
    <w:p>
      <w:pPr>
        <w:pStyle w:val="4"/>
        <w:spacing w:beforeLines="300" w:line="500" w:lineRule="exact"/>
        <w:jc w:val="center"/>
        <w:rPr>
          <w:rFonts w:ascii="仿宋" w:hAnsi="仿宋" w:eastAsia="仿宋"/>
          <w:color w:val="auto"/>
          <w:sz w:val="28"/>
          <w:szCs w:val="28"/>
        </w:rPr>
      </w:pPr>
      <w:r>
        <w:rPr>
          <w:rFonts w:hint="eastAsia" w:ascii="仿宋" w:hAnsi="仿宋" w:eastAsia="仿宋"/>
          <w:color w:val="auto"/>
          <w:sz w:val="28"/>
          <w:szCs w:val="28"/>
        </w:rPr>
        <w:t>（1）授权委托书</w:t>
      </w:r>
    </w:p>
    <w:p>
      <w:pPr>
        <w:spacing w:line="360" w:lineRule="auto"/>
        <w:rPr>
          <w:rFonts w:ascii="仿宋" w:hAnsi="仿宋" w:eastAsia="仿宋" w:cs="宋体"/>
          <w:color w:val="auto"/>
          <w:spacing w:val="8"/>
          <w:sz w:val="24"/>
          <w:szCs w:val="24"/>
        </w:rPr>
      </w:pPr>
      <w:r>
        <w:rPr>
          <w:rFonts w:ascii="仿宋" w:hAnsi="仿宋" w:eastAsia="仿宋" w:cs="宋体"/>
          <w:color w:val="auto"/>
          <w:spacing w:val="8"/>
          <w:sz w:val="24"/>
          <w:szCs w:val="24"/>
        </w:rPr>
        <w:t>诸暨市自然资源和规划局</w:t>
      </w:r>
      <w:r>
        <w:rPr>
          <w:rFonts w:hint="eastAsia" w:ascii="仿宋" w:hAnsi="仿宋" w:eastAsia="仿宋" w:cs="宋体"/>
          <w:color w:val="auto"/>
          <w:spacing w:val="8"/>
          <w:sz w:val="24"/>
          <w:szCs w:val="24"/>
        </w:rPr>
        <w:t>、浙江新顺项目管理有限公司：</w:t>
      </w:r>
    </w:p>
    <w:p>
      <w:pPr>
        <w:spacing w:line="360" w:lineRule="auto"/>
        <w:ind w:firstLine="540"/>
        <w:rPr>
          <w:rFonts w:ascii="仿宋" w:hAnsi="仿宋" w:eastAsia="仿宋" w:cs="宋体"/>
          <w:color w:val="auto"/>
          <w:spacing w:val="8"/>
          <w:sz w:val="24"/>
          <w:szCs w:val="24"/>
        </w:rPr>
      </w:pPr>
    </w:p>
    <w:p>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现授权委托______</w:t>
      </w:r>
      <w:r>
        <w:rPr>
          <w:rFonts w:ascii="仿宋" w:hAnsi="仿宋" w:eastAsia="仿宋" w:cs="Arial"/>
          <w:color w:val="auto"/>
          <w:sz w:val="24"/>
          <w:szCs w:val="22"/>
          <w:u w:val="single"/>
        </w:rPr>
        <w:t>（姓名）</w:t>
      </w:r>
      <w:r>
        <w:rPr>
          <w:rFonts w:hint="eastAsia" w:ascii="仿宋" w:hAnsi="仿宋" w:eastAsia="仿宋" w:cs="Arial"/>
          <w:color w:val="auto"/>
          <w:sz w:val="24"/>
          <w:szCs w:val="22"/>
        </w:rPr>
        <w:t>为我方代理人</w:t>
      </w:r>
      <w:r>
        <w:rPr>
          <w:rFonts w:hint="eastAsia" w:ascii="仿宋" w:hAnsi="仿宋" w:eastAsia="仿宋" w:cs="Arial"/>
          <w:color w:val="auto"/>
          <w:sz w:val="24"/>
          <w:szCs w:val="22"/>
          <w:u w:val="single"/>
        </w:rPr>
        <w:t>（身份证号码：</w:t>
      </w:r>
      <w:r>
        <w:rPr>
          <w:rFonts w:ascii="仿宋" w:hAnsi="仿宋" w:eastAsia="仿宋" w:cs="Arial"/>
          <w:color w:val="auto"/>
          <w:sz w:val="24"/>
          <w:szCs w:val="22"/>
        </w:rPr>
        <w:t>____________</w:t>
      </w:r>
      <w:r>
        <w:rPr>
          <w:rFonts w:hint="eastAsia" w:ascii="仿宋" w:hAnsi="仿宋" w:eastAsia="仿宋" w:cs="Arial"/>
          <w:color w:val="auto"/>
          <w:sz w:val="24"/>
          <w:szCs w:val="22"/>
          <w:u w:val="single"/>
        </w:rPr>
        <w:t>，手机号码：</w:t>
      </w:r>
      <w:r>
        <w:rPr>
          <w:rFonts w:ascii="仿宋" w:hAnsi="仿宋" w:eastAsia="仿宋" w:cs="Arial"/>
          <w:color w:val="auto"/>
          <w:sz w:val="24"/>
          <w:szCs w:val="22"/>
          <w:u w:val="single"/>
        </w:rPr>
        <w:t>________________________</w:t>
      </w:r>
      <w:r>
        <w:rPr>
          <w:rFonts w:hint="eastAsia" w:ascii="仿宋" w:hAnsi="仿宋" w:eastAsia="仿宋" w:cs="Arial"/>
          <w:color w:val="auto"/>
          <w:sz w:val="24"/>
          <w:szCs w:val="22"/>
          <w:u w:val="single"/>
        </w:rPr>
        <w:t>）</w:t>
      </w:r>
      <w:r>
        <w:rPr>
          <w:rFonts w:hint="eastAsia" w:ascii="仿宋" w:hAnsi="仿宋" w:eastAsia="仿宋" w:cs="Arial"/>
          <w:color w:val="auto"/>
          <w:sz w:val="24"/>
          <w:szCs w:val="22"/>
        </w:rPr>
        <w:t>，</w:t>
      </w:r>
      <w:r>
        <w:rPr>
          <w:rFonts w:ascii="仿宋" w:hAnsi="仿宋" w:eastAsia="仿宋" w:cs="Arial"/>
          <w:color w:val="auto"/>
          <w:sz w:val="24"/>
          <w:szCs w:val="22"/>
        </w:rPr>
        <w:t>以我方名义</w:t>
      </w:r>
      <w:r>
        <w:rPr>
          <w:rFonts w:hint="eastAsia" w:ascii="仿宋" w:hAnsi="仿宋" w:eastAsia="仿宋" w:cs="Arial"/>
          <w:color w:val="auto"/>
          <w:sz w:val="24"/>
          <w:szCs w:val="22"/>
        </w:rPr>
        <w:t>处理</w:t>
      </w:r>
      <w:r>
        <w:rPr>
          <w:rFonts w:hint="eastAsia" w:ascii="仿宋" w:hAnsi="仿宋" w:eastAsia="仿宋"/>
          <w:b/>
          <w:i/>
          <w:sz w:val="24"/>
          <w:szCs w:val="24"/>
          <w:u w:val="single"/>
        </w:rPr>
        <w:t>诸暨市自然资源和规划局第七期档案整理及数字化加工项目</w:t>
      </w:r>
      <w:r>
        <w:rPr>
          <w:rFonts w:ascii="仿宋" w:hAnsi="仿宋" w:eastAsia="仿宋" w:cs="Arial"/>
          <w:b/>
          <w:i/>
          <w:color w:val="auto"/>
          <w:sz w:val="24"/>
          <w:szCs w:val="22"/>
          <w:u w:val="single"/>
        </w:rPr>
        <w:t>（项目编号：</w:t>
      </w:r>
      <w:r>
        <w:rPr>
          <w:rFonts w:hint="eastAsia" w:ascii="仿宋" w:hAnsi="仿宋" w:eastAsia="仿宋" w:cs="Arial"/>
          <w:b/>
          <w:i/>
          <w:color w:val="auto"/>
          <w:sz w:val="24"/>
          <w:szCs w:val="22"/>
          <w:u w:val="single"/>
        </w:rPr>
        <w:t>浙江新顺2024-04-18</w:t>
      </w:r>
      <w:r>
        <w:rPr>
          <w:rFonts w:ascii="仿宋" w:hAnsi="仿宋" w:eastAsia="仿宋" w:cs="Arial"/>
          <w:b/>
          <w:i/>
          <w:color w:val="auto"/>
          <w:sz w:val="24"/>
          <w:szCs w:val="22"/>
          <w:u w:val="single"/>
        </w:rPr>
        <w:t>）</w:t>
      </w:r>
      <w:r>
        <w:rPr>
          <w:rFonts w:hint="eastAsia" w:ascii="仿宋" w:hAnsi="仿宋" w:eastAsia="仿宋" w:cs="Arial"/>
          <w:color w:val="auto"/>
          <w:sz w:val="24"/>
          <w:szCs w:val="22"/>
        </w:rPr>
        <w:t>政府采购投标的一切事项，其法律后果由我方承担。</w:t>
      </w:r>
    </w:p>
    <w:p>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委托期限：自</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日起至</w:t>
      </w:r>
      <w:r>
        <w:rPr>
          <w:rFonts w:ascii="仿宋" w:hAnsi="仿宋" w:eastAsia="仿宋" w:cs="Arial"/>
          <w:color w:val="auto"/>
          <w:sz w:val="24"/>
          <w:szCs w:val="22"/>
        </w:rPr>
        <w:t>______</w:t>
      </w:r>
      <w:r>
        <w:rPr>
          <w:rFonts w:hint="eastAsia" w:ascii="仿宋" w:hAnsi="仿宋" w:eastAsia="仿宋" w:cs="Arial"/>
          <w:color w:val="auto"/>
          <w:sz w:val="24"/>
          <w:szCs w:val="22"/>
        </w:rPr>
        <w:t>年</w:t>
      </w:r>
      <w:r>
        <w:rPr>
          <w:rFonts w:ascii="仿宋" w:hAnsi="仿宋" w:eastAsia="仿宋" w:cs="Arial"/>
          <w:color w:val="auto"/>
          <w:sz w:val="24"/>
          <w:szCs w:val="22"/>
        </w:rPr>
        <w:t>______</w:t>
      </w:r>
      <w:r>
        <w:rPr>
          <w:rFonts w:hint="eastAsia" w:ascii="仿宋" w:hAnsi="仿宋" w:eastAsia="仿宋" w:cs="Arial"/>
          <w:color w:val="auto"/>
          <w:sz w:val="24"/>
          <w:szCs w:val="22"/>
        </w:rPr>
        <w:t>月</w:t>
      </w:r>
      <w:r>
        <w:rPr>
          <w:rFonts w:ascii="仿宋" w:hAnsi="仿宋" w:eastAsia="仿宋" w:cs="Arial"/>
          <w:color w:val="auto"/>
          <w:sz w:val="24"/>
          <w:szCs w:val="22"/>
        </w:rPr>
        <w:t>______</w:t>
      </w:r>
      <w:r>
        <w:rPr>
          <w:rFonts w:hint="eastAsia" w:ascii="仿宋" w:hAnsi="仿宋" w:eastAsia="仿宋" w:cs="Arial"/>
          <w:color w:val="auto"/>
          <w:sz w:val="24"/>
          <w:szCs w:val="22"/>
        </w:rPr>
        <w:t>日止。</w:t>
      </w:r>
    </w:p>
    <w:p>
      <w:pPr>
        <w:spacing w:line="360" w:lineRule="auto"/>
        <w:ind w:firstLine="480" w:firstLineChars="200"/>
        <w:rPr>
          <w:rFonts w:ascii="仿宋" w:hAnsi="仿宋" w:eastAsia="仿宋" w:cs="Arial"/>
          <w:color w:val="auto"/>
          <w:sz w:val="24"/>
          <w:szCs w:val="22"/>
        </w:rPr>
      </w:pPr>
      <w:r>
        <w:rPr>
          <w:rFonts w:hint="eastAsia" w:ascii="仿宋" w:hAnsi="仿宋" w:eastAsia="仿宋" w:cs="Arial"/>
          <w:color w:val="auto"/>
          <w:sz w:val="24"/>
          <w:szCs w:val="22"/>
        </w:rPr>
        <w:t>特此告知。</w:t>
      </w:r>
    </w:p>
    <w:p>
      <w:pPr>
        <w:spacing w:line="360" w:lineRule="auto"/>
        <w:ind w:firstLine="482" w:firstLineChars="200"/>
        <w:rPr>
          <w:rFonts w:ascii="仿宋" w:hAnsi="仿宋" w:eastAsia="仿宋" w:cs="Arial"/>
          <w:b/>
          <w:color w:val="auto"/>
          <w:sz w:val="24"/>
          <w:szCs w:val="22"/>
        </w:rPr>
      </w:pPr>
    </w:p>
    <w:p>
      <w:pPr>
        <w:spacing w:line="360" w:lineRule="auto"/>
        <w:ind w:firstLine="480" w:firstLineChars="200"/>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（电子签章）：________________</w:t>
      </w:r>
    </w:p>
    <w:p>
      <w:pPr>
        <w:spacing w:line="360" w:lineRule="auto"/>
        <w:ind w:firstLine="425"/>
        <w:jc w:val="left"/>
        <w:rPr>
          <w:rFonts w:ascii="仿宋" w:hAnsi="仿宋" w:eastAsia="仿宋"/>
          <w:color w:val="auto"/>
          <w:sz w:val="24"/>
          <w:szCs w:val="24"/>
        </w:rPr>
      </w:pPr>
      <w:r>
        <w:rPr>
          <w:rFonts w:hint="eastAsia" w:ascii="仿宋" w:hAnsi="仿宋" w:eastAsia="仿宋" w:cs="Arial"/>
          <w:color w:val="auto"/>
          <w:sz w:val="24"/>
          <w:szCs w:val="22"/>
        </w:rPr>
        <w:t>日期</w:t>
      </w:r>
      <w:r>
        <w:rPr>
          <w:rFonts w:ascii="仿宋" w:hAnsi="仿宋" w:eastAsia="仿宋" w:cs="Arial"/>
          <w:color w:val="auto"/>
          <w:sz w:val="24"/>
          <w:szCs w:val="22"/>
        </w:rPr>
        <w:t>：______年____月____日</w:t>
      </w:r>
    </w:p>
    <w:p>
      <w:pPr>
        <w:spacing w:line="480" w:lineRule="auto"/>
        <w:rPr>
          <w:rFonts w:ascii="仿宋" w:hAnsi="仿宋" w:eastAsia="仿宋"/>
          <w:b/>
          <w:bCs/>
          <w:color w:val="auto"/>
          <w:spacing w:val="-6"/>
          <w:sz w:val="24"/>
          <w:szCs w:val="24"/>
        </w:rPr>
      </w:pPr>
    </w:p>
    <w:p>
      <w:pPr>
        <w:spacing w:line="300" w:lineRule="auto"/>
        <w:rPr>
          <w:rFonts w:ascii="仿宋" w:hAnsi="仿宋" w:eastAsia="仿宋"/>
          <w:i/>
          <w:color w:val="auto"/>
          <w:sz w:val="24"/>
          <w:szCs w:val="24"/>
          <w:u w:val="single"/>
        </w:rPr>
      </w:pPr>
      <w:r>
        <w:rPr>
          <w:rFonts w:hint="eastAsia" w:ascii="仿宋" w:hAnsi="仿宋" w:eastAsia="仿宋"/>
          <w:bCs/>
          <w:i/>
          <w:color w:val="auto"/>
          <w:spacing w:val="-6"/>
          <w:sz w:val="24"/>
          <w:szCs w:val="24"/>
          <w:u w:val="single"/>
        </w:rPr>
        <w:t>注：</w:t>
      </w:r>
    </w:p>
    <w:p>
      <w:pPr>
        <w:widowControl/>
        <w:tabs>
          <w:tab w:val="left" w:pos="350"/>
          <w:tab w:val="left" w:pos="8280"/>
        </w:tabs>
        <w:spacing w:afterLines="200" w:line="300" w:lineRule="auto"/>
        <w:ind w:firstLine="558" w:firstLineChars="245"/>
        <w:rPr>
          <w:rFonts w:ascii="仿宋" w:hAnsi="仿宋" w:eastAsia="仿宋"/>
          <w:b/>
          <w:bCs/>
          <w:i/>
          <w:color w:val="auto"/>
          <w:spacing w:val="-6"/>
          <w:sz w:val="24"/>
          <w:szCs w:val="24"/>
        </w:rPr>
        <w:sectPr>
          <w:pgSz w:w="11906" w:h="16838"/>
          <w:pgMar w:top="1247" w:right="1247" w:bottom="1247" w:left="1247" w:header="283" w:footer="454" w:gutter="0"/>
          <w:pgNumType w:fmt="numberInDash"/>
          <w:cols w:space="720" w:num="1"/>
          <w:titlePg/>
          <w:docGrid w:type="lines" w:linePitch="312" w:charSpace="0"/>
        </w:sectPr>
      </w:pPr>
      <w:r>
        <w:rPr>
          <w:rFonts w:hint="eastAsia" w:ascii="仿宋" w:hAnsi="仿宋" w:eastAsia="仿宋"/>
          <w:bCs/>
          <w:i/>
          <w:color w:val="auto"/>
          <w:spacing w:val="-6"/>
          <w:sz w:val="24"/>
          <w:szCs w:val="24"/>
          <w:u w:val="single"/>
        </w:rPr>
        <w:t>法定代表人（单位负责人、自然人本人）以外的其他人员代表投标人参加投标时，应当按本格式要求编制、提交《</w:t>
      </w:r>
      <w:r>
        <w:rPr>
          <w:rFonts w:ascii="仿宋" w:hAnsi="仿宋" w:eastAsia="仿宋"/>
          <w:bCs/>
          <w:i/>
          <w:color w:val="auto"/>
          <w:spacing w:val="-6"/>
          <w:sz w:val="24"/>
          <w:szCs w:val="24"/>
          <w:u w:val="single"/>
        </w:rPr>
        <w:t>授权委托书</w:t>
      </w:r>
      <w:r>
        <w:rPr>
          <w:rFonts w:hint="eastAsia" w:ascii="仿宋" w:hAnsi="仿宋" w:eastAsia="仿宋"/>
          <w:bCs/>
          <w:i/>
          <w:color w:val="auto"/>
          <w:spacing w:val="-6"/>
          <w:sz w:val="24"/>
          <w:szCs w:val="24"/>
          <w:u w:val="single"/>
        </w:rPr>
        <w:t>》</w:t>
      </w:r>
      <w:r>
        <w:rPr>
          <w:rFonts w:hint="eastAsia" w:ascii="仿宋" w:hAnsi="仿宋" w:eastAsia="仿宋"/>
          <w:bCs/>
          <w:i/>
          <w:color w:val="auto"/>
          <w:spacing w:val="-6"/>
          <w:sz w:val="24"/>
          <w:szCs w:val="24"/>
        </w:rPr>
        <w:t>。</w:t>
      </w:r>
    </w:p>
    <w:p>
      <w:pPr>
        <w:pStyle w:val="4"/>
        <w:spacing w:beforeLines="300" w:after="0" w:line="500" w:lineRule="exact"/>
        <w:jc w:val="center"/>
        <w:rPr>
          <w:rFonts w:ascii="仿宋" w:hAnsi="仿宋" w:eastAsia="仿宋"/>
          <w:color w:val="auto"/>
          <w:sz w:val="28"/>
          <w:szCs w:val="28"/>
        </w:rPr>
      </w:pPr>
      <w:r>
        <w:rPr>
          <w:rFonts w:hint="eastAsia" w:ascii="仿宋" w:hAnsi="仿宋" w:eastAsia="仿宋"/>
          <w:color w:val="auto"/>
          <w:sz w:val="28"/>
          <w:szCs w:val="28"/>
        </w:rPr>
        <w:t>（2）法定代表人、单位负责人或自然人本人的身份证明</w:t>
      </w:r>
    </w:p>
    <w:p>
      <w:pPr>
        <w:spacing w:line="360" w:lineRule="auto"/>
        <w:ind w:firstLine="540"/>
        <w:rPr>
          <w:rFonts w:ascii="仿宋" w:hAnsi="仿宋" w:eastAsia="仿宋" w:cs="宋体"/>
          <w:b/>
          <w:i/>
          <w:color w:val="auto"/>
          <w:spacing w:val="8"/>
          <w:sz w:val="24"/>
          <w:szCs w:val="24"/>
        </w:rPr>
      </w:pPr>
      <w:r>
        <w:rPr>
          <w:rFonts w:hint="eastAsia" w:ascii="仿宋" w:hAnsi="仿宋" w:eastAsia="仿宋" w:cs="宋体"/>
          <w:b/>
          <w:i/>
          <w:color w:val="auto"/>
          <w:spacing w:val="8"/>
          <w:sz w:val="24"/>
          <w:szCs w:val="24"/>
        </w:rPr>
        <w:t>（</w:t>
      </w:r>
      <w:r>
        <w:rPr>
          <w:rFonts w:hint="eastAsia" w:ascii="仿宋" w:hAnsi="仿宋" w:eastAsia="仿宋" w:cs="宋体"/>
          <w:b/>
          <w:i/>
          <w:color w:val="auto"/>
          <w:spacing w:val="8"/>
          <w:sz w:val="24"/>
          <w:szCs w:val="24"/>
          <w:u w:val="single"/>
        </w:rPr>
        <w:t>适用于法定代表人、单位负责人或者自然人本人代表投标人参加投标</w:t>
      </w:r>
      <w:r>
        <w:rPr>
          <w:rFonts w:hint="eastAsia" w:ascii="仿宋" w:hAnsi="仿宋" w:eastAsia="仿宋" w:cs="宋体"/>
          <w:b/>
          <w:i/>
          <w:color w:val="auto"/>
          <w:spacing w:val="8"/>
          <w:sz w:val="24"/>
          <w:szCs w:val="24"/>
        </w:rPr>
        <w:t>）</w:t>
      </w:r>
    </w:p>
    <w:p>
      <w:pPr>
        <w:spacing w:beforeLines="100" w:line="480" w:lineRule="auto"/>
        <w:rPr>
          <w:rFonts w:ascii="仿宋" w:hAnsi="仿宋" w:eastAsia="仿宋" w:cs="宋体"/>
          <w:b/>
          <w:bCs/>
          <w:color w:val="auto"/>
          <w:sz w:val="24"/>
        </w:rPr>
      </w:pPr>
      <w:r>
        <w:rPr>
          <w:rFonts w:hint="eastAsia" w:ascii="仿宋" w:hAnsi="仿宋" w:eastAsia="仿宋" w:cs="宋体"/>
          <w:b/>
          <w:bCs/>
          <w:color w:val="auto"/>
          <w:sz w:val="24"/>
        </w:rPr>
        <w:t>身份证件扫描件：</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2"/>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4572" w:type="dxa"/>
          </w:tcPr>
          <w:p>
            <w:pPr>
              <w:jc w:val="center"/>
              <w:rPr>
                <w:rFonts w:ascii="仿宋" w:hAnsi="仿宋" w:eastAsia="仿宋" w:cs="Arial"/>
                <w:b/>
                <w:color w:val="auto"/>
                <w:sz w:val="28"/>
                <w:szCs w:val="22"/>
              </w:rPr>
            </w:pPr>
            <w:r>
              <w:rPr>
                <w:rFonts w:hint="eastAsia" w:ascii="仿宋" w:hAnsi="仿宋" w:eastAsia="仿宋" w:cs="Arial"/>
                <w:b/>
                <w:color w:val="auto"/>
                <w:sz w:val="28"/>
                <w:szCs w:val="22"/>
              </w:rPr>
              <w:t>正面</w:t>
            </w:r>
          </w:p>
        </w:tc>
        <w:tc>
          <w:tcPr>
            <w:tcW w:w="4573" w:type="dxa"/>
          </w:tcPr>
          <w:p>
            <w:pPr>
              <w:jc w:val="center"/>
              <w:rPr>
                <w:rFonts w:ascii="仿宋" w:hAnsi="仿宋" w:eastAsia="仿宋" w:cs="Arial"/>
                <w:b/>
                <w:color w:val="auto"/>
                <w:sz w:val="28"/>
                <w:szCs w:val="22"/>
              </w:rPr>
            </w:pPr>
            <w:r>
              <w:rPr>
                <w:rFonts w:hint="eastAsia" w:ascii="仿宋" w:hAnsi="仿宋" w:eastAsia="仿宋" w:cs="Arial"/>
                <w:b/>
                <w:color w:val="auto"/>
                <w:sz w:val="28"/>
                <w:szCs w:val="22"/>
              </w:rPr>
              <w:t>反面</w:t>
            </w:r>
          </w:p>
        </w:tc>
      </w:tr>
    </w:tbl>
    <w:p>
      <w:pPr>
        <w:spacing w:line="360" w:lineRule="auto"/>
        <w:ind w:firstLine="480" w:firstLineChars="200"/>
        <w:rPr>
          <w:rFonts w:ascii="仿宋" w:hAnsi="仿宋" w:eastAsia="仿宋" w:cs="Arial"/>
          <w:color w:val="auto"/>
          <w:sz w:val="24"/>
          <w:szCs w:val="22"/>
        </w:rPr>
      </w:pPr>
    </w:p>
    <w:p>
      <w:pPr>
        <w:spacing w:line="360" w:lineRule="auto"/>
        <w:jc w:val="left"/>
        <w:rPr>
          <w:rFonts w:ascii="仿宋" w:hAnsi="仿宋" w:eastAsia="仿宋" w:cs="Arial"/>
          <w:color w:val="auto"/>
          <w:sz w:val="24"/>
          <w:szCs w:val="22"/>
        </w:rPr>
      </w:pPr>
      <w:r>
        <w:rPr>
          <w:rFonts w:ascii="仿宋" w:hAnsi="仿宋" w:eastAsia="仿宋" w:cs="Arial"/>
          <w:color w:val="auto"/>
          <w:sz w:val="24"/>
          <w:szCs w:val="22"/>
        </w:rPr>
        <w:t>投标人</w:t>
      </w:r>
      <w:r>
        <w:rPr>
          <w:rFonts w:hint="eastAsia" w:ascii="仿宋" w:hAnsi="仿宋" w:eastAsia="仿宋" w:cs="Arial"/>
          <w:color w:val="auto"/>
          <w:sz w:val="24"/>
          <w:szCs w:val="22"/>
        </w:rPr>
        <w:t>名称</w:t>
      </w:r>
      <w:r>
        <w:rPr>
          <w:rFonts w:ascii="仿宋" w:hAnsi="仿宋" w:eastAsia="仿宋" w:cs="Arial"/>
          <w:color w:val="auto"/>
          <w:sz w:val="24"/>
          <w:szCs w:val="22"/>
        </w:rPr>
        <w:t>（电子签章）：________________</w:t>
      </w:r>
    </w:p>
    <w:p>
      <w:pPr>
        <w:spacing w:line="360" w:lineRule="auto"/>
        <w:jc w:val="left"/>
        <w:rPr>
          <w:rFonts w:ascii="仿宋" w:hAnsi="仿宋" w:eastAsia="仿宋" w:cs="Arial"/>
          <w:color w:val="auto"/>
          <w:sz w:val="24"/>
          <w:szCs w:val="22"/>
        </w:rPr>
      </w:pPr>
      <w:r>
        <w:rPr>
          <w:rFonts w:hint="eastAsia" w:ascii="仿宋" w:hAnsi="仿宋" w:eastAsia="仿宋" w:cs="Arial"/>
          <w:color w:val="auto"/>
          <w:sz w:val="24"/>
          <w:szCs w:val="22"/>
        </w:rPr>
        <w:t>日期</w:t>
      </w:r>
      <w:r>
        <w:rPr>
          <w:rFonts w:ascii="仿宋" w:hAnsi="仿宋" w:eastAsia="仿宋" w:cs="Arial"/>
          <w:color w:val="auto"/>
          <w:sz w:val="24"/>
          <w:szCs w:val="22"/>
        </w:rPr>
        <w:t>：______年____月____日</w:t>
      </w:r>
    </w:p>
    <w:p>
      <w:pPr>
        <w:spacing w:line="360" w:lineRule="auto"/>
        <w:jc w:val="left"/>
        <w:rPr>
          <w:rFonts w:ascii="仿宋" w:hAnsi="仿宋" w:eastAsia="仿宋" w:cs="Arial"/>
          <w:color w:val="auto"/>
          <w:sz w:val="24"/>
          <w:szCs w:val="22"/>
        </w:rPr>
      </w:pPr>
    </w:p>
    <w:p>
      <w:pPr>
        <w:spacing w:line="360" w:lineRule="auto"/>
        <w:jc w:val="left"/>
        <w:rPr>
          <w:rFonts w:ascii="仿宋" w:hAnsi="仿宋" w:eastAsia="仿宋" w:cs="Arial"/>
          <w:color w:val="auto"/>
          <w:sz w:val="24"/>
          <w:szCs w:val="22"/>
        </w:rPr>
      </w:pPr>
    </w:p>
    <w:p>
      <w:pPr>
        <w:spacing w:line="300" w:lineRule="auto"/>
        <w:rPr>
          <w:rFonts w:ascii="仿宋" w:hAnsi="仿宋" w:eastAsia="仿宋"/>
          <w:i/>
          <w:color w:val="auto"/>
          <w:sz w:val="24"/>
          <w:szCs w:val="24"/>
          <w:u w:val="single"/>
        </w:rPr>
      </w:pPr>
      <w:r>
        <w:rPr>
          <w:rFonts w:hint="eastAsia" w:ascii="仿宋" w:hAnsi="仿宋" w:eastAsia="仿宋"/>
          <w:bCs/>
          <w:i/>
          <w:color w:val="auto"/>
          <w:spacing w:val="-6"/>
          <w:sz w:val="24"/>
          <w:szCs w:val="24"/>
          <w:u w:val="single"/>
        </w:rPr>
        <w:t>注：</w:t>
      </w:r>
    </w:p>
    <w:p>
      <w:pPr>
        <w:spacing w:line="300" w:lineRule="auto"/>
        <w:ind w:firstLine="540"/>
        <w:rPr>
          <w:rFonts w:ascii="仿宋" w:hAnsi="仿宋" w:eastAsia="仿宋" w:cs="宋体"/>
          <w:b/>
          <w:i/>
          <w:color w:val="auto"/>
          <w:spacing w:val="8"/>
          <w:sz w:val="24"/>
          <w:szCs w:val="24"/>
        </w:rPr>
      </w:pPr>
      <w:r>
        <w:rPr>
          <w:rFonts w:hint="eastAsia" w:ascii="仿宋" w:hAnsi="仿宋" w:eastAsia="仿宋"/>
          <w:i/>
          <w:color w:val="auto"/>
          <w:sz w:val="24"/>
          <w:szCs w:val="24"/>
          <w:u w:val="single"/>
        </w:rPr>
        <w:t>法定代表人、单位负责人或自然人本人代表投标人参加投标的，提供法定代表人（单位负责人、自然人本人）身份证件复印件</w:t>
      </w:r>
      <w:r>
        <w:rPr>
          <w:rFonts w:hint="eastAsia" w:ascii="仿宋" w:hAnsi="仿宋" w:eastAsia="仿宋"/>
          <w:i/>
          <w:color w:val="auto"/>
          <w:sz w:val="24"/>
          <w:szCs w:val="24"/>
        </w:rPr>
        <w:t>。</w:t>
      </w:r>
    </w:p>
    <w:p>
      <w:pPr>
        <w:pStyle w:val="4"/>
        <w:spacing w:before="0" w:line="500" w:lineRule="exact"/>
        <w:jc w:val="center"/>
        <w:rPr>
          <w:rFonts w:ascii="仿宋" w:hAnsi="仿宋" w:eastAsia="仿宋"/>
          <w:color w:val="auto"/>
          <w:sz w:val="28"/>
          <w:szCs w:val="28"/>
        </w:rPr>
        <w:sectPr>
          <w:pgSz w:w="11906" w:h="16838"/>
          <w:pgMar w:top="1247" w:right="1247" w:bottom="1247" w:left="1247" w:header="283" w:footer="454" w:gutter="0"/>
          <w:pgNumType w:fmt="numberInDash"/>
          <w:cols w:space="720" w:num="1"/>
          <w:titlePg/>
          <w:docGrid w:type="lines" w:linePitch="312" w:charSpace="0"/>
        </w:sectPr>
      </w:pPr>
    </w:p>
    <w:p>
      <w:pPr>
        <w:pStyle w:val="4"/>
        <w:spacing w:before="0" w:line="500" w:lineRule="exact"/>
        <w:jc w:val="center"/>
        <w:rPr>
          <w:rFonts w:ascii="仿宋" w:hAnsi="仿宋" w:eastAsia="仿宋"/>
          <w:b w:val="0"/>
          <w:color w:val="auto"/>
          <w:sz w:val="28"/>
          <w:szCs w:val="28"/>
        </w:rPr>
      </w:pPr>
      <w:r>
        <w:rPr>
          <w:rFonts w:hint="eastAsia" w:ascii="仿宋" w:hAnsi="仿宋" w:eastAsia="仿宋"/>
          <w:color w:val="auto"/>
          <w:sz w:val="28"/>
          <w:szCs w:val="28"/>
        </w:rPr>
        <w:t>3、商务技术偏离表</w:t>
      </w:r>
    </w:p>
    <w:tbl>
      <w:tblPr>
        <w:tblStyle w:val="49"/>
        <w:tblW w:w="93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233"/>
        <w:gridCol w:w="3402"/>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blHeader/>
          <w:jc w:val="center"/>
        </w:trPr>
        <w:tc>
          <w:tcPr>
            <w:tcW w:w="709" w:type="dxa"/>
            <w:vAlign w:val="center"/>
          </w:tcPr>
          <w:p>
            <w:pPr>
              <w:spacing w:line="276" w:lineRule="auto"/>
              <w:jc w:val="center"/>
              <w:rPr>
                <w:rFonts w:ascii="仿宋" w:hAnsi="仿宋" w:eastAsia="仿宋"/>
                <w:b/>
                <w:color w:val="auto"/>
                <w:w w:val="90"/>
                <w:sz w:val="24"/>
              </w:rPr>
            </w:pPr>
            <w:r>
              <w:rPr>
                <w:rFonts w:hint="eastAsia" w:ascii="仿宋" w:hAnsi="仿宋" w:eastAsia="仿宋"/>
                <w:b/>
                <w:color w:val="auto"/>
                <w:w w:val="90"/>
                <w:sz w:val="24"/>
              </w:rPr>
              <w:t>序号</w:t>
            </w:r>
          </w:p>
        </w:tc>
        <w:tc>
          <w:tcPr>
            <w:tcW w:w="3233" w:type="dxa"/>
            <w:vAlign w:val="center"/>
          </w:tcPr>
          <w:p>
            <w:pPr>
              <w:spacing w:line="276" w:lineRule="auto"/>
              <w:jc w:val="center"/>
              <w:rPr>
                <w:rFonts w:ascii="仿宋" w:hAnsi="仿宋" w:eastAsia="仿宋"/>
                <w:b/>
                <w:color w:val="auto"/>
                <w:w w:val="90"/>
                <w:sz w:val="24"/>
              </w:rPr>
            </w:pPr>
            <w:r>
              <w:rPr>
                <w:rFonts w:hint="eastAsia" w:ascii="仿宋" w:hAnsi="仿宋" w:eastAsia="仿宋"/>
                <w:b/>
                <w:color w:val="auto"/>
                <w:w w:val="90"/>
                <w:sz w:val="24"/>
              </w:rPr>
              <w:t>招标文件章节及具体内容</w:t>
            </w:r>
          </w:p>
        </w:tc>
        <w:tc>
          <w:tcPr>
            <w:tcW w:w="3402" w:type="dxa"/>
            <w:vAlign w:val="center"/>
          </w:tcPr>
          <w:p>
            <w:pPr>
              <w:spacing w:line="276" w:lineRule="auto"/>
              <w:jc w:val="center"/>
              <w:rPr>
                <w:rFonts w:ascii="仿宋" w:hAnsi="仿宋" w:eastAsia="仿宋"/>
                <w:b/>
                <w:color w:val="auto"/>
                <w:w w:val="90"/>
                <w:sz w:val="24"/>
              </w:rPr>
            </w:pPr>
            <w:r>
              <w:rPr>
                <w:rFonts w:hint="eastAsia" w:ascii="仿宋" w:hAnsi="仿宋" w:eastAsia="仿宋"/>
                <w:b/>
                <w:color w:val="auto"/>
                <w:w w:val="90"/>
                <w:sz w:val="24"/>
              </w:rPr>
              <w:t>投标文件章节及具体内容</w:t>
            </w:r>
          </w:p>
        </w:tc>
        <w:tc>
          <w:tcPr>
            <w:tcW w:w="1985" w:type="dxa"/>
            <w:vAlign w:val="center"/>
          </w:tcPr>
          <w:p>
            <w:pPr>
              <w:spacing w:line="276" w:lineRule="auto"/>
              <w:jc w:val="center"/>
              <w:rPr>
                <w:rFonts w:ascii="仿宋" w:hAnsi="仿宋" w:eastAsia="仿宋"/>
                <w:b/>
                <w:color w:val="auto"/>
                <w:w w:val="90"/>
                <w:sz w:val="24"/>
              </w:rPr>
            </w:pPr>
            <w:r>
              <w:rPr>
                <w:rFonts w:hint="eastAsia" w:ascii="仿宋" w:hAnsi="仿宋" w:eastAsia="仿宋"/>
                <w:b/>
                <w:color w:val="auto"/>
                <w:w w:val="90"/>
                <w:sz w:val="24"/>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pPr>
              <w:spacing w:line="276" w:lineRule="auto"/>
              <w:jc w:val="center"/>
              <w:rPr>
                <w:rFonts w:ascii="仿宋" w:hAnsi="仿宋" w:eastAsia="仿宋"/>
                <w:color w:val="auto"/>
                <w:w w:val="90"/>
                <w:sz w:val="24"/>
              </w:rPr>
            </w:pPr>
            <w:r>
              <w:rPr>
                <w:rFonts w:hint="eastAsia" w:ascii="仿宋" w:hAnsi="仿宋" w:eastAsia="仿宋"/>
                <w:color w:val="auto"/>
                <w:w w:val="90"/>
                <w:sz w:val="24"/>
              </w:rPr>
              <w:t>1</w:t>
            </w:r>
          </w:p>
        </w:tc>
        <w:tc>
          <w:tcPr>
            <w:tcW w:w="3233" w:type="dxa"/>
            <w:vAlign w:val="center"/>
          </w:tcPr>
          <w:p>
            <w:pPr>
              <w:spacing w:line="276" w:lineRule="auto"/>
              <w:jc w:val="center"/>
              <w:rPr>
                <w:rFonts w:ascii="仿宋" w:hAnsi="仿宋" w:eastAsia="仿宋"/>
                <w:color w:val="auto"/>
                <w:w w:val="90"/>
                <w:sz w:val="24"/>
              </w:rPr>
            </w:pPr>
          </w:p>
        </w:tc>
        <w:tc>
          <w:tcPr>
            <w:tcW w:w="3402" w:type="dxa"/>
            <w:vAlign w:val="center"/>
          </w:tcPr>
          <w:p>
            <w:pPr>
              <w:spacing w:line="276" w:lineRule="auto"/>
              <w:jc w:val="center"/>
              <w:rPr>
                <w:rFonts w:ascii="仿宋" w:hAnsi="仿宋" w:eastAsia="仿宋"/>
                <w:color w:val="auto"/>
                <w:w w:val="90"/>
                <w:sz w:val="24"/>
              </w:rPr>
            </w:pPr>
          </w:p>
        </w:tc>
        <w:tc>
          <w:tcPr>
            <w:tcW w:w="1985" w:type="dxa"/>
            <w:vAlign w:val="center"/>
          </w:tcPr>
          <w:p>
            <w:pPr>
              <w:spacing w:line="276" w:lineRule="auto"/>
              <w:jc w:val="center"/>
              <w:rPr>
                <w:rFonts w:ascii="仿宋" w:hAnsi="仿宋" w:eastAsia="仿宋"/>
                <w:color w:val="auto"/>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pPr>
              <w:spacing w:line="276" w:lineRule="auto"/>
              <w:jc w:val="center"/>
              <w:rPr>
                <w:rFonts w:ascii="仿宋" w:hAnsi="仿宋" w:eastAsia="仿宋"/>
                <w:color w:val="auto"/>
                <w:w w:val="90"/>
                <w:sz w:val="24"/>
              </w:rPr>
            </w:pPr>
            <w:r>
              <w:rPr>
                <w:rFonts w:hint="eastAsia" w:ascii="仿宋" w:hAnsi="仿宋" w:eastAsia="仿宋"/>
                <w:color w:val="auto"/>
                <w:w w:val="90"/>
                <w:sz w:val="24"/>
              </w:rPr>
              <w:t>2</w:t>
            </w:r>
          </w:p>
        </w:tc>
        <w:tc>
          <w:tcPr>
            <w:tcW w:w="3233" w:type="dxa"/>
            <w:vAlign w:val="center"/>
          </w:tcPr>
          <w:p>
            <w:pPr>
              <w:spacing w:line="276" w:lineRule="auto"/>
              <w:jc w:val="center"/>
              <w:rPr>
                <w:rFonts w:ascii="仿宋" w:hAnsi="仿宋" w:eastAsia="仿宋"/>
                <w:color w:val="auto"/>
                <w:w w:val="90"/>
                <w:sz w:val="24"/>
              </w:rPr>
            </w:pPr>
          </w:p>
        </w:tc>
        <w:tc>
          <w:tcPr>
            <w:tcW w:w="3402" w:type="dxa"/>
            <w:vAlign w:val="center"/>
          </w:tcPr>
          <w:p>
            <w:pPr>
              <w:spacing w:line="276" w:lineRule="auto"/>
              <w:jc w:val="center"/>
              <w:rPr>
                <w:rFonts w:ascii="仿宋" w:hAnsi="仿宋" w:eastAsia="仿宋"/>
                <w:color w:val="auto"/>
                <w:w w:val="90"/>
                <w:sz w:val="24"/>
              </w:rPr>
            </w:pPr>
          </w:p>
        </w:tc>
        <w:tc>
          <w:tcPr>
            <w:tcW w:w="1985" w:type="dxa"/>
            <w:vAlign w:val="center"/>
          </w:tcPr>
          <w:p>
            <w:pPr>
              <w:spacing w:line="276" w:lineRule="auto"/>
              <w:jc w:val="center"/>
              <w:rPr>
                <w:rFonts w:ascii="仿宋" w:hAnsi="仿宋" w:eastAsia="仿宋"/>
                <w:color w:val="auto"/>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pPr>
              <w:spacing w:line="276" w:lineRule="auto"/>
              <w:jc w:val="center"/>
              <w:rPr>
                <w:rFonts w:ascii="仿宋" w:hAnsi="仿宋" w:eastAsia="仿宋"/>
                <w:color w:val="auto"/>
                <w:w w:val="90"/>
                <w:sz w:val="24"/>
              </w:rPr>
            </w:pPr>
            <w:r>
              <w:rPr>
                <w:rFonts w:ascii="仿宋" w:hAnsi="仿宋" w:eastAsia="仿宋"/>
                <w:color w:val="auto"/>
                <w:w w:val="90"/>
                <w:sz w:val="24"/>
              </w:rPr>
              <w:t>……</w:t>
            </w:r>
          </w:p>
        </w:tc>
        <w:tc>
          <w:tcPr>
            <w:tcW w:w="3233" w:type="dxa"/>
            <w:vAlign w:val="center"/>
          </w:tcPr>
          <w:p>
            <w:pPr>
              <w:spacing w:line="276" w:lineRule="auto"/>
              <w:jc w:val="center"/>
              <w:rPr>
                <w:rFonts w:ascii="仿宋" w:hAnsi="仿宋" w:eastAsia="仿宋"/>
                <w:color w:val="auto"/>
                <w:w w:val="90"/>
                <w:sz w:val="24"/>
              </w:rPr>
            </w:pPr>
          </w:p>
        </w:tc>
        <w:tc>
          <w:tcPr>
            <w:tcW w:w="3402" w:type="dxa"/>
            <w:vAlign w:val="center"/>
          </w:tcPr>
          <w:p>
            <w:pPr>
              <w:spacing w:line="276" w:lineRule="auto"/>
              <w:jc w:val="center"/>
              <w:rPr>
                <w:rFonts w:ascii="仿宋" w:hAnsi="仿宋" w:eastAsia="仿宋"/>
                <w:color w:val="auto"/>
                <w:w w:val="90"/>
                <w:sz w:val="24"/>
              </w:rPr>
            </w:pPr>
          </w:p>
        </w:tc>
        <w:tc>
          <w:tcPr>
            <w:tcW w:w="1985" w:type="dxa"/>
            <w:vAlign w:val="center"/>
          </w:tcPr>
          <w:p>
            <w:pPr>
              <w:spacing w:line="276" w:lineRule="auto"/>
              <w:jc w:val="center"/>
              <w:rPr>
                <w:rFonts w:ascii="仿宋" w:hAnsi="仿宋" w:eastAsia="仿宋"/>
                <w:color w:val="auto"/>
                <w:w w:val="90"/>
                <w:sz w:val="24"/>
              </w:rPr>
            </w:pPr>
          </w:p>
        </w:tc>
      </w:tr>
    </w:tbl>
    <w:p>
      <w:pPr>
        <w:pStyle w:val="26"/>
        <w:spacing w:line="400" w:lineRule="exact"/>
        <w:rPr>
          <w:rFonts w:ascii="仿宋" w:hAnsi="仿宋" w:eastAsia="仿宋"/>
          <w:szCs w:val="24"/>
        </w:rPr>
      </w:pPr>
      <w:r>
        <w:rPr>
          <w:rFonts w:hint="eastAsia" w:ascii="仿宋" w:hAnsi="仿宋" w:eastAsia="仿宋" w:cs="宋体"/>
        </w:rPr>
        <w:t>投标人保证：除商务技术偏离表列出的偏离外，投标人响应招标文件的全部要求。</w:t>
      </w:r>
    </w:p>
    <w:p>
      <w:pPr>
        <w:pStyle w:val="26"/>
        <w:spacing w:line="400" w:lineRule="exact"/>
        <w:rPr>
          <w:rFonts w:ascii="仿宋" w:hAnsi="仿宋" w:eastAsia="仿宋"/>
          <w:szCs w:val="24"/>
        </w:rPr>
      </w:pPr>
    </w:p>
    <w:p>
      <w:pPr>
        <w:rPr>
          <w:rFonts w:ascii="仿宋" w:hAnsi="仿宋" w:eastAsia="仿宋"/>
          <w:i/>
          <w:color w:val="auto"/>
          <w:sz w:val="24"/>
          <w:szCs w:val="24"/>
        </w:rPr>
      </w:pPr>
      <w:r>
        <w:rPr>
          <w:rFonts w:hint="eastAsia" w:ascii="仿宋" w:hAnsi="仿宋" w:eastAsia="仿宋" w:cs="宋体"/>
          <w:i/>
          <w:color w:val="auto"/>
          <w:sz w:val="24"/>
        </w:rPr>
        <w:t>注：按本格式和要求提供。</w:t>
      </w:r>
    </w:p>
    <w:p>
      <w:pPr>
        <w:spacing w:line="360" w:lineRule="auto"/>
        <w:rPr>
          <w:rFonts w:ascii="仿宋" w:hAnsi="仿宋" w:eastAsia="仿宋"/>
          <w:color w:val="auto"/>
          <w:sz w:val="24"/>
          <w:szCs w:val="24"/>
        </w:rPr>
        <w:sectPr>
          <w:pgSz w:w="11906" w:h="16838"/>
          <w:pgMar w:top="1247" w:right="1247" w:bottom="1247" w:left="1247" w:header="283" w:footer="454" w:gutter="0"/>
          <w:pgNumType w:fmt="numberInDash"/>
          <w:cols w:space="720" w:num="1"/>
          <w:titlePg/>
          <w:docGrid w:type="lines" w:linePitch="312" w:charSpace="0"/>
        </w:sectPr>
      </w:pPr>
    </w:p>
    <w:p>
      <w:pPr>
        <w:pStyle w:val="4"/>
        <w:spacing w:before="0" w:line="500" w:lineRule="exact"/>
        <w:jc w:val="center"/>
        <w:rPr>
          <w:rFonts w:cs="仿宋_GB2312" w:asciiTheme="minorEastAsia" w:hAnsiTheme="minorEastAsia" w:eastAsiaTheme="minorEastAsia"/>
          <w:b w:val="0"/>
          <w:color w:val="auto"/>
          <w:kern w:val="0"/>
        </w:rPr>
      </w:pPr>
      <w:r>
        <w:rPr>
          <w:rFonts w:hint="eastAsia" w:ascii="仿宋" w:hAnsi="仿宋" w:eastAsia="仿宋"/>
          <w:color w:val="auto"/>
          <w:sz w:val="28"/>
          <w:szCs w:val="28"/>
        </w:rPr>
        <w:t>4、政府采购供应商廉洁自律承诺书</w:t>
      </w:r>
    </w:p>
    <w:p>
      <w:pPr>
        <w:spacing w:line="360" w:lineRule="auto"/>
        <w:rPr>
          <w:rFonts w:ascii="仿宋" w:hAnsi="仿宋" w:eastAsia="仿宋" w:cs="宋体"/>
          <w:color w:val="auto"/>
          <w:spacing w:val="8"/>
          <w:sz w:val="24"/>
          <w:szCs w:val="24"/>
        </w:rPr>
      </w:pPr>
      <w:r>
        <w:rPr>
          <w:rFonts w:ascii="仿宋" w:hAnsi="仿宋" w:eastAsia="仿宋" w:cs="宋体"/>
          <w:color w:val="auto"/>
          <w:spacing w:val="8"/>
          <w:sz w:val="24"/>
          <w:szCs w:val="24"/>
        </w:rPr>
        <w:t>诸暨市自然资源和规划局</w:t>
      </w:r>
      <w:r>
        <w:rPr>
          <w:rFonts w:hint="eastAsia" w:ascii="仿宋" w:hAnsi="仿宋" w:eastAsia="仿宋" w:cs="宋体"/>
          <w:color w:val="auto"/>
          <w:spacing w:val="8"/>
          <w:sz w:val="24"/>
          <w:szCs w:val="24"/>
        </w:rPr>
        <w:t>、浙江新顺项目管理有限公司：</w:t>
      </w:r>
    </w:p>
    <w:p>
      <w:pPr>
        <w:spacing w:line="360" w:lineRule="auto"/>
        <w:ind w:left="2" w:leftChars="1" w:firstLine="480" w:firstLineChars="200"/>
        <w:jc w:val="left"/>
        <w:rPr>
          <w:rFonts w:ascii="仿宋" w:hAnsi="仿宋" w:eastAsia="仿宋" w:cs="仿宋_GB2312"/>
          <w:color w:val="auto"/>
          <w:sz w:val="24"/>
          <w:lang w:val="zh-CN"/>
        </w:rPr>
      </w:pPr>
      <w:r>
        <w:rPr>
          <w:rFonts w:hint="eastAsia" w:ascii="仿宋" w:hAnsi="仿宋" w:eastAsia="仿宋" w:cs="仿宋_GB2312"/>
          <w:color w:val="auto"/>
          <w:sz w:val="24"/>
          <w:lang w:val="zh-CN"/>
        </w:rPr>
        <w:t>我方响应你方</w:t>
      </w:r>
      <w:r>
        <w:rPr>
          <w:rFonts w:hint="eastAsia" w:ascii="仿宋" w:hAnsi="仿宋" w:eastAsia="仿宋"/>
          <w:b/>
          <w:i/>
          <w:sz w:val="24"/>
          <w:szCs w:val="24"/>
          <w:u w:val="single"/>
        </w:rPr>
        <w:t>诸暨市自然资源和规划局第七期档案整理及数字化加工项目</w:t>
      </w:r>
      <w:r>
        <w:rPr>
          <w:rFonts w:hint="eastAsia" w:ascii="仿宋" w:hAnsi="仿宋" w:eastAsia="仿宋"/>
          <w:b/>
          <w:i/>
          <w:color w:val="auto"/>
          <w:spacing w:val="8"/>
          <w:sz w:val="24"/>
          <w:szCs w:val="24"/>
          <w:u w:val="single"/>
        </w:rPr>
        <w:t>（项目编号：浙江新顺2024-04-18）</w:t>
      </w:r>
      <w:r>
        <w:rPr>
          <w:rFonts w:hint="eastAsia" w:ascii="仿宋" w:hAnsi="仿宋" w:eastAsia="仿宋" w:cs="仿宋_GB2312"/>
          <w:color w:val="auto"/>
          <w:sz w:val="24"/>
          <w:lang w:val="zh-CN"/>
        </w:rPr>
        <w:t>招标要求参加投标。在这次投标过程中和中标后，我们将严格遵守国家法律法规要求，并郑重承诺：</w:t>
      </w:r>
    </w:p>
    <w:p>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一、不向项目有关人员及部门赠送礼金礼物、有价证券、回扣以及中介费、介绍费、咨询费等好处费；</w:t>
      </w:r>
    </w:p>
    <w:p>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二、不为项目有关人员及部门报销应由你方单位或个人支付的费用； </w:t>
      </w:r>
    </w:p>
    <w:p>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三、不向项目有关人员及部门提供有可能影响公正的宴请和健身娱乐等活动； </w:t>
      </w:r>
    </w:p>
    <w:p>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四、不为项目有关人员及部门出国（境）、旅游等提供方便；</w:t>
      </w:r>
    </w:p>
    <w:p>
      <w:pPr>
        <w:spacing w:line="360" w:lineRule="auto"/>
        <w:ind w:left="2" w:leftChars="1"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五、不为项目有关人员个人装修住房、婚丧嫁娶、配偶子女工作安排等提供好处；</w:t>
      </w:r>
    </w:p>
    <w:p>
      <w:pPr>
        <w:spacing w:line="360" w:lineRule="auto"/>
        <w:ind w:firstLine="480" w:firstLineChars="200"/>
        <w:jc w:val="left"/>
        <w:rPr>
          <w:rFonts w:ascii="仿宋" w:hAnsi="仿宋" w:eastAsia="仿宋" w:cs="宋体"/>
          <w:color w:val="auto"/>
          <w:sz w:val="24"/>
          <w:lang w:val="zh-CN"/>
        </w:rPr>
      </w:pPr>
      <w:r>
        <w:rPr>
          <w:rFonts w:hint="eastAsia" w:ascii="仿宋" w:hAnsi="仿宋" w:eastAsia="仿宋" w:cs="宋体"/>
          <w:color w:val="auto"/>
          <w:sz w:val="24"/>
          <w:lang w:val="zh-CN"/>
        </w:rPr>
        <w:t xml:space="preserve">六、严格遵守《中华人民共和国政府采购法》、《中华人民共和国招标投标法》、《中华人民共和国民法典》等法律法规，诚实守信，合法经营，坚决抵制各种违法违纪行为。 </w:t>
      </w:r>
    </w:p>
    <w:p>
      <w:pPr>
        <w:spacing w:line="360" w:lineRule="auto"/>
        <w:ind w:firstLine="480" w:firstLineChars="200"/>
        <w:jc w:val="left"/>
        <w:rPr>
          <w:rFonts w:ascii="仿宋" w:hAnsi="仿宋" w:eastAsia="仿宋" w:cs="仿宋_GB2312"/>
          <w:color w:val="auto"/>
          <w:sz w:val="24"/>
          <w:lang w:val="zh-CN"/>
        </w:rPr>
      </w:pPr>
      <w:r>
        <w:rPr>
          <w:rFonts w:hint="eastAsia" w:ascii="仿宋" w:hAnsi="仿宋" w:eastAsia="仿宋" w:cs="宋体"/>
          <w:color w:val="auto"/>
          <w:sz w:val="24"/>
          <w:lang w:val="zh-CN"/>
        </w:rPr>
        <w:t>如违反上述承诺，你方有权立即取消我方投标、中标或在建项目的建设资格，有权拒绝我方在一定时期内进入你方进行项目建设或其他经营活动，</w:t>
      </w:r>
      <w:r>
        <w:rPr>
          <w:rFonts w:hint="eastAsia" w:ascii="仿宋" w:hAnsi="仿宋" w:eastAsia="仿宋" w:cs="仿宋_GB2312"/>
          <w:color w:val="auto"/>
          <w:sz w:val="24"/>
          <w:lang w:val="zh-CN"/>
        </w:rPr>
        <w:t>并通报财政监督管理部门。</w:t>
      </w:r>
      <w:r>
        <w:rPr>
          <w:rFonts w:hint="eastAsia" w:ascii="仿宋" w:hAnsi="仿宋" w:eastAsia="仿宋" w:cs="宋体"/>
          <w:color w:val="auto"/>
          <w:sz w:val="24"/>
          <w:lang w:val="zh-CN"/>
        </w:rPr>
        <w:t>由此引起的相应损失均由我方承担。</w:t>
      </w:r>
    </w:p>
    <w:p>
      <w:pPr>
        <w:spacing w:line="360" w:lineRule="auto"/>
        <w:jc w:val="left"/>
        <w:rPr>
          <w:rFonts w:ascii="仿宋" w:hAnsi="仿宋" w:eastAsia="仿宋" w:cs="仿宋_GB2312"/>
          <w:color w:val="auto"/>
          <w:sz w:val="24"/>
          <w:lang w:val="zh-CN"/>
        </w:rPr>
      </w:pPr>
    </w:p>
    <w:p>
      <w:pPr>
        <w:wordWrap w:val="0"/>
        <w:spacing w:line="360" w:lineRule="auto"/>
        <w:ind w:firstLine="425"/>
        <w:jc w:val="right"/>
        <w:rPr>
          <w:rFonts w:ascii="仿宋" w:hAnsi="仿宋" w:eastAsia="仿宋"/>
          <w:color w:val="auto"/>
          <w:sz w:val="24"/>
          <w:szCs w:val="24"/>
          <w:u w:val="single"/>
        </w:rPr>
      </w:pPr>
      <w:r>
        <w:rPr>
          <w:rFonts w:hint="eastAsia" w:ascii="仿宋" w:hAnsi="仿宋" w:eastAsia="仿宋"/>
          <w:color w:val="auto"/>
          <w:sz w:val="24"/>
          <w:szCs w:val="24"/>
        </w:rPr>
        <w:t>投标人名称（电子签章）：</w:t>
      </w:r>
      <w:r>
        <w:rPr>
          <w:rFonts w:hint="eastAsia" w:ascii="仿宋" w:hAnsi="仿宋" w:eastAsia="仿宋"/>
          <w:color w:val="auto"/>
          <w:sz w:val="24"/>
          <w:szCs w:val="24"/>
          <w:u w:val="single"/>
        </w:rPr>
        <w:t>________________</w:t>
      </w:r>
    </w:p>
    <w:p>
      <w:pPr>
        <w:spacing w:line="480" w:lineRule="auto"/>
        <w:ind w:left="4620" w:leftChars="2200"/>
        <w:rPr>
          <w:rFonts w:ascii="仿宋" w:hAnsi="仿宋" w:eastAsia="仿宋"/>
          <w:color w:val="auto"/>
          <w:sz w:val="24"/>
          <w:szCs w:val="24"/>
        </w:rPr>
      </w:pPr>
      <w:r>
        <w:rPr>
          <w:rFonts w:hint="eastAsia" w:ascii="仿宋" w:hAnsi="仿宋" w:eastAsia="仿宋"/>
          <w:color w:val="auto"/>
          <w:sz w:val="24"/>
          <w:szCs w:val="24"/>
        </w:rPr>
        <w:t>日期：________年________月________日</w:t>
      </w:r>
    </w:p>
    <w:p>
      <w:pPr>
        <w:spacing w:line="480" w:lineRule="auto"/>
        <w:rPr>
          <w:rFonts w:ascii="仿宋" w:hAnsi="仿宋" w:eastAsia="仿宋"/>
          <w:color w:val="auto"/>
          <w:sz w:val="24"/>
          <w:szCs w:val="24"/>
        </w:rPr>
      </w:pPr>
    </w:p>
    <w:p>
      <w:pPr>
        <w:spacing w:line="480" w:lineRule="auto"/>
        <w:rPr>
          <w:rFonts w:ascii="仿宋" w:hAnsi="仿宋" w:eastAsia="仿宋" w:cs="宋体"/>
          <w:color w:val="auto"/>
          <w:spacing w:val="8"/>
          <w:sz w:val="24"/>
          <w:szCs w:val="24"/>
        </w:rPr>
      </w:pPr>
      <w:r>
        <w:rPr>
          <w:rFonts w:hint="eastAsia" w:ascii="仿宋" w:hAnsi="仿宋" w:eastAsia="仿宋" w:cs="仿宋_GB2312"/>
          <w:i/>
          <w:color w:val="auto"/>
          <w:sz w:val="24"/>
          <w:u w:val="single"/>
          <w:lang w:val="zh-CN"/>
        </w:rPr>
        <w:t>注</w:t>
      </w:r>
      <w:r>
        <w:rPr>
          <w:rFonts w:hint="eastAsia" w:ascii="仿宋" w:hAnsi="仿宋" w:eastAsia="仿宋" w:cs="仿宋_GB2312"/>
          <w:i/>
          <w:color w:val="auto"/>
          <w:sz w:val="24"/>
          <w:u w:val="single"/>
        </w:rPr>
        <w:t>：</w:t>
      </w:r>
      <w:r>
        <w:rPr>
          <w:rFonts w:hint="eastAsia" w:ascii="仿宋" w:hAnsi="仿宋" w:eastAsia="仿宋" w:cs="仿宋_GB2312"/>
          <w:i/>
          <w:color w:val="auto"/>
          <w:sz w:val="24"/>
          <w:u w:val="single"/>
          <w:lang w:val="zh-CN"/>
        </w:rPr>
        <w:t>按本格式和要求提供。</w:t>
      </w:r>
    </w:p>
    <w:p>
      <w:pPr>
        <w:sectPr>
          <w:pgSz w:w="11906" w:h="16838"/>
          <w:pgMar w:top="1247" w:right="1247" w:bottom="1247" w:left="1247" w:header="283" w:footer="454" w:gutter="0"/>
          <w:pgNumType w:fmt="numberInDash"/>
          <w:cols w:space="720" w:num="1"/>
          <w:titlePg/>
          <w:docGrid w:type="lines" w:linePitch="312" w:charSpace="0"/>
        </w:sectPr>
      </w:pPr>
    </w:p>
    <w:p>
      <w:pPr>
        <w:widowControl/>
        <w:tabs>
          <w:tab w:val="left" w:pos="350"/>
          <w:tab w:val="left" w:pos="8280"/>
        </w:tabs>
        <w:spacing w:afterLines="200" w:line="360" w:lineRule="auto"/>
        <w:jc w:val="center"/>
        <w:rPr>
          <w:rFonts w:ascii="仿宋" w:hAnsi="仿宋" w:eastAsia="仿宋"/>
          <w:color w:val="auto"/>
        </w:rPr>
      </w:pPr>
      <w:r>
        <w:rPr>
          <w:rFonts w:ascii="仿宋" w:hAnsi="仿宋" w:eastAsia="仿宋" w:cs="宋体"/>
          <w:b/>
          <w:color w:val="auto"/>
          <w:sz w:val="36"/>
          <w:szCs w:val="36"/>
        </w:rPr>
        <w:t>第</w:t>
      </w:r>
      <w:r>
        <w:rPr>
          <w:rFonts w:hint="eastAsia" w:ascii="仿宋" w:hAnsi="仿宋" w:eastAsia="仿宋" w:cs="宋体"/>
          <w:b/>
          <w:color w:val="auto"/>
          <w:sz w:val="36"/>
          <w:szCs w:val="36"/>
        </w:rPr>
        <w:t>三</w:t>
      </w:r>
      <w:r>
        <w:rPr>
          <w:rFonts w:ascii="仿宋" w:hAnsi="仿宋" w:eastAsia="仿宋" w:cs="宋体"/>
          <w:b/>
          <w:color w:val="auto"/>
          <w:sz w:val="36"/>
          <w:szCs w:val="36"/>
        </w:rPr>
        <w:t>部分报价文件（部分格式）</w:t>
      </w:r>
    </w:p>
    <w:p>
      <w:pPr>
        <w:pStyle w:val="4"/>
        <w:spacing w:before="0" w:line="500" w:lineRule="exact"/>
        <w:jc w:val="center"/>
        <w:rPr>
          <w:rFonts w:ascii="仿宋" w:hAnsi="仿宋" w:eastAsia="仿宋"/>
          <w:color w:val="auto"/>
          <w:sz w:val="28"/>
          <w:szCs w:val="28"/>
        </w:rPr>
      </w:pPr>
      <w:r>
        <w:rPr>
          <w:rFonts w:hint="eastAsia" w:ascii="仿宋" w:hAnsi="仿宋" w:eastAsia="仿宋"/>
          <w:color w:val="auto"/>
          <w:sz w:val="28"/>
          <w:szCs w:val="28"/>
        </w:rPr>
        <w:t>1、开标一览表（报价表）</w:t>
      </w:r>
    </w:p>
    <w:p>
      <w:pPr>
        <w:spacing w:line="360" w:lineRule="auto"/>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i/>
          <w:sz w:val="24"/>
          <w:szCs w:val="24"/>
          <w:u w:val="single"/>
        </w:rPr>
        <w:t>诸暨市自然资源和规划局第七期档案整理及数字化加工项目</w:t>
      </w:r>
    </w:p>
    <w:p>
      <w:pPr>
        <w:spacing w:line="360" w:lineRule="auto"/>
        <w:rPr>
          <w:rFonts w:ascii="仿宋" w:hAnsi="仿宋" w:eastAsia="仿宋"/>
          <w:i/>
          <w:color w:val="auto"/>
          <w:sz w:val="24"/>
          <w:szCs w:val="24"/>
          <w:u w:val="single"/>
        </w:rPr>
      </w:pPr>
      <w:r>
        <w:rPr>
          <w:rFonts w:hint="eastAsia" w:ascii="仿宋" w:hAnsi="仿宋" w:eastAsia="仿宋"/>
          <w:color w:val="auto"/>
          <w:sz w:val="24"/>
          <w:szCs w:val="24"/>
        </w:rPr>
        <w:t>项目编号：</w:t>
      </w:r>
      <w:r>
        <w:rPr>
          <w:rFonts w:hint="eastAsia" w:ascii="仿宋" w:hAnsi="仿宋" w:eastAsia="仿宋"/>
          <w:i/>
          <w:color w:val="auto"/>
          <w:sz w:val="24"/>
          <w:szCs w:val="24"/>
          <w:u w:val="single"/>
        </w:rPr>
        <w:t>浙江新顺2024-04-18</w:t>
      </w:r>
    </w:p>
    <w:p>
      <w:pPr>
        <w:spacing w:line="360" w:lineRule="auto"/>
        <w:rPr>
          <w:rFonts w:ascii="仿宋" w:hAnsi="仿宋" w:eastAsia="仿宋" w:cs="宋体"/>
          <w:b/>
          <w:color w:val="auto"/>
          <w:sz w:val="24"/>
          <w:szCs w:val="24"/>
        </w:rPr>
      </w:pPr>
    </w:p>
    <w:tbl>
      <w:tblPr>
        <w:tblStyle w:val="49"/>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402"/>
        <w:gridCol w:w="1791"/>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60" w:type="dxa"/>
            <w:vMerge w:val="restart"/>
            <w:vAlign w:val="center"/>
          </w:tcPr>
          <w:p>
            <w:pPr>
              <w:jc w:val="center"/>
              <w:rPr>
                <w:rFonts w:ascii="仿宋" w:hAnsi="仿宋" w:eastAsia="仿宋"/>
                <w:color w:val="auto"/>
                <w:sz w:val="24"/>
                <w:szCs w:val="24"/>
              </w:rPr>
            </w:pPr>
            <w:r>
              <w:rPr>
                <w:rFonts w:ascii="仿宋" w:hAnsi="仿宋" w:eastAsia="仿宋"/>
                <w:color w:val="auto"/>
                <w:sz w:val="24"/>
                <w:szCs w:val="24"/>
              </w:rPr>
              <w:t>序号</w:t>
            </w:r>
          </w:p>
        </w:tc>
        <w:tc>
          <w:tcPr>
            <w:tcW w:w="3402"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标项名称</w:t>
            </w:r>
          </w:p>
        </w:tc>
        <w:tc>
          <w:tcPr>
            <w:tcW w:w="5268"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折扣报价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60" w:type="dxa"/>
            <w:vMerge w:val="continue"/>
            <w:vAlign w:val="center"/>
          </w:tcPr>
          <w:p>
            <w:pPr>
              <w:jc w:val="center"/>
              <w:rPr>
                <w:rFonts w:ascii="仿宋" w:hAnsi="仿宋" w:eastAsia="仿宋"/>
                <w:color w:val="auto"/>
                <w:sz w:val="24"/>
                <w:szCs w:val="24"/>
              </w:rPr>
            </w:pPr>
          </w:p>
        </w:tc>
        <w:tc>
          <w:tcPr>
            <w:tcW w:w="3402" w:type="dxa"/>
            <w:vMerge w:val="continue"/>
            <w:vAlign w:val="center"/>
          </w:tcPr>
          <w:p>
            <w:pPr>
              <w:jc w:val="center"/>
              <w:rPr>
                <w:rFonts w:ascii="仿宋" w:hAnsi="仿宋" w:eastAsia="仿宋"/>
                <w:color w:val="auto"/>
                <w:sz w:val="24"/>
                <w:szCs w:val="24"/>
              </w:rPr>
            </w:pPr>
          </w:p>
        </w:tc>
        <w:tc>
          <w:tcPr>
            <w:tcW w:w="1791"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小写</w:t>
            </w:r>
          </w:p>
        </w:tc>
        <w:tc>
          <w:tcPr>
            <w:tcW w:w="3477"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6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1</w:t>
            </w:r>
          </w:p>
        </w:tc>
        <w:tc>
          <w:tcPr>
            <w:tcW w:w="3402" w:type="dxa"/>
            <w:vAlign w:val="center"/>
          </w:tcPr>
          <w:p>
            <w:pPr>
              <w:jc w:val="center"/>
              <w:rPr>
                <w:rFonts w:ascii="仿宋" w:hAnsi="仿宋" w:eastAsia="仿宋"/>
                <w:color w:val="auto"/>
                <w:sz w:val="24"/>
                <w:szCs w:val="24"/>
              </w:rPr>
            </w:pPr>
            <w:r>
              <w:rPr>
                <w:rFonts w:hint="eastAsia" w:ascii="仿宋" w:hAnsi="仿宋" w:eastAsia="仿宋"/>
                <w:sz w:val="24"/>
                <w:szCs w:val="24"/>
              </w:rPr>
              <w:t>诸暨市自然资源和规划局第七期档案整理及数字化加工项目</w:t>
            </w:r>
          </w:p>
        </w:tc>
        <w:tc>
          <w:tcPr>
            <w:tcW w:w="1791" w:type="dxa"/>
            <w:vAlign w:val="center"/>
          </w:tcPr>
          <w:p>
            <w:pPr>
              <w:spacing w:line="700" w:lineRule="exact"/>
              <w:jc w:val="center"/>
              <w:rPr>
                <w:rFonts w:ascii="仿宋" w:hAnsi="仿宋" w:eastAsia="仿宋"/>
                <w:color w:val="auto"/>
                <w:sz w:val="24"/>
                <w:szCs w:val="24"/>
              </w:rPr>
            </w:pPr>
            <w:r>
              <w:rPr>
                <w:rFonts w:hint="eastAsia" w:ascii="宋体" w:hAnsi="宋体" w:eastAsia="仿宋" w:cs="仿宋"/>
                <w:bCs/>
                <w:color w:val="auto"/>
                <w:sz w:val="24"/>
                <w:szCs w:val="24"/>
              </w:rPr>
              <w:t>_____</w:t>
            </w:r>
            <w:r>
              <w:rPr>
                <w:rFonts w:hint="eastAsia" w:ascii="仿宋" w:hAnsi="仿宋" w:eastAsia="仿宋" w:cs="仿宋"/>
                <w:bCs/>
                <w:color w:val="auto"/>
                <w:sz w:val="28"/>
                <w:szCs w:val="28"/>
              </w:rPr>
              <w:t>%</w:t>
            </w:r>
          </w:p>
        </w:tc>
        <w:tc>
          <w:tcPr>
            <w:tcW w:w="3477" w:type="dxa"/>
            <w:vAlign w:val="center"/>
          </w:tcPr>
          <w:p>
            <w:pPr>
              <w:spacing w:line="700" w:lineRule="exact"/>
              <w:rPr>
                <w:rFonts w:ascii="仿宋" w:hAnsi="仿宋" w:eastAsia="仿宋"/>
                <w:color w:val="auto"/>
                <w:sz w:val="24"/>
                <w:szCs w:val="24"/>
              </w:rPr>
            </w:pPr>
            <w:r>
              <w:rPr>
                <w:rFonts w:ascii="仿宋" w:hAnsi="仿宋" w:eastAsia="仿宋"/>
                <w:color w:val="auto"/>
                <w:sz w:val="24"/>
                <w:szCs w:val="24"/>
              </w:rPr>
              <w:t>百分之</w:t>
            </w:r>
            <w:r>
              <w:rPr>
                <w:rFonts w:hint="eastAsia" w:ascii="宋体" w:hAnsi="宋体" w:eastAsia="仿宋" w:cs="仿宋"/>
                <w:bCs/>
                <w:color w:val="auto"/>
                <w:sz w:val="24"/>
                <w:szCs w:val="24"/>
              </w:rPr>
              <w:t>_____</w:t>
            </w:r>
          </w:p>
        </w:tc>
      </w:tr>
    </w:tbl>
    <w:p>
      <w:pPr>
        <w:spacing w:line="360" w:lineRule="auto"/>
        <w:rPr>
          <w:rFonts w:ascii="仿宋" w:hAnsi="仿宋" w:eastAsia="仿宋" w:cs="宋体"/>
          <w:b/>
          <w:color w:val="auto"/>
          <w:sz w:val="24"/>
          <w:szCs w:val="24"/>
        </w:rPr>
      </w:pPr>
    </w:p>
    <w:p>
      <w:pPr>
        <w:spacing w:line="480" w:lineRule="auto"/>
        <w:rPr>
          <w:rFonts w:ascii="仿宋" w:hAnsi="仿宋" w:eastAsia="仿宋"/>
          <w:color w:val="auto"/>
          <w:sz w:val="24"/>
          <w:szCs w:val="24"/>
        </w:rPr>
      </w:pPr>
      <w:r>
        <w:rPr>
          <w:rFonts w:hint="eastAsia" w:ascii="仿宋" w:hAnsi="仿宋" w:eastAsia="仿宋"/>
          <w:color w:val="auto"/>
          <w:sz w:val="24"/>
          <w:szCs w:val="24"/>
        </w:rPr>
        <w:t>投标人名称（电子签章）：</w:t>
      </w:r>
      <w:r>
        <w:rPr>
          <w:rFonts w:hint="eastAsia" w:ascii="仿宋" w:hAnsi="仿宋" w:eastAsia="仿宋"/>
          <w:color w:val="auto"/>
          <w:sz w:val="24"/>
          <w:szCs w:val="24"/>
          <w:u w:val="single"/>
        </w:rPr>
        <w:t>________________</w:t>
      </w:r>
    </w:p>
    <w:p>
      <w:pPr>
        <w:spacing w:line="480" w:lineRule="auto"/>
        <w:rPr>
          <w:rFonts w:ascii="仿宋" w:hAnsi="仿宋" w:eastAsia="仿宋"/>
          <w:color w:val="auto"/>
          <w:sz w:val="24"/>
          <w:szCs w:val="24"/>
        </w:rPr>
      </w:pPr>
      <w:r>
        <w:rPr>
          <w:rFonts w:hint="eastAsia" w:ascii="仿宋" w:hAnsi="仿宋" w:eastAsia="仿宋"/>
          <w:color w:val="auto"/>
          <w:sz w:val="24"/>
          <w:szCs w:val="24"/>
        </w:rPr>
        <w:t>日  期：_______年_______月_______日</w:t>
      </w:r>
    </w:p>
    <w:p>
      <w:pPr>
        <w:spacing w:beforeLines="50" w:line="360" w:lineRule="auto"/>
        <w:rPr>
          <w:rFonts w:ascii="仿宋" w:hAnsi="仿宋" w:eastAsia="仿宋"/>
          <w:i/>
          <w:color w:val="auto"/>
          <w:sz w:val="24"/>
          <w:szCs w:val="24"/>
        </w:rPr>
      </w:pPr>
      <w:r>
        <w:rPr>
          <w:rFonts w:ascii="仿宋" w:hAnsi="仿宋" w:eastAsia="仿宋"/>
          <w:i/>
          <w:color w:val="auto"/>
          <w:sz w:val="24"/>
          <w:szCs w:val="24"/>
        </w:rPr>
        <w:t>注：</w:t>
      </w:r>
    </w:p>
    <w:p>
      <w:pPr>
        <w:spacing w:line="276" w:lineRule="auto"/>
        <w:rPr>
          <w:rFonts w:ascii="仿宋" w:hAnsi="仿宋" w:eastAsia="仿宋"/>
          <w:i/>
          <w:color w:val="auto"/>
          <w:sz w:val="24"/>
          <w:szCs w:val="24"/>
        </w:rPr>
      </w:pPr>
      <w:r>
        <w:rPr>
          <w:rFonts w:hint="eastAsia" w:ascii="仿宋" w:hAnsi="仿宋" w:eastAsia="仿宋"/>
          <w:i/>
          <w:color w:val="auto"/>
          <w:sz w:val="24"/>
          <w:szCs w:val="24"/>
        </w:rPr>
        <w:t>1、投标人需按本表格式填写，否则视为投标文件含有采购人不能接受的附加条件，投标无效。</w:t>
      </w:r>
    </w:p>
    <w:p>
      <w:pPr>
        <w:spacing w:line="276" w:lineRule="auto"/>
        <w:rPr>
          <w:rFonts w:ascii="仿宋" w:hAnsi="仿宋" w:eastAsia="仿宋"/>
          <w:b/>
          <w:i/>
          <w:color w:val="auto"/>
          <w:sz w:val="24"/>
          <w:szCs w:val="24"/>
        </w:rPr>
        <w:sectPr>
          <w:pgSz w:w="11906" w:h="16838"/>
          <w:pgMar w:top="1247" w:right="1247" w:bottom="1247" w:left="1247" w:header="283" w:footer="454" w:gutter="0"/>
          <w:pgNumType w:fmt="numberInDash"/>
          <w:cols w:space="720" w:num="1"/>
          <w:titlePg/>
          <w:docGrid w:type="lines" w:linePitch="312" w:charSpace="0"/>
        </w:sectPr>
      </w:pPr>
      <w:r>
        <w:rPr>
          <w:rFonts w:hint="eastAsia" w:ascii="仿宋" w:hAnsi="仿宋" w:eastAsia="仿宋"/>
          <w:i/>
          <w:color w:val="auto"/>
          <w:sz w:val="24"/>
          <w:szCs w:val="24"/>
        </w:rPr>
        <w:t>2、</w:t>
      </w:r>
      <w:r>
        <w:rPr>
          <w:rFonts w:hint="eastAsia" w:ascii="仿宋" w:hAnsi="仿宋" w:eastAsia="仿宋" w:cs="仿宋_GB2312"/>
          <w:i/>
          <w:color w:val="auto"/>
          <w:sz w:val="24"/>
          <w:lang w:val="zh-CN"/>
        </w:rPr>
        <w:t>有关本项目实施所涉及的一切费用均计入报价。</w:t>
      </w:r>
      <w:r>
        <w:rPr>
          <w:rFonts w:hint="eastAsia" w:ascii="仿宋" w:hAnsi="仿宋" w:eastAsia="仿宋"/>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w:t>
      </w:r>
    </w:p>
    <w:p>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附件一：联合协议</w:t>
      </w:r>
    </w:p>
    <w:p>
      <w:pPr>
        <w:spacing w:line="300" w:lineRule="auto"/>
        <w:ind w:firstLine="482" w:firstLineChars="200"/>
        <w:rPr>
          <w:rFonts w:ascii="仿宋" w:hAnsi="仿宋" w:eastAsia="仿宋"/>
          <w:b/>
          <w:i/>
          <w:color w:val="auto"/>
          <w:sz w:val="24"/>
          <w:szCs w:val="24"/>
        </w:rPr>
      </w:pPr>
      <w:r>
        <w:rPr>
          <w:rFonts w:hint="eastAsia" w:ascii="仿宋" w:hAnsi="仿宋" w:eastAsia="仿宋"/>
          <w:b/>
          <w:i/>
          <w:color w:val="auto"/>
          <w:sz w:val="24"/>
        </w:rPr>
        <w:t>（说明：1.若采购项目【</w:t>
      </w:r>
      <w:r>
        <w:rPr>
          <w:rFonts w:hint="eastAsia" w:ascii="仿宋" w:hAnsi="仿宋" w:eastAsia="仿宋"/>
          <w:b/>
          <w:i/>
          <w:color w:val="auto"/>
          <w:sz w:val="24"/>
          <w:u w:val="single"/>
        </w:rPr>
        <w:t>接受</w:t>
      </w:r>
      <w:r>
        <w:rPr>
          <w:rFonts w:hint="eastAsia" w:ascii="仿宋" w:hAnsi="仿宋" w:eastAsia="仿宋"/>
          <w:b/>
          <w:i/>
          <w:color w:val="auto"/>
          <w:sz w:val="24"/>
        </w:rPr>
        <w:t>】联合体投标的：投标供应商以联合体形式参加投标的，应当提供联合协议，否则投标无效；投标人不以联合体形式参加投标的，则不需要提供；2. 若采购项目【</w:t>
      </w:r>
      <w:r>
        <w:rPr>
          <w:rFonts w:hint="eastAsia" w:ascii="仿宋" w:hAnsi="仿宋" w:eastAsia="仿宋"/>
          <w:b/>
          <w:i/>
          <w:color w:val="auto"/>
          <w:sz w:val="24"/>
          <w:u w:val="single"/>
        </w:rPr>
        <w:t>不接受</w:t>
      </w:r>
      <w:r>
        <w:rPr>
          <w:rFonts w:hint="eastAsia" w:ascii="仿宋" w:hAnsi="仿宋" w:eastAsia="仿宋"/>
          <w:b/>
          <w:i/>
          <w:color w:val="auto"/>
          <w:sz w:val="24"/>
        </w:rPr>
        <w:t>】联合体投标的，则不允许投标供应商以联合体形式参加投标，无须提供联合协议。</w:t>
      </w:r>
      <w:r>
        <w:rPr>
          <w:rFonts w:ascii="仿宋" w:hAnsi="仿宋" w:eastAsia="仿宋"/>
          <w:b/>
          <w:i/>
          <w:color w:val="auto"/>
          <w:sz w:val="24"/>
          <w:szCs w:val="24"/>
        </w:rPr>
        <w:t>）</w:t>
      </w:r>
    </w:p>
    <w:p>
      <w:pPr>
        <w:spacing w:beforeLines="100" w:line="360" w:lineRule="auto"/>
        <w:ind w:firstLine="413" w:firstLineChars="147"/>
        <w:jc w:val="center"/>
        <w:rPr>
          <w:rFonts w:ascii="仿宋" w:hAnsi="仿宋" w:eastAsia="仿宋"/>
          <w:b/>
          <w:color w:val="auto"/>
          <w:sz w:val="28"/>
          <w:szCs w:val="28"/>
        </w:rPr>
      </w:pPr>
      <w:r>
        <w:rPr>
          <w:rFonts w:ascii="仿宋" w:hAnsi="仿宋" w:eastAsia="仿宋"/>
          <w:b/>
          <w:color w:val="auto"/>
          <w:sz w:val="28"/>
          <w:szCs w:val="28"/>
        </w:rPr>
        <w:t>联合协议</w:t>
      </w:r>
    </w:p>
    <w:p>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（联合体所有成员名称）</w:t>
      </w:r>
      <w:r>
        <w:rPr>
          <w:rFonts w:hint="eastAsia" w:ascii="仿宋" w:hAnsi="仿宋" w:eastAsia="仿宋" w:cs="宋体"/>
          <w:color w:val="auto"/>
          <w:sz w:val="24"/>
        </w:rPr>
        <w:t>自愿</w:t>
      </w:r>
      <w:r>
        <w:rPr>
          <w:rFonts w:hint="eastAsia" w:ascii="仿宋" w:hAnsi="仿宋" w:eastAsia="仿宋" w:cs="宋体"/>
          <w:color w:val="auto"/>
          <w:sz w:val="24"/>
          <w:lang w:val="zh-CN"/>
        </w:rPr>
        <w:t>组成一个联合体，以一个投标人的身份</w:t>
      </w:r>
      <w:r>
        <w:rPr>
          <w:rFonts w:hint="eastAsia" w:ascii="仿宋" w:hAnsi="仿宋" w:eastAsia="仿宋" w:cs="宋体"/>
          <w:color w:val="auto"/>
          <w:sz w:val="24"/>
        </w:rPr>
        <w:t>参加</w:t>
      </w:r>
      <w:r>
        <w:rPr>
          <w:rFonts w:hint="eastAsia" w:ascii="仿宋" w:hAnsi="仿宋" w:eastAsia="仿宋" w:cs="宋体"/>
          <w:color w:val="auto"/>
          <w:spacing w:val="8"/>
          <w:sz w:val="24"/>
          <w:szCs w:val="24"/>
          <w:u w:val="single"/>
        </w:rPr>
        <w:t>（项目名称）    （项目编号：浙江新顺2024-**-**）</w:t>
      </w:r>
      <w:r>
        <w:rPr>
          <w:rFonts w:hint="eastAsia" w:ascii="仿宋" w:hAnsi="仿宋" w:eastAsia="仿宋" w:cs="宋体"/>
          <w:color w:val="auto"/>
          <w:spacing w:val="8"/>
          <w:sz w:val="24"/>
          <w:szCs w:val="24"/>
        </w:rPr>
        <w:t>的</w:t>
      </w:r>
      <w:r>
        <w:rPr>
          <w:rFonts w:hint="eastAsia" w:ascii="仿宋" w:hAnsi="仿宋" w:eastAsia="仿宋" w:cs="宋体"/>
          <w:color w:val="auto"/>
          <w:sz w:val="24"/>
          <w:lang w:val="zh-CN"/>
        </w:rPr>
        <w:t xml:space="preserve">投标。 </w:t>
      </w:r>
    </w:p>
    <w:p>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一、各方一致决定，</w:t>
      </w:r>
      <w:r>
        <w:rPr>
          <w:rFonts w:hint="eastAsia" w:ascii="仿宋" w:hAnsi="仿宋" w:eastAsia="仿宋" w:cs="宋体"/>
          <w:color w:val="auto"/>
          <w:sz w:val="24"/>
          <w:u w:val="single"/>
        </w:rPr>
        <w:t>（某联合体成员名称）</w:t>
      </w:r>
      <w:r>
        <w:rPr>
          <w:rFonts w:hint="eastAsia" w:ascii="仿宋" w:hAnsi="仿宋" w:eastAsia="仿宋" w:cs="宋体"/>
          <w:color w:val="auto"/>
          <w:sz w:val="24"/>
        </w:rPr>
        <w:t>为联合体</w:t>
      </w:r>
      <w:r>
        <w:rPr>
          <w:rFonts w:hint="eastAsia" w:ascii="仿宋" w:hAnsi="仿宋" w:eastAsia="仿宋" w:cs="宋体"/>
          <w:color w:val="auto"/>
          <w:sz w:val="24"/>
          <w:lang w:val="zh-CN"/>
        </w:rPr>
        <w:t>牵头人</w:t>
      </w:r>
      <w:r>
        <w:rPr>
          <w:rFonts w:hint="eastAsia" w:ascii="仿宋" w:hAnsi="仿宋" w:eastAsia="仿宋" w:cs="宋体"/>
          <w:color w:val="auto"/>
          <w:sz w:val="24"/>
        </w:rPr>
        <w:t>，代表所有联合体成员负责投标和合同实施阶段的主办、协调工作</w:t>
      </w:r>
      <w:r>
        <w:rPr>
          <w:rFonts w:hint="eastAsia" w:ascii="仿宋" w:hAnsi="仿宋" w:eastAsia="仿宋" w:cs="宋体"/>
          <w:color w:val="auto"/>
          <w:sz w:val="24"/>
          <w:lang w:val="zh-CN"/>
        </w:rPr>
        <w:t>。</w:t>
      </w:r>
    </w:p>
    <w:p>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二、</w:t>
      </w:r>
      <w:r>
        <w:rPr>
          <w:rFonts w:hint="eastAsia" w:ascii="仿宋" w:hAnsi="仿宋" w:eastAsia="仿宋" w:cs="宋体"/>
          <w:color w:val="auto"/>
          <w:sz w:val="24"/>
        </w:rPr>
        <w:t>所有联合体成员各方签署授权书，授权书载明的</w:t>
      </w:r>
      <w:r>
        <w:rPr>
          <w:rFonts w:hint="eastAsia" w:ascii="仿宋" w:hAnsi="仿宋" w:eastAsia="仿宋" w:cs="宋体"/>
          <w:color w:val="auto"/>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三、本次联合投标中，分工如下：</w:t>
      </w:r>
    </w:p>
    <w:p>
      <w:pPr>
        <w:snapToGrid w:val="0"/>
        <w:spacing w:line="360" w:lineRule="auto"/>
        <w:ind w:firstLine="576"/>
        <w:rPr>
          <w:rFonts w:ascii="仿宋" w:hAnsi="仿宋" w:eastAsia="仿宋" w:cs="宋体"/>
          <w:color w:val="auto"/>
          <w:sz w:val="24"/>
          <w:lang w:val="zh-CN"/>
        </w:rPr>
      </w:pPr>
      <w:bookmarkStart w:id="34" w:name="_Hlk101134295"/>
      <w:r>
        <w:rPr>
          <w:rFonts w:hint="eastAsia" w:ascii="仿宋" w:hAnsi="仿宋" w:eastAsia="仿宋" w:cs="宋体"/>
          <w:color w:val="auto"/>
          <w:sz w:val="24"/>
          <w:u w:val="single"/>
        </w:rPr>
        <w:t>（联合体成员1）</w:t>
      </w:r>
      <w:r>
        <w:rPr>
          <w:rFonts w:hint="eastAsia" w:ascii="仿宋" w:hAnsi="仿宋" w:eastAsia="仿宋" w:cs="宋体"/>
          <w:color w:val="auto"/>
          <w:sz w:val="24"/>
          <w:lang w:val="zh-CN"/>
        </w:rPr>
        <w:t>承担的工作和义务为：___________；</w:t>
      </w:r>
    </w:p>
    <w:p>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（联合体成员</w:t>
      </w:r>
      <w:r>
        <w:rPr>
          <w:rFonts w:ascii="仿宋" w:hAnsi="仿宋" w:eastAsia="仿宋" w:cs="宋体"/>
          <w:color w:val="auto"/>
          <w:sz w:val="24"/>
          <w:u w:val="single"/>
        </w:rPr>
        <w:t>2</w:t>
      </w:r>
      <w:r>
        <w:rPr>
          <w:rFonts w:hint="eastAsia" w:ascii="仿宋" w:hAnsi="仿宋" w:eastAsia="仿宋" w:cs="宋体"/>
          <w:color w:val="auto"/>
          <w:sz w:val="24"/>
          <w:u w:val="single"/>
        </w:rPr>
        <w:t>）</w:t>
      </w:r>
      <w:r>
        <w:rPr>
          <w:rFonts w:hint="eastAsia" w:ascii="仿宋" w:hAnsi="仿宋" w:eastAsia="仿宋" w:cs="宋体"/>
          <w:color w:val="auto"/>
          <w:sz w:val="24"/>
          <w:lang w:val="zh-CN"/>
        </w:rPr>
        <w:t>承担的工作和义务为：___________；</w:t>
      </w:r>
    </w:p>
    <w:p>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w:t>
      </w:r>
    </w:p>
    <w:bookmarkEnd w:id="34"/>
    <w:p>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四、联合体成员中小企业合同份额。</w:t>
      </w:r>
    </w:p>
    <w:p>
      <w:pPr>
        <w:snapToGrid w:val="0"/>
        <w:spacing w:line="360" w:lineRule="auto"/>
        <w:ind w:firstLine="576"/>
        <w:rPr>
          <w:rFonts w:ascii="仿宋" w:hAnsi="仿宋" w:eastAsia="仿宋" w:cs="宋体"/>
          <w:b/>
          <w:color w:val="auto"/>
          <w:sz w:val="24"/>
          <w:lang w:val="zh-CN"/>
        </w:rPr>
      </w:pPr>
      <w:r>
        <w:rPr>
          <w:rFonts w:hint="eastAsia" w:ascii="仿宋" w:hAnsi="仿宋" w:eastAsia="仿宋" w:cs="宋体"/>
          <w:color w:val="auto"/>
          <w:sz w:val="24"/>
          <w:lang w:val="zh-CN"/>
        </w:rPr>
        <w:t>1、</w:t>
      </w:r>
      <w:r>
        <w:rPr>
          <w:rFonts w:hint="eastAsia" w:ascii="仿宋" w:hAnsi="仿宋" w:eastAsia="仿宋" w:cs="宋体"/>
          <w:color w:val="auto"/>
          <w:sz w:val="24"/>
          <w:u w:val="single"/>
        </w:rPr>
        <w:t>（联合体成员</w:t>
      </w:r>
      <w:r>
        <w:rPr>
          <w:rFonts w:ascii="仿宋" w:hAnsi="仿宋" w:eastAsia="仿宋" w:cs="宋体"/>
          <w:color w:val="auto"/>
          <w:sz w:val="24"/>
          <w:u w:val="single"/>
        </w:rPr>
        <w:t>X,</w:t>
      </w:r>
      <w:r>
        <w:rPr>
          <w:rFonts w:hint="eastAsia" w:ascii="仿宋" w:hAnsi="仿宋" w:eastAsia="仿宋" w:cs="宋体"/>
          <w:color w:val="auto"/>
          <w:sz w:val="24"/>
          <w:u w:val="single"/>
        </w:rPr>
        <w:t>……）</w:t>
      </w:r>
      <w:r>
        <w:rPr>
          <w:rFonts w:hint="eastAsia" w:ascii="仿宋" w:hAnsi="仿宋" w:eastAsia="仿宋" w:cs="宋体"/>
          <w:color w:val="auto"/>
          <w:sz w:val="24"/>
        </w:rPr>
        <w:t>提供的全部货物由小微企业制造，其合同份额占到合同总金额_____%以上；</w:t>
      </w:r>
      <w:r>
        <w:rPr>
          <w:rFonts w:hint="eastAsia" w:ascii="仿宋" w:hAnsi="仿宋" w:eastAsia="仿宋" w:cs="宋体"/>
          <w:color w:val="auto"/>
          <w:sz w:val="24"/>
          <w:lang w:val="zh-CN"/>
        </w:rPr>
        <w:t>……。</w:t>
      </w:r>
      <w:r>
        <w:rPr>
          <w:rFonts w:hint="eastAsia" w:ascii="仿宋" w:hAnsi="仿宋" w:eastAsia="仿宋" w:cs="宋体"/>
          <w:b/>
          <w:color w:val="auto"/>
          <w:sz w:val="24"/>
          <w:lang w:val="zh-CN"/>
        </w:rPr>
        <w:t>（未预留份额专门面向中小企业采购的采购项目，以及预留份额中的非预留部分采购包，接受联合体投标的，联合协议约定小微企业的合同份额占到合同总金额30%以上的，对联合体报价给予</w:t>
      </w:r>
      <w:r>
        <w:rPr>
          <w:rFonts w:ascii="仿宋" w:hAnsi="仿宋" w:eastAsia="仿宋" w:cs="宋体"/>
          <w:b/>
          <w:color w:val="auto"/>
          <w:sz w:val="24"/>
          <w:lang w:val="zh-CN"/>
        </w:rPr>
        <w:t>6</w:t>
      </w:r>
      <w:r>
        <w:rPr>
          <w:rFonts w:hint="eastAsia" w:ascii="仿宋" w:hAnsi="仿宋" w:eastAsia="仿宋" w:cs="宋体"/>
          <w:b/>
          <w:color w:val="auto"/>
          <w:sz w:val="24"/>
          <w:lang w:val="zh-CN"/>
        </w:rPr>
        <w:t>%的扣除。供应商</w:t>
      </w:r>
      <w:r>
        <w:rPr>
          <w:rFonts w:hint="eastAsia" w:ascii="仿宋" w:hAnsi="仿宋" w:eastAsia="仿宋" w:cs="宋体"/>
          <w:b/>
          <w:color w:val="auto"/>
          <w:sz w:val="24"/>
        </w:rPr>
        <w:t>拟享受以上价格扣除政策的，填写有关内容。</w:t>
      </w:r>
      <w:r>
        <w:rPr>
          <w:rFonts w:hint="eastAsia" w:ascii="仿宋" w:hAnsi="仿宋" w:eastAsia="仿宋" w:cs="宋体"/>
          <w:b/>
          <w:color w:val="auto"/>
          <w:sz w:val="24"/>
          <w:lang w:val="zh-CN"/>
        </w:rPr>
        <w:t>）</w:t>
      </w:r>
    </w:p>
    <w:p>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rPr>
        <w:t>2、中小企业合同金额达到_____%，小微企业合同金额达到_____%</w:t>
      </w:r>
      <w:r>
        <w:rPr>
          <w:rFonts w:hint="eastAsia" w:ascii="仿宋" w:hAnsi="仿宋" w:eastAsia="仿宋" w:cs="宋体"/>
          <w:color w:val="auto"/>
          <w:sz w:val="24"/>
          <w:lang w:val="zh-CN"/>
        </w:rPr>
        <w:t>。</w:t>
      </w:r>
      <w:r>
        <w:rPr>
          <w:rFonts w:hint="eastAsia" w:ascii="仿宋" w:hAnsi="仿宋" w:eastAsia="仿宋" w:cs="宋体"/>
          <w:b/>
          <w:bCs/>
          <w:color w:val="auto"/>
          <w:sz w:val="24"/>
          <w:lang w:val="zh-CN"/>
        </w:rPr>
        <w:t>（</w:t>
      </w:r>
      <w:r>
        <w:rPr>
          <w:rFonts w:hint="eastAsia" w:ascii="仿宋" w:hAnsi="仿宋" w:eastAsia="仿宋" w:cs="宋体"/>
          <w:b/>
          <w:bCs/>
          <w:color w:val="auto"/>
          <w:sz w:val="24"/>
        </w:rPr>
        <w:t>要求以联合体形式参加的项目或采购包，供应商按招标文件第一章招标公告申请人的资格要求中规定的联合协议中中小企业、小微企业合同金额应当达到的比例要求填写。</w:t>
      </w:r>
      <w:r>
        <w:rPr>
          <w:rFonts w:hint="eastAsia" w:ascii="仿宋" w:hAnsi="仿宋" w:eastAsia="仿宋" w:cs="宋体"/>
          <w:b/>
          <w:bCs/>
          <w:color w:val="auto"/>
          <w:sz w:val="24"/>
          <w:lang w:val="zh-CN"/>
        </w:rPr>
        <w:t>）</w:t>
      </w:r>
    </w:p>
    <w:p>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五、如果中标，</w:t>
      </w:r>
      <w:r>
        <w:rPr>
          <w:rFonts w:hint="eastAsia" w:ascii="仿宋" w:hAnsi="仿宋" w:eastAsia="仿宋" w:cs="宋体"/>
          <w:color w:val="auto"/>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六、有关本次联合投标的其他事宜：</w:t>
      </w:r>
    </w:p>
    <w:p>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3、本协议提交采购人、采购机构后，联合体各方不得以任何形式对上述内容进行修改或撤销。</w:t>
      </w:r>
    </w:p>
    <w:p>
      <w:pPr>
        <w:snapToGrid w:val="0"/>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联合体成员名称(电子签名/公章)：_____________</w:t>
      </w:r>
    </w:p>
    <w:p>
      <w:pPr>
        <w:snapToGrid w:val="0"/>
        <w:spacing w:line="360" w:lineRule="auto"/>
        <w:jc w:val="left"/>
        <w:rPr>
          <w:rFonts w:ascii="仿宋" w:hAnsi="仿宋" w:eastAsia="仿宋" w:cs="宋体"/>
          <w:color w:val="auto"/>
          <w:sz w:val="24"/>
          <w:lang w:val="zh-CN"/>
        </w:rPr>
      </w:pPr>
      <w:r>
        <w:rPr>
          <w:rFonts w:hint="eastAsia" w:ascii="仿宋" w:hAnsi="仿宋" w:eastAsia="仿宋" w:cs="宋体"/>
          <w:color w:val="auto"/>
          <w:sz w:val="24"/>
          <w:lang w:val="zh-CN"/>
        </w:rPr>
        <w:t>联合体成员名称(电子签名/公章)：_____________</w:t>
      </w:r>
    </w:p>
    <w:p>
      <w:pPr>
        <w:snapToGrid w:val="0"/>
        <w:spacing w:line="360" w:lineRule="auto"/>
        <w:jc w:val="left"/>
        <w:rPr>
          <w:rFonts w:ascii="仿宋" w:hAnsi="仿宋" w:eastAsia="仿宋" w:cs="宋体"/>
          <w:color w:val="auto"/>
          <w:sz w:val="24"/>
          <w:lang w:val="zh-CN"/>
        </w:rPr>
      </w:pPr>
      <w:r>
        <w:rPr>
          <w:rFonts w:ascii="仿宋" w:hAnsi="仿宋" w:eastAsia="仿宋"/>
          <w:color w:val="auto"/>
          <w:sz w:val="24"/>
          <w:szCs w:val="24"/>
        </w:rPr>
        <w:t>……</w:t>
      </w:r>
    </w:p>
    <w:p>
      <w:pPr>
        <w:spacing w:line="360" w:lineRule="auto"/>
        <w:jc w:val="left"/>
        <w:rPr>
          <w:rFonts w:ascii="仿宋" w:hAnsi="仿宋" w:eastAsia="仿宋" w:cs="宋体"/>
          <w:color w:val="auto"/>
          <w:sz w:val="24"/>
          <w:lang w:val="zh-CN"/>
        </w:rPr>
        <w:sectPr>
          <w:pgSz w:w="11906" w:h="16838"/>
          <w:pgMar w:top="1247" w:right="1247" w:bottom="1247" w:left="1247" w:header="283" w:footer="454" w:gutter="0"/>
          <w:pgNumType w:fmt="numberInDash"/>
          <w:cols w:space="720" w:num="1"/>
          <w:titlePg/>
          <w:docGrid w:type="lines" w:linePitch="312" w:charSpace="0"/>
        </w:sectPr>
      </w:pPr>
      <w:r>
        <w:rPr>
          <w:rFonts w:hint="eastAsia" w:ascii="仿宋" w:hAnsi="仿宋" w:eastAsia="仿宋" w:cs="宋体"/>
          <w:color w:val="auto"/>
          <w:sz w:val="24"/>
          <w:lang w:val="zh-CN"/>
        </w:rPr>
        <w:t>日期：______年______月______日</w:t>
      </w:r>
    </w:p>
    <w:p>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附件二：分包意向协议</w:t>
      </w:r>
    </w:p>
    <w:p>
      <w:pPr>
        <w:spacing w:line="300" w:lineRule="auto"/>
        <w:ind w:firstLine="482" w:firstLineChars="200"/>
        <w:rPr>
          <w:rFonts w:ascii="仿宋" w:hAnsi="仿宋" w:eastAsia="仿宋"/>
          <w:b/>
          <w:i/>
          <w:color w:val="auto"/>
          <w:sz w:val="24"/>
          <w:szCs w:val="24"/>
        </w:rPr>
      </w:pPr>
      <w:r>
        <w:rPr>
          <w:rFonts w:hint="eastAsia" w:ascii="仿宋" w:hAnsi="仿宋" w:eastAsia="仿宋"/>
          <w:b/>
          <w:i/>
          <w:color w:val="auto"/>
          <w:sz w:val="24"/>
        </w:rPr>
        <w:t>（说明：投标人拟中标后以分包方式履行合同的，提供分包意向协议；采购人不同意分包或者中标后不以分包方式履行合同的，则不需要提供。</w:t>
      </w:r>
      <w:r>
        <w:rPr>
          <w:rFonts w:ascii="仿宋" w:hAnsi="仿宋" w:eastAsia="仿宋"/>
          <w:b/>
          <w:i/>
          <w:color w:val="auto"/>
          <w:sz w:val="24"/>
          <w:szCs w:val="24"/>
        </w:rPr>
        <w:t>）</w:t>
      </w:r>
    </w:p>
    <w:p>
      <w:pPr>
        <w:spacing w:beforeLines="100" w:line="360" w:lineRule="auto"/>
        <w:ind w:firstLine="413" w:firstLineChars="147"/>
        <w:jc w:val="center"/>
        <w:rPr>
          <w:rFonts w:ascii="仿宋" w:hAnsi="仿宋" w:eastAsia="仿宋"/>
          <w:b/>
          <w:color w:val="auto"/>
          <w:sz w:val="28"/>
          <w:szCs w:val="28"/>
        </w:rPr>
      </w:pPr>
      <w:r>
        <w:rPr>
          <w:rFonts w:ascii="仿宋" w:hAnsi="仿宋" w:eastAsia="仿宋"/>
          <w:b/>
          <w:color w:val="auto"/>
          <w:sz w:val="28"/>
          <w:szCs w:val="28"/>
        </w:rPr>
        <w:t>分包意向协议</w:t>
      </w:r>
    </w:p>
    <w:p>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（投标人名称）</w:t>
      </w:r>
      <w:r>
        <w:rPr>
          <w:rFonts w:hint="eastAsia" w:ascii="仿宋" w:hAnsi="仿宋" w:eastAsia="仿宋" w:cs="宋体"/>
          <w:color w:val="auto"/>
          <w:sz w:val="24"/>
          <w:lang w:val="zh-CN"/>
        </w:rPr>
        <w:t>若成为</w:t>
      </w:r>
      <w:r>
        <w:rPr>
          <w:rFonts w:hint="eastAsia" w:ascii="仿宋" w:hAnsi="仿宋" w:eastAsia="仿宋" w:cs="宋体"/>
          <w:color w:val="auto"/>
          <w:spacing w:val="8"/>
          <w:sz w:val="24"/>
          <w:szCs w:val="24"/>
          <w:u w:val="single"/>
        </w:rPr>
        <w:t>（项目名称）    （项目编号：浙江新顺2024-**-**）</w:t>
      </w:r>
      <w:r>
        <w:rPr>
          <w:rFonts w:hint="eastAsia" w:ascii="仿宋" w:hAnsi="仿宋" w:eastAsia="仿宋" w:cs="宋体"/>
          <w:color w:val="auto"/>
          <w:sz w:val="24"/>
          <w:lang w:val="zh-CN"/>
        </w:rPr>
        <w:t>的中标供应商，将依法采取分包方式履行合同。</w:t>
      </w:r>
      <w:r>
        <w:rPr>
          <w:rFonts w:hint="eastAsia" w:ascii="仿宋" w:hAnsi="仿宋" w:eastAsia="仿宋" w:cs="宋体"/>
          <w:color w:val="auto"/>
          <w:sz w:val="24"/>
          <w:u w:val="single"/>
        </w:rPr>
        <w:t>（投标人名称）</w:t>
      </w:r>
      <w:r>
        <w:rPr>
          <w:rFonts w:hint="eastAsia" w:ascii="仿宋" w:hAnsi="仿宋" w:eastAsia="仿宋" w:cs="宋体"/>
          <w:color w:val="auto"/>
          <w:sz w:val="24"/>
        </w:rPr>
        <w:t>与</w:t>
      </w:r>
      <w:r>
        <w:rPr>
          <w:rFonts w:hint="eastAsia" w:ascii="仿宋" w:hAnsi="仿宋" w:eastAsia="仿宋" w:cs="宋体"/>
          <w:color w:val="auto"/>
          <w:sz w:val="24"/>
          <w:u w:val="single"/>
        </w:rPr>
        <w:t>（所有分包供应商名称）</w:t>
      </w:r>
      <w:r>
        <w:rPr>
          <w:rFonts w:hint="eastAsia" w:ascii="仿宋" w:hAnsi="仿宋" w:eastAsia="仿宋" w:cs="宋体"/>
          <w:color w:val="auto"/>
          <w:sz w:val="24"/>
        </w:rPr>
        <w:t>达成分包意向协议</w:t>
      </w:r>
      <w:r>
        <w:rPr>
          <w:rFonts w:hint="eastAsia" w:ascii="仿宋" w:hAnsi="仿宋" w:eastAsia="仿宋" w:cs="宋体"/>
          <w:color w:val="auto"/>
          <w:sz w:val="24"/>
          <w:lang w:val="zh-CN"/>
        </w:rPr>
        <w:t xml:space="preserve">。 </w:t>
      </w:r>
    </w:p>
    <w:p>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一、分包标的及数量</w:t>
      </w:r>
    </w:p>
    <w:p>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u w:val="single"/>
        </w:rPr>
        <w:t>（投标人名称）</w:t>
      </w:r>
      <w:r>
        <w:rPr>
          <w:rFonts w:hint="eastAsia" w:ascii="仿宋" w:hAnsi="仿宋" w:eastAsia="仿宋" w:cs="宋体"/>
          <w:color w:val="auto"/>
          <w:sz w:val="24"/>
          <w:lang w:val="zh-CN"/>
        </w:rPr>
        <w:t>将</w:t>
      </w:r>
      <w:r>
        <w:rPr>
          <w:rFonts w:ascii="仿宋" w:hAnsi="仿宋" w:eastAsia="仿宋" w:cs="宋体"/>
          <w:color w:val="auto"/>
          <w:sz w:val="24"/>
          <w:u w:val="single"/>
        </w:rPr>
        <w:t xml:space="preserve">  XX工作内容   </w:t>
      </w:r>
      <w:r>
        <w:rPr>
          <w:rFonts w:hint="eastAsia" w:ascii="仿宋" w:hAnsi="仿宋" w:eastAsia="仿宋" w:cs="宋体"/>
          <w:color w:val="auto"/>
          <w:sz w:val="24"/>
        </w:rPr>
        <w:t>分包给</w:t>
      </w:r>
      <w:r>
        <w:rPr>
          <w:rFonts w:hint="eastAsia" w:ascii="仿宋" w:hAnsi="仿宋" w:eastAsia="仿宋" w:cs="宋体"/>
          <w:color w:val="auto"/>
          <w:sz w:val="24"/>
          <w:u w:val="single"/>
        </w:rPr>
        <w:t>（分包供应商1名称）</w:t>
      </w:r>
      <w:r>
        <w:rPr>
          <w:rFonts w:hint="eastAsia" w:ascii="仿宋" w:hAnsi="仿宋" w:eastAsia="仿宋" w:cs="宋体"/>
          <w:color w:val="auto"/>
          <w:sz w:val="24"/>
          <w:lang w:val="zh-CN"/>
        </w:rPr>
        <w:t>，</w:t>
      </w:r>
      <w:r>
        <w:rPr>
          <w:rFonts w:hint="eastAsia" w:ascii="仿宋" w:hAnsi="仿宋" w:eastAsia="仿宋" w:cs="宋体"/>
          <w:color w:val="auto"/>
          <w:sz w:val="24"/>
          <w:u w:val="single"/>
        </w:rPr>
        <w:t>（分包供应商1名称），</w:t>
      </w:r>
      <w:r>
        <w:rPr>
          <w:rFonts w:hint="eastAsia" w:ascii="仿宋" w:hAnsi="仿宋" w:eastAsia="仿宋" w:cs="宋体"/>
          <w:color w:val="auto"/>
          <w:sz w:val="24"/>
          <w:lang w:val="zh-CN"/>
        </w:rPr>
        <w:t>具备承</w:t>
      </w:r>
      <w:r>
        <w:rPr>
          <w:rFonts w:hint="eastAsia" w:ascii="仿宋" w:hAnsi="仿宋" w:eastAsia="仿宋" w:cs="宋体"/>
          <w:color w:val="auto"/>
          <w:sz w:val="24"/>
        </w:rPr>
        <w:t>担</w:t>
      </w:r>
      <w:r>
        <w:rPr>
          <w:rFonts w:hint="eastAsia" w:ascii="仿宋" w:hAnsi="仿宋" w:eastAsia="仿宋" w:cs="宋体"/>
          <w:color w:val="auto"/>
          <w:sz w:val="24"/>
          <w:u w:val="single"/>
          <w:lang w:val="zh-CN"/>
        </w:rPr>
        <w:t>XX工作内容</w:t>
      </w:r>
      <w:r>
        <w:rPr>
          <w:rFonts w:hint="eastAsia" w:ascii="仿宋" w:hAnsi="仿宋" w:eastAsia="仿宋" w:cs="宋体"/>
          <w:color w:val="auto"/>
          <w:sz w:val="24"/>
          <w:lang w:val="zh-CN"/>
        </w:rPr>
        <w:t>相应资质条件且不得再次分包；</w:t>
      </w:r>
    </w:p>
    <w:p>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szCs w:val="24"/>
        </w:rPr>
        <w:t>……</w:t>
      </w:r>
    </w:p>
    <w:p>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二、分包供应商中小企业合同份额</w:t>
      </w:r>
    </w:p>
    <w:p>
      <w:pPr>
        <w:snapToGrid w:val="0"/>
        <w:spacing w:line="300" w:lineRule="auto"/>
        <w:ind w:firstLine="578"/>
        <w:rPr>
          <w:rFonts w:ascii="仿宋" w:hAnsi="仿宋" w:eastAsia="仿宋" w:cs="宋体"/>
          <w:b/>
          <w:color w:val="auto"/>
          <w:sz w:val="24"/>
          <w:lang w:val="zh-CN"/>
        </w:rPr>
      </w:pPr>
      <w:r>
        <w:rPr>
          <w:rFonts w:ascii="仿宋" w:hAnsi="仿宋" w:eastAsia="仿宋" w:cs="宋体"/>
          <w:color w:val="auto"/>
          <w:sz w:val="24"/>
        </w:rPr>
        <w:t>1、</w:t>
      </w:r>
      <w:r>
        <w:rPr>
          <w:rFonts w:hint="eastAsia" w:ascii="仿宋" w:hAnsi="仿宋" w:eastAsia="仿宋" w:cs="宋体"/>
          <w:color w:val="auto"/>
          <w:sz w:val="24"/>
          <w:u w:val="single"/>
        </w:rPr>
        <w:t>（分包供应商X</w:t>
      </w:r>
      <w:r>
        <w:rPr>
          <w:rFonts w:ascii="仿宋" w:hAnsi="仿宋" w:eastAsia="仿宋" w:cs="宋体"/>
          <w:color w:val="auto"/>
          <w:sz w:val="24"/>
          <w:u w:val="single"/>
        </w:rPr>
        <w:t>,</w:t>
      </w:r>
      <w:r>
        <w:rPr>
          <w:rFonts w:hint="eastAsia" w:ascii="仿宋" w:hAnsi="仿宋" w:eastAsia="仿宋" w:cs="宋体"/>
          <w:color w:val="auto"/>
          <w:sz w:val="24"/>
          <w:u w:val="single"/>
        </w:rPr>
        <w:t>……）提供的货物全部由小微企业制造，</w:t>
      </w:r>
      <w:r>
        <w:rPr>
          <w:rFonts w:hint="eastAsia" w:ascii="仿宋" w:hAnsi="仿宋" w:eastAsia="仿宋" w:cs="宋体"/>
          <w:color w:val="auto"/>
          <w:sz w:val="24"/>
        </w:rPr>
        <w:t>其合同份额占到合同总金额_____%以上</w:t>
      </w:r>
      <w:r>
        <w:rPr>
          <w:rFonts w:hint="eastAsia" w:ascii="仿宋" w:hAnsi="仿宋" w:eastAsia="仿宋" w:cs="宋体"/>
          <w:color w:val="auto"/>
        </w:rPr>
        <w:t>。</w:t>
      </w:r>
      <w:r>
        <w:rPr>
          <w:rFonts w:hint="eastAsia" w:ascii="仿宋" w:hAnsi="仿宋" w:eastAsia="仿宋" w:cs="宋体"/>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ascii="仿宋" w:hAnsi="仿宋" w:eastAsia="仿宋" w:cs="宋体"/>
          <w:b/>
          <w:color w:val="auto"/>
          <w:sz w:val="24"/>
          <w:lang w:val="zh-CN"/>
        </w:rPr>
        <w:t>6</w:t>
      </w:r>
      <w:r>
        <w:rPr>
          <w:rFonts w:hint="eastAsia" w:ascii="仿宋" w:hAnsi="仿宋" w:eastAsia="仿宋" w:cs="宋体"/>
          <w:b/>
          <w:color w:val="auto"/>
          <w:sz w:val="24"/>
          <w:lang w:val="zh-CN"/>
        </w:rPr>
        <w:t>%的扣除。供应商</w:t>
      </w:r>
      <w:r>
        <w:rPr>
          <w:rFonts w:hint="eastAsia" w:ascii="仿宋" w:hAnsi="仿宋" w:eastAsia="仿宋" w:cs="宋体"/>
          <w:b/>
          <w:color w:val="auto"/>
          <w:sz w:val="24"/>
        </w:rPr>
        <w:t>拟享受以上价格扣除政策的，填写有关内容。</w:t>
      </w:r>
      <w:r>
        <w:rPr>
          <w:rFonts w:hint="eastAsia" w:ascii="仿宋" w:hAnsi="仿宋" w:eastAsia="仿宋" w:cs="宋体"/>
          <w:b/>
          <w:color w:val="auto"/>
          <w:sz w:val="24"/>
          <w:lang w:val="zh-CN"/>
        </w:rPr>
        <w:t>）</w:t>
      </w:r>
    </w:p>
    <w:p>
      <w:pPr>
        <w:spacing w:line="300" w:lineRule="auto"/>
        <w:ind w:firstLine="480" w:firstLineChars="200"/>
        <w:rPr>
          <w:rFonts w:ascii="仿宋" w:hAnsi="仿宋" w:eastAsia="仿宋" w:cs="宋体"/>
          <w:b/>
          <w:bCs/>
          <w:color w:val="auto"/>
          <w:sz w:val="24"/>
          <w:lang w:val="zh-CN"/>
        </w:rPr>
      </w:pPr>
      <w:r>
        <w:rPr>
          <w:rFonts w:hint="eastAsia" w:ascii="仿宋" w:hAnsi="仿宋" w:eastAsia="仿宋" w:cs="宋体"/>
          <w:color w:val="auto"/>
          <w:sz w:val="24"/>
        </w:rPr>
        <w:t>2、</w:t>
      </w:r>
      <w:bookmarkStart w:id="35" w:name="_Hlk101133173"/>
      <w:r>
        <w:rPr>
          <w:rFonts w:hint="eastAsia" w:ascii="仿宋" w:hAnsi="仿宋" w:eastAsia="仿宋" w:cs="宋体"/>
          <w:color w:val="auto"/>
          <w:sz w:val="24"/>
        </w:rPr>
        <w:t>中小企业合同金额达到_____%，小微企业合同金额达到_____%</w:t>
      </w:r>
      <w:r>
        <w:rPr>
          <w:rFonts w:hint="eastAsia" w:ascii="仿宋" w:hAnsi="仿宋" w:eastAsia="仿宋" w:cs="宋体"/>
          <w:color w:val="auto"/>
          <w:sz w:val="24"/>
          <w:lang w:val="zh-CN"/>
        </w:rPr>
        <w:t>。</w:t>
      </w:r>
      <w:r>
        <w:rPr>
          <w:rFonts w:hint="eastAsia" w:ascii="仿宋" w:hAnsi="仿宋" w:eastAsia="仿宋" w:cs="宋体"/>
          <w:b/>
          <w:bCs/>
          <w:color w:val="auto"/>
          <w:sz w:val="24"/>
          <w:lang w:val="zh-CN"/>
        </w:rPr>
        <w:t>（</w:t>
      </w:r>
      <w:r>
        <w:rPr>
          <w:rFonts w:hint="eastAsia" w:ascii="仿宋" w:hAnsi="仿宋" w:eastAsia="仿宋" w:cs="宋体"/>
          <w:b/>
          <w:bCs/>
          <w:color w:val="auto"/>
          <w:sz w:val="24"/>
        </w:rPr>
        <w:t>要求合同分包形式参加的项目或采购包，供应商按招标文件第一章招标公告申请人的资格要求中规定的</w:t>
      </w:r>
      <w:r>
        <w:rPr>
          <w:rFonts w:hint="eastAsia" w:ascii="仿宋" w:hAnsi="仿宋" w:eastAsia="仿宋" w:cs="宋体"/>
          <w:b/>
          <w:color w:val="auto"/>
          <w:sz w:val="24"/>
          <w:lang w:val="zh-CN"/>
        </w:rPr>
        <w:t>分包意向协议</w:t>
      </w:r>
      <w:r>
        <w:rPr>
          <w:rFonts w:hint="eastAsia" w:ascii="仿宋" w:hAnsi="仿宋" w:eastAsia="仿宋" w:cs="宋体"/>
          <w:b/>
          <w:bCs/>
          <w:color w:val="auto"/>
          <w:sz w:val="24"/>
        </w:rPr>
        <w:t>中中小企业、小微企业合同金额应当达到的比例要求填写。</w:t>
      </w:r>
      <w:r>
        <w:rPr>
          <w:rFonts w:hint="eastAsia" w:ascii="仿宋" w:hAnsi="仿宋" w:eastAsia="仿宋" w:cs="宋体"/>
          <w:b/>
          <w:bCs/>
          <w:color w:val="auto"/>
          <w:sz w:val="24"/>
          <w:lang w:val="zh-CN"/>
        </w:rPr>
        <w:t>）</w:t>
      </w:r>
      <w:bookmarkEnd w:id="35"/>
    </w:p>
    <w:p>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三、分包工作履行期限、地点、方式：</w:t>
      </w:r>
      <w:r>
        <w:rPr>
          <w:rFonts w:hint="eastAsia" w:ascii="仿宋" w:hAnsi="仿宋" w:eastAsia="仿宋" w:cs="宋体"/>
          <w:color w:val="auto"/>
          <w:sz w:val="24"/>
        </w:rPr>
        <w:t>_________________</w:t>
      </w:r>
    </w:p>
    <w:p>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四、质量：</w:t>
      </w:r>
      <w:r>
        <w:rPr>
          <w:rFonts w:hint="eastAsia" w:ascii="仿宋" w:hAnsi="仿宋" w:eastAsia="仿宋" w:cs="宋体"/>
          <w:color w:val="auto"/>
          <w:sz w:val="24"/>
        </w:rPr>
        <w:t>_________________</w:t>
      </w:r>
    </w:p>
    <w:p>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五、价款或者报酬：</w:t>
      </w:r>
      <w:r>
        <w:rPr>
          <w:rFonts w:hint="eastAsia" w:ascii="仿宋" w:hAnsi="仿宋" w:eastAsia="仿宋" w:cs="宋体"/>
          <w:color w:val="auto"/>
          <w:sz w:val="24"/>
        </w:rPr>
        <w:t>_________________</w:t>
      </w:r>
    </w:p>
    <w:p>
      <w:pPr>
        <w:snapToGrid w:val="0"/>
        <w:spacing w:line="300" w:lineRule="auto"/>
        <w:ind w:left="573" w:leftChars="273"/>
        <w:rPr>
          <w:rFonts w:ascii="仿宋" w:hAnsi="仿宋" w:eastAsia="仿宋" w:cs="宋体"/>
          <w:color w:val="auto"/>
          <w:sz w:val="24"/>
          <w:lang w:val="zh-CN"/>
        </w:rPr>
      </w:pPr>
      <w:r>
        <w:rPr>
          <w:rFonts w:hint="eastAsia" w:ascii="仿宋" w:hAnsi="仿宋" w:eastAsia="仿宋" w:cs="宋体"/>
          <w:color w:val="auto"/>
          <w:sz w:val="24"/>
          <w:lang w:val="zh-CN"/>
        </w:rPr>
        <w:t>六、违约责任：</w:t>
      </w:r>
      <w:r>
        <w:rPr>
          <w:rFonts w:hint="eastAsia" w:ascii="仿宋" w:hAnsi="仿宋" w:eastAsia="仿宋" w:cs="宋体"/>
          <w:color w:val="auto"/>
          <w:sz w:val="24"/>
        </w:rPr>
        <w:t>_________________</w:t>
      </w:r>
    </w:p>
    <w:p>
      <w:pPr>
        <w:snapToGrid w:val="0"/>
        <w:spacing w:line="300" w:lineRule="auto"/>
        <w:ind w:firstLine="576"/>
        <w:rPr>
          <w:rFonts w:ascii="仿宋" w:hAnsi="仿宋" w:eastAsia="仿宋" w:cs="宋体"/>
          <w:color w:val="auto"/>
          <w:sz w:val="24"/>
          <w:lang w:val="zh-CN"/>
        </w:rPr>
      </w:pPr>
      <w:r>
        <w:rPr>
          <w:rFonts w:hint="eastAsia" w:ascii="仿宋" w:hAnsi="仿宋" w:eastAsia="仿宋" w:cs="宋体"/>
          <w:color w:val="auto"/>
          <w:sz w:val="24"/>
          <w:lang w:val="zh-CN"/>
        </w:rPr>
        <w:t>七、争议解决的办法：</w:t>
      </w:r>
      <w:r>
        <w:rPr>
          <w:rFonts w:hint="eastAsia" w:ascii="仿宋" w:hAnsi="仿宋" w:eastAsia="仿宋" w:cs="宋体"/>
          <w:color w:val="auto"/>
          <w:sz w:val="24"/>
        </w:rPr>
        <w:t>_________________</w:t>
      </w:r>
    </w:p>
    <w:p>
      <w:pPr>
        <w:snapToGrid w:val="0"/>
        <w:spacing w:line="300" w:lineRule="auto"/>
        <w:jc w:val="left"/>
        <w:rPr>
          <w:rFonts w:ascii="仿宋" w:hAnsi="仿宋" w:eastAsia="仿宋" w:cs="宋体"/>
          <w:color w:val="auto"/>
          <w:sz w:val="24"/>
          <w:lang w:val="zh-CN"/>
        </w:rPr>
      </w:pPr>
      <w:r>
        <w:rPr>
          <w:rFonts w:hint="eastAsia" w:ascii="仿宋" w:hAnsi="仿宋" w:eastAsia="仿宋" w:cs="宋体"/>
          <w:color w:val="auto"/>
          <w:sz w:val="24"/>
          <w:lang w:val="zh-CN"/>
        </w:rPr>
        <w:t>投标人名称(电子签名)：</w:t>
      </w:r>
      <w:r>
        <w:rPr>
          <w:rFonts w:hint="eastAsia" w:ascii="仿宋" w:hAnsi="仿宋" w:eastAsia="仿宋" w:cs="宋体"/>
          <w:color w:val="auto"/>
          <w:sz w:val="24"/>
        </w:rPr>
        <w:t>____________________</w:t>
      </w:r>
    </w:p>
    <w:p>
      <w:pPr>
        <w:snapToGrid w:val="0"/>
        <w:spacing w:line="300" w:lineRule="auto"/>
        <w:jc w:val="left"/>
        <w:rPr>
          <w:rFonts w:ascii="仿宋" w:hAnsi="仿宋" w:eastAsia="仿宋" w:cs="宋体"/>
          <w:color w:val="auto"/>
          <w:sz w:val="24"/>
          <w:lang w:val="zh-CN"/>
        </w:rPr>
      </w:pPr>
      <w:r>
        <w:rPr>
          <w:rFonts w:hint="eastAsia" w:ascii="仿宋" w:hAnsi="仿宋" w:eastAsia="仿宋" w:cs="宋体"/>
          <w:color w:val="auto"/>
          <w:sz w:val="24"/>
          <w:lang w:val="zh-CN"/>
        </w:rPr>
        <w:t>分包供应商名称(电子签名/公章)：</w:t>
      </w:r>
      <w:r>
        <w:rPr>
          <w:rFonts w:hint="eastAsia" w:ascii="仿宋" w:hAnsi="仿宋" w:eastAsia="仿宋" w:cs="宋体"/>
          <w:color w:val="auto"/>
          <w:sz w:val="24"/>
        </w:rPr>
        <w:t>___________</w:t>
      </w:r>
    </w:p>
    <w:p>
      <w:pPr>
        <w:snapToGrid w:val="0"/>
        <w:spacing w:line="360" w:lineRule="auto"/>
        <w:jc w:val="left"/>
        <w:rPr>
          <w:rFonts w:ascii="仿宋" w:hAnsi="仿宋" w:eastAsia="仿宋" w:cs="宋体"/>
          <w:color w:val="auto"/>
        </w:rPr>
      </w:pPr>
      <w:r>
        <w:rPr>
          <w:rFonts w:hint="eastAsia" w:ascii="仿宋" w:hAnsi="仿宋" w:eastAsia="仿宋" w:cs="宋体"/>
          <w:color w:val="auto"/>
          <w:sz w:val="24"/>
          <w:lang w:val="zh-CN"/>
        </w:rPr>
        <w:t>……</w:t>
      </w:r>
    </w:p>
    <w:p>
      <w:pPr>
        <w:spacing w:line="360" w:lineRule="auto"/>
        <w:jc w:val="left"/>
        <w:rPr>
          <w:rFonts w:ascii="仿宋" w:hAnsi="仿宋" w:eastAsia="仿宋"/>
          <w:b/>
          <w:color w:val="auto"/>
          <w:sz w:val="32"/>
          <w:szCs w:val="32"/>
        </w:rPr>
        <w:sectPr>
          <w:pgSz w:w="11906" w:h="16838"/>
          <w:pgMar w:top="1247" w:right="1247" w:bottom="1247" w:left="1247" w:header="283" w:footer="454" w:gutter="0"/>
          <w:pgNumType w:fmt="numberInDash"/>
          <w:cols w:space="720" w:num="1"/>
          <w:titlePg/>
          <w:docGrid w:type="lines" w:linePitch="312" w:charSpace="0"/>
        </w:sectPr>
      </w:pPr>
      <w:r>
        <w:rPr>
          <w:rFonts w:hint="eastAsia" w:ascii="仿宋" w:hAnsi="仿宋" w:eastAsia="仿宋" w:cs="宋体"/>
          <w:color w:val="auto"/>
          <w:sz w:val="24"/>
          <w:lang w:val="zh-CN"/>
        </w:rPr>
        <w:t>日期：______年______月______日</w:t>
      </w:r>
    </w:p>
    <w:p>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附件三：质 疑 函 范 本（供参考）</w:t>
      </w:r>
    </w:p>
    <w:p>
      <w:pPr>
        <w:spacing w:line="300" w:lineRule="auto"/>
        <w:rPr>
          <w:rFonts w:ascii="仿宋" w:hAnsi="仿宋" w:eastAsia="仿宋"/>
          <w:color w:val="auto"/>
        </w:rPr>
      </w:pPr>
      <w:r>
        <w:rPr>
          <w:rFonts w:hint="eastAsia" w:ascii="仿宋" w:hAnsi="仿宋" w:eastAsia="仿宋" w:cs="仿宋"/>
          <w:bCs/>
          <w:color w:val="auto"/>
        </w:rPr>
        <w:t>一、质疑供应商基本信息</w:t>
      </w:r>
    </w:p>
    <w:p>
      <w:pPr>
        <w:snapToGrid w:val="0"/>
        <w:spacing w:line="300" w:lineRule="auto"/>
        <w:rPr>
          <w:rFonts w:ascii="仿宋" w:hAnsi="仿宋" w:eastAsia="仿宋" w:cs="仿宋"/>
          <w:color w:val="auto"/>
          <w:u w:val="dotted"/>
        </w:rPr>
      </w:pPr>
      <w:r>
        <w:rPr>
          <w:rFonts w:hint="eastAsia" w:ascii="仿宋" w:hAnsi="仿宋" w:eastAsia="仿宋" w:cs="仿宋"/>
          <w:color w:val="auto"/>
        </w:rPr>
        <w:t>质疑供应商：</w:t>
      </w:r>
    </w:p>
    <w:p>
      <w:pPr>
        <w:snapToGrid w:val="0"/>
        <w:spacing w:line="300" w:lineRule="auto"/>
        <w:rPr>
          <w:rFonts w:ascii="仿宋" w:hAnsi="仿宋" w:eastAsia="仿宋" w:cs="仿宋"/>
          <w:color w:val="auto"/>
        </w:rPr>
      </w:pPr>
      <w:r>
        <w:rPr>
          <w:rFonts w:hint="eastAsia" w:ascii="仿宋" w:hAnsi="仿宋" w:eastAsia="仿宋" w:cs="仿宋"/>
          <w:color w:val="auto"/>
        </w:rPr>
        <w:t>地  址：邮    编：</w:t>
      </w:r>
    </w:p>
    <w:p>
      <w:pPr>
        <w:snapToGrid w:val="0"/>
        <w:spacing w:line="300" w:lineRule="auto"/>
        <w:rPr>
          <w:rFonts w:ascii="仿宋" w:hAnsi="仿宋" w:eastAsia="仿宋" w:cs="仿宋"/>
          <w:color w:val="auto"/>
        </w:rPr>
      </w:pPr>
      <w:r>
        <w:rPr>
          <w:rFonts w:hint="eastAsia" w:ascii="仿宋" w:hAnsi="仿宋" w:eastAsia="仿宋" w:cs="仿宋"/>
          <w:color w:val="auto"/>
        </w:rPr>
        <w:t>联系人：联系电话：</w:t>
      </w:r>
    </w:p>
    <w:p>
      <w:pPr>
        <w:snapToGrid w:val="0"/>
        <w:spacing w:line="300" w:lineRule="auto"/>
        <w:rPr>
          <w:rFonts w:ascii="仿宋" w:hAnsi="仿宋" w:eastAsia="仿宋" w:cs="仿宋"/>
          <w:color w:val="auto"/>
          <w:u w:val="dotted"/>
        </w:rPr>
      </w:pPr>
      <w:r>
        <w:rPr>
          <w:rFonts w:hint="eastAsia" w:ascii="仿宋" w:hAnsi="仿宋" w:eastAsia="仿宋" w:cs="仿宋"/>
          <w:color w:val="auto"/>
        </w:rPr>
        <w:t>授权代表：</w:t>
      </w:r>
    </w:p>
    <w:p>
      <w:pPr>
        <w:snapToGrid w:val="0"/>
        <w:spacing w:line="300" w:lineRule="auto"/>
        <w:rPr>
          <w:rFonts w:ascii="仿宋" w:hAnsi="仿宋" w:eastAsia="仿宋" w:cs="仿宋"/>
          <w:color w:val="auto"/>
        </w:rPr>
      </w:pPr>
      <w:r>
        <w:rPr>
          <w:rFonts w:hint="eastAsia" w:ascii="仿宋" w:hAnsi="仿宋" w:eastAsia="仿宋" w:cs="仿宋"/>
          <w:color w:val="auto"/>
        </w:rPr>
        <w:t>联系电话：</w:t>
      </w:r>
    </w:p>
    <w:p>
      <w:pPr>
        <w:snapToGrid w:val="0"/>
        <w:spacing w:line="300" w:lineRule="auto"/>
        <w:rPr>
          <w:rFonts w:ascii="仿宋" w:hAnsi="仿宋" w:eastAsia="仿宋" w:cs="仿宋"/>
          <w:color w:val="auto"/>
        </w:rPr>
      </w:pPr>
      <w:r>
        <w:rPr>
          <w:rFonts w:hint="eastAsia" w:ascii="仿宋" w:hAnsi="仿宋" w:eastAsia="仿宋" w:cs="仿宋"/>
          <w:color w:val="auto"/>
        </w:rPr>
        <w:t>地  址： 邮   编：</w:t>
      </w:r>
    </w:p>
    <w:p>
      <w:pPr>
        <w:snapToGrid w:val="0"/>
        <w:spacing w:line="300" w:lineRule="auto"/>
        <w:rPr>
          <w:rFonts w:ascii="仿宋" w:hAnsi="仿宋" w:eastAsia="仿宋" w:cs="仿宋"/>
          <w:bCs/>
          <w:color w:val="auto"/>
        </w:rPr>
      </w:pPr>
      <w:r>
        <w:rPr>
          <w:rFonts w:hint="eastAsia" w:ascii="仿宋" w:hAnsi="仿宋" w:eastAsia="仿宋" w:cs="仿宋"/>
          <w:bCs/>
          <w:color w:val="auto"/>
        </w:rPr>
        <w:t>二、质疑项目基本情况</w:t>
      </w:r>
    </w:p>
    <w:p>
      <w:pPr>
        <w:snapToGrid w:val="0"/>
        <w:spacing w:line="300" w:lineRule="auto"/>
        <w:rPr>
          <w:rFonts w:ascii="仿宋" w:hAnsi="仿宋" w:eastAsia="仿宋" w:cs="仿宋"/>
          <w:color w:val="auto"/>
        </w:rPr>
      </w:pPr>
      <w:r>
        <w:rPr>
          <w:rFonts w:hint="eastAsia" w:ascii="仿宋" w:hAnsi="仿宋" w:eastAsia="仿宋" w:cs="仿宋"/>
          <w:color w:val="auto"/>
        </w:rPr>
        <w:t>质疑项目的名称：</w:t>
      </w:r>
    </w:p>
    <w:p>
      <w:pPr>
        <w:snapToGrid w:val="0"/>
        <w:spacing w:line="300" w:lineRule="auto"/>
        <w:rPr>
          <w:rFonts w:ascii="仿宋" w:hAnsi="仿宋" w:eastAsia="仿宋" w:cs="仿宋"/>
          <w:color w:val="auto"/>
        </w:rPr>
      </w:pPr>
      <w:r>
        <w:rPr>
          <w:rFonts w:hint="eastAsia" w:ascii="仿宋" w:hAnsi="仿宋" w:eastAsia="仿宋" w:cs="仿宋"/>
          <w:color w:val="auto"/>
        </w:rPr>
        <w:t>质疑项目的编号：包号（如有请填写）：</w:t>
      </w:r>
    </w:p>
    <w:p>
      <w:pPr>
        <w:snapToGrid w:val="0"/>
        <w:spacing w:line="300" w:lineRule="auto"/>
        <w:rPr>
          <w:rFonts w:ascii="仿宋" w:hAnsi="仿宋" w:eastAsia="仿宋" w:cs="仿宋"/>
          <w:color w:val="auto"/>
          <w:u w:val="dotted"/>
        </w:rPr>
      </w:pPr>
      <w:r>
        <w:rPr>
          <w:rFonts w:hint="eastAsia" w:ascii="仿宋" w:hAnsi="仿宋" w:eastAsia="仿宋" w:cs="仿宋"/>
          <w:color w:val="auto"/>
        </w:rPr>
        <w:t>采购人名称：</w:t>
      </w:r>
    </w:p>
    <w:p>
      <w:pPr>
        <w:snapToGrid w:val="0"/>
        <w:spacing w:line="300" w:lineRule="auto"/>
        <w:rPr>
          <w:rFonts w:ascii="仿宋" w:hAnsi="仿宋" w:eastAsia="仿宋" w:cs="仿宋"/>
          <w:color w:val="auto"/>
        </w:rPr>
      </w:pPr>
      <w:r>
        <w:rPr>
          <w:rFonts w:hint="eastAsia" w:ascii="仿宋" w:hAnsi="仿宋" w:eastAsia="仿宋" w:cs="仿宋"/>
          <w:color w:val="auto"/>
        </w:rPr>
        <w:t>招标文件获取日期：</w:t>
      </w:r>
    </w:p>
    <w:p>
      <w:pPr>
        <w:snapToGrid w:val="0"/>
        <w:spacing w:line="300" w:lineRule="auto"/>
        <w:rPr>
          <w:rFonts w:ascii="仿宋" w:hAnsi="仿宋" w:eastAsia="仿宋" w:cs="仿宋"/>
          <w:bCs/>
          <w:color w:val="auto"/>
        </w:rPr>
      </w:pPr>
      <w:r>
        <w:rPr>
          <w:rFonts w:hint="eastAsia" w:ascii="仿宋" w:hAnsi="仿宋" w:eastAsia="仿宋" w:cs="仿宋"/>
          <w:bCs/>
          <w:color w:val="auto"/>
        </w:rPr>
        <w:t>三、质疑事项具体内容</w:t>
      </w:r>
    </w:p>
    <w:p>
      <w:pPr>
        <w:snapToGrid w:val="0"/>
        <w:spacing w:line="300" w:lineRule="auto"/>
        <w:rPr>
          <w:rFonts w:ascii="仿宋" w:hAnsi="仿宋" w:eastAsia="仿宋" w:cs="仿宋"/>
          <w:color w:val="auto"/>
          <w:u w:val="dotted"/>
        </w:rPr>
      </w:pPr>
      <w:r>
        <w:rPr>
          <w:rFonts w:hint="eastAsia" w:ascii="仿宋" w:hAnsi="仿宋" w:eastAsia="仿宋" w:cs="仿宋"/>
          <w:color w:val="auto"/>
        </w:rPr>
        <w:t>质疑事项1：</w:t>
      </w:r>
    </w:p>
    <w:p>
      <w:pPr>
        <w:snapToGrid w:val="0"/>
        <w:spacing w:line="300" w:lineRule="auto"/>
        <w:rPr>
          <w:rFonts w:ascii="仿宋" w:hAnsi="仿宋" w:eastAsia="仿宋" w:cs="仿宋"/>
          <w:color w:val="auto"/>
          <w:u w:val="dotted"/>
        </w:rPr>
      </w:pPr>
      <w:r>
        <w:rPr>
          <w:rFonts w:hint="eastAsia" w:ascii="仿宋" w:hAnsi="仿宋" w:eastAsia="仿宋" w:cs="仿宋"/>
          <w:color w:val="auto"/>
        </w:rPr>
        <w:t>事实依据：</w:t>
      </w:r>
    </w:p>
    <w:p>
      <w:pPr>
        <w:snapToGrid w:val="0"/>
        <w:spacing w:line="300" w:lineRule="auto"/>
        <w:rPr>
          <w:rFonts w:ascii="仿宋" w:hAnsi="仿宋" w:eastAsia="仿宋" w:cs="仿宋"/>
          <w:color w:val="auto"/>
          <w:u w:val="dotted"/>
        </w:rPr>
      </w:pPr>
      <w:r>
        <w:rPr>
          <w:rFonts w:hint="eastAsia" w:ascii="仿宋" w:hAnsi="仿宋" w:eastAsia="仿宋" w:cs="仿宋"/>
          <w:color w:val="auto"/>
        </w:rPr>
        <w:t>法律依据：</w:t>
      </w:r>
    </w:p>
    <w:p>
      <w:pPr>
        <w:snapToGrid w:val="0"/>
        <w:spacing w:line="300" w:lineRule="auto"/>
        <w:rPr>
          <w:rFonts w:ascii="仿宋" w:hAnsi="仿宋" w:eastAsia="仿宋" w:cs="仿宋"/>
          <w:color w:val="auto"/>
          <w:u w:val="dotted"/>
        </w:rPr>
      </w:pPr>
      <w:r>
        <w:rPr>
          <w:rFonts w:hint="eastAsia" w:ascii="仿宋" w:hAnsi="仿宋" w:eastAsia="仿宋" w:cs="仿宋"/>
          <w:color w:val="auto"/>
        </w:rPr>
        <w:t>质疑事项2</w:t>
      </w:r>
    </w:p>
    <w:p>
      <w:pPr>
        <w:snapToGrid w:val="0"/>
        <w:spacing w:line="300" w:lineRule="auto"/>
        <w:rPr>
          <w:rFonts w:ascii="仿宋" w:hAnsi="仿宋" w:eastAsia="仿宋" w:cs="仿宋"/>
          <w:color w:val="auto"/>
        </w:rPr>
      </w:pPr>
      <w:r>
        <w:rPr>
          <w:rFonts w:hint="eastAsia" w:ascii="仿宋" w:hAnsi="仿宋" w:eastAsia="仿宋" w:cs="仿宋"/>
          <w:color w:val="auto"/>
        </w:rPr>
        <w:t>……</w:t>
      </w:r>
    </w:p>
    <w:p>
      <w:pPr>
        <w:snapToGrid w:val="0"/>
        <w:spacing w:line="300" w:lineRule="auto"/>
        <w:rPr>
          <w:rFonts w:ascii="仿宋" w:hAnsi="仿宋" w:eastAsia="仿宋" w:cs="仿宋"/>
          <w:bCs/>
          <w:color w:val="auto"/>
        </w:rPr>
      </w:pPr>
      <w:r>
        <w:rPr>
          <w:rFonts w:hint="eastAsia" w:ascii="仿宋" w:hAnsi="仿宋" w:eastAsia="仿宋" w:cs="仿宋"/>
          <w:bCs/>
          <w:color w:val="auto"/>
        </w:rPr>
        <w:t>四、与质疑事项相关的质疑请求</w:t>
      </w:r>
    </w:p>
    <w:p>
      <w:pPr>
        <w:snapToGrid w:val="0"/>
        <w:spacing w:line="300" w:lineRule="auto"/>
        <w:rPr>
          <w:rFonts w:ascii="仿宋" w:hAnsi="仿宋" w:eastAsia="仿宋" w:cs="仿宋"/>
          <w:color w:val="auto"/>
          <w:u w:val="dotted"/>
        </w:rPr>
      </w:pPr>
      <w:r>
        <w:rPr>
          <w:rFonts w:hint="eastAsia" w:ascii="仿宋" w:hAnsi="仿宋" w:eastAsia="仿宋" w:cs="仿宋"/>
          <w:color w:val="auto"/>
        </w:rPr>
        <w:t>请求：</w:t>
      </w:r>
    </w:p>
    <w:p>
      <w:pPr>
        <w:spacing w:line="300" w:lineRule="auto"/>
        <w:rPr>
          <w:rFonts w:ascii="仿宋" w:hAnsi="仿宋" w:eastAsia="仿宋"/>
          <w:color w:val="auto"/>
        </w:rPr>
      </w:pPr>
      <w:r>
        <w:rPr>
          <w:rFonts w:hint="eastAsia" w:ascii="仿宋" w:hAnsi="仿宋" w:eastAsia="仿宋"/>
          <w:color w:val="auto"/>
        </w:rPr>
        <w:t>签字(签章)：公章：</w:t>
      </w:r>
    </w:p>
    <w:p>
      <w:pPr>
        <w:spacing w:line="300" w:lineRule="auto"/>
        <w:rPr>
          <w:rFonts w:ascii="仿宋" w:hAnsi="仿宋" w:eastAsia="仿宋"/>
          <w:color w:val="auto"/>
        </w:rPr>
      </w:pPr>
      <w:r>
        <w:rPr>
          <w:rFonts w:hint="eastAsia" w:ascii="仿宋" w:hAnsi="仿宋" w:eastAsia="仿宋"/>
          <w:color w:val="auto"/>
        </w:rPr>
        <w:t>日期：</w:t>
      </w:r>
    </w:p>
    <w:p>
      <w:pPr>
        <w:spacing w:line="300" w:lineRule="auto"/>
        <w:rPr>
          <w:rFonts w:ascii="仿宋" w:hAnsi="仿宋" w:eastAsia="仿宋"/>
          <w:b/>
          <w:color w:val="auto"/>
        </w:rPr>
      </w:pPr>
      <w:r>
        <w:rPr>
          <w:rFonts w:hint="eastAsia" w:ascii="仿宋" w:hAnsi="仿宋" w:eastAsia="仿宋"/>
          <w:b/>
          <w:color w:val="auto"/>
        </w:rPr>
        <w:t>质疑函制作说明：</w:t>
      </w:r>
    </w:p>
    <w:p>
      <w:pPr>
        <w:spacing w:line="300" w:lineRule="auto"/>
        <w:ind w:firstLine="420" w:firstLineChars="200"/>
        <w:rPr>
          <w:rFonts w:ascii="仿宋" w:hAnsi="仿宋" w:eastAsia="仿宋"/>
          <w:color w:val="auto"/>
        </w:rPr>
      </w:pPr>
      <w:r>
        <w:rPr>
          <w:rFonts w:hint="eastAsia" w:ascii="仿宋" w:hAnsi="仿宋" w:eastAsia="仿宋"/>
          <w:color w:val="auto"/>
        </w:rPr>
        <w:t>1.供应商提出质疑时，应提交质疑函和必要的证明材料。</w:t>
      </w:r>
    </w:p>
    <w:p>
      <w:pPr>
        <w:spacing w:line="300" w:lineRule="auto"/>
        <w:ind w:firstLine="420" w:firstLineChars="200"/>
        <w:rPr>
          <w:rFonts w:ascii="仿宋" w:hAnsi="仿宋" w:eastAsia="仿宋"/>
          <w:color w:val="auto"/>
        </w:rPr>
      </w:pPr>
      <w:r>
        <w:rPr>
          <w:rFonts w:hint="eastAsia" w:ascii="仿宋" w:hAnsi="仿宋" w:eastAsia="仿宋"/>
          <w:color w:val="auto"/>
        </w:rPr>
        <w:t>2.质疑供应商若委托代理人进行质疑的，质疑函应按要求列明“授权代表”的有关内容，并在附件中提交由质疑</w:t>
      </w:r>
      <w:r>
        <w:rPr>
          <w:rFonts w:hint="eastAsia" w:ascii="仿宋" w:hAnsi="仿宋" w:eastAsia="仿宋" w:cs="宋体"/>
          <w:color w:val="auto"/>
        </w:rPr>
        <w:t>供应商签署的授权委托书。授权委托书应载明代理人的姓名或者名称、代理事项、具体权限、期限和相关事项。</w:t>
      </w:r>
    </w:p>
    <w:p>
      <w:pPr>
        <w:spacing w:line="300" w:lineRule="auto"/>
        <w:ind w:firstLine="420" w:firstLineChars="200"/>
        <w:rPr>
          <w:rFonts w:ascii="仿宋" w:hAnsi="仿宋" w:eastAsia="仿宋"/>
          <w:color w:val="auto"/>
        </w:rPr>
      </w:pPr>
      <w:r>
        <w:rPr>
          <w:rFonts w:hint="eastAsia" w:ascii="仿宋" w:hAnsi="仿宋" w:eastAsia="仿宋"/>
          <w:color w:val="auto"/>
        </w:rPr>
        <w:t>3.质疑供应商若对项目的某一分包进行质疑，质疑函中应列明具体分包号。</w:t>
      </w:r>
    </w:p>
    <w:p>
      <w:pPr>
        <w:spacing w:line="300" w:lineRule="auto"/>
        <w:ind w:firstLine="420" w:firstLineChars="200"/>
        <w:rPr>
          <w:rFonts w:ascii="仿宋" w:hAnsi="仿宋" w:eastAsia="仿宋"/>
          <w:color w:val="auto"/>
        </w:rPr>
      </w:pPr>
      <w:r>
        <w:rPr>
          <w:rFonts w:hint="eastAsia" w:ascii="仿宋" w:hAnsi="仿宋" w:eastAsia="仿宋"/>
          <w:color w:val="auto"/>
        </w:rPr>
        <w:t>4.质疑函的质疑事项应具体、明确，并有必要的事实依据和法律依据。</w:t>
      </w:r>
    </w:p>
    <w:p>
      <w:pPr>
        <w:spacing w:line="300" w:lineRule="auto"/>
        <w:ind w:firstLine="420" w:firstLineChars="200"/>
        <w:rPr>
          <w:rFonts w:ascii="仿宋" w:hAnsi="仿宋" w:eastAsia="仿宋"/>
          <w:color w:val="auto"/>
        </w:rPr>
      </w:pPr>
      <w:r>
        <w:rPr>
          <w:rFonts w:hint="eastAsia" w:ascii="仿宋" w:hAnsi="仿宋" w:eastAsia="仿宋"/>
          <w:color w:val="auto"/>
        </w:rPr>
        <w:t>5.质疑函的质疑请求应与质疑事项相关。</w:t>
      </w:r>
    </w:p>
    <w:p>
      <w:pPr>
        <w:spacing w:line="300" w:lineRule="auto"/>
        <w:ind w:firstLine="420" w:firstLineChars="200"/>
        <w:rPr>
          <w:rFonts w:ascii="宋体" w:hAnsi="宋体"/>
          <w:color w:val="auto"/>
        </w:rPr>
      </w:pPr>
      <w:r>
        <w:rPr>
          <w:rFonts w:hint="eastAsia" w:ascii="仿宋" w:hAnsi="仿宋" w:eastAsia="仿宋"/>
          <w:color w:val="auto"/>
        </w:rPr>
        <w:t xml:space="preserve">6.质疑供应商为自然人的，质疑函应由本人签字；质疑供应商为法人或者其他组织的，质疑函应由法定代表人、主要负责人，或者其授权代表签字或者盖章，并加盖公章。 </w:t>
      </w:r>
    </w:p>
    <w:sectPr>
      <w:pgSz w:w="11906" w:h="16838"/>
      <w:pgMar w:top="1247" w:right="1247" w:bottom="1247" w:left="1247" w:header="283" w:footer="45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Lucida Sans">
    <w:altName w:val="Lucida Sans Unicode"/>
    <w:panose1 w:val="020B0602030504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pPr>
          <w:pStyle w:val="31"/>
          <w:ind w:firstLine="360"/>
          <w:jc w:val="center"/>
        </w:pPr>
      </w:p>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w:t>
    </w:r>
    <w:r>
      <w:t xml:space="preserve"> 24 -</w: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fldChar w:fldCharType="begin"/>
    </w:r>
    <w:r>
      <w:rPr>
        <w:rStyle w:val="53"/>
      </w:rPr>
      <w:instrText xml:space="preserve">PAGE  </w:instrText>
    </w:r>
    <w:r>
      <w:fldChar w:fldCharType="end"/>
    </w: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w:t>
    </w:r>
    <w:r>
      <w:t xml:space="preserve"> 21 -</w:t>
    </w:r>
    <w:r>
      <w:fldChar w:fldCharType="end"/>
    </w:r>
  </w:p>
  <w:p>
    <w:pPr>
      <w:pStyle w:val="31"/>
      <w:jc w:val="center"/>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r>
      <w:rPr>
        <w:rFonts w:hint="eastAsia"/>
      </w:rPr>
      <w:drawing>
        <wp:inline distT="0" distB="0" distL="0" distR="0">
          <wp:extent cx="5861050" cy="338455"/>
          <wp:effectExtent l="1905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61050" cy="3387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r>
      <w:rPr>
        <w:rFonts w:hint="eastAsia"/>
      </w:rPr>
      <w:drawing>
        <wp:inline distT="0" distB="0" distL="0" distR="0">
          <wp:extent cx="5976620" cy="345440"/>
          <wp:effectExtent l="19050" t="0" r="508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76620" cy="3454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r>
      <w:rPr>
        <w:rFonts w:hint="eastAsia"/>
      </w:rPr>
      <w:drawing>
        <wp:inline distT="0" distB="0" distL="0" distR="0">
          <wp:extent cx="5976620" cy="34544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76620" cy="345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6"/>
      <w:lvlText w:val="%1."/>
      <w:lvlJc w:val="left"/>
      <w:pPr>
        <w:tabs>
          <w:tab w:val="left" w:pos="1200"/>
        </w:tabs>
        <w:ind w:left="1200" w:hanging="360"/>
      </w:pPr>
    </w:lvl>
  </w:abstractNum>
  <w:abstractNum w:abstractNumId="1">
    <w:nsid w:val="00000006"/>
    <w:multiLevelType w:val="singleLevel"/>
    <w:tmpl w:val="00000006"/>
    <w:lvl w:ilvl="0" w:tentative="0">
      <w:start w:val="1"/>
      <w:numFmt w:val="decimal"/>
      <w:pStyle w:val="23"/>
      <w:lvlText w:val="%1."/>
      <w:lvlJc w:val="left"/>
      <w:pPr>
        <w:tabs>
          <w:tab w:val="left" w:pos="1200"/>
        </w:tabs>
        <w:ind w:left="1200" w:hanging="360"/>
      </w:pPr>
    </w:lvl>
  </w:abstractNum>
  <w:abstractNum w:abstractNumId="2">
    <w:nsid w:val="00000008"/>
    <w:multiLevelType w:val="multilevel"/>
    <w:tmpl w:val="00000008"/>
    <w:lvl w:ilvl="0" w:tentative="0">
      <w:start w:val="1"/>
      <w:numFmt w:val="bullet"/>
      <w:pStyle w:val="13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09"/>
    <w:multiLevelType w:val="multilevel"/>
    <w:tmpl w:val="00000009"/>
    <w:lvl w:ilvl="0" w:tentative="0">
      <w:start w:val="1"/>
      <w:numFmt w:val="decimal"/>
      <w:pStyle w:val="16"/>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pStyle w:val="173"/>
      <w:lvlText w:val="%1、"/>
      <w:lvlJc w:val="left"/>
      <w:pPr>
        <w:tabs>
          <w:tab w:val="left" w:pos="360"/>
        </w:tabs>
        <w:ind w:left="360" w:hanging="360"/>
      </w:pPr>
      <w:rPr>
        <w:rFonts w:ascii="Times New Roman" w:hAnsi="Times New Roman" w:eastAsia="黑体" w:cs="Times New Roman"/>
      </w:rPr>
    </w:lvl>
    <w:lvl w:ilvl="1" w:tentative="0">
      <w:start w:val="2005"/>
      <w:numFmt w:val="decimal"/>
      <w:pStyle w:val="33"/>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A760F1C"/>
    <w:multiLevelType w:val="multilevel"/>
    <w:tmpl w:val="0A760F1C"/>
    <w:lvl w:ilvl="0" w:tentative="0">
      <w:start w:val="1"/>
      <w:numFmt w:val="decimal"/>
      <w:pStyle w:val="234"/>
      <w:suff w:val="space"/>
      <w:lvlText w:val="第%1章"/>
      <w:lvlJc w:val="center"/>
      <w:pPr>
        <w:ind w:left="0" w:firstLine="288"/>
      </w:pPr>
      <w:rPr>
        <w:rFonts w:hint="eastAsia" w:ascii="黑体" w:hAnsi="黑体" w:eastAsia="黑体"/>
        <w:sz w:val="36"/>
      </w:rPr>
    </w:lvl>
    <w:lvl w:ilvl="1" w:tentative="0">
      <w:start w:val="1"/>
      <w:numFmt w:val="decimal"/>
      <w:pStyle w:val="245"/>
      <w:suff w:val="space"/>
      <w:lvlText w:val="%1.%2"/>
      <w:lvlJc w:val="left"/>
      <w:pPr>
        <w:ind w:left="0" w:firstLine="0"/>
      </w:pPr>
      <w:rPr>
        <w:rFonts w:hint="eastAsia" w:ascii="黑体" w:hAnsi="黑体" w:eastAsia="黑体"/>
        <w:sz w:val="30"/>
      </w:rPr>
    </w:lvl>
    <w:lvl w:ilvl="2" w:tentative="0">
      <w:start w:val="1"/>
      <w:numFmt w:val="decimal"/>
      <w:pStyle w:val="227"/>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38"/>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26"/>
      <w:lvlText w:val="%1.%2.%3.%4.%5.%6.%7"/>
      <w:lvlJc w:val="left"/>
      <w:pPr>
        <w:ind w:left="0" w:firstLine="0"/>
      </w:pPr>
      <w:rPr>
        <w:rFonts w:hint="eastAsia"/>
      </w:rPr>
    </w:lvl>
    <w:lvl w:ilvl="7" w:tentative="0">
      <w:start w:val="1"/>
      <w:numFmt w:val="decimal"/>
      <w:pStyle w:val="240"/>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4798592B"/>
    <w:multiLevelType w:val="multilevel"/>
    <w:tmpl w:val="4798592B"/>
    <w:lvl w:ilvl="0" w:tentative="0">
      <w:start w:val="1"/>
      <w:numFmt w:val="decimal"/>
      <w:pStyle w:val="213"/>
      <w:lvlText w:val="%1、"/>
      <w:lvlJc w:val="left"/>
      <w:pPr>
        <w:tabs>
          <w:tab w:val="left" w:pos="360"/>
        </w:tabs>
        <w:ind w:left="360" w:hanging="360"/>
      </w:pPr>
      <w:rPr>
        <w:rFonts w:ascii="Times New Roman" w:hAnsi="Times New Roman" w:eastAsia="黑体" w:cs="Times New Roman"/>
      </w:rPr>
    </w:lvl>
    <w:lvl w:ilvl="1" w:tentative="0">
      <w:start w:val="2005"/>
      <w:numFmt w:val="decimal"/>
      <w:pStyle w:val="244"/>
      <w:lvlText w:val="%2年"/>
      <w:lvlJc w:val="left"/>
      <w:pPr>
        <w:tabs>
          <w:tab w:val="left" w:pos="1620"/>
        </w:tabs>
        <w:ind w:left="1620" w:hanging="1200"/>
      </w:pPr>
      <w:rPr>
        <w:rFonts w:hint="eastAsia"/>
      </w:rPr>
    </w:lvl>
    <w:lvl w:ilvl="2" w:tentative="0">
      <w:start w:val="1"/>
      <w:numFmt w:val="decimal"/>
      <w:pStyle w:val="215"/>
      <w:lvlText w:val="（%3）"/>
      <w:lvlJc w:val="left"/>
      <w:pPr>
        <w:tabs>
          <w:tab w:val="left" w:pos="1560"/>
        </w:tabs>
        <w:ind w:left="1560" w:hanging="720"/>
      </w:pPr>
      <w:rPr>
        <w:rFonts w:hint="eastAsia"/>
      </w:rPr>
    </w:lvl>
    <w:lvl w:ilvl="3" w:tentative="0">
      <w:start w:val="1"/>
      <w:numFmt w:val="decimal"/>
      <w:pStyle w:val="23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F56743F"/>
    <w:multiLevelType w:val="multilevel"/>
    <w:tmpl w:val="6F56743F"/>
    <w:lvl w:ilvl="0" w:tentative="0">
      <w:start w:val="1"/>
      <w:numFmt w:val="decimalEnclosedCircle"/>
      <w:pStyle w:val="225"/>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70E0079F"/>
    <w:multiLevelType w:val="multilevel"/>
    <w:tmpl w:val="70E0079F"/>
    <w:lvl w:ilvl="0" w:tentative="0">
      <w:start w:val="4"/>
      <w:numFmt w:val="japaneseCounting"/>
      <w:pStyle w:val="196"/>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6F4AFF"/>
    <w:multiLevelType w:val="multilevel"/>
    <w:tmpl w:val="766F4AFF"/>
    <w:lvl w:ilvl="0" w:tentative="0">
      <w:start w:val="1"/>
      <w:numFmt w:val="decimal"/>
      <w:pStyle w:val="217"/>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8"/>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2NmViZGVjYWI5MWVlYjJhNzllZjJmZGFkNzNmMzMifQ=="/>
  </w:docVars>
  <w:rsids>
    <w:rsidRoot w:val="00AF11CB"/>
    <w:rsid w:val="0000014C"/>
    <w:rsid w:val="000002B9"/>
    <w:rsid w:val="00000A87"/>
    <w:rsid w:val="000010DB"/>
    <w:rsid w:val="00001241"/>
    <w:rsid w:val="000017B7"/>
    <w:rsid w:val="00001A6B"/>
    <w:rsid w:val="00001C13"/>
    <w:rsid w:val="00002312"/>
    <w:rsid w:val="00002BEC"/>
    <w:rsid w:val="00002C14"/>
    <w:rsid w:val="000031F4"/>
    <w:rsid w:val="00003B07"/>
    <w:rsid w:val="00003D4A"/>
    <w:rsid w:val="00004A82"/>
    <w:rsid w:val="00004B12"/>
    <w:rsid w:val="00004E2B"/>
    <w:rsid w:val="00005205"/>
    <w:rsid w:val="000057AD"/>
    <w:rsid w:val="00005DC1"/>
    <w:rsid w:val="0000764C"/>
    <w:rsid w:val="00010510"/>
    <w:rsid w:val="0001051E"/>
    <w:rsid w:val="000111E7"/>
    <w:rsid w:val="00011912"/>
    <w:rsid w:val="00011F13"/>
    <w:rsid w:val="000126CC"/>
    <w:rsid w:val="00012D78"/>
    <w:rsid w:val="00012DE2"/>
    <w:rsid w:val="00013360"/>
    <w:rsid w:val="0001344F"/>
    <w:rsid w:val="0001347A"/>
    <w:rsid w:val="000135B4"/>
    <w:rsid w:val="00013646"/>
    <w:rsid w:val="00013BD7"/>
    <w:rsid w:val="0001475B"/>
    <w:rsid w:val="0001500A"/>
    <w:rsid w:val="0001583E"/>
    <w:rsid w:val="00015996"/>
    <w:rsid w:val="0001648F"/>
    <w:rsid w:val="00016671"/>
    <w:rsid w:val="00016978"/>
    <w:rsid w:val="00017EBE"/>
    <w:rsid w:val="000206A2"/>
    <w:rsid w:val="00020C2E"/>
    <w:rsid w:val="00021D48"/>
    <w:rsid w:val="00021F2F"/>
    <w:rsid w:val="0002281B"/>
    <w:rsid w:val="000229BF"/>
    <w:rsid w:val="0002311D"/>
    <w:rsid w:val="0002327B"/>
    <w:rsid w:val="00023654"/>
    <w:rsid w:val="00023714"/>
    <w:rsid w:val="00023E1A"/>
    <w:rsid w:val="00023E4E"/>
    <w:rsid w:val="00023EE1"/>
    <w:rsid w:val="00024A08"/>
    <w:rsid w:val="0002598E"/>
    <w:rsid w:val="00025DB6"/>
    <w:rsid w:val="00026666"/>
    <w:rsid w:val="00026743"/>
    <w:rsid w:val="00026846"/>
    <w:rsid w:val="0002685E"/>
    <w:rsid w:val="00026BCC"/>
    <w:rsid w:val="00026E5D"/>
    <w:rsid w:val="000274BE"/>
    <w:rsid w:val="000277F0"/>
    <w:rsid w:val="00027D27"/>
    <w:rsid w:val="0003006E"/>
    <w:rsid w:val="0003046A"/>
    <w:rsid w:val="00030B3A"/>
    <w:rsid w:val="00030C49"/>
    <w:rsid w:val="0003136A"/>
    <w:rsid w:val="00031EFF"/>
    <w:rsid w:val="000322E0"/>
    <w:rsid w:val="0003328C"/>
    <w:rsid w:val="00033C44"/>
    <w:rsid w:val="00034E23"/>
    <w:rsid w:val="00034E83"/>
    <w:rsid w:val="000356B4"/>
    <w:rsid w:val="00035FC3"/>
    <w:rsid w:val="0003636F"/>
    <w:rsid w:val="000363A7"/>
    <w:rsid w:val="00036470"/>
    <w:rsid w:val="000369A6"/>
    <w:rsid w:val="00036B88"/>
    <w:rsid w:val="00036E0E"/>
    <w:rsid w:val="00037624"/>
    <w:rsid w:val="0003797B"/>
    <w:rsid w:val="00037EAF"/>
    <w:rsid w:val="00037FAB"/>
    <w:rsid w:val="0004091F"/>
    <w:rsid w:val="00040CBF"/>
    <w:rsid w:val="00040E37"/>
    <w:rsid w:val="000410C2"/>
    <w:rsid w:val="00041AEB"/>
    <w:rsid w:val="00041D33"/>
    <w:rsid w:val="00042915"/>
    <w:rsid w:val="0004311B"/>
    <w:rsid w:val="000431D5"/>
    <w:rsid w:val="00043395"/>
    <w:rsid w:val="000433E8"/>
    <w:rsid w:val="000437D2"/>
    <w:rsid w:val="000446AA"/>
    <w:rsid w:val="00045075"/>
    <w:rsid w:val="00045146"/>
    <w:rsid w:val="000452F9"/>
    <w:rsid w:val="00045CC8"/>
    <w:rsid w:val="00046AD5"/>
    <w:rsid w:val="00046D07"/>
    <w:rsid w:val="00047DE4"/>
    <w:rsid w:val="00047F1D"/>
    <w:rsid w:val="00050046"/>
    <w:rsid w:val="0005042A"/>
    <w:rsid w:val="000506D2"/>
    <w:rsid w:val="00050E58"/>
    <w:rsid w:val="000511DF"/>
    <w:rsid w:val="0005135B"/>
    <w:rsid w:val="00051893"/>
    <w:rsid w:val="0005202E"/>
    <w:rsid w:val="000526B7"/>
    <w:rsid w:val="00053669"/>
    <w:rsid w:val="00053F8F"/>
    <w:rsid w:val="0005415B"/>
    <w:rsid w:val="00054D39"/>
    <w:rsid w:val="00054D4F"/>
    <w:rsid w:val="00054D65"/>
    <w:rsid w:val="00054EEC"/>
    <w:rsid w:val="00055BB8"/>
    <w:rsid w:val="000603AD"/>
    <w:rsid w:val="00060743"/>
    <w:rsid w:val="000607C0"/>
    <w:rsid w:val="000608DA"/>
    <w:rsid w:val="00061801"/>
    <w:rsid w:val="00061C4E"/>
    <w:rsid w:val="000621F9"/>
    <w:rsid w:val="00062383"/>
    <w:rsid w:val="000628A3"/>
    <w:rsid w:val="00062CB3"/>
    <w:rsid w:val="00062DB1"/>
    <w:rsid w:val="000635ED"/>
    <w:rsid w:val="00063B85"/>
    <w:rsid w:val="00065268"/>
    <w:rsid w:val="0006579E"/>
    <w:rsid w:val="00065A29"/>
    <w:rsid w:val="00066100"/>
    <w:rsid w:val="000661B2"/>
    <w:rsid w:val="00066961"/>
    <w:rsid w:val="00066D2C"/>
    <w:rsid w:val="00067198"/>
    <w:rsid w:val="00067C74"/>
    <w:rsid w:val="00067DFE"/>
    <w:rsid w:val="000703C5"/>
    <w:rsid w:val="00070657"/>
    <w:rsid w:val="00070B19"/>
    <w:rsid w:val="00070B2A"/>
    <w:rsid w:val="00071222"/>
    <w:rsid w:val="000717FC"/>
    <w:rsid w:val="0007195C"/>
    <w:rsid w:val="000719F9"/>
    <w:rsid w:val="00071A8D"/>
    <w:rsid w:val="00071F58"/>
    <w:rsid w:val="000729E3"/>
    <w:rsid w:val="00072D23"/>
    <w:rsid w:val="000730F9"/>
    <w:rsid w:val="000737B3"/>
    <w:rsid w:val="00073CA2"/>
    <w:rsid w:val="000746A5"/>
    <w:rsid w:val="0007511D"/>
    <w:rsid w:val="000753A6"/>
    <w:rsid w:val="00076C79"/>
    <w:rsid w:val="0008069B"/>
    <w:rsid w:val="00080A36"/>
    <w:rsid w:val="00080ACC"/>
    <w:rsid w:val="00081469"/>
    <w:rsid w:val="00082032"/>
    <w:rsid w:val="00082372"/>
    <w:rsid w:val="00082388"/>
    <w:rsid w:val="00082C84"/>
    <w:rsid w:val="000830CB"/>
    <w:rsid w:val="000839C9"/>
    <w:rsid w:val="00083D5C"/>
    <w:rsid w:val="00083E06"/>
    <w:rsid w:val="000846E7"/>
    <w:rsid w:val="00084D37"/>
    <w:rsid w:val="00085470"/>
    <w:rsid w:val="000854C1"/>
    <w:rsid w:val="00086467"/>
    <w:rsid w:val="0008719E"/>
    <w:rsid w:val="00087393"/>
    <w:rsid w:val="00090510"/>
    <w:rsid w:val="000906FB"/>
    <w:rsid w:val="000908FA"/>
    <w:rsid w:val="00090FB9"/>
    <w:rsid w:val="00091692"/>
    <w:rsid w:val="00091A94"/>
    <w:rsid w:val="000926DC"/>
    <w:rsid w:val="00092C6B"/>
    <w:rsid w:val="00092D76"/>
    <w:rsid w:val="0009321E"/>
    <w:rsid w:val="00094052"/>
    <w:rsid w:val="00094A79"/>
    <w:rsid w:val="00095B36"/>
    <w:rsid w:val="00095CD1"/>
    <w:rsid w:val="0009618E"/>
    <w:rsid w:val="00096AC6"/>
    <w:rsid w:val="000970ED"/>
    <w:rsid w:val="0009755E"/>
    <w:rsid w:val="0009763F"/>
    <w:rsid w:val="00097714"/>
    <w:rsid w:val="0009784B"/>
    <w:rsid w:val="00097AD8"/>
    <w:rsid w:val="00097C56"/>
    <w:rsid w:val="00097EC4"/>
    <w:rsid w:val="000A05E5"/>
    <w:rsid w:val="000A0601"/>
    <w:rsid w:val="000A09AD"/>
    <w:rsid w:val="000A1047"/>
    <w:rsid w:val="000A1354"/>
    <w:rsid w:val="000A2223"/>
    <w:rsid w:val="000A2314"/>
    <w:rsid w:val="000A249C"/>
    <w:rsid w:val="000A24C7"/>
    <w:rsid w:val="000A2673"/>
    <w:rsid w:val="000A3127"/>
    <w:rsid w:val="000A3552"/>
    <w:rsid w:val="000A35F8"/>
    <w:rsid w:val="000A3652"/>
    <w:rsid w:val="000A3A9F"/>
    <w:rsid w:val="000A3B97"/>
    <w:rsid w:val="000A3D02"/>
    <w:rsid w:val="000A3DC2"/>
    <w:rsid w:val="000A479F"/>
    <w:rsid w:val="000A4A98"/>
    <w:rsid w:val="000A4E59"/>
    <w:rsid w:val="000A53AC"/>
    <w:rsid w:val="000A55B8"/>
    <w:rsid w:val="000A5860"/>
    <w:rsid w:val="000A5D65"/>
    <w:rsid w:val="000A70F9"/>
    <w:rsid w:val="000A789E"/>
    <w:rsid w:val="000A7966"/>
    <w:rsid w:val="000B068E"/>
    <w:rsid w:val="000B1077"/>
    <w:rsid w:val="000B165E"/>
    <w:rsid w:val="000B1670"/>
    <w:rsid w:val="000B17A9"/>
    <w:rsid w:val="000B18BC"/>
    <w:rsid w:val="000B2259"/>
    <w:rsid w:val="000B246F"/>
    <w:rsid w:val="000B2782"/>
    <w:rsid w:val="000B27B7"/>
    <w:rsid w:val="000B28B9"/>
    <w:rsid w:val="000B29C5"/>
    <w:rsid w:val="000B2CCA"/>
    <w:rsid w:val="000B373B"/>
    <w:rsid w:val="000B41D9"/>
    <w:rsid w:val="000B461F"/>
    <w:rsid w:val="000B4ACD"/>
    <w:rsid w:val="000B563E"/>
    <w:rsid w:val="000B5C97"/>
    <w:rsid w:val="000B5D33"/>
    <w:rsid w:val="000B682A"/>
    <w:rsid w:val="000B6BCC"/>
    <w:rsid w:val="000B7432"/>
    <w:rsid w:val="000B7537"/>
    <w:rsid w:val="000B7634"/>
    <w:rsid w:val="000B7A79"/>
    <w:rsid w:val="000B7EE2"/>
    <w:rsid w:val="000B7F2A"/>
    <w:rsid w:val="000C03C4"/>
    <w:rsid w:val="000C0B2B"/>
    <w:rsid w:val="000C135A"/>
    <w:rsid w:val="000C170A"/>
    <w:rsid w:val="000C282E"/>
    <w:rsid w:val="000C2B7F"/>
    <w:rsid w:val="000C3F5B"/>
    <w:rsid w:val="000C3F74"/>
    <w:rsid w:val="000C4765"/>
    <w:rsid w:val="000C4BEF"/>
    <w:rsid w:val="000C528A"/>
    <w:rsid w:val="000C5A8C"/>
    <w:rsid w:val="000C63B0"/>
    <w:rsid w:val="000C680E"/>
    <w:rsid w:val="000C762A"/>
    <w:rsid w:val="000C7957"/>
    <w:rsid w:val="000C7B1C"/>
    <w:rsid w:val="000D23FA"/>
    <w:rsid w:val="000D2784"/>
    <w:rsid w:val="000D2E9F"/>
    <w:rsid w:val="000D3272"/>
    <w:rsid w:val="000D333F"/>
    <w:rsid w:val="000D39CA"/>
    <w:rsid w:val="000D3EAD"/>
    <w:rsid w:val="000D423E"/>
    <w:rsid w:val="000D429C"/>
    <w:rsid w:val="000D547A"/>
    <w:rsid w:val="000D5B0D"/>
    <w:rsid w:val="000D5C26"/>
    <w:rsid w:val="000D5C6F"/>
    <w:rsid w:val="000D689C"/>
    <w:rsid w:val="000D6D62"/>
    <w:rsid w:val="000D74B4"/>
    <w:rsid w:val="000D7756"/>
    <w:rsid w:val="000D7AEE"/>
    <w:rsid w:val="000D7CB5"/>
    <w:rsid w:val="000E038F"/>
    <w:rsid w:val="000E05B5"/>
    <w:rsid w:val="000E070E"/>
    <w:rsid w:val="000E0DDA"/>
    <w:rsid w:val="000E1913"/>
    <w:rsid w:val="000E1B06"/>
    <w:rsid w:val="000E1F2C"/>
    <w:rsid w:val="000E2324"/>
    <w:rsid w:val="000E24C1"/>
    <w:rsid w:val="000E2E87"/>
    <w:rsid w:val="000E303A"/>
    <w:rsid w:val="000E3E24"/>
    <w:rsid w:val="000E4075"/>
    <w:rsid w:val="000E486F"/>
    <w:rsid w:val="000E53AB"/>
    <w:rsid w:val="000E62BE"/>
    <w:rsid w:val="000E678B"/>
    <w:rsid w:val="000E6D54"/>
    <w:rsid w:val="000E76F7"/>
    <w:rsid w:val="000E7BC7"/>
    <w:rsid w:val="000E7BCA"/>
    <w:rsid w:val="000E7CEF"/>
    <w:rsid w:val="000F01BB"/>
    <w:rsid w:val="000F15FF"/>
    <w:rsid w:val="000F1709"/>
    <w:rsid w:val="000F1945"/>
    <w:rsid w:val="000F1E81"/>
    <w:rsid w:val="000F1F43"/>
    <w:rsid w:val="000F22A6"/>
    <w:rsid w:val="000F33ED"/>
    <w:rsid w:val="000F3BDA"/>
    <w:rsid w:val="000F3C3D"/>
    <w:rsid w:val="000F5DA9"/>
    <w:rsid w:val="000F5EA9"/>
    <w:rsid w:val="000F6604"/>
    <w:rsid w:val="000F665A"/>
    <w:rsid w:val="000F692D"/>
    <w:rsid w:val="000F7088"/>
    <w:rsid w:val="000F7608"/>
    <w:rsid w:val="000F7898"/>
    <w:rsid w:val="000F7EBD"/>
    <w:rsid w:val="001007EB"/>
    <w:rsid w:val="001012C4"/>
    <w:rsid w:val="001014ED"/>
    <w:rsid w:val="0010164C"/>
    <w:rsid w:val="00101650"/>
    <w:rsid w:val="001017CD"/>
    <w:rsid w:val="00102BB3"/>
    <w:rsid w:val="00103322"/>
    <w:rsid w:val="00103533"/>
    <w:rsid w:val="00103D3D"/>
    <w:rsid w:val="001041F0"/>
    <w:rsid w:val="0010443E"/>
    <w:rsid w:val="00104641"/>
    <w:rsid w:val="00104F2E"/>
    <w:rsid w:val="001050D0"/>
    <w:rsid w:val="001058F1"/>
    <w:rsid w:val="00106094"/>
    <w:rsid w:val="00106892"/>
    <w:rsid w:val="00106E94"/>
    <w:rsid w:val="0010712A"/>
    <w:rsid w:val="00107501"/>
    <w:rsid w:val="00107765"/>
    <w:rsid w:val="00107B70"/>
    <w:rsid w:val="00107D77"/>
    <w:rsid w:val="0011198D"/>
    <w:rsid w:val="001128A4"/>
    <w:rsid w:val="00112D0F"/>
    <w:rsid w:val="00112D31"/>
    <w:rsid w:val="00112DBF"/>
    <w:rsid w:val="00113198"/>
    <w:rsid w:val="00113573"/>
    <w:rsid w:val="00113624"/>
    <w:rsid w:val="001139F8"/>
    <w:rsid w:val="00113EBC"/>
    <w:rsid w:val="00113EF1"/>
    <w:rsid w:val="0011404F"/>
    <w:rsid w:val="001141E1"/>
    <w:rsid w:val="00114E97"/>
    <w:rsid w:val="00115017"/>
    <w:rsid w:val="0011545B"/>
    <w:rsid w:val="00115511"/>
    <w:rsid w:val="0011580D"/>
    <w:rsid w:val="00116678"/>
    <w:rsid w:val="00116982"/>
    <w:rsid w:val="00116FB2"/>
    <w:rsid w:val="001172C3"/>
    <w:rsid w:val="00117624"/>
    <w:rsid w:val="00117799"/>
    <w:rsid w:val="0011784D"/>
    <w:rsid w:val="001200AA"/>
    <w:rsid w:val="001201A1"/>
    <w:rsid w:val="00120B34"/>
    <w:rsid w:val="00120DD6"/>
    <w:rsid w:val="00121738"/>
    <w:rsid w:val="00121947"/>
    <w:rsid w:val="00122716"/>
    <w:rsid w:val="00122828"/>
    <w:rsid w:val="00123659"/>
    <w:rsid w:val="0012367B"/>
    <w:rsid w:val="00123BA1"/>
    <w:rsid w:val="00123C8C"/>
    <w:rsid w:val="00124163"/>
    <w:rsid w:val="001254C3"/>
    <w:rsid w:val="00125648"/>
    <w:rsid w:val="00125CE5"/>
    <w:rsid w:val="00126859"/>
    <w:rsid w:val="00126B75"/>
    <w:rsid w:val="00126DD0"/>
    <w:rsid w:val="00126EC1"/>
    <w:rsid w:val="00127297"/>
    <w:rsid w:val="001277FF"/>
    <w:rsid w:val="00127B3A"/>
    <w:rsid w:val="00127BD5"/>
    <w:rsid w:val="00130D92"/>
    <w:rsid w:val="0013160C"/>
    <w:rsid w:val="00131963"/>
    <w:rsid w:val="00131B57"/>
    <w:rsid w:val="00131C5C"/>
    <w:rsid w:val="00132388"/>
    <w:rsid w:val="001326E8"/>
    <w:rsid w:val="00132C46"/>
    <w:rsid w:val="00133788"/>
    <w:rsid w:val="00133B0D"/>
    <w:rsid w:val="0013426E"/>
    <w:rsid w:val="001342CD"/>
    <w:rsid w:val="0013477B"/>
    <w:rsid w:val="001348F6"/>
    <w:rsid w:val="00134A6F"/>
    <w:rsid w:val="00134E75"/>
    <w:rsid w:val="00134FDF"/>
    <w:rsid w:val="0013515E"/>
    <w:rsid w:val="001354D6"/>
    <w:rsid w:val="00135F24"/>
    <w:rsid w:val="0013650E"/>
    <w:rsid w:val="001369D0"/>
    <w:rsid w:val="00136E52"/>
    <w:rsid w:val="0013751F"/>
    <w:rsid w:val="00137623"/>
    <w:rsid w:val="00137ADA"/>
    <w:rsid w:val="00140425"/>
    <w:rsid w:val="00140D6F"/>
    <w:rsid w:val="00140FCD"/>
    <w:rsid w:val="001419A1"/>
    <w:rsid w:val="00141DE0"/>
    <w:rsid w:val="00141F77"/>
    <w:rsid w:val="00141FA2"/>
    <w:rsid w:val="00142AF1"/>
    <w:rsid w:val="00142B11"/>
    <w:rsid w:val="00142DE0"/>
    <w:rsid w:val="00142ED4"/>
    <w:rsid w:val="0014398B"/>
    <w:rsid w:val="00143AFF"/>
    <w:rsid w:val="00143FA4"/>
    <w:rsid w:val="0014417E"/>
    <w:rsid w:val="001442A1"/>
    <w:rsid w:val="00144D93"/>
    <w:rsid w:val="00144ECF"/>
    <w:rsid w:val="00145CA4"/>
    <w:rsid w:val="0014622B"/>
    <w:rsid w:val="00146559"/>
    <w:rsid w:val="00146D2B"/>
    <w:rsid w:val="0014775B"/>
    <w:rsid w:val="00147A75"/>
    <w:rsid w:val="00147B18"/>
    <w:rsid w:val="0015109F"/>
    <w:rsid w:val="001516F4"/>
    <w:rsid w:val="0015180C"/>
    <w:rsid w:val="00152515"/>
    <w:rsid w:val="00152B61"/>
    <w:rsid w:val="00152EF1"/>
    <w:rsid w:val="0015356C"/>
    <w:rsid w:val="001539FD"/>
    <w:rsid w:val="001541CD"/>
    <w:rsid w:val="0015492A"/>
    <w:rsid w:val="00155853"/>
    <w:rsid w:val="00155ABF"/>
    <w:rsid w:val="00155CC7"/>
    <w:rsid w:val="00156151"/>
    <w:rsid w:val="001564A7"/>
    <w:rsid w:val="00156801"/>
    <w:rsid w:val="001569A4"/>
    <w:rsid w:val="00156F2B"/>
    <w:rsid w:val="00157083"/>
    <w:rsid w:val="001605D0"/>
    <w:rsid w:val="00160F46"/>
    <w:rsid w:val="001611B6"/>
    <w:rsid w:val="00161303"/>
    <w:rsid w:val="001616F4"/>
    <w:rsid w:val="001617BA"/>
    <w:rsid w:val="00161B33"/>
    <w:rsid w:val="00162E44"/>
    <w:rsid w:val="00163E48"/>
    <w:rsid w:val="0016403A"/>
    <w:rsid w:val="00164417"/>
    <w:rsid w:val="00165552"/>
    <w:rsid w:val="00165972"/>
    <w:rsid w:val="00165CC7"/>
    <w:rsid w:val="00166448"/>
    <w:rsid w:val="00166E7E"/>
    <w:rsid w:val="00167968"/>
    <w:rsid w:val="001679E5"/>
    <w:rsid w:val="00167AF6"/>
    <w:rsid w:val="00167FD9"/>
    <w:rsid w:val="001700D6"/>
    <w:rsid w:val="00170238"/>
    <w:rsid w:val="00170620"/>
    <w:rsid w:val="00170B26"/>
    <w:rsid w:val="00172339"/>
    <w:rsid w:val="0017268F"/>
    <w:rsid w:val="00172751"/>
    <w:rsid w:val="00173B13"/>
    <w:rsid w:val="0017413E"/>
    <w:rsid w:val="001744CB"/>
    <w:rsid w:val="00174A24"/>
    <w:rsid w:val="00174D24"/>
    <w:rsid w:val="00175344"/>
    <w:rsid w:val="00175B5D"/>
    <w:rsid w:val="00176986"/>
    <w:rsid w:val="001769A6"/>
    <w:rsid w:val="00176C3D"/>
    <w:rsid w:val="00176FF8"/>
    <w:rsid w:val="00177393"/>
    <w:rsid w:val="0017756C"/>
    <w:rsid w:val="00177582"/>
    <w:rsid w:val="001803CA"/>
    <w:rsid w:val="00180E7A"/>
    <w:rsid w:val="00180F7B"/>
    <w:rsid w:val="0018174D"/>
    <w:rsid w:val="00181F4B"/>
    <w:rsid w:val="001821DD"/>
    <w:rsid w:val="001826C4"/>
    <w:rsid w:val="001837FE"/>
    <w:rsid w:val="001838AC"/>
    <w:rsid w:val="001838F3"/>
    <w:rsid w:val="00184739"/>
    <w:rsid w:val="00185941"/>
    <w:rsid w:val="00185A46"/>
    <w:rsid w:val="00185FE2"/>
    <w:rsid w:val="00186750"/>
    <w:rsid w:val="00186B55"/>
    <w:rsid w:val="00187129"/>
    <w:rsid w:val="0018717C"/>
    <w:rsid w:val="0018787B"/>
    <w:rsid w:val="001879D2"/>
    <w:rsid w:val="00187BAA"/>
    <w:rsid w:val="00187BC7"/>
    <w:rsid w:val="00187D65"/>
    <w:rsid w:val="00187E84"/>
    <w:rsid w:val="00187FB8"/>
    <w:rsid w:val="001900C3"/>
    <w:rsid w:val="001900DD"/>
    <w:rsid w:val="001904EB"/>
    <w:rsid w:val="00190A76"/>
    <w:rsid w:val="00190F40"/>
    <w:rsid w:val="00191B17"/>
    <w:rsid w:val="00191D8A"/>
    <w:rsid w:val="00191DF8"/>
    <w:rsid w:val="00191F44"/>
    <w:rsid w:val="00192156"/>
    <w:rsid w:val="00192257"/>
    <w:rsid w:val="00192294"/>
    <w:rsid w:val="001923F1"/>
    <w:rsid w:val="0019272C"/>
    <w:rsid w:val="00192971"/>
    <w:rsid w:val="00192C8A"/>
    <w:rsid w:val="00193610"/>
    <w:rsid w:val="00193885"/>
    <w:rsid w:val="0019393B"/>
    <w:rsid w:val="00193EFC"/>
    <w:rsid w:val="00193EFE"/>
    <w:rsid w:val="001940E5"/>
    <w:rsid w:val="0019462D"/>
    <w:rsid w:val="00194AC2"/>
    <w:rsid w:val="00195199"/>
    <w:rsid w:val="00195FEF"/>
    <w:rsid w:val="0019632B"/>
    <w:rsid w:val="001974D4"/>
    <w:rsid w:val="00197D59"/>
    <w:rsid w:val="00197F75"/>
    <w:rsid w:val="001A027E"/>
    <w:rsid w:val="001A0DFA"/>
    <w:rsid w:val="001A1120"/>
    <w:rsid w:val="001A1777"/>
    <w:rsid w:val="001A1AB4"/>
    <w:rsid w:val="001A1BE8"/>
    <w:rsid w:val="001A272B"/>
    <w:rsid w:val="001A2770"/>
    <w:rsid w:val="001A3389"/>
    <w:rsid w:val="001A37A5"/>
    <w:rsid w:val="001A3D45"/>
    <w:rsid w:val="001A3F87"/>
    <w:rsid w:val="001A401D"/>
    <w:rsid w:val="001A40FD"/>
    <w:rsid w:val="001A4A30"/>
    <w:rsid w:val="001A4D4B"/>
    <w:rsid w:val="001A6783"/>
    <w:rsid w:val="001A67B9"/>
    <w:rsid w:val="001A6855"/>
    <w:rsid w:val="001A7A0F"/>
    <w:rsid w:val="001B021D"/>
    <w:rsid w:val="001B034E"/>
    <w:rsid w:val="001B0F14"/>
    <w:rsid w:val="001B1348"/>
    <w:rsid w:val="001B22E4"/>
    <w:rsid w:val="001B244E"/>
    <w:rsid w:val="001B35D9"/>
    <w:rsid w:val="001B3713"/>
    <w:rsid w:val="001B4F21"/>
    <w:rsid w:val="001B507C"/>
    <w:rsid w:val="001B515E"/>
    <w:rsid w:val="001B658E"/>
    <w:rsid w:val="001B6A86"/>
    <w:rsid w:val="001B7589"/>
    <w:rsid w:val="001B770C"/>
    <w:rsid w:val="001B7DD6"/>
    <w:rsid w:val="001C0125"/>
    <w:rsid w:val="001C21AB"/>
    <w:rsid w:val="001C25DE"/>
    <w:rsid w:val="001C2807"/>
    <w:rsid w:val="001C3610"/>
    <w:rsid w:val="001C3664"/>
    <w:rsid w:val="001C3E2E"/>
    <w:rsid w:val="001C4C0E"/>
    <w:rsid w:val="001C4E82"/>
    <w:rsid w:val="001C4FB5"/>
    <w:rsid w:val="001C507F"/>
    <w:rsid w:val="001C593B"/>
    <w:rsid w:val="001C5DFB"/>
    <w:rsid w:val="001C6361"/>
    <w:rsid w:val="001C64D2"/>
    <w:rsid w:val="001C6653"/>
    <w:rsid w:val="001C6729"/>
    <w:rsid w:val="001C67A1"/>
    <w:rsid w:val="001C719B"/>
    <w:rsid w:val="001C74FA"/>
    <w:rsid w:val="001C75B5"/>
    <w:rsid w:val="001C7614"/>
    <w:rsid w:val="001C7684"/>
    <w:rsid w:val="001C7A75"/>
    <w:rsid w:val="001C7EE6"/>
    <w:rsid w:val="001D0315"/>
    <w:rsid w:val="001D03F1"/>
    <w:rsid w:val="001D04D0"/>
    <w:rsid w:val="001D0537"/>
    <w:rsid w:val="001D0FAD"/>
    <w:rsid w:val="001D113F"/>
    <w:rsid w:val="001D12B3"/>
    <w:rsid w:val="001D1347"/>
    <w:rsid w:val="001D1730"/>
    <w:rsid w:val="001D2344"/>
    <w:rsid w:val="001D25E8"/>
    <w:rsid w:val="001D3154"/>
    <w:rsid w:val="001D346C"/>
    <w:rsid w:val="001D39C0"/>
    <w:rsid w:val="001D3EB7"/>
    <w:rsid w:val="001D4695"/>
    <w:rsid w:val="001D485C"/>
    <w:rsid w:val="001D491D"/>
    <w:rsid w:val="001D52F6"/>
    <w:rsid w:val="001D543A"/>
    <w:rsid w:val="001D59A9"/>
    <w:rsid w:val="001D5AAD"/>
    <w:rsid w:val="001D5C70"/>
    <w:rsid w:val="001D6402"/>
    <w:rsid w:val="001D6699"/>
    <w:rsid w:val="001D6BDB"/>
    <w:rsid w:val="001D7281"/>
    <w:rsid w:val="001D744A"/>
    <w:rsid w:val="001D761A"/>
    <w:rsid w:val="001D7BE1"/>
    <w:rsid w:val="001D7ED5"/>
    <w:rsid w:val="001E0872"/>
    <w:rsid w:val="001E098C"/>
    <w:rsid w:val="001E19FF"/>
    <w:rsid w:val="001E1C93"/>
    <w:rsid w:val="001E1E81"/>
    <w:rsid w:val="001E1EAD"/>
    <w:rsid w:val="001E1EF9"/>
    <w:rsid w:val="001E2642"/>
    <w:rsid w:val="001E2A7E"/>
    <w:rsid w:val="001E2CE8"/>
    <w:rsid w:val="001E3767"/>
    <w:rsid w:val="001E43A5"/>
    <w:rsid w:val="001E4859"/>
    <w:rsid w:val="001E4919"/>
    <w:rsid w:val="001E5475"/>
    <w:rsid w:val="001E54CC"/>
    <w:rsid w:val="001E59BA"/>
    <w:rsid w:val="001E6134"/>
    <w:rsid w:val="001E64B4"/>
    <w:rsid w:val="001E69FD"/>
    <w:rsid w:val="001E6B94"/>
    <w:rsid w:val="001E74F2"/>
    <w:rsid w:val="001F03DA"/>
    <w:rsid w:val="001F06AC"/>
    <w:rsid w:val="001F06F7"/>
    <w:rsid w:val="001F0EC0"/>
    <w:rsid w:val="001F15B8"/>
    <w:rsid w:val="001F1731"/>
    <w:rsid w:val="001F2113"/>
    <w:rsid w:val="001F23E5"/>
    <w:rsid w:val="001F247B"/>
    <w:rsid w:val="001F2DC4"/>
    <w:rsid w:val="001F35AA"/>
    <w:rsid w:val="001F3B46"/>
    <w:rsid w:val="001F3B61"/>
    <w:rsid w:val="001F3BFA"/>
    <w:rsid w:val="001F455B"/>
    <w:rsid w:val="001F4814"/>
    <w:rsid w:val="001F48FC"/>
    <w:rsid w:val="001F4AA5"/>
    <w:rsid w:val="001F57F4"/>
    <w:rsid w:val="001F581B"/>
    <w:rsid w:val="001F62B8"/>
    <w:rsid w:val="001F63DC"/>
    <w:rsid w:val="001F64A3"/>
    <w:rsid w:val="001F671A"/>
    <w:rsid w:val="001F6866"/>
    <w:rsid w:val="001F6DBA"/>
    <w:rsid w:val="001F7AE2"/>
    <w:rsid w:val="001F7CDC"/>
    <w:rsid w:val="00200583"/>
    <w:rsid w:val="002006EB"/>
    <w:rsid w:val="00200B0B"/>
    <w:rsid w:val="00200BC0"/>
    <w:rsid w:val="00200CF9"/>
    <w:rsid w:val="002019DC"/>
    <w:rsid w:val="002026BD"/>
    <w:rsid w:val="002027DE"/>
    <w:rsid w:val="00202AC4"/>
    <w:rsid w:val="00203649"/>
    <w:rsid w:val="00204196"/>
    <w:rsid w:val="002042C0"/>
    <w:rsid w:val="00204973"/>
    <w:rsid w:val="00204F11"/>
    <w:rsid w:val="002050C8"/>
    <w:rsid w:val="002052CF"/>
    <w:rsid w:val="002055ED"/>
    <w:rsid w:val="00205938"/>
    <w:rsid w:val="00205F2B"/>
    <w:rsid w:val="002063C7"/>
    <w:rsid w:val="00207001"/>
    <w:rsid w:val="00210A66"/>
    <w:rsid w:val="00210D98"/>
    <w:rsid w:val="00210E0C"/>
    <w:rsid w:val="002113AF"/>
    <w:rsid w:val="00211487"/>
    <w:rsid w:val="002117AF"/>
    <w:rsid w:val="00211A5D"/>
    <w:rsid w:val="00211D69"/>
    <w:rsid w:val="00212130"/>
    <w:rsid w:val="002127B9"/>
    <w:rsid w:val="00212E4E"/>
    <w:rsid w:val="0021322D"/>
    <w:rsid w:val="0021341B"/>
    <w:rsid w:val="0021380F"/>
    <w:rsid w:val="00214009"/>
    <w:rsid w:val="00214601"/>
    <w:rsid w:val="00214E2A"/>
    <w:rsid w:val="00214FAA"/>
    <w:rsid w:val="00215619"/>
    <w:rsid w:val="002156C7"/>
    <w:rsid w:val="00215841"/>
    <w:rsid w:val="0021592E"/>
    <w:rsid w:val="00216739"/>
    <w:rsid w:val="00216754"/>
    <w:rsid w:val="002167B4"/>
    <w:rsid w:val="00216822"/>
    <w:rsid w:val="002169DC"/>
    <w:rsid w:val="00216F86"/>
    <w:rsid w:val="00217091"/>
    <w:rsid w:val="002203AB"/>
    <w:rsid w:val="0022089C"/>
    <w:rsid w:val="002209BC"/>
    <w:rsid w:val="00220CFF"/>
    <w:rsid w:val="00220DBE"/>
    <w:rsid w:val="00221F0A"/>
    <w:rsid w:val="0022261E"/>
    <w:rsid w:val="002227B8"/>
    <w:rsid w:val="002228B0"/>
    <w:rsid w:val="00222BD1"/>
    <w:rsid w:val="00222D75"/>
    <w:rsid w:val="00223CE1"/>
    <w:rsid w:val="00224159"/>
    <w:rsid w:val="00224C61"/>
    <w:rsid w:val="002252AC"/>
    <w:rsid w:val="00225794"/>
    <w:rsid w:val="00225B3A"/>
    <w:rsid w:val="00227229"/>
    <w:rsid w:val="00227813"/>
    <w:rsid w:val="00227B14"/>
    <w:rsid w:val="0023000E"/>
    <w:rsid w:val="00230390"/>
    <w:rsid w:val="00230AED"/>
    <w:rsid w:val="00230B8C"/>
    <w:rsid w:val="00230F78"/>
    <w:rsid w:val="00231357"/>
    <w:rsid w:val="00231B94"/>
    <w:rsid w:val="00231D1F"/>
    <w:rsid w:val="00231E9C"/>
    <w:rsid w:val="00231F72"/>
    <w:rsid w:val="0023222C"/>
    <w:rsid w:val="00232537"/>
    <w:rsid w:val="0023296C"/>
    <w:rsid w:val="00232AE9"/>
    <w:rsid w:val="00233527"/>
    <w:rsid w:val="002350CC"/>
    <w:rsid w:val="00235E5A"/>
    <w:rsid w:val="00236241"/>
    <w:rsid w:val="002363FF"/>
    <w:rsid w:val="002368FF"/>
    <w:rsid w:val="002370A4"/>
    <w:rsid w:val="00237A0D"/>
    <w:rsid w:val="00237F06"/>
    <w:rsid w:val="002408E9"/>
    <w:rsid w:val="00240E8B"/>
    <w:rsid w:val="00241011"/>
    <w:rsid w:val="00241342"/>
    <w:rsid w:val="00241977"/>
    <w:rsid w:val="0024216A"/>
    <w:rsid w:val="00242591"/>
    <w:rsid w:val="00242632"/>
    <w:rsid w:val="00242C48"/>
    <w:rsid w:val="0024322D"/>
    <w:rsid w:val="00243503"/>
    <w:rsid w:val="00243511"/>
    <w:rsid w:val="00243698"/>
    <w:rsid w:val="00243A76"/>
    <w:rsid w:val="00243A99"/>
    <w:rsid w:val="00244C42"/>
    <w:rsid w:val="00244D3E"/>
    <w:rsid w:val="002454CE"/>
    <w:rsid w:val="0024550C"/>
    <w:rsid w:val="002455B6"/>
    <w:rsid w:val="00246140"/>
    <w:rsid w:val="00246AD2"/>
    <w:rsid w:val="00246C95"/>
    <w:rsid w:val="00246DF9"/>
    <w:rsid w:val="00246ECC"/>
    <w:rsid w:val="00247B49"/>
    <w:rsid w:val="002509AF"/>
    <w:rsid w:val="00250B67"/>
    <w:rsid w:val="002510EF"/>
    <w:rsid w:val="00251DE8"/>
    <w:rsid w:val="00252355"/>
    <w:rsid w:val="00252C47"/>
    <w:rsid w:val="002535A3"/>
    <w:rsid w:val="00253D4B"/>
    <w:rsid w:val="00254A1B"/>
    <w:rsid w:val="00255183"/>
    <w:rsid w:val="00255196"/>
    <w:rsid w:val="0025532C"/>
    <w:rsid w:val="00255B3A"/>
    <w:rsid w:val="00255C1A"/>
    <w:rsid w:val="00256874"/>
    <w:rsid w:val="002568E3"/>
    <w:rsid w:val="00256BC8"/>
    <w:rsid w:val="00256E93"/>
    <w:rsid w:val="002572EC"/>
    <w:rsid w:val="00257489"/>
    <w:rsid w:val="0025787D"/>
    <w:rsid w:val="002578BB"/>
    <w:rsid w:val="002606C0"/>
    <w:rsid w:val="00260D35"/>
    <w:rsid w:val="0026128F"/>
    <w:rsid w:val="00261327"/>
    <w:rsid w:val="00262821"/>
    <w:rsid w:val="00262B05"/>
    <w:rsid w:val="002637C6"/>
    <w:rsid w:val="00263B89"/>
    <w:rsid w:val="00263D65"/>
    <w:rsid w:val="0026477E"/>
    <w:rsid w:val="002647F8"/>
    <w:rsid w:val="00264B98"/>
    <w:rsid w:val="002653AC"/>
    <w:rsid w:val="00266486"/>
    <w:rsid w:val="0026654E"/>
    <w:rsid w:val="00267697"/>
    <w:rsid w:val="002676BD"/>
    <w:rsid w:val="00267AE3"/>
    <w:rsid w:val="00270047"/>
    <w:rsid w:val="002701A8"/>
    <w:rsid w:val="00270246"/>
    <w:rsid w:val="0027030F"/>
    <w:rsid w:val="002706A5"/>
    <w:rsid w:val="002706D4"/>
    <w:rsid w:val="00270980"/>
    <w:rsid w:val="00270BD7"/>
    <w:rsid w:val="00271408"/>
    <w:rsid w:val="00271775"/>
    <w:rsid w:val="002717C7"/>
    <w:rsid w:val="002718BF"/>
    <w:rsid w:val="0027196E"/>
    <w:rsid w:val="00271D44"/>
    <w:rsid w:val="0027201C"/>
    <w:rsid w:val="0027209D"/>
    <w:rsid w:val="00272F03"/>
    <w:rsid w:val="002731A1"/>
    <w:rsid w:val="0027329E"/>
    <w:rsid w:val="002733A1"/>
    <w:rsid w:val="00273626"/>
    <w:rsid w:val="00274591"/>
    <w:rsid w:val="00274C13"/>
    <w:rsid w:val="00274FDD"/>
    <w:rsid w:val="00275370"/>
    <w:rsid w:val="002754E9"/>
    <w:rsid w:val="002755DD"/>
    <w:rsid w:val="00275666"/>
    <w:rsid w:val="0027594D"/>
    <w:rsid w:val="00276263"/>
    <w:rsid w:val="0027630F"/>
    <w:rsid w:val="00276E6E"/>
    <w:rsid w:val="0027771C"/>
    <w:rsid w:val="0028072F"/>
    <w:rsid w:val="002810BE"/>
    <w:rsid w:val="002813F3"/>
    <w:rsid w:val="00281C26"/>
    <w:rsid w:val="002824F4"/>
    <w:rsid w:val="00282972"/>
    <w:rsid w:val="00282D17"/>
    <w:rsid w:val="002831F8"/>
    <w:rsid w:val="002837C2"/>
    <w:rsid w:val="00284573"/>
    <w:rsid w:val="0028466C"/>
    <w:rsid w:val="002846CB"/>
    <w:rsid w:val="0028484D"/>
    <w:rsid w:val="00284C47"/>
    <w:rsid w:val="00284E54"/>
    <w:rsid w:val="00285BE3"/>
    <w:rsid w:val="00286202"/>
    <w:rsid w:val="00286ED1"/>
    <w:rsid w:val="002874EA"/>
    <w:rsid w:val="00287523"/>
    <w:rsid w:val="00287C62"/>
    <w:rsid w:val="0029018C"/>
    <w:rsid w:val="00290466"/>
    <w:rsid w:val="0029053E"/>
    <w:rsid w:val="0029068E"/>
    <w:rsid w:val="0029095D"/>
    <w:rsid w:val="0029175D"/>
    <w:rsid w:val="00291B6E"/>
    <w:rsid w:val="00291E7F"/>
    <w:rsid w:val="0029225F"/>
    <w:rsid w:val="002924F1"/>
    <w:rsid w:val="00292911"/>
    <w:rsid w:val="002929EE"/>
    <w:rsid w:val="0029327A"/>
    <w:rsid w:val="00293869"/>
    <w:rsid w:val="002939E4"/>
    <w:rsid w:val="00293C05"/>
    <w:rsid w:val="00294E43"/>
    <w:rsid w:val="00295276"/>
    <w:rsid w:val="002962B3"/>
    <w:rsid w:val="002966B7"/>
    <w:rsid w:val="00296EFF"/>
    <w:rsid w:val="0029724F"/>
    <w:rsid w:val="00297D60"/>
    <w:rsid w:val="00297DDD"/>
    <w:rsid w:val="002A042D"/>
    <w:rsid w:val="002A051B"/>
    <w:rsid w:val="002A0874"/>
    <w:rsid w:val="002A25DF"/>
    <w:rsid w:val="002A3033"/>
    <w:rsid w:val="002A36FF"/>
    <w:rsid w:val="002A443D"/>
    <w:rsid w:val="002A45CC"/>
    <w:rsid w:val="002A4769"/>
    <w:rsid w:val="002A4E33"/>
    <w:rsid w:val="002A4EEA"/>
    <w:rsid w:val="002A4EEC"/>
    <w:rsid w:val="002A571C"/>
    <w:rsid w:val="002A587A"/>
    <w:rsid w:val="002A610D"/>
    <w:rsid w:val="002A62D5"/>
    <w:rsid w:val="002A6681"/>
    <w:rsid w:val="002A6878"/>
    <w:rsid w:val="002A7576"/>
    <w:rsid w:val="002A7E59"/>
    <w:rsid w:val="002B00D0"/>
    <w:rsid w:val="002B115A"/>
    <w:rsid w:val="002B184F"/>
    <w:rsid w:val="002B1B3F"/>
    <w:rsid w:val="002B1B8B"/>
    <w:rsid w:val="002B268D"/>
    <w:rsid w:val="002B2803"/>
    <w:rsid w:val="002B2C23"/>
    <w:rsid w:val="002B312F"/>
    <w:rsid w:val="002B35C5"/>
    <w:rsid w:val="002B36D5"/>
    <w:rsid w:val="002B4698"/>
    <w:rsid w:val="002B4BDD"/>
    <w:rsid w:val="002B52CA"/>
    <w:rsid w:val="002B5461"/>
    <w:rsid w:val="002B57D1"/>
    <w:rsid w:val="002B59B4"/>
    <w:rsid w:val="002B5B62"/>
    <w:rsid w:val="002B5D64"/>
    <w:rsid w:val="002B5EBB"/>
    <w:rsid w:val="002B6541"/>
    <w:rsid w:val="002B6712"/>
    <w:rsid w:val="002B6ED0"/>
    <w:rsid w:val="002B7DCE"/>
    <w:rsid w:val="002C0428"/>
    <w:rsid w:val="002C095E"/>
    <w:rsid w:val="002C0F73"/>
    <w:rsid w:val="002C17F3"/>
    <w:rsid w:val="002C1949"/>
    <w:rsid w:val="002C1DCE"/>
    <w:rsid w:val="002C1F2E"/>
    <w:rsid w:val="002C320F"/>
    <w:rsid w:val="002C3288"/>
    <w:rsid w:val="002C4262"/>
    <w:rsid w:val="002C4A4C"/>
    <w:rsid w:val="002C4E1D"/>
    <w:rsid w:val="002C51BB"/>
    <w:rsid w:val="002C52B4"/>
    <w:rsid w:val="002C54D3"/>
    <w:rsid w:val="002C54E3"/>
    <w:rsid w:val="002C57D3"/>
    <w:rsid w:val="002C6D53"/>
    <w:rsid w:val="002C716F"/>
    <w:rsid w:val="002C76C2"/>
    <w:rsid w:val="002C7745"/>
    <w:rsid w:val="002D0169"/>
    <w:rsid w:val="002D0F12"/>
    <w:rsid w:val="002D16DC"/>
    <w:rsid w:val="002D1B4F"/>
    <w:rsid w:val="002D295A"/>
    <w:rsid w:val="002D3EEC"/>
    <w:rsid w:val="002D4085"/>
    <w:rsid w:val="002D4F97"/>
    <w:rsid w:val="002D5F6C"/>
    <w:rsid w:val="002D6053"/>
    <w:rsid w:val="002D6390"/>
    <w:rsid w:val="002D63CE"/>
    <w:rsid w:val="002D683E"/>
    <w:rsid w:val="002D7233"/>
    <w:rsid w:val="002D73BE"/>
    <w:rsid w:val="002D74EA"/>
    <w:rsid w:val="002D7A27"/>
    <w:rsid w:val="002D7D68"/>
    <w:rsid w:val="002D7F72"/>
    <w:rsid w:val="002E0681"/>
    <w:rsid w:val="002E0E2E"/>
    <w:rsid w:val="002E12B6"/>
    <w:rsid w:val="002E195B"/>
    <w:rsid w:val="002E1C37"/>
    <w:rsid w:val="002E1F3A"/>
    <w:rsid w:val="002E23F3"/>
    <w:rsid w:val="002E2BC8"/>
    <w:rsid w:val="002E3073"/>
    <w:rsid w:val="002E360E"/>
    <w:rsid w:val="002E3A66"/>
    <w:rsid w:val="002E3AA1"/>
    <w:rsid w:val="002E42A7"/>
    <w:rsid w:val="002E51DA"/>
    <w:rsid w:val="002E57EC"/>
    <w:rsid w:val="002E5A0B"/>
    <w:rsid w:val="002E5C2B"/>
    <w:rsid w:val="002E631D"/>
    <w:rsid w:val="002E69B1"/>
    <w:rsid w:val="002E6E08"/>
    <w:rsid w:val="002E712A"/>
    <w:rsid w:val="002E73E2"/>
    <w:rsid w:val="002E75EC"/>
    <w:rsid w:val="002E780B"/>
    <w:rsid w:val="002E797B"/>
    <w:rsid w:val="002E7EE8"/>
    <w:rsid w:val="002F041F"/>
    <w:rsid w:val="002F20CE"/>
    <w:rsid w:val="002F3049"/>
    <w:rsid w:val="002F33BB"/>
    <w:rsid w:val="002F355D"/>
    <w:rsid w:val="002F376A"/>
    <w:rsid w:val="002F38CC"/>
    <w:rsid w:val="002F3E19"/>
    <w:rsid w:val="002F3E4D"/>
    <w:rsid w:val="002F3FAC"/>
    <w:rsid w:val="002F4514"/>
    <w:rsid w:val="002F4ACA"/>
    <w:rsid w:val="002F4B76"/>
    <w:rsid w:val="002F57C9"/>
    <w:rsid w:val="002F5AAA"/>
    <w:rsid w:val="002F5EE2"/>
    <w:rsid w:val="002F62F2"/>
    <w:rsid w:val="002F6457"/>
    <w:rsid w:val="002F6E69"/>
    <w:rsid w:val="002F7CCA"/>
    <w:rsid w:val="002F7D4D"/>
    <w:rsid w:val="00300A60"/>
    <w:rsid w:val="00300F3A"/>
    <w:rsid w:val="00301486"/>
    <w:rsid w:val="00301BAC"/>
    <w:rsid w:val="00301BEE"/>
    <w:rsid w:val="00301E2F"/>
    <w:rsid w:val="00303C9D"/>
    <w:rsid w:val="00304179"/>
    <w:rsid w:val="003052E4"/>
    <w:rsid w:val="003057A2"/>
    <w:rsid w:val="0030592B"/>
    <w:rsid w:val="00305945"/>
    <w:rsid w:val="00305B3F"/>
    <w:rsid w:val="003068EC"/>
    <w:rsid w:val="0030701D"/>
    <w:rsid w:val="00307AEA"/>
    <w:rsid w:val="00307BBD"/>
    <w:rsid w:val="00307E2C"/>
    <w:rsid w:val="00307E9E"/>
    <w:rsid w:val="003104AE"/>
    <w:rsid w:val="00310765"/>
    <w:rsid w:val="0031181F"/>
    <w:rsid w:val="00311CB1"/>
    <w:rsid w:val="0031275F"/>
    <w:rsid w:val="003128C5"/>
    <w:rsid w:val="00312A47"/>
    <w:rsid w:val="00313134"/>
    <w:rsid w:val="00313135"/>
    <w:rsid w:val="003133BE"/>
    <w:rsid w:val="00313DE0"/>
    <w:rsid w:val="003142A5"/>
    <w:rsid w:val="00314561"/>
    <w:rsid w:val="003147BC"/>
    <w:rsid w:val="00314CE4"/>
    <w:rsid w:val="0031526F"/>
    <w:rsid w:val="0031562B"/>
    <w:rsid w:val="00315808"/>
    <w:rsid w:val="00316079"/>
    <w:rsid w:val="00316F0B"/>
    <w:rsid w:val="00317175"/>
    <w:rsid w:val="00317F5F"/>
    <w:rsid w:val="003202BF"/>
    <w:rsid w:val="003209D2"/>
    <w:rsid w:val="0032124E"/>
    <w:rsid w:val="00321720"/>
    <w:rsid w:val="00321B45"/>
    <w:rsid w:val="003226DA"/>
    <w:rsid w:val="00323EE7"/>
    <w:rsid w:val="00323F16"/>
    <w:rsid w:val="00324E8A"/>
    <w:rsid w:val="0032522D"/>
    <w:rsid w:val="00325667"/>
    <w:rsid w:val="00325670"/>
    <w:rsid w:val="00325973"/>
    <w:rsid w:val="00325C7A"/>
    <w:rsid w:val="00326028"/>
    <w:rsid w:val="0032617E"/>
    <w:rsid w:val="00326711"/>
    <w:rsid w:val="00326E70"/>
    <w:rsid w:val="003274AF"/>
    <w:rsid w:val="00327BD3"/>
    <w:rsid w:val="003307EC"/>
    <w:rsid w:val="00330FC1"/>
    <w:rsid w:val="00331590"/>
    <w:rsid w:val="003317C2"/>
    <w:rsid w:val="00331CC2"/>
    <w:rsid w:val="00331D00"/>
    <w:rsid w:val="0033213D"/>
    <w:rsid w:val="00332EEE"/>
    <w:rsid w:val="003336DD"/>
    <w:rsid w:val="00333A78"/>
    <w:rsid w:val="00333E25"/>
    <w:rsid w:val="00334CAD"/>
    <w:rsid w:val="00334D5F"/>
    <w:rsid w:val="0033513C"/>
    <w:rsid w:val="003352CE"/>
    <w:rsid w:val="0033564D"/>
    <w:rsid w:val="00335686"/>
    <w:rsid w:val="00335C0C"/>
    <w:rsid w:val="0033610F"/>
    <w:rsid w:val="00336BD3"/>
    <w:rsid w:val="00336D0E"/>
    <w:rsid w:val="00336D23"/>
    <w:rsid w:val="00337683"/>
    <w:rsid w:val="00337E33"/>
    <w:rsid w:val="00340095"/>
    <w:rsid w:val="003406E6"/>
    <w:rsid w:val="00340837"/>
    <w:rsid w:val="003410DD"/>
    <w:rsid w:val="00341222"/>
    <w:rsid w:val="003414E2"/>
    <w:rsid w:val="00341518"/>
    <w:rsid w:val="0034214B"/>
    <w:rsid w:val="0034262A"/>
    <w:rsid w:val="00342FB6"/>
    <w:rsid w:val="00343258"/>
    <w:rsid w:val="00343581"/>
    <w:rsid w:val="003437CA"/>
    <w:rsid w:val="003447C2"/>
    <w:rsid w:val="00345043"/>
    <w:rsid w:val="00345362"/>
    <w:rsid w:val="003457FF"/>
    <w:rsid w:val="00346B0F"/>
    <w:rsid w:val="00346D20"/>
    <w:rsid w:val="00347145"/>
    <w:rsid w:val="00347466"/>
    <w:rsid w:val="00347647"/>
    <w:rsid w:val="00347A15"/>
    <w:rsid w:val="00347CC9"/>
    <w:rsid w:val="00347EA8"/>
    <w:rsid w:val="003502C1"/>
    <w:rsid w:val="003513DC"/>
    <w:rsid w:val="00351630"/>
    <w:rsid w:val="00351901"/>
    <w:rsid w:val="003519DA"/>
    <w:rsid w:val="00351A92"/>
    <w:rsid w:val="00351C12"/>
    <w:rsid w:val="00351D51"/>
    <w:rsid w:val="00351DC6"/>
    <w:rsid w:val="00351DEA"/>
    <w:rsid w:val="003520BB"/>
    <w:rsid w:val="003523EE"/>
    <w:rsid w:val="00352506"/>
    <w:rsid w:val="00352767"/>
    <w:rsid w:val="00352CBE"/>
    <w:rsid w:val="00352EAC"/>
    <w:rsid w:val="003534C7"/>
    <w:rsid w:val="00353B40"/>
    <w:rsid w:val="00353F30"/>
    <w:rsid w:val="003542FA"/>
    <w:rsid w:val="00355004"/>
    <w:rsid w:val="00355485"/>
    <w:rsid w:val="0035574D"/>
    <w:rsid w:val="003564D1"/>
    <w:rsid w:val="00356651"/>
    <w:rsid w:val="003569CA"/>
    <w:rsid w:val="00356ECA"/>
    <w:rsid w:val="00357124"/>
    <w:rsid w:val="003571FF"/>
    <w:rsid w:val="003574DD"/>
    <w:rsid w:val="003577E4"/>
    <w:rsid w:val="00357A7E"/>
    <w:rsid w:val="00360F65"/>
    <w:rsid w:val="00360FF1"/>
    <w:rsid w:val="00361C73"/>
    <w:rsid w:val="0036246C"/>
    <w:rsid w:val="003644F1"/>
    <w:rsid w:val="00364A55"/>
    <w:rsid w:val="00364FB5"/>
    <w:rsid w:val="003655F3"/>
    <w:rsid w:val="003657FE"/>
    <w:rsid w:val="003668C3"/>
    <w:rsid w:val="00366E21"/>
    <w:rsid w:val="00367041"/>
    <w:rsid w:val="003676B2"/>
    <w:rsid w:val="0036776C"/>
    <w:rsid w:val="00370481"/>
    <w:rsid w:val="0037095F"/>
    <w:rsid w:val="00370A23"/>
    <w:rsid w:val="00371184"/>
    <w:rsid w:val="00372972"/>
    <w:rsid w:val="00372A27"/>
    <w:rsid w:val="00373445"/>
    <w:rsid w:val="00374BC0"/>
    <w:rsid w:val="00374FEC"/>
    <w:rsid w:val="00375F98"/>
    <w:rsid w:val="003760F6"/>
    <w:rsid w:val="0037621D"/>
    <w:rsid w:val="003764B2"/>
    <w:rsid w:val="0037699D"/>
    <w:rsid w:val="00376F21"/>
    <w:rsid w:val="00377A76"/>
    <w:rsid w:val="0038055D"/>
    <w:rsid w:val="00380E38"/>
    <w:rsid w:val="003814FA"/>
    <w:rsid w:val="00381628"/>
    <w:rsid w:val="00381784"/>
    <w:rsid w:val="003821AC"/>
    <w:rsid w:val="003824E2"/>
    <w:rsid w:val="0038298C"/>
    <w:rsid w:val="00382D32"/>
    <w:rsid w:val="00383A30"/>
    <w:rsid w:val="0038400B"/>
    <w:rsid w:val="0038493E"/>
    <w:rsid w:val="00384AC1"/>
    <w:rsid w:val="00386229"/>
    <w:rsid w:val="003862B1"/>
    <w:rsid w:val="00387FC5"/>
    <w:rsid w:val="00390B69"/>
    <w:rsid w:val="00390F25"/>
    <w:rsid w:val="0039152A"/>
    <w:rsid w:val="0039186F"/>
    <w:rsid w:val="00392130"/>
    <w:rsid w:val="0039231A"/>
    <w:rsid w:val="00392A01"/>
    <w:rsid w:val="00393521"/>
    <w:rsid w:val="003935D3"/>
    <w:rsid w:val="00393D03"/>
    <w:rsid w:val="00394C91"/>
    <w:rsid w:val="00394DB3"/>
    <w:rsid w:val="00395076"/>
    <w:rsid w:val="00395E4C"/>
    <w:rsid w:val="00396D02"/>
    <w:rsid w:val="0039702C"/>
    <w:rsid w:val="003A0D34"/>
    <w:rsid w:val="003A12B9"/>
    <w:rsid w:val="003A1B0B"/>
    <w:rsid w:val="003A1F14"/>
    <w:rsid w:val="003A270E"/>
    <w:rsid w:val="003A2D28"/>
    <w:rsid w:val="003A2DE9"/>
    <w:rsid w:val="003A3160"/>
    <w:rsid w:val="003A48C2"/>
    <w:rsid w:val="003A4CB5"/>
    <w:rsid w:val="003A4E52"/>
    <w:rsid w:val="003A6A7D"/>
    <w:rsid w:val="003A7E0A"/>
    <w:rsid w:val="003A7FFD"/>
    <w:rsid w:val="003B10F5"/>
    <w:rsid w:val="003B157F"/>
    <w:rsid w:val="003B1809"/>
    <w:rsid w:val="003B272B"/>
    <w:rsid w:val="003B28EF"/>
    <w:rsid w:val="003B2A5A"/>
    <w:rsid w:val="003B2D46"/>
    <w:rsid w:val="003B2E3F"/>
    <w:rsid w:val="003B3443"/>
    <w:rsid w:val="003B350C"/>
    <w:rsid w:val="003B352F"/>
    <w:rsid w:val="003B3C74"/>
    <w:rsid w:val="003B3F08"/>
    <w:rsid w:val="003B4C2B"/>
    <w:rsid w:val="003B4D9E"/>
    <w:rsid w:val="003B522B"/>
    <w:rsid w:val="003B53C8"/>
    <w:rsid w:val="003B5A23"/>
    <w:rsid w:val="003B5E5F"/>
    <w:rsid w:val="003B6B47"/>
    <w:rsid w:val="003B6CDC"/>
    <w:rsid w:val="003B6D6E"/>
    <w:rsid w:val="003B718D"/>
    <w:rsid w:val="003B75A4"/>
    <w:rsid w:val="003C06AD"/>
    <w:rsid w:val="003C08BA"/>
    <w:rsid w:val="003C0AA3"/>
    <w:rsid w:val="003C0D53"/>
    <w:rsid w:val="003C0DE0"/>
    <w:rsid w:val="003C10F8"/>
    <w:rsid w:val="003C19C4"/>
    <w:rsid w:val="003C1EDD"/>
    <w:rsid w:val="003C2240"/>
    <w:rsid w:val="003C2484"/>
    <w:rsid w:val="003C25C4"/>
    <w:rsid w:val="003C4A8A"/>
    <w:rsid w:val="003C4E34"/>
    <w:rsid w:val="003C52A7"/>
    <w:rsid w:val="003C5704"/>
    <w:rsid w:val="003C6CB2"/>
    <w:rsid w:val="003C739E"/>
    <w:rsid w:val="003C75B7"/>
    <w:rsid w:val="003C793E"/>
    <w:rsid w:val="003C7D0F"/>
    <w:rsid w:val="003D0A14"/>
    <w:rsid w:val="003D0B1B"/>
    <w:rsid w:val="003D0D1D"/>
    <w:rsid w:val="003D1247"/>
    <w:rsid w:val="003D1786"/>
    <w:rsid w:val="003D1A26"/>
    <w:rsid w:val="003D1BE2"/>
    <w:rsid w:val="003D1CE8"/>
    <w:rsid w:val="003D1DC2"/>
    <w:rsid w:val="003D236E"/>
    <w:rsid w:val="003D26B5"/>
    <w:rsid w:val="003D2B66"/>
    <w:rsid w:val="003D2C58"/>
    <w:rsid w:val="003D36A1"/>
    <w:rsid w:val="003D5176"/>
    <w:rsid w:val="003D6BB2"/>
    <w:rsid w:val="003D6CF1"/>
    <w:rsid w:val="003D7272"/>
    <w:rsid w:val="003D754B"/>
    <w:rsid w:val="003D7865"/>
    <w:rsid w:val="003D7898"/>
    <w:rsid w:val="003D7A93"/>
    <w:rsid w:val="003E06B0"/>
    <w:rsid w:val="003E1358"/>
    <w:rsid w:val="003E15C3"/>
    <w:rsid w:val="003E1971"/>
    <w:rsid w:val="003E1F3E"/>
    <w:rsid w:val="003E21BF"/>
    <w:rsid w:val="003E254F"/>
    <w:rsid w:val="003E2AB7"/>
    <w:rsid w:val="003E2D15"/>
    <w:rsid w:val="003E2F09"/>
    <w:rsid w:val="003E3291"/>
    <w:rsid w:val="003E3330"/>
    <w:rsid w:val="003E430C"/>
    <w:rsid w:val="003E44FC"/>
    <w:rsid w:val="003E483C"/>
    <w:rsid w:val="003E505F"/>
    <w:rsid w:val="003E5981"/>
    <w:rsid w:val="003E5AD8"/>
    <w:rsid w:val="003E5FD1"/>
    <w:rsid w:val="003E6AED"/>
    <w:rsid w:val="003E76FA"/>
    <w:rsid w:val="003E7868"/>
    <w:rsid w:val="003E78DC"/>
    <w:rsid w:val="003E7AB8"/>
    <w:rsid w:val="003F0259"/>
    <w:rsid w:val="003F0439"/>
    <w:rsid w:val="003F0714"/>
    <w:rsid w:val="003F150A"/>
    <w:rsid w:val="003F1BAD"/>
    <w:rsid w:val="003F1C2C"/>
    <w:rsid w:val="003F1DF2"/>
    <w:rsid w:val="003F2746"/>
    <w:rsid w:val="003F27DA"/>
    <w:rsid w:val="003F31D6"/>
    <w:rsid w:val="003F33A4"/>
    <w:rsid w:val="003F342A"/>
    <w:rsid w:val="003F3A3E"/>
    <w:rsid w:val="003F4BBC"/>
    <w:rsid w:val="003F5729"/>
    <w:rsid w:val="003F57EE"/>
    <w:rsid w:val="003F6241"/>
    <w:rsid w:val="003F7192"/>
    <w:rsid w:val="003F7584"/>
    <w:rsid w:val="003F75E2"/>
    <w:rsid w:val="003F77C2"/>
    <w:rsid w:val="003F791C"/>
    <w:rsid w:val="003F7B14"/>
    <w:rsid w:val="004004EF"/>
    <w:rsid w:val="00400952"/>
    <w:rsid w:val="00401906"/>
    <w:rsid w:val="00402AC5"/>
    <w:rsid w:val="00402D47"/>
    <w:rsid w:val="00402F82"/>
    <w:rsid w:val="0040309B"/>
    <w:rsid w:val="004030FD"/>
    <w:rsid w:val="004031D7"/>
    <w:rsid w:val="00403A06"/>
    <w:rsid w:val="004041AB"/>
    <w:rsid w:val="004065CB"/>
    <w:rsid w:val="004066A2"/>
    <w:rsid w:val="004068B0"/>
    <w:rsid w:val="00406CE7"/>
    <w:rsid w:val="00406E83"/>
    <w:rsid w:val="004071B8"/>
    <w:rsid w:val="004072EC"/>
    <w:rsid w:val="0041093C"/>
    <w:rsid w:val="00411894"/>
    <w:rsid w:val="00411A45"/>
    <w:rsid w:val="00412B1B"/>
    <w:rsid w:val="00412C79"/>
    <w:rsid w:val="00413D6D"/>
    <w:rsid w:val="00413DBB"/>
    <w:rsid w:val="00414022"/>
    <w:rsid w:val="00414306"/>
    <w:rsid w:val="00414935"/>
    <w:rsid w:val="00414B26"/>
    <w:rsid w:val="00414DFA"/>
    <w:rsid w:val="00415FC4"/>
    <w:rsid w:val="0041617A"/>
    <w:rsid w:val="00416C7E"/>
    <w:rsid w:val="004174D7"/>
    <w:rsid w:val="0041781B"/>
    <w:rsid w:val="00417949"/>
    <w:rsid w:val="00417AA5"/>
    <w:rsid w:val="00417B7A"/>
    <w:rsid w:val="0042018E"/>
    <w:rsid w:val="004204EC"/>
    <w:rsid w:val="00420685"/>
    <w:rsid w:val="00420AC8"/>
    <w:rsid w:val="00421402"/>
    <w:rsid w:val="004217A4"/>
    <w:rsid w:val="00421837"/>
    <w:rsid w:val="00421A6B"/>
    <w:rsid w:val="00421AD0"/>
    <w:rsid w:val="004220EB"/>
    <w:rsid w:val="00422364"/>
    <w:rsid w:val="004224B3"/>
    <w:rsid w:val="00422715"/>
    <w:rsid w:val="004227EF"/>
    <w:rsid w:val="00422A48"/>
    <w:rsid w:val="00422AE3"/>
    <w:rsid w:val="00422C30"/>
    <w:rsid w:val="00422D6D"/>
    <w:rsid w:val="004234FA"/>
    <w:rsid w:val="00423DFD"/>
    <w:rsid w:val="004242CE"/>
    <w:rsid w:val="00424A9D"/>
    <w:rsid w:val="00425697"/>
    <w:rsid w:val="00425F4D"/>
    <w:rsid w:val="0042657C"/>
    <w:rsid w:val="0042711B"/>
    <w:rsid w:val="0042763E"/>
    <w:rsid w:val="004276BB"/>
    <w:rsid w:val="00427D13"/>
    <w:rsid w:val="00430907"/>
    <w:rsid w:val="00430CE2"/>
    <w:rsid w:val="00430D82"/>
    <w:rsid w:val="00431394"/>
    <w:rsid w:val="00431673"/>
    <w:rsid w:val="00432295"/>
    <w:rsid w:val="0043262F"/>
    <w:rsid w:val="00432CC0"/>
    <w:rsid w:val="00432FEE"/>
    <w:rsid w:val="00433BF0"/>
    <w:rsid w:val="00433E42"/>
    <w:rsid w:val="004347F1"/>
    <w:rsid w:val="004368E3"/>
    <w:rsid w:val="00436AE2"/>
    <w:rsid w:val="00436CA2"/>
    <w:rsid w:val="00436FAD"/>
    <w:rsid w:val="00437093"/>
    <w:rsid w:val="00437267"/>
    <w:rsid w:val="004372E3"/>
    <w:rsid w:val="0043755B"/>
    <w:rsid w:val="00437674"/>
    <w:rsid w:val="004401D5"/>
    <w:rsid w:val="00440578"/>
    <w:rsid w:val="004409E7"/>
    <w:rsid w:val="00440C23"/>
    <w:rsid w:val="0044154D"/>
    <w:rsid w:val="0044157A"/>
    <w:rsid w:val="004423DE"/>
    <w:rsid w:val="00442A81"/>
    <w:rsid w:val="00442A98"/>
    <w:rsid w:val="00442DB0"/>
    <w:rsid w:val="00442E38"/>
    <w:rsid w:val="00443471"/>
    <w:rsid w:val="0044391B"/>
    <w:rsid w:val="004446CE"/>
    <w:rsid w:val="00444D6E"/>
    <w:rsid w:val="00445186"/>
    <w:rsid w:val="004454E3"/>
    <w:rsid w:val="004459F6"/>
    <w:rsid w:val="00445D22"/>
    <w:rsid w:val="00446A5F"/>
    <w:rsid w:val="00447C44"/>
    <w:rsid w:val="00447D19"/>
    <w:rsid w:val="0045039B"/>
    <w:rsid w:val="004504CE"/>
    <w:rsid w:val="004505D9"/>
    <w:rsid w:val="00450657"/>
    <w:rsid w:val="00450BC8"/>
    <w:rsid w:val="0045114C"/>
    <w:rsid w:val="00451499"/>
    <w:rsid w:val="004515D3"/>
    <w:rsid w:val="00451971"/>
    <w:rsid w:val="004526DB"/>
    <w:rsid w:val="00452DE2"/>
    <w:rsid w:val="00452E7E"/>
    <w:rsid w:val="00453064"/>
    <w:rsid w:val="0045346F"/>
    <w:rsid w:val="00453540"/>
    <w:rsid w:val="004535DE"/>
    <w:rsid w:val="004536AC"/>
    <w:rsid w:val="00453ECE"/>
    <w:rsid w:val="00454CDB"/>
    <w:rsid w:val="00455424"/>
    <w:rsid w:val="004556D8"/>
    <w:rsid w:val="004561D6"/>
    <w:rsid w:val="0045621C"/>
    <w:rsid w:val="004566FA"/>
    <w:rsid w:val="0045746F"/>
    <w:rsid w:val="004574F0"/>
    <w:rsid w:val="0045759F"/>
    <w:rsid w:val="004578EF"/>
    <w:rsid w:val="00460159"/>
    <w:rsid w:val="004618CD"/>
    <w:rsid w:val="00461910"/>
    <w:rsid w:val="00461CEC"/>
    <w:rsid w:val="0046247C"/>
    <w:rsid w:val="0046287B"/>
    <w:rsid w:val="00462AFE"/>
    <w:rsid w:val="00463074"/>
    <w:rsid w:val="0046391E"/>
    <w:rsid w:val="00464150"/>
    <w:rsid w:val="00464390"/>
    <w:rsid w:val="00464C7C"/>
    <w:rsid w:val="00464EF9"/>
    <w:rsid w:val="004651EE"/>
    <w:rsid w:val="004653FB"/>
    <w:rsid w:val="00465802"/>
    <w:rsid w:val="00465A5B"/>
    <w:rsid w:val="00465EE7"/>
    <w:rsid w:val="00465F88"/>
    <w:rsid w:val="004667C5"/>
    <w:rsid w:val="00466BE2"/>
    <w:rsid w:val="00466E3F"/>
    <w:rsid w:val="004670D5"/>
    <w:rsid w:val="00467766"/>
    <w:rsid w:val="004679B6"/>
    <w:rsid w:val="00467D27"/>
    <w:rsid w:val="004700F8"/>
    <w:rsid w:val="004701F1"/>
    <w:rsid w:val="00470205"/>
    <w:rsid w:val="00470821"/>
    <w:rsid w:val="00470879"/>
    <w:rsid w:val="00470BD5"/>
    <w:rsid w:val="0047117A"/>
    <w:rsid w:val="00471508"/>
    <w:rsid w:val="00471DA5"/>
    <w:rsid w:val="0047221B"/>
    <w:rsid w:val="00472875"/>
    <w:rsid w:val="00473498"/>
    <w:rsid w:val="00473944"/>
    <w:rsid w:val="0047406B"/>
    <w:rsid w:val="0047413F"/>
    <w:rsid w:val="00474368"/>
    <w:rsid w:val="00474F99"/>
    <w:rsid w:val="00475837"/>
    <w:rsid w:val="0047617E"/>
    <w:rsid w:val="0047637B"/>
    <w:rsid w:val="0047644A"/>
    <w:rsid w:val="004764B0"/>
    <w:rsid w:val="00476589"/>
    <w:rsid w:val="004766FB"/>
    <w:rsid w:val="00476C33"/>
    <w:rsid w:val="00476DAD"/>
    <w:rsid w:val="00476F4E"/>
    <w:rsid w:val="00477774"/>
    <w:rsid w:val="00477973"/>
    <w:rsid w:val="00477B4F"/>
    <w:rsid w:val="004808DE"/>
    <w:rsid w:val="00480F14"/>
    <w:rsid w:val="00480F1F"/>
    <w:rsid w:val="00481D8C"/>
    <w:rsid w:val="004820E5"/>
    <w:rsid w:val="004824C3"/>
    <w:rsid w:val="00482A83"/>
    <w:rsid w:val="00483099"/>
    <w:rsid w:val="004830EB"/>
    <w:rsid w:val="00483501"/>
    <w:rsid w:val="0048384C"/>
    <w:rsid w:val="004851F7"/>
    <w:rsid w:val="004856E7"/>
    <w:rsid w:val="004857AF"/>
    <w:rsid w:val="00485803"/>
    <w:rsid w:val="0048661F"/>
    <w:rsid w:val="00486819"/>
    <w:rsid w:val="00486A18"/>
    <w:rsid w:val="0048734C"/>
    <w:rsid w:val="00487437"/>
    <w:rsid w:val="00487494"/>
    <w:rsid w:val="004877E4"/>
    <w:rsid w:val="00487A7A"/>
    <w:rsid w:val="00487A7D"/>
    <w:rsid w:val="00487B1C"/>
    <w:rsid w:val="00487FA2"/>
    <w:rsid w:val="00487FD5"/>
    <w:rsid w:val="00490055"/>
    <w:rsid w:val="004902BB"/>
    <w:rsid w:val="00490807"/>
    <w:rsid w:val="00490883"/>
    <w:rsid w:val="00490E82"/>
    <w:rsid w:val="004916F5"/>
    <w:rsid w:val="004918E8"/>
    <w:rsid w:val="00491A3B"/>
    <w:rsid w:val="00492D64"/>
    <w:rsid w:val="004931D3"/>
    <w:rsid w:val="004935BF"/>
    <w:rsid w:val="0049388C"/>
    <w:rsid w:val="004946E1"/>
    <w:rsid w:val="00494C90"/>
    <w:rsid w:val="00494E12"/>
    <w:rsid w:val="004957E0"/>
    <w:rsid w:val="00495C18"/>
    <w:rsid w:val="00495FA2"/>
    <w:rsid w:val="00496AF3"/>
    <w:rsid w:val="00497175"/>
    <w:rsid w:val="004976E3"/>
    <w:rsid w:val="00497AD3"/>
    <w:rsid w:val="004A02EB"/>
    <w:rsid w:val="004A033E"/>
    <w:rsid w:val="004A08E0"/>
    <w:rsid w:val="004A0A68"/>
    <w:rsid w:val="004A0A8E"/>
    <w:rsid w:val="004A0E81"/>
    <w:rsid w:val="004A0F85"/>
    <w:rsid w:val="004A133E"/>
    <w:rsid w:val="004A218F"/>
    <w:rsid w:val="004A2886"/>
    <w:rsid w:val="004A307C"/>
    <w:rsid w:val="004A429B"/>
    <w:rsid w:val="004A4396"/>
    <w:rsid w:val="004A4BE4"/>
    <w:rsid w:val="004A4C23"/>
    <w:rsid w:val="004A514D"/>
    <w:rsid w:val="004A5537"/>
    <w:rsid w:val="004A5808"/>
    <w:rsid w:val="004A58B5"/>
    <w:rsid w:val="004A59B5"/>
    <w:rsid w:val="004A5FC9"/>
    <w:rsid w:val="004A6015"/>
    <w:rsid w:val="004A60CC"/>
    <w:rsid w:val="004A694C"/>
    <w:rsid w:val="004A6A44"/>
    <w:rsid w:val="004A7BB4"/>
    <w:rsid w:val="004A7DE8"/>
    <w:rsid w:val="004B0ECD"/>
    <w:rsid w:val="004B13CE"/>
    <w:rsid w:val="004B1441"/>
    <w:rsid w:val="004B156E"/>
    <w:rsid w:val="004B1807"/>
    <w:rsid w:val="004B24D0"/>
    <w:rsid w:val="004B36AA"/>
    <w:rsid w:val="004B3804"/>
    <w:rsid w:val="004B38ED"/>
    <w:rsid w:val="004B3F7B"/>
    <w:rsid w:val="004B48C9"/>
    <w:rsid w:val="004B4E31"/>
    <w:rsid w:val="004B58FB"/>
    <w:rsid w:val="004B5991"/>
    <w:rsid w:val="004B5A2E"/>
    <w:rsid w:val="004B6071"/>
    <w:rsid w:val="004B6072"/>
    <w:rsid w:val="004B65FF"/>
    <w:rsid w:val="004B6CBB"/>
    <w:rsid w:val="004B7040"/>
    <w:rsid w:val="004B769C"/>
    <w:rsid w:val="004B773C"/>
    <w:rsid w:val="004B7E52"/>
    <w:rsid w:val="004C030D"/>
    <w:rsid w:val="004C0C7E"/>
    <w:rsid w:val="004C0CCB"/>
    <w:rsid w:val="004C0CCD"/>
    <w:rsid w:val="004C0F1C"/>
    <w:rsid w:val="004C0FE7"/>
    <w:rsid w:val="004C1499"/>
    <w:rsid w:val="004C15F4"/>
    <w:rsid w:val="004C1B33"/>
    <w:rsid w:val="004C20BB"/>
    <w:rsid w:val="004C2198"/>
    <w:rsid w:val="004C25AD"/>
    <w:rsid w:val="004C2DF3"/>
    <w:rsid w:val="004C31A9"/>
    <w:rsid w:val="004C3588"/>
    <w:rsid w:val="004C3FE4"/>
    <w:rsid w:val="004C45DF"/>
    <w:rsid w:val="004C5A31"/>
    <w:rsid w:val="004C5E79"/>
    <w:rsid w:val="004C63BB"/>
    <w:rsid w:val="004C6839"/>
    <w:rsid w:val="004C7A07"/>
    <w:rsid w:val="004C7E87"/>
    <w:rsid w:val="004D0106"/>
    <w:rsid w:val="004D0A23"/>
    <w:rsid w:val="004D11A2"/>
    <w:rsid w:val="004D12B2"/>
    <w:rsid w:val="004D1B52"/>
    <w:rsid w:val="004D1B96"/>
    <w:rsid w:val="004D1E84"/>
    <w:rsid w:val="004D2B20"/>
    <w:rsid w:val="004D2B57"/>
    <w:rsid w:val="004D2C9A"/>
    <w:rsid w:val="004D3432"/>
    <w:rsid w:val="004D39D2"/>
    <w:rsid w:val="004D3F0D"/>
    <w:rsid w:val="004D429A"/>
    <w:rsid w:val="004D5723"/>
    <w:rsid w:val="004D5BF2"/>
    <w:rsid w:val="004D5E4B"/>
    <w:rsid w:val="004D608A"/>
    <w:rsid w:val="004D6154"/>
    <w:rsid w:val="004D6171"/>
    <w:rsid w:val="004D627D"/>
    <w:rsid w:val="004D7400"/>
    <w:rsid w:val="004D7FC0"/>
    <w:rsid w:val="004E0528"/>
    <w:rsid w:val="004E0CAD"/>
    <w:rsid w:val="004E0E64"/>
    <w:rsid w:val="004E125E"/>
    <w:rsid w:val="004E1D6D"/>
    <w:rsid w:val="004E20A9"/>
    <w:rsid w:val="004E2246"/>
    <w:rsid w:val="004E23DA"/>
    <w:rsid w:val="004E241F"/>
    <w:rsid w:val="004E2B2E"/>
    <w:rsid w:val="004E2B6D"/>
    <w:rsid w:val="004E337C"/>
    <w:rsid w:val="004E3399"/>
    <w:rsid w:val="004E3E9D"/>
    <w:rsid w:val="004E41AC"/>
    <w:rsid w:val="004E4896"/>
    <w:rsid w:val="004E4BD8"/>
    <w:rsid w:val="004E4DAD"/>
    <w:rsid w:val="004E5076"/>
    <w:rsid w:val="004E572A"/>
    <w:rsid w:val="004E5AB9"/>
    <w:rsid w:val="004E613B"/>
    <w:rsid w:val="004E652B"/>
    <w:rsid w:val="004E688F"/>
    <w:rsid w:val="004E7990"/>
    <w:rsid w:val="004F00E2"/>
    <w:rsid w:val="004F0417"/>
    <w:rsid w:val="004F09DC"/>
    <w:rsid w:val="004F1028"/>
    <w:rsid w:val="004F1084"/>
    <w:rsid w:val="004F1124"/>
    <w:rsid w:val="004F1208"/>
    <w:rsid w:val="004F1501"/>
    <w:rsid w:val="004F184C"/>
    <w:rsid w:val="004F1D7D"/>
    <w:rsid w:val="004F2017"/>
    <w:rsid w:val="004F23AE"/>
    <w:rsid w:val="004F25B9"/>
    <w:rsid w:val="004F29E2"/>
    <w:rsid w:val="004F2E08"/>
    <w:rsid w:val="004F38D6"/>
    <w:rsid w:val="004F3A88"/>
    <w:rsid w:val="004F3E65"/>
    <w:rsid w:val="004F44D1"/>
    <w:rsid w:val="004F47AB"/>
    <w:rsid w:val="004F4A11"/>
    <w:rsid w:val="004F5D14"/>
    <w:rsid w:val="004F62F4"/>
    <w:rsid w:val="004F6460"/>
    <w:rsid w:val="004F6BFD"/>
    <w:rsid w:val="004F7A0D"/>
    <w:rsid w:val="0050275B"/>
    <w:rsid w:val="00502A80"/>
    <w:rsid w:val="0050368F"/>
    <w:rsid w:val="00504782"/>
    <w:rsid w:val="00504D2F"/>
    <w:rsid w:val="005050E7"/>
    <w:rsid w:val="0050530F"/>
    <w:rsid w:val="00505802"/>
    <w:rsid w:val="00505AB6"/>
    <w:rsid w:val="00505EC7"/>
    <w:rsid w:val="00505F52"/>
    <w:rsid w:val="00506BB4"/>
    <w:rsid w:val="00506C90"/>
    <w:rsid w:val="00510F88"/>
    <w:rsid w:val="0051195D"/>
    <w:rsid w:val="00511B5B"/>
    <w:rsid w:val="0051268D"/>
    <w:rsid w:val="00512F44"/>
    <w:rsid w:val="0051305D"/>
    <w:rsid w:val="00513236"/>
    <w:rsid w:val="00513830"/>
    <w:rsid w:val="00513F2D"/>
    <w:rsid w:val="0051472B"/>
    <w:rsid w:val="00514832"/>
    <w:rsid w:val="00514CB0"/>
    <w:rsid w:val="005153AD"/>
    <w:rsid w:val="005154A9"/>
    <w:rsid w:val="005154AB"/>
    <w:rsid w:val="00515ACC"/>
    <w:rsid w:val="00515E8B"/>
    <w:rsid w:val="0051629D"/>
    <w:rsid w:val="00516DA1"/>
    <w:rsid w:val="005179B1"/>
    <w:rsid w:val="00520170"/>
    <w:rsid w:val="005210D8"/>
    <w:rsid w:val="00521138"/>
    <w:rsid w:val="0052156E"/>
    <w:rsid w:val="00521CC0"/>
    <w:rsid w:val="005220BF"/>
    <w:rsid w:val="0052228C"/>
    <w:rsid w:val="00523441"/>
    <w:rsid w:val="00523A88"/>
    <w:rsid w:val="00523A9E"/>
    <w:rsid w:val="005247D0"/>
    <w:rsid w:val="005252E7"/>
    <w:rsid w:val="005258E5"/>
    <w:rsid w:val="00526BE5"/>
    <w:rsid w:val="00526D66"/>
    <w:rsid w:val="0052700E"/>
    <w:rsid w:val="0053011B"/>
    <w:rsid w:val="005303FA"/>
    <w:rsid w:val="005304B5"/>
    <w:rsid w:val="005305E2"/>
    <w:rsid w:val="005306A3"/>
    <w:rsid w:val="00530831"/>
    <w:rsid w:val="00530A3F"/>
    <w:rsid w:val="00530C9C"/>
    <w:rsid w:val="00530F6E"/>
    <w:rsid w:val="00531D47"/>
    <w:rsid w:val="0053253B"/>
    <w:rsid w:val="00533193"/>
    <w:rsid w:val="005331FB"/>
    <w:rsid w:val="00533960"/>
    <w:rsid w:val="00533DE5"/>
    <w:rsid w:val="005345AF"/>
    <w:rsid w:val="00534963"/>
    <w:rsid w:val="00534B19"/>
    <w:rsid w:val="00535F65"/>
    <w:rsid w:val="00535FDE"/>
    <w:rsid w:val="005373E5"/>
    <w:rsid w:val="0054060B"/>
    <w:rsid w:val="00540AEF"/>
    <w:rsid w:val="00541B4D"/>
    <w:rsid w:val="005421FB"/>
    <w:rsid w:val="005428E8"/>
    <w:rsid w:val="00542A1D"/>
    <w:rsid w:val="00542C47"/>
    <w:rsid w:val="00542FF9"/>
    <w:rsid w:val="00544393"/>
    <w:rsid w:val="0054443D"/>
    <w:rsid w:val="00544E20"/>
    <w:rsid w:val="00544FC9"/>
    <w:rsid w:val="00545630"/>
    <w:rsid w:val="00545BF6"/>
    <w:rsid w:val="00545FBD"/>
    <w:rsid w:val="005461DE"/>
    <w:rsid w:val="00546216"/>
    <w:rsid w:val="00547633"/>
    <w:rsid w:val="00547807"/>
    <w:rsid w:val="00547B98"/>
    <w:rsid w:val="00547FF8"/>
    <w:rsid w:val="00547FFB"/>
    <w:rsid w:val="005500F7"/>
    <w:rsid w:val="0055036E"/>
    <w:rsid w:val="00550823"/>
    <w:rsid w:val="0055106D"/>
    <w:rsid w:val="005512BA"/>
    <w:rsid w:val="005517AD"/>
    <w:rsid w:val="00551BA3"/>
    <w:rsid w:val="005522E4"/>
    <w:rsid w:val="0055318E"/>
    <w:rsid w:val="00553242"/>
    <w:rsid w:val="00553549"/>
    <w:rsid w:val="00553B80"/>
    <w:rsid w:val="005545BB"/>
    <w:rsid w:val="00554742"/>
    <w:rsid w:val="00555B51"/>
    <w:rsid w:val="00555C43"/>
    <w:rsid w:val="00555CFC"/>
    <w:rsid w:val="00556276"/>
    <w:rsid w:val="00557034"/>
    <w:rsid w:val="00557E26"/>
    <w:rsid w:val="005602AA"/>
    <w:rsid w:val="00560403"/>
    <w:rsid w:val="005606D0"/>
    <w:rsid w:val="005607AE"/>
    <w:rsid w:val="00560C51"/>
    <w:rsid w:val="00561AE8"/>
    <w:rsid w:val="00562A5F"/>
    <w:rsid w:val="00563835"/>
    <w:rsid w:val="00563A0B"/>
    <w:rsid w:val="0056469E"/>
    <w:rsid w:val="00564CC1"/>
    <w:rsid w:val="0056506A"/>
    <w:rsid w:val="00565106"/>
    <w:rsid w:val="00565192"/>
    <w:rsid w:val="005651C2"/>
    <w:rsid w:val="005652A0"/>
    <w:rsid w:val="005653C6"/>
    <w:rsid w:val="00565414"/>
    <w:rsid w:val="00565F7B"/>
    <w:rsid w:val="0056610C"/>
    <w:rsid w:val="00566574"/>
    <w:rsid w:val="005667B7"/>
    <w:rsid w:val="0056691F"/>
    <w:rsid w:val="005674E7"/>
    <w:rsid w:val="00567D1E"/>
    <w:rsid w:val="00570133"/>
    <w:rsid w:val="00570200"/>
    <w:rsid w:val="005703D0"/>
    <w:rsid w:val="0057063A"/>
    <w:rsid w:val="00570CB6"/>
    <w:rsid w:val="00571A5C"/>
    <w:rsid w:val="005724D8"/>
    <w:rsid w:val="005724F0"/>
    <w:rsid w:val="005733C4"/>
    <w:rsid w:val="00573752"/>
    <w:rsid w:val="005737B7"/>
    <w:rsid w:val="00573CD0"/>
    <w:rsid w:val="005746AF"/>
    <w:rsid w:val="00574E21"/>
    <w:rsid w:val="00575134"/>
    <w:rsid w:val="005756EB"/>
    <w:rsid w:val="00575759"/>
    <w:rsid w:val="005759B7"/>
    <w:rsid w:val="00575A11"/>
    <w:rsid w:val="005760D2"/>
    <w:rsid w:val="0057618A"/>
    <w:rsid w:val="005764AD"/>
    <w:rsid w:val="005767C0"/>
    <w:rsid w:val="00576992"/>
    <w:rsid w:val="00576B6D"/>
    <w:rsid w:val="00577727"/>
    <w:rsid w:val="0057785A"/>
    <w:rsid w:val="00577B3E"/>
    <w:rsid w:val="00577FC2"/>
    <w:rsid w:val="005800B6"/>
    <w:rsid w:val="005807D4"/>
    <w:rsid w:val="005814A2"/>
    <w:rsid w:val="00581691"/>
    <w:rsid w:val="00581CD4"/>
    <w:rsid w:val="00581F87"/>
    <w:rsid w:val="00582C06"/>
    <w:rsid w:val="00582EE1"/>
    <w:rsid w:val="00582FB8"/>
    <w:rsid w:val="0058344B"/>
    <w:rsid w:val="00583C6B"/>
    <w:rsid w:val="00585D29"/>
    <w:rsid w:val="005860AF"/>
    <w:rsid w:val="0058637C"/>
    <w:rsid w:val="005872FA"/>
    <w:rsid w:val="005877F7"/>
    <w:rsid w:val="00587F0B"/>
    <w:rsid w:val="005910AA"/>
    <w:rsid w:val="005916E5"/>
    <w:rsid w:val="005919EB"/>
    <w:rsid w:val="00591DDD"/>
    <w:rsid w:val="00592816"/>
    <w:rsid w:val="00593BD8"/>
    <w:rsid w:val="005942CE"/>
    <w:rsid w:val="00594C2E"/>
    <w:rsid w:val="00595446"/>
    <w:rsid w:val="00595C03"/>
    <w:rsid w:val="00595F29"/>
    <w:rsid w:val="00596424"/>
    <w:rsid w:val="0059748A"/>
    <w:rsid w:val="005976B5"/>
    <w:rsid w:val="005978B0"/>
    <w:rsid w:val="005A0146"/>
    <w:rsid w:val="005A04AE"/>
    <w:rsid w:val="005A0F65"/>
    <w:rsid w:val="005A23E9"/>
    <w:rsid w:val="005A2C5B"/>
    <w:rsid w:val="005A32DC"/>
    <w:rsid w:val="005A456F"/>
    <w:rsid w:val="005A46A7"/>
    <w:rsid w:val="005A46F8"/>
    <w:rsid w:val="005A4983"/>
    <w:rsid w:val="005A5104"/>
    <w:rsid w:val="005A5136"/>
    <w:rsid w:val="005A53E2"/>
    <w:rsid w:val="005A5562"/>
    <w:rsid w:val="005A5701"/>
    <w:rsid w:val="005A5779"/>
    <w:rsid w:val="005A5CC5"/>
    <w:rsid w:val="005A5CF2"/>
    <w:rsid w:val="005A5DE4"/>
    <w:rsid w:val="005A6313"/>
    <w:rsid w:val="005A677D"/>
    <w:rsid w:val="005A6AD3"/>
    <w:rsid w:val="005A7589"/>
    <w:rsid w:val="005A75E5"/>
    <w:rsid w:val="005A7A6E"/>
    <w:rsid w:val="005B017E"/>
    <w:rsid w:val="005B07B2"/>
    <w:rsid w:val="005B07F5"/>
    <w:rsid w:val="005B0C3E"/>
    <w:rsid w:val="005B1902"/>
    <w:rsid w:val="005B2078"/>
    <w:rsid w:val="005B23B7"/>
    <w:rsid w:val="005B2E67"/>
    <w:rsid w:val="005B2E73"/>
    <w:rsid w:val="005B2F2D"/>
    <w:rsid w:val="005B3350"/>
    <w:rsid w:val="005B37C1"/>
    <w:rsid w:val="005B3A1E"/>
    <w:rsid w:val="005B3BC4"/>
    <w:rsid w:val="005B3E0D"/>
    <w:rsid w:val="005B4114"/>
    <w:rsid w:val="005B42A1"/>
    <w:rsid w:val="005B4437"/>
    <w:rsid w:val="005B497D"/>
    <w:rsid w:val="005B5159"/>
    <w:rsid w:val="005B52EC"/>
    <w:rsid w:val="005B5D49"/>
    <w:rsid w:val="005B5DA4"/>
    <w:rsid w:val="005B7743"/>
    <w:rsid w:val="005B7A1E"/>
    <w:rsid w:val="005B7A36"/>
    <w:rsid w:val="005B7FAA"/>
    <w:rsid w:val="005C0EC0"/>
    <w:rsid w:val="005C12F8"/>
    <w:rsid w:val="005C17BC"/>
    <w:rsid w:val="005C19DA"/>
    <w:rsid w:val="005C1EE7"/>
    <w:rsid w:val="005C25A1"/>
    <w:rsid w:val="005C2965"/>
    <w:rsid w:val="005C2AEF"/>
    <w:rsid w:val="005C35B2"/>
    <w:rsid w:val="005C42EA"/>
    <w:rsid w:val="005C4EAC"/>
    <w:rsid w:val="005C51F8"/>
    <w:rsid w:val="005C52EF"/>
    <w:rsid w:val="005C5C63"/>
    <w:rsid w:val="005C5CF7"/>
    <w:rsid w:val="005C62E5"/>
    <w:rsid w:val="005C67F4"/>
    <w:rsid w:val="005C6B66"/>
    <w:rsid w:val="005C6D4F"/>
    <w:rsid w:val="005C6EDA"/>
    <w:rsid w:val="005C7002"/>
    <w:rsid w:val="005C75EA"/>
    <w:rsid w:val="005C77A6"/>
    <w:rsid w:val="005C7A1D"/>
    <w:rsid w:val="005D00AD"/>
    <w:rsid w:val="005D0ECE"/>
    <w:rsid w:val="005D0F11"/>
    <w:rsid w:val="005D0FA9"/>
    <w:rsid w:val="005D10E9"/>
    <w:rsid w:val="005D11B2"/>
    <w:rsid w:val="005D12F5"/>
    <w:rsid w:val="005D1662"/>
    <w:rsid w:val="005D2E38"/>
    <w:rsid w:val="005D3993"/>
    <w:rsid w:val="005D4023"/>
    <w:rsid w:val="005D43F6"/>
    <w:rsid w:val="005D4484"/>
    <w:rsid w:val="005D467F"/>
    <w:rsid w:val="005D4A78"/>
    <w:rsid w:val="005D4E62"/>
    <w:rsid w:val="005D52DD"/>
    <w:rsid w:val="005D5542"/>
    <w:rsid w:val="005D56F0"/>
    <w:rsid w:val="005D5B4B"/>
    <w:rsid w:val="005D6CA2"/>
    <w:rsid w:val="005D7399"/>
    <w:rsid w:val="005D79CD"/>
    <w:rsid w:val="005D7DFC"/>
    <w:rsid w:val="005D7F60"/>
    <w:rsid w:val="005E051C"/>
    <w:rsid w:val="005E05D5"/>
    <w:rsid w:val="005E08C9"/>
    <w:rsid w:val="005E0AF4"/>
    <w:rsid w:val="005E0E64"/>
    <w:rsid w:val="005E1CA7"/>
    <w:rsid w:val="005E24FC"/>
    <w:rsid w:val="005E3143"/>
    <w:rsid w:val="005E41E0"/>
    <w:rsid w:val="005E4CB9"/>
    <w:rsid w:val="005E51D8"/>
    <w:rsid w:val="005E53BE"/>
    <w:rsid w:val="005E5C21"/>
    <w:rsid w:val="005E6428"/>
    <w:rsid w:val="005E654D"/>
    <w:rsid w:val="005E6E1B"/>
    <w:rsid w:val="005E6F2D"/>
    <w:rsid w:val="005E7E6A"/>
    <w:rsid w:val="005E7EB3"/>
    <w:rsid w:val="005E7EFC"/>
    <w:rsid w:val="005F00A1"/>
    <w:rsid w:val="005F0144"/>
    <w:rsid w:val="005F03AF"/>
    <w:rsid w:val="005F0491"/>
    <w:rsid w:val="005F0669"/>
    <w:rsid w:val="005F08B4"/>
    <w:rsid w:val="005F0D3B"/>
    <w:rsid w:val="005F0D55"/>
    <w:rsid w:val="005F1F3C"/>
    <w:rsid w:val="005F21AD"/>
    <w:rsid w:val="005F21DD"/>
    <w:rsid w:val="005F2617"/>
    <w:rsid w:val="005F2A5B"/>
    <w:rsid w:val="005F36F9"/>
    <w:rsid w:val="005F3A6A"/>
    <w:rsid w:val="005F3B9A"/>
    <w:rsid w:val="005F3EF0"/>
    <w:rsid w:val="005F476B"/>
    <w:rsid w:val="005F5EC0"/>
    <w:rsid w:val="005F6100"/>
    <w:rsid w:val="005F6493"/>
    <w:rsid w:val="005F68EF"/>
    <w:rsid w:val="005F6AB6"/>
    <w:rsid w:val="005F6E3C"/>
    <w:rsid w:val="005F7323"/>
    <w:rsid w:val="005F7859"/>
    <w:rsid w:val="0060005F"/>
    <w:rsid w:val="00600327"/>
    <w:rsid w:val="00600654"/>
    <w:rsid w:val="00600B4C"/>
    <w:rsid w:val="00600B83"/>
    <w:rsid w:val="006012B7"/>
    <w:rsid w:val="006012F2"/>
    <w:rsid w:val="006027EC"/>
    <w:rsid w:val="00602E23"/>
    <w:rsid w:val="00602EC1"/>
    <w:rsid w:val="00603244"/>
    <w:rsid w:val="006048E0"/>
    <w:rsid w:val="00604DC7"/>
    <w:rsid w:val="006054B2"/>
    <w:rsid w:val="00605D57"/>
    <w:rsid w:val="006062A5"/>
    <w:rsid w:val="006066A8"/>
    <w:rsid w:val="00606907"/>
    <w:rsid w:val="006070B6"/>
    <w:rsid w:val="00607ED2"/>
    <w:rsid w:val="00610352"/>
    <w:rsid w:val="00610C44"/>
    <w:rsid w:val="00611706"/>
    <w:rsid w:val="00611853"/>
    <w:rsid w:val="00611E02"/>
    <w:rsid w:val="00612343"/>
    <w:rsid w:val="00612679"/>
    <w:rsid w:val="00612783"/>
    <w:rsid w:val="006132A1"/>
    <w:rsid w:val="006138EF"/>
    <w:rsid w:val="00613D49"/>
    <w:rsid w:val="00614109"/>
    <w:rsid w:val="0061480F"/>
    <w:rsid w:val="00614D7F"/>
    <w:rsid w:val="006152FB"/>
    <w:rsid w:val="00615668"/>
    <w:rsid w:val="00615836"/>
    <w:rsid w:val="00615959"/>
    <w:rsid w:val="006166BD"/>
    <w:rsid w:val="00616865"/>
    <w:rsid w:val="006172D0"/>
    <w:rsid w:val="00617F0F"/>
    <w:rsid w:val="00617F4F"/>
    <w:rsid w:val="00617F7B"/>
    <w:rsid w:val="006200C6"/>
    <w:rsid w:val="00621BAB"/>
    <w:rsid w:val="00621C27"/>
    <w:rsid w:val="00621FDB"/>
    <w:rsid w:val="00623447"/>
    <w:rsid w:val="006235CB"/>
    <w:rsid w:val="006245AA"/>
    <w:rsid w:val="00624D70"/>
    <w:rsid w:val="0062517D"/>
    <w:rsid w:val="006253EC"/>
    <w:rsid w:val="0062566B"/>
    <w:rsid w:val="00625D39"/>
    <w:rsid w:val="00625F6D"/>
    <w:rsid w:val="00626202"/>
    <w:rsid w:val="00626AFB"/>
    <w:rsid w:val="00626D7F"/>
    <w:rsid w:val="00626E90"/>
    <w:rsid w:val="006277C7"/>
    <w:rsid w:val="0063034D"/>
    <w:rsid w:val="0063108D"/>
    <w:rsid w:val="00631A2A"/>
    <w:rsid w:val="00631A82"/>
    <w:rsid w:val="00631DB8"/>
    <w:rsid w:val="00631F19"/>
    <w:rsid w:val="006325A3"/>
    <w:rsid w:val="00632965"/>
    <w:rsid w:val="00632C18"/>
    <w:rsid w:val="00632F01"/>
    <w:rsid w:val="00632F09"/>
    <w:rsid w:val="006342A3"/>
    <w:rsid w:val="00634F0E"/>
    <w:rsid w:val="0063593D"/>
    <w:rsid w:val="00635CBB"/>
    <w:rsid w:val="00635D54"/>
    <w:rsid w:val="00636CE4"/>
    <w:rsid w:val="00637364"/>
    <w:rsid w:val="00637A1E"/>
    <w:rsid w:val="0064067D"/>
    <w:rsid w:val="006408D5"/>
    <w:rsid w:val="00641073"/>
    <w:rsid w:val="00641221"/>
    <w:rsid w:val="00641413"/>
    <w:rsid w:val="00641899"/>
    <w:rsid w:val="0064191C"/>
    <w:rsid w:val="00641B2E"/>
    <w:rsid w:val="00641C15"/>
    <w:rsid w:val="00641F48"/>
    <w:rsid w:val="00642FED"/>
    <w:rsid w:val="006434C1"/>
    <w:rsid w:val="00643624"/>
    <w:rsid w:val="006437F5"/>
    <w:rsid w:val="0064382E"/>
    <w:rsid w:val="00643EC8"/>
    <w:rsid w:val="00644117"/>
    <w:rsid w:val="006447B5"/>
    <w:rsid w:val="006454DC"/>
    <w:rsid w:val="00645517"/>
    <w:rsid w:val="0064583D"/>
    <w:rsid w:val="00645994"/>
    <w:rsid w:val="00646031"/>
    <w:rsid w:val="0064621F"/>
    <w:rsid w:val="006464F8"/>
    <w:rsid w:val="006472A9"/>
    <w:rsid w:val="00647771"/>
    <w:rsid w:val="00647EED"/>
    <w:rsid w:val="006500A2"/>
    <w:rsid w:val="0065019A"/>
    <w:rsid w:val="0065020E"/>
    <w:rsid w:val="006506FE"/>
    <w:rsid w:val="006513EA"/>
    <w:rsid w:val="00651ED3"/>
    <w:rsid w:val="00652345"/>
    <w:rsid w:val="0065244D"/>
    <w:rsid w:val="00652943"/>
    <w:rsid w:val="00652FE2"/>
    <w:rsid w:val="00653525"/>
    <w:rsid w:val="006536E1"/>
    <w:rsid w:val="006537E5"/>
    <w:rsid w:val="006541F7"/>
    <w:rsid w:val="00654484"/>
    <w:rsid w:val="006556BB"/>
    <w:rsid w:val="0065588C"/>
    <w:rsid w:val="006567E0"/>
    <w:rsid w:val="006603F0"/>
    <w:rsid w:val="00660AB3"/>
    <w:rsid w:val="006619BD"/>
    <w:rsid w:val="00661A60"/>
    <w:rsid w:val="00661A88"/>
    <w:rsid w:val="00661D07"/>
    <w:rsid w:val="00661D10"/>
    <w:rsid w:val="00661F6C"/>
    <w:rsid w:val="006620FF"/>
    <w:rsid w:val="00662296"/>
    <w:rsid w:val="0066236F"/>
    <w:rsid w:val="00662A3C"/>
    <w:rsid w:val="00662C0F"/>
    <w:rsid w:val="00664346"/>
    <w:rsid w:val="006645E4"/>
    <w:rsid w:val="00664C75"/>
    <w:rsid w:val="00664E6F"/>
    <w:rsid w:val="00665948"/>
    <w:rsid w:val="00665A29"/>
    <w:rsid w:val="00665A3C"/>
    <w:rsid w:val="00665A83"/>
    <w:rsid w:val="00665AB6"/>
    <w:rsid w:val="00665F76"/>
    <w:rsid w:val="00666242"/>
    <w:rsid w:val="00667B8F"/>
    <w:rsid w:val="00667E77"/>
    <w:rsid w:val="00670167"/>
    <w:rsid w:val="00670A66"/>
    <w:rsid w:val="00670BA3"/>
    <w:rsid w:val="00670C85"/>
    <w:rsid w:val="00670F49"/>
    <w:rsid w:val="00671AD5"/>
    <w:rsid w:val="00671B3E"/>
    <w:rsid w:val="006724F9"/>
    <w:rsid w:val="00672569"/>
    <w:rsid w:val="006725E2"/>
    <w:rsid w:val="006728FB"/>
    <w:rsid w:val="00673733"/>
    <w:rsid w:val="006737A8"/>
    <w:rsid w:val="0067463C"/>
    <w:rsid w:val="006763AF"/>
    <w:rsid w:val="0067712D"/>
    <w:rsid w:val="0067766C"/>
    <w:rsid w:val="006777C6"/>
    <w:rsid w:val="00677898"/>
    <w:rsid w:val="00677901"/>
    <w:rsid w:val="00677E2D"/>
    <w:rsid w:val="00680309"/>
    <w:rsid w:val="006803C5"/>
    <w:rsid w:val="006803FD"/>
    <w:rsid w:val="00680BC5"/>
    <w:rsid w:val="00681144"/>
    <w:rsid w:val="0068182E"/>
    <w:rsid w:val="00683EED"/>
    <w:rsid w:val="006841AE"/>
    <w:rsid w:val="0068456E"/>
    <w:rsid w:val="00684584"/>
    <w:rsid w:val="00684F25"/>
    <w:rsid w:val="00685480"/>
    <w:rsid w:val="00685AE6"/>
    <w:rsid w:val="00686088"/>
    <w:rsid w:val="00686262"/>
    <w:rsid w:val="00686524"/>
    <w:rsid w:val="0068779A"/>
    <w:rsid w:val="0068783D"/>
    <w:rsid w:val="00687AC8"/>
    <w:rsid w:val="00687D48"/>
    <w:rsid w:val="0069055B"/>
    <w:rsid w:val="006908FF"/>
    <w:rsid w:val="006909CD"/>
    <w:rsid w:val="006914AE"/>
    <w:rsid w:val="006915EF"/>
    <w:rsid w:val="00691C8C"/>
    <w:rsid w:val="00691E61"/>
    <w:rsid w:val="0069361D"/>
    <w:rsid w:val="006936AF"/>
    <w:rsid w:val="00693A65"/>
    <w:rsid w:val="006942BE"/>
    <w:rsid w:val="00694A0E"/>
    <w:rsid w:val="00694DF6"/>
    <w:rsid w:val="006957B0"/>
    <w:rsid w:val="00695A2B"/>
    <w:rsid w:val="00696704"/>
    <w:rsid w:val="006975DB"/>
    <w:rsid w:val="00697657"/>
    <w:rsid w:val="00697C06"/>
    <w:rsid w:val="006A05DC"/>
    <w:rsid w:val="006A0B3D"/>
    <w:rsid w:val="006A1144"/>
    <w:rsid w:val="006A17F5"/>
    <w:rsid w:val="006A1890"/>
    <w:rsid w:val="006A1E3B"/>
    <w:rsid w:val="006A256B"/>
    <w:rsid w:val="006A31C2"/>
    <w:rsid w:val="006A3B92"/>
    <w:rsid w:val="006A41B0"/>
    <w:rsid w:val="006A429B"/>
    <w:rsid w:val="006A5DE1"/>
    <w:rsid w:val="006A5F7A"/>
    <w:rsid w:val="006A60F4"/>
    <w:rsid w:val="006A61BD"/>
    <w:rsid w:val="006A6345"/>
    <w:rsid w:val="006A648B"/>
    <w:rsid w:val="006A67E1"/>
    <w:rsid w:val="006A70CD"/>
    <w:rsid w:val="006A7B3B"/>
    <w:rsid w:val="006A7DD7"/>
    <w:rsid w:val="006B0228"/>
    <w:rsid w:val="006B1226"/>
    <w:rsid w:val="006B13C7"/>
    <w:rsid w:val="006B20EE"/>
    <w:rsid w:val="006B21DA"/>
    <w:rsid w:val="006B3174"/>
    <w:rsid w:val="006B31A5"/>
    <w:rsid w:val="006B3781"/>
    <w:rsid w:val="006B3AE3"/>
    <w:rsid w:val="006B3F31"/>
    <w:rsid w:val="006B4321"/>
    <w:rsid w:val="006B55D7"/>
    <w:rsid w:val="006B561E"/>
    <w:rsid w:val="006B5A2D"/>
    <w:rsid w:val="006B5E03"/>
    <w:rsid w:val="006B61B5"/>
    <w:rsid w:val="006B6E10"/>
    <w:rsid w:val="006B6F3D"/>
    <w:rsid w:val="006B6FC5"/>
    <w:rsid w:val="006B77AF"/>
    <w:rsid w:val="006B79D4"/>
    <w:rsid w:val="006B7A37"/>
    <w:rsid w:val="006B7C54"/>
    <w:rsid w:val="006C0545"/>
    <w:rsid w:val="006C05D5"/>
    <w:rsid w:val="006C0852"/>
    <w:rsid w:val="006C0A0A"/>
    <w:rsid w:val="006C0ACE"/>
    <w:rsid w:val="006C0D0C"/>
    <w:rsid w:val="006C100D"/>
    <w:rsid w:val="006C1357"/>
    <w:rsid w:val="006C168E"/>
    <w:rsid w:val="006C17BD"/>
    <w:rsid w:val="006C2574"/>
    <w:rsid w:val="006C307E"/>
    <w:rsid w:val="006C3497"/>
    <w:rsid w:val="006C46F5"/>
    <w:rsid w:val="006C474F"/>
    <w:rsid w:val="006C5068"/>
    <w:rsid w:val="006C57A6"/>
    <w:rsid w:val="006C5EF6"/>
    <w:rsid w:val="006C633D"/>
    <w:rsid w:val="006C798B"/>
    <w:rsid w:val="006C7AD2"/>
    <w:rsid w:val="006C7B37"/>
    <w:rsid w:val="006C7F7B"/>
    <w:rsid w:val="006D08E4"/>
    <w:rsid w:val="006D0A0F"/>
    <w:rsid w:val="006D0AE0"/>
    <w:rsid w:val="006D0CAA"/>
    <w:rsid w:val="006D0CC0"/>
    <w:rsid w:val="006D105B"/>
    <w:rsid w:val="006D1073"/>
    <w:rsid w:val="006D151A"/>
    <w:rsid w:val="006D1EFC"/>
    <w:rsid w:val="006D274C"/>
    <w:rsid w:val="006D2C61"/>
    <w:rsid w:val="006D3494"/>
    <w:rsid w:val="006D3C61"/>
    <w:rsid w:val="006D4430"/>
    <w:rsid w:val="006D4670"/>
    <w:rsid w:val="006D46FE"/>
    <w:rsid w:val="006D4A0B"/>
    <w:rsid w:val="006D4EC3"/>
    <w:rsid w:val="006D50A7"/>
    <w:rsid w:val="006D50CF"/>
    <w:rsid w:val="006D5205"/>
    <w:rsid w:val="006D5982"/>
    <w:rsid w:val="006D5BBE"/>
    <w:rsid w:val="006D6190"/>
    <w:rsid w:val="006D67CF"/>
    <w:rsid w:val="006D691C"/>
    <w:rsid w:val="006D6998"/>
    <w:rsid w:val="006D7168"/>
    <w:rsid w:val="006D750B"/>
    <w:rsid w:val="006D7B76"/>
    <w:rsid w:val="006D7CC9"/>
    <w:rsid w:val="006E0A55"/>
    <w:rsid w:val="006E0C4A"/>
    <w:rsid w:val="006E1295"/>
    <w:rsid w:val="006E13E7"/>
    <w:rsid w:val="006E1F69"/>
    <w:rsid w:val="006E1F78"/>
    <w:rsid w:val="006E28EF"/>
    <w:rsid w:val="006E32B4"/>
    <w:rsid w:val="006E3346"/>
    <w:rsid w:val="006E36F0"/>
    <w:rsid w:val="006E381B"/>
    <w:rsid w:val="006E3839"/>
    <w:rsid w:val="006E3A3C"/>
    <w:rsid w:val="006E4723"/>
    <w:rsid w:val="006E4CF8"/>
    <w:rsid w:val="006E5030"/>
    <w:rsid w:val="006E50B1"/>
    <w:rsid w:val="006E570E"/>
    <w:rsid w:val="006E620D"/>
    <w:rsid w:val="006E65B3"/>
    <w:rsid w:val="006E6868"/>
    <w:rsid w:val="006E7310"/>
    <w:rsid w:val="006E7739"/>
    <w:rsid w:val="006E7E2C"/>
    <w:rsid w:val="006F0CD9"/>
    <w:rsid w:val="006F132B"/>
    <w:rsid w:val="006F15CC"/>
    <w:rsid w:val="006F23CA"/>
    <w:rsid w:val="006F2849"/>
    <w:rsid w:val="006F2CD9"/>
    <w:rsid w:val="006F2D97"/>
    <w:rsid w:val="006F2F4C"/>
    <w:rsid w:val="006F36A6"/>
    <w:rsid w:val="006F3C28"/>
    <w:rsid w:val="006F3FED"/>
    <w:rsid w:val="006F407F"/>
    <w:rsid w:val="006F42F0"/>
    <w:rsid w:val="006F465C"/>
    <w:rsid w:val="006F4966"/>
    <w:rsid w:val="006F4A58"/>
    <w:rsid w:val="006F5962"/>
    <w:rsid w:val="006F5AF1"/>
    <w:rsid w:val="006F6FCB"/>
    <w:rsid w:val="006F701B"/>
    <w:rsid w:val="006F7463"/>
    <w:rsid w:val="006F7564"/>
    <w:rsid w:val="006F7590"/>
    <w:rsid w:val="006F76DF"/>
    <w:rsid w:val="006F7A19"/>
    <w:rsid w:val="007000BC"/>
    <w:rsid w:val="007000FA"/>
    <w:rsid w:val="00700B34"/>
    <w:rsid w:val="00700DC9"/>
    <w:rsid w:val="00701155"/>
    <w:rsid w:val="00701732"/>
    <w:rsid w:val="007019E9"/>
    <w:rsid w:val="00701CB6"/>
    <w:rsid w:val="00702968"/>
    <w:rsid w:val="00702E35"/>
    <w:rsid w:val="00703E08"/>
    <w:rsid w:val="00703E22"/>
    <w:rsid w:val="00703E96"/>
    <w:rsid w:val="00703EBF"/>
    <w:rsid w:val="0070416B"/>
    <w:rsid w:val="007044F5"/>
    <w:rsid w:val="00704560"/>
    <w:rsid w:val="007045E7"/>
    <w:rsid w:val="0070502E"/>
    <w:rsid w:val="00705053"/>
    <w:rsid w:val="0070615E"/>
    <w:rsid w:val="007063DB"/>
    <w:rsid w:val="00706640"/>
    <w:rsid w:val="00706793"/>
    <w:rsid w:val="007067E6"/>
    <w:rsid w:val="00707232"/>
    <w:rsid w:val="007105CD"/>
    <w:rsid w:val="00710A77"/>
    <w:rsid w:val="00710D84"/>
    <w:rsid w:val="00711852"/>
    <w:rsid w:val="00711BD6"/>
    <w:rsid w:val="00711E91"/>
    <w:rsid w:val="00711F1D"/>
    <w:rsid w:val="00712608"/>
    <w:rsid w:val="00712767"/>
    <w:rsid w:val="00712BBB"/>
    <w:rsid w:val="0071356C"/>
    <w:rsid w:val="0071430C"/>
    <w:rsid w:val="0071442A"/>
    <w:rsid w:val="007146B7"/>
    <w:rsid w:val="00714B9A"/>
    <w:rsid w:val="00715025"/>
    <w:rsid w:val="0071525C"/>
    <w:rsid w:val="00715322"/>
    <w:rsid w:val="007154CC"/>
    <w:rsid w:val="0071556B"/>
    <w:rsid w:val="00715A4E"/>
    <w:rsid w:val="00716772"/>
    <w:rsid w:val="00716AE0"/>
    <w:rsid w:val="00716B15"/>
    <w:rsid w:val="00717A86"/>
    <w:rsid w:val="007201B9"/>
    <w:rsid w:val="00720A48"/>
    <w:rsid w:val="00720F85"/>
    <w:rsid w:val="00721FB1"/>
    <w:rsid w:val="007222E9"/>
    <w:rsid w:val="00722399"/>
    <w:rsid w:val="00722B25"/>
    <w:rsid w:val="00722B5E"/>
    <w:rsid w:val="0072416B"/>
    <w:rsid w:val="00724655"/>
    <w:rsid w:val="007250A2"/>
    <w:rsid w:val="007256AE"/>
    <w:rsid w:val="007258E9"/>
    <w:rsid w:val="00725D72"/>
    <w:rsid w:val="00725E0F"/>
    <w:rsid w:val="007266D2"/>
    <w:rsid w:val="00726FF6"/>
    <w:rsid w:val="00727857"/>
    <w:rsid w:val="00727C72"/>
    <w:rsid w:val="00727E9A"/>
    <w:rsid w:val="00727F5F"/>
    <w:rsid w:val="00730EA2"/>
    <w:rsid w:val="0073187A"/>
    <w:rsid w:val="00731D86"/>
    <w:rsid w:val="00732568"/>
    <w:rsid w:val="00732E2A"/>
    <w:rsid w:val="00733327"/>
    <w:rsid w:val="00733952"/>
    <w:rsid w:val="00734698"/>
    <w:rsid w:val="00734E95"/>
    <w:rsid w:val="00735425"/>
    <w:rsid w:val="00735F7E"/>
    <w:rsid w:val="00736073"/>
    <w:rsid w:val="007368D4"/>
    <w:rsid w:val="007405FE"/>
    <w:rsid w:val="00741349"/>
    <w:rsid w:val="00741999"/>
    <w:rsid w:val="00741AAA"/>
    <w:rsid w:val="00741BDC"/>
    <w:rsid w:val="007430B1"/>
    <w:rsid w:val="0074429F"/>
    <w:rsid w:val="00744831"/>
    <w:rsid w:val="00744866"/>
    <w:rsid w:val="00744962"/>
    <w:rsid w:val="0074519A"/>
    <w:rsid w:val="0074566F"/>
    <w:rsid w:val="00745690"/>
    <w:rsid w:val="00745D1B"/>
    <w:rsid w:val="007461B0"/>
    <w:rsid w:val="007465A5"/>
    <w:rsid w:val="007469C3"/>
    <w:rsid w:val="00746A71"/>
    <w:rsid w:val="007471F2"/>
    <w:rsid w:val="007475DB"/>
    <w:rsid w:val="0075005F"/>
    <w:rsid w:val="007502CB"/>
    <w:rsid w:val="00750871"/>
    <w:rsid w:val="0075116C"/>
    <w:rsid w:val="007516CF"/>
    <w:rsid w:val="007519DA"/>
    <w:rsid w:val="00752369"/>
    <w:rsid w:val="00752D3B"/>
    <w:rsid w:val="0075393F"/>
    <w:rsid w:val="00754754"/>
    <w:rsid w:val="007554FF"/>
    <w:rsid w:val="00755639"/>
    <w:rsid w:val="00756033"/>
    <w:rsid w:val="007606CF"/>
    <w:rsid w:val="00760B70"/>
    <w:rsid w:val="00760F74"/>
    <w:rsid w:val="00761272"/>
    <w:rsid w:val="0076244C"/>
    <w:rsid w:val="007628EE"/>
    <w:rsid w:val="00762D1E"/>
    <w:rsid w:val="007636F7"/>
    <w:rsid w:val="00763E84"/>
    <w:rsid w:val="00764169"/>
    <w:rsid w:val="00764780"/>
    <w:rsid w:val="00764B6C"/>
    <w:rsid w:val="00764BC6"/>
    <w:rsid w:val="00764D30"/>
    <w:rsid w:val="00764E4F"/>
    <w:rsid w:val="00764E8F"/>
    <w:rsid w:val="007651FD"/>
    <w:rsid w:val="00765958"/>
    <w:rsid w:val="00765C34"/>
    <w:rsid w:val="007673D3"/>
    <w:rsid w:val="00767733"/>
    <w:rsid w:val="00767A1F"/>
    <w:rsid w:val="00767EA9"/>
    <w:rsid w:val="00767EB2"/>
    <w:rsid w:val="00767F02"/>
    <w:rsid w:val="00767FFD"/>
    <w:rsid w:val="00770858"/>
    <w:rsid w:val="00770D2D"/>
    <w:rsid w:val="007713F8"/>
    <w:rsid w:val="00771F60"/>
    <w:rsid w:val="0077228E"/>
    <w:rsid w:val="00772331"/>
    <w:rsid w:val="007728BE"/>
    <w:rsid w:val="00772CF0"/>
    <w:rsid w:val="007732AA"/>
    <w:rsid w:val="00773589"/>
    <w:rsid w:val="0077401E"/>
    <w:rsid w:val="007740C4"/>
    <w:rsid w:val="0077424D"/>
    <w:rsid w:val="007742C1"/>
    <w:rsid w:val="007749AC"/>
    <w:rsid w:val="00774D7A"/>
    <w:rsid w:val="00775345"/>
    <w:rsid w:val="007758E0"/>
    <w:rsid w:val="00776947"/>
    <w:rsid w:val="00777136"/>
    <w:rsid w:val="0078026F"/>
    <w:rsid w:val="00780330"/>
    <w:rsid w:val="00781048"/>
    <w:rsid w:val="00781122"/>
    <w:rsid w:val="007819DD"/>
    <w:rsid w:val="007819F6"/>
    <w:rsid w:val="00781CE7"/>
    <w:rsid w:val="00781D1C"/>
    <w:rsid w:val="00781D1E"/>
    <w:rsid w:val="00782AFF"/>
    <w:rsid w:val="00782C65"/>
    <w:rsid w:val="007831F0"/>
    <w:rsid w:val="00783733"/>
    <w:rsid w:val="00783883"/>
    <w:rsid w:val="00783FC5"/>
    <w:rsid w:val="007846D0"/>
    <w:rsid w:val="00785A34"/>
    <w:rsid w:val="00785AED"/>
    <w:rsid w:val="0078609C"/>
    <w:rsid w:val="00786376"/>
    <w:rsid w:val="00786542"/>
    <w:rsid w:val="0078663C"/>
    <w:rsid w:val="00786C1A"/>
    <w:rsid w:val="007872ED"/>
    <w:rsid w:val="00787457"/>
    <w:rsid w:val="00787BEA"/>
    <w:rsid w:val="00791960"/>
    <w:rsid w:val="0079202C"/>
    <w:rsid w:val="00792058"/>
    <w:rsid w:val="00792322"/>
    <w:rsid w:val="0079234F"/>
    <w:rsid w:val="00792405"/>
    <w:rsid w:val="007925FC"/>
    <w:rsid w:val="00792618"/>
    <w:rsid w:val="0079276A"/>
    <w:rsid w:val="00793198"/>
    <w:rsid w:val="0079344A"/>
    <w:rsid w:val="0079371F"/>
    <w:rsid w:val="0079386C"/>
    <w:rsid w:val="00793CB5"/>
    <w:rsid w:val="00793EF6"/>
    <w:rsid w:val="00794377"/>
    <w:rsid w:val="00795DEC"/>
    <w:rsid w:val="00795EC4"/>
    <w:rsid w:val="0079664D"/>
    <w:rsid w:val="007970C8"/>
    <w:rsid w:val="007974BB"/>
    <w:rsid w:val="007976AE"/>
    <w:rsid w:val="00797730"/>
    <w:rsid w:val="00797850"/>
    <w:rsid w:val="00797AF3"/>
    <w:rsid w:val="00797C06"/>
    <w:rsid w:val="007A04B8"/>
    <w:rsid w:val="007A0774"/>
    <w:rsid w:val="007A0B17"/>
    <w:rsid w:val="007A1189"/>
    <w:rsid w:val="007A16BC"/>
    <w:rsid w:val="007A1F02"/>
    <w:rsid w:val="007A213F"/>
    <w:rsid w:val="007A2397"/>
    <w:rsid w:val="007A2758"/>
    <w:rsid w:val="007A2F9E"/>
    <w:rsid w:val="007A3AA4"/>
    <w:rsid w:val="007A3FBD"/>
    <w:rsid w:val="007A41CA"/>
    <w:rsid w:val="007A47F2"/>
    <w:rsid w:val="007A4CF7"/>
    <w:rsid w:val="007A51BA"/>
    <w:rsid w:val="007A51E6"/>
    <w:rsid w:val="007A53EF"/>
    <w:rsid w:val="007A5AE2"/>
    <w:rsid w:val="007A6034"/>
    <w:rsid w:val="007A653F"/>
    <w:rsid w:val="007A6A5D"/>
    <w:rsid w:val="007A7075"/>
    <w:rsid w:val="007A7D41"/>
    <w:rsid w:val="007B056F"/>
    <w:rsid w:val="007B0702"/>
    <w:rsid w:val="007B186E"/>
    <w:rsid w:val="007B1B8D"/>
    <w:rsid w:val="007B250E"/>
    <w:rsid w:val="007B30BC"/>
    <w:rsid w:val="007B30DD"/>
    <w:rsid w:val="007B36E7"/>
    <w:rsid w:val="007B42F0"/>
    <w:rsid w:val="007B4844"/>
    <w:rsid w:val="007B4D27"/>
    <w:rsid w:val="007B4FBB"/>
    <w:rsid w:val="007B5B09"/>
    <w:rsid w:val="007B5B58"/>
    <w:rsid w:val="007B5B62"/>
    <w:rsid w:val="007B6CEA"/>
    <w:rsid w:val="007B730B"/>
    <w:rsid w:val="007B7553"/>
    <w:rsid w:val="007B7D07"/>
    <w:rsid w:val="007B7E77"/>
    <w:rsid w:val="007B7F57"/>
    <w:rsid w:val="007C0074"/>
    <w:rsid w:val="007C048E"/>
    <w:rsid w:val="007C05F7"/>
    <w:rsid w:val="007C128A"/>
    <w:rsid w:val="007C18AD"/>
    <w:rsid w:val="007C29BD"/>
    <w:rsid w:val="007C2B31"/>
    <w:rsid w:val="007C2E49"/>
    <w:rsid w:val="007C340F"/>
    <w:rsid w:val="007C4013"/>
    <w:rsid w:val="007C47AB"/>
    <w:rsid w:val="007C52F4"/>
    <w:rsid w:val="007C5D17"/>
    <w:rsid w:val="007C7B12"/>
    <w:rsid w:val="007C7C28"/>
    <w:rsid w:val="007C7C92"/>
    <w:rsid w:val="007C7E0F"/>
    <w:rsid w:val="007D02DC"/>
    <w:rsid w:val="007D0B12"/>
    <w:rsid w:val="007D0F73"/>
    <w:rsid w:val="007D1315"/>
    <w:rsid w:val="007D22F8"/>
    <w:rsid w:val="007D2306"/>
    <w:rsid w:val="007D251D"/>
    <w:rsid w:val="007D279F"/>
    <w:rsid w:val="007D3137"/>
    <w:rsid w:val="007D3909"/>
    <w:rsid w:val="007D391A"/>
    <w:rsid w:val="007D3C5D"/>
    <w:rsid w:val="007D4328"/>
    <w:rsid w:val="007D45C5"/>
    <w:rsid w:val="007D5002"/>
    <w:rsid w:val="007D536C"/>
    <w:rsid w:val="007D5398"/>
    <w:rsid w:val="007D60C3"/>
    <w:rsid w:val="007D635A"/>
    <w:rsid w:val="007D6604"/>
    <w:rsid w:val="007D6797"/>
    <w:rsid w:val="007D6E4F"/>
    <w:rsid w:val="007D6F9A"/>
    <w:rsid w:val="007D71FA"/>
    <w:rsid w:val="007D7CF4"/>
    <w:rsid w:val="007D7F56"/>
    <w:rsid w:val="007E05B1"/>
    <w:rsid w:val="007E0648"/>
    <w:rsid w:val="007E10F3"/>
    <w:rsid w:val="007E3426"/>
    <w:rsid w:val="007E3B4C"/>
    <w:rsid w:val="007E423C"/>
    <w:rsid w:val="007E42AE"/>
    <w:rsid w:val="007E46CF"/>
    <w:rsid w:val="007E4A4A"/>
    <w:rsid w:val="007E4D47"/>
    <w:rsid w:val="007E5564"/>
    <w:rsid w:val="007E5836"/>
    <w:rsid w:val="007E6F9E"/>
    <w:rsid w:val="007E7BD3"/>
    <w:rsid w:val="007E7FA3"/>
    <w:rsid w:val="007F03C1"/>
    <w:rsid w:val="007F1259"/>
    <w:rsid w:val="007F1DF5"/>
    <w:rsid w:val="007F2129"/>
    <w:rsid w:val="007F22E3"/>
    <w:rsid w:val="007F25E2"/>
    <w:rsid w:val="007F301A"/>
    <w:rsid w:val="007F3BA2"/>
    <w:rsid w:val="007F3F6E"/>
    <w:rsid w:val="007F3FF4"/>
    <w:rsid w:val="007F47F0"/>
    <w:rsid w:val="007F4A59"/>
    <w:rsid w:val="007F518A"/>
    <w:rsid w:val="007F53F8"/>
    <w:rsid w:val="007F5778"/>
    <w:rsid w:val="007F5787"/>
    <w:rsid w:val="007F5B20"/>
    <w:rsid w:val="007F5B7B"/>
    <w:rsid w:val="007F5EA1"/>
    <w:rsid w:val="007F6835"/>
    <w:rsid w:val="007F7775"/>
    <w:rsid w:val="007F7BE6"/>
    <w:rsid w:val="008004F2"/>
    <w:rsid w:val="00800B7D"/>
    <w:rsid w:val="00800D07"/>
    <w:rsid w:val="0080150F"/>
    <w:rsid w:val="00801582"/>
    <w:rsid w:val="0080158B"/>
    <w:rsid w:val="0080172D"/>
    <w:rsid w:val="0080220A"/>
    <w:rsid w:val="0080221C"/>
    <w:rsid w:val="008025C5"/>
    <w:rsid w:val="008029C3"/>
    <w:rsid w:val="0080350A"/>
    <w:rsid w:val="00803D91"/>
    <w:rsid w:val="00804269"/>
    <w:rsid w:val="008046A4"/>
    <w:rsid w:val="008047DB"/>
    <w:rsid w:val="008063EB"/>
    <w:rsid w:val="00806DAF"/>
    <w:rsid w:val="00807D3D"/>
    <w:rsid w:val="00807D5E"/>
    <w:rsid w:val="008100E9"/>
    <w:rsid w:val="00810478"/>
    <w:rsid w:val="008104D8"/>
    <w:rsid w:val="00810E55"/>
    <w:rsid w:val="008116FA"/>
    <w:rsid w:val="0081183B"/>
    <w:rsid w:val="00811EBC"/>
    <w:rsid w:val="008124A0"/>
    <w:rsid w:val="008128FE"/>
    <w:rsid w:val="00812C30"/>
    <w:rsid w:val="00812D95"/>
    <w:rsid w:val="00813173"/>
    <w:rsid w:val="008133A2"/>
    <w:rsid w:val="00813487"/>
    <w:rsid w:val="00813EA9"/>
    <w:rsid w:val="00813EB2"/>
    <w:rsid w:val="00814029"/>
    <w:rsid w:val="008145CB"/>
    <w:rsid w:val="00814922"/>
    <w:rsid w:val="00815CA2"/>
    <w:rsid w:val="00816604"/>
    <w:rsid w:val="00816B96"/>
    <w:rsid w:val="00816B9C"/>
    <w:rsid w:val="0081724C"/>
    <w:rsid w:val="00820D0A"/>
    <w:rsid w:val="008211DE"/>
    <w:rsid w:val="00821D5D"/>
    <w:rsid w:val="00822578"/>
    <w:rsid w:val="008225B9"/>
    <w:rsid w:val="00822AAA"/>
    <w:rsid w:val="00822E50"/>
    <w:rsid w:val="008233CB"/>
    <w:rsid w:val="008234D6"/>
    <w:rsid w:val="00823848"/>
    <w:rsid w:val="00823B76"/>
    <w:rsid w:val="00824435"/>
    <w:rsid w:val="00824601"/>
    <w:rsid w:val="008247A4"/>
    <w:rsid w:val="00824A48"/>
    <w:rsid w:val="00824B7F"/>
    <w:rsid w:val="00824F12"/>
    <w:rsid w:val="00825697"/>
    <w:rsid w:val="008263A5"/>
    <w:rsid w:val="00826AFA"/>
    <w:rsid w:val="008270B7"/>
    <w:rsid w:val="008301B7"/>
    <w:rsid w:val="008305CD"/>
    <w:rsid w:val="0083106D"/>
    <w:rsid w:val="008310E7"/>
    <w:rsid w:val="00831916"/>
    <w:rsid w:val="00831951"/>
    <w:rsid w:val="0083250E"/>
    <w:rsid w:val="00832864"/>
    <w:rsid w:val="008328DA"/>
    <w:rsid w:val="00832B12"/>
    <w:rsid w:val="008336E8"/>
    <w:rsid w:val="00834310"/>
    <w:rsid w:val="00834B5C"/>
    <w:rsid w:val="008353FB"/>
    <w:rsid w:val="0083588A"/>
    <w:rsid w:val="00835EA6"/>
    <w:rsid w:val="008360B0"/>
    <w:rsid w:val="00836516"/>
    <w:rsid w:val="00836AB4"/>
    <w:rsid w:val="00836BA7"/>
    <w:rsid w:val="00836C8A"/>
    <w:rsid w:val="00837F57"/>
    <w:rsid w:val="00840056"/>
    <w:rsid w:val="00840511"/>
    <w:rsid w:val="008408BB"/>
    <w:rsid w:val="008415A0"/>
    <w:rsid w:val="0084178A"/>
    <w:rsid w:val="00842686"/>
    <w:rsid w:val="00843462"/>
    <w:rsid w:val="008435BC"/>
    <w:rsid w:val="00843BB8"/>
    <w:rsid w:val="00843F1B"/>
    <w:rsid w:val="0084426B"/>
    <w:rsid w:val="0084474E"/>
    <w:rsid w:val="00844875"/>
    <w:rsid w:val="00845222"/>
    <w:rsid w:val="00845421"/>
    <w:rsid w:val="0084557D"/>
    <w:rsid w:val="008456D1"/>
    <w:rsid w:val="00845974"/>
    <w:rsid w:val="00846AF9"/>
    <w:rsid w:val="00846D23"/>
    <w:rsid w:val="00847A76"/>
    <w:rsid w:val="00847C87"/>
    <w:rsid w:val="008507EA"/>
    <w:rsid w:val="00850940"/>
    <w:rsid w:val="00850B8F"/>
    <w:rsid w:val="008510D7"/>
    <w:rsid w:val="008510FC"/>
    <w:rsid w:val="0085112A"/>
    <w:rsid w:val="008513C5"/>
    <w:rsid w:val="00851452"/>
    <w:rsid w:val="00851669"/>
    <w:rsid w:val="00851CC4"/>
    <w:rsid w:val="00852657"/>
    <w:rsid w:val="008527B2"/>
    <w:rsid w:val="00852A81"/>
    <w:rsid w:val="00852CA1"/>
    <w:rsid w:val="00852F57"/>
    <w:rsid w:val="00853463"/>
    <w:rsid w:val="00853469"/>
    <w:rsid w:val="0085397D"/>
    <w:rsid w:val="00853AD5"/>
    <w:rsid w:val="0085401D"/>
    <w:rsid w:val="0085439C"/>
    <w:rsid w:val="00854B44"/>
    <w:rsid w:val="00855441"/>
    <w:rsid w:val="00855547"/>
    <w:rsid w:val="008555BD"/>
    <w:rsid w:val="00855B4D"/>
    <w:rsid w:val="00855D65"/>
    <w:rsid w:val="008563E0"/>
    <w:rsid w:val="00856892"/>
    <w:rsid w:val="00856935"/>
    <w:rsid w:val="00856DFD"/>
    <w:rsid w:val="00857D89"/>
    <w:rsid w:val="00860244"/>
    <w:rsid w:val="00860359"/>
    <w:rsid w:val="008603C7"/>
    <w:rsid w:val="008604D7"/>
    <w:rsid w:val="008605EF"/>
    <w:rsid w:val="008609E6"/>
    <w:rsid w:val="00860B7A"/>
    <w:rsid w:val="00860C71"/>
    <w:rsid w:val="00860F5A"/>
    <w:rsid w:val="00861C1A"/>
    <w:rsid w:val="00862492"/>
    <w:rsid w:val="0086280C"/>
    <w:rsid w:val="00862DA0"/>
    <w:rsid w:val="008640E4"/>
    <w:rsid w:val="00864356"/>
    <w:rsid w:val="0086461E"/>
    <w:rsid w:val="008649A8"/>
    <w:rsid w:val="00864D3B"/>
    <w:rsid w:val="0086529D"/>
    <w:rsid w:val="00865369"/>
    <w:rsid w:val="0086539F"/>
    <w:rsid w:val="008653CC"/>
    <w:rsid w:val="0086566F"/>
    <w:rsid w:val="00865EAC"/>
    <w:rsid w:val="008661F3"/>
    <w:rsid w:val="00867269"/>
    <w:rsid w:val="008675F2"/>
    <w:rsid w:val="00867EFB"/>
    <w:rsid w:val="00870A5C"/>
    <w:rsid w:val="00870E7F"/>
    <w:rsid w:val="008710A1"/>
    <w:rsid w:val="00872779"/>
    <w:rsid w:val="00872F59"/>
    <w:rsid w:val="008735D7"/>
    <w:rsid w:val="00874101"/>
    <w:rsid w:val="0087470D"/>
    <w:rsid w:val="00874776"/>
    <w:rsid w:val="0087490B"/>
    <w:rsid w:val="0087562A"/>
    <w:rsid w:val="00875770"/>
    <w:rsid w:val="008765B4"/>
    <w:rsid w:val="00876E98"/>
    <w:rsid w:val="00877008"/>
    <w:rsid w:val="008771E4"/>
    <w:rsid w:val="008772BB"/>
    <w:rsid w:val="00877491"/>
    <w:rsid w:val="008778FE"/>
    <w:rsid w:val="00877E6B"/>
    <w:rsid w:val="008804DB"/>
    <w:rsid w:val="008805D2"/>
    <w:rsid w:val="00880FEC"/>
    <w:rsid w:val="00881406"/>
    <w:rsid w:val="00881586"/>
    <w:rsid w:val="0088167A"/>
    <w:rsid w:val="008818FF"/>
    <w:rsid w:val="008820A2"/>
    <w:rsid w:val="00883644"/>
    <w:rsid w:val="008837F1"/>
    <w:rsid w:val="00883899"/>
    <w:rsid w:val="00883D34"/>
    <w:rsid w:val="00883E9D"/>
    <w:rsid w:val="00883F0D"/>
    <w:rsid w:val="00885675"/>
    <w:rsid w:val="00886C03"/>
    <w:rsid w:val="0088723D"/>
    <w:rsid w:val="008878D8"/>
    <w:rsid w:val="00887AAE"/>
    <w:rsid w:val="008904DA"/>
    <w:rsid w:val="00890CF8"/>
    <w:rsid w:val="008910FA"/>
    <w:rsid w:val="008920D3"/>
    <w:rsid w:val="008927E8"/>
    <w:rsid w:val="00892AB3"/>
    <w:rsid w:val="0089333F"/>
    <w:rsid w:val="00893EA3"/>
    <w:rsid w:val="00893F4C"/>
    <w:rsid w:val="008949F0"/>
    <w:rsid w:val="008950C4"/>
    <w:rsid w:val="0089583E"/>
    <w:rsid w:val="00895991"/>
    <w:rsid w:val="008967EC"/>
    <w:rsid w:val="00896E5D"/>
    <w:rsid w:val="00896F29"/>
    <w:rsid w:val="00896F7D"/>
    <w:rsid w:val="008A008F"/>
    <w:rsid w:val="008A0783"/>
    <w:rsid w:val="008A09FB"/>
    <w:rsid w:val="008A1095"/>
    <w:rsid w:val="008A187C"/>
    <w:rsid w:val="008A1A93"/>
    <w:rsid w:val="008A2A80"/>
    <w:rsid w:val="008A370A"/>
    <w:rsid w:val="008A3D64"/>
    <w:rsid w:val="008A41D0"/>
    <w:rsid w:val="008A44E1"/>
    <w:rsid w:val="008A4E12"/>
    <w:rsid w:val="008A54ED"/>
    <w:rsid w:val="008A5600"/>
    <w:rsid w:val="008A5815"/>
    <w:rsid w:val="008A5885"/>
    <w:rsid w:val="008A6090"/>
    <w:rsid w:val="008A6490"/>
    <w:rsid w:val="008A66EB"/>
    <w:rsid w:val="008A6C7E"/>
    <w:rsid w:val="008A7044"/>
    <w:rsid w:val="008B0BFB"/>
    <w:rsid w:val="008B0D71"/>
    <w:rsid w:val="008B1043"/>
    <w:rsid w:val="008B1406"/>
    <w:rsid w:val="008B1742"/>
    <w:rsid w:val="008B1909"/>
    <w:rsid w:val="008B1FAE"/>
    <w:rsid w:val="008B2690"/>
    <w:rsid w:val="008B2BFD"/>
    <w:rsid w:val="008B33E7"/>
    <w:rsid w:val="008B3633"/>
    <w:rsid w:val="008B38D8"/>
    <w:rsid w:val="008B399B"/>
    <w:rsid w:val="008B400B"/>
    <w:rsid w:val="008B4632"/>
    <w:rsid w:val="008B5444"/>
    <w:rsid w:val="008B5584"/>
    <w:rsid w:val="008B74CE"/>
    <w:rsid w:val="008B7982"/>
    <w:rsid w:val="008B7BF4"/>
    <w:rsid w:val="008C01A0"/>
    <w:rsid w:val="008C058B"/>
    <w:rsid w:val="008C0AC5"/>
    <w:rsid w:val="008C0B77"/>
    <w:rsid w:val="008C0C4B"/>
    <w:rsid w:val="008C0EFC"/>
    <w:rsid w:val="008C1BA3"/>
    <w:rsid w:val="008C1E7D"/>
    <w:rsid w:val="008C2144"/>
    <w:rsid w:val="008C2F69"/>
    <w:rsid w:val="008C3F79"/>
    <w:rsid w:val="008C3FCA"/>
    <w:rsid w:val="008C4BB3"/>
    <w:rsid w:val="008C50DF"/>
    <w:rsid w:val="008C591B"/>
    <w:rsid w:val="008C5C05"/>
    <w:rsid w:val="008C60E6"/>
    <w:rsid w:val="008C64BD"/>
    <w:rsid w:val="008C6681"/>
    <w:rsid w:val="008C6737"/>
    <w:rsid w:val="008C6BD6"/>
    <w:rsid w:val="008C75D5"/>
    <w:rsid w:val="008C77F5"/>
    <w:rsid w:val="008C7B12"/>
    <w:rsid w:val="008C7C83"/>
    <w:rsid w:val="008C7C9C"/>
    <w:rsid w:val="008C7E98"/>
    <w:rsid w:val="008D00A8"/>
    <w:rsid w:val="008D04F4"/>
    <w:rsid w:val="008D0D0F"/>
    <w:rsid w:val="008D155C"/>
    <w:rsid w:val="008D1578"/>
    <w:rsid w:val="008D1599"/>
    <w:rsid w:val="008D1A48"/>
    <w:rsid w:val="008D2093"/>
    <w:rsid w:val="008D2AA3"/>
    <w:rsid w:val="008D3445"/>
    <w:rsid w:val="008D35C4"/>
    <w:rsid w:val="008D3955"/>
    <w:rsid w:val="008D467E"/>
    <w:rsid w:val="008D4959"/>
    <w:rsid w:val="008D4AB2"/>
    <w:rsid w:val="008D5240"/>
    <w:rsid w:val="008D57B6"/>
    <w:rsid w:val="008D58F2"/>
    <w:rsid w:val="008D5A06"/>
    <w:rsid w:val="008D5C96"/>
    <w:rsid w:val="008D622C"/>
    <w:rsid w:val="008D6ED6"/>
    <w:rsid w:val="008D77F7"/>
    <w:rsid w:val="008D7C50"/>
    <w:rsid w:val="008E047D"/>
    <w:rsid w:val="008E09DD"/>
    <w:rsid w:val="008E0F5C"/>
    <w:rsid w:val="008E19D1"/>
    <w:rsid w:val="008E20F7"/>
    <w:rsid w:val="008E2E2B"/>
    <w:rsid w:val="008E2F98"/>
    <w:rsid w:val="008E33FF"/>
    <w:rsid w:val="008E38D1"/>
    <w:rsid w:val="008E4626"/>
    <w:rsid w:val="008E49ED"/>
    <w:rsid w:val="008E4BBB"/>
    <w:rsid w:val="008E4DFF"/>
    <w:rsid w:val="008E4ED3"/>
    <w:rsid w:val="008E5338"/>
    <w:rsid w:val="008E5C28"/>
    <w:rsid w:val="008E5D9D"/>
    <w:rsid w:val="008E6034"/>
    <w:rsid w:val="008E617E"/>
    <w:rsid w:val="008E62D3"/>
    <w:rsid w:val="008E64EA"/>
    <w:rsid w:val="008E6863"/>
    <w:rsid w:val="008E732F"/>
    <w:rsid w:val="008E7592"/>
    <w:rsid w:val="008E7D40"/>
    <w:rsid w:val="008F02B2"/>
    <w:rsid w:val="008F03CF"/>
    <w:rsid w:val="008F10A8"/>
    <w:rsid w:val="008F13C5"/>
    <w:rsid w:val="008F1A42"/>
    <w:rsid w:val="008F1A66"/>
    <w:rsid w:val="008F1BDD"/>
    <w:rsid w:val="008F1CB1"/>
    <w:rsid w:val="008F2336"/>
    <w:rsid w:val="008F2E3D"/>
    <w:rsid w:val="008F3FDB"/>
    <w:rsid w:val="008F4FD5"/>
    <w:rsid w:val="008F501B"/>
    <w:rsid w:val="008F5558"/>
    <w:rsid w:val="008F61C8"/>
    <w:rsid w:val="008F6421"/>
    <w:rsid w:val="008F65A7"/>
    <w:rsid w:val="008F66D7"/>
    <w:rsid w:val="008F6B29"/>
    <w:rsid w:val="008F70BD"/>
    <w:rsid w:val="008F74BF"/>
    <w:rsid w:val="008F77A9"/>
    <w:rsid w:val="008F783E"/>
    <w:rsid w:val="008F79BD"/>
    <w:rsid w:val="008F7B1D"/>
    <w:rsid w:val="00900652"/>
    <w:rsid w:val="0090085D"/>
    <w:rsid w:val="00900C04"/>
    <w:rsid w:val="00901124"/>
    <w:rsid w:val="0090116F"/>
    <w:rsid w:val="00901B83"/>
    <w:rsid w:val="00901F94"/>
    <w:rsid w:val="00902D7C"/>
    <w:rsid w:val="00903802"/>
    <w:rsid w:val="00903EB7"/>
    <w:rsid w:val="0090446A"/>
    <w:rsid w:val="009046C1"/>
    <w:rsid w:val="009047A0"/>
    <w:rsid w:val="00905482"/>
    <w:rsid w:val="00905B99"/>
    <w:rsid w:val="00905D76"/>
    <w:rsid w:val="009063A4"/>
    <w:rsid w:val="009065CE"/>
    <w:rsid w:val="009066D7"/>
    <w:rsid w:val="0090712E"/>
    <w:rsid w:val="00907209"/>
    <w:rsid w:val="009076E5"/>
    <w:rsid w:val="00907AE7"/>
    <w:rsid w:val="009102E3"/>
    <w:rsid w:val="00910647"/>
    <w:rsid w:val="00910F33"/>
    <w:rsid w:val="00910F7D"/>
    <w:rsid w:val="0091191E"/>
    <w:rsid w:val="009119CF"/>
    <w:rsid w:val="0091201E"/>
    <w:rsid w:val="009120B4"/>
    <w:rsid w:val="0091262E"/>
    <w:rsid w:val="009137A3"/>
    <w:rsid w:val="00913CA1"/>
    <w:rsid w:val="00913E29"/>
    <w:rsid w:val="00913FA3"/>
    <w:rsid w:val="00915188"/>
    <w:rsid w:val="009151B2"/>
    <w:rsid w:val="00915236"/>
    <w:rsid w:val="0091643C"/>
    <w:rsid w:val="00916541"/>
    <w:rsid w:val="0091684C"/>
    <w:rsid w:val="009168DA"/>
    <w:rsid w:val="00916EA6"/>
    <w:rsid w:val="00917853"/>
    <w:rsid w:val="009178E8"/>
    <w:rsid w:val="00917A37"/>
    <w:rsid w:val="00917CBE"/>
    <w:rsid w:val="00917F5C"/>
    <w:rsid w:val="00920AF7"/>
    <w:rsid w:val="009212A5"/>
    <w:rsid w:val="00921A60"/>
    <w:rsid w:val="009222A6"/>
    <w:rsid w:val="00922BBF"/>
    <w:rsid w:val="00922D73"/>
    <w:rsid w:val="00922ED4"/>
    <w:rsid w:val="00923262"/>
    <w:rsid w:val="009245E9"/>
    <w:rsid w:val="00924928"/>
    <w:rsid w:val="00925080"/>
    <w:rsid w:val="00925122"/>
    <w:rsid w:val="009251E1"/>
    <w:rsid w:val="00925488"/>
    <w:rsid w:val="009255A6"/>
    <w:rsid w:val="0092598C"/>
    <w:rsid w:val="00925C29"/>
    <w:rsid w:val="009263E4"/>
    <w:rsid w:val="00926D0C"/>
    <w:rsid w:val="00927826"/>
    <w:rsid w:val="00927D0D"/>
    <w:rsid w:val="00927F76"/>
    <w:rsid w:val="00930321"/>
    <w:rsid w:val="009304B0"/>
    <w:rsid w:val="00930533"/>
    <w:rsid w:val="0093090B"/>
    <w:rsid w:val="0093153B"/>
    <w:rsid w:val="009316F8"/>
    <w:rsid w:val="00931B2D"/>
    <w:rsid w:val="00932ECA"/>
    <w:rsid w:val="00933667"/>
    <w:rsid w:val="00933828"/>
    <w:rsid w:val="00933BB6"/>
    <w:rsid w:val="00933BB8"/>
    <w:rsid w:val="009340D5"/>
    <w:rsid w:val="009346DF"/>
    <w:rsid w:val="00935035"/>
    <w:rsid w:val="0093542B"/>
    <w:rsid w:val="009355E8"/>
    <w:rsid w:val="00935660"/>
    <w:rsid w:val="009358A7"/>
    <w:rsid w:val="00935984"/>
    <w:rsid w:val="0093635A"/>
    <w:rsid w:val="009367DB"/>
    <w:rsid w:val="00936A27"/>
    <w:rsid w:val="00936FBB"/>
    <w:rsid w:val="009372B1"/>
    <w:rsid w:val="009378FB"/>
    <w:rsid w:val="00937904"/>
    <w:rsid w:val="00937951"/>
    <w:rsid w:val="00937E3A"/>
    <w:rsid w:val="0094057E"/>
    <w:rsid w:val="00940BAE"/>
    <w:rsid w:val="00942D86"/>
    <w:rsid w:val="00943414"/>
    <w:rsid w:val="00943845"/>
    <w:rsid w:val="009446D3"/>
    <w:rsid w:val="0094470D"/>
    <w:rsid w:val="00945A86"/>
    <w:rsid w:val="00945C44"/>
    <w:rsid w:val="00946B2B"/>
    <w:rsid w:val="00946D43"/>
    <w:rsid w:val="00947078"/>
    <w:rsid w:val="00947662"/>
    <w:rsid w:val="00947896"/>
    <w:rsid w:val="009502A5"/>
    <w:rsid w:val="00950415"/>
    <w:rsid w:val="00950A1B"/>
    <w:rsid w:val="00951513"/>
    <w:rsid w:val="009515CB"/>
    <w:rsid w:val="00951E9A"/>
    <w:rsid w:val="009520F3"/>
    <w:rsid w:val="00952303"/>
    <w:rsid w:val="00952488"/>
    <w:rsid w:val="0095299D"/>
    <w:rsid w:val="00952A0E"/>
    <w:rsid w:val="00952FC4"/>
    <w:rsid w:val="00953402"/>
    <w:rsid w:val="009535FD"/>
    <w:rsid w:val="00953786"/>
    <w:rsid w:val="00953C55"/>
    <w:rsid w:val="00953FC6"/>
    <w:rsid w:val="009548DA"/>
    <w:rsid w:val="009550EC"/>
    <w:rsid w:val="00955A62"/>
    <w:rsid w:val="00955C2B"/>
    <w:rsid w:val="009579C3"/>
    <w:rsid w:val="00960111"/>
    <w:rsid w:val="0096016C"/>
    <w:rsid w:val="009604CE"/>
    <w:rsid w:val="009607D6"/>
    <w:rsid w:val="00960A79"/>
    <w:rsid w:val="00960F47"/>
    <w:rsid w:val="009615C4"/>
    <w:rsid w:val="0096248F"/>
    <w:rsid w:val="00962941"/>
    <w:rsid w:val="009630B6"/>
    <w:rsid w:val="009633F5"/>
    <w:rsid w:val="009634A3"/>
    <w:rsid w:val="009634D1"/>
    <w:rsid w:val="0096402B"/>
    <w:rsid w:val="00964777"/>
    <w:rsid w:val="00964A6B"/>
    <w:rsid w:val="0096529F"/>
    <w:rsid w:val="0096548A"/>
    <w:rsid w:val="00965BA1"/>
    <w:rsid w:val="009660A5"/>
    <w:rsid w:val="009661AA"/>
    <w:rsid w:val="0096623B"/>
    <w:rsid w:val="00966B46"/>
    <w:rsid w:val="00966EE1"/>
    <w:rsid w:val="0096754B"/>
    <w:rsid w:val="00967782"/>
    <w:rsid w:val="0096789F"/>
    <w:rsid w:val="00967C73"/>
    <w:rsid w:val="00970756"/>
    <w:rsid w:val="00970ADC"/>
    <w:rsid w:val="00971383"/>
    <w:rsid w:val="00971AF4"/>
    <w:rsid w:val="00972856"/>
    <w:rsid w:val="00972B3A"/>
    <w:rsid w:val="0097344D"/>
    <w:rsid w:val="00973624"/>
    <w:rsid w:val="00973780"/>
    <w:rsid w:val="00974277"/>
    <w:rsid w:val="00974A21"/>
    <w:rsid w:val="00975533"/>
    <w:rsid w:val="0097557F"/>
    <w:rsid w:val="00975659"/>
    <w:rsid w:val="00975D60"/>
    <w:rsid w:val="0097604D"/>
    <w:rsid w:val="00976126"/>
    <w:rsid w:val="00977146"/>
    <w:rsid w:val="009772C0"/>
    <w:rsid w:val="009805FF"/>
    <w:rsid w:val="00980B0C"/>
    <w:rsid w:val="009810B5"/>
    <w:rsid w:val="00981194"/>
    <w:rsid w:val="009816DC"/>
    <w:rsid w:val="00982C39"/>
    <w:rsid w:val="00982EE6"/>
    <w:rsid w:val="00982FB0"/>
    <w:rsid w:val="00983138"/>
    <w:rsid w:val="0098315A"/>
    <w:rsid w:val="00983223"/>
    <w:rsid w:val="00983344"/>
    <w:rsid w:val="00983A75"/>
    <w:rsid w:val="00983B70"/>
    <w:rsid w:val="00983D9D"/>
    <w:rsid w:val="00984140"/>
    <w:rsid w:val="00984352"/>
    <w:rsid w:val="00984527"/>
    <w:rsid w:val="00984EA9"/>
    <w:rsid w:val="0098729B"/>
    <w:rsid w:val="0098777F"/>
    <w:rsid w:val="00987BA0"/>
    <w:rsid w:val="00987C17"/>
    <w:rsid w:val="00990353"/>
    <w:rsid w:val="00991653"/>
    <w:rsid w:val="00991A9D"/>
    <w:rsid w:val="00992403"/>
    <w:rsid w:val="00992C12"/>
    <w:rsid w:val="00993BC8"/>
    <w:rsid w:val="0099409B"/>
    <w:rsid w:val="00994370"/>
    <w:rsid w:val="0099535E"/>
    <w:rsid w:val="00995BD2"/>
    <w:rsid w:val="00995E8C"/>
    <w:rsid w:val="0099603E"/>
    <w:rsid w:val="00996098"/>
    <w:rsid w:val="00996A27"/>
    <w:rsid w:val="00996AB1"/>
    <w:rsid w:val="00996E60"/>
    <w:rsid w:val="00996F4B"/>
    <w:rsid w:val="00996FA1"/>
    <w:rsid w:val="00996FDE"/>
    <w:rsid w:val="009970E9"/>
    <w:rsid w:val="00997B58"/>
    <w:rsid w:val="00997B8A"/>
    <w:rsid w:val="00997EE1"/>
    <w:rsid w:val="009A0297"/>
    <w:rsid w:val="009A05E9"/>
    <w:rsid w:val="009A0B98"/>
    <w:rsid w:val="009A10D2"/>
    <w:rsid w:val="009A1F0F"/>
    <w:rsid w:val="009A2831"/>
    <w:rsid w:val="009A28D4"/>
    <w:rsid w:val="009A2DA7"/>
    <w:rsid w:val="009A3DF7"/>
    <w:rsid w:val="009A485E"/>
    <w:rsid w:val="009A5289"/>
    <w:rsid w:val="009A52E3"/>
    <w:rsid w:val="009A5452"/>
    <w:rsid w:val="009A55EE"/>
    <w:rsid w:val="009A5820"/>
    <w:rsid w:val="009A6045"/>
    <w:rsid w:val="009A6473"/>
    <w:rsid w:val="009A6622"/>
    <w:rsid w:val="009A66A1"/>
    <w:rsid w:val="009A6746"/>
    <w:rsid w:val="009A6756"/>
    <w:rsid w:val="009A6AD9"/>
    <w:rsid w:val="009A773D"/>
    <w:rsid w:val="009B0A68"/>
    <w:rsid w:val="009B0B3A"/>
    <w:rsid w:val="009B1823"/>
    <w:rsid w:val="009B18EF"/>
    <w:rsid w:val="009B1A43"/>
    <w:rsid w:val="009B2654"/>
    <w:rsid w:val="009B27EE"/>
    <w:rsid w:val="009B2940"/>
    <w:rsid w:val="009B29D5"/>
    <w:rsid w:val="009B29E1"/>
    <w:rsid w:val="009B2E86"/>
    <w:rsid w:val="009B3007"/>
    <w:rsid w:val="009B3155"/>
    <w:rsid w:val="009B3573"/>
    <w:rsid w:val="009B3767"/>
    <w:rsid w:val="009B484A"/>
    <w:rsid w:val="009B4BD0"/>
    <w:rsid w:val="009B50CD"/>
    <w:rsid w:val="009B6182"/>
    <w:rsid w:val="009B66E9"/>
    <w:rsid w:val="009B67F5"/>
    <w:rsid w:val="009B6DF4"/>
    <w:rsid w:val="009B6EFF"/>
    <w:rsid w:val="009B70E6"/>
    <w:rsid w:val="009C0701"/>
    <w:rsid w:val="009C0B8C"/>
    <w:rsid w:val="009C0BE7"/>
    <w:rsid w:val="009C1254"/>
    <w:rsid w:val="009C14AF"/>
    <w:rsid w:val="009C2792"/>
    <w:rsid w:val="009C33AA"/>
    <w:rsid w:val="009C3567"/>
    <w:rsid w:val="009C3746"/>
    <w:rsid w:val="009C37AB"/>
    <w:rsid w:val="009C3817"/>
    <w:rsid w:val="009C47C4"/>
    <w:rsid w:val="009C6C7E"/>
    <w:rsid w:val="009C7223"/>
    <w:rsid w:val="009C72D6"/>
    <w:rsid w:val="009C747E"/>
    <w:rsid w:val="009C7749"/>
    <w:rsid w:val="009D0B61"/>
    <w:rsid w:val="009D0FEA"/>
    <w:rsid w:val="009D16CA"/>
    <w:rsid w:val="009D1A27"/>
    <w:rsid w:val="009D1C0E"/>
    <w:rsid w:val="009D2136"/>
    <w:rsid w:val="009D2864"/>
    <w:rsid w:val="009D2A31"/>
    <w:rsid w:val="009D2D45"/>
    <w:rsid w:val="009D37BA"/>
    <w:rsid w:val="009D3AC9"/>
    <w:rsid w:val="009D3BDC"/>
    <w:rsid w:val="009D3C07"/>
    <w:rsid w:val="009D43B5"/>
    <w:rsid w:val="009D4477"/>
    <w:rsid w:val="009D4E35"/>
    <w:rsid w:val="009D4FF1"/>
    <w:rsid w:val="009D6245"/>
    <w:rsid w:val="009D6553"/>
    <w:rsid w:val="009D66C2"/>
    <w:rsid w:val="009D6A2D"/>
    <w:rsid w:val="009D6CFD"/>
    <w:rsid w:val="009D77A2"/>
    <w:rsid w:val="009D7DDA"/>
    <w:rsid w:val="009E0170"/>
    <w:rsid w:val="009E05EF"/>
    <w:rsid w:val="009E07A5"/>
    <w:rsid w:val="009E0EC0"/>
    <w:rsid w:val="009E154B"/>
    <w:rsid w:val="009E1A94"/>
    <w:rsid w:val="009E1ABA"/>
    <w:rsid w:val="009E1FA5"/>
    <w:rsid w:val="009E2269"/>
    <w:rsid w:val="009E25B8"/>
    <w:rsid w:val="009E2654"/>
    <w:rsid w:val="009E2EC1"/>
    <w:rsid w:val="009E34DF"/>
    <w:rsid w:val="009E376B"/>
    <w:rsid w:val="009E3A09"/>
    <w:rsid w:val="009E3A9C"/>
    <w:rsid w:val="009E3FC9"/>
    <w:rsid w:val="009E412C"/>
    <w:rsid w:val="009E41E8"/>
    <w:rsid w:val="009E4508"/>
    <w:rsid w:val="009E481F"/>
    <w:rsid w:val="009E4E93"/>
    <w:rsid w:val="009E50C0"/>
    <w:rsid w:val="009E5556"/>
    <w:rsid w:val="009E5B98"/>
    <w:rsid w:val="009E6C73"/>
    <w:rsid w:val="009E73F8"/>
    <w:rsid w:val="009E7A1B"/>
    <w:rsid w:val="009F051C"/>
    <w:rsid w:val="009F0653"/>
    <w:rsid w:val="009F096B"/>
    <w:rsid w:val="009F1038"/>
    <w:rsid w:val="009F1242"/>
    <w:rsid w:val="009F199D"/>
    <w:rsid w:val="009F224D"/>
    <w:rsid w:val="009F317B"/>
    <w:rsid w:val="009F330D"/>
    <w:rsid w:val="009F33B3"/>
    <w:rsid w:val="009F360E"/>
    <w:rsid w:val="009F3781"/>
    <w:rsid w:val="009F37DE"/>
    <w:rsid w:val="009F421E"/>
    <w:rsid w:val="009F4456"/>
    <w:rsid w:val="009F4563"/>
    <w:rsid w:val="009F4D58"/>
    <w:rsid w:val="009F5132"/>
    <w:rsid w:val="009F5743"/>
    <w:rsid w:val="009F66D1"/>
    <w:rsid w:val="009F6DA6"/>
    <w:rsid w:val="009F78FB"/>
    <w:rsid w:val="009F7AE3"/>
    <w:rsid w:val="009F7AF1"/>
    <w:rsid w:val="00A00035"/>
    <w:rsid w:val="00A00044"/>
    <w:rsid w:val="00A00200"/>
    <w:rsid w:val="00A00894"/>
    <w:rsid w:val="00A0100E"/>
    <w:rsid w:val="00A013DF"/>
    <w:rsid w:val="00A0154E"/>
    <w:rsid w:val="00A0239D"/>
    <w:rsid w:val="00A02A49"/>
    <w:rsid w:val="00A02C7E"/>
    <w:rsid w:val="00A03661"/>
    <w:rsid w:val="00A03727"/>
    <w:rsid w:val="00A03F0A"/>
    <w:rsid w:val="00A03FBB"/>
    <w:rsid w:val="00A04079"/>
    <w:rsid w:val="00A0442E"/>
    <w:rsid w:val="00A05273"/>
    <w:rsid w:val="00A058B0"/>
    <w:rsid w:val="00A06608"/>
    <w:rsid w:val="00A07C96"/>
    <w:rsid w:val="00A07CDC"/>
    <w:rsid w:val="00A1003A"/>
    <w:rsid w:val="00A10882"/>
    <w:rsid w:val="00A10BC3"/>
    <w:rsid w:val="00A10F4B"/>
    <w:rsid w:val="00A1130C"/>
    <w:rsid w:val="00A1241F"/>
    <w:rsid w:val="00A126FB"/>
    <w:rsid w:val="00A12C5D"/>
    <w:rsid w:val="00A12FDA"/>
    <w:rsid w:val="00A14040"/>
    <w:rsid w:val="00A14044"/>
    <w:rsid w:val="00A148CD"/>
    <w:rsid w:val="00A14A02"/>
    <w:rsid w:val="00A14A8C"/>
    <w:rsid w:val="00A156EC"/>
    <w:rsid w:val="00A1587D"/>
    <w:rsid w:val="00A158B6"/>
    <w:rsid w:val="00A15A09"/>
    <w:rsid w:val="00A16250"/>
    <w:rsid w:val="00A163BA"/>
    <w:rsid w:val="00A169DC"/>
    <w:rsid w:val="00A1724F"/>
    <w:rsid w:val="00A172FD"/>
    <w:rsid w:val="00A1737C"/>
    <w:rsid w:val="00A177B2"/>
    <w:rsid w:val="00A17A7F"/>
    <w:rsid w:val="00A17F24"/>
    <w:rsid w:val="00A20145"/>
    <w:rsid w:val="00A202FE"/>
    <w:rsid w:val="00A20770"/>
    <w:rsid w:val="00A20906"/>
    <w:rsid w:val="00A2108D"/>
    <w:rsid w:val="00A210AD"/>
    <w:rsid w:val="00A21608"/>
    <w:rsid w:val="00A2198D"/>
    <w:rsid w:val="00A2201A"/>
    <w:rsid w:val="00A223B1"/>
    <w:rsid w:val="00A22727"/>
    <w:rsid w:val="00A22D3C"/>
    <w:rsid w:val="00A2447D"/>
    <w:rsid w:val="00A247D8"/>
    <w:rsid w:val="00A25786"/>
    <w:rsid w:val="00A26565"/>
    <w:rsid w:val="00A2676E"/>
    <w:rsid w:val="00A26BF2"/>
    <w:rsid w:val="00A270B3"/>
    <w:rsid w:val="00A27AA2"/>
    <w:rsid w:val="00A27B4E"/>
    <w:rsid w:val="00A3092F"/>
    <w:rsid w:val="00A31023"/>
    <w:rsid w:val="00A318EF"/>
    <w:rsid w:val="00A31988"/>
    <w:rsid w:val="00A32303"/>
    <w:rsid w:val="00A32507"/>
    <w:rsid w:val="00A32C60"/>
    <w:rsid w:val="00A32D1D"/>
    <w:rsid w:val="00A33244"/>
    <w:rsid w:val="00A33B27"/>
    <w:rsid w:val="00A33E4C"/>
    <w:rsid w:val="00A33ED8"/>
    <w:rsid w:val="00A344DC"/>
    <w:rsid w:val="00A3466F"/>
    <w:rsid w:val="00A347E1"/>
    <w:rsid w:val="00A349B0"/>
    <w:rsid w:val="00A34AA8"/>
    <w:rsid w:val="00A358C0"/>
    <w:rsid w:val="00A3657A"/>
    <w:rsid w:val="00A37040"/>
    <w:rsid w:val="00A37064"/>
    <w:rsid w:val="00A370D0"/>
    <w:rsid w:val="00A400E3"/>
    <w:rsid w:val="00A402D2"/>
    <w:rsid w:val="00A40758"/>
    <w:rsid w:val="00A40A24"/>
    <w:rsid w:val="00A40C3A"/>
    <w:rsid w:val="00A40DC8"/>
    <w:rsid w:val="00A41444"/>
    <w:rsid w:val="00A41A34"/>
    <w:rsid w:val="00A41D52"/>
    <w:rsid w:val="00A422A5"/>
    <w:rsid w:val="00A42E3F"/>
    <w:rsid w:val="00A432B7"/>
    <w:rsid w:val="00A432F1"/>
    <w:rsid w:val="00A43A1F"/>
    <w:rsid w:val="00A44627"/>
    <w:rsid w:val="00A450FB"/>
    <w:rsid w:val="00A45D90"/>
    <w:rsid w:val="00A45F6E"/>
    <w:rsid w:val="00A461B2"/>
    <w:rsid w:val="00A4632F"/>
    <w:rsid w:val="00A469A4"/>
    <w:rsid w:val="00A46C36"/>
    <w:rsid w:val="00A47333"/>
    <w:rsid w:val="00A5024E"/>
    <w:rsid w:val="00A50296"/>
    <w:rsid w:val="00A50698"/>
    <w:rsid w:val="00A51234"/>
    <w:rsid w:val="00A512C6"/>
    <w:rsid w:val="00A51515"/>
    <w:rsid w:val="00A515A1"/>
    <w:rsid w:val="00A517A3"/>
    <w:rsid w:val="00A51EF4"/>
    <w:rsid w:val="00A51FBA"/>
    <w:rsid w:val="00A5329D"/>
    <w:rsid w:val="00A53317"/>
    <w:rsid w:val="00A5367B"/>
    <w:rsid w:val="00A538CD"/>
    <w:rsid w:val="00A53A66"/>
    <w:rsid w:val="00A53C9E"/>
    <w:rsid w:val="00A5407A"/>
    <w:rsid w:val="00A545FB"/>
    <w:rsid w:val="00A546C9"/>
    <w:rsid w:val="00A54C90"/>
    <w:rsid w:val="00A5512A"/>
    <w:rsid w:val="00A55230"/>
    <w:rsid w:val="00A5619C"/>
    <w:rsid w:val="00A56C71"/>
    <w:rsid w:val="00A5734F"/>
    <w:rsid w:val="00A577D0"/>
    <w:rsid w:val="00A57A08"/>
    <w:rsid w:val="00A57B4E"/>
    <w:rsid w:val="00A57CCE"/>
    <w:rsid w:val="00A60BFC"/>
    <w:rsid w:val="00A60E0E"/>
    <w:rsid w:val="00A60FBA"/>
    <w:rsid w:val="00A612A1"/>
    <w:rsid w:val="00A61500"/>
    <w:rsid w:val="00A62561"/>
    <w:rsid w:val="00A6327E"/>
    <w:rsid w:val="00A63C39"/>
    <w:rsid w:val="00A64051"/>
    <w:rsid w:val="00A64142"/>
    <w:rsid w:val="00A641D1"/>
    <w:rsid w:val="00A644B5"/>
    <w:rsid w:val="00A6499B"/>
    <w:rsid w:val="00A65502"/>
    <w:rsid w:val="00A65D7B"/>
    <w:rsid w:val="00A66795"/>
    <w:rsid w:val="00A66924"/>
    <w:rsid w:val="00A66AAE"/>
    <w:rsid w:val="00A66F7A"/>
    <w:rsid w:val="00A6713A"/>
    <w:rsid w:val="00A6746C"/>
    <w:rsid w:val="00A67778"/>
    <w:rsid w:val="00A708D2"/>
    <w:rsid w:val="00A709C9"/>
    <w:rsid w:val="00A70D35"/>
    <w:rsid w:val="00A71026"/>
    <w:rsid w:val="00A7110C"/>
    <w:rsid w:val="00A711A5"/>
    <w:rsid w:val="00A719CC"/>
    <w:rsid w:val="00A71B23"/>
    <w:rsid w:val="00A71FC3"/>
    <w:rsid w:val="00A71FE3"/>
    <w:rsid w:val="00A730C7"/>
    <w:rsid w:val="00A734E9"/>
    <w:rsid w:val="00A73E76"/>
    <w:rsid w:val="00A74499"/>
    <w:rsid w:val="00A7501A"/>
    <w:rsid w:val="00A75937"/>
    <w:rsid w:val="00A760C9"/>
    <w:rsid w:val="00A76285"/>
    <w:rsid w:val="00A76A46"/>
    <w:rsid w:val="00A76CF0"/>
    <w:rsid w:val="00A76D66"/>
    <w:rsid w:val="00A80243"/>
    <w:rsid w:val="00A803A1"/>
    <w:rsid w:val="00A8081D"/>
    <w:rsid w:val="00A80F82"/>
    <w:rsid w:val="00A81BC2"/>
    <w:rsid w:val="00A81EAB"/>
    <w:rsid w:val="00A828E6"/>
    <w:rsid w:val="00A82DEC"/>
    <w:rsid w:val="00A834AF"/>
    <w:rsid w:val="00A83EC3"/>
    <w:rsid w:val="00A8475B"/>
    <w:rsid w:val="00A85377"/>
    <w:rsid w:val="00A85C81"/>
    <w:rsid w:val="00A85EA6"/>
    <w:rsid w:val="00A85F63"/>
    <w:rsid w:val="00A85F69"/>
    <w:rsid w:val="00A86208"/>
    <w:rsid w:val="00A86259"/>
    <w:rsid w:val="00A86358"/>
    <w:rsid w:val="00A86C9A"/>
    <w:rsid w:val="00A8736B"/>
    <w:rsid w:val="00A8784A"/>
    <w:rsid w:val="00A87DA4"/>
    <w:rsid w:val="00A87DBA"/>
    <w:rsid w:val="00A9013D"/>
    <w:rsid w:val="00A905E3"/>
    <w:rsid w:val="00A905FD"/>
    <w:rsid w:val="00A907DC"/>
    <w:rsid w:val="00A90C28"/>
    <w:rsid w:val="00A919C3"/>
    <w:rsid w:val="00A91BA3"/>
    <w:rsid w:val="00A924BA"/>
    <w:rsid w:val="00A9252D"/>
    <w:rsid w:val="00A92BA8"/>
    <w:rsid w:val="00A92E0E"/>
    <w:rsid w:val="00A93093"/>
    <w:rsid w:val="00A93487"/>
    <w:rsid w:val="00A94468"/>
    <w:rsid w:val="00A9459E"/>
    <w:rsid w:val="00A958A2"/>
    <w:rsid w:val="00A97244"/>
    <w:rsid w:val="00A9798E"/>
    <w:rsid w:val="00A97BF1"/>
    <w:rsid w:val="00AA01A2"/>
    <w:rsid w:val="00AA04DE"/>
    <w:rsid w:val="00AA0771"/>
    <w:rsid w:val="00AA07E3"/>
    <w:rsid w:val="00AA0836"/>
    <w:rsid w:val="00AA0F94"/>
    <w:rsid w:val="00AA13A8"/>
    <w:rsid w:val="00AA1678"/>
    <w:rsid w:val="00AA18AB"/>
    <w:rsid w:val="00AA1F6F"/>
    <w:rsid w:val="00AA2339"/>
    <w:rsid w:val="00AA28F5"/>
    <w:rsid w:val="00AA2A1B"/>
    <w:rsid w:val="00AA35F8"/>
    <w:rsid w:val="00AA37A9"/>
    <w:rsid w:val="00AA38A9"/>
    <w:rsid w:val="00AA3E82"/>
    <w:rsid w:val="00AA3F72"/>
    <w:rsid w:val="00AA40BB"/>
    <w:rsid w:val="00AA4DE8"/>
    <w:rsid w:val="00AA4F47"/>
    <w:rsid w:val="00AA4F77"/>
    <w:rsid w:val="00AA5102"/>
    <w:rsid w:val="00AA59AE"/>
    <w:rsid w:val="00AA5FB1"/>
    <w:rsid w:val="00AA686D"/>
    <w:rsid w:val="00AA6D18"/>
    <w:rsid w:val="00AA6FAE"/>
    <w:rsid w:val="00AA7136"/>
    <w:rsid w:val="00AA721A"/>
    <w:rsid w:val="00AA7A41"/>
    <w:rsid w:val="00AB04B7"/>
    <w:rsid w:val="00AB19A4"/>
    <w:rsid w:val="00AB1D27"/>
    <w:rsid w:val="00AB1F54"/>
    <w:rsid w:val="00AB210F"/>
    <w:rsid w:val="00AB215D"/>
    <w:rsid w:val="00AB3298"/>
    <w:rsid w:val="00AB34AE"/>
    <w:rsid w:val="00AB3C61"/>
    <w:rsid w:val="00AB4A80"/>
    <w:rsid w:val="00AB4AC8"/>
    <w:rsid w:val="00AB5103"/>
    <w:rsid w:val="00AB52A2"/>
    <w:rsid w:val="00AB5609"/>
    <w:rsid w:val="00AB5EE4"/>
    <w:rsid w:val="00AB6561"/>
    <w:rsid w:val="00AB676C"/>
    <w:rsid w:val="00AB6EC1"/>
    <w:rsid w:val="00AB735B"/>
    <w:rsid w:val="00AB73C8"/>
    <w:rsid w:val="00AB75B3"/>
    <w:rsid w:val="00AB75FC"/>
    <w:rsid w:val="00AB770B"/>
    <w:rsid w:val="00AB7930"/>
    <w:rsid w:val="00AC0306"/>
    <w:rsid w:val="00AC03EF"/>
    <w:rsid w:val="00AC087A"/>
    <w:rsid w:val="00AC093E"/>
    <w:rsid w:val="00AC0A41"/>
    <w:rsid w:val="00AC0DC6"/>
    <w:rsid w:val="00AC0E97"/>
    <w:rsid w:val="00AC176A"/>
    <w:rsid w:val="00AC18C0"/>
    <w:rsid w:val="00AC1A02"/>
    <w:rsid w:val="00AC1E09"/>
    <w:rsid w:val="00AC2517"/>
    <w:rsid w:val="00AC3108"/>
    <w:rsid w:val="00AC3986"/>
    <w:rsid w:val="00AC3A11"/>
    <w:rsid w:val="00AC4B57"/>
    <w:rsid w:val="00AC54AF"/>
    <w:rsid w:val="00AC6124"/>
    <w:rsid w:val="00AC62BB"/>
    <w:rsid w:val="00AC64F7"/>
    <w:rsid w:val="00AC67C7"/>
    <w:rsid w:val="00AC6DE4"/>
    <w:rsid w:val="00AC729E"/>
    <w:rsid w:val="00AD0931"/>
    <w:rsid w:val="00AD1121"/>
    <w:rsid w:val="00AD1815"/>
    <w:rsid w:val="00AD1935"/>
    <w:rsid w:val="00AD1D2E"/>
    <w:rsid w:val="00AD3EAB"/>
    <w:rsid w:val="00AD3F5C"/>
    <w:rsid w:val="00AD4D52"/>
    <w:rsid w:val="00AD5DE8"/>
    <w:rsid w:val="00AD6627"/>
    <w:rsid w:val="00AD6973"/>
    <w:rsid w:val="00AD74FE"/>
    <w:rsid w:val="00AD79BF"/>
    <w:rsid w:val="00AD7A0C"/>
    <w:rsid w:val="00AD7AD9"/>
    <w:rsid w:val="00AD7DAC"/>
    <w:rsid w:val="00AD7DFA"/>
    <w:rsid w:val="00AE004D"/>
    <w:rsid w:val="00AE00C5"/>
    <w:rsid w:val="00AE0D7E"/>
    <w:rsid w:val="00AE1FB2"/>
    <w:rsid w:val="00AE211D"/>
    <w:rsid w:val="00AE26C3"/>
    <w:rsid w:val="00AE32AA"/>
    <w:rsid w:val="00AE3B16"/>
    <w:rsid w:val="00AE3C80"/>
    <w:rsid w:val="00AE42C9"/>
    <w:rsid w:val="00AE456B"/>
    <w:rsid w:val="00AE51C3"/>
    <w:rsid w:val="00AE532B"/>
    <w:rsid w:val="00AE559E"/>
    <w:rsid w:val="00AE5F7E"/>
    <w:rsid w:val="00AE6065"/>
    <w:rsid w:val="00AE66AE"/>
    <w:rsid w:val="00AE689A"/>
    <w:rsid w:val="00AE7060"/>
    <w:rsid w:val="00AE70D0"/>
    <w:rsid w:val="00AF00C7"/>
    <w:rsid w:val="00AF031B"/>
    <w:rsid w:val="00AF078B"/>
    <w:rsid w:val="00AF0842"/>
    <w:rsid w:val="00AF0B45"/>
    <w:rsid w:val="00AF0CD6"/>
    <w:rsid w:val="00AF11CB"/>
    <w:rsid w:val="00AF1B3B"/>
    <w:rsid w:val="00AF1BA1"/>
    <w:rsid w:val="00AF1D15"/>
    <w:rsid w:val="00AF1EA0"/>
    <w:rsid w:val="00AF2DAB"/>
    <w:rsid w:val="00AF2EE0"/>
    <w:rsid w:val="00AF393D"/>
    <w:rsid w:val="00AF412B"/>
    <w:rsid w:val="00AF4210"/>
    <w:rsid w:val="00AF4A44"/>
    <w:rsid w:val="00AF52FB"/>
    <w:rsid w:val="00AF5314"/>
    <w:rsid w:val="00AF64D9"/>
    <w:rsid w:val="00AF6567"/>
    <w:rsid w:val="00AF67F1"/>
    <w:rsid w:val="00AF6C12"/>
    <w:rsid w:val="00AF7217"/>
    <w:rsid w:val="00AF7646"/>
    <w:rsid w:val="00AF76F7"/>
    <w:rsid w:val="00AF7F0E"/>
    <w:rsid w:val="00B014CE"/>
    <w:rsid w:val="00B01B1B"/>
    <w:rsid w:val="00B01F20"/>
    <w:rsid w:val="00B02C35"/>
    <w:rsid w:val="00B02E78"/>
    <w:rsid w:val="00B031F9"/>
    <w:rsid w:val="00B03369"/>
    <w:rsid w:val="00B03910"/>
    <w:rsid w:val="00B03BF2"/>
    <w:rsid w:val="00B03FF0"/>
    <w:rsid w:val="00B04011"/>
    <w:rsid w:val="00B041EB"/>
    <w:rsid w:val="00B0459F"/>
    <w:rsid w:val="00B045DB"/>
    <w:rsid w:val="00B04DC3"/>
    <w:rsid w:val="00B05345"/>
    <w:rsid w:val="00B0568A"/>
    <w:rsid w:val="00B05712"/>
    <w:rsid w:val="00B05D1A"/>
    <w:rsid w:val="00B064C9"/>
    <w:rsid w:val="00B068CB"/>
    <w:rsid w:val="00B06D59"/>
    <w:rsid w:val="00B07520"/>
    <w:rsid w:val="00B07C09"/>
    <w:rsid w:val="00B10582"/>
    <w:rsid w:val="00B105FE"/>
    <w:rsid w:val="00B10688"/>
    <w:rsid w:val="00B1113E"/>
    <w:rsid w:val="00B112AD"/>
    <w:rsid w:val="00B1140A"/>
    <w:rsid w:val="00B11CA7"/>
    <w:rsid w:val="00B12EF2"/>
    <w:rsid w:val="00B13379"/>
    <w:rsid w:val="00B1357E"/>
    <w:rsid w:val="00B138D1"/>
    <w:rsid w:val="00B1483C"/>
    <w:rsid w:val="00B14ED9"/>
    <w:rsid w:val="00B1532B"/>
    <w:rsid w:val="00B1556E"/>
    <w:rsid w:val="00B16196"/>
    <w:rsid w:val="00B16619"/>
    <w:rsid w:val="00B1677E"/>
    <w:rsid w:val="00B16793"/>
    <w:rsid w:val="00B169C9"/>
    <w:rsid w:val="00B17375"/>
    <w:rsid w:val="00B1754D"/>
    <w:rsid w:val="00B175DB"/>
    <w:rsid w:val="00B17946"/>
    <w:rsid w:val="00B20D1E"/>
    <w:rsid w:val="00B2137E"/>
    <w:rsid w:val="00B21836"/>
    <w:rsid w:val="00B21865"/>
    <w:rsid w:val="00B21A19"/>
    <w:rsid w:val="00B21A48"/>
    <w:rsid w:val="00B21B66"/>
    <w:rsid w:val="00B223D6"/>
    <w:rsid w:val="00B22409"/>
    <w:rsid w:val="00B2245F"/>
    <w:rsid w:val="00B22986"/>
    <w:rsid w:val="00B22E7E"/>
    <w:rsid w:val="00B2432A"/>
    <w:rsid w:val="00B24E65"/>
    <w:rsid w:val="00B2539B"/>
    <w:rsid w:val="00B25FC2"/>
    <w:rsid w:val="00B2635D"/>
    <w:rsid w:val="00B26613"/>
    <w:rsid w:val="00B26A6F"/>
    <w:rsid w:val="00B26AB0"/>
    <w:rsid w:val="00B30338"/>
    <w:rsid w:val="00B303AE"/>
    <w:rsid w:val="00B30BC3"/>
    <w:rsid w:val="00B312AF"/>
    <w:rsid w:val="00B323C5"/>
    <w:rsid w:val="00B3247F"/>
    <w:rsid w:val="00B3269E"/>
    <w:rsid w:val="00B328A0"/>
    <w:rsid w:val="00B329C1"/>
    <w:rsid w:val="00B32A1E"/>
    <w:rsid w:val="00B32CC7"/>
    <w:rsid w:val="00B332BC"/>
    <w:rsid w:val="00B33968"/>
    <w:rsid w:val="00B33D6F"/>
    <w:rsid w:val="00B34D0F"/>
    <w:rsid w:val="00B351F7"/>
    <w:rsid w:val="00B359B2"/>
    <w:rsid w:val="00B35B51"/>
    <w:rsid w:val="00B3609F"/>
    <w:rsid w:val="00B36BA5"/>
    <w:rsid w:val="00B371BA"/>
    <w:rsid w:val="00B37205"/>
    <w:rsid w:val="00B37A3F"/>
    <w:rsid w:val="00B37AD5"/>
    <w:rsid w:val="00B40600"/>
    <w:rsid w:val="00B40E34"/>
    <w:rsid w:val="00B4140A"/>
    <w:rsid w:val="00B4180F"/>
    <w:rsid w:val="00B41836"/>
    <w:rsid w:val="00B4248F"/>
    <w:rsid w:val="00B42F88"/>
    <w:rsid w:val="00B42FA9"/>
    <w:rsid w:val="00B43105"/>
    <w:rsid w:val="00B4372E"/>
    <w:rsid w:val="00B43A45"/>
    <w:rsid w:val="00B43A4E"/>
    <w:rsid w:val="00B43D75"/>
    <w:rsid w:val="00B4469C"/>
    <w:rsid w:val="00B446D8"/>
    <w:rsid w:val="00B44C1B"/>
    <w:rsid w:val="00B44C56"/>
    <w:rsid w:val="00B45314"/>
    <w:rsid w:val="00B4541F"/>
    <w:rsid w:val="00B4617B"/>
    <w:rsid w:val="00B464E4"/>
    <w:rsid w:val="00B4754B"/>
    <w:rsid w:val="00B478AA"/>
    <w:rsid w:val="00B5027F"/>
    <w:rsid w:val="00B505C5"/>
    <w:rsid w:val="00B5066E"/>
    <w:rsid w:val="00B50A84"/>
    <w:rsid w:val="00B51420"/>
    <w:rsid w:val="00B51704"/>
    <w:rsid w:val="00B51777"/>
    <w:rsid w:val="00B51971"/>
    <w:rsid w:val="00B51CF0"/>
    <w:rsid w:val="00B52368"/>
    <w:rsid w:val="00B52381"/>
    <w:rsid w:val="00B525BB"/>
    <w:rsid w:val="00B52691"/>
    <w:rsid w:val="00B5448C"/>
    <w:rsid w:val="00B5472E"/>
    <w:rsid w:val="00B55A9B"/>
    <w:rsid w:val="00B55C21"/>
    <w:rsid w:val="00B560CC"/>
    <w:rsid w:val="00B5613A"/>
    <w:rsid w:val="00B565F0"/>
    <w:rsid w:val="00B568FD"/>
    <w:rsid w:val="00B56A2C"/>
    <w:rsid w:val="00B56DAA"/>
    <w:rsid w:val="00B5721A"/>
    <w:rsid w:val="00B607ED"/>
    <w:rsid w:val="00B60BE4"/>
    <w:rsid w:val="00B61067"/>
    <w:rsid w:val="00B61120"/>
    <w:rsid w:val="00B61252"/>
    <w:rsid w:val="00B615F2"/>
    <w:rsid w:val="00B61960"/>
    <w:rsid w:val="00B62589"/>
    <w:rsid w:val="00B630AA"/>
    <w:rsid w:val="00B6359C"/>
    <w:rsid w:val="00B63A1B"/>
    <w:rsid w:val="00B64406"/>
    <w:rsid w:val="00B64FC9"/>
    <w:rsid w:val="00B65141"/>
    <w:rsid w:val="00B651FA"/>
    <w:rsid w:val="00B653DE"/>
    <w:rsid w:val="00B6556A"/>
    <w:rsid w:val="00B656B2"/>
    <w:rsid w:val="00B662FE"/>
    <w:rsid w:val="00B669B1"/>
    <w:rsid w:val="00B66ECF"/>
    <w:rsid w:val="00B67163"/>
    <w:rsid w:val="00B67650"/>
    <w:rsid w:val="00B679A4"/>
    <w:rsid w:val="00B67FAA"/>
    <w:rsid w:val="00B70100"/>
    <w:rsid w:val="00B7031B"/>
    <w:rsid w:val="00B70493"/>
    <w:rsid w:val="00B707BB"/>
    <w:rsid w:val="00B70BEF"/>
    <w:rsid w:val="00B71405"/>
    <w:rsid w:val="00B7141C"/>
    <w:rsid w:val="00B72A75"/>
    <w:rsid w:val="00B73561"/>
    <w:rsid w:val="00B73791"/>
    <w:rsid w:val="00B738FF"/>
    <w:rsid w:val="00B73A55"/>
    <w:rsid w:val="00B74072"/>
    <w:rsid w:val="00B741E2"/>
    <w:rsid w:val="00B746A0"/>
    <w:rsid w:val="00B7476B"/>
    <w:rsid w:val="00B74CFB"/>
    <w:rsid w:val="00B74E24"/>
    <w:rsid w:val="00B74E67"/>
    <w:rsid w:val="00B7544F"/>
    <w:rsid w:val="00B756F1"/>
    <w:rsid w:val="00B757DD"/>
    <w:rsid w:val="00B75A81"/>
    <w:rsid w:val="00B7717C"/>
    <w:rsid w:val="00B7725E"/>
    <w:rsid w:val="00B772DF"/>
    <w:rsid w:val="00B7734E"/>
    <w:rsid w:val="00B77755"/>
    <w:rsid w:val="00B778C7"/>
    <w:rsid w:val="00B779F0"/>
    <w:rsid w:val="00B77ADD"/>
    <w:rsid w:val="00B77DAE"/>
    <w:rsid w:val="00B77EF2"/>
    <w:rsid w:val="00B802CE"/>
    <w:rsid w:val="00B80624"/>
    <w:rsid w:val="00B80D4B"/>
    <w:rsid w:val="00B81030"/>
    <w:rsid w:val="00B81C00"/>
    <w:rsid w:val="00B82F54"/>
    <w:rsid w:val="00B83079"/>
    <w:rsid w:val="00B836FC"/>
    <w:rsid w:val="00B83D2E"/>
    <w:rsid w:val="00B83F2F"/>
    <w:rsid w:val="00B8410D"/>
    <w:rsid w:val="00B84833"/>
    <w:rsid w:val="00B849E8"/>
    <w:rsid w:val="00B84ED8"/>
    <w:rsid w:val="00B85D3C"/>
    <w:rsid w:val="00B85F57"/>
    <w:rsid w:val="00B86107"/>
    <w:rsid w:val="00B861FA"/>
    <w:rsid w:val="00B86760"/>
    <w:rsid w:val="00B87106"/>
    <w:rsid w:val="00B876FF"/>
    <w:rsid w:val="00B87989"/>
    <w:rsid w:val="00B90272"/>
    <w:rsid w:val="00B9048F"/>
    <w:rsid w:val="00B90704"/>
    <w:rsid w:val="00B90FDB"/>
    <w:rsid w:val="00B9118C"/>
    <w:rsid w:val="00B91877"/>
    <w:rsid w:val="00B91F9A"/>
    <w:rsid w:val="00B92097"/>
    <w:rsid w:val="00B921DE"/>
    <w:rsid w:val="00B92318"/>
    <w:rsid w:val="00B9263A"/>
    <w:rsid w:val="00B929C7"/>
    <w:rsid w:val="00B929DB"/>
    <w:rsid w:val="00B937FE"/>
    <w:rsid w:val="00B9381F"/>
    <w:rsid w:val="00B93BFC"/>
    <w:rsid w:val="00B94167"/>
    <w:rsid w:val="00B94D05"/>
    <w:rsid w:val="00B94D2E"/>
    <w:rsid w:val="00B94E35"/>
    <w:rsid w:val="00B94F10"/>
    <w:rsid w:val="00B94F47"/>
    <w:rsid w:val="00B950BA"/>
    <w:rsid w:val="00B95D2A"/>
    <w:rsid w:val="00B960CE"/>
    <w:rsid w:val="00B96633"/>
    <w:rsid w:val="00B9664E"/>
    <w:rsid w:val="00B96CE4"/>
    <w:rsid w:val="00B96D46"/>
    <w:rsid w:val="00B96D8E"/>
    <w:rsid w:val="00BA1024"/>
    <w:rsid w:val="00BA1199"/>
    <w:rsid w:val="00BA1212"/>
    <w:rsid w:val="00BA1478"/>
    <w:rsid w:val="00BA14D1"/>
    <w:rsid w:val="00BA1C80"/>
    <w:rsid w:val="00BA2022"/>
    <w:rsid w:val="00BA204F"/>
    <w:rsid w:val="00BA22FE"/>
    <w:rsid w:val="00BA28F2"/>
    <w:rsid w:val="00BA29B5"/>
    <w:rsid w:val="00BA41C7"/>
    <w:rsid w:val="00BA4AA7"/>
    <w:rsid w:val="00BA559A"/>
    <w:rsid w:val="00BA57E5"/>
    <w:rsid w:val="00BA6C37"/>
    <w:rsid w:val="00BA718A"/>
    <w:rsid w:val="00BA7A95"/>
    <w:rsid w:val="00BA7D92"/>
    <w:rsid w:val="00BA7E14"/>
    <w:rsid w:val="00BA7E40"/>
    <w:rsid w:val="00BB003A"/>
    <w:rsid w:val="00BB0C37"/>
    <w:rsid w:val="00BB11A0"/>
    <w:rsid w:val="00BB1BEE"/>
    <w:rsid w:val="00BB203D"/>
    <w:rsid w:val="00BB2A71"/>
    <w:rsid w:val="00BB2DE1"/>
    <w:rsid w:val="00BB34DD"/>
    <w:rsid w:val="00BB3CB8"/>
    <w:rsid w:val="00BB3FAA"/>
    <w:rsid w:val="00BB40C5"/>
    <w:rsid w:val="00BB42E7"/>
    <w:rsid w:val="00BB48CA"/>
    <w:rsid w:val="00BB4F2C"/>
    <w:rsid w:val="00BB5374"/>
    <w:rsid w:val="00BB59A3"/>
    <w:rsid w:val="00BB5A0F"/>
    <w:rsid w:val="00BB5AAD"/>
    <w:rsid w:val="00BB5C6E"/>
    <w:rsid w:val="00BB623D"/>
    <w:rsid w:val="00BB6E48"/>
    <w:rsid w:val="00BB7BD5"/>
    <w:rsid w:val="00BB7C24"/>
    <w:rsid w:val="00BC01E0"/>
    <w:rsid w:val="00BC0EBF"/>
    <w:rsid w:val="00BC1491"/>
    <w:rsid w:val="00BC1714"/>
    <w:rsid w:val="00BC1B89"/>
    <w:rsid w:val="00BC2044"/>
    <w:rsid w:val="00BC27C4"/>
    <w:rsid w:val="00BC3034"/>
    <w:rsid w:val="00BC374A"/>
    <w:rsid w:val="00BC3CFB"/>
    <w:rsid w:val="00BC3D5C"/>
    <w:rsid w:val="00BC3ED7"/>
    <w:rsid w:val="00BC4327"/>
    <w:rsid w:val="00BC433E"/>
    <w:rsid w:val="00BC4468"/>
    <w:rsid w:val="00BC599A"/>
    <w:rsid w:val="00BC5F1D"/>
    <w:rsid w:val="00BC66EF"/>
    <w:rsid w:val="00BC68F2"/>
    <w:rsid w:val="00BC6ACC"/>
    <w:rsid w:val="00BC6B48"/>
    <w:rsid w:val="00BC6D7C"/>
    <w:rsid w:val="00BC6FF1"/>
    <w:rsid w:val="00BC79F7"/>
    <w:rsid w:val="00BC7D3E"/>
    <w:rsid w:val="00BD0624"/>
    <w:rsid w:val="00BD0798"/>
    <w:rsid w:val="00BD0A81"/>
    <w:rsid w:val="00BD1439"/>
    <w:rsid w:val="00BD1843"/>
    <w:rsid w:val="00BD18FA"/>
    <w:rsid w:val="00BD1C1F"/>
    <w:rsid w:val="00BD256D"/>
    <w:rsid w:val="00BD2752"/>
    <w:rsid w:val="00BD28C4"/>
    <w:rsid w:val="00BD2E0A"/>
    <w:rsid w:val="00BD2EB0"/>
    <w:rsid w:val="00BD3275"/>
    <w:rsid w:val="00BD3676"/>
    <w:rsid w:val="00BD38D2"/>
    <w:rsid w:val="00BD3D21"/>
    <w:rsid w:val="00BD43B6"/>
    <w:rsid w:val="00BD4561"/>
    <w:rsid w:val="00BD46D7"/>
    <w:rsid w:val="00BD4C0F"/>
    <w:rsid w:val="00BD5624"/>
    <w:rsid w:val="00BD5D71"/>
    <w:rsid w:val="00BD5DBA"/>
    <w:rsid w:val="00BD61E5"/>
    <w:rsid w:val="00BD6639"/>
    <w:rsid w:val="00BD672F"/>
    <w:rsid w:val="00BD6956"/>
    <w:rsid w:val="00BD742C"/>
    <w:rsid w:val="00BD7931"/>
    <w:rsid w:val="00BD7BF1"/>
    <w:rsid w:val="00BE07DC"/>
    <w:rsid w:val="00BE0DFB"/>
    <w:rsid w:val="00BE0E3D"/>
    <w:rsid w:val="00BE10C6"/>
    <w:rsid w:val="00BE1101"/>
    <w:rsid w:val="00BE1132"/>
    <w:rsid w:val="00BE1167"/>
    <w:rsid w:val="00BE11CC"/>
    <w:rsid w:val="00BE13EA"/>
    <w:rsid w:val="00BE1A25"/>
    <w:rsid w:val="00BE1A38"/>
    <w:rsid w:val="00BE2233"/>
    <w:rsid w:val="00BE2D7D"/>
    <w:rsid w:val="00BE392F"/>
    <w:rsid w:val="00BE4189"/>
    <w:rsid w:val="00BE467E"/>
    <w:rsid w:val="00BE539C"/>
    <w:rsid w:val="00BE593A"/>
    <w:rsid w:val="00BE5FFA"/>
    <w:rsid w:val="00BE6B8A"/>
    <w:rsid w:val="00BE6D08"/>
    <w:rsid w:val="00BE700B"/>
    <w:rsid w:val="00BE70F9"/>
    <w:rsid w:val="00BE71CE"/>
    <w:rsid w:val="00BE7A49"/>
    <w:rsid w:val="00BE7C4D"/>
    <w:rsid w:val="00BE7DC0"/>
    <w:rsid w:val="00BE7F23"/>
    <w:rsid w:val="00BF005D"/>
    <w:rsid w:val="00BF03DE"/>
    <w:rsid w:val="00BF060B"/>
    <w:rsid w:val="00BF06DE"/>
    <w:rsid w:val="00BF07F8"/>
    <w:rsid w:val="00BF09BC"/>
    <w:rsid w:val="00BF0B43"/>
    <w:rsid w:val="00BF0CBA"/>
    <w:rsid w:val="00BF1285"/>
    <w:rsid w:val="00BF12EE"/>
    <w:rsid w:val="00BF2104"/>
    <w:rsid w:val="00BF225C"/>
    <w:rsid w:val="00BF30D2"/>
    <w:rsid w:val="00BF37CE"/>
    <w:rsid w:val="00BF3C6C"/>
    <w:rsid w:val="00BF3CB4"/>
    <w:rsid w:val="00BF3F2C"/>
    <w:rsid w:val="00BF4067"/>
    <w:rsid w:val="00BF437B"/>
    <w:rsid w:val="00BF4A9A"/>
    <w:rsid w:val="00BF4B5A"/>
    <w:rsid w:val="00BF4DA3"/>
    <w:rsid w:val="00BF506F"/>
    <w:rsid w:val="00BF548E"/>
    <w:rsid w:val="00BF5719"/>
    <w:rsid w:val="00BF5D70"/>
    <w:rsid w:val="00BF62D6"/>
    <w:rsid w:val="00BF6843"/>
    <w:rsid w:val="00BF6907"/>
    <w:rsid w:val="00BF6A0D"/>
    <w:rsid w:val="00BF6A81"/>
    <w:rsid w:val="00BF766E"/>
    <w:rsid w:val="00BF7967"/>
    <w:rsid w:val="00BF7E43"/>
    <w:rsid w:val="00C0056B"/>
    <w:rsid w:val="00C011A4"/>
    <w:rsid w:val="00C01844"/>
    <w:rsid w:val="00C0200B"/>
    <w:rsid w:val="00C02C23"/>
    <w:rsid w:val="00C02E71"/>
    <w:rsid w:val="00C03016"/>
    <w:rsid w:val="00C03366"/>
    <w:rsid w:val="00C03B60"/>
    <w:rsid w:val="00C0450C"/>
    <w:rsid w:val="00C04824"/>
    <w:rsid w:val="00C04AA2"/>
    <w:rsid w:val="00C04E5E"/>
    <w:rsid w:val="00C04F0D"/>
    <w:rsid w:val="00C0526B"/>
    <w:rsid w:val="00C052AE"/>
    <w:rsid w:val="00C05645"/>
    <w:rsid w:val="00C057D5"/>
    <w:rsid w:val="00C0595C"/>
    <w:rsid w:val="00C06263"/>
    <w:rsid w:val="00C065BE"/>
    <w:rsid w:val="00C06A4D"/>
    <w:rsid w:val="00C06FD5"/>
    <w:rsid w:val="00C07701"/>
    <w:rsid w:val="00C077E7"/>
    <w:rsid w:val="00C079B6"/>
    <w:rsid w:val="00C10796"/>
    <w:rsid w:val="00C11551"/>
    <w:rsid w:val="00C11838"/>
    <w:rsid w:val="00C11E83"/>
    <w:rsid w:val="00C11EB5"/>
    <w:rsid w:val="00C122CF"/>
    <w:rsid w:val="00C12965"/>
    <w:rsid w:val="00C129C9"/>
    <w:rsid w:val="00C13123"/>
    <w:rsid w:val="00C131AD"/>
    <w:rsid w:val="00C1330D"/>
    <w:rsid w:val="00C134BF"/>
    <w:rsid w:val="00C13A85"/>
    <w:rsid w:val="00C13F44"/>
    <w:rsid w:val="00C141A4"/>
    <w:rsid w:val="00C14226"/>
    <w:rsid w:val="00C142A7"/>
    <w:rsid w:val="00C14F1B"/>
    <w:rsid w:val="00C1558E"/>
    <w:rsid w:val="00C15AD2"/>
    <w:rsid w:val="00C1635F"/>
    <w:rsid w:val="00C173E8"/>
    <w:rsid w:val="00C17C12"/>
    <w:rsid w:val="00C20049"/>
    <w:rsid w:val="00C2025D"/>
    <w:rsid w:val="00C203D7"/>
    <w:rsid w:val="00C211B2"/>
    <w:rsid w:val="00C2137D"/>
    <w:rsid w:val="00C21578"/>
    <w:rsid w:val="00C215FA"/>
    <w:rsid w:val="00C216DC"/>
    <w:rsid w:val="00C21887"/>
    <w:rsid w:val="00C222FF"/>
    <w:rsid w:val="00C223F1"/>
    <w:rsid w:val="00C22E1C"/>
    <w:rsid w:val="00C2323D"/>
    <w:rsid w:val="00C2325A"/>
    <w:rsid w:val="00C23519"/>
    <w:rsid w:val="00C2386E"/>
    <w:rsid w:val="00C23E9B"/>
    <w:rsid w:val="00C2452E"/>
    <w:rsid w:val="00C2456B"/>
    <w:rsid w:val="00C24ABE"/>
    <w:rsid w:val="00C24B89"/>
    <w:rsid w:val="00C24CDE"/>
    <w:rsid w:val="00C24D0D"/>
    <w:rsid w:val="00C25354"/>
    <w:rsid w:val="00C25569"/>
    <w:rsid w:val="00C256EA"/>
    <w:rsid w:val="00C25997"/>
    <w:rsid w:val="00C265B3"/>
    <w:rsid w:val="00C265DC"/>
    <w:rsid w:val="00C26657"/>
    <w:rsid w:val="00C26DCC"/>
    <w:rsid w:val="00C26F87"/>
    <w:rsid w:val="00C27464"/>
    <w:rsid w:val="00C27A50"/>
    <w:rsid w:val="00C30557"/>
    <w:rsid w:val="00C319AC"/>
    <w:rsid w:val="00C31CC8"/>
    <w:rsid w:val="00C32169"/>
    <w:rsid w:val="00C32E83"/>
    <w:rsid w:val="00C3340A"/>
    <w:rsid w:val="00C34216"/>
    <w:rsid w:val="00C34A32"/>
    <w:rsid w:val="00C34CFA"/>
    <w:rsid w:val="00C351D6"/>
    <w:rsid w:val="00C354A6"/>
    <w:rsid w:val="00C3567A"/>
    <w:rsid w:val="00C3572F"/>
    <w:rsid w:val="00C35B25"/>
    <w:rsid w:val="00C35D69"/>
    <w:rsid w:val="00C35F8A"/>
    <w:rsid w:val="00C36385"/>
    <w:rsid w:val="00C36A33"/>
    <w:rsid w:val="00C370A7"/>
    <w:rsid w:val="00C370D8"/>
    <w:rsid w:val="00C371C8"/>
    <w:rsid w:val="00C37AC6"/>
    <w:rsid w:val="00C37E49"/>
    <w:rsid w:val="00C37F46"/>
    <w:rsid w:val="00C402F7"/>
    <w:rsid w:val="00C4095B"/>
    <w:rsid w:val="00C40D58"/>
    <w:rsid w:val="00C41486"/>
    <w:rsid w:val="00C417F0"/>
    <w:rsid w:val="00C42A6A"/>
    <w:rsid w:val="00C42A92"/>
    <w:rsid w:val="00C43609"/>
    <w:rsid w:val="00C43AA5"/>
    <w:rsid w:val="00C44CB3"/>
    <w:rsid w:val="00C44D11"/>
    <w:rsid w:val="00C45054"/>
    <w:rsid w:val="00C46A90"/>
    <w:rsid w:val="00C47098"/>
    <w:rsid w:val="00C47217"/>
    <w:rsid w:val="00C473C1"/>
    <w:rsid w:val="00C476E4"/>
    <w:rsid w:val="00C47F45"/>
    <w:rsid w:val="00C521D1"/>
    <w:rsid w:val="00C527C4"/>
    <w:rsid w:val="00C538C1"/>
    <w:rsid w:val="00C543E3"/>
    <w:rsid w:val="00C5542E"/>
    <w:rsid w:val="00C5555E"/>
    <w:rsid w:val="00C5596E"/>
    <w:rsid w:val="00C55984"/>
    <w:rsid w:val="00C55B16"/>
    <w:rsid w:val="00C55DFB"/>
    <w:rsid w:val="00C562AA"/>
    <w:rsid w:val="00C56943"/>
    <w:rsid w:val="00C56BD5"/>
    <w:rsid w:val="00C56DF4"/>
    <w:rsid w:val="00C57073"/>
    <w:rsid w:val="00C602A7"/>
    <w:rsid w:val="00C60C1D"/>
    <w:rsid w:val="00C60CA1"/>
    <w:rsid w:val="00C615A1"/>
    <w:rsid w:val="00C6198D"/>
    <w:rsid w:val="00C619B3"/>
    <w:rsid w:val="00C62601"/>
    <w:rsid w:val="00C62FDD"/>
    <w:rsid w:val="00C633B2"/>
    <w:rsid w:val="00C63936"/>
    <w:rsid w:val="00C648E3"/>
    <w:rsid w:val="00C64985"/>
    <w:rsid w:val="00C64B11"/>
    <w:rsid w:val="00C64BA0"/>
    <w:rsid w:val="00C652AA"/>
    <w:rsid w:val="00C657A0"/>
    <w:rsid w:val="00C6591A"/>
    <w:rsid w:val="00C65D79"/>
    <w:rsid w:val="00C65FB8"/>
    <w:rsid w:val="00C66B11"/>
    <w:rsid w:val="00C66CA6"/>
    <w:rsid w:val="00C66FAF"/>
    <w:rsid w:val="00C67AEA"/>
    <w:rsid w:val="00C67CC9"/>
    <w:rsid w:val="00C7067D"/>
    <w:rsid w:val="00C70BFC"/>
    <w:rsid w:val="00C714CB"/>
    <w:rsid w:val="00C71FE1"/>
    <w:rsid w:val="00C725B5"/>
    <w:rsid w:val="00C72B5E"/>
    <w:rsid w:val="00C72DA7"/>
    <w:rsid w:val="00C72EB3"/>
    <w:rsid w:val="00C730B8"/>
    <w:rsid w:val="00C730C4"/>
    <w:rsid w:val="00C74FF4"/>
    <w:rsid w:val="00C75456"/>
    <w:rsid w:val="00C75F7D"/>
    <w:rsid w:val="00C76089"/>
    <w:rsid w:val="00C768AE"/>
    <w:rsid w:val="00C76937"/>
    <w:rsid w:val="00C76C61"/>
    <w:rsid w:val="00C770B9"/>
    <w:rsid w:val="00C77373"/>
    <w:rsid w:val="00C77404"/>
    <w:rsid w:val="00C776C5"/>
    <w:rsid w:val="00C77807"/>
    <w:rsid w:val="00C77D2C"/>
    <w:rsid w:val="00C801D3"/>
    <w:rsid w:val="00C80766"/>
    <w:rsid w:val="00C80C59"/>
    <w:rsid w:val="00C828E6"/>
    <w:rsid w:val="00C82B42"/>
    <w:rsid w:val="00C82ECE"/>
    <w:rsid w:val="00C82FC1"/>
    <w:rsid w:val="00C836F9"/>
    <w:rsid w:val="00C83811"/>
    <w:rsid w:val="00C83CF0"/>
    <w:rsid w:val="00C83EE1"/>
    <w:rsid w:val="00C842BD"/>
    <w:rsid w:val="00C844B2"/>
    <w:rsid w:val="00C8470F"/>
    <w:rsid w:val="00C84B5C"/>
    <w:rsid w:val="00C86013"/>
    <w:rsid w:val="00C865B8"/>
    <w:rsid w:val="00C86750"/>
    <w:rsid w:val="00C86A9F"/>
    <w:rsid w:val="00C86C02"/>
    <w:rsid w:val="00C87171"/>
    <w:rsid w:val="00C87323"/>
    <w:rsid w:val="00C92A61"/>
    <w:rsid w:val="00C935C2"/>
    <w:rsid w:val="00C93B68"/>
    <w:rsid w:val="00C94676"/>
    <w:rsid w:val="00C9492A"/>
    <w:rsid w:val="00C94A7C"/>
    <w:rsid w:val="00C94A97"/>
    <w:rsid w:val="00C94DFE"/>
    <w:rsid w:val="00C9515F"/>
    <w:rsid w:val="00C95636"/>
    <w:rsid w:val="00C95C0E"/>
    <w:rsid w:val="00C95E5B"/>
    <w:rsid w:val="00C9632D"/>
    <w:rsid w:val="00C9685F"/>
    <w:rsid w:val="00C96979"/>
    <w:rsid w:val="00C969F3"/>
    <w:rsid w:val="00C96C72"/>
    <w:rsid w:val="00C9712D"/>
    <w:rsid w:val="00C97A6C"/>
    <w:rsid w:val="00C97F05"/>
    <w:rsid w:val="00CA0408"/>
    <w:rsid w:val="00CA047F"/>
    <w:rsid w:val="00CA09B0"/>
    <w:rsid w:val="00CA0C1D"/>
    <w:rsid w:val="00CA0D83"/>
    <w:rsid w:val="00CA1075"/>
    <w:rsid w:val="00CA19C5"/>
    <w:rsid w:val="00CA2263"/>
    <w:rsid w:val="00CA2BAF"/>
    <w:rsid w:val="00CA2BE8"/>
    <w:rsid w:val="00CA2FB3"/>
    <w:rsid w:val="00CA346A"/>
    <w:rsid w:val="00CA4629"/>
    <w:rsid w:val="00CA48F5"/>
    <w:rsid w:val="00CA5A06"/>
    <w:rsid w:val="00CA5BEB"/>
    <w:rsid w:val="00CA5EF8"/>
    <w:rsid w:val="00CA628B"/>
    <w:rsid w:val="00CA68AE"/>
    <w:rsid w:val="00CA68FC"/>
    <w:rsid w:val="00CA6DE4"/>
    <w:rsid w:val="00CA7932"/>
    <w:rsid w:val="00CA7C02"/>
    <w:rsid w:val="00CA7D6A"/>
    <w:rsid w:val="00CB0131"/>
    <w:rsid w:val="00CB026B"/>
    <w:rsid w:val="00CB094E"/>
    <w:rsid w:val="00CB10B8"/>
    <w:rsid w:val="00CB12DF"/>
    <w:rsid w:val="00CB145F"/>
    <w:rsid w:val="00CB14D0"/>
    <w:rsid w:val="00CB18F3"/>
    <w:rsid w:val="00CB1D47"/>
    <w:rsid w:val="00CB1F12"/>
    <w:rsid w:val="00CB1FD6"/>
    <w:rsid w:val="00CB34F9"/>
    <w:rsid w:val="00CB39A0"/>
    <w:rsid w:val="00CB3B77"/>
    <w:rsid w:val="00CB3CE6"/>
    <w:rsid w:val="00CB4326"/>
    <w:rsid w:val="00CB4398"/>
    <w:rsid w:val="00CB4D80"/>
    <w:rsid w:val="00CB4E3E"/>
    <w:rsid w:val="00CB56DA"/>
    <w:rsid w:val="00CB5984"/>
    <w:rsid w:val="00CB59F4"/>
    <w:rsid w:val="00CB5B9D"/>
    <w:rsid w:val="00CB5E24"/>
    <w:rsid w:val="00CB5FFE"/>
    <w:rsid w:val="00CB79A7"/>
    <w:rsid w:val="00CB7D9A"/>
    <w:rsid w:val="00CC0156"/>
    <w:rsid w:val="00CC153A"/>
    <w:rsid w:val="00CC1DCB"/>
    <w:rsid w:val="00CC36C1"/>
    <w:rsid w:val="00CC397B"/>
    <w:rsid w:val="00CC3CD2"/>
    <w:rsid w:val="00CC40C3"/>
    <w:rsid w:val="00CC49E5"/>
    <w:rsid w:val="00CC4CC0"/>
    <w:rsid w:val="00CC524B"/>
    <w:rsid w:val="00CC57DE"/>
    <w:rsid w:val="00CC611D"/>
    <w:rsid w:val="00CC626B"/>
    <w:rsid w:val="00CC651B"/>
    <w:rsid w:val="00CC7549"/>
    <w:rsid w:val="00CC7655"/>
    <w:rsid w:val="00CC7D3D"/>
    <w:rsid w:val="00CD03B1"/>
    <w:rsid w:val="00CD03D3"/>
    <w:rsid w:val="00CD06C1"/>
    <w:rsid w:val="00CD0CE9"/>
    <w:rsid w:val="00CD0E50"/>
    <w:rsid w:val="00CD2088"/>
    <w:rsid w:val="00CD21E6"/>
    <w:rsid w:val="00CD254A"/>
    <w:rsid w:val="00CD38F6"/>
    <w:rsid w:val="00CD3EA5"/>
    <w:rsid w:val="00CD4270"/>
    <w:rsid w:val="00CD5170"/>
    <w:rsid w:val="00CD61AA"/>
    <w:rsid w:val="00CD66F4"/>
    <w:rsid w:val="00CD73A0"/>
    <w:rsid w:val="00CE03E1"/>
    <w:rsid w:val="00CE0548"/>
    <w:rsid w:val="00CE0AD5"/>
    <w:rsid w:val="00CE0BD5"/>
    <w:rsid w:val="00CE1774"/>
    <w:rsid w:val="00CE193C"/>
    <w:rsid w:val="00CE1BC8"/>
    <w:rsid w:val="00CE1F7B"/>
    <w:rsid w:val="00CE2871"/>
    <w:rsid w:val="00CE33B6"/>
    <w:rsid w:val="00CE41B6"/>
    <w:rsid w:val="00CE42B0"/>
    <w:rsid w:val="00CE4F30"/>
    <w:rsid w:val="00CE51E6"/>
    <w:rsid w:val="00CE5980"/>
    <w:rsid w:val="00CE5EB8"/>
    <w:rsid w:val="00CE6282"/>
    <w:rsid w:val="00CE62CD"/>
    <w:rsid w:val="00CE65E8"/>
    <w:rsid w:val="00CE6718"/>
    <w:rsid w:val="00CE6730"/>
    <w:rsid w:val="00CE7347"/>
    <w:rsid w:val="00CE74AA"/>
    <w:rsid w:val="00CE79D5"/>
    <w:rsid w:val="00CF0691"/>
    <w:rsid w:val="00CF0B92"/>
    <w:rsid w:val="00CF0ECC"/>
    <w:rsid w:val="00CF1739"/>
    <w:rsid w:val="00CF179B"/>
    <w:rsid w:val="00CF1E09"/>
    <w:rsid w:val="00CF1E7D"/>
    <w:rsid w:val="00CF3D86"/>
    <w:rsid w:val="00CF3E0B"/>
    <w:rsid w:val="00CF3F0B"/>
    <w:rsid w:val="00CF3FE2"/>
    <w:rsid w:val="00CF45B6"/>
    <w:rsid w:val="00CF46DD"/>
    <w:rsid w:val="00CF478B"/>
    <w:rsid w:val="00CF4954"/>
    <w:rsid w:val="00CF5B2E"/>
    <w:rsid w:val="00CF67A9"/>
    <w:rsid w:val="00CF681C"/>
    <w:rsid w:val="00CF6E49"/>
    <w:rsid w:val="00CF7219"/>
    <w:rsid w:val="00CF724F"/>
    <w:rsid w:val="00CF7B5A"/>
    <w:rsid w:val="00CF7B6E"/>
    <w:rsid w:val="00D00237"/>
    <w:rsid w:val="00D0075C"/>
    <w:rsid w:val="00D00811"/>
    <w:rsid w:val="00D01694"/>
    <w:rsid w:val="00D018AB"/>
    <w:rsid w:val="00D019A6"/>
    <w:rsid w:val="00D01A46"/>
    <w:rsid w:val="00D01B5B"/>
    <w:rsid w:val="00D01FD3"/>
    <w:rsid w:val="00D024C5"/>
    <w:rsid w:val="00D02773"/>
    <w:rsid w:val="00D02969"/>
    <w:rsid w:val="00D029EF"/>
    <w:rsid w:val="00D02DD5"/>
    <w:rsid w:val="00D03B87"/>
    <w:rsid w:val="00D03BAB"/>
    <w:rsid w:val="00D03C9E"/>
    <w:rsid w:val="00D040C3"/>
    <w:rsid w:val="00D040EB"/>
    <w:rsid w:val="00D04107"/>
    <w:rsid w:val="00D04160"/>
    <w:rsid w:val="00D054B9"/>
    <w:rsid w:val="00D05A26"/>
    <w:rsid w:val="00D05F89"/>
    <w:rsid w:val="00D06779"/>
    <w:rsid w:val="00D071F8"/>
    <w:rsid w:val="00D077AF"/>
    <w:rsid w:val="00D07C78"/>
    <w:rsid w:val="00D1030A"/>
    <w:rsid w:val="00D109B7"/>
    <w:rsid w:val="00D10F7C"/>
    <w:rsid w:val="00D11A7A"/>
    <w:rsid w:val="00D11D24"/>
    <w:rsid w:val="00D12397"/>
    <w:rsid w:val="00D12469"/>
    <w:rsid w:val="00D126E9"/>
    <w:rsid w:val="00D12828"/>
    <w:rsid w:val="00D12FA1"/>
    <w:rsid w:val="00D1316C"/>
    <w:rsid w:val="00D13586"/>
    <w:rsid w:val="00D1387C"/>
    <w:rsid w:val="00D13C85"/>
    <w:rsid w:val="00D14247"/>
    <w:rsid w:val="00D14603"/>
    <w:rsid w:val="00D1490B"/>
    <w:rsid w:val="00D151AE"/>
    <w:rsid w:val="00D154DD"/>
    <w:rsid w:val="00D154EB"/>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3C24"/>
    <w:rsid w:val="00D23ED8"/>
    <w:rsid w:val="00D2478E"/>
    <w:rsid w:val="00D24D01"/>
    <w:rsid w:val="00D24D9B"/>
    <w:rsid w:val="00D24EA0"/>
    <w:rsid w:val="00D24F15"/>
    <w:rsid w:val="00D2545F"/>
    <w:rsid w:val="00D25F25"/>
    <w:rsid w:val="00D2650B"/>
    <w:rsid w:val="00D26542"/>
    <w:rsid w:val="00D26C8B"/>
    <w:rsid w:val="00D26D0F"/>
    <w:rsid w:val="00D271BF"/>
    <w:rsid w:val="00D27795"/>
    <w:rsid w:val="00D27A59"/>
    <w:rsid w:val="00D27D0D"/>
    <w:rsid w:val="00D27E66"/>
    <w:rsid w:val="00D300D7"/>
    <w:rsid w:val="00D30190"/>
    <w:rsid w:val="00D30AB1"/>
    <w:rsid w:val="00D30B5F"/>
    <w:rsid w:val="00D30C33"/>
    <w:rsid w:val="00D30CCA"/>
    <w:rsid w:val="00D313E1"/>
    <w:rsid w:val="00D31F89"/>
    <w:rsid w:val="00D3224B"/>
    <w:rsid w:val="00D33081"/>
    <w:rsid w:val="00D33AA8"/>
    <w:rsid w:val="00D33B72"/>
    <w:rsid w:val="00D33C6F"/>
    <w:rsid w:val="00D34172"/>
    <w:rsid w:val="00D3515D"/>
    <w:rsid w:val="00D35F83"/>
    <w:rsid w:val="00D36013"/>
    <w:rsid w:val="00D36154"/>
    <w:rsid w:val="00D361F1"/>
    <w:rsid w:val="00D36FE2"/>
    <w:rsid w:val="00D37466"/>
    <w:rsid w:val="00D376E2"/>
    <w:rsid w:val="00D37793"/>
    <w:rsid w:val="00D37823"/>
    <w:rsid w:val="00D40364"/>
    <w:rsid w:val="00D4062E"/>
    <w:rsid w:val="00D40A04"/>
    <w:rsid w:val="00D40F97"/>
    <w:rsid w:val="00D419B1"/>
    <w:rsid w:val="00D41C47"/>
    <w:rsid w:val="00D42174"/>
    <w:rsid w:val="00D427BE"/>
    <w:rsid w:val="00D428F5"/>
    <w:rsid w:val="00D42912"/>
    <w:rsid w:val="00D434BF"/>
    <w:rsid w:val="00D435C3"/>
    <w:rsid w:val="00D439B5"/>
    <w:rsid w:val="00D43BB0"/>
    <w:rsid w:val="00D43FB5"/>
    <w:rsid w:val="00D444B0"/>
    <w:rsid w:val="00D44730"/>
    <w:rsid w:val="00D447DD"/>
    <w:rsid w:val="00D44843"/>
    <w:rsid w:val="00D449FB"/>
    <w:rsid w:val="00D458EB"/>
    <w:rsid w:val="00D45AE8"/>
    <w:rsid w:val="00D45D76"/>
    <w:rsid w:val="00D465CA"/>
    <w:rsid w:val="00D465D6"/>
    <w:rsid w:val="00D46CE6"/>
    <w:rsid w:val="00D47212"/>
    <w:rsid w:val="00D47532"/>
    <w:rsid w:val="00D47583"/>
    <w:rsid w:val="00D47970"/>
    <w:rsid w:val="00D50399"/>
    <w:rsid w:val="00D50E7F"/>
    <w:rsid w:val="00D51D71"/>
    <w:rsid w:val="00D51E7C"/>
    <w:rsid w:val="00D52089"/>
    <w:rsid w:val="00D52100"/>
    <w:rsid w:val="00D5292B"/>
    <w:rsid w:val="00D52A42"/>
    <w:rsid w:val="00D52BA0"/>
    <w:rsid w:val="00D52EAF"/>
    <w:rsid w:val="00D53078"/>
    <w:rsid w:val="00D538BF"/>
    <w:rsid w:val="00D53DDA"/>
    <w:rsid w:val="00D54A51"/>
    <w:rsid w:val="00D54CD2"/>
    <w:rsid w:val="00D56A08"/>
    <w:rsid w:val="00D5726B"/>
    <w:rsid w:val="00D575FD"/>
    <w:rsid w:val="00D576DB"/>
    <w:rsid w:val="00D57C74"/>
    <w:rsid w:val="00D6018A"/>
    <w:rsid w:val="00D6274C"/>
    <w:rsid w:val="00D62A5B"/>
    <w:rsid w:val="00D62D44"/>
    <w:rsid w:val="00D63942"/>
    <w:rsid w:val="00D63DC7"/>
    <w:rsid w:val="00D6437E"/>
    <w:rsid w:val="00D64863"/>
    <w:rsid w:val="00D64B2F"/>
    <w:rsid w:val="00D64E6F"/>
    <w:rsid w:val="00D65BE3"/>
    <w:rsid w:val="00D665A4"/>
    <w:rsid w:val="00D666A1"/>
    <w:rsid w:val="00D66F12"/>
    <w:rsid w:val="00D66F87"/>
    <w:rsid w:val="00D675D2"/>
    <w:rsid w:val="00D67A18"/>
    <w:rsid w:val="00D70837"/>
    <w:rsid w:val="00D70C71"/>
    <w:rsid w:val="00D722D6"/>
    <w:rsid w:val="00D725A1"/>
    <w:rsid w:val="00D72757"/>
    <w:rsid w:val="00D72FF2"/>
    <w:rsid w:val="00D73F58"/>
    <w:rsid w:val="00D7456B"/>
    <w:rsid w:val="00D74A7C"/>
    <w:rsid w:val="00D7666E"/>
    <w:rsid w:val="00D80207"/>
    <w:rsid w:val="00D808D0"/>
    <w:rsid w:val="00D80A7A"/>
    <w:rsid w:val="00D80AB6"/>
    <w:rsid w:val="00D81D4A"/>
    <w:rsid w:val="00D8220A"/>
    <w:rsid w:val="00D82AE9"/>
    <w:rsid w:val="00D83126"/>
    <w:rsid w:val="00D84539"/>
    <w:rsid w:val="00D852D2"/>
    <w:rsid w:val="00D8583A"/>
    <w:rsid w:val="00D85E1A"/>
    <w:rsid w:val="00D860BD"/>
    <w:rsid w:val="00D866A1"/>
    <w:rsid w:val="00D86703"/>
    <w:rsid w:val="00D8678F"/>
    <w:rsid w:val="00D86A1A"/>
    <w:rsid w:val="00D86ABE"/>
    <w:rsid w:val="00D87B49"/>
    <w:rsid w:val="00D87BB4"/>
    <w:rsid w:val="00D87BEF"/>
    <w:rsid w:val="00D90884"/>
    <w:rsid w:val="00D91616"/>
    <w:rsid w:val="00D91C84"/>
    <w:rsid w:val="00D92744"/>
    <w:rsid w:val="00D9308C"/>
    <w:rsid w:val="00D9354C"/>
    <w:rsid w:val="00D93B8C"/>
    <w:rsid w:val="00D93DF9"/>
    <w:rsid w:val="00D94184"/>
    <w:rsid w:val="00D94240"/>
    <w:rsid w:val="00D94F7B"/>
    <w:rsid w:val="00D95498"/>
    <w:rsid w:val="00D95D2E"/>
    <w:rsid w:val="00D96ABC"/>
    <w:rsid w:val="00D96BE0"/>
    <w:rsid w:val="00D979EB"/>
    <w:rsid w:val="00D97AB0"/>
    <w:rsid w:val="00D97B8C"/>
    <w:rsid w:val="00DA0334"/>
    <w:rsid w:val="00DA0EC4"/>
    <w:rsid w:val="00DA1183"/>
    <w:rsid w:val="00DA11E9"/>
    <w:rsid w:val="00DA140C"/>
    <w:rsid w:val="00DA143D"/>
    <w:rsid w:val="00DA16FF"/>
    <w:rsid w:val="00DA270D"/>
    <w:rsid w:val="00DA2D7C"/>
    <w:rsid w:val="00DA2F9F"/>
    <w:rsid w:val="00DA4288"/>
    <w:rsid w:val="00DA4339"/>
    <w:rsid w:val="00DA43E0"/>
    <w:rsid w:val="00DA4AF4"/>
    <w:rsid w:val="00DA68AD"/>
    <w:rsid w:val="00DA6F4E"/>
    <w:rsid w:val="00DA700B"/>
    <w:rsid w:val="00DA745C"/>
    <w:rsid w:val="00DA7497"/>
    <w:rsid w:val="00DA7BEB"/>
    <w:rsid w:val="00DA7ECA"/>
    <w:rsid w:val="00DB0971"/>
    <w:rsid w:val="00DB0A8E"/>
    <w:rsid w:val="00DB1E36"/>
    <w:rsid w:val="00DB273C"/>
    <w:rsid w:val="00DB2C77"/>
    <w:rsid w:val="00DB2E33"/>
    <w:rsid w:val="00DB2FA6"/>
    <w:rsid w:val="00DB3D60"/>
    <w:rsid w:val="00DB43A4"/>
    <w:rsid w:val="00DB4583"/>
    <w:rsid w:val="00DB475F"/>
    <w:rsid w:val="00DB4766"/>
    <w:rsid w:val="00DB4C5F"/>
    <w:rsid w:val="00DB5837"/>
    <w:rsid w:val="00DB5FA2"/>
    <w:rsid w:val="00DB62D5"/>
    <w:rsid w:val="00DB6339"/>
    <w:rsid w:val="00DB6492"/>
    <w:rsid w:val="00DB661F"/>
    <w:rsid w:val="00DB6886"/>
    <w:rsid w:val="00DB6ABA"/>
    <w:rsid w:val="00DB6D37"/>
    <w:rsid w:val="00DB6FA7"/>
    <w:rsid w:val="00DB755D"/>
    <w:rsid w:val="00DB76CA"/>
    <w:rsid w:val="00DB7E8E"/>
    <w:rsid w:val="00DB7EC7"/>
    <w:rsid w:val="00DC021E"/>
    <w:rsid w:val="00DC1520"/>
    <w:rsid w:val="00DC1A6F"/>
    <w:rsid w:val="00DC1B11"/>
    <w:rsid w:val="00DC1BE6"/>
    <w:rsid w:val="00DC20CF"/>
    <w:rsid w:val="00DC2ADB"/>
    <w:rsid w:val="00DC3332"/>
    <w:rsid w:val="00DC383C"/>
    <w:rsid w:val="00DC386A"/>
    <w:rsid w:val="00DC394A"/>
    <w:rsid w:val="00DC3DF6"/>
    <w:rsid w:val="00DC409B"/>
    <w:rsid w:val="00DC4392"/>
    <w:rsid w:val="00DC4C60"/>
    <w:rsid w:val="00DC52A7"/>
    <w:rsid w:val="00DC57F5"/>
    <w:rsid w:val="00DC5BB6"/>
    <w:rsid w:val="00DC607E"/>
    <w:rsid w:val="00DC6196"/>
    <w:rsid w:val="00DC6B8D"/>
    <w:rsid w:val="00DC7466"/>
    <w:rsid w:val="00DC7512"/>
    <w:rsid w:val="00DC753D"/>
    <w:rsid w:val="00DD003C"/>
    <w:rsid w:val="00DD0370"/>
    <w:rsid w:val="00DD05EB"/>
    <w:rsid w:val="00DD0792"/>
    <w:rsid w:val="00DD0D8C"/>
    <w:rsid w:val="00DD1131"/>
    <w:rsid w:val="00DD1A60"/>
    <w:rsid w:val="00DD1A89"/>
    <w:rsid w:val="00DD224E"/>
    <w:rsid w:val="00DD2311"/>
    <w:rsid w:val="00DD270A"/>
    <w:rsid w:val="00DD3171"/>
    <w:rsid w:val="00DD3228"/>
    <w:rsid w:val="00DD3251"/>
    <w:rsid w:val="00DD3E79"/>
    <w:rsid w:val="00DD3F17"/>
    <w:rsid w:val="00DD458F"/>
    <w:rsid w:val="00DD48CE"/>
    <w:rsid w:val="00DD4F5C"/>
    <w:rsid w:val="00DD5C18"/>
    <w:rsid w:val="00DD6276"/>
    <w:rsid w:val="00DD6519"/>
    <w:rsid w:val="00DD675B"/>
    <w:rsid w:val="00DD6C5C"/>
    <w:rsid w:val="00DD6F27"/>
    <w:rsid w:val="00DD7391"/>
    <w:rsid w:val="00DD7E1A"/>
    <w:rsid w:val="00DE061D"/>
    <w:rsid w:val="00DE0C5B"/>
    <w:rsid w:val="00DE0DAC"/>
    <w:rsid w:val="00DE0FF7"/>
    <w:rsid w:val="00DE1043"/>
    <w:rsid w:val="00DE11A5"/>
    <w:rsid w:val="00DE14F6"/>
    <w:rsid w:val="00DE1963"/>
    <w:rsid w:val="00DE1B48"/>
    <w:rsid w:val="00DE1E01"/>
    <w:rsid w:val="00DE1E1B"/>
    <w:rsid w:val="00DE2A26"/>
    <w:rsid w:val="00DE2ECE"/>
    <w:rsid w:val="00DE3090"/>
    <w:rsid w:val="00DE3472"/>
    <w:rsid w:val="00DE3480"/>
    <w:rsid w:val="00DE4166"/>
    <w:rsid w:val="00DE4AD8"/>
    <w:rsid w:val="00DE4B31"/>
    <w:rsid w:val="00DE4ED1"/>
    <w:rsid w:val="00DE5153"/>
    <w:rsid w:val="00DE5974"/>
    <w:rsid w:val="00DE5C16"/>
    <w:rsid w:val="00DE5C3C"/>
    <w:rsid w:val="00DE5F29"/>
    <w:rsid w:val="00DE6A12"/>
    <w:rsid w:val="00DE7B62"/>
    <w:rsid w:val="00DF085A"/>
    <w:rsid w:val="00DF0918"/>
    <w:rsid w:val="00DF0CDF"/>
    <w:rsid w:val="00DF17E6"/>
    <w:rsid w:val="00DF197F"/>
    <w:rsid w:val="00DF1F80"/>
    <w:rsid w:val="00DF21C5"/>
    <w:rsid w:val="00DF23D8"/>
    <w:rsid w:val="00DF2616"/>
    <w:rsid w:val="00DF2C40"/>
    <w:rsid w:val="00DF2FE1"/>
    <w:rsid w:val="00DF36DE"/>
    <w:rsid w:val="00DF39FD"/>
    <w:rsid w:val="00DF3BBD"/>
    <w:rsid w:val="00DF482B"/>
    <w:rsid w:val="00DF4BCC"/>
    <w:rsid w:val="00DF4DA2"/>
    <w:rsid w:val="00DF55AC"/>
    <w:rsid w:val="00DF5B33"/>
    <w:rsid w:val="00DF5D23"/>
    <w:rsid w:val="00DF695B"/>
    <w:rsid w:val="00DF6A49"/>
    <w:rsid w:val="00DF6DEE"/>
    <w:rsid w:val="00DF6F05"/>
    <w:rsid w:val="00DF7B11"/>
    <w:rsid w:val="00DF7DE4"/>
    <w:rsid w:val="00E00648"/>
    <w:rsid w:val="00E024CE"/>
    <w:rsid w:val="00E02692"/>
    <w:rsid w:val="00E02E57"/>
    <w:rsid w:val="00E02E9A"/>
    <w:rsid w:val="00E030CF"/>
    <w:rsid w:val="00E03CF0"/>
    <w:rsid w:val="00E046D4"/>
    <w:rsid w:val="00E04993"/>
    <w:rsid w:val="00E04A1B"/>
    <w:rsid w:val="00E04AF9"/>
    <w:rsid w:val="00E04F08"/>
    <w:rsid w:val="00E05747"/>
    <w:rsid w:val="00E06287"/>
    <w:rsid w:val="00E06745"/>
    <w:rsid w:val="00E06984"/>
    <w:rsid w:val="00E076EE"/>
    <w:rsid w:val="00E07930"/>
    <w:rsid w:val="00E106B3"/>
    <w:rsid w:val="00E11A0D"/>
    <w:rsid w:val="00E11CB2"/>
    <w:rsid w:val="00E12FB7"/>
    <w:rsid w:val="00E13573"/>
    <w:rsid w:val="00E135CF"/>
    <w:rsid w:val="00E13A3D"/>
    <w:rsid w:val="00E149BC"/>
    <w:rsid w:val="00E14C12"/>
    <w:rsid w:val="00E15309"/>
    <w:rsid w:val="00E15D56"/>
    <w:rsid w:val="00E15F48"/>
    <w:rsid w:val="00E15FD2"/>
    <w:rsid w:val="00E16874"/>
    <w:rsid w:val="00E179E0"/>
    <w:rsid w:val="00E202C0"/>
    <w:rsid w:val="00E205C3"/>
    <w:rsid w:val="00E20F25"/>
    <w:rsid w:val="00E2143E"/>
    <w:rsid w:val="00E2172C"/>
    <w:rsid w:val="00E21969"/>
    <w:rsid w:val="00E21BFD"/>
    <w:rsid w:val="00E223D0"/>
    <w:rsid w:val="00E2257B"/>
    <w:rsid w:val="00E2274E"/>
    <w:rsid w:val="00E229A9"/>
    <w:rsid w:val="00E232D1"/>
    <w:rsid w:val="00E23C8F"/>
    <w:rsid w:val="00E240F6"/>
    <w:rsid w:val="00E242D5"/>
    <w:rsid w:val="00E254CB"/>
    <w:rsid w:val="00E269E6"/>
    <w:rsid w:val="00E27273"/>
    <w:rsid w:val="00E273F5"/>
    <w:rsid w:val="00E27E75"/>
    <w:rsid w:val="00E3066C"/>
    <w:rsid w:val="00E3070D"/>
    <w:rsid w:val="00E30AF6"/>
    <w:rsid w:val="00E30E3A"/>
    <w:rsid w:val="00E3216B"/>
    <w:rsid w:val="00E32480"/>
    <w:rsid w:val="00E32634"/>
    <w:rsid w:val="00E326BA"/>
    <w:rsid w:val="00E32BA4"/>
    <w:rsid w:val="00E32C1A"/>
    <w:rsid w:val="00E33034"/>
    <w:rsid w:val="00E337B7"/>
    <w:rsid w:val="00E33C26"/>
    <w:rsid w:val="00E3449F"/>
    <w:rsid w:val="00E34EB7"/>
    <w:rsid w:val="00E35547"/>
    <w:rsid w:val="00E35D89"/>
    <w:rsid w:val="00E361D0"/>
    <w:rsid w:val="00E36450"/>
    <w:rsid w:val="00E37500"/>
    <w:rsid w:val="00E375CA"/>
    <w:rsid w:val="00E3769E"/>
    <w:rsid w:val="00E40B0F"/>
    <w:rsid w:val="00E40B8C"/>
    <w:rsid w:val="00E41B44"/>
    <w:rsid w:val="00E41C08"/>
    <w:rsid w:val="00E41E5B"/>
    <w:rsid w:val="00E41E5C"/>
    <w:rsid w:val="00E42E13"/>
    <w:rsid w:val="00E43B79"/>
    <w:rsid w:val="00E43C35"/>
    <w:rsid w:val="00E43CDF"/>
    <w:rsid w:val="00E440F0"/>
    <w:rsid w:val="00E4455D"/>
    <w:rsid w:val="00E4484F"/>
    <w:rsid w:val="00E45057"/>
    <w:rsid w:val="00E4531C"/>
    <w:rsid w:val="00E4584A"/>
    <w:rsid w:val="00E468D0"/>
    <w:rsid w:val="00E47116"/>
    <w:rsid w:val="00E474E9"/>
    <w:rsid w:val="00E4788D"/>
    <w:rsid w:val="00E50027"/>
    <w:rsid w:val="00E50113"/>
    <w:rsid w:val="00E5019A"/>
    <w:rsid w:val="00E50CCA"/>
    <w:rsid w:val="00E50F5C"/>
    <w:rsid w:val="00E51071"/>
    <w:rsid w:val="00E5167C"/>
    <w:rsid w:val="00E51F30"/>
    <w:rsid w:val="00E52440"/>
    <w:rsid w:val="00E5249A"/>
    <w:rsid w:val="00E52BCE"/>
    <w:rsid w:val="00E531FF"/>
    <w:rsid w:val="00E532C3"/>
    <w:rsid w:val="00E53E90"/>
    <w:rsid w:val="00E54EC9"/>
    <w:rsid w:val="00E54F89"/>
    <w:rsid w:val="00E55201"/>
    <w:rsid w:val="00E56268"/>
    <w:rsid w:val="00E562DA"/>
    <w:rsid w:val="00E568F2"/>
    <w:rsid w:val="00E56B8B"/>
    <w:rsid w:val="00E56E11"/>
    <w:rsid w:val="00E56E13"/>
    <w:rsid w:val="00E571B9"/>
    <w:rsid w:val="00E577B0"/>
    <w:rsid w:val="00E577E1"/>
    <w:rsid w:val="00E57844"/>
    <w:rsid w:val="00E607A0"/>
    <w:rsid w:val="00E61457"/>
    <w:rsid w:val="00E61496"/>
    <w:rsid w:val="00E623E8"/>
    <w:rsid w:val="00E637BD"/>
    <w:rsid w:val="00E6455B"/>
    <w:rsid w:val="00E64575"/>
    <w:rsid w:val="00E64BC0"/>
    <w:rsid w:val="00E65626"/>
    <w:rsid w:val="00E6573B"/>
    <w:rsid w:val="00E6695E"/>
    <w:rsid w:val="00E66B82"/>
    <w:rsid w:val="00E67852"/>
    <w:rsid w:val="00E679F1"/>
    <w:rsid w:val="00E67A36"/>
    <w:rsid w:val="00E67CED"/>
    <w:rsid w:val="00E67D04"/>
    <w:rsid w:val="00E7054E"/>
    <w:rsid w:val="00E70BBD"/>
    <w:rsid w:val="00E70CAC"/>
    <w:rsid w:val="00E7235E"/>
    <w:rsid w:val="00E72808"/>
    <w:rsid w:val="00E7353D"/>
    <w:rsid w:val="00E738A6"/>
    <w:rsid w:val="00E73B21"/>
    <w:rsid w:val="00E73C13"/>
    <w:rsid w:val="00E73F34"/>
    <w:rsid w:val="00E759B9"/>
    <w:rsid w:val="00E75C14"/>
    <w:rsid w:val="00E75F95"/>
    <w:rsid w:val="00E76AEF"/>
    <w:rsid w:val="00E76DA8"/>
    <w:rsid w:val="00E77033"/>
    <w:rsid w:val="00E800D5"/>
    <w:rsid w:val="00E802AA"/>
    <w:rsid w:val="00E806B9"/>
    <w:rsid w:val="00E8095C"/>
    <w:rsid w:val="00E80AB6"/>
    <w:rsid w:val="00E81449"/>
    <w:rsid w:val="00E815BF"/>
    <w:rsid w:val="00E815CE"/>
    <w:rsid w:val="00E8177D"/>
    <w:rsid w:val="00E81F2F"/>
    <w:rsid w:val="00E82165"/>
    <w:rsid w:val="00E825E9"/>
    <w:rsid w:val="00E82B1D"/>
    <w:rsid w:val="00E83C51"/>
    <w:rsid w:val="00E83EFE"/>
    <w:rsid w:val="00E84258"/>
    <w:rsid w:val="00E842B8"/>
    <w:rsid w:val="00E84434"/>
    <w:rsid w:val="00E84533"/>
    <w:rsid w:val="00E8467F"/>
    <w:rsid w:val="00E8498E"/>
    <w:rsid w:val="00E84A7A"/>
    <w:rsid w:val="00E85060"/>
    <w:rsid w:val="00E864C7"/>
    <w:rsid w:val="00E865B1"/>
    <w:rsid w:val="00E866B1"/>
    <w:rsid w:val="00E86D83"/>
    <w:rsid w:val="00E87620"/>
    <w:rsid w:val="00E87856"/>
    <w:rsid w:val="00E9013F"/>
    <w:rsid w:val="00E90B89"/>
    <w:rsid w:val="00E90DB2"/>
    <w:rsid w:val="00E91156"/>
    <w:rsid w:val="00E91469"/>
    <w:rsid w:val="00E915CF"/>
    <w:rsid w:val="00E9178E"/>
    <w:rsid w:val="00E92503"/>
    <w:rsid w:val="00E926CA"/>
    <w:rsid w:val="00E9294F"/>
    <w:rsid w:val="00E92FB2"/>
    <w:rsid w:val="00E93C10"/>
    <w:rsid w:val="00E948B4"/>
    <w:rsid w:val="00E94A15"/>
    <w:rsid w:val="00E953AC"/>
    <w:rsid w:val="00E954E4"/>
    <w:rsid w:val="00E95847"/>
    <w:rsid w:val="00E95957"/>
    <w:rsid w:val="00E969F8"/>
    <w:rsid w:val="00E9708A"/>
    <w:rsid w:val="00E97F75"/>
    <w:rsid w:val="00EA05B6"/>
    <w:rsid w:val="00EA09E7"/>
    <w:rsid w:val="00EA0B29"/>
    <w:rsid w:val="00EA2014"/>
    <w:rsid w:val="00EA27CE"/>
    <w:rsid w:val="00EA2972"/>
    <w:rsid w:val="00EA2A8E"/>
    <w:rsid w:val="00EA2E76"/>
    <w:rsid w:val="00EA319E"/>
    <w:rsid w:val="00EA4080"/>
    <w:rsid w:val="00EA4348"/>
    <w:rsid w:val="00EA43AF"/>
    <w:rsid w:val="00EA43F7"/>
    <w:rsid w:val="00EA4A5D"/>
    <w:rsid w:val="00EA4D0E"/>
    <w:rsid w:val="00EA4EEC"/>
    <w:rsid w:val="00EA5882"/>
    <w:rsid w:val="00EA6102"/>
    <w:rsid w:val="00EA61B7"/>
    <w:rsid w:val="00EA6581"/>
    <w:rsid w:val="00EA75EF"/>
    <w:rsid w:val="00EB0049"/>
    <w:rsid w:val="00EB0721"/>
    <w:rsid w:val="00EB1240"/>
    <w:rsid w:val="00EB16E7"/>
    <w:rsid w:val="00EB1ADE"/>
    <w:rsid w:val="00EB1DC0"/>
    <w:rsid w:val="00EB1F46"/>
    <w:rsid w:val="00EB33A6"/>
    <w:rsid w:val="00EB36A7"/>
    <w:rsid w:val="00EB43C4"/>
    <w:rsid w:val="00EB4511"/>
    <w:rsid w:val="00EB4802"/>
    <w:rsid w:val="00EB52AF"/>
    <w:rsid w:val="00EB5780"/>
    <w:rsid w:val="00EB5934"/>
    <w:rsid w:val="00EB5B5E"/>
    <w:rsid w:val="00EB6363"/>
    <w:rsid w:val="00EB6BD5"/>
    <w:rsid w:val="00EB6C10"/>
    <w:rsid w:val="00EB6C26"/>
    <w:rsid w:val="00EB70BD"/>
    <w:rsid w:val="00EB7566"/>
    <w:rsid w:val="00EB7BE2"/>
    <w:rsid w:val="00EC0244"/>
    <w:rsid w:val="00EC07F1"/>
    <w:rsid w:val="00EC0B17"/>
    <w:rsid w:val="00EC0F80"/>
    <w:rsid w:val="00EC160F"/>
    <w:rsid w:val="00EC1AD3"/>
    <w:rsid w:val="00EC1EBF"/>
    <w:rsid w:val="00EC1F76"/>
    <w:rsid w:val="00EC236E"/>
    <w:rsid w:val="00EC2B48"/>
    <w:rsid w:val="00EC2B74"/>
    <w:rsid w:val="00EC2D37"/>
    <w:rsid w:val="00EC3A3D"/>
    <w:rsid w:val="00EC3ACA"/>
    <w:rsid w:val="00EC3E0E"/>
    <w:rsid w:val="00EC471B"/>
    <w:rsid w:val="00EC48CD"/>
    <w:rsid w:val="00EC4B70"/>
    <w:rsid w:val="00EC4DF6"/>
    <w:rsid w:val="00EC63E8"/>
    <w:rsid w:val="00EC65F3"/>
    <w:rsid w:val="00EC6D5C"/>
    <w:rsid w:val="00EC741C"/>
    <w:rsid w:val="00EC7688"/>
    <w:rsid w:val="00EC78CB"/>
    <w:rsid w:val="00EC7E4C"/>
    <w:rsid w:val="00ED0809"/>
    <w:rsid w:val="00ED0A65"/>
    <w:rsid w:val="00ED0ECA"/>
    <w:rsid w:val="00ED1160"/>
    <w:rsid w:val="00ED118F"/>
    <w:rsid w:val="00ED17CB"/>
    <w:rsid w:val="00ED185C"/>
    <w:rsid w:val="00ED266E"/>
    <w:rsid w:val="00ED304B"/>
    <w:rsid w:val="00ED306D"/>
    <w:rsid w:val="00ED3231"/>
    <w:rsid w:val="00ED3EDB"/>
    <w:rsid w:val="00ED4210"/>
    <w:rsid w:val="00ED4533"/>
    <w:rsid w:val="00ED45FC"/>
    <w:rsid w:val="00ED544B"/>
    <w:rsid w:val="00ED55F8"/>
    <w:rsid w:val="00ED60D9"/>
    <w:rsid w:val="00ED61FD"/>
    <w:rsid w:val="00ED6E3E"/>
    <w:rsid w:val="00ED706F"/>
    <w:rsid w:val="00ED752F"/>
    <w:rsid w:val="00ED7673"/>
    <w:rsid w:val="00ED7840"/>
    <w:rsid w:val="00EE0073"/>
    <w:rsid w:val="00EE0597"/>
    <w:rsid w:val="00EE0768"/>
    <w:rsid w:val="00EE081F"/>
    <w:rsid w:val="00EE117A"/>
    <w:rsid w:val="00EE297A"/>
    <w:rsid w:val="00EE2EA1"/>
    <w:rsid w:val="00EE31FE"/>
    <w:rsid w:val="00EE3531"/>
    <w:rsid w:val="00EE36D1"/>
    <w:rsid w:val="00EE5004"/>
    <w:rsid w:val="00EE528C"/>
    <w:rsid w:val="00EE532D"/>
    <w:rsid w:val="00EE59CB"/>
    <w:rsid w:val="00EE5E39"/>
    <w:rsid w:val="00EE644F"/>
    <w:rsid w:val="00EE7CD6"/>
    <w:rsid w:val="00EE7EF5"/>
    <w:rsid w:val="00EF01A0"/>
    <w:rsid w:val="00EF02F5"/>
    <w:rsid w:val="00EF0477"/>
    <w:rsid w:val="00EF0D4C"/>
    <w:rsid w:val="00EF114E"/>
    <w:rsid w:val="00EF144D"/>
    <w:rsid w:val="00EF146B"/>
    <w:rsid w:val="00EF1638"/>
    <w:rsid w:val="00EF1FF4"/>
    <w:rsid w:val="00EF20E9"/>
    <w:rsid w:val="00EF26E4"/>
    <w:rsid w:val="00EF2C7D"/>
    <w:rsid w:val="00EF2CDF"/>
    <w:rsid w:val="00EF3245"/>
    <w:rsid w:val="00EF34B0"/>
    <w:rsid w:val="00EF3690"/>
    <w:rsid w:val="00EF438D"/>
    <w:rsid w:val="00EF48ED"/>
    <w:rsid w:val="00EF4A71"/>
    <w:rsid w:val="00EF4E7A"/>
    <w:rsid w:val="00EF51EA"/>
    <w:rsid w:val="00EF52D8"/>
    <w:rsid w:val="00EF53DD"/>
    <w:rsid w:val="00EF5B69"/>
    <w:rsid w:val="00EF5CF1"/>
    <w:rsid w:val="00EF68AF"/>
    <w:rsid w:val="00EF6DA9"/>
    <w:rsid w:val="00EF6F29"/>
    <w:rsid w:val="00EF702C"/>
    <w:rsid w:val="00EF717D"/>
    <w:rsid w:val="00EF75B2"/>
    <w:rsid w:val="00F00A46"/>
    <w:rsid w:val="00F00F13"/>
    <w:rsid w:val="00F01190"/>
    <w:rsid w:val="00F01A96"/>
    <w:rsid w:val="00F025D0"/>
    <w:rsid w:val="00F02A03"/>
    <w:rsid w:val="00F0346E"/>
    <w:rsid w:val="00F03B09"/>
    <w:rsid w:val="00F0420F"/>
    <w:rsid w:val="00F05437"/>
    <w:rsid w:val="00F06E0A"/>
    <w:rsid w:val="00F071E7"/>
    <w:rsid w:val="00F074E5"/>
    <w:rsid w:val="00F074F2"/>
    <w:rsid w:val="00F07616"/>
    <w:rsid w:val="00F07B6C"/>
    <w:rsid w:val="00F07F13"/>
    <w:rsid w:val="00F1090C"/>
    <w:rsid w:val="00F10AB9"/>
    <w:rsid w:val="00F10BD1"/>
    <w:rsid w:val="00F10D61"/>
    <w:rsid w:val="00F114F3"/>
    <w:rsid w:val="00F116C2"/>
    <w:rsid w:val="00F12C27"/>
    <w:rsid w:val="00F12F1D"/>
    <w:rsid w:val="00F132DA"/>
    <w:rsid w:val="00F13B4C"/>
    <w:rsid w:val="00F13BE1"/>
    <w:rsid w:val="00F144DE"/>
    <w:rsid w:val="00F14E25"/>
    <w:rsid w:val="00F14F33"/>
    <w:rsid w:val="00F1504F"/>
    <w:rsid w:val="00F158D0"/>
    <w:rsid w:val="00F159DE"/>
    <w:rsid w:val="00F16CA7"/>
    <w:rsid w:val="00F17608"/>
    <w:rsid w:val="00F17D4B"/>
    <w:rsid w:val="00F203EA"/>
    <w:rsid w:val="00F2108C"/>
    <w:rsid w:val="00F213C1"/>
    <w:rsid w:val="00F2146F"/>
    <w:rsid w:val="00F21902"/>
    <w:rsid w:val="00F21A26"/>
    <w:rsid w:val="00F21D5F"/>
    <w:rsid w:val="00F21F41"/>
    <w:rsid w:val="00F2216F"/>
    <w:rsid w:val="00F224F7"/>
    <w:rsid w:val="00F22FA1"/>
    <w:rsid w:val="00F234AA"/>
    <w:rsid w:val="00F237E0"/>
    <w:rsid w:val="00F23CD0"/>
    <w:rsid w:val="00F23DE9"/>
    <w:rsid w:val="00F23FD6"/>
    <w:rsid w:val="00F24377"/>
    <w:rsid w:val="00F2457A"/>
    <w:rsid w:val="00F2475D"/>
    <w:rsid w:val="00F24BC7"/>
    <w:rsid w:val="00F251B4"/>
    <w:rsid w:val="00F25572"/>
    <w:rsid w:val="00F255B5"/>
    <w:rsid w:val="00F25868"/>
    <w:rsid w:val="00F258B2"/>
    <w:rsid w:val="00F25F49"/>
    <w:rsid w:val="00F26309"/>
    <w:rsid w:val="00F26418"/>
    <w:rsid w:val="00F26792"/>
    <w:rsid w:val="00F26919"/>
    <w:rsid w:val="00F26C29"/>
    <w:rsid w:val="00F27574"/>
    <w:rsid w:val="00F27E85"/>
    <w:rsid w:val="00F30351"/>
    <w:rsid w:val="00F30B2B"/>
    <w:rsid w:val="00F310B9"/>
    <w:rsid w:val="00F312A8"/>
    <w:rsid w:val="00F31911"/>
    <w:rsid w:val="00F31C85"/>
    <w:rsid w:val="00F32074"/>
    <w:rsid w:val="00F32859"/>
    <w:rsid w:val="00F32A97"/>
    <w:rsid w:val="00F3303C"/>
    <w:rsid w:val="00F33491"/>
    <w:rsid w:val="00F33723"/>
    <w:rsid w:val="00F3389A"/>
    <w:rsid w:val="00F33D90"/>
    <w:rsid w:val="00F3440E"/>
    <w:rsid w:val="00F3447F"/>
    <w:rsid w:val="00F34C7C"/>
    <w:rsid w:val="00F35276"/>
    <w:rsid w:val="00F3570C"/>
    <w:rsid w:val="00F35A61"/>
    <w:rsid w:val="00F362EE"/>
    <w:rsid w:val="00F3649F"/>
    <w:rsid w:val="00F368D6"/>
    <w:rsid w:val="00F36A8B"/>
    <w:rsid w:val="00F36BFA"/>
    <w:rsid w:val="00F36CDE"/>
    <w:rsid w:val="00F37124"/>
    <w:rsid w:val="00F3759D"/>
    <w:rsid w:val="00F3794D"/>
    <w:rsid w:val="00F4004F"/>
    <w:rsid w:val="00F4077E"/>
    <w:rsid w:val="00F4084C"/>
    <w:rsid w:val="00F4179F"/>
    <w:rsid w:val="00F4191A"/>
    <w:rsid w:val="00F4193A"/>
    <w:rsid w:val="00F42AE9"/>
    <w:rsid w:val="00F42B1D"/>
    <w:rsid w:val="00F432B9"/>
    <w:rsid w:val="00F43327"/>
    <w:rsid w:val="00F4392B"/>
    <w:rsid w:val="00F43B48"/>
    <w:rsid w:val="00F440C5"/>
    <w:rsid w:val="00F448F9"/>
    <w:rsid w:val="00F45A78"/>
    <w:rsid w:val="00F46EC4"/>
    <w:rsid w:val="00F4781B"/>
    <w:rsid w:val="00F47EAE"/>
    <w:rsid w:val="00F5077A"/>
    <w:rsid w:val="00F5087D"/>
    <w:rsid w:val="00F51131"/>
    <w:rsid w:val="00F51528"/>
    <w:rsid w:val="00F51740"/>
    <w:rsid w:val="00F5185C"/>
    <w:rsid w:val="00F51C85"/>
    <w:rsid w:val="00F522D0"/>
    <w:rsid w:val="00F52737"/>
    <w:rsid w:val="00F52CB3"/>
    <w:rsid w:val="00F52E63"/>
    <w:rsid w:val="00F52F8A"/>
    <w:rsid w:val="00F54269"/>
    <w:rsid w:val="00F550BA"/>
    <w:rsid w:val="00F556B6"/>
    <w:rsid w:val="00F55AA4"/>
    <w:rsid w:val="00F55BA1"/>
    <w:rsid w:val="00F561A6"/>
    <w:rsid w:val="00F56477"/>
    <w:rsid w:val="00F565BA"/>
    <w:rsid w:val="00F56E2F"/>
    <w:rsid w:val="00F5745B"/>
    <w:rsid w:val="00F578EF"/>
    <w:rsid w:val="00F601CB"/>
    <w:rsid w:val="00F60356"/>
    <w:rsid w:val="00F60CF6"/>
    <w:rsid w:val="00F60DBB"/>
    <w:rsid w:val="00F61497"/>
    <w:rsid w:val="00F61989"/>
    <w:rsid w:val="00F620C0"/>
    <w:rsid w:val="00F62DF3"/>
    <w:rsid w:val="00F6318F"/>
    <w:rsid w:val="00F63A39"/>
    <w:rsid w:val="00F652C7"/>
    <w:rsid w:val="00F652E4"/>
    <w:rsid w:val="00F655C4"/>
    <w:rsid w:val="00F659B5"/>
    <w:rsid w:val="00F66456"/>
    <w:rsid w:val="00F66B43"/>
    <w:rsid w:val="00F671FF"/>
    <w:rsid w:val="00F6766A"/>
    <w:rsid w:val="00F67EDC"/>
    <w:rsid w:val="00F71167"/>
    <w:rsid w:val="00F715CA"/>
    <w:rsid w:val="00F71B0D"/>
    <w:rsid w:val="00F71E9F"/>
    <w:rsid w:val="00F71EAF"/>
    <w:rsid w:val="00F729B1"/>
    <w:rsid w:val="00F72D7C"/>
    <w:rsid w:val="00F73486"/>
    <w:rsid w:val="00F7366D"/>
    <w:rsid w:val="00F73C05"/>
    <w:rsid w:val="00F74657"/>
    <w:rsid w:val="00F758C9"/>
    <w:rsid w:val="00F75ACB"/>
    <w:rsid w:val="00F75B72"/>
    <w:rsid w:val="00F75D56"/>
    <w:rsid w:val="00F75D6D"/>
    <w:rsid w:val="00F75EFC"/>
    <w:rsid w:val="00F762FE"/>
    <w:rsid w:val="00F763AD"/>
    <w:rsid w:val="00F76C69"/>
    <w:rsid w:val="00F76F7F"/>
    <w:rsid w:val="00F77D58"/>
    <w:rsid w:val="00F806F0"/>
    <w:rsid w:val="00F80CBB"/>
    <w:rsid w:val="00F80D5A"/>
    <w:rsid w:val="00F80E9D"/>
    <w:rsid w:val="00F80F60"/>
    <w:rsid w:val="00F81208"/>
    <w:rsid w:val="00F814C2"/>
    <w:rsid w:val="00F81B73"/>
    <w:rsid w:val="00F81C94"/>
    <w:rsid w:val="00F81E22"/>
    <w:rsid w:val="00F820D1"/>
    <w:rsid w:val="00F820EF"/>
    <w:rsid w:val="00F824FD"/>
    <w:rsid w:val="00F82AC5"/>
    <w:rsid w:val="00F82B08"/>
    <w:rsid w:val="00F82C05"/>
    <w:rsid w:val="00F82C4F"/>
    <w:rsid w:val="00F82D22"/>
    <w:rsid w:val="00F836D6"/>
    <w:rsid w:val="00F8380C"/>
    <w:rsid w:val="00F8390F"/>
    <w:rsid w:val="00F83A26"/>
    <w:rsid w:val="00F84024"/>
    <w:rsid w:val="00F846D0"/>
    <w:rsid w:val="00F84BAD"/>
    <w:rsid w:val="00F84FC4"/>
    <w:rsid w:val="00F8588E"/>
    <w:rsid w:val="00F858FD"/>
    <w:rsid w:val="00F8616B"/>
    <w:rsid w:val="00F863ED"/>
    <w:rsid w:val="00F869DE"/>
    <w:rsid w:val="00F86BC6"/>
    <w:rsid w:val="00F87333"/>
    <w:rsid w:val="00F87C48"/>
    <w:rsid w:val="00F9020A"/>
    <w:rsid w:val="00F905C5"/>
    <w:rsid w:val="00F90AEC"/>
    <w:rsid w:val="00F90D95"/>
    <w:rsid w:val="00F90E9B"/>
    <w:rsid w:val="00F91061"/>
    <w:rsid w:val="00F91778"/>
    <w:rsid w:val="00F91BD3"/>
    <w:rsid w:val="00F923E7"/>
    <w:rsid w:val="00F9246A"/>
    <w:rsid w:val="00F92ACE"/>
    <w:rsid w:val="00F92E98"/>
    <w:rsid w:val="00F93D6F"/>
    <w:rsid w:val="00F93FE8"/>
    <w:rsid w:val="00F941A7"/>
    <w:rsid w:val="00F945B2"/>
    <w:rsid w:val="00F94833"/>
    <w:rsid w:val="00F94B2E"/>
    <w:rsid w:val="00F950B0"/>
    <w:rsid w:val="00F95702"/>
    <w:rsid w:val="00F959FF"/>
    <w:rsid w:val="00F95D5A"/>
    <w:rsid w:val="00F95DC6"/>
    <w:rsid w:val="00F96117"/>
    <w:rsid w:val="00F96262"/>
    <w:rsid w:val="00F964FB"/>
    <w:rsid w:val="00F966D6"/>
    <w:rsid w:val="00F96864"/>
    <w:rsid w:val="00F96E6D"/>
    <w:rsid w:val="00F97C50"/>
    <w:rsid w:val="00FA0171"/>
    <w:rsid w:val="00FA0345"/>
    <w:rsid w:val="00FA037F"/>
    <w:rsid w:val="00FA0BB4"/>
    <w:rsid w:val="00FA1960"/>
    <w:rsid w:val="00FA2588"/>
    <w:rsid w:val="00FA2B11"/>
    <w:rsid w:val="00FA2B58"/>
    <w:rsid w:val="00FA4994"/>
    <w:rsid w:val="00FA4F39"/>
    <w:rsid w:val="00FA5235"/>
    <w:rsid w:val="00FA5F6F"/>
    <w:rsid w:val="00FA73D5"/>
    <w:rsid w:val="00FA7747"/>
    <w:rsid w:val="00FA7CE0"/>
    <w:rsid w:val="00FB03F6"/>
    <w:rsid w:val="00FB08AA"/>
    <w:rsid w:val="00FB0DA5"/>
    <w:rsid w:val="00FB0E39"/>
    <w:rsid w:val="00FB11A9"/>
    <w:rsid w:val="00FB25BD"/>
    <w:rsid w:val="00FB35EF"/>
    <w:rsid w:val="00FB3658"/>
    <w:rsid w:val="00FB3A8B"/>
    <w:rsid w:val="00FB3AD5"/>
    <w:rsid w:val="00FB3B3B"/>
    <w:rsid w:val="00FB3D57"/>
    <w:rsid w:val="00FB3FEF"/>
    <w:rsid w:val="00FB4621"/>
    <w:rsid w:val="00FB4831"/>
    <w:rsid w:val="00FB4A60"/>
    <w:rsid w:val="00FB5309"/>
    <w:rsid w:val="00FB669D"/>
    <w:rsid w:val="00FB6B03"/>
    <w:rsid w:val="00FB6D3A"/>
    <w:rsid w:val="00FB6ED5"/>
    <w:rsid w:val="00FB78C8"/>
    <w:rsid w:val="00FB79C3"/>
    <w:rsid w:val="00FC034B"/>
    <w:rsid w:val="00FC06C0"/>
    <w:rsid w:val="00FC127A"/>
    <w:rsid w:val="00FC18DF"/>
    <w:rsid w:val="00FC1974"/>
    <w:rsid w:val="00FC1ACE"/>
    <w:rsid w:val="00FC1B29"/>
    <w:rsid w:val="00FC1CCD"/>
    <w:rsid w:val="00FC1D89"/>
    <w:rsid w:val="00FC2ECD"/>
    <w:rsid w:val="00FC344A"/>
    <w:rsid w:val="00FC35B5"/>
    <w:rsid w:val="00FC376F"/>
    <w:rsid w:val="00FC413C"/>
    <w:rsid w:val="00FC4881"/>
    <w:rsid w:val="00FC5638"/>
    <w:rsid w:val="00FC59B7"/>
    <w:rsid w:val="00FC5F5C"/>
    <w:rsid w:val="00FC694F"/>
    <w:rsid w:val="00FC6E7F"/>
    <w:rsid w:val="00FC7232"/>
    <w:rsid w:val="00FC726A"/>
    <w:rsid w:val="00FC7D4D"/>
    <w:rsid w:val="00FC7DC3"/>
    <w:rsid w:val="00FD052D"/>
    <w:rsid w:val="00FD0617"/>
    <w:rsid w:val="00FD0643"/>
    <w:rsid w:val="00FD0A68"/>
    <w:rsid w:val="00FD0AD5"/>
    <w:rsid w:val="00FD0E8A"/>
    <w:rsid w:val="00FD1019"/>
    <w:rsid w:val="00FD1774"/>
    <w:rsid w:val="00FD1A2A"/>
    <w:rsid w:val="00FD20B2"/>
    <w:rsid w:val="00FD24D5"/>
    <w:rsid w:val="00FD2501"/>
    <w:rsid w:val="00FD2A72"/>
    <w:rsid w:val="00FD34FD"/>
    <w:rsid w:val="00FD3572"/>
    <w:rsid w:val="00FD4400"/>
    <w:rsid w:val="00FD4529"/>
    <w:rsid w:val="00FD4763"/>
    <w:rsid w:val="00FD4966"/>
    <w:rsid w:val="00FD4DE1"/>
    <w:rsid w:val="00FD4F9D"/>
    <w:rsid w:val="00FD5061"/>
    <w:rsid w:val="00FD5B0D"/>
    <w:rsid w:val="00FD6ED0"/>
    <w:rsid w:val="00FD6F4A"/>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377"/>
    <w:rsid w:val="00FE68FA"/>
    <w:rsid w:val="00FE70A2"/>
    <w:rsid w:val="00FE72EB"/>
    <w:rsid w:val="00FE7666"/>
    <w:rsid w:val="00FE76CB"/>
    <w:rsid w:val="00FE79F8"/>
    <w:rsid w:val="00FF00A8"/>
    <w:rsid w:val="00FF01A5"/>
    <w:rsid w:val="00FF05D7"/>
    <w:rsid w:val="00FF0DC1"/>
    <w:rsid w:val="00FF154A"/>
    <w:rsid w:val="00FF1591"/>
    <w:rsid w:val="00FF1767"/>
    <w:rsid w:val="00FF271E"/>
    <w:rsid w:val="00FF35D3"/>
    <w:rsid w:val="00FF3612"/>
    <w:rsid w:val="00FF3786"/>
    <w:rsid w:val="00FF4523"/>
    <w:rsid w:val="00FF461E"/>
    <w:rsid w:val="00FF46FE"/>
    <w:rsid w:val="00FF58A9"/>
    <w:rsid w:val="00FF5B31"/>
    <w:rsid w:val="00FF602A"/>
    <w:rsid w:val="00FF6A30"/>
    <w:rsid w:val="00FF6A42"/>
    <w:rsid w:val="00FF6CBA"/>
    <w:rsid w:val="00FF7169"/>
    <w:rsid w:val="00FF7332"/>
    <w:rsid w:val="00FF7830"/>
    <w:rsid w:val="01D30787"/>
    <w:rsid w:val="022B6D1F"/>
    <w:rsid w:val="030F390C"/>
    <w:rsid w:val="05BB42A5"/>
    <w:rsid w:val="05C164A1"/>
    <w:rsid w:val="05D00B49"/>
    <w:rsid w:val="072C3F13"/>
    <w:rsid w:val="08D334F3"/>
    <w:rsid w:val="08D76A0F"/>
    <w:rsid w:val="0AC74067"/>
    <w:rsid w:val="0B302CD3"/>
    <w:rsid w:val="0B633415"/>
    <w:rsid w:val="0E162F64"/>
    <w:rsid w:val="0FB90953"/>
    <w:rsid w:val="131845A6"/>
    <w:rsid w:val="13716F07"/>
    <w:rsid w:val="17836BED"/>
    <w:rsid w:val="184429D8"/>
    <w:rsid w:val="19FB145B"/>
    <w:rsid w:val="1A223DAB"/>
    <w:rsid w:val="1DDF6020"/>
    <w:rsid w:val="1E544E3F"/>
    <w:rsid w:val="1F6937DE"/>
    <w:rsid w:val="1FF67686"/>
    <w:rsid w:val="20DB7484"/>
    <w:rsid w:val="21025237"/>
    <w:rsid w:val="213C1C57"/>
    <w:rsid w:val="2161457C"/>
    <w:rsid w:val="234C55BD"/>
    <w:rsid w:val="25A05047"/>
    <w:rsid w:val="266C482C"/>
    <w:rsid w:val="2714107F"/>
    <w:rsid w:val="282F5357"/>
    <w:rsid w:val="28A1418D"/>
    <w:rsid w:val="2A2B2260"/>
    <w:rsid w:val="2A2E04FE"/>
    <w:rsid w:val="2A6740E0"/>
    <w:rsid w:val="2A8C41BE"/>
    <w:rsid w:val="2BB91700"/>
    <w:rsid w:val="2C336E4B"/>
    <w:rsid w:val="2CF869DA"/>
    <w:rsid w:val="2D891AB4"/>
    <w:rsid w:val="2E421AB0"/>
    <w:rsid w:val="2FE20833"/>
    <w:rsid w:val="30CF232E"/>
    <w:rsid w:val="31AC516C"/>
    <w:rsid w:val="341B222F"/>
    <w:rsid w:val="35492DCC"/>
    <w:rsid w:val="3692223B"/>
    <w:rsid w:val="37B57BB5"/>
    <w:rsid w:val="389204EB"/>
    <w:rsid w:val="38C9174B"/>
    <w:rsid w:val="38CA1FBC"/>
    <w:rsid w:val="3A54454A"/>
    <w:rsid w:val="3B5F6E45"/>
    <w:rsid w:val="3BA14BAE"/>
    <w:rsid w:val="3C9D2975"/>
    <w:rsid w:val="3FA9561F"/>
    <w:rsid w:val="40081587"/>
    <w:rsid w:val="41333370"/>
    <w:rsid w:val="419473E9"/>
    <w:rsid w:val="42B1335E"/>
    <w:rsid w:val="4333584D"/>
    <w:rsid w:val="46FB7186"/>
    <w:rsid w:val="4968790B"/>
    <w:rsid w:val="49C17EEF"/>
    <w:rsid w:val="4A151688"/>
    <w:rsid w:val="4BD172B5"/>
    <w:rsid w:val="4DB0730C"/>
    <w:rsid w:val="4DDA1D67"/>
    <w:rsid w:val="4F8C43BA"/>
    <w:rsid w:val="502C66B4"/>
    <w:rsid w:val="5337718F"/>
    <w:rsid w:val="533F1E61"/>
    <w:rsid w:val="55095546"/>
    <w:rsid w:val="554563D9"/>
    <w:rsid w:val="56C97E6A"/>
    <w:rsid w:val="5A596ED6"/>
    <w:rsid w:val="5DDB05FF"/>
    <w:rsid w:val="5F755F4C"/>
    <w:rsid w:val="60B94851"/>
    <w:rsid w:val="63723FCD"/>
    <w:rsid w:val="6560301C"/>
    <w:rsid w:val="66992C04"/>
    <w:rsid w:val="685461A5"/>
    <w:rsid w:val="685A261F"/>
    <w:rsid w:val="6A5B17A9"/>
    <w:rsid w:val="6B6F431B"/>
    <w:rsid w:val="6DB31AE5"/>
    <w:rsid w:val="6F832B42"/>
    <w:rsid w:val="6FA3038E"/>
    <w:rsid w:val="6FD37B87"/>
    <w:rsid w:val="75F20412"/>
    <w:rsid w:val="777F4BCA"/>
    <w:rsid w:val="799A648F"/>
    <w:rsid w:val="7A1D79F6"/>
    <w:rsid w:val="7A6A2CC3"/>
    <w:rsid w:val="7B494974"/>
    <w:rsid w:val="7B7A3121"/>
    <w:rsid w:val="7BDC361F"/>
    <w:rsid w:val="7CE52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99"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link w:val="67"/>
    <w:qFormat/>
    <w:uiPriority w:val="0"/>
    <w:pPr>
      <w:keepNext/>
      <w:keepLines/>
      <w:spacing w:before="340" w:after="330" w:line="576" w:lineRule="auto"/>
      <w:outlineLvl w:val="0"/>
    </w:pPr>
    <w:rPr>
      <w:b/>
      <w:kern w:val="44"/>
      <w:sz w:val="44"/>
    </w:rPr>
  </w:style>
  <w:style w:type="paragraph" w:styleId="4">
    <w:name w:val="heading 2"/>
    <w:basedOn w:val="1"/>
    <w:next w:val="1"/>
    <w:link w:val="68"/>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5">
    <w:name w:val="heading 3"/>
    <w:basedOn w:val="1"/>
    <w:next w:val="1"/>
    <w:link w:val="69"/>
    <w:qFormat/>
    <w:uiPriority w:val="0"/>
    <w:pPr>
      <w:keepNext/>
      <w:keepLines/>
      <w:spacing w:before="260" w:after="260" w:line="413" w:lineRule="auto"/>
      <w:outlineLvl w:val="2"/>
    </w:pPr>
    <w:rPr>
      <w:b/>
      <w:bCs/>
      <w:sz w:val="32"/>
      <w:szCs w:val="32"/>
    </w:rPr>
  </w:style>
  <w:style w:type="paragraph" w:styleId="6">
    <w:name w:val="heading 4"/>
    <w:next w:val="1"/>
    <w:link w:val="70"/>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7">
    <w:name w:val="heading 5"/>
    <w:basedOn w:val="1"/>
    <w:next w:val="1"/>
    <w:link w:val="159"/>
    <w:qFormat/>
    <w:uiPriority w:val="0"/>
    <w:pPr>
      <w:keepNext/>
      <w:keepLines/>
      <w:autoSpaceDE/>
      <w:autoSpaceDN/>
      <w:adjustRightInd/>
      <w:spacing w:before="280" w:after="290" w:line="372" w:lineRule="auto"/>
      <w:outlineLvl w:val="4"/>
    </w:pPr>
    <w:rPr>
      <w:b/>
      <w:bCs/>
      <w:kern w:val="2"/>
      <w:sz w:val="28"/>
      <w:szCs w:val="28"/>
    </w:rPr>
  </w:style>
  <w:style w:type="paragraph" w:styleId="8">
    <w:name w:val="heading 6"/>
    <w:basedOn w:val="1"/>
    <w:next w:val="9"/>
    <w:link w:val="160"/>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10">
    <w:name w:val="heading 7"/>
    <w:basedOn w:val="1"/>
    <w:next w:val="1"/>
    <w:link w:val="161"/>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1">
    <w:name w:val="heading 8"/>
    <w:basedOn w:val="1"/>
    <w:next w:val="1"/>
    <w:link w:val="162"/>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2">
    <w:name w:val="heading 9"/>
    <w:basedOn w:val="1"/>
    <w:next w:val="1"/>
    <w:link w:val="163"/>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qFormat/>
    <w:uiPriority w:val="0"/>
    <w:pPr>
      <w:autoSpaceDE/>
      <w:autoSpaceDN/>
      <w:adjustRightInd/>
      <w:spacing w:after="120"/>
      <w:ind w:left="420" w:leftChars="200" w:firstLine="420"/>
    </w:pPr>
    <w:rPr>
      <w:rFonts w:ascii="Calibri" w:hAnsi="Calibri" w:cs="宋体"/>
      <w:color w:val="auto"/>
      <w:kern w:val="2"/>
      <w:szCs w:val="24"/>
    </w:rPr>
  </w:style>
  <w:style w:type="paragraph" w:styleId="9">
    <w:name w:val="Normal Indent"/>
    <w:basedOn w:val="1"/>
    <w:link w:val="79"/>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13">
    <w:name w:val="toc 7"/>
    <w:basedOn w:val="1"/>
    <w:next w:val="1"/>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4">
    <w:name w:val="List Number 2"/>
    <w:basedOn w:val="1"/>
    <w:qFormat/>
    <w:uiPriority w:val="0"/>
    <w:pPr>
      <w:widowControl/>
      <w:tabs>
        <w:tab w:val="left" w:pos="820"/>
      </w:tabs>
      <w:autoSpaceDE/>
      <w:autoSpaceDN/>
      <w:adjustRightInd/>
      <w:spacing w:afterLines="50"/>
      <w:ind w:left="988" w:hanging="420"/>
      <w:jc w:val="left"/>
    </w:pPr>
    <w:rPr>
      <w:color w:val="auto"/>
      <w:sz w:val="24"/>
      <w:szCs w:val="20"/>
    </w:rPr>
  </w:style>
  <w:style w:type="paragraph" w:styleId="15">
    <w:name w:val="table of authorities"/>
    <w:basedOn w:val="1"/>
    <w:next w:val="1"/>
    <w:qFormat/>
    <w:uiPriority w:val="0"/>
    <w:pPr>
      <w:autoSpaceDE/>
      <w:autoSpaceDN/>
      <w:adjustRightInd/>
      <w:ind w:left="420" w:leftChars="200"/>
    </w:pPr>
    <w:rPr>
      <w:rFonts w:ascii="Calibri" w:hAnsi="Calibri"/>
      <w:color w:val="auto"/>
      <w:kern w:val="2"/>
      <w:szCs w:val="24"/>
    </w:rPr>
  </w:style>
  <w:style w:type="paragraph" w:styleId="16">
    <w:name w:val="List Number"/>
    <w:basedOn w:val="1"/>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7">
    <w:name w:val="caption"/>
    <w:basedOn w:val="1"/>
    <w:next w:val="1"/>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8">
    <w:name w:val="index 5"/>
    <w:basedOn w:val="1"/>
    <w:next w:val="1"/>
    <w:qFormat/>
    <w:uiPriority w:val="99"/>
    <w:pPr>
      <w:ind w:left="800" w:leftChars="800"/>
    </w:pPr>
  </w:style>
  <w:style w:type="paragraph" w:styleId="19">
    <w:name w:val="Document Map"/>
    <w:basedOn w:val="1"/>
    <w:link w:val="113"/>
    <w:qFormat/>
    <w:uiPriority w:val="0"/>
    <w:pPr>
      <w:shd w:val="clear" w:color="auto" w:fill="000080"/>
      <w:autoSpaceDE/>
      <w:autoSpaceDN/>
      <w:adjustRightInd/>
    </w:pPr>
    <w:rPr>
      <w:color w:val="auto"/>
      <w:kern w:val="2"/>
      <w:szCs w:val="24"/>
    </w:rPr>
  </w:style>
  <w:style w:type="paragraph" w:styleId="20">
    <w:name w:val="annotation text"/>
    <w:basedOn w:val="1"/>
    <w:link w:val="108"/>
    <w:unhideWhenUsed/>
    <w:qFormat/>
    <w:uiPriority w:val="0"/>
    <w:pPr>
      <w:jc w:val="left"/>
    </w:pPr>
    <w:rPr>
      <w:rFonts w:ascii="仿宋" w:hAnsi="仿宋" w:eastAsia="仿宋"/>
    </w:rPr>
  </w:style>
  <w:style w:type="paragraph" w:styleId="21">
    <w:name w:val="Body Text 3"/>
    <w:basedOn w:val="1"/>
    <w:link w:val="154"/>
    <w:unhideWhenUsed/>
    <w:qFormat/>
    <w:uiPriority w:val="0"/>
    <w:pPr>
      <w:spacing w:after="120"/>
    </w:pPr>
    <w:rPr>
      <w:sz w:val="16"/>
      <w:szCs w:val="16"/>
    </w:rPr>
  </w:style>
  <w:style w:type="paragraph" w:styleId="22">
    <w:name w:val="Body Text"/>
    <w:basedOn w:val="1"/>
    <w:link w:val="121"/>
    <w:qFormat/>
    <w:uiPriority w:val="0"/>
    <w:pPr>
      <w:spacing w:after="120"/>
    </w:pPr>
  </w:style>
  <w:style w:type="paragraph" w:styleId="23">
    <w:name w:val="List Number 3"/>
    <w:basedOn w:val="1"/>
    <w:qFormat/>
    <w:uiPriority w:val="0"/>
    <w:pPr>
      <w:numPr>
        <w:ilvl w:val="0"/>
        <w:numId w:val="2"/>
      </w:numPr>
    </w:pPr>
  </w:style>
  <w:style w:type="paragraph" w:styleId="24">
    <w:name w:val="toc 5"/>
    <w:basedOn w:val="1"/>
    <w:next w:val="1"/>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5">
    <w:name w:val="toc 3"/>
    <w:basedOn w:val="1"/>
    <w:next w:val="1"/>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6">
    <w:name w:val="Plain Text"/>
    <w:basedOn w:val="1"/>
    <w:link w:val="97"/>
    <w:qFormat/>
    <w:uiPriority w:val="0"/>
    <w:pPr>
      <w:autoSpaceDE/>
      <w:autoSpaceDN/>
      <w:adjustRightInd/>
    </w:pPr>
    <w:rPr>
      <w:rFonts w:asciiTheme="minorHAnsi" w:hAnsiTheme="minorHAnsi" w:eastAsiaTheme="minorEastAsia" w:cstheme="minorBidi"/>
      <w:color w:val="auto"/>
      <w:kern w:val="2"/>
      <w:sz w:val="24"/>
      <w:szCs w:val="22"/>
    </w:rPr>
  </w:style>
  <w:style w:type="paragraph" w:styleId="27">
    <w:name w:val="toc 8"/>
    <w:basedOn w:val="1"/>
    <w:next w:val="1"/>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8">
    <w:name w:val="Date"/>
    <w:basedOn w:val="1"/>
    <w:next w:val="1"/>
    <w:link w:val="100"/>
    <w:qFormat/>
    <w:uiPriority w:val="0"/>
    <w:pPr>
      <w:ind w:left="100" w:leftChars="2500"/>
    </w:pPr>
    <w:rPr>
      <w:rFonts w:asciiTheme="minorHAnsi" w:hAnsiTheme="minorHAnsi" w:eastAsiaTheme="minorEastAsia" w:cstheme="minorBidi"/>
      <w:kern w:val="2"/>
    </w:rPr>
  </w:style>
  <w:style w:type="paragraph" w:styleId="29">
    <w:name w:val="Body Text Indent 2"/>
    <w:basedOn w:val="1"/>
    <w:link w:val="118"/>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0">
    <w:name w:val="Balloon Text"/>
    <w:basedOn w:val="1"/>
    <w:link w:val="112"/>
    <w:qFormat/>
    <w:uiPriority w:val="0"/>
    <w:pPr>
      <w:autoSpaceDE/>
      <w:autoSpaceDN/>
      <w:adjustRightInd/>
    </w:pPr>
    <w:rPr>
      <w:color w:val="auto"/>
      <w:kern w:val="2"/>
      <w:sz w:val="18"/>
      <w:szCs w:val="18"/>
    </w:rPr>
  </w:style>
  <w:style w:type="paragraph" w:styleId="31">
    <w:name w:val="footer"/>
    <w:basedOn w:val="1"/>
    <w:link w:val="83"/>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2">
    <w:name w:val="header"/>
    <w:basedOn w:val="1"/>
    <w:link w:val="8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3">
    <w:name w:val="Signature"/>
    <w:basedOn w:val="1"/>
    <w:next w:val="1"/>
    <w:link w:val="94"/>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4">
    <w:name w:val="toc 1"/>
    <w:basedOn w:val="1"/>
    <w:next w:val="1"/>
    <w:qFormat/>
    <w:uiPriority w:val="99"/>
    <w:pPr>
      <w:spacing w:line="360" w:lineRule="auto"/>
    </w:pPr>
    <w:rPr>
      <w:rFonts w:eastAsia="黑体"/>
      <w:sz w:val="24"/>
    </w:rPr>
  </w:style>
  <w:style w:type="paragraph" w:styleId="35">
    <w:name w:val="toc 4"/>
    <w:basedOn w:val="1"/>
    <w:next w:val="1"/>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6">
    <w:name w:val="List"/>
    <w:basedOn w:val="1"/>
    <w:qFormat/>
    <w:uiPriority w:val="0"/>
    <w:pPr>
      <w:ind w:left="200" w:hanging="200" w:hangingChars="200"/>
      <w:contextualSpacing/>
    </w:pPr>
  </w:style>
  <w:style w:type="paragraph" w:styleId="37">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8">
    <w:name w:val="Body Text Indent 3"/>
    <w:basedOn w:val="1"/>
    <w:link w:val="96"/>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39">
    <w:name w:val="index 7"/>
    <w:basedOn w:val="1"/>
    <w:next w:val="1"/>
    <w:qFormat/>
    <w:uiPriority w:val="0"/>
    <w:pPr>
      <w:autoSpaceDE/>
      <w:autoSpaceDN/>
      <w:adjustRightInd/>
      <w:ind w:left="1200" w:leftChars="1200"/>
    </w:pPr>
    <w:rPr>
      <w:color w:val="auto"/>
      <w:kern w:val="2"/>
      <w:szCs w:val="24"/>
    </w:rPr>
  </w:style>
  <w:style w:type="paragraph" w:styleId="40">
    <w:name w:val="toc 2"/>
    <w:basedOn w:val="1"/>
    <w:next w:val="1"/>
    <w:qFormat/>
    <w:uiPriority w:val="99"/>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41">
    <w:name w:val="toc 9"/>
    <w:basedOn w:val="1"/>
    <w:next w:val="1"/>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2">
    <w:name w:val="Body Text 2"/>
    <w:basedOn w:val="1"/>
    <w:link w:val="207"/>
    <w:qFormat/>
    <w:uiPriority w:val="0"/>
    <w:pPr>
      <w:autoSpaceDE/>
      <w:autoSpaceDN/>
      <w:adjustRightInd/>
      <w:spacing w:after="120" w:line="480" w:lineRule="auto"/>
      <w:ind w:left="425" w:hanging="425"/>
    </w:pPr>
    <w:rPr>
      <w:kern w:val="2"/>
      <w:szCs w:val="22"/>
    </w:rPr>
  </w:style>
  <w:style w:type="paragraph" w:styleId="43">
    <w:name w:val="HTML Preformatted"/>
    <w:basedOn w:val="1"/>
    <w:link w:val="93"/>
    <w:qFormat/>
    <w:uiPriority w:val="0"/>
    <w:pPr>
      <w:autoSpaceDE/>
      <w:autoSpaceDN/>
      <w:adjustRightInd/>
    </w:pPr>
    <w:rPr>
      <w:rFonts w:ascii="Arial Unicode MS" w:hAnsi="Arial Unicode MS" w:eastAsia="Arial Unicode MS" w:cstheme="minorBidi"/>
      <w:color w:val="auto"/>
      <w:kern w:val="2"/>
      <w:szCs w:val="22"/>
    </w:rPr>
  </w:style>
  <w:style w:type="paragraph" w:styleId="44">
    <w:name w:val="Normal (Web)"/>
    <w:basedOn w:val="1"/>
    <w:link w:val="86"/>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5">
    <w:name w:val="index 1"/>
    <w:basedOn w:val="1"/>
    <w:next w:val="1"/>
    <w:qFormat/>
    <w:uiPriority w:val="0"/>
    <w:pPr>
      <w:autoSpaceDE/>
      <w:autoSpaceDN/>
      <w:spacing w:line="360" w:lineRule="atLeast"/>
      <w:jc w:val="center"/>
      <w:textAlignment w:val="baseline"/>
    </w:pPr>
    <w:rPr>
      <w:rFonts w:ascii="Arial" w:hAnsi="Arial"/>
      <w:color w:val="auto"/>
      <w:kern w:val="2"/>
    </w:rPr>
  </w:style>
  <w:style w:type="paragraph" w:styleId="46">
    <w:name w:val="Title"/>
    <w:basedOn w:val="1"/>
    <w:link w:val="206"/>
    <w:qFormat/>
    <w:uiPriority w:val="0"/>
    <w:pPr>
      <w:autoSpaceDE/>
      <w:autoSpaceDN/>
      <w:adjustRightInd/>
      <w:spacing w:before="240" w:after="60"/>
      <w:jc w:val="center"/>
      <w:outlineLvl w:val="0"/>
    </w:pPr>
    <w:rPr>
      <w:rFonts w:ascii="Arial" w:hAnsi="Arial"/>
      <w:b/>
      <w:bCs/>
      <w:kern w:val="2"/>
      <w:sz w:val="32"/>
      <w:szCs w:val="32"/>
    </w:rPr>
  </w:style>
  <w:style w:type="paragraph" w:styleId="47">
    <w:name w:val="annotation subject"/>
    <w:basedOn w:val="20"/>
    <w:next w:val="20"/>
    <w:link w:val="109"/>
    <w:qFormat/>
    <w:uiPriority w:val="0"/>
    <w:pPr>
      <w:autoSpaceDE/>
      <w:autoSpaceDN/>
      <w:adjustRightInd/>
    </w:pPr>
    <w:rPr>
      <w:b/>
      <w:bCs/>
      <w:color w:val="auto"/>
      <w:kern w:val="2"/>
      <w:szCs w:val="24"/>
    </w:rPr>
  </w:style>
  <w:style w:type="paragraph" w:styleId="48">
    <w:name w:val="Body Text First Indent"/>
    <w:basedOn w:val="22"/>
    <w:link w:val="158"/>
    <w:unhideWhenUsed/>
    <w:qFormat/>
    <w:uiPriority w:val="99"/>
    <w:pPr>
      <w:ind w:firstLine="420" w:firstLineChars="1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basedOn w:val="51"/>
    <w:qFormat/>
    <w:uiPriority w:val="0"/>
    <w:rPr>
      <w:color w:val="555555"/>
      <w:u w:val="none"/>
    </w:rPr>
  </w:style>
  <w:style w:type="character" w:styleId="55">
    <w:name w:val="Emphasis"/>
    <w:qFormat/>
    <w:uiPriority w:val="0"/>
    <w:rPr>
      <w:color w:val="CC0000"/>
    </w:rPr>
  </w:style>
  <w:style w:type="character" w:styleId="56">
    <w:name w:val="HTML Definition"/>
    <w:basedOn w:val="51"/>
    <w:qFormat/>
    <w:uiPriority w:val="0"/>
  </w:style>
  <w:style w:type="character" w:styleId="57">
    <w:name w:val="HTML Typewriter"/>
    <w:basedOn w:val="51"/>
    <w:qFormat/>
    <w:uiPriority w:val="0"/>
    <w:rPr>
      <w:rFonts w:hint="default" w:ascii="monospace" w:hAnsi="monospace" w:eastAsia="monospace" w:cs="monospace"/>
      <w:sz w:val="20"/>
    </w:rPr>
  </w:style>
  <w:style w:type="character" w:styleId="58">
    <w:name w:val="HTML Acronym"/>
    <w:basedOn w:val="51"/>
    <w:qFormat/>
    <w:uiPriority w:val="0"/>
  </w:style>
  <w:style w:type="character" w:styleId="59">
    <w:name w:val="HTML Variable"/>
    <w:basedOn w:val="51"/>
    <w:qFormat/>
    <w:uiPriority w:val="0"/>
  </w:style>
  <w:style w:type="character" w:styleId="60">
    <w:name w:val="Hyperlink"/>
    <w:basedOn w:val="51"/>
    <w:qFormat/>
    <w:uiPriority w:val="0"/>
    <w:rPr>
      <w:color w:val="0000FF"/>
      <w:u w:val="single"/>
    </w:rPr>
  </w:style>
  <w:style w:type="character" w:styleId="61">
    <w:name w:val="HTML Code"/>
    <w:basedOn w:val="51"/>
    <w:qFormat/>
    <w:uiPriority w:val="0"/>
    <w:rPr>
      <w:rFonts w:ascii="monospace" w:hAnsi="monospace" w:eastAsia="monospace" w:cs="monospace"/>
      <w:sz w:val="20"/>
    </w:rPr>
  </w:style>
  <w:style w:type="character" w:styleId="62">
    <w:name w:val="annotation reference"/>
    <w:qFormat/>
    <w:uiPriority w:val="0"/>
    <w:rPr>
      <w:sz w:val="21"/>
      <w:szCs w:val="21"/>
    </w:rPr>
  </w:style>
  <w:style w:type="character" w:styleId="63">
    <w:name w:val="HTML Cite"/>
    <w:basedOn w:val="51"/>
    <w:qFormat/>
    <w:uiPriority w:val="0"/>
  </w:style>
  <w:style w:type="character" w:styleId="64">
    <w:name w:val="HTML Keyboard"/>
    <w:basedOn w:val="51"/>
    <w:qFormat/>
    <w:uiPriority w:val="0"/>
    <w:rPr>
      <w:rFonts w:hint="default" w:ascii="monospace" w:hAnsi="monospace" w:eastAsia="monospace" w:cs="monospace"/>
      <w:sz w:val="20"/>
    </w:rPr>
  </w:style>
  <w:style w:type="character" w:styleId="65">
    <w:name w:val="HTML Sample"/>
    <w:basedOn w:val="51"/>
    <w:qFormat/>
    <w:uiPriority w:val="0"/>
    <w:rPr>
      <w:rFonts w:hint="default" w:ascii="monospace" w:hAnsi="monospace" w:eastAsia="monospace" w:cs="monospace"/>
    </w:rPr>
  </w:style>
  <w:style w:type="paragraph" w:customStyle="1" w:styleId="66">
    <w:name w:val="Body Text Indent1"/>
    <w:basedOn w:val="1"/>
    <w:next w:val="1"/>
    <w:qFormat/>
    <w:uiPriority w:val="0"/>
    <w:pPr>
      <w:autoSpaceDE/>
      <w:autoSpaceDN/>
      <w:adjustRightInd/>
      <w:spacing w:after="120"/>
      <w:ind w:left="420" w:leftChars="200"/>
    </w:pPr>
    <w:rPr>
      <w:rFonts w:ascii="等线" w:hAnsi="等线" w:eastAsia="等线"/>
      <w:kern w:val="2"/>
    </w:rPr>
  </w:style>
  <w:style w:type="character" w:customStyle="1" w:styleId="67">
    <w:name w:val="标题 1 Char"/>
    <w:basedOn w:val="51"/>
    <w:link w:val="3"/>
    <w:qFormat/>
    <w:uiPriority w:val="0"/>
    <w:rPr>
      <w:rFonts w:ascii="Times New Roman" w:hAnsi="Times New Roman" w:eastAsia="宋体" w:cs="Times New Roman"/>
      <w:b/>
      <w:color w:val="000000"/>
      <w:kern w:val="44"/>
      <w:sz w:val="44"/>
      <w:szCs w:val="21"/>
    </w:rPr>
  </w:style>
  <w:style w:type="character" w:customStyle="1" w:styleId="68">
    <w:name w:val="标题 2 Char"/>
    <w:basedOn w:val="51"/>
    <w:link w:val="4"/>
    <w:qFormat/>
    <w:uiPriority w:val="99"/>
    <w:rPr>
      <w:rFonts w:ascii="Arial" w:hAnsi="Arial" w:eastAsia="黑体" w:cs="Times New Roman"/>
      <w:b/>
      <w:bCs/>
      <w:color w:val="000000"/>
      <w:sz w:val="32"/>
      <w:szCs w:val="32"/>
    </w:rPr>
  </w:style>
  <w:style w:type="character" w:customStyle="1" w:styleId="69">
    <w:name w:val="标题 3 Char"/>
    <w:basedOn w:val="51"/>
    <w:link w:val="5"/>
    <w:qFormat/>
    <w:uiPriority w:val="0"/>
    <w:rPr>
      <w:rFonts w:ascii="Times New Roman" w:hAnsi="Times New Roman" w:eastAsia="宋体" w:cs="Times New Roman"/>
      <w:b/>
      <w:bCs/>
      <w:color w:val="000000"/>
      <w:kern w:val="0"/>
      <w:sz w:val="32"/>
      <w:szCs w:val="32"/>
    </w:rPr>
  </w:style>
  <w:style w:type="character" w:customStyle="1" w:styleId="70">
    <w:name w:val="标题 4 Char"/>
    <w:basedOn w:val="51"/>
    <w:link w:val="6"/>
    <w:qFormat/>
    <w:uiPriority w:val="0"/>
    <w:rPr>
      <w:rFonts w:ascii="Cambria" w:hAnsi="Cambria" w:eastAsia="黑体" w:cs="Times New Roman"/>
      <w:b/>
      <w:bCs/>
      <w:sz w:val="24"/>
      <w:szCs w:val="28"/>
    </w:rPr>
  </w:style>
  <w:style w:type="character" w:customStyle="1" w:styleId="71">
    <w:name w:val="正文文字2 Char"/>
    <w:link w:val="72"/>
    <w:qFormat/>
    <w:uiPriority w:val="0"/>
    <w:rPr>
      <w:rFonts w:ascii="Arial" w:eastAsia="黑体"/>
    </w:rPr>
  </w:style>
  <w:style w:type="paragraph" w:customStyle="1" w:styleId="72">
    <w:name w:val="正文文字2"/>
    <w:basedOn w:val="22"/>
    <w:link w:val="71"/>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73">
    <w:name w:val="列出段落 Char Char"/>
    <w:link w:val="74"/>
    <w:qFormat/>
    <w:uiPriority w:val="0"/>
    <w:rPr>
      <w:rFonts w:ascii="Calibri" w:hAnsi="Calibri"/>
    </w:rPr>
  </w:style>
  <w:style w:type="paragraph" w:customStyle="1" w:styleId="74">
    <w:name w:val="列表段落1"/>
    <w:basedOn w:val="1"/>
    <w:link w:val="73"/>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5">
    <w:name w:val="列出段落 Char"/>
    <w:link w:val="76"/>
    <w:qFormat/>
    <w:uiPriority w:val="99"/>
    <w:rPr>
      <w:rFonts w:ascii="Calibri" w:hAnsi="Calibri"/>
    </w:rPr>
  </w:style>
  <w:style w:type="paragraph" w:styleId="76">
    <w:name w:val="List Paragraph"/>
    <w:basedOn w:val="1"/>
    <w:link w:val="75"/>
    <w:qFormat/>
    <w:uiPriority w:val="1"/>
    <w:pPr>
      <w:autoSpaceDE/>
      <w:autoSpaceDN/>
      <w:adjustRightInd/>
      <w:ind w:firstLine="420" w:firstLineChars="200"/>
    </w:pPr>
    <w:rPr>
      <w:rFonts w:ascii="Calibri" w:hAnsi="Calibri" w:eastAsiaTheme="minorEastAsia" w:cstheme="minorBidi"/>
      <w:color w:val="auto"/>
      <w:kern w:val="2"/>
      <w:szCs w:val="22"/>
    </w:rPr>
  </w:style>
  <w:style w:type="character" w:customStyle="1" w:styleId="77">
    <w:name w:val="日期 Char1"/>
    <w:qFormat/>
    <w:uiPriority w:val="0"/>
    <w:rPr>
      <w:kern w:val="2"/>
      <w:sz w:val="21"/>
      <w:szCs w:val="24"/>
    </w:rPr>
  </w:style>
  <w:style w:type="character" w:customStyle="1" w:styleId="78">
    <w:name w:val="Char Char3"/>
    <w:basedOn w:val="51"/>
    <w:qFormat/>
    <w:uiPriority w:val="0"/>
    <w:rPr>
      <w:rFonts w:ascii="宋体" w:hAnsi="Courier New" w:eastAsia="宋体"/>
      <w:sz w:val="24"/>
      <w:szCs w:val="24"/>
      <w:lang w:bidi="ar-SA"/>
    </w:rPr>
  </w:style>
  <w:style w:type="character" w:customStyle="1" w:styleId="79">
    <w:name w:val="正文缩进 Char1"/>
    <w:basedOn w:val="51"/>
    <w:link w:val="9"/>
    <w:qFormat/>
    <w:uiPriority w:val="0"/>
  </w:style>
  <w:style w:type="character" w:customStyle="1" w:styleId="80">
    <w:name w:val="正文文本缩进 字符"/>
    <w:basedOn w:val="51"/>
    <w:qFormat/>
    <w:uiPriority w:val="0"/>
    <w:rPr>
      <w:rFonts w:eastAsia="宋体"/>
      <w:color w:val="000000"/>
      <w:sz w:val="21"/>
      <w:szCs w:val="21"/>
      <w:lang w:val="en-US" w:eastAsia="zh-CN" w:bidi="ar-SA"/>
    </w:rPr>
  </w:style>
  <w:style w:type="character" w:customStyle="1" w:styleId="81">
    <w:name w:val="15"/>
    <w:basedOn w:val="51"/>
    <w:qFormat/>
    <w:uiPriority w:val="0"/>
    <w:rPr>
      <w:rFonts w:hint="default" w:ascii="Lucida Sans" w:hAnsi="Lucida Sans"/>
    </w:rPr>
  </w:style>
  <w:style w:type="character" w:customStyle="1" w:styleId="82">
    <w:name w:val="jtz3 Char"/>
    <w:qFormat/>
    <w:uiPriority w:val="0"/>
    <w:rPr>
      <w:rFonts w:eastAsia="宋体"/>
      <w:b/>
      <w:bCs/>
      <w:kern w:val="2"/>
      <w:sz w:val="28"/>
      <w:szCs w:val="32"/>
      <w:lang w:val="en-US" w:eastAsia="zh-CN" w:bidi="ar-SA"/>
    </w:rPr>
  </w:style>
  <w:style w:type="character" w:customStyle="1" w:styleId="83">
    <w:name w:val="页脚 Char1"/>
    <w:basedOn w:val="51"/>
    <w:link w:val="31"/>
    <w:qFormat/>
    <w:uiPriority w:val="99"/>
    <w:rPr>
      <w:color w:val="000000"/>
      <w:sz w:val="18"/>
      <w:szCs w:val="18"/>
    </w:rPr>
  </w:style>
  <w:style w:type="character" w:customStyle="1" w:styleId="84">
    <w:name w:val="页眉 Char1"/>
    <w:basedOn w:val="51"/>
    <w:link w:val="32"/>
    <w:qFormat/>
    <w:uiPriority w:val="99"/>
    <w:rPr>
      <w:color w:val="000000"/>
      <w:sz w:val="18"/>
      <w:szCs w:val="18"/>
    </w:rPr>
  </w:style>
  <w:style w:type="character" w:customStyle="1" w:styleId="85">
    <w:name w:val="jtz2 Char1"/>
    <w:qFormat/>
    <w:uiPriority w:val="0"/>
    <w:rPr>
      <w:rFonts w:ascii="Cambria" w:hAnsi="Cambria" w:eastAsia="宋体"/>
      <w:b/>
      <w:bCs/>
      <w:kern w:val="2"/>
      <w:sz w:val="30"/>
      <w:szCs w:val="32"/>
      <w:lang w:val="en-US" w:eastAsia="zh-CN" w:bidi="ar-SA"/>
    </w:rPr>
  </w:style>
  <w:style w:type="character" w:customStyle="1" w:styleId="86">
    <w:name w:val="普通(网站) Char"/>
    <w:basedOn w:val="51"/>
    <w:link w:val="44"/>
    <w:qFormat/>
    <w:uiPriority w:val="0"/>
    <w:rPr>
      <w:rFonts w:ascii="宋体" w:hAnsi="宋体"/>
      <w:color w:val="000000"/>
      <w:sz w:val="24"/>
      <w:szCs w:val="24"/>
    </w:rPr>
  </w:style>
  <w:style w:type="character" w:customStyle="1" w:styleId="87">
    <w:name w:val="Char Char13"/>
    <w:qFormat/>
    <w:uiPriority w:val="0"/>
    <w:rPr>
      <w:rFonts w:eastAsia="宋体"/>
      <w:b/>
      <w:bCs/>
      <w:kern w:val="44"/>
      <w:sz w:val="44"/>
      <w:szCs w:val="44"/>
      <w:lang w:val="en-US" w:eastAsia="zh-CN" w:bidi="ar-SA"/>
    </w:rPr>
  </w:style>
  <w:style w:type="character" w:customStyle="1" w:styleId="88">
    <w:name w:val="Char Char17"/>
    <w:qFormat/>
    <w:uiPriority w:val="0"/>
    <w:rPr>
      <w:rFonts w:ascii="Calibri" w:hAnsi="Calibri" w:eastAsia="宋体" w:cs="Times New Roman"/>
    </w:rPr>
  </w:style>
  <w:style w:type="character" w:customStyle="1" w:styleId="89">
    <w:name w:val="正文文本缩进 2 Char1"/>
    <w:qFormat/>
    <w:uiPriority w:val="0"/>
    <w:rPr>
      <w:kern w:val="2"/>
      <w:sz w:val="21"/>
      <w:szCs w:val="24"/>
    </w:rPr>
  </w:style>
  <w:style w:type="character" w:customStyle="1" w:styleId="90">
    <w:name w:val="param-name"/>
    <w:qFormat/>
    <w:uiPriority w:val="0"/>
  </w:style>
  <w:style w:type="character" w:customStyle="1" w:styleId="91">
    <w:name w:val="01 正文样式 Char"/>
    <w:link w:val="92"/>
    <w:qFormat/>
    <w:uiPriority w:val="0"/>
    <w:rPr>
      <w:sz w:val="24"/>
    </w:rPr>
  </w:style>
  <w:style w:type="paragraph" w:customStyle="1" w:styleId="92">
    <w:name w:val="01 正文样式"/>
    <w:basedOn w:val="1"/>
    <w:link w:val="91"/>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93">
    <w:name w:val="HTML 预设格式 Char"/>
    <w:basedOn w:val="51"/>
    <w:link w:val="43"/>
    <w:qFormat/>
    <w:uiPriority w:val="0"/>
    <w:rPr>
      <w:rFonts w:ascii="Arial Unicode MS" w:hAnsi="Arial Unicode MS" w:eastAsia="Arial Unicode MS"/>
    </w:rPr>
  </w:style>
  <w:style w:type="character" w:customStyle="1" w:styleId="94">
    <w:name w:val="签名 Char"/>
    <w:basedOn w:val="51"/>
    <w:link w:val="33"/>
    <w:qFormat/>
    <w:uiPriority w:val="0"/>
    <w:rPr>
      <w:rFonts w:ascii="Arial" w:hAnsi="Arial"/>
      <w:spacing w:val="-5"/>
      <w:sz w:val="24"/>
    </w:rPr>
  </w:style>
  <w:style w:type="character" w:customStyle="1" w:styleId="95">
    <w:name w:val="jtz2 Char"/>
    <w:qFormat/>
    <w:uiPriority w:val="0"/>
    <w:rPr>
      <w:rFonts w:ascii="Arial" w:hAnsi="Arial" w:eastAsia="宋体"/>
      <w:b/>
      <w:bCs/>
      <w:kern w:val="2"/>
      <w:sz w:val="30"/>
      <w:szCs w:val="32"/>
      <w:lang w:val="en-US" w:eastAsia="zh-CN" w:bidi="ar-SA"/>
    </w:rPr>
  </w:style>
  <w:style w:type="character" w:customStyle="1" w:styleId="96">
    <w:name w:val="正文文本缩进 3 Char"/>
    <w:basedOn w:val="51"/>
    <w:link w:val="38"/>
    <w:qFormat/>
    <w:uiPriority w:val="0"/>
    <w:rPr>
      <w:szCs w:val="24"/>
    </w:rPr>
  </w:style>
  <w:style w:type="character" w:customStyle="1" w:styleId="97">
    <w:name w:val="纯文本 Char1"/>
    <w:basedOn w:val="51"/>
    <w:link w:val="26"/>
    <w:qFormat/>
    <w:uiPriority w:val="0"/>
    <w:rPr>
      <w:sz w:val="24"/>
    </w:rPr>
  </w:style>
  <w:style w:type="character" w:customStyle="1" w:styleId="98">
    <w:name w:val="01正文样式 Char"/>
    <w:link w:val="99"/>
    <w:qFormat/>
    <w:uiPriority w:val="0"/>
    <w:rPr>
      <w:rFonts w:ascii="Tahoma" w:hAnsi="Tahoma" w:eastAsia="仿宋_GB2312"/>
      <w:sz w:val="28"/>
    </w:rPr>
  </w:style>
  <w:style w:type="paragraph" w:customStyle="1" w:styleId="99">
    <w:name w:val="01正文样式"/>
    <w:basedOn w:val="1"/>
    <w:link w:val="98"/>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100">
    <w:name w:val="日期 Char"/>
    <w:basedOn w:val="51"/>
    <w:link w:val="28"/>
    <w:qFormat/>
    <w:uiPriority w:val="0"/>
    <w:rPr>
      <w:color w:val="000000"/>
      <w:szCs w:val="21"/>
    </w:rPr>
  </w:style>
  <w:style w:type="character" w:customStyle="1" w:styleId="101">
    <w:name w:val="Char Char11"/>
    <w:basedOn w:val="51"/>
    <w:qFormat/>
    <w:uiPriority w:val="0"/>
    <w:rPr>
      <w:rFonts w:ascii="Arial" w:hAnsi="Arial" w:eastAsia="黑体"/>
      <w:b/>
      <w:kern w:val="2"/>
      <w:sz w:val="32"/>
      <w:szCs w:val="32"/>
      <w:lang w:val="en-US" w:eastAsia="zh-CN" w:bidi="ar-SA"/>
    </w:rPr>
  </w:style>
  <w:style w:type="character" w:customStyle="1" w:styleId="102">
    <w:name w:val="font01"/>
    <w:basedOn w:val="51"/>
    <w:qFormat/>
    <w:uiPriority w:val="0"/>
    <w:rPr>
      <w:rFonts w:hint="eastAsia" w:ascii="宋体" w:hAnsi="宋体" w:eastAsia="宋体" w:cs="宋体"/>
      <w:color w:val="000000"/>
      <w:sz w:val="24"/>
      <w:szCs w:val="24"/>
    </w:rPr>
  </w:style>
  <w:style w:type="character" w:customStyle="1" w:styleId="103">
    <w:name w:val="p0 Char"/>
    <w:link w:val="104"/>
    <w:qFormat/>
    <w:uiPriority w:val="0"/>
    <w:rPr>
      <w:szCs w:val="21"/>
    </w:rPr>
  </w:style>
  <w:style w:type="paragraph" w:customStyle="1" w:styleId="104">
    <w:name w:val="p0"/>
    <w:next w:val="39"/>
    <w:link w:val="103"/>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5">
    <w:name w:val="Font Style15"/>
    <w:qFormat/>
    <w:uiPriority w:val="0"/>
    <w:rPr>
      <w:rFonts w:ascii="MingLiU" w:eastAsia="MingLiU"/>
      <w:sz w:val="58"/>
    </w:rPr>
  </w:style>
  <w:style w:type="character" w:customStyle="1" w:styleId="106">
    <w:name w:val="正文 1.5 倍行距 Char"/>
    <w:link w:val="107"/>
    <w:qFormat/>
    <w:uiPriority w:val="0"/>
    <w:rPr>
      <w:sz w:val="24"/>
    </w:rPr>
  </w:style>
  <w:style w:type="paragraph" w:customStyle="1" w:styleId="107">
    <w:name w:val="正文 1.5 倍行距"/>
    <w:basedOn w:val="1"/>
    <w:link w:val="106"/>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08">
    <w:name w:val="批注文字 Char"/>
    <w:basedOn w:val="51"/>
    <w:link w:val="20"/>
    <w:qFormat/>
    <w:uiPriority w:val="0"/>
    <w:rPr>
      <w:rFonts w:ascii="仿宋" w:hAnsi="仿宋" w:eastAsia="仿宋"/>
      <w:color w:val="000000"/>
      <w:sz w:val="21"/>
      <w:szCs w:val="21"/>
    </w:rPr>
  </w:style>
  <w:style w:type="character" w:customStyle="1" w:styleId="109">
    <w:name w:val="批注主题 Char"/>
    <w:basedOn w:val="108"/>
    <w:link w:val="47"/>
    <w:qFormat/>
    <w:uiPriority w:val="99"/>
    <w:rPr>
      <w:rFonts w:ascii="Times New Roman" w:hAnsi="Times New Roman" w:eastAsia="宋体" w:cs="Times New Roman"/>
      <w:b/>
      <w:bCs/>
      <w:color w:val="000000"/>
      <w:kern w:val="0"/>
      <w:sz w:val="21"/>
      <w:szCs w:val="24"/>
    </w:rPr>
  </w:style>
  <w:style w:type="character" w:customStyle="1" w:styleId="110">
    <w:name w:val="正文文本缩进 3 字符1"/>
    <w:basedOn w:val="51"/>
    <w:semiHidden/>
    <w:qFormat/>
    <w:uiPriority w:val="99"/>
    <w:rPr>
      <w:rFonts w:ascii="Times New Roman" w:hAnsi="Times New Roman" w:eastAsia="宋体" w:cs="Times New Roman"/>
      <w:color w:val="000000"/>
      <w:kern w:val="0"/>
      <w:sz w:val="16"/>
      <w:szCs w:val="16"/>
    </w:rPr>
  </w:style>
  <w:style w:type="character" w:customStyle="1" w:styleId="111">
    <w:name w:val="纯文本 字符1"/>
    <w:basedOn w:val="51"/>
    <w:semiHidden/>
    <w:qFormat/>
    <w:uiPriority w:val="99"/>
    <w:rPr>
      <w:rFonts w:hAnsi="Courier New" w:cs="Courier New" w:asciiTheme="minorEastAsia"/>
      <w:color w:val="000000"/>
      <w:kern w:val="0"/>
      <w:szCs w:val="21"/>
    </w:rPr>
  </w:style>
  <w:style w:type="character" w:customStyle="1" w:styleId="112">
    <w:name w:val="批注框文本 Char"/>
    <w:basedOn w:val="51"/>
    <w:link w:val="30"/>
    <w:qFormat/>
    <w:uiPriority w:val="99"/>
    <w:rPr>
      <w:rFonts w:ascii="Times New Roman" w:hAnsi="Times New Roman" w:eastAsia="宋体" w:cs="Times New Roman"/>
      <w:sz w:val="18"/>
      <w:szCs w:val="18"/>
    </w:rPr>
  </w:style>
  <w:style w:type="character" w:customStyle="1" w:styleId="113">
    <w:name w:val="文档结构图 Char1"/>
    <w:basedOn w:val="51"/>
    <w:link w:val="19"/>
    <w:qFormat/>
    <w:uiPriority w:val="0"/>
    <w:rPr>
      <w:rFonts w:ascii="Times New Roman" w:hAnsi="Times New Roman" w:eastAsia="宋体" w:cs="Times New Roman"/>
      <w:szCs w:val="24"/>
      <w:shd w:val="clear" w:color="auto" w:fill="000080"/>
    </w:rPr>
  </w:style>
  <w:style w:type="character" w:customStyle="1" w:styleId="114">
    <w:name w:val="正文文本缩进 Char"/>
    <w:basedOn w:val="51"/>
    <w:qFormat/>
    <w:uiPriority w:val="99"/>
    <w:rPr>
      <w:rFonts w:ascii="Times New Roman" w:hAnsi="Times New Roman" w:eastAsia="宋体" w:cs="Times New Roman"/>
      <w:color w:val="000000"/>
      <w:kern w:val="0"/>
      <w:szCs w:val="21"/>
    </w:rPr>
  </w:style>
  <w:style w:type="character" w:customStyle="1" w:styleId="115">
    <w:name w:val="正文首行缩进 2 Char"/>
    <w:basedOn w:val="114"/>
    <w:qFormat/>
    <w:uiPriority w:val="0"/>
    <w:rPr>
      <w:rFonts w:ascii="Calibri" w:hAnsi="Calibri" w:eastAsia="宋体" w:cs="Times New Roman"/>
      <w:color w:val="000000"/>
      <w:kern w:val="0"/>
      <w:sz w:val="24"/>
      <w:szCs w:val="21"/>
    </w:rPr>
  </w:style>
  <w:style w:type="character" w:customStyle="1" w:styleId="116">
    <w:name w:val="HTML 预设格式 字符1"/>
    <w:basedOn w:val="51"/>
    <w:semiHidden/>
    <w:qFormat/>
    <w:uiPriority w:val="99"/>
    <w:rPr>
      <w:rFonts w:ascii="Courier New" w:hAnsi="Courier New" w:eastAsia="宋体" w:cs="Courier New"/>
      <w:color w:val="000000"/>
      <w:kern w:val="0"/>
      <w:sz w:val="20"/>
      <w:szCs w:val="20"/>
    </w:rPr>
  </w:style>
  <w:style w:type="character" w:customStyle="1" w:styleId="117">
    <w:name w:val="页脚 字符1"/>
    <w:basedOn w:val="51"/>
    <w:semiHidden/>
    <w:qFormat/>
    <w:uiPriority w:val="99"/>
    <w:rPr>
      <w:rFonts w:ascii="Times New Roman" w:hAnsi="Times New Roman" w:eastAsia="宋体" w:cs="Times New Roman"/>
      <w:color w:val="000000"/>
      <w:kern w:val="0"/>
      <w:sz w:val="18"/>
      <w:szCs w:val="18"/>
    </w:rPr>
  </w:style>
  <w:style w:type="character" w:customStyle="1" w:styleId="118">
    <w:name w:val="正文文本缩进 2 Char"/>
    <w:basedOn w:val="51"/>
    <w:link w:val="29"/>
    <w:qFormat/>
    <w:uiPriority w:val="0"/>
    <w:rPr>
      <w:rFonts w:ascii="仿宋_GB2312" w:hAnsi="Times New Roman" w:eastAsia="仿宋_GB2312" w:cs="Times New Roman"/>
      <w:sz w:val="28"/>
      <w:szCs w:val="28"/>
      <w:lang w:val="en-US" w:eastAsia="zh-CN"/>
    </w:rPr>
  </w:style>
  <w:style w:type="character" w:customStyle="1" w:styleId="119">
    <w:name w:val="签名 字符1"/>
    <w:basedOn w:val="51"/>
    <w:semiHidden/>
    <w:qFormat/>
    <w:uiPriority w:val="99"/>
    <w:rPr>
      <w:rFonts w:ascii="Times New Roman" w:hAnsi="Times New Roman" w:eastAsia="宋体" w:cs="Times New Roman"/>
      <w:color w:val="000000"/>
      <w:kern w:val="0"/>
      <w:szCs w:val="21"/>
    </w:rPr>
  </w:style>
  <w:style w:type="character" w:customStyle="1" w:styleId="120">
    <w:name w:val="日期 字符1"/>
    <w:basedOn w:val="51"/>
    <w:semiHidden/>
    <w:qFormat/>
    <w:uiPriority w:val="99"/>
    <w:rPr>
      <w:rFonts w:ascii="Times New Roman" w:hAnsi="Times New Roman" w:eastAsia="宋体" w:cs="Times New Roman"/>
      <w:color w:val="000000"/>
      <w:kern w:val="0"/>
      <w:szCs w:val="21"/>
    </w:rPr>
  </w:style>
  <w:style w:type="character" w:customStyle="1" w:styleId="121">
    <w:name w:val="正文文本 Char"/>
    <w:basedOn w:val="51"/>
    <w:link w:val="22"/>
    <w:qFormat/>
    <w:uiPriority w:val="99"/>
    <w:rPr>
      <w:rFonts w:ascii="Times New Roman" w:hAnsi="Times New Roman" w:eastAsia="宋体" w:cs="Times New Roman"/>
      <w:color w:val="000000"/>
      <w:kern w:val="0"/>
      <w:szCs w:val="21"/>
    </w:rPr>
  </w:style>
  <w:style w:type="character" w:customStyle="1" w:styleId="122">
    <w:name w:val="页眉 字符1"/>
    <w:basedOn w:val="51"/>
    <w:semiHidden/>
    <w:qFormat/>
    <w:uiPriority w:val="99"/>
    <w:rPr>
      <w:rFonts w:ascii="Times New Roman" w:hAnsi="Times New Roman" w:eastAsia="宋体" w:cs="Times New Roman"/>
      <w:color w:val="000000"/>
      <w:kern w:val="0"/>
      <w:sz w:val="18"/>
      <w:szCs w:val="18"/>
    </w:rPr>
  </w:style>
  <w:style w:type="paragraph" w:customStyle="1" w:styleId="123">
    <w:name w:val="正文段"/>
    <w:basedOn w:val="1"/>
    <w:next w:val="18"/>
    <w:qFormat/>
    <w:uiPriority w:val="0"/>
    <w:pPr>
      <w:widowControl/>
      <w:autoSpaceDE/>
      <w:autoSpaceDN/>
      <w:adjustRightInd/>
      <w:snapToGrid w:val="0"/>
      <w:spacing w:afterLines="50"/>
      <w:ind w:firstLine="200" w:firstLineChars="200"/>
    </w:pPr>
    <w:rPr>
      <w:color w:val="auto"/>
      <w:sz w:val="24"/>
      <w:szCs w:val="20"/>
    </w:rPr>
  </w:style>
  <w:style w:type="paragraph" w:customStyle="1" w:styleId="124">
    <w:name w:val="Char Char Char Char Char Char Char Char Char Char Char Char Char Char Char Char Char Char Char Char Char Char Char Char Char Char Char Char"/>
    <w:basedOn w:val="1"/>
    <w:qFormat/>
    <w:uiPriority w:val="0"/>
    <w:pPr>
      <w:tabs>
        <w:tab w:val="left" w:pos="360"/>
      </w:tabs>
      <w:autoSpaceDE/>
      <w:autoSpaceDN/>
      <w:adjustRightInd/>
    </w:pPr>
    <w:rPr>
      <w:color w:val="auto"/>
      <w:kern w:val="2"/>
      <w:sz w:val="24"/>
      <w:szCs w:val="24"/>
    </w:rPr>
  </w:style>
  <w:style w:type="paragraph" w:customStyle="1" w:styleId="125">
    <w:name w:val="p20"/>
    <w:basedOn w:val="1"/>
    <w:qFormat/>
    <w:uiPriority w:val="0"/>
    <w:pPr>
      <w:widowControl/>
      <w:autoSpaceDE/>
      <w:autoSpaceDN/>
      <w:adjustRightInd/>
      <w:ind w:left="425" w:firstLine="420"/>
    </w:pPr>
    <w:rPr>
      <w:rFonts w:ascii="Calibri" w:hAnsi="Calibri" w:cs="宋体"/>
      <w:color w:val="auto"/>
    </w:rPr>
  </w:style>
  <w:style w:type="paragraph" w:customStyle="1" w:styleId="126">
    <w:name w:val="p22"/>
    <w:basedOn w:val="1"/>
    <w:qFormat/>
    <w:uiPriority w:val="0"/>
    <w:pPr>
      <w:widowControl/>
      <w:autoSpaceDE/>
      <w:autoSpaceDN/>
      <w:adjustRightInd/>
      <w:jc w:val="left"/>
    </w:pPr>
    <w:rPr>
      <w:color w:val="auto"/>
      <w:sz w:val="18"/>
      <w:szCs w:val="18"/>
    </w:rPr>
  </w:style>
  <w:style w:type="paragraph" w:customStyle="1" w:styleId="127">
    <w:name w:val="列出段落1"/>
    <w:basedOn w:val="1"/>
    <w:qFormat/>
    <w:uiPriority w:val="99"/>
    <w:pPr>
      <w:autoSpaceDE/>
      <w:autoSpaceDN/>
      <w:adjustRightInd/>
      <w:ind w:firstLine="420" w:firstLineChars="200"/>
    </w:pPr>
    <w:rPr>
      <w:color w:val="auto"/>
      <w:kern w:val="2"/>
      <w:szCs w:val="24"/>
    </w:rPr>
  </w:style>
  <w:style w:type="paragraph" w:customStyle="1" w:styleId="128">
    <w:name w:val="p15"/>
    <w:basedOn w:val="1"/>
    <w:qFormat/>
    <w:uiPriority w:val="0"/>
    <w:pPr>
      <w:widowControl/>
      <w:autoSpaceDE/>
      <w:autoSpaceDN/>
      <w:adjustRightInd/>
      <w:snapToGrid w:val="0"/>
    </w:pPr>
  </w:style>
  <w:style w:type="paragraph" w:customStyle="1" w:styleId="129">
    <w:name w:val="Char"/>
    <w:basedOn w:val="1"/>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30">
    <w:name w:val="列项"/>
    <w:basedOn w:val="1"/>
    <w:next w:val="1"/>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31">
    <w:name w:val="p16"/>
    <w:basedOn w:val="1"/>
    <w:qFormat/>
    <w:uiPriority w:val="0"/>
    <w:pPr>
      <w:widowControl/>
      <w:autoSpaceDE/>
      <w:autoSpaceDN/>
      <w:adjustRightInd/>
    </w:pPr>
    <w:rPr>
      <w:color w:val="auto"/>
      <w:sz w:val="24"/>
      <w:szCs w:val="24"/>
    </w:rPr>
  </w:style>
  <w:style w:type="paragraph" w:customStyle="1" w:styleId="132">
    <w:name w:val="样式4"/>
    <w:basedOn w:val="3"/>
    <w:qFormat/>
    <w:uiPriority w:val="0"/>
    <w:pPr>
      <w:autoSpaceDE/>
      <w:autoSpaceDN/>
      <w:adjustRightInd/>
      <w:spacing w:line="480" w:lineRule="auto"/>
    </w:pPr>
    <w:rPr>
      <w:bCs/>
      <w:color w:val="auto"/>
      <w:sz w:val="32"/>
      <w:szCs w:val="44"/>
    </w:rPr>
  </w:style>
  <w:style w:type="paragraph" w:customStyle="1" w:styleId="133">
    <w:name w:val="正文文本首行缩进 21"/>
    <w:basedOn w:val="134"/>
    <w:qFormat/>
    <w:uiPriority w:val="0"/>
    <w:pPr>
      <w:ind w:firstLine="420"/>
    </w:pPr>
    <w:rPr>
      <w:rFonts w:cs="宋体"/>
    </w:rPr>
  </w:style>
  <w:style w:type="paragraph" w:customStyle="1" w:styleId="134">
    <w:name w:val="正文文本缩进1"/>
    <w:basedOn w:val="1"/>
    <w:next w:val="1"/>
    <w:qFormat/>
    <w:uiPriority w:val="0"/>
    <w:pPr>
      <w:spacing w:after="120"/>
      <w:ind w:left="420" w:leftChars="200"/>
    </w:pPr>
  </w:style>
  <w:style w:type="paragraph" w:customStyle="1" w:styleId="135">
    <w:name w:val="Char Char Char Char Char Char Char Char Char Char Char Char Char Char Char Char Char Char Char"/>
    <w:basedOn w:val="1"/>
    <w:qFormat/>
    <w:uiPriority w:val="0"/>
    <w:pPr>
      <w:autoSpaceDE/>
      <w:autoSpaceDN/>
      <w:adjustRightInd/>
    </w:pPr>
    <w:rPr>
      <w:color w:val="auto"/>
      <w:kern w:val="2"/>
      <w:szCs w:val="24"/>
    </w:rPr>
  </w:style>
  <w:style w:type="paragraph" w:customStyle="1" w:styleId="136">
    <w:name w:val="p23"/>
    <w:basedOn w:val="1"/>
    <w:qFormat/>
    <w:uiPriority w:val="0"/>
    <w:pPr>
      <w:widowControl/>
      <w:pBdr>
        <w:bottom w:val="single" w:color="000000" w:sz="6" w:space="1"/>
      </w:pBdr>
      <w:autoSpaceDE/>
      <w:autoSpaceDN/>
      <w:adjustRightInd/>
      <w:jc w:val="center"/>
    </w:pPr>
    <w:rPr>
      <w:color w:val="auto"/>
      <w:sz w:val="18"/>
      <w:szCs w:val="18"/>
    </w:rPr>
  </w:style>
  <w:style w:type="paragraph" w:customStyle="1" w:styleId="137">
    <w:name w:val="p21"/>
    <w:basedOn w:val="1"/>
    <w:qFormat/>
    <w:uiPriority w:val="0"/>
    <w:pPr>
      <w:widowControl/>
      <w:autoSpaceDE/>
      <w:autoSpaceDN/>
      <w:adjustRightInd/>
      <w:jc w:val="left"/>
    </w:pPr>
    <w:rPr>
      <w:color w:val="auto"/>
    </w:rPr>
  </w:style>
  <w:style w:type="paragraph" w:customStyle="1" w:styleId="1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题注居中"/>
    <w:basedOn w:val="17"/>
    <w:next w:val="1"/>
    <w:qFormat/>
    <w:uiPriority w:val="0"/>
    <w:pPr>
      <w:spacing w:after="120" w:line="240" w:lineRule="exact"/>
      <w:ind w:firstLine="0" w:firstLineChars="0"/>
      <w:jc w:val="center"/>
    </w:pPr>
    <w:rPr>
      <w:rFonts w:ascii="宋体" w:hAnsi="宋体" w:eastAsia="宋体" w:cs="宋体"/>
      <w:b/>
      <w:sz w:val="21"/>
    </w:rPr>
  </w:style>
  <w:style w:type="paragraph" w:customStyle="1" w:styleId="141">
    <w:name w:val="Char Char Char Char Char Char"/>
    <w:basedOn w:val="1"/>
    <w:qFormat/>
    <w:uiPriority w:val="0"/>
    <w:pPr>
      <w:widowControl/>
      <w:autoSpaceDE/>
      <w:autoSpaceDN/>
      <w:adjustRightInd/>
      <w:spacing w:after="160" w:line="240" w:lineRule="exact"/>
      <w:jc w:val="left"/>
    </w:pPr>
    <w:rPr>
      <w:color w:val="auto"/>
      <w:kern w:val="2"/>
      <w:szCs w:val="24"/>
    </w:rPr>
  </w:style>
  <w:style w:type="paragraph" w:customStyle="1" w:styleId="142">
    <w:name w:val="Char Char Char Char1"/>
    <w:basedOn w:val="1"/>
    <w:qFormat/>
    <w:uiPriority w:val="0"/>
    <w:pPr>
      <w:autoSpaceDE/>
      <w:autoSpaceDN/>
      <w:adjustRightInd/>
    </w:pPr>
    <w:rPr>
      <w:rFonts w:ascii="Tahoma" w:hAnsi="Tahoma"/>
      <w:color w:val="auto"/>
      <w:kern w:val="2"/>
      <w:sz w:val="24"/>
      <w:szCs w:val="20"/>
    </w:rPr>
  </w:style>
  <w:style w:type="paragraph" w:customStyle="1" w:styleId="143">
    <w:name w:val="p17"/>
    <w:basedOn w:val="1"/>
    <w:qFormat/>
    <w:uiPriority w:val="0"/>
    <w:pPr>
      <w:widowControl/>
      <w:autoSpaceDE/>
      <w:autoSpaceDN/>
      <w:adjustRightInd/>
      <w:ind w:left="2520"/>
    </w:pPr>
    <w:rPr>
      <w:color w:val="auto"/>
    </w:rPr>
  </w:style>
  <w:style w:type="paragraph" w:customStyle="1" w:styleId="144">
    <w:name w:val="表格内"/>
    <w:basedOn w:val="1"/>
    <w:qFormat/>
    <w:uiPriority w:val="0"/>
    <w:rPr>
      <w:rFonts w:cs="宋体"/>
      <w:szCs w:val="20"/>
    </w:rPr>
  </w:style>
  <w:style w:type="paragraph" w:customStyle="1" w:styleId="145">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6">
    <w:name w:val="p19"/>
    <w:basedOn w:val="1"/>
    <w:qFormat/>
    <w:uiPriority w:val="0"/>
    <w:pPr>
      <w:widowControl/>
      <w:autoSpaceDE/>
      <w:autoSpaceDN/>
      <w:adjustRightInd/>
      <w:spacing w:before="156" w:after="156" w:line="360" w:lineRule="auto"/>
      <w:ind w:firstLine="420"/>
    </w:pPr>
    <w:rPr>
      <w:color w:val="auto"/>
      <w:sz w:val="24"/>
      <w:szCs w:val="24"/>
    </w:rPr>
  </w:style>
  <w:style w:type="paragraph" w:customStyle="1" w:styleId="147">
    <w:name w:val="Char Char"/>
    <w:basedOn w:val="1"/>
    <w:qFormat/>
    <w:uiPriority w:val="0"/>
    <w:pPr>
      <w:autoSpaceDE/>
      <w:autoSpaceDN/>
      <w:adjustRightInd/>
    </w:pPr>
    <w:rPr>
      <w:rFonts w:ascii="仿宋_GB2312" w:eastAsia="仿宋_GB2312"/>
      <w:b/>
      <w:color w:val="auto"/>
      <w:kern w:val="2"/>
      <w:sz w:val="32"/>
      <w:szCs w:val="32"/>
    </w:rPr>
  </w:style>
  <w:style w:type="paragraph" w:customStyle="1" w:styleId="148">
    <w:name w:val="p18"/>
    <w:basedOn w:val="1"/>
    <w:qFormat/>
    <w:uiPriority w:val="0"/>
    <w:pPr>
      <w:widowControl/>
      <w:autoSpaceDE/>
      <w:autoSpaceDN/>
      <w:adjustRightInd/>
      <w:snapToGrid w:val="0"/>
      <w:jc w:val="left"/>
    </w:pPr>
    <w:rPr>
      <w:sz w:val="24"/>
      <w:szCs w:val="24"/>
    </w:rPr>
  </w:style>
  <w:style w:type="paragraph" w:customStyle="1" w:styleId="149">
    <w:name w:val="标题1"/>
    <w:basedOn w:val="1"/>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50">
    <w:name w:val="文档正文"/>
    <w:basedOn w:val="1"/>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51">
    <w:name w:val="样式 正文缩进首行缩进两字 + 小四 首行缩进:  2 字符"/>
    <w:basedOn w:val="9"/>
    <w:qFormat/>
    <w:uiPriority w:val="0"/>
    <w:pPr>
      <w:spacing w:line="360" w:lineRule="auto"/>
      <w:ind w:firstLine="200" w:firstLineChars="200"/>
    </w:pPr>
    <w:rPr>
      <w:rFonts w:cs="宋体"/>
      <w:sz w:val="24"/>
    </w:rPr>
  </w:style>
  <w:style w:type="character" w:customStyle="1" w:styleId="152">
    <w:name w:val="font91"/>
    <w:qFormat/>
    <w:uiPriority w:val="0"/>
    <w:rPr>
      <w:rFonts w:hint="eastAsia" w:ascii="宋体" w:hAnsi="宋体" w:eastAsia="宋体" w:cs="宋体"/>
      <w:color w:val="auto"/>
      <w:sz w:val="18"/>
      <w:szCs w:val="18"/>
      <w:u w:val="none"/>
    </w:rPr>
  </w:style>
  <w:style w:type="paragraph" w:styleId="153">
    <w:name w:val="No Spacing"/>
    <w:link w:val="189"/>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4">
    <w:name w:val="正文文本 3 Char"/>
    <w:basedOn w:val="51"/>
    <w:link w:val="21"/>
    <w:qFormat/>
    <w:uiPriority w:val="0"/>
    <w:rPr>
      <w:rFonts w:ascii="Times New Roman" w:hAnsi="Times New Roman" w:eastAsia="宋体" w:cs="Times New Roman"/>
      <w:color w:val="000000"/>
      <w:kern w:val="0"/>
      <w:sz w:val="16"/>
      <w:szCs w:val="16"/>
    </w:rPr>
  </w:style>
  <w:style w:type="paragraph" w:customStyle="1" w:styleId="15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纯文本1"/>
    <w:basedOn w:val="1"/>
    <w:qFormat/>
    <w:uiPriority w:val="0"/>
    <w:pPr>
      <w:autoSpaceDE/>
      <w:autoSpaceDN/>
      <w:adjustRightInd/>
      <w:ind w:firstLine="280" w:firstLineChars="100"/>
    </w:pPr>
    <w:rPr>
      <w:rFonts w:hAnsi="宋体" w:cs="Courier New"/>
      <w:color w:val="auto"/>
      <w:kern w:val="2"/>
      <w:szCs w:val="20"/>
    </w:rPr>
  </w:style>
  <w:style w:type="character" w:customStyle="1" w:styleId="157">
    <w:name w:val="apple-converted-space"/>
    <w:basedOn w:val="51"/>
    <w:qFormat/>
    <w:uiPriority w:val="0"/>
  </w:style>
  <w:style w:type="character" w:customStyle="1" w:styleId="158">
    <w:name w:val="正文首行缩进 Char"/>
    <w:basedOn w:val="121"/>
    <w:link w:val="48"/>
    <w:qFormat/>
    <w:uiPriority w:val="99"/>
    <w:rPr>
      <w:rFonts w:ascii="Times New Roman" w:hAnsi="Times New Roman" w:eastAsia="宋体" w:cs="Times New Roman"/>
      <w:color w:val="000000"/>
      <w:kern w:val="0"/>
      <w:sz w:val="21"/>
      <w:szCs w:val="21"/>
    </w:rPr>
  </w:style>
  <w:style w:type="character" w:customStyle="1" w:styleId="159">
    <w:name w:val="标题 5 Char"/>
    <w:basedOn w:val="51"/>
    <w:link w:val="7"/>
    <w:qFormat/>
    <w:uiPriority w:val="0"/>
    <w:rPr>
      <w:rFonts w:ascii="Times New Roman" w:hAnsi="Times New Roman" w:eastAsia="宋体" w:cs="Times New Roman"/>
      <w:b/>
      <w:bCs/>
      <w:color w:val="000000"/>
      <w:kern w:val="2"/>
      <w:sz w:val="28"/>
      <w:szCs w:val="28"/>
    </w:rPr>
  </w:style>
  <w:style w:type="character" w:customStyle="1" w:styleId="160">
    <w:name w:val="标题 6 Char"/>
    <w:basedOn w:val="51"/>
    <w:link w:val="8"/>
    <w:qFormat/>
    <w:uiPriority w:val="0"/>
    <w:rPr>
      <w:rFonts w:ascii="Times New Roman" w:hAnsi="Times New Roman" w:eastAsia="宋体" w:cs="Times New Roman"/>
      <w:color w:val="000000"/>
      <w:kern w:val="24"/>
      <w:sz w:val="24"/>
      <w:szCs w:val="24"/>
    </w:rPr>
  </w:style>
  <w:style w:type="character" w:customStyle="1" w:styleId="161">
    <w:name w:val="标题 7 Char"/>
    <w:basedOn w:val="51"/>
    <w:link w:val="10"/>
    <w:qFormat/>
    <w:uiPriority w:val="0"/>
    <w:rPr>
      <w:rFonts w:ascii="Times New Roman" w:hAnsi="Times New Roman" w:eastAsia="宋体" w:cs="Times New Roman"/>
      <w:color w:val="000000"/>
      <w:spacing w:val="2"/>
      <w:kern w:val="24"/>
      <w:sz w:val="24"/>
      <w:szCs w:val="24"/>
    </w:rPr>
  </w:style>
  <w:style w:type="character" w:customStyle="1" w:styleId="162">
    <w:name w:val="标题 8 Char"/>
    <w:basedOn w:val="51"/>
    <w:link w:val="11"/>
    <w:qFormat/>
    <w:uiPriority w:val="0"/>
    <w:rPr>
      <w:rFonts w:ascii="Times New Roman" w:hAnsi="Times New Roman" w:eastAsia="宋体" w:cs="Times New Roman"/>
      <w:color w:val="000000"/>
      <w:kern w:val="24"/>
      <w:sz w:val="24"/>
      <w:szCs w:val="24"/>
    </w:rPr>
  </w:style>
  <w:style w:type="character" w:customStyle="1" w:styleId="163">
    <w:name w:val="标题 9 Char"/>
    <w:basedOn w:val="51"/>
    <w:link w:val="12"/>
    <w:qFormat/>
    <w:uiPriority w:val="0"/>
    <w:rPr>
      <w:rFonts w:ascii="Arial" w:hAnsi="Arial" w:eastAsia="黑体" w:cs="Times New Roman"/>
      <w:kern w:val="2"/>
      <w:sz w:val="21"/>
      <w:szCs w:val="24"/>
    </w:rPr>
  </w:style>
  <w:style w:type="character" w:customStyle="1" w:styleId="164">
    <w:name w:val="!我的正文 Ctr+Q Char"/>
    <w:link w:val="165"/>
    <w:qFormat/>
    <w:uiPriority w:val="0"/>
    <w:rPr>
      <w:rFonts w:ascii="Arial" w:hAnsi="Arial"/>
      <w:sz w:val="24"/>
      <w:szCs w:val="21"/>
    </w:rPr>
  </w:style>
  <w:style w:type="paragraph" w:customStyle="1" w:styleId="165">
    <w:name w:val="!我的正文 Ctr+Q"/>
    <w:basedOn w:val="1"/>
    <w:link w:val="164"/>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66">
    <w:name w:val="Char Char14"/>
    <w:qFormat/>
    <w:uiPriority w:val="0"/>
    <w:rPr>
      <w:rFonts w:eastAsia="宋体"/>
      <w:kern w:val="2"/>
      <w:sz w:val="24"/>
      <w:lang w:val="en-US" w:eastAsia="zh-CN" w:bidi="ar-SA"/>
    </w:rPr>
  </w:style>
  <w:style w:type="character" w:customStyle="1" w:styleId="167">
    <w:name w:val="小点说明 Char Char"/>
    <w:link w:val="168"/>
    <w:qFormat/>
    <w:uiPriority w:val="0"/>
    <w:rPr>
      <w:rFonts w:eastAsia="宋体"/>
      <w:kern w:val="2"/>
      <w:sz w:val="21"/>
      <w:szCs w:val="24"/>
    </w:rPr>
  </w:style>
  <w:style w:type="paragraph" w:customStyle="1" w:styleId="168">
    <w:name w:val="小点说明"/>
    <w:basedOn w:val="1"/>
    <w:link w:val="167"/>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69">
    <w:name w:val="纯文本 Char"/>
    <w:qFormat/>
    <w:uiPriority w:val="0"/>
    <w:rPr>
      <w:rFonts w:ascii="宋体" w:hAnsi="Courier New" w:cs="Courier New"/>
      <w:kern w:val="2"/>
      <w:sz w:val="21"/>
      <w:szCs w:val="21"/>
    </w:rPr>
  </w:style>
  <w:style w:type="character" w:customStyle="1" w:styleId="170">
    <w:name w:val="Char Char9"/>
    <w:qFormat/>
    <w:uiPriority w:val="0"/>
    <w:rPr>
      <w:rFonts w:eastAsia="宋体"/>
      <w:color w:val="000000"/>
      <w:sz w:val="21"/>
      <w:szCs w:val="21"/>
      <w:lang w:val="en-US" w:eastAsia="zh-CN" w:bidi="ar-SA"/>
    </w:rPr>
  </w:style>
  <w:style w:type="character" w:customStyle="1" w:styleId="171">
    <w:name w:val="Char Char24"/>
    <w:qFormat/>
    <w:uiPriority w:val="0"/>
    <w:rPr>
      <w:rFonts w:eastAsia="宋体"/>
      <w:b/>
      <w:color w:val="000000"/>
      <w:sz w:val="32"/>
      <w:szCs w:val="21"/>
      <w:lang w:val="en-US" w:eastAsia="zh-CN" w:bidi="ar-SA"/>
    </w:rPr>
  </w:style>
  <w:style w:type="character" w:customStyle="1" w:styleId="172">
    <w:name w:val="文章样式1 Char Char"/>
    <w:link w:val="173"/>
    <w:qFormat/>
    <w:uiPriority w:val="0"/>
    <w:rPr>
      <w:rFonts w:ascii="宋体" w:hAnsi="宋体" w:eastAsia="Times New Roman" w:cs="宋体"/>
      <w:b/>
      <w:kern w:val="2"/>
      <w:sz w:val="21"/>
    </w:rPr>
  </w:style>
  <w:style w:type="paragraph" w:customStyle="1" w:styleId="173">
    <w:name w:val="文章样式1"/>
    <w:link w:val="172"/>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74">
    <w:name w:val="Char Char10"/>
    <w:qFormat/>
    <w:uiPriority w:val="0"/>
    <w:rPr>
      <w:rFonts w:eastAsia="宋体"/>
      <w:color w:val="000000"/>
      <w:sz w:val="18"/>
      <w:szCs w:val="18"/>
      <w:lang w:val="en-US" w:eastAsia="zh-CN" w:bidi="ar-SA"/>
    </w:rPr>
  </w:style>
  <w:style w:type="character" w:customStyle="1" w:styleId="175">
    <w:name w:val="样式 正文首行缩进 2 + 左侧:  2 字符 首行缩进:  2 字符1 Char Char"/>
    <w:link w:val="176"/>
    <w:qFormat/>
    <w:uiPriority w:val="0"/>
    <w:rPr>
      <w:rFonts w:ascii="宋体" w:hAnsi="宋体" w:eastAsia="Times New Roman" w:cs="宋体"/>
      <w:color w:val="000000"/>
      <w:kern w:val="2"/>
      <w:sz w:val="21"/>
      <w:szCs w:val="21"/>
    </w:rPr>
  </w:style>
  <w:style w:type="paragraph" w:customStyle="1" w:styleId="176">
    <w:name w:val="样式 正文首行缩进 2 + 左侧:  2 字符 首行缩进:  2 字符1"/>
    <w:next w:val="1"/>
    <w:link w:val="175"/>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7">
    <w:name w:val="Char Char15"/>
    <w:qFormat/>
    <w:uiPriority w:val="0"/>
    <w:rPr>
      <w:rFonts w:eastAsia="宋体"/>
      <w:kern w:val="2"/>
      <w:sz w:val="21"/>
      <w:lang w:val="en-US" w:eastAsia="zh-CN" w:bidi="ar-SA"/>
    </w:rPr>
  </w:style>
  <w:style w:type="character" w:customStyle="1" w:styleId="178">
    <w:name w:val="style21"/>
    <w:qFormat/>
    <w:uiPriority w:val="0"/>
    <w:rPr>
      <w:color w:val="FFFFFF"/>
    </w:rPr>
  </w:style>
  <w:style w:type="character" w:customStyle="1" w:styleId="179">
    <w:name w:val="文章标题3级 Char Char"/>
    <w:link w:val="180"/>
    <w:qFormat/>
    <w:uiPriority w:val="0"/>
    <w:rPr>
      <w:rFonts w:eastAsia="宋体"/>
      <w:b/>
      <w:bCs/>
      <w:caps/>
      <w:color w:val="000000"/>
      <w:kern w:val="2"/>
      <w:sz w:val="24"/>
      <w:szCs w:val="18"/>
    </w:rPr>
  </w:style>
  <w:style w:type="paragraph" w:customStyle="1" w:styleId="180">
    <w:name w:val="文章标题3级"/>
    <w:basedOn w:val="181"/>
    <w:next w:val="1"/>
    <w:link w:val="179"/>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81">
    <w:name w:val="文章标题2级"/>
    <w:basedOn w:val="182"/>
    <w:next w:val="1"/>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82">
    <w:name w:val="文章标题1级"/>
    <w:next w:val="1"/>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83">
    <w:name w:val="Char Char131"/>
    <w:qFormat/>
    <w:uiPriority w:val="0"/>
    <w:rPr>
      <w:rFonts w:eastAsia="宋体"/>
      <w:color w:val="000000"/>
      <w:sz w:val="21"/>
      <w:szCs w:val="21"/>
      <w:lang w:val="en-US" w:eastAsia="zh-CN" w:bidi="ar-SA"/>
    </w:rPr>
  </w:style>
  <w:style w:type="character" w:customStyle="1" w:styleId="184">
    <w:name w:val="正文文本 Char Char"/>
    <w:qFormat/>
    <w:uiPriority w:val="0"/>
    <w:rPr>
      <w:rFonts w:ascii="Calibri" w:hAnsi="Calibri" w:eastAsia="宋体"/>
      <w:kern w:val="2"/>
      <w:sz w:val="21"/>
      <w:szCs w:val="22"/>
      <w:lang w:val="en-US" w:eastAsia="zh-CN" w:bidi="ar-SA"/>
    </w:rPr>
  </w:style>
  <w:style w:type="character" w:customStyle="1" w:styleId="185">
    <w:name w:val="正文缩进 Char"/>
    <w:qFormat/>
    <w:uiPriority w:val="99"/>
    <w:rPr>
      <w:rFonts w:eastAsia="宋体"/>
      <w:kern w:val="2"/>
      <w:sz w:val="21"/>
      <w:lang w:val="en-US" w:eastAsia="zh-CN" w:bidi="ar-SA"/>
    </w:rPr>
  </w:style>
  <w:style w:type="character" w:customStyle="1" w:styleId="186">
    <w:name w:val="页脚 Char"/>
    <w:qFormat/>
    <w:uiPriority w:val="99"/>
    <w:rPr>
      <w:sz w:val="18"/>
      <w:szCs w:val="18"/>
    </w:rPr>
  </w:style>
  <w:style w:type="character" w:customStyle="1" w:styleId="187">
    <w:name w:val="页眉 Char"/>
    <w:qFormat/>
    <w:uiPriority w:val="0"/>
    <w:rPr>
      <w:rFonts w:ascii="Times New Roman" w:hAnsi="Times New Roman"/>
      <w:kern w:val="2"/>
      <w:sz w:val="18"/>
      <w:szCs w:val="18"/>
    </w:rPr>
  </w:style>
  <w:style w:type="character" w:customStyle="1" w:styleId="188">
    <w:name w:val="Char Char18"/>
    <w:qFormat/>
    <w:uiPriority w:val="0"/>
    <w:rPr>
      <w:rFonts w:eastAsia="宋体"/>
      <w:kern w:val="2"/>
      <w:sz w:val="21"/>
      <w:szCs w:val="24"/>
      <w:lang w:val="en-US" w:eastAsia="zh-CN" w:bidi="ar-SA"/>
    </w:rPr>
  </w:style>
  <w:style w:type="character" w:customStyle="1" w:styleId="189">
    <w:name w:val="无间隔 Char"/>
    <w:link w:val="153"/>
    <w:qFormat/>
    <w:uiPriority w:val="0"/>
    <w:rPr>
      <w:rFonts w:ascii="Times New Roman" w:hAnsi="Times New Roman" w:eastAsia="宋体" w:cs="Times New Roman"/>
      <w:color w:val="000000"/>
      <w:sz w:val="21"/>
      <w:szCs w:val="21"/>
    </w:rPr>
  </w:style>
  <w:style w:type="character" w:customStyle="1" w:styleId="190">
    <w:name w:val="正文文字2 Char Char"/>
    <w:qFormat/>
    <w:uiPriority w:val="0"/>
    <w:rPr>
      <w:rFonts w:ascii="Arial" w:eastAsia="黑体"/>
      <w:sz w:val="21"/>
      <w:lang w:val="en-US" w:eastAsia="zh-CN" w:bidi="ar-SA"/>
    </w:rPr>
  </w:style>
  <w:style w:type="character" w:customStyle="1" w:styleId="191">
    <w:name w:val="Char Char27"/>
    <w:qFormat/>
    <w:uiPriority w:val="0"/>
    <w:rPr>
      <w:rFonts w:eastAsia="宋体"/>
      <w:b/>
      <w:color w:val="000000"/>
      <w:kern w:val="44"/>
      <w:sz w:val="44"/>
      <w:szCs w:val="21"/>
      <w:lang w:val="en-US" w:eastAsia="zh-CN" w:bidi="ar-SA"/>
    </w:rPr>
  </w:style>
  <w:style w:type="character" w:customStyle="1" w:styleId="192">
    <w:name w:val="style31"/>
    <w:qFormat/>
    <w:uiPriority w:val="0"/>
    <w:rPr>
      <w:b/>
      <w:bCs/>
      <w:color w:val="0033CC"/>
    </w:rPr>
  </w:style>
  <w:style w:type="character" w:customStyle="1" w:styleId="193">
    <w:name w:val="Char Char111"/>
    <w:qFormat/>
    <w:uiPriority w:val="0"/>
    <w:rPr>
      <w:rFonts w:eastAsia="宋体"/>
      <w:color w:val="000000"/>
      <w:sz w:val="21"/>
      <w:szCs w:val="21"/>
      <w:lang w:val="en-US" w:eastAsia="zh-CN" w:bidi="ar-SA"/>
    </w:rPr>
  </w:style>
  <w:style w:type="character" w:customStyle="1" w:styleId="194">
    <w:name w:val="Char Char26"/>
    <w:qFormat/>
    <w:uiPriority w:val="0"/>
    <w:rPr>
      <w:b/>
      <w:color w:val="000000"/>
      <w:kern w:val="44"/>
      <w:sz w:val="44"/>
      <w:szCs w:val="21"/>
      <w:lang w:val="en-US" w:eastAsia="zh-CN" w:bidi="ar-SA"/>
    </w:rPr>
  </w:style>
  <w:style w:type="character" w:customStyle="1" w:styleId="195">
    <w:name w:val="小标题 Char Char"/>
    <w:link w:val="196"/>
    <w:qFormat/>
    <w:uiPriority w:val="0"/>
    <w:rPr>
      <w:rFonts w:ascii="宋体" w:hAnsi="宋体" w:eastAsia="宋体"/>
      <w:b/>
      <w:sz w:val="24"/>
      <w:szCs w:val="24"/>
    </w:rPr>
  </w:style>
  <w:style w:type="paragraph" w:customStyle="1" w:styleId="196">
    <w:name w:val="小标题"/>
    <w:basedOn w:val="1"/>
    <w:next w:val="1"/>
    <w:link w:val="195"/>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97">
    <w:name w:val="正文首缩两字 Char Char"/>
    <w:link w:val="198"/>
    <w:qFormat/>
    <w:uiPriority w:val="0"/>
    <w:rPr>
      <w:rFonts w:ascii="Verdana" w:hAnsi="Verdana" w:eastAsia="宋体"/>
      <w:kern w:val="2"/>
      <w:sz w:val="24"/>
      <w:szCs w:val="24"/>
    </w:rPr>
  </w:style>
  <w:style w:type="paragraph" w:customStyle="1" w:styleId="198">
    <w:name w:val="正文首缩两字"/>
    <w:basedOn w:val="1"/>
    <w:link w:val="197"/>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199">
    <w:name w:val="正文2 Char Char"/>
    <w:link w:val="200"/>
    <w:qFormat/>
    <w:locked/>
    <w:uiPriority w:val="0"/>
    <w:rPr>
      <w:rFonts w:ascii="楷体" w:hAnsi="Verdana" w:eastAsia="楷体"/>
      <w:kern w:val="2"/>
      <w:sz w:val="24"/>
      <w:szCs w:val="24"/>
    </w:rPr>
  </w:style>
  <w:style w:type="paragraph" w:customStyle="1" w:styleId="200">
    <w:name w:val="正文2"/>
    <w:basedOn w:val="1"/>
    <w:link w:val="199"/>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201">
    <w:name w:val="文字 Char Char"/>
    <w:link w:val="202"/>
    <w:qFormat/>
    <w:uiPriority w:val="0"/>
    <w:rPr>
      <w:rFonts w:ascii="宋体" w:hAnsi="宋体"/>
      <w:kern w:val="2"/>
      <w:sz w:val="28"/>
    </w:rPr>
  </w:style>
  <w:style w:type="paragraph" w:customStyle="1" w:styleId="202">
    <w:name w:val="文字"/>
    <w:basedOn w:val="1"/>
    <w:link w:val="201"/>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203">
    <w:name w:val="Char Char25"/>
    <w:qFormat/>
    <w:uiPriority w:val="0"/>
    <w:rPr>
      <w:rFonts w:ascii="Arial" w:hAnsi="Arial" w:eastAsia="黑体"/>
      <w:b/>
      <w:bCs/>
      <w:kern w:val="2"/>
      <w:sz w:val="32"/>
      <w:szCs w:val="32"/>
      <w:lang w:val="en-US" w:eastAsia="zh-CN" w:bidi="ar-SA"/>
    </w:rPr>
  </w:style>
  <w:style w:type="character" w:customStyle="1" w:styleId="204">
    <w:name w:val="强调1"/>
    <w:qFormat/>
    <w:uiPriority w:val="0"/>
    <w:rPr>
      <w:rFonts w:ascii="Arial Black" w:hAnsi="Arial Black" w:eastAsia="黑体"/>
      <w:b/>
      <w:spacing w:val="0"/>
      <w:sz w:val="21"/>
    </w:rPr>
  </w:style>
  <w:style w:type="character" w:customStyle="1" w:styleId="205">
    <w:name w:val="文档结构图 Char"/>
    <w:qFormat/>
    <w:uiPriority w:val="0"/>
    <w:rPr>
      <w:rFonts w:ascii="Times New Roman" w:hAnsi="Times New Roman" w:eastAsia="??" w:cs="Times New Roman"/>
      <w:sz w:val="28"/>
      <w:szCs w:val="28"/>
      <w:shd w:val="clear" w:color="auto" w:fill="000080"/>
    </w:rPr>
  </w:style>
  <w:style w:type="character" w:customStyle="1" w:styleId="206">
    <w:name w:val="标题 Char"/>
    <w:basedOn w:val="51"/>
    <w:link w:val="46"/>
    <w:qFormat/>
    <w:uiPriority w:val="0"/>
    <w:rPr>
      <w:rFonts w:ascii="Arial" w:hAnsi="Arial" w:eastAsia="宋体" w:cs="Times New Roman"/>
      <w:b/>
      <w:bCs/>
      <w:color w:val="000000"/>
      <w:kern w:val="2"/>
      <w:sz w:val="32"/>
      <w:szCs w:val="32"/>
    </w:rPr>
  </w:style>
  <w:style w:type="character" w:customStyle="1" w:styleId="207">
    <w:name w:val="正文文本 2 Char"/>
    <w:basedOn w:val="51"/>
    <w:link w:val="42"/>
    <w:qFormat/>
    <w:uiPriority w:val="0"/>
    <w:rPr>
      <w:rFonts w:ascii="Times New Roman" w:hAnsi="Times New Roman" w:eastAsia="宋体" w:cs="Times New Roman"/>
      <w:color w:val="000000"/>
      <w:kern w:val="2"/>
      <w:sz w:val="21"/>
      <w:szCs w:val="22"/>
    </w:rPr>
  </w:style>
  <w:style w:type="paragraph" w:customStyle="1" w:styleId="208">
    <w:name w:val="正文缩进1"/>
    <w:basedOn w:val="1"/>
    <w:qFormat/>
    <w:uiPriority w:val="0"/>
    <w:pPr>
      <w:autoSpaceDE/>
      <w:autoSpaceDN/>
      <w:adjustRightInd/>
      <w:ind w:firstLine="420"/>
    </w:pPr>
    <w:rPr>
      <w:color w:val="auto"/>
      <w:kern w:val="2"/>
      <w:szCs w:val="20"/>
    </w:rPr>
  </w:style>
  <w:style w:type="paragraph" w:customStyle="1" w:styleId="209">
    <w:name w:val="Char Char Char Char"/>
    <w:basedOn w:val="1"/>
    <w:qFormat/>
    <w:uiPriority w:val="0"/>
    <w:pPr>
      <w:autoSpaceDE/>
      <w:autoSpaceDN/>
      <w:adjustRightInd/>
    </w:pPr>
    <w:rPr>
      <w:color w:val="auto"/>
      <w:kern w:val="2"/>
      <w:szCs w:val="20"/>
    </w:rPr>
  </w:style>
  <w:style w:type="paragraph" w:customStyle="1" w:styleId="210">
    <w:name w:val="文章标题4级"/>
    <w:basedOn w:val="180"/>
    <w:next w:val="1"/>
    <w:qFormat/>
    <w:uiPriority w:val="0"/>
    <w:pPr>
      <w:tabs>
        <w:tab w:val="left" w:pos="1034"/>
        <w:tab w:val="left" w:pos="2760"/>
        <w:tab w:val="clear" w:pos="1560"/>
      </w:tabs>
      <w:outlineLvl w:val="3"/>
    </w:pPr>
    <w:rPr>
      <w:color w:val="auto"/>
    </w:rPr>
  </w:style>
  <w:style w:type="paragraph" w:customStyle="1" w:styleId="211">
    <w:name w:val="封面正文"/>
    <w:qFormat/>
    <w:uiPriority w:val="0"/>
    <w:pPr>
      <w:jc w:val="both"/>
    </w:pPr>
    <w:rPr>
      <w:rFonts w:ascii="Times New Roman" w:hAnsi="Times New Roman" w:eastAsia="宋体" w:cs="Times New Roman"/>
      <w:lang w:val="en-US" w:eastAsia="zh-CN" w:bidi="ar-SA"/>
    </w:rPr>
  </w:style>
  <w:style w:type="paragraph" w:customStyle="1" w:styleId="212">
    <w:name w:val="Char Char Char"/>
    <w:basedOn w:val="1"/>
    <w:qFormat/>
    <w:uiPriority w:val="0"/>
    <w:pPr>
      <w:autoSpaceDE/>
      <w:autoSpaceDN/>
      <w:adjustRightInd/>
    </w:pPr>
    <w:rPr>
      <w:color w:val="auto"/>
      <w:kern w:val="2"/>
      <w:szCs w:val="24"/>
    </w:rPr>
  </w:style>
  <w:style w:type="paragraph" w:customStyle="1" w:styleId="213">
    <w:name w:val="1级标题"/>
    <w:basedOn w:val="1"/>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14">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5">
    <w:name w:val="3级标题"/>
    <w:basedOn w:val="1"/>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16">
    <w:name w:val="标题 6（有编号）（绿盟科技）"/>
    <w:basedOn w:val="1"/>
    <w:next w:val="1"/>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17">
    <w:name w:val="次小点说明"/>
    <w:basedOn w:val="1"/>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18">
    <w:name w:val="段落正文 Char"/>
    <w:basedOn w:val="1"/>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19">
    <w:name w:val="Table Paragraph"/>
    <w:basedOn w:val="1"/>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20">
    <w:name w:val="样式 列表编号 + 段后: 0.5 行"/>
    <w:basedOn w:val="16"/>
    <w:qFormat/>
    <w:uiPriority w:val="0"/>
    <w:pPr>
      <w:widowControl w:val="0"/>
      <w:tabs>
        <w:tab w:val="left" w:pos="360"/>
        <w:tab w:val="clear" w:pos="720"/>
      </w:tabs>
      <w:spacing w:afterLines="0"/>
      <w:jc w:val="both"/>
    </w:pPr>
    <w:rPr>
      <w:rFonts w:cs="宋体"/>
      <w:kern w:val="2"/>
      <w:sz w:val="21"/>
      <w:szCs w:val="24"/>
    </w:rPr>
  </w:style>
  <w:style w:type="paragraph" w:customStyle="1" w:styleId="221">
    <w:name w:val="Char3"/>
    <w:basedOn w:val="1"/>
    <w:qFormat/>
    <w:uiPriority w:val="0"/>
    <w:pPr>
      <w:autoSpaceDE/>
      <w:autoSpaceDN/>
      <w:adjustRightInd/>
    </w:pPr>
    <w:rPr>
      <w:rFonts w:ascii="Tahoma" w:hAnsi="Tahoma"/>
      <w:color w:val="auto"/>
      <w:kern w:val="2"/>
      <w:sz w:val="24"/>
      <w:szCs w:val="20"/>
    </w:rPr>
  </w:style>
  <w:style w:type="paragraph" w:customStyle="1" w:styleId="222">
    <w:name w:val="列表段落2"/>
    <w:basedOn w:val="1"/>
    <w:qFormat/>
    <w:uiPriority w:val="0"/>
    <w:pPr>
      <w:autoSpaceDE/>
      <w:autoSpaceDN/>
      <w:adjustRightInd/>
      <w:ind w:firstLine="420" w:firstLineChars="200"/>
    </w:pPr>
    <w:rPr>
      <w:color w:val="auto"/>
      <w:kern w:val="2"/>
      <w:szCs w:val="22"/>
    </w:rPr>
  </w:style>
  <w:style w:type="paragraph" w:customStyle="1" w:styleId="223">
    <w:name w:val="Char Char Char Char Char Char1"/>
    <w:basedOn w:val="1"/>
    <w:qFormat/>
    <w:uiPriority w:val="0"/>
    <w:pPr>
      <w:widowControl/>
      <w:autoSpaceDE/>
      <w:autoSpaceDN/>
      <w:adjustRightInd/>
      <w:spacing w:after="160" w:line="240" w:lineRule="exact"/>
      <w:jc w:val="left"/>
    </w:pPr>
    <w:rPr>
      <w:color w:val="auto"/>
      <w:kern w:val="2"/>
      <w:szCs w:val="24"/>
    </w:rPr>
  </w:style>
  <w:style w:type="paragraph" w:customStyle="1" w:styleId="224">
    <w:name w:val="默认段落字体 Para Char Char Char Char"/>
    <w:basedOn w:val="1"/>
    <w:qFormat/>
    <w:uiPriority w:val="0"/>
    <w:pPr>
      <w:autoSpaceDE/>
      <w:autoSpaceDN/>
      <w:adjustRightInd/>
    </w:pPr>
    <w:rPr>
      <w:color w:val="auto"/>
      <w:kern w:val="2"/>
      <w:szCs w:val="24"/>
    </w:rPr>
  </w:style>
  <w:style w:type="paragraph" w:customStyle="1" w:styleId="225">
    <w:name w:val="Char Char Char Char Char Char Char Char Char Char Char Char Char"/>
    <w:basedOn w:val="1"/>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26">
    <w:name w:val="插图标注（绿盟科技）"/>
    <w:next w:val="1"/>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27">
    <w:name w:val="标题 3（绿盟科技）"/>
    <w:basedOn w:val="5"/>
    <w:next w:val="1"/>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28">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Char1"/>
    <w:basedOn w:val="1"/>
    <w:qFormat/>
    <w:uiPriority w:val="0"/>
    <w:pPr>
      <w:autoSpaceDE/>
      <w:autoSpaceDN/>
      <w:adjustRightInd/>
    </w:pPr>
    <w:rPr>
      <w:rFonts w:ascii="仿宋_GB2312" w:eastAsia="仿宋_GB2312"/>
      <w:b/>
      <w:color w:val="auto"/>
      <w:kern w:val="2"/>
      <w:sz w:val="32"/>
      <w:szCs w:val="32"/>
    </w:rPr>
  </w:style>
  <w:style w:type="paragraph" w:customStyle="1" w:styleId="230">
    <w:name w:val="font7"/>
    <w:basedOn w:val="1"/>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31">
    <w:name w:val="纯文本2"/>
    <w:basedOn w:val="1"/>
    <w:qFormat/>
    <w:uiPriority w:val="0"/>
    <w:pPr>
      <w:autoSpaceDE/>
      <w:autoSpaceDN/>
      <w:adjustRightInd/>
    </w:pPr>
    <w:rPr>
      <w:rFonts w:ascii="宋体" w:hAnsi="Courier New"/>
      <w:color w:val="auto"/>
    </w:rPr>
  </w:style>
  <w:style w:type="paragraph" w:customStyle="1" w:styleId="232">
    <w:name w:val="样式1"/>
    <w:basedOn w:val="123"/>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33">
    <w:name w:val="xl10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34">
    <w:name w:val="标题 1（绿盟科技）"/>
    <w:basedOn w:val="3"/>
    <w:next w:val="1"/>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5">
    <w:name w:val="List Paragraph1"/>
    <w:basedOn w:val="1"/>
    <w:qFormat/>
    <w:uiPriority w:val="0"/>
    <w:pPr>
      <w:autoSpaceDE/>
      <w:autoSpaceDN/>
      <w:adjustRightInd/>
      <w:ind w:firstLine="420" w:firstLineChars="200"/>
    </w:pPr>
    <w:rPr>
      <w:color w:val="auto"/>
      <w:kern w:val="2"/>
      <w:szCs w:val="24"/>
    </w:rPr>
  </w:style>
  <w:style w:type="paragraph" w:customStyle="1" w:styleId="236">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4级标题"/>
    <w:basedOn w:val="1"/>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38">
    <w:name w:val="标题 5（有编号）（绿盟科技）"/>
    <w:basedOn w:val="1"/>
    <w:next w:val="1"/>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39">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表格标注（绿盟科技）"/>
    <w:basedOn w:val="226"/>
    <w:next w:val="1"/>
    <w:qFormat/>
    <w:uiPriority w:val="0"/>
    <w:pPr>
      <w:numPr>
        <w:ilvl w:val="7"/>
      </w:numPr>
      <w:tabs>
        <w:tab w:val="left" w:pos="3840"/>
        <w:tab w:val="clear" w:pos="3420"/>
      </w:tabs>
    </w:pPr>
  </w:style>
  <w:style w:type="paragraph" w:customStyle="1" w:styleId="241">
    <w:name w:val="列出段落2"/>
    <w:basedOn w:val="1"/>
    <w:qFormat/>
    <w:uiPriority w:val="34"/>
    <w:pPr>
      <w:ind w:firstLine="420" w:firstLineChars="200"/>
    </w:pPr>
  </w:style>
  <w:style w:type="paragraph" w:customStyle="1" w:styleId="242">
    <w:name w:val="称呼1"/>
    <w:basedOn w:val="1"/>
    <w:next w:val="1"/>
    <w:qFormat/>
    <w:uiPriority w:val="0"/>
    <w:pPr>
      <w:widowControl/>
      <w:autoSpaceDE/>
      <w:autoSpaceDN/>
      <w:jc w:val="left"/>
      <w:textAlignment w:val="baseline"/>
    </w:pPr>
    <w:rPr>
      <w:rFonts w:ascii="Arial" w:hAnsi="Arial"/>
      <w:color w:val="auto"/>
      <w:spacing w:val="-5"/>
      <w:sz w:val="24"/>
      <w:szCs w:val="20"/>
    </w:rPr>
  </w:style>
  <w:style w:type="paragraph" w:customStyle="1" w:styleId="243">
    <w:name w:val="Body Text(ch)"/>
    <w:basedOn w:val="1"/>
    <w:next w:val="22"/>
    <w:qFormat/>
    <w:uiPriority w:val="0"/>
    <w:pPr>
      <w:autoSpaceDE/>
      <w:autoSpaceDN/>
      <w:adjustRightInd/>
      <w:spacing w:line="360" w:lineRule="auto"/>
    </w:pPr>
    <w:rPr>
      <w:rFonts w:ascii="宋体" w:hAnsi="宋体"/>
      <w:color w:val="auto"/>
      <w:kern w:val="2"/>
      <w:sz w:val="24"/>
      <w:szCs w:val="24"/>
    </w:rPr>
  </w:style>
  <w:style w:type="paragraph" w:customStyle="1" w:styleId="244">
    <w:name w:val="2级标题"/>
    <w:basedOn w:val="1"/>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5">
    <w:name w:val="标题 2（绿盟科技）"/>
    <w:basedOn w:val="4"/>
    <w:next w:val="1"/>
    <w:qFormat/>
    <w:uiPriority w:val="0"/>
    <w:pPr>
      <w:numPr>
        <w:ilvl w:val="1"/>
        <w:numId w:val="10"/>
      </w:numPr>
      <w:tabs>
        <w:tab w:val="left" w:pos="1320"/>
      </w:tabs>
      <w:jc w:val="left"/>
    </w:pPr>
    <w:rPr>
      <w:bCs w:val="0"/>
    </w:rPr>
  </w:style>
  <w:style w:type="paragraph" w:customStyle="1" w:styleId="246">
    <w:name w:val="回信地址"/>
    <w:basedOn w:val="1"/>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47">
    <w:name w:val="1"/>
    <w:basedOn w:val="1"/>
    <w:qFormat/>
    <w:uiPriority w:val="0"/>
    <w:pPr>
      <w:widowControl/>
      <w:autoSpaceDE/>
      <w:autoSpaceDN/>
      <w:adjustRightInd/>
      <w:spacing w:after="160" w:line="240" w:lineRule="exact"/>
      <w:jc w:val="left"/>
    </w:pPr>
    <w:rPr>
      <w:color w:val="auto"/>
      <w:kern w:val="2"/>
      <w:szCs w:val="24"/>
    </w:rPr>
  </w:style>
  <w:style w:type="paragraph" w:customStyle="1" w:styleId="248">
    <w:name w:val="标准正文"/>
    <w:basedOn w:val="1"/>
    <w:qFormat/>
    <w:uiPriority w:val="0"/>
    <w:pPr>
      <w:autoSpaceDE/>
      <w:autoSpaceDN/>
      <w:adjustRightInd/>
      <w:spacing w:afterLines="50"/>
      <w:ind w:firstLine="200" w:firstLineChars="200"/>
    </w:pPr>
    <w:rPr>
      <w:color w:val="auto"/>
      <w:kern w:val="2"/>
      <w:sz w:val="24"/>
    </w:rPr>
  </w:style>
  <w:style w:type="paragraph" w:customStyle="1" w:styleId="249">
    <w:name w:val="table text"/>
    <w:basedOn w:val="1"/>
    <w:qFormat/>
    <w:uiPriority w:val="0"/>
    <w:pPr>
      <w:widowControl/>
      <w:autoSpaceDE/>
      <w:autoSpaceDN/>
      <w:adjustRightInd/>
    </w:pPr>
    <w:rPr>
      <w:rFonts w:ascii="Arial" w:hAnsi="Arial"/>
      <w:bCs/>
      <w:color w:val="auto"/>
      <w:sz w:val="20"/>
      <w:szCs w:val="20"/>
    </w:rPr>
  </w:style>
  <w:style w:type="paragraph" w:customStyle="1" w:styleId="250">
    <w:name w:val="Char21"/>
    <w:basedOn w:val="1"/>
    <w:qFormat/>
    <w:uiPriority w:val="0"/>
    <w:pPr>
      <w:autoSpaceDE/>
      <w:autoSpaceDN/>
      <w:adjustRightInd/>
    </w:pPr>
    <w:rPr>
      <w:color w:val="auto"/>
      <w:kern w:val="2"/>
      <w:szCs w:val="20"/>
    </w:rPr>
  </w:style>
  <w:style w:type="paragraph" w:customStyle="1" w:styleId="251">
    <w:name w:val="WPS Plain"/>
    <w:qFormat/>
    <w:uiPriority w:val="0"/>
    <w:rPr>
      <w:rFonts w:ascii="Times New Roman" w:hAnsi="Times New Roman" w:eastAsia="宋体" w:cs="Times New Roman"/>
      <w:sz w:val="21"/>
      <w:szCs w:val="22"/>
      <w:lang w:val="en-US" w:eastAsia="zh-CN" w:bidi="ar-SA"/>
    </w:rPr>
  </w:style>
  <w:style w:type="paragraph" w:customStyle="1" w:styleId="252">
    <w:name w:val="_Style 241"/>
    <w:qFormat/>
    <w:uiPriority w:val="0"/>
    <w:pPr>
      <w:spacing w:line="360" w:lineRule="auto"/>
      <w:ind w:firstLine="420" w:firstLineChars="200"/>
    </w:pPr>
    <w:rPr>
      <w:rFonts w:ascii="Calibri" w:hAnsi="Calibri" w:eastAsia="宋体" w:cs="Times New Roman"/>
      <w:kern w:val="2"/>
      <w:sz w:val="24"/>
      <w:szCs w:val="22"/>
      <w:lang w:val="en-US" w:eastAsia="zh-CN" w:bidi="ar-SA"/>
    </w:rPr>
  </w:style>
  <w:style w:type="paragraph" w:customStyle="1" w:styleId="253">
    <w:name w:val="普通(网站)11"/>
    <w:basedOn w:val="1"/>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54">
    <w:name w:val="bookmark-item"/>
    <w:basedOn w:val="51"/>
    <w:qFormat/>
    <w:uiPriority w:val="0"/>
  </w:style>
  <w:style w:type="paragraph" w:customStyle="1" w:styleId="255">
    <w:name w:val="_Style 48"/>
    <w:basedOn w:val="9"/>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56">
    <w:name w:val="Char2"/>
    <w:basedOn w:val="1"/>
    <w:qFormat/>
    <w:uiPriority w:val="0"/>
    <w:pPr>
      <w:autoSpaceDE/>
      <w:autoSpaceDN/>
    </w:pPr>
    <w:rPr>
      <w:rFonts w:ascii="仿宋_GB2312" w:eastAsia="仿宋_GB2312"/>
      <w:b/>
      <w:color w:val="auto"/>
      <w:kern w:val="2"/>
      <w:sz w:val="32"/>
      <w:szCs w:val="32"/>
    </w:rPr>
  </w:style>
  <w:style w:type="paragraph" w:customStyle="1" w:styleId="257">
    <w:name w:val="trs_editor"/>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258">
    <w:name w:val="font41"/>
    <w:basedOn w:val="51"/>
    <w:qFormat/>
    <w:uiPriority w:val="0"/>
    <w:rPr>
      <w:rFonts w:hint="eastAsia" w:ascii="宋体" w:hAnsi="宋体" w:eastAsia="宋体" w:cs="宋体"/>
      <w:color w:val="000000"/>
      <w:sz w:val="21"/>
      <w:szCs w:val="21"/>
      <w:u w:val="none"/>
    </w:rPr>
  </w:style>
  <w:style w:type="character" w:customStyle="1" w:styleId="259">
    <w:name w:val="font21"/>
    <w:basedOn w:val="51"/>
    <w:qFormat/>
    <w:uiPriority w:val="0"/>
    <w:rPr>
      <w:rFonts w:hint="default" w:ascii="Times New Roman" w:hAnsi="Times New Roman" w:eastAsia="Times New Roman" w:cs="Times New Roman"/>
      <w:color w:val="000000"/>
      <w:sz w:val="21"/>
      <w:szCs w:val="21"/>
      <w:u w:val="none"/>
    </w:rPr>
  </w:style>
  <w:style w:type="paragraph" w:customStyle="1" w:styleId="260">
    <w:name w:val="正文首行缩进 21"/>
    <w:basedOn w:val="1"/>
    <w:qFormat/>
    <w:uiPriority w:val="0"/>
    <w:pPr>
      <w:autoSpaceDE/>
      <w:autoSpaceDN/>
      <w:adjustRightInd/>
      <w:spacing w:after="120"/>
      <w:ind w:left="420" w:leftChars="200" w:firstLine="420"/>
    </w:pPr>
    <w:rPr>
      <w:rFonts w:cs="宋体"/>
      <w:kern w:val="2"/>
    </w:rPr>
  </w:style>
  <w:style w:type="paragraph" w:customStyle="1" w:styleId="261">
    <w:name w:val="索引 11"/>
    <w:basedOn w:val="1"/>
    <w:next w:val="1"/>
    <w:qFormat/>
    <w:uiPriority w:val="99"/>
    <w:pPr>
      <w:autoSpaceDE/>
      <w:autoSpaceDN/>
      <w:spacing w:line="360" w:lineRule="auto"/>
    </w:pPr>
    <w:rPr>
      <w:rFonts w:ascii="仿宋_GB2312" w:eastAsia="仿宋_GB2312"/>
      <w:color w:val="auto"/>
      <w:kern w:val="2"/>
      <w:sz w:val="24"/>
      <w:szCs w:val="20"/>
    </w:rPr>
  </w:style>
  <w:style w:type="paragraph" w:customStyle="1" w:styleId="262">
    <w:name w:val="text-tag"/>
    <w:basedOn w:val="1"/>
    <w:qFormat/>
    <w:uiPriority w:val="99"/>
    <w:pPr>
      <w:widowControl/>
      <w:autoSpaceDE/>
      <w:autoSpaceDN/>
      <w:spacing w:before="100" w:beforeAutospacing="1" w:after="100" w:afterAutospacing="1"/>
      <w:jc w:val="left"/>
    </w:pPr>
    <w:rPr>
      <w:rFonts w:ascii="宋体" w:hAnsi="宋体" w:cs="宋体"/>
      <w:color w:val="auto"/>
      <w:sz w:val="24"/>
      <w:szCs w:val="20"/>
    </w:rPr>
  </w:style>
  <w:style w:type="character" w:styleId="263">
    <w:name w:val="Placeholder Text"/>
    <w:basedOn w:val="51"/>
    <w:semiHidden/>
    <w:qFormat/>
    <w:uiPriority w:val="99"/>
    <w:rPr>
      <w:color w:val="808080"/>
    </w:rPr>
  </w:style>
  <w:style w:type="character" w:customStyle="1" w:styleId="264">
    <w:name w:val="标题 1 Char Char"/>
    <w:qFormat/>
    <w:uiPriority w:val="0"/>
    <w:rPr>
      <w:rFonts w:eastAsia="宋体"/>
      <w:b/>
      <w:spacing w:val="-2"/>
      <w:sz w:val="24"/>
      <w:lang w:val="en-US" w:eastAsia="zh-CN"/>
    </w:rPr>
  </w:style>
  <w:style w:type="character" w:customStyle="1" w:styleId="265">
    <w:name w:val="正文文本缩进 字符1"/>
    <w:basedOn w:val="51"/>
    <w:semiHidden/>
    <w:qFormat/>
    <w:uiPriority w:val="99"/>
  </w:style>
  <w:style w:type="paragraph" w:customStyle="1" w:styleId="266">
    <w:name w:val="正文文本缩进11"/>
    <w:basedOn w:val="1"/>
    <w:next w:val="1"/>
    <w:qFormat/>
    <w:uiPriority w:val="0"/>
    <w:pPr>
      <w:spacing w:after="120"/>
      <w:ind w:left="420" w:leftChars="200"/>
    </w:pPr>
  </w:style>
  <w:style w:type="paragraph" w:customStyle="1" w:styleId="267">
    <w:name w:val="正文文本首行缩进 211"/>
    <w:basedOn w:val="266"/>
    <w:qFormat/>
    <w:uiPriority w:val="0"/>
    <w:pPr>
      <w:ind w:firstLine="420"/>
    </w:pPr>
    <w:rPr>
      <w:rFonts w:cs="宋体"/>
    </w:rPr>
  </w:style>
  <w:style w:type="character" w:customStyle="1" w:styleId="268">
    <w:name w:val="正文文本首行缩进 2 字符"/>
    <w:basedOn w:val="265"/>
    <w:link w:val="269"/>
    <w:qFormat/>
    <w:uiPriority w:val="0"/>
    <w:rPr>
      <w:rFonts w:ascii="Calibri" w:hAnsi="Calibri"/>
      <w:sz w:val="24"/>
    </w:rPr>
  </w:style>
  <w:style w:type="paragraph" w:customStyle="1" w:styleId="269">
    <w:name w:val="正文首行缩进 22"/>
    <w:basedOn w:val="1"/>
    <w:link w:val="268"/>
    <w:qFormat/>
    <w:uiPriority w:val="0"/>
    <w:pPr>
      <w:autoSpaceDE/>
      <w:autoSpaceDN/>
      <w:adjustRightInd/>
      <w:spacing w:after="120"/>
      <w:ind w:left="420" w:leftChars="200" w:firstLine="420" w:firstLineChars="200"/>
    </w:pPr>
    <w:rPr>
      <w:rFonts w:ascii="Calibri" w:hAnsi="Calibri"/>
      <w:color w:val="auto"/>
      <w:sz w:val="24"/>
      <w:szCs w:val="20"/>
    </w:rPr>
  </w:style>
  <w:style w:type="paragraph" w:customStyle="1" w:styleId="270">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271">
    <w:name w:val="正文文本首行缩进 22"/>
    <w:basedOn w:val="272"/>
    <w:qFormat/>
    <w:uiPriority w:val="0"/>
    <w:pPr>
      <w:ind w:firstLine="420"/>
    </w:pPr>
    <w:rPr>
      <w:rFonts w:ascii="Times New Roman" w:hAnsi="Times New Roman" w:eastAsia="宋体" w:cs="宋体"/>
    </w:rPr>
  </w:style>
  <w:style w:type="paragraph" w:customStyle="1" w:styleId="272">
    <w:name w:val="正文文本缩进2"/>
    <w:basedOn w:val="1"/>
    <w:next w:val="1"/>
    <w:qFormat/>
    <w:uiPriority w:val="0"/>
    <w:pPr>
      <w:autoSpaceDE/>
      <w:autoSpaceDN/>
      <w:adjustRightInd/>
      <w:spacing w:after="120"/>
      <w:ind w:left="420" w:leftChars="200"/>
    </w:pPr>
    <w:rPr>
      <w:rFonts w:ascii="等线" w:hAnsi="等线" w:eastAsia="等线"/>
      <w:kern w:val="2"/>
    </w:rPr>
  </w:style>
  <w:style w:type="paragraph" w:customStyle="1" w:styleId="273">
    <w:name w:val="Body text|1"/>
    <w:basedOn w:val="1"/>
    <w:qFormat/>
    <w:uiPriority w:val="0"/>
    <w:pPr>
      <w:spacing w:line="403" w:lineRule="auto"/>
      <w:ind w:firstLine="300"/>
    </w:pPr>
    <w:rPr>
      <w:rFonts w:ascii="宋体" w:hAnsi="宋体" w:cs="宋体"/>
      <w:sz w:val="14"/>
      <w:szCs w:val="14"/>
      <w:lang w:val="zh-TW" w:eastAsia="zh-TW"/>
    </w:rPr>
  </w:style>
  <w:style w:type="paragraph" w:customStyle="1" w:styleId="274">
    <w:name w:val="表格内容"/>
    <w:link w:val="275"/>
    <w:qFormat/>
    <w:uiPriority w:val="0"/>
    <w:pPr>
      <w:jc w:val="center"/>
    </w:pPr>
    <w:rPr>
      <w:rFonts w:ascii="Times New Roman" w:hAnsi="Times New Roman" w:eastAsia="宋体" w:cs="Times New Roman"/>
      <w:sz w:val="24"/>
      <w:szCs w:val="28"/>
      <w:lang w:val="en-US" w:eastAsia="zh-CN" w:bidi="ar-SA"/>
    </w:rPr>
  </w:style>
  <w:style w:type="character" w:customStyle="1" w:styleId="275">
    <w:name w:val="表格内容 字符"/>
    <w:basedOn w:val="51"/>
    <w:link w:val="274"/>
    <w:qFormat/>
    <w:uiPriority w:val="0"/>
    <w:rPr>
      <w:sz w:val="24"/>
      <w:szCs w:val="28"/>
    </w:rPr>
  </w:style>
  <w:style w:type="paragraph" w:customStyle="1" w:styleId="276">
    <w:name w:val="表格标题"/>
    <w:next w:val="1"/>
    <w:link w:val="277"/>
    <w:qFormat/>
    <w:uiPriority w:val="0"/>
    <w:pPr>
      <w:tabs>
        <w:tab w:val="center" w:pos="4395"/>
      </w:tabs>
      <w:spacing w:line="360" w:lineRule="auto"/>
      <w:jc w:val="center"/>
    </w:pPr>
    <w:rPr>
      <w:rFonts w:ascii="Times New Roman" w:hAnsi="Times New Roman" w:eastAsia="宋体" w:cs="宋体"/>
      <w:b/>
      <w:sz w:val="28"/>
      <w:szCs w:val="28"/>
      <w:lang w:val="en-US" w:eastAsia="zh-CN" w:bidi="ar-SA"/>
    </w:rPr>
  </w:style>
  <w:style w:type="character" w:customStyle="1" w:styleId="277">
    <w:name w:val="表格标题 Char"/>
    <w:link w:val="276"/>
    <w:qFormat/>
    <w:uiPriority w:val="0"/>
    <w:rPr>
      <w:rFonts w:cs="宋体"/>
      <w:b/>
      <w:sz w:val="28"/>
      <w:szCs w:val="28"/>
    </w:rPr>
  </w:style>
  <w:style w:type="character" w:customStyle="1" w:styleId="278">
    <w:name w:val="NormalCharacter"/>
    <w:qFormat/>
    <w:uiPriority w:val="0"/>
    <w:rPr>
      <w:rFonts w:ascii="Calibri" w:hAnsi="Calibri" w:eastAsia="宋体" w:cs="Times New Roman"/>
      <w:kern w:val="2"/>
      <w:sz w:val="21"/>
      <w:szCs w:val="22"/>
      <w:lang w:val="en-US" w:eastAsia="zh-CN" w:bidi="ar-SA"/>
    </w:rPr>
  </w:style>
  <w:style w:type="paragraph" w:customStyle="1" w:styleId="279">
    <w:name w:val="BodyText1I2"/>
    <w:basedOn w:val="1"/>
    <w:qFormat/>
    <w:uiPriority w:val="0"/>
    <w:pPr>
      <w:autoSpaceDE/>
      <w:autoSpaceDN/>
      <w:spacing w:after="120" w:line="360" w:lineRule="auto"/>
      <w:ind w:left="420" w:leftChars="200" w:firstLine="420" w:firstLineChars="200"/>
      <w:textAlignment w:val="baseline"/>
    </w:pPr>
    <w:rPr>
      <w:rFonts w:ascii="Calibri" w:hAnsi="Calibri"/>
      <w:kern w:val="2"/>
      <w:sz w:val="24"/>
      <w:szCs w:val="22"/>
    </w:rPr>
  </w:style>
  <w:style w:type="paragraph" w:customStyle="1" w:styleId="280">
    <w:name w:val="表格文字"/>
    <w:basedOn w:val="1"/>
    <w:next w:val="22"/>
    <w:qFormat/>
    <w:uiPriority w:val="0"/>
    <w:pPr>
      <w:spacing w:line="300" w:lineRule="auto"/>
      <w:ind w:firstLine="480" w:firstLineChars="200"/>
      <w:textAlignment w:val="baseline"/>
    </w:pPr>
    <w:rPr>
      <w:szCs w:val="24"/>
    </w:rPr>
  </w:style>
  <w:style w:type="character" w:customStyle="1" w:styleId="281">
    <w:name w:val="正文文本缩进 Char3"/>
    <w:qFormat/>
    <w:uiPriority w:val="0"/>
    <w:rPr>
      <w:rFonts w:ascii="宋体" w:hAnsi="宋体"/>
      <w:kern w:val="2"/>
      <w:sz w:val="24"/>
      <w:szCs w:val="24"/>
    </w:rPr>
  </w:style>
  <w:style w:type="paragraph" w:customStyle="1" w:styleId="282">
    <w:name w:val="索引 51"/>
    <w:basedOn w:val="1"/>
    <w:next w:val="1"/>
    <w:qFormat/>
    <w:uiPriority w:val="0"/>
    <w:pPr>
      <w:ind w:left="800" w:leftChars="800"/>
    </w:pPr>
    <w:rPr>
      <w:szCs w:val="24"/>
    </w:rPr>
  </w:style>
  <w:style w:type="paragraph" w:customStyle="1" w:styleId="283">
    <w:name w:val="fontsize16"/>
    <w:basedOn w:val="1"/>
    <w:qFormat/>
    <w:uiPriority w:val="0"/>
    <w:pPr>
      <w:autoSpaceDE/>
      <w:autoSpaceDN/>
      <w:adjustRightInd/>
      <w:jc w:val="left"/>
    </w:pPr>
    <w:rPr>
      <w:rFonts w:ascii="Calibri" w:hAnsi="Calibri"/>
      <w:color w:val="auto"/>
      <w:sz w:val="24"/>
      <w:szCs w:val="24"/>
    </w:rPr>
  </w:style>
  <w:style w:type="character" w:customStyle="1" w:styleId="284">
    <w:name w:val="font11"/>
    <w:basedOn w:val="51"/>
    <w:qFormat/>
    <w:uiPriority w:val="0"/>
    <w:rPr>
      <w:rFonts w:hint="default" w:ascii="Times New Roman" w:hAnsi="Times New Roman" w:cs="Times New Roman"/>
      <w:color w:val="000000"/>
      <w:sz w:val="26"/>
      <w:szCs w:val="26"/>
      <w:u w:val="none"/>
      <w:lang w:val="en-US" w:eastAsia="zh-CN" w:bidi="ar-SA"/>
    </w:rPr>
  </w:style>
  <w:style w:type="paragraph" w:customStyle="1" w:styleId="285">
    <w:name w:val="列出段落3"/>
    <w:basedOn w:val="1"/>
    <w:qFormat/>
    <w:uiPriority w:val="0"/>
    <w:pPr>
      <w:autoSpaceDE/>
      <w:autoSpaceDN/>
      <w:adjustRightInd/>
      <w:ind w:firstLine="420" w:firstLineChars="200"/>
    </w:pPr>
    <w:rPr>
      <w:rFonts w:ascii="等线" w:hAnsi="等线" w:eastAsia="等线" w:cs="黑体"/>
      <w:color w:val="auto"/>
      <w:kern w:val="2"/>
      <w:szCs w:val="22"/>
    </w:rPr>
  </w:style>
  <w:style w:type="paragraph" w:customStyle="1" w:styleId="286">
    <w:name w:val="正文首行缩进 24"/>
    <w:basedOn w:val="1"/>
    <w:qFormat/>
    <w:uiPriority w:val="0"/>
    <w:pPr>
      <w:spacing w:after="120"/>
      <w:ind w:left="420" w:leftChars="200" w:firstLine="420"/>
    </w:pPr>
    <w:rPr>
      <w:rFonts w:cs="宋体"/>
    </w:rPr>
  </w:style>
  <w:style w:type="character" w:customStyle="1" w:styleId="287">
    <w:name w:val="标题 1 字符"/>
    <w:qFormat/>
    <w:uiPriority w:val="0"/>
    <w:rPr>
      <w:rFonts w:ascii="Times New Roman" w:hAnsi="Times New Roman" w:eastAsia="宋体" w:cs="Times New Roman"/>
      <w:b/>
      <w:bCs/>
      <w:kern w:val="44"/>
      <w:sz w:val="44"/>
      <w:szCs w:val="44"/>
    </w:rPr>
  </w:style>
  <w:style w:type="character" w:customStyle="1" w:styleId="288">
    <w:name w:val="标题 2 字符"/>
    <w:qFormat/>
    <w:uiPriority w:val="0"/>
    <w:rPr>
      <w:rFonts w:ascii="Arial" w:hAnsi="Arial" w:eastAsia="黑体" w:cs="Times New Roman"/>
      <w:b/>
      <w:bCs/>
      <w:color w:val="000000"/>
      <w:kern w:val="2"/>
      <w:sz w:val="32"/>
      <w:szCs w:val="32"/>
    </w:rPr>
  </w:style>
  <w:style w:type="character" w:customStyle="1" w:styleId="289">
    <w:name w:val="标题 3 字符"/>
    <w:qFormat/>
    <w:uiPriority w:val="0"/>
    <w:rPr>
      <w:rFonts w:ascii="Times New Roman" w:hAnsi="Times New Roman" w:eastAsia="宋体" w:cs="Times New Roman"/>
      <w:b/>
      <w:bCs/>
      <w:color w:val="000000"/>
      <w:sz w:val="32"/>
      <w:szCs w:val="32"/>
    </w:rPr>
  </w:style>
  <w:style w:type="character" w:customStyle="1" w:styleId="290">
    <w:name w:val="标题 4 字符"/>
    <w:qFormat/>
    <w:uiPriority w:val="0"/>
    <w:rPr>
      <w:rFonts w:ascii="Cambria" w:hAnsi="Cambria" w:eastAsia="黑体" w:cs="Times New Roman"/>
      <w:b/>
      <w:bCs/>
      <w:kern w:val="2"/>
      <w:sz w:val="24"/>
      <w:szCs w:val="28"/>
    </w:rPr>
  </w:style>
  <w:style w:type="character" w:customStyle="1" w:styleId="291">
    <w:name w:val="标题 5 字符"/>
    <w:qFormat/>
    <w:uiPriority w:val="0"/>
    <w:rPr>
      <w:rFonts w:ascii="Times New Roman" w:hAnsi="Times New Roman" w:eastAsia="宋体" w:cs="Times New Roman"/>
      <w:b/>
      <w:bCs/>
      <w:color w:val="000000"/>
      <w:kern w:val="2"/>
      <w:sz w:val="28"/>
      <w:szCs w:val="28"/>
    </w:rPr>
  </w:style>
  <w:style w:type="character" w:customStyle="1" w:styleId="292">
    <w:name w:val="标题 6 字符"/>
    <w:qFormat/>
    <w:uiPriority w:val="0"/>
    <w:rPr>
      <w:rFonts w:ascii="Times New Roman" w:hAnsi="Times New Roman" w:eastAsia="宋体" w:cs="Times New Roman"/>
      <w:color w:val="000000"/>
      <w:kern w:val="24"/>
      <w:sz w:val="24"/>
      <w:szCs w:val="24"/>
    </w:rPr>
  </w:style>
  <w:style w:type="character" w:customStyle="1" w:styleId="293">
    <w:name w:val="正文缩进 字符"/>
    <w:qFormat/>
    <w:uiPriority w:val="0"/>
    <w:rPr>
      <w:kern w:val="2"/>
      <w:sz w:val="21"/>
      <w:szCs w:val="22"/>
    </w:rPr>
  </w:style>
  <w:style w:type="character" w:customStyle="1" w:styleId="294">
    <w:name w:val="标题 7 字符"/>
    <w:qFormat/>
    <w:uiPriority w:val="0"/>
    <w:rPr>
      <w:rFonts w:ascii="Times New Roman" w:hAnsi="Times New Roman" w:eastAsia="宋体" w:cs="Times New Roman"/>
      <w:color w:val="000000"/>
      <w:spacing w:val="2"/>
      <w:kern w:val="24"/>
      <w:sz w:val="24"/>
      <w:szCs w:val="24"/>
    </w:rPr>
  </w:style>
  <w:style w:type="character" w:customStyle="1" w:styleId="295">
    <w:name w:val="标题 8 字符"/>
    <w:qFormat/>
    <w:uiPriority w:val="0"/>
    <w:rPr>
      <w:rFonts w:ascii="Times New Roman" w:hAnsi="Times New Roman" w:eastAsia="宋体" w:cs="Times New Roman"/>
      <w:color w:val="000000"/>
      <w:kern w:val="24"/>
      <w:sz w:val="24"/>
      <w:szCs w:val="24"/>
    </w:rPr>
  </w:style>
  <w:style w:type="character" w:customStyle="1" w:styleId="296">
    <w:name w:val="标题 9 字符"/>
    <w:qFormat/>
    <w:uiPriority w:val="0"/>
    <w:rPr>
      <w:rFonts w:ascii="Arial" w:hAnsi="Arial" w:eastAsia="黑体" w:cs="Times New Roman"/>
      <w:kern w:val="2"/>
      <w:sz w:val="21"/>
      <w:szCs w:val="24"/>
    </w:rPr>
  </w:style>
  <w:style w:type="paragraph" w:customStyle="1" w:styleId="297">
    <w:name w:val="_Style 298"/>
    <w:basedOn w:val="1"/>
    <w:next w:val="76"/>
    <w:link w:val="318"/>
    <w:qFormat/>
    <w:uiPriority w:val="0"/>
    <w:pPr>
      <w:autoSpaceDE/>
      <w:autoSpaceDN/>
      <w:adjustRightInd/>
      <w:ind w:firstLine="420" w:firstLineChars="200"/>
    </w:pPr>
    <w:rPr>
      <w:color w:val="auto"/>
      <w:kern w:val="2"/>
      <w:szCs w:val="22"/>
    </w:rPr>
  </w:style>
  <w:style w:type="character" w:customStyle="1" w:styleId="298">
    <w:name w:val="文档结构图 字符"/>
    <w:qFormat/>
    <w:uiPriority w:val="0"/>
    <w:rPr>
      <w:rFonts w:ascii="宋体" w:eastAsia="宋体"/>
      <w:kern w:val="2"/>
      <w:sz w:val="18"/>
      <w:szCs w:val="18"/>
    </w:rPr>
  </w:style>
  <w:style w:type="character" w:customStyle="1" w:styleId="299">
    <w:name w:val="批注文字 字符"/>
    <w:qFormat/>
    <w:uiPriority w:val="0"/>
    <w:rPr>
      <w:kern w:val="2"/>
      <w:sz w:val="21"/>
      <w:szCs w:val="22"/>
    </w:rPr>
  </w:style>
  <w:style w:type="character" w:customStyle="1" w:styleId="300">
    <w:name w:val="正文文本 3 字符"/>
    <w:qFormat/>
    <w:uiPriority w:val="0"/>
    <w:rPr>
      <w:rFonts w:ascii="Times New Roman" w:hAnsi="Times New Roman" w:eastAsia="宋体" w:cs="Times New Roman"/>
      <w:color w:val="000000"/>
      <w:sz w:val="16"/>
      <w:szCs w:val="16"/>
    </w:rPr>
  </w:style>
  <w:style w:type="character" w:customStyle="1" w:styleId="301">
    <w:name w:val="正文文本 字符"/>
    <w:qFormat/>
    <w:uiPriority w:val="0"/>
    <w:rPr>
      <w:rFonts w:ascii="Times New Roman" w:hAnsi="Times New Roman" w:eastAsia="宋体" w:cs="Times New Roman"/>
      <w:color w:val="000000"/>
      <w:sz w:val="21"/>
      <w:szCs w:val="21"/>
    </w:rPr>
  </w:style>
  <w:style w:type="character" w:customStyle="1" w:styleId="302">
    <w:name w:val="正文文本缩进 字符2"/>
    <w:qFormat/>
    <w:uiPriority w:val="0"/>
  </w:style>
  <w:style w:type="character" w:customStyle="1" w:styleId="303">
    <w:name w:val="纯文本 字符"/>
    <w:qFormat/>
    <w:uiPriority w:val="0"/>
    <w:rPr>
      <w:rFonts w:ascii="宋体" w:hAnsi="Courier New" w:eastAsia="宋体" w:cs="Courier New"/>
      <w:kern w:val="2"/>
      <w:sz w:val="21"/>
      <w:szCs w:val="21"/>
    </w:rPr>
  </w:style>
  <w:style w:type="character" w:customStyle="1" w:styleId="304">
    <w:name w:val="日期 字符"/>
    <w:qFormat/>
    <w:uiPriority w:val="0"/>
    <w:rPr>
      <w:color w:val="000000"/>
      <w:kern w:val="2"/>
      <w:sz w:val="21"/>
      <w:szCs w:val="21"/>
    </w:rPr>
  </w:style>
  <w:style w:type="character" w:customStyle="1" w:styleId="305">
    <w:name w:val="正文文本缩进 2 字符"/>
    <w:qFormat/>
    <w:uiPriority w:val="0"/>
    <w:rPr>
      <w:rFonts w:ascii="仿宋_GB2312" w:hAnsi="Times New Roman" w:eastAsia="仿宋_GB2312" w:cs="Times New Roman"/>
      <w:kern w:val="2"/>
      <w:sz w:val="28"/>
      <w:szCs w:val="28"/>
    </w:rPr>
  </w:style>
  <w:style w:type="character" w:customStyle="1" w:styleId="306">
    <w:name w:val="批注框文本 字符"/>
    <w:qFormat/>
    <w:uiPriority w:val="0"/>
    <w:rPr>
      <w:kern w:val="2"/>
      <w:sz w:val="18"/>
      <w:szCs w:val="18"/>
    </w:rPr>
  </w:style>
  <w:style w:type="character" w:customStyle="1" w:styleId="307">
    <w:name w:val="页脚 字符"/>
    <w:qFormat/>
    <w:uiPriority w:val="0"/>
    <w:rPr>
      <w:sz w:val="18"/>
      <w:szCs w:val="18"/>
    </w:rPr>
  </w:style>
  <w:style w:type="character" w:customStyle="1" w:styleId="308">
    <w:name w:val="页眉 字符"/>
    <w:qFormat/>
    <w:uiPriority w:val="0"/>
    <w:rPr>
      <w:sz w:val="18"/>
      <w:szCs w:val="18"/>
    </w:rPr>
  </w:style>
  <w:style w:type="character" w:customStyle="1" w:styleId="309">
    <w:name w:val="签名 字符"/>
    <w:qFormat/>
    <w:uiPriority w:val="0"/>
    <w:rPr>
      <w:rFonts w:ascii="Arial" w:hAnsi="Arial"/>
      <w:spacing w:val="-5"/>
      <w:kern w:val="2"/>
      <w:sz w:val="24"/>
      <w:szCs w:val="22"/>
    </w:rPr>
  </w:style>
  <w:style w:type="character" w:customStyle="1" w:styleId="310">
    <w:name w:val="正文文本缩进 3 字符"/>
    <w:qFormat/>
    <w:uiPriority w:val="0"/>
    <w:rPr>
      <w:kern w:val="2"/>
      <w:sz w:val="21"/>
      <w:szCs w:val="24"/>
    </w:rPr>
  </w:style>
  <w:style w:type="character" w:customStyle="1" w:styleId="311">
    <w:name w:val="正文文本 2 字符"/>
    <w:qFormat/>
    <w:uiPriority w:val="0"/>
    <w:rPr>
      <w:rFonts w:ascii="Times New Roman" w:hAnsi="Times New Roman" w:eastAsia="宋体" w:cs="Times New Roman"/>
      <w:color w:val="000000"/>
      <w:kern w:val="2"/>
      <w:sz w:val="21"/>
      <w:szCs w:val="22"/>
    </w:rPr>
  </w:style>
  <w:style w:type="character" w:customStyle="1" w:styleId="312">
    <w:name w:val="HTML 预设格式 字符"/>
    <w:qFormat/>
    <w:uiPriority w:val="0"/>
    <w:rPr>
      <w:rFonts w:ascii="Arial Unicode MS" w:hAnsi="Arial Unicode MS" w:eastAsia="Arial Unicode MS"/>
      <w:kern w:val="2"/>
      <w:sz w:val="21"/>
      <w:szCs w:val="22"/>
    </w:rPr>
  </w:style>
  <w:style w:type="character" w:customStyle="1" w:styleId="313">
    <w:name w:val="普通(网站) 字符"/>
    <w:qFormat/>
    <w:uiPriority w:val="0"/>
    <w:rPr>
      <w:rFonts w:ascii="宋体" w:hAnsi="宋体" w:eastAsia="宋体" w:cs="宋体"/>
      <w:kern w:val="0"/>
      <w:sz w:val="24"/>
      <w:szCs w:val="24"/>
    </w:rPr>
  </w:style>
  <w:style w:type="character" w:customStyle="1" w:styleId="314">
    <w:name w:val="标题 字符"/>
    <w:qFormat/>
    <w:uiPriority w:val="0"/>
    <w:rPr>
      <w:rFonts w:ascii="Arial" w:hAnsi="Arial" w:eastAsia="宋体" w:cs="Times New Roman"/>
      <w:b/>
      <w:bCs/>
      <w:color w:val="000000"/>
      <w:kern w:val="2"/>
      <w:sz w:val="32"/>
      <w:szCs w:val="32"/>
    </w:rPr>
  </w:style>
  <w:style w:type="character" w:customStyle="1" w:styleId="315">
    <w:name w:val="批注主题 字符"/>
    <w:qFormat/>
    <w:uiPriority w:val="0"/>
    <w:rPr>
      <w:b/>
      <w:bCs/>
    </w:rPr>
  </w:style>
  <w:style w:type="character" w:customStyle="1" w:styleId="316">
    <w:name w:val="正文文本首行缩进 字符"/>
    <w:qFormat/>
    <w:uiPriority w:val="0"/>
  </w:style>
  <w:style w:type="character" w:customStyle="1" w:styleId="317">
    <w:name w:val="正文文本首行缩进 2 字符1"/>
    <w:qFormat/>
    <w:uiPriority w:val="0"/>
    <w:rPr>
      <w:rFonts w:ascii="Times New Roman" w:hAnsi="Times New Roman" w:eastAsia="宋体" w:cs="Times New Roman"/>
    </w:rPr>
  </w:style>
  <w:style w:type="character" w:customStyle="1" w:styleId="318">
    <w:name w:val="列表段落 字符"/>
    <w:link w:val="297"/>
    <w:qFormat/>
    <w:uiPriority w:val="0"/>
    <w:rPr>
      <w:kern w:val="2"/>
      <w:sz w:val="21"/>
      <w:szCs w:val="22"/>
    </w:rPr>
  </w:style>
  <w:style w:type="character" w:customStyle="1" w:styleId="319">
    <w:name w:val="无间隔 字符"/>
    <w:qFormat/>
    <w:uiPriority w:val="0"/>
    <w:rPr>
      <w:rFonts w:ascii="Times New Roman" w:hAnsi="Times New Roman" w:eastAsia="宋体" w:cs="Times New Roman"/>
      <w:color w:val="000000"/>
      <w:sz w:val="21"/>
      <w:szCs w:val="21"/>
    </w:rPr>
  </w:style>
  <w:style w:type="paragraph" w:customStyle="1" w:styleId="320">
    <w:name w:val="*正文"/>
    <w:basedOn w:val="1"/>
    <w:qFormat/>
    <w:uiPriority w:val="0"/>
    <w:pPr>
      <w:autoSpaceDE/>
      <w:autoSpaceDN/>
      <w:adjustRightInd/>
      <w:snapToGrid w:val="0"/>
      <w:spacing w:line="360" w:lineRule="auto"/>
      <w:ind w:firstLine="482" w:firstLineChars="200"/>
      <w:jc w:val="left"/>
    </w:pPr>
    <w:rPr>
      <w:rFonts w:ascii="宋体" w:hAnsi="宋体" w:cstheme="minorBidi"/>
      <w:color w:val="auto"/>
      <w:sz w:val="24"/>
      <w:szCs w:val="20"/>
    </w:rPr>
  </w:style>
  <w:style w:type="paragraph" w:customStyle="1" w:styleId="321">
    <w:name w:val="Char Char Char Char Char Char Char Char Char Char Char Char Char1"/>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61</Pages>
  <Words>43216</Words>
  <Characters>46063</Characters>
  <Lines>342</Lines>
  <Paragraphs>96</Paragraphs>
  <TotalTime>271</TotalTime>
  <ScaleCrop>false</ScaleCrop>
  <LinksUpToDate>false</LinksUpToDate>
  <CharactersWithSpaces>46956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zjxs</cp:lastModifiedBy>
  <cp:lastPrinted>2024-05-11T02:16:00Z</cp:lastPrinted>
  <dcterms:modified xsi:type="dcterms:W3CDTF">2024-05-15T07:03:51Z</dcterms:modified>
  <cp:revision>4861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CB6A3F898B2C4EBA8708042CA6E9FD0E</vt:lpwstr>
  </property>
</Properties>
</file>