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ind w:left="0" w:firstLine="0" w:firstLineChars="0"/>
        <w:jc w:val="center"/>
        <w:textAlignment w:val="auto"/>
        <w:rPr>
          <w:rFonts w:hint="eastAsia" w:ascii="宋体" w:hAnsi="宋体" w:eastAsia="宋体" w:cs="宋体"/>
          <w:b/>
          <w:bCs/>
          <w:color w:val="auto"/>
          <w:sz w:val="72"/>
          <w:szCs w:val="72"/>
          <w:highlight w:val="none"/>
        </w:rPr>
      </w:pPr>
      <w:r>
        <w:rPr>
          <w:rFonts w:hint="eastAsia" w:ascii="宋体" w:hAnsi="宋体" w:cs="宋体"/>
          <w:b/>
          <w:bCs/>
          <w:color w:val="auto"/>
          <w:sz w:val="72"/>
          <w:szCs w:val="72"/>
          <w:highlight w:val="none"/>
          <w:lang w:val="en-US" w:eastAsia="zh-CN"/>
        </w:rPr>
        <w:t>诸暨市住房和城乡建设局2022年生活垃圾处置终端第三方监管服务采购项目</w:t>
      </w:r>
    </w:p>
    <w:p>
      <w:pPr>
        <w:adjustRightInd/>
        <w:spacing w:line="360" w:lineRule="auto"/>
        <w:jc w:val="center"/>
        <w:rPr>
          <w:rFonts w:hint="eastAsia" w:ascii="宋体" w:hAnsi="宋体" w:eastAsia="宋体" w:cs="宋体"/>
          <w:b/>
          <w:bCs/>
          <w:color w:val="auto"/>
          <w:sz w:val="48"/>
          <w:szCs w:val="48"/>
          <w:highlight w:val="none"/>
        </w:rPr>
      </w:pPr>
    </w:p>
    <w:p>
      <w:pPr>
        <w:adjustRightInd/>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（编号:</w:t>
      </w:r>
      <w:r>
        <w:rPr>
          <w:rFonts w:hint="eastAsia" w:ascii="宋体" w:hAnsi="宋体" w:cs="宋体"/>
          <w:b/>
          <w:bCs/>
          <w:color w:val="auto"/>
          <w:sz w:val="30"/>
          <w:szCs w:val="30"/>
          <w:highlight w:val="none"/>
          <w:lang w:eastAsia="zh-CN"/>
        </w:rPr>
        <w:t>浙江智拓2022-08-01</w:t>
      </w:r>
      <w:r>
        <w:rPr>
          <w:rFonts w:hint="eastAsia" w:ascii="宋体" w:hAnsi="宋体" w:eastAsia="宋体" w:cs="宋体"/>
          <w:b/>
          <w:bCs/>
          <w:color w:val="auto"/>
          <w:sz w:val="30"/>
          <w:szCs w:val="30"/>
          <w:highlight w:val="none"/>
        </w:rPr>
        <w:t>）</w:t>
      </w:r>
    </w:p>
    <w:p>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（电子招投标）</w:t>
      </w:r>
    </w:p>
    <w:p>
      <w:pPr>
        <w:snapToGrid w:val="0"/>
        <w:spacing w:line="360" w:lineRule="auto"/>
        <w:jc w:val="center"/>
        <w:rPr>
          <w:rFonts w:hint="eastAsia" w:ascii="宋体" w:hAnsi="宋体" w:eastAsia="宋体" w:cs="宋体"/>
          <w:b/>
          <w:bCs/>
          <w:color w:val="auto"/>
          <w:sz w:val="30"/>
          <w:szCs w:val="30"/>
          <w:highlight w:val="none"/>
        </w:rPr>
      </w:pP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pPr>
        <w:adjustRightInd/>
        <w:spacing w:line="360" w:lineRule="auto"/>
        <w:jc w:val="center"/>
        <w:rPr>
          <w:rFonts w:hint="eastAsia" w:ascii="宋体" w:hAnsi="宋体" w:eastAsia="宋体" w:cs="宋体"/>
          <w:color w:val="auto"/>
          <w:sz w:val="28"/>
          <w:szCs w:val="20"/>
          <w:highlight w:val="none"/>
        </w:rPr>
      </w:pPr>
      <w:r>
        <w:rPr>
          <w:rFonts w:hint="eastAsia" w:ascii="宋体" w:hAnsi="宋体" w:eastAsia="宋体" w:cs="宋体"/>
          <w:b/>
          <w:color w:val="auto"/>
          <w:sz w:val="44"/>
          <w:szCs w:val="44"/>
          <w:highlight w:val="none"/>
        </w:rPr>
        <w:t xml:space="preserve"> </w:t>
      </w:r>
    </w:p>
    <w:p>
      <w:pPr>
        <w:snapToGrid w:val="0"/>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cs="宋体"/>
          <w:b/>
          <w:bCs/>
          <w:color w:val="auto"/>
          <w:sz w:val="32"/>
          <w:szCs w:val="32"/>
          <w:highlight w:val="none"/>
          <w:lang w:eastAsia="zh-CN"/>
        </w:rPr>
        <w:t>诸暨市住房和城乡建设局</w:t>
      </w:r>
    </w:p>
    <w:p>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浙江智拓项目管理有限公司</w:t>
      </w:r>
    </w:p>
    <w:p>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二〇二二年</w:t>
      </w:r>
      <w:r>
        <w:rPr>
          <w:rFonts w:hint="eastAsia" w:ascii="宋体" w:hAnsi="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月</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00" w:lineRule="auto"/>
        <w:ind w:firstLine="482" w:firstLineChars="200"/>
        <w:textAlignment w:val="auto"/>
        <w:rPr>
          <w:rFonts w:ascii="宋体" w:cs="宋体"/>
          <w:color w:val="auto"/>
          <w:sz w:val="24"/>
          <w:highlight w:val="none"/>
          <w:u w:val="single"/>
        </w:rPr>
      </w:pP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诸暨市住房和城乡建设局2022年生活垃圾处置终端第三方监管服务采购项目</w:t>
      </w:r>
      <w:r>
        <w:rPr>
          <w:rFonts w:hint="eastAsia" w:ascii="宋体" w:hAnsi="宋体" w:cs="宋体"/>
          <w:b/>
          <w:bCs/>
          <w:color w:val="auto"/>
          <w:sz w:val="24"/>
          <w:highlight w:val="none"/>
          <w:u w:val="single"/>
        </w:rPr>
        <w:t>）</w:t>
      </w:r>
      <w:r>
        <w:rPr>
          <w:rFonts w:hint="eastAsia" w:ascii="宋体" w:hAnsi="宋体" w:cs="宋体"/>
          <w:color w:val="auto"/>
          <w:sz w:val="24"/>
          <w:highlight w:val="none"/>
        </w:rPr>
        <w:t>招标项目的潜在投标人应在浙江政府采购网“政府采购云平台”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9"/>
          <w:rFonts w:hint="eastAsia" w:ascii="宋体" w:hAnsi="宋体" w:eastAsia="宋体" w:cs="宋体"/>
          <w:snapToGrid/>
          <w:color w:val="auto"/>
          <w:kern w:val="2"/>
          <w:sz w:val="24"/>
          <w:highlight w:val="none"/>
        </w:rPr>
        <w:t>获取（下载）招标文件，并于</w:t>
      </w:r>
      <w:r>
        <w:rPr>
          <w:rFonts w:hint="eastAsia" w:ascii="宋体" w:hAnsi="宋体" w:cs="宋体"/>
          <w:color w:val="auto"/>
          <w:sz w:val="24"/>
          <w:highlight w:val="none"/>
          <w:u w:val="single"/>
          <w:lang w:eastAsia="zh-CN"/>
        </w:rPr>
        <w:t>2022年8月29日09时00分00秒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keepNext w:val="0"/>
        <w:keepLines w:val="0"/>
        <w:pageBreakBefore w:val="0"/>
        <w:kinsoku/>
        <w:wordWrap/>
        <w:overflowPunct/>
        <w:topLinePunct w:val="0"/>
        <w:bidi w:val="0"/>
        <w:snapToGrid/>
        <w:spacing w:line="300" w:lineRule="auto"/>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r>
        <w:rPr>
          <w:rFonts w:ascii="宋体" w:hAnsi="宋体" w:cs="宋体"/>
          <w:b/>
          <w:color w:val="auto"/>
          <w:sz w:val="24"/>
          <w:highlight w:val="none"/>
        </w:rPr>
        <w:t xml:space="preserve">                                            </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浙江智拓2022-08-01</w:t>
      </w:r>
    </w:p>
    <w:p>
      <w:pPr>
        <w:pStyle w:val="34"/>
        <w:keepNext w:val="0"/>
        <w:keepLines w:val="0"/>
        <w:pageBreakBefore w:val="0"/>
        <w:kinsoku/>
        <w:wordWrap/>
        <w:overflowPunct/>
        <w:topLinePunct w:val="0"/>
        <w:bidi w:val="0"/>
        <w:snapToGrid/>
        <w:spacing w:line="300" w:lineRule="auto"/>
        <w:ind w:firstLine="482" w:firstLineChars="200"/>
        <w:textAlignment w:val="auto"/>
        <w:rPr>
          <w:rFonts w:hint="eastAsia" w:ascii="Calibri" w:hAnsi="Calibri" w:cs="Times New Roman"/>
          <w:color w:val="auto"/>
          <w:sz w:val="24"/>
          <w:szCs w:val="24"/>
          <w:highlight w:val="none"/>
        </w:rPr>
      </w:pPr>
      <w:r>
        <w:rPr>
          <w:rFonts w:hint="eastAsia" w:hAnsi="宋体" w:cs="宋体"/>
          <w:b/>
          <w:color w:val="auto"/>
          <w:sz w:val="24"/>
          <w:highlight w:val="none"/>
        </w:rPr>
        <w:t>项目名称：</w:t>
      </w:r>
      <w:r>
        <w:rPr>
          <w:rFonts w:hint="eastAsia" w:hAnsi="宋体" w:cs="宋体"/>
          <w:color w:val="auto"/>
          <w:sz w:val="24"/>
          <w:szCs w:val="24"/>
          <w:highlight w:val="none"/>
          <w:lang w:val="en-US" w:eastAsia="zh-CN"/>
        </w:rPr>
        <w:t>诸暨市住房和城乡建设局2022年生活垃圾处置终端第三方监管服务采购项目</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u w:val="none"/>
        </w:rPr>
      </w:pPr>
      <w:r>
        <w:rPr>
          <w:rFonts w:ascii="宋体" w:hAnsi="宋体" w:cs="宋体"/>
          <w:color w:val="auto"/>
          <w:sz w:val="24"/>
          <w:highlight w:val="none"/>
        </w:rPr>
        <w:t xml:space="preserve"> </w:t>
      </w:r>
      <w:r>
        <w:rPr>
          <w:rFonts w:ascii="宋体" w:hAnsi="宋体" w:cs="宋体"/>
          <w:color w:val="auto"/>
          <w:sz w:val="24"/>
          <w:highlight w:val="none"/>
          <w:u w:val="none"/>
        </w:rPr>
        <w:t xml:space="preserve">  </w:t>
      </w:r>
      <w:r>
        <w:rPr>
          <w:rFonts w:ascii="宋体" w:hAnsi="宋体" w:cs="宋体"/>
          <w:b/>
          <w:color w:val="auto"/>
          <w:sz w:val="24"/>
          <w:highlight w:val="none"/>
          <w:u w:val="none"/>
        </w:rPr>
        <w:t xml:space="preserve"> </w:t>
      </w:r>
      <w:r>
        <w:rPr>
          <w:rFonts w:hint="eastAsia" w:ascii="宋体" w:hAnsi="宋体" w:cs="宋体"/>
          <w:b/>
          <w:color w:val="auto"/>
          <w:sz w:val="24"/>
          <w:highlight w:val="none"/>
          <w:u w:val="none"/>
        </w:rPr>
        <w:t>预算</w:t>
      </w:r>
      <w:r>
        <w:rPr>
          <w:rFonts w:hint="eastAsia" w:ascii="宋体" w:hAnsi="宋体" w:cs="宋体"/>
          <w:b/>
          <w:color w:val="auto"/>
          <w:sz w:val="24"/>
          <w:highlight w:val="none"/>
          <w:u w:val="none"/>
          <w:lang w:eastAsia="zh-CN"/>
        </w:rPr>
        <w:t>总</w:t>
      </w:r>
      <w:r>
        <w:rPr>
          <w:rFonts w:hint="eastAsia" w:ascii="宋体" w:hAnsi="宋体" w:cs="宋体"/>
          <w:b/>
          <w:color w:val="auto"/>
          <w:sz w:val="24"/>
          <w:highlight w:val="none"/>
          <w:u w:val="none"/>
        </w:rPr>
        <w:t>金额：</w:t>
      </w:r>
      <w:r>
        <w:rPr>
          <w:rFonts w:hint="eastAsia" w:ascii="宋体" w:hAnsi="宋体" w:cs="宋体"/>
          <w:bCs/>
          <w:color w:val="auto"/>
          <w:sz w:val="24"/>
          <w:szCs w:val="24"/>
          <w:highlight w:val="none"/>
          <w:u w:val="none"/>
          <w:lang w:val="en-US" w:eastAsia="zh-CN"/>
        </w:rPr>
        <w:t>250</w:t>
      </w:r>
      <w:r>
        <w:rPr>
          <w:rFonts w:hint="eastAsia" w:ascii="宋体" w:hAnsi="宋体" w:cs="宋体"/>
          <w:bCs/>
          <w:color w:val="auto"/>
          <w:sz w:val="24"/>
          <w:szCs w:val="24"/>
          <w:highlight w:val="none"/>
          <w:u w:val="none"/>
        </w:rPr>
        <w:t>万元</w:t>
      </w:r>
    </w:p>
    <w:p>
      <w:pPr>
        <w:keepNext w:val="0"/>
        <w:keepLines w:val="0"/>
        <w:pageBreakBefore w:val="0"/>
        <w:kinsoku/>
        <w:wordWrap/>
        <w:overflowPunct/>
        <w:topLinePunct w:val="0"/>
        <w:bidi w:val="0"/>
        <w:snapToGrid/>
        <w:spacing w:line="300" w:lineRule="auto"/>
        <w:ind w:firstLine="480"/>
        <w:textAlignment w:val="auto"/>
        <w:rPr>
          <w:rFonts w:hint="eastAsia" w:ascii="宋体" w:hAnsi="宋体" w:eastAsia="宋体" w:cs="宋体"/>
          <w:b w:val="0"/>
          <w:bCs/>
          <w:color w:val="auto"/>
          <w:sz w:val="24"/>
          <w:highlight w:val="none"/>
          <w:u w:val="none"/>
        </w:rPr>
      </w:pPr>
      <w:r>
        <w:rPr>
          <w:rFonts w:hint="eastAsia" w:ascii="宋体" w:hAnsi="宋体" w:eastAsia="宋体" w:cs="宋体"/>
          <w:b/>
          <w:color w:val="auto"/>
          <w:sz w:val="24"/>
          <w:highlight w:val="none"/>
          <w:u w:val="none"/>
        </w:rPr>
        <w:t>最高</w:t>
      </w:r>
      <w:r>
        <w:rPr>
          <w:rFonts w:hint="eastAsia" w:ascii="宋体" w:hAnsi="宋体" w:eastAsia="宋体" w:cs="宋体"/>
          <w:b/>
          <w:color w:val="auto"/>
          <w:sz w:val="24"/>
          <w:highlight w:val="none"/>
          <w:u w:val="none"/>
          <w:lang w:eastAsia="zh-CN"/>
        </w:rPr>
        <w:t>总</w:t>
      </w:r>
      <w:r>
        <w:rPr>
          <w:rFonts w:hint="eastAsia" w:ascii="宋体" w:hAnsi="宋体" w:eastAsia="宋体" w:cs="宋体"/>
          <w:b/>
          <w:color w:val="auto"/>
          <w:sz w:val="24"/>
          <w:highlight w:val="none"/>
          <w:u w:val="none"/>
        </w:rPr>
        <w:t>限价：</w:t>
      </w:r>
      <w:r>
        <w:rPr>
          <w:rFonts w:hint="eastAsia" w:ascii="宋体" w:hAnsi="宋体" w:cs="宋体"/>
          <w:bCs/>
          <w:color w:val="auto"/>
          <w:sz w:val="24"/>
          <w:szCs w:val="24"/>
          <w:highlight w:val="none"/>
          <w:u w:val="none"/>
          <w:lang w:val="en-US" w:eastAsia="zh-CN"/>
        </w:rPr>
        <w:t>250</w:t>
      </w:r>
      <w:r>
        <w:rPr>
          <w:rFonts w:hint="eastAsia" w:ascii="宋体" w:hAnsi="宋体" w:cs="宋体"/>
          <w:bCs/>
          <w:color w:val="auto"/>
          <w:sz w:val="24"/>
          <w:szCs w:val="24"/>
          <w:highlight w:val="none"/>
          <w:u w:val="none"/>
        </w:rPr>
        <w:t>万元</w:t>
      </w:r>
    </w:p>
    <w:p>
      <w:pPr>
        <w:spacing w:line="312" w:lineRule="auto"/>
        <w:ind w:firstLine="480"/>
        <w:rPr>
          <w:rFonts w:hint="eastAsia" w:ascii="宋体" w:hAnsi="宋体" w:eastAsia="宋体" w:cs="宋体"/>
          <w:bCs/>
          <w:color w:val="auto"/>
          <w:sz w:val="24"/>
          <w:szCs w:val="24"/>
          <w:highlight w:val="none"/>
        </w:rPr>
      </w:pPr>
      <w:r>
        <w:rPr>
          <w:rFonts w:hint="eastAsia" w:ascii="宋体" w:hAnsi="宋体" w:eastAsia="宋体" w:cs="宋体"/>
          <w:b/>
          <w:color w:val="auto"/>
          <w:sz w:val="24"/>
          <w:highlight w:val="none"/>
        </w:rPr>
        <w:t>采购需求：</w:t>
      </w:r>
      <w:r>
        <w:rPr>
          <w:rFonts w:hint="eastAsia" w:ascii="宋体" w:hAnsi="宋体"/>
          <w:color w:val="auto"/>
          <w:sz w:val="24"/>
          <w:highlight w:val="none"/>
          <w:lang w:eastAsia="zh-CN"/>
        </w:rPr>
        <w:t>诸暨市住房和城乡建设局2022年生活垃圾处置终端第三方监管服务</w:t>
      </w:r>
      <w:r>
        <w:rPr>
          <w:rFonts w:hint="eastAsia" w:ascii="宋体" w:hAnsi="宋体" w:eastAsia="宋体" w:cs="Times New Roman"/>
          <w:color w:val="auto"/>
          <w:sz w:val="24"/>
          <w:highlight w:val="none"/>
          <w:lang w:val="en-US" w:eastAsia="zh-CN"/>
        </w:rPr>
        <w:t>，本项目采购预算为250</w:t>
      </w:r>
      <w:r>
        <w:rPr>
          <w:rFonts w:hint="eastAsia" w:ascii="宋体" w:hAnsi="宋体" w:eastAsia="宋体" w:cs="Times New Roman"/>
          <w:color w:val="auto"/>
          <w:sz w:val="24"/>
          <w:highlight w:val="none"/>
          <w:lang w:eastAsia="zh-CN"/>
        </w:rPr>
        <w:t>万元，详见</w:t>
      </w:r>
      <w:r>
        <w:rPr>
          <w:rFonts w:hint="eastAsia" w:ascii="宋体" w:hAnsi="宋体" w:eastAsia="宋体" w:cs="Times New Roman"/>
          <w:color w:val="auto"/>
          <w:sz w:val="24"/>
          <w:highlight w:val="none"/>
          <w:lang w:val="en-US" w:eastAsia="zh-CN"/>
        </w:rPr>
        <w:t>第三章</w:t>
      </w:r>
      <w:r>
        <w:rPr>
          <w:rFonts w:hint="eastAsia" w:ascii="宋体" w:hAnsi="宋体" w:eastAsia="宋体" w:cs="Times New Roman"/>
          <w:color w:val="auto"/>
          <w:sz w:val="24"/>
          <w:highlight w:val="none"/>
          <w:lang w:eastAsia="zh-CN"/>
        </w:rPr>
        <w:t>采购需求。</w:t>
      </w:r>
    </w:p>
    <w:p>
      <w:pPr>
        <w:keepNext w:val="0"/>
        <w:keepLines w:val="0"/>
        <w:pageBreakBefore w:val="0"/>
        <w:kinsoku/>
        <w:wordWrap/>
        <w:overflowPunct/>
        <w:topLinePunct w:val="0"/>
        <w:bidi w:val="0"/>
        <w:snapToGrid/>
        <w:spacing w:line="300" w:lineRule="auto"/>
        <w:ind w:firstLine="482" w:firstLineChars="200"/>
        <w:textAlignment w:val="auto"/>
        <w:rPr>
          <w:rFonts w:hint="default" w:ascii="宋体" w:cs="宋体"/>
          <w:b/>
          <w:color w:val="auto"/>
          <w:sz w:val="24"/>
          <w:highlight w:val="none"/>
          <w:lang w:val="en-US"/>
        </w:rPr>
      </w:pPr>
      <w:r>
        <w:rPr>
          <w:rFonts w:hint="eastAsia" w:ascii="宋体" w:hAnsi="宋体" w:cs="宋体"/>
          <w:b/>
          <w:color w:val="auto"/>
          <w:sz w:val="24"/>
          <w:highlight w:val="none"/>
        </w:rPr>
        <w:t>合同履约期限：</w:t>
      </w:r>
      <w:r>
        <w:rPr>
          <w:rFonts w:hint="eastAsia" w:ascii="宋体" w:hAnsi="宋体" w:cs="宋体"/>
          <w:bCs/>
          <w:color w:val="auto"/>
          <w:sz w:val="24"/>
          <w:szCs w:val="24"/>
          <w:highlight w:val="none"/>
          <w:u w:val="none"/>
          <w:lang w:val="en-US" w:eastAsia="zh-CN"/>
        </w:rPr>
        <w:t>按招标文件要求执行。</w:t>
      </w:r>
    </w:p>
    <w:p>
      <w:pPr>
        <w:pStyle w:val="15"/>
        <w:keepNext w:val="0"/>
        <w:keepLines w:val="0"/>
        <w:pageBreakBefore w:val="0"/>
        <w:kinsoku/>
        <w:wordWrap/>
        <w:overflowPunct/>
        <w:topLinePunct w:val="0"/>
        <w:bidi w:val="0"/>
        <w:snapToGrid/>
        <w:spacing w:line="300" w:lineRule="auto"/>
        <w:ind w:firstLine="480"/>
        <w:textAlignment w:val="auto"/>
        <w:rPr>
          <w:rFonts w:hAnsi="宋体" w:cs="宋体"/>
          <w:b/>
          <w:color w:val="auto"/>
          <w:sz w:val="24"/>
          <w:highlight w:val="none"/>
        </w:rPr>
      </w:pPr>
      <w:r>
        <w:rPr>
          <w:rFonts w:hint="eastAsia" w:hAnsi="宋体" w:cs="宋体"/>
          <w:b/>
          <w:color w:val="auto"/>
          <w:sz w:val="24"/>
          <w:highlight w:val="none"/>
        </w:rPr>
        <w:t>本项目接受联合体投标：</w:t>
      </w:r>
      <w:r>
        <w:rPr>
          <w:rFonts w:hint="eastAsia" w:hAnsi="Wingdings" w:cs="宋体"/>
          <w:color w:val="auto"/>
          <w:kern w:val="0"/>
          <w:sz w:val="24"/>
          <w:szCs w:val="24"/>
          <w:highlight w:val="none"/>
        </w:rPr>
        <w:sym w:font="Wingdings" w:char="00FE"/>
      </w:r>
      <w:r>
        <w:rPr>
          <w:rFonts w:hint="eastAsia" w:hAnsi="宋体" w:cs="宋体"/>
          <w:b/>
          <w:color w:val="auto"/>
          <w:sz w:val="24"/>
          <w:highlight w:val="none"/>
        </w:rPr>
        <w:t>是，</w:t>
      </w:r>
      <w:r>
        <w:rPr>
          <w:rFonts w:hint="eastAsia" w:hAnsi="Wingdings" w:cs="宋体"/>
          <w:color w:val="auto"/>
          <w:kern w:val="0"/>
          <w:sz w:val="24"/>
          <w:szCs w:val="24"/>
          <w:highlight w:val="none"/>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pPr>
        <w:keepNext w:val="0"/>
        <w:keepLines w:val="0"/>
        <w:pageBreakBefore w:val="0"/>
        <w:kinsoku/>
        <w:wordWrap/>
        <w:overflowPunct/>
        <w:topLinePunct w:val="0"/>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二、申请人的资格要求：</w:t>
      </w:r>
    </w:p>
    <w:p>
      <w:pPr>
        <w:keepNext w:val="0"/>
        <w:keepLines w:val="0"/>
        <w:pageBreakBefore w:val="0"/>
        <w:widowControl w:val="0"/>
        <w:kinsoku/>
        <w:wordWrap/>
        <w:overflowPunct/>
        <w:topLinePunct w:val="0"/>
        <w:bidi w:val="0"/>
        <w:snapToGrid/>
        <w:spacing w:line="300"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1.满足《中华人民共和国政府采购法》第二十二条规定；</w:t>
      </w:r>
    </w:p>
    <w:p>
      <w:pPr>
        <w:keepNext w:val="0"/>
        <w:keepLines w:val="0"/>
        <w:pageBreakBefore w:val="0"/>
        <w:widowControl w:val="0"/>
        <w:kinsoku/>
        <w:wordWrap/>
        <w:overflowPunct/>
        <w:topLinePunct w:val="0"/>
        <w:bidi w:val="0"/>
        <w:snapToGrid/>
        <w:spacing w:line="300"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2.未被“信用中国”（www.creditchina.gov.cn)、中国政府采购网（www.ccgp.gov.cn）列入失信被执行人、重大税收违法案件当事人名单、政府采购严重违法失信行为记录名单。</w:t>
      </w:r>
    </w:p>
    <w:p>
      <w:pPr>
        <w:pStyle w:val="23"/>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highlight w:val="none"/>
          <w:lang w:val="en-US"/>
        </w:rPr>
        <w:t>3.</w:t>
      </w:r>
      <w:r>
        <w:rPr>
          <w:rFonts w:hint="eastAsia" w:ascii="宋体" w:hAnsi="宋体" w:eastAsia="宋体" w:cs="宋体"/>
          <w:b w:val="0"/>
          <w:bCs/>
          <w:color w:val="auto"/>
          <w:sz w:val="24"/>
          <w:highlight w:val="none"/>
        </w:rPr>
        <w:t>落实政府采购政策需满足的资格要求：</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☐无；</w:t>
      </w:r>
    </w:p>
    <w:p>
      <w:pPr>
        <w:keepNext w:val="0"/>
        <w:keepLines w:val="0"/>
        <w:pageBreakBefore w:val="0"/>
        <w:widowControl w:val="0"/>
        <w:kinsoku/>
        <w:wordWrap/>
        <w:overflowPunct/>
        <w:topLinePunct w:val="0"/>
        <w:bidi w:val="0"/>
        <w:snapToGrid/>
        <w:spacing w:line="300"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sym w:font="Wingdings" w:char="F0FE"/>
      </w:r>
      <w:r>
        <w:rPr>
          <w:rFonts w:hint="eastAsia" w:ascii="宋体" w:hAnsi="宋体" w:eastAsia="宋体" w:cs="宋体"/>
          <w:b w:val="0"/>
          <w:bCs/>
          <w:color w:val="auto"/>
          <w:sz w:val="24"/>
          <w:highlight w:val="none"/>
        </w:rPr>
        <w:t>专门面向中小企业。</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eastAsia="宋体" w:cs="宋体"/>
          <w:bCs/>
          <w:color w:val="auto"/>
          <w:sz w:val="24"/>
          <w:szCs w:val="24"/>
          <w:highlight w:val="none"/>
          <w:lang w:val="en-US" w:eastAsia="zh-CN"/>
        </w:rPr>
      </w:pPr>
      <w:r>
        <w:rPr>
          <w:rFonts w:hint="eastAsia" w:ascii="宋体" w:hAnsi="宋体" w:eastAsia="宋体" w:cs="宋体"/>
          <w:b w:val="0"/>
          <w:bCs/>
          <w:color w:val="auto"/>
          <w:sz w:val="24"/>
          <w:szCs w:val="24"/>
          <w:highlight w:val="none"/>
        </w:rPr>
        <w:t>4.本项目的特定资格要求：</w:t>
      </w:r>
      <w:r>
        <w:rPr>
          <w:rFonts w:hint="eastAsia" w:ascii="宋体" w:hAnsi="宋体" w:cs="宋体"/>
          <w:b w:val="0"/>
          <w:bCs/>
          <w:color w:val="auto"/>
          <w:sz w:val="24"/>
          <w:szCs w:val="24"/>
          <w:highlight w:val="none"/>
          <w:lang w:val="en-US" w:eastAsia="zh-CN"/>
        </w:rPr>
        <w:t>无。</w:t>
      </w:r>
    </w:p>
    <w:p>
      <w:pPr>
        <w:keepNext w:val="0"/>
        <w:keepLines w:val="0"/>
        <w:pageBreakBefore w:val="0"/>
        <w:kinsoku/>
        <w:wordWrap/>
        <w:overflowPunct/>
        <w:topLinePunct w:val="0"/>
        <w:bidi w:val="0"/>
        <w:snapToGrid/>
        <w:spacing w:line="300" w:lineRule="auto"/>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r>
        <w:rPr>
          <w:rFonts w:ascii="宋体" w:hAnsi="宋体" w:cs="宋体"/>
          <w:b/>
          <w:color w:val="auto"/>
          <w:sz w:val="24"/>
          <w:highlight w:val="none"/>
        </w:rPr>
        <w:t xml:space="preserve"> </w:t>
      </w:r>
    </w:p>
    <w:p>
      <w:pPr>
        <w:pStyle w:val="34"/>
        <w:keepNext w:val="0"/>
        <w:keepLines w:val="0"/>
        <w:pageBreakBefore w:val="0"/>
        <w:kinsoku/>
        <w:wordWrap/>
        <w:overflowPunct/>
        <w:topLinePunct w:val="0"/>
        <w:bidi w:val="0"/>
        <w:snapToGrid/>
        <w:spacing w:line="300" w:lineRule="auto"/>
        <w:ind w:firstLine="482" w:firstLineChars="200"/>
        <w:textAlignment w:val="auto"/>
        <w:rPr>
          <w:rFonts w:hAnsi="宋体" w:cs="宋体"/>
          <w:color w:val="auto"/>
          <w:sz w:val="24"/>
          <w:highlight w:val="none"/>
        </w:rPr>
      </w:pPr>
      <w:r>
        <w:rPr>
          <w:rFonts w:hint="eastAsia" w:hAnsi="宋体" w:cs="宋体"/>
          <w:b/>
          <w:color w:val="auto"/>
          <w:sz w:val="24"/>
          <w:highlight w:val="none"/>
        </w:rPr>
        <w:t>时间：</w:t>
      </w:r>
      <w:r>
        <w:rPr>
          <w:rFonts w:hint="eastAsia" w:hAnsi="宋体" w:cs="宋体"/>
          <w:color w:val="auto"/>
          <w:sz w:val="24"/>
          <w:highlight w:val="none"/>
          <w:u w:val="single"/>
          <w:lang w:val="en-US" w:eastAsia="zh-CN"/>
        </w:rPr>
        <w:t>/</w:t>
      </w:r>
      <w:r>
        <w:rPr>
          <w:rFonts w:hint="eastAsia" w:hAnsi="宋体" w:cs="宋体"/>
          <w:color w:val="auto"/>
          <w:sz w:val="24"/>
          <w:highlight w:val="none"/>
        </w:rPr>
        <w:t>至</w:t>
      </w:r>
      <w:r>
        <w:rPr>
          <w:rFonts w:hint="eastAsia" w:hAnsi="宋体" w:cs="宋体"/>
          <w:color w:val="auto"/>
          <w:sz w:val="24"/>
          <w:highlight w:val="none"/>
          <w:u w:val="single"/>
          <w:lang w:eastAsia="zh-CN"/>
        </w:rPr>
        <w:t>2022年8月29日</w:t>
      </w:r>
      <w:r>
        <w:rPr>
          <w:rFonts w:hint="eastAsia" w:hAnsi="宋体" w:cs="宋体"/>
          <w:color w:val="auto"/>
          <w:sz w:val="24"/>
          <w:highlight w:val="none"/>
        </w:rPr>
        <w:t>，每天上午</w:t>
      </w:r>
      <w:r>
        <w:rPr>
          <w:rFonts w:hAnsi="宋体" w:cs="宋体"/>
          <w:color w:val="auto"/>
          <w:sz w:val="24"/>
          <w:highlight w:val="none"/>
        </w:rPr>
        <w:t>00:00</w:t>
      </w:r>
      <w:r>
        <w:rPr>
          <w:rFonts w:hint="eastAsia" w:hAnsi="宋体" w:cs="宋体"/>
          <w:color w:val="auto"/>
          <w:sz w:val="24"/>
          <w:highlight w:val="none"/>
        </w:rPr>
        <w:t>至</w:t>
      </w:r>
      <w:r>
        <w:rPr>
          <w:rFonts w:hAnsi="宋体" w:cs="宋体"/>
          <w:color w:val="auto"/>
          <w:sz w:val="24"/>
          <w:highlight w:val="none"/>
        </w:rPr>
        <w:t xml:space="preserve">12:00 </w:t>
      </w:r>
      <w:r>
        <w:rPr>
          <w:rFonts w:hint="eastAsia" w:hAnsi="宋体" w:cs="宋体"/>
          <w:color w:val="auto"/>
          <w:sz w:val="24"/>
          <w:highlight w:val="none"/>
        </w:rPr>
        <w:t>，下午</w:t>
      </w:r>
      <w:r>
        <w:rPr>
          <w:rFonts w:hAnsi="宋体" w:cs="宋体"/>
          <w:color w:val="auto"/>
          <w:sz w:val="24"/>
          <w:highlight w:val="none"/>
        </w:rPr>
        <w:t>12:00</w:t>
      </w:r>
      <w:r>
        <w:rPr>
          <w:rFonts w:hint="eastAsia" w:hAnsi="宋体" w:cs="宋体"/>
          <w:color w:val="auto"/>
          <w:sz w:val="24"/>
          <w:highlight w:val="none"/>
        </w:rPr>
        <w:t>至</w:t>
      </w:r>
      <w:r>
        <w:rPr>
          <w:rFonts w:hAnsi="宋体" w:cs="宋体"/>
          <w:color w:val="auto"/>
          <w:sz w:val="24"/>
          <w:highlight w:val="none"/>
        </w:rPr>
        <w:t>23:59</w:t>
      </w:r>
      <w:r>
        <w:rPr>
          <w:rFonts w:hint="eastAsia" w:hAnsi="宋体" w:cs="宋体"/>
          <w:color w:val="auto"/>
          <w:sz w:val="24"/>
          <w:highlight w:val="none"/>
        </w:rPr>
        <w:t>（北京时间，线上获取法定节假日均可）。</w:t>
      </w:r>
    </w:p>
    <w:p>
      <w:pPr>
        <w:keepNext w:val="0"/>
        <w:keepLines w:val="0"/>
        <w:pageBreakBefore w:val="0"/>
        <w:kinsoku/>
        <w:wordWrap/>
        <w:overflowPunct/>
        <w:topLinePunct w:val="0"/>
        <w:bidi w:val="0"/>
        <w:snapToGrid/>
        <w:spacing w:line="30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snapToGrid w:val="0"/>
          <w:color w:val="auto"/>
          <w:sz w:val="24"/>
          <w:szCs w:val="21"/>
          <w:highlight w:val="none"/>
        </w:rPr>
        <w:t>浙江政府采购网（</w:t>
      </w:r>
      <w:r>
        <w:rPr>
          <w:rFonts w:ascii="宋体" w:hAnsi="宋体" w:cs="宋体"/>
          <w:snapToGrid w:val="0"/>
          <w:color w:val="auto"/>
          <w:sz w:val="24"/>
          <w:szCs w:val="21"/>
          <w:highlight w:val="none"/>
        </w:rPr>
        <w:t>http://zfcg.czt.zj.gov.cn/</w:t>
      </w:r>
      <w:r>
        <w:rPr>
          <w:rFonts w:hint="eastAsia" w:ascii="宋体" w:hAnsi="宋体" w:cs="宋体"/>
          <w:snapToGrid w:val="0"/>
          <w:color w:val="auto"/>
          <w:sz w:val="24"/>
          <w:szCs w:val="21"/>
          <w:highlight w:val="none"/>
        </w:rPr>
        <w:t>）</w:t>
      </w:r>
      <w:r>
        <w:rPr>
          <w:rFonts w:ascii="宋体" w:hAnsi="宋体" w:cs="宋体"/>
          <w:color w:val="auto"/>
          <w:sz w:val="24"/>
          <w:highlight w:val="none"/>
        </w:rPr>
        <w:t xml:space="preserve"> </w:t>
      </w:r>
    </w:p>
    <w:p>
      <w:pPr>
        <w:keepNext w:val="0"/>
        <w:keepLines w:val="0"/>
        <w:pageBreakBefore w:val="0"/>
        <w:kinsoku/>
        <w:wordWrap/>
        <w:overflowPunct/>
        <w:topLinePunct w:val="0"/>
        <w:bidi w:val="0"/>
        <w:snapToGrid/>
        <w:spacing w:line="300" w:lineRule="auto"/>
        <w:ind w:firstLine="482" w:firstLineChars="200"/>
        <w:textAlignment w:val="auto"/>
        <w:rPr>
          <w:rFonts w:ascii="宋体" w:cs="宋体"/>
          <w:snapToGrid w:val="0"/>
          <w:color w:val="auto"/>
          <w:sz w:val="24"/>
          <w:szCs w:val="21"/>
          <w:highlight w:val="none"/>
        </w:rPr>
      </w:pPr>
      <w:r>
        <w:rPr>
          <w:rFonts w:hint="eastAsia" w:ascii="宋体" w:hAnsi="宋体" w:cs="宋体"/>
          <w:b/>
          <w:color w:val="auto"/>
          <w:sz w:val="24"/>
          <w:highlight w:val="none"/>
        </w:rPr>
        <w:t>方式：</w:t>
      </w:r>
      <w:r>
        <w:rPr>
          <w:rFonts w:hint="eastAsia" w:ascii="宋体" w:hAnsi="宋体" w:cs="宋体"/>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pPr>
        <w:keepNext w:val="0"/>
        <w:keepLines w:val="0"/>
        <w:pageBreakBefore w:val="0"/>
        <w:kinsoku/>
        <w:wordWrap/>
        <w:overflowPunct/>
        <w:topLinePunct w:val="0"/>
        <w:bidi w:val="0"/>
        <w:snapToGrid/>
        <w:spacing w:line="300" w:lineRule="auto"/>
        <w:ind w:firstLine="482" w:firstLineChars="200"/>
        <w:textAlignment w:val="auto"/>
        <w:rPr>
          <w:rFonts w:ascii="宋体" w:cs="宋体"/>
          <w:color w:val="auto"/>
          <w:sz w:val="24"/>
          <w:highlight w:val="none"/>
        </w:rPr>
      </w:pPr>
      <w:r>
        <w:rPr>
          <w:rFonts w:hint="eastAsia" w:ascii="宋体" w:hAnsi="宋体" w:cs="宋体"/>
          <w:b/>
          <w:color w:val="auto"/>
          <w:sz w:val="24"/>
          <w:highlight w:val="none"/>
        </w:rPr>
        <w:t>售价：</w:t>
      </w:r>
      <w:r>
        <w:rPr>
          <w:rFonts w:ascii="宋体" w:hAnsi="宋体" w:cs="宋体"/>
          <w:snapToGrid w:val="0"/>
          <w:color w:val="auto"/>
          <w:sz w:val="24"/>
          <w:szCs w:val="21"/>
          <w:highlight w:val="none"/>
        </w:rPr>
        <w:t xml:space="preserve">0 </w:t>
      </w:r>
      <w:r>
        <w:rPr>
          <w:rFonts w:hint="eastAsia" w:ascii="宋体" w:hAnsi="宋体" w:cs="宋体"/>
          <w:snapToGrid w:val="0"/>
          <w:color w:val="auto"/>
          <w:sz w:val="24"/>
          <w:szCs w:val="21"/>
          <w:highlight w:val="none"/>
        </w:rPr>
        <w:t>元。</w:t>
      </w:r>
      <w:r>
        <w:rPr>
          <w:rFonts w:ascii="宋体" w:cs="宋体"/>
          <w:color w:val="auto"/>
          <w:sz w:val="24"/>
          <w:highlight w:val="none"/>
        </w:rPr>
        <w:tab/>
      </w:r>
    </w:p>
    <w:p>
      <w:pPr>
        <w:keepNext w:val="0"/>
        <w:keepLines w:val="0"/>
        <w:pageBreakBefore w:val="0"/>
        <w:kinsoku/>
        <w:wordWrap/>
        <w:overflowPunct/>
        <w:topLinePunct w:val="0"/>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四、提交投标文件截止时间、开标时间和地点</w:t>
      </w:r>
    </w:p>
    <w:p>
      <w:pPr>
        <w:pStyle w:val="34"/>
        <w:keepNext w:val="0"/>
        <w:keepLines w:val="0"/>
        <w:pageBreakBefore w:val="0"/>
        <w:kinsoku/>
        <w:wordWrap/>
        <w:overflowPunct/>
        <w:topLinePunct w:val="0"/>
        <w:bidi w:val="0"/>
        <w:snapToGrid/>
        <w:spacing w:line="300"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提交投标文件截止时间及开标时间：</w:t>
      </w:r>
      <w:r>
        <w:rPr>
          <w:rFonts w:hint="eastAsia" w:hAnsi="宋体" w:cs="宋体"/>
          <w:color w:val="auto"/>
          <w:sz w:val="24"/>
          <w:highlight w:val="none"/>
        </w:rPr>
        <w:t>投标人应于</w:t>
      </w:r>
      <w:r>
        <w:rPr>
          <w:rFonts w:hint="eastAsia" w:hAnsi="宋体" w:cs="宋体"/>
          <w:color w:val="auto"/>
          <w:sz w:val="24"/>
          <w:highlight w:val="none"/>
          <w:lang w:eastAsia="zh-CN"/>
        </w:rPr>
        <w:t>2022年8月29日</w:t>
      </w:r>
      <w:r>
        <w:rPr>
          <w:rFonts w:hint="eastAsia" w:hAnsi="宋体" w:cs="宋体"/>
          <w:color w:val="auto"/>
          <w:sz w:val="24"/>
          <w:highlight w:val="none"/>
          <w:lang w:val="en-US" w:eastAsia="zh-CN"/>
        </w:rPr>
        <w:t>9</w:t>
      </w:r>
      <w:r>
        <w:rPr>
          <w:rFonts w:hint="eastAsia" w:hAnsi="宋体" w:cs="宋体"/>
          <w:color w:val="auto"/>
          <w:sz w:val="24"/>
          <w:highlight w:val="none"/>
          <w:lang w:eastAsia="zh-CN"/>
        </w:rPr>
        <w:t>时</w:t>
      </w:r>
      <w:r>
        <w:rPr>
          <w:rFonts w:hint="eastAsia" w:hAnsi="宋体" w:cs="宋体"/>
          <w:color w:val="auto"/>
          <w:sz w:val="24"/>
          <w:highlight w:val="none"/>
          <w:lang w:val="en-US" w:eastAsia="zh-CN"/>
        </w:rPr>
        <w:t>0</w:t>
      </w:r>
      <w:r>
        <w:rPr>
          <w:rFonts w:hint="eastAsia" w:hAnsi="宋体" w:cs="宋体"/>
          <w:color w:val="auto"/>
          <w:sz w:val="24"/>
          <w:highlight w:val="none"/>
          <w:lang w:eastAsia="zh-CN"/>
        </w:rPr>
        <w:t>0分</w:t>
      </w:r>
      <w:r>
        <w:rPr>
          <w:rFonts w:hint="eastAsia" w:hAnsi="宋体" w:cs="宋体"/>
          <w:color w:val="auto"/>
          <w:sz w:val="24"/>
          <w:highlight w:val="none"/>
        </w:rPr>
        <w:t>（北京时间）前按照电子投标要求将电子加密标书上传到政府采购云平台，逾期或未上传成功的将导致无法投标或投标无效。</w:t>
      </w:r>
    </w:p>
    <w:p>
      <w:pPr>
        <w:pStyle w:val="34"/>
        <w:keepNext w:val="0"/>
        <w:keepLines w:val="0"/>
        <w:pageBreakBefore w:val="0"/>
        <w:kinsoku/>
        <w:wordWrap/>
        <w:overflowPunct/>
        <w:topLinePunct w:val="0"/>
        <w:bidi w:val="0"/>
        <w:snapToGrid/>
        <w:spacing w:line="300"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开标地点：</w:t>
      </w:r>
      <w:r>
        <w:rPr>
          <w:rFonts w:hint="eastAsia" w:hAnsi="宋体" w:cs="宋体"/>
          <w:color w:val="auto"/>
          <w:sz w:val="24"/>
          <w:highlight w:val="none"/>
        </w:rPr>
        <w:t>政府采购云平台（</w:t>
      </w:r>
      <w:r>
        <w:rPr>
          <w:rFonts w:hAnsi="宋体" w:cs="宋体"/>
          <w:color w:val="auto"/>
          <w:sz w:val="24"/>
          <w:highlight w:val="none"/>
        </w:rPr>
        <w:t>www.zcygov.cn</w:t>
      </w:r>
      <w:r>
        <w:rPr>
          <w:rFonts w:hint="eastAsia" w:hAnsi="宋体" w:cs="宋体"/>
          <w:color w:val="auto"/>
          <w:sz w:val="24"/>
          <w:highlight w:val="none"/>
        </w:rPr>
        <w:t>）。所有投标人均须准时在“政府采购云平台”在线参加。</w:t>
      </w:r>
    </w:p>
    <w:p>
      <w:pPr>
        <w:keepNext w:val="0"/>
        <w:keepLines w:val="0"/>
        <w:pageBreakBefore w:val="0"/>
        <w:kinsoku/>
        <w:wordWrap/>
        <w:overflowPunct/>
        <w:topLinePunct w:val="0"/>
        <w:bidi w:val="0"/>
        <w:snapToGrid/>
        <w:spacing w:line="300" w:lineRule="auto"/>
        <w:textAlignment w:val="auto"/>
        <w:rPr>
          <w:rFonts w:ascii="宋体" w:cs="宋体"/>
          <w:color w:val="auto"/>
          <w:sz w:val="24"/>
          <w:highlight w:val="none"/>
        </w:rPr>
      </w:pPr>
      <w:r>
        <w:rPr>
          <w:rFonts w:hint="eastAsia" w:ascii="宋体" w:hAnsi="宋体" w:cs="宋体"/>
          <w:b/>
          <w:color w:val="auto"/>
          <w:sz w:val="24"/>
          <w:highlight w:val="none"/>
        </w:rPr>
        <w:t>五、公告期限</w:t>
      </w:r>
      <w:r>
        <w:rPr>
          <w:rFonts w:ascii="宋体" w:hAnsi="宋体" w:cs="宋体"/>
          <w:b/>
          <w:color w:val="auto"/>
          <w:sz w:val="24"/>
          <w:highlight w:val="none"/>
        </w:rPr>
        <w:t xml:space="preserve"> </w:t>
      </w:r>
    </w:p>
    <w:p>
      <w:pPr>
        <w:keepNext w:val="0"/>
        <w:keepLines w:val="0"/>
        <w:pageBreakBefore w:val="0"/>
        <w:kinsoku/>
        <w:wordWrap/>
        <w:overflowPunct/>
        <w:topLinePunct w:val="0"/>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w:t>
      </w:r>
      <w:r>
        <w:rPr>
          <w:rFonts w:hint="eastAsia" w:ascii="宋体" w:hAnsi="宋体" w:cs="宋体"/>
          <w:color w:val="auto"/>
          <w:sz w:val="24"/>
          <w:highlight w:val="none"/>
        </w:rPr>
        <w:t>个工作日。</w:t>
      </w:r>
    </w:p>
    <w:p>
      <w:pPr>
        <w:keepNext w:val="0"/>
        <w:keepLines w:val="0"/>
        <w:pageBreakBefore w:val="0"/>
        <w:kinsoku/>
        <w:wordWrap/>
        <w:overflowPunct/>
        <w:topLinePunct w:val="0"/>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六、其他补充事宜</w:t>
      </w:r>
    </w:p>
    <w:p>
      <w:pPr>
        <w:keepNext w:val="0"/>
        <w:keepLines w:val="0"/>
        <w:pageBreakBefore w:val="0"/>
        <w:kinsoku/>
        <w:wordWrap/>
        <w:overflowPunct/>
        <w:topLinePunct w:val="0"/>
        <w:bidi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bidi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《浙江省财政厅关于进一步发挥政府采购政策功能全力推动经济稳进提质的通知》</w:t>
      </w:r>
      <w:r>
        <w:rPr>
          <w:rFonts w:ascii="宋体" w:hAnsi="宋体" w:cs="宋体"/>
          <w:color w:val="auto"/>
          <w:sz w:val="24"/>
          <w:highlight w:val="none"/>
        </w:rPr>
        <w:t xml:space="preserve"> </w:t>
      </w:r>
      <w:r>
        <w:rPr>
          <w:rFonts w:hint="eastAsia" w:ascii="宋体" w:hAnsi="宋体" w:cs="宋体"/>
          <w:color w:val="auto"/>
          <w:sz w:val="24"/>
          <w:highlight w:val="none"/>
        </w:rPr>
        <w:t>（浙财采监（</w:t>
      </w:r>
      <w:r>
        <w:rPr>
          <w:rFonts w:ascii="宋体" w:hAnsi="宋体" w:cs="宋体"/>
          <w:color w:val="auto"/>
          <w:sz w:val="24"/>
          <w:highlight w:val="none"/>
        </w:rPr>
        <w:t>2022</w:t>
      </w: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号）、《浙江省财政厅关于进一步促进政府采购公平竞争打造最优营商环境的通知》（浙财采监（</w:t>
      </w:r>
      <w:r>
        <w:rPr>
          <w:rFonts w:ascii="宋体" w:hAnsi="宋体" w:cs="宋体"/>
          <w:color w:val="auto"/>
          <w:sz w:val="24"/>
          <w:highlight w:val="none"/>
        </w:rPr>
        <w:t>2021</w:t>
      </w:r>
      <w:r>
        <w:rPr>
          <w:rFonts w:hint="eastAsia" w:ascii="宋体" w:hAnsi="宋体" w:cs="宋体"/>
          <w:color w:val="auto"/>
          <w:sz w:val="24"/>
          <w:highlight w:val="none"/>
        </w:rPr>
        <w:t>）</w:t>
      </w:r>
      <w:r>
        <w:rPr>
          <w:rFonts w:ascii="宋体" w:hAnsi="宋体" w:cs="宋体"/>
          <w:color w:val="auto"/>
          <w:sz w:val="24"/>
          <w:highlight w:val="none"/>
        </w:rPr>
        <w:t>22</w:t>
      </w:r>
      <w:r>
        <w:rPr>
          <w:rFonts w:hint="eastAsia" w:ascii="宋体" w:hAnsi="宋体" w:cs="宋体"/>
          <w:color w:val="auto"/>
          <w:sz w:val="24"/>
          <w:highlight w:val="none"/>
        </w:rPr>
        <w:t>号）已分别于</w:t>
      </w:r>
      <w:r>
        <w:rPr>
          <w:rFonts w:ascii="宋体" w:hAnsi="宋体" w:cs="宋体"/>
          <w:color w:val="auto"/>
          <w:sz w:val="24"/>
          <w:highlight w:val="none"/>
        </w:rPr>
        <w:t>2022</w:t>
      </w:r>
      <w:r>
        <w:rPr>
          <w:rFonts w:hint="eastAsia" w:ascii="宋体" w:hAnsi="宋体" w:cs="宋体"/>
          <w:color w:val="auto"/>
          <w:sz w:val="24"/>
          <w:highlight w:val="none"/>
        </w:rPr>
        <w:t>年</w:t>
      </w:r>
      <w:r>
        <w:rPr>
          <w:rFonts w:ascii="宋体" w:hAnsi="宋体" w:cs="宋体"/>
          <w:color w:val="auto"/>
          <w:sz w:val="24"/>
          <w:highlight w:val="none"/>
        </w:rPr>
        <w:t>1</w:t>
      </w:r>
      <w:r>
        <w:rPr>
          <w:rFonts w:hint="eastAsia" w:ascii="宋体" w:hAnsi="宋体" w:cs="宋体"/>
          <w:color w:val="auto"/>
          <w:sz w:val="24"/>
          <w:highlight w:val="none"/>
        </w:rPr>
        <w:t>月</w:t>
      </w:r>
      <w:r>
        <w:rPr>
          <w:rFonts w:ascii="宋体" w:hAnsi="宋体" w:cs="宋体"/>
          <w:color w:val="auto"/>
          <w:sz w:val="24"/>
          <w:highlight w:val="none"/>
        </w:rPr>
        <w:t>29</w:t>
      </w:r>
      <w:r>
        <w:rPr>
          <w:rFonts w:hint="eastAsia" w:ascii="宋体" w:hAnsi="宋体" w:cs="宋体"/>
          <w:color w:val="auto"/>
          <w:sz w:val="24"/>
          <w:highlight w:val="none"/>
        </w:rPr>
        <w:t>日和</w:t>
      </w:r>
      <w:r>
        <w:rPr>
          <w:rFonts w:ascii="宋体" w:hAnsi="宋体" w:cs="宋体"/>
          <w:color w:val="auto"/>
          <w:sz w:val="24"/>
          <w:highlight w:val="none"/>
        </w:rPr>
        <w:t>2022</w:t>
      </w:r>
      <w:r>
        <w:rPr>
          <w:rFonts w:hint="eastAsia" w:ascii="宋体" w:hAnsi="宋体" w:cs="宋体"/>
          <w:color w:val="auto"/>
          <w:sz w:val="24"/>
          <w:highlight w:val="none"/>
        </w:rPr>
        <w:t>年</w:t>
      </w:r>
      <w:r>
        <w:rPr>
          <w:rFonts w:ascii="宋体" w:hAnsi="宋体" w:cs="宋体"/>
          <w:color w:val="auto"/>
          <w:sz w:val="24"/>
          <w:highlight w:val="none"/>
        </w:rPr>
        <w:t>2</w:t>
      </w:r>
      <w:r>
        <w:rPr>
          <w:rFonts w:hint="eastAsia" w:ascii="宋体" w:hAnsi="宋体" w:cs="宋体"/>
          <w:color w:val="auto"/>
          <w:sz w:val="24"/>
          <w:highlight w:val="none"/>
        </w:rPr>
        <w:t>月</w:t>
      </w:r>
      <w:r>
        <w:rPr>
          <w:rFonts w:ascii="宋体" w:hAnsi="宋体" w:cs="宋体"/>
          <w:color w:val="auto"/>
          <w:sz w:val="24"/>
          <w:highlight w:val="none"/>
        </w:rPr>
        <w:t>1</w:t>
      </w:r>
      <w:r>
        <w:rPr>
          <w:rFonts w:hint="eastAsia" w:ascii="宋体" w:hAnsi="宋体" w:cs="宋体"/>
          <w:color w:val="auto"/>
          <w:sz w:val="24"/>
          <w:highlight w:val="none"/>
        </w:rPr>
        <w:t>日开始实施，此前有关规定与上述文件内容不一致的，按上述文件要求执行。</w:t>
      </w:r>
    </w:p>
    <w:p>
      <w:pPr>
        <w:keepNext w:val="0"/>
        <w:keepLines w:val="0"/>
        <w:pageBreakBefore w:val="0"/>
        <w:kinsoku/>
        <w:wordWrap/>
        <w:overflowPunct/>
        <w:topLinePunct w:val="0"/>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根据《浙江省财政厅关于进一步促进政府采购公平竞争打造最优营商环境的通知》（浙财采监（</w:t>
      </w:r>
      <w:r>
        <w:rPr>
          <w:rFonts w:ascii="宋体" w:hAnsi="宋体" w:cs="宋体"/>
          <w:color w:val="auto"/>
          <w:sz w:val="24"/>
          <w:highlight w:val="none"/>
        </w:rPr>
        <w:t>2021</w:t>
      </w:r>
      <w:r>
        <w:rPr>
          <w:rFonts w:hint="eastAsia" w:ascii="宋体" w:hAnsi="宋体" w:cs="宋体"/>
          <w:color w:val="auto"/>
          <w:sz w:val="24"/>
          <w:highlight w:val="none"/>
        </w:rPr>
        <w:t>）</w:t>
      </w:r>
      <w:r>
        <w:rPr>
          <w:rFonts w:ascii="宋体" w:hAnsi="宋体" w:cs="宋体"/>
          <w:color w:val="auto"/>
          <w:sz w:val="24"/>
          <w:highlight w:val="none"/>
        </w:rPr>
        <w:t>22</w:t>
      </w:r>
      <w:r>
        <w:rPr>
          <w:rFonts w:hint="eastAsia" w:ascii="宋体" w:hAnsi="宋体" w:cs="宋体"/>
          <w:color w:val="auto"/>
          <w:sz w:val="24"/>
          <w:highlight w:val="none"/>
        </w:rPr>
        <w:t>号）文件关于“健全行政裁决机制”要求，鼓励供应商在线提起询问，路径为：政采云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询问列表</w:t>
      </w:r>
      <w:r>
        <w:rPr>
          <w:rFonts w:ascii="宋体" w:hAnsi="宋体" w:cs="宋体"/>
          <w:color w:val="auto"/>
          <w:sz w:val="24"/>
          <w:highlight w:val="none"/>
        </w:rPr>
        <w:t>:</w:t>
      </w:r>
      <w:r>
        <w:rPr>
          <w:rFonts w:hint="eastAsia" w:ascii="宋体" w:hAnsi="宋体" w:cs="宋体"/>
          <w:color w:val="auto"/>
          <w:sz w:val="24"/>
          <w:highlight w:val="none"/>
        </w:rPr>
        <w:t>鼓励供应商在线提起质疑，路径为：政采云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质疑列表。质疑供应商对在线质疑答复不满意的，可在线提起投诉，路径为：浙江政府服务网</w:t>
      </w:r>
      <w:r>
        <w:rPr>
          <w:rFonts w:ascii="宋体" w:cs="宋体"/>
          <w:color w:val="auto"/>
          <w:sz w:val="24"/>
          <w:highlight w:val="none"/>
        </w:rPr>
        <w:t>-</w:t>
      </w:r>
      <w:r>
        <w:rPr>
          <w:rFonts w:hint="eastAsia" w:ascii="宋体" w:hAnsi="宋体" w:cs="宋体"/>
          <w:color w:val="auto"/>
          <w:sz w:val="24"/>
          <w:highlight w:val="none"/>
        </w:rPr>
        <w:t>政府采购投诉处理</w:t>
      </w:r>
      <w:r>
        <w:rPr>
          <w:rFonts w:ascii="宋体" w:cs="宋体"/>
          <w:color w:val="auto"/>
          <w:sz w:val="24"/>
          <w:highlight w:val="none"/>
        </w:rPr>
        <w:t>-</w:t>
      </w:r>
      <w:r>
        <w:rPr>
          <w:rFonts w:hint="eastAsia" w:ascii="宋体" w:hAnsi="宋体" w:cs="宋体"/>
          <w:color w:val="auto"/>
          <w:sz w:val="24"/>
          <w:highlight w:val="none"/>
        </w:rPr>
        <w:t>在线办理。</w:t>
      </w:r>
    </w:p>
    <w:p>
      <w:pPr>
        <w:keepNext w:val="0"/>
        <w:keepLines w:val="0"/>
        <w:pageBreakBefore w:val="0"/>
        <w:kinsoku/>
        <w:wordWrap/>
        <w:overflowPunct/>
        <w:topLinePunct w:val="0"/>
        <w:bidi w:val="0"/>
        <w:snapToGrid/>
        <w:spacing w:line="30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其他事项：（</w:t>
      </w:r>
      <w:r>
        <w:rPr>
          <w:rFonts w:ascii="宋体" w:hAnsi="宋体" w:cs="宋体"/>
          <w:color w:val="auto"/>
          <w:sz w:val="24"/>
          <w:highlight w:val="none"/>
        </w:rPr>
        <w:t>1</w:t>
      </w:r>
      <w:r>
        <w:rPr>
          <w:rFonts w:hint="eastAsia" w:ascii="宋体" w:hAnsi="宋体" w:cs="宋体"/>
          <w:color w:val="auto"/>
          <w:sz w:val="24"/>
          <w:highlight w:val="none"/>
        </w:rPr>
        <w:t>）需要落实的政府采购政策：包括节约资源、保护环境、支持创新、促进中小企业发展等，详见招标文件的第二部分投标人须知</w:t>
      </w:r>
      <w:r>
        <w:rPr>
          <w:rFonts w:ascii="宋体" w:cs="宋体"/>
          <w:color w:val="auto"/>
          <w:sz w:val="24"/>
          <w:highlight w:val="none"/>
        </w:rPr>
        <w:t>-</w:t>
      </w:r>
      <w:r>
        <w:rPr>
          <w:rFonts w:hint="eastAsia" w:ascii="宋体" w:hAnsi="宋体" w:cs="宋体"/>
          <w:color w:val="auto"/>
          <w:sz w:val="24"/>
          <w:highlight w:val="none"/>
        </w:rPr>
        <w:t>总则。（</w:t>
      </w:r>
      <w:r>
        <w:rPr>
          <w:rFonts w:ascii="宋体" w:hAnsi="宋体" w:cs="宋体"/>
          <w:color w:val="auto"/>
          <w:sz w:val="24"/>
          <w:highlight w:val="none"/>
        </w:rPr>
        <w:t>2</w:t>
      </w:r>
      <w:r>
        <w:rPr>
          <w:rFonts w:hint="eastAsia" w:ascii="宋体" w:hAnsi="宋体" w:cs="宋体"/>
          <w:color w:val="auto"/>
          <w:sz w:val="24"/>
          <w:highlight w:val="none"/>
        </w:rPr>
        <w:t>）电子招投标的说明：①电子招投标：本项目以数据电文形式，依托“政府采购云平台（</w:t>
      </w:r>
      <w:r>
        <w:rPr>
          <w:rFonts w:ascii="宋体" w:hAnsi="宋体" w:cs="宋体"/>
          <w:color w:val="auto"/>
          <w:sz w:val="24"/>
          <w:highlight w:val="none"/>
        </w:rPr>
        <w:t>www.zcygov.cn</w:t>
      </w:r>
      <w:r>
        <w:rPr>
          <w:rFonts w:hint="eastAsia" w:ascii="宋体" w:hAnsi="宋体" w:cs="宋体"/>
          <w:color w:val="auto"/>
          <w:sz w:val="24"/>
          <w:highlight w:val="none"/>
        </w:rPr>
        <w:t>）”进行招投标活动，不接受纸质投标文件；②投标准备：注册账号</w:t>
      </w:r>
      <w:r>
        <w:rPr>
          <w:rFonts w:ascii="宋体" w:cs="宋体"/>
          <w:color w:val="auto"/>
          <w:sz w:val="24"/>
          <w:highlight w:val="none"/>
        </w:rPr>
        <w:t>--</w:t>
      </w:r>
      <w:r>
        <w:rPr>
          <w:rFonts w:hint="eastAsia" w:ascii="宋体" w:hAnsi="宋体" w:cs="宋体"/>
          <w:color w:val="auto"/>
          <w:sz w:val="24"/>
          <w:highlight w:val="none"/>
        </w:rPr>
        <w:t>点击“商家入驻”，进行政府采购供应商资料填写；申领</w:t>
      </w:r>
      <w:r>
        <w:rPr>
          <w:rFonts w:ascii="宋体" w:hAnsi="宋体" w:cs="宋体"/>
          <w:color w:val="auto"/>
          <w:sz w:val="24"/>
          <w:highlight w:val="none"/>
        </w:rPr>
        <w:t>CA</w:t>
      </w:r>
      <w:r>
        <w:rPr>
          <w:rFonts w:hint="eastAsia" w:ascii="宋体" w:hAnsi="宋体" w:cs="宋体"/>
          <w:color w:val="auto"/>
          <w:sz w:val="24"/>
          <w:highlight w:val="none"/>
        </w:rPr>
        <w:t>数字证书</w:t>
      </w:r>
      <w:r>
        <w:rPr>
          <w:rFonts w:ascii="宋体" w:cs="宋体"/>
          <w:color w:val="auto"/>
          <w:sz w:val="24"/>
          <w:highlight w:val="none"/>
        </w:rPr>
        <w:t>---</w:t>
      </w:r>
      <w:r>
        <w:rPr>
          <w:rFonts w:hint="eastAsia" w:ascii="宋体" w:hAnsi="宋体" w:cs="宋体"/>
          <w:color w:val="auto"/>
          <w:sz w:val="24"/>
          <w:highlight w:val="none"/>
        </w:rPr>
        <w:t>申领流程详见“浙江政府采购网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w:t>
      </w:r>
      <w:r>
        <w:rPr>
          <w:rFonts w:ascii="宋体" w:hAnsi="宋体" w:cs="宋体"/>
          <w:color w:val="auto"/>
          <w:sz w:val="24"/>
          <w:highlight w:val="none"/>
        </w:rPr>
        <w:t>-CA</w:t>
      </w:r>
      <w:r>
        <w:rPr>
          <w:rFonts w:hint="eastAsia" w:ascii="宋体" w:hAnsi="宋体" w:cs="宋体"/>
          <w:color w:val="auto"/>
          <w:sz w:val="24"/>
          <w:highlight w:val="none"/>
        </w:rPr>
        <w:t>驱动和申领流程”；安装“政采云电子交易客户端”</w:t>
      </w:r>
      <w:r>
        <w:rPr>
          <w:rFonts w:ascii="宋体" w:cs="宋体"/>
          <w:color w:val="auto"/>
          <w:sz w:val="24"/>
          <w:highlight w:val="none"/>
        </w:rPr>
        <w:t>----</w:t>
      </w:r>
      <w:r>
        <w:rPr>
          <w:rFonts w:hint="eastAsia" w:ascii="宋体" w:hAnsi="宋体" w:cs="宋体"/>
          <w:color w:val="auto"/>
          <w:sz w:val="24"/>
          <w:highlight w:val="none"/>
        </w:rPr>
        <w:t>前往“浙江政府采购网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电子交易客户端”进行下载并安装；③招标文件的获取：使用账号登录或者使用</w:t>
      </w:r>
      <w:r>
        <w:rPr>
          <w:rFonts w:ascii="宋体" w:hAnsi="宋体" w:cs="宋体"/>
          <w:color w:val="auto"/>
          <w:sz w:val="24"/>
          <w:highlight w:val="none"/>
        </w:rPr>
        <w:t>CA</w:t>
      </w:r>
      <w:r>
        <w:rPr>
          <w:rFonts w:hint="eastAsia" w:ascii="宋体" w:hAnsi="宋体" w:cs="宋体"/>
          <w:color w:val="auto"/>
          <w:sz w:val="24"/>
          <w:highlight w:val="none"/>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color w:val="auto"/>
          <w:sz w:val="24"/>
          <w:highlight w:val="none"/>
        </w:rPr>
        <w:t>1</w:t>
      </w:r>
      <w:r>
        <w:rPr>
          <w:rFonts w:hint="eastAsia" w:ascii="宋体" w:hAnsi="宋体" w:cs="宋体"/>
          <w:color w:val="auto"/>
          <w:sz w:val="24"/>
          <w:highlight w:val="none"/>
        </w:rPr>
        <w:t>份。</w:t>
      </w:r>
      <w:r>
        <w:rPr>
          <w:rFonts w:hint="eastAsia" w:ascii="宋体" w:hAnsi="宋体" w:cs="宋体"/>
          <w:b/>
          <w:bCs/>
          <w:color w:val="auto"/>
          <w:sz w:val="24"/>
          <w:highlight w:val="none"/>
        </w:rPr>
        <w:t>备份投标文件的制作、递交详见招标文件第二部分第</w:t>
      </w:r>
      <w:r>
        <w:rPr>
          <w:rFonts w:ascii="宋体" w:hAnsi="宋体" w:cs="宋体"/>
          <w:b/>
          <w:bCs/>
          <w:color w:val="auto"/>
          <w:sz w:val="24"/>
          <w:highlight w:val="none"/>
        </w:rPr>
        <w:t>15</w:t>
      </w:r>
      <w:r>
        <w:rPr>
          <w:rFonts w:hint="eastAsia" w:ascii="宋体" w:hAnsi="宋体" w:cs="宋体"/>
          <w:b/>
          <w:bCs/>
          <w:color w:val="auto"/>
          <w:sz w:val="24"/>
          <w:highlight w:val="none"/>
        </w:rPr>
        <w:t>点</w:t>
      </w:r>
      <w:r>
        <w:rPr>
          <w:rFonts w:ascii="宋体" w:hAnsi="宋体" w:cs="宋体"/>
          <w:b/>
          <w:bCs/>
          <w:color w:val="auto"/>
          <w:sz w:val="24"/>
          <w:highlight w:val="none"/>
        </w:rPr>
        <w:t>—</w:t>
      </w:r>
      <w:r>
        <w:rPr>
          <w:rFonts w:hint="eastAsia" w:ascii="宋体" w:hAnsi="宋体" w:cs="宋体"/>
          <w:b/>
          <w:bCs/>
          <w:color w:val="auto"/>
          <w:sz w:val="24"/>
          <w:highlight w:val="none"/>
        </w:rPr>
        <w:t>“备份投标文件”；</w:t>
      </w:r>
      <w:r>
        <w:rPr>
          <w:rFonts w:ascii="宋体" w:hAnsi="宋体" w:cs="宋体"/>
          <w:color w:val="auto"/>
          <w:sz w:val="24"/>
          <w:highlight w:val="none"/>
        </w:rPr>
        <w:t xml:space="preserve"> </w:t>
      </w:r>
      <w:r>
        <w:rPr>
          <w:rFonts w:hint="eastAsia" w:ascii="宋体" w:hAnsi="宋体" w:cs="宋体"/>
          <w:color w:val="auto"/>
          <w:sz w:val="24"/>
          <w:highlight w:val="none"/>
        </w:rPr>
        <w:t>⑧投标文件的解密：投标人按照平台提示和招标文件的规定在</w:t>
      </w:r>
      <w:r>
        <w:rPr>
          <w:rFonts w:ascii="宋体" w:hAnsi="宋体" w:cs="宋体"/>
          <w:color w:val="auto"/>
          <w:sz w:val="24"/>
          <w:highlight w:val="none"/>
        </w:rPr>
        <w:t>30</w:t>
      </w:r>
      <w:r>
        <w:rPr>
          <w:rFonts w:hint="eastAsia" w:ascii="宋体" w:hAnsi="宋体" w:cs="宋体"/>
          <w:color w:val="auto"/>
          <w:sz w:val="24"/>
          <w:highlight w:val="none"/>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color w:val="auto"/>
          <w:sz w:val="24"/>
          <w:highlight w:val="none"/>
        </w:rPr>
        <w:t>-</w:t>
      </w:r>
      <w:r>
        <w:rPr>
          <w:rFonts w:hint="eastAsia" w:ascii="宋体" w:hAnsi="宋体" w:cs="宋体"/>
          <w:color w:val="auto"/>
          <w:sz w:val="24"/>
          <w:highlight w:val="none"/>
        </w:rPr>
        <w:t>帮助文档</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操作流程</w:t>
      </w:r>
      <w:r>
        <w:rPr>
          <w:rFonts w:ascii="宋体" w:cs="宋体"/>
          <w:color w:val="auto"/>
          <w:sz w:val="24"/>
          <w:highlight w:val="none"/>
        </w:rPr>
        <w:t>-</w:t>
      </w:r>
      <w:r>
        <w:rPr>
          <w:rFonts w:hint="eastAsia" w:ascii="宋体" w:hAnsi="宋体" w:cs="宋体"/>
          <w:color w:val="auto"/>
          <w:sz w:val="24"/>
          <w:highlight w:val="none"/>
        </w:rPr>
        <w:t>电子招投标</w:t>
      </w:r>
      <w:r>
        <w:rPr>
          <w:rFonts w:ascii="宋体" w:cs="宋体"/>
          <w:color w:val="auto"/>
          <w:sz w:val="24"/>
          <w:highlight w:val="none"/>
        </w:rPr>
        <w:t>-</w:t>
      </w:r>
      <w:r>
        <w:rPr>
          <w:rFonts w:hint="eastAsia" w:ascii="宋体" w:hAnsi="宋体" w:cs="宋体"/>
          <w:color w:val="auto"/>
          <w:sz w:val="24"/>
          <w:highlight w:val="none"/>
        </w:rPr>
        <w:t>政府采购项目电子交易管理操作指南</w:t>
      </w:r>
      <w:r>
        <w:rPr>
          <w:rFonts w:ascii="宋体" w:cs="宋体"/>
          <w:color w:val="auto"/>
          <w:sz w:val="24"/>
          <w:highlight w:val="none"/>
        </w:rPr>
        <w:t>-</w:t>
      </w:r>
      <w:r>
        <w:rPr>
          <w:rFonts w:hint="eastAsia" w:ascii="宋体" w:hAnsi="宋体" w:cs="宋体"/>
          <w:color w:val="auto"/>
          <w:sz w:val="24"/>
          <w:highlight w:val="none"/>
        </w:rPr>
        <w:t>供应商”。</w:t>
      </w:r>
      <w:r>
        <w:rPr>
          <w:rFonts w:ascii="宋体" w:hAnsi="宋体" w:cs="宋体"/>
          <w:color w:val="auto"/>
          <w:sz w:val="24"/>
          <w:highlight w:val="none"/>
        </w:rPr>
        <w:t xml:space="preserve"> </w:t>
      </w:r>
    </w:p>
    <w:p>
      <w:pPr>
        <w:keepNext w:val="0"/>
        <w:keepLines w:val="0"/>
        <w:pageBreakBefore w:val="0"/>
        <w:kinsoku/>
        <w:wordWrap/>
        <w:overflowPunct/>
        <w:topLinePunct w:val="0"/>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bCs w:val="0"/>
          <w:color w:val="auto"/>
          <w:highlight w:val="none"/>
          <w:shd w:val="clear" w:color="auto" w:fill="FFFFFF"/>
        </w:rPr>
      </w:pPr>
      <w:r>
        <w:rPr>
          <w:rStyle w:val="73"/>
          <w:rFonts w:hint="eastAsia" w:ascii="宋体" w:hAnsi="宋体" w:eastAsia="宋体" w:cs="宋体"/>
          <w:b w:val="0"/>
          <w:bCs w:val="0"/>
          <w:color w:val="auto"/>
          <w:highlight w:val="none"/>
          <w:shd w:val="clear" w:color="auto" w:fill="FFFFFF"/>
        </w:rPr>
        <w:t>1.采购人信息</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color w:val="auto"/>
          <w:sz w:val="24"/>
          <w:szCs w:val="24"/>
          <w:highlight w:val="none"/>
          <w:shd w:val="clear" w:color="auto" w:fill="FFFFFF"/>
          <w:lang w:eastAsia="zh-CN"/>
        </w:rPr>
      </w:pPr>
      <w:r>
        <w:rPr>
          <w:rStyle w:val="73"/>
          <w:rFonts w:hint="eastAsia" w:ascii="宋体" w:hAnsi="宋体" w:eastAsia="宋体" w:cs="宋体"/>
          <w:b w:val="0"/>
          <w:color w:val="auto"/>
          <w:sz w:val="24"/>
          <w:szCs w:val="24"/>
          <w:highlight w:val="none"/>
          <w:shd w:val="clear" w:color="auto" w:fill="FFFFFF"/>
          <w:lang w:eastAsia="zh-CN"/>
        </w:rPr>
        <w:t>名   称：诸暨市住房和城乡建设局 　　　　　　　　　　　</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color w:val="auto"/>
          <w:sz w:val="24"/>
          <w:szCs w:val="24"/>
          <w:highlight w:val="none"/>
          <w:shd w:val="clear" w:color="auto" w:fill="FFFFFF"/>
          <w:lang w:eastAsia="zh-CN"/>
        </w:rPr>
      </w:pPr>
      <w:r>
        <w:rPr>
          <w:rStyle w:val="73"/>
          <w:rFonts w:hint="eastAsia" w:ascii="宋体" w:hAnsi="宋体" w:eastAsia="宋体" w:cs="宋体"/>
          <w:b w:val="0"/>
          <w:color w:val="auto"/>
          <w:sz w:val="24"/>
          <w:szCs w:val="24"/>
          <w:highlight w:val="none"/>
          <w:shd w:val="clear" w:color="auto" w:fill="FFFFFF"/>
          <w:lang w:eastAsia="zh-CN"/>
        </w:rPr>
        <w:t>地  </w:t>
      </w:r>
      <w:r>
        <w:rPr>
          <w:rStyle w:val="73"/>
          <w:rFonts w:hint="eastAsia" w:ascii="宋体" w:hAnsi="宋体" w:eastAsia="宋体" w:cs="宋体"/>
          <w:b w:val="0"/>
          <w:color w:val="auto"/>
          <w:sz w:val="24"/>
          <w:szCs w:val="24"/>
          <w:highlight w:val="none"/>
          <w:shd w:val="clear" w:color="auto" w:fill="FFFFFF"/>
          <w:lang w:val="en-US" w:eastAsia="zh-CN"/>
        </w:rPr>
        <w:t xml:space="preserve">  </w:t>
      </w:r>
      <w:r>
        <w:rPr>
          <w:rStyle w:val="73"/>
          <w:rFonts w:hint="eastAsia" w:ascii="宋体" w:hAnsi="宋体" w:eastAsia="宋体" w:cs="宋体"/>
          <w:b w:val="0"/>
          <w:color w:val="auto"/>
          <w:sz w:val="24"/>
          <w:szCs w:val="24"/>
          <w:highlight w:val="none"/>
          <w:shd w:val="clear" w:color="auto" w:fill="FFFFFF"/>
          <w:lang w:eastAsia="zh-CN"/>
        </w:rPr>
        <w:t>址：诸暨市东一路68号    　</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color w:val="auto"/>
          <w:sz w:val="24"/>
          <w:szCs w:val="24"/>
          <w:highlight w:val="none"/>
          <w:shd w:val="clear" w:color="auto" w:fill="FFFFFF"/>
          <w:lang w:eastAsia="zh-CN"/>
        </w:rPr>
      </w:pPr>
      <w:r>
        <w:rPr>
          <w:rStyle w:val="73"/>
          <w:rFonts w:hint="eastAsia" w:ascii="宋体" w:hAnsi="宋体" w:eastAsia="宋体" w:cs="宋体"/>
          <w:b w:val="0"/>
          <w:color w:val="auto"/>
          <w:sz w:val="24"/>
          <w:szCs w:val="24"/>
          <w:highlight w:val="none"/>
          <w:shd w:val="clear" w:color="auto" w:fill="FFFFFF"/>
          <w:lang w:eastAsia="zh-CN"/>
        </w:rPr>
        <w:t>项目联系人（询问）：</w:t>
      </w:r>
      <w:r>
        <w:rPr>
          <w:rStyle w:val="73"/>
          <w:rFonts w:hint="eastAsia" w:ascii="宋体" w:hAnsi="宋体" w:eastAsia="宋体" w:cs="宋体"/>
          <w:b w:val="0"/>
          <w:color w:val="auto"/>
          <w:sz w:val="24"/>
          <w:szCs w:val="24"/>
          <w:highlight w:val="none"/>
          <w:shd w:val="clear" w:color="auto" w:fill="FFFFFF"/>
          <w:lang w:val="en-US" w:eastAsia="zh-CN"/>
        </w:rPr>
        <w:t>杨平</w:t>
      </w:r>
      <w:r>
        <w:rPr>
          <w:rStyle w:val="73"/>
          <w:rFonts w:hint="eastAsia" w:ascii="宋体" w:hAnsi="宋体" w:eastAsia="宋体" w:cs="宋体"/>
          <w:b w:val="0"/>
          <w:color w:val="auto"/>
          <w:sz w:val="24"/>
          <w:szCs w:val="24"/>
          <w:highlight w:val="none"/>
          <w:shd w:val="clear" w:color="auto" w:fill="FFFFFF"/>
          <w:lang w:eastAsia="zh-CN"/>
        </w:rPr>
        <w:t>  　　　　　　　　　　</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color w:val="auto"/>
          <w:sz w:val="24"/>
          <w:szCs w:val="24"/>
          <w:highlight w:val="none"/>
          <w:shd w:val="clear" w:color="auto" w:fill="FFFFFF"/>
          <w:lang w:eastAsia="zh-CN"/>
        </w:rPr>
      </w:pPr>
      <w:r>
        <w:rPr>
          <w:rStyle w:val="73"/>
          <w:rFonts w:hint="eastAsia" w:ascii="宋体" w:hAnsi="宋体" w:eastAsia="宋体" w:cs="宋体"/>
          <w:b w:val="0"/>
          <w:color w:val="auto"/>
          <w:sz w:val="24"/>
          <w:szCs w:val="24"/>
          <w:highlight w:val="none"/>
          <w:shd w:val="clear" w:color="auto" w:fill="FFFFFF"/>
          <w:lang w:eastAsia="zh-CN"/>
        </w:rPr>
        <w:t>项目联系方式（询问）：</w:t>
      </w:r>
      <w:r>
        <w:rPr>
          <w:rStyle w:val="73"/>
          <w:rFonts w:hint="eastAsia" w:ascii="宋体" w:hAnsi="宋体" w:eastAsia="宋体" w:cs="宋体"/>
          <w:b w:val="0"/>
          <w:color w:val="auto"/>
          <w:sz w:val="24"/>
          <w:szCs w:val="24"/>
          <w:highlight w:val="none"/>
          <w:shd w:val="clear" w:color="auto" w:fill="FFFFFF"/>
          <w:lang w:val="en-US" w:eastAsia="zh-CN"/>
        </w:rPr>
        <w:t>13858510249</w:t>
      </w:r>
      <w:r>
        <w:rPr>
          <w:rStyle w:val="73"/>
          <w:rFonts w:hint="eastAsia" w:ascii="宋体" w:hAnsi="宋体" w:eastAsia="宋体" w:cs="宋体"/>
          <w:b w:val="0"/>
          <w:color w:val="auto"/>
          <w:sz w:val="24"/>
          <w:szCs w:val="24"/>
          <w:highlight w:val="none"/>
          <w:shd w:val="clear" w:color="auto" w:fill="FFFFFF"/>
          <w:lang w:eastAsia="zh-CN"/>
        </w:rPr>
        <w:t xml:space="preserve">  </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color w:val="auto"/>
          <w:sz w:val="24"/>
          <w:szCs w:val="24"/>
          <w:highlight w:val="none"/>
          <w:shd w:val="clear" w:color="auto" w:fill="FFFFFF"/>
          <w:lang w:eastAsia="zh-CN"/>
        </w:rPr>
      </w:pPr>
      <w:r>
        <w:rPr>
          <w:rStyle w:val="73"/>
          <w:rFonts w:hint="eastAsia" w:ascii="宋体" w:hAnsi="宋体" w:eastAsia="宋体" w:cs="宋体"/>
          <w:b w:val="0"/>
          <w:color w:val="auto"/>
          <w:sz w:val="24"/>
          <w:szCs w:val="24"/>
          <w:highlight w:val="none"/>
          <w:shd w:val="clear" w:color="auto" w:fill="FFFFFF"/>
          <w:lang w:eastAsia="zh-CN"/>
        </w:rPr>
        <w:t>质疑联系人：王栋杰</w:t>
      </w:r>
      <w:r>
        <w:rPr>
          <w:rStyle w:val="73"/>
          <w:rFonts w:hint="eastAsia" w:ascii="宋体" w:hAnsi="宋体" w:eastAsia="宋体" w:cs="宋体"/>
          <w:b w:val="0"/>
          <w:color w:val="auto"/>
          <w:sz w:val="24"/>
          <w:szCs w:val="24"/>
          <w:highlight w:val="none"/>
          <w:shd w:val="clear" w:color="auto" w:fill="FFFFFF"/>
          <w:lang w:val="en-US" w:eastAsia="zh-CN"/>
        </w:rPr>
        <w:t xml:space="preserve">   </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color w:val="auto"/>
          <w:sz w:val="24"/>
          <w:szCs w:val="24"/>
          <w:highlight w:val="none"/>
          <w:shd w:val="clear" w:color="auto" w:fill="FFFFFF"/>
          <w:lang w:val="en-US" w:eastAsia="zh-CN"/>
        </w:rPr>
      </w:pPr>
      <w:r>
        <w:rPr>
          <w:rStyle w:val="73"/>
          <w:rFonts w:hint="eastAsia" w:ascii="宋体" w:hAnsi="宋体" w:eastAsia="宋体" w:cs="宋体"/>
          <w:b w:val="0"/>
          <w:color w:val="auto"/>
          <w:sz w:val="24"/>
          <w:szCs w:val="24"/>
          <w:highlight w:val="none"/>
          <w:shd w:val="clear" w:color="auto" w:fill="FFFFFF"/>
          <w:lang w:eastAsia="zh-CN"/>
        </w:rPr>
        <w:t>质疑联系方式：0575</w:t>
      </w:r>
      <w:r>
        <w:rPr>
          <w:rStyle w:val="73"/>
          <w:rFonts w:hint="eastAsia" w:ascii="宋体" w:hAnsi="宋体" w:eastAsia="宋体" w:cs="宋体"/>
          <w:b w:val="0"/>
          <w:color w:val="auto"/>
          <w:sz w:val="24"/>
          <w:szCs w:val="24"/>
          <w:highlight w:val="none"/>
          <w:shd w:val="clear" w:color="auto" w:fill="FFFFFF"/>
          <w:lang w:val="en-US" w:eastAsia="zh-CN"/>
        </w:rPr>
        <w:t>-</w:t>
      </w:r>
      <w:r>
        <w:rPr>
          <w:rStyle w:val="73"/>
          <w:rFonts w:hint="eastAsia" w:ascii="宋体" w:hAnsi="宋体" w:eastAsia="宋体" w:cs="宋体"/>
          <w:b w:val="0"/>
          <w:color w:val="auto"/>
          <w:sz w:val="24"/>
          <w:szCs w:val="24"/>
          <w:highlight w:val="none"/>
          <w:shd w:val="clear" w:color="auto" w:fill="FFFFFF"/>
          <w:lang w:eastAsia="zh-CN"/>
        </w:rPr>
        <w:t>89088480</w:t>
      </w:r>
    </w:p>
    <w:p>
      <w:pPr>
        <w:keepNext w:val="0"/>
        <w:keepLines w:val="0"/>
        <w:pageBreakBefore w:val="0"/>
        <w:kinsoku/>
        <w:wordWrap/>
        <w:overflowPunct/>
        <w:topLinePunct w:val="0"/>
        <w:bidi w:val="0"/>
        <w:snapToGrid/>
        <w:spacing w:line="300" w:lineRule="auto"/>
        <w:ind w:firstLine="480" w:firstLineChars="200"/>
        <w:textAlignment w:val="auto"/>
        <w:rPr>
          <w:rStyle w:val="73"/>
          <w:rFonts w:hint="eastAsia" w:cs="宋体"/>
          <w:b w:val="0"/>
          <w:color w:val="auto"/>
          <w:sz w:val="24"/>
          <w:szCs w:val="24"/>
          <w:highlight w:val="none"/>
          <w:shd w:val="clear" w:color="auto" w:fill="FFFFFF"/>
        </w:rPr>
      </w:pPr>
      <w:r>
        <w:rPr>
          <w:rFonts w:hint="eastAsia" w:ascii="宋体" w:hAnsi="宋体" w:cs="宋体"/>
          <w:color w:val="auto"/>
          <w:sz w:val="24"/>
          <w:highlight w:val="none"/>
        </w:rPr>
        <w:t xml:space="preserve"> </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b w:val="0"/>
          <w:color w:val="auto"/>
          <w:highlight w:val="none"/>
          <w:shd w:val="clear" w:color="auto" w:fill="FFFFFF"/>
        </w:rPr>
      </w:pPr>
      <w:r>
        <w:rPr>
          <w:rStyle w:val="73"/>
          <w:rFonts w:hint="eastAsia"/>
          <w:b w:val="0"/>
          <w:color w:val="auto"/>
          <w:highlight w:val="none"/>
          <w:shd w:val="clear" w:color="auto" w:fill="FFFFFF"/>
        </w:rPr>
        <w:t>2.采购代理机构信息</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名    称：</w:t>
      </w:r>
      <w:r>
        <w:rPr>
          <w:rStyle w:val="73"/>
          <w:rFonts w:hint="eastAsia" w:ascii="宋体" w:hAnsi="宋体" w:eastAsia="宋体" w:cs="宋体"/>
          <w:b w:val="0"/>
          <w:color w:val="auto"/>
          <w:highlight w:val="none"/>
          <w:shd w:val="clear" w:color="auto" w:fill="FFFFFF"/>
          <w:lang w:eastAsia="zh-CN"/>
        </w:rPr>
        <w:t>浙江智拓项目管理有限公司</w:t>
      </w:r>
      <w:r>
        <w:rPr>
          <w:rStyle w:val="73"/>
          <w:rFonts w:hint="eastAsia" w:ascii="宋体" w:hAnsi="宋体" w:eastAsia="宋体" w:cs="宋体"/>
          <w:b w:val="0"/>
          <w:color w:val="auto"/>
          <w:highlight w:val="none"/>
          <w:shd w:val="clear" w:color="auto" w:fill="FFFFFF"/>
        </w:rPr>
        <w:t> 　　　　　　　　　　　</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地    址：</w:t>
      </w:r>
      <w:r>
        <w:rPr>
          <w:rStyle w:val="73"/>
          <w:rFonts w:hint="eastAsia" w:ascii="宋体" w:hAnsi="宋体" w:eastAsia="宋体" w:cs="宋体"/>
          <w:b w:val="0"/>
          <w:color w:val="auto"/>
          <w:highlight w:val="none"/>
          <w:shd w:val="clear" w:color="auto" w:fill="FFFFFF"/>
          <w:lang w:eastAsia="zh-CN"/>
        </w:rPr>
        <w:t>诸暨市艮塔东路176号</w:t>
      </w:r>
      <w:r>
        <w:rPr>
          <w:rStyle w:val="73"/>
          <w:rFonts w:hint="eastAsia" w:ascii="宋体" w:hAnsi="宋体" w:eastAsia="宋体" w:cs="宋体"/>
          <w:b w:val="0"/>
          <w:color w:val="auto"/>
          <w:highlight w:val="none"/>
          <w:shd w:val="clear" w:color="auto" w:fill="FFFFFF"/>
        </w:rPr>
        <w:t> 　     　</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项目联系人（询问）：陈梢怡 　   　　　　　　　　　　　</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项目联系方式（询问）：19941068622</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质疑联系人：杨梦娜 </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质疑联系方式：0575-</w:t>
      </w:r>
      <w:r>
        <w:rPr>
          <w:rStyle w:val="73"/>
          <w:rFonts w:hint="eastAsia" w:ascii="宋体" w:hAnsi="宋体" w:eastAsia="宋体" w:cs="宋体"/>
          <w:b w:val="0"/>
          <w:color w:val="auto"/>
          <w:highlight w:val="none"/>
          <w:shd w:val="clear" w:color="auto" w:fill="FFFFFF"/>
          <w:lang w:val="en-US" w:eastAsia="zh-CN"/>
        </w:rPr>
        <w:t>80728301</w:t>
      </w:r>
      <w:r>
        <w:rPr>
          <w:rStyle w:val="73"/>
          <w:rFonts w:hint="eastAsia" w:ascii="宋体" w:hAnsi="宋体" w:eastAsia="宋体" w:cs="宋体"/>
          <w:b w:val="0"/>
          <w:color w:val="auto"/>
          <w:highlight w:val="none"/>
          <w:shd w:val="clear" w:color="auto" w:fill="FFFFFF"/>
        </w:rPr>
        <w:t>　</w:t>
      </w:r>
      <w:r>
        <w:rPr>
          <w:rStyle w:val="73"/>
          <w:rFonts w:hint="eastAsia" w:ascii="Times New Roman" w:hAnsi="Times New Roman" w:eastAsia="宋体"/>
          <w:b w:val="0"/>
          <w:color w:val="auto"/>
          <w:highlight w:val="none"/>
          <w:shd w:val="clear" w:color="auto" w:fill="FFFFFF"/>
        </w:rPr>
        <w:t>　　</w:t>
      </w:r>
      <w:r>
        <w:rPr>
          <w:rStyle w:val="73"/>
          <w:rFonts w:hint="eastAsia" w:ascii="宋体" w:hAnsi="宋体" w:cs="宋体"/>
          <w:b w:val="0"/>
          <w:color w:val="auto"/>
          <w:sz w:val="24"/>
          <w:szCs w:val="24"/>
          <w:highlight w:val="none"/>
          <w:shd w:val="clear" w:color="auto" w:fill="FFFFFF"/>
        </w:rPr>
        <w:t>　　　　　　　</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b w:val="0"/>
          <w:color w:val="auto"/>
          <w:highlight w:val="none"/>
          <w:shd w:val="clear" w:color="auto" w:fill="FFFFFF"/>
          <w:lang w:val="en-US"/>
        </w:rPr>
      </w:pP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b w:val="0"/>
          <w:color w:val="auto"/>
          <w:highlight w:val="none"/>
          <w:shd w:val="clear" w:color="auto" w:fill="FFFFFF"/>
        </w:rPr>
      </w:pPr>
      <w:r>
        <w:rPr>
          <w:rStyle w:val="73"/>
          <w:rFonts w:hint="eastAsia"/>
          <w:b w:val="0"/>
          <w:color w:val="auto"/>
          <w:highlight w:val="none"/>
          <w:shd w:val="clear" w:color="auto" w:fill="FFFFFF"/>
          <w:lang w:val="en-US"/>
        </w:rPr>
        <w:t>3</w:t>
      </w:r>
      <w:r>
        <w:rPr>
          <w:rStyle w:val="73"/>
          <w:rFonts w:hint="eastAsia"/>
          <w:b w:val="0"/>
          <w:color w:val="auto"/>
          <w:highlight w:val="none"/>
          <w:shd w:val="clear" w:color="auto" w:fill="FFFFFF"/>
        </w:rPr>
        <w:t>.同级财政监督管理部门信息</w:t>
      </w:r>
    </w:p>
    <w:p>
      <w:pPr>
        <w:pStyle w:val="60"/>
        <w:keepNext w:val="0"/>
        <w:keepLines w:val="0"/>
        <w:pageBreakBefore w:val="0"/>
        <w:widowControl/>
        <w:suppressLineNumbers w:val="0"/>
        <w:kinsoku/>
        <w:wordWrap/>
        <w:overflowPunct/>
        <w:topLinePunct w:val="0"/>
        <w:bidi w:val="0"/>
        <w:adjustRightInd/>
        <w:snapToGrid/>
        <w:spacing w:before="0" w:beforeAutospacing="0" w:after="0" w:afterAutospacing="0" w:line="300" w:lineRule="auto"/>
        <w:ind w:left="0" w:right="0" w:firstLine="480" w:firstLineChars="200"/>
        <w:textAlignment w:val="auto"/>
        <w:rPr>
          <w:rStyle w:val="73"/>
          <w:rFonts w:hint="eastAsia" w:ascii="宋体" w:hAnsi="宋体" w:eastAsia="宋体" w:cs="宋体"/>
          <w:b w:val="0"/>
          <w:color w:val="auto"/>
          <w:sz w:val="24"/>
          <w:szCs w:val="24"/>
          <w:highlight w:val="none"/>
          <w:shd w:val="clear" w:color="auto" w:fill="FFFFFF"/>
        </w:rPr>
      </w:pPr>
      <w:r>
        <w:rPr>
          <w:rStyle w:val="73"/>
          <w:rFonts w:hint="eastAsia" w:ascii="宋体" w:hAnsi="宋体" w:eastAsia="宋体" w:cs="宋体"/>
          <w:b w:val="0"/>
          <w:color w:val="auto"/>
          <w:sz w:val="24"/>
          <w:szCs w:val="24"/>
          <w:highlight w:val="none"/>
          <w:shd w:val="clear" w:color="auto" w:fill="FFFFFF"/>
        </w:rPr>
        <w:t>名称：诸暨市财政局</w:t>
      </w:r>
    </w:p>
    <w:p>
      <w:pPr>
        <w:pStyle w:val="60"/>
        <w:keepNext w:val="0"/>
        <w:keepLines w:val="0"/>
        <w:pageBreakBefore w:val="0"/>
        <w:widowControl/>
        <w:suppressLineNumbers w:val="0"/>
        <w:kinsoku/>
        <w:wordWrap/>
        <w:overflowPunct/>
        <w:topLinePunct w:val="0"/>
        <w:bidi w:val="0"/>
        <w:adjustRightInd/>
        <w:snapToGrid/>
        <w:spacing w:before="0" w:beforeAutospacing="0" w:after="0" w:afterAutospacing="0" w:line="300" w:lineRule="auto"/>
        <w:ind w:left="0" w:right="0" w:firstLine="480" w:firstLineChars="200"/>
        <w:textAlignment w:val="auto"/>
        <w:rPr>
          <w:rStyle w:val="73"/>
          <w:rFonts w:hint="eastAsia" w:ascii="宋体" w:hAnsi="宋体" w:eastAsia="宋体" w:cs="宋体"/>
          <w:b w:val="0"/>
          <w:color w:val="auto"/>
          <w:sz w:val="24"/>
          <w:szCs w:val="24"/>
          <w:highlight w:val="none"/>
          <w:shd w:val="clear" w:color="auto" w:fill="FFFFFF"/>
          <w:lang w:val="en-US"/>
        </w:rPr>
      </w:pPr>
      <w:r>
        <w:rPr>
          <w:rStyle w:val="73"/>
          <w:rFonts w:hint="eastAsia" w:ascii="宋体" w:hAnsi="宋体" w:eastAsia="宋体" w:cs="宋体"/>
          <w:b w:val="0"/>
          <w:color w:val="auto"/>
          <w:sz w:val="24"/>
          <w:szCs w:val="24"/>
          <w:highlight w:val="none"/>
          <w:shd w:val="clear" w:color="auto" w:fill="FFFFFF"/>
        </w:rPr>
        <w:t>联系人：吕康玮</w:t>
      </w:r>
    </w:p>
    <w:p>
      <w:pPr>
        <w:pStyle w:val="60"/>
        <w:keepNext w:val="0"/>
        <w:keepLines w:val="0"/>
        <w:pageBreakBefore w:val="0"/>
        <w:widowControl/>
        <w:suppressLineNumbers w:val="0"/>
        <w:kinsoku/>
        <w:wordWrap/>
        <w:overflowPunct/>
        <w:topLinePunct w:val="0"/>
        <w:bidi w:val="0"/>
        <w:adjustRightInd/>
        <w:snapToGrid/>
        <w:spacing w:before="0" w:beforeAutospacing="0" w:after="0" w:afterAutospacing="0" w:line="300" w:lineRule="auto"/>
        <w:ind w:left="0" w:right="0" w:firstLine="480" w:firstLineChars="200"/>
        <w:textAlignment w:val="auto"/>
        <w:rPr>
          <w:rStyle w:val="73"/>
          <w:rFonts w:hint="eastAsia" w:ascii="宋体" w:hAnsi="宋体" w:eastAsia="宋体" w:cs="宋体"/>
          <w:b w:val="0"/>
          <w:color w:val="auto"/>
          <w:sz w:val="24"/>
          <w:szCs w:val="24"/>
          <w:highlight w:val="none"/>
          <w:shd w:val="clear" w:color="auto" w:fill="FFFFFF"/>
          <w:lang w:val="en-US"/>
        </w:rPr>
      </w:pPr>
      <w:r>
        <w:rPr>
          <w:rStyle w:val="73"/>
          <w:rFonts w:hint="eastAsia" w:ascii="宋体" w:hAnsi="宋体" w:eastAsia="宋体" w:cs="宋体"/>
          <w:b w:val="0"/>
          <w:color w:val="auto"/>
          <w:sz w:val="24"/>
          <w:szCs w:val="24"/>
          <w:highlight w:val="none"/>
          <w:shd w:val="clear" w:color="auto" w:fill="FFFFFF"/>
        </w:rPr>
        <w:t>监督投诉电话：0575-87111685</w:t>
      </w:r>
    </w:p>
    <w:p>
      <w:pPr>
        <w:keepNext w:val="0"/>
        <w:keepLines w:val="0"/>
        <w:pageBreakBefore w:val="0"/>
        <w:kinsoku/>
        <w:wordWrap/>
        <w:overflowPunct/>
        <w:topLinePunct w:val="0"/>
        <w:bidi w:val="0"/>
        <w:snapToGrid/>
        <w:spacing w:line="300" w:lineRule="auto"/>
        <w:ind w:left="479" w:leftChars="228"/>
        <w:textAlignment w:val="auto"/>
        <w:rPr>
          <w:rFonts w:ascii="宋体" w:hAnsi="宋体" w:cs="宋体"/>
          <w:color w:val="auto"/>
          <w:sz w:val="24"/>
          <w:highlight w:val="none"/>
        </w:rPr>
      </w:pPr>
      <w:r>
        <w:rPr>
          <w:rStyle w:val="73"/>
          <w:rFonts w:hint="eastAsia" w:ascii="宋体" w:hAnsi="宋体" w:eastAsia="宋体" w:cs="宋体"/>
          <w:b w:val="0"/>
          <w:color w:val="auto"/>
          <w:sz w:val="24"/>
          <w:szCs w:val="24"/>
          <w:highlight w:val="none"/>
          <w:shd w:val="clear" w:color="auto" w:fill="FFFFFF"/>
        </w:rPr>
        <w:t>地址：诸暨市人民中路356号</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cs="宋体"/>
          <w:color w:val="auto"/>
          <w:sz w:val="24"/>
          <w:highlight w:val="none"/>
        </w:rPr>
      </w:pPr>
    </w:p>
    <w:p>
      <w:pPr>
        <w:keepNext w:val="0"/>
        <w:keepLines w:val="0"/>
        <w:pageBreakBefore w:val="0"/>
        <w:kinsoku/>
        <w:wordWrap/>
        <w:overflowPunct/>
        <w:topLinePunct w:val="0"/>
        <w:bidi w:val="0"/>
        <w:snapToGrid/>
        <w:spacing w:line="300" w:lineRule="auto"/>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若对项目采购电子交易系统操作有疑问，可登录政府采购云平台（</w:t>
      </w:r>
      <w:r>
        <w:rPr>
          <w:rFonts w:ascii="宋体" w:hAnsi="宋体" w:cs="宋体"/>
          <w:color w:val="auto"/>
          <w:sz w:val="21"/>
          <w:szCs w:val="21"/>
          <w:highlight w:val="none"/>
        </w:rPr>
        <w:t>https://www.zcygov.cn/</w:t>
      </w:r>
      <w:r>
        <w:rPr>
          <w:rFonts w:hint="eastAsia" w:ascii="宋体" w:hAnsi="宋体" w:cs="宋体"/>
          <w:color w:val="auto"/>
          <w:sz w:val="21"/>
          <w:szCs w:val="21"/>
          <w:highlight w:val="none"/>
        </w:rPr>
        <w:t>），点击右侧咨询小采，获取采小蜜智能服务管家帮助，或拨打服务热线</w:t>
      </w:r>
      <w:r>
        <w:rPr>
          <w:rFonts w:ascii="宋体" w:hAnsi="宋体" w:cs="宋体"/>
          <w:color w:val="auto"/>
          <w:sz w:val="21"/>
          <w:szCs w:val="21"/>
          <w:highlight w:val="none"/>
        </w:rPr>
        <w:t>400-881-7190</w:t>
      </w:r>
      <w:r>
        <w:rPr>
          <w:rFonts w:hint="eastAsia" w:ascii="宋体" w:hAnsi="宋体" w:cs="宋体"/>
          <w:color w:val="auto"/>
          <w:sz w:val="21"/>
          <w:szCs w:val="21"/>
          <w:highlight w:val="none"/>
        </w:rPr>
        <w:t>获取热线服务帮助。</w:t>
      </w:r>
    </w:p>
    <w:p>
      <w:pPr>
        <w:keepNext w:val="0"/>
        <w:keepLines w:val="0"/>
        <w:pageBreakBefore w:val="0"/>
        <w:kinsoku/>
        <w:wordWrap/>
        <w:overflowPunct/>
        <w:topLinePunct w:val="0"/>
        <w:bidi w:val="0"/>
        <w:snapToGrid/>
        <w:spacing w:line="300" w:lineRule="auto"/>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CA</w:t>
      </w:r>
      <w:r>
        <w:rPr>
          <w:rFonts w:hint="eastAsia" w:ascii="宋体" w:hAnsi="宋体" w:cs="宋体"/>
          <w:color w:val="auto"/>
          <w:sz w:val="21"/>
          <w:szCs w:val="21"/>
          <w:highlight w:val="none"/>
        </w:rPr>
        <w:t>问题联系电话（人工）：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汇信</w:t>
      </w:r>
      <w:r>
        <w:rPr>
          <w:rFonts w:ascii="宋体" w:hAnsi="宋体" w:cs="宋体"/>
          <w:color w:val="auto"/>
          <w:sz w:val="21"/>
          <w:szCs w:val="21"/>
          <w:highlight w:val="none"/>
        </w:rPr>
        <w:t>CA 400-888-4636</w:t>
      </w:r>
      <w:r>
        <w:rPr>
          <w:rFonts w:hint="eastAsia" w:ascii="宋体" w:hAnsi="宋体" w:cs="宋体"/>
          <w:color w:val="auto"/>
          <w:sz w:val="21"/>
          <w:szCs w:val="21"/>
          <w:highlight w:val="none"/>
        </w:rPr>
        <w:t>；天谷</w:t>
      </w:r>
      <w:r>
        <w:rPr>
          <w:rFonts w:ascii="宋体" w:hAnsi="宋体" w:cs="宋体"/>
          <w:color w:val="auto"/>
          <w:sz w:val="21"/>
          <w:szCs w:val="21"/>
          <w:highlight w:val="none"/>
        </w:rPr>
        <w:t>CA 400-087-8198</w:t>
      </w:r>
      <w:r>
        <w:rPr>
          <w:rFonts w:hint="eastAsia" w:ascii="宋体" w:hAnsi="宋体" w:cs="宋体"/>
          <w:color w:val="auto"/>
          <w:sz w:val="21"/>
          <w:szCs w:val="21"/>
          <w:highlight w:val="none"/>
        </w:rPr>
        <w:t>。</w:t>
      </w:r>
    </w:p>
    <w:p>
      <w:pPr>
        <w:adjustRightInd/>
        <w:spacing w:line="360" w:lineRule="auto"/>
        <w:jc w:val="center"/>
        <w:outlineLvl w:val="0"/>
        <w:rPr>
          <w:rFonts w:ascii="宋体" w:cs="宋体"/>
          <w:b/>
          <w:color w:val="auto"/>
          <w:sz w:val="36"/>
          <w:szCs w:val="20"/>
          <w:highlight w:val="none"/>
        </w:rPr>
      </w:pPr>
      <w:r>
        <w:rPr>
          <w:rFonts w:ascii="宋体" w:cs="宋体"/>
          <w:b/>
          <w:color w:val="auto"/>
          <w:sz w:val="36"/>
          <w:szCs w:val="20"/>
          <w:highlight w:val="none"/>
        </w:rPr>
        <w:br w:type="page"/>
      </w:r>
      <w:r>
        <w:rPr>
          <w:rFonts w:hint="eastAsia" w:ascii="宋体" w:hAnsi="宋体" w:cs="宋体"/>
          <w:b/>
          <w:color w:val="auto"/>
          <w:sz w:val="36"/>
          <w:szCs w:val="20"/>
          <w:highlight w:val="none"/>
        </w:rPr>
        <w:t>第二部分</w:t>
      </w:r>
      <w:bookmarkEnd w:id="8"/>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投标人须知</w:t>
      </w:r>
      <w:bookmarkEnd w:id="9"/>
    </w:p>
    <w:p>
      <w:pPr>
        <w:snapToGrid w:val="0"/>
        <w:spacing w:line="360" w:lineRule="auto"/>
        <w:jc w:val="center"/>
        <w:rPr>
          <w:rFonts w:asci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color w:val="auto"/>
                <w:sz w:val="24"/>
                <w:highlight w:val="none"/>
              </w:rPr>
            </w:pPr>
            <w:r>
              <w:rPr>
                <w:rFonts w:ascii="宋体" w:hAnsi="宋体" w:cs="宋体"/>
                <w:b/>
                <w:color w:val="auto"/>
                <w:sz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color w:val="auto"/>
                <w:kern w:val="0"/>
                <w:sz w:val="24"/>
                <w:highlight w:val="none"/>
                <w:lang w:val="zh-CN"/>
              </w:rPr>
              <w:t>本项目采用</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综合评分法</w:t>
            </w:r>
            <w:r>
              <w:rPr>
                <w:rFonts w:ascii="宋体" w:hAnsi="宋体" w:cs="宋体"/>
                <w:color w:val="auto"/>
                <w:kern w:val="0"/>
                <w:sz w:val="24"/>
                <w:highlight w:val="none"/>
                <w:u w:val="single"/>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w:t>
            </w:r>
          </w:p>
          <w:p>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招标文件未列明，而投标人认为必需的费用也需列入报价。</w:t>
            </w:r>
          </w:p>
          <w:p>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pStyle w:val="284"/>
              <w:keepNext w:val="0"/>
              <w:keepLines w:val="0"/>
              <w:pageBreakBefore w:val="0"/>
              <w:widowControl w:val="0"/>
              <w:numPr>
                <w:ilvl w:val="0"/>
                <w:numId w:val="1"/>
              </w:numPr>
              <w:kinsoku/>
              <w:wordWrap/>
              <w:overflowPunct/>
              <w:topLinePunct w:val="0"/>
              <w:autoSpaceDE/>
              <w:autoSpaceDN/>
              <w:bidi w:val="0"/>
              <w:snapToGrid/>
              <w:spacing w:line="300" w:lineRule="auto"/>
              <w:ind w:left="420" w:leftChars="0" w:firstLineChars="0"/>
              <w:jc w:val="left"/>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lang w:val="zh-CN"/>
              </w:rPr>
              <w:t>投标文件出现不是唯一的、有选择性投标报价的；</w:t>
            </w:r>
          </w:p>
          <w:p>
            <w:pPr>
              <w:pStyle w:val="284"/>
              <w:keepNext w:val="0"/>
              <w:keepLines w:val="0"/>
              <w:pageBreakBefore w:val="0"/>
              <w:widowControl w:val="0"/>
              <w:numPr>
                <w:ilvl w:val="0"/>
                <w:numId w:val="1"/>
              </w:numPr>
              <w:kinsoku/>
              <w:wordWrap/>
              <w:overflowPunct/>
              <w:topLinePunct w:val="0"/>
              <w:autoSpaceDE/>
              <w:autoSpaceDN/>
              <w:bidi w:val="0"/>
              <w:snapToGrid/>
              <w:spacing w:line="300" w:lineRule="auto"/>
              <w:ind w:left="420" w:leftChars="0" w:firstLineChars="0"/>
              <w:jc w:val="left"/>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lang w:val="zh-CN"/>
              </w:rPr>
              <w:t>投标报价超过招标文件中规定的预算金额或者最高限价的；</w:t>
            </w:r>
          </w:p>
          <w:p>
            <w:pPr>
              <w:pStyle w:val="284"/>
              <w:keepNext w:val="0"/>
              <w:keepLines w:val="0"/>
              <w:pageBreakBefore w:val="0"/>
              <w:widowControl w:val="0"/>
              <w:numPr>
                <w:ilvl w:val="0"/>
                <w:numId w:val="1"/>
              </w:numPr>
              <w:kinsoku/>
              <w:wordWrap/>
              <w:overflowPunct/>
              <w:topLinePunct w:val="0"/>
              <w:autoSpaceDE/>
              <w:autoSpaceDN/>
              <w:bidi w:val="0"/>
              <w:snapToGrid/>
              <w:spacing w:line="300" w:lineRule="auto"/>
              <w:ind w:left="420" w:leftChars="0" w:firstLineChars="0"/>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eastAsia="宋体" w:cs="宋体"/>
                <w:bCs/>
                <w:color w:val="auto"/>
                <w:kern w:val="0"/>
                <w:highlight w:val="none"/>
                <w:lang w:val="zh-CN"/>
              </w:rPr>
              <w:t>;</w:t>
            </w:r>
          </w:p>
          <w:p>
            <w:pPr>
              <w:pStyle w:val="284"/>
              <w:keepNext w:val="0"/>
              <w:keepLines w:val="0"/>
              <w:pageBreakBefore w:val="0"/>
              <w:widowControl w:val="0"/>
              <w:numPr>
                <w:ilvl w:val="0"/>
                <w:numId w:val="1"/>
              </w:numPr>
              <w:kinsoku/>
              <w:wordWrap/>
              <w:overflowPunct/>
              <w:topLinePunct w:val="0"/>
              <w:autoSpaceDE/>
              <w:autoSpaceDN/>
              <w:bidi w:val="0"/>
              <w:snapToGrid/>
              <w:spacing w:line="300" w:lineRule="auto"/>
              <w:ind w:left="420" w:leftChars="0" w:firstLineChars="0"/>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rPr>
              <w:t>投标人对根据修正原则修正后的报价不确认的</w:t>
            </w:r>
            <w:r>
              <w:rPr>
                <w:rFonts w:hint="eastAsia" w:ascii="宋体" w:hAnsi="宋体" w:eastAsia="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ind w:firstLine="482" w:firstLineChars="200"/>
              <w:textAlignment w:val="auto"/>
              <w:rPr>
                <w:rFonts w:ascii="宋体" w:cs="宋体"/>
                <w:b/>
                <w:color w:val="auto"/>
                <w:sz w:val="24"/>
                <w:highlight w:val="none"/>
              </w:rPr>
            </w:pPr>
            <w:r>
              <w:rPr>
                <w:rFonts w:hint="eastAsia" w:ascii="宋体" w:hAnsi="宋体" w:cs="宋体"/>
                <w:b/>
                <w:color w:val="auto"/>
                <w:sz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hint="eastAsia" w:ascii="宋体" w:hAnsi="Wingdings" w:cs="宋体"/>
                <w:color w:val="auto"/>
                <w:kern w:val="0"/>
                <w:sz w:val="24"/>
                <w:highlight w:val="none"/>
                <w:lang w:val="en-US" w:eastAsia="zh-CN"/>
              </w:rPr>
              <w:t xml:space="preserve"> </w:t>
            </w:r>
            <w:r>
              <w:rPr>
                <w:rFonts w:ascii="宋体" w:hAnsi="宋体" w:cs="宋体"/>
                <w:color w:val="auto"/>
                <w:kern w:val="0"/>
                <w:sz w:val="24"/>
                <w:highlight w:val="none"/>
              </w:rPr>
              <w:t>A</w:t>
            </w:r>
            <w:r>
              <w:rPr>
                <w:rFonts w:hint="eastAsia" w:ascii="宋体" w:hAnsi="宋体" w:cs="宋体"/>
                <w:color w:val="auto"/>
                <w:sz w:val="24"/>
                <w:highlight w:val="none"/>
              </w:rPr>
              <w:t>同意将非主体、非关键性的工作分包。</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4</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84"/>
              <w:keepNext w:val="0"/>
              <w:keepLines w:val="0"/>
              <w:pageBreakBefore w:val="0"/>
              <w:widowControl w:val="0"/>
              <w:numPr>
                <w:ilvl w:val="0"/>
                <w:numId w:val="2"/>
              </w:numPr>
              <w:kinsoku/>
              <w:wordWrap/>
              <w:overflowPunct/>
              <w:topLinePunct w:val="0"/>
              <w:autoSpaceDE/>
              <w:autoSpaceDN/>
              <w:bidi w:val="0"/>
              <w:snapToGrid/>
              <w:spacing w:line="30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事业法人证书复印件（加盖单位公章）</w:t>
            </w:r>
            <w:r>
              <w:rPr>
                <w:rFonts w:hint="eastAsia" w:ascii="宋体" w:hAnsi="宋体" w:eastAsia="宋体" w:cs="宋体"/>
                <w:color w:val="auto"/>
                <w:sz w:val="24"/>
                <w:szCs w:val="24"/>
                <w:highlight w:val="none"/>
                <w:lang w:eastAsia="zh-CN"/>
              </w:rPr>
              <w:t>；</w:t>
            </w:r>
          </w:p>
          <w:p>
            <w:pPr>
              <w:pStyle w:val="284"/>
              <w:keepNext w:val="0"/>
              <w:keepLines w:val="0"/>
              <w:pageBreakBefore w:val="0"/>
              <w:widowControl w:val="0"/>
              <w:numPr>
                <w:ilvl w:val="0"/>
                <w:numId w:val="2"/>
              </w:numPr>
              <w:kinsoku/>
              <w:wordWrap/>
              <w:overflowPunct/>
              <w:topLinePunct w:val="0"/>
              <w:autoSpaceDE/>
              <w:autoSpaceDN/>
              <w:bidi w:val="0"/>
              <w:snapToGrid/>
              <w:spacing w:line="30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符合参加政府采购活动应当具备的一般条件的承诺函；</w:t>
            </w:r>
          </w:p>
          <w:p>
            <w:pPr>
              <w:pStyle w:val="284"/>
              <w:keepNext w:val="0"/>
              <w:keepLines w:val="0"/>
              <w:pageBreakBefore w:val="0"/>
              <w:widowControl w:val="0"/>
              <w:numPr>
                <w:ilvl w:val="0"/>
                <w:numId w:val="2"/>
              </w:numPr>
              <w:kinsoku/>
              <w:wordWrap/>
              <w:overflowPunct/>
              <w:topLinePunct w:val="0"/>
              <w:autoSpaceDE/>
              <w:autoSpaceDN/>
              <w:bidi w:val="0"/>
              <w:snapToGrid/>
              <w:spacing w:line="300" w:lineRule="auto"/>
              <w:ind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落实</w:t>
            </w:r>
            <w:r>
              <w:rPr>
                <w:rFonts w:hint="eastAsia" w:ascii="宋体" w:hAnsi="宋体" w:eastAsia="宋体" w:cs="宋体"/>
                <w:color w:val="auto"/>
                <w:kern w:val="2"/>
                <w:sz w:val="24"/>
                <w:szCs w:val="24"/>
                <w:highlight w:val="none"/>
                <w:lang w:val="en-US" w:eastAsia="zh-CN" w:bidi="ar-SA"/>
              </w:rPr>
              <w:t>政府采购政策需满足的资格要求：提供中小企业声明函；</w:t>
            </w:r>
          </w:p>
          <w:p>
            <w:pPr>
              <w:keepNext w:val="0"/>
              <w:keepLines w:val="0"/>
              <w:pageBreakBefore w:val="0"/>
              <w:widowControl w:val="0"/>
              <w:numPr>
                <w:ilvl w:val="0"/>
                <w:numId w:val="2"/>
              </w:numPr>
              <w:kinsoku/>
              <w:wordWrap/>
              <w:overflowPunct/>
              <w:topLinePunct w:val="0"/>
              <w:autoSpaceDE/>
              <w:autoSpaceDN/>
              <w:bidi w:val="0"/>
              <w:snapToGrid/>
              <w:spacing w:line="300" w:lineRule="auto"/>
              <w:ind w:left="360" w:leftChars="0" w:hanging="36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本项目的特定资格要求（如需）；</w:t>
            </w:r>
          </w:p>
          <w:p>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color w:val="auto"/>
                <w:sz w:val="24"/>
                <w:szCs w:val="24"/>
                <w:highlight w:val="none"/>
              </w:rPr>
              <w:t>⑤联合协议（如需）</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color w:val="auto"/>
                <w:kern w:val="0"/>
                <w:sz w:val="24"/>
                <w:szCs w:val="24"/>
                <w:highlight w:val="none"/>
                <w:lang w:val="zh-CN" w:eastAsia="zh-CN"/>
              </w:rPr>
            </w:pPr>
            <w:r>
              <w:rPr>
                <w:rFonts w:hint="eastAsia" w:ascii="宋体" w:hAnsi="宋体" w:cs="宋体"/>
                <w:color w:val="auto"/>
                <w:sz w:val="24"/>
                <w:szCs w:val="24"/>
                <w:highlight w:val="none"/>
                <w:lang w:val="en-US" w:eastAsia="zh-CN"/>
              </w:rPr>
              <w:t>⑥</w:t>
            </w:r>
            <w:r>
              <w:rPr>
                <w:rFonts w:hint="eastAsia" w:ascii="宋体" w:hAnsi="宋体" w:eastAsia="宋体" w:cs="宋体"/>
                <w:color w:val="auto"/>
                <w:sz w:val="24"/>
                <w:szCs w:val="24"/>
                <w:highlight w:val="none"/>
              </w:rPr>
              <w:t>分包意向协议（如需）</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cs="宋体"/>
                <w:b/>
                <w:snapToGrid w:val="0"/>
                <w:color w:val="auto"/>
                <w:kern w:val="0"/>
                <w:szCs w:val="21"/>
                <w:highlight w:val="none"/>
              </w:rPr>
            </w:pPr>
            <w:r>
              <w:rPr>
                <w:rFonts w:hint="eastAsia" w:ascii="宋体" w:hAnsi="宋体" w:cs="宋体"/>
                <w:b/>
                <w:color w:val="auto"/>
                <w:kern w:val="0"/>
                <w:sz w:val="24"/>
                <w:highlight w:val="none"/>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5</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84"/>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ascii="宋体" w:hAnsi="宋体" w:eastAsia="宋体" w:cs="宋体"/>
                <w:color w:val="auto"/>
                <w:highlight w:val="none"/>
                <w:lang w:val="zh-CN"/>
              </w:rPr>
            </w:pPr>
            <w:r>
              <w:rPr>
                <w:rFonts w:hint="eastAsia" w:ascii="宋体" w:hAnsi="宋体" w:eastAsia="宋体" w:cs="宋体"/>
                <w:color w:val="auto"/>
                <w:highlight w:val="none"/>
              </w:rPr>
              <w:t>投标函；</w:t>
            </w:r>
          </w:p>
          <w:p>
            <w:pPr>
              <w:pStyle w:val="284"/>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ascii="宋体" w:hAnsi="宋体" w:eastAsia="宋体" w:cs="宋体"/>
                <w:color w:val="auto"/>
                <w:highlight w:val="none"/>
                <w:lang w:val="zh-CN"/>
              </w:rPr>
            </w:pPr>
            <w:r>
              <w:rPr>
                <w:rFonts w:hint="eastAsia" w:ascii="宋体" w:hAnsi="宋体" w:eastAsia="宋体" w:cs="宋体"/>
                <w:color w:val="auto"/>
                <w:highlight w:val="none"/>
              </w:rPr>
              <w:t>授权委托书或法定代表人（单位负责人、自然人本人）身份证明；</w:t>
            </w:r>
          </w:p>
          <w:p>
            <w:pPr>
              <w:pStyle w:val="284"/>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ascii="宋体" w:hAnsi="宋体" w:eastAsia="宋体" w:cs="宋体"/>
                <w:color w:val="auto"/>
                <w:highlight w:val="none"/>
                <w:lang w:val="zh-CN"/>
              </w:rPr>
            </w:pPr>
            <w:r>
              <w:rPr>
                <w:rFonts w:hint="eastAsia" w:ascii="宋体" w:hAnsi="宋体" w:eastAsia="宋体" w:cs="宋体"/>
                <w:color w:val="auto"/>
                <w:highlight w:val="none"/>
              </w:rPr>
              <w:t>符合性审查资料；</w:t>
            </w:r>
          </w:p>
          <w:p>
            <w:pPr>
              <w:pStyle w:val="284"/>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ascii="宋体" w:hAnsi="宋体" w:eastAsia="宋体" w:cs="宋体"/>
                <w:color w:val="auto"/>
                <w:highlight w:val="none"/>
                <w:lang w:val="zh-CN"/>
              </w:rPr>
            </w:pPr>
            <w:r>
              <w:rPr>
                <w:rFonts w:hint="eastAsia" w:ascii="宋体" w:hAnsi="宋体" w:eastAsia="宋体" w:cs="宋体"/>
                <w:color w:val="auto"/>
                <w:highlight w:val="none"/>
              </w:rPr>
              <w:t>评标标准相应的商务技术资料（如需）；</w:t>
            </w:r>
          </w:p>
          <w:p>
            <w:pPr>
              <w:pStyle w:val="284"/>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ascii="宋体" w:hAnsi="宋体" w:eastAsia="宋体" w:cs="宋体"/>
                <w:color w:val="auto"/>
                <w:highlight w:val="none"/>
                <w:lang w:val="zh-CN"/>
              </w:rPr>
            </w:pPr>
            <w:r>
              <w:rPr>
                <w:rFonts w:hint="eastAsia" w:ascii="宋体" w:hAnsi="宋体" w:eastAsia="宋体" w:cs="宋体"/>
                <w:color w:val="auto"/>
                <w:highlight w:val="none"/>
              </w:rPr>
              <w:t>商务技术偏离表；</w:t>
            </w:r>
          </w:p>
          <w:p>
            <w:pPr>
              <w:pStyle w:val="284"/>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zh-CN"/>
              </w:rPr>
              <w:t>政府采购供应商廉洁自律承诺书。</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lang w:val="zh-CN"/>
              </w:rPr>
            </w:pPr>
            <w:r>
              <w:rPr>
                <w:rFonts w:hint="eastAsia" w:ascii="宋体" w:hAnsi="宋体" w:cs="宋体"/>
                <w:b/>
                <w:color w:val="auto"/>
                <w:kern w:val="0"/>
                <w:sz w:val="24"/>
                <w:highlight w:val="none"/>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6</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84"/>
              <w:keepNext w:val="0"/>
              <w:keepLines w:val="0"/>
              <w:pageBreakBefore w:val="0"/>
              <w:widowControl w:val="0"/>
              <w:numPr>
                <w:ilvl w:val="0"/>
                <w:numId w:val="4"/>
              </w:numPr>
              <w:kinsoku/>
              <w:wordWrap/>
              <w:overflowPunct/>
              <w:topLinePunct w:val="0"/>
              <w:autoSpaceDE/>
              <w:autoSpaceDN/>
              <w:bidi w:val="0"/>
              <w:snapToGrid/>
              <w:spacing w:line="300" w:lineRule="auto"/>
              <w:ind w:firstLineChars="0"/>
              <w:textAlignment w:val="auto"/>
              <w:rPr>
                <w:rFonts w:ascii="宋体" w:hAnsi="宋体" w:eastAsia="宋体" w:cs="宋体"/>
                <w:color w:val="auto"/>
                <w:highlight w:val="none"/>
              </w:rPr>
            </w:pPr>
            <w:r>
              <w:rPr>
                <w:rFonts w:hint="eastAsia" w:ascii="宋体" w:hAnsi="宋体" w:eastAsia="宋体" w:cs="宋体"/>
                <w:color w:val="auto"/>
                <w:highlight w:val="none"/>
              </w:rPr>
              <w:t>开标一览表（报价表）；</w:t>
            </w:r>
          </w:p>
          <w:p>
            <w:pPr>
              <w:pStyle w:val="284"/>
              <w:keepNext w:val="0"/>
              <w:keepLines w:val="0"/>
              <w:pageBreakBefore w:val="0"/>
              <w:widowControl w:val="0"/>
              <w:numPr>
                <w:ilvl w:val="0"/>
                <w:numId w:val="4"/>
              </w:numPr>
              <w:kinsoku/>
              <w:wordWrap/>
              <w:overflowPunct/>
              <w:topLinePunct w:val="0"/>
              <w:autoSpaceDE/>
              <w:autoSpaceDN/>
              <w:bidi w:val="0"/>
              <w:snapToGrid/>
              <w:spacing w:line="300" w:lineRule="auto"/>
              <w:ind w:firstLineChars="0"/>
              <w:textAlignment w:val="auto"/>
              <w:rPr>
                <w:rFonts w:ascii="宋体" w:hAnsi="宋体" w:eastAsia="宋体" w:cs="宋体"/>
                <w:color w:val="auto"/>
                <w:highlight w:val="none"/>
              </w:rPr>
            </w:pPr>
            <w:r>
              <w:rPr>
                <w:rFonts w:hint="eastAsia" w:ascii="宋体" w:hAnsi="宋体" w:eastAsia="宋体" w:cs="宋体"/>
                <w:color w:val="auto"/>
                <w:highlight w:val="none"/>
              </w:rPr>
              <w:t>中小企业声明函（如需）。</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投标文件含有采购人不能接受的附加条件的，</w:t>
            </w:r>
            <w:r>
              <w:rPr>
                <w:rFonts w:hint="eastAsia" w:ascii="宋体" w:hAnsi="宋体" w:cs="宋体"/>
                <w:b/>
                <w:color w:val="auto"/>
                <w:kern w:val="0"/>
                <w:sz w:val="24"/>
                <w:highlight w:val="none"/>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7</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ascii="宋体" w:hAnsi="宋体" w:cs="宋体"/>
                <w:color w:val="auto"/>
                <w:kern w:val="0"/>
                <w:sz w:val="24"/>
                <w:highlight w:val="none"/>
              </w:rPr>
              <w:t>A</w:t>
            </w:r>
            <w:r>
              <w:rPr>
                <w:rFonts w:hint="eastAsia" w:ascii="宋体" w:hAnsi="宋体" w:cs="宋体"/>
                <w:color w:val="auto"/>
                <w:sz w:val="24"/>
                <w:highlight w:val="none"/>
              </w:rPr>
              <w:t>不组织。</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szCs w:val="20"/>
                <w:highlight w:val="none"/>
              </w:rPr>
            </w:pPr>
            <w:r>
              <w:rPr>
                <w:rFonts w:hint="eastAsia" w:ascii="MS Gothic" w:hAnsi="MS Gothic" w:eastAsia="MS Gothic" w:cs="MS Gothic"/>
                <w:color w:val="auto"/>
                <w:kern w:val="0"/>
                <w:sz w:val="24"/>
                <w:highlight w:val="none"/>
              </w:rPr>
              <w:t>☐</w:t>
            </w:r>
            <w:r>
              <w:rPr>
                <w:rFonts w:ascii="宋体" w:hAnsi="宋体" w:cs="宋体"/>
                <w:color w:val="auto"/>
                <w:kern w:val="0"/>
                <w:sz w:val="24"/>
                <w:highlight w:val="none"/>
              </w:rPr>
              <w:t>B</w:t>
            </w:r>
            <w:r>
              <w:rPr>
                <w:rFonts w:hint="eastAsia" w:ascii="宋体" w:hAnsi="宋体" w:cs="宋体"/>
                <w:color w:val="auto"/>
                <w:kern w:val="0"/>
                <w:sz w:val="24"/>
                <w:highlight w:val="none"/>
              </w:rPr>
              <w:t>组织，</w:t>
            </w:r>
            <w:r>
              <w:rPr>
                <w:rFonts w:hint="eastAsia" w:ascii="宋体" w:hAnsi="宋体" w:cs="宋体"/>
                <w:color w:val="auto"/>
                <w:sz w:val="24"/>
                <w:highlight w:val="none"/>
              </w:rPr>
              <w:t>时间：</w:t>
            </w:r>
            <w:r>
              <w:rPr>
                <w:rFonts w:ascii="宋体" w:hAnsi="宋体" w:cs="宋体"/>
                <w:color w:val="auto"/>
                <w:sz w:val="24"/>
                <w:highlight w:val="none"/>
                <w:u w:val="single"/>
              </w:rPr>
              <w:t xml:space="preserve">      </w:t>
            </w:r>
            <w:r>
              <w:rPr>
                <w:rFonts w:ascii="宋体" w:cs="宋体"/>
                <w:color w:val="auto"/>
                <w:sz w:val="24"/>
                <w:highlight w:val="none"/>
              </w:rPr>
              <w:t>,</w:t>
            </w:r>
            <w:r>
              <w:rPr>
                <w:rFonts w:hint="eastAsia" w:ascii="宋体" w:hAnsi="宋体" w:cs="宋体"/>
                <w:color w:val="auto"/>
                <w:sz w:val="24"/>
                <w:highlight w:val="none"/>
              </w:rPr>
              <w:t>地点：</w:t>
            </w:r>
            <w:r>
              <w:rPr>
                <w:rFonts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8</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ascii="宋体" w:hAnsi="宋体" w:cs="宋体"/>
                <w:color w:val="auto"/>
                <w:kern w:val="0"/>
                <w:sz w:val="24"/>
                <w:highlight w:val="none"/>
              </w:rPr>
              <w:t xml:space="preserve"> </w:t>
            </w:r>
            <w:r>
              <w:rPr>
                <w:rFonts w:hint="eastAsia" w:ascii="宋体" w:hAnsi="Wingdings" w:cs="宋体"/>
                <w:color w:val="auto"/>
                <w:kern w:val="0"/>
                <w:sz w:val="24"/>
                <w:highlight w:val="none"/>
              </w:rPr>
              <w:sym w:font="Wingdings" w:char="F0FE"/>
            </w:r>
            <w:r>
              <w:rPr>
                <w:rFonts w:ascii="宋体" w:hAnsi="宋体" w:cs="宋体"/>
                <w:color w:val="auto"/>
                <w:kern w:val="0"/>
                <w:sz w:val="24"/>
                <w:highlight w:val="none"/>
              </w:rPr>
              <w:t xml:space="preserve"> A</w:t>
            </w:r>
            <w:r>
              <w:rPr>
                <w:rFonts w:hint="eastAsia" w:ascii="宋体" w:hAnsi="宋体" w:cs="宋体"/>
                <w:color w:val="auto"/>
                <w:kern w:val="0"/>
                <w:sz w:val="24"/>
                <w:highlight w:val="none"/>
              </w:rPr>
              <w:t>不要求提供</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MS Gothic" w:hAnsi="MS Gothic" w:eastAsia="MS Gothic" w:cs="MS Gothic"/>
                <w:color w:val="auto"/>
                <w:kern w:val="0"/>
                <w:sz w:val="24"/>
                <w:highlight w:val="none"/>
              </w:rPr>
              <w:t>☐</w:t>
            </w:r>
            <w:r>
              <w:rPr>
                <w:rFonts w:ascii="宋体" w:hAnsi="宋体" w:cs="宋体"/>
                <w:color w:val="auto"/>
                <w:kern w:val="0"/>
                <w:sz w:val="24"/>
                <w:highlight w:val="none"/>
              </w:rPr>
              <w:t>B</w:t>
            </w:r>
            <w:r>
              <w:rPr>
                <w:rFonts w:hint="eastAsia" w:ascii="宋体" w:hAnsi="宋体" w:cs="宋体"/>
                <w:color w:val="auto"/>
                <w:kern w:val="0"/>
                <w:sz w:val="24"/>
                <w:highlight w:val="none"/>
              </w:rPr>
              <w:t>要求提供：</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样品制作的标准和要求：</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样品的评审方法以及评审标准</w:t>
            </w:r>
            <w:r>
              <w:rPr>
                <w:rFonts w:hint="eastAsia" w:ascii="宋体" w:hAnsi="宋体" w:cs="宋体"/>
                <w:snapToGrid w:val="0"/>
                <w:color w:val="auto"/>
                <w:kern w:val="28"/>
                <w:sz w:val="24"/>
                <w:highlight w:val="none"/>
              </w:rPr>
              <w:t>：</w:t>
            </w:r>
            <w:r>
              <w:rPr>
                <w:rFonts w:hint="eastAsia" w:ascii="宋体" w:hAnsi="宋体" w:cs="宋体"/>
                <w:color w:val="auto"/>
                <w:kern w:val="0"/>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是否需要随样品提交检测报告：</w:t>
            </w:r>
            <w:r>
              <w:rPr>
                <w:rFonts w:hint="eastAsia" w:ascii="宋体" w:hAnsi="Wingdings" w:cs="宋体"/>
                <w:color w:val="auto"/>
                <w:kern w:val="0"/>
                <w:sz w:val="24"/>
                <w:highlight w:val="none"/>
              </w:rPr>
              <w:sym w:font="Wingdings" w:char="F0FE"/>
            </w:r>
            <w:r>
              <w:rPr>
                <w:rFonts w:hint="eastAsia" w:ascii="宋体" w:hAnsi="宋体" w:cs="宋体"/>
                <w:color w:val="auto"/>
                <w:kern w:val="0"/>
                <w:sz w:val="24"/>
                <w:highlight w:val="none"/>
              </w:rPr>
              <w:t>否；</w:t>
            </w:r>
            <w:r>
              <w:rPr>
                <w:rFonts w:hint="eastAsia" w:ascii="MS Gothic" w:hAnsi="MS Gothic" w:eastAsia="MS Gothic" w:cs="MS Gothic"/>
                <w:color w:val="auto"/>
                <w:kern w:val="0"/>
                <w:sz w:val="24"/>
                <w:highlight w:val="none"/>
              </w:rPr>
              <w:t>☐</w:t>
            </w:r>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提供样品的时间：</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b/>
                <w:color w:val="auto"/>
                <w:sz w:val="24"/>
                <w:highlight w:val="none"/>
              </w:rPr>
            </w:pPr>
            <w:r>
              <w:rPr>
                <w:rFonts w:hint="eastAsia" w:ascii="宋体" w:hAnsi="宋体" w:cs="宋体"/>
                <w:color w:val="auto"/>
                <w:sz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9</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ascii="宋体" w:hAnsi="宋体" w:cs="宋体"/>
                <w:color w:val="auto"/>
                <w:kern w:val="0"/>
                <w:sz w:val="24"/>
                <w:highlight w:val="none"/>
              </w:rPr>
              <w:t xml:space="preserve"> A</w:t>
            </w:r>
            <w:r>
              <w:rPr>
                <w:rFonts w:hint="eastAsia" w:ascii="宋体" w:hAnsi="宋体" w:cs="宋体"/>
                <w:color w:val="auto"/>
                <w:sz w:val="24"/>
                <w:highlight w:val="none"/>
              </w:rPr>
              <w:t>不组织。</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MS Gothic" w:hAnsi="MS Gothic" w:eastAsia="MS Gothic" w:cs="MS Gothic"/>
                <w:color w:val="auto"/>
                <w:kern w:val="0"/>
                <w:sz w:val="24"/>
                <w:highlight w:val="none"/>
              </w:rPr>
              <w:t>☐</w:t>
            </w:r>
            <w:r>
              <w:rPr>
                <w:rFonts w:ascii="宋体" w:hAnsi="宋体" w:cs="宋体"/>
                <w:color w:val="auto"/>
                <w:kern w:val="0"/>
                <w:sz w:val="24"/>
                <w:highlight w:val="none"/>
              </w:rPr>
              <w:t>B</w:t>
            </w:r>
            <w:r>
              <w:rPr>
                <w:rFonts w:hint="eastAsia" w:ascii="宋体" w:hAnsi="宋体" w:cs="宋体"/>
                <w:color w:val="auto"/>
                <w:kern w:val="0"/>
                <w:sz w:val="24"/>
                <w:highlight w:val="none"/>
              </w:rPr>
              <w:t>组织。</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宋体" w:cs="宋体"/>
                <w:color w:val="auto"/>
                <w:kern w:val="0"/>
                <w:sz w:val="24"/>
                <w:highlight w:val="none"/>
              </w:rPr>
              <w:t>本项目方案讲解演示采用</w:t>
            </w:r>
            <w:r>
              <w:rPr>
                <w:rFonts w:ascii="宋体" w:hAnsi="宋体" w:cs="宋体"/>
                <w:color w:val="auto"/>
                <w:kern w:val="0"/>
                <w:sz w:val="24"/>
                <w:highlight w:val="none"/>
              </w:rPr>
              <w:t>U</w:t>
            </w:r>
            <w:r>
              <w:rPr>
                <w:rFonts w:hint="eastAsia" w:ascii="宋体" w:hAnsi="宋体" w:cs="宋体"/>
                <w:color w:val="auto"/>
                <w:kern w:val="0"/>
                <w:sz w:val="24"/>
                <w:highlight w:val="none"/>
              </w:rPr>
              <w:t>盘或光盘演示。投标人须通过现场或邮寄方式递交此</w:t>
            </w:r>
            <w:r>
              <w:rPr>
                <w:rFonts w:hint="eastAsia" w:ascii="宋体" w:hAnsi="宋体" w:eastAsia="宋体" w:cs="宋体"/>
                <w:color w:val="auto"/>
                <w:kern w:val="0"/>
                <w:sz w:val="24"/>
                <w:highlight w:val="none"/>
              </w:rPr>
              <w:t>项目演示视频存储介质，请各投标人在邮寄过程中自行保护好隐私，并确保在投标截止时间前寄到收件人处。每个投标人演示时间不超过15分</w:t>
            </w:r>
            <w:r>
              <w:rPr>
                <w:rFonts w:hint="eastAsia" w:ascii="宋体" w:hAnsi="宋体" w:cs="宋体"/>
                <w:color w:val="auto"/>
                <w:kern w:val="0"/>
                <w:sz w:val="24"/>
                <w:highlight w:val="none"/>
              </w:rPr>
              <w:t>钟。</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10</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本项目</w:t>
            </w:r>
            <w:r>
              <w:rPr>
                <w:rFonts w:hint="eastAsia" w:ascii="宋体" w:hAnsi="宋体" w:eastAsia="宋体" w:cs="宋体"/>
                <w:color w:val="auto"/>
                <w:kern w:val="0"/>
                <w:sz w:val="24"/>
                <w:highlight w:val="none"/>
                <w:lang w:val="en-US" w:eastAsia="zh-CN"/>
              </w:rPr>
              <w:t>免</w:t>
            </w:r>
            <w:r>
              <w:rPr>
                <w:rFonts w:hint="eastAsia" w:ascii="宋体" w:hAnsi="宋体" w:eastAsia="宋体" w:cs="宋体"/>
                <w:color w:val="auto"/>
                <w:kern w:val="0"/>
                <w:sz w:val="24"/>
                <w:highlight w:val="none"/>
              </w:rPr>
              <w:t>收投标保证金。</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项目实施前，中标方需向采购单位缴纳合同金额</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%的履约保证金，项目完成并验收合格后七天内退还，不计息。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11</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rPr>
            </w:pPr>
            <w:r>
              <w:rPr>
                <w:rFonts w:hint="eastAsia" w:ascii="宋体" w:hAnsi="宋体" w:cs="宋体"/>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12</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eastAsia="宋体" w:cs="宋体"/>
                <w:color w:val="auto"/>
                <w:kern w:val="0"/>
                <w:sz w:val="24"/>
                <w:highlight w:val="none"/>
                <w:u w:val="single"/>
                <w:lang w:eastAsia="zh-CN"/>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B</w:t>
            </w:r>
            <w:r>
              <w:rPr>
                <w:rFonts w:hint="eastAsia" w:ascii="宋体" w:hAnsi="宋体" w:cs="宋体"/>
                <w:color w:val="auto"/>
                <w:sz w:val="24"/>
                <w:highlight w:val="none"/>
              </w:rPr>
              <w:t>服务类：</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13</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诸暨市住房和城乡建设局2022年生活垃圾处置终端第三方监管服务采购项目</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kern w:val="0"/>
                <w:sz w:val="24"/>
                <w:highlight w:val="none"/>
                <w:u w:val="single"/>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ascii="宋体" w:cs="宋体"/>
                <w:color w:val="auto"/>
                <w:highlight w:val="none"/>
              </w:rPr>
            </w:pPr>
            <w:r>
              <w:rPr>
                <w:rFonts w:hint="eastAsia" w:ascii="宋体" w:hAnsi="宋体" w:eastAsia="宋体" w:cs="宋体"/>
                <w:color w:val="auto"/>
                <w:kern w:val="0"/>
                <w:sz w:val="24"/>
                <w:szCs w:val="24"/>
                <w:highlight w:val="none"/>
                <w:lang w:val="en-US" w:eastAsia="zh-CN"/>
              </w:rPr>
              <w:t>供应商在</w:t>
            </w:r>
            <w:r>
              <w:rPr>
                <w:rFonts w:hint="eastAsia" w:ascii="宋体" w:hAnsi="宋体" w:eastAsia="宋体" w:cs="宋体"/>
                <w:color w:val="auto"/>
                <w:kern w:val="0"/>
                <w:sz w:val="24"/>
                <w:szCs w:val="24"/>
                <w:highlight w:val="none"/>
              </w:rPr>
              <w:t>出具《中小企业声明函》</w:t>
            </w:r>
            <w:r>
              <w:rPr>
                <w:rFonts w:hint="eastAsia" w:ascii="宋体" w:hAnsi="宋体" w:eastAsia="宋体" w:cs="宋体"/>
                <w:color w:val="auto"/>
                <w:kern w:val="0"/>
                <w:sz w:val="24"/>
                <w:szCs w:val="24"/>
                <w:highlight w:val="none"/>
                <w:lang w:val="en-US" w:eastAsia="zh-CN"/>
              </w:rPr>
              <w:t>前，可通过工业和信息化部官网公共服务平台“</w:t>
            </w:r>
            <w:r>
              <w:rPr>
                <w:rFonts w:hint="eastAsia" w:ascii="宋体" w:hAnsi="宋体" w:eastAsia="宋体" w:cs="宋体"/>
                <w:color w:val="auto"/>
                <w:kern w:val="0"/>
                <w:sz w:val="24"/>
                <w:szCs w:val="24"/>
                <w:highlight w:val="none"/>
              </w:rPr>
              <w:t>中小企业规模类型自测小程序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w:t>
            </w:r>
            <w:r>
              <w:rPr>
                <w:rFonts w:hint="eastAsia" w:ascii="宋体" w:hAnsi="宋体" w:eastAsia="宋体" w:cs="宋体"/>
                <w:color w:val="auto"/>
                <w:kern w:val="0"/>
                <w:sz w:val="24"/>
                <w:szCs w:val="24"/>
                <w:highlight w:val="none"/>
              </w:rPr>
              <w:t>企业规模类型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自测时</w:t>
            </w:r>
            <w:r>
              <w:rPr>
                <w:rFonts w:hint="eastAsia" w:ascii="宋体" w:hAnsi="宋体" w:eastAsia="宋体" w:cs="宋体"/>
                <w:color w:val="auto"/>
                <w:kern w:val="0"/>
                <w:sz w:val="24"/>
                <w:szCs w:val="24"/>
                <w:highlight w:val="none"/>
              </w:rPr>
              <w:t>企业所属行业</w:t>
            </w:r>
            <w:r>
              <w:rPr>
                <w:rFonts w:hint="eastAsia" w:ascii="宋体" w:hAnsi="宋体" w:eastAsia="宋体" w:cs="宋体"/>
                <w:color w:val="auto"/>
                <w:kern w:val="0"/>
                <w:sz w:val="24"/>
                <w:szCs w:val="24"/>
                <w:highlight w:val="none"/>
                <w:lang w:val="en-US" w:eastAsia="zh-CN"/>
              </w:rPr>
              <w:t>请选择</w:t>
            </w:r>
            <w:r>
              <w:rPr>
                <w:rFonts w:hint="eastAsia" w:ascii="宋体" w:hAnsi="宋体" w:eastAsia="宋体" w:cs="宋体"/>
                <w:i w:val="0"/>
                <w:caps w:val="0"/>
                <w:color w:val="auto"/>
                <w:spacing w:val="0"/>
                <w:sz w:val="24"/>
                <w:szCs w:val="24"/>
                <w:u w:val="single"/>
                <w:shd w:val="clear" w:color="auto" w:fill="auto"/>
                <w:lang w:val="en-US" w:eastAsia="zh-CN"/>
              </w:rPr>
              <w:t xml:space="preserve"> </w:t>
            </w:r>
            <w:r>
              <w:rPr>
                <w:rFonts w:hint="eastAsia" w:ascii="宋体" w:hAnsi="宋体" w:eastAsia="宋体" w:cs="宋体"/>
                <w:color w:val="auto"/>
                <w:kern w:val="0"/>
                <w:sz w:val="24"/>
                <w:szCs w:val="24"/>
                <w:highlight w:val="none"/>
                <w:u w:val="single"/>
                <w:lang w:val="en-US" w:eastAsia="zh-CN"/>
              </w:rPr>
              <w:t>其他未列明行业</w:t>
            </w:r>
            <w:r>
              <w:rPr>
                <w:rFonts w:hint="eastAsia" w:ascii="宋体" w:hAnsi="宋体" w:eastAsia="宋体" w:cs="宋体"/>
                <w:b w:val="0"/>
                <w:bCs w:val="0"/>
                <w:i w:val="0"/>
                <w:caps w:val="0"/>
                <w:color w:val="auto"/>
                <w:spacing w:val="0"/>
                <w:sz w:val="24"/>
                <w:szCs w:val="24"/>
                <w:u w:val="single"/>
                <w:shd w:val="clear" w:color="auto" w:fill="auto"/>
                <w:lang w:val="en-US" w:eastAsia="zh-CN"/>
              </w:rPr>
              <w:t xml:space="preserve"> </w:t>
            </w:r>
            <w:r>
              <w:rPr>
                <w:rFonts w:hint="eastAsia" w:ascii="宋体" w:hAnsi="宋体" w:eastAsia="宋体" w:cs="宋体"/>
                <w:b w:val="0"/>
                <w:bCs w:val="0"/>
                <w:i w:val="0"/>
                <w:caps w:val="0"/>
                <w:color w:val="auto"/>
                <w:spacing w:val="0"/>
                <w:sz w:val="24"/>
                <w:szCs w:val="24"/>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14</w:t>
            </w:r>
          </w:p>
        </w:tc>
        <w:tc>
          <w:tcPr>
            <w:tcW w:w="181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宋体" w:eastAsia="宋体" w:cs="宋体"/>
                <w:color w:val="auto"/>
                <w:kern w:val="0"/>
                <w:sz w:val="24"/>
                <w:szCs w:val="24"/>
                <w:highlight w:val="none"/>
                <w:lang w:val="en-US" w:eastAsia="zh-CN"/>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15</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备份投标文件送达地点</w:t>
            </w:r>
            <w:r>
              <w:rPr>
                <w:rFonts w:ascii="宋体" w:hAnsi="宋体" w:cs="宋体"/>
                <w:b/>
                <w:color w:val="auto"/>
                <w:sz w:val="24"/>
                <w:highlight w:val="none"/>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snapToGrid/>
              <w:spacing w:line="300" w:lineRule="auto"/>
              <w:textAlignment w:val="auto"/>
              <w:rPr>
                <w:rFonts w:hAnsi="宋体" w:cs="宋体"/>
                <w:color w:val="auto"/>
                <w:kern w:val="28"/>
                <w:sz w:val="24"/>
                <w:highlight w:val="none"/>
              </w:rPr>
            </w:pPr>
            <w:r>
              <w:rPr>
                <w:rFonts w:hint="eastAsia" w:hAnsi="宋体" w:cs="宋体"/>
                <w:b/>
                <w:color w:val="auto"/>
                <w:sz w:val="24"/>
                <w:szCs w:val="24"/>
                <w:highlight w:val="none"/>
                <w:lang w:eastAsia="zh-CN"/>
              </w:rPr>
              <w:t>浙江智拓项目管理有限公司</w:t>
            </w:r>
            <w:r>
              <w:rPr>
                <w:rFonts w:hint="eastAsia" w:hAnsi="宋体" w:cs="宋体"/>
                <w:b/>
                <w:color w:val="auto"/>
                <w:sz w:val="24"/>
                <w:szCs w:val="24"/>
                <w:highlight w:val="none"/>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"mailto:zjztb001@aliyun.com" </w:instrText>
            </w:r>
            <w:r>
              <w:rPr>
                <w:rFonts w:hint="eastAsia" w:ascii="宋体" w:hAnsi="宋体" w:eastAsia="宋体" w:cs="宋体"/>
                <w:b/>
                <w:color w:val="auto"/>
                <w:sz w:val="24"/>
                <w:szCs w:val="24"/>
                <w:highlight w:val="none"/>
                <w:lang w:eastAsia="zh-CN"/>
              </w:rPr>
              <w:fldChar w:fldCharType="separate"/>
            </w:r>
            <w:r>
              <w:rPr>
                <w:rFonts w:hint="eastAsia" w:hAnsi="宋体" w:cs="宋体"/>
                <w:b/>
                <w:color w:val="auto"/>
                <w:sz w:val="24"/>
                <w:szCs w:val="24"/>
                <w:highlight w:val="none"/>
                <w:lang w:eastAsia="zh-CN"/>
              </w:rPr>
              <w:t>3314994607@qq.com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color w:val="auto"/>
                <w:sz w:val="24"/>
                <w:szCs w:val="24"/>
                <w:highlight w:val="none"/>
                <w:lang w:eastAsia="zh-CN"/>
              </w:rPr>
              <w:t>）</w:t>
            </w:r>
            <w:r>
              <w:rPr>
                <w:rFonts w:hint="eastAsia" w:hAnsi="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Arial"/>
                <w:color w:val="auto"/>
                <w:kern w:val="2"/>
                <w:sz w:val="21"/>
                <w:szCs w:val="24"/>
                <w:highlight w:val="none"/>
                <w:lang w:val="en-US" w:eastAsia="zh-CN" w:bidi="ar-SA"/>
              </w:rPr>
            </w:pPr>
            <w:r>
              <w:rPr>
                <w:rFonts w:hint="eastAsia" w:ascii="宋体" w:hAnsi="宋体"/>
                <w:color w:val="auto"/>
                <w:szCs w:val="24"/>
                <w:highlight w:val="none"/>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pacing w:line="240" w:lineRule="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1、招标代理服务费由中标人支付，具体收费标准按国家发改委【2011】534号文件和国家计委【2002】1980号文件执行，收费基数为合同总金额，按差额定率累进法计算:</w:t>
            </w:r>
          </w:p>
          <w:tbl>
            <w:tblPr>
              <w:tblStyle w:val="65"/>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75"/>
              <w:gridCol w:w="959"/>
              <w:gridCol w:w="959"/>
              <w:gridCol w:w="9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中标金额（万元）</w:t>
                  </w:r>
                </w:p>
              </w:tc>
              <w:tc>
                <w:tcPr>
                  <w:tcW w:w="1065" w:type="dxa"/>
                  <w:noWrap w:val="0"/>
                  <w:vAlign w:val="center"/>
                </w:tcPr>
                <w:p>
                  <w:pPr>
                    <w:pStyle w:val="60"/>
                    <w:keepNext w:val="0"/>
                    <w:keepLines w:val="0"/>
                    <w:widowControl/>
                    <w:suppressLineNumbers w:val="0"/>
                    <w:jc w:val="center"/>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rPr>
                    <w:t>货物招标</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服务招标</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工程招标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100以下</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1.5％</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1.5％</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100—500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1.1％</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0.8％</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500—1000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0.8％</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0.45％</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0.55％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1000—5000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0.5％</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0.25％</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0.35％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5000—10000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0.25％</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0.1％</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10000——100000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0.05％</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0.05％</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0.05％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1000000以上</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0.01％</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0.01％</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0.01％</w:t>
                  </w:r>
                </w:p>
              </w:tc>
            </w:tr>
          </w:tbl>
          <w:p>
            <w:pPr>
              <w:pStyle w:val="120"/>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eastAsia" w:ascii="Arial" w:hAnsi="Arial" w:eastAsia="宋体" w:cs="Times New Roman"/>
                <w:color w:val="auto"/>
                <w:spacing w:val="-5"/>
                <w:kern w:val="0"/>
                <w:sz w:val="24"/>
                <w:szCs w:val="20"/>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2、代理费缴纳账户：浙江智拓项目管理有限公司，开户行：中国建设银行诸暨暨东支行，账号：33050165634900000086</w:t>
            </w:r>
          </w:p>
        </w:tc>
      </w:tr>
    </w:tbl>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bookmarkEnd w:id="10"/>
    <w:p>
      <w:pPr>
        <w:rPr>
          <w:rFonts w:hint="eastAsia" w:ascii="宋体" w:hAnsi="宋体" w:eastAsia="宋体" w:cs="宋体"/>
          <w:b/>
          <w:color w:val="auto"/>
          <w:sz w:val="32"/>
          <w:szCs w:val="20"/>
          <w:highlight w:val="none"/>
        </w:rPr>
      </w:pPr>
      <w:bookmarkStart w:id="11" w:name="_Toc164416483"/>
      <w:bookmarkStart w:id="12" w:name="第三部分"/>
      <w:r>
        <w:rPr>
          <w:rFonts w:hint="eastAsia" w:ascii="宋体" w:hAnsi="宋体" w:eastAsia="宋体" w:cs="宋体"/>
          <w:b/>
          <w:color w:val="auto"/>
          <w:sz w:val="32"/>
          <w:szCs w:val="20"/>
          <w:highlight w:val="none"/>
        </w:rPr>
        <w:br w:type="page"/>
      </w:r>
    </w:p>
    <w:p>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keepNext w:val="0"/>
        <w:keepLines w:val="0"/>
        <w:pageBreakBefore w:val="0"/>
        <w:kinsoku/>
        <w:wordWrap/>
        <w:overflowPunct/>
        <w:topLinePunct w:val="0"/>
        <w:bidi w:val="0"/>
        <w:snapToGrid/>
        <w:spacing w:line="300" w:lineRule="auto"/>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keepNext w:val="0"/>
        <w:keepLines w:val="0"/>
        <w:pageBreakBefore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bidi w:val="0"/>
        <w:adjustRightInd/>
        <w:snapToGrid/>
        <w:spacing w:line="300" w:lineRule="auto"/>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rPr>
        <w:t>” 系指适用本项目的要求，“☐” 系指不适用本项目的要求。</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3.3.2.3在服务采购项目中，服务由中小企业承接，即提供服务的人员为中小企业依照《中华人民共和国民法典》订立劳动合同的从业人员。</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3.3.7中小企业享受扶持政策获得政府采购合同的，小微企业不得将合同分包给大中型企业，中型企业不得将合同分包给大型企业。 </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3.3.8采购人严格贯彻落实《保障中小企业款项支付条例》，按规定向中小企业支付款项。</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3.3.9中小企业信用融资：供应商中标后可在政府采购云平台申请政采贷：操作路径：登录政府采购云平台-金融服务中心-【融资服务】。</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4. 询问、质疑、投诉</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4.1供应商询问</w:t>
      </w:r>
    </w:p>
    <w:p>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1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4.2.2.1对招标文件提出质疑的，质疑期限为供应商获得招标文件之日或者招标文件公告期限届满之日起计算。</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pStyle w:val="34"/>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4.2.2.4针对采购文件中特定资格条件、采购需求、评分办法提出的质疑，应向采购人提出；对采购文件中其他内容、采购过程、采购结果提出的质疑，应向采购代理机构提出。</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4.2.3.1供应商的姓名或者名称、地址、邮编、联系人及联系电话；</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4.2.3.2质疑项目的名称、编号；</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4.2.3.3具体、明确的质疑事项和与质疑事项相关的请求；</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4.2.3.4事实依据；</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4.2.3.5必要的法律依据；</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3.6提出质疑的日期。</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4.2.5询问或者质疑事项可能影响采购结果的，采购人应当暂停签订合同，已经签订合同的，应当中止履行合同。</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4.3质疑供应商投诉</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4.3.2供应商投诉的事项不得超出已质疑事项的范围，基于质疑答复内容提出的投诉事项除外。</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4.3.3供应商投诉应当有明确的请求和必要的证明材料。</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4.3.5 以联合体形式参加政府采购活动的，其投诉应当由组成联合体的所有供应商共同提出。投诉书范本及制作说明详见附件3。</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二、招标文件的构成、澄清、补充、修改</w:t>
      </w:r>
    </w:p>
    <w:p>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澄清、补充、修改的内容为招标文件的组成部分</w:t>
      </w:r>
      <w:r>
        <w:rPr>
          <w:rFonts w:hint="eastAsia" w:ascii="宋体" w:hAnsi="宋体" w:eastAsia="宋体" w:cs="宋体"/>
          <w:color w:val="auto"/>
          <w:sz w:val="24"/>
          <w:highlight w:val="none"/>
        </w:rPr>
        <w:t>。</w:t>
      </w:r>
    </w:p>
    <w:p>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招标文件的澄清、补充、修改</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6.3当招标文件与澄清、补充、修改就同一内容表述不一致的以最后发出的文件或公告为准。</w:t>
      </w:r>
    </w:p>
    <w:p>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15"/>
        <w:keepNext w:val="0"/>
        <w:keepLines w:val="0"/>
        <w:pageBreakBefore w:val="0"/>
        <w:kinsoku/>
        <w:wordWrap/>
        <w:overflowPunct/>
        <w:topLinePunct w:val="0"/>
        <w:bidi w:val="0"/>
        <w:snapToGrid/>
        <w:spacing w:line="30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keepNext w:val="0"/>
        <w:keepLines w:val="0"/>
        <w:pageBreakBefore w:val="0"/>
        <w:kinsoku/>
        <w:wordWrap/>
        <w:overflowPunct/>
        <w:topLinePunct w:val="0"/>
        <w:autoSpaceDE w:val="0"/>
        <w:autoSpaceDN w:val="0"/>
        <w:bidi w:val="0"/>
        <w:snapToGrid/>
        <w:spacing w:line="30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11.1.1营业执照或事业法人证书复印件（加盖单位公章）</w:t>
      </w:r>
      <w:r>
        <w:rPr>
          <w:rFonts w:hint="eastAsia" w:ascii="宋体" w:hAnsi="宋体" w:cs="宋体"/>
          <w:color w:val="auto"/>
          <w:sz w:val="24"/>
          <w:highlight w:val="none"/>
          <w:lang w:eastAsia="zh-CN"/>
        </w:rPr>
        <w:t>；</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符合参加政府采购活动应当具备的一般条件的承诺函；</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本项目的特定资格要求（如需）。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联合协议（如需）；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分包意向协议（如需）；</w:t>
      </w:r>
    </w:p>
    <w:p>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符合性审查资料；</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商务技术偏离表；</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zh-CN"/>
        </w:rPr>
        <w:t>政府采购供应商廉洁自律承诺书；</w:t>
      </w:r>
    </w:p>
    <w:p>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 xml:space="preserve">报价文件： </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11.3.2中小企业声明函（如需）。</w:t>
      </w:r>
    </w:p>
    <w:p>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11.4投标文件含有采购人不能接受的附加条件的，投标无效；投标人提供虚假材料投标的，投标无效。</w:t>
      </w:r>
    </w:p>
    <w:p>
      <w:pPr>
        <w:pStyle w:val="166"/>
        <w:keepNext w:val="0"/>
        <w:keepLines w:val="0"/>
        <w:pageBreakBefore w:val="0"/>
        <w:kinsoku/>
        <w:wordWrap/>
        <w:overflowPunct/>
        <w:topLinePunct w:val="0"/>
        <w:bidi w:val="0"/>
        <w:snapToGrid/>
        <w:spacing w:before="0" w:line="300" w:lineRule="auto"/>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12.4投标人应充分考虑完成平台注册、申领CA证书等所需时间，如未在“政府采购云平台”系统内完成相关流程，而引起的投标或响应无效的责任自负。</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4"/>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15.1投标人在电子交易平台传输递交投标文件后，还可以在投标截止时间前向</w:t>
      </w:r>
      <w:r>
        <w:rPr>
          <w:rFonts w:hint="eastAsia" w:ascii="宋体" w:hAnsi="宋体" w:eastAsia="宋体" w:cs="宋体"/>
          <w:bCs/>
          <w:color w:val="auto"/>
          <w:sz w:val="24"/>
          <w:szCs w:val="24"/>
          <w:highlight w:val="none"/>
          <w:lang w:eastAsia="zh-CN"/>
        </w:rPr>
        <w:t>浙江智拓项目管理有限公司</w:t>
      </w:r>
      <w:r>
        <w:rPr>
          <w:rFonts w:hint="eastAsia" w:ascii="宋体" w:hAnsi="宋体" w:eastAsia="宋体" w:cs="宋体"/>
          <w:bCs/>
          <w:color w:val="auto"/>
          <w:sz w:val="24"/>
          <w:szCs w:val="24"/>
          <w:highlight w:val="none"/>
        </w:rPr>
        <w:t>邮箱（</w:t>
      </w:r>
      <w:r>
        <w:rPr>
          <w:rFonts w:hint="eastAsia" w:ascii="宋体" w:hAnsi="宋体" w:eastAsia="宋体" w:cs="宋体"/>
          <w:color w:val="auto"/>
          <w:sz w:val="24"/>
          <w:szCs w:val="24"/>
          <w:highlight w:val="none"/>
          <w:lang w:eastAsia="zh-CN"/>
        </w:rPr>
        <w:t>3314994607@qq.com</w:t>
      </w:r>
      <w:r>
        <w:rPr>
          <w:rFonts w:hint="eastAsia" w:ascii="宋体" w:hAnsi="宋体" w:eastAsia="宋体" w:cs="宋体"/>
          <w:color w:val="auto"/>
          <w:sz w:val="24"/>
          <w:szCs w:val="24"/>
          <w:highlight w:val="none"/>
        </w:rPr>
        <w:t>）递交备份投标文件1份，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szCs w:val="24"/>
          <w:highlight w:val="none"/>
        </w:rPr>
        <w:t xml:space="preserve"> </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15.3采购代理机构将拒绝接受逾期送达的备份投标文件。</w:t>
      </w:r>
    </w:p>
    <w:p>
      <w:pPr>
        <w:pStyle w:val="34"/>
        <w:keepNext w:val="0"/>
        <w:keepLines w:val="0"/>
        <w:pageBreakBefore w:val="0"/>
        <w:kinsoku/>
        <w:wordWrap/>
        <w:overflowPunct/>
        <w:topLinePunct w:val="0"/>
        <w:bidi w:val="0"/>
        <w:snapToGrid/>
        <w:spacing w:line="30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15.4投标人仅提交备份投标文件，没有在电子交易平台传输递交投标文件的，投标无效。</w:t>
      </w:r>
    </w:p>
    <w:p>
      <w:pPr>
        <w:pStyle w:val="34"/>
        <w:keepNext w:val="0"/>
        <w:keepLines w:val="0"/>
        <w:pageBreakBefore w:val="0"/>
        <w:kinsoku/>
        <w:wordWrap/>
        <w:overflowPunct/>
        <w:topLinePunct w:val="0"/>
        <w:bidi w:val="0"/>
        <w:snapToGrid/>
        <w:spacing w:line="300"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15.5投标文件如有补充、修改，备份投标文件应同步调整并再次提交，采购代理机构以最新备份投标文件为准。</w:t>
      </w:r>
    </w:p>
    <w:p>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6"/>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第4.2项规定</w:t>
      </w:r>
      <w:r>
        <w:rPr>
          <w:rFonts w:hint="eastAsia" w:ascii="宋体" w:hAnsi="宋体" w:eastAsia="宋体" w:cs="宋体"/>
          <w:color w:val="auto"/>
          <w:szCs w:val="21"/>
          <w:highlight w:val="none"/>
        </w:rPr>
        <w:t>的情形之一的，投标无效。</w:t>
      </w:r>
    </w:p>
    <w:p>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color w:val="auto"/>
          <w:sz w:val="24"/>
          <w:highlight w:val="none"/>
        </w:rPr>
        <w:t>★</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6"/>
        <w:keepNext w:val="0"/>
        <w:keepLines w:val="0"/>
        <w:pageBreakBefore w:val="0"/>
        <w:kinsoku/>
        <w:wordWrap/>
        <w:overflowPunct/>
        <w:topLinePunct w:val="0"/>
        <w:bidi w:val="0"/>
        <w:snapToGrid/>
        <w:spacing w:before="0" w:line="300" w:lineRule="auto"/>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66"/>
        <w:keepNext w:val="0"/>
        <w:keepLines w:val="0"/>
        <w:pageBreakBefore w:val="0"/>
        <w:kinsoku/>
        <w:wordWrap/>
        <w:overflowPunct/>
        <w:topLinePunct w:val="0"/>
        <w:bidi w:val="0"/>
        <w:snapToGrid/>
        <w:spacing w:before="0" w:line="30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18.2开标时，电子交易平台按开标时间自动提取所有投标文件。采购代理机构依托电子交易平台发起开始解密指令，投标人按照平台提示在招标文件规定时间内完成在线解密。</w:t>
      </w:r>
    </w:p>
    <w:p>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投标文件未按时解密，投标人提供了备份投标文件的，经投标人同意后以备份投标文件作为依据，否则视为投标文件撤回。投标文件已按时解密的，备份投标文件自动失效。</w:t>
      </w:r>
    </w:p>
    <w:p>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资格审查</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有效资格证明材料的，视为投标人不具备招标文件中规定的资格要求，其投标无效。</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19.4对未通过资格审查的投标人，采购人或采购代理机构告知其未通过的原因。</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color w:val="auto"/>
          <w:sz w:val="24"/>
          <w:highlight w:val="none"/>
        </w:rPr>
        <w:t>详见招标文件第四部分评标办法。</w:t>
      </w:r>
    </w:p>
    <w:p>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6"/>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采购人将自收到评审报告之日起5个工作日内通过电子交易平台在评审报告推荐的中标候选人中确定中标供应商，并将结果确认书面提交给采购代理机构。</w:t>
      </w:r>
    </w:p>
    <w:p>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23.1自中标人确定之日起2个工作日内，采购代理机构向中标人发出中标通知书，同时编制发布采购结果公告。</w:t>
      </w:r>
    </w:p>
    <w:p>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23.2公告期限为1个工作日。</w:t>
      </w:r>
    </w:p>
    <w:p>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6"/>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6"/>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采购人与中标人应当在中标通知书发出之日起三十日内，按照招标文件确定的事项签订政府采购合同，并在合同签订之日起2个工作日内依法发布合同公告。</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25.3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25.4如签订合同并生效后，供应商无故拒绝或延期，除按照合同条款处理外，将上报政府采购监管部门予以处理。</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25.5中标供应商拒绝与采购人签订合同的，采购人应当重新开展政府采购活动。</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25.6采购合同由采购人与中标供应商根据招标文件、投标文件等内容签订并公告。</w:t>
      </w:r>
    </w:p>
    <w:p>
      <w:pPr>
        <w:pStyle w:val="26"/>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。鼓励和支持供应商以银行、保险公司出具的保函形式提供履约保证金。</w:t>
      </w:r>
      <w:r>
        <w:rPr>
          <w:rFonts w:hint="eastAsia" w:ascii="宋体" w:hAnsi="宋体" w:eastAsia="宋体" w:cs="宋体"/>
          <w:b/>
          <w:color w:val="auto"/>
          <w:sz w:val="24"/>
          <w:highlight w:val="none"/>
        </w:rPr>
        <w:t>采购人不得拒收履约保函。</w:t>
      </w:r>
    </w:p>
    <w:p>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32"/>
          <w:highlight w:val="none"/>
        </w:rPr>
      </w:pPr>
      <w:r>
        <w:rPr>
          <w:rFonts w:hint="eastAsia" w:ascii="宋体" w:hAnsi="宋体" w:eastAsia="宋体" w:cs="宋体"/>
          <w:color w:val="auto"/>
          <w:kern w:val="0"/>
          <w:sz w:val="24"/>
          <w:highlight w:val="none"/>
        </w:rPr>
        <w:t>供应商可登录政府采购云平台-【金融服务】—【我的项目】—【已备案合同】以保函形式提供。政府采购云平台金融专线400-903-9583。</w:t>
      </w:r>
    </w:p>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27. </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6"/>
        <w:keepNext w:val="0"/>
        <w:keepLines w:val="0"/>
        <w:pageBreakBefore w:val="0"/>
        <w:kinsoku/>
        <w:wordWrap/>
        <w:overflowPunct/>
        <w:topLinePunct w:val="0"/>
        <w:bidi w:val="0"/>
        <w:snapToGrid/>
        <w:spacing w:line="300" w:lineRule="auto"/>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68072998"/>
      <w:bookmarkEnd w:id="14"/>
      <w:bookmarkStart w:id="15" w:name="_Hlt75236011"/>
      <w:bookmarkEnd w:id="15"/>
      <w:bookmarkStart w:id="16" w:name="_Hlt75236101"/>
      <w:bookmarkEnd w:id="16"/>
      <w:bookmarkStart w:id="17" w:name="_Hlt75236290"/>
      <w:bookmarkEnd w:id="17"/>
      <w:bookmarkStart w:id="18" w:name="_Hlt74729768"/>
      <w:bookmarkEnd w:id="18"/>
      <w:bookmarkStart w:id="19" w:name="_Hlt68403820"/>
      <w:bookmarkEnd w:id="19"/>
      <w:bookmarkStart w:id="20" w:name="_Hlt68073093"/>
      <w:bookmarkEnd w:id="20"/>
      <w:bookmarkStart w:id="21" w:name="_Hlt74707468"/>
      <w:bookmarkEnd w:id="21"/>
      <w:bookmarkStart w:id="22" w:name="_Hlt74730295"/>
      <w:bookmarkEnd w:id="22"/>
      <w:bookmarkStart w:id="23" w:name="_Hlt74714665"/>
      <w:bookmarkEnd w:id="23"/>
      <w:bookmarkStart w:id="24" w:name="_Hlt68072990"/>
      <w:bookmarkEnd w:id="24"/>
      <w:bookmarkStart w:id="25" w:name="_Hlt68057669"/>
      <w:bookmarkEnd w:id="25"/>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pPr>
        <w:pStyle w:val="2"/>
        <w:pageBreakBefore w:val="0"/>
        <w:kinsoku/>
        <w:wordWrap/>
        <w:overflowPunct/>
        <w:topLinePunct w:val="0"/>
        <w:bidi w:val="0"/>
        <w:snapToGrid/>
        <w:spacing w:before="0" w:beforeLines="0" w:beforeAutospacing="0" w:after="0" w:afterLines="0" w:line="312"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项目概况</w:t>
      </w:r>
    </w:p>
    <w:p>
      <w:pPr>
        <w:pageBreakBefore w:val="0"/>
        <w:kinsoku/>
        <w:wordWrap/>
        <w:overflowPunct/>
        <w:topLinePunct w:val="0"/>
        <w:bidi w:val="0"/>
        <w:snapToGrid/>
        <w:spacing w:beforeAutospacing="0" w:line="312" w:lineRule="auto"/>
        <w:ind w:firstLine="48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1、垃圾处置终端的基本情况</w:t>
      </w:r>
    </w:p>
    <w:p>
      <w:pPr>
        <w:pStyle w:val="60"/>
        <w:pageBreakBefore w:val="0"/>
        <w:shd w:val="clear" w:color="auto" w:fill="FFFFFF"/>
        <w:kinsoku/>
        <w:wordWrap/>
        <w:overflowPunct/>
        <w:topLinePunct w:val="0"/>
        <w:bidi w:val="0"/>
        <w:snapToGrid/>
        <w:spacing w:before="0" w:beforeLines="0" w:beforeAutospacing="0" w:after="0" w:afterLines="0" w:afterAutospacing="0" w:line="312" w:lineRule="auto"/>
        <w:ind w:firstLine="480" w:firstLineChars="200"/>
        <w:textAlignment w:val="auto"/>
        <w:rPr>
          <w:rFonts w:hint="eastAsia"/>
          <w:color w:val="auto"/>
          <w:highlight w:val="none"/>
          <w:lang w:bidi="en-US"/>
        </w:rPr>
      </w:pPr>
      <w:r>
        <w:rPr>
          <w:rFonts w:hint="eastAsia"/>
          <w:color w:val="auto"/>
          <w:highlight w:val="none"/>
          <w:lang w:bidi="en-US"/>
        </w:rPr>
        <w:t>生活垃圾焚烧发电厂规模：项目分二期建设，一期建设2×150吨/时循环流化床锅炉，配1台25MW背压式汽轮发电机组，二期建设2×150吨/时炉排炉，配1台25MW背压式汽轮发电机组。日处理量2×400吨/天。烟气采用“半干法脱硫+SNCR脱硝+布袋除尘+活性炭吸附”处理工艺后经100米烟囱排放。</w:t>
      </w:r>
    </w:p>
    <w:p>
      <w:pPr>
        <w:pStyle w:val="60"/>
        <w:pageBreakBefore w:val="0"/>
        <w:shd w:val="clear" w:color="auto" w:fill="FFFFFF"/>
        <w:kinsoku/>
        <w:wordWrap/>
        <w:overflowPunct/>
        <w:topLinePunct w:val="0"/>
        <w:bidi w:val="0"/>
        <w:snapToGrid/>
        <w:spacing w:before="0" w:beforeLines="0" w:beforeAutospacing="0" w:after="0" w:afterLines="0" w:afterAutospacing="0" w:line="312" w:lineRule="auto"/>
        <w:ind w:firstLine="480" w:firstLineChars="200"/>
        <w:textAlignment w:val="auto"/>
        <w:rPr>
          <w:rFonts w:hint="eastAsia"/>
          <w:color w:val="auto"/>
          <w:highlight w:val="none"/>
          <w:lang w:bidi="en-US"/>
        </w:rPr>
      </w:pPr>
      <w:r>
        <w:rPr>
          <w:rFonts w:hint="eastAsia"/>
          <w:color w:val="auto"/>
          <w:highlight w:val="none"/>
          <w:lang w:bidi="en-US"/>
        </w:rPr>
        <w:t>废水排放量≤14.31 万吨/年、COD≤7.16 吨/年、氨氮≤0.72 吨/年、二氧化硫≤96.05 吨/年、氮氧化物≤137.21 吨/年、工业烟粉尘≤13.72 吨/年、汞及其化合物≤0.014 吨/年。</w:t>
      </w:r>
    </w:p>
    <w:p>
      <w:pPr>
        <w:pStyle w:val="60"/>
        <w:pageBreakBefore w:val="0"/>
        <w:shd w:val="clear" w:color="auto" w:fill="FFFFFF"/>
        <w:kinsoku/>
        <w:wordWrap/>
        <w:overflowPunct/>
        <w:topLinePunct w:val="0"/>
        <w:bidi w:val="0"/>
        <w:snapToGrid/>
        <w:spacing w:before="0" w:beforeLines="0" w:beforeAutospacing="0" w:after="0" w:afterLines="0" w:afterAutospacing="0" w:line="312" w:lineRule="auto"/>
        <w:ind w:firstLine="480" w:firstLineChars="200"/>
        <w:textAlignment w:val="auto"/>
        <w:rPr>
          <w:rFonts w:hint="eastAsia"/>
          <w:color w:val="auto"/>
          <w:highlight w:val="none"/>
          <w:lang w:bidi="en-US"/>
        </w:rPr>
      </w:pPr>
      <w:r>
        <w:rPr>
          <w:rFonts w:hint="eastAsia"/>
          <w:color w:val="auto"/>
          <w:highlight w:val="none"/>
        </w:rPr>
        <w:t>浬浦垃圾无害化处理中心项目总投资为27799万元，项目由政府和社会资本方采用建设-运营-移交（BOT）模式，诸暨三峰环保能源有限公司负责建设运行，合作期限为30年。本项目项目每天可处理350吨生活垃圾。</w:t>
      </w:r>
    </w:p>
    <w:p>
      <w:pPr>
        <w:pStyle w:val="60"/>
        <w:pageBreakBefore w:val="0"/>
        <w:shd w:val="clear" w:color="auto" w:fill="FFFFFF"/>
        <w:kinsoku/>
        <w:wordWrap/>
        <w:overflowPunct/>
        <w:topLinePunct w:val="0"/>
        <w:bidi w:val="0"/>
        <w:snapToGrid/>
        <w:spacing w:before="0" w:beforeLines="0" w:beforeAutospacing="0" w:after="0" w:afterLines="0" w:afterAutospacing="0" w:line="312" w:lineRule="auto"/>
        <w:ind w:firstLine="480" w:firstLineChars="200"/>
        <w:textAlignment w:val="auto"/>
        <w:rPr>
          <w:rFonts w:hint="eastAsia"/>
          <w:color w:val="auto"/>
          <w:highlight w:val="none"/>
          <w:lang w:bidi="en-US"/>
        </w:rPr>
      </w:pPr>
      <w:r>
        <w:rPr>
          <w:rFonts w:hint="eastAsia"/>
          <w:color w:val="auto"/>
          <w:highlight w:val="none"/>
          <w:lang w:bidi="en-US"/>
        </w:rPr>
        <w:t>餐厨处理厂规模：项目总投资2.3亿元，工艺流程为预处理+厌氧消化产沼技术，于前年10月底进入试运行，正式正式投产后每天可实现处理餐厨废弃物300吨、地沟油10吨，每天可以产生沼气量25000立方米、发电15000度。</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面临不断技术提标改造和持续优化管理，因此，需要对我市生活垃圾处置终端运行全过程采用实时监管和预警预控的监管机制和智能在线监管技术覆盖的手段。现委托第三方监管单位（即本项目中标单位）进行日常运行专业性监管。</w:t>
      </w:r>
      <w:bookmarkStart w:id="27" w:name="_Toc21503"/>
      <w:bookmarkStart w:id="28" w:name="_Toc3544162"/>
      <w:r>
        <w:rPr>
          <w:rFonts w:hint="eastAsia" w:ascii="宋体" w:hAnsi="宋体" w:cs="宋体"/>
          <w:color w:val="auto"/>
          <w:sz w:val="24"/>
          <w:szCs w:val="24"/>
          <w:highlight w:val="none"/>
        </w:rPr>
        <w:t>主要</w:t>
      </w:r>
      <w:bookmarkEnd w:id="27"/>
      <w:bookmarkStart w:id="29" w:name="_Toc16728"/>
      <w:r>
        <w:rPr>
          <w:rFonts w:hint="eastAsia" w:ascii="宋体" w:hAnsi="宋体" w:cs="宋体"/>
          <w:color w:val="auto"/>
          <w:sz w:val="24"/>
          <w:szCs w:val="24"/>
          <w:highlight w:val="none"/>
        </w:rPr>
        <w:t>监管依据</w:t>
      </w:r>
      <w:bookmarkEnd w:id="28"/>
      <w:bookmarkEnd w:id="29"/>
      <w:r>
        <w:rPr>
          <w:rFonts w:hint="eastAsia" w:ascii="宋体" w:hAnsi="宋体" w:cs="宋体"/>
          <w:color w:val="auto"/>
          <w:sz w:val="24"/>
          <w:szCs w:val="24"/>
          <w:highlight w:val="none"/>
        </w:rPr>
        <w:t>：</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《生活垃圾焚烧污染控制标准》（GB18485-2014）</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《生活垃圾焚烧厂评价标准》（CJJT 137-2010）</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《生活垃圾焚烧厂安全性评价技术导则》（RISN-TG010-2010）</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《生活垃圾焚烧厂运行监管标准》（CJJ/T212-2015）</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《城市生活垃圾处理工作考核评价暂行办法》</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《城市生活垃圾焚烧处理工程项目建设标准》</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《生活垃圾焚烧处理工程技术规范》（CJJ90-2009）</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《生活垃圾填埋场控制标准》（GB 16889-2008）</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《生活垃圾焚烧炉》（CJ-T118-2000）</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《生活垃圾卫生填埋技术规范》（GB50869-2013）</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《城市生活垃圾管理办法》（建设部令第 157 号）</w:t>
      </w:r>
    </w:p>
    <w:p>
      <w:pPr>
        <w:pageBreakBefore w:val="0"/>
        <w:kinsoku/>
        <w:wordWrap/>
        <w:overflowPunct/>
        <w:topLinePunct w:val="0"/>
        <w:bidi w:val="0"/>
        <w:snapToGrid/>
        <w:spacing w:beforeAutospacing="0" w:line="312" w:lineRule="auto"/>
        <w:ind w:firstLine="381" w:firstLineChars="159"/>
        <w:jc w:val="left"/>
        <w:textAlignment w:val="auto"/>
        <w:rPr>
          <w:rFonts w:hint="eastAsia" w:ascii="宋体" w:hAnsi="宋体" w:cs="宋体"/>
          <w:color w:val="auto"/>
          <w:sz w:val="24"/>
          <w:highlight w:val="none"/>
        </w:rPr>
      </w:pPr>
      <w:r>
        <w:rPr>
          <w:rFonts w:hint="eastAsia" w:ascii="宋体" w:hAnsi="宋体" w:cs="宋体"/>
          <w:color w:val="auto"/>
          <w:sz w:val="24"/>
          <w:highlight w:val="none"/>
        </w:rPr>
        <w:t>《餐厨垃圾处理技术规范》(CJJ 184-2012)；</w:t>
      </w:r>
    </w:p>
    <w:p>
      <w:pPr>
        <w:pageBreakBefore w:val="0"/>
        <w:kinsoku/>
        <w:wordWrap/>
        <w:overflowPunct/>
        <w:topLinePunct w:val="0"/>
        <w:bidi w:val="0"/>
        <w:snapToGrid/>
        <w:spacing w:beforeAutospacing="0" w:line="312" w:lineRule="auto"/>
        <w:ind w:firstLine="381" w:firstLineChars="159"/>
        <w:jc w:val="left"/>
        <w:textAlignment w:val="auto"/>
        <w:rPr>
          <w:rFonts w:hint="eastAsia" w:ascii="宋体" w:hAnsi="宋体" w:cs="宋体"/>
          <w:color w:val="auto"/>
          <w:sz w:val="24"/>
          <w:highlight w:val="none"/>
        </w:rPr>
      </w:pPr>
      <w:r>
        <w:rPr>
          <w:rFonts w:hint="eastAsia" w:ascii="宋体" w:hAnsi="宋体" w:cs="宋体"/>
          <w:color w:val="auto"/>
          <w:sz w:val="24"/>
          <w:highlight w:val="none"/>
        </w:rPr>
        <w:t>《地下水质量标准》（GB/T14848-2017）；</w:t>
      </w:r>
    </w:p>
    <w:p>
      <w:pPr>
        <w:pageBreakBefore w:val="0"/>
        <w:kinsoku/>
        <w:wordWrap/>
        <w:overflowPunct/>
        <w:topLinePunct w:val="0"/>
        <w:bidi w:val="0"/>
        <w:snapToGrid/>
        <w:spacing w:beforeAutospacing="0" w:line="312" w:lineRule="auto"/>
        <w:ind w:firstLine="381" w:firstLineChars="159"/>
        <w:jc w:val="left"/>
        <w:textAlignment w:val="auto"/>
        <w:rPr>
          <w:rFonts w:hint="eastAsia" w:ascii="宋体" w:hAnsi="宋体" w:cs="宋体"/>
          <w:color w:val="auto"/>
          <w:sz w:val="24"/>
          <w:highlight w:val="none"/>
        </w:rPr>
      </w:pPr>
      <w:r>
        <w:rPr>
          <w:rFonts w:hint="eastAsia" w:ascii="宋体" w:hAnsi="宋体" w:cs="宋体"/>
          <w:color w:val="auto"/>
          <w:sz w:val="24"/>
          <w:highlight w:val="none"/>
        </w:rPr>
        <w:t>《地表水环境质量标准》（GB3838-2002）；</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《“十三五”全国城镇生活垃圾无害化处理设施建设规划》</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《关于进一步加强城市生活垃圾焚烧处理工作的意见》（建城[2016]227号）</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《浙江省城镇生活垃圾无害化处理设施建设“十三五”规划》</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《诸暨市生活垃圾焚烧发电项目特许经营协议》</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及其他相关政策法规、标准文件等</w:t>
      </w:r>
    </w:p>
    <w:p>
      <w:pPr>
        <w:pageBreakBefore w:val="0"/>
        <w:kinsoku/>
        <w:wordWrap/>
        <w:overflowPunct/>
        <w:topLinePunct w:val="0"/>
        <w:bidi w:val="0"/>
        <w:snapToGrid/>
        <w:spacing w:beforeAutospacing="0" w:line="312" w:lineRule="auto"/>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2、垃圾分类工作</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诸暨市城区已全面开展生活垃圾分类工作，城区生活垃圾分类综合覆盖率达到90%以上，创成省级高标准生活垃圾分类示范小区12个，初步建成了满足分类收运处置要求的配套基础设施，形成了分类投放、分类收集、分类清运、分类处置系统闭环，营造了良好的宣传氛围。</w:t>
      </w:r>
    </w:p>
    <w:p>
      <w:pPr>
        <w:pStyle w:val="2"/>
        <w:pageBreakBefore w:val="0"/>
        <w:kinsoku/>
        <w:wordWrap/>
        <w:overflowPunct/>
        <w:topLinePunct w:val="0"/>
        <w:bidi w:val="0"/>
        <w:snapToGrid/>
        <w:spacing w:before="0" w:beforeLines="0" w:beforeAutospacing="0" w:after="0" w:afterLines="0" w:line="312"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服务内容</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本项目服务采购内容包括：</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依托现有</w:t>
      </w:r>
      <w:r>
        <w:rPr>
          <w:rFonts w:hint="eastAsia" w:ascii="宋体" w:hAnsi="宋体" w:cs="宋体"/>
          <w:color w:val="auto"/>
          <w:sz w:val="24"/>
          <w:szCs w:val="24"/>
          <w:highlight w:val="none"/>
        </w:rPr>
        <w:t>智能监管平台</w:t>
      </w:r>
      <w:r>
        <w:rPr>
          <w:rFonts w:hint="eastAsia" w:ascii="宋体" w:hAnsi="宋体" w:cs="宋体"/>
          <w:color w:val="auto"/>
          <w:sz w:val="24"/>
          <w:szCs w:val="24"/>
          <w:highlight w:val="none"/>
          <w:lang w:val="en-US" w:eastAsia="zh-CN"/>
        </w:rPr>
        <w:t>进行第三方监管服务，服务期内需配备远程监管人员及对智能化监管平台软硬件进行必要升级及维护，服务期为一年（需在现有平台上增设地磅等重点区域的高清监控设备）</w:t>
      </w:r>
      <w:r>
        <w:rPr>
          <w:rFonts w:hint="eastAsia" w:ascii="宋体" w:hAnsi="宋体" w:cs="宋体"/>
          <w:color w:val="auto"/>
          <w:sz w:val="24"/>
          <w:szCs w:val="24"/>
          <w:highlight w:val="none"/>
        </w:rPr>
        <w:t>。</w:t>
      </w:r>
    </w:p>
    <w:p>
      <w:pPr>
        <w:pageBreakBefore w:val="0"/>
        <w:kinsoku/>
        <w:wordWrap/>
        <w:overflowPunct/>
        <w:topLinePunct w:val="0"/>
        <w:bidi w:val="0"/>
        <w:snapToGrid/>
        <w:spacing w:beforeAutospacing="0" w:line="312" w:lineRule="auto"/>
        <w:ind w:firstLine="480" w:firstLineChars="200"/>
        <w:textAlignment w:val="auto"/>
        <w:rPr>
          <w:rFonts w:hint="eastAsia" w:eastAsia="宋体"/>
          <w:color w:val="auto"/>
          <w:highlight w:val="none"/>
          <w:lang w:val="en-US" w:eastAsia="zh-CN"/>
        </w:rPr>
      </w:pPr>
      <w:r>
        <w:rPr>
          <w:rFonts w:hint="eastAsia" w:ascii="宋体" w:hAnsi="宋体" w:cs="宋体"/>
          <w:color w:val="auto"/>
          <w:sz w:val="24"/>
          <w:szCs w:val="24"/>
          <w:highlight w:val="none"/>
        </w:rPr>
        <w:t>2、专业驻厂服务：在合同签订后</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日内驻厂人员按投标文件承诺的人员清单全部进厂进行驻厂服务，直至合同期结束</w:t>
      </w:r>
      <w:r>
        <w:rPr>
          <w:rFonts w:hint="eastAsia" w:ascii="宋体" w:hAnsi="宋体" w:cs="宋体"/>
          <w:color w:val="auto"/>
          <w:sz w:val="24"/>
          <w:szCs w:val="24"/>
          <w:highlight w:val="none"/>
          <w:lang w:eastAsia="zh-CN"/>
        </w:rPr>
        <w:t>。</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3、负责对诸暨市内的垃圾分类进行人工巡检，根据巡检路线，配置一辆的交通巡检车辆。</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专家服务团队：</w:t>
      </w:r>
      <w:r>
        <w:rPr>
          <w:rFonts w:hint="eastAsia" w:ascii="宋体" w:hAnsi="宋体" w:eastAsia="宋体" w:cs="宋体"/>
          <w:color w:val="auto"/>
          <w:sz w:val="24"/>
          <w:szCs w:val="24"/>
          <w:highlight w:val="none"/>
        </w:rPr>
        <w:t>服务期</w:t>
      </w:r>
      <w:r>
        <w:rPr>
          <w:rFonts w:hint="eastAsia" w:ascii="宋体" w:hAnsi="宋体" w:eastAsia="宋体" w:cs="宋体"/>
          <w:color w:val="auto"/>
          <w:sz w:val="24"/>
          <w:szCs w:val="24"/>
          <w:highlight w:val="none"/>
          <w:lang w:val="en-US" w:eastAsia="zh-CN"/>
        </w:rPr>
        <w:t>内每季度2次分别对生活垃圾焚烧厂（2座）及餐厨垃圾处理厂开展专家咨询服务</w:t>
      </w:r>
      <w:r>
        <w:rPr>
          <w:rFonts w:hint="eastAsia" w:ascii="宋体" w:hAnsi="宋体" w:eastAsia="宋体" w:cs="宋体"/>
          <w:color w:val="auto"/>
          <w:sz w:val="24"/>
          <w:szCs w:val="24"/>
          <w:highlight w:val="none"/>
        </w:rPr>
        <w:t>。</w:t>
      </w:r>
    </w:p>
    <w:p>
      <w:pPr>
        <w:pStyle w:val="2"/>
        <w:pageBreakBefore w:val="0"/>
        <w:kinsoku/>
        <w:wordWrap/>
        <w:overflowPunct/>
        <w:topLinePunct w:val="0"/>
        <w:bidi w:val="0"/>
        <w:snapToGrid/>
        <w:spacing w:before="0" w:beforeLines="0" w:beforeAutospacing="0" w:after="0" w:afterLines="0" w:line="312"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服务要求</w:t>
      </w:r>
    </w:p>
    <w:p>
      <w:pPr>
        <w:pStyle w:val="4"/>
        <w:pageBreakBefore w:val="0"/>
        <w:tabs>
          <w:tab w:val="left" w:pos="1200"/>
          <w:tab w:val="left" w:pos="1275"/>
          <w:tab w:val="left" w:pos="2651"/>
          <w:tab w:val="clear" w:pos="900"/>
        </w:tabs>
        <w:kinsoku/>
        <w:wordWrap/>
        <w:overflowPunct/>
        <w:topLinePunct w:val="0"/>
        <w:bidi w:val="0"/>
        <w:snapToGrid/>
        <w:spacing w:before="0" w:beforeLines="0" w:beforeAutospacing="0" w:after="0" w:afterLines="0" w:line="312" w:lineRule="auto"/>
        <w:ind w:left="482"/>
        <w:textAlignment w:val="auto"/>
        <w:rPr>
          <w:rFonts w:hint="eastAsia" w:ascii="宋体" w:hAnsi="宋体" w:cs="宋体"/>
          <w:color w:val="auto"/>
          <w:sz w:val="24"/>
          <w:szCs w:val="24"/>
          <w:highlight w:val="none"/>
        </w:rPr>
      </w:pPr>
      <w:bookmarkStart w:id="30" w:name="_Toc2504"/>
      <w:bookmarkStart w:id="31" w:name="_Toc516090434"/>
      <w:bookmarkStart w:id="32" w:name="_Toc516306437"/>
      <w:bookmarkStart w:id="33" w:name="_Toc7990020"/>
      <w:bookmarkStart w:id="34" w:name="_Toc11387"/>
      <w:bookmarkStart w:id="35" w:name="_Toc467503775"/>
      <w:r>
        <w:rPr>
          <w:rFonts w:hint="eastAsia" w:ascii="宋体" w:hAnsi="宋体" w:cs="宋体"/>
          <w:color w:val="auto"/>
          <w:sz w:val="24"/>
          <w:szCs w:val="24"/>
          <w:highlight w:val="none"/>
        </w:rPr>
        <w:t>1、</w:t>
      </w:r>
      <w:bookmarkEnd w:id="30"/>
      <w:bookmarkEnd w:id="31"/>
      <w:bookmarkEnd w:id="32"/>
      <w:bookmarkEnd w:id="33"/>
      <w:bookmarkEnd w:id="34"/>
      <w:r>
        <w:rPr>
          <w:rFonts w:hint="eastAsia" w:ascii="宋体" w:hAnsi="宋体" w:cs="宋体"/>
          <w:color w:val="auto"/>
          <w:sz w:val="24"/>
          <w:szCs w:val="24"/>
          <w:highlight w:val="none"/>
        </w:rPr>
        <w:t>总体要求</w:t>
      </w:r>
    </w:p>
    <w:p>
      <w:pPr>
        <w:pageBreakBefore w:val="0"/>
        <w:kinsoku/>
        <w:wordWrap/>
        <w:overflowPunct/>
        <w:topLinePunct w:val="0"/>
        <w:bidi w:val="0"/>
        <w:snapToGrid/>
        <w:spacing w:beforeAutospacing="0" w:line="312" w:lineRule="auto"/>
        <w:ind w:firstLine="480" w:firstLineChars="200"/>
        <w:jc w:val="left"/>
        <w:textAlignment w:val="auto"/>
        <w:rPr>
          <w:rFonts w:hint="eastAsia" w:ascii="宋体" w:hAnsi="宋体" w:cs="宋体"/>
          <w:color w:val="auto"/>
          <w:sz w:val="24"/>
          <w:szCs w:val="24"/>
          <w:highlight w:val="none"/>
        </w:rPr>
      </w:pPr>
      <w:bookmarkStart w:id="36" w:name="_Toc7990021"/>
      <w:bookmarkStart w:id="37" w:name="_Toc19317"/>
      <w:bookmarkStart w:id="38" w:name="_Toc2885"/>
      <w:r>
        <w:rPr>
          <w:rFonts w:hint="eastAsia" w:ascii="宋体" w:hAnsi="宋体" w:cs="宋体"/>
          <w:color w:val="auto"/>
          <w:sz w:val="24"/>
          <w:szCs w:val="24"/>
          <w:highlight w:val="none"/>
        </w:rPr>
        <w:t>（1）监管单位应对国家、省、地方等行业法规、标准有深入研究和实践应用经验，保证监管考核依据充分、公正严谨。</w:t>
      </w:r>
    </w:p>
    <w:p>
      <w:pPr>
        <w:pageBreakBefore w:val="0"/>
        <w:kinsoku/>
        <w:wordWrap/>
        <w:overflowPunct/>
        <w:topLinePunct w:val="0"/>
        <w:bidi w:val="0"/>
        <w:snapToGrid/>
        <w:spacing w:beforeAutospacing="0" w:line="312"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（2）应结合诸暨市实际情况，不断完善监管方案，优化智能在线监管。</w:t>
      </w:r>
    </w:p>
    <w:p>
      <w:pPr>
        <w:pageBreakBefore w:val="0"/>
        <w:kinsoku/>
        <w:wordWrap/>
        <w:overflowPunct/>
        <w:topLinePunct w:val="0"/>
        <w:bidi w:val="0"/>
        <w:snapToGrid/>
        <w:spacing w:beforeAutospacing="0" w:line="312"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（3）按委托方要求充分利旧</w:t>
      </w:r>
      <w:r>
        <w:rPr>
          <w:rFonts w:hint="eastAsia" w:ascii="宋体" w:hAnsi="宋体" w:cs="宋体"/>
          <w:color w:val="auto"/>
          <w:sz w:val="24"/>
          <w:szCs w:val="24"/>
          <w:highlight w:val="none"/>
          <w:lang w:val="en-US" w:eastAsia="zh-CN"/>
        </w:rPr>
        <w:t>现场软硬件</w:t>
      </w:r>
      <w:r>
        <w:rPr>
          <w:rFonts w:hint="eastAsia" w:ascii="宋体" w:hAnsi="宋体" w:cs="宋体"/>
          <w:color w:val="auto"/>
          <w:sz w:val="24"/>
          <w:szCs w:val="24"/>
          <w:highlight w:val="none"/>
        </w:rPr>
        <w:t>，并负责</w:t>
      </w:r>
      <w:r>
        <w:rPr>
          <w:rFonts w:hint="eastAsia" w:ascii="宋体" w:hAnsi="宋体" w:cs="宋体"/>
          <w:color w:val="auto"/>
          <w:sz w:val="24"/>
          <w:szCs w:val="24"/>
          <w:highlight w:val="none"/>
          <w:lang w:val="en-US" w:eastAsia="zh-CN"/>
        </w:rPr>
        <w:t>日常</w:t>
      </w:r>
      <w:r>
        <w:rPr>
          <w:rFonts w:hint="eastAsia" w:ascii="宋体" w:hAnsi="宋体" w:cs="宋体"/>
          <w:color w:val="auto"/>
          <w:sz w:val="24"/>
          <w:szCs w:val="24"/>
          <w:highlight w:val="none"/>
        </w:rPr>
        <w:t>运维和升级服务。</w:t>
      </w:r>
    </w:p>
    <w:p>
      <w:pPr>
        <w:pageBreakBefore w:val="0"/>
        <w:kinsoku/>
        <w:wordWrap/>
        <w:overflowPunct/>
        <w:topLinePunct w:val="0"/>
        <w:bidi w:val="0"/>
        <w:snapToGrid/>
        <w:spacing w:beforeAutospacing="0" w:line="312"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（4）按委托方要求定期提供监管、监测报告等资料，并确保资料信息的真实性和规范性。</w:t>
      </w:r>
    </w:p>
    <w:p>
      <w:pPr>
        <w:pageBreakBefore w:val="0"/>
        <w:kinsoku/>
        <w:wordWrap/>
        <w:overflowPunct/>
        <w:topLinePunct w:val="0"/>
        <w:bidi w:val="0"/>
        <w:snapToGrid/>
        <w:spacing w:beforeAutospacing="0" w:line="312"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（5）如遇紧急情况召开会议或其他重大活动，监管单位的项目负责人必须准时参加。</w:t>
      </w:r>
    </w:p>
    <w:p>
      <w:pPr>
        <w:pStyle w:val="4"/>
        <w:pageBreakBefore w:val="0"/>
        <w:tabs>
          <w:tab w:val="left" w:pos="1200"/>
          <w:tab w:val="left" w:pos="1275"/>
          <w:tab w:val="left" w:pos="2651"/>
          <w:tab w:val="clear" w:pos="900"/>
        </w:tabs>
        <w:kinsoku/>
        <w:wordWrap/>
        <w:overflowPunct/>
        <w:topLinePunct w:val="0"/>
        <w:bidi w:val="0"/>
        <w:snapToGrid/>
        <w:spacing w:before="0" w:beforeLines="0" w:beforeAutospacing="0" w:after="0" w:afterLines="0" w:line="312" w:lineRule="auto"/>
        <w:ind w:left="48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bookmarkEnd w:id="36"/>
      <w:bookmarkEnd w:id="37"/>
      <w:bookmarkEnd w:id="38"/>
      <w:r>
        <w:rPr>
          <w:rFonts w:hint="eastAsia" w:ascii="宋体" w:hAnsi="宋体" w:cs="宋体"/>
          <w:color w:val="auto"/>
          <w:sz w:val="24"/>
          <w:szCs w:val="24"/>
          <w:highlight w:val="none"/>
        </w:rPr>
        <w:t>智能在线监管服务要求</w:t>
      </w:r>
    </w:p>
    <w:p>
      <w:pPr>
        <w:pStyle w:val="4"/>
        <w:pageBreakBefore w:val="0"/>
        <w:tabs>
          <w:tab w:val="left" w:pos="1200"/>
          <w:tab w:val="left" w:pos="1275"/>
          <w:tab w:val="left" w:pos="2651"/>
          <w:tab w:val="clear" w:pos="900"/>
        </w:tabs>
        <w:kinsoku/>
        <w:wordWrap/>
        <w:overflowPunct/>
        <w:topLinePunct w:val="0"/>
        <w:bidi w:val="0"/>
        <w:snapToGrid/>
        <w:spacing w:before="0" w:beforeLines="0" w:beforeAutospacing="0" w:after="0" w:afterLines="0" w:line="312" w:lineRule="auto"/>
        <w:ind w:left="48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2.1生活垃圾焚烧发电厂（两座）</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配备远程监管团队，依托现有监管平台，实现以下智能化监管服务要求：</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2名远程在线监管服务人员：在线监管服务人员需具有本项目类似经验。</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要求（不限于以下内容）：巡查监管系统，查看数据采集及各项功能是否正常，如发现异常及时处理，并记录故障报告。利用运维工具远程巡查服务器、数据采集工作站、网络设备等运行情况及性能状况，定期检查数据备份执行情况及备份完整性。及时响应用户或客户的需求，并做好技术保障。</w:t>
      </w:r>
    </w:p>
    <w:p>
      <w:pPr>
        <w:pageBreakBefore w:val="0"/>
        <w:kinsoku/>
        <w:wordWrap/>
        <w:overflowPunct/>
        <w:topLinePunct w:val="0"/>
        <w:bidi w:val="0"/>
        <w:snapToGrid/>
        <w:spacing w:beforeAutospacing="0" w:line="312"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在线服务内容要求：</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（1）垃圾区域分布动态监管</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对进厂生活垃圾区域分布进行数据分析、关联及整合。</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（2）垃圾收运动态监管</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利用现有车载视频及定位设备，对垃圾运输车辆进行动态在线监管，实现监管部门对运营车辆的实时动态监管。</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（3）地磅计量数据动态监管</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对进厂垃圾数据的合规性进行核查，避免数据造假或篡改。</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（4）烟气净化运行工况及环保排放指标监管</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实时采集烟气净化系统运行数据，实现预警预控。</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（5）臭气控制监管</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通过对焚烧厂重点区域进行巡查，建立分级管控预警机制。</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（6）产出物监管</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1）飞灰监管</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全面监管焚烧厂危险废弃物的处置过程，尤其针对飞灰固化稳定化措施、批次监测达标及外运联单进行重点监管。</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2）炉渣监管</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通过对各焚烧线排渣情况的抽查，结合排渣取样化验结果进行日常监管，同时对炉渣去向进行核实。</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3）渗滤液监管</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对渗滤液产生量、产生率进行监管。同时对出水水质成分进行在线监测。</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（7）生产运行监管大数据分析</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实现各类生产运行指标的实时在线分析，并实现分级预警预控。</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（8）炉温监管</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实现炉温的在线状态监测及关联预警。</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（9）设备启停监管</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保证焚烧厂的主设备启停操作规范，手续完备，同时记录设备启停详细信息，做到系统内有据可查。</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（10）多级预警控制监管</w:t>
      </w:r>
      <w:bookmarkStart w:id="39" w:name="_Toc530574522"/>
      <w:bookmarkEnd w:id="39"/>
      <w:bookmarkStart w:id="40" w:name="_Toc530157737"/>
      <w:bookmarkEnd w:id="40"/>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bookmarkStart w:id="41" w:name="_Toc530157738"/>
      <w:bookmarkStart w:id="42" w:name="_Toc530574523"/>
      <w:r>
        <w:rPr>
          <w:rFonts w:hint="eastAsia" w:ascii="宋体" w:hAnsi="宋体" w:cs="宋体"/>
          <w:color w:val="auto"/>
          <w:sz w:val="24"/>
          <w:szCs w:val="24"/>
          <w:highlight w:val="none"/>
        </w:rPr>
        <w:t>对主要监控指标发生偏离目标值的情况下，及时向相关人员推送预警提醒，并对预警信号进行程度划分，实现超前控制，有效杜绝环保排放风险。</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（11）环保耗材匹量分析监管</w:t>
      </w:r>
      <w:bookmarkEnd w:id="41"/>
      <w:bookmarkEnd w:id="42"/>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对焚烧厂环保耗材匹量投加实现动态监控，规范达标运行。</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（12）监管工作管理</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利用信息化手段完善每日监管工作分配、跟踪、闭环、总结的监管工作机制，切实推进厂区巡查、问题处理等工作，实时在线跟踪监管工作执行和落实情况，提高监管工作效率，为监管人员的工作考核提供一定依据。</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（13）现场巡检监管 </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对设备状态、人机材安全、危险源、臭源点、厂区环境等状态，进行巡查，结果归类分析，预设风险辨识、违规实时整改或发起联系单跟进及闭环。</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（14）环境检测监管</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监督运营方按照相关规定制定环境检测计划，并持续跟踪落实，将各阶段环保检测数据结合生产数据进行分析比对。</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（15）安全监管</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从安全管理体系到各类培训、应急预案、综合演练、运行维护规范性等相关方面，进行安全监管，排查安全隐患。</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（16）智能平衡分析</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实现焚烧厂生活垃圾处置流程各环节的联动管理，实时监控数据趋势，深入挖掘潜在的安全或管理隐患。</w:t>
      </w:r>
    </w:p>
    <w:p>
      <w:pPr>
        <w:pageBreakBefore w:val="0"/>
        <w:kinsoku/>
        <w:wordWrap/>
        <w:overflowPunct/>
        <w:topLinePunct w:val="0"/>
        <w:bidi w:val="0"/>
        <w:snapToGrid/>
        <w:spacing w:beforeAutospacing="0" w:line="312"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17</w:t>
      </w:r>
      <w:r>
        <w:rPr>
          <w:rFonts w:hint="eastAsia" w:ascii="宋体" w:hAnsi="宋体" w:cs="宋体"/>
          <w:color w:val="auto"/>
          <w:sz w:val="24"/>
          <w:highlight w:val="none"/>
          <w:lang w:eastAsia="zh-CN"/>
        </w:rPr>
        <w:t>）</w:t>
      </w:r>
      <w:r>
        <w:rPr>
          <w:rFonts w:hint="eastAsia" w:ascii="宋体" w:hAnsi="宋体" w:cs="宋体"/>
          <w:color w:val="auto"/>
          <w:sz w:val="24"/>
          <w:highlight w:val="none"/>
        </w:rPr>
        <w:t>视频监控</w:t>
      </w:r>
    </w:p>
    <w:p>
      <w:pPr>
        <w:pStyle w:val="979"/>
        <w:pageBreakBefore w:val="0"/>
        <w:kinsoku/>
        <w:wordWrap/>
        <w:overflowPunct/>
        <w:topLinePunct w:val="0"/>
        <w:bidi w:val="0"/>
        <w:snapToGrid/>
        <w:spacing w:beforeAutospacing="0" w:line="312" w:lineRule="auto"/>
        <w:jc w:val="left"/>
        <w:textAlignment w:val="auto"/>
        <w:rPr>
          <w:rFonts w:hint="eastAsia"/>
          <w:color w:val="auto"/>
          <w:highlight w:val="none"/>
        </w:rPr>
      </w:pPr>
      <w:r>
        <w:rPr>
          <w:rFonts w:hint="eastAsia" w:ascii="宋体" w:hAnsi="宋体" w:cs="宋体"/>
          <w:color w:val="auto"/>
          <w:highlight w:val="none"/>
        </w:rPr>
        <w:t>实现对</w:t>
      </w:r>
      <w:r>
        <w:rPr>
          <w:rFonts w:hint="eastAsia" w:ascii="宋体" w:hAnsi="宋体" w:cs="宋体"/>
          <w:color w:val="auto"/>
          <w:highlight w:val="none"/>
          <w:lang w:val="en-US" w:eastAsia="zh-CN"/>
        </w:rPr>
        <w:t>焚烧厂</w:t>
      </w:r>
      <w:r>
        <w:rPr>
          <w:rFonts w:hint="eastAsia" w:ascii="宋体" w:hAnsi="宋体" w:cs="宋体"/>
          <w:color w:val="auto"/>
          <w:highlight w:val="none"/>
        </w:rPr>
        <w:t>的重点区域的视频监控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供应商独立安装</w:t>
      </w:r>
      <w:r>
        <w:rPr>
          <w:rFonts w:hint="eastAsia" w:ascii="宋体" w:hAnsi="宋体" w:cs="宋体"/>
          <w:color w:val="auto"/>
          <w:highlight w:val="none"/>
          <w:lang w:eastAsia="zh-CN"/>
        </w:rPr>
        <w:t>）</w:t>
      </w:r>
      <w:r>
        <w:rPr>
          <w:rFonts w:hint="eastAsia" w:ascii="宋体" w:hAnsi="宋体" w:cs="宋体"/>
          <w:color w:val="auto"/>
          <w:highlight w:val="none"/>
        </w:rPr>
        <w:t>。包括地磅、</w:t>
      </w:r>
      <w:r>
        <w:rPr>
          <w:rFonts w:hint="eastAsia" w:ascii="宋体" w:hAnsi="宋体" w:cs="宋体"/>
          <w:color w:val="auto"/>
          <w:highlight w:val="none"/>
          <w:lang w:val="en-US" w:eastAsia="zh-CN"/>
        </w:rPr>
        <w:t>厂区环境</w:t>
      </w:r>
      <w:r>
        <w:rPr>
          <w:rFonts w:hint="eastAsia" w:ascii="宋体" w:hAnsi="宋体" w:cs="宋体"/>
          <w:color w:val="auto"/>
          <w:highlight w:val="none"/>
        </w:rPr>
        <w:t>等监管重点区域。</w:t>
      </w:r>
    </w:p>
    <w:p>
      <w:pPr>
        <w:pStyle w:val="4"/>
        <w:pageBreakBefore w:val="0"/>
        <w:tabs>
          <w:tab w:val="left" w:pos="1200"/>
          <w:tab w:val="left" w:pos="1275"/>
          <w:tab w:val="left" w:pos="2651"/>
          <w:tab w:val="clear" w:pos="900"/>
        </w:tabs>
        <w:kinsoku/>
        <w:wordWrap/>
        <w:overflowPunct/>
        <w:topLinePunct w:val="0"/>
        <w:bidi w:val="0"/>
        <w:snapToGrid/>
        <w:spacing w:before="0" w:beforeLines="0" w:beforeAutospacing="0" w:after="0" w:afterLines="0" w:line="312" w:lineRule="auto"/>
        <w:ind w:left="48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2.2餐厨垃圾处理厂</w:t>
      </w:r>
    </w:p>
    <w:p>
      <w:pPr>
        <w:pStyle w:val="979"/>
        <w:pageBreakBefore w:val="0"/>
        <w:kinsoku/>
        <w:wordWrap/>
        <w:overflowPunct/>
        <w:topLinePunct w:val="0"/>
        <w:bidi w:val="0"/>
        <w:snapToGrid/>
        <w:spacing w:beforeAutospacing="0" w:line="312" w:lineRule="auto"/>
        <w:jc w:val="left"/>
        <w:textAlignment w:val="auto"/>
        <w:rPr>
          <w:rFonts w:hint="eastAsia" w:ascii="宋体" w:hAnsi="宋体" w:cs="宋体"/>
          <w:color w:val="auto"/>
          <w:highlight w:val="none"/>
        </w:rPr>
      </w:pPr>
      <w:r>
        <w:rPr>
          <w:rFonts w:hint="eastAsia" w:ascii="宋体" w:hAnsi="宋体" w:cs="宋体"/>
          <w:color w:val="auto"/>
          <w:highlight w:val="none"/>
        </w:rPr>
        <w:t>餐厨垃圾处理智能化监管重点包括进厂垃圾计量准确性、安全生产。一般性监管包括环境卫生、生产过程、环保达标、档案管理等各类餐厨垃圾处理监管工作上的需求。</w:t>
      </w:r>
    </w:p>
    <w:p>
      <w:pPr>
        <w:pStyle w:val="979"/>
        <w:pageBreakBefore w:val="0"/>
        <w:kinsoku/>
        <w:wordWrap/>
        <w:overflowPunct/>
        <w:topLinePunct w:val="0"/>
        <w:bidi w:val="0"/>
        <w:snapToGrid/>
        <w:spacing w:beforeAutospacing="0" w:line="312" w:lineRule="auto"/>
        <w:ind w:firstLine="720" w:firstLineChars="300"/>
        <w:jc w:val="left"/>
        <w:textAlignment w:val="auto"/>
        <w:rPr>
          <w:rFonts w:hint="eastAsia" w:ascii="宋体" w:hAnsi="宋体" w:cs="宋体"/>
          <w:color w:val="auto"/>
          <w:kern w:val="0"/>
          <w:highlight w:val="none"/>
        </w:rPr>
      </w:pPr>
      <w:r>
        <w:rPr>
          <w:rFonts w:hint="eastAsia" w:ascii="宋体" w:hAnsi="宋体" w:cs="宋体"/>
          <w:color w:val="auto"/>
          <w:highlight w:val="none"/>
        </w:rPr>
        <w:t>1、</w:t>
      </w:r>
      <w:r>
        <w:rPr>
          <w:rFonts w:hint="eastAsia" w:ascii="宋体" w:hAnsi="宋体" w:cs="宋体"/>
          <w:color w:val="auto"/>
          <w:kern w:val="0"/>
          <w:highlight w:val="none"/>
        </w:rPr>
        <w:t>智能在线监管服务</w:t>
      </w:r>
    </w:p>
    <w:p>
      <w:pPr>
        <w:pageBreakBefore w:val="0"/>
        <w:kinsoku/>
        <w:wordWrap/>
        <w:overflowPunct/>
        <w:topLinePunct w:val="0"/>
        <w:bidi w:val="0"/>
        <w:snapToGrid/>
        <w:spacing w:beforeAutospacing="0" w:line="312"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（1）运输车辆GIS监管</w:t>
      </w:r>
    </w:p>
    <w:p>
      <w:pPr>
        <w:pageBreakBefore w:val="0"/>
        <w:kinsoku/>
        <w:wordWrap/>
        <w:overflowPunct/>
        <w:topLinePunct w:val="0"/>
        <w:bidi w:val="0"/>
        <w:snapToGrid/>
        <w:spacing w:beforeAutospacing="0" w:line="312"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对接运输单位现有收运体系中车辆轨迹，进行合规性监管，对违规行为提出警告和整改要求。</w:t>
      </w:r>
    </w:p>
    <w:p>
      <w:pPr>
        <w:pageBreakBefore w:val="0"/>
        <w:kinsoku/>
        <w:wordWrap/>
        <w:overflowPunct/>
        <w:topLinePunct w:val="0"/>
        <w:bidi w:val="0"/>
        <w:snapToGrid/>
        <w:spacing w:beforeAutospacing="0" w:line="312"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（2）计量监管</w:t>
      </w:r>
    </w:p>
    <w:p>
      <w:pPr>
        <w:pStyle w:val="979"/>
        <w:pageBreakBefore w:val="0"/>
        <w:kinsoku/>
        <w:wordWrap/>
        <w:overflowPunct/>
        <w:topLinePunct w:val="0"/>
        <w:bidi w:val="0"/>
        <w:snapToGrid/>
        <w:spacing w:beforeAutospacing="0" w:line="312" w:lineRule="auto"/>
        <w:jc w:val="left"/>
        <w:textAlignment w:val="auto"/>
        <w:rPr>
          <w:rFonts w:hint="eastAsia" w:ascii="宋体" w:hAnsi="宋体" w:cs="宋体"/>
          <w:color w:val="auto"/>
          <w:highlight w:val="none"/>
        </w:rPr>
      </w:pPr>
      <w:r>
        <w:rPr>
          <w:rFonts w:hint="eastAsia" w:ascii="宋体" w:hAnsi="宋体" w:cs="宋体"/>
          <w:color w:val="auto"/>
          <w:highlight w:val="none"/>
        </w:rPr>
        <w:t>实时获取每一车次的进厂量，同时支持数据统计和分析以及数据合规性的核查，避免数据造假或篡改。</w:t>
      </w:r>
    </w:p>
    <w:p>
      <w:pPr>
        <w:pageBreakBefore w:val="0"/>
        <w:kinsoku/>
        <w:wordWrap/>
        <w:overflowPunct/>
        <w:topLinePunct w:val="0"/>
        <w:bidi w:val="0"/>
        <w:snapToGrid/>
        <w:spacing w:beforeAutospacing="0" w:line="312"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（3）环境检测监管</w:t>
      </w:r>
    </w:p>
    <w:p>
      <w:pPr>
        <w:pageBreakBefore w:val="0"/>
        <w:kinsoku/>
        <w:wordWrap/>
        <w:overflowPunct/>
        <w:topLinePunct w:val="0"/>
        <w:bidi w:val="0"/>
        <w:snapToGrid/>
        <w:spacing w:beforeAutospacing="0" w:line="312"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将各阶段环保检测数据结合生产数据进行统计分析，便于市建设局真实了解餐厨厂的环保达标情况。</w:t>
      </w:r>
    </w:p>
    <w:p>
      <w:pPr>
        <w:pageBreakBefore w:val="0"/>
        <w:kinsoku/>
        <w:wordWrap/>
        <w:overflowPunct/>
        <w:topLinePunct w:val="0"/>
        <w:bidi w:val="0"/>
        <w:snapToGrid/>
        <w:spacing w:beforeAutospacing="0" w:line="312"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（4）预警预控</w:t>
      </w:r>
    </w:p>
    <w:p>
      <w:pPr>
        <w:pStyle w:val="979"/>
        <w:pageBreakBefore w:val="0"/>
        <w:kinsoku/>
        <w:wordWrap/>
        <w:overflowPunct/>
        <w:topLinePunct w:val="0"/>
        <w:bidi w:val="0"/>
        <w:snapToGrid/>
        <w:spacing w:beforeAutospacing="0" w:line="312" w:lineRule="auto"/>
        <w:jc w:val="left"/>
        <w:textAlignment w:val="auto"/>
        <w:rPr>
          <w:rFonts w:hint="eastAsia" w:ascii="宋体" w:hAnsi="宋体" w:cs="宋体"/>
          <w:color w:val="auto"/>
          <w:highlight w:val="none"/>
        </w:rPr>
      </w:pPr>
      <w:r>
        <w:rPr>
          <w:rFonts w:hint="eastAsia" w:ascii="宋体" w:hAnsi="宋体" w:cs="宋体"/>
          <w:color w:val="auto"/>
          <w:highlight w:val="none"/>
        </w:rPr>
        <w:t>对主要的环保监控指标发生偏离目标值的情况下，对预警信号进行不同程度划分，并及时向相关人员推送预警提醒，实现超前控制，有效杜绝环保排放风险。</w:t>
      </w:r>
    </w:p>
    <w:p>
      <w:pPr>
        <w:pageBreakBefore w:val="0"/>
        <w:kinsoku/>
        <w:wordWrap/>
        <w:overflowPunct/>
        <w:topLinePunct w:val="0"/>
        <w:bidi w:val="0"/>
        <w:snapToGrid/>
        <w:spacing w:beforeAutospacing="0" w:line="312"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（5）视频监控</w:t>
      </w:r>
    </w:p>
    <w:p>
      <w:pPr>
        <w:pStyle w:val="979"/>
        <w:pageBreakBefore w:val="0"/>
        <w:kinsoku/>
        <w:wordWrap/>
        <w:overflowPunct/>
        <w:topLinePunct w:val="0"/>
        <w:bidi w:val="0"/>
        <w:snapToGrid/>
        <w:spacing w:beforeAutospacing="0" w:line="312" w:lineRule="auto"/>
        <w:jc w:val="left"/>
        <w:textAlignment w:val="auto"/>
        <w:rPr>
          <w:rFonts w:hint="eastAsia" w:ascii="宋体" w:hAnsi="宋体" w:cs="宋体"/>
          <w:color w:val="auto"/>
          <w:highlight w:val="none"/>
        </w:rPr>
      </w:pPr>
      <w:r>
        <w:rPr>
          <w:rFonts w:hint="eastAsia" w:ascii="宋体" w:hAnsi="宋体" w:cs="宋体"/>
          <w:color w:val="auto"/>
          <w:highlight w:val="none"/>
        </w:rPr>
        <w:t>实现对餐厨厂的各个重点区域的视频监控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供应商独立安装</w:t>
      </w:r>
      <w:r>
        <w:rPr>
          <w:rFonts w:hint="eastAsia" w:ascii="宋体" w:hAnsi="宋体" w:cs="宋体"/>
          <w:color w:val="auto"/>
          <w:highlight w:val="none"/>
          <w:lang w:eastAsia="zh-CN"/>
        </w:rPr>
        <w:t>）</w:t>
      </w:r>
      <w:r>
        <w:rPr>
          <w:rFonts w:hint="eastAsia" w:ascii="宋体" w:hAnsi="宋体" w:cs="宋体"/>
          <w:color w:val="auto"/>
          <w:highlight w:val="none"/>
        </w:rPr>
        <w:t>。包括地磅、</w:t>
      </w:r>
      <w:r>
        <w:rPr>
          <w:rFonts w:hint="eastAsia" w:ascii="宋体" w:hAnsi="宋体" w:cs="宋体"/>
          <w:color w:val="auto"/>
          <w:highlight w:val="none"/>
          <w:lang w:val="en-US" w:eastAsia="zh-CN"/>
        </w:rPr>
        <w:t>厂区环境</w:t>
      </w:r>
      <w:r>
        <w:rPr>
          <w:rFonts w:hint="eastAsia" w:ascii="宋体" w:hAnsi="宋体" w:cs="宋体"/>
          <w:color w:val="auto"/>
          <w:highlight w:val="none"/>
        </w:rPr>
        <w:t>等监管重点区域。</w:t>
      </w:r>
    </w:p>
    <w:p>
      <w:pPr>
        <w:pStyle w:val="979"/>
        <w:pageBreakBefore w:val="0"/>
        <w:kinsoku/>
        <w:wordWrap/>
        <w:overflowPunct/>
        <w:topLinePunct w:val="0"/>
        <w:bidi w:val="0"/>
        <w:snapToGrid/>
        <w:spacing w:beforeAutospacing="0" w:line="312" w:lineRule="auto"/>
        <w:jc w:val="left"/>
        <w:textAlignment w:val="auto"/>
        <w:rPr>
          <w:rFonts w:hint="eastAsia" w:ascii="宋体" w:hAnsi="宋体" w:cs="宋体"/>
          <w:color w:val="auto"/>
          <w:kern w:val="0"/>
          <w:highlight w:val="none"/>
        </w:rPr>
      </w:pPr>
      <w:r>
        <w:rPr>
          <w:rFonts w:hint="eastAsia" w:ascii="宋体" w:hAnsi="宋体" w:cs="宋体"/>
          <w:color w:val="auto"/>
          <w:kern w:val="0"/>
          <w:highlight w:val="none"/>
        </w:rPr>
        <w:t>2、考核评价服务</w:t>
      </w:r>
    </w:p>
    <w:p>
      <w:pPr>
        <w:pStyle w:val="979"/>
        <w:pageBreakBefore w:val="0"/>
        <w:kinsoku/>
        <w:wordWrap/>
        <w:overflowPunct/>
        <w:topLinePunct w:val="0"/>
        <w:bidi w:val="0"/>
        <w:snapToGrid/>
        <w:spacing w:beforeAutospacing="0" w:line="312" w:lineRule="auto"/>
        <w:jc w:val="left"/>
        <w:textAlignment w:val="auto"/>
        <w:rPr>
          <w:rFonts w:hint="eastAsia" w:ascii="宋体" w:hAnsi="宋体" w:cs="宋体"/>
          <w:color w:val="auto"/>
          <w:highlight w:val="none"/>
        </w:rPr>
      </w:pPr>
      <w:r>
        <w:rPr>
          <w:rFonts w:hint="eastAsia" w:ascii="宋体" w:hAnsi="宋体" w:cs="宋体"/>
          <w:color w:val="auto"/>
          <w:highlight w:val="none"/>
        </w:rPr>
        <w:t>由监管单位根据《餐厨处理厂监管考核办法》对餐厨厂进行月度考核评价，报请市建设局审批。评价结果作为市建设局对餐厨厂监管考核的依据。</w:t>
      </w:r>
    </w:p>
    <w:p>
      <w:pPr>
        <w:pStyle w:val="4"/>
        <w:pageBreakBefore w:val="0"/>
        <w:tabs>
          <w:tab w:val="left" w:pos="1200"/>
          <w:tab w:val="left" w:pos="1275"/>
          <w:tab w:val="left" w:pos="2651"/>
          <w:tab w:val="clear" w:pos="900"/>
        </w:tabs>
        <w:kinsoku/>
        <w:wordWrap/>
        <w:overflowPunct/>
        <w:topLinePunct w:val="0"/>
        <w:bidi w:val="0"/>
        <w:snapToGrid/>
        <w:spacing w:before="0" w:beforeLines="0" w:beforeAutospacing="0" w:after="0" w:afterLines="0" w:line="312" w:lineRule="auto"/>
        <w:ind w:left="482"/>
        <w:textAlignment w:val="auto"/>
        <w:rPr>
          <w:rFonts w:hint="eastAsia" w:ascii="宋体" w:hAnsi="宋体" w:cs="宋体"/>
          <w:color w:val="auto"/>
          <w:sz w:val="24"/>
          <w:szCs w:val="24"/>
          <w:highlight w:val="none"/>
        </w:rPr>
      </w:pPr>
      <w:bookmarkStart w:id="43" w:name="_Toc10249"/>
      <w:bookmarkStart w:id="44" w:name="_Toc7990022"/>
      <w:r>
        <w:rPr>
          <w:rFonts w:hint="eastAsia" w:ascii="宋体" w:hAnsi="宋体" w:cs="宋体"/>
          <w:color w:val="auto"/>
          <w:sz w:val="24"/>
          <w:szCs w:val="24"/>
          <w:highlight w:val="none"/>
        </w:rPr>
        <w:t>3、人工监管服务</w:t>
      </w:r>
      <w:bookmarkEnd w:id="43"/>
      <w:bookmarkEnd w:id="44"/>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（1）项目应配备专职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val="en-US" w:eastAsia="zh-CN"/>
        </w:rPr>
        <w:t>员</w:t>
      </w:r>
      <w:r>
        <w:rPr>
          <w:rFonts w:hint="eastAsia" w:ascii="宋体" w:hAnsi="宋体" w:cs="宋体"/>
          <w:color w:val="auto"/>
          <w:sz w:val="24"/>
          <w:szCs w:val="24"/>
          <w:highlight w:val="none"/>
        </w:rPr>
        <w:t>进行监管：监管应围绕相关标准、特许经营协议对垃圾处置终端进行全方位监管。</w:t>
      </w:r>
    </w:p>
    <w:p>
      <w:pPr>
        <w:pageBreakBefore w:val="0"/>
        <w:kinsoku/>
        <w:wordWrap/>
        <w:overflowPunct/>
        <w:topLinePunct w:val="0"/>
        <w:bidi w:val="0"/>
        <w:snapToGrid/>
        <w:spacing w:beforeAutospacing="0"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（2）项目</w:t>
      </w:r>
      <w:r>
        <w:rPr>
          <w:rFonts w:hint="eastAsia" w:ascii="宋体" w:hAnsi="宋体" w:eastAsia="宋体" w:cs="宋体"/>
          <w:color w:val="auto"/>
          <w:sz w:val="24"/>
          <w:szCs w:val="24"/>
          <w:highlight w:val="none"/>
          <w:lang w:val="en-US" w:eastAsia="zh-CN"/>
        </w:rPr>
        <w:t>专家团队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成立3</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以上专家</w:t>
      </w:r>
      <w:r>
        <w:rPr>
          <w:rFonts w:hint="eastAsia" w:ascii="宋体" w:hAnsi="宋体" w:eastAsia="宋体" w:cs="宋体"/>
          <w:color w:val="auto"/>
          <w:sz w:val="24"/>
          <w:szCs w:val="24"/>
          <w:highlight w:val="none"/>
          <w:lang w:val="en-US" w:eastAsia="zh-CN"/>
        </w:rPr>
        <w:t>团队。</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工作要求（</w:t>
      </w:r>
      <w:r>
        <w:rPr>
          <w:rFonts w:hint="eastAsia" w:ascii="宋体" w:hAnsi="宋体" w:eastAsia="宋体" w:cs="宋体"/>
          <w:color w:val="auto"/>
          <w:sz w:val="24"/>
          <w:szCs w:val="24"/>
          <w:highlight w:val="none"/>
          <w:lang w:val="en-US" w:eastAsia="zh-CN"/>
        </w:rPr>
        <w:t>无需驻场</w:t>
      </w:r>
      <w:r>
        <w:rPr>
          <w:rFonts w:hint="eastAsia" w:ascii="宋体" w:hAnsi="宋体" w:eastAsia="宋体" w:cs="宋体"/>
          <w:color w:val="auto"/>
          <w:sz w:val="24"/>
          <w:szCs w:val="24"/>
          <w:highlight w:val="none"/>
        </w:rPr>
        <w:t>）：负责技术服务及评价评估，根据招标方需要到现场检查；对监管过程中以及招标方提出的专项议题、运营企业技改方案、事故分析等，提出专家咨询意见。对运营企业运营及监管状况进行总体评估</w:t>
      </w:r>
      <w:r>
        <w:rPr>
          <w:rFonts w:hint="eastAsia" w:ascii="宋体" w:hAnsi="宋体" w:eastAsia="宋体" w:cs="宋体"/>
          <w:color w:val="auto"/>
          <w:sz w:val="24"/>
          <w:szCs w:val="24"/>
          <w:highlight w:val="none"/>
          <w:lang w:val="en-US" w:eastAsia="zh-CN"/>
        </w:rPr>
        <w:t>及监管政策解读</w:t>
      </w:r>
      <w:r>
        <w:rPr>
          <w:rFonts w:hint="eastAsia" w:ascii="宋体" w:hAnsi="宋体" w:eastAsia="宋体" w:cs="宋体"/>
          <w:color w:val="auto"/>
          <w:sz w:val="24"/>
          <w:szCs w:val="24"/>
          <w:highlight w:val="none"/>
        </w:rPr>
        <w:t>，对重点及难点等问题进行现场指导。</w:t>
      </w:r>
    </w:p>
    <w:p>
      <w:pPr>
        <w:pageBreakBefore w:val="0"/>
        <w:numPr>
          <w:ilvl w:val="0"/>
          <w:numId w:val="5"/>
        </w:numPr>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项目经理：项目经理1人，具体</w:t>
      </w:r>
      <w:r>
        <w:rPr>
          <w:rFonts w:hint="eastAsia" w:ascii="宋体" w:hAnsi="宋体" w:eastAsia="宋体" w:cs="宋体"/>
          <w:color w:val="auto"/>
          <w:sz w:val="24"/>
          <w:szCs w:val="24"/>
          <w:highlight w:val="none"/>
        </w:rPr>
        <w:t>统筹负责现场监管工作（常驻</w:t>
      </w:r>
      <w:r>
        <w:rPr>
          <w:rFonts w:hint="eastAsia" w:ascii="宋体" w:hAnsi="宋体" w:eastAsia="宋体" w:cs="宋体"/>
          <w:color w:val="auto"/>
          <w:sz w:val="24"/>
          <w:szCs w:val="24"/>
          <w:highlight w:val="none"/>
          <w:lang w:val="en-US" w:eastAsia="zh-CN"/>
        </w:rPr>
        <w:t>诸暨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，具体指导和安排现场监管工作</w:t>
      </w:r>
      <w:r>
        <w:rPr>
          <w:rFonts w:hint="eastAsia" w:ascii="宋体" w:hAnsi="宋体" w:cs="宋体"/>
          <w:color w:val="auto"/>
          <w:sz w:val="24"/>
          <w:szCs w:val="24"/>
          <w:highlight w:val="none"/>
        </w:rPr>
        <w:t>。</w:t>
      </w:r>
    </w:p>
    <w:p>
      <w:pPr>
        <w:pageBreakBefore w:val="0"/>
        <w:numPr>
          <w:ilvl w:val="0"/>
          <w:numId w:val="0"/>
        </w:numPr>
        <w:kinsoku/>
        <w:wordWrap/>
        <w:overflowPunct/>
        <w:topLinePunct w:val="0"/>
        <w:bidi w:val="0"/>
        <w:snapToGrid/>
        <w:spacing w:beforeAutospacing="0" w:line="312" w:lineRule="auto"/>
        <w:ind w:firstLine="480" w:firstLineChars="200"/>
        <w:textAlignment w:val="auto"/>
        <w:rPr>
          <w:rFonts w:hint="eastAsia"/>
          <w:color w:val="auto"/>
          <w:highlight w:val="none"/>
        </w:rPr>
      </w:pPr>
      <w:r>
        <w:rPr>
          <w:rFonts w:hint="eastAsia" w:ascii="宋体" w:hAnsi="宋体" w:eastAsia="宋体" w:cs="宋体"/>
          <w:color w:val="auto"/>
          <w:sz w:val="24"/>
          <w:szCs w:val="24"/>
          <w:highlight w:val="none"/>
          <w:lang w:val="en-US" w:eastAsia="zh-CN"/>
        </w:rPr>
        <w:t>工作要求：负责编写监管手册细则，管理及培训监管人员，组织监管会议，签发监管文件，审核运营方提交的报告报表、审核监管日报、月报、年报等。巡视现场作业、审核运营文件、监督整改情况、追踪监管意见、处理各类预警、编写记录等工作，定期向招标方汇报监管情况。</w:t>
      </w:r>
    </w:p>
    <w:p>
      <w:pPr>
        <w:pageBreakBefore w:val="0"/>
        <w:numPr>
          <w:ilvl w:val="0"/>
          <w:numId w:val="5"/>
        </w:numPr>
        <w:kinsoku/>
        <w:wordWrap/>
        <w:overflowPunct/>
        <w:topLinePunct w:val="0"/>
        <w:bidi w:val="0"/>
        <w:snapToGrid/>
        <w:spacing w:beforeAutospacing="0" w:line="312" w:lineRule="auto"/>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项目监管人员：</w:t>
      </w:r>
      <w:r>
        <w:rPr>
          <w:rFonts w:hint="eastAsia" w:ascii="宋体" w:hAnsi="宋体" w:eastAsia="宋体" w:cs="宋体"/>
          <w:color w:val="auto"/>
          <w:sz w:val="24"/>
          <w:szCs w:val="24"/>
          <w:highlight w:val="none"/>
        </w:rPr>
        <w:t>（常驻</w:t>
      </w:r>
      <w:r>
        <w:rPr>
          <w:rFonts w:hint="eastAsia" w:ascii="宋体" w:hAnsi="宋体" w:eastAsia="宋体" w:cs="宋体"/>
          <w:color w:val="auto"/>
          <w:sz w:val="24"/>
          <w:szCs w:val="24"/>
          <w:highlight w:val="none"/>
          <w:lang w:val="en-US" w:eastAsia="zh-CN"/>
        </w:rPr>
        <w:t>诸暨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名</w:t>
      </w:r>
      <w:r>
        <w:rPr>
          <w:rFonts w:hint="eastAsia" w:ascii="宋体" w:hAnsi="宋体" w:cs="宋体"/>
          <w:color w:val="auto"/>
          <w:sz w:val="24"/>
          <w:szCs w:val="24"/>
          <w:highlight w:val="none"/>
          <w:lang w:eastAsia="zh-CN"/>
        </w:rPr>
        <w:t>及以上</w:t>
      </w:r>
      <w:r>
        <w:rPr>
          <w:rFonts w:hint="eastAsia" w:ascii="宋体" w:hAnsi="宋体" w:cs="宋体"/>
          <w:color w:val="auto"/>
          <w:sz w:val="24"/>
          <w:szCs w:val="24"/>
          <w:highlight w:val="none"/>
        </w:rPr>
        <w:t>专业监管技术人员，工作时间驻厂</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服务期内需居住在诸暨市范围内，1小时内到达被监管项目地点。负责执行具体监管工作。</w:t>
      </w:r>
    </w:p>
    <w:p>
      <w:pPr>
        <w:pageBreakBefore w:val="0"/>
        <w:numPr>
          <w:ilvl w:val="0"/>
          <w:numId w:val="0"/>
        </w:numPr>
        <w:kinsoku/>
        <w:wordWrap/>
        <w:overflowPunct/>
        <w:topLinePunct w:val="0"/>
        <w:bidi w:val="0"/>
        <w:snapToGrid/>
        <w:spacing w:beforeAutospacing="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工作要求（不限于以下内容）：负责按照规定的巡检路线和巡检项目按时保质保量的进行巡检，如实填写巡检检查表； 如发现问题，及时编写整改单；核实问题整改闭环情况；负责跟踪现场环保采样，并做好记录和拍照；编制监管日报、月报、年报等。</w:t>
      </w:r>
    </w:p>
    <w:p>
      <w:pPr>
        <w:pageBreakBefore w:val="0"/>
        <w:numPr>
          <w:ilvl w:val="0"/>
          <w:numId w:val="0"/>
        </w:numPr>
        <w:kinsoku/>
        <w:wordWrap/>
        <w:overflowPunct/>
        <w:topLinePunct w:val="0"/>
        <w:bidi w:val="0"/>
        <w:snapToGrid/>
        <w:spacing w:beforeAutospacing="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（5）智能远程监管人员：2名及以上</w:t>
      </w:r>
      <w:r>
        <w:rPr>
          <w:rFonts w:hint="eastAsia" w:ascii="宋体" w:hAnsi="宋体" w:eastAsia="宋体" w:cs="宋体"/>
          <w:color w:val="auto"/>
          <w:sz w:val="24"/>
          <w:szCs w:val="24"/>
          <w:highlight w:val="none"/>
          <w:lang w:val="en-US" w:eastAsia="zh-CN"/>
        </w:rPr>
        <w:t>。</w:t>
      </w:r>
    </w:p>
    <w:p>
      <w:pPr>
        <w:pageBreakBefore w:val="0"/>
        <w:numPr>
          <w:ilvl w:val="0"/>
          <w:numId w:val="0"/>
        </w:numPr>
        <w:kinsoku/>
        <w:wordWrap/>
        <w:overflowPunct/>
        <w:topLinePunct w:val="0"/>
        <w:bidi w:val="0"/>
        <w:snapToGrid/>
        <w:spacing w:beforeAutospacing="0" w:line="312"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工作要求（不限于以下内容）：通过监管系统对监管项目运行状况进行线上巡查；填报监管系统需要手动填报数据；提出监管系统优化意见，提升监管系统性能。</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（6）垃圾分类巡检人员：</w:t>
      </w:r>
      <w:r>
        <w:rPr>
          <w:rFonts w:hint="eastAsia" w:ascii="宋体" w:hAnsi="宋体" w:eastAsia="宋体" w:cs="宋体"/>
          <w:color w:val="auto"/>
          <w:sz w:val="24"/>
          <w:szCs w:val="24"/>
          <w:highlight w:val="none"/>
        </w:rPr>
        <w:t>（常驻</w:t>
      </w:r>
      <w:r>
        <w:rPr>
          <w:rFonts w:hint="eastAsia" w:ascii="宋体" w:hAnsi="宋体" w:eastAsia="宋体" w:cs="宋体"/>
          <w:color w:val="auto"/>
          <w:sz w:val="24"/>
          <w:szCs w:val="24"/>
          <w:highlight w:val="none"/>
          <w:lang w:val="en-US" w:eastAsia="zh-CN"/>
        </w:rPr>
        <w:t>诸暨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4名及以上，具有相关考核经验，负责</w:t>
      </w:r>
      <w:r>
        <w:rPr>
          <w:rFonts w:hint="eastAsia" w:hAnsi="宋体"/>
          <w:color w:val="auto"/>
          <w:sz w:val="24"/>
          <w:szCs w:val="24"/>
          <w:highlight w:val="none"/>
        </w:rPr>
        <w:t>诸暨市垃圾分类工作开展情况的日常巡检及汇报工作</w:t>
      </w:r>
      <w:r>
        <w:rPr>
          <w:rFonts w:hint="eastAsia" w:hAnsi="宋体"/>
          <w:color w:val="auto"/>
          <w:sz w:val="24"/>
          <w:szCs w:val="24"/>
          <w:highlight w:val="none"/>
          <w:lang w:eastAsia="zh-CN"/>
        </w:rPr>
        <w:t>。</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）服务内容：</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实时掌握生活垃圾处置终端运行状况、安全生产、环保排放等情况，发现问题以联系单形式上报采购人，特别紧急、重大的先短信、电话报送后于24小时内补联系单。</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定时巡查厂区内各生产运行区域，纠正违法、违规行为，做好相关记录，并进行量化考核。</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定期参加采购人、第三方、运营方联席会议，根据日常监管工作提出合理化建议单供多方协商，并跟踪落实情况。</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做好日常运行监管信息的采集、记录、确认工作，建立健全各项监管台账。</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发生针对焚烧厂、餐厨厂的投诉或媒体曝光等，应及时调查相关情况，并在规定期限内将原因分析报送采购人。</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由4名专业技术人员负责诸暨市垃圾分类工作开展情况的日常巡检及汇报工作。包括但不限于以下工作：</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1.城区居民小区的生活垃圾分类工作开展情况。</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2.城区公共区域的生活垃圾分类工作开展情况。</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highlight w:val="none"/>
        </w:rPr>
      </w:pPr>
      <w:r>
        <w:rPr>
          <w:rFonts w:hint="eastAsia" w:ascii="宋体" w:hAnsi="宋体" w:cs="宋体"/>
          <w:color w:val="auto"/>
          <w:sz w:val="24"/>
          <w:szCs w:val="24"/>
          <w:highlight w:val="none"/>
        </w:rPr>
        <w:t>3.城区生活垃圾分类巡检工作要求：每日巡查不少于10个小区，每日拍照取证不少于100张，每月排名城区分类小区，排查分类清运车辆车况车貌等。</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）人员配置</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5082"/>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339" w:type="dxa"/>
            <w:noWrap w:val="0"/>
            <w:vAlign w:val="center"/>
          </w:tcPr>
          <w:p>
            <w:pPr>
              <w:pStyle w:val="980"/>
              <w:pageBreakBefore w:val="0"/>
              <w:kinsoku/>
              <w:wordWrap/>
              <w:overflowPunct/>
              <w:topLinePunct w:val="0"/>
              <w:bidi w:val="0"/>
              <w:snapToGrid/>
              <w:spacing w:beforeAutospacing="0" w:line="312" w:lineRule="auto"/>
              <w:textAlignment w:val="auto"/>
              <w:rPr>
                <w:rFonts w:hint="eastAsia" w:hAnsi="宋体"/>
                <w:b/>
                <w:bCs/>
                <w:color w:val="auto"/>
                <w:sz w:val="24"/>
                <w:szCs w:val="24"/>
                <w:highlight w:val="none"/>
              </w:rPr>
            </w:pPr>
            <w:r>
              <w:rPr>
                <w:rFonts w:hint="eastAsia" w:hAnsi="宋体"/>
                <w:b/>
                <w:bCs/>
                <w:color w:val="auto"/>
                <w:sz w:val="24"/>
                <w:szCs w:val="24"/>
                <w:highlight w:val="none"/>
              </w:rPr>
              <w:t>人员岗位</w:t>
            </w:r>
          </w:p>
        </w:tc>
        <w:tc>
          <w:tcPr>
            <w:tcW w:w="5082" w:type="dxa"/>
            <w:noWrap w:val="0"/>
            <w:vAlign w:val="center"/>
          </w:tcPr>
          <w:p>
            <w:pPr>
              <w:pStyle w:val="980"/>
              <w:pageBreakBefore w:val="0"/>
              <w:kinsoku/>
              <w:wordWrap/>
              <w:overflowPunct/>
              <w:topLinePunct w:val="0"/>
              <w:bidi w:val="0"/>
              <w:snapToGrid/>
              <w:spacing w:beforeAutospacing="0" w:line="312" w:lineRule="auto"/>
              <w:textAlignment w:val="auto"/>
              <w:rPr>
                <w:rFonts w:hint="eastAsia" w:hAnsi="宋体"/>
                <w:b/>
                <w:bCs/>
                <w:color w:val="auto"/>
                <w:sz w:val="24"/>
                <w:szCs w:val="24"/>
                <w:highlight w:val="none"/>
              </w:rPr>
            </w:pPr>
            <w:r>
              <w:rPr>
                <w:rFonts w:hint="eastAsia" w:hAnsi="宋体"/>
                <w:b/>
                <w:bCs/>
                <w:color w:val="auto"/>
                <w:sz w:val="24"/>
                <w:szCs w:val="24"/>
                <w:highlight w:val="none"/>
              </w:rPr>
              <w:t>主要工作职责及分工要求</w:t>
            </w:r>
          </w:p>
        </w:tc>
        <w:tc>
          <w:tcPr>
            <w:tcW w:w="2865" w:type="dxa"/>
            <w:noWrap w:val="0"/>
            <w:vAlign w:val="center"/>
          </w:tcPr>
          <w:p>
            <w:pPr>
              <w:pStyle w:val="980"/>
              <w:pageBreakBefore w:val="0"/>
              <w:kinsoku/>
              <w:wordWrap/>
              <w:overflowPunct/>
              <w:topLinePunct w:val="0"/>
              <w:bidi w:val="0"/>
              <w:snapToGrid/>
              <w:spacing w:beforeAutospacing="0" w:line="312" w:lineRule="auto"/>
              <w:textAlignment w:val="auto"/>
              <w:rPr>
                <w:rFonts w:hint="eastAsia" w:hAnsi="宋体" w:eastAsia="宋体"/>
                <w:b/>
                <w:bCs/>
                <w:color w:val="auto"/>
                <w:sz w:val="24"/>
                <w:szCs w:val="24"/>
                <w:highlight w:val="none"/>
                <w:lang w:eastAsia="zh-CN"/>
              </w:rPr>
            </w:pPr>
            <w:r>
              <w:rPr>
                <w:rFonts w:hint="eastAsia" w:hAnsi="宋体"/>
                <w:b/>
                <w:bCs/>
                <w:color w:val="auto"/>
                <w:sz w:val="24"/>
                <w:szCs w:val="24"/>
                <w:highlight w:val="none"/>
              </w:rPr>
              <w:t>人数</w:t>
            </w:r>
            <w:r>
              <w:rPr>
                <w:rFonts w:hint="eastAsia" w:hAnsi="宋体"/>
                <w:b/>
                <w:bCs/>
                <w:color w:val="auto"/>
                <w:sz w:val="24"/>
                <w:szCs w:val="24"/>
                <w:highlight w:val="no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39" w:type="dxa"/>
            <w:noWrap w:val="0"/>
            <w:vAlign w:val="center"/>
          </w:tcPr>
          <w:p>
            <w:pPr>
              <w:pStyle w:val="980"/>
              <w:pageBreakBefore w:val="0"/>
              <w:kinsoku/>
              <w:wordWrap/>
              <w:overflowPunct/>
              <w:topLinePunct w:val="0"/>
              <w:bidi w:val="0"/>
              <w:snapToGrid/>
              <w:spacing w:beforeAutospacing="0" w:line="312" w:lineRule="auto"/>
              <w:textAlignment w:val="auto"/>
              <w:rPr>
                <w:rFonts w:hint="default" w:hAnsi="宋体"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专家团队</w:t>
            </w:r>
          </w:p>
        </w:tc>
        <w:tc>
          <w:tcPr>
            <w:tcW w:w="5082" w:type="dxa"/>
            <w:noWrap w:val="0"/>
            <w:vAlign w:val="center"/>
          </w:tcPr>
          <w:p>
            <w:pPr>
              <w:pageBreakBefore w:val="0"/>
              <w:kinsoku/>
              <w:wordWrap/>
              <w:overflowPunct/>
              <w:topLinePunct w:val="0"/>
              <w:bidi w:val="0"/>
              <w:snapToGrid/>
              <w:spacing w:beforeAutospacing="0" w:line="312"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负责全面统筹</w:t>
            </w:r>
            <w:r>
              <w:rPr>
                <w:rFonts w:hint="eastAsia" w:ascii="宋体" w:hAnsi="宋体" w:cs="宋体"/>
                <w:color w:val="auto"/>
                <w:sz w:val="24"/>
                <w:szCs w:val="24"/>
                <w:highlight w:val="none"/>
                <w:lang w:val="en-US" w:eastAsia="zh-CN"/>
              </w:rPr>
              <w:t>监管</w:t>
            </w:r>
            <w:r>
              <w:rPr>
                <w:rFonts w:hint="eastAsia" w:ascii="宋体" w:hAnsi="宋体" w:cs="宋体"/>
                <w:color w:val="auto"/>
                <w:sz w:val="24"/>
                <w:szCs w:val="24"/>
                <w:highlight w:val="none"/>
              </w:rPr>
              <w:t>工作，可机动安排到场工作时间。</w:t>
            </w:r>
          </w:p>
        </w:tc>
        <w:tc>
          <w:tcPr>
            <w:tcW w:w="2865" w:type="dxa"/>
            <w:noWrap w:val="0"/>
            <w:vAlign w:val="center"/>
          </w:tcPr>
          <w:p>
            <w:pPr>
              <w:pStyle w:val="980"/>
              <w:pageBreakBefore w:val="0"/>
              <w:kinsoku/>
              <w:wordWrap/>
              <w:overflowPunct/>
              <w:topLinePunct w:val="0"/>
              <w:bidi w:val="0"/>
              <w:snapToGrid/>
              <w:spacing w:beforeAutospacing="0" w:line="312" w:lineRule="auto"/>
              <w:jc w:val="center"/>
              <w:textAlignment w:val="auto"/>
              <w:rPr>
                <w:rFonts w:hint="default" w:hAnsi="宋体" w:eastAsia="宋体"/>
                <w:color w:val="auto"/>
                <w:sz w:val="24"/>
                <w:szCs w:val="24"/>
                <w:highlight w:val="none"/>
                <w:lang w:val="en-US" w:eastAsia="zh-CN"/>
              </w:rPr>
            </w:pPr>
            <w:r>
              <w:rPr>
                <w:rFonts w:hint="eastAsia" w:hAnsi="宋体"/>
                <w:color w:val="auto"/>
                <w:sz w:val="24"/>
                <w:szCs w:val="24"/>
                <w:highlight w:val="none"/>
                <w:lang w:val="en-US" w:eastAsia="zh-CN"/>
              </w:rPr>
              <w:t>3人及以上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339" w:type="dxa"/>
            <w:noWrap w:val="0"/>
            <w:vAlign w:val="center"/>
          </w:tcPr>
          <w:p>
            <w:pPr>
              <w:pStyle w:val="980"/>
              <w:pageBreakBefore w:val="0"/>
              <w:kinsoku/>
              <w:wordWrap/>
              <w:overflowPunct/>
              <w:topLinePunct w:val="0"/>
              <w:bidi w:val="0"/>
              <w:snapToGrid/>
              <w:spacing w:beforeAutospacing="0" w:line="312" w:lineRule="auto"/>
              <w:textAlignment w:val="auto"/>
              <w:rPr>
                <w:rFonts w:hint="eastAsia" w:hAnsi="宋体"/>
                <w:color w:val="auto"/>
                <w:sz w:val="24"/>
                <w:szCs w:val="24"/>
                <w:highlight w:val="none"/>
              </w:rPr>
            </w:pPr>
            <w:r>
              <w:rPr>
                <w:rFonts w:hint="eastAsia" w:hAnsi="宋体"/>
                <w:color w:val="auto"/>
                <w:sz w:val="24"/>
                <w:szCs w:val="24"/>
                <w:highlight w:val="none"/>
              </w:rPr>
              <w:t>监管人员</w:t>
            </w:r>
          </w:p>
        </w:tc>
        <w:tc>
          <w:tcPr>
            <w:tcW w:w="5082" w:type="dxa"/>
            <w:noWrap w:val="0"/>
            <w:vAlign w:val="center"/>
          </w:tcPr>
          <w:p>
            <w:pPr>
              <w:pStyle w:val="980"/>
              <w:pageBreakBefore w:val="0"/>
              <w:kinsoku/>
              <w:wordWrap/>
              <w:overflowPunct/>
              <w:topLinePunct w:val="0"/>
              <w:bidi w:val="0"/>
              <w:snapToGrid/>
              <w:spacing w:beforeAutospacing="0" w:line="312" w:lineRule="auto"/>
              <w:jc w:val="left"/>
              <w:textAlignment w:val="auto"/>
              <w:rPr>
                <w:rFonts w:hint="eastAsia" w:hAnsi="宋体"/>
                <w:color w:val="auto"/>
                <w:sz w:val="24"/>
                <w:szCs w:val="24"/>
                <w:highlight w:val="none"/>
              </w:rPr>
            </w:pPr>
            <w:r>
              <w:rPr>
                <w:rFonts w:hint="eastAsia" w:hAnsi="宋体"/>
                <w:color w:val="auto"/>
                <w:sz w:val="24"/>
                <w:szCs w:val="24"/>
                <w:highlight w:val="none"/>
              </w:rPr>
              <w:t>负责执行具体监管工作，工作时间驻厂，服务期内需居住在诸暨市范围内，1小时内到达被监管项目地点</w:t>
            </w:r>
          </w:p>
        </w:tc>
        <w:tc>
          <w:tcPr>
            <w:tcW w:w="2865" w:type="dxa"/>
            <w:noWrap w:val="0"/>
            <w:vAlign w:val="center"/>
          </w:tcPr>
          <w:p>
            <w:pPr>
              <w:pStyle w:val="980"/>
              <w:pageBreakBefore w:val="0"/>
              <w:kinsoku/>
              <w:wordWrap/>
              <w:overflowPunct/>
              <w:topLinePunct w:val="0"/>
              <w:bidi w:val="0"/>
              <w:snapToGrid/>
              <w:spacing w:beforeAutospacing="0" w:line="312" w:lineRule="auto"/>
              <w:jc w:val="center"/>
              <w:textAlignment w:val="auto"/>
              <w:rPr>
                <w:rFonts w:hint="default" w:hAnsi="宋体" w:eastAsia="宋体"/>
                <w:color w:val="auto"/>
                <w:sz w:val="24"/>
                <w:szCs w:val="24"/>
                <w:highlight w:val="none"/>
                <w:lang w:val="en-US" w:eastAsia="zh-CN"/>
              </w:rPr>
            </w:pPr>
            <w:r>
              <w:rPr>
                <w:rFonts w:hint="eastAsia" w:hAnsi="宋体"/>
                <w:color w:val="auto"/>
                <w:sz w:val="24"/>
                <w:szCs w:val="24"/>
                <w:highlight w:val="none"/>
                <w:lang w:val="en-US" w:eastAsia="zh-CN"/>
              </w:rPr>
              <w:t>7</w:t>
            </w:r>
            <w:r>
              <w:rPr>
                <w:rFonts w:hint="eastAsia" w:hAnsi="宋体"/>
                <w:color w:val="auto"/>
                <w:sz w:val="24"/>
                <w:szCs w:val="24"/>
                <w:highlight w:val="none"/>
              </w:rPr>
              <w:t>人</w:t>
            </w:r>
            <w:r>
              <w:rPr>
                <w:rFonts w:hint="eastAsia" w:hAnsi="宋体"/>
                <w:color w:val="auto"/>
                <w:sz w:val="24"/>
                <w:szCs w:val="24"/>
                <w:highlight w:val="none"/>
                <w:lang w:val="en-US" w:eastAsia="zh-CN"/>
              </w:rPr>
              <w:t>及以上</w:t>
            </w:r>
            <w:r>
              <w:rPr>
                <w:rFonts w:hint="eastAsia" w:hAnsi="宋体"/>
                <w:color w:val="auto"/>
                <w:sz w:val="24"/>
                <w:szCs w:val="24"/>
                <w:highlight w:val="none"/>
              </w:rPr>
              <w:t>（含项目经理）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339" w:type="dxa"/>
            <w:noWrap w:val="0"/>
            <w:vAlign w:val="center"/>
          </w:tcPr>
          <w:p>
            <w:pPr>
              <w:pStyle w:val="980"/>
              <w:pageBreakBefore w:val="0"/>
              <w:kinsoku/>
              <w:wordWrap/>
              <w:overflowPunct/>
              <w:topLinePunct w:val="0"/>
              <w:bidi w:val="0"/>
              <w:snapToGrid/>
              <w:spacing w:beforeAutospacing="0" w:line="312" w:lineRule="auto"/>
              <w:textAlignment w:val="auto"/>
              <w:rPr>
                <w:rFonts w:hint="eastAsia" w:hAnsi="宋体"/>
                <w:color w:val="auto"/>
                <w:sz w:val="24"/>
                <w:szCs w:val="24"/>
                <w:highlight w:val="none"/>
              </w:rPr>
            </w:pPr>
            <w:r>
              <w:rPr>
                <w:rFonts w:hint="eastAsia" w:ascii="宋体" w:hAnsi="宋体" w:eastAsia="宋体" w:cs="宋体"/>
                <w:color w:val="auto"/>
                <w:kern w:val="0"/>
                <w:sz w:val="24"/>
                <w:szCs w:val="24"/>
                <w:highlight w:val="none"/>
                <w:lang w:val="en-US" w:eastAsia="zh-CN" w:bidi="ar-SA"/>
              </w:rPr>
              <w:t>智能远程监管人员</w:t>
            </w:r>
          </w:p>
        </w:tc>
        <w:tc>
          <w:tcPr>
            <w:tcW w:w="5082" w:type="dxa"/>
            <w:noWrap w:val="0"/>
            <w:vAlign w:val="center"/>
          </w:tcPr>
          <w:p>
            <w:pPr>
              <w:pStyle w:val="980"/>
              <w:pageBreakBefore w:val="0"/>
              <w:kinsoku/>
              <w:wordWrap/>
              <w:overflowPunct/>
              <w:topLinePunct w:val="0"/>
              <w:bidi w:val="0"/>
              <w:snapToGrid/>
              <w:spacing w:beforeAutospacing="0" w:line="312" w:lineRule="auto"/>
              <w:jc w:val="left"/>
              <w:textAlignment w:val="auto"/>
              <w:rPr>
                <w:rFonts w:hint="eastAsia" w:hAnsi="宋体"/>
                <w:color w:val="auto"/>
                <w:sz w:val="24"/>
                <w:szCs w:val="24"/>
                <w:highlight w:val="none"/>
              </w:rPr>
            </w:pPr>
            <w:r>
              <w:rPr>
                <w:rFonts w:hint="eastAsia" w:ascii="宋体" w:hAnsi="宋体" w:eastAsia="宋体" w:cs="宋体"/>
                <w:color w:val="auto"/>
                <w:sz w:val="24"/>
                <w:szCs w:val="24"/>
                <w:highlight w:val="none"/>
                <w:lang w:val="en-US" w:eastAsia="zh-CN"/>
              </w:rPr>
              <w:t>通过监管系统对监管项目运行状况进行线上巡查；填报监管系统需要手动填报数据；提出监管系统优化意见，提升监管系统性能。</w:t>
            </w:r>
          </w:p>
        </w:tc>
        <w:tc>
          <w:tcPr>
            <w:tcW w:w="2865" w:type="dxa"/>
            <w:noWrap w:val="0"/>
            <w:vAlign w:val="center"/>
          </w:tcPr>
          <w:p>
            <w:pPr>
              <w:pStyle w:val="980"/>
              <w:pageBreakBefore w:val="0"/>
              <w:kinsoku/>
              <w:wordWrap/>
              <w:overflowPunct/>
              <w:topLinePunct w:val="0"/>
              <w:bidi w:val="0"/>
              <w:snapToGrid/>
              <w:spacing w:beforeAutospacing="0" w:line="312" w:lineRule="auto"/>
              <w:jc w:val="center"/>
              <w:textAlignment w:val="auto"/>
              <w:rPr>
                <w:rFonts w:hint="default" w:hAnsi="宋体" w:eastAsia="宋体"/>
                <w:color w:val="auto"/>
                <w:sz w:val="24"/>
                <w:szCs w:val="24"/>
                <w:highlight w:val="none"/>
                <w:lang w:val="en-US" w:eastAsia="zh-CN"/>
              </w:rPr>
            </w:pPr>
            <w:r>
              <w:rPr>
                <w:rFonts w:hint="eastAsia" w:hAnsi="宋体"/>
                <w:color w:val="auto"/>
                <w:sz w:val="24"/>
                <w:szCs w:val="24"/>
                <w:highlight w:val="none"/>
                <w:lang w:val="en-US" w:eastAsia="zh-CN"/>
              </w:rPr>
              <w:t>2人及以上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339" w:type="dxa"/>
            <w:noWrap w:val="0"/>
            <w:vAlign w:val="center"/>
          </w:tcPr>
          <w:p>
            <w:pPr>
              <w:pStyle w:val="980"/>
              <w:pageBreakBefore w:val="0"/>
              <w:kinsoku/>
              <w:wordWrap/>
              <w:overflowPunct/>
              <w:topLinePunct w:val="0"/>
              <w:bidi w:val="0"/>
              <w:snapToGrid/>
              <w:spacing w:beforeAutospacing="0" w:line="312" w:lineRule="auto"/>
              <w:textAlignment w:val="auto"/>
              <w:rPr>
                <w:rFonts w:hint="eastAsia" w:hAnsi="宋体"/>
                <w:color w:val="auto"/>
                <w:sz w:val="24"/>
                <w:szCs w:val="24"/>
                <w:highlight w:val="none"/>
              </w:rPr>
            </w:pPr>
            <w:r>
              <w:rPr>
                <w:rFonts w:hint="eastAsia" w:hAnsi="宋体"/>
                <w:color w:val="auto"/>
                <w:sz w:val="24"/>
                <w:szCs w:val="24"/>
                <w:highlight w:val="none"/>
                <w:lang w:val="en-US" w:eastAsia="zh-CN"/>
              </w:rPr>
              <w:t>垃圾分类</w:t>
            </w:r>
            <w:r>
              <w:rPr>
                <w:rFonts w:hint="eastAsia" w:hAnsi="宋体"/>
                <w:color w:val="auto"/>
                <w:sz w:val="24"/>
                <w:szCs w:val="24"/>
                <w:highlight w:val="none"/>
              </w:rPr>
              <w:t>巡检人员</w:t>
            </w:r>
          </w:p>
        </w:tc>
        <w:tc>
          <w:tcPr>
            <w:tcW w:w="5082" w:type="dxa"/>
            <w:noWrap w:val="0"/>
            <w:vAlign w:val="center"/>
          </w:tcPr>
          <w:p>
            <w:pPr>
              <w:pStyle w:val="980"/>
              <w:pageBreakBefore w:val="0"/>
              <w:kinsoku/>
              <w:wordWrap/>
              <w:overflowPunct/>
              <w:topLinePunct w:val="0"/>
              <w:bidi w:val="0"/>
              <w:snapToGrid/>
              <w:spacing w:beforeAutospacing="0" w:line="312" w:lineRule="auto"/>
              <w:jc w:val="left"/>
              <w:textAlignment w:val="auto"/>
              <w:rPr>
                <w:rFonts w:hint="eastAsia" w:hAnsi="宋体"/>
                <w:color w:val="auto"/>
                <w:sz w:val="24"/>
                <w:szCs w:val="24"/>
                <w:highlight w:val="none"/>
              </w:rPr>
            </w:pPr>
            <w:r>
              <w:rPr>
                <w:rFonts w:hint="eastAsia" w:hAnsi="宋体"/>
                <w:color w:val="auto"/>
                <w:sz w:val="24"/>
                <w:szCs w:val="24"/>
                <w:highlight w:val="none"/>
              </w:rPr>
              <w:t>诸暨市垃圾分类工作开展情况的日常巡检及汇报工作</w:t>
            </w:r>
          </w:p>
        </w:tc>
        <w:tc>
          <w:tcPr>
            <w:tcW w:w="2865" w:type="dxa"/>
            <w:noWrap w:val="0"/>
            <w:vAlign w:val="center"/>
          </w:tcPr>
          <w:p>
            <w:pPr>
              <w:pStyle w:val="980"/>
              <w:pageBreakBefore w:val="0"/>
              <w:kinsoku/>
              <w:wordWrap/>
              <w:overflowPunct/>
              <w:topLinePunct w:val="0"/>
              <w:bidi w:val="0"/>
              <w:snapToGrid/>
              <w:spacing w:beforeAutospacing="0" w:line="312" w:lineRule="auto"/>
              <w:jc w:val="center"/>
              <w:textAlignment w:val="auto"/>
              <w:rPr>
                <w:rFonts w:hint="default" w:hAnsi="宋体" w:eastAsia="宋体"/>
                <w:color w:val="auto"/>
                <w:sz w:val="24"/>
                <w:szCs w:val="24"/>
                <w:highlight w:val="none"/>
                <w:lang w:val="en-US" w:eastAsia="zh-CN"/>
              </w:rPr>
            </w:pPr>
            <w:r>
              <w:rPr>
                <w:rFonts w:hint="eastAsia" w:hAnsi="宋体"/>
                <w:color w:val="auto"/>
                <w:sz w:val="24"/>
                <w:szCs w:val="24"/>
                <w:highlight w:val="none"/>
              </w:rPr>
              <w:t>4人</w:t>
            </w:r>
            <w:r>
              <w:rPr>
                <w:rFonts w:hint="eastAsia" w:hAnsi="宋体"/>
                <w:color w:val="auto"/>
                <w:sz w:val="24"/>
                <w:szCs w:val="24"/>
                <w:highlight w:val="none"/>
                <w:lang w:val="en-US" w:eastAsia="zh-CN"/>
              </w:rPr>
              <w:t>及以上</w:t>
            </w:r>
          </w:p>
        </w:tc>
      </w:tr>
      <w:bookmarkEnd w:id="35"/>
    </w:tbl>
    <w:p>
      <w:pPr>
        <w:pStyle w:val="4"/>
        <w:pageBreakBefore w:val="0"/>
        <w:tabs>
          <w:tab w:val="left" w:pos="1200"/>
          <w:tab w:val="left" w:pos="1275"/>
          <w:tab w:val="left" w:pos="2651"/>
          <w:tab w:val="clear" w:pos="900"/>
        </w:tabs>
        <w:kinsoku/>
        <w:wordWrap/>
        <w:overflowPunct/>
        <w:topLinePunct w:val="0"/>
        <w:bidi w:val="0"/>
        <w:snapToGrid/>
        <w:spacing w:before="0" w:beforeLines="0" w:beforeAutospacing="0" w:after="0" w:afterLines="0" w:line="312" w:lineRule="auto"/>
        <w:ind w:left="48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4、监管成效（验收要求）</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bookmarkStart w:id="45" w:name="_Toc467503776"/>
      <w:r>
        <w:rPr>
          <w:rFonts w:hint="eastAsia" w:ascii="宋体" w:hAnsi="宋体" w:cs="宋体"/>
          <w:color w:val="auto"/>
          <w:sz w:val="24"/>
          <w:szCs w:val="24"/>
          <w:highlight w:val="none"/>
        </w:rPr>
        <w:t>中标单位应确保项目监管质量，按时完成监管工作。项目监管应当严格遵守国家的有关法律、法规、制度规定、有关行业规范及采购人的要求。中标单位对监管结果的真实性、完整性、可靠性负责。</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中标单位应按招标要求的时间（含同意延长的时间）提供月度监管报告和年度监管报告，报告应包括监管服务范围涉及的重要数据和内容。具体提交以下监管资料：</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《月度监管服务工作报告》；</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《年度监管服务工作报告》；</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《项目监管简报》；</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《项目监管台账》。</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标单位驻厂监管人员应根据相关运行评价办法进行每日巡查以及月度、年度考核，及时指出、纠正违法违规行为，向采购人提出处置建议，必要时签发监管通告，做好相关记录，并进行量化考核，提交巡查日报以及月度、年度考核报表。</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中标单位驻厂监管人员应服从采购人管理，并接受考核。</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中标单位应对国家、省、地方等行业法规、标准有深入研究和实际应用经验，保证监管考核根据充分、严谨有效。</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中标单位应结合诸暨市实际情况，不断完善监管方案，展示监管成果。</w:t>
      </w:r>
    </w:p>
    <w:p>
      <w:pPr>
        <w:pStyle w:val="2"/>
        <w:pageBreakBefore w:val="0"/>
        <w:kinsoku/>
        <w:wordWrap/>
        <w:overflowPunct/>
        <w:topLinePunct w:val="0"/>
        <w:bidi w:val="0"/>
        <w:snapToGrid/>
        <w:spacing w:before="0" w:beforeLines="0" w:beforeAutospacing="0" w:after="0" w:afterLines="0" w:line="312"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w:t>
      </w:r>
      <w:bookmarkEnd w:id="45"/>
      <w:r>
        <w:rPr>
          <w:rFonts w:hint="eastAsia" w:ascii="宋体" w:hAnsi="宋体" w:eastAsia="宋体" w:cs="宋体"/>
          <w:color w:val="auto"/>
          <w:sz w:val="24"/>
          <w:szCs w:val="24"/>
          <w:highlight w:val="none"/>
        </w:rPr>
        <w:t>要求</w:t>
      </w:r>
    </w:p>
    <w:p>
      <w:pPr>
        <w:pageBreakBefore w:val="0"/>
        <w:numPr>
          <w:ilvl w:val="0"/>
          <w:numId w:val="6"/>
        </w:numPr>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本项目所涉及硬件部分应充分利旧。</w:t>
      </w:r>
    </w:p>
    <w:p>
      <w:pPr>
        <w:pageBreakBefore w:val="0"/>
        <w:numPr>
          <w:ilvl w:val="0"/>
          <w:numId w:val="6"/>
        </w:numPr>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提交监管报告</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服务期内，每月第7个工作日提交上月度监管报告；每年服务期届满后10个工作日内提交年度监管报告。</w:t>
      </w:r>
    </w:p>
    <w:p>
      <w:pPr>
        <w:pageBreakBefore w:val="0"/>
        <w:numPr>
          <w:ilvl w:val="0"/>
          <w:numId w:val="6"/>
        </w:numPr>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质量保证</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 提供24小时服务，中标单位需在接到采购人紧急通知后6小时内赶到现场处理问题，直到问题解决。</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rPr>
        <w:t>3.2 供应商必须确保监管平台的正常运转，必须配合用户做好技术支持，包括调试、安装、维护等（费用包含在投标总价中）。</w:t>
      </w:r>
      <w:r>
        <w:rPr>
          <w:rFonts w:hint="eastAsia" w:ascii="宋体" w:hAnsi="宋体" w:cs="宋体"/>
          <w:b/>
          <w:bCs/>
          <w:color w:val="auto"/>
          <w:sz w:val="24"/>
          <w:szCs w:val="24"/>
          <w:highlight w:val="none"/>
        </w:rPr>
        <w:t>配合做好“数字浙江”、“数字绍兴”等数字化建设相关工作。</w:t>
      </w:r>
    </w:p>
    <w:p>
      <w:pPr>
        <w:pageBreakBefore w:val="0"/>
        <w:numPr>
          <w:ilvl w:val="0"/>
          <w:numId w:val="6"/>
        </w:numPr>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培训</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投标单位需派专业技术人员到采购人指定教育训练室进行培训，每年培训次数不低于2次，每次时间不得低于1小时。</w:t>
      </w:r>
    </w:p>
    <w:p>
      <w:pPr>
        <w:pStyle w:val="976"/>
        <w:pageBreakBefore w:val="0"/>
        <w:kinsoku/>
        <w:wordWrap/>
        <w:overflowPunct/>
        <w:topLinePunct w:val="0"/>
        <w:bidi w:val="0"/>
        <w:snapToGrid/>
        <w:spacing w:before="0" w:beforeAutospacing="0" w:after="0" w:afterLines="0" w:line="312" w:lineRule="auto"/>
        <w:ind w:left="0" w:leftChars="0" w:firstLine="0"/>
        <w:textAlignment w:val="auto"/>
        <w:rPr>
          <w:rFonts w:hint="eastAsia" w:ascii="宋体" w:hAnsi="宋体"/>
          <w:color w:val="auto"/>
          <w:highlight w:val="none"/>
        </w:rPr>
      </w:pPr>
      <w:r>
        <w:rPr>
          <w:rFonts w:hint="eastAsia" w:ascii="宋体" w:hAnsi="宋体"/>
          <w:color w:val="auto"/>
          <w:sz w:val="24"/>
          <w:szCs w:val="24"/>
          <w:highlight w:val="none"/>
        </w:rPr>
        <w:t xml:space="preserve">    5.中标单位每季度组织两次专家团队对焚烧厂、餐厨厂等监管对象开展安全、环保等专项督查。</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6.考核办法</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甲方对该项目组织定期组织质量抽查考核，必要时可要求乙方陪同考核，具体考核细则及要求如下：</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服务期内，乙方未按合同或招标文件要求进行驻厂人员配备或配备人员未到岗的（提前向甲方请假的除外），甲方发现后第一次进行书面通知，第二次起仍发生类似情况的，每发现一次在监管服务费中扣除1000元。</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（2）乙方未按合同或招标文件要求建立监管台账的，甲方发现后第一次进行书面通知，第二次起仍发生类似情况的，每发现一次在监管服务费中扣除2000元。</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（3）监管台账如涉及乙方造假的，甲方每发现一次在监管服务费中扣除2000元。</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highlight w:val="none"/>
        </w:rPr>
      </w:pPr>
      <w:r>
        <w:rPr>
          <w:rFonts w:hint="eastAsia" w:ascii="宋体" w:hAnsi="宋体" w:cs="宋体"/>
          <w:color w:val="auto"/>
          <w:sz w:val="24"/>
          <w:szCs w:val="24"/>
          <w:highlight w:val="none"/>
        </w:rPr>
        <w:t>（4）因乙方的监管漏洞造成社会不良影响的，对甲方造成经济损失的，因由乙方全额承担，甲方有权直接在监管服务费中扣除与经济损失相应的金额。</w:t>
      </w:r>
    </w:p>
    <w:p>
      <w:pPr>
        <w:pageBreakBefore w:val="0"/>
        <w:kinsoku/>
        <w:wordWrap/>
        <w:overflowPunct/>
        <w:topLinePunct w:val="0"/>
        <w:bidi w:val="0"/>
        <w:snapToGrid/>
        <w:spacing w:beforeAutospacing="0" w:line="312" w:lineRule="auto"/>
        <w:ind w:firstLine="720" w:firstLineChars="3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7.其他未尽事宜由供需双方在采购合同中详细约定。</w:t>
      </w:r>
    </w:p>
    <w:p>
      <w:pPr>
        <w:pageBreakBefore w:val="0"/>
        <w:kinsoku/>
        <w:wordWrap/>
        <w:overflowPunct/>
        <w:topLinePunct w:val="0"/>
        <w:bidi w:val="0"/>
        <w:snapToGrid/>
        <w:spacing w:beforeAutospacing="0" w:line="312" w:lineRule="auto"/>
        <w:ind w:firstLine="482" w:firstLineChars="200"/>
        <w:textAlignment w:val="auto"/>
        <w:rPr>
          <w:rFonts w:hint="eastAsia" w:ascii="宋体" w:hAnsi="宋体" w:cs="宋体"/>
          <w:b/>
          <w:bCs/>
          <w:color w:val="auto"/>
          <w:sz w:val="24"/>
          <w:szCs w:val="24"/>
          <w:highlight w:val="none"/>
        </w:rPr>
      </w:pPr>
      <w:bookmarkStart w:id="46" w:name="_Toc467503777"/>
      <w:r>
        <w:rPr>
          <w:rFonts w:hint="eastAsia" w:ascii="宋体" w:hAnsi="宋体" w:cs="宋体"/>
          <w:b/>
          <w:bCs/>
          <w:color w:val="auto"/>
          <w:sz w:val="24"/>
          <w:szCs w:val="24"/>
          <w:highlight w:val="none"/>
        </w:rPr>
        <w:t>六</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商务要求</w:t>
      </w:r>
      <w:bookmarkEnd w:id="46"/>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bookmarkStart w:id="47" w:name="_Toc467503778"/>
      <w:bookmarkStart w:id="48" w:name="_Toc457566406"/>
      <w:bookmarkStart w:id="49" w:name="_Toc267320049"/>
      <w:bookmarkStart w:id="50" w:name="_Toc416792603"/>
      <w:bookmarkStart w:id="51" w:name="_Toc433726022"/>
      <w:r>
        <w:rPr>
          <w:rFonts w:hint="eastAsia" w:ascii="宋体" w:hAnsi="宋体" w:cs="宋体"/>
          <w:color w:val="auto"/>
          <w:sz w:val="24"/>
          <w:szCs w:val="24"/>
          <w:highlight w:val="none"/>
        </w:rPr>
        <w:t>1．服务年限、地点</w:t>
      </w:r>
      <w:bookmarkEnd w:id="47"/>
      <w:bookmarkEnd w:id="48"/>
      <w:bookmarkEnd w:id="49"/>
      <w:bookmarkEnd w:id="50"/>
      <w:bookmarkEnd w:id="51"/>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服务期限：一年，具体以合同签订时间为准。</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服务地点：诸暨市</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bookmarkStart w:id="52" w:name="_Toc467503779"/>
      <w:r>
        <w:rPr>
          <w:rFonts w:hint="eastAsia" w:ascii="宋体" w:hAnsi="宋体" w:cs="宋体"/>
          <w:color w:val="auto"/>
          <w:sz w:val="24"/>
          <w:szCs w:val="24"/>
          <w:highlight w:val="none"/>
        </w:rPr>
        <w:t>2．实施时间</w:t>
      </w:r>
      <w:bookmarkEnd w:id="52"/>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bookmarkStart w:id="53" w:name="_Toc467503780"/>
      <w:r>
        <w:rPr>
          <w:rFonts w:hint="eastAsia" w:ascii="宋体" w:hAnsi="宋体" w:cs="宋体"/>
          <w:color w:val="auto"/>
          <w:sz w:val="24"/>
          <w:szCs w:val="24"/>
          <w:highlight w:val="none"/>
        </w:rPr>
        <w:t>2.1智能</w:t>
      </w:r>
      <w:r>
        <w:rPr>
          <w:rFonts w:hint="eastAsia" w:ascii="宋体" w:hAnsi="宋体" w:cs="宋体"/>
          <w:color w:val="auto"/>
          <w:sz w:val="24"/>
          <w:szCs w:val="24"/>
          <w:highlight w:val="none"/>
          <w:lang w:val="en-US" w:eastAsia="zh-CN"/>
        </w:rPr>
        <w:t>化</w:t>
      </w:r>
      <w:r>
        <w:rPr>
          <w:rFonts w:hint="eastAsia" w:ascii="宋体" w:hAnsi="宋体" w:cs="宋体"/>
          <w:color w:val="auto"/>
          <w:sz w:val="24"/>
          <w:szCs w:val="24"/>
          <w:highlight w:val="none"/>
        </w:rPr>
        <w:t>监管平台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合同签订后</w:t>
      </w:r>
      <w:r>
        <w:rPr>
          <w:rFonts w:hint="eastAsia" w:ascii="宋体" w:hAnsi="宋体" w:cs="宋体"/>
          <w:color w:val="auto"/>
          <w:sz w:val="24"/>
          <w:szCs w:val="24"/>
          <w:highlight w:val="none"/>
          <w:lang w:val="en-US" w:eastAsia="zh-CN"/>
        </w:rPr>
        <w:t>一周</w:t>
      </w:r>
      <w:r>
        <w:rPr>
          <w:rFonts w:hint="eastAsia" w:ascii="宋体" w:hAnsi="宋体" w:cs="宋体"/>
          <w:color w:val="auto"/>
          <w:sz w:val="24"/>
          <w:szCs w:val="24"/>
          <w:highlight w:val="none"/>
        </w:rPr>
        <w:t>内完成</w:t>
      </w:r>
      <w:r>
        <w:rPr>
          <w:rFonts w:hint="eastAsia" w:ascii="宋体" w:hAnsi="宋体" w:cs="宋体"/>
          <w:color w:val="auto"/>
          <w:sz w:val="24"/>
          <w:szCs w:val="24"/>
          <w:highlight w:val="none"/>
          <w:lang w:val="en-US" w:eastAsia="zh-CN"/>
        </w:rPr>
        <w:t>远程监管内容梳理</w:t>
      </w:r>
      <w:r>
        <w:rPr>
          <w:rFonts w:hint="eastAsia" w:ascii="宋体" w:hAnsi="宋体" w:cs="宋体"/>
          <w:color w:val="auto"/>
          <w:sz w:val="24"/>
          <w:szCs w:val="24"/>
          <w:highlight w:val="none"/>
        </w:rPr>
        <w:t>。</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2.2专业驻厂服务：在合同签订后2日内驻厂人员按投标文件承诺的人员清单全部进厂进行驻厂服务，直至合同期结束。</w:t>
      </w:r>
    </w:p>
    <w:p>
      <w:pPr>
        <w:pStyle w:val="976"/>
        <w:pageBreakBefore w:val="0"/>
        <w:kinsoku/>
        <w:wordWrap/>
        <w:overflowPunct/>
        <w:topLinePunct w:val="0"/>
        <w:bidi w:val="0"/>
        <w:snapToGrid/>
        <w:spacing w:before="0" w:beforeAutospacing="0" w:after="0" w:afterLines="0" w:line="312" w:lineRule="auto"/>
        <w:ind w:left="0" w:leftChars="0" w:firstLine="482" w:firstLineChars="200"/>
        <w:textAlignment w:val="auto"/>
        <w:rPr>
          <w:rFonts w:hint="eastAsia" w:ascii="宋体" w:hAnsi="宋体"/>
          <w:b/>
          <w:color w:val="auto"/>
          <w:sz w:val="24"/>
          <w:szCs w:val="24"/>
          <w:highlight w:val="none"/>
        </w:rPr>
      </w:pPr>
      <w:r>
        <w:rPr>
          <w:rFonts w:hint="eastAsia" w:ascii="宋体" w:hAnsi="宋体"/>
          <w:b/>
          <w:color w:val="auto"/>
          <w:sz w:val="24"/>
          <w:szCs w:val="24"/>
          <w:highlight w:val="none"/>
        </w:rPr>
        <w:t>注：合同签订后若发现中标人未按招标文件要求及投标文件响应内容履行服务或服务质量不满足采购人要求的，采购人有权扣除一定比例的履约保证金，并限期要求中标单位整改，整改完成后仍出现上述情况的没收全部履约保证金，并立即终止合同，造成的一切后果由供应商承担。</w:t>
      </w:r>
    </w:p>
    <w:p>
      <w:pPr>
        <w:pageBreakBefore w:val="0"/>
        <w:kinsoku/>
        <w:wordWrap/>
        <w:overflowPunct/>
        <w:topLinePunct w:val="0"/>
        <w:bidi w:val="0"/>
        <w:snapToGrid/>
        <w:spacing w:beforeAutospacing="0"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3．报价要求</w:t>
      </w:r>
      <w:bookmarkEnd w:id="53"/>
    </w:p>
    <w:p>
      <w:pPr>
        <w:keepNext w:val="0"/>
        <w:keepLines w:val="0"/>
        <w:pageBreakBefore w:val="0"/>
        <w:widowControl w:val="0"/>
        <w:kinsoku/>
        <w:wordWrap/>
        <w:overflowPunct/>
        <w:topLinePunct w:val="0"/>
        <w:autoSpaceDE/>
        <w:autoSpaceDN/>
        <w:bidi w:val="0"/>
        <w:snapToGrid/>
        <w:spacing w:beforeAutospacing="0" w:line="312" w:lineRule="auto"/>
        <w:ind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本次报价为人民币报价，投标报价包括但不限于：</w:t>
      </w:r>
      <w:r>
        <w:rPr>
          <w:rFonts w:hint="eastAsia" w:ascii="宋体" w:hAnsi="宋体" w:cs="宋体"/>
          <w:color w:val="auto"/>
          <w:sz w:val="24"/>
          <w:szCs w:val="24"/>
          <w:highlight w:val="none"/>
          <w:lang w:val="en-US" w:eastAsia="zh-CN"/>
        </w:rPr>
        <w:t>数据采集费用</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硬件维保费用，</w:t>
      </w:r>
      <w:r>
        <w:rPr>
          <w:rFonts w:hint="eastAsia" w:ascii="宋体" w:hAnsi="宋体" w:cs="宋体"/>
          <w:color w:val="auto"/>
          <w:sz w:val="24"/>
          <w:szCs w:val="24"/>
          <w:highlight w:val="none"/>
        </w:rPr>
        <w:t>后台维护费用，辅材费等，人工费，税费（包含基本工资、节假日加班、日常超时劳动补贴、年终奖等所有费用、五险等国家规定福利费，含社保等五保合一费用），采购人除此以外不支付其它费用。因投标人自身原因造成漏报、少报皆由投标人自行承担责任，采购人不另行支付任何费用。</w:t>
      </w:r>
    </w:p>
    <w:p>
      <w:pPr>
        <w:pStyle w:val="63"/>
        <w:keepNext w:val="0"/>
        <w:keepLines w:val="0"/>
        <w:pageBreakBefore w:val="0"/>
        <w:widowControl w:val="0"/>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4.★现场所有设备(含监管平台)归甲方所有，服务期满后需确保所有设备可继续使用，不得附加任何条件。投标人须在投标文件中予以承诺。</w:t>
      </w:r>
    </w:p>
    <w:p>
      <w:pPr>
        <w:pStyle w:val="63"/>
        <w:keepNext w:val="0"/>
        <w:keepLines w:val="0"/>
        <w:pageBreakBefore w:val="0"/>
        <w:widowControl w:val="0"/>
        <w:kinsoku/>
        <w:wordWrap/>
        <w:overflowPunct/>
        <w:topLinePunct w:val="0"/>
        <w:autoSpaceDE/>
        <w:autoSpaceDN/>
        <w:bidi w:val="0"/>
        <w:adjustRightInd/>
        <w:snapToGrid/>
        <w:spacing w:after="0" w:line="312" w:lineRule="auto"/>
        <w:ind w:left="0" w:leftChars="0" w:firstLine="480" w:firstLineChars="200"/>
        <w:textAlignment w:val="auto"/>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注:以上“★”为实质性响应要求，未提供或未满足则作无效投标处理。</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七</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履约保证金及付款方式</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482" w:firstLineChars="200"/>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1、履约保证金：</w:t>
      </w:r>
      <w:r>
        <w:rPr>
          <w:rFonts w:hint="eastAsia" w:ascii="宋体" w:hAnsi="宋体" w:cs="宋体"/>
          <w:color w:val="auto"/>
          <w:sz w:val="24"/>
          <w:szCs w:val="24"/>
          <w:highlight w:val="none"/>
        </w:rPr>
        <w:t>项目实施前，中标方需向采购单位缴纳合同金额</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%的履约保证金，项目完成并验收合格后七天内退还，不计息。</w:t>
      </w:r>
    </w:p>
    <w:p>
      <w:pPr>
        <w:pageBreakBefore w:val="0"/>
        <w:kinsoku/>
        <w:wordWrap/>
        <w:overflowPunct/>
        <w:topLinePunct w:val="0"/>
        <w:autoSpaceDE/>
        <w:autoSpaceDN/>
        <w:bidi w:val="0"/>
        <w:adjustRightInd/>
        <w:snapToGrid/>
        <w:spacing w:beforeAutospacing="0" w:line="312" w:lineRule="auto"/>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2、付款方式：</w:t>
      </w:r>
    </w:p>
    <w:p>
      <w:pPr>
        <w:pStyle w:val="976"/>
        <w:pageBreakBefore w:val="0"/>
        <w:kinsoku/>
        <w:wordWrap/>
        <w:overflowPunct/>
        <w:topLinePunct w:val="0"/>
        <w:bidi w:val="0"/>
        <w:snapToGrid/>
        <w:spacing w:before="0" w:beforeAutospacing="0" w:after="0" w:afterLines="0" w:line="312" w:lineRule="auto"/>
        <w:ind w:left="0" w:leftChars="0"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（1）合同期内服务费为当前中标金额。</w:t>
      </w:r>
    </w:p>
    <w:p>
      <w:pPr>
        <w:pStyle w:val="976"/>
        <w:pageBreakBefore w:val="0"/>
        <w:kinsoku/>
        <w:wordWrap/>
        <w:overflowPunct/>
        <w:topLinePunct w:val="0"/>
        <w:bidi w:val="0"/>
        <w:snapToGrid/>
        <w:spacing w:before="0" w:beforeAutospacing="0" w:after="0" w:afterLines="0" w:line="312" w:lineRule="auto"/>
        <w:ind w:left="0" w:leftChars="0"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eastAsia="宋体" w:cs="宋体"/>
          <w:b w:val="0"/>
          <w:bCs/>
          <w:color w:val="auto"/>
          <w:sz w:val="24"/>
          <w:szCs w:val="24"/>
          <w:highlight w:val="none"/>
          <w:lang w:val="en-US" w:eastAsia="zh-CN"/>
        </w:rPr>
        <w:t>合同签订后</w:t>
      </w: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lang w:val="en-US" w:eastAsia="zh-CN"/>
        </w:rPr>
        <w:t>日内，甲方向乙方支付合同价款40%的预付款（支付条件：成交供应商向采购人提交银行、保险公司等金融机构出具的预付款保函，签订合同时成交供应商明确表示无需预付款或者主动要求降低预付款比例的可不适用前述规定），剩余60%</w:t>
      </w:r>
      <w:r>
        <w:rPr>
          <w:rFonts w:hint="eastAsia" w:ascii="宋体" w:hAnsi="宋体" w:eastAsia="宋体" w:cs="宋体"/>
          <w:b w:val="0"/>
          <w:bCs/>
          <w:color w:val="auto"/>
          <w:sz w:val="24"/>
          <w:szCs w:val="24"/>
          <w:highlight w:val="none"/>
        </w:rPr>
        <w:t>按季度</w:t>
      </w:r>
      <w:r>
        <w:rPr>
          <w:rFonts w:hint="eastAsia" w:ascii="宋体" w:hAnsi="宋体" w:eastAsia="宋体" w:cs="宋体"/>
          <w:b w:val="0"/>
          <w:bCs/>
          <w:color w:val="auto"/>
          <w:sz w:val="24"/>
          <w:szCs w:val="24"/>
          <w:highlight w:val="none"/>
          <w:lang w:val="en-US" w:eastAsia="zh-CN"/>
        </w:rPr>
        <w:t>平均</w:t>
      </w:r>
      <w:r>
        <w:rPr>
          <w:rFonts w:hint="eastAsia" w:ascii="宋体" w:hAnsi="宋体" w:eastAsia="宋体" w:cs="宋体"/>
          <w:b w:val="0"/>
          <w:bCs/>
          <w:color w:val="auto"/>
          <w:sz w:val="24"/>
          <w:szCs w:val="24"/>
          <w:highlight w:val="none"/>
        </w:rPr>
        <w:t>支付，在下季度第一个月30日前待业主考核后支付上季度服务费</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val="zh-CN"/>
        </w:rPr>
        <w:t>付款</w:t>
      </w:r>
      <w:r>
        <w:rPr>
          <w:rFonts w:hint="eastAsia" w:ascii="宋体" w:hAnsi="宋体"/>
          <w:color w:val="auto"/>
          <w:sz w:val="24"/>
          <w:szCs w:val="24"/>
          <w:highlight w:val="none"/>
        </w:rPr>
        <w:t>前</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开具等额增值税发票。</w:t>
      </w:r>
    </w:p>
    <w:p>
      <w:pPr>
        <w:pageBreakBefore w:val="0"/>
        <w:kinsoku/>
        <w:wordWrap/>
        <w:overflowPunct/>
        <w:topLinePunct w:val="0"/>
        <w:bidi w:val="0"/>
        <w:snapToGrid/>
        <w:spacing w:beforeAutospacing="0" w:line="312" w:lineRule="auto"/>
        <w:ind w:firstLine="482" w:firstLineChars="200"/>
        <w:textAlignment w:val="auto"/>
        <w:rPr>
          <w:rFonts w:hint="eastAsia" w:ascii="宋体" w:hAnsi="宋体" w:cs="宋体"/>
          <w:b/>
          <w:bCs/>
          <w:color w:val="auto"/>
          <w:sz w:val="24"/>
          <w:highlight w:val="none"/>
        </w:rPr>
      </w:pPr>
      <w:r>
        <w:rPr>
          <w:rFonts w:hint="eastAsia" w:ascii="宋体" w:hAnsi="宋体" w:cs="宋体"/>
          <w:b/>
          <w:color w:val="auto"/>
          <w:sz w:val="24"/>
          <w:szCs w:val="24"/>
          <w:highlight w:val="none"/>
        </w:rPr>
        <w:t>八</w:t>
      </w:r>
      <w:r>
        <w:rPr>
          <w:rFonts w:hint="eastAsia" w:ascii="宋体" w:hAnsi="宋体" w:cs="宋体"/>
          <w:b/>
          <w:color w:val="auto"/>
          <w:sz w:val="24"/>
          <w:szCs w:val="24"/>
          <w:highlight w:val="none"/>
          <w:lang w:eastAsia="zh-CN"/>
        </w:rPr>
        <w:t>、</w:t>
      </w:r>
      <w:r>
        <w:rPr>
          <w:rFonts w:hint="eastAsia" w:ascii="宋体" w:hAnsi="宋体" w:cs="宋体"/>
          <w:b/>
          <w:bCs/>
          <w:color w:val="auto"/>
          <w:sz w:val="24"/>
          <w:highlight w:val="none"/>
        </w:rPr>
        <w:t>最高限价</w:t>
      </w:r>
    </w:p>
    <w:p>
      <w:pPr>
        <w:pStyle w:val="21"/>
        <w:pageBreakBefore w:val="0"/>
        <w:kinsoku/>
        <w:wordWrap/>
        <w:overflowPunct/>
        <w:topLinePunct w:val="0"/>
        <w:bidi w:val="0"/>
        <w:snapToGrid/>
        <w:spacing w:before="0" w:beforeLines="0" w:beforeAutospacing="0" w:line="312" w:lineRule="auto"/>
        <w:ind w:firstLine="482" w:firstLineChars="200"/>
        <w:textAlignment w:val="auto"/>
        <w:rPr>
          <w:rFonts w:hint="eastAsia" w:ascii="宋体" w:hAnsi="宋体" w:cs="宋体"/>
          <w:color w:val="auto"/>
          <w:sz w:val="36"/>
          <w:szCs w:val="36"/>
          <w:highlight w:val="none"/>
        </w:rPr>
      </w:pPr>
      <w:r>
        <w:rPr>
          <w:rFonts w:hint="eastAsia" w:ascii="宋体" w:hAnsi="宋体" w:cs="宋体"/>
          <w:color w:val="auto"/>
          <w:szCs w:val="24"/>
          <w:highlight w:val="none"/>
          <w:u w:val="single"/>
        </w:rPr>
        <w:t>本次采购最高限价为人民币</w:t>
      </w:r>
      <w:r>
        <w:rPr>
          <w:rFonts w:hint="eastAsia" w:ascii="宋体" w:hAnsi="宋体" w:cs="宋体"/>
          <w:color w:val="auto"/>
          <w:szCs w:val="24"/>
          <w:highlight w:val="none"/>
          <w:u w:val="single"/>
          <w:lang w:val="en-US" w:eastAsia="zh-CN"/>
        </w:rPr>
        <w:t>贰佰伍拾</w:t>
      </w:r>
      <w:r>
        <w:rPr>
          <w:rFonts w:hint="eastAsia" w:ascii="宋体" w:hAnsi="宋体" w:cs="宋体"/>
          <w:color w:val="auto"/>
          <w:szCs w:val="24"/>
          <w:highlight w:val="none"/>
          <w:u w:val="single"/>
        </w:rPr>
        <w:t>万元（￥</w:t>
      </w:r>
      <w:r>
        <w:rPr>
          <w:rFonts w:hint="eastAsia" w:ascii="宋体" w:hAnsi="宋体" w:cs="宋体"/>
          <w:color w:val="auto"/>
          <w:szCs w:val="24"/>
          <w:highlight w:val="none"/>
          <w:u w:val="single"/>
          <w:lang w:val="en-US" w:eastAsia="zh-CN"/>
        </w:rPr>
        <w:t>250</w:t>
      </w:r>
      <w:bookmarkStart w:id="424" w:name="_GoBack"/>
      <w:bookmarkEnd w:id="424"/>
      <w:r>
        <w:rPr>
          <w:rFonts w:hint="eastAsia" w:ascii="宋体" w:hAnsi="宋体" w:cs="宋体"/>
          <w:color w:val="auto"/>
          <w:szCs w:val="24"/>
          <w:highlight w:val="none"/>
          <w:u w:val="single"/>
        </w:rPr>
        <w:t>0000.00）整，任何超过最高限价的报价将被认定为无效报价。</w:t>
      </w:r>
    </w:p>
    <w:p>
      <w:pPr>
        <w:pageBreakBefore w:val="0"/>
        <w:kinsoku/>
        <w:wordWrap/>
        <w:overflowPunct/>
        <w:topLinePunct w:val="0"/>
        <w:bidi w:val="0"/>
        <w:snapToGrid/>
        <w:spacing w:beforeAutospacing="0" w:line="312" w:lineRule="auto"/>
        <w:jc w:val="center"/>
        <w:textAlignment w:val="auto"/>
        <w:rPr>
          <w:rFonts w:hint="eastAsia" w:ascii="宋体" w:hAnsi="宋体" w:cs="宋体"/>
          <w:color w:val="auto"/>
          <w:sz w:val="44"/>
          <w:szCs w:val="44"/>
          <w:highlight w:val="none"/>
          <w:lang w:val="en-US" w:eastAsia="zh-CN"/>
        </w:rPr>
      </w:pPr>
    </w:p>
    <w:p>
      <w:pPr>
        <w:pageBreakBefore w:val="0"/>
        <w:kinsoku/>
        <w:wordWrap/>
        <w:overflowPunct/>
        <w:topLinePunct w:val="0"/>
        <w:bidi w:val="0"/>
        <w:snapToGrid/>
        <w:spacing w:beforeAutospacing="0" w:line="312" w:lineRule="auto"/>
        <w:jc w:val="left"/>
        <w:textAlignment w:val="auto"/>
        <w:rPr>
          <w:rFonts w:ascii="宋体" w:hAnsi="宋体"/>
          <w:b/>
          <w:color w:val="auto"/>
          <w:sz w:val="32"/>
          <w:szCs w:val="36"/>
          <w:highlight w:val="none"/>
        </w:rPr>
      </w:pPr>
      <w:r>
        <w:rPr>
          <w:rFonts w:hint="eastAsia" w:ascii="宋体" w:hAnsi="宋体" w:eastAsia="宋体" w:cs="宋体"/>
          <w:b/>
          <w:color w:val="auto"/>
          <w:sz w:val="24"/>
          <w:szCs w:val="24"/>
          <w:highlight w:val="none"/>
          <w:u w:val="single"/>
          <w:lang w:val="en-US" w:eastAsia="zh-CN" w:bidi="ar-SA"/>
        </w:rPr>
        <w:br w:type="page"/>
      </w:r>
      <w:r>
        <w:rPr>
          <w:rFonts w:hint="eastAsia" w:ascii="宋体" w:hAnsi="宋体" w:eastAsia="宋体" w:cs="宋体"/>
          <w:b/>
          <w:color w:val="auto"/>
          <w:sz w:val="24"/>
          <w:szCs w:val="24"/>
          <w:highlight w:val="none"/>
          <w:u w:val="single"/>
          <w:lang w:val="en-US" w:eastAsia="zh-CN" w:bidi="ar-SA"/>
        </w:rPr>
        <w:t>附件：第三方监管服务考核表</w:t>
      </w:r>
    </w:p>
    <w:tbl>
      <w:tblPr>
        <w:tblStyle w:val="65"/>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745"/>
        <w:gridCol w:w="856"/>
        <w:gridCol w:w="5951"/>
        <w:gridCol w:w="679"/>
        <w:gridCol w:w="690"/>
        <w:gridCol w:w="62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序号</w:t>
            </w:r>
          </w:p>
        </w:tc>
        <w:tc>
          <w:tcPr>
            <w:tcW w:w="856"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项目</w:t>
            </w:r>
          </w:p>
        </w:tc>
        <w:tc>
          <w:tcPr>
            <w:tcW w:w="5951"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考核内容</w:t>
            </w:r>
          </w:p>
        </w:tc>
        <w:tc>
          <w:tcPr>
            <w:tcW w:w="679"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分值</w:t>
            </w:r>
          </w:p>
        </w:tc>
        <w:tc>
          <w:tcPr>
            <w:tcW w:w="690"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得分</w:t>
            </w:r>
          </w:p>
        </w:tc>
        <w:tc>
          <w:tcPr>
            <w:tcW w:w="624"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44" w:hRule="atLeast"/>
          <w:jc w:val="center"/>
        </w:trPr>
        <w:tc>
          <w:tcPr>
            <w:tcW w:w="745" w:type="dxa"/>
            <w:vMerge w:val="restart"/>
            <w:tcBorders>
              <w:top w:val="nil"/>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856" w:type="dxa"/>
            <w:vMerge w:val="restart"/>
            <w:tcBorders>
              <w:top w:val="nil"/>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人员管理</w:t>
            </w:r>
          </w:p>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(10分)</w:t>
            </w:r>
          </w:p>
        </w:tc>
        <w:tc>
          <w:tcPr>
            <w:tcW w:w="5951"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textAlignment w:val="auto"/>
              <w:rPr>
                <w:rFonts w:ascii="宋体" w:hAnsi="宋体"/>
                <w:color w:val="auto"/>
                <w:szCs w:val="21"/>
                <w:highlight w:val="none"/>
              </w:rPr>
            </w:pPr>
            <w:r>
              <w:rPr>
                <w:rFonts w:hint="eastAsia" w:ascii="宋体" w:hAnsi="宋体"/>
                <w:color w:val="auto"/>
                <w:szCs w:val="21"/>
                <w:highlight w:val="none"/>
              </w:rPr>
              <w:t>按要求配置人员。未按要求配置人员扣5分；现场人员专业应符合监管工作需求，每发现一个不符合专业标准的，扣</w:t>
            </w:r>
            <w:r>
              <w:rPr>
                <w:rFonts w:ascii="宋体" w:hAnsi="宋体"/>
                <w:color w:val="auto"/>
                <w:szCs w:val="21"/>
                <w:highlight w:val="none"/>
              </w:rPr>
              <w:t>0.5</w:t>
            </w:r>
            <w:r>
              <w:rPr>
                <w:rFonts w:hint="eastAsia" w:ascii="宋体" w:hAnsi="宋体"/>
                <w:color w:val="auto"/>
                <w:szCs w:val="21"/>
                <w:highlight w:val="none"/>
              </w:rPr>
              <w:t>分；配置的人员应按时到厂，缺岗扣</w:t>
            </w:r>
            <w:r>
              <w:rPr>
                <w:rFonts w:ascii="宋体" w:hAnsi="宋体"/>
                <w:color w:val="auto"/>
                <w:szCs w:val="21"/>
                <w:highlight w:val="none"/>
              </w:rPr>
              <w:t>0.2</w:t>
            </w:r>
            <w:r>
              <w:rPr>
                <w:rFonts w:hint="eastAsia" w:ascii="宋体" w:hAnsi="宋体"/>
                <w:color w:val="auto"/>
                <w:szCs w:val="21"/>
                <w:highlight w:val="none"/>
              </w:rPr>
              <w:t>分/次。</w:t>
            </w:r>
          </w:p>
        </w:tc>
        <w:tc>
          <w:tcPr>
            <w:tcW w:w="679"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5</w:t>
            </w:r>
          </w:p>
        </w:tc>
        <w:tc>
          <w:tcPr>
            <w:tcW w:w="690"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c>
          <w:tcPr>
            <w:tcW w:w="624"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5" w:hRule="atLeast"/>
          <w:jc w:val="center"/>
        </w:trPr>
        <w:tc>
          <w:tcPr>
            <w:tcW w:w="74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bidi w:val="0"/>
              <w:snapToGrid/>
              <w:spacing w:beforeAutospacing="0" w:line="312" w:lineRule="auto"/>
              <w:ind w:firstLine="480"/>
              <w:jc w:val="center"/>
              <w:textAlignment w:val="auto"/>
              <w:rPr>
                <w:rFonts w:ascii="宋体" w:hAnsi="宋体"/>
                <w:color w:val="auto"/>
                <w:szCs w:val="21"/>
                <w:highlight w:val="none"/>
              </w:rPr>
            </w:pPr>
          </w:p>
        </w:tc>
        <w:tc>
          <w:tcPr>
            <w:tcW w:w="856" w:type="dxa"/>
            <w:vMerge w:val="continue"/>
            <w:tcBorders>
              <w:top w:val="nil"/>
              <w:left w:val="nil"/>
              <w:bottom w:val="single" w:color="000000" w:sz="4" w:space="0"/>
              <w:right w:val="single" w:color="000000" w:sz="4" w:space="0"/>
            </w:tcBorders>
            <w:shd w:val="clear" w:color="auto" w:fill="auto"/>
            <w:noWrap w:val="0"/>
            <w:vAlign w:val="center"/>
          </w:tcPr>
          <w:p>
            <w:pPr>
              <w:pageBreakBefore w:val="0"/>
              <w:widowControl/>
              <w:kinsoku/>
              <w:wordWrap/>
              <w:overflowPunct/>
              <w:topLinePunct w:val="0"/>
              <w:bidi w:val="0"/>
              <w:snapToGrid/>
              <w:spacing w:beforeAutospacing="0" w:line="312" w:lineRule="auto"/>
              <w:ind w:firstLine="480"/>
              <w:jc w:val="center"/>
              <w:textAlignment w:val="auto"/>
              <w:rPr>
                <w:rFonts w:ascii="宋体" w:hAnsi="宋体"/>
                <w:color w:val="auto"/>
                <w:szCs w:val="21"/>
                <w:highlight w:val="none"/>
              </w:rPr>
            </w:pPr>
          </w:p>
        </w:tc>
        <w:tc>
          <w:tcPr>
            <w:tcW w:w="5951" w:type="dxa"/>
            <w:tcBorders>
              <w:top w:val="single" w:color="000000" w:sz="4" w:space="0"/>
              <w:left w:val="nil"/>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ageBreakBefore w:val="0"/>
              <w:kinsoku/>
              <w:wordWrap/>
              <w:overflowPunct/>
              <w:topLinePunct w:val="0"/>
              <w:bidi w:val="0"/>
              <w:snapToGrid/>
              <w:spacing w:beforeAutospacing="0" w:line="312" w:lineRule="auto"/>
              <w:textAlignment w:val="auto"/>
              <w:rPr>
                <w:rFonts w:ascii="宋体" w:hAnsi="宋体"/>
                <w:color w:val="auto"/>
                <w:szCs w:val="21"/>
                <w:highlight w:val="none"/>
              </w:rPr>
            </w:pPr>
            <w:r>
              <w:rPr>
                <w:rFonts w:hint="eastAsia" w:ascii="宋体" w:hAnsi="宋体"/>
                <w:color w:val="auto"/>
                <w:szCs w:val="21"/>
                <w:highlight w:val="none"/>
              </w:rPr>
              <w:t>应按规定参加监管会议并形成会议记要。会议不按规定参加扣</w:t>
            </w:r>
            <w:r>
              <w:rPr>
                <w:rFonts w:ascii="宋体" w:hAnsi="宋体"/>
                <w:color w:val="auto"/>
                <w:szCs w:val="21"/>
                <w:highlight w:val="none"/>
              </w:rPr>
              <w:t>0.5</w:t>
            </w:r>
            <w:r>
              <w:rPr>
                <w:rFonts w:hint="eastAsia" w:ascii="宋体" w:hAnsi="宋体"/>
                <w:color w:val="auto"/>
                <w:szCs w:val="21"/>
                <w:highlight w:val="none"/>
              </w:rPr>
              <w:t>分/次；监管会议无会议纪要的扣</w:t>
            </w:r>
            <w:r>
              <w:rPr>
                <w:rFonts w:ascii="宋体" w:hAnsi="宋体"/>
                <w:color w:val="auto"/>
                <w:szCs w:val="21"/>
                <w:highlight w:val="none"/>
              </w:rPr>
              <w:t>0.2</w:t>
            </w:r>
            <w:r>
              <w:rPr>
                <w:rFonts w:hint="eastAsia" w:ascii="宋体" w:hAnsi="宋体"/>
                <w:color w:val="auto"/>
                <w:szCs w:val="21"/>
                <w:highlight w:val="none"/>
              </w:rPr>
              <w:t xml:space="preserve">分/次。 </w:t>
            </w:r>
          </w:p>
        </w:tc>
        <w:tc>
          <w:tcPr>
            <w:tcW w:w="679"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2</w:t>
            </w:r>
          </w:p>
        </w:tc>
        <w:tc>
          <w:tcPr>
            <w:tcW w:w="690"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c>
          <w:tcPr>
            <w:tcW w:w="624"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5" w:hRule="atLeast"/>
          <w:jc w:val="center"/>
        </w:trPr>
        <w:tc>
          <w:tcPr>
            <w:tcW w:w="74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bidi w:val="0"/>
              <w:snapToGrid/>
              <w:spacing w:beforeAutospacing="0" w:line="312" w:lineRule="auto"/>
              <w:ind w:firstLine="480"/>
              <w:jc w:val="center"/>
              <w:textAlignment w:val="auto"/>
              <w:rPr>
                <w:rFonts w:ascii="宋体" w:hAnsi="宋体"/>
                <w:color w:val="auto"/>
                <w:szCs w:val="21"/>
                <w:highlight w:val="none"/>
              </w:rPr>
            </w:pPr>
          </w:p>
        </w:tc>
        <w:tc>
          <w:tcPr>
            <w:tcW w:w="856" w:type="dxa"/>
            <w:vMerge w:val="continue"/>
            <w:tcBorders>
              <w:top w:val="nil"/>
              <w:left w:val="nil"/>
              <w:bottom w:val="single" w:color="000000" w:sz="4" w:space="0"/>
              <w:right w:val="single" w:color="000000" w:sz="4" w:space="0"/>
            </w:tcBorders>
            <w:shd w:val="clear" w:color="auto" w:fill="auto"/>
            <w:noWrap w:val="0"/>
            <w:vAlign w:val="center"/>
          </w:tcPr>
          <w:p>
            <w:pPr>
              <w:pageBreakBefore w:val="0"/>
              <w:widowControl/>
              <w:kinsoku/>
              <w:wordWrap/>
              <w:overflowPunct/>
              <w:topLinePunct w:val="0"/>
              <w:bidi w:val="0"/>
              <w:snapToGrid/>
              <w:spacing w:beforeAutospacing="0" w:line="312" w:lineRule="auto"/>
              <w:ind w:firstLine="480"/>
              <w:jc w:val="center"/>
              <w:textAlignment w:val="auto"/>
              <w:rPr>
                <w:rFonts w:ascii="宋体" w:hAnsi="宋体"/>
                <w:color w:val="auto"/>
                <w:szCs w:val="21"/>
                <w:highlight w:val="none"/>
              </w:rPr>
            </w:pPr>
          </w:p>
        </w:tc>
        <w:tc>
          <w:tcPr>
            <w:tcW w:w="5951" w:type="dxa"/>
            <w:tcBorders>
              <w:top w:val="single" w:color="000000" w:sz="4" w:space="0"/>
              <w:left w:val="nil"/>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ageBreakBefore w:val="0"/>
              <w:kinsoku/>
              <w:wordWrap/>
              <w:overflowPunct/>
              <w:topLinePunct w:val="0"/>
              <w:bidi w:val="0"/>
              <w:snapToGrid/>
              <w:spacing w:beforeAutospacing="0" w:line="312" w:lineRule="auto"/>
              <w:textAlignment w:val="auto"/>
              <w:rPr>
                <w:rFonts w:ascii="宋体" w:hAnsi="宋体"/>
                <w:color w:val="auto"/>
                <w:szCs w:val="21"/>
                <w:highlight w:val="none"/>
              </w:rPr>
            </w:pPr>
            <w:r>
              <w:rPr>
                <w:rFonts w:hint="eastAsia" w:ascii="宋体" w:hAnsi="宋体"/>
                <w:color w:val="auto"/>
                <w:szCs w:val="21"/>
                <w:highlight w:val="none"/>
              </w:rPr>
              <w:t>按规定巡厂核查并记录。巡厂时按规定着装，不符合着装的扣</w:t>
            </w:r>
            <w:r>
              <w:rPr>
                <w:rFonts w:ascii="宋体" w:hAnsi="宋体"/>
                <w:color w:val="auto"/>
                <w:szCs w:val="21"/>
                <w:highlight w:val="none"/>
              </w:rPr>
              <w:t>0.2</w:t>
            </w:r>
            <w:r>
              <w:rPr>
                <w:rFonts w:hint="eastAsia" w:ascii="宋体" w:hAnsi="宋体"/>
                <w:color w:val="auto"/>
                <w:szCs w:val="21"/>
                <w:highlight w:val="none"/>
              </w:rPr>
              <w:t>分/次；漏巡扣</w:t>
            </w:r>
            <w:r>
              <w:rPr>
                <w:rFonts w:ascii="宋体" w:hAnsi="宋体"/>
                <w:color w:val="auto"/>
                <w:szCs w:val="21"/>
                <w:highlight w:val="none"/>
              </w:rPr>
              <w:t>0.5</w:t>
            </w:r>
            <w:r>
              <w:rPr>
                <w:rFonts w:hint="eastAsia" w:ascii="宋体" w:hAnsi="宋体"/>
                <w:color w:val="auto"/>
                <w:szCs w:val="21"/>
                <w:highlight w:val="none"/>
              </w:rPr>
              <w:t>分/次。</w:t>
            </w:r>
          </w:p>
        </w:tc>
        <w:tc>
          <w:tcPr>
            <w:tcW w:w="679"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2</w:t>
            </w:r>
          </w:p>
        </w:tc>
        <w:tc>
          <w:tcPr>
            <w:tcW w:w="690"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c>
          <w:tcPr>
            <w:tcW w:w="624"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51" w:hRule="atLeast"/>
          <w:jc w:val="center"/>
        </w:trPr>
        <w:tc>
          <w:tcPr>
            <w:tcW w:w="74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bidi w:val="0"/>
              <w:snapToGrid/>
              <w:spacing w:beforeAutospacing="0" w:line="312" w:lineRule="auto"/>
              <w:ind w:firstLine="480"/>
              <w:jc w:val="center"/>
              <w:textAlignment w:val="auto"/>
              <w:rPr>
                <w:rFonts w:ascii="宋体" w:hAnsi="宋体"/>
                <w:color w:val="auto"/>
                <w:szCs w:val="21"/>
                <w:highlight w:val="none"/>
              </w:rPr>
            </w:pPr>
          </w:p>
        </w:tc>
        <w:tc>
          <w:tcPr>
            <w:tcW w:w="856" w:type="dxa"/>
            <w:vMerge w:val="continue"/>
            <w:tcBorders>
              <w:top w:val="nil"/>
              <w:left w:val="nil"/>
              <w:bottom w:val="single" w:color="000000" w:sz="4" w:space="0"/>
              <w:right w:val="single" w:color="000000" w:sz="4" w:space="0"/>
            </w:tcBorders>
            <w:shd w:val="clear" w:color="auto" w:fill="auto"/>
            <w:noWrap w:val="0"/>
            <w:vAlign w:val="center"/>
          </w:tcPr>
          <w:p>
            <w:pPr>
              <w:pageBreakBefore w:val="0"/>
              <w:widowControl/>
              <w:kinsoku/>
              <w:wordWrap/>
              <w:overflowPunct/>
              <w:topLinePunct w:val="0"/>
              <w:bidi w:val="0"/>
              <w:snapToGrid/>
              <w:spacing w:beforeAutospacing="0" w:line="312" w:lineRule="auto"/>
              <w:ind w:firstLine="480"/>
              <w:jc w:val="center"/>
              <w:textAlignment w:val="auto"/>
              <w:rPr>
                <w:rFonts w:ascii="宋体" w:hAnsi="宋体"/>
                <w:color w:val="auto"/>
                <w:szCs w:val="21"/>
                <w:highlight w:val="none"/>
              </w:rPr>
            </w:pPr>
          </w:p>
        </w:tc>
        <w:tc>
          <w:tcPr>
            <w:tcW w:w="5951" w:type="dxa"/>
            <w:tcBorders>
              <w:top w:val="single" w:color="000000" w:sz="4" w:space="0"/>
              <w:left w:val="nil"/>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ageBreakBefore w:val="0"/>
              <w:kinsoku/>
              <w:wordWrap/>
              <w:overflowPunct/>
              <w:topLinePunct w:val="0"/>
              <w:bidi w:val="0"/>
              <w:snapToGrid/>
              <w:spacing w:beforeAutospacing="0" w:line="312" w:lineRule="auto"/>
              <w:textAlignment w:val="auto"/>
              <w:rPr>
                <w:rFonts w:ascii="宋体" w:hAnsi="宋体"/>
                <w:color w:val="auto"/>
                <w:szCs w:val="21"/>
                <w:highlight w:val="none"/>
              </w:rPr>
            </w:pPr>
            <w:r>
              <w:rPr>
                <w:rFonts w:hint="eastAsia" w:ascii="宋体" w:hAnsi="宋体"/>
                <w:color w:val="auto"/>
                <w:szCs w:val="21"/>
                <w:highlight w:val="none"/>
              </w:rPr>
              <w:t>采样检测时，应按规定派员现场核查。不按规定参加扣</w:t>
            </w:r>
            <w:r>
              <w:rPr>
                <w:rFonts w:ascii="宋体" w:hAnsi="宋体"/>
                <w:color w:val="auto"/>
                <w:szCs w:val="21"/>
                <w:highlight w:val="none"/>
              </w:rPr>
              <w:t>0.5</w:t>
            </w:r>
            <w:r>
              <w:rPr>
                <w:rFonts w:hint="eastAsia" w:ascii="宋体" w:hAnsi="宋体"/>
                <w:color w:val="auto"/>
                <w:szCs w:val="21"/>
                <w:highlight w:val="none"/>
              </w:rPr>
              <w:t>分/次。</w:t>
            </w:r>
          </w:p>
        </w:tc>
        <w:tc>
          <w:tcPr>
            <w:tcW w:w="679"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690"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c>
          <w:tcPr>
            <w:tcW w:w="624"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41" w:hRule="atLeast"/>
          <w:jc w:val="center"/>
        </w:trPr>
        <w:tc>
          <w:tcPr>
            <w:tcW w:w="745" w:type="dxa"/>
            <w:vMerge w:val="restart"/>
            <w:tcBorders>
              <w:top w:val="nil"/>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2</w:t>
            </w:r>
          </w:p>
        </w:tc>
        <w:tc>
          <w:tcPr>
            <w:tcW w:w="856" w:type="dxa"/>
            <w:vMerge w:val="restart"/>
            <w:tcBorders>
              <w:top w:val="nil"/>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现场监管</w:t>
            </w:r>
          </w:p>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（55分）</w:t>
            </w:r>
          </w:p>
        </w:tc>
        <w:tc>
          <w:tcPr>
            <w:tcW w:w="5951"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textAlignment w:val="auto"/>
              <w:rPr>
                <w:rFonts w:ascii="宋体" w:hAnsi="宋体"/>
                <w:color w:val="auto"/>
                <w:szCs w:val="21"/>
                <w:highlight w:val="none"/>
              </w:rPr>
            </w:pPr>
            <w:r>
              <w:rPr>
                <w:rFonts w:hint="eastAsia" w:ascii="宋体" w:hAnsi="宋体"/>
                <w:color w:val="auto"/>
                <w:szCs w:val="21"/>
                <w:highlight w:val="none"/>
              </w:rPr>
              <w:t>按</w:t>
            </w:r>
            <w:r>
              <w:rPr>
                <w:rFonts w:hint="eastAsia" w:ascii="宋体" w:hAnsi="宋体"/>
                <w:color w:val="auto"/>
                <w:szCs w:val="21"/>
                <w:highlight w:val="none"/>
                <w:lang w:val="en-US" w:eastAsia="zh-CN"/>
              </w:rPr>
              <w:t>诸暨招标要求及</w:t>
            </w:r>
            <w:r>
              <w:rPr>
                <w:rFonts w:hint="eastAsia" w:ascii="宋体" w:hAnsi="宋体"/>
                <w:color w:val="auto"/>
                <w:szCs w:val="21"/>
                <w:highlight w:val="none"/>
              </w:rPr>
              <w:t>具体措施方案实施监管。不按照规定实施监管的扣</w:t>
            </w:r>
            <w:r>
              <w:rPr>
                <w:rFonts w:ascii="宋体" w:hAnsi="宋体"/>
                <w:color w:val="auto"/>
                <w:szCs w:val="21"/>
                <w:highlight w:val="none"/>
              </w:rPr>
              <w:t>0.2</w:t>
            </w:r>
            <w:r>
              <w:rPr>
                <w:rFonts w:hint="eastAsia" w:ascii="宋体" w:hAnsi="宋体"/>
                <w:color w:val="auto"/>
                <w:szCs w:val="21"/>
                <w:highlight w:val="none"/>
              </w:rPr>
              <w:t>分/次；由于监管不力，未告知甲方，因此造成生活垃圾处理设施全面停产的扣15分/次。</w:t>
            </w:r>
          </w:p>
        </w:tc>
        <w:tc>
          <w:tcPr>
            <w:tcW w:w="679"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15</w:t>
            </w:r>
          </w:p>
        </w:tc>
        <w:tc>
          <w:tcPr>
            <w:tcW w:w="690"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c>
          <w:tcPr>
            <w:tcW w:w="624"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71" w:hRule="atLeast"/>
          <w:jc w:val="center"/>
        </w:trPr>
        <w:tc>
          <w:tcPr>
            <w:tcW w:w="74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bidi w:val="0"/>
              <w:snapToGrid/>
              <w:spacing w:beforeAutospacing="0" w:line="312" w:lineRule="auto"/>
              <w:ind w:firstLine="480"/>
              <w:jc w:val="center"/>
              <w:textAlignment w:val="auto"/>
              <w:rPr>
                <w:rFonts w:ascii="宋体" w:hAnsi="宋体"/>
                <w:color w:val="auto"/>
                <w:szCs w:val="21"/>
                <w:highlight w:val="none"/>
              </w:rPr>
            </w:pPr>
          </w:p>
        </w:tc>
        <w:tc>
          <w:tcPr>
            <w:tcW w:w="856" w:type="dxa"/>
            <w:vMerge w:val="continue"/>
            <w:tcBorders>
              <w:top w:val="nil"/>
              <w:left w:val="nil"/>
              <w:bottom w:val="single" w:color="000000" w:sz="4" w:space="0"/>
              <w:right w:val="single" w:color="000000" w:sz="4" w:space="0"/>
            </w:tcBorders>
            <w:shd w:val="clear" w:color="auto" w:fill="auto"/>
            <w:noWrap w:val="0"/>
            <w:vAlign w:val="center"/>
          </w:tcPr>
          <w:p>
            <w:pPr>
              <w:pageBreakBefore w:val="0"/>
              <w:widowControl/>
              <w:kinsoku/>
              <w:wordWrap/>
              <w:overflowPunct/>
              <w:topLinePunct w:val="0"/>
              <w:bidi w:val="0"/>
              <w:snapToGrid/>
              <w:spacing w:beforeAutospacing="0" w:line="312" w:lineRule="auto"/>
              <w:ind w:firstLine="480"/>
              <w:jc w:val="center"/>
              <w:textAlignment w:val="auto"/>
              <w:rPr>
                <w:rFonts w:ascii="宋体" w:hAnsi="宋体"/>
                <w:color w:val="auto"/>
                <w:szCs w:val="21"/>
                <w:highlight w:val="none"/>
              </w:rPr>
            </w:pPr>
          </w:p>
        </w:tc>
        <w:tc>
          <w:tcPr>
            <w:tcW w:w="5951" w:type="dxa"/>
            <w:tcBorders>
              <w:top w:val="single" w:color="000000" w:sz="4" w:space="0"/>
              <w:left w:val="nil"/>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ageBreakBefore w:val="0"/>
              <w:kinsoku/>
              <w:wordWrap/>
              <w:overflowPunct/>
              <w:topLinePunct w:val="0"/>
              <w:bidi w:val="0"/>
              <w:snapToGrid/>
              <w:spacing w:beforeAutospacing="0" w:line="312" w:lineRule="auto"/>
              <w:textAlignment w:val="auto"/>
              <w:rPr>
                <w:rFonts w:ascii="宋体" w:hAnsi="宋体"/>
                <w:color w:val="auto"/>
                <w:szCs w:val="21"/>
                <w:highlight w:val="none"/>
              </w:rPr>
            </w:pPr>
            <w:r>
              <w:rPr>
                <w:rFonts w:hint="eastAsia" w:ascii="宋体" w:hAnsi="宋体"/>
                <w:color w:val="auto"/>
                <w:szCs w:val="21"/>
                <w:highlight w:val="none"/>
              </w:rPr>
              <w:t>甲方提出的重要议题或乙方监管中发现的重要问题应安排咨询团队给予技术支撑，并提供相关成果。没有安排咨询团队并提供成果的扣2分/次；扣完为止。</w:t>
            </w:r>
          </w:p>
        </w:tc>
        <w:tc>
          <w:tcPr>
            <w:tcW w:w="679"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10</w:t>
            </w:r>
          </w:p>
        </w:tc>
        <w:tc>
          <w:tcPr>
            <w:tcW w:w="690"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c>
          <w:tcPr>
            <w:tcW w:w="624"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3" w:hRule="atLeast"/>
          <w:jc w:val="center"/>
        </w:trPr>
        <w:tc>
          <w:tcPr>
            <w:tcW w:w="74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bidi w:val="0"/>
              <w:snapToGrid/>
              <w:spacing w:beforeAutospacing="0" w:line="312" w:lineRule="auto"/>
              <w:ind w:firstLine="480"/>
              <w:jc w:val="center"/>
              <w:textAlignment w:val="auto"/>
              <w:rPr>
                <w:rFonts w:ascii="宋体" w:hAnsi="宋体"/>
                <w:color w:val="auto"/>
                <w:szCs w:val="21"/>
                <w:highlight w:val="none"/>
              </w:rPr>
            </w:pPr>
          </w:p>
        </w:tc>
        <w:tc>
          <w:tcPr>
            <w:tcW w:w="856" w:type="dxa"/>
            <w:vMerge w:val="continue"/>
            <w:tcBorders>
              <w:top w:val="nil"/>
              <w:left w:val="nil"/>
              <w:bottom w:val="single" w:color="000000" w:sz="4" w:space="0"/>
              <w:right w:val="single" w:color="000000" w:sz="4" w:space="0"/>
            </w:tcBorders>
            <w:shd w:val="clear" w:color="auto" w:fill="auto"/>
            <w:noWrap w:val="0"/>
            <w:vAlign w:val="center"/>
          </w:tcPr>
          <w:p>
            <w:pPr>
              <w:pageBreakBefore w:val="0"/>
              <w:widowControl/>
              <w:kinsoku/>
              <w:wordWrap/>
              <w:overflowPunct/>
              <w:topLinePunct w:val="0"/>
              <w:bidi w:val="0"/>
              <w:snapToGrid/>
              <w:spacing w:beforeAutospacing="0" w:line="312" w:lineRule="auto"/>
              <w:ind w:firstLine="480"/>
              <w:jc w:val="center"/>
              <w:textAlignment w:val="auto"/>
              <w:rPr>
                <w:rFonts w:ascii="宋体" w:hAnsi="宋体"/>
                <w:color w:val="auto"/>
                <w:szCs w:val="21"/>
                <w:highlight w:val="none"/>
              </w:rPr>
            </w:pPr>
          </w:p>
        </w:tc>
        <w:tc>
          <w:tcPr>
            <w:tcW w:w="5951" w:type="dxa"/>
            <w:tcBorders>
              <w:top w:val="single" w:color="000000" w:sz="4" w:space="0"/>
              <w:left w:val="nil"/>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ageBreakBefore w:val="0"/>
              <w:kinsoku/>
              <w:wordWrap/>
              <w:overflowPunct/>
              <w:topLinePunct w:val="0"/>
              <w:bidi w:val="0"/>
              <w:snapToGrid/>
              <w:spacing w:beforeAutospacing="0" w:line="312" w:lineRule="auto"/>
              <w:textAlignment w:val="auto"/>
              <w:rPr>
                <w:rFonts w:ascii="宋体" w:hAnsi="宋体"/>
                <w:color w:val="auto"/>
                <w:szCs w:val="21"/>
                <w:highlight w:val="none"/>
              </w:rPr>
            </w:pPr>
            <w:r>
              <w:rPr>
                <w:rFonts w:hint="eastAsia" w:ascii="宋体" w:hAnsi="宋体"/>
                <w:color w:val="auto"/>
                <w:szCs w:val="21"/>
                <w:highlight w:val="none"/>
              </w:rPr>
              <w:t>监管会议重要事项应协助跟踪并记录。没有跟踪记录或记录不完善的扣</w:t>
            </w:r>
            <w:r>
              <w:rPr>
                <w:rFonts w:ascii="宋体" w:hAnsi="宋体"/>
                <w:color w:val="auto"/>
                <w:szCs w:val="21"/>
                <w:highlight w:val="none"/>
              </w:rPr>
              <w:t>0.5</w:t>
            </w:r>
            <w:r>
              <w:rPr>
                <w:rFonts w:hint="eastAsia" w:ascii="宋体" w:hAnsi="宋体"/>
                <w:color w:val="auto"/>
                <w:szCs w:val="21"/>
                <w:highlight w:val="none"/>
              </w:rPr>
              <w:t>分/次，扣完为止。</w:t>
            </w:r>
          </w:p>
        </w:tc>
        <w:tc>
          <w:tcPr>
            <w:tcW w:w="679"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10</w:t>
            </w:r>
          </w:p>
        </w:tc>
        <w:tc>
          <w:tcPr>
            <w:tcW w:w="690"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c>
          <w:tcPr>
            <w:tcW w:w="624"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72" w:hRule="atLeast"/>
          <w:jc w:val="center"/>
        </w:trPr>
        <w:tc>
          <w:tcPr>
            <w:tcW w:w="74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bidi w:val="0"/>
              <w:snapToGrid/>
              <w:spacing w:beforeAutospacing="0" w:line="312" w:lineRule="auto"/>
              <w:ind w:firstLine="480"/>
              <w:jc w:val="center"/>
              <w:textAlignment w:val="auto"/>
              <w:rPr>
                <w:rFonts w:ascii="宋体" w:hAnsi="宋体"/>
                <w:color w:val="auto"/>
                <w:szCs w:val="21"/>
                <w:highlight w:val="none"/>
              </w:rPr>
            </w:pPr>
          </w:p>
        </w:tc>
        <w:tc>
          <w:tcPr>
            <w:tcW w:w="856" w:type="dxa"/>
            <w:vMerge w:val="continue"/>
            <w:tcBorders>
              <w:top w:val="nil"/>
              <w:left w:val="nil"/>
              <w:bottom w:val="single" w:color="000000" w:sz="4" w:space="0"/>
              <w:right w:val="single" w:color="000000" w:sz="4" w:space="0"/>
            </w:tcBorders>
            <w:shd w:val="clear" w:color="auto" w:fill="auto"/>
            <w:noWrap w:val="0"/>
            <w:vAlign w:val="center"/>
          </w:tcPr>
          <w:p>
            <w:pPr>
              <w:pageBreakBefore w:val="0"/>
              <w:widowControl/>
              <w:kinsoku/>
              <w:wordWrap/>
              <w:overflowPunct/>
              <w:topLinePunct w:val="0"/>
              <w:bidi w:val="0"/>
              <w:snapToGrid/>
              <w:spacing w:beforeAutospacing="0" w:line="312" w:lineRule="auto"/>
              <w:ind w:firstLine="480"/>
              <w:jc w:val="center"/>
              <w:textAlignment w:val="auto"/>
              <w:rPr>
                <w:rFonts w:ascii="宋体" w:hAnsi="宋体"/>
                <w:color w:val="auto"/>
                <w:szCs w:val="21"/>
                <w:highlight w:val="none"/>
              </w:rPr>
            </w:pPr>
          </w:p>
        </w:tc>
        <w:tc>
          <w:tcPr>
            <w:tcW w:w="5951" w:type="dxa"/>
            <w:tcBorders>
              <w:top w:val="single" w:color="000000" w:sz="4" w:space="0"/>
              <w:left w:val="nil"/>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ageBreakBefore w:val="0"/>
              <w:kinsoku/>
              <w:wordWrap/>
              <w:overflowPunct/>
              <w:topLinePunct w:val="0"/>
              <w:bidi w:val="0"/>
              <w:snapToGrid/>
              <w:spacing w:beforeAutospacing="0" w:line="312" w:lineRule="auto"/>
              <w:textAlignment w:val="auto"/>
              <w:rPr>
                <w:rFonts w:ascii="宋体" w:hAnsi="宋体"/>
                <w:color w:val="auto"/>
                <w:szCs w:val="21"/>
                <w:highlight w:val="none"/>
              </w:rPr>
            </w:pPr>
            <w:r>
              <w:rPr>
                <w:rFonts w:hint="eastAsia" w:ascii="宋体" w:hAnsi="宋体"/>
                <w:color w:val="auto"/>
                <w:szCs w:val="21"/>
                <w:highlight w:val="none"/>
              </w:rPr>
              <w:t>运营及监管数据应进行定期比对、检查、审核工作，数据应真实可靠，应按时提供审查意见。不及时无提供审查意见的扣</w:t>
            </w:r>
            <w:r>
              <w:rPr>
                <w:rFonts w:ascii="宋体" w:hAnsi="宋体"/>
                <w:color w:val="auto"/>
                <w:szCs w:val="21"/>
                <w:highlight w:val="none"/>
              </w:rPr>
              <w:t>0.5</w:t>
            </w:r>
            <w:r>
              <w:rPr>
                <w:rFonts w:hint="eastAsia" w:ascii="宋体" w:hAnsi="宋体"/>
                <w:color w:val="auto"/>
                <w:szCs w:val="21"/>
                <w:highlight w:val="none"/>
              </w:rPr>
              <w:t>分/次；提供审查意见与实际不相符合扣</w:t>
            </w:r>
            <w:r>
              <w:rPr>
                <w:rFonts w:ascii="宋体" w:hAnsi="宋体"/>
                <w:color w:val="auto"/>
                <w:szCs w:val="21"/>
                <w:highlight w:val="none"/>
              </w:rPr>
              <w:t>1</w:t>
            </w:r>
            <w:r>
              <w:rPr>
                <w:rFonts w:hint="eastAsia" w:ascii="宋体" w:hAnsi="宋体"/>
                <w:color w:val="auto"/>
                <w:szCs w:val="21"/>
                <w:highlight w:val="none"/>
              </w:rPr>
              <w:t>分/次；如发现故意提供虚假数据的，扣10分。如出现政府相关部门发现安全生产或环保或垃圾处理相关数据不达标，且乙方监管未发现的，扣</w:t>
            </w:r>
            <w:r>
              <w:rPr>
                <w:rFonts w:ascii="宋体" w:hAnsi="宋体"/>
                <w:color w:val="auto"/>
                <w:szCs w:val="21"/>
                <w:highlight w:val="none"/>
              </w:rPr>
              <w:t>20</w:t>
            </w:r>
            <w:r>
              <w:rPr>
                <w:rFonts w:hint="eastAsia" w:ascii="宋体" w:hAnsi="宋体"/>
                <w:color w:val="auto"/>
                <w:szCs w:val="21"/>
                <w:highlight w:val="none"/>
              </w:rPr>
              <w:t>分。</w:t>
            </w:r>
          </w:p>
        </w:tc>
        <w:tc>
          <w:tcPr>
            <w:tcW w:w="679"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w:t>
            </w:r>
          </w:p>
        </w:tc>
        <w:tc>
          <w:tcPr>
            <w:tcW w:w="690"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c>
          <w:tcPr>
            <w:tcW w:w="624"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15" w:hRule="atLeast"/>
          <w:jc w:val="center"/>
        </w:trPr>
        <w:tc>
          <w:tcPr>
            <w:tcW w:w="745" w:type="dxa"/>
            <w:vMerge w:val="restart"/>
            <w:tcBorders>
              <w:top w:val="nil"/>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3</w:t>
            </w:r>
          </w:p>
        </w:tc>
        <w:tc>
          <w:tcPr>
            <w:tcW w:w="856" w:type="dxa"/>
            <w:vMerge w:val="restart"/>
            <w:tcBorders>
              <w:top w:val="nil"/>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成果提送及文件管理（15分）</w:t>
            </w:r>
          </w:p>
        </w:tc>
        <w:tc>
          <w:tcPr>
            <w:tcW w:w="5951"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textAlignment w:val="auto"/>
              <w:rPr>
                <w:rFonts w:ascii="宋体" w:hAnsi="宋体"/>
                <w:color w:val="auto"/>
                <w:szCs w:val="21"/>
                <w:highlight w:val="none"/>
              </w:rPr>
            </w:pPr>
            <w:r>
              <w:rPr>
                <w:rFonts w:hint="eastAsia" w:ascii="宋体" w:hAnsi="宋体"/>
                <w:color w:val="auto"/>
                <w:szCs w:val="21"/>
                <w:highlight w:val="none"/>
              </w:rPr>
              <w:t>每月（年）监管工作成果报告必须按甲方要求的时间内报送相关单位。每延时一次扣</w:t>
            </w:r>
            <w:r>
              <w:rPr>
                <w:rFonts w:ascii="宋体" w:hAnsi="宋体"/>
                <w:color w:val="auto"/>
                <w:szCs w:val="21"/>
                <w:highlight w:val="none"/>
              </w:rPr>
              <w:t>1</w:t>
            </w:r>
            <w:r>
              <w:rPr>
                <w:rFonts w:hint="eastAsia" w:ascii="宋体" w:hAnsi="宋体"/>
                <w:color w:val="auto"/>
                <w:szCs w:val="21"/>
                <w:highlight w:val="none"/>
              </w:rPr>
              <w:t>分；漏报一次扣</w:t>
            </w:r>
            <w:r>
              <w:rPr>
                <w:rFonts w:ascii="宋体" w:hAnsi="宋体"/>
                <w:color w:val="auto"/>
                <w:szCs w:val="21"/>
                <w:highlight w:val="none"/>
              </w:rPr>
              <w:t>2</w:t>
            </w:r>
            <w:r>
              <w:rPr>
                <w:rFonts w:hint="eastAsia" w:ascii="宋体" w:hAnsi="宋体"/>
                <w:color w:val="auto"/>
                <w:szCs w:val="21"/>
                <w:highlight w:val="none"/>
              </w:rPr>
              <w:t>分；监管工作成果报告应符合合同要求，不符合合同要求进行报送的扣</w:t>
            </w:r>
            <w:r>
              <w:rPr>
                <w:rFonts w:ascii="宋体" w:hAnsi="宋体"/>
                <w:color w:val="auto"/>
                <w:szCs w:val="21"/>
                <w:highlight w:val="none"/>
              </w:rPr>
              <w:t>1</w:t>
            </w:r>
            <w:r>
              <w:rPr>
                <w:rFonts w:hint="eastAsia" w:ascii="宋体" w:hAnsi="宋体"/>
                <w:color w:val="auto"/>
                <w:szCs w:val="21"/>
                <w:highlight w:val="none"/>
              </w:rPr>
              <w:t>分/次，扣完为止。</w:t>
            </w:r>
          </w:p>
        </w:tc>
        <w:tc>
          <w:tcPr>
            <w:tcW w:w="679"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6</w:t>
            </w:r>
          </w:p>
        </w:tc>
        <w:tc>
          <w:tcPr>
            <w:tcW w:w="690"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c>
          <w:tcPr>
            <w:tcW w:w="624"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月报延时提交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1" w:hRule="atLeast"/>
          <w:jc w:val="center"/>
        </w:trPr>
        <w:tc>
          <w:tcPr>
            <w:tcW w:w="74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bidi w:val="0"/>
              <w:snapToGrid/>
              <w:spacing w:beforeAutospacing="0" w:line="312" w:lineRule="auto"/>
              <w:ind w:firstLine="480"/>
              <w:jc w:val="center"/>
              <w:textAlignment w:val="auto"/>
              <w:rPr>
                <w:rFonts w:ascii="宋体" w:hAnsi="宋体"/>
                <w:color w:val="auto"/>
                <w:szCs w:val="21"/>
                <w:highlight w:val="none"/>
              </w:rPr>
            </w:pPr>
          </w:p>
        </w:tc>
        <w:tc>
          <w:tcPr>
            <w:tcW w:w="856" w:type="dxa"/>
            <w:vMerge w:val="continue"/>
            <w:tcBorders>
              <w:top w:val="nil"/>
              <w:left w:val="nil"/>
              <w:bottom w:val="single" w:color="000000" w:sz="4" w:space="0"/>
              <w:right w:val="single" w:color="000000" w:sz="4" w:space="0"/>
            </w:tcBorders>
            <w:shd w:val="clear" w:color="auto" w:fill="auto"/>
            <w:noWrap w:val="0"/>
            <w:vAlign w:val="center"/>
          </w:tcPr>
          <w:p>
            <w:pPr>
              <w:pageBreakBefore w:val="0"/>
              <w:widowControl/>
              <w:kinsoku/>
              <w:wordWrap/>
              <w:overflowPunct/>
              <w:topLinePunct w:val="0"/>
              <w:bidi w:val="0"/>
              <w:snapToGrid/>
              <w:spacing w:beforeAutospacing="0" w:line="312" w:lineRule="auto"/>
              <w:ind w:firstLine="480"/>
              <w:jc w:val="center"/>
              <w:textAlignment w:val="auto"/>
              <w:rPr>
                <w:rFonts w:ascii="宋体" w:hAnsi="宋体"/>
                <w:color w:val="auto"/>
                <w:szCs w:val="21"/>
                <w:highlight w:val="none"/>
              </w:rPr>
            </w:pPr>
          </w:p>
        </w:tc>
        <w:tc>
          <w:tcPr>
            <w:tcW w:w="5951" w:type="dxa"/>
            <w:tcBorders>
              <w:top w:val="single" w:color="000000" w:sz="4" w:space="0"/>
              <w:left w:val="nil"/>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ageBreakBefore w:val="0"/>
              <w:kinsoku/>
              <w:wordWrap/>
              <w:overflowPunct/>
              <w:topLinePunct w:val="0"/>
              <w:bidi w:val="0"/>
              <w:snapToGrid/>
              <w:spacing w:beforeAutospacing="0" w:line="312" w:lineRule="auto"/>
              <w:textAlignment w:val="auto"/>
              <w:rPr>
                <w:rFonts w:ascii="宋体" w:hAnsi="宋体"/>
                <w:color w:val="auto"/>
                <w:szCs w:val="21"/>
                <w:highlight w:val="none"/>
              </w:rPr>
            </w:pPr>
            <w:r>
              <w:rPr>
                <w:rFonts w:hint="eastAsia" w:ascii="宋体" w:hAnsi="宋体"/>
                <w:color w:val="auto"/>
                <w:szCs w:val="21"/>
                <w:highlight w:val="none"/>
              </w:rPr>
              <w:t>对于运营方递交的运营管理计划文件应及时向业主方提供审查意见。不按要求提供审查意见的扣</w:t>
            </w:r>
            <w:r>
              <w:rPr>
                <w:rFonts w:ascii="宋体" w:hAnsi="宋体"/>
                <w:color w:val="auto"/>
                <w:szCs w:val="21"/>
                <w:highlight w:val="none"/>
              </w:rPr>
              <w:t>0.5</w:t>
            </w:r>
            <w:r>
              <w:rPr>
                <w:rFonts w:hint="eastAsia" w:ascii="宋体" w:hAnsi="宋体"/>
                <w:color w:val="auto"/>
                <w:szCs w:val="21"/>
                <w:highlight w:val="none"/>
              </w:rPr>
              <w:t>分/次；当月没有提供审查意见的扣</w:t>
            </w:r>
            <w:r>
              <w:rPr>
                <w:rFonts w:ascii="宋体" w:hAnsi="宋体"/>
                <w:color w:val="auto"/>
                <w:szCs w:val="21"/>
                <w:highlight w:val="none"/>
              </w:rPr>
              <w:t>2</w:t>
            </w:r>
            <w:r>
              <w:rPr>
                <w:rFonts w:hint="eastAsia" w:ascii="宋体" w:hAnsi="宋体"/>
                <w:color w:val="auto"/>
                <w:szCs w:val="21"/>
                <w:highlight w:val="none"/>
              </w:rPr>
              <w:t>分。</w:t>
            </w:r>
          </w:p>
        </w:tc>
        <w:tc>
          <w:tcPr>
            <w:tcW w:w="679"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5</w:t>
            </w:r>
          </w:p>
        </w:tc>
        <w:tc>
          <w:tcPr>
            <w:tcW w:w="690"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0" w:firstLineChars="0"/>
              <w:jc w:val="center"/>
              <w:textAlignment w:val="auto"/>
              <w:rPr>
                <w:rFonts w:ascii="宋体" w:hAnsi="宋体"/>
                <w:color w:val="auto"/>
                <w:szCs w:val="21"/>
                <w:highlight w:val="none"/>
              </w:rPr>
            </w:pPr>
          </w:p>
        </w:tc>
        <w:tc>
          <w:tcPr>
            <w:tcW w:w="624"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0" w:hRule="atLeast"/>
          <w:jc w:val="center"/>
        </w:trPr>
        <w:tc>
          <w:tcPr>
            <w:tcW w:w="74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overflowPunct/>
              <w:topLinePunct w:val="0"/>
              <w:bidi w:val="0"/>
              <w:snapToGrid/>
              <w:spacing w:beforeAutospacing="0" w:line="312" w:lineRule="auto"/>
              <w:ind w:firstLine="480"/>
              <w:jc w:val="center"/>
              <w:textAlignment w:val="auto"/>
              <w:rPr>
                <w:rFonts w:ascii="宋体" w:hAnsi="宋体"/>
                <w:color w:val="auto"/>
                <w:szCs w:val="21"/>
                <w:highlight w:val="none"/>
              </w:rPr>
            </w:pPr>
          </w:p>
        </w:tc>
        <w:tc>
          <w:tcPr>
            <w:tcW w:w="856" w:type="dxa"/>
            <w:vMerge w:val="continue"/>
            <w:tcBorders>
              <w:top w:val="nil"/>
              <w:left w:val="nil"/>
              <w:bottom w:val="single" w:color="000000" w:sz="4" w:space="0"/>
              <w:right w:val="single" w:color="000000" w:sz="4" w:space="0"/>
            </w:tcBorders>
            <w:shd w:val="clear" w:color="auto" w:fill="auto"/>
            <w:noWrap w:val="0"/>
            <w:vAlign w:val="center"/>
          </w:tcPr>
          <w:p>
            <w:pPr>
              <w:pageBreakBefore w:val="0"/>
              <w:widowControl/>
              <w:kinsoku/>
              <w:wordWrap/>
              <w:overflowPunct/>
              <w:topLinePunct w:val="0"/>
              <w:bidi w:val="0"/>
              <w:snapToGrid/>
              <w:spacing w:beforeAutospacing="0" w:line="312" w:lineRule="auto"/>
              <w:ind w:firstLine="480"/>
              <w:jc w:val="center"/>
              <w:textAlignment w:val="auto"/>
              <w:rPr>
                <w:rFonts w:ascii="宋体" w:hAnsi="宋体"/>
                <w:color w:val="auto"/>
                <w:szCs w:val="21"/>
                <w:highlight w:val="none"/>
              </w:rPr>
            </w:pPr>
          </w:p>
        </w:tc>
        <w:tc>
          <w:tcPr>
            <w:tcW w:w="5951" w:type="dxa"/>
            <w:tcBorders>
              <w:top w:val="single" w:color="000000" w:sz="4" w:space="0"/>
              <w:left w:val="nil"/>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ageBreakBefore w:val="0"/>
              <w:kinsoku/>
              <w:wordWrap/>
              <w:overflowPunct/>
              <w:topLinePunct w:val="0"/>
              <w:bidi w:val="0"/>
              <w:snapToGrid/>
              <w:spacing w:beforeAutospacing="0" w:line="312" w:lineRule="auto"/>
              <w:textAlignment w:val="auto"/>
              <w:rPr>
                <w:rFonts w:ascii="宋体" w:hAnsi="宋体"/>
                <w:color w:val="auto"/>
                <w:szCs w:val="21"/>
                <w:highlight w:val="none"/>
              </w:rPr>
            </w:pPr>
            <w:r>
              <w:rPr>
                <w:rFonts w:hint="eastAsia" w:ascii="宋体" w:hAnsi="宋体"/>
                <w:color w:val="auto"/>
                <w:szCs w:val="21"/>
                <w:highlight w:val="none"/>
              </w:rPr>
              <w:t>项目监管资料按规定建档保存。不按规定归档的扣</w:t>
            </w:r>
            <w:r>
              <w:rPr>
                <w:rFonts w:ascii="宋体" w:hAnsi="宋体"/>
                <w:color w:val="auto"/>
                <w:szCs w:val="21"/>
                <w:highlight w:val="none"/>
              </w:rPr>
              <w:t>0.2</w:t>
            </w:r>
            <w:r>
              <w:rPr>
                <w:rFonts w:hint="eastAsia" w:ascii="宋体" w:hAnsi="宋体"/>
                <w:color w:val="auto"/>
                <w:szCs w:val="21"/>
                <w:highlight w:val="none"/>
              </w:rPr>
              <w:t>分/次；造成无法查阅后果的扣</w:t>
            </w:r>
            <w:r>
              <w:rPr>
                <w:rFonts w:ascii="宋体" w:hAnsi="宋体"/>
                <w:color w:val="auto"/>
                <w:szCs w:val="21"/>
                <w:highlight w:val="none"/>
              </w:rPr>
              <w:t>1</w:t>
            </w:r>
            <w:r>
              <w:rPr>
                <w:rFonts w:hint="eastAsia" w:ascii="宋体" w:hAnsi="宋体"/>
                <w:color w:val="auto"/>
                <w:szCs w:val="21"/>
                <w:highlight w:val="none"/>
              </w:rPr>
              <w:t>分。</w:t>
            </w:r>
          </w:p>
        </w:tc>
        <w:tc>
          <w:tcPr>
            <w:tcW w:w="679"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4</w:t>
            </w:r>
          </w:p>
        </w:tc>
        <w:tc>
          <w:tcPr>
            <w:tcW w:w="690"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0" w:firstLineChars="0"/>
              <w:jc w:val="center"/>
              <w:textAlignment w:val="auto"/>
              <w:rPr>
                <w:rFonts w:ascii="宋体" w:hAnsi="宋体"/>
                <w:color w:val="auto"/>
                <w:szCs w:val="21"/>
                <w:highlight w:val="none"/>
              </w:rPr>
            </w:pPr>
          </w:p>
        </w:tc>
        <w:tc>
          <w:tcPr>
            <w:tcW w:w="624"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14"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4</w:t>
            </w:r>
          </w:p>
        </w:tc>
        <w:tc>
          <w:tcPr>
            <w:tcW w:w="856"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行政配合情形</w:t>
            </w:r>
          </w:p>
          <w:p>
            <w:pPr>
              <w:pageBreakBefore w:val="0"/>
              <w:kinsoku/>
              <w:wordWrap/>
              <w:overflowPunct/>
              <w:topLinePunct w:val="0"/>
              <w:bidi w:val="0"/>
              <w:snapToGrid/>
              <w:spacing w:beforeAutospacing="0" w:line="312" w:lineRule="auto"/>
              <w:jc w:val="center"/>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（17分）</w:t>
            </w:r>
          </w:p>
        </w:tc>
        <w:tc>
          <w:tcPr>
            <w:tcW w:w="5951"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textAlignment w:val="auto"/>
              <w:rPr>
                <w:rFonts w:ascii="宋体" w:hAnsi="宋体"/>
                <w:color w:val="auto"/>
                <w:szCs w:val="21"/>
                <w:highlight w:val="none"/>
              </w:rPr>
            </w:pPr>
            <w:r>
              <w:rPr>
                <w:rFonts w:hint="eastAsia" w:ascii="宋体" w:hAnsi="宋体"/>
                <w:color w:val="auto"/>
                <w:szCs w:val="21"/>
                <w:highlight w:val="none"/>
              </w:rPr>
              <w:t>协助甲方督促运营方做好投诉处理工作,及时完成甲方交办的其他应急性任务。未按照业主方要求，办事拖拉、推诿的扣2分；甲方指出而仍拒不配合的，扣5分。</w:t>
            </w:r>
          </w:p>
        </w:tc>
        <w:tc>
          <w:tcPr>
            <w:tcW w:w="679"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ascii="宋体" w:hAnsi="宋体"/>
                <w:color w:val="auto"/>
                <w:szCs w:val="21"/>
                <w:highlight w:val="none"/>
              </w:rPr>
              <w:t>17</w:t>
            </w:r>
          </w:p>
        </w:tc>
        <w:tc>
          <w:tcPr>
            <w:tcW w:w="690"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c>
          <w:tcPr>
            <w:tcW w:w="624"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14"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5</w:t>
            </w:r>
          </w:p>
        </w:tc>
        <w:tc>
          <w:tcPr>
            <w:tcW w:w="856"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监管平台</w:t>
            </w:r>
          </w:p>
          <w:p>
            <w:pPr>
              <w:pageBreakBefore w:val="0"/>
              <w:kinsoku/>
              <w:wordWrap/>
              <w:overflowPunct/>
              <w:topLinePunct w:val="0"/>
              <w:bidi w:val="0"/>
              <w:snapToGrid/>
              <w:spacing w:beforeAutospacing="0" w:line="312" w:lineRule="auto"/>
              <w:jc w:val="center"/>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（3分）</w:t>
            </w:r>
          </w:p>
        </w:tc>
        <w:tc>
          <w:tcPr>
            <w:tcW w:w="5951"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textAlignment w:val="auto"/>
              <w:rPr>
                <w:rFonts w:ascii="宋体" w:hAnsi="宋体"/>
                <w:color w:val="auto"/>
                <w:szCs w:val="21"/>
                <w:highlight w:val="none"/>
              </w:rPr>
            </w:pPr>
            <w:r>
              <w:rPr>
                <w:rFonts w:hint="eastAsia" w:ascii="宋体" w:hAnsi="宋体"/>
                <w:color w:val="auto"/>
                <w:szCs w:val="21"/>
                <w:highlight w:val="none"/>
              </w:rPr>
              <w:t>软件平台数据采集及传输的稳定性，出现数据丢失且无法恢复每次扣1分。</w:t>
            </w:r>
          </w:p>
          <w:p>
            <w:pPr>
              <w:pageBreakBefore w:val="0"/>
              <w:kinsoku/>
              <w:wordWrap/>
              <w:overflowPunct/>
              <w:topLinePunct w:val="0"/>
              <w:bidi w:val="0"/>
              <w:snapToGrid/>
              <w:spacing w:beforeAutospacing="0" w:line="312" w:lineRule="auto"/>
              <w:textAlignment w:val="auto"/>
              <w:rPr>
                <w:rFonts w:ascii="宋体" w:hAnsi="宋体"/>
                <w:color w:val="auto"/>
                <w:szCs w:val="21"/>
                <w:highlight w:val="none"/>
              </w:rPr>
            </w:pPr>
            <w:r>
              <w:rPr>
                <w:rFonts w:hint="eastAsia" w:ascii="宋体" w:hAnsi="宋体"/>
                <w:color w:val="auto"/>
                <w:szCs w:val="21"/>
                <w:highlight w:val="none"/>
              </w:rPr>
              <w:t>软件平台服务出现严重故障，如系统无法访问、功能页面报错等，24小时内无法恢复的每次扣1分。</w:t>
            </w:r>
          </w:p>
          <w:p>
            <w:pPr>
              <w:pageBreakBefore w:val="0"/>
              <w:kinsoku/>
              <w:wordWrap/>
              <w:overflowPunct/>
              <w:topLinePunct w:val="0"/>
              <w:bidi w:val="0"/>
              <w:snapToGrid/>
              <w:spacing w:beforeAutospacing="0" w:line="312" w:lineRule="auto"/>
              <w:textAlignment w:val="auto"/>
              <w:rPr>
                <w:rFonts w:ascii="宋体" w:hAnsi="宋体"/>
                <w:color w:val="auto"/>
                <w:szCs w:val="21"/>
                <w:highlight w:val="none"/>
              </w:rPr>
            </w:pPr>
            <w:r>
              <w:rPr>
                <w:rFonts w:hint="eastAsia" w:ascii="宋体" w:hAnsi="宋体"/>
                <w:color w:val="auto"/>
                <w:szCs w:val="21"/>
                <w:highlight w:val="none"/>
              </w:rPr>
              <w:t>软件平台需求响应不及时每次扣1分。</w:t>
            </w:r>
          </w:p>
        </w:tc>
        <w:tc>
          <w:tcPr>
            <w:tcW w:w="679"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ascii="宋体" w:hAnsi="宋体"/>
                <w:color w:val="auto"/>
                <w:szCs w:val="21"/>
                <w:highlight w:val="none"/>
              </w:rPr>
              <w:t>3</w:t>
            </w:r>
          </w:p>
        </w:tc>
        <w:tc>
          <w:tcPr>
            <w:tcW w:w="690"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c>
          <w:tcPr>
            <w:tcW w:w="624"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3" w:hRule="atLeast"/>
          <w:jc w:val="center"/>
        </w:trPr>
        <w:tc>
          <w:tcPr>
            <w:tcW w:w="160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ageBreakBefore w:val="0"/>
              <w:kinsoku/>
              <w:wordWrap/>
              <w:overflowPunct/>
              <w:topLinePunct w:val="0"/>
              <w:bidi w:val="0"/>
              <w:snapToGrid/>
              <w:spacing w:beforeAutospacing="0" w:line="312" w:lineRule="auto"/>
              <w:ind w:firstLine="480"/>
              <w:jc w:val="center"/>
              <w:textAlignment w:val="auto"/>
              <w:rPr>
                <w:rFonts w:ascii="宋体" w:hAnsi="宋体"/>
                <w:color w:val="auto"/>
                <w:szCs w:val="21"/>
                <w:highlight w:val="none"/>
              </w:rPr>
            </w:pPr>
            <w:r>
              <w:rPr>
                <w:rFonts w:hint="eastAsia" w:ascii="宋体" w:hAnsi="宋体"/>
                <w:color w:val="auto"/>
                <w:szCs w:val="21"/>
                <w:highlight w:val="none"/>
              </w:rPr>
              <w:t>小计</w:t>
            </w:r>
          </w:p>
        </w:tc>
        <w:tc>
          <w:tcPr>
            <w:tcW w:w="5951"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480"/>
              <w:textAlignment w:val="auto"/>
              <w:rPr>
                <w:rFonts w:ascii="宋体" w:hAnsi="宋体"/>
                <w:color w:val="auto"/>
                <w:szCs w:val="21"/>
                <w:highlight w:val="none"/>
              </w:rPr>
            </w:pPr>
          </w:p>
        </w:tc>
        <w:tc>
          <w:tcPr>
            <w:tcW w:w="679"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jc w:val="center"/>
              <w:textAlignment w:val="auto"/>
              <w:rPr>
                <w:rFonts w:ascii="宋体" w:hAnsi="宋体"/>
                <w:color w:val="auto"/>
                <w:szCs w:val="21"/>
                <w:highlight w:val="none"/>
              </w:rPr>
            </w:pPr>
            <w:r>
              <w:rPr>
                <w:rFonts w:hint="eastAsia" w:ascii="宋体" w:hAnsi="宋体"/>
                <w:color w:val="auto"/>
                <w:szCs w:val="21"/>
                <w:highlight w:val="none"/>
              </w:rPr>
              <w:t>100</w:t>
            </w:r>
          </w:p>
        </w:tc>
        <w:tc>
          <w:tcPr>
            <w:tcW w:w="690"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c>
          <w:tcPr>
            <w:tcW w:w="624"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center"/>
              <w:textAlignment w:val="auto"/>
              <w:rPr>
                <w:rFonts w:ascii="宋体" w:hAnsi="宋体"/>
                <w:color w:val="auto"/>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64" w:hRule="atLeast"/>
          <w:jc w:val="center"/>
        </w:trPr>
        <w:tc>
          <w:tcPr>
            <w:tcW w:w="9545" w:type="dxa"/>
            <w:gridSpan w:val="6"/>
            <w:tcBorders>
              <w:top w:val="single" w:color="auto" w:sz="4" w:space="0"/>
              <w:left w:val="single" w:color="auto" w:sz="4" w:space="0"/>
              <w:bottom w:val="single" w:color="auto" w:sz="4" w:space="0"/>
              <w:right w:val="single" w:color="auto" w:sz="4" w:space="0"/>
            </w:tcBorders>
            <w:shd w:val="clear" w:color="auto" w:fill="FFFFFF"/>
            <w:noWrap w:val="0"/>
            <w:tcMar>
              <w:top w:w="80" w:type="dxa"/>
              <w:left w:w="80" w:type="dxa"/>
              <w:bottom w:w="80" w:type="dxa"/>
              <w:right w:w="80" w:type="dxa"/>
            </w:tcMar>
            <w:vAlign w:val="center"/>
          </w:tcPr>
          <w:p>
            <w:pPr>
              <w:pageBreakBefore w:val="0"/>
              <w:kinsoku/>
              <w:wordWrap/>
              <w:overflowPunct/>
              <w:topLinePunct w:val="0"/>
              <w:bidi w:val="0"/>
              <w:snapToGrid/>
              <w:spacing w:beforeAutospacing="0" w:line="312" w:lineRule="auto"/>
              <w:ind w:firstLine="315" w:firstLineChars="150"/>
              <w:jc w:val="both"/>
              <w:textAlignment w:val="auto"/>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62" w:hRule="atLeast"/>
          <w:jc w:val="center"/>
        </w:trPr>
        <w:tc>
          <w:tcPr>
            <w:tcW w:w="1601" w:type="dxa"/>
            <w:gridSpan w:val="2"/>
            <w:tcBorders>
              <w:top w:val="single" w:color="auto" w:sz="4" w:space="0"/>
              <w:left w:val="single" w:color="000000" w:sz="4" w:space="0"/>
              <w:bottom w:val="single" w:color="auto" w:sz="4" w:space="0"/>
              <w:right w:val="single" w:color="000000" w:sz="4" w:space="0"/>
            </w:tcBorders>
            <w:shd w:val="clear" w:color="auto" w:fill="FFFFFF"/>
            <w:noWrap w:val="0"/>
            <w:tcMar>
              <w:top w:w="80" w:type="dxa"/>
              <w:left w:w="80" w:type="dxa"/>
              <w:bottom w:w="80" w:type="dxa"/>
              <w:right w:w="80" w:type="dxa"/>
            </w:tcMar>
            <w:vAlign w:val="center"/>
          </w:tcPr>
          <w:p>
            <w:pPr>
              <w:pageBreakBefore w:val="0"/>
              <w:kinsoku/>
              <w:wordWrap/>
              <w:overflowPunct/>
              <w:topLinePunct w:val="0"/>
              <w:bidi w:val="0"/>
              <w:snapToGrid/>
              <w:spacing w:beforeAutospacing="0" w:line="312" w:lineRule="auto"/>
              <w:ind w:firstLine="480"/>
              <w:textAlignment w:val="auto"/>
              <w:rPr>
                <w:rFonts w:ascii="宋体" w:hAnsi="宋体"/>
                <w:color w:val="auto"/>
                <w:szCs w:val="21"/>
                <w:highlight w:val="none"/>
              </w:rPr>
            </w:pPr>
            <w:r>
              <w:rPr>
                <w:rFonts w:hint="eastAsia" w:ascii="宋体" w:hAnsi="宋体"/>
                <w:color w:val="auto"/>
                <w:szCs w:val="21"/>
                <w:highlight w:val="none"/>
              </w:rPr>
              <w:t>考评组</w:t>
            </w:r>
          </w:p>
        </w:tc>
        <w:tc>
          <w:tcPr>
            <w:tcW w:w="5951" w:type="dxa"/>
            <w:tcBorders>
              <w:top w:val="single" w:color="auto"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480"/>
              <w:textAlignment w:val="auto"/>
              <w:rPr>
                <w:rFonts w:ascii="宋体" w:hAnsi="宋体"/>
                <w:color w:val="auto"/>
                <w:szCs w:val="21"/>
                <w:highlight w:val="none"/>
              </w:rPr>
            </w:pPr>
            <w:r>
              <w:rPr>
                <w:rFonts w:hint="eastAsia" w:ascii="宋体" w:hAnsi="宋体"/>
                <w:color w:val="auto"/>
                <w:szCs w:val="21"/>
                <w:highlight w:val="none"/>
              </w:rPr>
              <w:t>甲方代表签名</w:t>
            </w:r>
          </w:p>
        </w:tc>
        <w:tc>
          <w:tcPr>
            <w:tcW w:w="1993" w:type="dxa"/>
            <w:gridSpan w:val="3"/>
            <w:tcBorders>
              <w:top w:val="single" w:color="auto" w:sz="4" w:space="0"/>
              <w:left w:val="nil"/>
              <w:bottom w:val="single" w:color="000000" w:sz="4" w:space="0"/>
              <w:right w:val="single" w:color="000000" w:sz="4" w:space="0"/>
            </w:tcBorders>
            <w:shd w:val="clear" w:color="auto" w:fill="FFFFFF"/>
            <w:noWrap w:val="0"/>
            <w:vAlign w:val="center"/>
          </w:tcPr>
          <w:p>
            <w:pPr>
              <w:pageBreakBefore w:val="0"/>
              <w:kinsoku/>
              <w:wordWrap/>
              <w:overflowPunct/>
              <w:topLinePunct w:val="0"/>
              <w:bidi w:val="0"/>
              <w:snapToGrid/>
              <w:spacing w:beforeAutospacing="0" w:line="312" w:lineRule="auto"/>
              <w:ind w:firstLine="315" w:firstLineChars="150"/>
              <w:jc w:val="both"/>
              <w:textAlignment w:val="auto"/>
              <w:rPr>
                <w:rFonts w:ascii="宋体" w:hAnsi="宋体"/>
                <w:color w:val="auto"/>
                <w:szCs w:val="21"/>
                <w:highlight w:val="none"/>
              </w:rPr>
            </w:pPr>
          </w:p>
        </w:tc>
      </w:tr>
    </w:tbl>
    <w:p>
      <w:pPr>
        <w:pageBreakBefore w:val="0"/>
        <w:kinsoku/>
        <w:wordWrap/>
        <w:overflowPunct/>
        <w:topLinePunct w:val="0"/>
        <w:bidi w:val="0"/>
        <w:snapToGrid/>
        <w:spacing w:beforeAutospacing="0" w:line="312" w:lineRule="auto"/>
        <w:textAlignment w:val="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评分说明：</w:t>
      </w:r>
    </w:p>
    <w:p>
      <w:pPr>
        <w:pageBreakBefore w:val="0"/>
        <w:kinsoku/>
        <w:wordWrap/>
        <w:overflowPunct/>
        <w:topLinePunct w:val="0"/>
        <w:bidi w:val="0"/>
        <w:snapToGrid/>
        <w:spacing w:beforeAutospacing="0" w:line="312"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rPr>
        <w:t>月考核</w:t>
      </w:r>
      <w:r>
        <w:rPr>
          <w:rFonts w:hint="eastAsia" w:ascii="宋体" w:hAnsi="宋体" w:cs="宋体"/>
          <w:color w:val="auto"/>
          <w:sz w:val="24"/>
          <w:szCs w:val="24"/>
          <w:highlight w:val="none"/>
          <w:lang w:val="en-US" w:eastAsia="zh-CN"/>
        </w:rPr>
        <w:t>100分-95分（含95分）不扣款</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95分以下每扣一分扣当月服务金额1000元。</w:t>
      </w:r>
    </w:p>
    <w:p>
      <w:pPr>
        <w:pStyle w:val="63"/>
        <w:pageBreakBefore w:val="0"/>
        <w:kinsoku/>
        <w:wordWrap/>
        <w:overflowPunct/>
        <w:topLinePunct w:val="0"/>
        <w:bidi w:val="0"/>
        <w:snapToGrid/>
        <w:spacing w:beforeAutospacing="0" w:after="0" w:afterLines="0" w:line="312" w:lineRule="auto"/>
        <w:ind w:left="0" w:leftChars="0" w:firstLine="0" w:firstLineChars="0"/>
        <w:textAlignment w:val="auto"/>
        <w:rPr>
          <w:rFonts w:hint="default"/>
          <w:color w:val="auto"/>
          <w:sz w:val="24"/>
          <w:szCs w:val="24"/>
          <w:highlight w:val="none"/>
          <w:lang w:val="en-US" w:eastAsia="zh-CN"/>
        </w:rPr>
      </w:pP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.乙方</w:t>
      </w:r>
      <w:r>
        <w:rPr>
          <w:rFonts w:hint="eastAsia" w:ascii="宋体" w:hAnsi="宋体" w:cs="宋体"/>
          <w:color w:val="auto"/>
          <w:sz w:val="24"/>
          <w:szCs w:val="24"/>
          <w:highlight w:val="none"/>
          <w:lang w:val="en-US" w:eastAsia="zh-CN"/>
        </w:rPr>
        <w:t>季度</w:t>
      </w:r>
      <w:r>
        <w:rPr>
          <w:rFonts w:hint="eastAsia" w:ascii="宋体" w:hAnsi="宋体" w:cs="宋体"/>
          <w:color w:val="auto"/>
          <w:sz w:val="24"/>
          <w:szCs w:val="24"/>
          <w:highlight w:val="none"/>
          <w:lang w:val="zh-CN"/>
        </w:rPr>
        <w:t>考核扣分超过</w:t>
      </w: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lang w:val="zh-CN"/>
        </w:rPr>
        <w:t>0分</w:t>
      </w:r>
      <w:r>
        <w:rPr>
          <w:rFonts w:hint="eastAsia" w:ascii="宋体" w:hAnsi="宋体" w:cs="宋体"/>
          <w:color w:val="auto"/>
          <w:sz w:val="24"/>
          <w:szCs w:val="24"/>
          <w:highlight w:val="none"/>
          <w:lang w:val="zh-CN"/>
        </w:rPr>
        <w:t>，甲方有权终止合同，乙方须无条件办理移交、退场手续。</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54" w:name="_Toc184310323"/>
      <w:bookmarkEnd w:id="54"/>
      <w:bookmarkStart w:id="55" w:name="_Toc184310333"/>
      <w:bookmarkEnd w:id="55"/>
      <w:bookmarkStart w:id="56" w:name="_Toc184310283"/>
      <w:bookmarkEnd w:id="56"/>
      <w:bookmarkStart w:id="57" w:name="_Toc184308058"/>
      <w:bookmarkEnd w:id="57"/>
      <w:bookmarkStart w:id="58" w:name="_Toc184310328"/>
      <w:bookmarkEnd w:id="58"/>
      <w:bookmarkStart w:id="59" w:name="_Toc184308040"/>
      <w:bookmarkEnd w:id="59"/>
      <w:bookmarkStart w:id="60" w:name="_Toc184312100"/>
      <w:bookmarkEnd w:id="60"/>
      <w:bookmarkStart w:id="61" w:name="_Toc184313249"/>
      <w:bookmarkEnd w:id="61"/>
      <w:bookmarkStart w:id="62" w:name="_Toc184314471"/>
      <w:bookmarkEnd w:id="62"/>
      <w:bookmarkStart w:id="63" w:name="_Toc184312093"/>
      <w:bookmarkEnd w:id="63"/>
      <w:bookmarkStart w:id="64" w:name="_Toc184308091"/>
      <w:bookmarkEnd w:id="64"/>
      <w:bookmarkStart w:id="65" w:name="_Toc184313297"/>
      <w:bookmarkEnd w:id="65"/>
      <w:bookmarkStart w:id="66" w:name="_Toc184308105"/>
      <w:bookmarkEnd w:id="66"/>
      <w:bookmarkStart w:id="67" w:name="_Toc184314419"/>
      <w:bookmarkEnd w:id="67"/>
      <w:bookmarkStart w:id="68" w:name="_Toc184310332"/>
      <w:bookmarkEnd w:id="68"/>
      <w:bookmarkStart w:id="69" w:name="_Toc184312106"/>
      <w:bookmarkEnd w:id="69"/>
      <w:bookmarkStart w:id="70" w:name="_Toc184312099"/>
      <w:bookmarkEnd w:id="70"/>
      <w:bookmarkStart w:id="71" w:name="_Toc184312127"/>
      <w:bookmarkEnd w:id="71"/>
      <w:bookmarkStart w:id="72" w:name="_Toc184308079"/>
      <w:bookmarkEnd w:id="72"/>
      <w:bookmarkStart w:id="73" w:name="_Toc184313271"/>
      <w:bookmarkEnd w:id="73"/>
      <w:bookmarkStart w:id="74" w:name="_Toc184312131"/>
      <w:bookmarkEnd w:id="74"/>
      <w:bookmarkStart w:id="75" w:name="_Toc184310313"/>
      <w:bookmarkEnd w:id="75"/>
      <w:bookmarkStart w:id="76" w:name="_Toc184310275"/>
      <w:bookmarkEnd w:id="76"/>
      <w:bookmarkStart w:id="77" w:name="_Toc184314424"/>
      <w:bookmarkEnd w:id="77"/>
      <w:bookmarkStart w:id="78" w:name="_Toc184312078"/>
      <w:bookmarkEnd w:id="78"/>
      <w:bookmarkStart w:id="79" w:name="_Toc184310340"/>
      <w:bookmarkEnd w:id="79"/>
      <w:bookmarkStart w:id="80" w:name="_Toc184314439"/>
      <w:bookmarkEnd w:id="80"/>
      <w:bookmarkStart w:id="81" w:name="_Toc184312098"/>
      <w:bookmarkEnd w:id="81"/>
      <w:bookmarkStart w:id="82" w:name="_Toc184312120"/>
      <w:bookmarkEnd w:id="82"/>
      <w:bookmarkStart w:id="83" w:name="_Toc184313270"/>
      <w:bookmarkEnd w:id="83"/>
      <w:bookmarkStart w:id="84" w:name="_Toc184308073"/>
      <w:bookmarkEnd w:id="84"/>
      <w:bookmarkStart w:id="85" w:name="_Toc184313242"/>
      <w:bookmarkEnd w:id="85"/>
      <w:bookmarkStart w:id="86" w:name="_Toc184310337"/>
      <w:bookmarkEnd w:id="86"/>
      <w:bookmarkStart w:id="87" w:name="_Toc184313274"/>
      <w:bookmarkEnd w:id="87"/>
      <w:bookmarkStart w:id="88" w:name="_Toc184312119"/>
      <w:bookmarkEnd w:id="88"/>
      <w:bookmarkStart w:id="89" w:name="_Toc184312069"/>
      <w:bookmarkEnd w:id="89"/>
      <w:bookmarkStart w:id="90" w:name="_Toc184313255"/>
      <w:bookmarkEnd w:id="90"/>
      <w:bookmarkStart w:id="91" w:name="_Toc184314421"/>
      <w:bookmarkEnd w:id="91"/>
      <w:bookmarkStart w:id="92" w:name="_Toc184313284"/>
      <w:bookmarkEnd w:id="92"/>
      <w:bookmarkStart w:id="93" w:name="_Toc184308072"/>
      <w:bookmarkEnd w:id="93"/>
      <w:bookmarkStart w:id="94" w:name="_Toc184313278"/>
      <w:bookmarkEnd w:id="94"/>
      <w:bookmarkStart w:id="95" w:name="_Toc184313268"/>
      <w:bookmarkEnd w:id="95"/>
      <w:bookmarkStart w:id="96" w:name="_Toc184312107"/>
      <w:bookmarkEnd w:id="96"/>
      <w:bookmarkStart w:id="97" w:name="_Toc184314435"/>
      <w:bookmarkEnd w:id="97"/>
      <w:bookmarkStart w:id="98" w:name="_Toc184313257"/>
      <w:bookmarkEnd w:id="98"/>
      <w:bookmarkStart w:id="99" w:name="_Toc184313307"/>
      <w:bookmarkEnd w:id="99"/>
      <w:bookmarkStart w:id="100" w:name="_Toc184308076"/>
      <w:bookmarkEnd w:id="100"/>
      <w:bookmarkStart w:id="101" w:name="_Toc184308041"/>
      <w:bookmarkEnd w:id="101"/>
      <w:bookmarkStart w:id="102" w:name="_Toc184314475"/>
      <w:bookmarkEnd w:id="102"/>
      <w:bookmarkStart w:id="103" w:name="_Toc184313288"/>
      <w:bookmarkEnd w:id="103"/>
      <w:bookmarkStart w:id="104" w:name="_Toc184310298"/>
      <w:bookmarkEnd w:id="104"/>
      <w:bookmarkStart w:id="105" w:name="_Toc184308097"/>
      <w:bookmarkEnd w:id="105"/>
      <w:bookmarkStart w:id="106" w:name="_Toc184312118"/>
      <w:bookmarkEnd w:id="106"/>
      <w:bookmarkStart w:id="107" w:name="_Toc184312068"/>
      <w:bookmarkEnd w:id="107"/>
      <w:bookmarkStart w:id="108" w:name="_Toc184312115"/>
      <w:bookmarkEnd w:id="108"/>
      <w:bookmarkStart w:id="109" w:name="_Toc184313280"/>
      <w:bookmarkEnd w:id="109"/>
      <w:bookmarkStart w:id="110" w:name="_Toc184314440"/>
      <w:bookmarkEnd w:id="110"/>
      <w:bookmarkStart w:id="111" w:name="_Toc184308042"/>
      <w:bookmarkEnd w:id="111"/>
      <w:bookmarkStart w:id="112" w:name="_Toc184312090"/>
      <w:bookmarkEnd w:id="112"/>
      <w:bookmarkStart w:id="113" w:name="_Toc184313262"/>
      <w:bookmarkEnd w:id="113"/>
      <w:bookmarkStart w:id="114" w:name="_Toc184310315"/>
      <w:bookmarkEnd w:id="114"/>
      <w:bookmarkStart w:id="115" w:name="_Toc184308065"/>
      <w:bookmarkEnd w:id="115"/>
      <w:bookmarkStart w:id="116" w:name="_Toc184312096"/>
      <w:bookmarkEnd w:id="116"/>
      <w:bookmarkStart w:id="117" w:name="_Toc184308099"/>
      <w:bookmarkEnd w:id="117"/>
      <w:bookmarkStart w:id="118" w:name="_Toc184312126"/>
      <w:bookmarkEnd w:id="118"/>
      <w:bookmarkStart w:id="119" w:name="_Toc184314436"/>
      <w:bookmarkEnd w:id="119"/>
      <w:bookmarkStart w:id="120" w:name="_Toc184310303"/>
      <w:bookmarkEnd w:id="120"/>
      <w:bookmarkStart w:id="121" w:name="_Toc184314482"/>
      <w:bookmarkEnd w:id="121"/>
      <w:bookmarkStart w:id="122" w:name="_Toc184310299"/>
      <w:bookmarkEnd w:id="122"/>
      <w:bookmarkStart w:id="123" w:name="_Toc184313243"/>
      <w:bookmarkEnd w:id="123"/>
      <w:bookmarkStart w:id="124" w:name="_Toc184312113"/>
      <w:bookmarkEnd w:id="124"/>
      <w:bookmarkStart w:id="125" w:name="_Toc184312095"/>
      <w:bookmarkEnd w:id="125"/>
      <w:bookmarkStart w:id="126" w:name="_Toc184313289"/>
      <w:bookmarkEnd w:id="126"/>
      <w:bookmarkStart w:id="127" w:name="_Toc184308054"/>
      <w:bookmarkEnd w:id="127"/>
      <w:bookmarkStart w:id="128" w:name="_Toc184310285"/>
      <w:bookmarkEnd w:id="128"/>
      <w:bookmarkStart w:id="129" w:name="_Toc184312117"/>
      <w:bookmarkEnd w:id="129"/>
      <w:bookmarkStart w:id="130" w:name="_Toc184312084"/>
      <w:bookmarkEnd w:id="130"/>
      <w:bookmarkStart w:id="131" w:name="_Toc184313308"/>
      <w:bookmarkEnd w:id="131"/>
      <w:bookmarkStart w:id="132" w:name="_Toc184313287"/>
      <w:bookmarkEnd w:id="132"/>
      <w:bookmarkStart w:id="133" w:name="_Toc184313285"/>
      <w:bookmarkEnd w:id="133"/>
      <w:bookmarkStart w:id="134" w:name="_Toc184314473"/>
      <w:bookmarkEnd w:id="134"/>
      <w:bookmarkStart w:id="135" w:name="_Toc184308053"/>
      <w:bookmarkEnd w:id="135"/>
      <w:bookmarkStart w:id="136" w:name="_Toc184314455"/>
      <w:bookmarkEnd w:id="136"/>
      <w:bookmarkStart w:id="137" w:name="_Toc184314456"/>
      <w:bookmarkEnd w:id="137"/>
      <w:bookmarkStart w:id="138" w:name="_Toc184308093"/>
      <w:bookmarkEnd w:id="138"/>
      <w:bookmarkStart w:id="139" w:name="_Toc184312135"/>
      <w:bookmarkEnd w:id="139"/>
      <w:bookmarkStart w:id="140" w:name="_Toc184308101"/>
      <w:bookmarkEnd w:id="140"/>
      <w:bookmarkStart w:id="141" w:name="_Toc184313251"/>
      <w:bookmarkEnd w:id="141"/>
      <w:bookmarkStart w:id="142" w:name="_Toc184314468"/>
      <w:bookmarkEnd w:id="142"/>
      <w:bookmarkStart w:id="143" w:name="_Toc184310317"/>
      <w:bookmarkEnd w:id="143"/>
      <w:bookmarkStart w:id="144" w:name="_Toc184314479"/>
      <w:bookmarkEnd w:id="144"/>
      <w:bookmarkStart w:id="145" w:name="_Toc184313267"/>
      <w:bookmarkEnd w:id="145"/>
      <w:bookmarkStart w:id="146" w:name="_Toc184314431"/>
      <w:bookmarkEnd w:id="146"/>
      <w:bookmarkStart w:id="147" w:name="_Toc184313253"/>
      <w:bookmarkEnd w:id="147"/>
      <w:bookmarkStart w:id="148" w:name="_Toc184313244"/>
      <w:bookmarkEnd w:id="148"/>
      <w:bookmarkStart w:id="149" w:name="_Toc184314459"/>
      <w:bookmarkEnd w:id="149"/>
      <w:bookmarkStart w:id="150" w:name="_Toc184314415"/>
      <w:bookmarkEnd w:id="150"/>
      <w:bookmarkStart w:id="151" w:name="_Toc184314458"/>
      <w:bookmarkEnd w:id="151"/>
      <w:bookmarkStart w:id="152" w:name="_Toc184314450"/>
      <w:bookmarkEnd w:id="152"/>
      <w:bookmarkStart w:id="153" w:name="_Toc184312104"/>
      <w:bookmarkEnd w:id="153"/>
      <w:bookmarkStart w:id="154" w:name="_Toc184314472"/>
      <w:bookmarkEnd w:id="154"/>
      <w:bookmarkStart w:id="155" w:name="_Toc184310341"/>
      <w:bookmarkEnd w:id="155"/>
      <w:bookmarkStart w:id="156" w:name="_Toc184310286"/>
      <w:bookmarkEnd w:id="156"/>
      <w:bookmarkStart w:id="157" w:name="_Toc184313264"/>
      <w:bookmarkEnd w:id="157"/>
      <w:bookmarkStart w:id="158" w:name="_Toc184313247"/>
      <w:bookmarkEnd w:id="158"/>
      <w:bookmarkStart w:id="159" w:name="_Toc184312067"/>
      <w:bookmarkEnd w:id="159"/>
      <w:bookmarkStart w:id="160" w:name="_Toc184310296"/>
      <w:bookmarkEnd w:id="160"/>
      <w:bookmarkStart w:id="161" w:name="_Toc184314434"/>
      <w:bookmarkEnd w:id="161"/>
      <w:bookmarkStart w:id="162" w:name="_Toc184310334"/>
      <w:bookmarkEnd w:id="162"/>
      <w:bookmarkStart w:id="163" w:name="_Toc184314477"/>
      <w:bookmarkEnd w:id="163"/>
      <w:bookmarkStart w:id="164" w:name="_Toc184314474"/>
      <w:bookmarkEnd w:id="164"/>
      <w:bookmarkStart w:id="165" w:name="_Toc184312139"/>
      <w:bookmarkEnd w:id="165"/>
      <w:bookmarkStart w:id="166" w:name="_Toc184308044"/>
      <w:bookmarkEnd w:id="166"/>
      <w:bookmarkStart w:id="167" w:name="_Toc184308081"/>
      <w:bookmarkEnd w:id="167"/>
      <w:bookmarkStart w:id="168" w:name="_Toc184308074"/>
      <w:bookmarkEnd w:id="168"/>
      <w:bookmarkStart w:id="169" w:name="_Toc184310306"/>
      <w:bookmarkEnd w:id="169"/>
      <w:bookmarkStart w:id="170" w:name="_Toc184308092"/>
      <w:bookmarkEnd w:id="170"/>
      <w:bookmarkStart w:id="171" w:name="_Toc184308102"/>
      <w:bookmarkEnd w:id="171"/>
      <w:bookmarkStart w:id="172" w:name="_Toc184314460"/>
      <w:bookmarkEnd w:id="172"/>
      <w:bookmarkStart w:id="173" w:name="_Toc184308067"/>
      <w:bookmarkEnd w:id="173"/>
      <w:bookmarkStart w:id="174" w:name="_Toc184314444"/>
      <w:bookmarkEnd w:id="174"/>
      <w:bookmarkStart w:id="175" w:name="_Toc184308088"/>
      <w:bookmarkEnd w:id="175"/>
      <w:bookmarkStart w:id="176" w:name="_Toc184308061"/>
      <w:bookmarkEnd w:id="176"/>
      <w:bookmarkStart w:id="177" w:name="_Toc184312072"/>
      <w:bookmarkEnd w:id="177"/>
      <w:bookmarkStart w:id="178" w:name="_Toc184310291"/>
      <w:bookmarkEnd w:id="178"/>
      <w:bookmarkStart w:id="179" w:name="_Toc184310272"/>
      <w:bookmarkEnd w:id="179"/>
      <w:bookmarkStart w:id="180" w:name="_Toc184314430"/>
      <w:bookmarkEnd w:id="180"/>
      <w:bookmarkStart w:id="181" w:name="_Toc184308049"/>
      <w:bookmarkEnd w:id="181"/>
      <w:bookmarkStart w:id="182" w:name="_Toc184308062"/>
      <w:bookmarkEnd w:id="182"/>
      <w:bookmarkStart w:id="183" w:name="_Toc184308057"/>
      <w:bookmarkEnd w:id="183"/>
      <w:bookmarkStart w:id="184" w:name="_Toc184314420"/>
      <w:bookmarkEnd w:id="184"/>
      <w:bookmarkStart w:id="185" w:name="_Toc184308085"/>
      <w:bookmarkEnd w:id="185"/>
      <w:bookmarkStart w:id="186" w:name="_Toc184312101"/>
      <w:bookmarkEnd w:id="186"/>
      <w:bookmarkStart w:id="187" w:name="_Toc184308095"/>
      <w:bookmarkEnd w:id="187"/>
      <w:bookmarkStart w:id="188" w:name="_Toc184314457"/>
      <w:bookmarkEnd w:id="188"/>
      <w:bookmarkStart w:id="189" w:name="_Toc184312116"/>
      <w:bookmarkEnd w:id="189"/>
      <w:bookmarkStart w:id="190" w:name="_Toc184313254"/>
      <w:bookmarkEnd w:id="190"/>
      <w:bookmarkStart w:id="191" w:name="_Toc184310314"/>
      <w:bookmarkEnd w:id="191"/>
      <w:bookmarkStart w:id="192" w:name="_Toc184314480"/>
      <w:bookmarkEnd w:id="192"/>
      <w:bookmarkStart w:id="193" w:name="_Toc184312094"/>
      <w:bookmarkEnd w:id="193"/>
      <w:bookmarkStart w:id="194" w:name="_Toc184310289"/>
      <w:bookmarkEnd w:id="194"/>
      <w:bookmarkStart w:id="195" w:name="_Toc184310322"/>
      <w:bookmarkEnd w:id="195"/>
      <w:bookmarkStart w:id="196" w:name="_Toc184314447"/>
      <w:bookmarkEnd w:id="196"/>
      <w:bookmarkStart w:id="197" w:name="_Toc184310343"/>
      <w:bookmarkEnd w:id="197"/>
      <w:bookmarkStart w:id="198" w:name="_Toc184313293"/>
      <w:bookmarkEnd w:id="198"/>
      <w:bookmarkStart w:id="199" w:name="_Toc184308048"/>
      <w:bookmarkEnd w:id="199"/>
      <w:bookmarkStart w:id="200" w:name="_Toc184308083"/>
      <w:bookmarkEnd w:id="200"/>
      <w:bookmarkStart w:id="201" w:name="_Toc184310321"/>
      <w:bookmarkEnd w:id="201"/>
      <w:bookmarkStart w:id="202" w:name="_Toc184312138"/>
      <w:bookmarkEnd w:id="202"/>
      <w:bookmarkStart w:id="203" w:name="_Toc184313292"/>
      <w:bookmarkEnd w:id="203"/>
      <w:bookmarkStart w:id="204" w:name="_Toc184313239"/>
      <w:bookmarkEnd w:id="204"/>
      <w:bookmarkStart w:id="205" w:name="_Toc184314467"/>
      <w:bookmarkEnd w:id="205"/>
      <w:bookmarkStart w:id="206" w:name="_Toc184313272"/>
      <w:bookmarkEnd w:id="206"/>
      <w:bookmarkStart w:id="207" w:name="_Toc184308064"/>
      <w:bookmarkEnd w:id="207"/>
      <w:bookmarkStart w:id="208" w:name="_Toc184312136"/>
      <w:bookmarkEnd w:id="208"/>
      <w:bookmarkStart w:id="209" w:name="_Toc184310307"/>
      <w:bookmarkEnd w:id="209"/>
      <w:bookmarkStart w:id="210" w:name="_Toc184310319"/>
      <w:bookmarkEnd w:id="210"/>
      <w:bookmarkStart w:id="211" w:name="_Toc184312133"/>
      <w:bookmarkEnd w:id="211"/>
      <w:bookmarkStart w:id="212" w:name="_Toc184310288"/>
      <w:bookmarkEnd w:id="212"/>
      <w:bookmarkStart w:id="213" w:name="_Toc184313259"/>
      <w:bookmarkEnd w:id="213"/>
      <w:bookmarkStart w:id="214" w:name="_Toc184313266"/>
      <w:bookmarkEnd w:id="214"/>
      <w:bookmarkStart w:id="215" w:name="_Toc184313282"/>
      <w:bookmarkEnd w:id="215"/>
      <w:bookmarkStart w:id="216" w:name="_Toc184312071"/>
      <w:bookmarkEnd w:id="216"/>
      <w:bookmarkStart w:id="217" w:name="_Toc184313286"/>
      <w:bookmarkEnd w:id="217"/>
      <w:bookmarkStart w:id="218" w:name="_Toc184313238"/>
      <w:bookmarkEnd w:id="218"/>
      <w:bookmarkStart w:id="219" w:name="_Toc184310302"/>
      <w:bookmarkEnd w:id="219"/>
      <w:bookmarkStart w:id="220" w:name="_Toc184310327"/>
      <w:bookmarkEnd w:id="220"/>
      <w:bookmarkStart w:id="221" w:name="_Toc184314476"/>
      <w:bookmarkEnd w:id="221"/>
      <w:bookmarkStart w:id="222" w:name="_Toc184310338"/>
      <w:bookmarkEnd w:id="222"/>
      <w:bookmarkStart w:id="223" w:name="_Toc184308084"/>
      <w:bookmarkEnd w:id="223"/>
      <w:bookmarkStart w:id="224" w:name="_Toc184310330"/>
      <w:bookmarkEnd w:id="224"/>
      <w:bookmarkStart w:id="225" w:name="_Toc184310292"/>
      <w:bookmarkEnd w:id="225"/>
      <w:bookmarkStart w:id="226" w:name="_Toc184310294"/>
      <w:bookmarkEnd w:id="226"/>
      <w:bookmarkStart w:id="227" w:name="_Toc184313279"/>
      <w:bookmarkEnd w:id="227"/>
      <w:bookmarkStart w:id="228" w:name="_Toc184310297"/>
      <w:bookmarkEnd w:id="228"/>
      <w:bookmarkStart w:id="229" w:name="_Toc184310279"/>
      <w:bookmarkEnd w:id="229"/>
      <w:bookmarkStart w:id="230" w:name="_Toc184313309"/>
      <w:bookmarkEnd w:id="230"/>
      <w:bookmarkStart w:id="231" w:name="_Toc184312087"/>
      <w:bookmarkEnd w:id="231"/>
      <w:bookmarkStart w:id="232" w:name="_Toc184312137"/>
      <w:bookmarkEnd w:id="232"/>
      <w:bookmarkStart w:id="233" w:name="_Toc184313310"/>
      <w:bookmarkEnd w:id="233"/>
      <w:bookmarkStart w:id="234" w:name="_Toc184308063"/>
      <w:bookmarkEnd w:id="234"/>
      <w:bookmarkStart w:id="235" w:name="_Toc184310305"/>
      <w:bookmarkEnd w:id="235"/>
      <w:bookmarkStart w:id="236" w:name="_Toc184313258"/>
      <w:bookmarkEnd w:id="236"/>
      <w:bookmarkStart w:id="237" w:name="_Toc184310282"/>
      <w:bookmarkEnd w:id="237"/>
      <w:bookmarkStart w:id="238" w:name="_Toc184308094"/>
      <w:bookmarkEnd w:id="238"/>
      <w:bookmarkStart w:id="239" w:name="_Toc184314413"/>
      <w:bookmarkEnd w:id="239"/>
      <w:bookmarkStart w:id="240" w:name="_Toc184314410"/>
      <w:bookmarkEnd w:id="240"/>
      <w:bookmarkStart w:id="241" w:name="_Toc184312130"/>
      <w:bookmarkEnd w:id="241"/>
      <w:bookmarkStart w:id="242" w:name="_Toc184313273"/>
      <w:bookmarkEnd w:id="242"/>
      <w:bookmarkStart w:id="243" w:name="_Toc184312088"/>
      <w:bookmarkEnd w:id="243"/>
      <w:bookmarkStart w:id="244" w:name="_Toc184308100"/>
      <w:bookmarkEnd w:id="244"/>
      <w:bookmarkStart w:id="245" w:name="_Toc184313304"/>
      <w:bookmarkEnd w:id="245"/>
      <w:bookmarkStart w:id="246" w:name="_Toc184308055"/>
      <w:bookmarkEnd w:id="246"/>
      <w:bookmarkStart w:id="247" w:name="_Toc184314411"/>
      <w:bookmarkEnd w:id="247"/>
      <w:bookmarkStart w:id="248" w:name="_Toc184312109"/>
      <w:bookmarkEnd w:id="248"/>
      <w:bookmarkStart w:id="249" w:name="_Toc184313252"/>
      <w:bookmarkEnd w:id="249"/>
      <w:bookmarkStart w:id="250" w:name="_Toc184310287"/>
      <w:bookmarkEnd w:id="250"/>
      <w:bookmarkStart w:id="251" w:name="_Toc184308071"/>
      <w:bookmarkEnd w:id="251"/>
      <w:bookmarkStart w:id="252" w:name="_Toc184312124"/>
      <w:bookmarkEnd w:id="252"/>
      <w:bookmarkStart w:id="253" w:name="_Toc184308038"/>
      <w:bookmarkEnd w:id="253"/>
      <w:bookmarkStart w:id="254" w:name="_Toc184312079"/>
      <w:bookmarkEnd w:id="254"/>
      <w:bookmarkStart w:id="255" w:name="_Toc184313301"/>
      <w:bookmarkEnd w:id="255"/>
      <w:bookmarkStart w:id="256" w:name="_Toc184310281"/>
      <w:bookmarkEnd w:id="256"/>
      <w:bookmarkStart w:id="257" w:name="_Toc184312070"/>
      <w:bookmarkEnd w:id="257"/>
      <w:bookmarkStart w:id="258" w:name="_Toc184314432"/>
      <w:bookmarkEnd w:id="258"/>
      <w:bookmarkStart w:id="259" w:name="_Toc184310274"/>
      <w:bookmarkEnd w:id="259"/>
      <w:bookmarkStart w:id="260" w:name="_Toc184313248"/>
      <w:bookmarkEnd w:id="260"/>
      <w:bookmarkStart w:id="261" w:name="_Toc184314417"/>
      <w:bookmarkEnd w:id="261"/>
      <w:bookmarkStart w:id="262" w:name="_Toc184308050"/>
      <w:bookmarkEnd w:id="262"/>
      <w:bookmarkStart w:id="263" w:name="_Toc184308059"/>
      <w:bookmarkEnd w:id="263"/>
      <w:bookmarkStart w:id="264" w:name="_Toc184314441"/>
      <w:bookmarkEnd w:id="264"/>
      <w:bookmarkStart w:id="265" w:name="_Toc184312103"/>
      <w:bookmarkEnd w:id="265"/>
      <w:bookmarkStart w:id="266" w:name="_Toc184308060"/>
      <w:bookmarkEnd w:id="266"/>
      <w:bookmarkStart w:id="267" w:name="_Toc184313291"/>
      <w:bookmarkEnd w:id="267"/>
      <w:bookmarkStart w:id="268" w:name="_Toc184312083"/>
      <w:bookmarkEnd w:id="268"/>
      <w:bookmarkStart w:id="269" w:name="_Toc184310301"/>
      <w:bookmarkEnd w:id="269"/>
      <w:bookmarkStart w:id="270" w:name="_Toc184314464"/>
      <w:bookmarkEnd w:id="270"/>
      <w:bookmarkStart w:id="271" w:name="_Toc184313294"/>
      <w:bookmarkEnd w:id="271"/>
      <w:bookmarkStart w:id="272" w:name="_Toc184314422"/>
      <w:bookmarkEnd w:id="272"/>
      <w:bookmarkStart w:id="273" w:name="_Toc184308066"/>
      <w:bookmarkEnd w:id="273"/>
      <w:bookmarkStart w:id="274" w:name="_Toc184312108"/>
      <w:bookmarkEnd w:id="274"/>
      <w:bookmarkStart w:id="275" w:name="_Toc184310326"/>
      <w:bookmarkEnd w:id="275"/>
      <w:bookmarkStart w:id="276" w:name="_Toc184310284"/>
      <w:bookmarkEnd w:id="276"/>
      <w:bookmarkStart w:id="277" w:name="_Toc184310310"/>
      <w:bookmarkEnd w:id="277"/>
      <w:bookmarkStart w:id="278" w:name="_Toc184308052"/>
      <w:bookmarkEnd w:id="278"/>
      <w:bookmarkStart w:id="279" w:name="_Toc184310311"/>
      <w:bookmarkEnd w:id="279"/>
      <w:bookmarkStart w:id="280" w:name="_Toc184314437"/>
      <w:bookmarkEnd w:id="280"/>
      <w:bookmarkStart w:id="281" w:name="_Toc184308096"/>
      <w:bookmarkEnd w:id="281"/>
      <w:bookmarkStart w:id="282" w:name="_Toc184312105"/>
      <w:bookmarkEnd w:id="282"/>
      <w:bookmarkStart w:id="283" w:name="_Toc184310335"/>
      <w:bookmarkEnd w:id="283"/>
      <w:bookmarkStart w:id="284" w:name="_Toc184308107"/>
      <w:bookmarkEnd w:id="284"/>
      <w:bookmarkStart w:id="285" w:name="_Toc184310316"/>
      <w:bookmarkEnd w:id="285"/>
      <w:bookmarkStart w:id="286" w:name="_Toc184314433"/>
      <w:bookmarkEnd w:id="286"/>
      <w:bookmarkStart w:id="287" w:name="_Toc184313300"/>
      <w:bookmarkEnd w:id="287"/>
      <w:bookmarkStart w:id="288" w:name="_Toc184310308"/>
      <w:bookmarkEnd w:id="288"/>
      <w:bookmarkStart w:id="289" w:name="_Toc184310278"/>
      <w:bookmarkEnd w:id="289"/>
      <w:bookmarkStart w:id="290" w:name="_Toc184312112"/>
      <w:bookmarkEnd w:id="290"/>
      <w:bookmarkStart w:id="291" w:name="_Toc184310320"/>
      <w:bookmarkEnd w:id="291"/>
      <w:bookmarkStart w:id="292" w:name="_Toc184312134"/>
      <w:bookmarkEnd w:id="292"/>
      <w:bookmarkStart w:id="293" w:name="_Toc184312111"/>
      <w:bookmarkEnd w:id="293"/>
      <w:bookmarkStart w:id="294" w:name="_Toc184310331"/>
      <w:bookmarkEnd w:id="294"/>
      <w:bookmarkStart w:id="295" w:name="_Toc184313269"/>
      <w:bookmarkEnd w:id="295"/>
      <w:bookmarkStart w:id="296" w:name="_Toc184312089"/>
      <w:bookmarkEnd w:id="296"/>
      <w:bookmarkStart w:id="297" w:name="_Toc184312102"/>
      <w:bookmarkEnd w:id="297"/>
      <w:bookmarkStart w:id="298" w:name="_Toc184312077"/>
      <w:bookmarkEnd w:id="298"/>
      <w:bookmarkStart w:id="299" w:name="_Toc184312080"/>
      <w:bookmarkEnd w:id="299"/>
      <w:bookmarkStart w:id="300" w:name="_Toc184314449"/>
      <w:bookmarkEnd w:id="300"/>
      <w:bookmarkStart w:id="301" w:name="_Toc184314443"/>
      <w:bookmarkEnd w:id="301"/>
      <w:bookmarkStart w:id="302" w:name="_Toc184308069"/>
      <w:bookmarkEnd w:id="302"/>
      <w:bookmarkStart w:id="303" w:name="_Toc184308103"/>
      <w:bookmarkEnd w:id="303"/>
      <w:bookmarkStart w:id="304" w:name="_Toc184313296"/>
      <w:bookmarkEnd w:id="304"/>
      <w:bookmarkStart w:id="305" w:name="_Toc184308082"/>
      <w:bookmarkEnd w:id="305"/>
      <w:bookmarkStart w:id="306" w:name="_Toc184314453"/>
      <w:bookmarkEnd w:id="306"/>
      <w:bookmarkStart w:id="307" w:name="_Toc184314445"/>
      <w:bookmarkEnd w:id="307"/>
      <w:bookmarkStart w:id="308" w:name="_Toc184310325"/>
      <w:bookmarkEnd w:id="308"/>
      <w:bookmarkStart w:id="309" w:name="_Toc184313265"/>
      <w:bookmarkEnd w:id="309"/>
      <w:bookmarkStart w:id="310" w:name="_Toc184313305"/>
      <w:bookmarkEnd w:id="310"/>
      <w:bookmarkStart w:id="311" w:name="_Toc184314446"/>
      <w:bookmarkEnd w:id="311"/>
      <w:bookmarkStart w:id="312" w:name="_Toc184310304"/>
      <w:bookmarkEnd w:id="312"/>
      <w:bookmarkStart w:id="313" w:name="_Toc184314451"/>
      <w:bookmarkEnd w:id="313"/>
      <w:bookmarkStart w:id="314" w:name="_Toc184314426"/>
      <w:bookmarkEnd w:id="314"/>
      <w:bookmarkStart w:id="315" w:name="_Toc184314423"/>
      <w:bookmarkEnd w:id="315"/>
      <w:bookmarkStart w:id="316" w:name="_Toc184308090"/>
      <w:bookmarkEnd w:id="316"/>
      <w:bookmarkStart w:id="317" w:name="_Toc184313290"/>
      <w:bookmarkEnd w:id="317"/>
      <w:bookmarkStart w:id="318" w:name="_Toc184314466"/>
      <w:bookmarkEnd w:id="318"/>
      <w:bookmarkStart w:id="319" w:name="_Toc184313256"/>
      <w:bookmarkEnd w:id="319"/>
      <w:bookmarkStart w:id="320" w:name="_Toc184312125"/>
      <w:bookmarkEnd w:id="320"/>
      <w:bookmarkStart w:id="321" w:name="_Toc184308077"/>
      <w:bookmarkEnd w:id="321"/>
      <w:bookmarkStart w:id="322" w:name="_Toc184314462"/>
      <w:bookmarkEnd w:id="322"/>
      <w:bookmarkStart w:id="323" w:name="_Toc184313298"/>
      <w:bookmarkEnd w:id="323"/>
      <w:bookmarkStart w:id="324" w:name="_Toc184312097"/>
      <w:bookmarkEnd w:id="324"/>
      <w:bookmarkStart w:id="325" w:name="_Toc184312114"/>
      <w:bookmarkEnd w:id="325"/>
      <w:bookmarkStart w:id="326" w:name="_Toc184313263"/>
      <w:bookmarkEnd w:id="326"/>
      <w:bookmarkStart w:id="327" w:name="_Toc184314469"/>
      <w:bookmarkEnd w:id="327"/>
      <w:bookmarkStart w:id="328" w:name="_Toc184314461"/>
      <w:bookmarkEnd w:id="328"/>
      <w:bookmarkStart w:id="329" w:name="_Toc184308108"/>
      <w:bookmarkEnd w:id="329"/>
      <w:bookmarkStart w:id="330" w:name="_Toc184308070"/>
      <w:bookmarkEnd w:id="330"/>
      <w:bookmarkStart w:id="331" w:name="_Toc184312081"/>
      <w:bookmarkEnd w:id="331"/>
      <w:bookmarkStart w:id="332" w:name="_Toc184308047"/>
      <w:bookmarkEnd w:id="332"/>
      <w:bookmarkStart w:id="333" w:name="_Toc184310300"/>
      <w:bookmarkEnd w:id="333"/>
      <w:bookmarkStart w:id="334" w:name="_Toc184310280"/>
      <w:bookmarkEnd w:id="334"/>
      <w:bookmarkStart w:id="335" w:name="_Toc184312110"/>
      <w:bookmarkEnd w:id="335"/>
      <w:bookmarkStart w:id="336" w:name="_Toc184310295"/>
      <w:bookmarkEnd w:id="336"/>
      <w:bookmarkStart w:id="337" w:name="_Toc184308080"/>
      <w:bookmarkEnd w:id="337"/>
      <w:bookmarkStart w:id="338" w:name="_Toc184312074"/>
      <w:bookmarkEnd w:id="338"/>
      <w:bookmarkStart w:id="339" w:name="_Toc184313250"/>
      <w:bookmarkEnd w:id="339"/>
      <w:bookmarkStart w:id="340" w:name="_Toc184310290"/>
      <w:bookmarkEnd w:id="340"/>
      <w:bookmarkStart w:id="341" w:name="_Toc184312132"/>
      <w:bookmarkEnd w:id="341"/>
      <w:bookmarkStart w:id="342" w:name="_Toc184313261"/>
      <w:bookmarkEnd w:id="342"/>
      <w:bookmarkStart w:id="343" w:name="_Toc184314452"/>
      <w:bookmarkEnd w:id="343"/>
      <w:bookmarkStart w:id="344" w:name="_Toc184313246"/>
      <w:bookmarkEnd w:id="344"/>
      <w:bookmarkStart w:id="345" w:name="_Toc184310342"/>
      <w:bookmarkEnd w:id="345"/>
      <w:bookmarkStart w:id="346" w:name="_Toc184314442"/>
      <w:bookmarkEnd w:id="346"/>
      <w:bookmarkStart w:id="347" w:name="_Toc184308068"/>
      <w:bookmarkEnd w:id="347"/>
      <w:bookmarkStart w:id="348" w:name="_Toc184310339"/>
      <w:bookmarkEnd w:id="348"/>
      <w:bookmarkStart w:id="349" w:name="_Toc184314412"/>
      <w:bookmarkEnd w:id="349"/>
      <w:bookmarkStart w:id="350" w:name="_Toc184310312"/>
      <w:bookmarkEnd w:id="350"/>
      <w:bookmarkStart w:id="351" w:name="_Toc184308078"/>
      <w:bookmarkEnd w:id="351"/>
      <w:bookmarkStart w:id="352" w:name="_Toc184314438"/>
      <w:bookmarkEnd w:id="352"/>
      <w:bookmarkStart w:id="353" w:name="_Toc184314481"/>
      <w:bookmarkEnd w:id="353"/>
      <w:bookmarkStart w:id="354" w:name="_Toc184312076"/>
      <w:bookmarkEnd w:id="354"/>
      <w:bookmarkStart w:id="355" w:name="_Toc184313245"/>
      <w:bookmarkEnd w:id="355"/>
      <w:bookmarkStart w:id="356" w:name="_Toc184308087"/>
      <w:bookmarkEnd w:id="356"/>
      <w:bookmarkStart w:id="357" w:name="_Toc184314416"/>
      <w:bookmarkEnd w:id="357"/>
      <w:bookmarkStart w:id="358" w:name="_Toc184308045"/>
      <w:bookmarkEnd w:id="358"/>
      <w:bookmarkStart w:id="359" w:name="_Toc184310276"/>
      <w:bookmarkEnd w:id="359"/>
      <w:bookmarkStart w:id="360" w:name="_Toc184310329"/>
      <w:bookmarkEnd w:id="360"/>
      <w:bookmarkStart w:id="361" w:name="_Toc184312122"/>
      <w:bookmarkEnd w:id="361"/>
      <w:bookmarkStart w:id="362" w:name="_Toc184312073"/>
      <w:bookmarkEnd w:id="362"/>
      <w:bookmarkStart w:id="363" w:name="_Toc184308043"/>
      <w:bookmarkEnd w:id="363"/>
      <w:bookmarkStart w:id="364" w:name="_Toc184314448"/>
      <w:bookmarkEnd w:id="364"/>
      <w:bookmarkStart w:id="365" w:name="_Toc184312128"/>
      <w:bookmarkEnd w:id="365"/>
      <w:bookmarkStart w:id="366" w:name="_Toc184310277"/>
      <w:bookmarkEnd w:id="366"/>
      <w:bookmarkStart w:id="367" w:name="_Toc184313281"/>
      <w:bookmarkEnd w:id="367"/>
      <w:bookmarkStart w:id="368" w:name="_Toc184310318"/>
      <w:bookmarkEnd w:id="368"/>
      <w:bookmarkStart w:id="369" w:name="_Toc184314418"/>
      <w:bookmarkEnd w:id="369"/>
      <w:bookmarkStart w:id="370" w:name="_Toc184314427"/>
      <w:bookmarkEnd w:id="370"/>
      <w:bookmarkStart w:id="371" w:name="_Toc184314465"/>
      <w:bookmarkEnd w:id="371"/>
      <w:bookmarkStart w:id="372" w:name="_Toc184308046"/>
      <w:bookmarkEnd w:id="372"/>
      <w:bookmarkStart w:id="373" w:name="_Toc184314470"/>
      <w:bookmarkEnd w:id="373"/>
      <w:bookmarkStart w:id="374" w:name="_Toc184308098"/>
      <w:bookmarkEnd w:id="374"/>
      <w:bookmarkStart w:id="375" w:name="_Toc184312075"/>
      <w:bookmarkEnd w:id="375"/>
      <w:bookmarkStart w:id="376" w:name="_Toc184313260"/>
      <w:bookmarkEnd w:id="376"/>
      <w:bookmarkStart w:id="377" w:name="_Toc184314478"/>
      <w:bookmarkEnd w:id="377"/>
      <w:bookmarkStart w:id="378" w:name="_Toc184314428"/>
      <w:bookmarkEnd w:id="378"/>
      <w:bookmarkStart w:id="379" w:name="_Toc184313240"/>
      <w:bookmarkEnd w:id="379"/>
      <w:bookmarkStart w:id="380" w:name="_Toc184314425"/>
      <w:bookmarkEnd w:id="380"/>
      <w:bookmarkStart w:id="381" w:name="_Toc184312091"/>
      <w:bookmarkEnd w:id="381"/>
      <w:bookmarkStart w:id="382" w:name="_Toc184313302"/>
      <w:bookmarkEnd w:id="382"/>
      <w:bookmarkStart w:id="383" w:name="_Toc184314454"/>
      <w:bookmarkEnd w:id="383"/>
      <w:bookmarkStart w:id="384" w:name="_Toc184310293"/>
      <w:bookmarkEnd w:id="384"/>
      <w:bookmarkStart w:id="385" w:name="_Toc184310273"/>
      <w:bookmarkEnd w:id="385"/>
      <w:bookmarkStart w:id="386" w:name="_Toc184308056"/>
      <w:bookmarkEnd w:id="386"/>
      <w:bookmarkStart w:id="387" w:name="_Toc184312085"/>
      <w:bookmarkEnd w:id="387"/>
      <w:bookmarkStart w:id="388" w:name="_Toc184312082"/>
      <w:bookmarkEnd w:id="388"/>
      <w:bookmarkStart w:id="389" w:name="_Toc184308089"/>
      <w:bookmarkEnd w:id="389"/>
      <w:bookmarkStart w:id="390" w:name="_Toc184313276"/>
      <w:bookmarkEnd w:id="390"/>
      <w:bookmarkStart w:id="391" w:name="_Toc184314463"/>
      <w:bookmarkEnd w:id="391"/>
      <w:bookmarkStart w:id="392" w:name="_Toc184313299"/>
      <w:bookmarkEnd w:id="392"/>
      <w:bookmarkStart w:id="393" w:name="_Toc184308036"/>
      <w:bookmarkEnd w:id="393"/>
      <w:bookmarkStart w:id="394" w:name="_Toc184312123"/>
      <w:bookmarkEnd w:id="394"/>
      <w:bookmarkStart w:id="395" w:name="_Toc184314414"/>
      <w:bookmarkEnd w:id="395"/>
      <w:bookmarkStart w:id="396" w:name="_Toc184310336"/>
      <w:bookmarkEnd w:id="396"/>
      <w:bookmarkStart w:id="397" w:name="_Toc184312121"/>
      <w:bookmarkEnd w:id="397"/>
      <w:bookmarkStart w:id="398" w:name="_Toc184312092"/>
      <w:bookmarkEnd w:id="398"/>
      <w:bookmarkStart w:id="399" w:name="_Toc184308086"/>
      <w:bookmarkEnd w:id="399"/>
      <w:bookmarkStart w:id="400" w:name="_Toc184312086"/>
      <w:bookmarkEnd w:id="400"/>
      <w:bookmarkStart w:id="401" w:name="_Toc184308051"/>
      <w:bookmarkEnd w:id="401"/>
      <w:bookmarkStart w:id="402" w:name="_Toc184308104"/>
      <w:bookmarkEnd w:id="402"/>
      <w:bookmarkStart w:id="403" w:name="_Toc184312129"/>
      <w:bookmarkEnd w:id="403"/>
      <w:bookmarkStart w:id="404" w:name="_Toc184313303"/>
      <w:bookmarkEnd w:id="404"/>
      <w:bookmarkStart w:id="405" w:name="_Toc184313306"/>
      <w:bookmarkEnd w:id="405"/>
      <w:bookmarkStart w:id="406" w:name="_Toc184313283"/>
      <w:bookmarkEnd w:id="406"/>
      <w:bookmarkStart w:id="407" w:name="_Toc184308106"/>
      <w:bookmarkEnd w:id="407"/>
      <w:bookmarkStart w:id="408" w:name="_Toc184313275"/>
      <w:bookmarkEnd w:id="408"/>
      <w:bookmarkStart w:id="409" w:name="_Toc184313277"/>
      <w:bookmarkEnd w:id="409"/>
      <w:bookmarkStart w:id="410" w:name="_Toc184310309"/>
      <w:bookmarkEnd w:id="410"/>
      <w:bookmarkStart w:id="411" w:name="_Toc184313241"/>
      <w:bookmarkEnd w:id="411"/>
      <w:bookmarkStart w:id="412" w:name="_Toc184308039"/>
      <w:bookmarkEnd w:id="412"/>
      <w:bookmarkStart w:id="413" w:name="_Toc184308037"/>
      <w:bookmarkEnd w:id="413"/>
      <w:bookmarkStart w:id="414" w:name="_Toc184314429"/>
      <w:bookmarkEnd w:id="414"/>
      <w:bookmarkStart w:id="415" w:name="_Toc184310344"/>
      <w:bookmarkEnd w:id="415"/>
      <w:bookmarkStart w:id="416" w:name="_Toc184310324"/>
      <w:bookmarkEnd w:id="416"/>
      <w:bookmarkStart w:id="417" w:name="_Toc184308075"/>
      <w:bookmarkEnd w:id="417"/>
      <w:bookmarkStart w:id="418" w:name="_Toc184313295"/>
      <w:bookmarkEnd w:id="418"/>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pStyle w:val="83"/>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3、评分办法</w:t>
      </w:r>
    </w:p>
    <w:p>
      <w:pPr>
        <w:keepNext w:val="0"/>
        <w:keepLines w:val="0"/>
        <w:pageBreakBefore w:val="0"/>
        <w:widowControl w:val="0"/>
        <w:kinsoku/>
        <w:wordWrap/>
        <w:overflowPunct/>
        <w:topLinePunct w:val="0"/>
        <w:bidi w:val="0"/>
        <w:snapToGrid/>
        <w:spacing w:line="300" w:lineRule="auto"/>
        <w:ind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（1）满分为100分。总得分=商务技术得分+报价得分。</w:t>
      </w:r>
    </w:p>
    <w:p>
      <w:pPr>
        <w:keepNext w:val="0"/>
        <w:keepLines w:val="0"/>
        <w:pageBreakBefore w:val="0"/>
        <w:widowControl w:val="0"/>
        <w:kinsoku/>
        <w:wordWrap/>
        <w:overflowPunct/>
        <w:topLinePunct w:val="0"/>
        <w:bidi w:val="0"/>
        <w:snapToGrid/>
        <w:spacing w:line="300" w:lineRule="auto"/>
        <w:ind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（2）商务技术得分=商务技术评分，商务技术评分=所有评委的有效评分的算术平均数。</w:t>
      </w:r>
    </w:p>
    <w:p>
      <w:pPr>
        <w:keepNext w:val="0"/>
        <w:keepLines w:val="0"/>
        <w:pageBreakBefore w:val="0"/>
        <w:widowControl w:val="0"/>
        <w:kinsoku/>
        <w:wordWrap/>
        <w:overflowPunct/>
        <w:topLinePunct w:val="0"/>
        <w:bidi w:val="0"/>
        <w:snapToGrid/>
        <w:spacing w:line="30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（3）报价得分=（评标基准价/投标报价）*价格权值*100，评标基准价=</w:t>
      </w:r>
      <w:r>
        <w:rPr>
          <w:rFonts w:hint="eastAsia" w:ascii="宋体" w:hAnsi="宋体" w:cs="宋体"/>
          <w:color w:val="auto"/>
          <w:sz w:val="24"/>
          <w:highlight w:val="none"/>
          <w:lang w:val="en-US" w:eastAsia="zh-CN"/>
        </w:rPr>
        <w:t>有效投标人</w:t>
      </w:r>
      <w:r>
        <w:rPr>
          <w:rFonts w:hint="eastAsia" w:ascii="宋体" w:hAnsi="宋体" w:cs="宋体"/>
          <w:color w:val="auto"/>
          <w:sz w:val="24"/>
          <w:highlight w:val="none"/>
        </w:rPr>
        <w:t>的最低投标报价，价格权值=</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w:t>
      </w:r>
    </w:p>
    <w:p>
      <w:pPr>
        <w:keepNext w:val="0"/>
        <w:keepLines w:val="0"/>
        <w:pageBreakBefore w:val="0"/>
        <w:widowControl w:val="0"/>
        <w:kinsoku/>
        <w:wordWrap/>
        <w:overflowPunct/>
        <w:topLinePunct w:val="0"/>
        <w:bidi w:val="0"/>
        <w:snapToGrid/>
        <w:spacing w:line="30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（4）商务技术评分细则（</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分）</w:t>
      </w:r>
    </w:p>
    <w:tbl>
      <w:tblPr>
        <w:tblStyle w:val="65"/>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697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评标要点及说明</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第三方人工监管服务方案</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kern w:val="0"/>
                <w:sz w:val="24"/>
                <w:szCs w:val="24"/>
                <w:highlight w:val="none"/>
              </w:rPr>
              <w:t>处理工艺</w:t>
            </w:r>
            <w:r>
              <w:rPr>
                <w:rFonts w:hint="eastAsia" w:ascii="宋体" w:hAnsi="宋体" w:eastAsia="宋体" w:cs="宋体"/>
                <w:color w:val="auto"/>
                <w:kern w:val="0"/>
                <w:sz w:val="24"/>
                <w:szCs w:val="24"/>
                <w:highlight w:val="none"/>
                <w:lang w:val="en-US" w:eastAsia="zh-CN"/>
              </w:rPr>
              <w:t>及</w:t>
            </w:r>
            <w:r>
              <w:rPr>
                <w:rFonts w:hint="eastAsia" w:ascii="宋体" w:hAnsi="宋体" w:eastAsia="宋体" w:cs="宋体"/>
                <w:color w:val="auto"/>
                <w:kern w:val="0"/>
                <w:sz w:val="24"/>
                <w:szCs w:val="24"/>
                <w:highlight w:val="none"/>
              </w:rPr>
              <w:t>监管重点</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sz w:val="24"/>
                <w:szCs w:val="24"/>
                <w:highlight w:val="none"/>
              </w:rPr>
              <w:t>阐述</w:t>
            </w:r>
            <w:r>
              <w:rPr>
                <w:rFonts w:hint="eastAsia" w:ascii="宋体" w:hAnsi="宋体" w:eastAsia="宋体" w:cs="宋体"/>
                <w:color w:val="auto"/>
                <w:sz w:val="24"/>
                <w:szCs w:val="24"/>
                <w:highlight w:val="none"/>
                <w:lang w:val="en-US" w:eastAsia="zh-CN"/>
              </w:rPr>
              <w:t>是否清晰，方案是否全面、合理可行等进行打分，本项最高得4分</w:t>
            </w:r>
            <w:r>
              <w:rPr>
                <w:rFonts w:hint="eastAsia" w:ascii="宋体" w:hAnsi="宋体" w:eastAsia="宋体" w:cs="宋体"/>
                <w:color w:val="auto"/>
                <w:sz w:val="24"/>
                <w:szCs w:val="24"/>
                <w:highlight w:val="none"/>
                <w:lang w:eastAsia="zh-CN"/>
              </w:rPr>
              <w:t>。</w:t>
            </w:r>
          </w:p>
        </w:tc>
        <w:tc>
          <w:tcPr>
            <w:tcW w:w="907" w:type="dxa"/>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kern w:val="0"/>
                <w:sz w:val="24"/>
                <w:szCs w:val="24"/>
                <w:highlight w:val="none"/>
              </w:rPr>
              <w:t>日常工作方法</w:t>
            </w:r>
            <w:r>
              <w:rPr>
                <w:rFonts w:hint="eastAsia" w:ascii="宋体" w:hAnsi="宋体" w:eastAsia="宋体" w:cs="宋体"/>
                <w:color w:val="auto"/>
                <w:kern w:val="0"/>
                <w:sz w:val="24"/>
                <w:szCs w:val="24"/>
                <w:highlight w:val="none"/>
                <w:lang w:val="en-US" w:eastAsia="zh-CN"/>
              </w:rPr>
              <w:t>及</w:t>
            </w:r>
            <w:r>
              <w:rPr>
                <w:rFonts w:hint="eastAsia" w:ascii="宋体" w:hAnsi="宋体" w:eastAsia="宋体" w:cs="宋体"/>
                <w:color w:val="auto"/>
                <w:kern w:val="0"/>
                <w:sz w:val="24"/>
                <w:szCs w:val="24"/>
                <w:highlight w:val="none"/>
              </w:rPr>
              <w:t>监管服务流程</w:t>
            </w:r>
            <w:r>
              <w:rPr>
                <w:rFonts w:hint="eastAsia" w:ascii="宋体" w:hAnsi="宋体" w:eastAsia="宋体" w:cs="宋体"/>
                <w:color w:val="auto"/>
                <w:kern w:val="0"/>
                <w:sz w:val="24"/>
                <w:szCs w:val="24"/>
                <w:highlight w:val="none"/>
                <w:lang w:val="en-US" w:eastAsia="zh-CN"/>
              </w:rPr>
              <w:t>是否完善、具体可行等进行</w:t>
            </w:r>
            <w:r>
              <w:rPr>
                <w:rFonts w:hint="eastAsia" w:ascii="宋体" w:hAnsi="宋体" w:eastAsia="宋体" w:cs="宋体"/>
                <w:color w:val="auto"/>
                <w:sz w:val="24"/>
                <w:szCs w:val="24"/>
                <w:highlight w:val="none"/>
                <w:lang w:val="en-US" w:eastAsia="zh-CN"/>
              </w:rPr>
              <w:t>打分，本项最高得4分</w:t>
            </w:r>
            <w:r>
              <w:rPr>
                <w:rFonts w:hint="eastAsia" w:ascii="宋体" w:hAnsi="宋体" w:eastAsia="宋体" w:cs="宋体"/>
                <w:color w:val="auto"/>
                <w:sz w:val="24"/>
                <w:szCs w:val="24"/>
                <w:highlight w:val="none"/>
                <w:lang w:eastAsia="zh-CN"/>
              </w:rPr>
              <w:t>。</w:t>
            </w:r>
          </w:p>
        </w:tc>
        <w:tc>
          <w:tcPr>
            <w:tcW w:w="907" w:type="dxa"/>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kern w:val="0"/>
                <w:sz w:val="24"/>
                <w:szCs w:val="24"/>
                <w:highlight w:val="none"/>
              </w:rPr>
              <w:t>第三方人工监管服务制定的监管手册和考核评价办法</w:t>
            </w:r>
            <w:r>
              <w:rPr>
                <w:rFonts w:hint="eastAsia" w:ascii="宋体" w:hAnsi="宋体" w:eastAsia="宋体" w:cs="宋体"/>
                <w:color w:val="auto"/>
                <w:kern w:val="0"/>
                <w:sz w:val="24"/>
                <w:szCs w:val="24"/>
                <w:highlight w:val="none"/>
                <w:lang w:val="en-US" w:eastAsia="zh-CN"/>
              </w:rPr>
              <w:t>是否具体可行等进行打分，</w:t>
            </w:r>
            <w:r>
              <w:rPr>
                <w:rFonts w:hint="eastAsia" w:ascii="宋体" w:hAnsi="宋体" w:eastAsia="宋体" w:cs="宋体"/>
                <w:color w:val="auto"/>
                <w:sz w:val="24"/>
                <w:szCs w:val="24"/>
                <w:highlight w:val="none"/>
                <w:lang w:val="en-US" w:eastAsia="zh-CN"/>
              </w:rPr>
              <w:t>本项最高得4分</w:t>
            </w:r>
            <w:r>
              <w:rPr>
                <w:rFonts w:hint="eastAsia" w:ascii="宋体" w:hAnsi="宋体" w:eastAsia="宋体" w:cs="宋体"/>
                <w:color w:val="auto"/>
                <w:sz w:val="24"/>
                <w:szCs w:val="24"/>
                <w:highlight w:val="none"/>
                <w:lang w:eastAsia="zh-CN"/>
              </w:rPr>
              <w:t>。</w:t>
            </w:r>
          </w:p>
        </w:tc>
        <w:tc>
          <w:tcPr>
            <w:tcW w:w="907" w:type="dxa"/>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9"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远程智能监管方案</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kern w:val="0"/>
                <w:sz w:val="24"/>
                <w:szCs w:val="24"/>
                <w:highlight w:val="none"/>
              </w:rPr>
              <w:t>对智能远程监管服务的概述、服务思路及特点</w:t>
            </w:r>
            <w:r>
              <w:rPr>
                <w:rFonts w:hint="eastAsia" w:ascii="宋体" w:hAnsi="宋体" w:eastAsia="宋体" w:cs="宋体"/>
                <w:color w:val="auto"/>
                <w:sz w:val="24"/>
                <w:szCs w:val="24"/>
                <w:highlight w:val="none"/>
                <w:lang w:val="en-US" w:eastAsia="zh-CN"/>
              </w:rPr>
              <w:t>阐述是否明晰，是否符合项目要求等进行打分，本项最高得4分。</w:t>
            </w:r>
          </w:p>
        </w:tc>
        <w:tc>
          <w:tcPr>
            <w:tcW w:w="907" w:type="dxa"/>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kern w:val="0"/>
                <w:sz w:val="24"/>
                <w:szCs w:val="24"/>
                <w:highlight w:val="none"/>
                <w:lang w:val="en-US" w:eastAsia="zh-CN"/>
              </w:rPr>
              <w:t>提供的</w:t>
            </w:r>
            <w:r>
              <w:rPr>
                <w:rFonts w:hint="eastAsia" w:ascii="宋体" w:hAnsi="宋体" w:eastAsia="宋体" w:cs="宋体"/>
                <w:color w:val="auto"/>
                <w:kern w:val="0"/>
                <w:sz w:val="24"/>
                <w:szCs w:val="24"/>
                <w:highlight w:val="none"/>
              </w:rPr>
              <w:t>智能远程监管服务设计方案、监管内容</w:t>
            </w:r>
            <w:r>
              <w:rPr>
                <w:rFonts w:hint="eastAsia" w:ascii="宋体" w:hAnsi="宋体" w:eastAsia="宋体" w:cs="宋体"/>
                <w:color w:val="auto"/>
                <w:sz w:val="24"/>
                <w:szCs w:val="24"/>
                <w:highlight w:val="none"/>
                <w:lang w:val="en-US" w:eastAsia="zh-CN"/>
              </w:rPr>
              <w:t>是否完善、切实可行等进行打分，本项最高得4分。</w:t>
            </w:r>
          </w:p>
        </w:tc>
        <w:tc>
          <w:tcPr>
            <w:tcW w:w="907" w:type="dxa"/>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kern w:val="0"/>
                <w:sz w:val="24"/>
                <w:szCs w:val="24"/>
                <w:highlight w:val="none"/>
                <w:lang w:val="en-US" w:eastAsia="zh-CN"/>
              </w:rPr>
              <w:t>提供的</w:t>
            </w:r>
            <w:r>
              <w:rPr>
                <w:rFonts w:hint="eastAsia" w:ascii="宋体" w:hAnsi="宋体" w:eastAsia="宋体" w:cs="宋体"/>
                <w:color w:val="auto"/>
                <w:kern w:val="0"/>
                <w:sz w:val="24"/>
                <w:szCs w:val="24"/>
                <w:highlight w:val="none"/>
              </w:rPr>
              <w:t>智能远程监管服务的实施方案、验收方案</w:t>
            </w:r>
            <w:r>
              <w:rPr>
                <w:rFonts w:hint="eastAsia" w:ascii="宋体" w:hAnsi="宋体" w:eastAsia="宋体" w:cs="宋体"/>
                <w:color w:val="auto"/>
                <w:kern w:val="0"/>
                <w:sz w:val="24"/>
                <w:szCs w:val="24"/>
                <w:highlight w:val="none"/>
                <w:lang w:val="en-US" w:eastAsia="zh-CN"/>
              </w:rPr>
              <w:t>是否科学合理，具有建设性等进行打分，本项最高得4分。</w:t>
            </w:r>
          </w:p>
        </w:tc>
        <w:tc>
          <w:tcPr>
            <w:tcW w:w="907" w:type="dxa"/>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88"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应急处置方案</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kern w:val="0"/>
                <w:sz w:val="24"/>
                <w:szCs w:val="24"/>
                <w:highlight w:val="none"/>
              </w:rPr>
              <w:t>针对本项目提供整体的突发应急事件的治理预案及措施，</w:t>
            </w:r>
            <w:r>
              <w:rPr>
                <w:rFonts w:hint="eastAsia" w:ascii="宋体" w:hAnsi="宋体" w:eastAsia="宋体" w:cs="宋体"/>
                <w:color w:val="auto"/>
                <w:kern w:val="0"/>
                <w:sz w:val="24"/>
                <w:szCs w:val="24"/>
                <w:highlight w:val="none"/>
                <w:lang w:val="en-US" w:eastAsia="zh-CN"/>
              </w:rPr>
              <w:t>有否</w:t>
            </w:r>
            <w:r>
              <w:rPr>
                <w:rFonts w:hint="eastAsia" w:ascii="宋体" w:hAnsi="宋体" w:eastAsia="宋体" w:cs="宋体"/>
                <w:color w:val="auto"/>
                <w:kern w:val="0"/>
                <w:sz w:val="24"/>
                <w:szCs w:val="24"/>
                <w:highlight w:val="none"/>
              </w:rPr>
              <w:t>从安全、环保及影响垃圾处置突发事件三方面</w:t>
            </w:r>
            <w:r>
              <w:rPr>
                <w:rFonts w:hint="eastAsia" w:ascii="宋体" w:hAnsi="宋体" w:eastAsia="宋体" w:cs="宋体"/>
                <w:color w:val="auto"/>
                <w:kern w:val="0"/>
                <w:sz w:val="24"/>
                <w:szCs w:val="24"/>
                <w:highlight w:val="none"/>
                <w:lang w:val="en-US" w:eastAsia="zh-CN"/>
              </w:rPr>
              <w:t>进行</w:t>
            </w:r>
            <w:r>
              <w:rPr>
                <w:rFonts w:hint="eastAsia" w:ascii="宋体" w:hAnsi="宋体" w:eastAsia="宋体" w:cs="宋体"/>
                <w:color w:val="auto"/>
                <w:kern w:val="0"/>
                <w:sz w:val="24"/>
                <w:szCs w:val="24"/>
                <w:highlight w:val="none"/>
              </w:rPr>
              <w:t>阐述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是否合理可行等进行打分，本项最高得6分</w:t>
            </w:r>
            <w:r>
              <w:rPr>
                <w:rFonts w:hint="eastAsia" w:ascii="宋体" w:hAnsi="宋体" w:eastAsia="宋体" w:cs="宋体"/>
                <w:color w:val="auto"/>
                <w:kern w:val="0"/>
                <w:sz w:val="24"/>
                <w:szCs w:val="24"/>
                <w:highlight w:val="none"/>
                <w:lang w:eastAsia="zh-CN"/>
              </w:rPr>
              <w:t>。</w:t>
            </w:r>
          </w:p>
        </w:tc>
        <w:tc>
          <w:tcPr>
            <w:tcW w:w="907" w:type="dxa"/>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设备维护方案</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kern w:val="0"/>
                <w:sz w:val="24"/>
                <w:szCs w:val="24"/>
                <w:highlight w:val="none"/>
              </w:rPr>
              <w:t>针对本项目提供整体的设备维护方案，</w:t>
            </w:r>
            <w:r>
              <w:rPr>
                <w:rFonts w:hint="eastAsia" w:ascii="宋体" w:hAnsi="宋体" w:eastAsia="宋体" w:cs="宋体"/>
                <w:color w:val="auto"/>
                <w:kern w:val="0"/>
                <w:sz w:val="24"/>
                <w:szCs w:val="24"/>
                <w:highlight w:val="none"/>
                <w:lang w:val="en-US" w:eastAsia="zh-CN"/>
              </w:rPr>
              <w:t>有否</w:t>
            </w:r>
            <w:r>
              <w:rPr>
                <w:rFonts w:hint="eastAsia" w:ascii="宋体" w:hAnsi="宋体" w:eastAsia="宋体" w:cs="宋体"/>
                <w:color w:val="auto"/>
                <w:kern w:val="0"/>
                <w:sz w:val="24"/>
                <w:szCs w:val="24"/>
                <w:highlight w:val="none"/>
              </w:rPr>
              <w:t>从设备质保期限的承诺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后续技术支持和维护能力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服务承诺的保障措施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上门服务响应的时间四方面进行阐述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是否切实可行等进行打分，本项最高得4分</w:t>
            </w:r>
            <w:r>
              <w:rPr>
                <w:rFonts w:hint="eastAsia" w:ascii="宋体" w:hAnsi="宋体" w:eastAsia="宋体" w:cs="宋体"/>
                <w:color w:val="auto"/>
                <w:kern w:val="0"/>
                <w:sz w:val="24"/>
                <w:szCs w:val="24"/>
                <w:highlight w:val="none"/>
                <w:lang w:eastAsia="zh-CN"/>
              </w:rPr>
              <w:t>。</w:t>
            </w:r>
          </w:p>
        </w:tc>
        <w:tc>
          <w:tcPr>
            <w:tcW w:w="907" w:type="dxa"/>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359"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专家团队</w:t>
            </w:r>
          </w:p>
        </w:tc>
        <w:tc>
          <w:tcPr>
            <w:tcW w:w="6975" w:type="dxa"/>
            <w:tcBorders>
              <w:top w:val="single" w:color="auto" w:sz="4" w:space="0"/>
              <w:left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76" w:lineRule="auto"/>
              <w:ind w:right="105" w:rightChars="5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专家</w:t>
            </w:r>
            <w:r>
              <w:rPr>
                <w:rFonts w:hint="eastAsia" w:ascii="宋体" w:hAnsi="宋体" w:eastAsia="宋体" w:cs="宋体"/>
                <w:color w:val="auto"/>
                <w:kern w:val="0"/>
                <w:sz w:val="24"/>
                <w:szCs w:val="24"/>
                <w:highlight w:val="none"/>
              </w:rPr>
              <w:t>团队负责人具备热动、电力或环境专业高级及以上职称证书</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得3分，中级</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eastAsia="zh-CN"/>
              </w:rPr>
              <w:t>1分，其余不得分。</w:t>
            </w:r>
          </w:p>
          <w:p>
            <w:pPr>
              <w:keepNext w:val="0"/>
              <w:keepLines w:val="0"/>
              <w:pageBreakBefore w:val="0"/>
              <w:tabs>
                <w:tab w:val="left" w:pos="1080"/>
              </w:tabs>
              <w:kinsoku/>
              <w:wordWrap/>
              <w:overflowPunct/>
              <w:topLinePunct w:val="0"/>
              <w:autoSpaceDE w:val="0"/>
              <w:autoSpaceDN w:val="0"/>
              <w:bidi w:val="0"/>
              <w:adjustRightInd w:val="0"/>
              <w:snapToGrid/>
              <w:spacing w:line="288"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须</w:t>
            </w:r>
            <w:r>
              <w:rPr>
                <w:rFonts w:hint="eastAsia" w:ascii="宋体" w:hAnsi="宋体" w:eastAsia="宋体" w:cs="宋体"/>
                <w:b/>
                <w:bCs/>
                <w:color w:val="auto"/>
                <w:kern w:val="0"/>
                <w:sz w:val="24"/>
                <w:szCs w:val="24"/>
                <w:highlight w:val="none"/>
              </w:rPr>
              <w:t>提供</w:t>
            </w:r>
            <w:r>
              <w:rPr>
                <w:rFonts w:hint="eastAsia" w:ascii="宋体" w:hAnsi="宋体" w:eastAsia="宋体" w:cs="宋体"/>
                <w:b/>
                <w:bCs/>
                <w:color w:val="auto"/>
                <w:kern w:val="0"/>
                <w:sz w:val="24"/>
                <w:szCs w:val="24"/>
                <w:highlight w:val="none"/>
                <w:lang w:val="en-US" w:eastAsia="zh-CN"/>
              </w:rPr>
              <w:t>相关</w:t>
            </w:r>
            <w:r>
              <w:rPr>
                <w:rFonts w:hint="eastAsia" w:ascii="宋体" w:hAnsi="宋体" w:eastAsia="宋体" w:cs="宋体"/>
                <w:b/>
                <w:bCs/>
                <w:color w:val="auto"/>
                <w:kern w:val="0"/>
                <w:sz w:val="24"/>
                <w:szCs w:val="24"/>
                <w:highlight w:val="none"/>
              </w:rPr>
              <w:t>职称证书</w:t>
            </w:r>
            <w:r>
              <w:rPr>
                <w:rFonts w:hint="eastAsia" w:ascii="宋体" w:hAnsi="宋体" w:eastAsia="宋体" w:cs="宋体"/>
                <w:b/>
                <w:bCs/>
                <w:color w:val="auto"/>
                <w:kern w:val="0"/>
                <w:sz w:val="24"/>
                <w:szCs w:val="24"/>
                <w:highlight w:val="none"/>
                <w:lang w:val="en-US" w:eastAsia="zh-CN"/>
              </w:rPr>
              <w:t>复印件及投标人为其缴纳的近6个月社保证明加盖投标人CA公章，</w:t>
            </w:r>
            <w:r>
              <w:rPr>
                <w:rFonts w:hint="eastAsia" w:ascii="宋体" w:hAnsi="宋体" w:eastAsia="宋体" w:cs="宋体"/>
                <w:b/>
                <w:bCs/>
                <w:color w:val="auto"/>
                <w:kern w:val="0"/>
                <w:sz w:val="24"/>
                <w:szCs w:val="24"/>
                <w:highlight w:val="none"/>
              </w:rPr>
              <w:t>不提供</w:t>
            </w:r>
            <w:r>
              <w:rPr>
                <w:rFonts w:hint="eastAsia" w:ascii="宋体" w:hAnsi="宋体" w:eastAsia="宋体" w:cs="宋体"/>
                <w:b/>
                <w:bCs/>
                <w:color w:val="auto"/>
                <w:kern w:val="0"/>
                <w:sz w:val="24"/>
                <w:szCs w:val="24"/>
                <w:highlight w:val="none"/>
                <w:lang w:val="en-US" w:eastAsia="zh-CN"/>
              </w:rPr>
              <w:t>或提供不完全</w:t>
            </w:r>
            <w:r>
              <w:rPr>
                <w:rFonts w:hint="eastAsia" w:ascii="宋体" w:hAnsi="宋体" w:eastAsia="宋体" w:cs="宋体"/>
                <w:b/>
                <w:bCs/>
                <w:color w:val="auto"/>
                <w:kern w:val="0"/>
                <w:sz w:val="24"/>
                <w:szCs w:val="24"/>
                <w:highlight w:val="none"/>
              </w:rPr>
              <w:t>不得分）</w:t>
            </w:r>
          </w:p>
        </w:tc>
        <w:tc>
          <w:tcPr>
            <w:tcW w:w="907" w:type="dxa"/>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kern w:val="0"/>
                <w:sz w:val="24"/>
                <w:szCs w:val="24"/>
                <w:highlight w:val="none"/>
              </w:rPr>
            </w:pPr>
          </w:p>
        </w:tc>
        <w:tc>
          <w:tcPr>
            <w:tcW w:w="6975" w:type="dxa"/>
            <w:tcBorders>
              <w:top w:val="single" w:color="auto" w:sz="4" w:space="0"/>
              <w:left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76" w:lineRule="auto"/>
              <w:ind w:right="105" w:rightChars="5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专家</w:t>
            </w:r>
            <w:r>
              <w:rPr>
                <w:rFonts w:hint="eastAsia" w:ascii="宋体" w:hAnsi="宋体" w:eastAsia="宋体" w:cs="宋体"/>
                <w:color w:val="auto"/>
                <w:kern w:val="0"/>
                <w:sz w:val="24"/>
                <w:szCs w:val="24"/>
                <w:highlight w:val="none"/>
              </w:rPr>
              <w:t>团队负责人</w:t>
            </w:r>
            <w:r>
              <w:rPr>
                <w:rFonts w:hint="eastAsia" w:ascii="宋体" w:hAnsi="宋体" w:eastAsia="宋体" w:cs="宋体"/>
                <w:color w:val="auto"/>
                <w:kern w:val="0"/>
                <w:sz w:val="24"/>
                <w:szCs w:val="24"/>
                <w:highlight w:val="none"/>
                <w:lang w:val="en-US" w:eastAsia="zh-CN"/>
              </w:rPr>
              <w:t>具备生活垃圾处置终端智能+人工监管经验（以项目合同签订时间为准），每具有一年经验的得1分，最高得3分</w:t>
            </w:r>
            <w:r>
              <w:rPr>
                <w:rFonts w:hint="eastAsia" w:ascii="宋体" w:hAnsi="宋体" w:eastAsia="宋体" w:cs="宋体"/>
                <w:color w:val="auto"/>
                <w:kern w:val="0"/>
                <w:sz w:val="24"/>
                <w:szCs w:val="24"/>
                <w:highlight w:val="none"/>
                <w:lang w:eastAsia="zh-CN"/>
              </w:rPr>
              <w:t>。</w:t>
            </w:r>
          </w:p>
          <w:p>
            <w:pPr>
              <w:keepNext w:val="0"/>
              <w:keepLines w:val="0"/>
              <w:pageBreakBefore w:val="0"/>
              <w:tabs>
                <w:tab w:val="left" w:pos="1080"/>
              </w:tabs>
              <w:kinsoku/>
              <w:wordWrap/>
              <w:overflowPunct/>
              <w:topLinePunct w:val="0"/>
              <w:autoSpaceDE w:val="0"/>
              <w:autoSpaceDN w:val="0"/>
              <w:bidi w:val="0"/>
              <w:adjustRightInd w:val="0"/>
              <w:snapToGrid/>
              <w:spacing w:line="288"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须</w:t>
            </w:r>
            <w:r>
              <w:rPr>
                <w:rFonts w:hint="eastAsia" w:ascii="宋体" w:hAnsi="宋体" w:eastAsia="宋体" w:cs="宋体"/>
                <w:b/>
                <w:bCs/>
                <w:color w:val="auto"/>
                <w:kern w:val="0"/>
                <w:sz w:val="24"/>
                <w:szCs w:val="24"/>
                <w:highlight w:val="none"/>
              </w:rPr>
              <w:t>提供</w:t>
            </w:r>
            <w:r>
              <w:rPr>
                <w:rFonts w:hint="eastAsia" w:ascii="宋体" w:hAnsi="宋体" w:eastAsia="宋体" w:cs="宋体"/>
                <w:b/>
                <w:bCs/>
                <w:color w:val="auto"/>
                <w:kern w:val="0"/>
                <w:sz w:val="24"/>
                <w:szCs w:val="24"/>
                <w:highlight w:val="none"/>
                <w:lang w:val="en-US" w:eastAsia="zh-CN"/>
              </w:rPr>
              <w:t>相关经验证明材料（须体现监管方式及监管人员并有用户单位盖章）及投标人为其缴纳的近6个月社保证明加盖投标人CA公章，</w:t>
            </w:r>
            <w:r>
              <w:rPr>
                <w:rFonts w:hint="eastAsia" w:ascii="宋体" w:hAnsi="宋体" w:eastAsia="宋体" w:cs="宋体"/>
                <w:b/>
                <w:bCs/>
                <w:color w:val="auto"/>
                <w:kern w:val="0"/>
                <w:sz w:val="24"/>
                <w:szCs w:val="24"/>
                <w:highlight w:val="none"/>
              </w:rPr>
              <w:t>不提供</w:t>
            </w:r>
            <w:r>
              <w:rPr>
                <w:rFonts w:hint="eastAsia" w:ascii="宋体" w:hAnsi="宋体" w:eastAsia="宋体" w:cs="宋体"/>
                <w:b/>
                <w:bCs/>
                <w:color w:val="auto"/>
                <w:kern w:val="0"/>
                <w:sz w:val="24"/>
                <w:szCs w:val="24"/>
                <w:highlight w:val="none"/>
                <w:lang w:val="en-US" w:eastAsia="zh-CN"/>
              </w:rPr>
              <w:t>或提供不完全</w:t>
            </w:r>
            <w:r>
              <w:rPr>
                <w:rFonts w:hint="eastAsia" w:ascii="宋体" w:hAnsi="宋体" w:eastAsia="宋体" w:cs="宋体"/>
                <w:b/>
                <w:bCs/>
                <w:color w:val="auto"/>
                <w:kern w:val="0"/>
                <w:sz w:val="24"/>
                <w:szCs w:val="24"/>
                <w:highlight w:val="none"/>
              </w:rPr>
              <w:t>不得分）</w:t>
            </w:r>
          </w:p>
        </w:tc>
        <w:tc>
          <w:tcPr>
            <w:tcW w:w="907" w:type="dxa"/>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13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kern w:val="0"/>
                <w:sz w:val="24"/>
                <w:szCs w:val="24"/>
                <w:highlight w:val="none"/>
              </w:rPr>
            </w:pPr>
          </w:p>
        </w:tc>
        <w:tc>
          <w:tcPr>
            <w:tcW w:w="6975" w:type="dxa"/>
            <w:tcBorders>
              <w:top w:val="single" w:color="auto" w:sz="4" w:space="0"/>
              <w:left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76" w:lineRule="auto"/>
              <w:ind w:right="105" w:rightChars="5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专家团队成员参编或参审过市级生活垃圾运行监管标准，有一个得1分，省级及以上的有一个得3分，本项最高得6分。</w:t>
            </w:r>
          </w:p>
          <w:p>
            <w:pPr>
              <w:keepNext w:val="0"/>
              <w:keepLines w:val="0"/>
              <w:pageBreakBefore w:val="0"/>
              <w:tabs>
                <w:tab w:val="left" w:pos="1080"/>
              </w:tabs>
              <w:kinsoku/>
              <w:wordWrap/>
              <w:overflowPunct/>
              <w:topLinePunct w:val="0"/>
              <w:autoSpaceDE w:val="0"/>
              <w:autoSpaceDN w:val="0"/>
              <w:bidi w:val="0"/>
              <w:adjustRightInd w:val="0"/>
              <w:snapToGrid/>
              <w:spacing w:line="288"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须</w:t>
            </w:r>
            <w:r>
              <w:rPr>
                <w:rFonts w:hint="eastAsia" w:ascii="宋体" w:hAnsi="宋体" w:eastAsia="宋体" w:cs="宋体"/>
                <w:b/>
                <w:bCs/>
                <w:color w:val="auto"/>
                <w:kern w:val="0"/>
                <w:sz w:val="24"/>
                <w:szCs w:val="24"/>
                <w:highlight w:val="none"/>
              </w:rPr>
              <w:t>提供相关标准封面及含编审名单的扉页</w:t>
            </w:r>
            <w:r>
              <w:rPr>
                <w:rFonts w:hint="eastAsia" w:ascii="宋体" w:hAnsi="宋体" w:eastAsia="宋体" w:cs="宋体"/>
                <w:b/>
                <w:bCs/>
                <w:color w:val="auto"/>
                <w:kern w:val="0"/>
                <w:sz w:val="24"/>
                <w:szCs w:val="24"/>
                <w:highlight w:val="none"/>
                <w:lang w:val="en-US" w:eastAsia="zh-CN"/>
              </w:rPr>
              <w:t>复印件、</w:t>
            </w:r>
            <w:r>
              <w:rPr>
                <w:rFonts w:hint="eastAsia" w:ascii="宋体" w:hAnsi="宋体" w:eastAsia="宋体" w:cs="宋体"/>
                <w:b/>
                <w:bCs/>
                <w:color w:val="auto"/>
                <w:kern w:val="0"/>
                <w:sz w:val="24"/>
                <w:szCs w:val="24"/>
                <w:highlight w:val="none"/>
              </w:rPr>
              <w:t>投标</w:t>
            </w:r>
            <w:r>
              <w:rPr>
                <w:rFonts w:hint="eastAsia" w:ascii="宋体" w:hAnsi="宋体" w:eastAsia="宋体" w:cs="宋体"/>
                <w:b/>
                <w:bCs/>
                <w:color w:val="auto"/>
                <w:kern w:val="0"/>
                <w:sz w:val="24"/>
                <w:szCs w:val="24"/>
                <w:highlight w:val="none"/>
                <w:lang w:val="en-US" w:eastAsia="zh-CN"/>
              </w:rPr>
              <w:t>人</w:t>
            </w:r>
            <w:r>
              <w:rPr>
                <w:rFonts w:hint="eastAsia" w:ascii="宋体" w:hAnsi="宋体" w:eastAsia="宋体" w:cs="宋体"/>
                <w:b/>
                <w:bCs/>
                <w:color w:val="auto"/>
                <w:kern w:val="0"/>
                <w:sz w:val="24"/>
                <w:szCs w:val="24"/>
                <w:highlight w:val="none"/>
              </w:rPr>
              <w:t>为其缴纳的</w:t>
            </w:r>
            <w:r>
              <w:rPr>
                <w:rFonts w:hint="eastAsia" w:ascii="宋体" w:hAnsi="宋体" w:eastAsia="宋体" w:cs="宋体"/>
                <w:b/>
                <w:bCs/>
                <w:color w:val="auto"/>
                <w:kern w:val="0"/>
                <w:sz w:val="24"/>
                <w:szCs w:val="24"/>
                <w:highlight w:val="none"/>
                <w:lang w:val="en-US" w:eastAsia="zh-CN"/>
              </w:rPr>
              <w:t>近6个月</w:t>
            </w:r>
            <w:r>
              <w:rPr>
                <w:rFonts w:hint="eastAsia" w:ascii="宋体" w:hAnsi="宋体" w:eastAsia="宋体" w:cs="宋体"/>
                <w:b/>
                <w:bCs/>
                <w:color w:val="auto"/>
                <w:kern w:val="0"/>
                <w:sz w:val="24"/>
                <w:szCs w:val="24"/>
                <w:highlight w:val="none"/>
              </w:rPr>
              <w:t>社保证明</w:t>
            </w:r>
            <w:r>
              <w:rPr>
                <w:rFonts w:hint="eastAsia" w:ascii="宋体" w:hAnsi="宋体" w:eastAsia="宋体" w:cs="宋体"/>
                <w:b/>
                <w:bCs/>
                <w:color w:val="auto"/>
                <w:kern w:val="0"/>
                <w:sz w:val="24"/>
                <w:szCs w:val="24"/>
                <w:highlight w:val="none"/>
                <w:lang w:val="en-US" w:eastAsia="zh-CN"/>
              </w:rPr>
              <w:t>加盖投标人公章，</w:t>
            </w:r>
            <w:r>
              <w:rPr>
                <w:rFonts w:hint="eastAsia" w:ascii="宋体" w:hAnsi="宋体" w:eastAsia="宋体" w:cs="宋体"/>
                <w:b/>
                <w:bCs/>
                <w:color w:val="auto"/>
                <w:kern w:val="0"/>
                <w:sz w:val="24"/>
                <w:szCs w:val="24"/>
                <w:highlight w:val="none"/>
              </w:rPr>
              <w:t>不提供</w:t>
            </w:r>
            <w:r>
              <w:rPr>
                <w:rFonts w:hint="eastAsia" w:ascii="宋体" w:hAnsi="宋体" w:eastAsia="宋体" w:cs="宋体"/>
                <w:b/>
                <w:bCs/>
                <w:color w:val="auto"/>
                <w:kern w:val="0"/>
                <w:sz w:val="24"/>
                <w:szCs w:val="24"/>
                <w:highlight w:val="none"/>
                <w:lang w:val="en-US" w:eastAsia="zh-CN"/>
              </w:rPr>
              <w:t>或提供不完全</w:t>
            </w:r>
            <w:r>
              <w:rPr>
                <w:rFonts w:hint="eastAsia" w:ascii="宋体" w:hAnsi="宋体" w:eastAsia="宋体" w:cs="宋体"/>
                <w:b/>
                <w:bCs/>
                <w:color w:val="auto"/>
                <w:kern w:val="0"/>
                <w:sz w:val="24"/>
                <w:szCs w:val="24"/>
                <w:highlight w:val="none"/>
              </w:rPr>
              <w:t>不得分）</w:t>
            </w:r>
          </w:p>
        </w:tc>
        <w:tc>
          <w:tcPr>
            <w:tcW w:w="907" w:type="dxa"/>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kern w:val="0"/>
                <w:sz w:val="24"/>
                <w:szCs w:val="24"/>
                <w:highlight w:val="none"/>
              </w:rPr>
            </w:pPr>
          </w:p>
        </w:tc>
        <w:tc>
          <w:tcPr>
            <w:tcW w:w="6975" w:type="dxa"/>
            <w:tcBorders>
              <w:top w:val="single" w:color="auto" w:sz="4" w:space="0"/>
              <w:left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76" w:lineRule="auto"/>
              <w:ind w:right="105" w:rightChars="5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专家团队成员（负责人除外）具有环保、电子信息、热动、电力相关专业的中级技术职称的每人得1分，具有高级及以上技术职称的每人得2分，本项最高得4分（同一专业只计算一次，不重复得分）。</w:t>
            </w:r>
          </w:p>
          <w:p>
            <w:pPr>
              <w:keepNext w:val="0"/>
              <w:keepLines w:val="0"/>
              <w:pageBreakBefore w:val="0"/>
              <w:tabs>
                <w:tab w:val="left" w:pos="1080"/>
              </w:tabs>
              <w:kinsoku/>
              <w:wordWrap/>
              <w:overflowPunct/>
              <w:topLinePunct w:val="0"/>
              <w:autoSpaceDE w:val="0"/>
              <w:autoSpaceDN w:val="0"/>
              <w:bidi w:val="0"/>
              <w:adjustRightInd w:val="0"/>
              <w:snapToGrid/>
              <w:spacing w:line="288" w:lineRule="auto"/>
              <w:jc w:val="left"/>
              <w:rPr>
                <w:rFonts w:hint="default" w:ascii="宋体" w:hAnsi="宋体" w:eastAsia="宋体" w:cs="宋体"/>
                <w:color w:val="auto"/>
                <w:kern w:val="0"/>
                <w:sz w:val="24"/>
                <w:szCs w:val="24"/>
                <w:highlight w:val="none"/>
                <w:lang w:val="en-US"/>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须</w:t>
            </w:r>
            <w:r>
              <w:rPr>
                <w:rFonts w:hint="eastAsia" w:ascii="宋体" w:hAnsi="宋体" w:eastAsia="宋体" w:cs="宋体"/>
                <w:b/>
                <w:bCs/>
                <w:color w:val="auto"/>
                <w:kern w:val="0"/>
                <w:sz w:val="24"/>
                <w:szCs w:val="24"/>
                <w:highlight w:val="none"/>
              </w:rPr>
              <w:t>提供</w:t>
            </w:r>
            <w:r>
              <w:rPr>
                <w:rFonts w:hint="eastAsia" w:ascii="宋体" w:hAnsi="宋体" w:eastAsia="宋体" w:cs="宋体"/>
                <w:b/>
                <w:bCs/>
                <w:color w:val="auto"/>
                <w:kern w:val="0"/>
                <w:sz w:val="24"/>
                <w:szCs w:val="24"/>
                <w:highlight w:val="none"/>
                <w:lang w:val="en-US" w:eastAsia="zh-CN"/>
              </w:rPr>
              <w:t>相关</w:t>
            </w:r>
            <w:r>
              <w:rPr>
                <w:rFonts w:hint="eastAsia" w:ascii="宋体" w:hAnsi="宋体" w:eastAsia="宋体" w:cs="宋体"/>
                <w:b/>
                <w:bCs/>
                <w:color w:val="auto"/>
                <w:kern w:val="0"/>
                <w:sz w:val="24"/>
                <w:szCs w:val="24"/>
                <w:highlight w:val="none"/>
              </w:rPr>
              <w:t>职称证书</w:t>
            </w:r>
            <w:r>
              <w:rPr>
                <w:rFonts w:hint="eastAsia" w:ascii="宋体" w:hAnsi="宋体" w:eastAsia="宋体" w:cs="宋体"/>
                <w:b/>
                <w:bCs/>
                <w:color w:val="auto"/>
                <w:kern w:val="0"/>
                <w:sz w:val="24"/>
                <w:szCs w:val="24"/>
                <w:highlight w:val="none"/>
                <w:lang w:val="en-US" w:eastAsia="zh-CN"/>
              </w:rPr>
              <w:t>复印件及</w:t>
            </w:r>
            <w:r>
              <w:rPr>
                <w:rFonts w:hint="eastAsia" w:ascii="宋体" w:hAnsi="宋体" w:eastAsia="宋体" w:cs="宋体"/>
                <w:b/>
                <w:bCs/>
                <w:color w:val="auto"/>
                <w:kern w:val="0"/>
                <w:sz w:val="24"/>
                <w:szCs w:val="24"/>
                <w:highlight w:val="none"/>
              </w:rPr>
              <w:t>投标</w:t>
            </w:r>
            <w:r>
              <w:rPr>
                <w:rFonts w:hint="eastAsia" w:ascii="宋体" w:hAnsi="宋体" w:eastAsia="宋体" w:cs="宋体"/>
                <w:b/>
                <w:bCs/>
                <w:color w:val="auto"/>
                <w:kern w:val="0"/>
                <w:sz w:val="24"/>
                <w:szCs w:val="24"/>
                <w:highlight w:val="none"/>
                <w:lang w:val="en-US" w:eastAsia="zh-CN"/>
              </w:rPr>
              <w:t>人</w:t>
            </w:r>
            <w:r>
              <w:rPr>
                <w:rFonts w:hint="eastAsia" w:ascii="宋体" w:hAnsi="宋体" w:eastAsia="宋体" w:cs="宋体"/>
                <w:b/>
                <w:bCs/>
                <w:color w:val="auto"/>
                <w:kern w:val="0"/>
                <w:sz w:val="24"/>
                <w:szCs w:val="24"/>
                <w:highlight w:val="none"/>
              </w:rPr>
              <w:t>为其缴纳的</w:t>
            </w:r>
            <w:r>
              <w:rPr>
                <w:rFonts w:hint="eastAsia" w:ascii="宋体" w:hAnsi="宋体" w:eastAsia="宋体" w:cs="宋体"/>
                <w:b/>
                <w:bCs/>
                <w:color w:val="auto"/>
                <w:kern w:val="0"/>
                <w:sz w:val="24"/>
                <w:szCs w:val="24"/>
                <w:highlight w:val="none"/>
                <w:lang w:val="en-US" w:eastAsia="zh-CN"/>
              </w:rPr>
              <w:t>近6个月</w:t>
            </w:r>
            <w:r>
              <w:rPr>
                <w:rFonts w:hint="eastAsia" w:ascii="宋体" w:hAnsi="宋体" w:eastAsia="宋体" w:cs="宋体"/>
                <w:b/>
                <w:bCs/>
                <w:color w:val="auto"/>
                <w:kern w:val="0"/>
                <w:sz w:val="24"/>
                <w:szCs w:val="24"/>
                <w:highlight w:val="none"/>
              </w:rPr>
              <w:t>社保证明</w:t>
            </w:r>
            <w:r>
              <w:rPr>
                <w:rFonts w:hint="eastAsia" w:ascii="宋体" w:hAnsi="宋体" w:eastAsia="宋体" w:cs="宋体"/>
                <w:b/>
                <w:bCs/>
                <w:color w:val="auto"/>
                <w:kern w:val="0"/>
                <w:sz w:val="24"/>
                <w:szCs w:val="24"/>
                <w:highlight w:val="none"/>
                <w:lang w:val="en-US" w:eastAsia="zh-CN"/>
              </w:rPr>
              <w:t>加盖投标人公章，</w:t>
            </w:r>
            <w:r>
              <w:rPr>
                <w:rFonts w:hint="eastAsia" w:ascii="宋体" w:hAnsi="宋体" w:eastAsia="宋体" w:cs="宋体"/>
                <w:b/>
                <w:bCs/>
                <w:color w:val="auto"/>
                <w:kern w:val="0"/>
                <w:sz w:val="24"/>
                <w:szCs w:val="24"/>
                <w:highlight w:val="none"/>
              </w:rPr>
              <w:t>不提供</w:t>
            </w:r>
            <w:r>
              <w:rPr>
                <w:rFonts w:hint="eastAsia" w:ascii="宋体" w:hAnsi="宋体" w:eastAsia="宋体" w:cs="宋体"/>
                <w:b/>
                <w:bCs/>
                <w:color w:val="auto"/>
                <w:kern w:val="0"/>
                <w:sz w:val="24"/>
                <w:szCs w:val="24"/>
                <w:highlight w:val="none"/>
                <w:lang w:val="en-US" w:eastAsia="zh-CN"/>
              </w:rPr>
              <w:t>或提供不完全</w:t>
            </w:r>
            <w:r>
              <w:rPr>
                <w:rFonts w:hint="eastAsia" w:ascii="宋体" w:hAnsi="宋体" w:eastAsia="宋体" w:cs="宋体"/>
                <w:b/>
                <w:bCs/>
                <w:color w:val="auto"/>
                <w:kern w:val="0"/>
                <w:sz w:val="24"/>
                <w:szCs w:val="24"/>
                <w:highlight w:val="none"/>
              </w:rPr>
              <w:t>不得分）</w:t>
            </w:r>
          </w:p>
        </w:tc>
        <w:tc>
          <w:tcPr>
            <w:tcW w:w="907" w:type="dxa"/>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9"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w:t>
            </w:r>
            <w:r>
              <w:rPr>
                <w:rFonts w:hint="eastAsia" w:ascii="宋体" w:hAnsi="宋体" w:eastAsia="宋体" w:cs="宋体"/>
                <w:color w:val="auto"/>
                <w:kern w:val="0"/>
                <w:sz w:val="24"/>
                <w:szCs w:val="24"/>
                <w:highlight w:val="none"/>
                <w:lang w:val="en-US" w:eastAsia="zh-CN"/>
              </w:rPr>
              <w:t>驻场</w:t>
            </w:r>
            <w:r>
              <w:rPr>
                <w:rFonts w:hint="eastAsia" w:ascii="宋体" w:hAnsi="宋体" w:eastAsia="宋体" w:cs="宋体"/>
                <w:color w:val="auto"/>
                <w:kern w:val="0"/>
                <w:sz w:val="24"/>
                <w:szCs w:val="24"/>
                <w:highlight w:val="none"/>
              </w:rPr>
              <w:t>团队</w:t>
            </w:r>
          </w:p>
        </w:tc>
        <w:tc>
          <w:tcPr>
            <w:tcW w:w="697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1080"/>
              </w:tabs>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项目驻场经理具备热动、电力或环境专业中级及以上职称证书</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pPr>
              <w:pStyle w:val="63"/>
              <w:keepNext w:val="0"/>
              <w:keepLines w:val="0"/>
              <w:pageBreakBefore w:val="0"/>
              <w:widowControl w:val="0"/>
              <w:kinsoku/>
              <w:wordWrap/>
              <w:overflowPunct/>
              <w:topLinePunct w:val="0"/>
              <w:bidi w:val="0"/>
              <w:snapToGrid/>
              <w:spacing w:after="0" w:afterLines="0" w:line="288" w:lineRule="auto"/>
              <w:ind w:left="0" w:leftChars="0" w:firstLine="0" w:firstLineChars="0"/>
              <w:textAlignment w:val="auto"/>
              <w:rPr>
                <w:rFonts w:hint="eastAsia"/>
                <w:color w:val="auto"/>
                <w:highlight w:val="none"/>
              </w:rPr>
            </w:pPr>
            <w:r>
              <w:rPr>
                <w:rFonts w:hint="eastAsia" w:ascii="宋体" w:hAnsi="宋体" w:eastAsia="宋体" w:cs="宋体"/>
                <w:b/>
                <w:bCs/>
                <w:color w:val="auto"/>
                <w:kern w:val="0"/>
                <w:sz w:val="24"/>
                <w:szCs w:val="24"/>
                <w:highlight w:val="none"/>
                <w:lang w:val="en-US" w:eastAsia="zh-CN" w:bidi="ar-SA"/>
              </w:rPr>
              <w:t>（须提供相关职称证书复印件及投标人为其缴纳的近6个月社保证明加盖投标人公章，</w:t>
            </w:r>
            <w:r>
              <w:rPr>
                <w:rFonts w:hint="eastAsia" w:ascii="宋体" w:hAnsi="宋体" w:eastAsia="宋体" w:cs="宋体"/>
                <w:b/>
                <w:bCs/>
                <w:color w:val="auto"/>
                <w:kern w:val="0"/>
                <w:sz w:val="24"/>
                <w:szCs w:val="24"/>
                <w:highlight w:val="none"/>
              </w:rPr>
              <w:t>不提供</w:t>
            </w:r>
            <w:r>
              <w:rPr>
                <w:rFonts w:hint="eastAsia" w:ascii="宋体" w:hAnsi="宋体" w:eastAsia="宋体" w:cs="宋体"/>
                <w:b/>
                <w:bCs/>
                <w:color w:val="auto"/>
                <w:kern w:val="0"/>
                <w:sz w:val="24"/>
                <w:szCs w:val="24"/>
                <w:highlight w:val="none"/>
                <w:lang w:val="en-US" w:eastAsia="zh-CN"/>
              </w:rPr>
              <w:t>或提供不完全</w:t>
            </w:r>
            <w:r>
              <w:rPr>
                <w:rFonts w:hint="eastAsia" w:ascii="宋体" w:hAnsi="宋体" w:eastAsia="宋体" w:cs="宋体"/>
                <w:b/>
                <w:bCs/>
                <w:color w:val="auto"/>
                <w:kern w:val="0"/>
                <w:sz w:val="24"/>
                <w:szCs w:val="24"/>
                <w:highlight w:val="none"/>
              </w:rPr>
              <w:t>不得分</w:t>
            </w:r>
            <w:r>
              <w:rPr>
                <w:rFonts w:hint="eastAsia" w:ascii="宋体" w:hAnsi="宋体" w:eastAsia="宋体" w:cs="宋体"/>
                <w:b/>
                <w:bCs/>
                <w:color w:val="auto"/>
                <w:kern w:val="0"/>
                <w:sz w:val="24"/>
                <w:szCs w:val="24"/>
                <w:highlight w:val="none"/>
                <w:lang w:val="en-US" w:eastAsia="zh-CN" w:bidi="ar-SA"/>
              </w:rPr>
              <w:t>）</w:t>
            </w:r>
          </w:p>
        </w:tc>
        <w:tc>
          <w:tcPr>
            <w:tcW w:w="907" w:type="dxa"/>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13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kern w:val="0"/>
                <w:sz w:val="24"/>
                <w:szCs w:val="24"/>
                <w:highlight w:val="none"/>
              </w:rPr>
            </w:pPr>
          </w:p>
        </w:tc>
        <w:tc>
          <w:tcPr>
            <w:tcW w:w="6975" w:type="dxa"/>
            <w:tcBorders>
              <w:top w:val="single" w:color="auto" w:sz="4" w:space="0"/>
              <w:left w:val="single" w:color="auto" w:sz="4" w:space="0"/>
              <w:right w:val="single" w:color="auto" w:sz="4" w:space="0"/>
            </w:tcBorders>
            <w:noWrap w:val="0"/>
            <w:vAlign w:val="center"/>
          </w:tcPr>
          <w:p>
            <w:pPr>
              <w:pStyle w:val="120"/>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baseline"/>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SA"/>
              </w:rPr>
              <w:t>驻场人员：具有生活垃圾处置终端智能+人工监管（以项目合同签订时间为准）经验，3年以下1年以上每人得0.5分,最高得1.5分；3年及以上，每1人得1分,最高得3分。本项最高得3分。</w:t>
            </w:r>
          </w:p>
          <w:p>
            <w:pPr>
              <w:keepNext w:val="0"/>
              <w:keepLines w:val="0"/>
              <w:pageBreakBefore w:val="0"/>
              <w:tabs>
                <w:tab w:val="left" w:pos="1080"/>
              </w:tabs>
              <w:kinsoku/>
              <w:wordWrap/>
              <w:overflowPunct/>
              <w:topLinePunct w:val="0"/>
              <w:autoSpaceDE w:val="0"/>
              <w:autoSpaceDN w:val="0"/>
              <w:bidi w:val="0"/>
              <w:adjustRightInd w:val="0"/>
              <w:snapToGrid/>
              <w:spacing w:line="288"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（须提供相关经验证明材料（须体现监管方式及监管人员并有用户单位盖章）及投标人为其缴纳的近6个月社保证明加盖投标人公章，</w:t>
            </w:r>
            <w:r>
              <w:rPr>
                <w:rFonts w:hint="eastAsia" w:ascii="宋体" w:hAnsi="宋体" w:eastAsia="宋体" w:cs="宋体"/>
                <w:b/>
                <w:bCs/>
                <w:color w:val="auto"/>
                <w:kern w:val="0"/>
                <w:sz w:val="24"/>
                <w:szCs w:val="24"/>
                <w:highlight w:val="none"/>
              </w:rPr>
              <w:t>不提供</w:t>
            </w:r>
            <w:r>
              <w:rPr>
                <w:rFonts w:hint="eastAsia" w:ascii="宋体" w:hAnsi="宋体" w:eastAsia="宋体" w:cs="宋体"/>
                <w:b/>
                <w:bCs/>
                <w:color w:val="auto"/>
                <w:kern w:val="0"/>
                <w:sz w:val="24"/>
                <w:szCs w:val="24"/>
                <w:highlight w:val="none"/>
                <w:lang w:val="en-US" w:eastAsia="zh-CN"/>
              </w:rPr>
              <w:t>或提供不完全</w:t>
            </w:r>
            <w:r>
              <w:rPr>
                <w:rFonts w:hint="eastAsia" w:ascii="宋体" w:hAnsi="宋体" w:eastAsia="宋体" w:cs="宋体"/>
                <w:b/>
                <w:bCs/>
                <w:color w:val="auto"/>
                <w:kern w:val="0"/>
                <w:sz w:val="24"/>
                <w:szCs w:val="24"/>
                <w:highlight w:val="none"/>
              </w:rPr>
              <w:t>不得分</w:t>
            </w:r>
            <w:r>
              <w:rPr>
                <w:rFonts w:hint="eastAsia" w:ascii="宋体" w:hAnsi="宋体" w:eastAsia="宋体" w:cs="宋体"/>
                <w:b/>
                <w:bCs/>
                <w:color w:val="auto"/>
                <w:kern w:val="0"/>
                <w:sz w:val="24"/>
                <w:szCs w:val="24"/>
                <w:highlight w:val="none"/>
                <w:lang w:val="en-US" w:eastAsia="zh-CN"/>
              </w:rPr>
              <w:t>）</w:t>
            </w:r>
          </w:p>
        </w:tc>
        <w:tc>
          <w:tcPr>
            <w:tcW w:w="907" w:type="dxa"/>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kern w:val="0"/>
                <w:sz w:val="24"/>
                <w:szCs w:val="24"/>
                <w:highlight w:val="none"/>
              </w:rPr>
            </w:pPr>
          </w:p>
        </w:tc>
        <w:tc>
          <w:tcPr>
            <w:tcW w:w="69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88" w:lineRule="auto"/>
              <w:ind w:right="105" w:rightChars="5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智能远程监管人员具备电子信息等相关专业中级及以上技术职称证书的得1分；具备生活垃圾处置终端“智能+人工”远程监管经验的得1分。本项最高得2分。</w:t>
            </w:r>
          </w:p>
          <w:p>
            <w:pPr>
              <w:keepNext w:val="0"/>
              <w:keepLines w:val="0"/>
              <w:pageBreakBefore w:val="0"/>
              <w:tabs>
                <w:tab w:val="left" w:pos="1080"/>
              </w:tabs>
              <w:kinsoku/>
              <w:wordWrap/>
              <w:overflowPunct/>
              <w:topLinePunct w:val="0"/>
              <w:autoSpaceDE w:val="0"/>
              <w:autoSpaceDN w:val="0"/>
              <w:bidi w:val="0"/>
              <w:adjustRightInd w:val="0"/>
              <w:snapToGrid/>
              <w:spacing w:line="288"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须</w:t>
            </w:r>
            <w:r>
              <w:rPr>
                <w:rFonts w:hint="eastAsia" w:ascii="宋体" w:hAnsi="宋体" w:eastAsia="宋体" w:cs="宋体"/>
                <w:b/>
                <w:bCs/>
                <w:color w:val="auto"/>
                <w:kern w:val="0"/>
                <w:sz w:val="24"/>
                <w:szCs w:val="24"/>
                <w:highlight w:val="none"/>
              </w:rPr>
              <w:t>提供</w:t>
            </w:r>
            <w:r>
              <w:rPr>
                <w:rFonts w:hint="eastAsia" w:ascii="宋体" w:hAnsi="宋体" w:eastAsia="宋体" w:cs="宋体"/>
                <w:b/>
                <w:bCs/>
                <w:color w:val="auto"/>
                <w:kern w:val="0"/>
                <w:sz w:val="24"/>
                <w:szCs w:val="24"/>
                <w:highlight w:val="none"/>
                <w:lang w:val="en-US" w:eastAsia="zh-CN"/>
              </w:rPr>
              <w:t>相关</w:t>
            </w:r>
            <w:r>
              <w:rPr>
                <w:rFonts w:hint="eastAsia" w:ascii="宋体" w:hAnsi="宋体" w:eastAsia="宋体" w:cs="宋体"/>
                <w:b/>
                <w:bCs/>
                <w:color w:val="auto"/>
                <w:kern w:val="0"/>
                <w:sz w:val="24"/>
                <w:szCs w:val="24"/>
                <w:highlight w:val="none"/>
              </w:rPr>
              <w:t>职称证书</w:t>
            </w:r>
            <w:r>
              <w:rPr>
                <w:rFonts w:hint="eastAsia" w:ascii="宋体" w:hAnsi="宋体" w:eastAsia="宋体" w:cs="宋体"/>
                <w:b/>
                <w:bCs/>
                <w:color w:val="auto"/>
                <w:kern w:val="0"/>
                <w:sz w:val="24"/>
                <w:szCs w:val="24"/>
                <w:highlight w:val="none"/>
                <w:lang w:val="en-US" w:eastAsia="zh-CN"/>
              </w:rPr>
              <w:t>复印件、相关经验证明材料（须体现监管方式及监管人员并有用户单位盖章）及投标人为其缴纳的近6个月社保证明加盖投标人公章，</w:t>
            </w:r>
            <w:r>
              <w:rPr>
                <w:rFonts w:hint="eastAsia" w:ascii="宋体" w:hAnsi="宋体" w:eastAsia="宋体" w:cs="宋体"/>
                <w:b/>
                <w:bCs/>
                <w:color w:val="auto"/>
                <w:kern w:val="0"/>
                <w:sz w:val="24"/>
                <w:szCs w:val="24"/>
                <w:highlight w:val="none"/>
              </w:rPr>
              <w:t>不提供</w:t>
            </w:r>
            <w:r>
              <w:rPr>
                <w:rFonts w:hint="eastAsia" w:ascii="宋体" w:hAnsi="宋体" w:eastAsia="宋体" w:cs="宋体"/>
                <w:b/>
                <w:bCs/>
                <w:color w:val="auto"/>
                <w:kern w:val="0"/>
                <w:sz w:val="24"/>
                <w:szCs w:val="24"/>
                <w:highlight w:val="none"/>
                <w:lang w:val="en-US" w:eastAsia="zh-CN"/>
              </w:rPr>
              <w:t>或提供不完全</w:t>
            </w:r>
            <w:r>
              <w:rPr>
                <w:rFonts w:hint="eastAsia" w:ascii="宋体" w:hAnsi="宋体" w:eastAsia="宋体" w:cs="宋体"/>
                <w:b/>
                <w:bCs/>
                <w:color w:val="auto"/>
                <w:kern w:val="0"/>
                <w:sz w:val="24"/>
                <w:szCs w:val="24"/>
                <w:highlight w:val="none"/>
              </w:rPr>
              <w:t>不得分）</w:t>
            </w:r>
          </w:p>
        </w:tc>
        <w:tc>
          <w:tcPr>
            <w:tcW w:w="907" w:type="dxa"/>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认证证书</w:t>
            </w:r>
          </w:p>
        </w:tc>
        <w:tc>
          <w:tcPr>
            <w:tcW w:w="697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88"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kern w:val="0"/>
                <w:sz w:val="24"/>
                <w:szCs w:val="24"/>
                <w:highlight w:val="none"/>
                <w:lang w:val="en-US" w:eastAsia="zh-CN"/>
              </w:rPr>
              <w:t>人同时</w:t>
            </w:r>
            <w:r>
              <w:rPr>
                <w:rFonts w:hint="eastAsia" w:ascii="宋体" w:hAnsi="宋体" w:eastAsia="宋体" w:cs="宋体"/>
                <w:color w:val="auto"/>
                <w:kern w:val="0"/>
                <w:sz w:val="24"/>
                <w:szCs w:val="24"/>
                <w:highlight w:val="none"/>
              </w:rPr>
              <w:t>具备质量管理体系认证、环境管理体系认证、职业健康安全管理体系认证</w:t>
            </w:r>
            <w:r>
              <w:rPr>
                <w:rFonts w:hint="eastAsia" w:ascii="宋体" w:hAnsi="宋体" w:eastAsia="宋体" w:cs="宋体"/>
                <w:color w:val="auto"/>
                <w:kern w:val="0"/>
                <w:sz w:val="24"/>
                <w:szCs w:val="24"/>
                <w:highlight w:val="none"/>
                <w:lang w:val="en-US" w:eastAsia="zh-CN"/>
              </w:rPr>
              <w:t>的得2分</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E w:val="0"/>
              <w:autoSpaceDN w:val="0"/>
              <w:bidi w:val="0"/>
              <w:adjustRightInd w:val="0"/>
              <w:snapToGrid/>
              <w:spacing w:line="288"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须</w:t>
            </w:r>
            <w:r>
              <w:rPr>
                <w:rFonts w:hint="eastAsia" w:ascii="宋体" w:hAnsi="宋体" w:eastAsia="宋体" w:cs="宋体"/>
                <w:b/>
                <w:bCs/>
                <w:color w:val="auto"/>
                <w:kern w:val="0"/>
                <w:sz w:val="24"/>
                <w:szCs w:val="24"/>
                <w:highlight w:val="none"/>
              </w:rPr>
              <w:t>提供</w:t>
            </w:r>
            <w:r>
              <w:rPr>
                <w:rFonts w:hint="eastAsia" w:ascii="宋体" w:hAnsi="宋体" w:eastAsia="宋体" w:cs="宋体"/>
                <w:b/>
                <w:bCs/>
                <w:color w:val="auto"/>
                <w:kern w:val="0"/>
                <w:sz w:val="24"/>
                <w:szCs w:val="24"/>
                <w:highlight w:val="none"/>
                <w:lang w:val="en-US" w:eastAsia="zh-CN"/>
              </w:rPr>
              <w:t>相关</w:t>
            </w:r>
            <w:r>
              <w:rPr>
                <w:rFonts w:hint="eastAsia" w:ascii="宋体" w:hAnsi="宋体" w:eastAsia="宋体" w:cs="宋体"/>
                <w:b/>
                <w:bCs/>
                <w:color w:val="auto"/>
                <w:kern w:val="0"/>
                <w:sz w:val="24"/>
                <w:szCs w:val="24"/>
                <w:highlight w:val="none"/>
              </w:rPr>
              <w:t>证书</w:t>
            </w:r>
            <w:r>
              <w:rPr>
                <w:rFonts w:hint="eastAsia" w:ascii="宋体" w:hAnsi="宋体" w:eastAsia="宋体" w:cs="宋体"/>
                <w:b/>
                <w:bCs/>
                <w:color w:val="auto"/>
                <w:kern w:val="0"/>
                <w:sz w:val="24"/>
                <w:szCs w:val="24"/>
                <w:highlight w:val="none"/>
                <w:lang w:val="en-US" w:eastAsia="zh-CN"/>
              </w:rPr>
              <w:t>复印件及国家认证认可监督管理委员会官网截图加盖投标人公章，其中通过认证的范围需包含第三方监管服务。</w:t>
            </w:r>
            <w:r>
              <w:rPr>
                <w:rFonts w:hint="eastAsia" w:ascii="宋体" w:hAnsi="宋体" w:eastAsia="宋体" w:cs="宋体"/>
                <w:b/>
                <w:bCs/>
                <w:color w:val="auto"/>
                <w:kern w:val="0"/>
                <w:sz w:val="24"/>
                <w:szCs w:val="24"/>
                <w:highlight w:val="none"/>
              </w:rPr>
              <w:t>不提供</w:t>
            </w:r>
            <w:r>
              <w:rPr>
                <w:rFonts w:hint="eastAsia" w:ascii="宋体" w:hAnsi="宋体" w:eastAsia="宋体" w:cs="宋体"/>
                <w:b/>
                <w:bCs/>
                <w:color w:val="auto"/>
                <w:kern w:val="0"/>
                <w:sz w:val="24"/>
                <w:szCs w:val="24"/>
                <w:highlight w:val="none"/>
                <w:lang w:val="en-US" w:eastAsia="zh-CN"/>
              </w:rPr>
              <w:t>或提供不完全</w:t>
            </w:r>
            <w:r>
              <w:rPr>
                <w:rFonts w:hint="eastAsia" w:ascii="宋体" w:hAnsi="宋体" w:eastAsia="宋体" w:cs="宋体"/>
                <w:b/>
                <w:bCs/>
                <w:color w:val="auto"/>
                <w:kern w:val="0"/>
                <w:sz w:val="24"/>
                <w:szCs w:val="24"/>
                <w:highlight w:val="none"/>
              </w:rPr>
              <w:t>不得分）</w:t>
            </w:r>
          </w:p>
        </w:tc>
        <w:tc>
          <w:tcPr>
            <w:tcW w:w="907" w:type="dxa"/>
            <w:noWrap w:val="0"/>
            <w:vAlign w:val="center"/>
          </w:tcPr>
          <w:p>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9"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荣誉</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88"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获得过政府部门颁发的生活垃圾处置终端监管</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类相关荣誉的，每个得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本项最高得3</w:t>
            </w:r>
            <w:r>
              <w:rPr>
                <w:rFonts w:hint="eastAsia" w:ascii="宋体" w:hAnsi="宋体" w:eastAsia="宋体" w:cs="宋体"/>
                <w:color w:val="auto"/>
                <w:kern w:val="0"/>
                <w:sz w:val="24"/>
                <w:szCs w:val="24"/>
                <w:highlight w:val="none"/>
              </w:rPr>
              <w:t>分。</w:t>
            </w:r>
          </w:p>
          <w:p>
            <w:pPr>
              <w:keepNext w:val="0"/>
              <w:keepLines w:val="0"/>
              <w:pageBreakBefore w:val="0"/>
              <w:kinsoku/>
              <w:wordWrap/>
              <w:overflowPunct/>
              <w:topLinePunct w:val="0"/>
              <w:autoSpaceDE w:val="0"/>
              <w:autoSpaceDN w:val="0"/>
              <w:bidi w:val="0"/>
              <w:adjustRightInd w:val="0"/>
              <w:snapToGrid/>
              <w:spacing w:line="288"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须</w:t>
            </w:r>
            <w:r>
              <w:rPr>
                <w:rFonts w:hint="eastAsia" w:ascii="宋体" w:hAnsi="宋体" w:eastAsia="宋体" w:cs="宋体"/>
                <w:b/>
                <w:bCs/>
                <w:color w:val="auto"/>
                <w:kern w:val="0"/>
                <w:sz w:val="24"/>
                <w:szCs w:val="24"/>
                <w:highlight w:val="none"/>
              </w:rPr>
              <w:t>提供相关荣誉证书</w:t>
            </w:r>
            <w:r>
              <w:rPr>
                <w:rFonts w:hint="eastAsia" w:ascii="宋体" w:hAnsi="宋体" w:eastAsia="宋体" w:cs="宋体"/>
                <w:b/>
                <w:bCs/>
                <w:color w:val="auto"/>
                <w:kern w:val="0"/>
                <w:sz w:val="24"/>
                <w:szCs w:val="24"/>
                <w:highlight w:val="none"/>
                <w:lang w:val="en-US" w:eastAsia="zh-CN"/>
              </w:rPr>
              <w:t>复印件加盖投标人公章，不提供或提供不完全不得分</w:t>
            </w:r>
            <w:r>
              <w:rPr>
                <w:rFonts w:hint="eastAsia" w:ascii="宋体" w:hAnsi="宋体" w:eastAsia="宋体" w:cs="宋体"/>
                <w:b/>
                <w:bCs/>
                <w:color w:val="auto"/>
                <w:kern w:val="0"/>
                <w:sz w:val="24"/>
                <w:szCs w:val="24"/>
                <w:highlight w:val="none"/>
              </w:rPr>
              <w:t>）</w:t>
            </w:r>
          </w:p>
        </w:tc>
        <w:tc>
          <w:tcPr>
            <w:tcW w:w="907" w:type="dxa"/>
            <w:noWrap w:val="0"/>
            <w:vAlign w:val="center"/>
          </w:tcPr>
          <w:p>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参编过或参审过垃圾发电行业省级及以上标准或技术规范的得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分，地市级的得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pPr>
              <w:keepNext w:val="0"/>
              <w:keepLines w:val="0"/>
              <w:pageBreakBefore w:val="0"/>
              <w:tabs>
                <w:tab w:val="left" w:pos="1080"/>
              </w:tabs>
              <w:kinsoku/>
              <w:wordWrap/>
              <w:overflowPunct/>
              <w:topLinePunct w:val="0"/>
              <w:autoSpaceDE w:val="0"/>
              <w:autoSpaceDN w:val="0"/>
              <w:bidi w:val="0"/>
              <w:adjustRightInd w:val="0"/>
              <w:snapToGrid/>
              <w:spacing w:line="288"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须</w:t>
            </w:r>
            <w:r>
              <w:rPr>
                <w:rFonts w:hint="eastAsia" w:ascii="宋体" w:hAnsi="宋体" w:eastAsia="宋体" w:cs="宋体"/>
                <w:b/>
                <w:bCs/>
                <w:color w:val="auto"/>
                <w:kern w:val="0"/>
                <w:sz w:val="24"/>
                <w:szCs w:val="24"/>
                <w:highlight w:val="none"/>
              </w:rPr>
              <w:t>提供相关标准或规范封面及含编审名单的扉页</w:t>
            </w:r>
            <w:r>
              <w:rPr>
                <w:rFonts w:hint="eastAsia" w:ascii="宋体" w:hAnsi="宋体" w:eastAsia="宋体" w:cs="宋体"/>
                <w:b/>
                <w:bCs/>
                <w:color w:val="auto"/>
                <w:kern w:val="0"/>
                <w:sz w:val="24"/>
                <w:szCs w:val="24"/>
                <w:highlight w:val="none"/>
                <w:lang w:val="en-US" w:eastAsia="zh-CN"/>
              </w:rPr>
              <w:t>复印件加盖投标人公章，</w:t>
            </w:r>
            <w:r>
              <w:rPr>
                <w:rFonts w:hint="eastAsia" w:ascii="宋体" w:hAnsi="宋体" w:eastAsia="宋体" w:cs="宋体"/>
                <w:b/>
                <w:bCs/>
                <w:color w:val="auto"/>
                <w:kern w:val="0"/>
                <w:sz w:val="24"/>
                <w:szCs w:val="24"/>
                <w:highlight w:val="none"/>
              </w:rPr>
              <w:t>不提供</w:t>
            </w:r>
            <w:r>
              <w:rPr>
                <w:rFonts w:hint="eastAsia" w:ascii="宋体" w:hAnsi="宋体" w:eastAsia="宋体" w:cs="宋体"/>
                <w:b/>
                <w:bCs/>
                <w:color w:val="auto"/>
                <w:kern w:val="0"/>
                <w:sz w:val="24"/>
                <w:szCs w:val="24"/>
                <w:highlight w:val="none"/>
                <w:lang w:val="en-US" w:eastAsia="zh-CN"/>
              </w:rPr>
              <w:t>或提供不完全</w:t>
            </w:r>
            <w:r>
              <w:rPr>
                <w:rFonts w:hint="eastAsia" w:ascii="宋体" w:hAnsi="宋体" w:eastAsia="宋体" w:cs="宋体"/>
                <w:b/>
                <w:bCs/>
                <w:color w:val="auto"/>
                <w:kern w:val="0"/>
                <w:sz w:val="24"/>
                <w:szCs w:val="24"/>
                <w:highlight w:val="none"/>
              </w:rPr>
              <w:t>不得分）</w:t>
            </w:r>
          </w:p>
        </w:tc>
        <w:tc>
          <w:tcPr>
            <w:tcW w:w="907" w:type="dxa"/>
            <w:noWrap w:val="0"/>
            <w:vAlign w:val="center"/>
          </w:tcPr>
          <w:p>
            <w:pPr>
              <w:keepNext w:val="0"/>
              <w:keepLines w:val="0"/>
              <w:pageBreakBefore w:val="0"/>
              <w:tabs>
                <w:tab w:val="left" w:pos="1080"/>
              </w:tabs>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类似业绩</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88"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自2018年1月1日以来（以合同签订时间为准）独立承担过类似</w:t>
            </w:r>
            <w:r>
              <w:rPr>
                <w:rFonts w:hint="eastAsia" w:ascii="宋体" w:hAnsi="宋体" w:eastAsia="宋体" w:cs="宋体"/>
                <w:color w:val="auto"/>
                <w:kern w:val="0"/>
                <w:sz w:val="24"/>
                <w:szCs w:val="24"/>
                <w:highlight w:val="none"/>
                <w:lang w:val="en-US" w:eastAsia="zh-CN"/>
              </w:rPr>
              <w:t>或同类</w:t>
            </w:r>
            <w:r>
              <w:rPr>
                <w:rFonts w:hint="eastAsia" w:ascii="宋体" w:hAnsi="宋体" w:eastAsia="宋体" w:cs="宋体"/>
                <w:color w:val="auto"/>
                <w:kern w:val="0"/>
                <w:sz w:val="24"/>
                <w:szCs w:val="24"/>
                <w:highlight w:val="none"/>
              </w:rPr>
              <w:t>项目业绩的，每个得0.5分，</w:t>
            </w:r>
            <w:r>
              <w:rPr>
                <w:rFonts w:hint="eastAsia" w:ascii="宋体" w:hAnsi="宋体" w:eastAsia="宋体" w:cs="宋体"/>
                <w:color w:val="auto"/>
                <w:kern w:val="0"/>
                <w:sz w:val="24"/>
                <w:szCs w:val="24"/>
                <w:highlight w:val="none"/>
                <w:lang w:val="en-US" w:eastAsia="zh-CN"/>
              </w:rPr>
              <w:t>本项</w:t>
            </w:r>
            <w:r>
              <w:rPr>
                <w:rFonts w:hint="eastAsia" w:ascii="宋体" w:hAnsi="宋体" w:eastAsia="宋体" w:cs="宋体"/>
                <w:color w:val="auto"/>
                <w:kern w:val="0"/>
                <w:sz w:val="24"/>
                <w:szCs w:val="24"/>
                <w:highlight w:val="none"/>
              </w:rPr>
              <w:t>最高得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pPr>
              <w:keepNext w:val="0"/>
              <w:keepLines w:val="0"/>
              <w:pageBreakBefore w:val="0"/>
              <w:kinsoku/>
              <w:wordWrap/>
              <w:overflowPunct/>
              <w:topLinePunct w:val="0"/>
              <w:autoSpaceDE w:val="0"/>
              <w:autoSpaceDN w:val="0"/>
              <w:bidi w:val="0"/>
              <w:adjustRightInd w:val="0"/>
              <w:snapToGrid/>
              <w:spacing w:line="288"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（须提供相关合同复印件加盖投标人公章，不提供或提供不完全不得分）</w:t>
            </w:r>
          </w:p>
        </w:tc>
        <w:tc>
          <w:tcPr>
            <w:tcW w:w="907" w:type="dxa"/>
            <w:noWrap w:val="0"/>
            <w:vAlign w:val="center"/>
          </w:tcPr>
          <w:p>
            <w:pPr>
              <w:keepNext w:val="0"/>
              <w:keepLines w:val="0"/>
              <w:pageBreakBefore w:val="0"/>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41" w:type="dxa"/>
            <w:gridSpan w:val="3"/>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88"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注：以上</w:t>
            </w:r>
            <w:r>
              <w:rPr>
                <w:rFonts w:hint="eastAsia" w:ascii="宋体" w:hAnsi="宋体" w:eastAsia="宋体" w:cs="宋体"/>
                <w:color w:val="auto"/>
                <w:sz w:val="24"/>
                <w:szCs w:val="24"/>
                <w:highlight w:val="none"/>
                <w:lang w:eastAsia="zh-CN"/>
              </w:rPr>
              <w:t>专家团队</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kern w:val="0"/>
                <w:sz w:val="24"/>
                <w:szCs w:val="24"/>
                <w:highlight w:val="none"/>
              </w:rPr>
              <w:t>项目</w:t>
            </w:r>
            <w:r>
              <w:rPr>
                <w:rFonts w:hint="eastAsia" w:ascii="宋体" w:hAnsi="宋体" w:eastAsia="宋体" w:cs="宋体"/>
                <w:color w:val="auto"/>
                <w:kern w:val="0"/>
                <w:sz w:val="24"/>
                <w:szCs w:val="24"/>
                <w:highlight w:val="none"/>
                <w:lang w:val="en-US" w:eastAsia="zh-CN"/>
              </w:rPr>
              <w:t>驻场</w:t>
            </w:r>
            <w:r>
              <w:rPr>
                <w:rFonts w:hint="eastAsia" w:ascii="宋体" w:hAnsi="宋体" w:eastAsia="宋体" w:cs="宋体"/>
                <w:color w:val="auto"/>
                <w:kern w:val="0"/>
                <w:sz w:val="24"/>
                <w:szCs w:val="24"/>
                <w:highlight w:val="none"/>
              </w:rPr>
              <w:t>团队</w:t>
            </w:r>
            <w:r>
              <w:rPr>
                <w:rFonts w:hint="eastAsia" w:ascii="宋体" w:hAnsi="宋体" w:eastAsia="宋体" w:cs="宋体"/>
                <w:color w:val="auto"/>
                <w:kern w:val="0"/>
                <w:sz w:val="24"/>
                <w:szCs w:val="24"/>
                <w:highlight w:val="none"/>
                <w:lang w:val="en-US" w:eastAsia="zh-CN"/>
              </w:rPr>
              <w:t>组成人员须为不同人员。</w:t>
            </w:r>
          </w:p>
        </w:tc>
      </w:tr>
    </w:tbl>
    <w:p>
      <w:pPr>
        <w:spacing w:line="312"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（5）通过资格评审和符合性评审的投标人全部入围进行报价评审。</w:t>
      </w:r>
    </w:p>
    <w:p>
      <w:pPr>
        <w:snapToGrid w:val="0"/>
        <w:spacing w:line="360" w:lineRule="auto"/>
        <w:rPr>
          <w:rFonts w:asci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ascii="宋体" w:cs="宋体"/>
          <w:color w:val="auto"/>
          <w:sz w:val="24"/>
          <w:highlight w:val="none"/>
        </w:rPr>
        <w:t> </w:t>
      </w:r>
    </w:p>
    <w:p>
      <w:pPr>
        <w:snapToGrid w:val="0"/>
        <w:spacing w:line="360" w:lineRule="auto"/>
        <w:rPr>
          <w:rFonts w:asci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1.</w:t>
      </w: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cs="宋体"/>
          <w:b/>
          <w:color w:val="auto"/>
          <w:sz w:val="24"/>
          <w:highlight w:val="none"/>
        </w:rPr>
      </w:pPr>
      <w:r>
        <w:rPr>
          <w:rFonts w:ascii="宋体" w:hAnsi="宋体" w:cs="宋体"/>
          <w:b/>
          <w:color w:val="auto"/>
          <w:sz w:val="24"/>
          <w:highlight w:val="none"/>
        </w:rPr>
        <w:t>2.</w:t>
      </w:r>
      <w:r>
        <w:rPr>
          <w:rFonts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3.1</w:t>
      </w:r>
      <w:r>
        <w:rPr>
          <w:rFonts w:hint="eastAsia" w:ascii="宋体" w:hAnsi="宋体" w:cs="宋体"/>
          <w:b/>
          <w:color w:val="auto"/>
          <w:kern w:val="0"/>
          <w:sz w:val="24"/>
          <w:highlight w:val="none"/>
        </w:rPr>
        <w:t>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 xml:space="preserve">3.2 </w:t>
      </w:r>
      <w:r>
        <w:rPr>
          <w:rFonts w:hint="eastAsia" w:ascii="宋体" w:hAnsi="宋体" w:cs="宋体"/>
          <w:b/>
          <w:color w:val="auto"/>
          <w:kern w:val="0"/>
          <w:sz w:val="24"/>
          <w:highlight w:val="none"/>
        </w:rPr>
        <w:t>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3.3</w:t>
      </w:r>
      <w:r>
        <w:rPr>
          <w:rFonts w:hint="eastAsia" w:ascii="宋体" w:hAnsi="宋体" w:cs="宋体"/>
          <w:b/>
          <w:color w:val="auto"/>
          <w:kern w:val="0"/>
          <w:sz w:val="24"/>
          <w:highlight w:val="none"/>
        </w:rPr>
        <w:t>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cs="宋体"/>
          <w:b/>
          <w:color w:val="auto"/>
          <w:kern w:val="0"/>
          <w:sz w:val="24"/>
          <w:highlight w:val="none"/>
        </w:rPr>
      </w:pPr>
      <w:r>
        <w:rPr>
          <w:rFonts w:ascii="宋体" w:hAnsi="宋体" w:cs="宋体"/>
          <w:b/>
          <w:color w:val="auto"/>
          <w:kern w:val="0"/>
          <w:sz w:val="24"/>
          <w:highlight w:val="none"/>
        </w:rPr>
        <w:t>3.4</w:t>
      </w:r>
      <w:r>
        <w:rPr>
          <w:rFonts w:hint="eastAsia" w:ascii="宋体" w:hAnsi="宋体" w:cs="宋体"/>
          <w:b/>
          <w:color w:val="auto"/>
          <w:kern w:val="0"/>
          <w:sz w:val="24"/>
          <w:highlight w:val="none"/>
        </w:rPr>
        <w:t>报价评审。</w:t>
      </w:r>
    </w:p>
    <w:p>
      <w:pPr>
        <w:pStyle w:val="166"/>
        <w:spacing w:before="0"/>
        <w:ind w:firstLine="508" w:firstLineChars="212"/>
        <w:rPr>
          <w:rFonts w:hint="eastAsia" w:ascii="宋体" w:eastAsia="宋体" w:cs="宋体"/>
          <w:color w:val="auto"/>
          <w:kern w:val="0"/>
          <w:szCs w:val="24"/>
          <w:highlight w:val="none"/>
          <w:lang w:eastAsia="zh-CN"/>
        </w:rPr>
      </w:pPr>
      <w:r>
        <w:rPr>
          <w:rFonts w:ascii="宋体" w:hAnsi="宋体" w:cs="宋体"/>
          <w:color w:val="auto"/>
          <w:kern w:val="0"/>
          <w:highlight w:val="none"/>
        </w:rPr>
        <w:t>3.4</w:t>
      </w:r>
      <w:r>
        <w:rPr>
          <w:rFonts w:ascii="宋体" w:hAnsi="宋体" w:cs="宋体"/>
          <w:color w:val="auto"/>
          <w:kern w:val="0"/>
          <w:szCs w:val="24"/>
          <w:highlight w:val="none"/>
        </w:rPr>
        <w:t>.1</w:t>
      </w:r>
      <w:r>
        <w:rPr>
          <w:rFonts w:hint="eastAsia" w:ascii="宋体" w:hAnsi="宋体" w:cs="宋体"/>
          <w:color w:val="auto"/>
          <w:kern w:val="0"/>
          <w:szCs w:val="24"/>
          <w:highlight w:val="none"/>
        </w:rPr>
        <w:t>投标文件报价出现前后不一致的，按照下列规定修正</w:t>
      </w:r>
      <w:r>
        <w:rPr>
          <w:rFonts w:hint="eastAsia" w:ascii="宋体" w:hAnsi="宋体" w:cs="宋体"/>
          <w:color w:val="auto"/>
          <w:kern w:val="0"/>
          <w:szCs w:val="24"/>
          <w:highlight w:val="none"/>
          <w:lang w:eastAsia="zh-CN"/>
        </w:rPr>
        <w:t>；</w:t>
      </w:r>
    </w:p>
    <w:p>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3.4.1.1</w:t>
      </w:r>
      <w:r>
        <w:rPr>
          <w:rFonts w:hint="eastAsia" w:ascii="宋体" w:hAnsi="宋体" w:cs="宋体"/>
          <w:color w:val="auto"/>
          <w:kern w:val="0"/>
          <w:szCs w:val="24"/>
          <w:highlight w:val="none"/>
        </w:rPr>
        <w:t>投标文件中开标一览表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内容与投标文件中相应内容不一致的，以开标一览表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3.4.1.2</w:t>
      </w:r>
      <w:r>
        <w:rPr>
          <w:rFonts w:hint="eastAsia" w:ascii="宋体" w:hAnsi="宋体" w:cs="宋体"/>
          <w:color w:val="auto"/>
          <w:kern w:val="0"/>
          <w:szCs w:val="24"/>
          <w:highlight w:val="none"/>
        </w:rPr>
        <w:t>大写金额和小写金额不一致的，以大写金额为准</w:t>
      </w:r>
      <w:r>
        <w:rPr>
          <w:rFonts w:hint="eastAsia" w:ascii="宋体" w:hAnsi="宋体" w:cs="宋体"/>
          <w:color w:val="auto"/>
          <w:kern w:val="0"/>
          <w:szCs w:val="24"/>
          <w:highlight w:val="none"/>
          <w:lang w:eastAsia="zh-CN"/>
        </w:rPr>
        <w:t>；</w:t>
      </w:r>
    </w:p>
    <w:p>
      <w:pPr>
        <w:pStyle w:val="166"/>
        <w:spacing w:before="0"/>
        <w:ind w:firstLine="480"/>
        <w:rPr>
          <w:rFonts w:hint="eastAsia" w:ascii="宋体" w:hAnsi="宋体" w:eastAsia="宋体" w:cs="宋体"/>
          <w:color w:val="auto"/>
          <w:kern w:val="0"/>
          <w:szCs w:val="24"/>
          <w:highlight w:val="none"/>
          <w:lang w:eastAsia="zh-CN"/>
        </w:rPr>
      </w:pPr>
      <w:r>
        <w:rPr>
          <w:rFonts w:ascii="宋体" w:hAnsi="宋体" w:cs="宋体"/>
          <w:color w:val="auto"/>
          <w:kern w:val="0"/>
          <w:szCs w:val="24"/>
          <w:highlight w:val="none"/>
        </w:rPr>
        <w:t>3.4.1.3</w:t>
      </w:r>
      <w:r>
        <w:rPr>
          <w:rFonts w:hint="eastAsia" w:ascii="宋体" w:hAnsi="宋体" w:cs="宋体"/>
          <w:color w:val="auto"/>
          <w:kern w:val="0"/>
          <w:szCs w:val="24"/>
          <w:highlight w:val="none"/>
        </w:rPr>
        <w:t>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3.4.1.4</w:t>
      </w:r>
      <w:r>
        <w:rPr>
          <w:rFonts w:hint="eastAsia" w:ascii="宋体" w:hAnsi="宋体" w:cs="宋体"/>
          <w:color w:val="auto"/>
          <w:kern w:val="0"/>
          <w:szCs w:val="24"/>
          <w:highlight w:val="none"/>
        </w:rPr>
        <w:t>总价金额与按单价汇总金额不一致的，以单价金额计算结果为准</w:t>
      </w:r>
      <w:r>
        <w:rPr>
          <w:rFonts w:hint="eastAsia" w:ascii="宋体" w:hAnsi="宋体" w:cs="宋体"/>
          <w:color w:val="auto"/>
          <w:kern w:val="0"/>
          <w:szCs w:val="24"/>
          <w:highlight w:val="none"/>
          <w:lang w:eastAsia="zh-CN"/>
        </w:rPr>
        <w:t>；</w:t>
      </w:r>
    </w:p>
    <w:p>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3.4.1.5</w:t>
      </w:r>
      <w:r>
        <w:rPr>
          <w:rFonts w:hint="eastAsia" w:ascii="宋体" w:hAnsi="宋体" w:cs="宋体"/>
          <w:color w:val="auto"/>
          <w:kern w:val="0"/>
          <w:szCs w:val="24"/>
          <w:highlight w:val="none"/>
        </w:rPr>
        <w:t>同时出现两种以上不一致的，按照</w:t>
      </w:r>
      <w:r>
        <w:rPr>
          <w:rFonts w:ascii="宋体" w:hAnsi="宋体" w:cs="宋体"/>
          <w:color w:val="auto"/>
          <w:kern w:val="0"/>
          <w:szCs w:val="24"/>
          <w:highlight w:val="none"/>
        </w:rPr>
        <w:t>3.4.1</w:t>
      </w:r>
      <w:r>
        <w:rPr>
          <w:rFonts w:hint="eastAsia" w:ascii="宋体" w:hAnsi="宋体" w:cs="宋体"/>
          <w:color w:val="auto"/>
          <w:kern w:val="0"/>
          <w:szCs w:val="24"/>
          <w:highlight w:val="none"/>
        </w:rPr>
        <w:t>规定的顺序修正。修正后的报价按照《政府采购货物和服务招标投标管理办法》（财政部令第</w:t>
      </w:r>
      <w:r>
        <w:rPr>
          <w:rFonts w:ascii="宋体" w:hAnsi="宋体" w:cs="宋体"/>
          <w:color w:val="auto"/>
          <w:kern w:val="0"/>
          <w:szCs w:val="24"/>
          <w:highlight w:val="none"/>
        </w:rPr>
        <w:t>87</w:t>
      </w:r>
      <w:r>
        <w:rPr>
          <w:rFonts w:hint="eastAsia" w:ascii="宋体" w:hAnsi="宋体" w:cs="宋体"/>
          <w:color w:val="auto"/>
          <w:kern w:val="0"/>
          <w:szCs w:val="24"/>
          <w:highlight w:val="none"/>
        </w:rPr>
        <w:t>号）第五十一条第二款的规定经投标人确认后产生约束力</w:t>
      </w:r>
      <w:r>
        <w:rPr>
          <w:rFonts w:hint="eastAsia" w:ascii="宋体" w:hAnsi="宋体" w:cs="宋体"/>
          <w:color w:val="auto"/>
          <w:kern w:val="0"/>
          <w:szCs w:val="24"/>
          <w:highlight w:val="none"/>
          <w:lang w:eastAsia="zh-CN"/>
        </w:rPr>
        <w:t>；</w:t>
      </w:r>
    </w:p>
    <w:p>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3.4.2</w:t>
      </w:r>
      <w:r>
        <w:rPr>
          <w:rFonts w:hint="eastAsia" w:ascii="宋体" w:hAnsi="宋体" w:cs="宋体"/>
          <w:color w:val="auto"/>
          <w:kern w:val="0"/>
          <w:sz w:val="24"/>
          <w:highlight w:val="none"/>
        </w:rPr>
        <w:t>投标文件出现不是唯一的、有选择性投标报价的，投标无效</w:t>
      </w:r>
      <w:r>
        <w:rPr>
          <w:rFonts w:hint="eastAsia" w:ascii="宋体" w:hAnsi="宋体" w:cs="宋体"/>
          <w:color w:val="auto"/>
          <w:kern w:val="0"/>
          <w:sz w:val="24"/>
          <w:highlight w:val="none"/>
          <w:lang w:eastAsia="zh-CN"/>
        </w:rPr>
        <w:t>；</w:t>
      </w:r>
    </w:p>
    <w:p>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3.4.3</w:t>
      </w:r>
      <w:r>
        <w:rPr>
          <w:rFonts w:hint="eastAsia" w:ascii="宋体" w:hAnsi="宋体" w:cs="宋体"/>
          <w:color w:val="auto"/>
          <w:kern w:val="0"/>
          <w:sz w:val="24"/>
          <w:highlight w:val="none"/>
        </w:rPr>
        <w:t>投标报价超过招标文件中规定的预算金额或者最高限价的，投标无效</w:t>
      </w:r>
      <w:r>
        <w:rPr>
          <w:rFonts w:hint="eastAsia" w:ascii="宋体" w:hAnsi="宋体" w:cs="宋体"/>
          <w:color w:val="auto"/>
          <w:kern w:val="0"/>
          <w:sz w:val="24"/>
          <w:highlight w:val="none"/>
          <w:lang w:eastAsia="zh-CN"/>
        </w:rPr>
        <w:t>；</w:t>
      </w:r>
    </w:p>
    <w:p>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3.4.4</w:t>
      </w:r>
      <w:r>
        <w:rPr>
          <w:rFonts w:hint="eastAsia" w:ascii="宋体" w:hAnsi="宋体" w:cs="宋体"/>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color w:val="auto"/>
          <w:kern w:val="0"/>
          <w:szCs w:val="24"/>
          <w:highlight w:val="none"/>
        </w:rPr>
        <w:t>;</w:t>
      </w:r>
      <w:r>
        <w:rPr>
          <w:rFonts w:hint="eastAsia" w:ascii="宋体" w:hAnsi="宋体" w:cs="宋体"/>
          <w:color w:val="auto"/>
          <w:kern w:val="0"/>
          <w:szCs w:val="24"/>
          <w:highlight w:val="none"/>
        </w:rPr>
        <w:t>投标人不能证明其报价合理性的，评标委员会应当将其作为无效投标处理</w:t>
      </w:r>
      <w:r>
        <w:rPr>
          <w:rFonts w:hint="eastAsia" w:ascii="宋体" w:hAnsi="宋体" w:cs="宋体"/>
          <w:color w:val="auto"/>
          <w:kern w:val="0"/>
          <w:szCs w:val="24"/>
          <w:highlight w:val="none"/>
          <w:lang w:eastAsia="zh-CN"/>
        </w:rPr>
        <w:t>；</w:t>
      </w:r>
    </w:p>
    <w:p>
      <w:pPr>
        <w:pStyle w:val="166"/>
        <w:spacing w:before="0"/>
        <w:ind w:firstLine="480"/>
        <w:rPr>
          <w:rFonts w:ascii="宋体" w:cs="宋体"/>
          <w:color w:val="auto"/>
          <w:kern w:val="0"/>
          <w:szCs w:val="24"/>
          <w:highlight w:val="none"/>
        </w:rPr>
      </w:pPr>
      <w:r>
        <w:rPr>
          <w:rFonts w:ascii="宋体" w:hAnsi="宋体" w:cs="宋体"/>
          <w:color w:val="auto"/>
          <w:kern w:val="0"/>
          <w:szCs w:val="24"/>
          <w:highlight w:val="none"/>
        </w:rPr>
        <w:t>3.4.5</w:t>
      </w:r>
      <w:r>
        <w:rPr>
          <w:rFonts w:hint="eastAsia" w:ascii="宋体" w:hAnsi="宋体" w:cs="宋体"/>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20</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color w:val="auto"/>
          <w:kern w:val="0"/>
          <w:szCs w:val="24"/>
          <w:highlight w:val="none"/>
        </w:rPr>
        <w:t>30%</w:t>
      </w:r>
      <w:r>
        <w:rPr>
          <w:rFonts w:hint="eastAsia" w:ascii="宋体" w:hAnsi="宋体" w:cs="宋体"/>
          <w:color w:val="auto"/>
          <w:kern w:val="0"/>
          <w:szCs w:val="24"/>
          <w:highlight w:val="none"/>
        </w:rPr>
        <w:t>以上的，对联合体或者大中型企业的报价给予</w:t>
      </w:r>
      <w:r>
        <w:rPr>
          <w:rFonts w:hint="eastAsia" w:ascii="宋体" w:hAnsi="宋体" w:cs="宋体"/>
          <w:color w:val="auto"/>
          <w:kern w:val="0"/>
          <w:szCs w:val="24"/>
          <w:highlight w:val="none"/>
          <w:lang w:val="en-US" w:eastAsia="zh-CN"/>
        </w:rPr>
        <w:t>6</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cs="宋体"/>
          <w:color w:val="auto"/>
          <w:kern w:val="0"/>
          <w:sz w:val="24"/>
          <w:highlight w:val="none"/>
        </w:rPr>
      </w:pPr>
      <w:r>
        <w:rPr>
          <w:rFonts w:ascii="宋体" w:hAnsi="宋体" w:cs="宋体"/>
          <w:b/>
          <w:color w:val="auto"/>
          <w:kern w:val="0"/>
          <w:sz w:val="24"/>
          <w:highlight w:val="none"/>
        </w:rPr>
        <w:t>3.5</w:t>
      </w:r>
      <w:r>
        <w:rPr>
          <w:rFonts w:hint="eastAsia" w:ascii="宋体" w:hAnsi="宋体" w:cs="宋体"/>
          <w:b/>
          <w:color w:val="auto"/>
          <w:kern w:val="0"/>
          <w:sz w:val="24"/>
          <w:highlight w:val="none"/>
        </w:rPr>
        <w:t>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b/>
          <w:color w:val="auto"/>
          <w:sz w:val="32"/>
          <w:highlight w:val="none"/>
        </w:rPr>
      </w:pPr>
      <w:r>
        <w:rPr>
          <w:rFonts w:hint="eastAsia" w:ascii="宋体" w:hAnsi="宋体" w:cs="宋体"/>
          <w:b/>
          <w:color w:val="auto"/>
          <w:sz w:val="32"/>
          <w:highlight w:val="none"/>
        </w:rPr>
        <w:t>四、评标中的其他事项</w:t>
      </w:r>
    </w:p>
    <w:p>
      <w:pPr>
        <w:pStyle w:val="166"/>
        <w:spacing w:before="0"/>
        <w:ind w:firstLine="472" w:firstLineChars="196"/>
        <w:rPr>
          <w:rFonts w:ascii="宋体" w:cs="宋体"/>
          <w:color w:val="auto"/>
          <w:kern w:val="0"/>
          <w:szCs w:val="24"/>
          <w:highlight w:val="none"/>
        </w:rPr>
      </w:pPr>
      <w:r>
        <w:rPr>
          <w:rFonts w:ascii="宋体" w:hAnsi="宋体" w:cs="宋体"/>
          <w:b/>
          <w:color w:val="auto"/>
          <w:kern w:val="0"/>
          <w:szCs w:val="24"/>
          <w:highlight w:val="none"/>
        </w:rPr>
        <w:t>4.1</w:t>
      </w:r>
      <w:r>
        <w:rPr>
          <w:rFonts w:hint="eastAsia" w:ascii="宋体" w:hAnsi="宋体" w:cs="宋体"/>
          <w:b/>
          <w:color w:val="auto"/>
          <w:kern w:val="0"/>
          <w:szCs w:val="24"/>
          <w:highlight w:val="none"/>
        </w:rPr>
        <w:t>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cs="宋体"/>
          <w:b/>
          <w:color w:val="auto"/>
          <w:kern w:val="0"/>
          <w:highlight w:val="none"/>
        </w:rPr>
        <w:t>4.2</w:t>
      </w:r>
      <w:r>
        <w:rPr>
          <w:rFonts w:hint="eastAsia" w:cs="宋体"/>
          <w:b/>
          <w:color w:val="auto"/>
          <w:kern w:val="0"/>
          <w:highlight w:val="none"/>
        </w:rPr>
        <w:t>投标无效。</w:t>
      </w:r>
      <w:r>
        <w:rPr>
          <w:rFonts w:hint="eastAsia" w:cs="宋体"/>
          <w:color w:val="auto"/>
          <w:szCs w:val="21"/>
          <w:highlight w:val="none"/>
        </w:rPr>
        <w:t>有下列情况之一的，投标无效：</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w:t>
      </w:r>
      <w:r>
        <w:rPr>
          <w:rFonts w:hint="eastAsia" w:ascii="宋体" w:hAnsi="宋体" w:cs="宋体"/>
          <w:color w:val="auto"/>
          <w:kern w:val="0"/>
          <w:sz w:val="24"/>
          <w:highlight w:val="none"/>
        </w:rPr>
        <w:t>投标人不具备招标文件中规定的资格要求的（投标人未提供有效的资格文件的，视为投标人不具备招标文件中规定的资格要求）；</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4.2.2</w:t>
      </w:r>
      <w:r>
        <w:rPr>
          <w:rFonts w:hint="eastAsia" w:ascii="宋体" w:hAnsi="宋体" w:cs="宋体"/>
          <w:color w:val="auto"/>
          <w:kern w:val="0"/>
          <w:sz w:val="24"/>
          <w:highlight w:val="none"/>
        </w:rPr>
        <w:t>投标文件未按照招标文件要求签署、盖章的；</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4.2.3</w:t>
      </w:r>
      <w:r>
        <w:rPr>
          <w:rFonts w:hint="eastAsia" w:ascii="宋体" w:hAnsi="宋体" w:cs="宋体"/>
          <w:color w:val="auto"/>
          <w:kern w:val="0"/>
          <w:sz w:val="24"/>
          <w:highlight w:val="none"/>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4.2.4</w:t>
      </w:r>
      <w:r>
        <w:rPr>
          <w:rFonts w:hint="eastAsia" w:ascii="宋体" w:hAnsi="宋体" w:cs="宋体"/>
          <w:color w:val="auto"/>
          <w:kern w:val="0"/>
          <w:sz w:val="24"/>
          <w:highlight w:val="none"/>
        </w:rPr>
        <w:t>投标文件含有采购人不能接受的附加条件的；</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4.2.5</w:t>
      </w:r>
      <w:r>
        <w:rPr>
          <w:rFonts w:hint="eastAsia" w:ascii="宋体" w:hAnsi="宋体" w:cs="宋体"/>
          <w:color w:val="auto"/>
          <w:kern w:val="0"/>
          <w:sz w:val="24"/>
          <w:highlight w:val="none"/>
        </w:rPr>
        <w:t>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 xml:space="preserve">   4.2.6</w:t>
      </w:r>
      <w:r>
        <w:rPr>
          <w:rFonts w:hint="eastAsia" w:ascii="宋体" w:hAnsi="宋体" w:cs="宋体"/>
          <w:color w:val="auto"/>
          <w:kern w:val="0"/>
          <w:sz w:val="24"/>
          <w:highlight w:val="none"/>
        </w:rPr>
        <w:t>投标文件出现不是唯一的、有选择性投标报价的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4.2.7</w:t>
      </w:r>
      <w:r>
        <w:rPr>
          <w:rFonts w:hint="eastAsia" w:ascii="宋体" w:hAnsi="宋体" w:cs="宋体"/>
          <w:color w:val="auto"/>
          <w:kern w:val="0"/>
          <w:sz w:val="24"/>
          <w:highlight w:val="none"/>
        </w:rPr>
        <w:t>投标报价超过招标文件中规定的预算金额或者最高限价的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4.2.9</w:t>
      </w:r>
      <w:r>
        <w:rPr>
          <w:rFonts w:hint="eastAsia" w:ascii="宋体" w:hAnsi="宋体" w:cs="宋体"/>
          <w:color w:val="auto"/>
          <w:kern w:val="0"/>
          <w:sz w:val="24"/>
          <w:highlight w:val="none"/>
        </w:rPr>
        <w:t>投标人对根据修正原则修正后的报价不确认的；</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4.2.10</w:t>
      </w:r>
      <w:r>
        <w:rPr>
          <w:rFonts w:hint="eastAsia" w:ascii="宋体" w:hAnsi="宋体" w:cs="宋体"/>
          <w:color w:val="auto"/>
          <w:kern w:val="0"/>
          <w:sz w:val="24"/>
          <w:highlight w:val="none"/>
        </w:rPr>
        <w:t>投标人提供虚假材料投标的；</w:t>
      </w:r>
    </w:p>
    <w:p>
      <w:pPr>
        <w:spacing w:line="360" w:lineRule="auto"/>
        <w:ind w:firstLine="240" w:firstLineChars="100"/>
        <w:rPr>
          <w:rFonts w:ascii="宋体" w:cs="宋体"/>
          <w:color w:val="auto"/>
          <w:kern w:val="0"/>
          <w:sz w:val="24"/>
          <w:highlight w:val="none"/>
        </w:rPr>
      </w:pPr>
      <w:r>
        <w:rPr>
          <w:rFonts w:ascii="宋体" w:hAnsi="宋体" w:cs="宋体"/>
          <w:color w:val="auto"/>
          <w:kern w:val="0"/>
          <w:sz w:val="24"/>
          <w:highlight w:val="none"/>
        </w:rPr>
        <w:t xml:space="preserve">  4.2.11</w:t>
      </w:r>
      <w:r>
        <w:rPr>
          <w:rFonts w:hint="eastAsia" w:ascii="宋体" w:hAnsi="宋体" w:cs="宋体"/>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4.2.12</w:t>
      </w:r>
      <w:r>
        <w:rPr>
          <w:rFonts w:hint="eastAsia" w:ascii="宋体" w:hAnsi="宋体" w:cs="宋体"/>
          <w:color w:val="auto"/>
          <w:kern w:val="0"/>
          <w:sz w:val="24"/>
          <w:highlight w:val="none"/>
        </w:rPr>
        <w:t>投标人仅提交备份投标文件，没有在电子交易平台传输递交投标文件的，投标无效；</w:t>
      </w:r>
    </w:p>
    <w:p>
      <w:pPr>
        <w:pStyle w:val="2"/>
        <w:ind w:left="433" w:leftChars="202" w:hanging="9" w:hangingChars="4"/>
        <w:rPr>
          <w:rFonts w:ascii="宋体" w:hAnsi="宋体" w:eastAsia="宋体" w:cs="宋体"/>
          <w:b w:val="0"/>
          <w:bCs w:val="0"/>
          <w:color w:val="auto"/>
          <w:kern w:val="0"/>
          <w:sz w:val="24"/>
          <w:szCs w:val="24"/>
          <w:highlight w:val="none"/>
          <w:lang w:val="en-US"/>
        </w:rPr>
      </w:pPr>
      <w:r>
        <w:rPr>
          <w:rFonts w:ascii="宋体" w:hAnsi="宋体" w:eastAsia="宋体" w:cs="宋体"/>
          <w:b w:val="0"/>
          <w:bCs w:val="0"/>
          <w:color w:val="auto"/>
          <w:kern w:val="0"/>
          <w:sz w:val="24"/>
          <w:szCs w:val="24"/>
          <w:highlight w:val="none"/>
          <w:lang w:val="en-US"/>
        </w:rPr>
        <w:t xml:space="preserve">4.2.13 </w:t>
      </w:r>
      <w:r>
        <w:rPr>
          <w:rFonts w:hint="eastAsia" w:ascii="宋体" w:hAnsi="宋体" w:eastAsia="宋体" w:cs="宋体"/>
          <w:b w:val="0"/>
          <w:bCs w:val="0"/>
          <w:color w:val="auto"/>
          <w:kern w:val="0"/>
          <w:sz w:val="24"/>
          <w:szCs w:val="24"/>
          <w:highlight w:val="none"/>
          <w:lang w:val="en-US"/>
        </w:rPr>
        <w:t>投标文件不满足招标文件的其它实质性要求的；</w:t>
      </w:r>
    </w:p>
    <w:p>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4.2.14商务技术文件中出现报价的；</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cs="宋体"/>
          <w:b/>
          <w:color w:val="auto"/>
          <w:highlight w:val="none"/>
        </w:rPr>
        <w:t>4.3.</w:t>
      </w:r>
      <w:r>
        <w:rPr>
          <w:rFonts w:hint="eastAsia" w:cs="宋体"/>
          <w:b/>
          <w:color w:val="auto"/>
          <w:highlight w:val="none"/>
        </w:rPr>
        <w:t>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cs="宋体"/>
          <w:color w:val="auto"/>
          <w:highlight w:val="none"/>
        </w:rPr>
        <w:t>4.3.1</w:t>
      </w:r>
      <w:r>
        <w:rPr>
          <w:rFonts w:hint="eastAsia" w:cs="宋体"/>
          <w:color w:val="auto"/>
          <w:highlight w:val="none"/>
        </w:rPr>
        <w:t>符合专业条件的供应商或者对招标文件作实质响应的供应商不足</w:t>
      </w:r>
      <w:r>
        <w:rPr>
          <w:rFonts w:cs="宋体"/>
          <w:color w:val="auto"/>
          <w:highlight w:val="none"/>
        </w:rPr>
        <w:t>3</w:t>
      </w:r>
      <w:r>
        <w:rPr>
          <w:rFonts w:hint="eastAsia" w:cs="宋体"/>
          <w:color w:val="auto"/>
          <w:highlight w:val="none"/>
        </w:rPr>
        <w:t>家的；</w:t>
      </w:r>
    </w:p>
    <w:p>
      <w:pPr>
        <w:pStyle w:val="26"/>
        <w:snapToGrid w:val="0"/>
        <w:spacing w:line="360" w:lineRule="auto"/>
        <w:rPr>
          <w:rFonts w:cs="宋体"/>
          <w:color w:val="auto"/>
          <w:highlight w:val="none"/>
        </w:rPr>
      </w:pPr>
      <w:r>
        <w:rPr>
          <w:rFonts w:cs="宋体"/>
          <w:color w:val="auto"/>
          <w:highlight w:val="none"/>
        </w:rPr>
        <w:t>4.3.2</w:t>
      </w:r>
      <w:r>
        <w:rPr>
          <w:rFonts w:hint="eastAsia" w:cs="宋体"/>
          <w:color w:val="auto"/>
          <w:highlight w:val="none"/>
        </w:rPr>
        <w:t>出现影响采购公正的违法、违规行为的；</w:t>
      </w:r>
    </w:p>
    <w:p>
      <w:pPr>
        <w:pStyle w:val="26"/>
        <w:snapToGrid w:val="0"/>
        <w:spacing w:line="360" w:lineRule="auto"/>
        <w:rPr>
          <w:rFonts w:cs="宋体"/>
          <w:color w:val="auto"/>
          <w:highlight w:val="none"/>
        </w:rPr>
      </w:pPr>
      <w:r>
        <w:rPr>
          <w:rFonts w:cs="宋体"/>
          <w:color w:val="auto"/>
          <w:highlight w:val="none"/>
        </w:rPr>
        <w:t>4.3.3</w:t>
      </w:r>
      <w:r>
        <w:rPr>
          <w:rFonts w:hint="eastAsia" w:cs="宋体"/>
          <w:color w:val="auto"/>
          <w:highlight w:val="none"/>
        </w:rPr>
        <w:t>投标人的报价均超过了采购预算，采购人不能支付的；</w:t>
      </w:r>
    </w:p>
    <w:p>
      <w:pPr>
        <w:pStyle w:val="26"/>
        <w:snapToGrid w:val="0"/>
        <w:spacing w:line="360" w:lineRule="auto"/>
        <w:rPr>
          <w:rFonts w:cs="宋体"/>
          <w:color w:val="auto"/>
          <w:highlight w:val="none"/>
        </w:rPr>
      </w:pPr>
      <w:r>
        <w:rPr>
          <w:rFonts w:cs="宋体"/>
          <w:color w:val="auto"/>
          <w:highlight w:val="none"/>
        </w:rPr>
        <w:t>4.3.4</w:t>
      </w:r>
      <w:r>
        <w:rPr>
          <w:rFonts w:hint="eastAsia" w:cs="宋体"/>
          <w:color w:val="auto"/>
          <w:highlight w:val="none"/>
        </w:rPr>
        <w:t>因重大变故，采购任务取消的。</w:t>
      </w:r>
    </w:p>
    <w:p>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6"/>
        <w:snapToGrid w:val="0"/>
        <w:spacing w:line="360" w:lineRule="auto"/>
        <w:ind w:firstLine="482"/>
        <w:rPr>
          <w:rFonts w:cs="宋体"/>
          <w:color w:val="auto"/>
          <w:highlight w:val="none"/>
        </w:rPr>
      </w:pPr>
      <w:r>
        <w:rPr>
          <w:rFonts w:cs="宋体"/>
          <w:b/>
          <w:color w:val="auto"/>
          <w:highlight w:val="none"/>
        </w:rPr>
        <w:t>4.4.</w:t>
      </w:r>
      <w:r>
        <w:rPr>
          <w:rFonts w:hint="eastAsia" w:cs="宋体"/>
          <w:b/>
          <w:color w:val="auto"/>
          <w:highlight w:val="none"/>
        </w:rPr>
        <w:t>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color w:val="auto"/>
          <w:highlight w:val="none"/>
        </w:rPr>
      </w:pPr>
      <w:r>
        <w:rPr>
          <w:rFonts w:cs="宋体"/>
          <w:b/>
          <w:color w:val="auto"/>
          <w:kern w:val="0"/>
          <w:highlight w:val="none"/>
        </w:rPr>
        <w:t>4.5.</w:t>
      </w:r>
      <w:r>
        <w:rPr>
          <w:rFonts w:hint="eastAsia" w:cs="宋体"/>
          <w:b/>
          <w:color w:val="auto"/>
          <w:kern w:val="0"/>
          <w:highlight w:val="none"/>
        </w:rPr>
        <w:t>重新开展采购。</w:t>
      </w:r>
      <w:r>
        <w:rPr>
          <w:rFonts w:hint="eastAsia" w:cs="宋体"/>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宋体"/>
          <w:color w:val="auto"/>
          <w:highlight w:val="none"/>
        </w:rPr>
      </w:pPr>
      <w:r>
        <w:rPr>
          <w:rFonts w:cs="宋体"/>
          <w:color w:val="auto"/>
          <w:highlight w:val="none"/>
        </w:rPr>
        <w:t>4.5.1</w:t>
      </w:r>
      <w:r>
        <w:rPr>
          <w:rFonts w:hint="eastAsia" w:cs="宋体"/>
          <w:color w:val="auto"/>
          <w:highlight w:val="none"/>
        </w:rPr>
        <w:t>未确定中标或者中标人的，终止本次政府采购活动，重新开展政府采购活动。</w:t>
      </w:r>
    </w:p>
    <w:p>
      <w:pPr>
        <w:pStyle w:val="26"/>
        <w:snapToGrid w:val="0"/>
        <w:spacing w:line="360" w:lineRule="auto"/>
        <w:ind w:firstLine="600" w:firstLineChars="250"/>
        <w:rPr>
          <w:rFonts w:cs="宋体"/>
          <w:color w:val="auto"/>
          <w:highlight w:val="none"/>
        </w:rPr>
      </w:pPr>
      <w:r>
        <w:rPr>
          <w:rFonts w:cs="宋体"/>
          <w:color w:val="auto"/>
          <w:highlight w:val="none"/>
        </w:rPr>
        <w:t>4.5.2</w:t>
      </w:r>
      <w:r>
        <w:rPr>
          <w:rFonts w:hint="eastAsia" w:cs="宋体"/>
          <w:color w:val="auto"/>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宋体"/>
          <w:color w:val="auto"/>
          <w:highlight w:val="none"/>
        </w:rPr>
      </w:pPr>
      <w:r>
        <w:rPr>
          <w:rFonts w:cs="宋体"/>
          <w:color w:val="auto"/>
          <w:highlight w:val="none"/>
        </w:rPr>
        <w:t>4.5.3</w:t>
      </w:r>
      <w:r>
        <w:rPr>
          <w:rFonts w:hint="eastAsia" w:cs="宋体"/>
          <w:color w:val="auto"/>
          <w:highlight w:val="none"/>
        </w:rPr>
        <w:t>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宋体"/>
          <w:color w:val="auto"/>
          <w:highlight w:val="none"/>
        </w:rPr>
      </w:pPr>
      <w:r>
        <w:rPr>
          <w:rFonts w:cs="宋体"/>
          <w:color w:val="auto"/>
          <w:highlight w:val="none"/>
        </w:rPr>
        <w:t>4.5.4</w:t>
      </w:r>
      <w:r>
        <w:rPr>
          <w:rFonts w:hint="eastAsia" w:cs="宋体"/>
          <w:color w:val="auto"/>
          <w:highlight w:val="none"/>
        </w:rPr>
        <w:t>政府采购合同已经履行，给采购人、供应商造成损失的，由责任人承担赔偿责任。</w:t>
      </w:r>
    </w:p>
    <w:p>
      <w:pPr>
        <w:pStyle w:val="26"/>
        <w:snapToGrid w:val="0"/>
        <w:spacing w:line="360" w:lineRule="auto"/>
        <w:rPr>
          <w:rFonts w:cs="宋体"/>
          <w:color w:val="auto"/>
          <w:highlight w:val="none"/>
        </w:rPr>
      </w:pPr>
      <w:r>
        <w:rPr>
          <w:rFonts w:cs="宋体"/>
          <w:color w:val="auto"/>
          <w:highlight w:val="none"/>
        </w:rPr>
        <w:t>4.5.5</w:t>
      </w:r>
      <w:r>
        <w:rPr>
          <w:rFonts w:hint="eastAsia" w:cs="宋体"/>
          <w:color w:val="auto"/>
          <w:highlight w:val="none"/>
        </w:rPr>
        <w:t>政府采购当事人有其他违反政府采购法或者政府采购法实施条例等法律法规规定的行为，经改正后仍然影响或者可能影响中标、成交结果或者依法被认定为中标、成交无效的，依照</w:t>
      </w:r>
      <w:r>
        <w:rPr>
          <w:rFonts w:cs="宋体"/>
          <w:color w:val="auto"/>
          <w:highlight w:val="none"/>
        </w:rPr>
        <w:t>7.1-7.4</w:t>
      </w:r>
      <w:r>
        <w:rPr>
          <w:rFonts w:hint="eastAsia" w:cs="宋体"/>
          <w:color w:val="auto"/>
          <w:highlight w:val="none"/>
        </w:rPr>
        <w:t>规定处理。</w:t>
      </w:r>
    </w:p>
    <w:p>
      <w:pPr>
        <w:pStyle w:val="26"/>
        <w:snapToGrid w:val="0"/>
        <w:spacing w:line="360" w:lineRule="auto"/>
        <w:ind w:firstLine="0" w:firstLineChars="0"/>
        <w:rPr>
          <w:rFonts w:cs="宋体"/>
          <w:color w:val="auto"/>
          <w:highlight w:val="none"/>
        </w:rPr>
      </w:pPr>
    </w:p>
    <w:bookmarkEnd w:id="26"/>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419" w:name="第五部分"/>
      <w:bookmarkStart w:id="420" w:name="_Toc86217003"/>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t xml:space="preserve">    </w:t>
      </w: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pStyle w:val="2"/>
        <w:rPr>
          <w:color w:val="auto"/>
          <w:highlight w:val="none"/>
          <w:lang w:val="en-US"/>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rPr>
          <w:color w:val="auto"/>
          <w:highlight w:val="none"/>
        </w:rPr>
      </w:pPr>
    </w:p>
    <w:p>
      <w:pPr>
        <w:pStyle w:val="120"/>
        <w:ind w:firstLine="460"/>
        <w:rPr>
          <w:color w:val="auto"/>
          <w:highlight w:val="none"/>
        </w:rPr>
      </w:pPr>
    </w:p>
    <w:p>
      <w:pPr>
        <w:pageBreakBefore w:val="0"/>
        <w:kinsoku/>
        <w:wordWrap/>
        <w:overflowPunct/>
        <w:topLinePunct w:val="0"/>
        <w:bidi w:val="0"/>
        <w:snapToGrid/>
        <w:spacing w:line="300" w:lineRule="auto"/>
        <w:textAlignment w:val="auto"/>
        <w:outlineLvl w:val="0"/>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pageBreakBefore w:val="0"/>
        <w:kinsoku/>
        <w:wordWrap/>
        <w:overflowPunct/>
        <w:topLinePunct w:val="0"/>
        <w:bidi w:val="0"/>
        <w:snapToGrid/>
        <w:spacing w:line="300" w:lineRule="auto"/>
        <w:jc w:val="center"/>
        <w:textAlignment w:val="auto"/>
        <w:outlineLvl w:val="0"/>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第五部分 拟签订的合同文本</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供参考）</w:t>
      </w:r>
    </w:p>
    <w:p>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8"/>
          <w:szCs w:val="28"/>
          <w:highlight w:val="none"/>
        </w:rPr>
      </w:pPr>
    </w:p>
    <w:p>
      <w:pPr>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p>
    <w:p>
      <w:pPr>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48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keepNext w:val="0"/>
        <w:keepLines w:val="0"/>
        <w:pageBreakBefore w:val="0"/>
        <w:widowControl w:val="0"/>
        <w:kinsoku/>
        <w:wordWrap/>
        <w:overflowPunct/>
        <w:topLinePunct w:val="0"/>
        <w:autoSpaceDE/>
        <w:autoSpaceDN/>
        <w:bidi w:val="0"/>
        <w:adjustRightInd w:val="0"/>
        <w:snapToGrid/>
        <w:spacing w:line="48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pPr>
        <w:pStyle w:val="710"/>
        <w:pageBreakBefore w:val="0"/>
        <w:kinsoku/>
        <w:wordWrap/>
        <w:overflowPunct/>
        <w:topLinePunct w:val="0"/>
        <w:bidi w:val="0"/>
        <w:snapToGrid/>
        <w:spacing w:after="0" w:line="300" w:lineRule="auto"/>
        <w:textAlignment w:val="auto"/>
        <w:rPr>
          <w:rFonts w:hint="eastAsia" w:ascii="宋体" w:hAnsi="宋体" w:eastAsia="宋体" w:cs="宋体"/>
          <w:color w:val="auto"/>
          <w:szCs w:val="24"/>
          <w:highlight w:val="none"/>
        </w:rPr>
      </w:pPr>
    </w:p>
    <w:p>
      <w:pPr>
        <w:pStyle w:val="710"/>
        <w:pageBreakBefore w:val="0"/>
        <w:kinsoku/>
        <w:wordWrap/>
        <w:overflowPunct/>
        <w:topLinePunct w:val="0"/>
        <w:bidi w:val="0"/>
        <w:snapToGrid/>
        <w:spacing w:after="0" w:line="300" w:lineRule="auto"/>
        <w:textAlignment w:val="auto"/>
        <w:rPr>
          <w:rFonts w:hint="eastAsia" w:ascii="宋体" w:hAnsi="宋体" w:eastAsia="宋体" w:cs="宋体"/>
          <w:color w:val="auto"/>
          <w:szCs w:val="24"/>
          <w:highlight w:val="none"/>
        </w:rPr>
      </w:pPr>
    </w:p>
    <w:p>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pPr>
        <w:pStyle w:val="710"/>
        <w:pageBreakBefore w:val="0"/>
        <w:kinsoku/>
        <w:wordWrap/>
        <w:overflowPunct/>
        <w:topLinePunct w:val="0"/>
        <w:bidi w:val="0"/>
        <w:snapToGrid/>
        <w:spacing w:after="0" w:line="300" w:lineRule="auto"/>
        <w:jc w:val="center"/>
        <w:textAlignment w:val="auto"/>
        <w:rPr>
          <w:rFonts w:hint="eastAsia" w:ascii="宋体" w:hAnsi="宋体" w:eastAsia="宋体" w:cs="宋体"/>
          <w:color w:val="auto"/>
          <w:szCs w:val="24"/>
          <w:highlight w:val="none"/>
        </w:rPr>
      </w:pPr>
    </w:p>
    <w:p>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pPr>
        <w:pStyle w:val="710"/>
        <w:pageBreakBefore w:val="0"/>
        <w:kinsoku/>
        <w:wordWrap/>
        <w:overflowPunct/>
        <w:topLinePunct w:val="0"/>
        <w:bidi w:val="0"/>
        <w:snapToGrid/>
        <w:spacing w:after="0" w:line="300" w:lineRule="auto"/>
        <w:ind w:firstLine="2843" w:firstLineChars="118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通用合同书</w:t>
      </w:r>
    </w:p>
    <w:p>
      <w:pPr>
        <w:pStyle w:val="710"/>
        <w:pageBreakBefore w:val="0"/>
        <w:kinsoku/>
        <w:wordWrap/>
        <w:overflowPunct/>
        <w:topLinePunct w:val="0"/>
        <w:bidi w:val="0"/>
        <w:snapToGrid/>
        <w:spacing w:after="0" w:line="300" w:lineRule="auto"/>
        <w:textAlignment w:val="auto"/>
        <w:rPr>
          <w:rFonts w:hint="eastAsia" w:ascii="宋体" w:hAnsi="宋体" w:eastAsia="宋体" w:cs="宋体"/>
          <w:color w:val="auto"/>
          <w:szCs w:val="24"/>
          <w:highlight w:val="none"/>
        </w:rPr>
      </w:pPr>
    </w:p>
    <w:p>
      <w:pPr>
        <w:pStyle w:val="710"/>
        <w:pageBreakBefore w:val="0"/>
        <w:kinsoku/>
        <w:wordWrap/>
        <w:overflowPunct/>
        <w:topLinePunct w:val="0"/>
        <w:bidi w:val="0"/>
        <w:snapToGrid/>
        <w:spacing w:after="0" w:line="300" w:lineRule="auto"/>
        <w:textAlignment w:val="auto"/>
        <w:rPr>
          <w:rFonts w:hint="eastAsia" w:ascii="宋体" w:hAnsi="宋体" w:eastAsia="宋体" w:cs="宋体"/>
          <w:color w:val="auto"/>
          <w:szCs w:val="24"/>
          <w:highlight w:val="none"/>
        </w:rPr>
      </w:pPr>
    </w:p>
    <w:p>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line="300" w:lineRule="auto"/>
        <w:ind w:left="96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608"/>
        <w:pageBreakBefore w:val="0"/>
        <w:kinsoku/>
        <w:wordWrap/>
        <w:overflowPunct/>
        <w:topLinePunct w:val="0"/>
        <w:bidi w:val="0"/>
        <w:snapToGrid/>
        <w:spacing w:line="300" w:lineRule="auto"/>
        <w:textAlignment w:val="auto"/>
        <w:rPr>
          <w:rFonts w:hint="eastAsia" w:ascii="宋体" w:hAnsi="宋体" w:eastAsia="宋体" w:cs="宋体"/>
          <w:color w:val="auto"/>
          <w:szCs w:val="24"/>
          <w:highlight w:val="none"/>
        </w:rPr>
      </w:pPr>
    </w:p>
    <w:p>
      <w:pPr>
        <w:pStyle w:val="608"/>
        <w:pageBreakBefore w:val="0"/>
        <w:kinsoku/>
        <w:wordWrap/>
        <w:overflowPunct/>
        <w:topLinePunct w:val="0"/>
        <w:bidi w:val="0"/>
        <w:snapToGrid/>
        <w:spacing w:line="300" w:lineRule="auto"/>
        <w:textAlignment w:val="auto"/>
        <w:rPr>
          <w:rFonts w:hint="eastAsia" w:ascii="宋体" w:hAnsi="宋体" w:eastAsia="宋体" w:cs="宋体"/>
          <w:color w:val="auto"/>
          <w:szCs w:val="24"/>
          <w:highlight w:val="none"/>
        </w:rPr>
      </w:pPr>
    </w:p>
    <w:p>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line="300" w:lineRule="auto"/>
        <w:ind w:left="96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line="300" w:lineRule="auto"/>
        <w:ind w:left="96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line="300" w:lineRule="auto"/>
        <w:ind w:firstLine="960" w:firstLineChars="4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line="300" w:lineRule="auto"/>
        <w:ind w:firstLine="960" w:firstLineChars="400"/>
        <w:textAlignment w:val="auto"/>
        <w:rPr>
          <w:rFonts w:hint="eastAsia" w:ascii="宋体" w:hAnsi="宋体" w:eastAsia="宋体" w:cs="宋体"/>
          <w:color w:val="auto"/>
          <w:kern w:val="0"/>
          <w:sz w:val="24"/>
          <w:highlight w:val="none"/>
        </w:rPr>
        <w:sectPr>
          <w:footerReference r:id="rId8" w:type="default"/>
          <w:pgSz w:w="11907" w:h="16840"/>
          <w:pgMar w:top="1474" w:right="1814" w:bottom="1474" w:left="1814" w:header="851" w:footer="851" w:gutter="0"/>
          <w:cols w:space="720" w:num="1"/>
        </w:sect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2"/>
        <w:pageBreakBefore w:val="0"/>
        <w:kinsoku/>
        <w:wordWrap/>
        <w:overflowPunct/>
        <w:topLinePunct w:val="0"/>
        <w:bidi w:val="0"/>
        <w:snapToGrid/>
        <w:spacing w:line="300" w:lineRule="auto"/>
        <w:ind w:left="0" w:leftChars="0" w:firstLine="0" w:firstLineChars="0"/>
        <w:textAlignment w:val="auto"/>
        <w:rPr>
          <w:rFonts w:hint="eastAsia" w:ascii="宋体" w:hAnsi="宋体" w:eastAsia="宋体" w:cs="宋体"/>
          <w:color w:val="auto"/>
          <w:highlight w:val="none"/>
          <w:lang w:val="en-US"/>
        </w:rPr>
      </w:pP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（项目名称）经</w:t>
      </w:r>
      <w:r>
        <w:rPr>
          <w:rFonts w:hint="eastAsia" w:ascii="宋体" w:hAnsi="宋体" w:eastAsia="宋体" w:cs="宋体"/>
          <w:color w:val="auto"/>
          <w:highlight w:val="none"/>
          <w:lang w:eastAsia="zh-CN"/>
        </w:rPr>
        <w:t>浙江智拓项目管理有限公司</w:t>
      </w:r>
      <w:r>
        <w:rPr>
          <w:rFonts w:hint="eastAsia" w:ascii="宋体" w:hAnsi="宋体" w:eastAsia="宋体" w:cs="宋体"/>
          <w:color w:val="auto"/>
          <w:highlight w:val="none"/>
        </w:rPr>
        <w:t>以招标文件（编号：</w:t>
      </w:r>
      <w:r>
        <w:rPr>
          <w:rFonts w:hint="eastAsia" w:ascii="宋体" w:hAnsi="宋体" w:eastAsia="宋体" w:cs="宋体"/>
          <w:color w:val="auto"/>
          <w:highlight w:val="none"/>
          <w:lang w:eastAsia="zh-CN"/>
        </w:rPr>
        <w:t>浙江</w:t>
      </w:r>
      <w:r>
        <w:rPr>
          <w:rFonts w:hint="eastAsia" w:ascii="宋体" w:hAnsi="宋体" w:eastAsia="宋体" w:cs="宋体"/>
          <w:color w:val="auto"/>
          <w:highlight w:val="none"/>
          <w:lang w:val="en-US" w:eastAsia="zh-CN"/>
        </w:rPr>
        <w:t>智拓</w:t>
      </w:r>
      <w:r>
        <w:rPr>
          <w:rFonts w:hint="eastAsia" w:ascii="宋体" w:hAnsi="宋体" w:eastAsia="宋体" w:cs="宋体"/>
          <w:color w:val="auto"/>
          <w:highlight w:val="none"/>
          <w:lang w:eastAsia="zh-CN"/>
        </w:rPr>
        <w:t>2022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号）进行公开招标。甲方确定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（乙方）为中标人。甲、乙双方依据《中华人民共和国政府采购法》、《中华人民共和国民法典》，在平等自愿的基础上，同意按照下面的条款和条件，签署本合同。</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u w:val="single"/>
        </w:rPr>
      </w:pPr>
      <w:r>
        <w:rPr>
          <w:rFonts w:hint="eastAsia" w:ascii="宋体" w:hAnsi="宋体" w:eastAsia="宋体" w:cs="宋体"/>
          <w:b/>
          <w:bCs/>
          <w:color w:val="auto"/>
          <w:highlight w:val="none"/>
        </w:rPr>
        <w:t>（一）项目采购依据</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政府采购预算执行确认书。 </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（二）下列文件构成本合同的组成部分</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以下文件为本合同的组成部分，应该认为是一个整体，彼此相互解释，相互补充。</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 本合同书</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 中标通知书</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c. 询标承诺</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d. 投标文件</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e. 招标文件</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3960"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规格、型号（或服务内容）</w:t>
            </w:r>
          </w:p>
        </w:tc>
        <w:tc>
          <w:tcPr>
            <w:tcW w:w="1080"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260"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单价（元）</w:t>
            </w:r>
          </w:p>
        </w:tc>
        <w:tc>
          <w:tcPr>
            <w:tcW w:w="1440"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3960" w:type="dxa"/>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080" w:type="dxa"/>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260" w:type="dxa"/>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440" w:type="dxa"/>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3960" w:type="dxa"/>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080" w:type="dxa"/>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260" w:type="dxa"/>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440" w:type="dxa"/>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3960" w:type="dxa"/>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080" w:type="dxa"/>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260" w:type="dxa"/>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440" w:type="dxa"/>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bl>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（具体标的物或服务内容可根据实际修改）</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（四）合同总价</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本合同总价为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（五）合同价款的支付</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1.本合同中甲乙双方之间所发生的一切费用以人民币进行结算。</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付款次数</w:t>
            </w:r>
          </w:p>
        </w:tc>
        <w:tc>
          <w:tcPr>
            <w:tcW w:w="1985"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约定支付条件</w:t>
            </w:r>
          </w:p>
        </w:tc>
        <w:tc>
          <w:tcPr>
            <w:tcW w:w="4394"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付款条件</w:t>
            </w:r>
          </w:p>
        </w:tc>
        <w:tc>
          <w:tcPr>
            <w:tcW w:w="1413"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85"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合同签订后</w:t>
            </w:r>
          </w:p>
        </w:tc>
        <w:tc>
          <w:tcPr>
            <w:tcW w:w="4394"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满足合同约定支付条件，甲方收到乙方提供的同等金额的正规发票后 7 个工作日内，向乙方支付合同总价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%的预付款；</w:t>
            </w:r>
          </w:p>
        </w:tc>
        <w:tc>
          <w:tcPr>
            <w:tcW w:w="1413"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985"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项目验收合格后</w:t>
            </w:r>
          </w:p>
        </w:tc>
        <w:tc>
          <w:tcPr>
            <w:tcW w:w="4394"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满足合同约定支付条件，甲方收到乙方提供</w:t>
            </w:r>
          </w:p>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的同等金额的正规发票后 7 个工作日内，向</w:t>
            </w:r>
          </w:p>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乙方支付合同总价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%的合同款。</w:t>
            </w:r>
          </w:p>
        </w:tc>
        <w:tc>
          <w:tcPr>
            <w:tcW w:w="1413"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985" w:type="dxa"/>
            <w:vAlign w:val="center"/>
          </w:tcPr>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tc>
        <w:tc>
          <w:tcPr>
            <w:tcW w:w="4394"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413"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bl>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3.甲方应付合同款至以下乙方指定的银行账户：</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开户名称：</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账 号：</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（六）履约保证金</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项目实施前，中标方需向采购单位缴纳合同金额1%的履约保证金，项目完成并验收合格后七天内退还，不计息</w:t>
      </w:r>
      <w:r>
        <w:rPr>
          <w:rFonts w:hint="eastAsia" w:ascii="宋体" w:hAnsi="宋体" w:cs="宋体"/>
          <w:color w:val="auto"/>
          <w:highlight w:val="none"/>
          <w:lang w:eastAsia="zh-CN"/>
        </w:rPr>
        <w:t>。</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（七）服务要求</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服务期内，乙方应在充分了解甲方现有环境基础上，提供规范化、高质量的服务，具体服务内容与要求详见附件。</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履行期限：</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履行地点：</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（八）服务人员</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甲乙双方指定代表，作为履行本合同服务事宜的主要联系人。</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甲方代表：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乙方代表：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（九）服务考核</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甲方对乙方服务质量进行客观评估，具体考核办法（如有）作为合同附件。</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（十）违约责任</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除合同规定的不可抗力外，如果乙方没有按照合同规定的时间提供服务，甲方可要求乙方支付违约金。违约金按每周合同款的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%计收。但违约金的最高限额为合同价的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%。一周按 7 天计算，不足 7 天按一周计算。如果达到最高限额，甲方有权解除合同。</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项目结束时验收不合格，乙方应在收到甲方通知后</w:t>
      </w:r>
      <w:r>
        <w:rPr>
          <w:rFonts w:hint="eastAsia" w:ascii="宋体" w:hAnsi="宋体" w:eastAsia="宋体" w:cs="宋体"/>
          <w:color w:val="auto"/>
          <w:highlight w:val="none"/>
          <w:u w:val="single"/>
        </w:rPr>
        <w:t xml:space="preserve"> 7 </w:t>
      </w:r>
      <w:r>
        <w:rPr>
          <w:rFonts w:hint="eastAsia" w:ascii="宋体" w:hAnsi="宋体" w:eastAsia="宋体" w:cs="宋体"/>
          <w:color w:val="auto"/>
          <w:highlight w:val="none"/>
        </w:rPr>
        <w:t>日内退还甲方已支付的合同款，逾期退还合同款的，每日按未退还金额的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%支付违约金。</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其他违约条款双方协商确定：</w:t>
      </w:r>
      <w:r>
        <w:rPr>
          <w:rFonts w:hint="eastAsia" w:ascii="宋体" w:hAnsi="宋体" w:eastAsia="宋体" w:cs="宋体"/>
          <w:color w:val="auto"/>
          <w:highlight w:val="none"/>
          <w:u w:val="single"/>
        </w:rPr>
        <w:t>如甲方未按约定支付款项的，应向乙方支付逾期利息，利率为合同订立时1年期贷款市场报价利率。</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（十一）解决争议的方法</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因合同履行中发生的争议，可通过合同当事人双方友好协商解决。如自协商开始之起 15 日内得不到解决，双方应将争议提交政府采购监管部门调解。调解不成的，可向</w:t>
      </w:r>
      <w:r>
        <w:rPr>
          <w:rFonts w:hint="eastAsia" w:ascii="宋体" w:hAnsi="宋体" w:eastAsia="宋体" w:cs="宋体"/>
          <w:color w:val="auto"/>
          <w:highlight w:val="none"/>
          <w:u w:val="single"/>
        </w:rPr>
        <w:t>（1）向绍兴市仲裁委员会申请仲裁；（2）向                           人民法院起诉</w:t>
      </w:r>
      <w:r>
        <w:rPr>
          <w:rFonts w:hint="eastAsia" w:ascii="宋体" w:hAnsi="宋体" w:eastAsia="宋体" w:cs="宋体"/>
          <w:color w:val="auto"/>
          <w:highlight w:val="none"/>
        </w:rPr>
        <w:t>。诉讼费用除人民法院另有裁决外，应由败诉方负担。</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（十二）违约解除合同</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1.在乙方违约的情况下，甲方可向乙方发出书面通知，部分或全部终止合同,同时保留向乙方追诉的权利：</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乙方未能在合同规定的限期或甲方同意延长的限期内，提供全部或部分标的物的；</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乙方未能履行合同规定的其它主要义务的；</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甲方认为乙方在本合同履行过程中有腐败和欺诈等行为的。</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2.甲方解除合同的，合同于甲方发出书面解除合同通知书送达乙方之日起解除。乙方应在合同解除后</w:t>
      </w:r>
      <w:r>
        <w:rPr>
          <w:rFonts w:hint="eastAsia" w:ascii="宋体" w:hAnsi="宋体" w:eastAsia="宋体" w:cs="宋体"/>
          <w:color w:val="auto"/>
          <w:highlight w:val="none"/>
          <w:u w:val="single"/>
        </w:rPr>
        <w:t xml:space="preserve"> 7 </w:t>
      </w:r>
      <w:r>
        <w:rPr>
          <w:rFonts w:hint="eastAsia" w:ascii="宋体" w:hAnsi="宋体" w:eastAsia="宋体" w:cs="宋体"/>
          <w:color w:val="auto"/>
          <w:highlight w:val="none"/>
        </w:rPr>
        <w:t>日内退还甲方已支付的合同款，逾期退还合同款的，每日按未退还金额的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%支付违约金。</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（十三）破产终止合同</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（十四）转让和分包</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1.政府采购合同不能转让。</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2.本项目内容</w:t>
      </w:r>
      <w:r>
        <w:rPr>
          <w:rFonts w:hint="eastAsia" w:ascii="宋体" w:hAnsi="宋体" w:eastAsia="宋体" w:cs="宋体"/>
          <w:color w:val="auto"/>
          <w:highlight w:val="none"/>
          <w:u w:val="single"/>
        </w:rPr>
        <w:t>不</w:t>
      </w:r>
      <w:r>
        <w:rPr>
          <w:rFonts w:hint="eastAsia" w:ascii="宋体" w:hAnsi="宋体" w:eastAsia="宋体" w:cs="宋体"/>
          <w:color w:val="auto"/>
          <w:highlight w:val="none"/>
        </w:rPr>
        <w:t>允许分包（按照招标文件要求）。</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（十五）合同变更、解除</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（十六）通知</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本合同任何一方给另一方的通知，都应以书面形式发送，而另一方也应以书面形式确认并发送到对方明确的地址。</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（十七）计量单位</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除技术规范中另有规定外，计量单位均使用国家法定计量单位。</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（十八）不可抗力</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1.如果双方中任何一方遭遇法律规定的不可抗力，致使合同履行受阻时，履行合同的期限应予延长，延长的期限应相当于不可抗力所影响的时间。</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2.受事故影响的一方应在不可抗力的事故发生后尽快书面形式通知另一方，并在事故发生后合同规定时间内，将有关部门出具的证明文件送达另一方。</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3.不可抗力使合同的某些内容有变更必要的，双方应通过协商达成进一步履行合同的协议，因不可抗力致使合同不能履行的，合同终止。</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（十九）合同解释</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本合同应按照《中华人民共和国政府采购法》、《中华人民共和国民法典》、《浙江省政府采购合同暂行办法》等进行解释。</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（二十）合同的生效及其他</w:t>
      </w: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政府采购项目的采购合同内容的确定应以招标文件和投标文件为基础，不得违背其实质性内容。</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合同将在双方签字盖章后开始生效。授权代表签署的应附法定代表人授权书。</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（二十一）合同附件（如有）</w:t>
      </w:r>
    </w:p>
    <w:p>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（二十二）合同份数</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本合同一式</w:t>
      </w:r>
      <w:r>
        <w:rPr>
          <w:rFonts w:hint="eastAsia" w:ascii="宋体" w:hAnsi="宋体" w:eastAsia="宋体" w:cs="宋体"/>
          <w:color w:val="auto"/>
          <w:highlight w:val="none"/>
          <w:u w:val="single"/>
        </w:rPr>
        <w:t>五</w:t>
      </w:r>
      <w:r>
        <w:rPr>
          <w:rFonts w:hint="eastAsia" w:ascii="宋体" w:hAnsi="宋体" w:eastAsia="宋体" w:cs="宋体"/>
          <w:color w:val="auto"/>
          <w:highlight w:val="none"/>
        </w:rPr>
        <w:t>份，具同等法律效力。</w:t>
      </w:r>
    </w:p>
    <w:tbl>
      <w:tblPr>
        <w:tblStyle w:val="6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p>
        </w:tc>
        <w:tc>
          <w:tcPr>
            <w:tcW w:w="4234" w:type="dxa"/>
            <w:vAlign w:val="center"/>
          </w:tcPr>
          <w:p>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单位名称（盖章）</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单位地址：</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委托代理人：</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传真号码：</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账    号：</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税    号：</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签订时间：</w:t>
            </w:r>
          </w:p>
        </w:tc>
        <w:tc>
          <w:tcPr>
            <w:tcW w:w="4234" w:type="dxa"/>
          </w:tcPr>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单位名称（盖章）</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单位地址：</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委托代理人：</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传真号码：</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账    号：</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税    号：</w:t>
            </w: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签订时间：</w:t>
            </w:r>
          </w:p>
        </w:tc>
      </w:tr>
    </w:tbl>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pPr>
        <w:pageBreakBefore w:val="0"/>
        <w:kinsoku/>
        <w:wordWrap/>
        <w:overflowPunct/>
        <w:topLinePunct w:val="0"/>
        <w:bidi w:val="0"/>
        <w:snapToGrid/>
        <w:spacing w:line="300" w:lineRule="auto"/>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pStyle w:val="2"/>
        <w:rPr>
          <w:color w:val="auto"/>
          <w:highlight w:val="none"/>
          <w:lang w:val="en-US"/>
        </w:rPr>
      </w:pPr>
    </w:p>
    <w:p>
      <w:pPr>
        <w:pStyle w:val="2"/>
        <w:ind w:left="0" w:firstLine="0"/>
        <w:rPr>
          <w:color w:val="auto"/>
          <w:highlight w:val="none"/>
          <w:lang w:val="en-US"/>
        </w:rPr>
      </w:pPr>
    </w:p>
    <w:p>
      <w:pPr>
        <w:rPr>
          <w:color w:val="auto"/>
          <w:highlight w:val="none"/>
        </w:rPr>
      </w:pPr>
    </w:p>
    <w:p>
      <w:pPr>
        <w:rPr>
          <w:color w:val="auto"/>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ind w:left="720" w:firstLine="723" w:firstLineChars="200"/>
        <w:outlineLvl w:val="0"/>
        <w:rPr>
          <w:rFonts w:ascii="宋体" w:cs="宋体"/>
          <w:b/>
          <w:color w:val="auto"/>
          <w:sz w:val="36"/>
          <w:szCs w:val="20"/>
          <w:highlight w:val="none"/>
        </w:rPr>
      </w:pPr>
      <w:r>
        <w:rPr>
          <w:rFonts w:hint="eastAsia" w:ascii="宋体" w:hAnsi="宋体" w:cs="宋体"/>
          <w:b/>
          <w:color w:val="auto"/>
          <w:sz w:val="36"/>
          <w:szCs w:val="20"/>
          <w:highlight w:val="none"/>
        </w:rPr>
        <w:t>第六部分</w:t>
      </w:r>
      <w:bookmarkEnd w:id="419"/>
      <w:r>
        <w:rPr>
          <w:rFonts w:ascii="宋体" w:hAnsi="宋体" w:cs="宋体"/>
          <w:b/>
          <w:color w:val="auto"/>
          <w:sz w:val="36"/>
          <w:szCs w:val="20"/>
          <w:highlight w:val="none"/>
        </w:rPr>
        <w:t xml:space="preserve"> </w:t>
      </w:r>
      <w:bookmarkEnd w:id="420"/>
      <w:r>
        <w:rPr>
          <w:rFonts w:hint="eastAsia" w:ascii="宋体" w:hAnsi="宋体" w:cs="宋体"/>
          <w:b/>
          <w:color w:val="auto"/>
          <w:sz w:val="36"/>
          <w:szCs w:val="20"/>
          <w:highlight w:val="none"/>
        </w:rPr>
        <w:t>应提交的有关格式范例</w:t>
      </w:r>
    </w:p>
    <w:p>
      <w:pPr>
        <w:spacing w:line="360" w:lineRule="auto"/>
        <w:jc w:val="center"/>
        <w:outlineLvl w:val="0"/>
        <w:rPr>
          <w:rFonts w:ascii="宋体" w:cs="宋体"/>
          <w:b/>
          <w:color w:val="auto"/>
          <w:kern w:val="0"/>
          <w:sz w:val="36"/>
          <w:szCs w:val="36"/>
          <w:highlight w:val="none"/>
        </w:rPr>
      </w:pPr>
    </w:p>
    <w:p>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（1）营业执照或事业法人证书复印件（加盖单位公章）………………（页码）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符合参加政府采购活动应当具备的一般条件的承诺函……………（页码）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）落实政府采购政策需满足的资格要求（如需）……………………（页码）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）本项目的特定资格要求（如需）……………………………………（页码）</w:t>
      </w:r>
    </w:p>
    <w:p>
      <w:pPr>
        <w:snapToGrid w:val="0"/>
        <w:spacing w:line="360" w:lineRule="auto"/>
        <w:rPr>
          <w:rFonts w:hint="eastAsia" w:ascii="宋体" w:hAnsi="宋体" w:cs="宋体"/>
          <w:color w:val="auto"/>
          <w:sz w:val="24"/>
          <w:highlight w:val="none"/>
          <w:lang w:val="zh-CN"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联合协议（如需）……………………………………………………（页码）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分包意向协议（如需）………………………………………………（页码）</w:t>
      </w:r>
    </w:p>
    <w:p>
      <w:pPr>
        <w:snapToGrid w:val="0"/>
        <w:spacing w:line="360" w:lineRule="auto"/>
        <w:ind w:firstLine="480" w:firstLineChars="200"/>
        <w:rPr>
          <w:rFonts w:ascii="宋体" w:cs="宋体"/>
          <w:color w:val="auto"/>
          <w:sz w:val="24"/>
          <w:highlight w:val="none"/>
        </w:rPr>
      </w:pPr>
    </w:p>
    <w:p>
      <w:pPr>
        <w:spacing w:line="360" w:lineRule="auto"/>
        <w:ind w:firstLine="480" w:firstLineChars="200"/>
        <w:rPr>
          <w:rFonts w:ascii="宋体" w:cs="宋体"/>
          <w:color w:val="auto"/>
          <w:sz w:val="24"/>
          <w:highlight w:val="none"/>
        </w:rPr>
      </w:pPr>
    </w:p>
    <w:p>
      <w:pPr>
        <w:pageBreakBefore w:val="0"/>
        <w:widowControl w:val="0"/>
        <w:kinsoku/>
        <w:wordWrap/>
        <w:overflowPunct/>
        <w:topLinePunct w:val="0"/>
        <w:autoSpaceDE/>
        <w:autoSpaceDN/>
        <w:bidi w:val="0"/>
        <w:snapToGrid w:val="0"/>
        <w:spacing w:line="300" w:lineRule="auto"/>
        <w:ind w:right="480"/>
        <w:jc w:val="center"/>
        <w:textAlignment w:val="auto"/>
        <w:rPr>
          <w:rFonts w:ascii="宋体" w:hAnsi="宋体" w:cs="宋体"/>
          <w:b/>
          <w:color w:val="auto"/>
          <w:kern w:val="0"/>
          <w:sz w:val="32"/>
          <w:szCs w:val="32"/>
          <w:highlight w:val="none"/>
        </w:rPr>
      </w:pPr>
      <w:r>
        <w:rPr>
          <w:rFonts w:ascii="宋体" w:cs="宋体"/>
          <w:color w:val="auto"/>
          <w:kern w:val="0"/>
          <w:sz w:val="24"/>
          <w:highlight w:val="none"/>
        </w:rPr>
        <w:br w:type="page"/>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一、营业执照或事业法人证书复印件</w:t>
      </w:r>
      <w:r>
        <w:rPr>
          <w:rFonts w:ascii="宋体" w:hAnsi="宋体" w:cs="宋体"/>
          <w:b/>
          <w:color w:val="auto"/>
          <w:kern w:val="0"/>
          <w:sz w:val="32"/>
          <w:szCs w:val="32"/>
          <w:highlight w:val="none"/>
        </w:rPr>
        <w:t xml:space="preserve"> </w:t>
      </w: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p>
    <w:p>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pageBreakBefore w:val="0"/>
        <w:widowControl w:val="0"/>
        <w:kinsoku/>
        <w:wordWrap/>
        <w:overflowPunct/>
        <w:topLinePunct w:val="0"/>
        <w:autoSpaceDE/>
        <w:autoSpaceDN/>
        <w:bidi w:val="0"/>
        <w:snapToGrid w:val="0"/>
        <w:spacing w:line="300" w:lineRule="auto"/>
        <w:ind w:firstLine="360" w:firstLineChars="150"/>
        <w:textAlignment w:val="auto"/>
        <w:rPr>
          <w:rFonts w:ascii="宋体" w:cs="宋体"/>
          <w:color w:val="auto"/>
          <w:sz w:val="24"/>
          <w:highlight w:val="none"/>
        </w:rPr>
      </w:pPr>
      <w:r>
        <w:rPr>
          <w:rFonts w:hint="eastAsia" w:ascii="宋体" w:hAnsi="宋体" w:cs="宋体"/>
          <w:color w:val="auto"/>
          <w:sz w:val="24"/>
          <w:highlight w:val="none"/>
        </w:rPr>
        <w:t>（一）具备《中华人民共和国政府采购法》第二十二条规定的以下条件：</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r>
        <w:rPr>
          <w:rFonts w:ascii="宋体" w:hAnsi="宋体" w:cs="宋体"/>
          <w:color w:val="auto"/>
          <w:sz w:val="24"/>
          <w:highlight w:val="none"/>
        </w:rPr>
        <w:t xml:space="preserve"> </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（二）未被信用中国（</w:t>
      </w:r>
      <w:r>
        <w:rPr>
          <w:rFonts w:ascii="宋体" w:hAnsi="宋体" w:cs="宋体"/>
          <w:color w:val="auto"/>
          <w:sz w:val="24"/>
          <w:highlight w:val="none"/>
        </w:rPr>
        <w:t>www.creditchina.gov.cn)</w:t>
      </w:r>
      <w:r>
        <w:rPr>
          <w:rFonts w:hint="eastAsia" w:ascii="宋体" w:hAnsi="宋体" w:cs="宋体"/>
          <w:color w:val="auto"/>
          <w:sz w:val="24"/>
          <w:highlight w:val="none"/>
        </w:rPr>
        <w:t>、中国政府采购网（</w:t>
      </w:r>
      <w:r>
        <w:rPr>
          <w:rFonts w:ascii="宋体" w:hAnsi="宋体" w:cs="宋体"/>
          <w:color w:val="auto"/>
          <w:sz w:val="24"/>
          <w:highlight w:val="none"/>
        </w:rPr>
        <w:t>www.ccgp.gov.cn</w:t>
      </w:r>
      <w:r>
        <w:rPr>
          <w:rFonts w:hint="eastAsia" w:ascii="宋体" w:hAnsi="宋体" w:cs="宋体"/>
          <w:color w:val="auto"/>
          <w:sz w:val="24"/>
          <w:highlight w:val="none"/>
        </w:rPr>
        <w:t>）列入失信被执行人、重大税收违法案件当事人名单、政府采购严重违法失信行为记录名单。</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（三）不存在以下情况：</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、单位负责人为同一人或者存在直接控股、管理关系的不同供应商参加同一合同项下的政府采购活动的；</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、为采购项目提供整体设计、规范编制或者项目管理、监理、检测等服务后再参加该采购项目的其他采购活动的。</w:t>
      </w:r>
    </w:p>
    <w:p>
      <w:pPr>
        <w:pStyle w:val="2"/>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pPr>
        <w:pStyle w:val="2"/>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pPr>
        <w:pStyle w:val="2"/>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pPr>
        <w:pageBreakBefore w:val="0"/>
        <w:widowControl w:val="0"/>
        <w:kinsoku/>
        <w:wordWrap/>
        <w:overflowPunct/>
        <w:topLinePunct w:val="0"/>
        <w:autoSpaceDE/>
        <w:autoSpaceDN/>
        <w:bidi w:val="0"/>
        <w:snapToGrid w:val="0"/>
        <w:spacing w:line="300" w:lineRule="auto"/>
        <w:ind w:firstLine="5520" w:firstLineChars="2300"/>
        <w:textAlignment w:val="auto"/>
        <w:rPr>
          <w:rFonts w:ascii="宋体" w:cs="宋体"/>
          <w:color w:val="auto"/>
          <w:kern w:val="0"/>
          <w:sz w:val="24"/>
          <w:highlight w:val="none"/>
        </w:rPr>
      </w:pP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pageBreakBefore w:val="0"/>
        <w:widowControl w:val="0"/>
        <w:kinsoku/>
        <w:wordWrap/>
        <w:overflowPunct/>
        <w:topLinePunct w:val="0"/>
        <w:autoSpaceDE/>
        <w:autoSpaceDN/>
        <w:bidi w:val="0"/>
        <w:snapToGrid w:val="0"/>
        <w:spacing w:line="300" w:lineRule="auto"/>
        <w:textAlignment w:val="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rPr>
          <w:rFonts w:ascii="宋体" w:cs="宋体"/>
          <w:b/>
          <w:color w:val="auto"/>
          <w:kern w:val="0"/>
          <w:sz w:val="32"/>
          <w:szCs w:val="32"/>
          <w:highlight w:val="none"/>
        </w:rPr>
      </w:pPr>
    </w:p>
    <w:p>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pPr>
        <w:pageBreakBefore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、落实政府采购政策需满足的资格要求</w:t>
      </w:r>
    </w:p>
    <w:p>
      <w:pPr>
        <w:pageBreakBefore w:val="0"/>
        <w:kinsoku/>
        <w:wordWrap/>
        <w:overflowPunct/>
        <w:topLinePunct w:val="0"/>
        <w:autoSpaceDE/>
        <w:autoSpaceDN/>
        <w:bidi w:val="0"/>
        <w:spacing w:line="300" w:lineRule="auto"/>
        <w:textAlignment w:val="auto"/>
        <w:rPr>
          <w:rFonts w:asci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hAnsi="宋体" w:cs="宋体"/>
          <w:b/>
          <w:color w:val="auto"/>
          <w:sz w:val="24"/>
          <w:highlight w:val="none"/>
        </w:rPr>
        <w:t>A</w:t>
      </w:r>
      <w:r>
        <w:rPr>
          <w:rFonts w:ascii="宋体" w:cs="宋体"/>
          <w:color w:val="auto"/>
          <w:sz w:val="24"/>
          <w:highlight w:val="none"/>
        </w:rPr>
        <w:t>.</w:t>
      </w:r>
      <w:r>
        <w:rPr>
          <w:rFonts w:hint="eastAsia" w:ascii="宋体" w:hAnsi="宋体" w:cs="宋体"/>
          <w:color w:val="auto"/>
          <w:sz w:val="24"/>
          <w:highlight w:val="none"/>
        </w:rPr>
        <w:t>专门面向中小企业，货物全部由符合政策要求的中小企业（或小微企业）制造或者服务全部由符合政策要求的中小企业（或小微企业）承接的，提供相应的中小企业声</w:t>
      </w:r>
      <w:r>
        <w:rPr>
          <w:rFonts w:hint="eastAsia" w:ascii="宋体" w:cs="宋体"/>
          <w:color w:val="auto"/>
          <w:sz w:val="24"/>
          <w:highlight w:val="none"/>
        </w:rPr>
        <w:t>明函（附件</w:t>
      </w:r>
      <w:r>
        <w:rPr>
          <w:rFonts w:ascii="宋体" w:cs="宋体"/>
          <w:color w:val="auto"/>
          <w:sz w:val="24"/>
          <w:highlight w:val="none"/>
        </w:rPr>
        <w:t>4</w:t>
      </w:r>
      <w:r>
        <w:rPr>
          <w:rFonts w:hint="eastAsia" w:ascii="宋体" w:cs="宋体"/>
          <w:color w:val="auto"/>
          <w:sz w:val="24"/>
          <w:highlight w:val="none"/>
        </w:rPr>
        <w:t>）。</w:t>
      </w:r>
      <w:r>
        <w:rPr>
          <w:rFonts w:ascii="宋体" w:cs="宋体"/>
          <w:color w:val="auto"/>
          <w:sz w:val="24"/>
          <w:highlight w:val="none"/>
        </w:rPr>
        <w:t xml:space="preserve"> </w:t>
      </w:r>
    </w:p>
    <w:p>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cs="宋体"/>
          <w:b/>
          <w:bCs/>
          <w:color w:val="auto"/>
          <w:sz w:val="24"/>
          <w:highlight w:val="none"/>
        </w:rPr>
        <w:t>B.</w:t>
      </w:r>
      <w:r>
        <w:rPr>
          <w:rFonts w:hint="eastAsia" w:ascii="宋体" w:cs="宋体"/>
          <w:color w:val="auto"/>
          <w:sz w:val="24"/>
          <w:highlight w:val="none"/>
          <w:lang w:val="en-US" w:eastAsia="zh-CN"/>
        </w:rPr>
        <w:t>允许</w:t>
      </w:r>
      <w:r>
        <w:rPr>
          <w:rFonts w:hint="eastAsia" w:ascii="宋体" w:cs="宋体"/>
          <w:color w:val="auto"/>
          <w:sz w:val="24"/>
          <w:highlight w:val="none"/>
        </w:rPr>
        <w:t>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pageBreakBefore w:val="0"/>
        <w:kinsoku/>
        <w:wordWrap/>
        <w:overflowPunct/>
        <w:topLinePunct w:val="0"/>
        <w:autoSpaceDE/>
        <w:autoSpaceDN/>
        <w:bidi w:val="0"/>
        <w:snapToGrid w:val="0"/>
        <w:spacing w:line="300" w:lineRule="auto"/>
        <w:jc w:val="center"/>
        <w:textAlignment w:val="auto"/>
        <w:rPr>
          <w:rFonts w:ascii="宋体" w:cs="宋体"/>
          <w:b/>
          <w:color w:val="auto"/>
          <w:kern w:val="0"/>
          <w:sz w:val="32"/>
          <w:szCs w:val="32"/>
          <w:highlight w:val="none"/>
          <w:lang w:val="zh-CN"/>
        </w:rPr>
      </w:pPr>
      <w:r>
        <w:rPr>
          <w:rFonts w:ascii="宋体" w:hAnsi="宋体" w:cs="宋体"/>
          <w:b/>
          <w:color w:val="auto"/>
          <w:sz w:val="24"/>
          <w:highlight w:val="none"/>
        </w:rPr>
        <w:t xml:space="preserve">    </w:t>
      </w:r>
      <w:r>
        <w:rPr>
          <w:rFonts w:hint="eastAsia" w:ascii="宋体" w:hAnsi="宋体" w:cs="宋体"/>
          <w:b/>
          <w:color w:val="auto"/>
          <w:kern w:val="0"/>
          <w:sz w:val="32"/>
          <w:szCs w:val="32"/>
          <w:highlight w:val="none"/>
          <w:lang w:val="zh-CN"/>
        </w:rPr>
        <w:t>联合协议</w:t>
      </w:r>
    </w:p>
    <w:p>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ascii="宋体" w:hAnsi="宋体" w:cs="宋体"/>
          <w:color w:val="auto"/>
          <w:kern w:val="0"/>
          <w:sz w:val="24"/>
          <w:highlight w:val="none"/>
          <w:lang w:val="zh-CN"/>
        </w:rPr>
        <w:t xml:space="preserve"> </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、联合体各方不再单独参加或者与其他供应商另外组成联合体参加同一合同项下的政府采购活动。</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、联合体中有同类资质的各方按照联合体分工承担相同工作的，按照资质等级较低的供应商确定资质等级。</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、本协议提交采购人、采购代理机构后，联合体各方不得以任何形式对上述内容进行修改或撤销。</w:t>
      </w:r>
    </w:p>
    <w:p>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pageBreakBefore w:val="0"/>
        <w:kinsoku/>
        <w:wordWrap/>
        <w:overflowPunct/>
        <w:topLinePunct w:val="0"/>
        <w:autoSpaceDE/>
        <w:autoSpaceDN/>
        <w:bidi w:val="0"/>
        <w:spacing w:line="300" w:lineRule="auto"/>
        <w:ind w:firstLine="482" w:firstLineChars="200"/>
        <w:textAlignment w:val="auto"/>
        <w:rPr>
          <w:rFonts w:ascii="宋体" w:cs="宋体"/>
          <w:color w:val="auto"/>
          <w:sz w:val="24"/>
          <w:highlight w:val="none"/>
        </w:rPr>
      </w:pPr>
      <w:r>
        <w:rPr>
          <w:rFonts w:ascii="宋体" w:hAnsi="宋体" w:cs="宋体"/>
          <w:b/>
          <w:color w:val="auto"/>
          <w:sz w:val="24"/>
          <w:highlight w:val="none"/>
        </w:rPr>
        <w:t>C</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允许</w:t>
      </w:r>
      <w:r>
        <w:rPr>
          <w:rFonts w:hint="eastAsia" w:ascii="宋体" w:hAnsi="宋体" w:cs="宋体"/>
          <w:color w:val="auto"/>
          <w:sz w:val="24"/>
          <w:highlight w:val="none"/>
        </w:rPr>
        <w:t>合同分包的，提供分包意向协议和中小企业声明函（附件</w:t>
      </w:r>
      <w:r>
        <w:rPr>
          <w:rFonts w:ascii="宋体" w:hAnsi="宋体" w:cs="宋体"/>
          <w:color w:val="auto"/>
          <w:sz w:val="24"/>
          <w:highlight w:val="none"/>
        </w:rPr>
        <w:t>4</w:t>
      </w:r>
      <w:r>
        <w:rPr>
          <w:rFonts w:hint="eastAsia" w:ascii="宋体" w:hAnsi="宋体" w:cs="宋体"/>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pageBreakBefore w:val="0"/>
        <w:kinsoku/>
        <w:wordWrap/>
        <w:overflowPunct/>
        <w:topLinePunct w:val="0"/>
        <w:autoSpaceDE/>
        <w:autoSpaceDN/>
        <w:bidi w:val="0"/>
        <w:snapToGrid w:val="0"/>
        <w:spacing w:line="300" w:lineRule="auto"/>
        <w:ind w:firstLine="3534" w:firstLineChars="1100"/>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pPr>
        <w:pageBreakBefore w:val="0"/>
        <w:widowControl/>
        <w:kinsoku/>
        <w:wordWrap/>
        <w:overflowPunct/>
        <w:topLinePunct w:val="0"/>
        <w:autoSpaceDE/>
        <w:autoSpaceDN/>
        <w:bidi w:val="0"/>
        <w:spacing w:line="300" w:lineRule="auto"/>
        <w:ind w:firstLine="120" w:firstLineChars="50"/>
        <w:jc w:val="left"/>
        <w:textAlignment w:val="auto"/>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highlight w:val="none"/>
          <w:u w:val="single"/>
        </w:rPr>
        <w:t xml:space="preserve">   XX</w:t>
      </w:r>
      <w:r>
        <w:rPr>
          <w:rFonts w:hint="eastAsia" w:ascii="宋体" w:hAnsi="宋体" w:cs="宋体"/>
          <w:color w:val="auto"/>
          <w:highlight w:val="none"/>
          <w:u w:val="single"/>
        </w:rPr>
        <w:t>工作内容</w:t>
      </w:r>
      <w:r>
        <w:rPr>
          <w:rFonts w:ascii="宋体" w:hAnsi="宋体" w:cs="宋体"/>
          <w:color w:val="auto"/>
          <w:highlight w:val="none"/>
          <w:u w:val="single"/>
        </w:rPr>
        <w:t xml:space="preserve">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ascii="宋体" w:hAnsi="宋体" w:cs="宋体"/>
          <w:color w:val="auto"/>
          <w:kern w:val="0"/>
          <w:sz w:val="24"/>
          <w:highlight w:val="none"/>
          <w:u w:val="single"/>
          <w:lang w:val="zh-CN"/>
        </w:rPr>
        <w:t>XX</w:t>
      </w:r>
      <w:r>
        <w:rPr>
          <w:rFonts w:hint="eastAsia" w:ascii="宋体" w:hAnsi="宋体" w:cs="宋体"/>
          <w:color w:val="auto"/>
          <w:kern w:val="0"/>
          <w:sz w:val="24"/>
          <w:highlight w:val="none"/>
          <w:u w:val="single"/>
          <w:lang w:val="zh-CN"/>
        </w:rPr>
        <w:t>工作内容</w:t>
      </w:r>
      <w:r>
        <w:rPr>
          <w:rFonts w:hint="eastAsia" w:ascii="宋体" w:hAnsi="宋体" w:cs="宋体"/>
          <w:color w:val="auto"/>
          <w:kern w:val="0"/>
          <w:sz w:val="24"/>
          <w:highlight w:val="none"/>
          <w:lang w:val="zh-CN"/>
        </w:rPr>
        <w:t>相应资质条件且不得再次分包；</w:t>
      </w:r>
    </w:p>
    <w:p>
      <w:pPr>
        <w:pStyle w:val="2"/>
        <w:pageBreakBefore w:val="0"/>
        <w:kinsoku/>
        <w:wordWrap/>
        <w:overflowPunct/>
        <w:topLinePunct w:val="0"/>
        <w:autoSpaceDE/>
        <w:autoSpaceDN/>
        <w:bidi w:val="0"/>
        <w:spacing w:line="300" w:lineRule="auto"/>
        <w:ind w:left="664" w:leftChars="316" w:firstLine="229" w:firstLineChars="95"/>
        <w:textAlignment w:val="auto"/>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highlight w:val="none"/>
          <w:u w:val="single"/>
        </w:rPr>
      </w:pPr>
      <w:r>
        <w:rPr>
          <w:rFonts w:ascii="宋体" w:hAnsi="宋体" w:cs="宋体"/>
          <w:color w:val="auto"/>
          <w:highlight w:val="none"/>
          <w:u w:val="single"/>
        </w:rPr>
        <w:t xml:space="preserve">                                                                                  </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三、质量</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五、违约责任</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七、其他</w:t>
      </w:r>
    </w:p>
    <w:p>
      <w:pPr>
        <w:pageBreakBefore w:val="0"/>
        <w:kinsoku/>
        <w:wordWrap/>
        <w:overflowPunct/>
        <w:topLinePunct w:val="0"/>
        <w:autoSpaceDE/>
        <w:autoSpaceDN/>
        <w:bidi w:val="0"/>
        <w:snapToGrid w:val="0"/>
        <w:spacing w:line="300" w:lineRule="auto"/>
        <w:ind w:left="5758" w:leftChars="342" w:hanging="5040" w:hangingChars="2100"/>
        <w:textAlignment w:val="auto"/>
        <w:rPr>
          <w:rFonts w:ascii="宋体" w:cs="宋体"/>
          <w:color w:val="auto"/>
          <w:kern w:val="0"/>
          <w:sz w:val="24"/>
          <w:highlight w:val="none"/>
          <w:lang w:val="zh-CN"/>
        </w:rPr>
      </w:pP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640" w:firstLineChars="235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pacing w:line="300" w:lineRule="auto"/>
        <w:jc w:val="center"/>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pageBreakBefore w:val="0"/>
        <w:widowControl/>
        <w:kinsoku/>
        <w:wordWrap/>
        <w:overflowPunct/>
        <w:topLinePunct w:val="0"/>
        <w:autoSpaceDE/>
        <w:autoSpaceDN/>
        <w:bidi w:val="0"/>
        <w:spacing w:line="300" w:lineRule="auto"/>
        <w:ind w:left="150"/>
        <w:jc w:val="center"/>
        <w:textAlignment w:val="auto"/>
        <w:rPr>
          <w:rFonts w:ascii="宋体" w:cs="宋体"/>
          <w:b/>
          <w:color w:val="auto"/>
          <w:kern w:val="0"/>
          <w:sz w:val="32"/>
          <w:szCs w:val="32"/>
          <w:highlight w:val="none"/>
        </w:rPr>
      </w:pPr>
    </w:p>
    <w:p>
      <w:pPr>
        <w:pStyle w:val="2"/>
        <w:rPr>
          <w:rFonts w:ascii="宋体" w:hAnsi="宋体" w:eastAsia="宋体" w:cs="宋体"/>
          <w:color w:val="auto"/>
          <w:highlight w:val="none"/>
          <w:lang w:val="en-US"/>
        </w:rPr>
      </w:pPr>
    </w:p>
    <w:p>
      <w:pPr>
        <w:rPr>
          <w:rFonts w:ascii="宋体" w:cs="宋体"/>
          <w:color w:val="auto"/>
          <w:highlight w:val="none"/>
        </w:rPr>
      </w:pPr>
    </w:p>
    <w:p>
      <w:pPr>
        <w:widowControl/>
        <w:spacing w:line="360" w:lineRule="auto"/>
        <w:ind w:left="150"/>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、本项目的特定资格要求</w:t>
      </w:r>
    </w:p>
    <w:p>
      <w:pPr>
        <w:spacing w:line="360" w:lineRule="auto"/>
        <w:jc w:val="center"/>
        <w:rPr>
          <w:rFonts w:asci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cs="宋体"/>
          <w:color w:val="auto"/>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pStyle w:val="2"/>
        <w:rPr>
          <w:rFonts w:ascii="宋体" w:hAnsi="宋体" w:eastAsia="宋体" w:cs="宋体"/>
          <w:color w:val="auto"/>
          <w:highlight w:val="none"/>
          <w:lang w:val="en-US"/>
        </w:rPr>
      </w:pPr>
    </w:p>
    <w:p>
      <w:pPr>
        <w:rPr>
          <w:rFonts w:ascii="宋体" w:cs="宋体"/>
          <w:color w:val="auto"/>
          <w:highlight w:val="none"/>
        </w:rPr>
      </w:pPr>
    </w:p>
    <w:p>
      <w:pPr>
        <w:pStyle w:val="2"/>
        <w:rPr>
          <w:rFonts w:ascii="宋体" w:hAnsi="宋体" w:eastAsia="宋体" w:cs="宋体"/>
          <w:color w:val="auto"/>
          <w:highlight w:val="none"/>
          <w:lang w:val="en-US"/>
        </w:rPr>
      </w:pPr>
    </w:p>
    <w:p>
      <w:pPr>
        <w:rPr>
          <w:rFonts w:ascii="宋体" w:cs="宋体"/>
          <w:color w:val="auto"/>
          <w:highlight w:val="none"/>
        </w:rPr>
      </w:pPr>
    </w:p>
    <w:p>
      <w:pPr>
        <w:pStyle w:val="2"/>
        <w:rPr>
          <w:rFonts w:ascii="宋体" w:hAnsi="宋体" w:eastAsia="宋体" w:cs="宋体"/>
          <w:color w:val="auto"/>
          <w:highlight w:val="none"/>
          <w:lang w:val="en-US"/>
        </w:rPr>
      </w:pPr>
    </w:p>
    <w:p>
      <w:pPr>
        <w:rPr>
          <w:rFonts w:ascii="宋体" w:cs="宋体"/>
          <w:color w:val="auto"/>
          <w:highlight w:val="none"/>
        </w:rPr>
      </w:pPr>
    </w:p>
    <w:p>
      <w:pPr>
        <w:pStyle w:val="2"/>
        <w:rPr>
          <w:rFonts w:ascii="宋体" w:hAnsi="宋体" w:eastAsia="宋体" w:cs="宋体"/>
          <w:color w:val="auto"/>
          <w:highlight w:val="none"/>
          <w:lang w:val="en-US"/>
        </w:rPr>
      </w:pPr>
    </w:p>
    <w:p>
      <w:pPr>
        <w:rPr>
          <w:rFonts w:ascii="宋体" w:cs="宋体"/>
          <w:color w:val="auto"/>
          <w:highlight w:val="none"/>
        </w:rPr>
      </w:pPr>
    </w:p>
    <w:p>
      <w:pPr>
        <w:pStyle w:val="2"/>
        <w:rPr>
          <w:rFonts w:ascii="宋体" w:hAnsi="宋体" w:eastAsia="宋体" w:cs="宋体"/>
          <w:color w:val="auto"/>
          <w:highlight w:val="none"/>
          <w:lang w:val="en-US"/>
        </w:rPr>
      </w:pPr>
    </w:p>
    <w:p>
      <w:pPr>
        <w:rPr>
          <w:rFonts w:ascii="宋体" w:cs="宋体"/>
          <w:color w:val="auto"/>
          <w:highlight w:val="none"/>
        </w:rPr>
      </w:pPr>
    </w:p>
    <w:p>
      <w:pPr>
        <w:spacing w:line="360" w:lineRule="auto"/>
        <w:jc w:val="center"/>
        <w:outlineLvl w:val="0"/>
        <w:rPr>
          <w:rFonts w:ascii="宋体" w:cs="宋体"/>
          <w:b/>
          <w:color w:val="auto"/>
          <w:kern w:val="0"/>
          <w:sz w:val="36"/>
          <w:szCs w:val="36"/>
          <w:highlight w:val="none"/>
        </w:rPr>
      </w:pPr>
    </w:p>
    <w:p>
      <w:pPr>
        <w:snapToGrid w:val="0"/>
        <w:spacing w:line="360" w:lineRule="auto"/>
        <w:ind w:right="480"/>
        <w:jc w:val="center"/>
        <w:rPr>
          <w:rFonts w:ascii="宋体" w:cs="宋体"/>
          <w:b/>
          <w:color w:val="auto"/>
          <w:kern w:val="0"/>
          <w:sz w:val="32"/>
          <w:szCs w:val="32"/>
          <w:highlight w:val="none"/>
        </w:rPr>
      </w:pPr>
    </w:p>
    <w:p>
      <w:pPr>
        <w:spacing w:line="360" w:lineRule="auto"/>
        <w:jc w:val="center"/>
        <w:outlineLvl w:val="0"/>
        <w:rPr>
          <w:rFonts w:ascii="宋体" w:cs="宋体"/>
          <w:b/>
          <w:color w:val="auto"/>
          <w:kern w:val="0"/>
          <w:sz w:val="36"/>
          <w:szCs w:val="36"/>
          <w:highlight w:val="none"/>
        </w:rPr>
      </w:pPr>
    </w:p>
    <w:p>
      <w:pPr>
        <w:snapToGrid w:val="0"/>
        <w:spacing w:line="360" w:lineRule="auto"/>
        <w:ind w:right="480"/>
        <w:jc w:val="center"/>
        <w:rPr>
          <w:rFonts w:ascii="宋体" w:cs="宋体"/>
          <w:b/>
          <w:color w:val="auto"/>
          <w:kern w:val="0"/>
          <w:sz w:val="32"/>
          <w:szCs w:val="32"/>
          <w:highlight w:val="none"/>
        </w:rPr>
      </w:pPr>
    </w:p>
    <w:p>
      <w:pPr>
        <w:pStyle w:val="2"/>
        <w:ind w:left="0" w:leftChars="0" w:firstLine="0" w:firstLineChars="0"/>
        <w:rPr>
          <w:rFonts w:ascii="宋体" w:hAnsi="宋体" w:eastAsia="宋体" w:cs="宋体"/>
          <w:color w:val="auto"/>
          <w:highlight w:val="none"/>
          <w:lang w:val="en-US"/>
        </w:rPr>
      </w:pPr>
    </w:p>
    <w:p>
      <w:pPr>
        <w:rPr>
          <w:rFonts w:ascii="宋体" w:hAnsi="宋体" w:eastAsia="宋体" w:cs="宋体"/>
          <w:color w:val="auto"/>
          <w:highlight w:val="none"/>
          <w:lang w:val="en-US"/>
        </w:rPr>
      </w:pPr>
    </w:p>
    <w:p>
      <w:pPr>
        <w:spacing w:line="360" w:lineRule="auto"/>
        <w:ind w:right="420"/>
        <w:rPr>
          <w:rFonts w:hint="eastAsia" w:ascii="宋体" w:hAns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cs="宋体"/>
          <w:b/>
          <w:color w:val="auto"/>
          <w:kern w:val="0"/>
          <w:sz w:val="24"/>
          <w:highlight w:val="none"/>
        </w:rPr>
      </w:pPr>
    </w:p>
    <w:p>
      <w:pPr>
        <w:spacing w:line="360" w:lineRule="auto"/>
        <w:jc w:val="center"/>
        <w:outlineLvl w:val="0"/>
        <w:rPr>
          <w:rFonts w:asci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）投标函</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pPr>
        <w:snapToGrid w:val="0"/>
        <w:spacing w:line="360" w:lineRule="auto"/>
        <w:ind w:firstLine="480" w:firstLineChars="200"/>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）评标标准相应的商务技术资料（如需）</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cs="宋体"/>
          <w:b/>
          <w:color w:val="auto"/>
          <w:kern w:val="0"/>
          <w:sz w:val="32"/>
          <w:szCs w:val="32"/>
          <w:highlight w:val="none"/>
          <w:lang w:val="zh-CN"/>
        </w:rPr>
      </w:pPr>
    </w:p>
    <w:p>
      <w:pPr>
        <w:snapToGrid w:val="0"/>
        <w:spacing w:line="360" w:lineRule="auto"/>
        <w:jc w:val="center"/>
        <w:rPr>
          <w:rFonts w:ascii="宋体" w:cs="宋体"/>
          <w:b/>
          <w:color w:val="auto"/>
          <w:kern w:val="0"/>
          <w:sz w:val="32"/>
          <w:szCs w:val="32"/>
          <w:highlight w:val="none"/>
          <w:lang w:val="zh-CN"/>
        </w:rPr>
      </w:pPr>
    </w:p>
    <w:p>
      <w:pPr>
        <w:snapToGrid w:val="0"/>
        <w:spacing w:line="360" w:lineRule="auto"/>
        <w:jc w:val="center"/>
        <w:rPr>
          <w:rFonts w:ascii="宋体" w:cs="宋体"/>
          <w:b/>
          <w:color w:val="auto"/>
          <w:kern w:val="0"/>
          <w:sz w:val="32"/>
          <w:szCs w:val="32"/>
          <w:highlight w:val="none"/>
          <w:lang w:val="zh-CN"/>
        </w:rPr>
      </w:pPr>
    </w:p>
    <w:p>
      <w:pPr>
        <w:snapToGrid w:val="0"/>
        <w:spacing w:line="360" w:lineRule="auto"/>
        <w:jc w:val="center"/>
        <w:rPr>
          <w:rFonts w:ascii="宋体" w:cs="宋体"/>
          <w:b/>
          <w:color w:val="auto"/>
          <w:kern w:val="0"/>
          <w:sz w:val="32"/>
          <w:szCs w:val="32"/>
          <w:highlight w:val="none"/>
          <w:lang w:val="zh-CN"/>
        </w:rPr>
      </w:pPr>
    </w:p>
    <w:p>
      <w:pPr>
        <w:snapToGrid w:val="0"/>
        <w:spacing w:line="360" w:lineRule="auto"/>
        <w:jc w:val="center"/>
        <w:rPr>
          <w:rFonts w:ascii="宋体" w:cs="宋体"/>
          <w:b/>
          <w:color w:val="auto"/>
          <w:kern w:val="0"/>
          <w:sz w:val="32"/>
          <w:szCs w:val="32"/>
          <w:highlight w:val="none"/>
          <w:lang w:val="zh-CN"/>
        </w:rPr>
      </w:pPr>
    </w:p>
    <w:p>
      <w:pPr>
        <w:snapToGrid w:val="0"/>
        <w:spacing w:line="360" w:lineRule="auto"/>
        <w:jc w:val="center"/>
        <w:outlineLvl w:val="0"/>
        <w:rPr>
          <w:rFonts w:ascii="宋体" w:cs="宋体"/>
          <w:b/>
          <w:color w:val="auto"/>
          <w:kern w:val="0"/>
          <w:sz w:val="32"/>
          <w:szCs w:val="32"/>
          <w:highlight w:val="none"/>
        </w:rPr>
      </w:pPr>
    </w:p>
    <w:p>
      <w:pPr>
        <w:snapToGrid w:val="0"/>
        <w:spacing w:line="360" w:lineRule="auto"/>
        <w:jc w:val="center"/>
        <w:outlineLvl w:val="0"/>
        <w:rPr>
          <w:rFonts w:ascii="宋体" w:cs="宋体"/>
          <w:b/>
          <w:color w:val="auto"/>
          <w:kern w:val="0"/>
          <w:sz w:val="32"/>
          <w:szCs w:val="32"/>
          <w:highlight w:val="none"/>
        </w:rPr>
      </w:pPr>
    </w:p>
    <w:p>
      <w:pPr>
        <w:rPr>
          <w:rFonts w:ascii="宋体" w:cs="宋体"/>
          <w:color w:val="auto"/>
          <w:highlight w:val="none"/>
        </w:rPr>
      </w:pPr>
    </w:p>
    <w:p>
      <w:pPr>
        <w:snapToGrid w:val="0"/>
        <w:spacing w:line="360" w:lineRule="auto"/>
        <w:jc w:val="center"/>
        <w:outlineLvl w:val="0"/>
        <w:rPr>
          <w:rFonts w:ascii="宋体" w:cs="宋体"/>
          <w:b/>
          <w:color w:val="auto"/>
          <w:kern w:val="0"/>
          <w:sz w:val="32"/>
          <w:szCs w:val="32"/>
          <w:highlight w:val="none"/>
        </w:rPr>
      </w:pPr>
    </w:p>
    <w:p>
      <w:pPr>
        <w:snapToGrid w:val="0"/>
        <w:spacing w:line="360" w:lineRule="auto"/>
        <w:jc w:val="center"/>
        <w:outlineLvl w:val="0"/>
        <w:rPr>
          <w:rFonts w:ascii="宋体" w:cs="宋体"/>
          <w:b/>
          <w:color w:val="auto"/>
          <w:kern w:val="0"/>
          <w:sz w:val="32"/>
          <w:szCs w:val="32"/>
          <w:highlight w:val="none"/>
        </w:rPr>
      </w:pPr>
    </w:p>
    <w:p>
      <w:pPr>
        <w:snapToGrid w:val="0"/>
        <w:spacing w:line="360" w:lineRule="auto"/>
        <w:jc w:val="center"/>
        <w:outlineLvl w:val="0"/>
        <w:rPr>
          <w:rFonts w:ascii="宋体" w:cs="宋体"/>
          <w:b/>
          <w:color w:val="auto"/>
          <w:kern w:val="0"/>
          <w:sz w:val="32"/>
          <w:szCs w:val="32"/>
          <w:highlight w:val="none"/>
        </w:rPr>
      </w:pPr>
    </w:p>
    <w:p>
      <w:pPr>
        <w:snapToGrid w:val="0"/>
        <w:spacing w:line="360" w:lineRule="auto"/>
        <w:jc w:val="center"/>
        <w:outlineLvl w:val="0"/>
        <w:rPr>
          <w:rFonts w:ascii="宋体" w:cs="宋体"/>
          <w:b/>
          <w:color w:val="auto"/>
          <w:kern w:val="0"/>
          <w:sz w:val="32"/>
          <w:szCs w:val="32"/>
          <w:highlight w:val="none"/>
        </w:rPr>
      </w:pPr>
    </w:p>
    <w:p>
      <w:pPr>
        <w:pStyle w:val="86"/>
        <w:rPr>
          <w:color w:val="auto"/>
          <w:highlight w:val="none"/>
        </w:rPr>
      </w:pPr>
    </w:p>
    <w:p>
      <w:pPr>
        <w:pStyle w:val="85"/>
        <w:rPr>
          <w:color w:val="auto"/>
          <w:highlight w:val="none"/>
        </w:rPr>
      </w:pPr>
    </w:p>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asci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、我方承诺投标有效期从提交投标文件的截止之日起</w:t>
      </w:r>
      <w:r>
        <w:rPr>
          <w:rFonts w:ascii="宋体" w:hAnsi="宋体" w:cs="宋体"/>
          <w:color w:val="auto"/>
          <w:sz w:val="24"/>
          <w:highlight w:val="none"/>
          <w:u w:val="single"/>
        </w:rPr>
        <w:t xml:space="preserve">     </w:t>
      </w:r>
      <w:r>
        <w:rPr>
          <w:rFonts w:hint="eastAsia" w:ascii="宋体" w:hAnsi="宋体" w:cs="宋体"/>
          <w:color w:val="auto"/>
          <w:sz w:val="24"/>
          <w:highlight w:val="none"/>
        </w:rPr>
        <w:t>天（不少于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、我方的投标文件包括以下内容：</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资格文件：</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2.1.1营业执照（或事业法人证书）；</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承诺函；</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落实政府采购政策需满足的资格要求（如果有）；</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本项目的特定资格要求（如果有）。</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联合协议（如果有）；</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分包意向协议（如果有）；</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2.2.1</w:t>
      </w:r>
      <w:r>
        <w:rPr>
          <w:rFonts w:hint="eastAsia" w:ascii="宋体" w:hAnsi="宋体" w:cs="宋体"/>
          <w:color w:val="auto"/>
          <w:sz w:val="24"/>
          <w:highlight w:val="none"/>
        </w:rPr>
        <w:t>投标函；</w:t>
      </w:r>
      <w:r>
        <w:rPr>
          <w:rFonts w:ascii="宋体" w:hAnsi="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2.2.2</w:t>
      </w:r>
      <w:r>
        <w:rPr>
          <w:rFonts w:hint="eastAsia" w:ascii="宋体" w:hAnsi="宋体" w:cs="宋体"/>
          <w:color w:val="auto"/>
          <w:sz w:val="24"/>
          <w:highlight w:val="none"/>
        </w:rPr>
        <w:t>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3</w:t>
      </w:r>
      <w:r>
        <w:rPr>
          <w:rFonts w:hint="eastAsia" w:ascii="宋体" w:hAnsi="宋体" w:cs="宋体"/>
          <w:color w:val="auto"/>
          <w:sz w:val="24"/>
          <w:highlight w:val="none"/>
        </w:rPr>
        <w:t>报价文件</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2.3.1</w:t>
      </w:r>
      <w:r>
        <w:rPr>
          <w:rFonts w:hint="eastAsia" w:ascii="宋体" w:hAnsi="宋体" w:cs="宋体"/>
          <w:color w:val="auto"/>
          <w:sz w:val="24"/>
          <w:highlight w:val="none"/>
        </w:rPr>
        <w:t>开标一览表（报价表）；</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2.3.2</w:t>
      </w:r>
      <w:r>
        <w:rPr>
          <w:rFonts w:hint="eastAsia" w:ascii="宋体" w:hAnsi="宋体" w:cs="宋体"/>
          <w:color w:val="auto"/>
          <w:sz w:val="24"/>
          <w:highlight w:val="none"/>
        </w:rPr>
        <w:t>中小企业声明函（如果有）。</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、如我方中标，我方承诺：</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rPr>
        <w:t>在收到中标通知书后，在中标通知书规定的期限内与你方签订合同；</w:t>
      </w:r>
      <w:r>
        <w:rPr>
          <w:rFonts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4.2</w:t>
      </w:r>
      <w:r>
        <w:rPr>
          <w:rFonts w:hint="eastAsia" w:ascii="宋体" w:hAnsi="宋体" w:cs="宋体"/>
          <w:color w:val="auto"/>
          <w:sz w:val="24"/>
          <w:highlight w:val="none"/>
        </w:rPr>
        <w:t>在签订合同时不向你方提出附加条件；</w:t>
      </w:r>
      <w:r>
        <w:rPr>
          <w:rFonts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4.3</w:t>
      </w:r>
      <w:r>
        <w:rPr>
          <w:rFonts w:hint="eastAsia" w:ascii="宋体" w:hAnsi="宋体" w:cs="宋体"/>
          <w:color w:val="auto"/>
          <w:sz w:val="24"/>
          <w:highlight w:val="none"/>
        </w:rPr>
        <w:t>按照招标文件要求提交履约保证金；</w:t>
      </w:r>
      <w:r>
        <w:rPr>
          <w:rFonts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4.4</w:t>
      </w:r>
      <w:r>
        <w:rPr>
          <w:rFonts w:hint="eastAsia" w:ascii="宋体" w:hAnsi="宋体" w:cs="宋体"/>
          <w:color w:val="auto"/>
          <w:sz w:val="24"/>
          <w:highlight w:val="none"/>
        </w:rPr>
        <w:t>在合同约定的期限内完成合同规定的全部义务。</w:t>
      </w:r>
      <w:r>
        <w:rPr>
          <w:rFonts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、其他补充说明</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0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投标人名称（电子签名）：</w:t>
      </w:r>
      <w:r>
        <w:rPr>
          <w:rFonts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200" w:firstLineChars="1750"/>
        <w:textAlignment w:val="auto"/>
        <w:rPr>
          <w:rFonts w:ascii="宋体" w:cs="宋体"/>
          <w:color w:val="auto"/>
          <w:kern w:val="0"/>
          <w:sz w:val="24"/>
          <w:highlight w:val="none"/>
          <w:u w:val="single"/>
          <w:lang w:val="zh-CN"/>
        </w:rPr>
      </w:pPr>
    </w:p>
    <w:p>
      <w:pPr>
        <w:jc w:val="both"/>
        <w:rPr>
          <w:rFonts w:hint="eastAsia" w:ascii="宋体" w:hAnsi="宋体" w:cs="宋体"/>
          <w:b/>
          <w:color w:val="auto"/>
          <w:kern w:val="0"/>
          <w:sz w:val="32"/>
          <w:szCs w:val="32"/>
          <w:highlight w:val="none"/>
          <w:lang w:val="zh-CN"/>
        </w:rPr>
      </w:pPr>
    </w:p>
    <w:p>
      <w:pPr>
        <w:jc w:val="center"/>
        <w:rPr>
          <w:rFonts w:asci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ascii="宋体" w:hAnsi="宋体" w:cs="宋体"/>
          <w:color w:val="auto"/>
          <w:highlight w:val="none"/>
        </w:rPr>
        <w:t xml:space="preserve">                               </w:t>
      </w:r>
    </w:p>
    <w:p>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签发日期：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snapToGrid w:val="0"/>
        <w:spacing w:line="360" w:lineRule="auto"/>
        <w:rPr>
          <w:rFonts w:ascii="宋体" w:cs="宋体"/>
          <w:color w:val="auto"/>
          <w:sz w:val="24"/>
          <w:highlight w:val="none"/>
        </w:rPr>
      </w:pPr>
    </w:p>
    <w:p>
      <w:pPr>
        <w:snapToGrid w:val="0"/>
        <w:spacing w:line="360" w:lineRule="auto"/>
        <w:rPr>
          <w:rFonts w:ascii="宋体" w:cs="宋体"/>
          <w:color w:val="auto"/>
          <w:sz w:val="24"/>
          <w:highlight w:val="none"/>
        </w:rPr>
      </w:pPr>
    </w:p>
    <w:p>
      <w:pPr>
        <w:snapToGrid w:val="0"/>
        <w:spacing w:line="360" w:lineRule="auto"/>
        <w:rPr>
          <w:rFonts w:ascii="宋体" w:cs="宋体"/>
          <w:color w:val="auto"/>
          <w:sz w:val="24"/>
          <w:highlight w:val="none"/>
        </w:rPr>
      </w:pPr>
    </w:p>
    <w:p>
      <w:pPr>
        <w:jc w:val="center"/>
        <w:rPr>
          <w:rFonts w:asci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rPr>
          <w:rFonts w:ascii="宋体" w:cs="宋体"/>
          <w:color w:val="auto"/>
          <w:highlight w:val="none"/>
        </w:rPr>
      </w:pPr>
    </w:p>
    <w:p>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snapToGrid w:val="0"/>
        <w:spacing w:line="360" w:lineRule="auto"/>
        <w:ind w:firstLine="5760" w:firstLineChars="2400"/>
        <w:rPr>
          <w:rFonts w:asci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autoSpaceDE w:val="0"/>
        <w:autoSpaceDN w:val="0"/>
        <w:spacing w:line="360" w:lineRule="auto"/>
        <w:jc w:val="center"/>
        <w:rPr>
          <w:rFonts w:asci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8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81"/>
              <w:adjustRightInd w:val="0"/>
              <w:spacing w:line="360" w:lineRule="auto"/>
              <w:rPr>
                <w:rFonts w:hAnsi="宋体" w:cs="宋体"/>
                <w:bCs/>
                <w:color w:val="auto"/>
                <w:sz w:val="24"/>
                <w:szCs w:val="21"/>
                <w:highlight w:val="none"/>
              </w:rPr>
            </w:pPr>
            <w:r>
              <w:rPr>
                <w:rFonts w:hint="eastAsia" w:hAnsi="宋体" w:cs="宋体"/>
                <w:bCs/>
                <w:color w:val="auto"/>
                <w:sz w:val="24"/>
                <w:szCs w:val="21"/>
                <w:highlight w:val="none"/>
              </w:rPr>
              <w:t>正面：</w:t>
            </w:r>
            <w:r>
              <w:rPr>
                <w:rFonts w:hAnsi="宋体" w:cs="宋体"/>
                <w:bCs/>
                <w:color w:val="auto"/>
                <w:sz w:val="24"/>
                <w:szCs w:val="21"/>
                <w:highlight w:val="none"/>
              </w:rPr>
              <w:t xml:space="preserve">                                 </w:t>
            </w:r>
            <w:r>
              <w:rPr>
                <w:rFonts w:hint="eastAsia" w:hAnsi="宋体" w:cs="宋体"/>
                <w:bCs/>
                <w:color w:val="auto"/>
                <w:sz w:val="24"/>
                <w:szCs w:val="21"/>
                <w:highlight w:val="none"/>
              </w:rPr>
              <w:t>反面：</w:t>
            </w:r>
          </w:p>
          <w:p>
            <w:pPr>
              <w:pStyle w:val="181"/>
              <w:adjustRightInd w:val="0"/>
              <w:spacing w:line="360" w:lineRule="auto"/>
              <w:rPr>
                <w:rFonts w:hAnsi="宋体" w:cs="宋体"/>
                <w:bCs/>
                <w:color w:val="auto"/>
                <w:sz w:val="24"/>
                <w:szCs w:val="21"/>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pPr>
        <w:spacing w:line="360" w:lineRule="auto"/>
        <w:jc w:val="center"/>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both"/>
        <w:rPr>
          <w:rFonts w:asci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、符合性审查资料</w:t>
      </w:r>
    </w:p>
    <w:p>
      <w:pPr>
        <w:jc w:val="center"/>
        <w:rPr>
          <w:rFonts w:ascii="宋体" w:cs="宋体"/>
          <w:b/>
          <w:color w:val="auto"/>
          <w:kern w:val="0"/>
          <w:sz w:val="32"/>
          <w:szCs w:val="32"/>
          <w:highlight w:val="none"/>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实质性要求</w:t>
            </w:r>
          </w:p>
        </w:tc>
        <w:tc>
          <w:tcPr>
            <w:tcW w:w="3714" w:type="dxa"/>
            <w:vAlign w:val="center"/>
          </w:tcPr>
          <w:p>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color w:val="auto"/>
                <w:sz w:val="24"/>
                <w:highlight w:val="none"/>
              </w:rPr>
            </w:pPr>
            <w:r>
              <w:rPr>
                <w:rFonts w:ascii="宋体" w:hAnsi="宋体" w:cs="宋体"/>
                <w:color w:val="auto"/>
                <w:sz w:val="24"/>
                <w:highlight w:val="none"/>
              </w:rPr>
              <w:t>1</w:t>
            </w:r>
          </w:p>
        </w:tc>
        <w:tc>
          <w:tcPr>
            <w:tcW w:w="4991" w:type="dxa"/>
          </w:tcPr>
          <w:p>
            <w:pPr>
              <w:spacing w:line="360" w:lineRule="auto"/>
              <w:rPr>
                <w:rFonts w:ascii="宋体" w:cs="宋体"/>
                <w:color w:val="auto"/>
                <w:sz w:val="24"/>
                <w:highlight w:val="none"/>
              </w:rPr>
            </w:pPr>
            <w:r>
              <w:rPr>
                <w:rFonts w:hint="eastAsia" w:ascii="宋体" w:hAnsi="宋体" w:cs="宋体"/>
                <w:color w:val="auto"/>
                <w:sz w:val="24"/>
                <w:highlight w:val="none"/>
              </w:rPr>
              <w:t>投标文件按照招标文件要求签署、盖章。</w:t>
            </w:r>
          </w:p>
        </w:tc>
        <w:tc>
          <w:tcPr>
            <w:tcW w:w="3714" w:type="dxa"/>
            <w:vAlign w:val="center"/>
          </w:tcPr>
          <w:p>
            <w:pPr>
              <w:spacing w:line="360" w:lineRule="auto"/>
              <w:rPr>
                <w:rFonts w:asci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color w:val="auto"/>
                <w:sz w:val="24"/>
                <w:highlight w:val="none"/>
              </w:rPr>
            </w:pPr>
            <w:r>
              <w:rPr>
                <w:rFonts w:ascii="宋体" w:hAnsi="宋体" w:cs="宋体"/>
                <w:color w:val="auto"/>
                <w:sz w:val="24"/>
                <w:highlight w:val="none"/>
              </w:rPr>
              <w:t>2</w:t>
            </w:r>
          </w:p>
        </w:tc>
        <w:tc>
          <w:tcPr>
            <w:tcW w:w="4991" w:type="dxa"/>
          </w:tcPr>
          <w:p>
            <w:pPr>
              <w:spacing w:line="360" w:lineRule="auto"/>
              <w:rPr>
                <w:rFonts w:asci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color w:val="auto"/>
                <w:sz w:val="24"/>
                <w:highlight w:val="none"/>
              </w:rPr>
            </w:pPr>
            <w:r>
              <w:rPr>
                <w:rFonts w:ascii="宋体" w:hAnsi="宋体" w:cs="宋体"/>
                <w:color w:val="auto"/>
                <w:sz w:val="24"/>
                <w:highlight w:val="none"/>
              </w:rPr>
              <w:t>3</w:t>
            </w:r>
          </w:p>
        </w:tc>
        <w:tc>
          <w:tcPr>
            <w:tcW w:w="4991" w:type="dxa"/>
          </w:tcPr>
          <w:p>
            <w:pPr>
              <w:spacing w:line="360" w:lineRule="auto"/>
              <w:rPr>
                <w:rFonts w:asci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714" w:type="dxa"/>
            <w:vAlign w:val="center"/>
          </w:tcPr>
          <w:p>
            <w:pPr>
              <w:spacing w:line="360" w:lineRule="auto"/>
              <w:rPr>
                <w:rFonts w:ascii="宋体" w:cs="宋体"/>
                <w:color w:val="auto"/>
                <w:sz w:val="24"/>
                <w:highlight w:val="none"/>
              </w:rPr>
            </w:pPr>
            <w:r>
              <w:rPr>
                <w:rFonts w:hint="eastAsia" w:ascii="宋体" w:hAnsi="宋体" w:cs="宋体"/>
                <w:color w:val="auto"/>
                <w:sz w:val="24"/>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color w:val="auto"/>
                <w:sz w:val="24"/>
                <w:highlight w:val="none"/>
              </w:rPr>
            </w:pPr>
            <w:r>
              <w:rPr>
                <w:rFonts w:ascii="宋体" w:hAnsi="宋体" w:cs="宋体"/>
                <w:color w:val="auto"/>
                <w:sz w:val="24"/>
                <w:highlight w:val="none"/>
              </w:rPr>
              <w:t>4</w:t>
            </w:r>
          </w:p>
        </w:tc>
        <w:tc>
          <w:tcPr>
            <w:tcW w:w="4991" w:type="dxa"/>
          </w:tcPr>
          <w:p>
            <w:pPr>
              <w:spacing w:line="360" w:lineRule="auto"/>
              <w:rPr>
                <w:rFonts w:asci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714" w:type="dxa"/>
            <w:vAlign w:val="center"/>
          </w:tcPr>
          <w:p>
            <w:pPr>
              <w:spacing w:line="360" w:lineRule="auto"/>
              <w:rPr>
                <w:rFonts w:ascii="宋体" w:cs="宋体"/>
                <w:color w:val="auto"/>
                <w:sz w:val="24"/>
                <w:highlight w:val="none"/>
              </w:rPr>
            </w:pPr>
            <w:r>
              <w:rPr>
                <w:rFonts w:hint="eastAsia" w:ascii="宋体" w:hAnsi="宋体" w:cs="宋体"/>
                <w:color w:val="auto"/>
                <w:sz w:val="24"/>
                <w:highlight w:val="none"/>
              </w:rPr>
              <w:t>招标文件其它实质性要求相应的材料（“★”</w:t>
            </w:r>
            <w:r>
              <w:rPr>
                <w:rFonts w:ascii="宋体" w:hAnsi="宋体" w:cs="宋体"/>
                <w:color w:val="auto"/>
                <w:sz w:val="24"/>
                <w:highlight w:val="none"/>
              </w:rPr>
              <w:t xml:space="preserve"> </w:t>
            </w:r>
            <w:r>
              <w:rPr>
                <w:rFonts w:hint="eastAsia" w:ascii="宋体" w:hAnsi="宋体" w:cs="宋体"/>
                <w:color w:val="auto"/>
                <w:sz w:val="24"/>
                <w:highlight w:val="none"/>
              </w:rPr>
              <w:t>系指实质性要求条款，招标文件无其它实质性要求的，无需提供）</w:t>
            </w:r>
          </w:p>
        </w:tc>
      </w:tr>
    </w:tbl>
    <w:p>
      <w:pPr>
        <w:jc w:val="center"/>
        <w:rPr>
          <w:rFonts w:asci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rFonts w:ascii="宋体" w:hAnsi="宋体" w:eastAsia="宋体" w:cs="宋体"/>
          <w:color w:val="auto"/>
          <w:kern w:val="0"/>
          <w:highlight w:val="none"/>
        </w:rPr>
      </w:pPr>
    </w:p>
    <w:p>
      <w:pPr>
        <w:rPr>
          <w:rFonts w:ascii="宋体" w:cs="宋体"/>
          <w:b/>
          <w:color w:val="auto"/>
          <w:kern w:val="0"/>
          <w:sz w:val="32"/>
          <w:szCs w:val="32"/>
          <w:highlight w:val="none"/>
        </w:rPr>
      </w:pPr>
    </w:p>
    <w:p>
      <w:pPr>
        <w:pStyle w:val="2"/>
        <w:rPr>
          <w:rFonts w:ascii="宋体" w:hAnsi="宋体" w:eastAsia="宋体" w:cs="宋体"/>
          <w:color w:val="auto"/>
          <w:kern w:val="0"/>
          <w:highlight w:val="none"/>
        </w:rPr>
      </w:pPr>
    </w:p>
    <w:p>
      <w:pPr>
        <w:rPr>
          <w:rFonts w:ascii="宋体" w:cs="宋体"/>
          <w:color w:val="auto"/>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rPr>
          <w:rFonts w:ascii="宋体" w:cs="宋体"/>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asci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s="宋体"/>
                <w:b/>
                <w:bCs/>
                <w:color w:val="auto"/>
                <w:sz w:val="24"/>
                <w:highlight w:val="none"/>
              </w:rPr>
            </w:pPr>
            <w:r>
              <w:rPr>
                <w:rFonts w:hint="eastAsia" w:ascii="宋体" w:hAnsi="宋体" w:cs="宋体"/>
                <w:b/>
                <w:bCs/>
                <w:color w:val="auto"/>
                <w:sz w:val="24"/>
                <w:highlight w:val="none"/>
              </w:rPr>
              <w:t>序号</w:t>
            </w:r>
          </w:p>
        </w:tc>
        <w:tc>
          <w:tcPr>
            <w:tcW w:w="3289" w:type="dxa"/>
          </w:tcPr>
          <w:p>
            <w:pPr>
              <w:jc w:val="center"/>
              <w:rPr>
                <w:rFonts w:ascii="宋体" w:cs="宋体"/>
                <w:b/>
                <w:bCs/>
                <w:color w:val="auto"/>
                <w:sz w:val="24"/>
                <w:highlight w:val="none"/>
              </w:rPr>
            </w:pPr>
            <w:r>
              <w:rPr>
                <w:rFonts w:hint="eastAsia" w:ascii="宋体" w:hAnsi="宋体" w:cs="宋体"/>
                <w:b/>
                <w:bCs/>
                <w:color w:val="auto"/>
                <w:sz w:val="24"/>
                <w:highlight w:val="none"/>
              </w:rPr>
              <w:t>招标文件章节及具体内容</w:t>
            </w:r>
          </w:p>
        </w:tc>
        <w:tc>
          <w:tcPr>
            <w:tcW w:w="3940" w:type="dxa"/>
          </w:tcPr>
          <w:p>
            <w:pPr>
              <w:jc w:val="center"/>
              <w:rPr>
                <w:rFonts w:ascii="宋体" w:cs="宋体"/>
                <w:b/>
                <w:bCs/>
                <w:color w:val="auto"/>
                <w:sz w:val="24"/>
                <w:highlight w:val="none"/>
              </w:rPr>
            </w:pPr>
            <w:r>
              <w:rPr>
                <w:rFonts w:hint="eastAsia" w:ascii="宋体" w:hAnsi="宋体" w:cs="宋体"/>
                <w:b/>
                <w:bCs/>
                <w:color w:val="auto"/>
                <w:sz w:val="24"/>
                <w:highlight w:val="none"/>
              </w:rPr>
              <w:t>投标文件章节（页码）及具体内容</w:t>
            </w:r>
          </w:p>
        </w:tc>
        <w:tc>
          <w:tcPr>
            <w:tcW w:w="1276" w:type="dxa"/>
          </w:tcPr>
          <w:p>
            <w:pPr>
              <w:jc w:val="center"/>
              <w:rPr>
                <w:rFonts w:asci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3289" w:type="dxa"/>
          </w:tcPr>
          <w:p>
            <w:pPr>
              <w:jc w:val="center"/>
              <w:rPr>
                <w:rFonts w:ascii="宋体" w:cs="宋体"/>
                <w:b/>
                <w:color w:val="auto"/>
                <w:kern w:val="0"/>
                <w:sz w:val="32"/>
                <w:szCs w:val="32"/>
                <w:highlight w:val="none"/>
              </w:rPr>
            </w:pPr>
          </w:p>
        </w:tc>
        <w:tc>
          <w:tcPr>
            <w:tcW w:w="3940" w:type="dxa"/>
          </w:tcPr>
          <w:p>
            <w:pPr>
              <w:jc w:val="center"/>
              <w:rPr>
                <w:rFonts w:ascii="宋体" w:cs="宋体"/>
                <w:b/>
                <w:color w:val="auto"/>
                <w:kern w:val="0"/>
                <w:sz w:val="32"/>
                <w:szCs w:val="32"/>
                <w:highlight w:val="none"/>
              </w:rPr>
            </w:pPr>
          </w:p>
        </w:tc>
        <w:tc>
          <w:tcPr>
            <w:tcW w:w="1276" w:type="dxa"/>
          </w:tcPr>
          <w:p>
            <w:pPr>
              <w:jc w:val="center"/>
              <w:rPr>
                <w:rFonts w:asci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3289" w:type="dxa"/>
          </w:tcPr>
          <w:p>
            <w:pPr>
              <w:jc w:val="center"/>
              <w:rPr>
                <w:rFonts w:ascii="宋体" w:cs="宋体"/>
                <w:b/>
                <w:color w:val="auto"/>
                <w:kern w:val="0"/>
                <w:sz w:val="32"/>
                <w:szCs w:val="32"/>
                <w:highlight w:val="none"/>
              </w:rPr>
            </w:pPr>
          </w:p>
        </w:tc>
        <w:tc>
          <w:tcPr>
            <w:tcW w:w="3940" w:type="dxa"/>
          </w:tcPr>
          <w:p>
            <w:pPr>
              <w:jc w:val="center"/>
              <w:rPr>
                <w:rFonts w:ascii="宋体" w:cs="宋体"/>
                <w:b/>
                <w:color w:val="auto"/>
                <w:kern w:val="0"/>
                <w:sz w:val="32"/>
                <w:szCs w:val="32"/>
                <w:highlight w:val="none"/>
              </w:rPr>
            </w:pPr>
          </w:p>
        </w:tc>
        <w:tc>
          <w:tcPr>
            <w:tcW w:w="1276" w:type="dxa"/>
          </w:tcPr>
          <w:p>
            <w:pPr>
              <w:jc w:val="center"/>
              <w:rPr>
                <w:rFonts w:asci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289" w:type="dxa"/>
          </w:tcPr>
          <w:p>
            <w:pPr>
              <w:jc w:val="center"/>
              <w:rPr>
                <w:rFonts w:ascii="宋体" w:cs="宋体"/>
                <w:b/>
                <w:color w:val="auto"/>
                <w:kern w:val="0"/>
                <w:sz w:val="32"/>
                <w:szCs w:val="32"/>
                <w:highlight w:val="none"/>
              </w:rPr>
            </w:pPr>
          </w:p>
        </w:tc>
        <w:tc>
          <w:tcPr>
            <w:tcW w:w="3940" w:type="dxa"/>
          </w:tcPr>
          <w:p>
            <w:pPr>
              <w:jc w:val="center"/>
              <w:rPr>
                <w:rFonts w:ascii="宋体" w:cs="宋体"/>
                <w:b/>
                <w:color w:val="auto"/>
                <w:kern w:val="0"/>
                <w:sz w:val="32"/>
                <w:szCs w:val="32"/>
                <w:highlight w:val="none"/>
              </w:rPr>
            </w:pPr>
          </w:p>
        </w:tc>
        <w:tc>
          <w:tcPr>
            <w:tcW w:w="1276" w:type="dxa"/>
          </w:tcPr>
          <w:p>
            <w:pPr>
              <w:jc w:val="center"/>
              <w:rPr>
                <w:rFonts w:ascii="宋体" w:cs="宋体"/>
                <w:b/>
                <w:color w:val="auto"/>
                <w:kern w:val="0"/>
                <w:sz w:val="32"/>
                <w:szCs w:val="32"/>
                <w:highlight w:val="none"/>
              </w:rPr>
            </w:pPr>
          </w:p>
        </w:tc>
      </w:tr>
    </w:tbl>
    <w:p>
      <w:pPr>
        <w:pStyle w:val="34"/>
        <w:spacing w:line="400" w:lineRule="atLeast"/>
        <w:rPr>
          <w:rFonts w:hAnsi="宋体" w:cs="宋体"/>
          <w:color w:val="auto"/>
          <w:kern w:val="0"/>
          <w:sz w:val="24"/>
          <w:szCs w:val="24"/>
          <w:highlight w:val="none"/>
        </w:rPr>
      </w:pPr>
      <w:r>
        <w:rPr>
          <w:rFonts w:hint="eastAsia" w:hAnsi="宋体" w:cs="宋体"/>
          <w:color w:val="auto"/>
          <w:kern w:val="0"/>
          <w:sz w:val="24"/>
          <w:szCs w:val="24"/>
          <w:highlight w:val="none"/>
        </w:rPr>
        <w:t>注：</w:t>
      </w:r>
    </w:p>
    <w:p>
      <w:pPr>
        <w:pStyle w:val="34"/>
        <w:spacing w:line="400" w:lineRule="atLeast"/>
        <w:rPr>
          <w:rFonts w:hAnsi="宋体" w:cs="宋体"/>
          <w:color w:val="auto"/>
          <w:kern w:val="0"/>
          <w:sz w:val="24"/>
          <w:szCs w:val="24"/>
          <w:highlight w:val="none"/>
        </w:rPr>
      </w:pPr>
      <w:r>
        <w:rPr>
          <w:rFonts w:hAnsi="宋体" w:cs="宋体"/>
          <w:color w:val="auto"/>
          <w:kern w:val="0"/>
          <w:sz w:val="24"/>
          <w:szCs w:val="24"/>
          <w:highlight w:val="none"/>
        </w:rPr>
        <w:t>1</w:t>
      </w:r>
      <w:r>
        <w:rPr>
          <w:rFonts w:hint="eastAsia" w:hAnsi="宋体" w:cs="宋体"/>
          <w:color w:val="auto"/>
          <w:kern w:val="0"/>
          <w:sz w:val="24"/>
          <w:szCs w:val="24"/>
          <w:highlight w:val="none"/>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4"/>
        <w:spacing w:line="400" w:lineRule="atLeast"/>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、投标人递交的技术规格书中必须真实逐条列明，否则由投标人自行承担相关风险。</w:t>
      </w:r>
    </w:p>
    <w:p>
      <w:pPr>
        <w:pStyle w:val="34"/>
        <w:spacing w:line="400" w:lineRule="atLeast"/>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、此表在不改变格式的情况下可自行制作。</w:t>
      </w:r>
    </w:p>
    <w:p>
      <w:pPr>
        <w:pStyle w:val="34"/>
        <w:spacing w:line="400" w:lineRule="atLeast"/>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、此表置于商务技术文件中。</w:t>
      </w:r>
    </w:p>
    <w:p>
      <w:pPr>
        <w:jc w:val="left"/>
        <w:rPr>
          <w:rFonts w:ascii="宋体" w:cs="宋体"/>
          <w:b/>
          <w:color w:val="auto"/>
          <w:kern w:val="0"/>
          <w:sz w:val="24"/>
          <w:highlight w:val="none"/>
        </w:rPr>
      </w:pPr>
      <w:r>
        <w:rPr>
          <w:rFonts w:hint="eastAsia" w:ascii="宋体" w:hAnsi="宋体" w:cs="宋体"/>
          <w:b/>
          <w:color w:val="auto"/>
          <w:kern w:val="0"/>
          <w:sz w:val="24"/>
          <w:highlight w:val="none"/>
        </w:rPr>
        <w:t>投标人保证：除商务技术偏离表列出的偏离外，投标人响应招标文件的全部要求。</w:t>
      </w: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ind w:firstLine="2891" w:firstLineChars="900"/>
        <w:rPr>
          <w:rFonts w:ascii="宋体" w:cs="宋体"/>
          <w:b/>
          <w:bCs/>
          <w:color w:val="auto"/>
          <w:sz w:val="32"/>
          <w:szCs w:val="32"/>
          <w:highlight w:val="none"/>
        </w:rPr>
      </w:pPr>
    </w:p>
    <w:p>
      <w:pPr>
        <w:ind w:firstLine="2891" w:firstLineChars="900"/>
        <w:rPr>
          <w:rFonts w:ascii="宋体" w:cs="宋体"/>
          <w:b/>
          <w:bCs/>
          <w:color w:val="auto"/>
          <w:sz w:val="32"/>
          <w:szCs w:val="32"/>
          <w:highlight w:val="none"/>
        </w:rPr>
      </w:pPr>
    </w:p>
    <w:p>
      <w:pPr>
        <w:ind w:firstLine="2891" w:firstLineChars="900"/>
        <w:rPr>
          <w:rFonts w:ascii="宋体" w:cs="宋体"/>
          <w:b/>
          <w:bCs/>
          <w:color w:val="auto"/>
          <w:sz w:val="32"/>
          <w:szCs w:val="32"/>
          <w:highlight w:val="none"/>
        </w:rPr>
      </w:pPr>
    </w:p>
    <w:p>
      <w:pPr>
        <w:ind w:firstLine="2891" w:firstLineChars="900"/>
        <w:rPr>
          <w:rFonts w:ascii="宋体" w:cs="宋体"/>
          <w:b/>
          <w:bCs/>
          <w:color w:val="auto"/>
          <w:sz w:val="32"/>
          <w:szCs w:val="32"/>
          <w:highlight w:val="none"/>
        </w:rPr>
      </w:pPr>
    </w:p>
    <w:p>
      <w:pPr>
        <w:ind w:firstLine="2891" w:firstLineChars="900"/>
        <w:rPr>
          <w:rFonts w:ascii="宋体" w:cs="宋体"/>
          <w:b/>
          <w:bCs/>
          <w:color w:val="auto"/>
          <w:sz w:val="32"/>
          <w:szCs w:val="32"/>
          <w:highlight w:val="none"/>
        </w:rPr>
      </w:pPr>
    </w:p>
    <w:p>
      <w:pPr>
        <w:ind w:firstLine="2891" w:firstLineChars="900"/>
        <w:rPr>
          <w:rFonts w:ascii="宋体" w:cs="宋体"/>
          <w:b/>
          <w:bCs/>
          <w:color w:val="auto"/>
          <w:sz w:val="32"/>
          <w:szCs w:val="32"/>
          <w:highlight w:val="none"/>
        </w:rPr>
      </w:pPr>
    </w:p>
    <w:p>
      <w:pPr>
        <w:ind w:firstLine="2891" w:firstLineChars="900"/>
        <w:rPr>
          <w:rFonts w:ascii="宋体" w:cs="宋体"/>
          <w:b/>
          <w:color w:val="auto"/>
          <w:kern w:val="0"/>
          <w:sz w:val="32"/>
          <w:szCs w:val="32"/>
          <w:highlight w:val="none"/>
        </w:rPr>
      </w:pPr>
    </w:p>
    <w:p>
      <w:pPr>
        <w:ind w:firstLine="2891" w:firstLineChars="900"/>
        <w:rPr>
          <w:rFonts w:ascii="宋体" w:cs="宋体"/>
          <w:b/>
          <w:color w:val="auto"/>
          <w:kern w:val="0"/>
          <w:sz w:val="32"/>
          <w:szCs w:val="32"/>
          <w:highlight w:val="none"/>
        </w:rPr>
      </w:pPr>
    </w:p>
    <w:p>
      <w:pPr>
        <w:ind w:firstLine="1911" w:firstLineChars="595"/>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cs="宋体"/>
          <w:color w:val="auto"/>
          <w:sz w:val="24"/>
          <w:highlight w:val="none"/>
        </w:rPr>
      </w:pPr>
    </w:p>
    <w:p>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r>
        <w:rPr>
          <w:rFonts w:ascii="宋体" w:hAnsi="宋体" w:cs="宋体"/>
          <w:color w:val="auto"/>
          <w:kern w:val="0"/>
          <w:sz w:val="24"/>
          <w:highlight w:val="none"/>
          <w:lang w:val="zh-CN"/>
        </w:rPr>
        <w:t xml:space="preserve">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r>
        <w:rPr>
          <w:rFonts w:ascii="宋体" w:hAnsi="宋体" w:cs="宋体"/>
          <w:color w:val="auto"/>
          <w:kern w:val="0"/>
          <w:sz w:val="24"/>
          <w:highlight w:val="none"/>
          <w:lang w:val="zh-CN"/>
        </w:rPr>
        <w:t xml:space="preserve">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r>
        <w:rPr>
          <w:rFonts w:ascii="宋体" w:hAnsi="宋体" w:cs="宋体"/>
          <w:color w:val="auto"/>
          <w:kern w:val="0"/>
          <w:sz w:val="24"/>
          <w:highlight w:val="none"/>
          <w:lang w:val="zh-CN"/>
        </w:rPr>
        <w:t xml:space="preserve"> </w:t>
      </w:r>
    </w:p>
    <w:p>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r>
        <w:rPr>
          <w:rFonts w:ascii="宋体" w:hAnsi="宋体" w:cs="宋体"/>
          <w:color w:val="auto"/>
          <w:kern w:val="0"/>
          <w:sz w:val="24"/>
          <w:highlight w:val="none"/>
          <w:lang w:val="zh-CN"/>
        </w:rPr>
        <w:t xml:space="preserve"> </w:t>
      </w:r>
    </w:p>
    <w:p>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color w:val="auto"/>
          <w:kern w:val="0"/>
          <w:sz w:val="24"/>
          <w:highlight w:val="none"/>
          <w:lang w:val="zh-CN"/>
        </w:rPr>
      </w:pPr>
    </w:p>
    <w:p>
      <w:pPr>
        <w:autoSpaceDE w:val="0"/>
        <w:autoSpaceDN w:val="0"/>
        <w:spacing w:line="360" w:lineRule="auto"/>
        <w:ind w:left="2"/>
        <w:jc w:val="left"/>
        <w:rPr>
          <w:rFonts w:ascii="宋体" w:cs="宋体"/>
          <w:color w:val="auto"/>
          <w:kern w:val="0"/>
          <w:sz w:val="24"/>
          <w:highlight w:val="none"/>
          <w:lang w:val="zh-CN"/>
        </w:rPr>
      </w:pPr>
    </w:p>
    <w:p>
      <w:pPr>
        <w:autoSpaceDE w:val="0"/>
        <w:autoSpaceDN w:val="0"/>
        <w:spacing w:line="360" w:lineRule="auto"/>
        <w:ind w:left="2"/>
        <w:jc w:val="left"/>
        <w:rPr>
          <w:rFonts w:asci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pPr>
        <w:spacing w:line="360" w:lineRule="auto"/>
        <w:ind w:left="4620" w:leftChars="2200"/>
        <w:rPr>
          <w:rFonts w:asci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spacing w:line="360" w:lineRule="auto"/>
        <w:jc w:val="center"/>
        <w:rPr>
          <w:rFonts w:ascii="宋体" w:cs="宋体"/>
          <w:b/>
          <w:bCs/>
          <w:color w:val="auto"/>
          <w:sz w:val="24"/>
          <w:highlight w:val="none"/>
        </w:rPr>
      </w:pPr>
    </w:p>
    <w:p>
      <w:pPr>
        <w:spacing w:line="360" w:lineRule="auto"/>
        <w:jc w:val="center"/>
        <w:rPr>
          <w:rFonts w:ascii="宋体" w:cs="宋体"/>
          <w:b/>
          <w:bCs/>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cs="宋体"/>
          <w:b/>
          <w:color w:val="auto"/>
          <w:kern w:val="0"/>
          <w:sz w:val="36"/>
          <w:szCs w:val="36"/>
          <w:highlight w:val="none"/>
        </w:rPr>
      </w:pPr>
    </w:p>
    <w:p>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）开标一览表（报价表）………………………………………………………（页码）</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）中小企业声明函（如需）……………………………………………………（页码）</w:t>
      </w: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pStyle w:val="70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701"/>
        <w:keepNext w:val="0"/>
        <w:pageBreakBefore w:val="0"/>
        <w:numPr>
          <w:ilvl w:val="0"/>
          <w:numId w:val="7"/>
        </w:numPr>
        <w:tabs>
          <w:tab w:val="clear" w:pos="720"/>
        </w:tabs>
        <w:snapToGrid w:val="0"/>
        <w:spacing w:before="120" w:after="120"/>
        <w:ind w:firstLine="643"/>
        <w:outlineLvl w:val="9"/>
        <w:rPr>
          <w:rFonts w:hint="eastAsia" w:ascii="宋体" w:hAnsi="宋体" w:eastAsia="宋体" w:cs="宋体"/>
          <w:color w:val="auto"/>
          <w:sz w:val="28"/>
          <w:highlight w:val="none"/>
          <w:lang w:eastAsia="zh-CN"/>
        </w:rPr>
      </w:pPr>
      <w:r>
        <w:rPr>
          <w:rFonts w:hint="eastAsia" w:ascii="宋体" w:hAnsi="宋体" w:eastAsia="宋体" w:cs="宋体"/>
          <w:color w:val="auto"/>
          <w:kern w:val="2"/>
          <w:sz w:val="32"/>
          <w:szCs w:val="32"/>
          <w:highlight w:val="none"/>
        </w:rPr>
        <w:t>开标一览表（报价表）</w:t>
      </w:r>
    </w:p>
    <w:p>
      <w:pPr>
        <w:autoSpaceDE/>
        <w:autoSpaceDN/>
        <w:spacing w:line="360" w:lineRule="auto"/>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项目名称：</w:t>
      </w:r>
      <w:r>
        <w:rPr>
          <w:rFonts w:hint="eastAsia" w:ascii="宋体" w:hAnsi="宋体" w:cs="宋体"/>
          <w:color w:val="auto"/>
          <w:sz w:val="28"/>
          <w:highlight w:val="none"/>
          <w:lang w:eastAsia="zh-CN"/>
        </w:rPr>
        <w:t>诸暨市住房和城乡建设局2022年生活垃圾处置终端第三方监管服务采购项目</w:t>
      </w:r>
    </w:p>
    <w:p>
      <w:pPr>
        <w:autoSpaceDE/>
        <w:autoSpaceDN/>
        <w:spacing w:line="360" w:lineRule="auto"/>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项目编号：浙江智拓2022-**-**</w:t>
      </w:r>
    </w:p>
    <w:p>
      <w:pPr>
        <w:pStyle w:val="83"/>
        <w:rPr>
          <w:color w:val="auto"/>
          <w:highlight w:val="none"/>
        </w:rPr>
      </w:pPr>
    </w:p>
    <w:tbl>
      <w:tblPr>
        <w:tblStyle w:val="65"/>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64"/>
        <w:gridCol w:w="1575"/>
        <w:gridCol w:w="2176"/>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9" w:type="dxa"/>
            <w:vMerge w:val="restart"/>
            <w:noWrap w:val="0"/>
            <w:vAlign w:val="center"/>
          </w:tcPr>
          <w:p>
            <w:pPr>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标的</w:t>
            </w:r>
          </w:p>
        </w:tc>
        <w:tc>
          <w:tcPr>
            <w:tcW w:w="1464" w:type="dxa"/>
            <w:vMerge w:val="restart"/>
            <w:noWrap w:val="0"/>
            <w:vAlign w:val="center"/>
          </w:tcPr>
          <w:p>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标的内容</w:t>
            </w:r>
          </w:p>
        </w:tc>
        <w:tc>
          <w:tcPr>
            <w:tcW w:w="1575" w:type="dxa"/>
            <w:vMerge w:val="restart"/>
            <w:noWrap w:val="0"/>
            <w:vAlign w:val="center"/>
          </w:tcPr>
          <w:p>
            <w:pPr>
              <w:jc w:val="center"/>
              <w:rPr>
                <w:rFonts w:hint="eastAsia" w:ascii="宋体" w:hAnsi="宋体" w:cs="宋体"/>
                <w:b/>
                <w:color w:val="auto"/>
                <w:sz w:val="24"/>
                <w:szCs w:val="24"/>
                <w:highlight w:val="none"/>
                <w:lang w:val="zh-CN" w:eastAsia="zh-CN"/>
              </w:rPr>
            </w:pPr>
            <w:r>
              <w:rPr>
                <w:rFonts w:hint="eastAsia" w:ascii="宋体" w:hAnsi="宋体" w:cs="宋体"/>
                <w:b/>
                <w:color w:val="auto"/>
                <w:sz w:val="24"/>
                <w:szCs w:val="24"/>
                <w:highlight w:val="none"/>
                <w:lang w:val="zh-CN" w:eastAsia="zh-CN"/>
              </w:rPr>
              <w:t>具体服务</w:t>
            </w:r>
          </w:p>
        </w:tc>
        <w:tc>
          <w:tcPr>
            <w:tcW w:w="4731" w:type="dxa"/>
            <w:gridSpan w:val="2"/>
            <w:noWrap w:val="0"/>
            <w:vAlign w:val="center"/>
          </w:tcPr>
          <w:p>
            <w:pPr>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投标</w:t>
            </w:r>
            <w:r>
              <w:rPr>
                <w:rFonts w:hint="eastAsia" w:ascii="宋体" w:hAnsi="宋体" w:cs="宋体"/>
                <w:b/>
                <w:color w:val="auto"/>
                <w:sz w:val="24"/>
                <w:szCs w:val="24"/>
                <w:highlight w:val="no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39" w:type="dxa"/>
            <w:vMerge w:val="continue"/>
            <w:noWrap w:val="0"/>
            <w:vAlign w:val="center"/>
          </w:tcPr>
          <w:p>
            <w:pPr>
              <w:jc w:val="center"/>
              <w:rPr>
                <w:rFonts w:hint="eastAsia" w:ascii="宋体" w:hAnsi="宋体" w:eastAsia="宋体" w:cs="宋体"/>
                <w:b/>
                <w:color w:val="auto"/>
                <w:sz w:val="24"/>
                <w:szCs w:val="24"/>
                <w:highlight w:val="none"/>
              </w:rPr>
            </w:pPr>
          </w:p>
        </w:tc>
        <w:tc>
          <w:tcPr>
            <w:tcW w:w="1464" w:type="dxa"/>
            <w:vMerge w:val="continue"/>
            <w:noWrap w:val="0"/>
            <w:vAlign w:val="center"/>
          </w:tcPr>
          <w:p>
            <w:pPr>
              <w:jc w:val="center"/>
              <w:rPr>
                <w:rFonts w:hint="eastAsia" w:ascii="宋体" w:hAnsi="宋体" w:eastAsia="宋体" w:cs="宋体"/>
                <w:b/>
                <w:color w:val="auto"/>
                <w:sz w:val="24"/>
                <w:szCs w:val="24"/>
                <w:highlight w:val="none"/>
              </w:rPr>
            </w:pPr>
          </w:p>
        </w:tc>
        <w:tc>
          <w:tcPr>
            <w:tcW w:w="1575" w:type="dxa"/>
            <w:vMerge w:val="continue"/>
            <w:noWrap w:val="0"/>
            <w:vAlign w:val="center"/>
          </w:tcPr>
          <w:p>
            <w:pPr>
              <w:jc w:val="center"/>
              <w:rPr>
                <w:rFonts w:hint="eastAsia" w:ascii="宋体" w:hAnsi="宋体" w:eastAsia="宋体" w:cs="宋体"/>
                <w:b/>
                <w:color w:val="auto"/>
                <w:sz w:val="24"/>
                <w:szCs w:val="24"/>
                <w:highlight w:val="none"/>
              </w:rPr>
            </w:pPr>
          </w:p>
        </w:tc>
        <w:tc>
          <w:tcPr>
            <w:tcW w:w="2176"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c>
          <w:tcPr>
            <w:tcW w:w="2555"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839" w:type="dxa"/>
            <w:noWrap w:val="0"/>
            <w:vAlign w:val="center"/>
          </w:tcPr>
          <w:p>
            <w:pPr>
              <w:jc w:val="center"/>
              <w:rPr>
                <w:rFonts w:hint="eastAsia" w:ascii="宋体" w:hAnsi="宋体" w:eastAsia="宋体" w:cs="宋体"/>
                <w:bCs/>
                <w:color w:val="auto"/>
                <w:sz w:val="24"/>
                <w:szCs w:val="24"/>
                <w:highlight w:val="none"/>
              </w:rPr>
            </w:pPr>
          </w:p>
        </w:tc>
        <w:tc>
          <w:tcPr>
            <w:tcW w:w="1464" w:type="dxa"/>
            <w:noWrap w:val="0"/>
            <w:vAlign w:val="center"/>
          </w:tcPr>
          <w:p>
            <w:pPr>
              <w:jc w:val="center"/>
              <w:rPr>
                <w:rFonts w:hint="eastAsia" w:ascii="宋体" w:hAnsi="宋体" w:eastAsia="宋体" w:cs="宋体"/>
                <w:bCs/>
                <w:color w:val="auto"/>
                <w:sz w:val="24"/>
                <w:szCs w:val="24"/>
                <w:highlight w:val="none"/>
              </w:rPr>
            </w:pPr>
          </w:p>
        </w:tc>
        <w:tc>
          <w:tcPr>
            <w:tcW w:w="1575" w:type="dxa"/>
            <w:noWrap w:val="0"/>
            <w:vAlign w:val="center"/>
          </w:tcPr>
          <w:p>
            <w:pPr>
              <w:jc w:val="center"/>
              <w:rPr>
                <w:rFonts w:hint="eastAsia" w:ascii="宋体" w:hAnsi="宋体" w:eastAsia="宋体" w:cs="宋体"/>
                <w:bCs/>
                <w:color w:val="auto"/>
                <w:sz w:val="24"/>
                <w:szCs w:val="24"/>
                <w:highlight w:val="none"/>
              </w:rPr>
            </w:pPr>
          </w:p>
        </w:tc>
        <w:tc>
          <w:tcPr>
            <w:tcW w:w="2176" w:type="dxa"/>
            <w:noWrap w:val="0"/>
            <w:vAlign w:val="center"/>
          </w:tcPr>
          <w:p>
            <w:pPr>
              <w:spacing w:line="700" w:lineRule="exact"/>
              <w:rPr>
                <w:rFonts w:hint="eastAsia" w:ascii="宋体" w:hAnsi="宋体" w:eastAsia="宋体" w:cs="宋体"/>
                <w:color w:val="auto"/>
                <w:sz w:val="24"/>
                <w:szCs w:val="24"/>
                <w:highlight w:val="none"/>
              </w:rPr>
            </w:pPr>
          </w:p>
        </w:tc>
        <w:tc>
          <w:tcPr>
            <w:tcW w:w="2555" w:type="dxa"/>
            <w:noWrap w:val="0"/>
            <w:vAlign w:val="center"/>
          </w:tcPr>
          <w:p>
            <w:pPr>
              <w:spacing w:line="700" w:lineRule="exact"/>
              <w:rPr>
                <w:rFonts w:hint="eastAsia" w:ascii="宋体" w:hAnsi="宋体" w:eastAsia="宋体" w:cs="宋体"/>
                <w:color w:val="auto"/>
                <w:sz w:val="24"/>
                <w:szCs w:val="24"/>
                <w:highlight w:val="none"/>
              </w:rPr>
            </w:pPr>
          </w:p>
        </w:tc>
      </w:tr>
    </w:tbl>
    <w:p>
      <w:pPr>
        <w:pStyle w:val="83"/>
        <w:ind w:left="0" w:leftChars="0" w:firstLine="0" w:firstLineChars="0"/>
        <w:rPr>
          <w:color w:val="auto"/>
          <w:highlight w:val="none"/>
          <w:lang w:val="zh-CN"/>
        </w:rPr>
      </w:pPr>
    </w:p>
    <w:p>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投标人名称（电子签名）：</w:t>
      </w:r>
    </w:p>
    <w:p>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日</w:t>
      </w:r>
      <w:r>
        <w:rPr>
          <w:rFonts w:ascii="宋体" w:hAnsi="宋体" w:cs="宋体"/>
          <w:b/>
          <w:color w:val="auto"/>
          <w:kern w:val="0"/>
          <w:sz w:val="24"/>
          <w:highlight w:val="none"/>
          <w:lang w:val="zh-CN"/>
        </w:rPr>
        <w:t xml:space="preserve">  </w:t>
      </w:r>
      <w:r>
        <w:rPr>
          <w:rFonts w:hint="eastAsia" w:ascii="宋体" w:hAnsi="宋体" w:cs="宋体"/>
          <w:b/>
          <w:color w:val="auto"/>
          <w:kern w:val="0"/>
          <w:sz w:val="24"/>
          <w:highlight w:val="none"/>
          <w:lang w:val="zh-CN"/>
        </w:rPr>
        <w:t>期：</w:t>
      </w:r>
    </w:p>
    <w:p>
      <w:pPr>
        <w:pStyle w:val="86"/>
        <w:rPr>
          <w:rFonts w:hint="eastAsia" w:ascii="宋体" w:hAnsi="宋体" w:cs="宋体"/>
          <w:b/>
          <w:color w:val="auto"/>
          <w:kern w:val="0"/>
          <w:sz w:val="24"/>
          <w:highlight w:val="none"/>
          <w:lang w:val="zh-CN"/>
        </w:rPr>
      </w:pPr>
    </w:p>
    <w:p>
      <w:pPr>
        <w:snapToGrid w:val="0"/>
        <w:spacing w:line="360" w:lineRule="auto"/>
        <w:ind w:left="480"/>
        <w:rPr>
          <w:rFonts w:asci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、投标人需按本表格式填写，单位统一均为人民币元。</w:t>
      </w:r>
    </w:p>
    <w:p>
      <w:pPr>
        <w:spacing w:line="360" w:lineRule="auto"/>
        <w:ind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w:t>
      </w:r>
      <w:r>
        <w:rPr>
          <w:rFonts w:ascii="宋体" w:cs="宋体"/>
          <w:b/>
          <w:color w:val="auto"/>
          <w:kern w:val="0"/>
          <w:sz w:val="24"/>
          <w:highlight w:val="none"/>
          <w:lang w:val="zh-CN"/>
        </w:rPr>
        <w:t>0</w:t>
      </w:r>
      <w:r>
        <w:rPr>
          <w:rFonts w:hint="eastAsia" w:ascii="宋体" w:hAnsi="宋体" w:cs="宋体"/>
          <w:b/>
          <w:color w:val="auto"/>
          <w:kern w:val="0"/>
          <w:sz w:val="24"/>
          <w:highlight w:val="none"/>
          <w:lang w:val="zh-CN"/>
        </w:rPr>
        <w:t>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szCs w:val="22"/>
          <w:highlight w:val="none"/>
          <w:lang w:val="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70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pPr>
        <w:pStyle w:val="70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ascii="宋体" w:hAnsi="宋体" w:cs="宋体"/>
          <w:b/>
          <w:color w:val="auto"/>
          <w:sz w:val="24"/>
          <w:highlight w:val="none"/>
        </w:rPr>
      </w:pPr>
      <w:r>
        <w:rPr>
          <w:rFonts w:ascii="宋体" w:hAnsi="宋体" w:cs="宋体"/>
          <w:b/>
          <w:color w:val="auto"/>
          <w:sz w:val="24"/>
          <w:highlight w:val="none"/>
        </w:rPr>
        <w:t>[</w:t>
      </w: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4</w:t>
      </w:r>
      <w:r>
        <w:rPr>
          <w:rFonts w:hint="eastAsia" w:ascii="宋体" w:hAnsi="宋体" w:cs="宋体"/>
          <w:b/>
          <w:color w:val="auto"/>
          <w:sz w:val="24"/>
          <w:highlight w:val="none"/>
        </w:rPr>
        <w:t>）。</w:t>
      </w:r>
      <w:r>
        <w:rPr>
          <w:rFonts w:ascii="宋体" w:hAnsi="宋体" w:cs="宋体"/>
          <w:b/>
          <w:color w:val="auto"/>
          <w:sz w:val="24"/>
          <w:highlight w:val="none"/>
        </w:rPr>
        <w:t>]</w:t>
      </w:r>
    </w:p>
    <w:p>
      <w:pPr>
        <w:pStyle w:val="70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tabs>
          <w:tab w:val="left" w:pos="8085"/>
        </w:tabs>
        <w:spacing w:line="360" w:lineRule="auto"/>
        <w:ind w:firstLine="1285" w:firstLineChars="400"/>
        <w:jc w:val="left"/>
        <w:rPr>
          <w:rFonts w:hint="eastAsia" w:ascii="宋体" w:hAnsi="宋体" w:cs="宋体"/>
          <w:b/>
          <w:color w:val="auto"/>
          <w:sz w:val="32"/>
          <w:szCs w:val="32"/>
          <w:highlight w:val="none"/>
        </w:rPr>
      </w:pPr>
    </w:p>
    <w:p>
      <w:pPr>
        <w:tabs>
          <w:tab w:val="left" w:pos="8085"/>
        </w:tabs>
        <w:spacing w:line="360" w:lineRule="auto"/>
        <w:ind w:firstLine="1285" w:firstLineChars="400"/>
        <w:jc w:val="left"/>
        <w:rPr>
          <w:rFonts w:asci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pPr>
        <w:spacing w:line="360" w:lineRule="auto"/>
        <w:ind w:firstLine="480" w:firstLineChars="200"/>
        <w:rPr>
          <w:rFonts w:ascii="宋体" w:cs="宋体"/>
          <w:color w:val="auto"/>
          <w:sz w:val="24"/>
          <w:highlight w:val="none"/>
        </w:rPr>
      </w:pPr>
      <w:r>
        <w:rPr>
          <w:rFonts w:hint="eastAsia" w:ascii="宋体" w:hAnsi="宋体" w:cs="宋体"/>
          <w:snapToGrid w:val="0"/>
          <w:color w:val="auto"/>
          <w:kern w:val="28"/>
          <w:sz w:val="24"/>
          <w:highlight w:val="none"/>
        </w:rPr>
        <w:t>供应商中标后可在政府采购云平台申请政采贷：操作路径：登录政府采购云平台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rPr>
        <w:t>【融资服务】，可在热门申请中选择产品直接申请，也可点击云智贷匹配适合产品进行申请，或者在可申请项目中根据该项目进行申请。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cs="宋体"/>
          <w:b/>
          <w:bCs/>
          <w:color w:val="auto"/>
          <w:kern w:val="0"/>
          <w:sz w:val="24"/>
          <w:highlight w:val="none"/>
        </w:rPr>
      </w:pPr>
    </w:p>
    <w:p>
      <w:pPr>
        <w:pStyle w:val="3"/>
        <w:keepNext w:val="0"/>
        <w:keepLines w:val="0"/>
        <w:pageBreakBefore/>
        <w:widowControl/>
        <w:spacing w:before="100" w:beforeAutospacing="1" w:after="100" w:afterAutospacing="1" w:line="360" w:lineRule="auto"/>
        <w:jc w:val="center"/>
        <w:rPr>
          <w:rFonts w:ascii="宋体" w:cs="宋体"/>
          <w:color w:val="auto"/>
          <w:highlight w:val="none"/>
        </w:rPr>
      </w:pPr>
      <w:bookmarkStart w:id="421" w:name="_Toc465665161"/>
      <w:r>
        <w:rPr>
          <w:rFonts w:hint="eastAsia" w:ascii="宋体" w:hAnsi="宋体" w:cs="宋体"/>
          <w:color w:val="auto"/>
          <w:highlight w:val="none"/>
        </w:rPr>
        <w:t>附件</w:t>
      </w:r>
      <w:bookmarkEnd w:id="421"/>
    </w:p>
    <w:p>
      <w:pPr>
        <w:spacing w:line="360" w:lineRule="auto"/>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1</w:t>
      </w:r>
      <w:r>
        <w:rPr>
          <w:rFonts w:hint="eastAsia" w:ascii="宋体" w:hAnsi="宋体" w:cs="宋体"/>
          <w:b/>
          <w:color w:val="auto"/>
          <w:spacing w:val="6"/>
          <w:sz w:val="32"/>
          <w:szCs w:val="32"/>
          <w:highlight w:val="none"/>
        </w:rPr>
        <w:t>：</w:t>
      </w:r>
    </w:p>
    <w:p>
      <w:pPr>
        <w:spacing w:line="360" w:lineRule="auto"/>
        <w:jc w:val="center"/>
        <w:rPr>
          <w:rFonts w:ascii="宋体" w:cs="宋体"/>
          <w:b/>
          <w:color w:val="auto"/>
          <w:spacing w:val="6"/>
          <w:sz w:val="32"/>
          <w:szCs w:val="32"/>
          <w:highlight w:val="none"/>
        </w:rPr>
      </w:pPr>
      <w:bookmarkStart w:id="422" w:name="OLE_LINK14"/>
      <w:bookmarkStart w:id="423" w:name="OLE_LINK13"/>
      <w:r>
        <w:rPr>
          <w:rFonts w:hint="eastAsia" w:ascii="宋体" w:hAnsi="宋体" w:cs="宋体"/>
          <w:b/>
          <w:color w:val="auto"/>
          <w:spacing w:val="6"/>
          <w:sz w:val="32"/>
          <w:szCs w:val="32"/>
          <w:highlight w:val="none"/>
        </w:rPr>
        <w:t>残疾人福利性单位声明函</w:t>
      </w:r>
    </w:p>
    <w:bookmarkEnd w:id="422"/>
    <w:bookmarkEnd w:id="423"/>
    <w:p>
      <w:pPr>
        <w:spacing w:line="360" w:lineRule="auto"/>
        <w:rPr>
          <w:rFonts w:ascii="宋体" w:cs="宋体"/>
          <w:b/>
          <w:color w:val="auto"/>
          <w:spacing w:val="6"/>
          <w:sz w:val="30"/>
          <w:szCs w:val="30"/>
          <w:highlight w:val="none"/>
        </w:rPr>
      </w:pP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 xml:space="preserve"> 141</w:t>
      </w:r>
      <w:r>
        <w:rPr>
          <w:rFonts w:hint="eastAsia" w:ascii="宋体" w:hAnsi="宋体" w:cs="宋体"/>
          <w:color w:val="auto"/>
          <w:sz w:val="24"/>
          <w:highlight w:val="none"/>
        </w:rPr>
        <w:t>号）的规定，本单位为符合条件的残疾人福利性单位，且本单位参加</w:t>
      </w:r>
      <w:r>
        <w:rPr>
          <w:rFonts w:ascii="宋体" w:hAnsi="宋体" w:cs="宋体"/>
          <w:color w:val="auto"/>
          <w:sz w:val="24"/>
          <w:highlight w:val="none"/>
        </w:rPr>
        <w:t>______</w:t>
      </w:r>
      <w:r>
        <w:rPr>
          <w:rFonts w:hint="eastAsia" w:ascii="宋体" w:hAnsi="宋体" w:cs="宋体"/>
          <w:color w:val="auto"/>
          <w:sz w:val="24"/>
          <w:highlight w:val="none"/>
        </w:rPr>
        <w:t>单位的</w:t>
      </w:r>
      <w:r>
        <w:rPr>
          <w:rFonts w:ascii="宋体" w:hAnsi="宋体" w:cs="宋体"/>
          <w:color w:val="auto"/>
          <w:sz w:val="24"/>
          <w:highlight w:val="none"/>
        </w:rPr>
        <w:t>______</w:t>
      </w:r>
      <w:r>
        <w:rPr>
          <w:rFonts w:hint="eastAsia" w:ascii="宋体" w:hAnsi="宋体" w:cs="宋体"/>
          <w:color w:val="auto"/>
          <w:sz w:val="24"/>
          <w:highlight w:val="none"/>
        </w:rPr>
        <w:t>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cs="宋体"/>
          <w:color w:val="auto"/>
          <w:sz w:val="24"/>
          <w:highlight w:val="none"/>
        </w:rPr>
      </w:pPr>
    </w:p>
    <w:p>
      <w:pPr>
        <w:spacing w:line="360" w:lineRule="auto"/>
        <w:ind w:firstLine="480" w:firstLineChars="200"/>
        <w:rPr>
          <w:rFonts w:ascii="宋体" w:cs="宋体"/>
          <w:color w:val="auto"/>
          <w:sz w:val="24"/>
          <w:highlight w:val="none"/>
        </w:rPr>
      </w:pPr>
    </w:p>
    <w:p>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pPr>
        <w:spacing w:line="360" w:lineRule="auto"/>
        <w:ind w:firstLine="480" w:firstLineChars="200"/>
        <w:rPr>
          <w:rFonts w:ascii="宋体" w:cs="宋体"/>
          <w:color w:val="auto"/>
          <w:sz w:val="24"/>
          <w:highlight w:val="none"/>
        </w:rPr>
      </w:pPr>
    </w:p>
    <w:p>
      <w:pPr>
        <w:spacing w:line="360" w:lineRule="auto"/>
        <w:ind w:firstLine="420" w:firstLineChars="200"/>
        <w:rPr>
          <w:rFonts w:ascii="宋体" w:cs="宋体"/>
          <w:color w:val="auto"/>
          <w:highlight w:val="none"/>
        </w:rPr>
      </w:pPr>
    </w:p>
    <w:p>
      <w:pPr>
        <w:spacing w:line="360" w:lineRule="auto"/>
        <w:ind w:firstLine="420" w:firstLineChars="200"/>
        <w:rPr>
          <w:rFonts w:ascii="宋体" w:cs="宋体"/>
          <w:color w:val="auto"/>
          <w:highlight w:val="none"/>
        </w:rPr>
      </w:pPr>
    </w:p>
    <w:p>
      <w:pPr>
        <w:spacing w:line="360" w:lineRule="auto"/>
        <w:ind w:firstLine="420" w:firstLineChars="200"/>
        <w:rPr>
          <w:rFonts w:ascii="宋体" w:cs="宋体"/>
          <w:color w:val="auto"/>
          <w:highlight w:val="none"/>
        </w:rPr>
      </w:pPr>
    </w:p>
    <w:p>
      <w:pPr>
        <w:spacing w:line="360" w:lineRule="auto"/>
        <w:ind w:firstLine="420" w:firstLineChars="200"/>
        <w:rPr>
          <w:rFonts w:ascii="宋体" w:cs="宋体"/>
          <w:color w:val="auto"/>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2</w:t>
      </w:r>
      <w:r>
        <w:rPr>
          <w:rFonts w:hint="eastAsia" w:ascii="宋体" w:hAnsi="宋体" w:cs="宋体"/>
          <w:b/>
          <w:color w:val="auto"/>
          <w:spacing w:val="6"/>
          <w:sz w:val="32"/>
          <w:szCs w:val="32"/>
          <w:highlight w:val="none"/>
        </w:rPr>
        <w:t>：质疑函范本及制作说明</w:t>
      </w:r>
    </w:p>
    <w:p>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Lines="100" w:line="360" w:lineRule="auto"/>
        <w:rPr>
          <w:rFonts w:asci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ascii="宋体" w:hAnsi="宋体" w:cs="宋体"/>
          <w:color w:val="auto"/>
          <w:sz w:val="24"/>
          <w:highlight w:val="none"/>
          <w:u w:val="dotted"/>
        </w:rPr>
        <w:t xml:space="preserve">                                        </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rPr>
        <w:t xml:space="preserve"> </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质疑项目的名称：</w:t>
      </w:r>
      <w:r>
        <w:rPr>
          <w:rFonts w:ascii="宋体" w:hAnsi="宋体" w:cs="宋体"/>
          <w:color w:val="auto"/>
          <w:sz w:val="24"/>
          <w:highlight w:val="none"/>
          <w:u w:val="dotted"/>
        </w:rPr>
        <w:t xml:space="preserve">                                      </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采购文件获取日期：</w:t>
      </w:r>
      <w:r>
        <w:rPr>
          <w:rFonts w:ascii="宋体" w:hAnsi="宋体" w:cs="宋体"/>
          <w:color w:val="auto"/>
          <w:sz w:val="24"/>
          <w:highlight w:val="none"/>
          <w:u w:val="dotted"/>
        </w:rPr>
        <w:t xml:space="preserve">                                           </w:t>
      </w:r>
    </w:p>
    <w:p>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pPr>
        <w:snapToGrid w:val="0"/>
        <w:spacing w:line="360" w:lineRule="auto"/>
        <w:rPr>
          <w:rFonts w:ascii="宋体" w:cs="宋体"/>
          <w:color w:val="auto"/>
          <w:sz w:val="24"/>
          <w:highlight w:val="none"/>
        </w:rPr>
      </w:pPr>
      <w:r>
        <w:rPr>
          <w:rFonts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pPr>
        <w:snapToGrid w:val="0"/>
        <w:spacing w:line="360" w:lineRule="auto"/>
        <w:rPr>
          <w:rFonts w:asci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2</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pPr>
        <w:spacing w:line="360" w:lineRule="auto"/>
        <w:jc w:val="center"/>
        <w:rPr>
          <w:rFonts w:ascii="宋体" w:cs="宋体"/>
          <w:b/>
          <w:bCs/>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供应商提出质疑时，应提交质疑函和必要的证明材料。</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质疑供应商若对项目的某一分包进行质疑，质疑函中应列明具体分包号。</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质疑函的质疑事项应具体、明确，并有必要的事实依据和法律依据。</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质疑函的质疑请求应与质疑事项相关。</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cs="宋体"/>
          <w:color w:val="auto"/>
          <w:sz w:val="30"/>
          <w:szCs w:val="30"/>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both"/>
        <w:rPr>
          <w:rFonts w:ascii="宋体" w:cs="宋体"/>
          <w:b/>
          <w:color w:val="auto"/>
          <w:spacing w:val="6"/>
          <w:sz w:val="32"/>
          <w:szCs w:val="32"/>
          <w:highlight w:val="none"/>
        </w:rPr>
      </w:pPr>
    </w:p>
    <w:p>
      <w:pPr>
        <w:pStyle w:val="86"/>
        <w:rPr>
          <w:rFonts w:ascii="宋体" w:cs="宋体"/>
          <w:b/>
          <w:color w:val="auto"/>
          <w:spacing w:val="6"/>
          <w:sz w:val="32"/>
          <w:szCs w:val="32"/>
          <w:highlight w:val="none"/>
        </w:rPr>
      </w:pPr>
    </w:p>
    <w:p>
      <w:pPr>
        <w:spacing w:line="360" w:lineRule="auto"/>
        <w:jc w:val="left"/>
        <w:rPr>
          <w:rFonts w:asci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3</w:t>
      </w:r>
      <w:r>
        <w:rPr>
          <w:rFonts w:hint="eastAsia" w:ascii="宋体" w:hAnsi="宋体" w:cs="宋体"/>
          <w:b/>
          <w:color w:val="auto"/>
          <w:spacing w:val="6"/>
          <w:sz w:val="32"/>
          <w:szCs w:val="32"/>
          <w:highlight w:val="none"/>
        </w:rPr>
        <w:t>：投诉书范本及制作说明</w:t>
      </w:r>
    </w:p>
    <w:p>
      <w:pPr>
        <w:spacing w:line="360" w:lineRule="auto"/>
        <w:jc w:val="center"/>
        <w:rPr>
          <w:rFonts w:ascii="宋体" w:cs="宋体"/>
          <w:b/>
          <w:color w:val="auto"/>
          <w:sz w:val="24"/>
          <w:highlight w:val="none"/>
        </w:rPr>
      </w:pPr>
    </w:p>
    <w:p>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rPr>
        <w:t>/</w:t>
      </w:r>
      <w:r>
        <w:rPr>
          <w:rFonts w:hint="eastAsia" w:ascii="宋体" w:hAnsi="宋体" w:cs="宋体"/>
          <w:color w:val="auto"/>
          <w:sz w:val="24"/>
          <w:highlight w:val="none"/>
        </w:rPr>
        <w:t>主要负责人：</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w:t>
      </w:r>
      <w:r>
        <w:rPr>
          <w:rFonts w:ascii="宋体" w:hAnsi="宋体" w:cs="宋体"/>
          <w:color w:val="auto"/>
          <w:sz w:val="24"/>
          <w:highlight w:val="none"/>
        </w:rPr>
        <w:t>2</w:t>
      </w:r>
    </w:p>
    <w:p>
      <w:pPr>
        <w:spacing w:line="360" w:lineRule="auto"/>
        <w:rPr>
          <w:rFonts w:asci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pPr>
        <w:spacing w:line="360" w:lineRule="auto"/>
        <w:rPr>
          <w:rFonts w:asci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ascii="宋体" w:hAnsi="宋体" w:cs="宋体"/>
          <w:color w:val="auto"/>
          <w:sz w:val="24"/>
          <w:highlight w:val="none"/>
          <w:u w:val="dotted"/>
        </w:rPr>
        <w:t xml:space="preserve">                                        </w:t>
      </w:r>
    </w:p>
    <w:p>
      <w:pPr>
        <w:spacing w:line="360" w:lineRule="auto"/>
        <w:rPr>
          <w:rFonts w:asci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pPr>
        <w:spacing w:line="360" w:lineRule="auto"/>
        <w:rPr>
          <w:rFonts w:ascii="宋体" w:cs="宋体"/>
          <w:color w:val="auto"/>
          <w:sz w:val="24"/>
          <w:highlight w:val="none"/>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pPr>
        <w:spacing w:line="360" w:lineRule="auto"/>
        <w:rPr>
          <w:rFonts w:ascii="宋体" w:cs="宋体"/>
          <w:color w:val="auto"/>
          <w:sz w:val="24"/>
          <w:highlight w:val="none"/>
          <w:u w:val="single"/>
        </w:rPr>
      </w:pPr>
      <w:r>
        <w:rPr>
          <w:rFonts w:hint="eastAsia" w:ascii="宋体" w:hAnsi="宋体" w:cs="宋体"/>
          <w:color w:val="auto"/>
          <w:sz w:val="24"/>
          <w:highlight w:val="none"/>
        </w:rPr>
        <w:t>代理机构名称：</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pPr>
        <w:spacing w:line="360" w:lineRule="auto"/>
        <w:rPr>
          <w:rFonts w:ascii="宋体" w:cs="宋体"/>
          <w:color w:val="auto"/>
          <w:sz w:val="24"/>
          <w:highlight w:val="none"/>
          <w:u w:val="single"/>
        </w:rPr>
      </w:pPr>
      <w:r>
        <w:rPr>
          <w:rFonts w:hint="eastAsia" w:ascii="宋体" w:hAnsi="宋体" w:cs="宋体"/>
          <w:color w:val="auto"/>
          <w:sz w:val="24"/>
          <w:highlight w:val="none"/>
        </w:rPr>
        <w:t>采购结果公告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pPr>
        <w:spacing w:line="360" w:lineRule="auto"/>
        <w:rPr>
          <w:rFonts w:asci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向</w:t>
      </w:r>
      <w:r>
        <w:rPr>
          <w:rFonts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ascii="宋体" w:hAnsi="宋体" w:cs="宋体"/>
          <w:color w:val="auto"/>
          <w:sz w:val="24"/>
          <w:highlight w:val="none"/>
          <w:u w:val="dotted"/>
        </w:rPr>
        <w:t xml:space="preserve">                                </w:t>
      </w:r>
    </w:p>
    <w:p>
      <w:pPr>
        <w:spacing w:line="360" w:lineRule="auto"/>
        <w:rPr>
          <w:rFonts w:ascii="宋体" w:cs="宋体"/>
          <w:color w:val="auto"/>
          <w:sz w:val="24"/>
          <w:highlight w:val="none"/>
          <w:u w:val="dotted"/>
        </w:rPr>
      </w:pP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pPr>
        <w:spacing w:line="360" w:lineRule="auto"/>
        <w:ind w:firstLine="360" w:firstLineChars="150"/>
        <w:rPr>
          <w:rFonts w:ascii="宋体" w:cs="宋体"/>
          <w:color w:val="auto"/>
          <w:sz w:val="24"/>
          <w:highlight w:val="none"/>
        </w:rPr>
      </w:pPr>
      <w:r>
        <w:rPr>
          <w:rFonts w:hint="eastAsia" w:ascii="宋体" w:hAnsi="宋体" w:cs="宋体"/>
          <w:color w:val="auto"/>
          <w:sz w:val="24"/>
          <w:highlight w:val="none"/>
          <w:u w:val="dotted"/>
        </w:rPr>
        <w:t>采购人</w:t>
      </w:r>
      <w:r>
        <w:rPr>
          <w:rFonts w:ascii="宋体" w:hAnsi="宋体" w:cs="宋体"/>
          <w:color w:val="auto"/>
          <w:sz w:val="24"/>
          <w:highlight w:val="none"/>
          <w:u w:val="dotted"/>
        </w:rPr>
        <w:t>/</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就质疑事项作出了答复</w:t>
      </w:r>
      <w:r>
        <w:rPr>
          <w:rFonts w:ascii="宋体" w:hAnsi="宋体" w:cs="宋体"/>
          <w:color w:val="auto"/>
          <w:sz w:val="24"/>
          <w:highlight w:val="none"/>
        </w:rPr>
        <w:t>/</w:t>
      </w:r>
      <w:r>
        <w:rPr>
          <w:rFonts w:hint="eastAsia" w:ascii="宋体" w:hAnsi="宋体" w:cs="宋体"/>
          <w:color w:val="auto"/>
          <w:sz w:val="24"/>
          <w:highlight w:val="none"/>
        </w:rPr>
        <w:t>没有在法定期限内作出答复。</w:t>
      </w:r>
    </w:p>
    <w:p>
      <w:pPr>
        <w:spacing w:line="360" w:lineRule="auto"/>
        <w:rPr>
          <w:rFonts w:asci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cs="宋体"/>
          <w:color w:val="auto"/>
          <w:sz w:val="24"/>
          <w:highlight w:val="none"/>
          <w:u w:val="single"/>
        </w:rPr>
      </w:pPr>
      <w:r>
        <w:rPr>
          <w:rFonts w:hint="eastAsia" w:ascii="宋体" w:hAnsi="宋体" w:cs="宋体"/>
          <w:color w:val="auto"/>
          <w:sz w:val="24"/>
          <w:highlight w:val="none"/>
        </w:rPr>
        <w:t>投诉事项</w:t>
      </w:r>
      <w:r>
        <w:rPr>
          <w:rFonts w:ascii="宋体" w:hAnsi="宋体" w:cs="宋体"/>
          <w:color w:val="auto"/>
          <w:sz w:val="24"/>
          <w:highlight w:val="none"/>
        </w:rPr>
        <w:t xml:space="preserve"> 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pPr>
        <w:spacing w:line="360" w:lineRule="auto"/>
        <w:rPr>
          <w:rFonts w:ascii="宋体" w:cs="宋体"/>
          <w:color w:val="auto"/>
          <w:sz w:val="24"/>
          <w:highlight w:val="none"/>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pPr>
        <w:spacing w:line="360" w:lineRule="auto"/>
        <w:rPr>
          <w:rFonts w:ascii="宋体" w:cs="宋体"/>
          <w:color w:val="auto"/>
          <w:sz w:val="24"/>
          <w:highlight w:val="none"/>
          <w:u w:val="single"/>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w:t>
      </w:r>
      <w:r>
        <w:rPr>
          <w:rFonts w:ascii="宋体" w:hAnsi="宋体" w:cs="宋体"/>
          <w:color w:val="auto"/>
          <w:sz w:val="24"/>
          <w:highlight w:val="none"/>
        </w:rPr>
        <w:t>2</w:t>
      </w:r>
    </w:p>
    <w:p>
      <w:pPr>
        <w:spacing w:line="360" w:lineRule="auto"/>
        <w:rPr>
          <w:rFonts w:asci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pPr>
        <w:spacing w:line="360" w:lineRule="auto"/>
        <w:rPr>
          <w:rFonts w:ascii="宋体" w:cs="宋体"/>
          <w:color w:val="auto"/>
          <w:sz w:val="24"/>
          <w:highlight w:val="none"/>
          <w:u w:val="single"/>
        </w:rPr>
      </w:pPr>
      <w:r>
        <w:rPr>
          <w:rFonts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sz w:val="24"/>
          <w:highlight w:val="none"/>
        </w:rPr>
        <w:t>2.</w:t>
      </w:r>
      <w:r>
        <w:rPr>
          <w:rFonts w:hint="eastAsia" w:ascii="宋体" w:hAnsi="宋体" w:cs="宋体"/>
          <w:color w:val="auto"/>
          <w:sz w:val="24"/>
          <w:highlight w:val="none"/>
        </w:rPr>
        <w:t>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投诉人若对项目的某一分包进行投诉，投诉书应列明具体分包号。</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投诉书应简要列明质疑事项，质疑函、质疑答复等作为附件材料提供。</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投诉书的投诉事项应具体、明确，并有必要的事实依据和法律依据。</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投诉书的投诉请求应与投诉事项相关。</w:t>
      </w:r>
    </w:p>
    <w:p>
      <w:pPr>
        <w:widowControl/>
        <w:spacing w:line="360" w:lineRule="auto"/>
        <w:ind w:firstLine="480" w:firstLineChars="200"/>
        <w:jc w:val="left"/>
        <w:rPr>
          <w:rFonts w:ascii="宋体" w:cs="宋体"/>
          <w:b/>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4</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pPr>
        <w:spacing w:line="360" w:lineRule="auto"/>
        <w:rPr>
          <w:rFonts w:ascii="宋体" w:cs="宋体"/>
          <w:b/>
          <w:color w:val="auto"/>
          <w:sz w:val="32"/>
          <w:szCs w:val="32"/>
          <w:highlight w:val="none"/>
        </w:rPr>
      </w:pPr>
    </w:p>
    <w:p>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中小企业声明函（工程、服务）</w:t>
      </w:r>
    </w:p>
    <w:p>
      <w:pPr>
        <w:spacing w:line="340" w:lineRule="exact"/>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本公司（联合体）郑重声明，根据《政府采购促进中小企业发展管理办法》 （</w:t>
      </w:r>
      <w:r>
        <w:rPr>
          <w:rFonts w:hint="eastAsia" w:ascii="宋体" w:hAnsi="宋体" w:eastAsia="宋体" w:cs="宋体"/>
          <w:color w:val="auto"/>
          <w:sz w:val="24"/>
          <w:highlight w:val="none"/>
          <w:lang w:eastAsia="zh-CN"/>
        </w:rPr>
        <w:t>财库﹝2020﹞46 号</w:t>
      </w:r>
      <w:r>
        <w:rPr>
          <w:rFonts w:hint="eastAsia" w:ascii="宋体" w:hAnsi="宋体" w:eastAsia="宋体" w:cs="宋体"/>
          <w:color w:val="auto"/>
          <w:sz w:val="24"/>
          <w:highlight w:val="none"/>
        </w:rPr>
        <w:t>）的规定，本公司（或联合体）参加</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p>
    <w:p>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ind w:right="420" w:firstLine="5880" w:firstLineChars="2450"/>
        <w:jc w:val="left"/>
        <w:rPr>
          <w:rFonts w:hint="eastAsia" w:ascii="宋体" w:hAnsi="宋体" w:eastAsia="宋体" w:cs="宋体"/>
          <w:color w:val="auto"/>
          <w:sz w:val="24"/>
          <w:highlight w:val="none"/>
        </w:rPr>
      </w:pPr>
    </w:p>
    <w:p>
      <w:pPr>
        <w:ind w:right="420"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企业名称（盖章）： </w:t>
      </w:r>
    </w:p>
    <w:p>
      <w:pPr>
        <w:ind w:right="420"/>
        <w:rPr>
          <w:rFonts w:hint="eastAsia" w:ascii="宋体" w:hAnsi="宋体" w:eastAsia="宋体" w:cs="宋体"/>
          <w:color w:val="auto"/>
          <w:sz w:val="24"/>
          <w:highlight w:val="none"/>
        </w:rPr>
      </w:pPr>
    </w:p>
    <w:p>
      <w:pPr>
        <w:ind w:right="420"/>
        <w:jc w:val="right"/>
        <w:rPr>
          <w:rFonts w:hint="eastAsia" w:ascii="宋体" w:hAnsi="宋体" w:eastAsia="宋体" w:cs="宋体"/>
          <w:color w:val="auto"/>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日期：   年     月</w:t>
      </w:r>
      <w:r>
        <w:rPr>
          <w:rFonts w:hint="eastAsia" w:ascii="宋体" w:hAnsi="宋体" w:eastAsia="宋体" w:cs="宋体"/>
          <w:color w:val="auto"/>
          <w:highlight w:val="none"/>
        </w:rPr>
        <w:t xml:space="preserve">    日</w:t>
      </w:r>
    </w:p>
    <w:p>
      <w:pPr>
        <w:ind w:right="420"/>
        <w:jc w:val="right"/>
        <w:rPr>
          <w:rFonts w:hint="eastAsia" w:ascii="宋体" w:hAnsi="宋体" w:cs="宋体"/>
          <w:b/>
          <w:color w:val="auto"/>
          <w:sz w:val="24"/>
          <w:szCs w:val="24"/>
          <w:highlight w:val="none"/>
        </w:rPr>
      </w:pPr>
    </w:p>
    <w:p>
      <w:pPr>
        <w:ind w:right="420"/>
        <w:jc w:val="left"/>
        <w:rPr>
          <w:rFonts w:ascii="宋体" w:cs="宋体"/>
          <w:b/>
          <w:color w:val="auto"/>
          <w:sz w:val="24"/>
          <w:szCs w:val="24"/>
          <w:highlight w:val="none"/>
        </w:rPr>
      </w:pPr>
      <w:r>
        <w:rPr>
          <w:rFonts w:hint="eastAsia" w:ascii="宋体" w:hAnsi="宋体" w:cs="宋体"/>
          <w:b/>
          <w:color w:val="auto"/>
          <w:sz w:val="24"/>
          <w:szCs w:val="24"/>
          <w:highlight w:val="none"/>
        </w:rPr>
        <w:t>从业人员、营业收入、资产总额填报上一年度数据，无上一年度数据的新成立企业可不填报。</w:t>
      </w:r>
    </w:p>
    <w:p>
      <w:pPr>
        <w:spacing w:line="360" w:lineRule="auto"/>
        <w:ind w:right="420"/>
        <w:rPr>
          <w:rFonts w:ascii="宋体" w:cs="宋体"/>
          <w:color w:val="auto"/>
          <w:sz w:val="24"/>
          <w:highlight w:val="none"/>
        </w:rPr>
      </w:pPr>
    </w:p>
    <w:p>
      <w:pPr>
        <w:spacing w:line="360" w:lineRule="auto"/>
        <w:ind w:right="420"/>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注：符合《关于促进残疾人就业政府采购政策的通知》（财库〔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号）规定的条件并提供《残疾人福利性单位声明函》（附件</w:t>
      </w:r>
      <w:r>
        <w:rPr>
          <w:rFonts w:ascii="宋体" w:hAnsi="宋体" w:cs="宋体"/>
          <w:color w:val="auto"/>
          <w:sz w:val="24"/>
          <w:highlight w:val="none"/>
        </w:rPr>
        <w:t>1</w:t>
      </w:r>
      <w:r>
        <w:rPr>
          <w:rFonts w:hint="eastAsia" w:ascii="宋体" w:hAnsi="宋体" w:cs="宋体"/>
          <w:color w:val="auto"/>
          <w:sz w:val="24"/>
          <w:highlight w:val="none"/>
        </w:rPr>
        <w:t>）的残疾人福利性单位视同小型、微型企业；根据《关于政府采购支持监狱企业发展有关问题的通知》（财库</w:t>
      </w:r>
      <w:r>
        <w:rPr>
          <w:rFonts w:ascii="宋体" w:hAnsi="宋体" w:cs="宋体"/>
          <w:color w:val="auto"/>
          <w:sz w:val="24"/>
          <w:highlight w:val="none"/>
        </w:rPr>
        <w:t>[2014]68</w:t>
      </w:r>
      <w:r>
        <w:rPr>
          <w:rFonts w:hint="eastAsia" w:ascii="宋体" w:hAnsi="宋体" w:cs="宋体"/>
          <w:color w:val="auto"/>
          <w:sz w:val="24"/>
          <w:highlight w:val="none"/>
        </w:rPr>
        <w:t>号）的规定，投标人提供由省级以上监狱管理局、戒毒管理局（含新疆生产建设兵团）出具的属于监狱企业证明文件的，视同为小型和微型企业。</w:t>
      </w:r>
    </w:p>
    <w:p>
      <w:pPr>
        <w:spacing w:line="360" w:lineRule="auto"/>
        <w:rPr>
          <w:rFonts w:ascii="宋体" w:cs="宋体"/>
          <w:bCs/>
          <w:color w:val="auto"/>
          <w:sz w:val="24"/>
          <w:highlight w:val="none"/>
        </w:rPr>
      </w:pPr>
    </w:p>
    <w:sectPr>
      <w:headerReference r:id="rId17" w:type="default"/>
      <w:footerReference r:id="rId1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2"/>
                      <w:jc w:val="center"/>
                    </w:pPr>
                    <w:r>
                      <w:fldChar w:fldCharType="begin"/>
                    </w:r>
                    <w:r>
                      <w:instrText xml:space="preserve"> PAGE   \* MERGEFORMAT </w:instrText>
                    </w:r>
                    <w:r>
                      <w:fldChar w:fldCharType="separate"/>
                    </w:r>
                    <w:r>
                      <w:t>1</w:t>
                    </w:r>
                    <w:r>
                      <w:fldChar w:fldCharType="end"/>
                    </w:r>
                  </w:p>
                </w:txbxContent>
              </v:textbox>
            </v:shape>
          </w:pict>
        </mc:Fallback>
      </mc:AlternateContent>
    </w:r>
  </w:p>
  <w:p>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 xml:space="preserve"> </w:t>
    </w:r>
    <w:r>
      <w:rPr>
        <w:rFonts w:hint="eastAsia"/>
        <w:lang w:eastAsia="zh-CN"/>
      </w:rPr>
      <w:t>浙江智拓项目管理有限公司政府采购</w:t>
    </w:r>
    <w:r>
      <w:rPr>
        <w:rFonts w:hint="eastAsia"/>
        <w:lang w:val="zh-CN"/>
      </w:rPr>
      <w:t>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eastAsia="zh-CN"/>
      </w:rPr>
      <w:t>浙江智拓项目管理有限公司政府采购</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 xml:space="preserve">                                      </w:t>
    </w:r>
    <w:r>
      <w:rPr>
        <w:rFonts w:hint="eastAsia"/>
        <w:lang w:eastAsia="zh-CN"/>
      </w:rPr>
      <w:t>浙江智拓项目管理有限公司政府采购</w:t>
    </w:r>
    <w:r>
      <w:rPr>
        <w:rFonts w:hint="eastAsia"/>
        <w:lang w:val="zh-CN"/>
      </w:rPr>
      <w:t>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p>
  <w:p>
    <w:pPr>
      <w:pStyle w:val="43"/>
    </w:pPr>
    <w:r>
      <w:t xml:space="preserve">                                                        </w:t>
    </w:r>
    <w:r>
      <w:rPr>
        <w:rFonts w:hint="eastAsia"/>
        <w:lang w:eastAsia="zh-CN"/>
      </w:rPr>
      <w:t>浙江智拓项目管理有限公司政府采购</w:t>
    </w:r>
    <w:r>
      <w:rPr>
        <w:rFonts w:hint="eastAsia"/>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 xml:space="preserve">                                  </w:t>
    </w:r>
    <w:r>
      <w:rPr>
        <w:rFonts w:hint="eastAsia"/>
        <w:lang w:eastAsia="zh-CN"/>
      </w:rPr>
      <w:t>浙江智拓项目管理有限公司政府采购</w:t>
    </w:r>
    <w:r>
      <w:rPr>
        <w:rFonts w:hint="eastAsia"/>
      </w:rPr>
      <w:t>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 xml:space="preserve">                                                                                                         </w:t>
    </w:r>
    <w:r>
      <w:rPr>
        <w:rFonts w:hint="eastAsia"/>
        <w:lang w:eastAsia="zh-CN"/>
      </w:rPr>
      <w:t>浙江智拓项目管理有限公司政府采购</w:t>
    </w:r>
    <w:r>
      <w:rPr>
        <w:rFonts w:hint="eastAsia"/>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lang w:eastAsia="zh-CN"/>
      </w:rPr>
      <w:t>浙江智拓项目管理有限公司政府采购</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F50C3"/>
    <w:multiLevelType w:val="singleLevel"/>
    <w:tmpl w:val="CF5F50C3"/>
    <w:lvl w:ilvl="0" w:tentative="0">
      <w:start w:val="3"/>
      <w:numFmt w:val="decimal"/>
      <w:suff w:val="nothing"/>
      <w:lvlText w:val="（%1）"/>
      <w:lvlJc w:val="left"/>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4">
    <w:nsid w:val="4EAF669B"/>
    <w:multiLevelType w:val="multilevel"/>
    <w:tmpl w:val="4EAF669B"/>
    <w:lvl w:ilvl="0" w:tentative="0">
      <w:start w:val="1"/>
      <w:numFmt w:val="decimalEnclosedCircle"/>
      <w:lvlText w:val="%1"/>
      <w:lvlJc w:val="left"/>
      <w:pPr>
        <w:tabs>
          <w:tab w:val="left" w:pos="-420"/>
        </w:tabs>
        <w:ind w:left="420" w:hanging="360"/>
      </w:pPr>
      <w:rPr>
        <w:rFonts w:hint="default" w:cs="Times New Roman"/>
      </w:rPr>
    </w:lvl>
    <w:lvl w:ilvl="1" w:tentative="0">
      <w:start w:val="1"/>
      <w:numFmt w:val="lowerLetter"/>
      <w:lvlText w:val="%2)"/>
      <w:lvlJc w:val="left"/>
      <w:pPr>
        <w:tabs>
          <w:tab w:val="left" w:pos="-420"/>
        </w:tabs>
        <w:ind w:left="900" w:hanging="420"/>
      </w:pPr>
      <w:rPr>
        <w:rFonts w:cs="Times New Roman"/>
      </w:rPr>
    </w:lvl>
    <w:lvl w:ilvl="2" w:tentative="0">
      <w:start w:val="1"/>
      <w:numFmt w:val="lowerRoman"/>
      <w:lvlText w:val="%3."/>
      <w:lvlJc w:val="right"/>
      <w:pPr>
        <w:tabs>
          <w:tab w:val="left" w:pos="-420"/>
        </w:tabs>
        <w:ind w:left="1320" w:hanging="420"/>
      </w:pPr>
      <w:rPr>
        <w:rFonts w:cs="Times New Roman"/>
      </w:rPr>
    </w:lvl>
    <w:lvl w:ilvl="3" w:tentative="0">
      <w:start w:val="1"/>
      <w:numFmt w:val="decimal"/>
      <w:lvlText w:val="%4."/>
      <w:lvlJc w:val="left"/>
      <w:pPr>
        <w:tabs>
          <w:tab w:val="left" w:pos="-420"/>
        </w:tabs>
        <w:ind w:left="1740" w:hanging="420"/>
      </w:pPr>
      <w:rPr>
        <w:rFonts w:cs="Times New Roman"/>
      </w:rPr>
    </w:lvl>
    <w:lvl w:ilvl="4" w:tentative="0">
      <w:start w:val="1"/>
      <w:numFmt w:val="lowerLetter"/>
      <w:lvlText w:val="%5)"/>
      <w:lvlJc w:val="left"/>
      <w:pPr>
        <w:tabs>
          <w:tab w:val="left" w:pos="-420"/>
        </w:tabs>
        <w:ind w:left="2160" w:hanging="420"/>
      </w:pPr>
      <w:rPr>
        <w:rFonts w:cs="Times New Roman"/>
      </w:rPr>
    </w:lvl>
    <w:lvl w:ilvl="5" w:tentative="0">
      <w:start w:val="1"/>
      <w:numFmt w:val="lowerRoman"/>
      <w:lvlText w:val="%6."/>
      <w:lvlJc w:val="right"/>
      <w:pPr>
        <w:tabs>
          <w:tab w:val="left" w:pos="-420"/>
        </w:tabs>
        <w:ind w:left="2580" w:hanging="420"/>
      </w:pPr>
      <w:rPr>
        <w:rFonts w:cs="Times New Roman"/>
      </w:rPr>
    </w:lvl>
    <w:lvl w:ilvl="6" w:tentative="0">
      <w:start w:val="1"/>
      <w:numFmt w:val="decimal"/>
      <w:lvlText w:val="%7."/>
      <w:lvlJc w:val="left"/>
      <w:pPr>
        <w:tabs>
          <w:tab w:val="left" w:pos="-420"/>
        </w:tabs>
        <w:ind w:left="3000" w:hanging="420"/>
      </w:pPr>
      <w:rPr>
        <w:rFonts w:cs="Times New Roman"/>
      </w:rPr>
    </w:lvl>
    <w:lvl w:ilvl="7" w:tentative="0">
      <w:start w:val="1"/>
      <w:numFmt w:val="lowerLetter"/>
      <w:lvlText w:val="%8)"/>
      <w:lvlJc w:val="left"/>
      <w:pPr>
        <w:tabs>
          <w:tab w:val="left" w:pos="-420"/>
        </w:tabs>
        <w:ind w:left="3420" w:hanging="420"/>
      </w:pPr>
      <w:rPr>
        <w:rFonts w:cs="Times New Roman"/>
      </w:rPr>
    </w:lvl>
    <w:lvl w:ilvl="8" w:tentative="0">
      <w:start w:val="1"/>
      <w:numFmt w:val="lowerRoman"/>
      <w:lvlText w:val="%9."/>
      <w:lvlJc w:val="right"/>
      <w:pPr>
        <w:tabs>
          <w:tab w:val="left" w:pos="-420"/>
        </w:tabs>
        <w:ind w:left="3840" w:hanging="420"/>
      </w:pPr>
      <w:rPr>
        <w:rFonts w:cs="Times New Roman"/>
      </w:rPr>
    </w:lvl>
  </w:abstractNum>
  <w:abstractNum w:abstractNumId="5">
    <w:nsid w:val="5A2E797A"/>
    <w:multiLevelType w:val="singleLevel"/>
    <w:tmpl w:val="5A2E797A"/>
    <w:lvl w:ilvl="0" w:tentative="0">
      <w:start w:val="1"/>
      <w:numFmt w:val="decimal"/>
      <w:suff w:val="nothing"/>
      <w:lvlText w:val="%1．"/>
      <w:lvlJc w:val="left"/>
      <w:pPr>
        <w:ind w:left="0" w:firstLine="397"/>
      </w:pPr>
      <w:rPr>
        <w:rFonts w:hint="default"/>
      </w:rPr>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6"/>
  </w:num>
  <w:num w:numId="3">
    <w:abstractNumId w:val="1"/>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YTc2ZjJhNzVkNDI0MzkxMjBhMGJiZjE5MTY0YTU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51AA"/>
    <w:rsid w:val="010651D9"/>
    <w:rsid w:val="011F6449"/>
    <w:rsid w:val="01236AFB"/>
    <w:rsid w:val="012D6E26"/>
    <w:rsid w:val="01333763"/>
    <w:rsid w:val="01422733"/>
    <w:rsid w:val="019F7441"/>
    <w:rsid w:val="01B37585"/>
    <w:rsid w:val="01D55165"/>
    <w:rsid w:val="01DF6BF8"/>
    <w:rsid w:val="01E64C5E"/>
    <w:rsid w:val="01EC2C57"/>
    <w:rsid w:val="026B2E25"/>
    <w:rsid w:val="02824D4D"/>
    <w:rsid w:val="02DC4B10"/>
    <w:rsid w:val="02DD76CE"/>
    <w:rsid w:val="02F36323"/>
    <w:rsid w:val="02F5619C"/>
    <w:rsid w:val="02FF6DB6"/>
    <w:rsid w:val="0326446A"/>
    <w:rsid w:val="032D5555"/>
    <w:rsid w:val="035F38DC"/>
    <w:rsid w:val="036634D2"/>
    <w:rsid w:val="037B1947"/>
    <w:rsid w:val="03A023EE"/>
    <w:rsid w:val="03DD35E4"/>
    <w:rsid w:val="03E35864"/>
    <w:rsid w:val="04076900"/>
    <w:rsid w:val="041A5A3B"/>
    <w:rsid w:val="041B6B58"/>
    <w:rsid w:val="042311BA"/>
    <w:rsid w:val="042B157A"/>
    <w:rsid w:val="048F763B"/>
    <w:rsid w:val="04972F40"/>
    <w:rsid w:val="049F330E"/>
    <w:rsid w:val="04AA775C"/>
    <w:rsid w:val="04AF1889"/>
    <w:rsid w:val="04E62470"/>
    <w:rsid w:val="04F66F48"/>
    <w:rsid w:val="05151572"/>
    <w:rsid w:val="05251E14"/>
    <w:rsid w:val="055661F0"/>
    <w:rsid w:val="056F50EC"/>
    <w:rsid w:val="05A16594"/>
    <w:rsid w:val="05A7762D"/>
    <w:rsid w:val="05D00EC1"/>
    <w:rsid w:val="060E5941"/>
    <w:rsid w:val="06110FAF"/>
    <w:rsid w:val="063F4ED6"/>
    <w:rsid w:val="06493CA7"/>
    <w:rsid w:val="065A6178"/>
    <w:rsid w:val="066C6438"/>
    <w:rsid w:val="066F1CF3"/>
    <w:rsid w:val="0678654A"/>
    <w:rsid w:val="06930BB8"/>
    <w:rsid w:val="06B92EA7"/>
    <w:rsid w:val="07245D42"/>
    <w:rsid w:val="07264C62"/>
    <w:rsid w:val="07387188"/>
    <w:rsid w:val="0779354C"/>
    <w:rsid w:val="08061376"/>
    <w:rsid w:val="08163A15"/>
    <w:rsid w:val="08256594"/>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39F5"/>
    <w:rsid w:val="09B06B87"/>
    <w:rsid w:val="09C13146"/>
    <w:rsid w:val="09E04166"/>
    <w:rsid w:val="0A1C0718"/>
    <w:rsid w:val="0A2148F3"/>
    <w:rsid w:val="0A3E7710"/>
    <w:rsid w:val="0A5B7E63"/>
    <w:rsid w:val="0A9113F9"/>
    <w:rsid w:val="0AA374A5"/>
    <w:rsid w:val="0AAB7649"/>
    <w:rsid w:val="0ABC5606"/>
    <w:rsid w:val="0B30404E"/>
    <w:rsid w:val="0B427DD0"/>
    <w:rsid w:val="0B4C6C14"/>
    <w:rsid w:val="0B631A88"/>
    <w:rsid w:val="0B683D45"/>
    <w:rsid w:val="0B7F3F11"/>
    <w:rsid w:val="0B884417"/>
    <w:rsid w:val="0BA711D1"/>
    <w:rsid w:val="0BB5724C"/>
    <w:rsid w:val="0BF6188C"/>
    <w:rsid w:val="0BF73C91"/>
    <w:rsid w:val="0C170175"/>
    <w:rsid w:val="0C571A41"/>
    <w:rsid w:val="0C5C1171"/>
    <w:rsid w:val="0C5E1CBC"/>
    <w:rsid w:val="0C615B50"/>
    <w:rsid w:val="0C8445DA"/>
    <w:rsid w:val="0C87121B"/>
    <w:rsid w:val="0CC007F7"/>
    <w:rsid w:val="0CDB6599"/>
    <w:rsid w:val="0CFE707A"/>
    <w:rsid w:val="0D002EE5"/>
    <w:rsid w:val="0D063BDA"/>
    <w:rsid w:val="0D08375F"/>
    <w:rsid w:val="0D184CFB"/>
    <w:rsid w:val="0D2A18C4"/>
    <w:rsid w:val="0D4A7419"/>
    <w:rsid w:val="0D827401"/>
    <w:rsid w:val="0D84094E"/>
    <w:rsid w:val="0D8A00E9"/>
    <w:rsid w:val="0D8D589E"/>
    <w:rsid w:val="0DA01C73"/>
    <w:rsid w:val="0DD63300"/>
    <w:rsid w:val="0DF50604"/>
    <w:rsid w:val="0DF702FE"/>
    <w:rsid w:val="0E060E51"/>
    <w:rsid w:val="0E121122"/>
    <w:rsid w:val="0E3746E5"/>
    <w:rsid w:val="0E5604B2"/>
    <w:rsid w:val="0E6D5D79"/>
    <w:rsid w:val="0E840618"/>
    <w:rsid w:val="0E9D0089"/>
    <w:rsid w:val="0EAD0A9E"/>
    <w:rsid w:val="0EB803EE"/>
    <w:rsid w:val="0EF94D4B"/>
    <w:rsid w:val="0F3D1B34"/>
    <w:rsid w:val="0F466320"/>
    <w:rsid w:val="0F4958DC"/>
    <w:rsid w:val="0F515DF7"/>
    <w:rsid w:val="0F596BA8"/>
    <w:rsid w:val="0F6248D2"/>
    <w:rsid w:val="0F693536"/>
    <w:rsid w:val="0F7604B6"/>
    <w:rsid w:val="0F7B0511"/>
    <w:rsid w:val="0F7B76D9"/>
    <w:rsid w:val="0F816ACD"/>
    <w:rsid w:val="0F9832DB"/>
    <w:rsid w:val="0FBF3FD2"/>
    <w:rsid w:val="0FBF7FF3"/>
    <w:rsid w:val="0FF94348"/>
    <w:rsid w:val="0FFA3C1C"/>
    <w:rsid w:val="10646583"/>
    <w:rsid w:val="107D4B15"/>
    <w:rsid w:val="10891421"/>
    <w:rsid w:val="10895484"/>
    <w:rsid w:val="108A3C80"/>
    <w:rsid w:val="109B6DB4"/>
    <w:rsid w:val="10C26171"/>
    <w:rsid w:val="10F33360"/>
    <w:rsid w:val="10FC16EA"/>
    <w:rsid w:val="110F1D40"/>
    <w:rsid w:val="11266F33"/>
    <w:rsid w:val="114E57CE"/>
    <w:rsid w:val="116577BB"/>
    <w:rsid w:val="118963A1"/>
    <w:rsid w:val="11C6522A"/>
    <w:rsid w:val="11E104CC"/>
    <w:rsid w:val="11E20309"/>
    <w:rsid w:val="12255233"/>
    <w:rsid w:val="122E6B1A"/>
    <w:rsid w:val="12530213"/>
    <w:rsid w:val="127723A9"/>
    <w:rsid w:val="12816876"/>
    <w:rsid w:val="12862074"/>
    <w:rsid w:val="12883966"/>
    <w:rsid w:val="129E45B4"/>
    <w:rsid w:val="12A0243C"/>
    <w:rsid w:val="12B67D25"/>
    <w:rsid w:val="12D81596"/>
    <w:rsid w:val="13072A44"/>
    <w:rsid w:val="135F4BE2"/>
    <w:rsid w:val="13637D2A"/>
    <w:rsid w:val="139B1A0A"/>
    <w:rsid w:val="139D25C7"/>
    <w:rsid w:val="13BF3CE4"/>
    <w:rsid w:val="13E744B7"/>
    <w:rsid w:val="141008D8"/>
    <w:rsid w:val="14125FE6"/>
    <w:rsid w:val="1430624F"/>
    <w:rsid w:val="144162BD"/>
    <w:rsid w:val="146D271E"/>
    <w:rsid w:val="14982588"/>
    <w:rsid w:val="149A5AD9"/>
    <w:rsid w:val="14A524FA"/>
    <w:rsid w:val="14A7619D"/>
    <w:rsid w:val="150536C3"/>
    <w:rsid w:val="150C1963"/>
    <w:rsid w:val="151447A0"/>
    <w:rsid w:val="154A6454"/>
    <w:rsid w:val="15762120"/>
    <w:rsid w:val="166F1D9B"/>
    <w:rsid w:val="168648A4"/>
    <w:rsid w:val="16A8729C"/>
    <w:rsid w:val="16B33777"/>
    <w:rsid w:val="16BC70A7"/>
    <w:rsid w:val="16C6339E"/>
    <w:rsid w:val="16FB18C0"/>
    <w:rsid w:val="172F2D79"/>
    <w:rsid w:val="17557BEF"/>
    <w:rsid w:val="17B731CA"/>
    <w:rsid w:val="17D349C1"/>
    <w:rsid w:val="182A0606"/>
    <w:rsid w:val="1830729E"/>
    <w:rsid w:val="1870062C"/>
    <w:rsid w:val="18817102"/>
    <w:rsid w:val="18830A15"/>
    <w:rsid w:val="18852B28"/>
    <w:rsid w:val="188B5321"/>
    <w:rsid w:val="18AD7E33"/>
    <w:rsid w:val="19647613"/>
    <w:rsid w:val="19826FE8"/>
    <w:rsid w:val="19932372"/>
    <w:rsid w:val="19A20DD5"/>
    <w:rsid w:val="19A83F84"/>
    <w:rsid w:val="19AE03F1"/>
    <w:rsid w:val="19CA11F8"/>
    <w:rsid w:val="1A071A03"/>
    <w:rsid w:val="1A1F16AE"/>
    <w:rsid w:val="1A3B5C77"/>
    <w:rsid w:val="1A573EBA"/>
    <w:rsid w:val="1A984BAD"/>
    <w:rsid w:val="1AB8220E"/>
    <w:rsid w:val="1AE4166C"/>
    <w:rsid w:val="1AF06CFB"/>
    <w:rsid w:val="1AF11B8D"/>
    <w:rsid w:val="1B11359C"/>
    <w:rsid w:val="1B172E0B"/>
    <w:rsid w:val="1B2A271F"/>
    <w:rsid w:val="1B530544"/>
    <w:rsid w:val="1B713184"/>
    <w:rsid w:val="1B945CBD"/>
    <w:rsid w:val="1BA209CF"/>
    <w:rsid w:val="1BB4777D"/>
    <w:rsid w:val="1BD75AB8"/>
    <w:rsid w:val="1C0459C2"/>
    <w:rsid w:val="1C1B3B4A"/>
    <w:rsid w:val="1C7E2F01"/>
    <w:rsid w:val="1C88086E"/>
    <w:rsid w:val="1CCB7B60"/>
    <w:rsid w:val="1CDB6935"/>
    <w:rsid w:val="1D266CE1"/>
    <w:rsid w:val="1D3963AF"/>
    <w:rsid w:val="1D6A673C"/>
    <w:rsid w:val="1D9247AE"/>
    <w:rsid w:val="1DB567EC"/>
    <w:rsid w:val="1DB86E5B"/>
    <w:rsid w:val="1DF51A98"/>
    <w:rsid w:val="1E3D060F"/>
    <w:rsid w:val="1E3F7D2E"/>
    <w:rsid w:val="1E4134E4"/>
    <w:rsid w:val="1E5062B3"/>
    <w:rsid w:val="1E523514"/>
    <w:rsid w:val="1E714A66"/>
    <w:rsid w:val="1E802593"/>
    <w:rsid w:val="1EA703CC"/>
    <w:rsid w:val="1EAA273C"/>
    <w:rsid w:val="1EB7330C"/>
    <w:rsid w:val="1ED32208"/>
    <w:rsid w:val="1F0A0FF3"/>
    <w:rsid w:val="1F143A41"/>
    <w:rsid w:val="1F5771FF"/>
    <w:rsid w:val="1F6B67FE"/>
    <w:rsid w:val="1FE868A9"/>
    <w:rsid w:val="20034907"/>
    <w:rsid w:val="201723F5"/>
    <w:rsid w:val="20173E4B"/>
    <w:rsid w:val="204E48BC"/>
    <w:rsid w:val="20650A97"/>
    <w:rsid w:val="206C7450"/>
    <w:rsid w:val="20760ED1"/>
    <w:rsid w:val="208921B3"/>
    <w:rsid w:val="20973DEB"/>
    <w:rsid w:val="20A23587"/>
    <w:rsid w:val="20B26522"/>
    <w:rsid w:val="20B44310"/>
    <w:rsid w:val="20B464E8"/>
    <w:rsid w:val="211116EB"/>
    <w:rsid w:val="216133FC"/>
    <w:rsid w:val="21C460C4"/>
    <w:rsid w:val="21D56769"/>
    <w:rsid w:val="21E52EF3"/>
    <w:rsid w:val="21FB5D7B"/>
    <w:rsid w:val="220B1C3D"/>
    <w:rsid w:val="221D1D20"/>
    <w:rsid w:val="22334A87"/>
    <w:rsid w:val="22631AF5"/>
    <w:rsid w:val="22BE6801"/>
    <w:rsid w:val="22F57858"/>
    <w:rsid w:val="233500BF"/>
    <w:rsid w:val="23377FF7"/>
    <w:rsid w:val="236B425F"/>
    <w:rsid w:val="23836192"/>
    <w:rsid w:val="23901F29"/>
    <w:rsid w:val="239C0061"/>
    <w:rsid w:val="23B908A4"/>
    <w:rsid w:val="23E95BEF"/>
    <w:rsid w:val="23ED1676"/>
    <w:rsid w:val="23FD0064"/>
    <w:rsid w:val="244A77DB"/>
    <w:rsid w:val="245375B0"/>
    <w:rsid w:val="24642C0A"/>
    <w:rsid w:val="249D17F8"/>
    <w:rsid w:val="24A06A19"/>
    <w:rsid w:val="24B22173"/>
    <w:rsid w:val="24B95AD9"/>
    <w:rsid w:val="24BD24E0"/>
    <w:rsid w:val="24BE24DA"/>
    <w:rsid w:val="24C35462"/>
    <w:rsid w:val="24CF5825"/>
    <w:rsid w:val="24D663E6"/>
    <w:rsid w:val="24D77F2B"/>
    <w:rsid w:val="24E442F8"/>
    <w:rsid w:val="258B00E2"/>
    <w:rsid w:val="25930D22"/>
    <w:rsid w:val="25A917A6"/>
    <w:rsid w:val="25B15174"/>
    <w:rsid w:val="25B85E7F"/>
    <w:rsid w:val="25BE27CC"/>
    <w:rsid w:val="25F74A5C"/>
    <w:rsid w:val="2628662C"/>
    <w:rsid w:val="262D45DE"/>
    <w:rsid w:val="265E2CFF"/>
    <w:rsid w:val="26697A1A"/>
    <w:rsid w:val="26A53EF9"/>
    <w:rsid w:val="26A94201"/>
    <w:rsid w:val="26AC274F"/>
    <w:rsid w:val="26E958F9"/>
    <w:rsid w:val="27044A29"/>
    <w:rsid w:val="271D34C8"/>
    <w:rsid w:val="276142BF"/>
    <w:rsid w:val="27783712"/>
    <w:rsid w:val="27907362"/>
    <w:rsid w:val="27B64475"/>
    <w:rsid w:val="28333E1D"/>
    <w:rsid w:val="28454BD6"/>
    <w:rsid w:val="28455253"/>
    <w:rsid w:val="28551971"/>
    <w:rsid w:val="285B1C53"/>
    <w:rsid w:val="28855745"/>
    <w:rsid w:val="289F7086"/>
    <w:rsid w:val="28AB7D51"/>
    <w:rsid w:val="28C32028"/>
    <w:rsid w:val="28CC490F"/>
    <w:rsid w:val="28DE40AA"/>
    <w:rsid w:val="29345E77"/>
    <w:rsid w:val="29367434"/>
    <w:rsid w:val="294C65AD"/>
    <w:rsid w:val="29515D72"/>
    <w:rsid w:val="29806583"/>
    <w:rsid w:val="298B3C4C"/>
    <w:rsid w:val="29F26D24"/>
    <w:rsid w:val="2A15033F"/>
    <w:rsid w:val="2A163225"/>
    <w:rsid w:val="2A1662C1"/>
    <w:rsid w:val="2A1C7367"/>
    <w:rsid w:val="2A2815FA"/>
    <w:rsid w:val="2A6D6092"/>
    <w:rsid w:val="2A7D76B4"/>
    <w:rsid w:val="2A8533F5"/>
    <w:rsid w:val="2AD85F31"/>
    <w:rsid w:val="2B437463"/>
    <w:rsid w:val="2B7807EE"/>
    <w:rsid w:val="2BBF00EC"/>
    <w:rsid w:val="2BC37CFD"/>
    <w:rsid w:val="2BD5237F"/>
    <w:rsid w:val="2BE536CE"/>
    <w:rsid w:val="2BE758D9"/>
    <w:rsid w:val="2C09049E"/>
    <w:rsid w:val="2C0A653C"/>
    <w:rsid w:val="2C191F85"/>
    <w:rsid w:val="2C9162DB"/>
    <w:rsid w:val="2CE82D6F"/>
    <w:rsid w:val="2CE84D88"/>
    <w:rsid w:val="2D343236"/>
    <w:rsid w:val="2D9F2F63"/>
    <w:rsid w:val="2DAA05D8"/>
    <w:rsid w:val="2DAE61D7"/>
    <w:rsid w:val="2DD15014"/>
    <w:rsid w:val="2DF72DE4"/>
    <w:rsid w:val="2E0220AF"/>
    <w:rsid w:val="2E4B082A"/>
    <w:rsid w:val="2E5D4E86"/>
    <w:rsid w:val="2E5D790B"/>
    <w:rsid w:val="2E7F2E89"/>
    <w:rsid w:val="2E9A3C18"/>
    <w:rsid w:val="2EBB0FEE"/>
    <w:rsid w:val="2EC63002"/>
    <w:rsid w:val="2ED677AB"/>
    <w:rsid w:val="2F0A6B38"/>
    <w:rsid w:val="2F946CCB"/>
    <w:rsid w:val="2FA17659"/>
    <w:rsid w:val="2FD25781"/>
    <w:rsid w:val="2FFD7934"/>
    <w:rsid w:val="30733ACD"/>
    <w:rsid w:val="308610F1"/>
    <w:rsid w:val="308C3862"/>
    <w:rsid w:val="309379D8"/>
    <w:rsid w:val="30A270F7"/>
    <w:rsid w:val="30BB21D9"/>
    <w:rsid w:val="30D63479"/>
    <w:rsid w:val="30DF1478"/>
    <w:rsid w:val="30EA2B2E"/>
    <w:rsid w:val="30EC586F"/>
    <w:rsid w:val="319C6071"/>
    <w:rsid w:val="31AC537E"/>
    <w:rsid w:val="31E3679B"/>
    <w:rsid w:val="31E732FD"/>
    <w:rsid w:val="32133C6C"/>
    <w:rsid w:val="32517576"/>
    <w:rsid w:val="327D6706"/>
    <w:rsid w:val="32BE5C2C"/>
    <w:rsid w:val="32FB6478"/>
    <w:rsid w:val="33263B3F"/>
    <w:rsid w:val="33403BE0"/>
    <w:rsid w:val="336963EB"/>
    <w:rsid w:val="33816EEB"/>
    <w:rsid w:val="33B45083"/>
    <w:rsid w:val="33DB51BC"/>
    <w:rsid w:val="33EB55CD"/>
    <w:rsid w:val="33EC4C02"/>
    <w:rsid w:val="340D2360"/>
    <w:rsid w:val="3410665D"/>
    <w:rsid w:val="34211214"/>
    <w:rsid w:val="342E63AB"/>
    <w:rsid w:val="346C7513"/>
    <w:rsid w:val="347F5DA6"/>
    <w:rsid w:val="34950E68"/>
    <w:rsid w:val="34986E94"/>
    <w:rsid w:val="34AF62C9"/>
    <w:rsid w:val="34B05393"/>
    <w:rsid w:val="34CB4388"/>
    <w:rsid w:val="34E6283D"/>
    <w:rsid w:val="34FA6E12"/>
    <w:rsid w:val="358D5588"/>
    <w:rsid w:val="35C366DA"/>
    <w:rsid w:val="361422D8"/>
    <w:rsid w:val="36142918"/>
    <w:rsid w:val="36264F33"/>
    <w:rsid w:val="363A3B40"/>
    <w:rsid w:val="365302AE"/>
    <w:rsid w:val="36607A0A"/>
    <w:rsid w:val="366E227C"/>
    <w:rsid w:val="366F2E0D"/>
    <w:rsid w:val="367B6A5C"/>
    <w:rsid w:val="36A74ADA"/>
    <w:rsid w:val="36AD60D5"/>
    <w:rsid w:val="36B224F9"/>
    <w:rsid w:val="36EC0CC9"/>
    <w:rsid w:val="36FA437E"/>
    <w:rsid w:val="373F410B"/>
    <w:rsid w:val="37427AD3"/>
    <w:rsid w:val="37D024DA"/>
    <w:rsid w:val="37EE7094"/>
    <w:rsid w:val="38296C89"/>
    <w:rsid w:val="383002EB"/>
    <w:rsid w:val="38586797"/>
    <w:rsid w:val="38716EBB"/>
    <w:rsid w:val="38BC0149"/>
    <w:rsid w:val="38D87D1C"/>
    <w:rsid w:val="39636459"/>
    <w:rsid w:val="396B7F6C"/>
    <w:rsid w:val="39B3351C"/>
    <w:rsid w:val="39B417A9"/>
    <w:rsid w:val="39FC5695"/>
    <w:rsid w:val="3A006D8E"/>
    <w:rsid w:val="3A3651E5"/>
    <w:rsid w:val="3A590AF9"/>
    <w:rsid w:val="3A744481"/>
    <w:rsid w:val="3A8C7BEF"/>
    <w:rsid w:val="3A906246"/>
    <w:rsid w:val="3AC2432D"/>
    <w:rsid w:val="3B2349B7"/>
    <w:rsid w:val="3B616CFF"/>
    <w:rsid w:val="3B6259F6"/>
    <w:rsid w:val="3B976654"/>
    <w:rsid w:val="3BC01EFC"/>
    <w:rsid w:val="3BCA786A"/>
    <w:rsid w:val="3BD31E2F"/>
    <w:rsid w:val="3BF15831"/>
    <w:rsid w:val="3C105946"/>
    <w:rsid w:val="3C471448"/>
    <w:rsid w:val="3C5E715D"/>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3D2DA2"/>
    <w:rsid w:val="3E42664B"/>
    <w:rsid w:val="3E4B3711"/>
    <w:rsid w:val="3E5A7334"/>
    <w:rsid w:val="3E7B5D6B"/>
    <w:rsid w:val="3E843E66"/>
    <w:rsid w:val="3E8F51FE"/>
    <w:rsid w:val="3E926F87"/>
    <w:rsid w:val="3E9A59DE"/>
    <w:rsid w:val="3EAF4836"/>
    <w:rsid w:val="3EC33DFA"/>
    <w:rsid w:val="3EE82E22"/>
    <w:rsid w:val="3F060E16"/>
    <w:rsid w:val="3F1D1096"/>
    <w:rsid w:val="3F2F0234"/>
    <w:rsid w:val="3F6363FE"/>
    <w:rsid w:val="3F756B8F"/>
    <w:rsid w:val="3F8A2017"/>
    <w:rsid w:val="3F95482B"/>
    <w:rsid w:val="40066427"/>
    <w:rsid w:val="4019356B"/>
    <w:rsid w:val="40204050"/>
    <w:rsid w:val="40592157"/>
    <w:rsid w:val="406E1CAE"/>
    <w:rsid w:val="40792BC6"/>
    <w:rsid w:val="40A0133A"/>
    <w:rsid w:val="40C31A53"/>
    <w:rsid w:val="40FB058A"/>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8595F"/>
    <w:rsid w:val="449101DD"/>
    <w:rsid w:val="44DE1391"/>
    <w:rsid w:val="451B225C"/>
    <w:rsid w:val="452410C9"/>
    <w:rsid w:val="45317DFB"/>
    <w:rsid w:val="45613CC5"/>
    <w:rsid w:val="456D3CE4"/>
    <w:rsid w:val="45701158"/>
    <w:rsid w:val="4579042C"/>
    <w:rsid w:val="457F0571"/>
    <w:rsid w:val="45851176"/>
    <w:rsid w:val="45C63B94"/>
    <w:rsid w:val="460E7DA5"/>
    <w:rsid w:val="46422483"/>
    <w:rsid w:val="4659254A"/>
    <w:rsid w:val="465B0637"/>
    <w:rsid w:val="465E3F0D"/>
    <w:rsid w:val="466A16E6"/>
    <w:rsid w:val="46893F2B"/>
    <w:rsid w:val="46A54D20"/>
    <w:rsid w:val="46C4686E"/>
    <w:rsid w:val="46EF28D0"/>
    <w:rsid w:val="46F233F2"/>
    <w:rsid w:val="47040901"/>
    <w:rsid w:val="477B778F"/>
    <w:rsid w:val="478203EC"/>
    <w:rsid w:val="47B025FA"/>
    <w:rsid w:val="47F410CB"/>
    <w:rsid w:val="4809698F"/>
    <w:rsid w:val="4811697D"/>
    <w:rsid w:val="487A3E25"/>
    <w:rsid w:val="487F0B87"/>
    <w:rsid w:val="488B5503"/>
    <w:rsid w:val="48937E21"/>
    <w:rsid w:val="489A0361"/>
    <w:rsid w:val="48B94FF3"/>
    <w:rsid w:val="48BC6561"/>
    <w:rsid w:val="48E37AAB"/>
    <w:rsid w:val="48FD4B4C"/>
    <w:rsid w:val="490A68E0"/>
    <w:rsid w:val="491055FE"/>
    <w:rsid w:val="495F5B3E"/>
    <w:rsid w:val="496F77D7"/>
    <w:rsid w:val="497654FD"/>
    <w:rsid w:val="49B64211"/>
    <w:rsid w:val="49E51012"/>
    <w:rsid w:val="49F6167F"/>
    <w:rsid w:val="4A064FA0"/>
    <w:rsid w:val="4A16615C"/>
    <w:rsid w:val="4A174DEF"/>
    <w:rsid w:val="4A4424D7"/>
    <w:rsid w:val="4AA46948"/>
    <w:rsid w:val="4AB82D0F"/>
    <w:rsid w:val="4AEB7664"/>
    <w:rsid w:val="4AFD7C19"/>
    <w:rsid w:val="4B0567D1"/>
    <w:rsid w:val="4B1B446B"/>
    <w:rsid w:val="4B236AAE"/>
    <w:rsid w:val="4B55797D"/>
    <w:rsid w:val="4B583AFA"/>
    <w:rsid w:val="4B707271"/>
    <w:rsid w:val="4B9739F7"/>
    <w:rsid w:val="4BCD39B7"/>
    <w:rsid w:val="4BEE2503"/>
    <w:rsid w:val="4C245A30"/>
    <w:rsid w:val="4CB6685F"/>
    <w:rsid w:val="4CC367FE"/>
    <w:rsid w:val="4CEE6EA6"/>
    <w:rsid w:val="4D077F3C"/>
    <w:rsid w:val="4D123355"/>
    <w:rsid w:val="4D2A3B31"/>
    <w:rsid w:val="4D312C52"/>
    <w:rsid w:val="4D905305"/>
    <w:rsid w:val="4D964A72"/>
    <w:rsid w:val="4D9C1254"/>
    <w:rsid w:val="4DFF0631"/>
    <w:rsid w:val="4E6E01B8"/>
    <w:rsid w:val="4E6E699C"/>
    <w:rsid w:val="4E793892"/>
    <w:rsid w:val="4E800872"/>
    <w:rsid w:val="4E854372"/>
    <w:rsid w:val="4EC569ED"/>
    <w:rsid w:val="4ED50EA1"/>
    <w:rsid w:val="4EDF237F"/>
    <w:rsid w:val="4EEC050C"/>
    <w:rsid w:val="4EFE0A68"/>
    <w:rsid w:val="4F104EC3"/>
    <w:rsid w:val="4F47354A"/>
    <w:rsid w:val="4F911C54"/>
    <w:rsid w:val="4FE625E0"/>
    <w:rsid w:val="4FF95729"/>
    <w:rsid w:val="5021480F"/>
    <w:rsid w:val="50770C26"/>
    <w:rsid w:val="50962ECB"/>
    <w:rsid w:val="50A42E38"/>
    <w:rsid w:val="50A4577F"/>
    <w:rsid w:val="50A94468"/>
    <w:rsid w:val="50B53F7C"/>
    <w:rsid w:val="50B73D1F"/>
    <w:rsid w:val="50BD5BC9"/>
    <w:rsid w:val="50C11EEE"/>
    <w:rsid w:val="50E97CFC"/>
    <w:rsid w:val="50FA4028"/>
    <w:rsid w:val="510D65B7"/>
    <w:rsid w:val="511157AB"/>
    <w:rsid w:val="5142540C"/>
    <w:rsid w:val="517F7502"/>
    <w:rsid w:val="518832C8"/>
    <w:rsid w:val="51A0432A"/>
    <w:rsid w:val="51A74E09"/>
    <w:rsid w:val="51A86090"/>
    <w:rsid w:val="51B7396D"/>
    <w:rsid w:val="522E4CC3"/>
    <w:rsid w:val="5244713B"/>
    <w:rsid w:val="52615633"/>
    <w:rsid w:val="52977FD4"/>
    <w:rsid w:val="52A25790"/>
    <w:rsid w:val="52A96B6F"/>
    <w:rsid w:val="52B45975"/>
    <w:rsid w:val="52CC00E3"/>
    <w:rsid w:val="52D94AA4"/>
    <w:rsid w:val="52EA3A62"/>
    <w:rsid w:val="52F50BB8"/>
    <w:rsid w:val="52FF2882"/>
    <w:rsid w:val="53097272"/>
    <w:rsid w:val="53305ED1"/>
    <w:rsid w:val="53544462"/>
    <w:rsid w:val="5397158E"/>
    <w:rsid w:val="53BD2C37"/>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35A7F"/>
    <w:rsid w:val="566B6D1E"/>
    <w:rsid w:val="56AB0D99"/>
    <w:rsid w:val="56B16294"/>
    <w:rsid w:val="56D82649"/>
    <w:rsid w:val="57032A2C"/>
    <w:rsid w:val="570453D1"/>
    <w:rsid w:val="570F5219"/>
    <w:rsid w:val="575D12B5"/>
    <w:rsid w:val="57610A87"/>
    <w:rsid w:val="577B1140"/>
    <w:rsid w:val="577B7F21"/>
    <w:rsid w:val="577F181B"/>
    <w:rsid w:val="57921984"/>
    <w:rsid w:val="57947A4C"/>
    <w:rsid w:val="579737F0"/>
    <w:rsid w:val="579E4B36"/>
    <w:rsid w:val="57AB7B30"/>
    <w:rsid w:val="57AF5251"/>
    <w:rsid w:val="57B26373"/>
    <w:rsid w:val="57B63F04"/>
    <w:rsid w:val="57CD20C2"/>
    <w:rsid w:val="57D675AB"/>
    <w:rsid w:val="57D95FDD"/>
    <w:rsid w:val="58114B32"/>
    <w:rsid w:val="583C5EC1"/>
    <w:rsid w:val="58917D2F"/>
    <w:rsid w:val="5894085C"/>
    <w:rsid w:val="58AE4F0C"/>
    <w:rsid w:val="58B85899"/>
    <w:rsid w:val="58BD6D69"/>
    <w:rsid w:val="58E363A9"/>
    <w:rsid w:val="58E81A2F"/>
    <w:rsid w:val="594F4C89"/>
    <w:rsid w:val="595E1678"/>
    <w:rsid w:val="596D5BD4"/>
    <w:rsid w:val="597E3DD8"/>
    <w:rsid w:val="59F80043"/>
    <w:rsid w:val="59FD7B5D"/>
    <w:rsid w:val="5A006B1D"/>
    <w:rsid w:val="5A09252F"/>
    <w:rsid w:val="5A0B2778"/>
    <w:rsid w:val="5A117165"/>
    <w:rsid w:val="5A2A7C7B"/>
    <w:rsid w:val="5A3E2560"/>
    <w:rsid w:val="5A5D3B6E"/>
    <w:rsid w:val="5A637A76"/>
    <w:rsid w:val="5A6D33BA"/>
    <w:rsid w:val="5A792B1F"/>
    <w:rsid w:val="5A874767"/>
    <w:rsid w:val="5AAD6F28"/>
    <w:rsid w:val="5AD63A24"/>
    <w:rsid w:val="5AF52A20"/>
    <w:rsid w:val="5B2C04C0"/>
    <w:rsid w:val="5B2E1A1D"/>
    <w:rsid w:val="5B843A1C"/>
    <w:rsid w:val="5B873E3F"/>
    <w:rsid w:val="5BBC7BDE"/>
    <w:rsid w:val="5BE66507"/>
    <w:rsid w:val="5C02690E"/>
    <w:rsid w:val="5C196DA7"/>
    <w:rsid w:val="5C1F4650"/>
    <w:rsid w:val="5C2A048C"/>
    <w:rsid w:val="5C80234E"/>
    <w:rsid w:val="5C8A680C"/>
    <w:rsid w:val="5C8C37FF"/>
    <w:rsid w:val="5CA94C3C"/>
    <w:rsid w:val="5CCD4019"/>
    <w:rsid w:val="5D0C4701"/>
    <w:rsid w:val="5D0F0395"/>
    <w:rsid w:val="5D221076"/>
    <w:rsid w:val="5D2D0F82"/>
    <w:rsid w:val="5D397964"/>
    <w:rsid w:val="5D4D2245"/>
    <w:rsid w:val="5D5A391C"/>
    <w:rsid w:val="5D5E6285"/>
    <w:rsid w:val="5D5F10C0"/>
    <w:rsid w:val="5D7760DC"/>
    <w:rsid w:val="5D891B7B"/>
    <w:rsid w:val="5DAD38EE"/>
    <w:rsid w:val="5DD506D8"/>
    <w:rsid w:val="5E006862"/>
    <w:rsid w:val="5E0207B9"/>
    <w:rsid w:val="5E1834A1"/>
    <w:rsid w:val="5E261785"/>
    <w:rsid w:val="5E4A7017"/>
    <w:rsid w:val="5E552BBA"/>
    <w:rsid w:val="5E611C10"/>
    <w:rsid w:val="5EAE4B05"/>
    <w:rsid w:val="5EDF7B9B"/>
    <w:rsid w:val="5EFC7377"/>
    <w:rsid w:val="5F06174D"/>
    <w:rsid w:val="5F261904"/>
    <w:rsid w:val="5F370C6B"/>
    <w:rsid w:val="5F3A3602"/>
    <w:rsid w:val="5F6277C6"/>
    <w:rsid w:val="5F6D0B1D"/>
    <w:rsid w:val="5F797C86"/>
    <w:rsid w:val="5F8D0B82"/>
    <w:rsid w:val="5FCC5339"/>
    <w:rsid w:val="5FE34A5B"/>
    <w:rsid w:val="5FFE1E36"/>
    <w:rsid w:val="60232584"/>
    <w:rsid w:val="60487659"/>
    <w:rsid w:val="607330CE"/>
    <w:rsid w:val="607641C6"/>
    <w:rsid w:val="60825176"/>
    <w:rsid w:val="609F2AC4"/>
    <w:rsid w:val="60E5329F"/>
    <w:rsid w:val="60FA2EE8"/>
    <w:rsid w:val="61047514"/>
    <w:rsid w:val="61054A27"/>
    <w:rsid w:val="610A52BC"/>
    <w:rsid w:val="611D2366"/>
    <w:rsid w:val="61421856"/>
    <w:rsid w:val="615227C4"/>
    <w:rsid w:val="61654E3F"/>
    <w:rsid w:val="6182292A"/>
    <w:rsid w:val="619F7F92"/>
    <w:rsid w:val="61F94C26"/>
    <w:rsid w:val="61FB11EC"/>
    <w:rsid w:val="62000E56"/>
    <w:rsid w:val="624F3E49"/>
    <w:rsid w:val="62576091"/>
    <w:rsid w:val="62632286"/>
    <w:rsid w:val="62885958"/>
    <w:rsid w:val="628C6355"/>
    <w:rsid w:val="62F40B65"/>
    <w:rsid w:val="62FC2CFE"/>
    <w:rsid w:val="63024505"/>
    <w:rsid w:val="63597335"/>
    <w:rsid w:val="635B1DB5"/>
    <w:rsid w:val="63711FED"/>
    <w:rsid w:val="63880DDC"/>
    <w:rsid w:val="638D750D"/>
    <w:rsid w:val="63AC6CC0"/>
    <w:rsid w:val="64055776"/>
    <w:rsid w:val="64240056"/>
    <w:rsid w:val="643E143A"/>
    <w:rsid w:val="64406FC4"/>
    <w:rsid w:val="64740A1C"/>
    <w:rsid w:val="648B6EEF"/>
    <w:rsid w:val="64C158BF"/>
    <w:rsid w:val="64CE2EAA"/>
    <w:rsid w:val="650D61D6"/>
    <w:rsid w:val="653C3090"/>
    <w:rsid w:val="65854376"/>
    <w:rsid w:val="658767BE"/>
    <w:rsid w:val="65892531"/>
    <w:rsid w:val="661204ED"/>
    <w:rsid w:val="66195831"/>
    <w:rsid w:val="662E75B1"/>
    <w:rsid w:val="66342C2E"/>
    <w:rsid w:val="663E784C"/>
    <w:rsid w:val="668B6A45"/>
    <w:rsid w:val="670C6EB5"/>
    <w:rsid w:val="672F3F24"/>
    <w:rsid w:val="673E055F"/>
    <w:rsid w:val="67551CE3"/>
    <w:rsid w:val="67A22552"/>
    <w:rsid w:val="67B22DCC"/>
    <w:rsid w:val="67BE71AA"/>
    <w:rsid w:val="67D90273"/>
    <w:rsid w:val="67DE5875"/>
    <w:rsid w:val="67E55852"/>
    <w:rsid w:val="67EB1AB4"/>
    <w:rsid w:val="67FA1285"/>
    <w:rsid w:val="68551F4F"/>
    <w:rsid w:val="685E19CC"/>
    <w:rsid w:val="687C10C9"/>
    <w:rsid w:val="687D6A00"/>
    <w:rsid w:val="68840C16"/>
    <w:rsid w:val="68876EFB"/>
    <w:rsid w:val="68884654"/>
    <w:rsid w:val="689F444F"/>
    <w:rsid w:val="68B96DBB"/>
    <w:rsid w:val="68CA2805"/>
    <w:rsid w:val="68E937A3"/>
    <w:rsid w:val="693E15D3"/>
    <w:rsid w:val="69627681"/>
    <w:rsid w:val="6977531D"/>
    <w:rsid w:val="69833A63"/>
    <w:rsid w:val="69C76B2A"/>
    <w:rsid w:val="69CC2BFF"/>
    <w:rsid w:val="69FD55B8"/>
    <w:rsid w:val="6A0B1C62"/>
    <w:rsid w:val="6A2406C8"/>
    <w:rsid w:val="6ACF6749"/>
    <w:rsid w:val="6AD9782B"/>
    <w:rsid w:val="6ADE0BD1"/>
    <w:rsid w:val="6AE96859"/>
    <w:rsid w:val="6B023888"/>
    <w:rsid w:val="6B147746"/>
    <w:rsid w:val="6B24787C"/>
    <w:rsid w:val="6B573233"/>
    <w:rsid w:val="6B5B6274"/>
    <w:rsid w:val="6B612554"/>
    <w:rsid w:val="6B817F14"/>
    <w:rsid w:val="6B935D53"/>
    <w:rsid w:val="6C196F71"/>
    <w:rsid w:val="6C226FCB"/>
    <w:rsid w:val="6C2918DA"/>
    <w:rsid w:val="6C31226F"/>
    <w:rsid w:val="6C552F0B"/>
    <w:rsid w:val="6C5D26DE"/>
    <w:rsid w:val="6C8C67B7"/>
    <w:rsid w:val="6C9D744C"/>
    <w:rsid w:val="6CA971D1"/>
    <w:rsid w:val="6CF110B0"/>
    <w:rsid w:val="6D167928"/>
    <w:rsid w:val="6D26299B"/>
    <w:rsid w:val="6D343675"/>
    <w:rsid w:val="6D4772EC"/>
    <w:rsid w:val="6D694332"/>
    <w:rsid w:val="6D741A8D"/>
    <w:rsid w:val="6D9078AF"/>
    <w:rsid w:val="6DAA3FEF"/>
    <w:rsid w:val="6DC0172B"/>
    <w:rsid w:val="6DCB690C"/>
    <w:rsid w:val="6DD41A5B"/>
    <w:rsid w:val="6DE3508D"/>
    <w:rsid w:val="6DF43C2E"/>
    <w:rsid w:val="6DF51CA3"/>
    <w:rsid w:val="6E8335BD"/>
    <w:rsid w:val="6E8E12EF"/>
    <w:rsid w:val="6E967FF1"/>
    <w:rsid w:val="6E972936"/>
    <w:rsid w:val="6ECC1868"/>
    <w:rsid w:val="6ED446C5"/>
    <w:rsid w:val="6F2A7D94"/>
    <w:rsid w:val="6F8331F1"/>
    <w:rsid w:val="6FAE1A09"/>
    <w:rsid w:val="6FD75BF8"/>
    <w:rsid w:val="70560C81"/>
    <w:rsid w:val="707723D0"/>
    <w:rsid w:val="70840239"/>
    <w:rsid w:val="70A66401"/>
    <w:rsid w:val="70F5661B"/>
    <w:rsid w:val="71360107"/>
    <w:rsid w:val="71396035"/>
    <w:rsid w:val="713B688E"/>
    <w:rsid w:val="71D43752"/>
    <w:rsid w:val="71F1796A"/>
    <w:rsid w:val="72154626"/>
    <w:rsid w:val="72262B5D"/>
    <w:rsid w:val="72283FF7"/>
    <w:rsid w:val="722E7212"/>
    <w:rsid w:val="723A0474"/>
    <w:rsid w:val="725923E4"/>
    <w:rsid w:val="72864BF7"/>
    <w:rsid w:val="729023FC"/>
    <w:rsid w:val="72C94629"/>
    <w:rsid w:val="72E820EE"/>
    <w:rsid w:val="73012015"/>
    <w:rsid w:val="738175AE"/>
    <w:rsid w:val="739D493C"/>
    <w:rsid w:val="73C0646E"/>
    <w:rsid w:val="73DD21BF"/>
    <w:rsid w:val="73EB2C88"/>
    <w:rsid w:val="7414117C"/>
    <w:rsid w:val="742222F5"/>
    <w:rsid w:val="74476126"/>
    <w:rsid w:val="74706664"/>
    <w:rsid w:val="747F3682"/>
    <w:rsid w:val="749C4185"/>
    <w:rsid w:val="74AA613A"/>
    <w:rsid w:val="7500081F"/>
    <w:rsid w:val="75067759"/>
    <w:rsid w:val="752E6DCD"/>
    <w:rsid w:val="7551380D"/>
    <w:rsid w:val="75600BE5"/>
    <w:rsid w:val="7564475C"/>
    <w:rsid w:val="7583797F"/>
    <w:rsid w:val="75D20F1D"/>
    <w:rsid w:val="75DA2C18"/>
    <w:rsid w:val="75F54412"/>
    <w:rsid w:val="761D08E0"/>
    <w:rsid w:val="765D347C"/>
    <w:rsid w:val="767D696B"/>
    <w:rsid w:val="76826699"/>
    <w:rsid w:val="76C87133"/>
    <w:rsid w:val="76CD08D5"/>
    <w:rsid w:val="76DB4B92"/>
    <w:rsid w:val="77052AA4"/>
    <w:rsid w:val="77136511"/>
    <w:rsid w:val="77340A39"/>
    <w:rsid w:val="77351FD0"/>
    <w:rsid w:val="77472422"/>
    <w:rsid w:val="7762504C"/>
    <w:rsid w:val="777F31F2"/>
    <w:rsid w:val="77BD0700"/>
    <w:rsid w:val="77D1700D"/>
    <w:rsid w:val="77EC04CC"/>
    <w:rsid w:val="7838116A"/>
    <w:rsid w:val="78775729"/>
    <w:rsid w:val="78A42DB0"/>
    <w:rsid w:val="78A656AB"/>
    <w:rsid w:val="78B2245C"/>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4E1DD4"/>
    <w:rsid w:val="7A534B63"/>
    <w:rsid w:val="7A615382"/>
    <w:rsid w:val="7A67303B"/>
    <w:rsid w:val="7AAB1D04"/>
    <w:rsid w:val="7ABA4368"/>
    <w:rsid w:val="7ACB59A3"/>
    <w:rsid w:val="7AD05746"/>
    <w:rsid w:val="7B1448AF"/>
    <w:rsid w:val="7B257FFD"/>
    <w:rsid w:val="7B343476"/>
    <w:rsid w:val="7B5A2978"/>
    <w:rsid w:val="7B5A7E4C"/>
    <w:rsid w:val="7B667AF9"/>
    <w:rsid w:val="7B7468F8"/>
    <w:rsid w:val="7BEE0103"/>
    <w:rsid w:val="7C0A0FE4"/>
    <w:rsid w:val="7C254906"/>
    <w:rsid w:val="7C421432"/>
    <w:rsid w:val="7C590818"/>
    <w:rsid w:val="7C6158D2"/>
    <w:rsid w:val="7C7C10F6"/>
    <w:rsid w:val="7C853BEA"/>
    <w:rsid w:val="7C881368"/>
    <w:rsid w:val="7C9E6B26"/>
    <w:rsid w:val="7CE27788"/>
    <w:rsid w:val="7CFB5D27"/>
    <w:rsid w:val="7D0C32F1"/>
    <w:rsid w:val="7D0F408D"/>
    <w:rsid w:val="7D2A03BA"/>
    <w:rsid w:val="7D2C12F8"/>
    <w:rsid w:val="7D491C6C"/>
    <w:rsid w:val="7D5429C0"/>
    <w:rsid w:val="7D6E6D43"/>
    <w:rsid w:val="7DB52379"/>
    <w:rsid w:val="7DB57A34"/>
    <w:rsid w:val="7DE60973"/>
    <w:rsid w:val="7DEF0916"/>
    <w:rsid w:val="7E15779B"/>
    <w:rsid w:val="7E1E5218"/>
    <w:rsid w:val="7E9315E8"/>
    <w:rsid w:val="7E9A4E1F"/>
    <w:rsid w:val="7EA7723A"/>
    <w:rsid w:val="7EF56FBB"/>
    <w:rsid w:val="7F0768EB"/>
    <w:rsid w:val="7F143BEC"/>
    <w:rsid w:val="7F560792"/>
    <w:rsid w:val="7F6531DB"/>
    <w:rsid w:val="7F715AF2"/>
    <w:rsid w:val="7F886E69"/>
    <w:rsid w:val="7F8D5243"/>
    <w:rsid w:val="7FB40B24"/>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7"/>
    <w:qFormat/>
    <w:uiPriority w:val="99"/>
    <w:pPr>
      <w:keepNext/>
      <w:keepLines/>
      <w:tabs>
        <w:tab w:val="left" w:pos="432"/>
      </w:tabs>
      <w:spacing w:before="340" w:after="330" w:line="578" w:lineRule="auto"/>
      <w:ind w:left="432" w:hanging="432"/>
      <w:outlineLvl w:val="0"/>
    </w:pPr>
    <w:rPr>
      <w:b/>
      <w:kern w:val="44"/>
      <w:sz w:val="44"/>
      <w:szCs w:val="20"/>
    </w:rPr>
  </w:style>
  <w:style w:type="paragraph" w:styleId="2">
    <w:name w:val="heading 2"/>
    <w:basedOn w:val="1"/>
    <w:next w:val="1"/>
    <w:link w:val="88"/>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9"/>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0"/>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1"/>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2"/>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6"/>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4"/>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5"/>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qFormat/>
    <w:uiPriority w:val="99"/>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221"/>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5"/>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230"/>
    <w:qFormat/>
    <w:uiPriority w:val="99"/>
    <w:pPr>
      <w:shd w:val="clear" w:color="auto" w:fill="000080"/>
    </w:pPr>
    <w:rPr>
      <w:sz w:val="24"/>
      <w:szCs w:val="20"/>
    </w:rPr>
  </w:style>
  <w:style w:type="paragraph" w:styleId="19">
    <w:name w:val="annotation text"/>
    <w:basedOn w:val="1"/>
    <w:link w:val="358"/>
    <w:qFormat/>
    <w:uiPriority w:val="99"/>
    <w:pPr>
      <w:jc w:val="left"/>
    </w:pPr>
    <w:rPr>
      <w:sz w:val="24"/>
      <w:szCs w:val="20"/>
    </w:rPr>
  </w:style>
  <w:style w:type="paragraph" w:styleId="20">
    <w:name w:val="Salutation"/>
    <w:basedOn w:val="1"/>
    <w:next w:val="1"/>
    <w:link w:val="100"/>
    <w:qFormat/>
    <w:uiPriority w:val="99"/>
    <w:rPr>
      <w:rFonts w:ascii="仿宋_GB2312" w:eastAsia="仿宋_GB2312"/>
      <w:sz w:val="28"/>
      <w:szCs w:val="20"/>
    </w:rPr>
  </w:style>
  <w:style w:type="paragraph" w:styleId="21">
    <w:name w:val="Body Text 3"/>
    <w:basedOn w:val="1"/>
    <w:qFormat/>
    <w:uiPriority w:val="0"/>
    <w:pPr>
      <w:spacing w:before="156" w:beforeLines="50" w:line="400" w:lineRule="exact"/>
      <w:jc w:val="left"/>
    </w:pPr>
    <w:rPr>
      <w:b/>
      <w:color w:val="FF6600"/>
      <w:sz w:val="24"/>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next w:val="24"/>
    <w:link w:val="96"/>
    <w:qFormat/>
    <w:uiPriority w:val="99"/>
    <w:pPr>
      <w:autoSpaceDE w:val="0"/>
      <w:autoSpaceDN w:val="0"/>
      <w:spacing w:line="360" w:lineRule="auto"/>
    </w:pPr>
    <w:rPr>
      <w:rFonts w:ascii="宋体" w:hAnsi="Arial" w:cs="Arial"/>
      <w:sz w:val="24"/>
      <w:szCs w:val="21"/>
      <w:lang w:val="zh-CN"/>
    </w:rPr>
  </w:style>
  <w:style w:type="paragraph" w:styleId="24">
    <w:name w:val="Body Text First Indent"/>
    <w:basedOn w:val="23"/>
    <w:next w:val="25"/>
    <w:link w:val="97"/>
    <w:qFormat/>
    <w:uiPriority w:val="99"/>
    <w:pPr>
      <w:ind w:firstLine="420"/>
    </w:pPr>
    <w:rPr>
      <w:rFonts w:hAnsi="Times New Roman" w:cs="Times New Roman"/>
      <w:szCs w:val="20"/>
    </w:rPr>
  </w:style>
  <w:style w:type="paragraph" w:styleId="25">
    <w:name w:val="toc 6"/>
    <w:basedOn w:val="1"/>
    <w:next w:val="1"/>
    <w:qFormat/>
    <w:uiPriority w:val="99"/>
    <w:pPr>
      <w:ind w:left="2100" w:leftChars="1000"/>
    </w:pPr>
  </w:style>
  <w:style w:type="paragraph" w:styleId="26">
    <w:name w:val="Body Text Indent"/>
    <w:basedOn w:val="1"/>
    <w:next w:val="1"/>
    <w:link w:val="102"/>
    <w:qFormat/>
    <w:uiPriority w:val="99"/>
    <w:pPr>
      <w:spacing w:line="480" w:lineRule="exact"/>
      <w:ind w:firstLine="480" w:firstLineChars="200"/>
    </w:pPr>
    <w:rPr>
      <w:rFonts w:ascii="宋体" w:hAnsi="宋体"/>
      <w:sz w:val="24"/>
    </w:rPr>
  </w:style>
  <w:style w:type="paragraph" w:styleId="27">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103"/>
    <w:qFormat/>
    <w:uiPriority w:val="99"/>
    <w:pPr>
      <w:widowControl/>
      <w:adjustRightInd/>
      <w:ind w:firstLine="200" w:firstLineChars="200"/>
      <w:jc w:val="left"/>
    </w:pPr>
    <w:rPr>
      <w:rFonts w:ascii="宋体" w:hAnsi="宋体"/>
      <w:i/>
      <w:iCs/>
      <w:kern w:val="0"/>
      <w:sz w:val="24"/>
    </w:rPr>
  </w:style>
  <w:style w:type="paragraph" w:styleId="32">
    <w:name w:val="toc 5"/>
    <w:basedOn w:val="1"/>
    <w:next w:val="1"/>
    <w:qFormat/>
    <w:uiPriority w:val="9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35"/>
    <w:link w:val="104"/>
    <w:qFormat/>
    <w:uiPriority w:val="99"/>
    <w:rPr>
      <w:rFonts w:ascii="宋体" w:hAnsi="Courier New" w:cs="Arial"/>
      <w:szCs w:val="21"/>
    </w:rPr>
  </w:style>
  <w:style w:type="paragraph" w:styleId="35">
    <w:name w:val="index 7"/>
    <w:basedOn w:val="1"/>
    <w:next w:val="1"/>
    <w:semiHidden/>
    <w:qFormat/>
    <w:locked/>
    <w:uiPriority w:val="0"/>
    <w:pPr>
      <w:ind w:left="1200" w:leftChars="1200"/>
    </w:p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99"/>
    <w:pPr>
      <w:ind w:left="2940" w:leftChars="1400"/>
    </w:pPr>
  </w:style>
  <w:style w:type="paragraph" w:styleId="38">
    <w:name w:val="Date"/>
    <w:basedOn w:val="1"/>
    <w:next w:val="1"/>
    <w:link w:val="105"/>
    <w:qFormat/>
    <w:uiPriority w:val="99"/>
    <w:pPr>
      <w:ind w:left="100" w:leftChars="2500"/>
    </w:pPr>
    <w:rPr>
      <w:rFonts w:ascii="宋体"/>
      <w:sz w:val="24"/>
      <w:szCs w:val="21"/>
      <w:lang w:val="zh-CN"/>
    </w:rPr>
  </w:style>
  <w:style w:type="paragraph" w:styleId="39">
    <w:name w:val="Body Text Indent 2"/>
    <w:basedOn w:val="1"/>
    <w:link w:val="106"/>
    <w:qFormat/>
    <w:uiPriority w:val="99"/>
    <w:pPr>
      <w:spacing w:line="360" w:lineRule="auto"/>
      <w:ind w:firstLine="601"/>
      <w:textAlignment w:val="baseline"/>
    </w:pPr>
    <w:rPr>
      <w:rFonts w:ascii="宋体"/>
      <w:kern w:val="0"/>
      <w:sz w:val="28"/>
      <w:szCs w:val="20"/>
    </w:rPr>
  </w:style>
  <w:style w:type="paragraph" w:styleId="40">
    <w:name w:val="endnote text"/>
    <w:basedOn w:val="1"/>
    <w:link w:val="107"/>
    <w:qFormat/>
    <w:uiPriority w:val="99"/>
    <w:rPr>
      <w:lang w:val="zh-CN"/>
    </w:rPr>
  </w:style>
  <w:style w:type="paragraph" w:styleId="41">
    <w:name w:val="Balloon Text"/>
    <w:basedOn w:val="1"/>
    <w:link w:val="216"/>
    <w:qFormat/>
    <w:uiPriority w:val="99"/>
    <w:rPr>
      <w:sz w:val="18"/>
      <w:szCs w:val="20"/>
    </w:rPr>
  </w:style>
  <w:style w:type="paragraph" w:styleId="42">
    <w:name w:val="footer"/>
    <w:basedOn w:val="1"/>
    <w:link w:val="394"/>
    <w:qFormat/>
    <w:uiPriority w:val="99"/>
    <w:pPr>
      <w:tabs>
        <w:tab w:val="center" w:pos="4153"/>
        <w:tab w:val="right" w:pos="8306"/>
      </w:tabs>
      <w:snapToGrid w:val="0"/>
      <w:jc w:val="left"/>
    </w:pPr>
    <w:rPr>
      <w:sz w:val="18"/>
      <w:szCs w:val="20"/>
    </w:rPr>
  </w:style>
  <w:style w:type="paragraph" w:styleId="43">
    <w:name w:val="header"/>
    <w:basedOn w:val="1"/>
    <w:link w:val="403"/>
    <w:qFormat/>
    <w:uiPriority w:val="99"/>
    <w:pPr>
      <w:pBdr>
        <w:bottom w:val="single" w:color="auto" w:sz="6" w:space="1"/>
      </w:pBdr>
      <w:tabs>
        <w:tab w:val="center" w:pos="4153"/>
        <w:tab w:val="right" w:pos="8306"/>
      </w:tabs>
      <w:snapToGrid w:val="0"/>
      <w:jc w:val="center"/>
    </w:pPr>
    <w:rPr>
      <w:sz w:val="18"/>
      <w:szCs w:val="20"/>
    </w:rPr>
  </w:style>
  <w:style w:type="paragraph" w:styleId="44">
    <w:name w:val="Signature"/>
    <w:basedOn w:val="1"/>
    <w:link w:val="111"/>
    <w:qFormat/>
    <w:uiPriority w:val="99"/>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99"/>
  </w:style>
  <w:style w:type="paragraph" w:styleId="46">
    <w:name w:val="toc 4"/>
    <w:basedOn w:val="1"/>
    <w:next w:val="1"/>
    <w:qFormat/>
    <w:uiPriority w:val="99"/>
    <w:pPr>
      <w:ind w:left="1260" w:leftChars="600"/>
    </w:pPr>
  </w:style>
  <w:style w:type="paragraph" w:styleId="47">
    <w:name w:val="index heading"/>
    <w:basedOn w:val="1"/>
    <w:next w:val="48"/>
    <w:qFormat/>
    <w:uiPriority w:val="99"/>
    <w:pPr>
      <w:adjustRightInd/>
      <w:ind w:firstLine="200" w:firstLineChars="200"/>
    </w:pPr>
  </w:style>
  <w:style w:type="paragraph" w:styleId="48">
    <w:name w:val="index 1"/>
    <w:basedOn w:val="1"/>
    <w:next w:val="1"/>
    <w:qFormat/>
    <w:uiPriority w:val="99"/>
    <w:pPr>
      <w:adjustRightInd/>
      <w:spacing w:line="360" w:lineRule="auto"/>
      <w:ind w:firstLine="200" w:firstLineChars="200"/>
      <w:jc w:val="center"/>
    </w:pPr>
    <w:rPr>
      <w:sz w:val="24"/>
      <w:szCs w:val="20"/>
    </w:rPr>
  </w:style>
  <w:style w:type="paragraph" w:styleId="49">
    <w:name w:val="Subtitle"/>
    <w:basedOn w:val="1"/>
    <w:link w:val="112"/>
    <w:qFormat/>
    <w:uiPriority w:val="99"/>
    <w:pPr>
      <w:widowControl/>
      <w:snapToGrid w:val="0"/>
      <w:spacing w:before="240" w:after="480"/>
      <w:jc w:val="center"/>
    </w:pPr>
    <w:rPr>
      <w:rFonts w:ascii="Arial" w:hAnsi="Arial" w:eastAsia="隶书"/>
      <w:b/>
      <w:bCs/>
      <w:kern w:val="28"/>
      <w:sz w:val="44"/>
      <w:szCs w:val="32"/>
    </w:rPr>
  </w:style>
  <w:style w:type="paragraph" w:styleId="50">
    <w:name w:val="List Number 5"/>
    <w:basedOn w:val="1"/>
    <w:qFormat/>
    <w:uiPriority w:val="99"/>
    <w:pPr>
      <w:tabs>
        <w:tab w:val="left" w:pos="902"/>
      </w:tabs>
      <w:adjustRightInd/>
      <w:spacing w:line="400" w:lineRule="exact"/>
      <w:ind w:left="902" w:hanging="420"/>
    </w:pPr>
    <w:rPr>
      <w:sz w:val="24"/>
      <w:szCs w:val="20"/>
    </w:rPr>
  </w:style>
  <w:style w:type="paragraph" w:styleId="51">
    <w:name w:val="List"/>
    <w:basedOn w:val="1"/>
    <w:qFormat/>
    <w:uiPriority w:val="99"/>
    <w:pPr>
      <w:ind w:left="200" w:hanging="200" w:hangingChars="200"/>
    </w:pPr>
  </w:style>
  <w:style w:type="paragraph" w:styleId="52">
    <w:name w:val="footnote text"/>
    <w:basedOn w:val="15"/>
    <w:link w:val="113"/>
    <w:qFormat/>
    <w:uiPriority w:val="99"/>
    <w:pPr>
      <w:adjustRightInd/>
      <w:snapToGrid/>
      <w:spacing w:before="60" w:after="60" w:line="300" w:lineRule="exact"/>
      <w:ind w:firstLine="0"/>
    </w:pPr>
    <w:rPr>
      <w:rFonts w:ascii="Times New Roman"/>
      <w:color w:val="0000FF"/>
      <w:kern w:val="0"/>
      <w:sz w:val="21"/>
    </w:rPr>
  </w:style>
  <w:style w:type="paragraph" w:styleId="53">
    <w:name w:val="List 5"/>
    <w:basedOn w:val="1"/>
    <w:qFormat/>
    <w:uiPriority w:val="99"/>
    <w:pPr>
      <w:adjustRightInd/>
      <w:ind w:left="100" w:leftChars="800" w:hanging="200" w:hangingChars="200"/>
    </w:pPr>
  </w:style>
  <w:style w:type="paragraph" w:styleId="54">
    <w:name w:val="Body Text Indent 3"/>
    <w:basedOn w:val="1"/>
    <w:link w:val="114"/>
    <w:qFormat/>
    <w:uiPriority w:val="99"/>
    <w:pPr>
      <w:spacing w:line="360" w:lineRule="auto"/>
      <w:ind w:firstLine="420"/>
    </w:pPr>
    <w:rPr>
      <w:sz w:val="24"/>
      <w:szCs w:val="20"/>
    </w:rPr>
  </w:style>
  <w:style w:type="paragraph" w:styleId="55">
    <w:name w:val="toc 2"/>
    <w:basedOn w:val="1"/>
    <w:next w:val="1"/>
    <w:qFormat/>
    <w:uiPriority w:val="99"/>
    <w:pPr>
      <w:ind w:left="420" w:leftChars="200"/>
    </w:pPr>
  </w:style>
  <w:style w:type="paragraph" w:styleId="56">
    <w:name w:val="toc 9"/>
    <w:basedOn w:val="1"/>
    <w:next w:val="1"/>
    <w:qFormat/>
    <w:uiPriority w:val="99"/>
    <w:pPr>
      <w:ind w:left="3360" w:leftChars="1600"/>
    </w:pPr>
  </w:style>
  <w:style w:type="paragraph" w:styleId="57">
    <w:name w:val="Body Text 2"/>
    <w:basedOn w:val="1"/>
    <w:link w:val="115"/>
    <w:qFormat/>
    <w:uiPriority w:val="99"/>
    <w:pPr>
      <w:spacing w:after="120" w:line="480" w:lineRule="auto"/>
    </w:pPr>
  </w:style>
  <w:style w:type="paragraph" w:styleId="58">
    <w:name w:val="Message Header"/>
    <w:basedOn w:val="1"/>
    <w:qFormat/>
    <w:locked/>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59">
    <w:name w:val="HTML Preformatted"/>
    <w:basedOn w:val="1"/>
    <w:link w:val="11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17"/>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118"/>
    <w:qFormat/>
    <w:uiPriority w:val="99"/>
    <w:rPr>
      <w:b/>
      <w:bCs/>
    </w:rPr>
  </w:style>
  <w:style w:type="paragraph" w:styleId="63">
    <w:name w:val="Body Text First Indent 2"/>
    <w:basedOn w:val="26"/>
    <w:next w:val="64"/>
    <w:link w:val="119"/>
    <w:qFormat/>
    <w:uiPriority w:val="99"/>
    <w:pPr>
      <w:adjustRightInd/>
      <w:spacing w:after="120" w:line="240" w:lineRule="auto"/>
      <w:ind w:left="420" w:leftChars="200" w:firstLine="210"/>
    </w:pPr>
    <w:rPr>
      <w:sz w:val="21"/>
    </w:rPr>
  </w:style>
  <w:style w:type="paragraph" w:customStyle="1" w:styleId="64">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6">
    <w:name w:val="Table Grid"/>
    <w:basedOn w:val="6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99"/>
    <w:rPr>
      <w:rFonts w:cs="Times New Roman"/>
      <w:b/>
    </w:rPr>
  </w:style>
  <w:style w:type="character" w:styleId="74">
    <w:name w:val="endnote reference"/>
    <w:basedOn w:val="72"/>
    <w:qFormat/>
    <w:uiPriority w:val="99"/>
    <w:rPr>
      <w:rFonts w:cs="Times New Roman"/>
      <w:vertAlign w:val="superscript"/>
    </w:rPr>
  </w:style>
  <w:style w:type="character" w:styleId="75">
    <w:name w:val="page number"/>
    <w:basedOn w:val="72"/>
    <w:qFormat/>
    <w:uiPriority w:val="99"/>
    <w:rPr>
      <w:rFonts w:ascii="Arial" w:hAnsi="Arial" w:eastAsia="黑体" w:cs="Arial"/>
      <w:snapToGrid w:val="0"/>
      <w:kern w:val="0"/>
      <w:sz w:val="21"/>
      <w:szCs w:val="21"/>
    </w:rPr>
  </w:style>
  <w:style w:type="character" w:styleId="76">
    <w:name w:val="FollowedHyperlink"/>
    <w:basedOn w:val="72"/>
    <w:qFormat/>
    <w:uiPriority w:val="99"/>
    <w:rPr>
      <w:rFonts w:ascii="Arial" w:hAnsi="Arial" w:eastAsia="黑体" w:cs="Times New Roman"/>
      <w:snapToGrid w:val="0"/>
      <w:color w:val="000000"/>
      <w:kern w:val="0"/>
      <w:sz w:val="18"/>
      <w:u w:val="none"/>
    </w:rPr>
  </w:style>
  <w:style w:type="character" w:styleId="77">
    <w:name w:val="Emphasis"/>
    <w:basedOn w:val="72"/>
    <w:qFormat/>
    <w:uiPriority w:val="99"/>
    <w:rPr>
      <w:rFonts w:cs="Times New Roman"/>
      <w:color w:val="CC0033"/>
    </w:rPr>
  </w:style>
  <w:style w:type="character" w:styleId="78">
    <w:name w:val="line number"/>
    <w:basedOn w:val="72"/>
    <w:qFormat/>
    <w:uiPriority w:val="99"/>
    <w:rPr>
      <w:rFonts w:ascii="Arial" w:hAnsi="Arial" w:eastAsia="黑体" w:cs="Arial"/>
      <w:snapToGrid w:val="0"/>
      <w:kern w:val="0"/>
      <w:sz w:val="21"/>
      <w:szCs w:val="21"/>
    </w:rPr>
  </w:style>
  <w:style w:type="character" w:styleId="79">
    <w:name w:val="Hyperlink"/>
    <w:basedOn w:val="72"/>
    <w:qFormat/>
    <w:uiPriority w:val="99"/>
    <w:rPr>
      <w:rFonts w:ascii="Arial" w:hAnsi="Arial" w:eastAsia="黑体" w:cs="Times New Roman"/>
      <w:snapToGrid w:val="0"/>
      <w:color w:val="000000"/>
      <w:kern w:val="0"/>
      <w:sz w:val="18"/>
      <w:u w:val="none"/>
    </w:rPr>
  </w:style>
  <w:style w:type="character" w:styleId="80">
    <w:name w:val="HTML Code"/>
    <w:basedOn w:val="72"/>
    <w:qFormat/>
    <w:uiPriority w:val="99"/>
    <w:rPr>
      <w:rFonts w:ascii="黑体" w:hAnsi="Courier New" w:eastAsia="黑体" w:cs="Times New Roman"/>
      <w:sz w:val="20"/>
    </w:rPr>
  </w:style>
  <w:style w:type="character" w:styleId="81">
    <w:name w:val="annotation reference"/>
    <w:basedOn w:val="72"/>
    <w:qFormat/>
    <w:uiPriority w:val="99"/>
    <w:rPr>
      <w:rFonts w:cs="Times New Roman"/>
      <w:sz w:val="21"/>
    </w:rPr>
  </w:style>
  <w:style w:type="paragraph" w:customStyle="1" w:styleId="82">
    <w:name w:val="正文文本首行缩进 2"/>
    <w:basedOn w:val="26"/>
    <w:qFormat/>
    <w:uiPriority w:val="99"/>
    <w:pPr>
      <w:spacing w:line="200" w:lineRule="atLeast"/>
      <w:ind w:firstLine="420"/>
    </w:pPr>
    <w:rPr>
      <w:rFonts w:ascii="宋体" w:hAnsi="Courier New"/>
      <w:spacing w:val="-4"/>
      <w:sz w:val="18"/>
    </w:rPr>
  </w:style>
  <w:style w:type="paragraph" w:customStyle="1" w:styleId="83">
    <w:name w:val="Body Text First Indent 21"/>
    <w:basedOn w:val="84"/>
    <w:qFormat/>
    <w:uiPriority w:val="0"/>
    <w:pPr>
      <w:ind w:firstLine="420"/>
    </w:pPr>
    <w:rPr>
      <w:rFonts w:cs="宋体"/>
    </w:rPr>
  </w:style>
  <w:style w:type="paragraph" w:customStyle="1" w:styleId="84">
    <w:name w:val="Body Text Indent1"/>
    <w:basedOn w:val="1"/>
    <w:next w:val="1"/>
    <w:qFormat/>
    <w:uiPriority w:val="0"/>
    <w:pPr>
      <w:spacing w:after="120"/>
      <w:ind w:left="420" w:leftChars="200"/>
    </w:pPr>
  </w:style>
  <w:style w:type="paragraph" w:customStyle="1" w:styleId="85">
    <w:name w:val="Body Text 3"/>
    <w:basedOn w:val="1"/>
    <w:qFormat/>
    <w:uiPriority w:val="0"/>
    <w:pPr>
      <w:spacing w:after="120" w:afterLines="0"/>
    </w:pPr>
    <w:rPr>
      <w:sz w:val="16"/>
      <w:szCs w:val="16"/>
    </w:rPr>
  </w:style>
  <w:style w:type="paragraph" w:customStyle="1" w:styleId="86">
    <w:name w:val="Body Text 31"/>
    <w:basedOn w:val="1"/>
    <w:qFormat/>
    <w:uiPriority w:val="0"/>
    <w:pPr>
      <w:spacing w:after="120" w:afterLines="0"/>
    </w:pPr>
    <w:rPr>
      <w:sz w:val="16"/>
      <w:szCs w:val="16"/>
    </w:rPr>
  </w:style>
  <w:style w:type="character" w:customStyle="1" w:styleId="87">
    <w:name w:val="Heading 1 Char"/>
    <w:basedOn w:val="72"/>
    <w:link w:val="3"/>
    <w:qFormat/>
    <w:locked/>
    <w:uiPriority w:val="99"/>
    <w:rPr>
      <w:rFonts w:ascii="Times New Roman" w:hAnsi="Times New Roman" w:eastAsia="黑体" w:cs="Times New Roman"/>
      <w:b/>
      <w:kern w:val="0"/>
      <w:sz w:val="24"/>
    </w:rPr>
  </w:style>
  <w:style w:type="character" w:customStyle="1" w:styleId="88">
    <w:name w:val="Heading 2 Char"/>
    <w:basedOn w:val="72"/>
    <w:link w:val="2"/>
    <w:semiHidden/>
    <w:qFormat/>
    <w:locked/>
    <w:uiPriority w:val="99"/>
    <w:rPr>
      <w:rFonts w:ascii="Cambria" w:hAnsi="Cambria" w:eastAsia="宋体" w:cs="Times New Roman"/>
      <w:b/>
      <w:bCs/>
      <w:sz w:val="32"/>
      <w:szCs w:val="32"/>
    </w:rPr>
  </w:style>
  <w:style w:type="character" w:customStyle="1" w:styleId="89">
    <w:name w:val="Heading 3 Char"/>
    <w:basedOn w:val="72"/>
    <w:link w:val="4"/>
    <w:semiHidden/>
    <w:qFormat/>
    <w:locked/>
    <w:uiPriority w:val="99"/>
    <w:rPr>
      <w:rFonts w:cs="Times New Roman"/>
      <w:b/>
      <w:bCs/>
      <w:sz w:val="32"/>
      <w:szCs w:val="32"/>
    </w:rPr>
  </w:style>
  <w:style w:type="character" w:customStyle="1" w:styleId="90">
    <w:name w:val="Heading 4 Char"/>
    <w:basedOn w:val="72"/>
    <w:link w:val="5"/>
    <w:qFormat/>
    <w:locked/>
    <w:uiPriority w:val="99"/>
    <w:rPr>
      <w:rFonts w:ascii="Arial" w:hAnsi="Arial" w:eastAsia="黑体" w:cs="Times New Roman"/>
      <w:b/>
      <w:kern w:val="2"/>
      <w:sz w:val="28"/>
      <w:lang w:val="zh-CN"/>
    </w:rPr>
  </w:style>
  <w:style w:type="character" w:customStyle="1" w:styleId="91">
    <w:name w:val="Heading 5 Char"/>
    <w:basedOn w:val="72"/>
    <w:link w:val="6"/>
    <w:qFormat/>
    <w:locked/>
    <w:uiPriority w:val="99"/>
    <w:rPr>
      <w:rFonts w:cs="Times New Roman"/>
      <w:b/>
      <w:kern w:val="2"/>
      <w:sz w:val="28"/>
    </w:rPr>
  </w:style>
  <w:style w:type="character" w:customStyle="1" w:styleId="92">
    <w:name w:val="Heading 6 Char"/>
    <w:basedOn w:val="72"/>
    <w:link w:val="7"/>
    <w:qFormat/>
    <w:locked/>
    <w:uiPriority w:val="99"/>
    <w:rPr>
      <w:rFonts w:ascii="Arial" w:hAnsi="Arial" w:eastAsia="黑体" w:cs="Times New Roman"/>
      <w:b/>
      <w:kern w:val="2"/>
      <w:sz w:val="24"/>
    </w:rPr>
  </w:style>
  <w:style w:type="character" w:customStyle="1" w:styleId="93">
    <w:name w:val="Heading 7 Char"/>
    <w:basedOn w:val="72"/>
    <w:link w:val="8"/>
    <w:qFormat/>
    <w:locked/>
    <w:uiPriority w:val="99"/>
    <w:rPr>
      <w:rFonts w:ascii="宋体" w:hAnsi="宋体" w:eastAsia="宋体" w:cs="Times New Roman"/>
      <w:b/>
      <w:kern w:val="2"/>
      <w:sz w:val="24"/>
      <w:lang w:val="en-US" w:eastAsia="zh-CN"/>
    </w:rPr>
  </w:style>
  <w:style w:type="character" w:customStyle="1" w:styleId="94">
    <w:name w:val="Heading 8 Char"/>
    <w:basedOn w:val="72"/>
    <w:link w:val="9"/>
    <w:qFormat/>
    <w:locked/>
    <w:uiPriority w:val="99"/>
    <w:rPr>
      <w:rFonts w:ascii="Arial" w:hAnsi="Arial" w:eastAsia="黑体" w:cs="Times New Roman"/>
      <w:kern w:val="2"/>
      <w:sz w:val="24"/>
    </w:rPr>
  </w:style>
  <w:style w:type="character" w:customStyle="1" w:styleId="95">
    <w:name w:val="Heading 9 Char"/>
    <w:basedOn w:val="72"/>
    <w:link w:val="10"/>
    <w:qFormat/>
    <w:locked/>
    <w:uiPriority w:val="99"/>
    <w:rPr>
      <w:rFonts w:ascii="Arial" w:hAnsi="Arial" w:eastAsia="黑体" w:cs="Times New Roman"/>
      <w:kern w:val="2"/>
      <w:sz w:val="21"/>
    </w:rPr>
  </w:style>
  <w:style w:type="character" w:customStyle="1" w:styleId="96">
    <w:name w:val="Body Text Char"/>
    <w:basedOn w:val="72"/>
    <w:link w:val="23"/>
    <w:qFormat/>
    <w:locked/>
    <w:uiPriority w:val="99"/>
    <w:rPr>
      <w:rFonts w:ascii="宋体" w:hAnsi="Arial" w:eastAsia="宋体" w:cs="Times New Roman"/>
      <w:snapToGrid w:val="0"/>
      <w:kern w:val="2"/>
      <w:sz w:val="21"/>
      <w:lang w:val="zh-CN" w:eastAsia="zh-CN"/>
    </w:rPr>
  </w:style>
  <w:style w:type="character" w:customStyle="1" w:styleId="97">
    <w:name w:val="Body Text First Indent Char"/>
    <w:basedOn w:val="96"/>
    <w:link w:val="24"/>
    <w:qFormat/>
    <w:locked/>
    <w:uiPriority w:val="99"/>
    <w:rPr>
      <w:sz w:val="24"/>
    </w:rPr>
  </w:style>
  <w:style w:type="character" w:customStyle="1" w:styleId="98">
    <w:name w:val="Document Map Char"/>
    <w:basedOn w:val="72"/>
    <w:link w:val="18"/>
    <w:qFormat/>
    <w:locked/>
    <w:uiPriority w:val="99"/>
    <w:rPr>
      <w:rFonts w:eastAsia="宋体" w:cs="Times New Roman"/>
      <w:kern w:val="2"/>
      <w:sz w:val="24"/>
      <w:lang w:val="en-US" w:eastAsia="zh-CN"/>
    </w:rPr>
  </w:style>
  <w:style w:type="character" w:customStyle="1" w:styleId="99">
    <w:name w:val="Comment Text Char"/>
    <w:basedOn w:val="72"/>
    <w:link w:val="19"/>
    <w:qFormat/>
    <w:locked/>
    <w:uiPriority w:val="99"/>
    <w:rPr>
      <w:rFonts w:ascii="宋体" w:hAnsi="宋体" w:eastAsia="宋体" w:cs="Times New Roman"/>
      <w:kern w:val="2"/>
      <w:sz w:val="24"/>
      <w:lang w:val="en-US" w:eastAsia="zh-CN"/>
    </w:rPr>
  </w:style>
  <w:style w:type="character" w:customStyle="1" w:styleId="100">
    <w:name w:val="Salutation Char"/>
    <w:basedOn w:val="72"/>
    <w:link w:val="20"/>
    <w:qFormat/>
    <w:locked/>
    <w:uiPriority w:val="99"/>
    <w:rPr>
      <w:rFonts w:ascii="仿宋_GB2312" w:eastAsia="仿宋_GB2312" w:cs="Times New Roman"/>
      <w:kern w:val="2"/>
      <w:sz w:val="28"/>
    </w:rPr>
  </w:style>
  <w:style w:type="character" w:customStyle="1" w:styleId="101">
    <w:name w:val="Body Text 3 Char"/>
    <w:basedOn w:val="72"/>
    <w:qFormat/>
    <w:locked/>
    <w:uiPriority w:val="99"/>
    <w:rPr>
      <w:rFonts w:cs="Times New Roman"/>
      <w:kern w:val="2"/>
      <w:sz w:val="21"/>
    </w:rPr>
  </w:style>
  <w:style w:type="character" w:customStyle="1" w:styleId="102">
    <w:name w:val="Body Text Indent Char"/>
    <w:basedOn w:val="72"/>
    <w:link w:val="26"/>
    <w:qFormat/>
    <w:locked/>
    <w:uiPriority w:val="99"/>
    <w:rPr>
      <w:rFonts w:ascii="宋体" w:eastAsia="宋体" w:cs="Times New Roman"/>
      <w:kern w:val="2"/>
      <w:sz w:val="24"/>
    </w:rPr>
  </w:style>
  <w:style w:type="character" w:customStyle="1" w:styleId="103">
    <w:name w:val="HTML Address Char"/>
    <w:basedOn w:val="72"/>
    <w:link w:val="31"/>
    <w:qFormat/>
    <w:locked/>
    <w:uiPriority w:val="99"/>
    <w:rPr>
      <w:rFonts w:ascii="宋体" w:eastAsia="宋体" w:cs="Times New Roman"/>
      <w:i/>
      <w:sz w:val="24"/>
    </w:rPr>
  </w:style>
  <w:style w:type="character" w:customStyle="1" w:styleId="104">
    <w:name w:val="Plain Text Char"/>
    <w:basedOn w:val="72"/>
    <w:link w:val="34"/>
    <w:qFormat/>
    <w:locked/>
    <w:uiPriority w:val="99"/>
    <w:rPr>
      <w:rFonts w:ascii="宋体" w:hAnsi="Courier New" w:eastAsia="宋体" w:cs="Times New Roman"/>
      <w:snapToGrid w:val="0"/>
      <w:kern w:val="2"/>
      <w:sz w:val="21"/>
      <w:lang w:val="en-US" w:eastAsia="zh-CN"/>
    </w:rPr>
  </w:style>
  <w:style w:type="character" w:customStyle="1" w:styleId="105">
    <w:name w:val="Date Char"/>
    <w:basedOn w:val="72"/>
    <w:link w:val="38"/>
    <w:qFormat/>
    <w:locked/>
    <w:uiPriority w:val="99"/>
    <w:rPr>
      <w:rFonts w:ascii="宋体" w:cs="Times New Roman"/>
      <w:kern w:val="2"/>
      <w:sz w:val="21"/>
      <w:lang w:val="zh-CN"/>
    </w:rPr>
  </w:style>
  <w:style w:type="character" w:customStyle="1" w:styleId="106">
    <w:name w:val="Body Text Indent 2 Char"/>
    <w:basedOn w:val="72"/>
    <w:link w:val="39"/>
    <w:qFormat/>
    <w:locked/>
    <w:uiPriority w:val="99"/>
    <w:rPr>
      <w:rFonts w:ascii="宋体" w:cs="Times New Roman"/>
      <w:sz w:val="28"/>
    </w:rPr>
  </w:style>
  <w:style w:type="character" w:customStyle="1" w:styleId="107">
    <w:name w:val="Endnote Text Char"/>
    <w:basedOn w:val="72"/>
    <w:link w:val="40"/>
    <w:qFormat/>
    <w:locked/>
    <w:uiPriority w:val="99"/>
    <w:rPr>
      <w:rFonts w:cs="Times New Roman"/>
      <w:kern w:val="2"/>
      <w:sz w:val="24"/>
      <w:lang w:val="zh-CN"/>
    </w:rPr>
  </w:style>
  <w:style w:type="character" w:customStyle="1" w:styleId="108">
    <w:name w:val="Balloon Text Char"/>
    <w:basedOn w:val="72"/>
    <w:link w:val="41"/>
    <w:qFormat/>
    <w:locked/>
    <w:uiPriority w:val="99"/>
    <w:rPr>
      <w:rFonts w:eastAsia="宋体" w:cs="Times New Roman"/>
      <w:kern w:val="2"/>
      <w:sz w:val="18"/>
      <w:lang w:val="en-US" w:eastAsia="zh-CN"/>
    </w:rPr>
  </w:style>
  <w:style w:type="character" w:customStyle="1" w:styleId="109">
    <w:name w:val="Footer Char"/>
    <w:basedOn w:val="72"/>
    <w:link w:val="42"/>
    <w:qFormat/>
    <w:locked/>
    <w:uiPriority w:val="99"/>
    <w:rPr>
      <w:rFonts w:eastAsia="宋体" w:cs="Times New Roman"/>
      <w:kern w:val="2"/>
      <w:sz w:val="18"/>
      <w:lang w:val="en-US" w:eastAsia="zh-CN"/>
    </w:rPr>
  </w:style>
  <w:style w:type="character" w:customStyle="1" w:styleId="110">
    <w:name w:val="Header Char"/>
    <w:basedOn w:val="72"/>
    <w:link w:val="43"/>
    <w:qFormat/>
    <w:locked/>
    <w:uiPriority w:val="99"/>
    <w:rPr>
      <w:rFonts w:eastAsia="宋体" w:cs="Times New Roman"/>
      <w:kern w:val="2"/>
      <w:sz w:val="18"/>
      <w:lang w:val="en-US" w:eastAsia="zh-CN"/>
    </w:rPr>
  </w:style>
  <w:style w:type="character" w:customStyle="1" w:styleId="111">
    <w:name w:val="Signature Char"/>
    <w:basedOn w:val="72"/>
    <w:link w:val="44"/>
    <w:qFormat/>
    <w:locked/>
    <w:uiPriority w:val="99"/>
    <w:rPr>
      <w:rFonts w:eastAsia="仿宋_GB2312" w:cs="Times New Roman"/>
      <w:sz w:val="24"/>
    </w:rPr>
  </w:style>
  <w:style w:type="character" w:customStyle="1" w:styleId="112">
    <w:name w:val="Subtitle Char"/>
    <w:basedOn w:val="72"/>
    <w:link w:val="49"/>
    <w:qFormat/>
    <w:locked/>
    <w:uiPriority w:val="99"/>
    <w:rPr>
      <w:rFonts w:ascii="Arial" w:hAnsi="Arial" w:eastAsia="隶书" w:cs="Times New Roman"/>
      <w:b/>
      <w:kern w:val="28"/>
      <w:sz w:val="32"/>
      <w:lang w:val="en-US" w:eastAsia="zh-CN"/>
    </w:rPr>
  </w:style>
  <w:style w:type="character" w:customStyle="1" w:styleId="113">
    <w:name w:val="Footnote Text Char"/>
    <w:basedOn w:val="72"/>
    <w:link w:val="52"/>
    <w:qFormat/>
    <w:locked/>
    <w:uiPriority w:val="99"/>
    <w:rPr>
      <w:rFonts w:cs="Times New Roman"/>
      <w:color w:val="0000FF"/>
      <w:sz w:val="21"/>
    </w:rPr>
  </w:style>
  <w:style w:type="character" w:customStyle="1" w:styleId="114">
    <w:name w:val="Body Text Indent 3 Char"/>
    <w:basedOn w:val="72"/>
    <w:link w:val="54"/>
    <w:qFormat/>
    <w:locked/>
    <w:uiPriority w:val="99"/>
    <w:rPr>
      <w:rFonts w:cs="Times New Roman"/>
      <w:kern w:val="2"/>
      <w:sz w:val="24"/>
    </w:rPr>
  </w:style>
  <w:style w:type="character" w:customStyle="1" w:styleId="115">
    <w:name w:val="Body Text 2 Char"/>
    <w:basedOn w:val="72"/>
    <w:link w:val="57"/>
    <w:qFormat/>
    <w:locked/>
    <w:uiPriority w:val="99"/>
    <w:rPr>
      <w:rFonts w:cs="Times New Roman"/>
      <w:kern w:val="2"/>
      <w:sz w:val="24"/>
    </w:rPr>
  </w:style>
  <w:style w:type="character" w:customStyle="1" w:styleId="116">
    <w:name w:val="HTML Preformatted Char"/>
    <w:basedOn w:val="72"/>
    <w:link w:val="59"/>
    <w:qFormat/>
    <w:locked/>
    <w:uiPriority w:val="99"/>
    <w:rPr>
      <w:rFonts w:ascii="黑体" w:hAnsi="Courier New" w:eastAsia="黑体" w:cs="Times New Roman"/>
    </w:rPr>
  </w:style>
  <w:style w:type="character" w:customStyle="1" w:styleId="117">
    <w:name w:val="Title Char"/>
    <w:basedOn w:val="72"/>
    <w:link w:val="61"/>
    <w:qFormat/>
    <w:locked/>
    <w:uiPriority w:val="99"/>
    <w:rPr>
      <w:rFonts w:cs="Times New Roman"/>
      <w:b/>
      <w:sz w:val="24"/>
      <w:lang w:val="en-GB"/>
    </w:rPr>
  </w:style>
  <w:style w:type="character" w:customStyle="1" w:styleId="118">
    <w:name w:val="Comment Subject Char"/>
    <w:basedOn w:val="99"/>
    <w:link w:val="62"/>
    <w:qFormat/>
    <w:locked/>
    <w:uiPriority w:val="99"/>
    <w:rPr>
      <w:b/>
    </w:rPr>
  </w:style>
  <w:style w:type="character" w:customStyle="1" w:styleId="119">
    <w:name w:val="Body Text First Indent 2 Char"/>
    <w:basedOn w:val="102"/>
    <w:link w:val="63"/>
    <w:qFormat/>
    <w:locked/>
    <w:uiPriority w:val="99"/>
  </w:style>
  <w:style w:type="paragraph" w:customStyle="1" w:styleId="120">
    <w:name w:val="表格文字"/>
    <w:basedOn w:val="121"/>
    <w:next w:val="23"/>
    <w:qFormat/>
    <w:uiPriority w:val="99"/>
    <w:pPr>
      <w:adjustRightInd/>
      <w:ind w:firstLine="200" w:firstLineChars="200"/>
    </w:pPr>
    <w:rPr>
      <w:rFonts w:ascii="Arial" w:hAnsi="Arial"/>
      <w:spacing w:val="-5"/>
      <w:kern w:val="0"/>
      <w:sz w:val="24"/>
      <w:szCs w:val="20"/>
    </w:rPr>
  </w:style>
  <w:style w:type="paragraph" w:customStyle="1" w:styleId="121">
    <w:name w:val="表格"/>
    <w:basedOn w:val="1"/>
    <w:qFormat/>
    <w:uiPriority w:val="99"/>
    <w:pPr>
      <w:snapToGrid w:val="0"/>
      <w:ind w:firstLine="42" w:firstLineChars="21"/>
    </w:pPr>
    <w:rPr>
      <w:rFonts w:ascii="宋体" w:hAnsi="宋体"/>
      <w:kern w:val="0"/>
      <w:sz w:val="20"/>
      <w:szCs w:val="20"/>
    </w:rPr>
  </w:style>
  <w:style w:type="character" w:customStyle="1" w:styleId="122">
    <w:name w:val="表格非标题文字 Char"/>
    <w:link w:val="123"/>
    <w:qFormat/>
    <w:locked/>
    <w:uiPriority w:val="99"/>
    <w:rPr>
      <w:rFonts w:ascii="Futura Bk" w:hAnsi="Futura Bk"/>
      <w:kern w:val="2"/>
      <w:sz w:val="21"/>
      <w:lang w:val="en-US" w:eastAsia="zh-CN"/>
    </w:rPr>
  </w:style>
  <w:style w:type="paragraph" w:customStyle="1" w:styleId="123">
    <w:name w:val="表格非标题文字"/>
    <w:link w:val="122"/>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qFormat/>
    <w:locked/>
    <w:uiPriority w:val="99"/>
    <w:rPr>
      <w:rFonts w:ascii="宋体" w:eastAsia="宋体"/>
      <w:sz w:val="24"/>
    </w:rPr>
  </w:style>
  <w:style w:type="paragraph" w:customStyle="1" w:styleId="125">
    <w:name w:val="*正文"/>
    <w:basedOn w:val="1"/>
    <w:link w:val="124"/>
    <w:qFormat/>
    <w:uiPriority w:val="99"/>
    <w:pPr>
      <w:snapToGrid w:val="0"/>
      <w:spacing w:line="360" w:lineRule="auto"/>
      <w:ind w:firstLine="482"/>
      <w:jc w:val="left"/>
    </w:pPr>
    <w:rPr>
      <w:rFonts w:ascii="宋体"/>
      <w:kern w:val="0"/>
      <w:sz w:val="24"/>
      <w:szCs w:val="20"/>
    </w:rPr>
  </w:style>
  <w:style w:type="character" w:customStyle="1" w:styleId="126">
    <w:name w:val="Char Char71"/>
    <w:semiHidden/>
    <w:qFormat/>
    <w:uiPriority w:val="99"/>
    <w:rPr>
      <w:rFonts w:eastAsia="宋体"/>
      <w:kern w:val="2"/>
      <w:sz w:val="24"/>
      <w:lang w:val="en-US" w:eastAsia="zh-CN"/>
    </w:rPr>
  </w:style>
  <w:style w:type="character" w:customStyle="1" w:styleId="127">
    <w:name w:val="Char Char6"/>
    <w:qFormat/>
    <w:uiPriority w:val="99"/>
    <w:rPr>
      <w:rFonts w:eastAsia="宋体"/>
      <w:kern w:val="2"/>
      <w:sz w:val="24"/>
      <w:lang w:val="en-US" w:eastAsia="zh-CN"/>
    </w:rPr>
  </w:style>
  <w:style w:type="character" w:customStyle="1" w:styleId="128">
    <w:name w:val="正文缩进 Char"/>
    <w:qFormat/>
    <w:uiPriority w:val="99"/>
    <w:rPr>
      <w:rFonts w:eastAsia="宋体"/>
      <w:kern w:val="2"/>
      <w:sz w:val="21"/>
      <w:lang w:val="en-US" w:eastAsia="zh-CN"/>
    </w:rPr>
  </w:style>
  <w:style w:type="character" w:customStyle="1" w:styleId="129">
    <w:name w:val="正文首行缩进 Char1"/>
    <w:qFormat/>
    <w:uiPriority w:val="99"/>
    <w:rPr>
      <w:rFonts w:ascii="宋体" w:hAnsi="Times New Roman" w:eastAsia="宋体"/>
      <w:snapToGrid w:val="0"/>
      <w:kern w:val="2"/>
      <w:sz w:val="21"/>
      <w:lang w:val="zh-CN"/>
    </w:rPr>
  </w:style>
  <w:style w:type="character" w:customStyle="1" w:styleId="130">
    <w:name w:val="Char Char28"/>
    <w:qFormat/>
    <w:uiPriority w:val="99"/>
    <w:rPr>
      <w:rFonts w:ascii="仿宋_GB2312" w:hAnsi="仿宋_GB2312" w:eastAsia="仿宋_GB2312"/>
      <w:kern w:val="1"/>
      <w:sz w:val="28"/>
    </w:rPr>
  </w:style>
  <w:style w:type="character" w:customStyle="1" w:styleId="131">
    <w:name w:val="标题 3 Char1"/>
    <w:qFormat/>
    <w:uiPriority w:val="99"/>
    <w:rPr>
      <w:rFonts w:ascii="华文中宋" w:hAnsi="华文中宋" w:eastAsia="华文中宋"/>
      <w:b/>
      <w:kern w:val="2"/>
      <w:sz w:val="32"/>
      <w:lang w:val="en-US" w:eastAsia="zh-CN"/>
    </w:rPr>
  </w:style>
  <w:style w:type="character" w:customStyle="1" w:styleId="132">
    <w:name w:val="U_正文 Char"/>
    <w:link w:val="133"/>
    <w:qFormat/>
    <w:locked/>
    <w:uiPriority w:val="99"/>
    <w:rPr>
      <w:sz w:val="24"/>
    </w:rPr>
  </w:style>
  <w:style w:type="paragraph" w:customStyle="1" w:styleId="133">
    <w:name w:val="U_正文"/>
    <w:basedOn w:val="1"/>
    <w:link w:val="132"/>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qFormat/>
    <w:uiPriority w:val="99"/>
    <w:rPr>
      <w:rFonts w:ascii="Times New Roman" w:hAnsi="Times New Roman" w:eastAsia="宋体"/>
      <w:i/>
      <w:sz w:val="24"/>
    </w:rPr>
  </w:style>
  <w:style w:type="character" w:customStyle="1" w:styleId="135">
    <w:name w:val="Char Char51"/>
    <w:qFormat/>
    <w:uiPriority w:val="99"/>
    <w:rPr>
      <w:rFonts w:ascii="宋体" w:hAnsi="Courier New" w:eastAsia="宋体"/>
      <w:kern w:val="2"/>
      <w:sz w:val="21"/>
      <w:lang w:val="en-US" w:eastAsia="zh-CN"/>
    </w:rPr>
  </w:style>
  <w:style w:type="character" w:customStyle="1" w:styleId="136">
    <w:name w:val="表正文 Char"/>
    <w:qFormat/>
    <w:uiPriority w:val="99"/>
    <w:rPr>
      <w:rFonts w:ascii="宋体" w:eastAsia="宋体"/>
      <w:snapToGrid w:val="0"/>
      <w:color w:val="000000"/>
      <w:kern w:val="28"/>
      <w:sz w:val="28"/>
      <w:lang w:val="en-US" w:eastAsia="zh-CN"/>
    </w:rPr>
  </w:style>
  <w:style w:type="character" w:customStyle="1" w:styleId="137">
    <w:name w:val="Char Char34"/>
    <w:qFormat/>
    <w:uiPriority w:val="99"/>
    <w:rPr>
      <w:b/>
      <w:kern w:val="1"/>
      <w:sz w:val="28"/>
    </w:rPr>
  </w:style>
  <w:style w:type="character" w:customStyle="1" w:styleId="138">
    <w:name w:val="Normal Indent Char"/>
    <w:qFormat/>
    <w:locked/>
    <w:uiPriority w:val="99"/>
    <w:rPr>
      <w:rFonts w:ascii="Calibri" w:hAnsi="Calibri" w:eastAsia="宋体"/>
      <w:snapToGrid w:val="0"/>
      <w:kern w:val="2"/>
      <w:sz w:val="22"/>
      <w:lang w:val="en-US" w:eastAsia="zh-CN"/>
    </w:rPr>
  </w:style>
  <w:style w:type="character" w:customStyle="1" w:styleId="139">
    <w:name w:val="哈哈正文 Char"/>
    <w:link w:val="140"/>
    <w:qFormat/>
    <w:locked/>
    <w:uiPriority w:val="99"/>
    <w:rPr>
      <w:rFonts w:ascii="宋体" w:hAnsi="宋体" w:eastAsia="宋体"/>
      <w:kern w:val="2"/>
      <w:sz w:val="24"/>
    </w:rPr>
  </w:style>
  <w:style w:type="paragraph" w:customStyle="1" w:styleId="140">
    <w:name w:val="哈哈正文"/>
    <w:basedOn w:val="1"/>
    <w:link w:val="139"/>
    <w:qFormat/>
    <w:uiPriority w:val="99"/>
    <w:pPr>
      <w:adjustRightInd/>
      <w:spacing w:line="360" w:lineRule="auto"/>
      <w:ind w:firstLine="200" w:firstLineChars="200"/>
    </w:pPr>
    <w:rPr>
      <w:rFonts w:ascii="宋体" w:hAnsi="宋体"/>
      <w:sz w:val="24"/>
      <w:szCs w:val="20"/>
    </w:rPr>
  </w:style>
  <w:style w:type="character" w:customStyle="1" w:styleId="141">
    <w:name w:val="未处理的提及1"/>
    <w:qFormat/>
    <w:uiPriority w:val="99"/>
    <w:rPr>
      <w:color w:val="808080"/>
      <w:shd w:val="clear" w:color="auto" w:fill="E6E6E6"/>
    </w:rPr>
  </w:style>
  <w:style w:type="character" w:customStyle="1" w:styleId="142">
    <w:name w:val="txt"/>
    <w:qFormat/>
    <w:uiPriority w:val="99"/>
    <w:rPr>
      <w:rFonts w:ascii="仿宋_GB2312" w:eastAsia="微软雅黑"/>
      <w:b/>
      <w:kern w:val="2"/>
      <w:sz w:val="32"/>
      <w:lang w:val="en-US" w:eastAsia="zh-CN"/>
    </w:rPr>
  </w:style>
  <w:style w:type="character" w:customStyle="1" w:styleId="143">
    <w:name w:val="二级标题 Char Char"/>
    <w:qFormat/>
    <w:uiPriority w:val="99"/>
    <w:rPr>
      <w:rFonts w:ascii="宋体" w:hAnsi="宋体" w:eastAsia="宋体"/>
      <w:b/>
      <w:snapToGrid w:val="0"/>
      <w:kern w:val="2"/>
      <w:sz w:val="24"/>
      <w:lang w:val="en-US" w:eastAsia="zh-CN"/>
    </w:rPr>
  </w:style>
  <w:style w:type="character" w:customStyle="1" w:styleId="144">
    <w:name w:val="Char Char32"/>
    <w:qFormat/>
    <w:uiPriority w:val="99"/>
    <w:rPr>
      <w:b/>
      <w:kern w:val="1"/>
      <w:sz w:val="24"/>
    </w:rPr>
  </w:style>
  <w:style w:type="character" w:customStyle="1" w:styleId="145">
    <w:name w:val="PI Char1"/>
    <w:qFormat/>
    <w:uiPriority w:val="99"/>
    <w:rPr>
      <w:rFonts w:ascii="宋体" w:eastAsia="宋体"/>
      <w:kern w:val="2"/>
      <w:sz w:val="24"/>
    </w:rPr>
  </w:style>
  <w:style w:type="character" w:customStyle="1" w:styleId="146">
    <w:name w:val="tw4winTerm"/>
    <w:qFormat/>
    <w:uiPriority w:val="99"/>
    <w:rPr>
      <w:color w:val="0000FF"/>
    </w:rPr>
  </w:style>
  <w:style w:type="character" w:customStyle="1" w:styleId="147">
    <w:name w:val="普通文字 Char Char1"/>
    <w:qFormat/>
    <w:uiPriority w:val="99"/>
    <w:rPr>
      <w:rFonts w:ascii="宋体" w:hAnsi="Courier New"/>
      <w:kern w:val="2"/>
      <w:sz w:val="21"/>
    </w:rPr>
  </w:style>
  <w:style w:type="character" w:customStyle="1" w:styleId="148">
    <w:name w:val="Char Char101"/>
    <w:qFormat/>
    <w:uiPriority w:val="99"/>
    <w:rPr>
      <w:rFonts w:ascii="宋体" w:eastAsia="宋体"/>
      <w:kern w:val="2"/>
      <w:sz w:val="24"/>
      <w:lang w:val="en-US" w:eastAsia="zh-CN"/>
    </w:rPr>
  </w:style>
  <w:style w:type="character" w:customStyle="1" w:styleId="149">
    <w:name w:val="标题 4 Char"/>
    <w:qFormat/>
    <w:uiPriority w:val="99"/>
    <w:rPr>
      <w:rFonts w:ascii="Arial" w:hAnsi="Arial" w:eastAsia="黑体"/>
      <w:b/>
      <w:kern w:val="2"/>
      <w:sz w:val="28"/>
    </w:rPr>
  </w:style>
  <w:style w:type="character" w:customStyle="1" w:styleId="150">
    <w:name w:val="链接"/>
    <w:qFormat/>
    <w:uiPriority w:val="99"/>
    <w:rPr>
      <w:color w:val="0000FF"/>
      <w:sz w:val="21"/>
      <w:u w:val="single"/>
    </w:rPr>
  </w:style>
  <w:style w:type="character" w:customStyle="1" w:styleId="151">
    <w:name w:val="h4 Char"/>
    <w:qFormat/>
    <w:uiPriority w:val="99"/>
    <w:rPr>
      <w:rFonts w:ascii="Arial" w:hAnsi="Arial" w:eastAsia="黑体"/>
      <w:b/>
      <w:kern w:val="2"/>
      <w:sz w:val="28"/>
      <w:lang w:val="zh-CN" w:eastAsia="zh-CN"/>
    </w:rPr>
  </w:style>
  <w:style w:type="character" w:customStyle="1" w:styleId="152">
    <w:name w:val="5正文 Char"/>
    <w:link w:val="153"/>
    <w:qFormat/>
    <w:locked/>
    <w:uiPriority w:val="99"/>
    <w:rPr>
      <w:rFonts w:ascii="仿宋_GB2312" w:hAnsi="微软雅黑" w:eastAsia="仿宋_GB2312"/>
      <w:sz w:val="21"/>
    </w:rPr>
  </w:style>
  <w:style w:type="paragraph" w:customStyle="1" w:styleId="153">
    <w:name w:val="5正文"/>
    <w:basedOn w:val="1"/>
    <w:link w:val="152"/>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qFormat/>
    <w:uiPriority w:val="99"/>
    <w:rPr>
      <w:b/>
      <w:kern w:val="2"/>
      <w:sz w:val="32"/>
    </w:rPr>
  </w:style>
  <w:style w:type="character" w:customStyle="1" w:styleId="155">
    <w:name w:val="样式6 Char"/>
    <w:qFormat/>
    <w:uiPriority w:val="99"/>
    <w:rPr>
      <w:rFonts w:ascii="仿宋_GB2312" w:hAnsi="宋体" w:eastAsia="仿宋_GB2312"/>
      <w:b/>
      <w:kern w:val="2"/>
      <w:sz w:val="24"/>
      <w:lang w:val="en-US" w:eastAsia="zh-CN"/>
    </w:rPr>
  </w:style>
  <w:style w:type="character" w:customStyle="1" w:styleId="156">
    <w:name w:val="Char Char14"/>
    <w:qFormat/>
    <w:uiPriority w:val="99"/>
    <w:rPr>
      <w:rFonts w:ascii="黑体" w:hAnsi="黑体" w:eastAsia="黑体"/>
    </w:rPr>
  </w:style>
  <w:style w:type="character" w:customStyle="1" w:styleId="157">
    <w:name w:val="Heading 2 Hidden Char"/>
    <w:qFormat/>
    <w:uiPriority w:val="99"/>
    <w:rPr>
      <w:rFonts w:ascii="仿宋_GB2312" w:eastAsia="仿宋_GB2312"/>
      <w:b/>
      <w:kern w:val="2"/>
      <w:sz w:val="24"/>
      <w:lang w:val="zh-CN" w:eastAsia="zh-CN"/>
    </w:rPr>
  </w:style>
  <w:style w:type="character" w:customStyle="1" w:styleId="158">
    <w:name w:val="font11"/>
    <w:qFormat/>
    <w:uiPriority w:val="99"/>
    <w:rPr>
      <w:rFonts w:ascii="Times New Roman" w:hAnsi="Times New Roman"/>
      <w:color w:val="000000"/>
      <w:sz w:val="22"/>
      <w:u w:val="none"/>
    </w:rPr>
  </w:style>
  <w:style w:type="character" w:customStyle="1" w:styleId="159">
    <w:name w:val="表正文 Char1"/>
    <w:qFormat/>
    <w:uiPriority w:val="99"/>
    <w:rPr>
      <w:rFonts w:ascii="宋体" w:eastAsia="宋体"/>
      <w:snapToGrid w:val="0"/>
      <w:color w:val="000000"/>
      <w:kern w:val="28"/>
      <w:sz w:val="28"/>
    </w:rPr>
  </w:style>
  <w:style w:type="character" w:customStyle="1" w:styleId="160">
    <w:name w:val="blue1"/>
    <w:basedOn w:val="72"/>
    <w:qFormat/>
    <w:uiPriority w:val="99"/>
    <w:rPr>
      <w:rFonts w:ascii="Arial" w:hAnsi="Arial" w:eastAsia="黑体" w:cs="Arial"/>
      <w:snapToGrid w:val="0"/>
      <w:kern w:val="0"/>
      <w:sz w:val="21"/>
      <w:szCs w:val="21"/>
    </w:rPr>
  </w:style>
  <w:style w:type="character" w:customStyle="1" w:styleId="161">
    <w:name w:val="标书1 Char"/>
    <w:qFormat/>
    <w:uiPriority w:val="99"/>
    <w:rPr>
      <w:rFonts w:eastAsia="宋体"/>
      <w:b/>
      <w:kern w:val="44"/>
      <w:sz w:val="44"/>
      <w:lang w:val="en-US" w:eastAsia="zh-CN"/>
    </w:rPr>
  </w:style>
  <w:style w:type="character" w:customStyle="1" w:styleId="162">
    <w:name w:val="样式5 Char"/>
    <w:qFormat/>
    <w:uiPriority w:val="99"/>
    <w:rPr>
      <w:rFonts w:ascii="仿宋_GB2312" w:hAnsi="仿宋" w:eastAsia="仿宋_GB2312"/>
      <w:kern w:val="2"/>
      <w:sz w:val="24"/>
    </w:rPr>
  </w:style>
  <w:style w:type="character" w:customStyle="1" w:styleId="163">
    <w:name w:val="样式4 Char"/>
    <w:qFormat/>
    <w:uiPriority w:val="99"/>
    <w:rPr>
      <w:rFonts w:ascii="仿宋_GB2312" w:hAnsi="仿宋" w:eastAsia="仿宋_GB2312"/>
      <w:b/>
      <w:kern w:val="2"/>
      <w:sz w:val="32"/>
    </w:rPr>
  </w:style>
  <w:style w:type="character" w:customStyle="1" w:styleId="164">
    <w:name w:val="插图说明 Char"/>
    <w:qFormat/>
    <w:uiPriority w:val="99"/>
    <w:rPr>
      <w:rFonts w:eastAsia="黑体"/>
      <w:sz w:val="24"/>
      <w:lang w:val="en-US" w:eastAsia="zh-CN"/>
    </w:rPr>
  </w:style>
  <w:style w:type="character" w:customStyle="1" w:styleId="165">
    <w:name w:val="正文2 Char Char"/>
    <w:link w:val="166"/>
    <w:qFormat/>
    <w:locked/>
    <w:uiPriority w:val="99"/>
    <w:rPr>
      <w:rFonts w:eastAsia="宋体"/>
      <w:kern w:val="2"/>
      <w:sz w:val="24"/>
      <w:lang w:val="en-US" w:eastAsia="zh-CN"/>
    </w:rPr>
  </w:style>
  <w:style w:type="paragraph" w:customStyle="1" w:styleId="166">
    <w:name w:val="正文2"/>
    <w:basedOn w:val="1"/>
    <w:link w:val="165"/>
    <w:qFormat/>
    <w:uiPriority w:val="99"/>
    <w:pPr>
      <w:spacing w:before="156" w:line="360" w:lineRule="auto"/>
      <w:ind w:firstLine="510" w:firstLineChars="200"/>
    </w:pPr>
    <w:rPr>
      <w:sz w:val="24"/>
      <w:szCs w:val="20"/>
    </w:rPr>
  </w:style>
  <w:style w:type="character" w:customStyle="1" w:styleId="167">
    <w:name w:val="Char Char24"/>
    <w:qFormat/>
    <w:uiPriority w:val="99"/>
    <w:rPr>
      <w:kern w:val="1"/>
      <w:sz w:val="21"/>
    </w:rPr>
  </w:style>
  <w:style w:type="character" w:customStyle="1" w:styleId="168">
    <w:name w:val="普通文字 Char1 Char"/>
    <w:qFormat/>
    <w:uiPriority w:val="99"/>
    <w:rPr>
      <w:rFonts w:ascii="宋体" w:hAnsi="Courier New" w:eastAsia="宋体"/>
      <w:kern w:val="2"/>
      <w:sz w:val="24"/>
      <w:lang w:val="en-US" w:eastAsia="zh-CN"/>
    </w:rPr>
  </w:style>
  <w:style w:type="character" w:customStyle="1" w:styleId="169">
    <w:name w:val="h3 Char1"/>
    <w:qFormat/>
    <w:uiPriority w:val="99"/>
    <w:rPr>
      <w:rFonts w:eastAsia="宋体"/>
      <w:b/>
      <w:kern w:val="2"/>
      <w:sz w:val="32"/>
    </w:rPr>
  </w:style>
  <w:style w:type="character" w:customStyle="1" w:styleId="170">
    <w:name w:val="标题 Char1"/>
    <w:qFormat/>
    <w:uiPriority w:val="99"/>
    <w:rPr>
      <w:rFonts w:ascii="Cambria" w:hAnsi="Cambria" w:eastAsia="宋体"/>
      <w:b/>
      <w:sz w:val="32"/>
    </w:rPr>
  </w:style>
  <w:style w:type="character" w:customStyle="1" w:styleId="171">
    <w:name w:val="gf正文1 Char"/>
    <w:qFormat/>
    <w:uiPriority w:val="99"/>
    <w:rPr>
      <w:rFonts w:ascii="宋体" w:hAnsi="宋体" w:eastAsia="宋体"/>
      <w:kern w:val="2"/>
      <w:sz w:val="24"/>
      <w:lang w:val="en-US" w:eastAsia="zh-CN"/>
    </w:rPr>
  </w:style>
  <w:style w:type="character" w:customStyle="1" w:styleId="172">
    <w:name w:val="正文文本缩进 Char1"/>
    <w:qFormat/>
    <w:uiPriority w:val="99"/>
    <w:rPr>
      <w:rFonts w:ascii="Calibri" w:hAnsi="Calibri"/>
      <w:sz w:val="28"/>
    </w:rPr>
  </w:style>
  <w:style w:type="character" w:customStyle="1" w:styleId="173">
    <w:name w:val="No Spacing Char"/>
    <w:link w:val="174"/>
    <w:qFormat/>
    <w:locked/>
    <w:uiPriority w:val="99"/>
    <w:rPr>
      <w:sz w:val="22"/>
      <w:lang w:val="en-US" w:eastAsia="zh-CN"/>
    </w:rPr>
  </w:style>
  <w:style w:type="paragraph" w:customStyle="1" w:styleId="174">
    <w:name w:val="无间隔1"/>
    <w:link w:val="173"/>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qFormat/>
    <w:uiPriority w:val="99"/>
    <w:rPr>
      <w:rFonts w:ascii="仿宋_GB2312" w:hAnsi="仿宋" w:eastAsia="仿宋_GB2312"/>
      <w:b/>
      <w:kern w:val="2"/>
      <w:sz w:val="24"/>
    </w:rPr>
  </w:style>
  <w:style w:type="character" w:customStyle="1" w:styleId="176">
    <w:name w:val="font12gray1"/>
    <w:qFormat/>
    <w:uiPriority w:val="99"/>
    <w:rPr>
      <w:rFonts w:ascii="仿宋_GB2312" w:eastAsia="微软雅黑"/>
      <w:b/>
      <w:spacing w:val="300"/>
      <w:kern w:val="2"/>
      <w:sz w:val="18"/>
      <w:lang w:val="en-US" w:eastAsia="zh-CN"/>
    </w:rPr>
  </w:style>
  <w:style w:type="character" w:customStyle="1" w:styleId="177">
    <w:name w:val="Char Char7"/>
    <w:semiHidden/>
    <w:qFormat/>
    <w:uiPriority w:val="99"/>
    <w:rPr>
      <w:rFonts w:eastAsia="宋体"/>
      <w:kern w:val="2"/>
      <w:sz w:val="24"/>
      <w:lang w:val="en-US" w:eastAsia="zh-CN"/>
    </w:rPr>
  </w:style>
  <w:style w:type="character" w:customStyle="1" w:styleId="178">
    <w:name w:val="表名 Char"/>
    <w:qFormat/>
    <w:uiPriority w:val="99"/>
    <w:rPr>
      <w:rFonts w:eastAsia="宋体"/>
      <w:b/>
      <w:kern w:val="2"/>
      <w:sz w:val="24"/>
      <w:lang w:val="en-US" w:eastAsia="zh-CN"/>
    </w:rPr>
  </w:style>
  <w:style w:type="character" w:customStyle="1" w:styleId="179">
    <w:name w:val="font41"/>
    <w:qFormat/>
    <w:uiPriority w:val="99"/>
    <w:rPr>
      <w:rFonts w:ascii="仿宋_GB2312" w:eastAsia="仿宋_GB2312"/>
      <w:color w:val="000000"/>
      <w:sz w:val="22"/>
      <w:u w:val="none"/>
    </w:rPr>
  </w:style>
  <w:style w:type="character" w:customStyle="1" w:styleId="180">
    <w:name w:val="纯文本 Char_0"/>
    <w:link w:val="181"/>
    <w:qFormat/>
    <w:locked/>
    <w:uiPriority w:val="99"/>
    <w:rPr>
      <w:rFonts w:ascii="宋体" w:hAnsi="Courier New"/>
      <w:kern w:val="2"/>
      <w:sz w:val="21"/>
      <w:lang w:val="en-US" w:eastAsia="zh-CN"/>
    </w:rPr>
  </w:style>
  <w:style w:type="paragraph" w:customStyle="1" w:styleId="181">
    <w:name w:val="纯文本_0_0"/>
    <w:basedOn w:val="182"/>
    <w:link w:val="180"/>
    <w:qFormat/>
    <w:uiPriority w:val="99"/>
    <w:rPr>
      <w:rFonts w:ascii="宋体" w:hAnsi="Courier New"/>
      <w:szCs w:val="20"/>
    </w:rPr>
  </w:style>
  <w:style w:type="paragraph" w:customStyle="1" w:styleId="182">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qFormat/>
    <w:uiPriority w:val="99"/>
    <w:rPr>
      <w:rFonts w:cs="Times New Roman"/>
      <w:lang w:bidi="ar-SA"/>
    </w:rPr>
  </w:style>
  <w:style w:type="character" w:customStyle="1" w:styleId="184">
    <w:name w:val="正文 项目 Char"/>
    <w:qFormat/>
    <w:uiPriority w:val="99"/>
    <w:rPr>
      <w:rFonts w:ascii="仿宋_GB2312" w:hAnsi="仿宋_GB2312" w:eastAsia="仿宋_GB2312"/>
      <w:kern w:val="2"/>
      <w:sz w:val="24"/>
    </w:rPr>
  </w:style>
  <w:style w:type="character" w:customStyle="1" w:styleId="185">
    <w:name w:val="h Char Char1"/>
    <w:qFormat/>
    <w:uiPriority w:val="99"/>
    <w:rPr>
      <w:rFonts w:eastAsia="宋体"/>
      <w:kern w:val="2"/>
      <w:sz w:val="18"/>
      <w:lang w:val="en-US" w:eastAsia="zh-CN"/>
    </w:rPr>
  </w:style>
  <w:style w:type="character" w:customStyle="1" w:styleId="186">
    <w:name w:val="Char Char27"/>
    <w:qFormat/>
    <w:uiPriority w:val="99"/>
    <w:rPr>
      <w:rFonts w:ascii="宋体" w:hAnsi="宋体" w:eastAsia="宋体"/>
      <w:color w:val="000000"/>
      <w:kern w:val="1"/>
      <w:sz w:val="28"/>
      <w:lang w:val="en-US" w:eastAsia="zh-CN"/>
    </w:rPr>
  </w:style>
  <w:style w:type="character" w:customStyle="1" w:styleId="187">
    <w:name w:val="px14"/>
    <w:qFormat/>
    <w:uiPriority w:val="99"/>
    <w:rPr>
      <w:rFonts w:ascii="仿宋_GB2312" w:eastAsia="微软雅黑"/>
      <w:b/>
      <w:kern w:val="2"/>
      <w:sz w:val="32"/>
      <w:lang w:val="en-US" w:eastAsia="zh-CN"/>
    </w:rPr>
  </w:style>
  <w:style w:type="character" w:customStyle="1" w:styleId="188">
    <w:name w:val="HTML 预设格式 Char1"/>
    <w:qFormat/>
    <w:uiPriority w:val="99"/>
    <w:rPr>
      <w:rFonts w:ascii="Courier New" w:hAnsi="Courier New" w:eastAsia="宋体"/>
      <w:sz w:val="20"/>
    </w:rPr>
  </w:style>
  <w:style w:type="character" w:customStyle="1" w:styleId="189">
    <w:name w:val="普通文字 Char1"/>
    <w:qFormat/>
    <w:uiPriority w:val="99"/>
    <w:rPr>
      <w:rFonts w:ascii="宋体" w:hAnsi="Courier New" w:eastAsia="宋体"/>
      <w:kern w:val="2"/>
      <w:sz w:val="21"/>
      <w:lang w:val="en-US" w:eastAsia="zh-CN"/>
    </w:rPr>
  </w:style>
  <w:style w:type="character" w:customStyle="1" w:styleId="190">
    <w:name w:val="hei16b1"/>
    <w:qFormat/>
    <w:uiPriority w:val="99"/>
    <w:rPr>
      <w:rFonts w:ascii="Arial" w:hAnsi="Arial"/>
      <w:b/>
      <w:color w:val="000000"/>
      <w:sz w:val="24"/>
    </w:rPr>
  </w:style>
  <w:style w:type="character" w:customStyle="1" w:styleId="191">
    <w:name w:val="正文（绿盟科技） Char"/>
    <w:link w:val="192"/>
    <w:qFormat/>
    <w:locked/>
    <w:uiPriority w:val="99"/>
    <w:rPr>
      <w:rFonts w:ascii="Arial" w:hAnsi="Arial"/>
      <w:sz w:val="21"/>
      <w:lang w:val="en-US" w:eastAsia="zh-CN"/>
    </w:rPr>
  </w:style>
  <w:style w:type="paragraph" w:customStyle="1" w:styleId="192">
    <w:name w:val="正文（绿盟科技）"/>
    <w:link w:val="191"/>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qFormat/>
    <w:uiPriority w:val="99"/>
    <w:rPr>
      <w:rFonts w:ascii="宋体" w:eastAsia="宋体"/>
      <w:i/>
      <w:sz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99"/>
    <w:rPr>
      <w:rFonts w:eastAsia="宋体"/>
      <w:b/>
      <w:kern w:val="2"/>
      <w:sz w:val="24"/>
      <w:lang w:val="en-US" w:eastAsia="zh-CN"/>
    </w:rPr>
  </w:style>
  <w:style w:type="character" w:customStyle="1" w:styleId="196">
    <w:name w:val="标题 2 字符"/>
    <w:qFormat/>
    <w:uiPriority w:val="99"/>
    <w:rPr>
      <w:rFonts w:ascii="仿宋_GB2312" w:hAnsi="Times New Roman" w:eastAsia="仿宋_GB2312"/>
      <w:b/>
      <w:kern w:val="2"/>
      <w:sz w:val="24"/>
      <w:lang w:val="zh-CN"/>
    </w:rPr>
  </w:style>
  <w:style w:type="character" w:customStyle="1" w:styleId="197">
    <w:name w:val="Char Char72"/>
    <w:qFormat/>
    <w:uiPriority w:val="99"/>
    <w:rPr>
      <w:rFonts w:eastAsia="宋体"/>
      <w:kern w:val="2"/>
      <w:sz w:val="24"/>
      <w:lang w:val="en-US" w:eastAsia="zh-CN"/>
    </w:rPr>
  </w:style>
  <w:style w:type="character" w:customStyle="1" w:styleId="198">
    <w:name w:val="正文文本缩进 Char2"/>
    <w:qFormat/>
    <w:uiPriority w:val="99"/>
    <w:rPr>
      <w:rFonts w:ascii="Times New Roman" w:hAnsi="Times New Roman" w:eastAsia="宋体"/>
      <w:snapToGrid w:val="0"/>
      <w:kern w:val="0"/>
      <w:sz w:val="24"/>
    </w:rPr>
  </w:style>
  <w:style w:type="character" w:customStyle="1" w:styleId="199">
    <w:name w:val="样式2 Char"/>
    <w:qFormat/>
    <w:uiPriority w:val="99"/>
    <w:rPr>
      <w:rFonts w:ascii="仿宋_GB2312" w:hAnsi="仿宋" w:eastAsia="仿宋_GB2312"/>
      <w:b/>
      <w:sz w:val="30"/>
      <w:lang w:val="zh-CN"/>
    </w:rPr>
  </w:style>
  <w:style w:type="character" w:customStyle="1" w:styleId="200">
    <w:name w:val="表格名称[858D7CFB-ED40-4347-BF05-701D383B685F]"/>
    <w:link w:val="201"/>
    <w:qFormat/>
    <w:locked/>
    <w:uiPriority w:val="99"/>
    <w:rPr>
      <w:sz w:val="32"/>
    </w:rPr>
  </w:style>
  <w:style w:type="paragraph" w:customStyle="1" w:styleId="201">
    <w:name w:val="表格名称"/>
    <w:basedOn w:val="2"/>
    <w:link w:val="200"/>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qFormat/>
    <w:uiPriority w:val="99"/>
    <w:rPr>
      <w:rFonts w:eastAsia="宋体"/>
      <w:b/>
      <w:sz w:val="24"/>
      <w:lang w:val="en-GB" w:eastAsia="zh-CN"/>
    </w:rPr>
  </w:style>
  <w:style w:type="character" w:customStyle="1" w:styleId="203">
    <w:name w:val="c7 style3"/>
    <w:qFormat/>
    <w:uiPriority w:val="99"/>
  </w:style>
  <w:style w:type="character" w:customStyle="1" w:styleId="204">
    <w:name w:val="正文文本 3 Char1"/>
    <w:semiHidden/>
    <w:qFormat/>
    <w:uiPriority w:val="99"/>
    <w:rPr>
      <w:rFonts w:ascii="Times New Roman" w:hAnsi="Times New Roman" w:eastAsia="宋体"/>
      <w:sz w:val="16"/>
    </w:rPr>
  </w:style>
  <w:style w:type="character" w:customStyle="1" w:styleId="205">
    <w:name w:val="tw4winInternal"/>
    <w:qFormat/>
    <w:uiPriority w:val="99"/>
    <w:rPr>
      <w:rFonts w:ascii="Courier New" w:hAnsi="Courier New"/>
      <w:color w:val="FF0000"/>
      <w:lang w:val="en-US" w:eastAsia="zh-CN"/>
    </w:rPr>
  </w:style>
  <w:style w:type="character" w:customStyle="1" w:styleId="206">
    <w:name w:val="Char Char10"/>
    <w:semiHidden/>
    <w:qFormat/>
    <w:uiPriority w:val="99"/>
    <w:rPr>
      <w:rFonts w:ascii="宋体" w:eastAsia="宋体"/>
      <w:kern w:val="2"/>
      <w:sz w:val="24"/>
      <w:lang w:val="en-US" w:eastAsia="zh-CN"/>
    </w:rPr>
  </w:style>
  <w:style w:type="character" w:customStyle="1" w:styleId="207">
    <w:name w:val="shadow11"/>
    <w:qFormat/>
    <w:uiPriority w:val="99"/>
    <w:rPr>
      <w:color w:val="000000"/>
      <w:sz w:val="21"/>
    </w:rPr>
  </w:style>
  <w:style w:type="character" w:customStyle="1" w:styleId="208">
    <w:name w:val="正文非缩进 Char3"/>
    <w:qFormat/>
    <w:uiPriority w:val="99"/>
    <w:rPr>
      <w:rFonts w:ascii="宋体" w:eastAsia="宋体"/>
      <w:snapToGrid w:val="0"/>
      <w:color w:val="000000"/>
      <w:kern w:val="28"/>
      <w:sz w:val="28"/>
      <w:lang w:val="en-US" w:eastAsia="zh-CN"/>
    </w:rPr>
  </w:style>
  <w:style w:type="character" w:customStyle="1" w:styleId="209">
    <w:name w:val="Char Char"/>
    <w:qFormat/>
    <w:uiPriority w:val="99"/>
    <w:rPr>
      <w:rFonts w:ascii="宋体" w:hAnsi="Courier New" w:eastAsia="宋体"/>
      <w:kern w:val="2"/>
      <w:sz w:val="21"/>
      <w:lang w:val="en-US" w:eastAsia="zh-CN"/>
    </w:rPr>
  </w:style>
  <w:style w:type="character" w:customStyle="1" w:styleId="210">
    <w:name w:val="签名 Char1"/>
    <w:qFormat/>
    <w:uiPriority w:val="99"/>
    <w:rPr>
      <w:rFonts w:ascii="Times New Roman" w:hAnsi="Times New Roman" w:eastAsia="宋体"/>
      <w:sz w:val="24"/>
    </w:rPr>
  </w:style>
  <w:style w:type="character" w:customStyle="1" w:styleId="211">
    <w:name w:val="Char Char18"/>
    <w:qFormat/>
    <w:uiPriority w:val="99"/>
    <w:rPr>
      <w:rFonts w:ascii="宋体" w:eastAsia="宋体"/>
      <w:sz w:val="28"/>
    </w:rPr>
  </w:style>
  <w:style w:type="character" w:customStyle="1" w:styleId="212">
    <w:name w:val="批注文字 Char"/>
    <w:qFormat/>
    <w:uiPriority w:val="99"/>
    <w:rPr>
      <w:kern w:val="2"/>
      <w:sz w:val="24"/>
    </w:rPr>
  </w:style>
  <w:style w:type="character" w:customStyle="1" w:styleId="213">
    <w:name w:val="Char Char22"/>
    <w:qFormat/>
    <w:uiPriority w:val="99"/>
    <w:rPr>
      <w:rFonts w:ascii="宋体" w:eastAsia="宋体"/>
      <w:kern w:val="1"/>
      <w:sz w:val="24"/>
    </w:rPr>
  </w:style>
  <w:style w:type="character" w:customStyle="1" w:styleId="214">
    <w:name w:val="pt141"/>
    <w:qFormat/>
    <w:uiPriority w:val="99"/>
    <w:rPr>
      <w:color w:val="330066"/>
      <w:sz w:val="22"/>
    </w:rPr>
  </w:style>
  <w:style w:type="character" w:customStyle="1" w:styleId="215">
    <w:name w:val="正文文本缩进 2 Char1"/>
    <w:semiHidden/>
    <w:qFormat/>
    <w:uiPriority w:val="99"/>
    <w:rPr>
      <w:rFonts w:ascii="Times New Roman" w:hAnsi="Times New Roman" w:eastAsia="宋体"/>
      <w:sz w:val="24"/>
    </w:rPr>
  </w:style>
  <w:style w:type="character" w:customStyle="1" w:styleId="216">
    <w:name w:val="Balloon Text Char1"/>
    <w:link w:val="41"/>
    <w:qFormat/>
    <w:locked/>
    <w:uiPriority w:val="99"/>
    <w:rPr>
      <w:kern w:val="2"/>
      <w:sz w:val="18"/>
    </w:rPr>
  </w:style>
  <w:style w:type="character" w:customStyle="1" w:styleId="217">
    <w:name w:val="Char Char611"/>
    <w:qFormat/>
    <w:uiPriority w:val="99"/>
    <w:rPr>
      <w:rFonts w:eastAsia="宋体"/>
      <w:kern w:val="2"/>
      <w:sz w:val="24"/>
      <w:lang w:val="en-US" w:eastAsia="zh-CN"/>
    </w:rPr>
  </w:style>
  <w:style w:type="character" w:customStyle="1" w:styleId="218">
    <w:name w:val="highlight1"/>
    <w:qFormat/>
    <w:uiPriority w:val="99"/>
    <w:rPr>
      <w:rFonts w:ascii="仿宋_GB2312" w:eastAsia="微软雅黑"/>
      <w:b/>
      <w:kern w:val="2"/>
      <w:sz w:val="23"/>
      <w:lang w:val="en-US" w:eastAsia="zh-CN"/>
    </w:rPr>
  </w:style>
  <w:style w:type="character" w:customStyle="1" w:styleId="219">
    <w:name w:val="my正文 Char"/>
    <w:link w:val="220"/>
    <w:qFormat/>
    <w:locked/>
    <w:uiPriority w:val="99"/>
    <w:rPr>
      <w:rFonts w:ascii="Tahoma" w:hAnsi="Tahoma"/>
      <w:sz w:val="24"/>
    </w:rPr>
  </w:style>
  <w:style w:type="paragraph" w:customStyle="1" w:styleId="220">
    <w:name w:val="my正文"/>
    <w:basedOn w:val="1"/>
    <w:link w:val="219"/>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5"/>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qFormat/>
    <w:uiPriority w:val="99"/>
    <w:rPr>
      <w:color w:val="0000FF"/>
      <w:sz w:val="21"/>
    </w:rPr>
  </w:style>
  <w:style w:type="character" w:customStyle="1" w:styleId="223">
    <w:name w:val="页眉 Char"/>
    <w:qFormat/>
    <w:uiPriority w:val="99"/>
    <w:rPr>
      <w:rFonts w:eastAsia="仿宋_GB2312"/>
      <w:kern w:val="2"/>
      <w:sz w:val="18"/>
      <w:lang w:val="en-US" w:eastAsia="zh-CN"/>
    </w:rPr>
  </w:style>
  <w:style w:type="character" w:customStyle="1" w:styleId="224">
    <w:name w:val="FA正文 Char Char"/>
    <w:qFormat/>
    <w:uiPriority w:val="99"/>
    <w:rPr>
      <w:rFonts w:hAnsi="宋体"/>
      <w:kern w:val="2"/>
      <w:sz w:val="24"/>
    </w:rPr>
  </w:style>
  <w:style w:type="character" w:customStyle="1" w:styleId="225">
    <w:name w:val="纯文本 字符"/>
    <w:qFormat/>
    <w:uiPriority w:val="99"/>
    <w:rPr>
      <w:rFonts w:ascii="宋体" w:hAnsi="Courier New" w:eastAsia="宋体"/>
      <w:snapToGrid w:val="0"/>
      <w:kern w:val="2"/>
      <w:sz w:val="21"/>
      <w:lang w:val="en-US" w:eastAsia="zh-CN"/>
    </w:rPr>
  </w:style>
  <w:style w:type="character" w:customStyle="1" w:styleId="226">
    <w:name w:val="3级 Char"/>
    <w:link w:val="227"/>
    <w:qFormat/>
    <w:locked/>
    <w:uiPriority w:val="99"/>
    <w:rPr>
      <w:rFonts w:ascii="宋体" w:eastAsia="宋体"/>
      <w:b/>
      <w:sz w:val="28"/>
    </w:rPr>
  </w:style>
  <w:style w:type="paragraph" w:customStyle="1" w:styleId="227">
    <w:name w:val="3级"/>
    <w:basedOn w:val="228"/>
    <w:link w:val="226"/>
    <w:qFormat/>
    <w:uiPriority w:val="99"/>
    <w:pPr>
      <w:ind w:left="0" w:right="466" w:firstLine="288"/>
    </w:pPr>
    <w:rPr>
      <w:rFonts w:hAnsi="Times New Roman"/>
      <w:bCs w:val="0"/>
    </w:rPr>
  </w:style>
  <w:style w:type="paragraph" w:customStyle="1" w:styleId="22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qFormat/>
    <w:uiPriority w:val="99"/>
    <w:rPr>
      <w:rFonts w:ascii="仿宋_GB2312" w:eastAsia="微软雅黑"/>
      <w:b/>
      <w:kern w:val="2"/>
      <w:sz w:val="32"/>
      <w:lang w:val="en-US" w:eastAsia="zh-CN"/>
    </w:rPr>
  </w:style>
  <w:style w:type="character" w:customStyle="1" w:styleId="230">
    <w:name w:val="Document Map Char1"/>
    <w:link w:val="18"/>
    <w:qFormat/>
    <w:locked/>
    <w:uiPriority w:val="99"/>
    <w:rPr>
      <w:kern w:val="2"/>
      <w:sz w:val="24"/>
      <w:shd w:val="clear" w:color="auto" w:fill="000080"/>
    </w:rPr>
  </w:style>
  <w:style w:type="character" w:customStyle="1" w:styleId="231">
    <w:name w:val="H6 Char"/>
    <w:qFormat/>
    <w:uiPriority w:val="99"/>
    <w:rPr>
      <w:rFonts w:ascii="Arial" w:hAnsi="Arial" w:eastAsia="黑体"/>
      <w:b/>
      <w:kern w:val="2"/>
      <w:sz w:val="24"/>
    </w:rPr>
  </w:style>
  <w:style w:type="character" w:customStyle="1" w:styleId="232">
    <w:name w:val="Char Char91"/>
    <w:qFormat/>
    <w:uiPriority w:val="99"/>
    <w:rPr>
      <w:rFonts w:eastAsia="宋体"/>
      <w:kern w:val="2"/>
      <w:sz w:val="18"/>
      <w:lang w:val="en-US" w:eastAsia="zh-CN"/>
    </w:rPr>
  </w:style>
  <w:style w:type="character" w:customStyle="1" w:styleId="233">
    <w:name w:val="副标题 Char1"/>
    <w:qFormat/>
    <w:uiPriority w:val="99"/>
    <w:rPr>
      <w:rFonts w:ascii="Cambria" w:hAnsi="Cambria" w:eastAsia="宋体"/>
      <w:b/>
      <w:snapToGrid w:val="0"/>
      <w:kern w:val="28"/>
      <w:sz w:val="32"/>
    </w:rPr>
  </w:style>
  <w:style w:type="character" w:customStyle="1" w:styleId="234">
    <w:name w:val="font61"/>
    <w:qFormat/>
    <w:uiPriority w:val="99"/>
    <w:rPr>
      <w:rFonts w:ascii="仿宋" w:hAnsi="仿宋" w:eastAsia="仿宋"/>
      <w:color w:val="000000"/>
      <w:sz w:val="20"/>
      <w:u w:val="none"/>
    </w:rPr>
  </w:style>
  <w:style w:type="character" w:customStyle="1" w:styleId="235">
    <w:name w:val="bod1"/>
    <w:qFormat/>
    <w:uiPriority w:val="99"/>
    <w:rPr>
      <w:rFonts w:ascii="MS Sans Serif" w:hAnsi="MS Sans Serif" w:eastAsia="微软雅黑"/>
      <w:b/>
      <w:color w:val="000000"/>
      <w:kern w:val="2"/>
      <w:sz w:val="20"/>
      <w:lang w:val="en-US" w:eastAsia="zh-CN"/>
    </w:rPr>
  </w:style>
  <w:style w:type="character" w:customStyle="1" w:styleId="236">
    <w:name w:val="Char Char211"/>
    <w:qFormat/>
    <w:uiPriority w:val="99"/>
    <w:rPr>
      <w:rFonts w:eastAsia="宋体"/>
      <w:b/>
      <w:kern w:val="2"/>
      <w:sz w:val="24"/>
      <w:lang w:val="en-US" w:eastAsia="zh-CN"/>
    </w:rPr>
  </w:style>
  <w:style w:type="character" w:customStyle="1" w:styleId="237">
    <w:name w:val="标题 2 Char"/>
    <w:qFormat/>
    <w:uiPriority w:val="99"/>
    <w:rPr>
      <w:rFonts w:ascii="Arial" w:hAnsi="Arial" w:eastAsia="黑体"/>
      <w:b/>
      <w:kern w:val="2"/>
      <w:sz w:val="32"/>
      <w:lang w:val="en-US" w:eastAsia="zh-CN"/>
    </w:rPr>
  </w:style>
  <w:style w:type="character" w:customStyle="1" w:styleId="238">
    <w:name w:val="maywed421"/>
    <w:qFormat/>
    <w:uiPriority w:val="99"/>
    <w:rPr>
      <w:color w:val="366FB6"/>
      <w:u w:val="none"/>
    </w:rPr>
  </w:style>
  <w:style w:type="character" w:customStyle="1" w:styleId="239">
    <w:name w:val="正文文本缩进 Char"/>
    <w:qFormat/>
    <w:uiPriority w:val="99"/>
    <w:rPr>
      <w:rFonts w:ascii="宋体" w:eastAsia="宋体"/>
      <w:kern w:val="2"/>
      <w:sz w:val="24"/>
    </w:rPr>
  </w:style>
  <w:style w:type="character" w:customStyle="1" w:styleId="240">
    <w:name w:val="Char Char102"/>
    <w:semiHidden/>
    <w:qFormat/>
    <w:uiPriority w:val="99"/>
    <w:rPr>
      <w:rFonts w:ascii="宋体" w:eastAsia="宋体"/>
      <w:kern w:val="2"/>
      <w:sz w:val="24"/>
      <w:lang w:val="en-US" w:eastAsia="zh-CN"/>
    </w:rPr>
  </w:style>
  <w:style w:type="character" w:customStyle="1" w:styleId="241">
    <w:name w:val="页眉 Char1"/>
    <w:qFormat/>
    <w:uiPriority w:val="99"/>
    <w:rPr>
      <w:rFonts w:eastAsia="宋体"/>
      <w:kern w:val="2"/>
      <w:sz w:val="18"/>
      <w:lang w:val="en-US" w:eastAsia="zh-CN"/>
    </w:rPr>
  </w:style>
  <w:style w:type="character" w:customStyle="1" w:styleId="242">
    <w:name w:val="md"/>
    <w:basedOn w:val="72"/>
    <w:qFormat/>
    <w:uiPriority w:val="99"/>
    <w:rPr>
      <w:rFonts w:ascii="Arial" w:hAnsi="Arial" w:eastAsia="黑体" w:cs="Arial"/>
      <w:snapToGrid w:val="0"/>
      <w:kern w:val="0"/>
      <w:sz w:val="21"/>
      <w:szCs w:val="21"/>
    </w:rPr>
  </w:style>
  <w:style w:type="character" w:customStyle="1" w:styleId="243">
    <w:name w:val="big1"/>
    <w:qFormat/>
    <w:uiPriority w:val="99"/>
    <w:rPr>
      <w:rFonts w:ascii="宋体" w:hAnsi="宋体" w:eastAsia="宋体"/>
      <w:color w:val="333333"/>
      <w:sz w:val="22"/>
    </w:rPr>
  </w:style>
  <w:style w:type="character" w:customStyle="1" w:styleId="244">
    <w:name w:val="Char Char311"/>
    <w:qFormat/>
    <w:uiPriority w:val="99"/>
    <w:rPr>
      <w:rFonts w:eastAsia="宋体"/>
      <w:kern w:val="2"/>
      <w:sz w:val="24"/>
      <w:lang w:val="en-US" w:eastAsia="zh-CN"/>
    </w:rPr>
  </w:style>
  <w:style w:type="character" w:customStyle="1" w:styleId="245">
    <w:name w:val="Char Char81"/>
    <w:qFormat/>
    <w:uiPriority w:val="99"/>
    <w:rPr>
      <w:rFonts w:eastAsia="宋体"/>
      <w:b/>
      <w:sz w:val="24"/>
      <w:lang w:val="en-GB" w:eastAsia="zh-CN"/>
    </w:rPr>
  </w:style>
  <w:style w:type="character" w:customStyle="1" w:styleId="246">
    <w:name w:val="样式3 Char"/>
    <w:basedOn w:val="199"/>
    <w:qFormat/>
    <w:uiPriority w:val="99"/>
    <w:rPr>
      <w:rFonts w:cs="仿宋_GB2312"/>
      <w:bCs/>
      <w:szCs w:val="30"/>
    </w:rPr>
  </w:style>
  <w:style w:type="character" w:customStyle="1" w:styleId="247">
    <w:name w:val="正文首行缩进 2 Char1"/>
    <w:qFormat/>
    <w:uiPriority w:val="99"/>
    <w:rPr>
      <w:rFonts w:ascii="Times New Roman" w:hAnsi="Times New Roman" w:eastAsia="宋体"/>
      <w:kern w:val="2"/>
      <w:sz w:val="24"/>
    </w:rPr>
  </w:style>
  <w:style w:type="character" w:customStyle="1" w:styleId="248">
    <w:name w:val="副标题 Char2"/>
    <w:qFormat/>
    <w:uiPriority w:val="99"/>
    <w:rPr>
      <w:rFonts w:ascii="Cambria" w:hAnsi="Cambria" w:eastAsia="宋体"/>
      <w:b/>
      <w:snapToGrid w:val="0"/>
      <w:kern w:val="28"/>
      <w:sz w:val="32"/>
    </w:rPr>
  </w:style>
  <w:style w:type="character" w:customStyle="1" w:styleId="249">
    <w:name w:val="标题4-dyf Char"/>
    <w:link w:val="250"/>
    <w:qFormat/>
    <w:locked/>
    <w:uiPriority w:val="99"/>
    <w:rPr>
      <w:rFonts w:ascii="Cambria" w:hAnsi="Cambria"/>
      <w:b/>
      <w:color w:val="000000"/>
      <w:kern w:val="2"/>
      <w:sz w:val="21"/>
    </w:rPr>
  </w:style>
  <w:style w:type="paragraph" w:customStyle="1" w:styleId="250">
    <w:name w:val="标题4-dyf"/>
    <w:basedOn w:val="5"/>
    <w:link w:val="249"/>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qFormat/>
    <w:uiPriority w:val="99"/>
    <w:rPr>
      <w:rFonts w:ascii="宋体" w:hAnsi="宋体" w:eastAsia="宋体"/>
      <w:color w:val="333333"/>
      <w:sz w:val="21"/>
      <w:u w:val="none"/>
    </w:rPr>
  </w:style>
  <w:style w:type="character" w:customStyle="1" w:styleId="252">
    <w:name w:val="冯 Char"/>
    <w:link w:val="253"/>
    <w:qFormat/>
    <w:locked/>
    <w:uiPriority w:val="99"/>
    <w:rPr>
      <w:rFonts w:ascii="宋体" w:eastAsia="宋体"/>
      <w:color w:val="000000"/>
      <w:sz w:val="24"/>
    </w:rPr>
  </w:style>
  <w:style w:type="paragraph" w:customStyle="1" w:styleId="253">
    <w:name w:val="冯"/>
    <w:basedOn w:val="1"/>
    <w:link w:val="252"/>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qFormat/>
    <w:uiPriority w:val="99"/>
    <w:rPr>
      <w:rFonts w:ascii="仿宋_GB2312" w:eastAsia="仿宋_GB2312"/>
      <w:b/>
      <w:kern w:val="2"/>
      <w:sz w:val="24"/>
      <w:lang w:val="zh-CN" w:eastAsia="zh-CN"/>
    </w:rPr>
  </w:style>
  <w:style w:type="character" w:customStyle="1" w:styleId="255">
    <w:name w:val="Caption Char"/>
    <w:link w:val="16"/>
    <w:qFormat/>
    <w:locked/>
    <w:uiPriority w:val="99"/>
    <w:rPr>
      <w:b/>
      <w:kern w:val="2"/>
      <w:sz w:val="28"/>
    </w:rPr>
  </w:style>
  <w:style w:type="character" w:customStyle="1" w:styleId="256">
    <w:name w:val="普通文字 Char3"/>
    <w:qFormat/>
    <w:uiPriority w:val="99"/>
    <w:rPr>
      <w:rFonts w:ascii="宋体" w:hAnsi="Courier New" w:eastAsia="宋体"/>
      <w:kern w:val="2"/>
      <w:sz w:val="21"/>
      <w:lang w:val="en-US" w:eastAsia="zh-CN"/>
    </w:rPr>
  </w:style>
  <w:style w:type="character" w:customStyle="1" w:styleId="257">
    <w:name w:val="公文正文 Char"/>
    <w:qFormat/>
    <w:uiPriority w:val="99"/>
    <w:rPr>
      <w:rFonts w:ascii="仿宋_GB2312" w:eastAsia="仿宋_GB2312"/>
      <w:kern w:val="2"/>
      <w:sz w:val="24"/>
      <w:lang w:val="en-US" w:eastAsia="zh-CN"/>
    </w:rPr>
  </w:style>
  <w:style w:type="character" w:customStyle="1" w:styleId="258">
    <w:name w:val="正文首行缩进 Char Char Char Char Char"/>
    <w:qFormat/>
    <w:uiPriority w:val="99"/>
    <w:rPr>
      <w:rFonts w:ascii="宋体"/>
      <w:kern w:val="2"/>
      <w:sz w:val="24"/>
      <w:lang w:val="zh-CN"/>
    </w:rPr>
  </w:style>
  <w:style w:type="character" w:customStyle="1" w:styleId="259">
    <w:name w:val="PI Char"/>
    <w:qFormat/>
    <w:uiPriority w:val="99"/>
    <w:rPr>
      <w:rFonts w:ascii="宋体" w:hAnsi="宋体" w:eastAsia="宋体"/>
      <w:kern w:val="2"/>
      <w:sz w:val="24"/>
      <w:lang w:val="en-US" w:eastAsia="zh-CN"/>
    </w:rPr>
  </w:style>
  <w:style w:type="character" w:customStyle="1" w:styleId="260">
    <w:name w:val="Default Char"/>
    <w:link w:val="261"/>
    <w:qFormat/>
    <w:locked/>
    <w:uiPriority w:val="99"/>
    <w:rPr>
      <w:rFonts w:ascii="仿宋_GB2312" w:eastAsia="仿宋_GB2312"/>
      <w:color w:val="000000"/>
      <w:sz w:val="24"/>
      <w:lang w:val="en-US" w:eastAsia="zh-CN"/>
    </w:rPr>
  </w:style>
  <w:style w:type="paragraph" w:customStyle="1" w:styleId="261">
    <w:name w:val="Default"/>
    <w:link w:val="260"/>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2">
    <w:name w:val="style91"/>
    <w:qFormat/>
    <w:uiPriority w:val="99"/>
    <w:rPr>
      <w:color w:val="333333"/>
    </w:rPr>
  </w:style>
  <w:style w:type="character" w:customStyle="1" w:styleId="263">
    <w:name w:val="列出段落 Char2"/>
    <w:qFormat/>
    <w:uiPriority w:val="99"/>
    <w:rPr>
      <w:rFonts w:ascii="Calibri" w:hAnsi="Calibri"/>
      <w:kern w:val="2"/>
      <w:sz w:val="28"/>
    </w:rPr>
  </w:style>
  <w:style w:type="character" w:customStyle="1" w:styleId="264">
    <w:name w:val="mdeck"/>
    <w:qFormat/>
    <w:uiPriority w:val="99"/>
    <w:rPr>
      <w:rFonts w:ascii="仿宋_GB2312" w:eastAsia="微软雅黑"/>
      <w:b/>
      <w:kern w:val="2"/>
      <w:sz w:val="32"/>
      <w:lang w:val="en-US" w:eastAsia="zh-CN"/>
    </w:rPr>
  </w:style>
  <w:style w:type="character" w:customStyle="1" w:styleId="265">
    <w:name w:val="unnamed11"/>
    <w:qFormat/>
    <w:uiPriority w:val="99"/>
    <w:rPr>
      <w:sz w:val="20"/>
    </w:rPr>
  </w:style>
  <w:style w:type="character" w:customStyle="1" w:styleId="266">
    <w:name w:val="正文文本 Char2"/>
    <w:semiHidden/>
    <w:qFormat/>
    <w:uiPriority w:val="99"/>
    <w:rPr>
      <w:rFonts w:ascii="Times New Roman" w:hAnsi="Times New Roman" w:eastAsia="宋体"/>
      <w:snapToGrid w:val="0"/>
      <w:kern w:val="0"/>
      <w:sz w:val="24"/>
    </w:rPr>
  </w:style>
  <w:style w:type="character" w:customStyle="1" w:styleId="267">
    <w:name w:val="标书正文格式 Char"/>
    <w:qFormat/>
    <w:uiPriority w:val="99"/>
    <w:rPr>
      <w:rFonts w:eastAsia="楷体_GB2312"/>
      <w:kern w:val="2"/>
      <w:sz w:val="24"/>
    </w:rPr>
  </w:style>
  <w:style w:type="character" w:customStyle="1" w:styleId="268">
    <w:name w:val="Char Char11"/>
    <w:qFormat/>
    <w:locked/>
    <w:uiPriority w:val="99"/>
    <w:rPr>
      <w:rFonts w:ascii="宋体" w:hAnsi="宋体" w:eastAsia="宋体"/>
      <w:b/>
      <w:kern w:val="2"/>
      <w:sz w:val="24"/>
      <w:lang w:val="en-US" w:eastAsia="zh-CN"/>
    </w:rPr>
  </w:style>
  <w:style w:type="character" w:customStyle="1" w:styleId="269">
    <w:name w:val="ca-131"/>
    <w:qFormat/>
    <w:uiPriority w:val="99"/>
    <w:rPr>
      <w:rFonts w:ascii="仿宋_GB2312" w:eastAsia="仿宋_GB2312"/>
      <w:b/>
      <w:color w:val="000000"/>
      <w:spacing w:val="-20"/>
      <w:sz w:val="24"/>
    </w:rPr>
  </w:style>
  <w:style w:type="character" w:customStyle="1" w:styleId="270">
    <w:name w:val="tw4winMark"/>
    <w:qFormat/>
    <w:uiPriority w:val="99"/>
    <w:rPr>
      <w:rFonts w:ascii="Courier New" w:hAnsi="Courier New"/>
      <w:vanish/>
      <w:color w:val="800080"/>
      <w:sz w:val="24"/>
      <w:vertAlign w:val="subscript"/>
    </w:rPr>
  </w:style>
  <w:style w:type="character" w:customStyle="1" w:styleId="271">
    <w:name w:val="正文样式 Char"/>
    <w:link w:val="272"/>
    <w:qFormat/>
    <w:locked/>
    <w:uiPriority w:val="99"/>
    <w:rPr>
      <w:rFonts w:ascii="Calibri" w:hAnsi="Calibri"/>
      <w:sz w:val="24"/>
    </w:rPr>
  </w:style>
  <w:style w:type="paragraph" w:customStyle="1" w:styleId="272">
    <w:name w:val="正文样式"/>
    <w:basedOn w:val="1"/>
    <w:link w:val="271"/>
    <w:qFormat/>
    <w:uiPriority w:val="99"/>
    <w:pPr>
      <w:adjustRightInd/>
      <w:spacing w:line="360" w:lineRule="auto"/>
      <w:ind w:firstLine="480" w:firstLineChars="200"/>
    </w:pPr>
    <w:rPr>
      <w:rFonts w:ascii="Calibri" w:hAnsi="Calibri"/>
      <w:kern w:val="0"/>
      <w:sz w:val="24"/>
      <w:szCs w:val="20"/>
    </w:rPr>
  </w:style>
  <w:style w:type="character" w:customStyle="1" w:styleId="273">
    <w:name w:val="表正文 Char3"/>
    <w:qFormat/>
    <w:uiPriority w:val="99"/>
    <w:rPr>
      <w:rFonts w:eastAsia="宋体"/>
    </w:rPr>
  </w:style>
  <w:style w:type="character" w:customStyle="1" w:styleId="274">
    <w:name w:val="H5 Char"/>
    <w:qFormat/>
    <w:uiPriority w:val="99"/>
    <w:rPr>
      <w:b/>
      <w:kern w:val="2"/>
      <w:sz w:val="28"/>
    </w:rPr>
  </w:style>
  <w:style w:type="character" w:customStyle="1" w:styleId="275">
    <w:name w:val="Char Char3"/>
    <w:qFormat/>
    <w:uiPriority w:val="99"/>
    <w:rPr>
      <w:rFonts w:eastAsia="宋体"/>
      <w:kern w:val="2"/>
      <w:sz w:val="24"/>
      <w:lang w:val="en-US" w:eastAsia="zh-CN"/>
    </w:rPr>
  </w:style>
  <w:style w:type="character" w:customStyle="1" w:styleId="276">
    <w:name w:val="正文 编号 Char"/>
    <w:qFormat/>
    <w:uiPriority w:val="99"/>
    <w:rPr>
      <w:rFonts w:ascii="仿宋_GB2312" w:hAnsi="仿宋_GB2312" w:eastAsia="仿宋_GB2312"/>
      <w:kern w:val="2"/>
      <w:sz w:val="24"/>
    </w:rPr>
  </w:style>
  <w:style w:type="character" w:customStyle="1" w:styleId="277">
    <w:name w:val="question-title2"/>
    <w:qFormat/>
    <w:uiPriority w:val="99"/>
    <w:rPr>
      <w:rFonts w:ascii="Arial" w:hAnsi="Arial" w:eastAsia="黑体"/>
      <w:snapToGrid w:val="0"/>
      <w:kern w:val="0"/>
      <w:sz w:val="21"/>
    </w:rPr>
  </w:style>
  <w:style w:type="character" w:customStyle="1" w:styleId="278">
    <w:name w:val="gf正文1 Char Char"/>
    <w:link w:val="279"/>
    <w:qFormat/>
    <w:locked/>
    <w:uiPriority w:val="99"/>
    <w:rPr>
      <w:rFonts w:ascii="宋体" w:eastAsia="宋体"/>
      <w:kern w:val="2"/>
      <w:sz w:val="24"/>
    </w:rPr>
  </w:style>
  <w:style w:type="paragraph" w:customStyle="1" w:styleId="279">
    <w:name w:val="gf正文1"/>
    <w:basedOn w:val="1"/>
    <w:link w:val="278"/>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0">
    <w:name w:val="Char Char15"/>
    <w:qFormat/>
    <w:uiPriority w:val="99"/>
    <w:rPr>
      <w:rFonts w:ascii="宋体" w:eastAsia="宋体"/>
      <w:kern w:val="1"/>
      <w:sz w:val="21"/>
    </w:rPr>
  </w:style>
  <w:style w:type="character" w:customStyle="1" w:styleId="281">
    <w:name w:val="正文缩进 Char3"/>
    <w:qFormat/>
    <w:uiPriority w:val="99"/>
    <w:rPr>
      <w:rFonts w:ascii="宋体" w:eastAsia="宋体"/>
      <w:snapToGrid w:val="0"/>
      <w:color w:val="000000"/>
      <w:kern w:val="28"/>
      <w:sz w:val="28"/>
      <w:lang w:val="en-US" w:eastAsia="zh-CN"/>
    </w:rPr>
  </w:style>
  <w:style w:type="character" w:customStyle="1" w:styleId="282">
    <w:name w:val="列出段落 Char1"/>
    <w:link w:val="283"/>
    <w:qFormat/>
    <w:locked/>
    <w:uiPriority w:val="99"/>
    <w:rPr>
      <w:rFonts w:ascii="Calibri" w:hAnsi="Calibri"/>
      <w:sz w:val="24"/>
      <w:lang w:eastAsia="en-US"/>
    </w:rPr>
  </w:style>
  <w:style w:type="paragraph" w:customStyle="1" w:styleId="283">
    <w:name w:val="列表1"/>
    <w:basedOn w:val="1"/>
    <w:next w:val="284"/>
    <w:link w:val="282"/>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4">
    <w:name w:val="List Paragraph"/>
    <w:basedOn w:val="1"/>
    <w:qFormat/>
    <w:uiPriority w:val="99"/>
    <w:pPr>
      <w:spacing w:line="360" w:lineRule="auto"/>
      <w:ind w:firstLine="200" w:firstLineChars="200"/>
    </w:pPr>
    <w:rPr>
      <w:rFonts w:eastAsia="楷体_GB2312" w:cs="Lucida Sans"/>
      <w:sz w:val="24"/>
    </w:rPr>
  </w:style>
  <w:style w:type="character" w:customStyle="1" w:styleId="285">
    <w:name w:val="Char Char8"/>
    <w:qFormat/>
    <w:uiPriority w:val="99"/>
    <w:rPr>
      <w:rFonts w:eastAsia="宋体"/>
      <w:b/>
      <w:sz w:val="24"/>
      <w:lang w:val="en-GB" w:eastAsia="zh-CN"/>
    </w:rPr>
  </w:style>
  <w:style w:type="character" w:customStyle="1" w:styleId="286">
    <w:name w:val="Normal Indent Char Char"/>
    <w:qFormat/>
    <w:uiPriority w:val="99"/>
    <w:rPr>
      <w:rFonts w:eastAsia="宋体"/>
      <w:kern w:val="2"/>
      <w:sz w:val="21"/>
      <w:lang w:val="en-US" w:eastAsia="zh-CN"/>
    </w:rPr>
  </w:style>
  <w:style w:type="character" w:customStyle="1" w:styleId="287">
    <w:name w:val="列表段落 字符"/>
    <w:qFormat/>
    <w:uiPriority w:val="99"/>
  </w:style>
  <w:style w:type="character" w:customStyle="1" w:styleId="288">
    <w:name w:val="Ò³Ã¼ Char Char1"/>
    <w:qFormat/>
    <w:uiPriority w:val="99"/>
    <w:rPr>
      <w:rFonts w:eastAsia="宋体"/>
      <w:kern w:val="2"/>
      <w:sz w:val="18"/>
      <w:lang w:val="en-US" w:eastAsia="zh-CN"/>
    </w:rPr>
  </w:style>
  <w:style w:type="character" w:customStyle="1" w:styleId="289">
    <w:name w:val="方案正文 Char"/>
    <w:qFormat/>
    <w:uiPriority w:val="99"/>
    <w:rPr>
      <w:rFonts w:ascii="仿宋_GB2312" w:eastAsia="仿宋_GB2312"/>
      <w:b/>
      <w:color w:val="000000"/>
      <w:kern w:val="2"/>
      <w:sz w:val="24"/>
      <w:lang w:val="en-US" w:eastAsia="zh-CN"/>
    </w:rPr>
  </w:style>
  <w:style w:type="character" w:customStyle="1" w:styleId="290">
    <w:name w:val="Char Char30"/>
    <w:qFormat/>
    <w:uiPriority w:val="99"/>
    <w:rPr>
      <w:rFonts w:ascii="Arial" w:hAnsi="Arial" w:eastAsia="黑体"/>
      <w:kern w:val="1"/>
      <w:sz w:val="21"/>
    </w:rPr>
  </w:style>
  <w:style w:type="character" w:customStyle="1" w:styleId="291">
    <w:name w:val="font01"/>
    <w:qFormat/>
    <w:uiPriority w:val="99"/>
    <w:rPr>
      <w:rFonts w:ascii="微软雅黑" w:hAnsi="微软雅黑" w:eastAsia="微软雅黑"/>
      <w:color w:val="000000"/>
      <w:sz w:val="20"/>
      <w:u w:val="none"/>
    </w:rPr>
  </w:style>
  <w:style w:type="character" w:customStyle="1" w:styleId="292">
    <w:name w:val="Char Char20"/>
    <w:qFormat/>
    <w:uiPriority w:val="99"/>
    <w:rPr>
      <w:kern w:val="1"/>
      <w:sz w:val="24"/>
    </w:rPr>
  </w:style>
  <w:style w:type="character" w:customStyle="1" w:styleId="293">
    <w:name w:val="tw4winExternal"/>
    <w:qFormat/>
    <w:uiPriority w:val="99"/>
    <w:rPr>
      <w:rFonts w:ascii="Courier New" w:hAnsi="Courier New"/>
      <w:color w:val="808080"/>
      <w:lang w:val="en-US" w:eastAsia="zh-CN"/>
    </w:rPr>
  </w:style>
  <w:style w:type="character" w:customStyle="1" w:styleId="294">
    <w:name w:val="标题 4 Char1"/>
    <w:qFormat/>
    <w:uiPriority w:val="99"/>
    <w:rPr>
      <w:rFonts w:ascii="Cambria" w:hAnsi="Cambria" w:eastAsia="宋体"/>
      <w:b/>
      <w:kern w:val="2"/>
      <w:sz w:val="28"/>
    </w:rPr>
  </w:style>
  <w:style w:type="character" w:customStyle="1" w:styleId="295">
    <w:name w:val="批注文字 Char2"/>
    <w:qFormat/>
    <w:uiPriority w:val="99"/>
    <w:rPr>
      <w:rFonts w:ascii="Times New Roman" w:hAnsi="Times New Roman" w:eastAsia="宋体"/>
      <w:snapToGrid w:val="0"/>
      <w:kern w:val="0"/>
      <w:sz w:val="24"/>
    </w:rPr>
  </w:style>
  <w:style w:type="character" w:customStyle="1" w:styleId="296">
    <w:name w:val="正文文本 2 Char"/>
    <w:qFormat/>
    <w:uiPriority w:val="99"/>
    <w:rPr>
      <w:rFonts w:eastAsia="宋体"/>
      <w:kern w:val="2"/>
      <w:sz w:val="24"/>
      <w:lang w:val="en-US" w:eastAsia="zh-CN"/>
    </w:rPr>
  </w:style>
  <w:style w:type="character" w:customStyle="1" w:styleId="297">
    <w:name w:val="Ò³Ã¼ Char Char"/>
    <w:qFormat/>
    <w:uiPriority w:val="99"/>
    <w:rPr>
      <w:rFonts w:eastAsia="宋体"/>
      <w:kern w:val="2"/>
      <w:sz w:val="18"/>
      <w:lang w:val="en-US" w:eastAsia="zh-CN"/>
    </w:rPr>
  </w:style>
  <w:style w:type="character" w:customStyle="1" w:styleId="298">
    <w:name w:val="message1"/>
    <w:qFormat/>
    <w:uiPriority w:val="99"/>
    <w:rPr>
      <w:rFonts w:ascii="Tahoma" w:hAnsi="Tahoma"/>
      <w:sz w:val="18"/>
    </w:rPr>
  </w:style>
  <w:style w:type="character" w:customStyle="1" w:styleId="299">
    <w:name w:val="Char Char23"/>
    <w:qFormat/>
    <w:uiPriority w:val="99"/>
    <w:rPr>
      <w:color w:val="0000FF"/>
      <w:sz w:val="21"/>
    </w:rPr>
  </w:style>
  <w:style w:type="character" w:customStyle="1" w:styleId="300">
    <w:name w:val="批注框文本 字符"/>
    <w:qFormat/>
    <w:uiPriority w:val="99"/>
    <w:rPr>
      <w:rFonts w:ascii="Arial" w:hAnsi="Arial" w:eastAsia="黑体"/>
      <w:snapToGrid w:val="0"/>
      <w:kern w:val="0"/>
      <w:sz w:val="18"/>
    </w:rPr>
  </w:style>
  <w:style w:type="character" w:customStyle="1" w:styleId="301">
    <w:name w:val="纯文本 Char2"/>
    <w:semiHidden/>
    <w:qFormat/>
    <w:uiPriority w:val="99"/>
    <w:rPr>
      <w:rFonts w:ascii="宋体" w:hAnsi="Courier New" w:eastAsia="宋体"/>
    </w:rPr>
  </w:style>
  <w:style w:type="character" w:customStyle="1" w:styleId="302">
    <w:name w:val="Char Char25"/>
    <w:qFormat/>
    <w:uiPriority w:val="99"/>
    <w:rPr>
      <w:rFonts w:ascii="宋体" w:eastAsia="宋体"/>
      <w:kern w:val="1"/>
      <w:sz w:val="24"/>
      <w:lang w:val="zh-CN"/>
    </w:rPr>
  </w:style>
  <w:style w:type="character" w:customStyle="1" w:styleId="303">
    <w:name w:val="Char Char411"/>
    <w:qFormat/>
    <w:uiPriority w:val="99"/>
    <w:rPr>
      <w:rFonts w:eastAsia="宋体"/>
      <w:b/>
      <w:sz w:val="24"/>
      <w:lang w:val="en-GB" w:eastAsia="zh-CN"/>
    </w:rPr>
  </w:style>
  <w:style w:type="character" w:customStyle="1" w:styleId="304">
    <w:name w:val="此正文 Char"/>
    <w:link w:val="305"/>
    <w:qFormat/>
    <w:locked/>
    <w:uiPriority w:val="99"/>
    <w:rPr>
      <w:kern w:val="2"/>
      <w:sz w:val="24"/>
    </w:rPr>
  </w:style>
  <w:style w:type="paragraph" w:customStyle="1" w:styleId="305">
    <w:name w:val="此正文"/>
    <w:basedOn w:val="1"/>
    <w:link w:val="304"/>
    <w:qFormat/>
    <w:uiPriority w:val="99"/>
    <w:pPr>
      <w:adjustRightInd/>
      <w:spacing w:line="360" w:lineRule="auto"/>
      <w:ind w:firstLine="200" w:firstLineChars="200"/>
    </w:pPr>
    <w:rPr>
      <w:sz w:val="24"/>
      <w:szCs w:val="20"/>
    </w:rPr>
  </w:style>
  <w:style w:type="character" w:customStyle="1" w:styleId="306">
    <w:name w:val="Char Char2"/>
    <w:qFormat/>
    <w:uiPriority w:val="99"/>
    <w:rPr>
      <w:rFonts w:eastAsia="宋体"/>
      <w:b/>
      <w:kern w:val="2"/>
      <w:sz w:val="24"/>
      <w:lang w:val="en-US" w:eastAsia="zh-CN"/>
    </w:rPr>
  </w:style>
  <w:style w:type="character" w:customStyle="1" w:styleId="307">
    <w:name w:val="Heading 1 Char1"/>
    <w:link w:val="3"/>
    <w:qFormat/>
    <w:locked/>
    <w:uiPriority w:val="99"/>
    <w:rPr>
      <w:b/>
      <w:kern w:val="44"/>
      <w:sz w:val="44"/>
    </w:rPr>
  </w:style>
  <w:style w:type="character" w:customStyle="1" w:styleId="308">
    <w:name w:val="Footer-Even Char1"/>
    <w:qFormat/>
    <w:uiPriority w:val="99"/>
    <w:rPr>
      <w:rFonts w:eastAsia="宋体"/>
      <w:kern w:val="2"/>
      <w:sz w:val="18"/>
      <w:lang w:val="en-US" w:eastAsia="zh-CN"/>
    </w:rPr>
  </w:style>
  <w:style w:type="character" w:customStyle="1" w:styleId="309">
    <w:name w:val="Char Char29"/>
    <w:qFormat/>
    <w:uiPriority w:val="99"/>
    <w:rPr>
      <w:rFonts w:ascii="Arial" w:hAnsi="Arial" w:eastAsia="微软雅黑"/>
      <w:b/>
      <w:kern w:val="1"/>
      <w:sz w:val="32"/>
      <w:lang w:val="en-US" w:eastAsia="zh-CN"/>
    </w:rPr>
  </w:style>
  <w:style w:type="character" w:customStyle="1" w:styleId="310">
    <w:name w:val="font81"/>
    <w:qFormat/>
    <w:uiPriority w:val="99"/>
    <w:rPr>
      <w:rFonts w:ascii="微软雅黑" w:hAnsi="微软雅黑" w:eastAsia="微软雅黑"/>
      <w:color w:val="000000"/>
      <w:sz w:val="20"/>
      <w:u w:val="none"/>
    </w:rPr>
  </w:style>
  <w:style w:type="character" w:customStyle="1" w:styleId="311">
    <w:name w:val="Char Char312"/>
    <w:qFormat/>
    <w:uiPriority w:val="99"/>
    <w:rPr>
      <w:rFonts w:ascii="Times New Roman" w:hAnsi="Times New Roman" w:eastAsia="宋体"/>
      <w:b/>
      <w:kern w:val="2"/>
      <w:sz w:val="24"/>
      <w:lang w:val="en-US" w:eastAsia="zh-CN"/>
    </w:rPr>
  </w:style>
  <w:style w:type="character" w:customStyle="1" w:styleId="312">
    <w:name w:val="t21"/>
    <w:qFormat/>
    <w:uiPriority w:val="99"/>
    <w:rPr>
      <w:rFonts w:ascii="仿宋_GB2312" w:eastAsia="微软雅黑"/>
      <w:b/>
      <w:kern w:val="2"/>
      <w:sz w:val="23"/>
      <w:lang w:val="en-US" w:eastAsia="zh-CN"/>
    </w:rPr>
  </w:style>
  <w:style w:type="character" w:customStyle="1" w:styleId="313">
    <w:name w:val="样式8 Char"/>
    <w:qFormat/>
    <w:uiPriority w:val="99"/>
    <w:rPr>
      <w:rFonts w:ascii="仿宋_GB2312" w:hAnsi="宋体" w:eastAsia="仿宋_GB2312"/>
      <w:b/>
      <w:kern w:val="2"/>
      <w:sz w:val="24"/>
    </w:rPr>
  </w:style>
  <w:style w:type="character" w:customStyle="1" w:styleId="314">
    <w:name w:val="表格 Char Char"/>
    <w:qFormat/>
    <w:uiPriority w:val="99"/>
    <w:rPr>
      <w:rFonts w:ascii="宋体" w:hAnsi="宋体" w:eastAsia="宋体"/>
    </w:rPr>
  </w:style>
  <w:style w:type="character" w:customStyle="1" w:styleId="315">
    <w:name w:val="正文文本 字符1"/>
    <w:qFormat/>
    <w:uiPriority w:val="99"/>
    <w:rPr>
      <w:rFonts w:ascii="Calibri" w:hAnsi="Calibri" w:eastAsia="黑体"/>
      <w:snapToGrid w:val="0"/>
      <w:kern w:val="2"/>
      <w:sz w:val="21"/>
    </w:rPr>
  </w:style>
  <w:style w:type="character" w:customStyle="1" w:styleId="316">
    <w:name w:val="标题 6 Char1"/>
    <w:qFormat/>
    <w:uiPriority w:val="99"/>
    <w:rPr>
      <w:rFonts w:ascii="Arial" w:hAnsi="Arial" w:eastAsia="黑体"/>
      <w:b/>
      <w:sz w:val="20"/>
    </w:rPr>
  </w:style>
  <w:style w:type="character" w:customStyle="1" w:styleId="317">
    <w:name w:val="带编号样式 Char"/>
    <w:qFormat/>
    <w:uiPriority w:val="99"/>
    <w:rPr>
      <w:rFonts w:ascii="仿宋_GB2312" w:eastAsia="仿宋_GB2312"/>
      <w:color w:val="000000"/>
      <w:sz w:val="24"/>
    </w:rPr>
  </w:style>
  <w:style w:type="character" w:customStyle="1" w:styleId="318">
    <w:name w:val="unnamed31"/>
    <w:qFormat/>
    <w:uiPriority w:val="99"/>
    <w:rPr>
      <w:rFonts w:ascii="Tahoma" w:hAnsi="Tahoma" w:eastAsia="宋体"/>
      <w:b/>
      <w:kern w:val="2"/>
      <w:sz w:val="32"/>
      <w:u w:val="none"/>
      <w:lang w:val="en-US" w:eastAsia="zh-CN"/>
    </w:rPr>
  </w:style>
  <w:style w:type="character" w:customStyle="1" w:styleId="319">
    <w:name w:val="正文首行缩进 Char Char Char Char Char Char1"/>
    <w:qFormat/>
    <w:uiPriority w:val="99"/>
    <w:rPr>
      <w:rFonts w:ascii="宋体" w:eastAsia="宋体"/>
      <w:kern w:val="2"/>
      <w:sz w:val="24"/>
      <w:lang w:val="zh-CN"/>
    </w:rPr>
  </w:style>
  <w:style w:type="character" w:customStyle="1" w:styleId="320">
    <w:name w:val="文本正文 Char Char"/>
    <w:qFormat/>
    <w:locked/>
    <w:uiPriority w:val="99"/>
    <w:rPr>
      <w:sz w:val="24"/>
    </w:rPr>
  </w:style>
  <w:style w:type="character" w:customStyle="1" w:styleId="321">
    <w:name w:val="正文缩进 字符"/>
    <w:qFormat/>
    <w:uiPriority w:val="99"/>
    <w:rPr>
      <w:rFonts w:ascii="宋体" w:eastAsia="宋体"/>
      <w:snapToGrid w:val="0"/>
      <w:color w:val="000000"/>
      <w:kern w:val="28"/>
      <w:sz w:val="28"/>
      <w:lang w:val="en-US" w:eastAsia="zh-CN"/>
    </w:rPr>
  </w:style>
  <w:style w:type="character" w:customStyle="1" w:styleId="322">
    <w:name w:val="样式 样式 标题 4h4H4Fab-4T5Ref Heading 1rh1Heading sqlsect 1.2.3.... +... Char"/>
    <w:link w:val="323"/>
    <w:qFormat/>
    <w:locked/>
    <w:uiPriority w:val="99"/>
    <w:rPr>
      <w:rFonts w:ascii="微软雅黑" w:hAnsi="微软雅黑" w:eastAsia="微软雅黑"/>
      <w:b/>
      <w:kern w:val="2"/>
      <w:sz w:val="28"/>
    </w:rPr>
  </w:style>
  <w:style w:type="paragraph" w:customStyle="1" w:styleId="323">
    <w:name w:val="样式 样式 标题 4h4H4Fab-4T5Ref Heading 1rh1Heading sqlsect 1.2.3.... +..."/>
    <w:basedOn w:val="324"/>
    <w:link w:val="322"/>
    <w:qFormat/>
    <w:uiPriority w:val="99"/>
    <w:pPr>
      <w:tabs>
        <w:tab w:val="left" w:pos="2356"/>
      </w:tabs>
    </w:pPr>
  </w:style>
  <w:style w:type="paragraph" w:customStyle="1" w:styleId="324">
    <w:name w:val="样式 标题 4h4H4Fab-4T5Ref Heading 1rh1Heading sqlsect 1.2.3...."/>
    <w:basedOn w:val="5"/>
    <w:link w:val="424"/>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5">
    <w:name w:val="正文非缩进 Char"/>
    <w:qFormat/>
    <w:uiPriority w:val="99"/>
    <w:rPr>
      <w:rFonts w:ascii="宋体" w:eastAsia="宋体"/>
      <w:snapToGrid w:val="0"/>
      <w:color w:val="000000"/>
      <w:kern w:val="28"/>
      <w:sz w:val="28"/>
      <w:lang w:val="en-US" w:eastAsia="zh-CN"/>
    </w:rPr>
  </w:style>
  <w:style w:type="character" w:customStyle="1" w:styleId="326">
    <w:name w:val="Heading 7 Char1"/>
    <w:link w:val="8"/>
    <w:qFormat/>
    <w:locked/>
    <w:uiPriority w:val="99"/>
    <w:rPr>
      <w:b/>
      <w:kern w:val="2"/>
      <w:sz w:val="24"/>
    </w:rPr>
  </w:style>
  <w:style w:type="character" w:customStyle="1" w:styleId="327">
    <w:name w:val="Char Char5"/>
    <w:qFormat/>
    <w:uiPriority w:val="99"/>
    <w:rPr>
      <w:rFonts w:ascii="宋体" w:hAnsi="Courier New" w:eastAsia="宋体"/>
      <w:kern w:val="2"/>
      <w:sz w:val="21"/>
      <w:lang w:val="en-US" w:eastAsia="zh-CN"/>
    </w:rPr>
  </w:style>
  <w:style w:type="character" w:customStyle="1" w:styleId="328">
    <w:name w:val="称呼 Char1"/>
    <w:qFormat/>
    <w:uiPriority w:val="99"/>
    <w:rPr>
      <w:rFonts w:ascii="Times New Roman" w:hAnsi="Times New Roman" w:eastAsia="宋体"/>
      <w:sz w:val="24"/>
    </w:rPr>
  </w:style>
  <w:style w:type="character" w:customStyle="1" w:styleId="329">
    <w:name w:val="正文1 Char"/>
    <w:qFormat/>
    <w:uiPriority w:val="99"/>
    <w:rPr>
      <w:rFonts w:ascii="宋体" w:eastAsia="宋体"/>
      <w:snapToGrid w:val="0"/>
      <w:color w:val="000000"/>
      <w:kern w:val="28"/>
      <w:sz w:val="28"/>
      <w:lang w:val="en-US" w:eastAsia="zh-CN"/>
    </w:rPr>
  </w:style>
  <w:style w:type="character" w:customStyle="1" w:styleId="330">
    <w:name w:val="正文缩进 Char1"/>
    <w:qFormat/>
    <w:uiPriority w:val="99"/>
    <w:rPr>
      <w:rFonts w:ascii="宋体" w:eastAsia="宋体"/>
      <w:snapToGrid w:val="0"/>
      <w:color w:val="000000"/>
      <w:kern w:val="28"/>
      <w:sz w:val="28"/>
      <w:lang w:val="en-US" w:eastAsia="zh-CN"/>
    </w:rPr>
  </w:style>
  <w:style w:type="character" w:customStyle="1" w:styleId="331">
    <w:name w:val="font21"/>
    <w:qFormat/>
    <w:uiPriority w:val="99"/>
    <w:rPr>
      <w:rFonts w:ascii="宋体" w:hAnsi="宋体" w:eastAsia="宋体"/>
      <w:kern w:val="2"/>
      <w:sz w:val="28"/>
      <w:lang w:val="en-US" w:eastAsia="zh-CN"/>
    </w:rPr>
  </w:style>
  <w:style w:type="character" w:customStyle="1" w:styleId="332">
    <w:name w:val="Char Char26"/>
    <w:qFormat/>
    <w:uiPriority w:val="99"/>
    <w:rPr>
      <w:kern w:val="1"/>
      <w:sz w:val="24"/>
    </w:rPr>
  </w:style>
  <w:style w:type="character" w:customStyle="1" w:styleId="333">
    <w:name w:val="Item List Char"/>
    <w:link w:val="334"/>
    <w:qFormat/>
    <w:locked/>
    <w:uiPriority w:val="99"/>
    <w:rPr>
      <w:rFonts w:ascii="Arial"/>
      <w:sz w:val="21"/>
      <w:lang w:val="en-US" w:eastAsia="zh-CN"/>
    </w:rPr>
  </w:style>
  <w:style w:type="paragraph" w:customStyle="1" w:styleId="334">
    <w:name w:val="Item List"/>
    <w:link w:val="333"/>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5">
    <w:name w:val="批注框文本 Char1"/>
    <w:qFormat/>
    <w:uiPriority w:val="99"/>
    <w:rPr>
      <w:rFonts w:ascii="Times New Roman" w:hAnsi="Times New Roman" w:eastAsia="宋体"/>
      <w:sz w:val="18"/>
    </w:rPr>
  </w:style>
  <w:style w:type="character" w:customStyle="1" w:styleId="336">
    <w:name w:val="纯文本 Char1"/>
    <w:link w:val="337"/>
    <w:qFormat/>
    <w:locked/>
    <w:uiPriority w:val="99"/>
    <w:rPr>
      <w:rFonts w:ascii="宋体" w:hAnsi="Courier New"/>
    </w:rPr>
  </w:style>
  <w:style w:type="paragraph" w:customStyle="1" w:styleId="337">
    <w:name w:val="纯文本1"/>
    <w:basedOn w:val="1"/>
    <w:link w:val="336"/>
    <w:qFormat/>
    <w:uiPriority w:val="99"/>
    <w:pPr>
      <w:adjustRightInd/>
    </w:pPr>
    <w:rPr>
      <w:rFonts w:ascii="宋体" w:hAnsi="Courier New"/>
      <w:kern w:val="0"/>
      <w:sz w:val="20"/>
      <w:szCs w:val="20"/>
    </w:rPr>
  </w:style>
  <w:style w:type="character" w:customStyle="1" w:styleId="338">
    <w:name w:val="h3 Char"/>
    <w:qFormat/>
    <w:uiPriority w:val="99"/>
    <w:rPr>
      <w:rFonts w:eastAsia="宋体"/>
      <w:b/>
      <w:kern w:val="2"/>
      <w:sz w:val="32"/>
      <w:lang w:val="en-US" w:eastAsia="zh-CN"/>
    </w:rPr>
  </w:style>
  <w:style w:type="character" w:customStyle="1" w:styleId="339">
    <w:name w:val="dandyren_title1"/>
    <w:qFormat/>
    <w:uiPriority w:val="99"/>
    <w:rPr>
      <w:b/>
      <w:color w:val="FF6633"/>
      <w:sz w:val="18"/>
    </w:rPr>
  </w:style>
  <w:style w:type="character" w:customStyle="1" w:styleId="340">
    <w:name w:val="Char Char31"/>
    <w:qFormat/>
    <w:uiPriority w:val="99"/>
    <w:rPr>
      <w:rFonts w:ascii="Arial" w:hAnsi="Arial" w:eastAsia="黑体"/>
      <w:kern w:val="1"/>
      <w:sz w:val="24"/>
    </w:rPr>
  </w:style>
  <w:style w:type="character" w:customStyle="1" w:styleId="341">
    <w:name w:val="h Char1"/>
    <w:qFormat/>
    <w:uiPriority w:val="99"/>
    <w:rPr>
      <w:sz w:val="18"/>
    </w:rPr>
  </w:style>
  <w:style w:type="character" w:customStyle="1" w:styleId="342">
    <w:name w:val="solutionfonts"/>
    <w:qFormat/>
    <w:uiPriority w:val="99"/>
  </w:style>
  <w:style w:type="character" w:customStyle="1" w:styleId="343">
    <w:name w:val="首行缩进 Char"/>
    <w:qFormat/>
    <w:uiPriority w:val="99"/>
    <w:rPr>
      <w:rFonts w:ascii="宋体" w:eastAsia="宋体"/>
      <w:kern w:val="2"/>
      <w:sz w:val="24"/>
      <w:lang w:val="en-US" w:eastAsia="zh-CN"/>
    </w:rPr>
  </w:style>
  <w:style w:type="character" w:customStyle="1" w:styleId="344">
    <w:name w:val="Char Char52"/>
    <w:qFormat/>
    <w:uiPriority w:val="99"/>
    <w:rPr>
      <w:rFonts w:ascii="宋体" w:hAnsi="Courier New" w:eastAsia="宋体"/>
      <w:kern w:val="2"/>
      <w:sz w:val="21"/>
      <w:lang w:val="en-US" w:eastAsia="zh-CN"/>
    </w:rPr>
  </w:style>
  <w:style w:type="character" w:customStyle="1" w:styleId="345">
    <w:name w:val="font31"/>
    <w:qFormat/>
    <w:uiPriority w:val="99"/>
    <w:rPr>
      <w:rFonts w:ascii="仿宋" w:hAnsi="仿宋" w:eastAsia="仿宋"/>
      <w:color w:val="000000"/>
      <w:sz w:val="20"/>
      <w:u w:val="none"/>
    </w:rPr>
  </w:style>
  <w:style w:type="character" w:customStyle="1" w:styleId="346">
    <w:name w:val="正文说明 Char"/>
    <w:link w:val="347"/>
    <w:qFormat/>
    <w:locked/>
    <w:uiPriority w:val="99"/>
    <w:rPr>
      <w:sz w:val="24"/>
    </w:rPr>
  </w:style>
  <w:style w:type="paragraph" w:customStyle="1" w:styleId="347">
    <w:name w:val="正文说明"/>
    <w:basedOn w:val="1"/>
    <w:link w:val="346"/>
    <w:qFormat/>
    <w:uiPriority w:val="99"/>
    <w:pPr>
      <w:adjustRightInd/>
      <w:spacing w:line="360" w:lineRule="auto"/>
    </w:pPr>
    <w:rPr>
      <w:kern w:val="0"/>
      <w:sz w:val="24"/>
      <w:szCs w:val="20"/>
    </w:rPr>
  </w:style>
  <w:style w:type="character" w:customStyle="1" w:styleId="348">
    <w:name w:val="脚注文本 Char1"/>
    <w:qFormat/>
    <w:uiPriority w:val="99"/>
    <w:rPr>
      <w:rFonts w:ascii="Times New Roman" w:hAnsi="Times New Roman" w:eastAsia="宋体"/>
      <w:sz w:val="18"/>
    </w:rPr>
  </w:style>
  <w:style w:type="character" w:customStyle="1" w:styleId="349">
    <w:name w:val="Char Char1211"/>
    <w:qFormat/>
    <w:uiPriority w:val="99"/>
    <w:rPr>
      <w:rFonts w:ascii="仿宋_GB2312" w:eastAsia="仿宋_GB2312"/>
      <w:b/>
      <w:kern w:val="2"/>
      <w:sz w:val="24"/>
      <w:lang w:val="zh-CN" w:eastAsia="zh-CN"/>
    </w:rPr>
  </w:style>
  <w:style w:type="character" w:customStyle="1" w:styleId="350">
    <w:name w:val="标题 Char"/>
    <w:qFormat/>
    <w:uiPriority w:val="99"/>
    <w:rPr>
      <w:rFonts w:eastAsia="宋体"/>
      <w:b/>
      <w:sz w:val="24"/>
      <w:lang w:val="en-GB" w:eastAsia="zh-CN"/>
    </w:rPr>
  </w:style>
  <w:style w:type="character" w:customStyle="1" w:styleId="351">
    <w:name w:val="Char Char35"/>
    <w:qFormat/>
    <w:uiPriority w:val="99"/>
    <w:rPr>
      <w:rFonts w:ascii="Arial" w:hAnsi="Arial" w:eastAsia="黑体"/>
      <w:b/>
      <w:kern w:val="1"/>
      <w:sz w:val="28"/>
      <w:lang w:val="zh-CN"/>
    </w:rPr>
  </w:style>
  <w:style w:type="character" w:customStyle="1" w:styleId="352">
    <w:name w:val="纯文本 Char Char Char"/>
    <w:qFormat/>
    <w:uiPriority w:val="99"/>
    <w:rPr>
      <w:rFonts w:ascii="宋体" w:hAnsi="Courier New" w:eastAsia="宋体"/>
      <w:kern w:val="2"/>
      <w:sz w:val="21"/>
      <w:lang w:val="en-US" w:eastAsia="zh-CN"/>
    </w:rPr>
  </w:style>
  <w:style w:type="character" w:customStyle="1" w:styleId="353">
    <w:name w:val="Table Text Char"/>
    <w:link w:val="354"/>
    <w:qFormat/>
    <w:locked/>
    <w:uiPriority w:val="99"/>
    <w:rPr>
      <w:sz w:val="24"/>
    </w:rPr>
  </w:style>
  <w:style w:type="paragraph" w:customStyle="1" w:styleId="354">
    <w:name w:val="Table Text"/>
    <w:basedOn w:val="1"/>
    <w:link w:val="353"/>
    <w:qFormat/>
    <w:uiPriority w:val="99"/>
    <w:pPr>
      <w:widowControl/>
      <w:spacing w:before="60" w:after="60"/>
      <w:jc w:val="left"/>
    </w:pPr>
    <w:rPr>
      <w:kern w:val="0"/>
      <w:sz w:val="24"/>
      <w:szCs w:val="20"/>
    </w:rPr>
  </w:style>
  <w:style w:type="character" w:customStyle="1" w:styleId="355">
    <w:name w:val="正文1 Char1"/>
    <w:qFormat/>
    <w:uiPriority w:val="99"/>
    <w:rPr>
      <w:rFonts w:ascii="仿宋_GB2312" w:hAnsi="Courier New" w:eastAsia="仿宋_GB2312"/>
      <w:kern w:val="28"/>
      <w:sz w:val="24"/>
      <w:lang w:val="en-US" w:eastAsia="zh-CN"/>
    </w:rPr>
  </w:style>
  <w:style w:type="character" w:customStyle="1" w:styleId="356">
    <w:name w:val="页脚 Char1"/>
    <w:qFormat/>
    <w:uiPriority w:val="99"/>
    <w:rPr>
      <w:rFonts w:eastAsia="宋体"/>
      <w:kern w:val="2"/>
      <w:sz w:val="18"/>
      <w:lang w:val="en-US" w:eastAsia="zh-CN"/>
    </w:rPr>
  </w:style>
  <w:style w:type="character" w:customStyle="1" w:styleId="357">
    <w:name w:val="Bold"/>
    <w:qFormat/>
    <w:uiPriority w:val="99"/>
    <w:rPr>
      <w:rFonts w:ascii="Arial" w:hAnsi="Arial" w:eastAsia="黑体"/>
      <w:b/>
      <w:kern w:val="2"/>
      <w:sz w:val="32"/>
      <w:lang w:val="en-US" w:eastAsia="zh-CN"/>
    </w:rPr>
  </w:style>
  <w:style w:type="character" w:customStyle="1" w:styleId="358">
    <w:name w:val="Comment Text Char1"/>
    <w:link w:val="19"/>
    <w:qFormat/>
    <w:locked/>
    <w:uiPriority w:val="99"/>
    <w:rPr>
      <w:kern w:val="2"/>
      <w:sz w:val="24"/>
    </w:rPr>
  </w:style>
  <w:style w:type="character" w:customStyle="1" w:styleId="359">
    <w:name w:val="hui3"/>
    <w:qFormat/>
    <w:uiPriority w:val="99"/>
    <w:rPr>
      <w:color w:val="333333"/>
    </w:rPr>
  </w:style>
  <w:style w:type="character" w:customStyle="1" w:styleId="360">
    <w:name w:val="Char Char17"/>
    <w:qFormat/>
    <w:uiPriority w:val="99"/>
    <w:rPr>
      <w:rFonts w:eastAsia="仿宋_GB2312"/>
      <w:sz w:val="24"/>
    </w:rPr>
  </w:style>
  <w:style w:type="character" w:customStyle="1" w:styleId="361">
    <w:name w:val="标题 4 字符"/>
    <w:qFormat/>
    <w:uiPriority w:val="99"/>
    <w:rPr>
      <w:rFonts w:ascii="等线 Light" w:hAnsi="等线 Light" w:eastAsia="等线 Light"/>
      <w:b/>
      <w:snapToGrid w:val="0"/>
      <w:kern w:val="0"/>
      <w:sz w:val="28"/>
    </w:rPr>
  </w:style>
  <w:style w:type="character" w:customStyle="1" w:styleId="362">
    <w:name w:val="Char Char37"/>
    <w:qFormat/>
    <w:uiPriority w:val="99"/>
    <w:rPr>
      <w:b/>
      <w:kern w:val="1"/>
      <w:sz w:val="44"/>
    </w:rPr>
  </w:style>
  <w:style w:type="character" w:customStyle="1" w:styleId="363">
    <w:name w:val="列出段落 Char"/>
    <w:qFormat/>
    <w:uiPriority w:val="99"/>
    <w:rPr>
      <w:rFonts w:eastAsia="楷体_GB2312"/>
      <w:kern w:val="2"/>
      <w:sz w:val="24"/>
      <w:lang w:val="en-US" w:eastAsia="zh-CN"/>
    </w:rPr>
  </w:style>
  <w:style w:type="character" w:customStyle="1" w:styleId="364">
    <w:name w:val="正文文本缩进 3 Char1"/>
    <w:semiHidden/>
    <w:qFormat/>
    <w:uiPriority w:val="99"/>
    <w:rPr>
      <w:rFonts w:ascii="Times New Roman" w:hAnsi="Times New Roman" w:eastAsia="宋体"/>
      <w:sz w:val="16"/>
    </w:rPr>
  </w:style>
  <w:style w:type="character" w:customStyle="1" w:styleId="365">
    <w:name w:val="公文正文 Char Char"/>
    <w:link w:val="366"/>
    <w:qFormat/>
    <w:locked/>
    <w:uiPriority w:val="99"/>
    <w:rPr>
      <w:rFonts w:ascii="仿宋_GB2312" w:eastAsia="仿宋_GB2312"/>
      <w:kern w:val="2"/>
      <w:sz w:val="24"/>
    </w:rPr>
  </w:style>
  <w:style w:type="paragraph" w:customStyle="1" w:styleId="366">
    <w:name w:val="公文正文"/>
    <w:basedOn w:val="1"/>
    <w:link w:val="365"/>
    <w:qFormat/>
    <w:uiPriority w:val="99"/>
    <w:pPr>
      <w:adjustRightInd/>
      <w:spacing w:before="156" w:line="360" w:lineRule="auto"/>
      <w:ind w:firstLine="360" w:firstLineChars="200"/>
    </w:pPr>
    <w:rPr>
      <w:rFonts w:ascii="仿宋_GB2312" w:eastAsia="仿宋_GB2312"/>
      <w:sz w:val="24"/>
      <w:szCs w:val="20"/>
    </w:rPr>
  </w:style>
  <w:style w:type="character" w:customStyle="1" w:styleId="367">
    <w:name w:val="Table Text Char1"/>
    <w:qFormat/>
    <w:uiPriority w:val="99"/>
    <w:rPr>
      <w:rFonts w:eastAsia="宋体"/>
      <w:sz w:val="24"/>
      <w:lang w:val="en-US" w:eastAsia="zh-CN"/>
    </w:rPr>
  </w:style>
  <w:style w:type="character" w:customStyle="1" w:styleId="368">
    <w:name w:val="标题 1 Char Char"/>
    <w:qFormat/>
    <w:uiPriority w:val="99"/>
    <w:rPr>
      <w:rFonts w:ascii="宋体" w:hAnsi="宋体" w:eastAsia="宋体"/>
      <w:b/>
      <w:spacing w:val="-2"/>
      <w:sz w:val="24"/>
      <w:lang w:val="en-US" w:eastAsia="zh-CN"/>
    </w:rPr>
  </w:style>
  <w:style w:type="character" w:customStyle="1" w:styleId="369">
    <w:name w:val="正文（缩进2汉字） Char"/>
    <w:link w:val="370"/>
    <w:qFormat/>
    <w:locked/>
    <w:uiPriority w:val="99"/>
    <w:rPr>
      <w:rFonts w:ascii="宋体"/>
    </w:rPr>
  </w:style>
  <w:style w:type="paragraph" w:customStyle="1" w:styleId="370">
    <w:name w:val="正文（缩进2汉字）"/>
    <w:basedOn w:val="1"/>
    <w:link w:val="369"/>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1">
    <w:name w:val="标书表格字体格式 Char"/>
    <w:qFormat/>
    <w:uiPriority w:val="99"/>
    <w:rPr>
      <w:kern w:val="2"/>
      <w:sz w:val="24"/>
    </w:rPr>
  </w:style>
  <w:style w:type="character" w:customStyle="1" w:styleId="372">
    <w:name w:val="tw4winError"/>
    <w:qFormat/>
    <w:uiPriority w:val="99"/>
    <w:rPr>
      <w:rFonts w:ascii="Courier New" w:hAnsi="Courier New"/>
      <w:color w:val="00FF00"/>
      <w:sz w:val="40"/>
    </w:rPr>
  </w:style>
  <w:style w:type="character" w:customStyle="1" w:styleId="373">
    <w:name w:val="Body Text(ch) Char Char"/>
    <w:qFormat/>
    <w:uiPriority w:val="99"/>
    <w:rPr>
      <w:rFonts w:ascii="宋体"/>
      <w:kern w:val="2"/>
      <w:sz w:val="21"/>
      <w:lang w:val="zh-CN"/>
    </w:rPr>
  </w:style>
  <w:style w:type="character" w:customStyle="1" w:styleId="374">
    <w:name w:val="正文首行缩进两字 Char"/>
    <w:qFormat/>
    <w:uiPriority w:val="99"/>
    <w:rPr>
      <w:sz w:val="24"/>
      <w:lang w:val="en-US" w:eastAsia="zh-CN"/>
    </w:rPr>
  </w:style>
  <w:style w:type="character" w:customStyle="1" w:styleId="375">
    <w:name w:val="正文文本 Char"/>
    <w:qFormat/>
    <w:uiPriority w:val="99"/>
    <w:rPr>
      <w:rFonts w:eastAsia="宋体"/>
      <w:kern w:val="2"/>
      <w:sz w:val="24"/>
      <w:lang w:val="en-US" w:eastAsia="zh-CN"/>
    </w:rPr>
  </w:style>
  <w:style w:type="character" w:customStyle="1" w:styleId="376">
    <w:name w:val="文档结构图 字符1"/>
    <w:qFormat/>
    <w:uiPriority w:val="99"/>
    <w:rPr>
      <w:rFonts w:ascii="宋体" w:hAnsi="Calibri" w:eastAsia="黑体"/>
      <w:snapToGrid w:val="0"/>
      <w:kern w:val="2"/>
      <w:sz w:val="18"/>
    </w:rPr>
  </w:style>
  <w:style w:type="character" w:customStyle="1" w:styleId="377">
    <w:name w:val="content"/>
    <w:qFormat/>
    <w:uiPriority w:val="99"/>
  </w:style>
  <w:style w:type="character" w:customStyle="1" w:styleId="378">
    <w:name w:val="tw4winPopup"/>
    <w:qFormat/>
    <w:uiPriority w:val="99"/>
    <w:rPr>
      <w:rFonts w:ascii="Courier New" w:hAnsi="Courier New"/>
      <w:color w:val="008000"/>
      <w:lang w:val="en-US" w:eastAsia="zh-CN"/>
    </w:rPr>
  </w:style>
  <w:style w:type="character" w:customStyle="1" w:styleId="379">
    <w:name w:val="param-name"/>
    <w:qFormat/>
    <w:uiPriority w:val="99"/>
    <w:rPr>
      <w:rFonts w:ascii="Arial" w:hAnsi="Arial" w:eastAsia="黑体"/>
      <w:snapToGrid w:val="0"/>
      <w:kern w:val="0"/>
      <w:sz w:val="21"/>
    </w:rPr>
  </w:style>
  <w:style w:type="character" w:customStyle="1" w:styleId="380">
    <w:name w:val="标准正文格式 Char"/>
    <w:qFormat/>
    <w:uiPriority w:val="99"/>
    <w:rPr>
      <w:rFonts w:ascii="宋体" w:eastAsia="仿宋_GB2312"/>
      <w:color w:val="000000"/>
      <w:sz w:val="24"/>
      <w:lang w:val="en-US" w:eastAsia="zh-CN"/>
    </w:rPr>
  </w:style>
  <w:style w:type="character" w:customStyle="1" w:styleId="381">
    <w:name w:val="Char Char212"/>
    <w:qFormat/>
    <w:uiPriority w:val="99"/>
    <w:rPr>
      <w:rFonts w:eastAsia="宋体"/>
      <w:b/>
      <w:kern w:val="2"/>
      <w:sz w:val="24"/>
      <w:lang w:val="en-US" w:eastAsia="zh-CN"/>
    </w:rPr>
  </w:style>
  <w:style w:type="character" w:customStyle="1" w:styleId="382">
    <w:name w:val="文档结构图 Char"/>
    <w:qFormat/>
    <w:uiPriority w:val="99"/>
    <w:rPr>
      <w:rFonts w:eastAsia="宋体"/>
      <w:kern w:val="2"/>
      <w:sz w:val="24"/>
      <w:lang w:val="en-US" w:eastAsia="zh-CN"/>
    </w:rPr>
  </w:style>
  <w:style w:type="character" w:customStyle="1" w:styleId="383">
    <w:name w:val="zbggmain style9"/>
    <w:qFormat/>
    <w:uiPriority w:val="99"/>
  </w:style>
  <w:style w:type="character" w:customStyle="1" w:styleId="384">
    <w:name w:val="Char Char16"/>
    <w:qFormat/>
    <w:uiPriority w:val="99"/>
    <w:rPr>
      <w:kern w:val="1"/>
      <w:sz w:val="18"/>
    </w:rPr>
  </w:style>
  <w:style w:type="character" w:customStyle="1" w:styleId="385">
    <w:name w:val="font51"/>
    <w:qFormat/>
    <w:uiPriority w:val="99"/>
    <w:rPr>
      <w:rFonts w:ascii="仿宋" w:hAnsi="仿宋" w:eastAsia="仿宋"/>
      <w:color w:val="000000"/>
      <w:sz w:val="20"/>
      <w:u w:val="none"/>
    </w:rPr>
  </w:style>
  <w:style w:type="character" w:customStyle="1" w:styleId="386">
    <w:name w:val="Char Char82"/>
    <w:qFormat/>
    <w:uiPriority w:val="99"/>
    <w:rPr>
      <w:rFonts w:eastAsia="宋体"/>
      <w:b/>
      <w:sz w:val="24"/>
      <w:lang w:val="en-GB" w:eastAsia="zh-CN"/>
    </w:rPr>
  </w:style>
  <w:style w:type="character" w:customStyle="1" w:styleId="387">
    <w:name w:val="日期 Char1"/>
    <w:semiHidden/>
    <w:qFormat/>
    <w:uiPriority w:val="99"/>
    <w:rPr>
      <w:rFonts w:ascii="Times New Roman" w:hAnsi="Times New Roman" w:eastAsia="宋体"/>
      <w:sz w:val="24"/>
    </w:rPr>
  </w:style>
  <w:style w:type="character" w:customStyle="1" w:styleId="388">
    <w:name w:val="页眉 字符"/>
    <w:qFormat/>
    <w:uiPriority w:val="99"/>
    <w:rPr>
      <w:kern w:val="2"/>
      <w:sz w:val="18"/>
    </w:rPr>
  </w:style>
  <w:style w:type="character" w:customStyle="1" w:styleId="389">
    <w:name w:val="Char Char33"/>
    <w:qFormat/>
    <w:uiPriority w:val="99"/>
    <w:rPr>
      <w:rFonts w:ascii="Arial" w:hAnsi="Arial" w:eastAsia="黑体"/>
      <w:b/>
      <w:kern w:val="1"/>
      <w:sz w:val="24"/>
    </w:rPr>
  </w:style>
  <w:style w:type="character" w:customStyle="1" w:styleId="390">
    <w:name w:val="b11_01b Char"/>
    <w:link w:val="391"/>
    <w:qFormat/>
    <w:locked/>
    <w:uiPriority w:val="99"/>
    <w:rPr>
      <w:rFonts w:ascii="Verdana" w:hAnsi="Verdana"/>
      <w:b/>
      <w:color w:val="4A82CA"/>
      <w:sz w:val="17"/>
    </w:rPr>
  </w:style>
  <w:style w:type="paragraph" w:customStyle="1" w:styleId="391">
    <w:name w:val="b11_01b"/>
    <w:basedOn w:val="1"/>
    <w:next w:val="1"/>
    <w:link w:val="390"/>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2">
    <w:name w:val="Char Char121"/>
    <w:qFormat/>
    <w:uiPriority w:val="99"/>
    <w:rPr>
      <w:rFonts w:ascii="仿宋_GB2312" w:eastAsia="仿宋_GB2312"/>
      <w:b/>
      <w:kern w:val="2"/>
      <w:sz w:val="24"/>
      <w:lang w:val="zh-CN" w:eastAsia="zh-CN"/>
    </w:rPr>
  </w:style>
  <w:style w:type="character" w:customStyle="1" w:styleId="393">
    <w:name w:val="Footer-Even Char"/>
    <w:qFormat/>
    <w:uiPriority w:val="99"/>
    <w:rPr>
      <w:rFonts w:eastAsia="宋体"/>
      <w:kern w:val="2"/>
      <w:sz w:val="18"/>
      <w:lang w:val="en-US" w:eastAsia="zh-CN"/>
    </w:rPr>
  </w:style>
  <w:style w:type="character" w:customStyle="1" w:styleId="394">
    <w:name w:val="Footer Char1"/>
    <w:link w:val="42"/>
    <w:qFormat/>
    <w:locked/>
    <w:uiPriority w:val="99"/>
    <w:rPr>
      <w:kern w:val="2"/>
      <w:sz w:val="18"/>
    </w:rPr>
  </w:style>
  <w:style w:type="character" w:customStyle="1" w:styleId="395">
    <w:name w:val="Char Char36"/>
    <w:qFormat/>
    <w:uiPriority w:val="99"/>
    <w:rPr>
      <w:rFonts w:ascii="仿宋_GB2312" w:hAnsi="仿宋_GB2312" w:eastAsia="仿宋_GB2312"/>
      <w:b/>
      <w:kern w:val="1"/>
      <w:sz w:val="32"/>
      <w:lang w:val="zh-CN" w:eastAsia="zh-CN"/>
    </w:rPr>
  </w:style>
  <w:style w:type="character" w:customStyle="1" w:styleId="396">
    <w:name w:val="Char Char61"/>
    <w:qFormat/>
    <w:uiPriority w:val="99"/>
    <w:rPr>
      <w:rFonts w:eastAsia="宋体"/>
      <w:kern w:val="2"/>
      <w:sz w:val="24"/>
      <w:lang w:val="en-US" w:eastAsia="zh-CN"/>
    </w:rPr>
  </w:style>
  <w:style w:type="character" w:customStyle="1" w:styleId="397">
    <w:name w:val="正文文字缩进 2 Char Char"/>
    <w:qFormat/>
    <w:uiPriority w:val="99"/>
    <w:rPr>
      <w:rFonts w:ascii="宋体"/>
      <w:sz w:val="28"/>
    </w:rPr>
  </w:style>
  <w:style w:type="character" w:customStyle="1" w:styleId="398">
    <w:name w:val="f141"/>
    <w:qFormat/>
    <w:uiPriority w:val="99"/>
    <w:rPr>
      <w:rFonts w:ascii="Tahoma" w:hAnsi="Tahoma" w:eastAsia="宋体"/>
      <w:b/>
      <w:kern w:val="2"/>
      <w:sz w:val="21"/>
      <w:lang w:val="en-US" w:eastAsia="zh-CN"/>
    </w:rPr>
  </w:style>
  <w:style w:type="character" w:customStyle="1" w:styleId="399">
    <w:name w:val="段落 Char Char"/>
    <w:link w:val="400"/>
    <w:qFormat/>
    <w:locked/>
    <w:uiPriority w:val="99"/>
    <w:rPr>
      <w:rFonts w:ascii="宋体" w:eastAsia="宋体"/>
      <w:sz w:val="24"/>
    </w:rPr>
  </w:style>
  <w:style w:type="paragraph" w:customStyle="1" w:styleId="400">
    <w:name w:val="段落"/>
    <w:basedOn w:val="1"/>
    <w:link w:val="399"/>
    <w:qFormat/>
    <w:uiPriority w:val="99"/>
    <w:pPr>
      <w:adjustRightInd/>
      <w:spacing w:line="360" w:lineRule="auto"/>
      <w:ind w:firstLine="480" w:firstLineChars="200"/>
    </w:pPr>
    <w:rPr>
      <w:rFonts w:ascii="宋体"/>
      <w:kern w:val="0"/>
      <w:sz w:val="24"/>
      <w:szCs w:val="20"/>
    </w:rPr>
  </w:style>
  <w:style w:type="character" w:customStyle="1" w:styleId="401">
    <w:name w:val="标题 3 Char2"/>
    <w:qFormat/>
    <w:uiPriority w:val="99"/>
    <w:rPr>
      <w:rFonts w:eastAsia="宋体"/>
      <w:b/>
      <w:kern w:val="2"/>
      <w:sz w:val="32"/>
      <w:lang w:val="en-US" w:eastAsia="zh-CN"/>
    </w:rPr>
  </w:style>
  <w:style w:type="character" w:customStyle="1" w:styleId="402">
    <w:name w:val="apple-converted-space"/>
    <w:qFormat/>
    <w:uiPriority w:val="99"/>
  </w:style>
  <w:style w:type="character" w:customStyle="1" w:styleId="403">
    <w:name w:val="Header Char1"/>
    <w:link w:val="43"/>
    <w:qFormat/>
    <w:locked/>
    <w:uiPriority w:val="99"/>
    <w:rPr>
      <w:kern w:val="2"/>
      <w:sz w:val="18"/>
    </w:rPr>
  </w:style>
  <w:style w:type="character" w:customStyle="1" w:styleId="404">
    <w:name w:val="Char Char9"/>
    <w:qFormat/>
    <w:uiPriority w:val="99"/>
    <w:rPr>
      <w:rFonts w:eastAsia="宋体"/>
      <w:kern w:val="2"/>
      <w:sz w:val="18"/>
      <w:lang w:val="en-US" w:eastAsia="zh-CN"/>
    </w:rPr>
  </w:style>
  <w:style w:type="character" w:customStyle="1" w:styleId="405">
    <w:name w:val="Char Char41"/>
    <w:qFormat/>
    <w:uiPriority w:val="99"/>
    <w:rPr>
      <w:rFonts w:eastAsia="宋体"/>
      <w:b/>
      <w:sz w:val="24"/>
      <w:lang w:val="en-GB" w:eastAsia="zh-CN"/>
    </w:rPr>
  </w:style>
  <w:style w:type="character" w:customStyle="1" w:styleId="406">
    <w:name w:val="large1"/>
    <w:qFormat/>
    <w:uiPriority w:val="99"/>
    <w:rPr>
      <w:rFonts w:ascii="宋体" w:hAnsi="宋体" w:eastAsia="宋体"/>
      <w:sz w:val="21"/>
    </w:rPr>
  </w:style>
  <w:style w:type="character" w:customStyle="1" w:styleId="407">
    <w:name w:val="正文段 Char"/>
    <w:link w:val="408"/>
    <w:qFormat/>
    <w:locked/>
    <w:uiPriority w:val="99"/>
    <w:rPr>
      <w:sz w:val="24"/>
    </w:rPr>
  </w:style>
  <w:style w:type="paragraph" w:customStyle="1" w:styleId="408">
    <w:name w:val="正文段"/>
    <w:basedOn w:val="1"/>
    <w:next w:val="17"/>
    <w:link w:val="407"/>
    <w:qFormat/>
    <w:uiPriority w:val="99"/>
    <w:pPr>
      <w:widowControl/>
      <w:snapToGrid w:val="0"/>
      <w:spacing w:afterLines="50"/>
      <w:ind w:firstLine="200" w:firstLineChars="200"/>
    </w:pPr>
    <w:rPr>
      <w:kern w:val="0"/>
      <w:sz w:val="24"/>
      <w:szCs w:val="20"/>
    </w:rPr>
  </w:style>
  <w:style w:type="character" w:customStyle="1" w:styleId="409">
    <w:name w:val="Char Char13"/>
    <w:qFormat/>
    <w:uiPriority w:val="99"/>
    <w:rPr>
      <w:rFonts w:ascii="宋体" w:eastAsia="宋体"/>
      <w:kern w:val="1"/>
      <w:sz w:val="24"/>
    </w:rPr>
  </w:style>
  <w:style w:type="character" w:customStyle="1" w:styleId="410">
    <w:name w:val="Char Char92"/>
    <w:qFormat/>
    <w:uiPriority w:val="99"/>
    <w:rPr>
      <w:rFonts w:ascii="Times New Roman" w:hAnsi="Times New Roman" w:eastAsia="宋体"/>
      <w:b/>
      <w:kern w:val="2"/>
      <w:sz w:val="32"/>
      <w:lang w:val="en-US" w:eastAsia="zh-CN"/>
    </w:rPr>
  </w:style>
  <w:style w:type="character" w:customStyle="1" w:styleId="411">
    <w:name w:val="冯广丽 Char"/>
    <w:link w:val="412"/>
    <w:qFormat/>
    <w:locked/>
    <w:uiPriority w:val="99"/>
    <w:rPr>
      <w:rFonts w:ascii="宋体" w:eastAsia="宋体"/>
      <w:kern w:val="2"/>
      <w:sz w:val="22"/>
    </w:rPr>
  </w:style>
  <w:style w:type="paragraph" w:customStyle="1" w:styleId="412">
    <w:name w:val="冯广丽"/>
    <w:basedOn w:val="1"/>
    <w:link w:val="411"/>
    <w:qFormat/>
    <w:uiPriority w:val="99"/>
    <w:pPr>
      <w:adjustRightInd/>
      <w:spacing w:line="360" w:lineRule="auto"/>
      <w:ind w:firstLine="480" w:firstLineChars="200"/>
    </w:pPr>
    <w:rPr>
      <w:rFonts w:ascii="宋体"/>
      <w:sz w:val="22"/>
      <w:szCs w:val="20"/>
    </w:rPr>
  </w:style>
  <w:style w:type="character" w:customStyle="1" w:styleId="413">
    <w:name w:val="批注文字 字符"/>
    <w:qFormat/>
    <w:uiPriority w:val="99"/>
    <w:rPr>
      <w:rFonts w:ascii="Arial" w:hAnsi="Arial" w:eastAsia="黑体"/>
      <w:snapToGrid w:val="0"/>
      <w:kern w:val="0"/>
      <w:sz w:val="21"/>
    </w:rPr>
  </w:style>
  <w:style w:type="character" w:customStyle="1" w:styleId="414">
    <w:name w:val="Char Char161"/>
    <w:qFormat/>
    <w:uiPriority w:val="99"/>
    <w:rPr>
      <w:rFonts w:eastAsia="宋体"/>
      <w:b/>
      <w:kern w:val="2"/>
      <w:sz w:val="32"/>
      <w:lang w:val="en-US" w:eastAsia="zh-CN"/>
    </w:rPr>
  </w:style>
  <w:style w:type="character" w:customStyle="1" w:styleId="415">
    <w:name w:val="javascript"/>
    <w:qFormat/>
    <w:uiPriority w:val="99"/>
  </w:style>
  <w:style w:type="character" w:customStyle="1" w:styleId="416">
    <w:name w:val="图名 Char"/>
    <w:qFormat/>
    <w:uiPriority w:val="99"/>
    <w:rPr>
      <w:rFonts w:ascii="Arial" w:hAnsi="Arial" w:eastAsia="黑体"/>
      <w:kern w:val="2"/>
      <w:sz w:val="24"/>
      <w:lang w:val="en-US" w:eastAsia="zh-CN"/>
    </w:rPr>
  </w:style>
  <w:style w:type="character" w:customStyle="1" w:styleId="417">
    <w:name w:val="Used by Word for text of Help footnotes Char Char"/>
    <w:qFormat/>
    <w:uiPriority w:val="99"/>
    <w:rPr>
      <w:rFonts w:ascii="Times New Roman" w:hAnsi="Times New Roman" w:eastAsia="宋体"/>
      <w:sz w:val="20"/>
    </w:rPr>
  </w:style>
  <w:style w:type="character" w:customStyle="1" w:styleId="418">
    <w:name w:val="编号，小四 Char"/>
    <w:link w:val="419"/>
    <w:qFormat/>
    <w:locked/>
    <w:uiPriority w:val="99"/>
    <w:rPr>
      <w:rFonts w:ascii="Arial" w:hAnsi="Arial"/>
      <w:sz w:val="24"/>
    </w:rPr>
  </w:style>
  <w:style w:type="paragraph" w:customStyle="1" w:styleId="419">
    <w:name w:val="编号，小四"/>
    <w:basedOn w:val="1"/>
    <w:link w:val="418"/>
    <w:qFormat/>
    <w:uiPriority w:val="99"/>
    <w:pPr>
      <w:tabs>
        <w:tab w:val="left" w:pos="432"/>
      </w:tabs>
      <w:adjustRightInd/>
      <w:spacing w:line="360" w:lineRule="auto"/>
      <w:ind w:left="432" w:hanging="432"/>
    </w:pPr>
    <w:rPr>
      <w:rFonts w:ascii="Arial" w:hAnsi="Arial"/>
      <w:kern w:val="0"/>
      <w:sz w:val="24"/>
      <w:szCs w:val="20"/>
    </w:rPr>
  </w:style>
  <w:style w:type="character" w:customStyle="1" w:styleId="420">
    <w:name w:val="Font Style82"/>
    <w:qFormat/>
    <w:uiPriority w:val="99"/>
    <w:rPr>
      <w:rFonts w:ascii="宋体" w:eastAsia="宋体"/>
      <w:color w:val="000000"/>
      <w:sz w:val="14"/>
    </w:rPr>
  </w:style>
  <w:style w:type="character" w:customStyle="1" w:styleId="421">
    <w:name w:val="标题 2 Char Char"/>
    <w:qFormat/>
    <w:uiPriority w:val="99"/>
    <w:rPr>
      <w:rFonts w:ascii="楷体_GB2312" w:hAnsi="Arial" w:eastAsia="楷体_GB2312"/>
      <w:b/>
      <w:kern w:val="2"/>
      <w:sz w:val="32"/>
      <w:lang w:val="en-US" w:eastAsia="zh-CN"/>
    </w:rPr>
  </w:style>
  <w:style w:type="character" w:customStyle="1" w:styleId="422">
    <w:name w:val="未用 Char"/>
    <w:qFormat/>
    <w:uiPriority w:val="99"/>
    <w:rPr>
      <w:rFonts w:ascii="Arial" w:hAnsi="Arial" w:eastAsia="黑体"/>
      <w:kern w:val="2"/>
      <w:sz w:val="21"/>
      <w:lang w:val="en-US" w:eastAsia="zh-CN"/>
    </w:rPr>
  </w:style>
  <w:style w:type="character" w:customStyle="1" w:styleId="423">
    <w:name w:val="myp1111"/>
    <w:qFormat/>
    <w:uiPriority w:val="99"/>
    <w:rPr>
      <w:rFonts w:ascii="??" w:hAnsi="??"/>
      <w:color w:val="000000"/>
      <w:sz w:val="20"/>
      <w:u w:val="none"/>
    </w:rPr>
  </w:style>
  <w:style w:type="character" w:customStyle="1" w:styleId="424">
    <w:name w:val="样式 标题 4h4H4Fab-4T5Ref Heading 1rh1Heading sqlsect 1.2.3.... Char"/>
    <w:link w:val="324"/>
    <w:qFormat/>
    <w:locked/>
    <w:uiPriority w:val="99"/>
    <w:rPr>
      <w:rFonts w:ascii="微软雅黑" w:hAnsi="微软雅黑" w:eastAsia="微软雅黑"/>
      <w:b/>
      <w:kern w:val="2"/>
      <w:sz w:val="28"/>
    </w:rPr>
  </w:style>
  <w:style w:type="character" w:customStyle="1" w:styleId="425">
    <w:name w:val="h Char Char"/>
    <w:qFormat/>
    <w:uiPriority w:val="99"/>
    <w:rPr>
      <w:rFonts w:eastAsia="宋体"/>
      <w:kern w:val="2"/>
      <w:sz w:val="18"/>
      <w:lang w:val="en-US" w:eastAsia="zh-CN"/>
    </w:rPr>
  </w:style>
  <w:style w:type="character" w:customStyle="1" w:styleId="426">
    <w:name w:val="仿宋正文 Char"/>
    <w:link w:val="427"/>
    <w:qFormat/>
    <w:locked/>
    <w:uiPriority w:val="99"/>
    <w:rPr>
      <w:rFonts w:ascii="仿宋_GB2312" w:eastAsia="仿宋_GB2312"/>
      <w:kern w:val="2"/>
      <w:sz w:val="24"/>
      <w:lang w:val="en-US" w:eastAsia="zh-CN"/>
    </w:rPr>
  </w:style>
  <w:style w:type="paragraph" w:customStyle="1" w:styleId="427">
    <w:name w:val="仿宋正文"/>
    <w:basedOn w:val="1"/>
    <w:link w:val="426"/>
    <w:qFormat/>
    <w:uiPriority w:val="99"/>
    <w:pPr>
      <w:adjustRightInd/>
      <w:spacing w:line="360" w:lineRule="auto"/>
      <w:ind w:firstLine="480" w:firstLineChars="200"/>
    </w:pPr>
    <w:rPr>
      <w:rFonts w:ascii="仿宋_GB2312" w:eastAsia="仿宋_GB2312"/>
      <w:sz w:val="24"/>
      <w:szCs w:val="20"/>
    </w:rPr>
  </w:style>
  <w:style w:type="character" w:customStyle="1" w:styleId="428">
    <w:name w:val="正文首行缩进 Char Char Char Char Char Char"/>
    <w:qFormat/>
    <w:uiPriority w:val="99"/>
    <w:rPr>
      <w:rFonts w:ascii="宋体" w:eastAsia="宋体"/>
      <w:kern w:val="2"/>
      <w:sz w:val="24"/>
      <w:lang w:val="zh-CN"/>
    </w:rPr>
  </w:style>
  <w:style w:type="character" w:customStyle="1" w:styleId="429">
    <w:name w:val="样式 宋体"/>
    <w:qFormat/>
    <w:uiPriority w:val="99"/>
    <w:rPr>
      <w:rFonts w:ascii="宋体" w:eastAsia="宋体"/>
      <w:sz w:val="24"/>
    </w:rPr>
  </w:style>
  <w:style w:type="character" w:customStyle="1" w:styleId="430">
    <w:name w:val="tw4winJump"/>
    <w:qFormat/>
    <w:uiPriority w:val="99"/>
    <w:rPr>
      <w:rFonts w:ascii="Courier New" w:hAnsi="Courier New"/>
      <w:color w:val="008080"/>
      <w:lang w:val="en-US" w:eastAsia="zh-CN"/>
    </w:rPr>
  </w:style>
  <w:style w:type="character" w:customStyle="1" w:styleId="431">
    <w:name w:val="标题 1 字符"/>
    <w:qFormat/>
    <w:uiPriority w:val="99"/>
    <w:rPr>
      <w:rFonts w:ascii="Arial" w:hAnsi="Arial" w:eastAsia="黑体"/>
      <w:b/>
      <w:snapToGrid w:val="0"/>
      <w:kern w:val="44"/>
      <w:sz w:val="44"/>
    </w:rPr>
  </w:style>
  <w:style w:type="character" w:customStyle="1" w:styleId="432">
    <w:name w:val="style36"/>
    <w:basedOn w:val="72"/>
    <w:qFormat/>
    <w:uiPriority w:val="99"/>
    <w:rPr>
      <w:rFonts w:ascii="Arial" w:hAnsi="Arial" w:eastAsia="黑体" w:cs="Arial"/>
      <w:snapToGrid w:val="0"/>
      <w:kern w:val="0"/>
      <w:sz w:val="21"/>
      <w:szCs w:val="21"/>
    </w:rPr>
  </w:style>
  <w:style w:type="character" w:customStyle="1" w:styleId="433">
    <w:name w:val="pt9"/>
    <w:qFormat/>
    <w:uiPriority w:val="99"/>
    <w:rPr>
      <w:rFonts w:ascii="仿宋_GB2312" w:eastAsia="微软雅黑"/>
      <w:b/>
      <w:kern w:val="2"/>
      <w:sz w:val="32"/>
      <w:lang w:val="en-US" w:eastAsia="zh-CN"/>
    </w:rPr>
  </w:style>
  <w:style w:type="character" w:customStyle="1" w:styleId="434">
    <w:name w:val="DO_NOT_TRANSLATE"/>
    <w:qFormat/>
    <w:uiPriority w:val="99"/>
    <w:rPr>
      <w:rFonts w:ascii="Courier New" w:hAnsi="Courier New"/>
      <w:color w:val="800000"/>
      <w:lang w:val="en-US" w:eastAsia="zh-CN"/>
    </w:rPr>
  </w:style>
  <w:style w:type="character" w:customStyle="1" w:styleId="435">
    <w:name w:val="标书1 Char1"/>
    <w:qFormat/>
    <w:uiPriority w:val="99"/>
    <w:rPr>
      <w:rFonts w:eastAsia="宋体"/>
      <w:b/>
      <w:kern w:val="44"/>
      <w:sz w:val="44"/>
      <w:lang w:val="en-US" w:eastAsia="zh-CN"/>
    </w:rPr>
  </w:style>
  <w:style w:type="character" w:customStyle="1" w:styleId="436">
    <w:name w:val="页脚 字符"/>
    <w:qFormat/>
    <w:uiPriority w:val="99"/>
    <w:rPr>
      <w:kern w:val="2"/>
      <w:sz w:val="18"/>
    </w:rPr>
  </w:style>
  <w:style w:type="character" w:customStyle="1" w:styleId="437">
    <w:name w:val="正文2 Char"/>
    <w:qFormat/>
    <w:uiPriority w:val="99"/>
    <w:rPr>
      <w:rFonts w:eastAsia="宋体"/>
      <w:kern w:val="2"/>
      <w:sz w:val="24"/>
      <w:lang w:val="en-US" w:eastAsia="zh-CN"/>
    </w:rPr>
  </w:style>
  <w:style w:type="character" w:customStyle="1" w:styleId="438">
    <w:name w:val="Char Char21"/>
    <w:qFormat/>
    <w:uiPriority w:val="99"/>
    <w:rPr>
      <w:rFonts w:ascii="宋体" w:eastAsia="宋体"/>
      <w:kern w:val="1"/>
      <w:sz w:val="21"/>
      <w:lang w:val="zh-CN"/>
    </w:rPr>
  </w:style>
  <w:style w:type="character" w:customStyle="1" w:styleId="439">
    <w:name w:val="样式 正文缩进 + 首行缩进:  2 字符 Char Char"/>
    <w:link w:val="440"/>
    <w:qFormat/>
    <w:locked/>
    <w:uiPriority w:val="99"/>
    <w:rPr>
      <w:kern w:val="2"/>
      <w:sz w:val="24"/>
    </w:rPr>
  </w:style>
  <w:style w:type="paragraph" w:customStyle="1" w:styleId="440">
    <w:name w:val="样式 正文缩进 + 首行缩进:  2 字符"/>
    <w:basedOn w:val="15"/>
    <w:link w:val="439"/>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1">
    <w:name w:val="gray6"/>
    <w:basedOn w:val="72"/>
    <w:qFormat/>
    <w:uiPriority w:val="99"/>
    <w:rPr>
      <w:rFonts w:ascii="Arial" w:hAnsi="Arial" w:eastAsia="黑体" w:cs="Arial"/>
      <w:snapToGrid w:val="0"/>
      <w:kern w:val="0"/>
      <w:sz w:val="21"/>
      <w:szCs w:val="21"/>
    </w:rPr>
  </w:style>
  <w:style w:type="character" w:customStyle="1" w:styleId="442">
    <w:name w:val="hui"/>
    <w:basedOn w:val="72"/>
    <w:qFormat/>
    <w:uiPriority w:val="99"/>
    <w:rPr>
      <w:rFonts w:ascii="Arial" w:hAnsi="Arial" w:eastAsia="黑体" w:cs="Arial"/>
      <w:snapToGrid w:val="0"/>
      <w:kern w:val="0"/>
      <w:sz w:val="21"/>
      <w:szCs w:val="21"/>
    </w:rPr>
  </w:style>
  <w:style w:type="character" w:customStyle="1" w:styleId="443">
    <w:name w:val="哈哈正文 Char Char"/>
    <w:qFormat/>
    <w:uiPriority w:val="99"/>
    <w:rPr>
      <w:rFonts w:ascii="宋体" w:hAnsi="宋体" w:eastAsia="宋体"/>
      <w:kern w:val="2"/>
      <w:sz w:val="24"/>
      <w:lang w:val="en-US" w:eastAsia="zh-CN"/>
    </w:rPr>
  </w:style>
  <w:style w:type="paragraph" w:customStyle="1" w:styleId="444">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6">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8">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0">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1">
    <w:name w:val="标题4_自定义"/>
    <w:basedOn w:val="5"/>
    <w:qFormat/>
    <w:uiPriority w:val="99"/>
    <w:pPr>
      <w:adjustRightInd/>
      <w:spacing w:before="0" w:after="0" w:line="360" w:lineRule="auto"/>
    </w:pPr>
    <w:rPr>
      <w:rFonts w:ascii="Verdana" w:eastAsia="Times New Roman"/>
      <w:sz w:val="21"/>
      <w:lang w:val="en-US"/>
    </w:rPr>
  </w:style>
  <w:style w:type="paragraph" w:customStyle="1" w:styleId="452">
    <w:name w:val="正文 内标 序号标"/>
    <w:basedOn w:val="453"/>
    <w:qFormat/>
    <w:uiPriority w:val="99"/>
    <w:pPr>
      <w:tabs>
        <w:tab w:val="left" w:pos="0"/>
      </w:tabs>
      <w:adjustRightInd/>
      <w:spacing w:before="0"/>
      <w:ind w:firstLine="482"/>
    </w:pPr>
    <w:rPr>
      <w:rFonts w:ascii="微软雅黑" w:hAnsi="微软雅黑"/>
      <w:sz w:val="24"/>
      <w:szCs w:val="24"/>
    </w:rPr>
  </w:style>
  <w:style w:type="paragraph" w:customStyle="1" w:styleId="453">
    <w:name w:val="My正文"/>
    <w:basedOn w:val="1"/>
    <w:qFormat/>
    <w:uiPriority w:val="99"/>
    <w:pPr>
      <w:spacing w:before="120" w:line="360" w:lineRule="auto"/>
      <w:ind w:firstLine="567"/>
    </w:pPr>
    <w:rPr>
      <w:rFonts w:ascii="Arial" w:hAnsi="Arial"/>
      <w:sz w:val="20"/>
      <w:szCs w:val="20"/>
    </w:rPr>
  </w:style>
  <w:style w:type="paragraph" w:customStyle="1" w:styleId="454">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5">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修订2"/>
    <w:qFormat/>
    <w:uiPriority w:val="99"/>
    <w:rPr>
      <w:rFonts w:ascii="Times New Roman" w:hAnsi="Times New Roman" w:eastAsia="宋体" w:cs="Times New Roman"/>
      <w:kern w:val="2"/>
      <w:sz w:val="21"/>
      <w:szCs w:val="20"/>
      <w:lang w:val="en-US" w:eastAsia="zh-CN" w:bidi="ar-SA"/>
    </w:rPr>
  </w:style>
  <w:style w:type="paragraph" w:customStyle="1" w:styleId="458">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9">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1">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2">
    <w:name w:val="Char1 Char Char Char5"/>
    <w:basedOn w:val="1"/>
    <w:qFormat/>
    <w:uiPriority w:val="99"/>
    <w:pPr>
      <w:adjustRightInd/>
      <w:ind w:firstLine="200" w:firstLineChars="200"/>
    </w:pPr>
    <w:rPr>
      <w:rFonts w:ascii="Tahoma" w:hAnsi="Tahoma"/>
      <w:sz w:val="24"/>
      <w:szCs w:val="20"/>
    </w:rPr>
  </w:style>
  <w:style w:type="paragraph" w:customStyle="1" w:styleId="463">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qFormat/>
    <w:uiPriority w:val="99"/>
    <w:pPr>
      <w:tabs>
        <w:tab w:val="left" w:pos="360"/>
      </w:tabs>
    </w:pPr>
    <w:rPr>
      <w:sz w:val="24"/>
      <w:szCs w:val="20"/>
    </w:rPr>
  </w:style>
  <w:style w:type="paragraph" w:customStyle="1" w:styleId="466">
    <w:name w:val="Char Char11 Char Char Char"/>
    <w:basedOn w:val="1"/>
    <w:qFormat/>
    <w:uiPriority w:val="99"/>
    <w:pPr>
      <w:spacing w:line="360" w:lineRule="auto"/>
    </w:pPr>
    <w:rPr>
      <w:szCs w:val="20"/>
    </w:rPr>
  </w:style>
  <w:style w:type="paragraph" w:customStyle="1" w:styleId="467">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9">
    <w:name w:val="样式3"/>
    <w:basedOn w:val="470"/>
    <w:qFormat/>
    <w:uiPriority w:val="99"/>
    <w:pPr>
      <w:tabs>
        <w:tab w:val="left" w:pos="2790"/>
        <w:tab w:val="left" w:pos="4230"/>
      </w:tabs>
      <w:spacing w:beforeLines="100"/>
      <w:jc w:val="left"/>
    </w:pPr>
  </w:style>
  <w:style w:type="paragraph" w:customStyle="1" w:styleId="470">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qFormat/>
    <w:uiPriority w:val="99"/>
    <w:pPr>
      <w:tabs>
        <w:tab w:val="left" w:pos="840"/>
      </w:tabs>
      <w:ind w:left="840" w:hanging="420"/>
    </w:pPr>
    <w:rPr>
      <w:rFonts w:ascii="Tahoma" w:hAnsi="Tahoma"/>
      <w:sz w:val="24"/>
    </w:rPr>
  </w:style>
  <w:style w:type="paragraph" w:customStyle="1" w:styleId="472">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2"/>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5">
    <w:name w:val="正文21"/>
    <w:basedOn w:val="1"/>
    <w:qFormat/>
    <w:uiPriority w:val="99"/>
    <w:pPr>
      <w:adjustRightInd/>
      <w:spacing w:before="156" w:line="360" w:lineRule="auto"/>
      <w:ind w:firstLine="510" w:firstLineChars="200"/>
    </w:pPr>
    <w:rPr>
      <w:sz w:val="24"/>
      <w:szCs w:val="20"/>
    </w:rPr>
  </w:style>
  <w:style w:type="paragraph" w:customStyle="1" w:styleId="476">
    <w:name w:val="Test2"/>
    <w:basedOn w:val="2"/>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qFormat/>
    <w:uiPriority w:val="99"/>
    <w:rPr>
      <w:rFonts w:ascii="仿宋_GB2312" w:eastAsia="仿宋_GB2312"/>
      <w:b/>
      <w:sz w:val="32"/>
      <w:szCs w:val="32"/>
    </w:rPr>
  </w:style>
  <w:style w:type="paragraph" w:customStyle="1" w:styleId="47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1">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2">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qFormat/>
    <w:uiPriority w:val="99"/>
    <w:pPr>
      <w:keepNext/>
      <w:tabs>
        <w:tab w:val="left" w:pos="360"/>
      </w:tabs>
      <w:outlineLvl w:val="5"/>
    </w:pPr>
  </w:style>
  <w:style w:type="paragraph" w:customStyle="1" w:styleId="484">
    <w:name w:val="5级标题"/>
    <w:basedOn w:val="485"/>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5">
    <w:name w:val="4级标题"/>
    <w:basedOn w:val="284"/>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6">
    <w:name w:val="样式 正文文本缩进 + 段前: 2 字符"/>
    <w:basedOn w:val="1"/>
    <w:qFormat/>
    <w:uiPriority w:val="99"/>
    <w:pPr>
      <w:adjustRightInd/>
      <w:ind w:left="420" w:leftChars="200"/>
      <w:jc w:val="left"/>
    </w:pPr>
    <w:rPr>
      <w:sz w:val="28"/>
      <w:szCs w:val="20"/>
      <w:lang w:eastAsia="zh-TW"/>
    </w:rPr>
  </w:style>
  <w:style w:type="paragraph" w:customStyle="1" w:styleId="487">
    <w:name w:val="Char2 Char Char"/>
    <w:basedOn w:val="1"/>
    <w:qFormat/>
    <w:uiPriority w:val="99"/>
    <w:pPr>
      <w:adjustRightInd/>
    </w:pPr>
    <w:rPr>
      <w:rFonts w:ascii="Tahoma" w:hAnsi="Tahoma"/>
      <w:sz w:val="24"/>
      <w:szCs w:val="20"/>
    </w:rPr>
  </w:style>
  <w:style w:type="paragraph" w:customStyle="1" w:styleId="488">
    <w:name w:val="_Style 11"/>
    <w:basedOn w:val="1"/>
    <w:qFormat/>
    <w:uiPriority w:val="99"/>
    <w:pPr>
      <w:adjustRightInd/>
      <w:ind w:firstLine="420" w:firstLineChars="200"/>
    </w:pPr>
    <w:rPr>
      <w:rFonts w:eastAsia="仿宋_GB2312"/>
      <w:sz w:val="28"/>
    </w:rPr>
  </w:style>
  <w:style w:type="paragraph" w:customStyle="1" w:styleId="489">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qFormat/>
    <w:uiPriority w:val="99"/>
    <w:rPr>
      <w:rFonts w:ascii="Tahoma" w:hAnsi="Tahoma"/>
      <w:sz w:val="24"/>
      <w:szCs w:val="20"/>
    </w:rPr>
  </w:style>
  <w:style w:type="paragraph" w:customStyle="1" w:styleId="491">
    <w:name w:val="数字标题6"/>
    <w:basedOn w:val="7"/>
    <w:next w:val="1"/>
    <w:qFormat/>
    <w:uiPriority w:val="99"/>
    <w:pPr>
      <w:tabs>
        <w:tab w:val="left" w:pos="1080"/>
      </w:tabs>
      <w:ind w:left="1080" w:hanging="1080"/>
    </w:pPr>
    <w:rPr>
      <w:rFonts w:ascii="Times New Roman" w:hAnsi="Times New Roman" w:eastAsia="宋体"/>
      <w:i/>
    </w:rPr>
  </w:style>
  <w:style w:type="paragraph" w:customStyle="1" w:styleId="492">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3">
    <w:name w:val="No Spacing"/>
    <w:basedOn w:val="1"/>
    <w:link w:val="940"/>
    <w:qFormat/>
    <w:uiPriority w:val="99"/>
    <w:rPr>
      <w:sz w:val="22"/>
      <w:szCs w:val="20"/>
    </w:rPr>
  </w:style>
  <w:style w:type="paragraph" w:customStyle="1" w:styleId="494">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5">
    <w:name w:val="Char Char Char Char Char Char Char Char Char Char Char Char1 Char1"/>
    <w:basedOn w:val="1"/>
    <w:qFormat/>
    <w:uiPriority w:val="99"/>
    <w:rPr>
      <w:rFonts w:ascii="Tahoma" w:hAnsi="Tahoma" w:cs="仿宋_GB2312"/>
      <w:sz w:val="24"/>
      <w:szCs w:val="20"/>
    </w:rPr>
  </w:style>
  <w:style w:type="paragraph" w:customStyle="1" w:styleId="496">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2"/>
    <w:qFormat/>
    <w:uiPriority w:val="99"/>
    <w:pPr>
      <w:tabs>
        <w:tab w:val="left" w:pos="1260"/>
      </w:tabs>
      <w:ind w:left="1260" w:hanging="420"/>
    </w:pPr>
    <w:rPr>
      <w:rFonts w:ascii="Arial" w:hAnsi="Arial" w:eastAsia="黑体"/>
      <w:lang w:val="en-US"/>
    </w:rPr>
  </w:style>
  <w:style w:type="paragraph" w:customStyle="1" w:styleId="500">
    <w:name w:val="五级无标题条"/>
    <w:basedOn w:val="1"/>
    <w:qFormat/>
    <w:uiPriority w:val="99"/>
    <w:pPr>
      <w:adjustRightInd/>
    </w:pPr>
  </w:style>
  <w:style w:type="paragraph" w:customStyle="1" w:styleId="501">
    <w:name w:val="Char5"/>
    <w:basedOn w:val="1"/>
    <w:qFormat/>
    <w:uiPriority w:val="99"/>
    <w:rPr>
      <w:rFonts w:ascii="仿宋_GB2312" w:eastAsia="仿宋_GB2312"/>
      <w:b/>
      <w:sz w:val="32"/>
      <w:szCs w:val="32"/>
    </w:rPr>
  </w:style>
  <w:style w:type="paragraph" w:customStyle="1" w:styleId="502">
    <w:name w:val="TOC 标题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qFormat/>
    <w:uiPriority w:val="99"/>
    <w:pPr>
      <w:adjustRightInd/>
      <w:ind w:firstLine="420" w:firstLineChars="200"/>
    </w:pPr>
    <w:rPr>
      <w:rFonts w:ascii="Calibri" w:hAnsi="Calibri"/>
      <w:szCs w:val="22"/>
    </w:rPr>
  </w:style>
  <w:style w:type="paragraph" w:customStyle="1" w:styleId="504">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5">
    <w:name w:val="Char2"/>
    <w:basedOn w:val="1"/>
    <w:qFormat/>
    <w:uiPriority w:val="99"/>
    <w:rPr>
      <w:rFonts w:ascii="仿宋_GB2312" w:eastAsia="仿宋_GB2312"/>
      <w:b/>
      <w:sz w:val="32"/>
      <w:szCs w:val="32"/>
    </w:rPr>
  </w:style>
  <w:style w:type="paragraph" w:customStyle="1" w:styleId="506">
    <w:name w:val="数字标题3"/>
    <w:basedOn w:val="4"/>
    <w:next w:val="1"/>
    <w:qFormat/>
    <w:uiPriority w:val="99"/>
    <w:pPr>
      <w:spacing w:line="240" w:lineRule="auto"/>
    </w:pPr>
    <w:rPr>
      <w:sz w:val="28"/>
      <w:szCs w:val="28"/>
    </w:rPr>
  </w:style>
  <w:style w:type="paragraph" w:customStyle="1" w:styleId="507">
    <w:name w:val="FA正文"/>
    <w:basedOn w:val="1"/>
    <w:qFormat/>
    <w:uiPriority w:val="99"/>
    <w:pPr>
      <w:spacing w:line="360" w:lineRule="auto"/>
      <w:ind w:firstLine="480" w:firstLineChars="200"/>
    </w:pPr>
    <w:rPr>
      <w:rFonts w:hAnsi="宋体"/>
      <w:sz w:val="24"/>
      <w:szCs w:val="20"/>
    </w:rPr>
  </w:style>
  <w:style w:type="paragraph" w:customStyle="1" w:styleId="508">
    <w:name w:val="MM Topic 5"/>
    <w:basedOn w:val="6"/>
    <w:qFormat/>
    <w:uiPriority w:val="99"/>
    <w:pPr>
      <w:tabs>
        <w:tab w:val="left" w:pos="2520"/>
      </w:tabs>
      <w:adjustRightInd/>
      <w:ind w:left="2520" w:hanging="420"/>
    </w:pPr>
  </w:style>
  <w:style w:type="paragraph" w:customStyle="1" w:styleId="509">
    <w:name w:val="Char Char Char Char Char Char Char Char Char Char1"/>
    <w:basedOn w:val="1"/>
    <w:qFormat/>
    <w:uiPriority w:val="99"/>
    <w:rPr>
      <w:rFonts w:ascii="仿宋_GB2312" w:eastAsia="仿宋_GB2312"/>
      <w:b/>
      <w:sz w:val="32"/>
      <w:szCs w:val="32"/>
    </w:rPr>
  </w:style>
  <w:style w:type="paragraph" w:customStyle="1" w:styleId="510">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2">
    <w:name w:val="Char2 Char Char Char"/>
    <w:basedOn w:val="1"/>
    <w:qFormat/>
    <w:uiPriority w:val="99"/>
    <w:rPr>
      <w:rFonts w:ascii="仿宋_GB2312" w:eastAsia="仿宋_GB2312"/>
      <w:b/>
      <w:sz w:val="32"/>
      <w:szCs w:val="32"/>
    </w:rPr>
  </w:style>
  <w:style w:type="paragraph" w:customStyle="1" w:styleId="513">
    <w:name w:val="Char2 Char Char Char1"/>
    <w:basedOn w:val="1"/>
    <w:qFormat/>
    <w:uiPriority w:val="99"/>
    <w:rPr>
      <w:rFonts w:ascii="仿宋_GB2312" w:eastAsia="仿宋_GB2312"/>
      <w:b/>
      <w:sz w:val="32"/>
      <w:szCs w:val="32"/>
    </w:rPr>
  </w:style>
  <w:style w:type="paragraph" w:customStyle="1" w:styleId="514">
    <w:name w:val="默认段落样式"/>
    <w:basedOn w:val="166"/>
    <w:qFormat/>
    <w:uiPriority w:val="99"/>
    <w:pPr>
      <w:spacing w:before="0"/>
      <w:ind w:firstLine="480"/>
      <w:outlineLvl w:val="2"/>
    </w:pPr>
    <w:rPr>
      <w:rFonts w:ascii="仿宋_GB2312" w:hAnsi="宋体" w:eastAsia="仿宋_GB2312"/>
      <w:color w:val="000000"/>
      <w:szCs w:val="24"/>
    </w:rPr>
  </w:style>
  <w:style w:type="paragraph" w:customStyle="1" w:styleId="515">
    <w:name w:val="图中文字"/>
    <w:basedOn w:val="1"/>
    <w:qFormat/>
    <w:uiPriority w:val="99"/>
    <w:pPr>
      <w:snapToGrid w:val="0"/>
      <w:spacing w:line="240" w:lineRule="atLeast"/>
      <w:ind w:firstLine="200" w:firstLineChars="200"/>
      <w:jc w:val="center"/>
    </w:pPr>
    <w:rPr>
      <w:sz w:val="24"/>
      <w:szCs w:val="20"/>
    </w:rPr>
  </w:style>
  <w:style w:type="paragraph" w:customStyle="1" w:styleId="516">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4"/>
    <w:qFormat/>
    <w:uiPriority w:val="99"/>
    <w:pPr>
      <w:tabs>
        <w:tab w:val="left" w:pos="1680"/>
      </w:tabs>
      <w:adjustRightInd/>
      <w:ind w:left="1680" w:hanging="420"/>
    </w:pPr>
  </w:style>
  <w:style w:type="paragraph" w:customStyle="1" w:styleId="518">
    <w:name w:val="标准小四"/>
    <w:basedOn w:val="1"/>
    <w:qFormat/>
    <w:uiPriority w:val="99"/>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2"/>
    <w:qFormat/>
    <w:uiPriority w:val="99"/>
    <w:pPr>
      <w:spacing w:before="120" w:after="120"/>
      <w:ind w:left="425" w:hanging="425"/>
    </w:pPr>
    <w:rPr>
      <w:rFonts w:ascii="微软雅黑" w:hAnsi="微软雅黑" w:eastAsia="微软雅黑" w:cs="宋体"/>
      <w:szCs w:val="20"/>
      <w:lang w:val="en-US"/>
    </w:rPr>
  </w:style>
  <w:style w:type="paragraph" w:customStyle="1" w:styleId="520">
    <w:name w:val="表格（小）"/>
    <w:basedOn w:val="1"/>
    <w:qFormat/>
    <w:uiPriority w:val="99"/>
    <w:pPr>
      <w:adjustRightInd/>
      <w:snapToGrid w:val="0"/>
      <w:spacing w:line="300" w:lineRule="auto"/>
    </w:pPr>
    <w:rPr>
      <w:rFonts w:eastAsia="仿宋"/>
      <w:szCs w:val="21"/>
    </w:rPr>
  </w:style>
  <w:style w:type="paragraph" w:customStyle="1" w:styleId="521">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2">
    <w:name w:val="Char2 Char Char1"/>
    <w:basedOn w:val="1"/>
    <w:qFormat/>
    <w:uiPriority w:val="99"/>
    <w:pPr>
      <w:adjustRightInd/>
    </w:pPr>
    <w:rPr>
      <w:rFonts w:ascii="Tahoma" w:hAnsi="Tahoma"/>
      <w:sz w:val="24"/>
      <w:szCs w:val="20"/>
    </w:rPr>
  </w:style>
  <w:style w:type="paragraph" w:customStyle="1" w:styleId="523">
    <w:name w:val="列出段落5"/>
    <w:basedOn w:val="1"/>
    <w:qFormat/>
    <w:uiPriority w:val="99"/>
    <w:pPr>
      <w:spacing w:line="360" w:lineRule="auto"/>
      <w:ind w:firstLine="200" w:firstLineChars="200"/>
    </w:pPr>
    <w:rPr>
      <w:rFonts w:eastAsia="楷体_GB2312" w:cs="Lucida Sans"/>
      <w:sz w:val="24"/>
    </w:rPr>
  </w:style>
  <w:style w:type="paragraph" w:customStyle="1" w:styleId="524">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6">
    <w:name w:val="TOC 标题1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9">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0">
    <w:name w:val="_Style 3"/>
    <w:basedOn w:val="1"/>
    <w:qFormat/>
    <w:uiPriority w:val="99"/>
    <w:pPr>
      <w:adjustRightInd/>
      <w:ind w:firstLine="420" w:firstLineChars="200"/>
    </w:pPr>
    <w:rPr>
      <w:rFonts w:eastAsia="仿宋_GB2312"/>
      <w:sz w:val="28"/>
    </w:rPr>
  </w:style>
  <w:style w:type="paragraph" w:customStyle="1" w:styleId="531">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24"/>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qFormat/>
    <w:uiPriority w:val="99"/>
    <w:pPr>
      <w:adjustRightInd/>
      <w:ind w:firstLine="200" w:firstLineChars="200"/>
      <w:jc w:val="right"/>
    </w:pPr>
  </w:style>
  <w:style w:type="paragraph" w:customStyle="1" w:styleId="534">
    <w:name w:val="Char Char11 Char Char Char Char Char Char Char Char Char"/>
    <w:basedOn w:val="1"/>
    <w:qFormat/>
    <w:uiPriority w:val="99"/>
    <w:pPr>
      <w:spacing w:line="360" w:lineRule="auto"/>
    </w:pPr>
    <w:rPr>
      <w:szCs w:val="20"/>
    </w:rPr>
  </w:style>
  <w:style w:type="paragraph" w:customStyle="1" w:styleId="535">
    <w:name w:val="正文1.25"/>
    <w:basedOn w:val="1"/>
    <w:qFormat/>
    <w:uiPriority w:val="99"/>
    <w:pPr>
      <w:adjustRightInd/>
      <w:spacing w:line="300" w:lineRule="auto"/>
      <w:ind w:firstLine="480" w:firstLineChars="200"/>
    </w:pPr>
    <w:rPr>
      <w:sz w:val="24"/>
      <w:szCs w:val="20"/>
    </w:rPr>
  </w:style>
  <w:style w:type="paragraph" w:customStyle="1" w:styleId="536">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qFormat/>
    <w:uiPriority w:val="99"/>
    <w:rPr>
      <w:rFonts w:ascii="仿宋_GB2312" w:eastAsia="仿宋_GB2312"/>
      <w:b/>
      <w:sz w:val="32"/>
      <w:szCs w:val="20"/>
    </w:rPr>
  </w:style>
  <w:style w:type="paragraph" w:customStyle="1" w:styleId="540">
    <w:name w:val="列出段落2"/>
    <w:basedOn w:val="1"/>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qFormat/>
    <w:uiPriority w:val="99"/>
    <w:rPr>
      <w:rFonts w:eastAsia="仿宋_GB2312"/>
      <w:sz w:val="28"/>
      <w:szCs w:val="20"/>
    </w:rPr>
  </w:style>
  <w:style w:type="paragraph" w:customStyle="1" w:styleId="542">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5"/>
    <w:qFormat/>
    <w:uiPriority w:val="99"/>
    <w:pPr>
      <w:widowControl/>
      <w:jc w:val="left"/>
    </w:pPr>
    <w:rPr>
      <w:rFonts w:cs="宋体"/>
      <w:sz w:val="24"/>
      <w:szCs w:val="20"/>
    </w:rPr>
  </w:style>
  <w:style w:type="paragraph" w:customStyle="1" w:styleId="544">
    <w:name w:val="彩色列表 - 强调文字颜色 11"/>
    <w:basedOn w:val="1"/>
    <w:qFormat/>
    <w:uiPriority w:val="99"/>
    <w:pPr>
      <w:adjustRightInd/>
      <w:ind w:firstLine="420" w:firstLineChars="200"/>
    </w:pPr>
    <w:rPr>
      <w:rFonts w:ascii="Calibri" w:hAnsi="Calibri"/>
      <w:szCs w:val="22"/>
    </w:rPr>
  </w:style>
  <w:style w:type="paragraph" w:customStyle="1" w:styleId="545">
    <w:name w:val="加粗正文"/>
    <w:basedOn w:val="1"/>
    <w:qFormat/>
    <w:uiPriority w:val="99"/>
    <w:pPr>
      <w:adjustRightInd/>
      <w:spacing w:beforeLines="50" w:afterLines="50" w:line="360" w:lineRule="auto"/>
      <w:ind w:firstLine="422" w:firstLineChars="200"/>
    </w:pPr>
    <w:rPr>
      <w:b/>
      <w:bCs/>
      <w:szCs w:val="21"/>
    </w:rPr>
  </w:style>
  <w:style w:type="paragraph" w:customStyle="1" w:styleId="546">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qFormat/>
    <w:uiPriority w:val="99"/>
    <w:rPr>
      <w:szCs w:val="20"/>
    </w:rPr>
  </w:style>
  <w:style w:type="paragraph" w:customStyle="1" w:styleId="549">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2"/>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3">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1"/>
    <w:next w:val="261"/>
    <w:qFormat/>
    <w:uiPriority w:val="99"/>
    <w:pPr>
      <w:spacing w:after="68"/>
    </w:pPr>
    <w:rPr>
      <w:rFonts w:ascii="FHLHE E+ Futura Bk" w:eastAsia="FHLHE E+ Futura Bk" w:cs="Times New Roman"/>
      <w:color w:val="auto"/>
    </w:rPr>
  </w:style>
  <w:style w:type="paragraph" w:customStyle="1" w:styleId="555">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1"/>
    <w:next w:val="261"/>
    <w:qFormat/>
    <w:uiPriority w:val="99"/>
    <w:rPr>
      <w:rFonts w:ascii="宋体" w:eastAsia="宋体" w:cs="Times New Roman"/>
      <w:color w:val="auto"/>
    </w:rPr>
  </w:style>
  <w:style w:type="paragraph" w:customStyle="1" w:styleId="559">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qFormat/>
    <w:uiPriority w:val="99"/>
    <w:rPr>
      <w:rFonts w:ascii="仿宋_GB2312" w:eastAsia="仿宋_GB2312"/>
      <w:b/>
      <w:sz w:val="32"/>
      <w:szCs w:val="32"/>
    </w:rPr>
  </w:style>
  <w:style w:type="paragraph" w:customStyle="1" w:styleId="561">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3">
    <w:name w:val="Char Char111"/>
    <w:basedOn w:val="1"/>
    <w:qFormat/>
    <w:uiPriority w:val="99"/>
    <w:pPr>
      <w:spacing w:line="360" w:lineRule="auto"/>
    </w:pPr>
    <w:rPr>
      <w:szCs w:val="20"/>
    </w:rPr>
  </w:style>
  <w:style w:type="paragraph" w:customStyle="1" w:styleId="564">
    <w:name w:val="Char"/>
    <w:basedOn w:val="1"/>
    <w:qFormat/>
    <w:uiPriority w:val="99"/>
    <w:rPr>
      <w:rFonts w:ascii="仿宋_GB2312" w:eastAsia="仿宋_GB2312"/>
      <w:b/>
      <w:sz w:val="32"/>
      <w:szCs w:val="32"/>
    </w:rPr>
  </w:style>
  <w:style w:type="paragraph" w:customStyle="1" w:styleId="565">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qFormat/>
    <w:uiPriority w:val="99"/>
    <w:rPr>
      <w:szCs w:val="20"/>
    </w:rPr>
  </w:style>
  <w:style w:type="paragraph" w:customStyle="1" w:styleId="568">
    <w:name w:val="正文标准"/>
    <w:basedOn w:val="1"/>
    <w:qFormat/>
    <w:uiPriority w:val="99"/>
    <w:pPr>
      <w:adjustRightInd/>
      <w:spacing w:line="360" w:lineRule="auto"/>
      <w:ind w:firstLine="200" w:firstLineChars="200"/>
    </w:pPr>
    <w:rPr>
      <w:rFonts w:ascii="宋体" w:hAnsi="Calibri"/>
      <w:sz w:val="24"/>
    </w:rPr>
  </w:style>
  <w:style w:type="paragraph" w:customStyle="1" w:styleId="569">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1">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3">
    <w:name w:val="_正文段落"/>
    <w:basedOn w:val="1"/>
    <w:qFormat/>
    <w:uiPriority w:val="99"/>
    <w:pPr>
      <w:adjustRightInd/>
      <w:ind w:firstLine="560"/>
    </w:pPr>
    <w:rPr>
      <w:rFonts w:ascii="仿宋_GB2312" w:hAnsi="仿宋" w:eastAsia="仿宋_GB2312"/>
      <w:kern w:val="0"/>
      <w:sz w:val="28"/>
      <w:szCs w:val="28"/>
    </w:rPr>
  </w:style>
  <w:style w:type="paragraph" w:customStyle="1" w:styleId="584">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basedOn w:val="2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8">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qFormat/>
    <w:uiPriority w:val="99"/>
    <w:rPr>
      <w:szCs w:val="20"/>
    </w:rPr>
  </w:style>
  <w:style w:type="paragraph" w:customStyle="1" w:styleId="591">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qFormat/>
    <w:uiPriority w:val="99"/>
    <w:rPr>
      <w:rFonts w:ascii="Tahoma" w:hAnsi="Tahoma"/>
      <w:sz w:val="24"/>
      <w:szCs w:val="20"/>
    </w:rPr>
  </w:style>
  <w:style w:type="paragraph" w:customStyle="1" w:styleId="593">
    <w:name w:val="标题五"/>
    <w:basedOn w:val="1"/>
    <w:qFormat/>
    <w:uiPriority w:val="99"/>
    <w:pPr>
      <w:adjustRightInd/>
      <w:spacing w:beforeLines="50" w:line="360" w:lineRule="auto"/>
    </w:pPr>
    <w:rPr>
      <w:b/>
      <w:sz w:val="24"/>
    </w:rPr>
  </w:style>
  <w:style w:type="paragraph" w:customStyle="1" w:styleId="594">
    <w:name w:val="Char Char1101"/>
    <w:basedOn w:val="1"/>
    <w:qFormat/>
    <w:uiPriority w:val="99"/>
    <w:pPr>
      <w:spacing w:line="360" w:lineRule="auto"/>
    </w:pPr>
    <w:rPr>
      <w:rFonts w:ascii="Tahoma" w:hAnsi="Tahoma"/>
      <w:sz w:val="24"/>
      <w:szCs w:val="20"/>
    </w:rPr>
  </w:style>
  <w:style w:type="paragraph" w:customStyle="1" w:styleId="595">
    <w:name w:val="Char Char Char Char Char Char Char Char1"/>
    <w:basedOn w:val="1"/>
    <w:qFormat/>
    <w:uiPriority w:val="99"/>
    <w:pPr>
      <w:tabs>
        <w:tab w:val="left" w:pos="360"/>
      </w:tabs>
    </w:pPr>
    <w:rPr>
      <w:sz w:val="24"/>
      <w:szCs w:val="20"/>
    </w:rPr>
  </w:style>
  <w:style w:type="paragraph" w:customStyle="1" w:styleId="596">
    <w:name w:val="Char Char Char 字元 字元"/>
    <w:basedOn w:val="1"/>
    <w:qFormat/>
    <w:uiPriority w:val="99"/>
    <w:pPr>
      <w:adjustRightInd/>
      <w:spacing w:line="360" w:lineRule="auto"/>
      <w:ind w:firstLine="200" w:firstLineChars="200"/>
    </w:pPr>
    <w:rPr>
      <w:szCs w:val="20"/>
    </w:rPr>
  </w:style>
  <w:style w:type="paragraph" w:customStyle="1" w:styleId="597">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qFormat/>
    <w:uiPriority w:val="99"/>
    <w:rPr>
      <w:rFonts w:ascii="仿宋_GB2312" w:eastAsia="仿宋_GB2312"/>
      <w:b/>
      <w:sz w:val="32"/>
      <w:szCs w:val="32"/>
    </w:rPr>
  </w:style>
  <w:style w:type="paragraph" w:customStyle="1" w:styleId="599">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2"/>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4"/>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qFormat/>
    <w:uiPriority w:val="99"/>
    <w:pPr>
      <w:adjustRightInd/>
    </w:pPr>
    <w:rPr>
      <w:sz w:val="18"/>
      <w:szCs w:val="20"/>
    </w:rPr>
  </w:style>
  <w:style w:type="paragraph" w:customStyle="1" w:styleId="604">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7">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qFormat/>
    <w:uiPriority w:val="99"/>
    <w:pPr>
      <w:adjustRightInd/>
      <w:spacing w:line="360" w:lineRule="auto"/>
    </w:pPr>
    <w:rPr>
      <w:rFonts w:ascii="仿宋_GB2312" w:eastAsia="仿宋_GB2312"/>
      <w:sz w:val="24"/>
      <w:szCs w:val="20"/>
    </w:rPr>
  </w:style>
  <w:style w:type="paragraph" w:customStyle="1" w:styleId="609">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basedOn w:val="26"/>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7"/>
    <w:qFormat/>
    <w:uiPriority w:val="99"/>
    <w:pPr>
      <w:snapToGrid w:val="0"/>
      <w:spacing w:line="360" w:lineRule="auto"/>
    </w:pPr>
    <w:rPr>
      <w:rFonts w:ascii="宋体"/>
      <w:b/>
      <w:sz w:val="24"/>
      <w:szCs w:val="20"/>
    </w:rPr>
  </w:style>
  <w:style w:type="paragraph" w:customStyle="1" w:styleId="614">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4"/>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qFormat/>
    <w:uiPriority w:val="99"/>
    <w:pPr>
      <w:adjustRightInd/>
    </w:pPr>
    <w:rPr>
      <w:rFonts w:ascii="宋体" w:hAnsi="Courier New"/>
    </w:rPr>
  </w:style>
  <w:style w:type="paragraph" w:customStyle="1" w:styleId="617">
    <w:name w:val="Char3"/>
    <w:basedOn w:val="1"/>
    <w:qFormat/>
    <w:uiPriority w:val="99"/>
    <w:pPr>
      <w:adjustRightInd/>
    </w:pPr>
    <w:rPr>
      <w:rFonts w:ascii="仿宋_GB2312" w:eastAsia="仿宋_GB2312"/>
      <w:b/>
      <w:sz w:val="32"/>
      <w:szCs w:val="32"/>
    </w:rPr>
  </w:style>
  <w:style w:type="paragraph" w:customStyle="1" w:styleId="618">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2"/>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qFormat/>
    <w:uiPriority w:val="99"/>
    <w:pPr>
      <w:widowControl/>
      <w:adjustRightInd/>
      <w:spacing w:after="160" w:line="240" w:lineRule="exact"/>
      <w:jc w:val="left"/>
    </w:pPr>
    <w:rPr>
      <w:szCs w:val="20"/>
    </w:rPr>
  </w:style>
  <w:style w:type="paragraph" w:customStyle="1" w:styleId="626">
    <w:name w:val="表格标题2"/>
    <w:basedOn w:val="627"/>
    <w:qFormat/>
    <w:uiPriority w:val="99"/>
    <w:rPr>
      <w:b/>
    </w:rPr>
  </w:style>
  <w:style w:type="paragraph" w:customStyle="1" w:styleId="627">
    <w:name w:val="表格内文"/>
    <w:basedOn w:val="1"/>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qFormat/>
    <w:uiPriority w:val="99"/>
    <w:rPr>
      <w:rFonts w:ascii="仿宋_GB2312" w:eastAsia="仿宋_GB2312"/>
      <w:b/>
      <w:sz w:val="32"/>
      <w:szCs w:val="32"/>
    </w:rPr>
  </w:style>
  <w:style w:type="paragraph" w:customStyle="1" w:styleId="629">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qFormat/>
    <w:uiPriority w:val="99"/>
    <w:pPr>
      <w:spacing w:line="360" w:lineRule="auto"/>
    </w:pPr>
    <w:rPr>
      <w:szCs w:val="20"/>
    </w:rPr>
  </w:style>
  <w:style w:type="paragraph" w:customStyle="1" w:styleId="632">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4">
    <w:name w:val="MM Topic 1"/>
    <w:basedOn w:val="3"/>
    <w:qFormat/>
    <w:uiPriority w:val="99"/>
    <w:pPr>
      <w:tabs>
        <w:tab w:val="left" w:pos="840"/>
      </w:tabs>
      <w:adjustRightInd/>
      <w:ind w:left="840" w:hanging="420"/>
    </w:pPr>
  </w:style>
  <w:style w:type="paragraph" w:customStyle="1" w:styleId="635">
    <w:name w:val="样式 标题 2标题2H2Heading 2 HiddenHeading 2 CCBSheading 22nd lev..."/>
    <w:basedOn w:val="2"/>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99"/>
    <w:pPr>
      <w:spacing w:line="360" w:lineRule="auto"/>
      <w:ind w:firstLine="200" w:firstLineChars="200"/>
    </w:pPr>
    <w:rPr>
      <w:kern w:val="0"/>
      <w:sz w:val="24"/>
      <w:szCs w:val="20"/>
    </w:rPr>
  </w:style>
  <w:style w:type="paragraph" w:customStyle="1" w:styleId="637">
    <w:name w:val="标书标题4"/>
    <w:basedOn w:val="5"/>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0"/>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99"/>
    <w:pPr>
      <w:adjustRightInd/>
      <w:spacing w:line="300" w:lineRule="auto"/>
      <w:jc w:val="center"/>
    </w:pPr>
  </w:style>
  <w:style w:type="paragraph" w:customStyle="1" w:styleId="642">
    <w:name w:val="_Style 6"/>
    <w:basedOn w:val="1"/>
    <w:qFormat/>
    <w:uiPriority w:val="99"/>
    <w:pPr>
      <w:adjustRightInd/>
      <w:ind w:firstLine="420" w:firstLineChars="200"/>
    </w:pPr>
    <w:rPr>
      <w:rFonts w:eastAsia="仿宋_GB2312"/>
      <w:sz w:val="28"/>
    </w:rPr>
  </w:style>
  <w:style w:type="paragraph" w:customStyle="1" w:styleId="643">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2"/>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99"/>
    <w:rPr>
      <w:rFonts w:ascii="仿宋_GB2312" w:eastAsia="仿宋_GB2312"/>
      <w:b/>
      <w:sz w:val="32"/>
      <w:szCs w:val="20"/>
    </w:rPr>
  </w:style>
  <w:style w:type="paragraph" w:customStyle="1" w:styleId="653">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99"/>
    <w:pPr>
      <w:adjustRightInd/>
      <w:ind w:firstLine="200" w:firstLineChars="200"/>
    </w:pPr>
    <w:rPr>
      <w:rFonts w:ascii="Tahoma" w:hAnsi="Tahoma"/>
      <w:sz w:val="24"/>
      <w:szCs w:val="20"/>
    </w:rPr>
  </w:style>
  <w:style w:type="paragraph" w:customStyle="1" w:styleId="655">
    <w:name w:val="a1"/>
    <w:basedOn w:val="1"/>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99"/>
    <w:pPr>
      <w:spacing w:afterLines="50"/>
      <w:jc w:val="left"/>
      <w:outlineLvl w:val="3"/>
    </w:pPr>
    <w:rPr>
      <w:sz w:val="24"/>
      <w:szCs w:val="24"/>
    </w:rPr>
  </w:style>
  <w:style w:type="paragraph" w:customStyle="1" w:styleId="657">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9">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0"/>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99"/>
    <w:pPr>
      <w:adjustRightInd/>
    </w:pPr>
    <w:rPr>
      <w:rFonts w:ascii="Tahoma" w:hAnsi="Tahoma"/>
      <w:sz w:val="24"/>
      <w:szCs w:val="20"/>
    </w:rPr>
  </w:style>
  <w:style w:type="paragraph" w:customStyle="1" w:styleId="662">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99"/>
    <w:pPr>
      <w:tabs>
        <w:tab w:val="left" w:pos="1260"/>
        <w:tab w:val="left" w:pos="1680"/>
        <w:tab w:val="left" w:pos="2100"/>
      </w:tabs>
      <w:ind w:left="0"/>
      <w:outlineLvl w:val="3"/>
    </w:pPr>
  </w:style>
  <w:style w:type="paragraph" w:customStyle="1" w:styleId="665">
    <w:name w:val="一级条标题"/>
    <w:basedOn w:val="666"/>
    <w:next w:val="648"/>
    <w:qFormat/>
    <w:uiPriority w:val="99"/>
    <w:pPr>
      <w:tabs>
        <w:tab w:val="left" w:pos="1260"/>
        <w:tab w:val="left" w:pos="1680"/>
      </w:tabs>
      <w:spacing w:beforeLines="0" w:afterLines="0"/>
      <w:ind w:left="1680"/>
      <w:outlineLvl w:val="2"/>
    </w:pPr>
  </w:style>
  <w:style w:type="paragraph" w:customStyle="1" w:styleId="666">
    <w:name w:val="章标题"/>
    <w:next w:val="648"/>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2"/>
    <w:next w:val="1"/>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3"/>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3"/>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qFormat/>
    <w:uiPriority w:val="99"/>
    <w:pPr>
      <w:tabs>
        <w:tab w:val="left" w:pos="840"/>
      </w:tabs>
      <w:spacing w:after="0"/>
      <w:ind w:left="900"/>
    </w:pPr>
  </w:style>
  <w:style w:type="paragraph" w:customStyle="1" w:styleId="674">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99"/>
    <w:pPr>
      <w:widowControl/>
      <w:adjustRightInd/>
      <w:ind w:left="720" w:hanging="720"/>
    </w:pPr>
    <w:rPr>
      <w:color w:val="000000"/>
      <w:kern w:val="0"/>
      <w:sz w:val="24"/>
      <w:szCs w:val="20"/>
      <w:lang w:val="en-GB"/>
    </w:rPr>
  </w:style>
  <w:style w:type="paragraph" w:customStyle="1" w:styleId="676">
    <w:name w:val="表1"/>
    <w:basedOn w:val="1"/>
    <w:qFormat/>
    <w:uiPriority w:val="99"/>
    <w:pPr>
      <w:tabs>
        <w:tab w:val="left" w:pos="703"/>
      </w:tabs>
      <w:adjustRightInd/>
      <w:spacing w:line="360" w:lineRule="auto"/>
      <w:ind w:left="703"/>
      <w:jc w:val="center"/>
    </w:pPr>
  </w:style>
  <w:style w:type="paragraph" w:customStyle="1" w:styleId="677">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99"/>
    <w:pPr>
      <w:jc w:val="left"/>
      <w:outlineLvl w:val="1"/>
    </w:pPr>
    <w:rPr>
      <w:rFonts w:ascii="Times New Roman" w:hAnsi="Times New Roman" w:eastAsia="仿宋"/>
      <w:sz w:val="30"/>
    </w:rPr>
  </w:style>
  <w:style w:type="paragraph" w:customStyle="1" w:styleId="681">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99"/>
    <w:pPr>
      <w:tabs>
        <w:tab w:val="left" w:pos="840"/>
      </w:tabs>
      <w:adjustRightInd/>
      <w:ind w:left="840" w:hanging="420"/>
    </w:pPr>
  </w:style>
  <w:style w:type="paragraph" w:customStyle="1" w:styleId="687">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5"/>
    <w:qFormat/>
    <w:uiPriority w:val="99"/>
    <w:pPr>
      <w:tabs>
        <w:tab w:val="left" w:pos="2100"/>
      </w:tabs>
      <w:adjustRightInd/>
      <w:ind w:left="2100" w:hanging="420"/>
    </w:pPr>
    <w:rPr>
      <w:lang w:val="en-US"/>
    </w:rPr>
  </w:style>
  <w:style w:type="paragraph" w:customStyle="1" w:styleId="695">
    <w:name w:val="Char11"/>
    <w:basedOn w:val="1"/>
    <w:qFormat/>
    <w:uiPriority w:val="99"/>
    <w:pPr>
      <w:tabs>
        <w:tab w:val="left" w:pos="432"/>
      </w:tabs>
      <w:adjustRightInd/>
      <w:spacing w:beforeLines="50" w:afterLines="50"/>
      <w:ind w:left="432" w:hanging="432" w:firstLineChars="200"/>
    </w:pPr>
    <w:rPr>
      <w:sz w:val="24"/>
    </w:rPr>
  </w:style>
  <w:style w:type="paragraph" w:customStyle="1" w:styleId="696">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99"/>
    <w:pPr>
      <w:spacing w:line="360" w:lineRule="auto"/>
    </w:pPr>
    <w:rPr>
      <w:szCs w:val="20"/>
    </w:rPr>
  </w:style>
  <w:style w:type="paragraph" w:customStyle="1" w:styleId="698">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4">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99"/>
    <w:pPr>
      <w:adjustRightInd/>
      <w:spacing w:line="360" w:lineRule="auto"/>
      <w:jc w:val="center"/>
    </w:pPr>
    <w:rPr>
      <w:sz w:val="24"/>
    </w:rPr>
  </w:style>
  <w:style w:type="paragraph" w:customStyle="1" w:styleId="708">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99"/>
    <w:rPr>
      <w:rFonts w:ascii="仿宋_GB2312" w:eastAsia="仿宋_GB2312"/>
      <w:b/>
      <w:sz w:val="32"/>
      <w:szCs w:val="32"/>
    </w:rPr>
  </w:style>
  <w:style w:type="paragraph" w:customStyle="1" w:styleId="710">
    <w:name w:val="正文缩进1"/>
    <w:basedOn w:val="1"/>
    <w:next w:val="26"/>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1">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2">
    <w:name w:val="Char3 Char Char Char11"/>
    <w:basedOn w:val="1"/>
    <w:qFormat/>
    <w:uiPriority w:val="99"/>
    <w:pPr>
      <w:widowControl/>
      <w:adjustRightInd/>
      <w:spacing w:after="160" w:line="240" w:lineRule="exact"/>
      <w:jc w:val="left"/>
    </w:pPr>
    <w:rPr>
      <w:szCs w:val="20"/>
    </w:rPr>
  </w:style>
  <w:style w:type="paragraph" w:customStyle="1" w:styleId="713">
    <w:name w:val="Char Char1121"/>
    <w:basedOn w:val="1"/>
    <w:qFormat/>
    <w:uiPriority w:val="99"/>
    <w:pPr>
      <w:spacing w:line="360" w:lineRule="auto"/>
    </w:pPr>
    <w:rPr>
      <w:szCs w:val="20"/>
    </w:rPr>
  </w:style>
  <w:style w:type="paragraph" w:customStyle="1" w:styleId="714">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qFormat/>
    <w:uiPriority w:val="99"/>
    <w:rPr>
      <w:rFonts w:ascii="Times New Roman" w:hAnsi="Times New Roman" w:eastAsia="宋体" w:cs="Times New Roman"/>
      <w:kern w:val="0"/>
      <w:sz w:val="20"/>
      <w:szCs w:val="20"/>
      <w:lang w:val="en-US" w:eastAsia="en-US" w:bidi="ar-SA"/>
    </w:rPr>
  </w:style>
  <w:style w:type="paragraph" w:customStyle="1" w:styleId="717">
    <w:name w:val="带编号样式"/>
    <w:basedOn w:val="636"/>
    <w:qFormat/>
    <w:uiPriority w:val="99"/>
    <w:pPr>
      <w:tabs>
        <w:tab w:val="left" w:pos="840"/>
      </w:tabs>
      <w:snapToGrid w:val="0"/>
      <w:ind w:left="840" w:hanging="420" w:firstLineChars="0"/>
    </w:pPr>
    <w:rPr>
      <w:rFonts w:ascii="仿宋_GB2312" w:eastAsia="仿宋_GB2312"/>
      <w:color w:val="000000"/>
    </w:rPr>
  </w:style>
  <w:style w:type="paragraph" w:customStyle="1" w:styleId="718">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qFormat/>
    <w:uiPriority w:val="99"/>
    <w:pPr>
      <w:spacing w:line="360" w:lineRule="atLeast"/>
      <w:jc w:val="right"/>
      <w:textAlignment w:val="baseline"/>
    </w:pPr>
    <w:rPr>
      <w:rFonts w:ascii="Symbol" w:hAnsi="Symbol"/>
      <w:kern w:val="0"/>
      <w:szCs w:val="20"/>
    </w:rPr>
  </w:style>
  <w:style w:type="paragraph" w:customStyle="1" w:styleId="721">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3">
    <w:name w:val="默认段落字体 Para Char Char Char1 Char"/>
    <w:basedOn w:val="1"/>
    <w:qFormat/>
    <w:uiPriority w:val="99"/>
    <w:pPr>
      <w:spacing w:line="240" w:lineRule="atLeast"/>
      <w:ind w:left="420" w:firstLine="420"/>
    </w:pPr>
    <w:rPr>
      <w:sz w:val="24"/>
    </w:rPr>
  </w:style>
  <w:style w:type="paragraph" w:customStyle="1" w:styleId="724">
    <w:name w:val="WW-正文文字缩进 2"/>
    <w:basedOn w:val="1"/>
    <w:qFormat/>
    <w:uiPriority w:val="99"/>
    <w:pPr>
      <w:suppressAutoHyphens/>
      <w:adjustRightInd/>
      <w:ind w:firstLine="420"/>
    </w:pPr>
    <w:rPr>
      <w:kern w:val="1"/>
      <w:szCs w:val="20"/>
    </w:rPr>
  </w:style>
  <w:style w:type="paragraph" w:customStyle="1" w:styleId="725">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2"/>
    <w:qFormat/>
    <w:uiPriority w:val="99"/>
    <w:pPr>
      <w:spacing w:before="120" w:after="120"/>
      <w:ind w:left="0" w:firstLine="0"/>
      <w:jc w:val="both"/>
    </w:pPr>
    <w:rPr>
      <w:rFonts w:ascii="宋体" w:hAnsi="Arial" w:eastAsia="宋体"/>
      <w:sz w:val="28"/>
      <w:lang w:val="en-US"/>
    </w:rPr>
  </w:style>
  <w:style w:type="paragraph" w:customStyle="1" w:styleId="727">
    <w:name w:val="有符号正文"/>
    <w:basedOn w:val="1"/>
    <w:qFormat/>
    <w:uiPriority w:val="99"/>
    <w:pPr>
      <w:adjustRightInd/>
      <w:spacing w:line="400" w:lineRule="exact"/>
      <w:ind w:firstLine="200" w:firstLineChars="200"/>
    </w:pPr>
    <w:rPr>
      <w:rFonts w:ascii="Arial" w:hAnsi="Arial"/>
    </w:rPr>
  </w:style>
  <w:style w:type="paragraph" w:customStyle="1" w:styleId="728">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30">
    <w:name w:val="4"/>
    <w:basedOn w:val="1"/>
    <w:next w:val="39"/>
    <w:qFormat/>
    <w:uiPriority w:val="99"/>
    <w:pPr>
      <w:spacing w:after="120" w:line="480" w:lineRule="auto"/>
      <w:ind w:left="420" w:leftChars="200"/>
    </w:pPr>
    <w:rPr>
      <w:sz w:val="24"/>
      <w:szCs w:val="20"/>
    </w:rPr>
  </w:style>
  <w:style w:type="paragraph" w:customStyle="1" w:styleId="731">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4"/>
    <w:qFormat/>
    <w:uiPriority w:val="99"/>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5">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99"/>
    <w:rPr>
      <w:rFonts w:ascii="仿宋_GB2312" w:eastAsia="仿宋_GB2312"/>
      <w:b/>
      <w:sz w:val="32"/>
      <w:szCs w:val="20"/>
    </w:rPr>
  </w:style>
  <w:style w:type="paragraph" w:customStyle="1" w:styleId="740">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1">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2">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99"/>
    <w:rPr>
      <w:rFonts w:ascii="仿宋_GB2312" w:eastAsia="仿宋_GB2312"/>
      <w:b/>
      <w:sz w:val="32"/>
      <w:szCs w:val="32"/>
    </w:rPr>
  </w:style>
  <w:style w:type="paragraph" w:customStyle="1" w:styleId="744">
    <w:name w:val="Char3 Char Char Char1"/>
    <w:basedOn w:val="1"/>
    <w:qFormat/>
    <w:uiPriority w:val="99"/>
    <w:pPr>
      <w:widowControl/>
      <w:adjustRightInd/>
      <w:spacing w:after="160" w:line="240" w:lineRule="exact"/>
      <w:jc w:val="left"/>
    </w:pPr>
    <w:rPr>
      <w:szCs w:val="20"/>
    </w:rPr>
  </w:style>
  <w:style w:type="paragraph" w:customStyle="1" w:styleId="745">
    <w:name w:val="Char1 Char Char Char21"/>
    <w:basedOn w:val="1"/>
    <w:qFormat/>
    <w:uiPriority w:val="99"/>
    <w:rPr>
      <w:rFonts w:ascii="Tahoma" w:hAnsi="Tahoma"/>
      <w:sz w:val="24"/>
      <w:szCs w:val="20"/>
    </w:rPr>
  </w:style>
  <w:style w:type="paragraph" w:customStyle="1" w:styleId="746">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7">
    <w:name w:val="正文（标题三）"/>
    <w:basedOn w:val="1"/>
    <w:qFormat/>
    <w:uiPriority w:val="99"/>
    <w:pPr>
      <w:spacing w:line="360" w:lineRule="auto"/>
      <w:ind w:firstLine="200" w:firstLineChars="200"/>
    </w:pPr>
    <w:rPr>
      <w:sz w:val="24"/>
    </w:rPr>
  </w:style>
  <w:style w:type="paragraph" w:customStyle="1" w:styleId="748">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9">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99"/>
    <w:pPr>
      <w:adjustRightInd/>
      <w:ind w:firstLine="200" w:firstLineChars="200"/>
    </w:pPr>
    <w:rPr>
      <w:rFonts w:ascii="Tahoma" w:hAnsi="Tahoma"/>
      <w:sz w:val="24"/>
      <w:szCs w:val="20"/>
    </w:rPr>
  </w:style>
  <w:style w:type="paragraph" w:customStyle="1" w:styleId="754">
    <w:name w:val="_标题2"/>
    <w:basedOn w:val="721"/>
    <w:next w:val="721"/>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99"/>
    <w:pPr>
      <w:adjustRightInd/>
      <w:spacing w:line="360" w:lineRule="auto"/>
    </w:pPr>
    <w:rPr>
      <w:rFonts w:ascii="宋体" w:hAnsi="宋体"/>
      <w:szCs w:val="20"/>
    </w:rPr>
  </w:style>
  <w:style w:type="paragraph" w:customStyle="1" w:styleId="760">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99"/>
    <w:pPr>
      <w:adjustRightInd/>
    </w:pPr>
    <w:rPr>
      <w:rFonts w:ascii="Tahoma" w:hAnsi="Tahoma"/>
      <w:sz w:val="24"/>
    </w:rPr>
  </w:style>
  <w:style w:type="paragraph" w:customStyle="1" w:styleId="762">
    <w:name w:val="Char Char Char Char11"/>
    <w:basedOn w:val="1"/>
    <w:qFormat/>
    <w:uiPriority w:val="99"/>
    <w:rPr>
      <w:rFonts w:ascii="Tahoma" w:hAnsi="Tahoma"/>
      <w:sz w:val="24"/>
      <w:szCs w:val="20"/>
    </w:rPr>
  </w:style>
  <w:style w:type="paragraph" w:customStyle="1" w:styleId="763">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99"/>
    <w:rPr>
      <w:rFonts w:ascii="Tahoma" w:hAnsi="Tahoma"/>
      <w:sz w:val="24"/>
      <w:szCs w:val="20"/>
    </w:rPr>
  </w:style>
  <w:style w:type="paragraph" w:customStyle="1" w:styleId="765">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99"/>
    <w:pPr>
      <w:adjustRightInd/>
    </w:pPr>
    <w:rPr>
      <w:szCs w:val="20"/>
    </w:rPr>
  </w:style>
  <w:style w:type="paragraph" w:customStyle="1" w:styleId="767">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99"/>
    <w:pPr>
      <w:adjustRightInd/>
      <w:ind w:firstLine="420" w:firstLineChars="200"/>
    </w:pPr>
    <w:rPr>
      <w:rFonts w:eastAsia="仿宋_GB2312"/>
      <w:sz w:val="28"/>
    </w:rPr>
  </w:style>
  <w:style w:type="paragraph" w:customStyle="1" w:styleId="770">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99"/>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99"/>
    <w:rPr>
      <w:rFonts w:ascii="Times New Roman" w:hAnsi="Times New Roman" w:eastAsia="宋体" w:cs="Times New Roman"/>
      <w:kern w:val="2"/>
      <w:sz w:val="21"/>
      <w:szCs w:val="20"/>
      <w:lang w:val="en-US" w:eastAsia="zh-CN" w:bidi="ar-SA"/>
    </w:rPr>
  </w:style>
  <w:style w:type="paragraph" w:customStyle="1" w:styleId="777">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778">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99"/>
    <w:rPr>
      <w:rFonts w:ascii="宋体" w:hAnsi="Times New Roman" w:eastAsia="宋体" w:cs="Times New Roman"/>
      <w:kern w:val="2"/>
      <w:sz w:val="20"/>
      <w:szCs w:val="20"/>
      <w:lang w:val="en-US" w:eastAsia="zh-CN" w:bidi="ar-SA"/>
    </w:rPr>
  </w:style>
  <w:style w:type="paragraph" w:customStyle="1" w:styleId="780">
    <w:name w:val="MM Title"/>
    <w:basedOn w:val="61"/>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99"/>
    <w:pPr>
      <w:tabs>
        <w:tab w:val="left" w:pos="360"/>
      </w:tabs>
    </w:pPr>
    <w:rPr>
      <w:sz w:val="24"/>
      <w:szCs w:val="20"/>
    </w:rPr>
  </w:style>
  <w:style w:type="paragraph" w:customStyle="1" w:styleId="784">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6"/>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9">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1">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99"/>
    <w:pPr>
      <w:widowControl/>
      <w:adjustRightInd/>
    </w:pPr>
    <w:rPr>
      <w:kern w:val="0"/>
      <w:szCs w:val="21"/>
    </w:rPr>
  </w:style>
  <w:style w:type="paragraph" w:customStyle="1" w:styleId="793">
    <w:name w:val="Char6"/>
    <w:basedOn w:val="1"/>
    <w:qFormat/>
    <w:uiPriority w:val="99"/>
    <w:rPr>
      <w:rFonts w:ascii="仿宋_GB2312" w:eastAsia="仿宋_GB2312"/>
      <w:b/>
      <w:sz w:val="32"/>
      <w:szCs w:val="32"/>
    </w:rPr>
  </w:style>
  <w:style w:type="paragraph" w:customStyle="1" w:styleId="794">
    <w:name w:val="Char111"/>
    <w:basedOn w:val="1"/>
    <w:qFormat/>
    <w:uiPriority w:val="99"/>
    <w:rPr>
      <w:rFonts w:ascii="仿宋_GB2312" w:eastAsia="仿宋_GB2312"/>
      <w:b/>
      <w:sz w:val="32"/>
      <w:szCs w:val="32"/>
    </w:rPr>
  </w:style>
  <w:style w:type="paragraph" w:customStyle="1" w:styleId="795">
    <w:name w:val="标题3"/>
    <w:basedOn w:val="4"/>
    <w:next w:val="54"/>
    <w:qFormat/>
    <w:uiPriority w:val="99"/>
    <w:pPr>
      <w:tabs>
        <w:tab w:val="clear" w:pos="900"/>
      </w:tabs>
      <w:spacing w:after="0" w:line="360" w:lineRule="auto"/>
    </w:pPr>
    <w:rPr>
      <w:rFonts w:ascii="仿宋" w:hAnsi="仿宋" w:eastAsia="仿宋" w:cs="仿宋"/>
    </w:rPr>
  </w:style>
  <w:style w:type="paragraph" w:customStyle="1" w:styleId="796">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99"/>
    <w:pPr>
      <w:adjustRightInd/>
      <w:ind w:firstLine="200" w:firstLineChars="200"/>
    </w:pPr>
    <w:rPr>
      <w:rFonts w:ascii="Tahoma" w:hAnsi="Tahoma"/>
      <w:sz w:val="24"/>
      <w:szCs w:val="20"/>
    </w:rPr>
  </w:style>
  <w:style w:type="paragraph" w:customStyle="1" w:styleId="799">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3"/>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1">
    <w:name w:val="Char Char Char Char Char Char Char2"/>
    <w:basedOn w:val="1"/>
    <w:qFormat/>
    <w:uiPriority w:val="99"/>
    <w:rPr>
      <w:rFonts w:ascii="仿宋_GB2312" w:eastAsia="仿宋_GB2312"/>
      <w:b/>
      <w:sz w:val="32"/>
      <w:szCs w:val="32"/>
    </w:rPr>
  </w:style>
  <w:style w:type="paragraph" w:customStyle="1" w:styleId="802">
    <w:name w:val="五级条标题"/>
    <w:basedOn w:val="803"/>
    <w:next w:val="648"/>
    <w:qFormat/>
    <w:uiPriority w:val="99"/>
    <w:pPr>
      <w:tabs>
        <w:tab w:val="left" w:pos="1260"/>
        <w:tab w:val="left" w:pos="1680"/>
        <w:tab w:val="left" w:pos="2100"/>
        <w:tab w:val="left" w:pos="2940"/>
        <w:tab w:val="left" w:pos="3360"/>
      </w:tabs>
      <w:ind w:left="3360"/>
      <w:outlineLvl w:val="6"/>
    </w:pPr>
  </w:style>
  <w:style w:type="paragraph" w:customStyle="1" w:styleId="803">
    <w:name w:val="四级条标题"/>
    <w:basedOn w:val="663"/>
    <w:next w:val="648"/>
    <w:qFormat/>
    <w:uiPriority w:val="99"/>
    <w:pPr>
      <w:tabs>
        <w:tab w:val="left" w:pos="2940"/>
        <w:tab w:val="clear" w:pos="2520"/>
      </w:tabs>
      <w:ind w:left="2940"/>
      <w:outlineLvl w:val="5"/>
    </w:pPr>
  </w:style>
  <w:style w:type="paragraph" w:customStyle="1" w:styleId="804">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99"/>
    <w:rPr>
      <w:rFonts w:ascii="仿宋_GB2312" w:eastAsia="仿宋_GB2312"/>
      <w:b/>
      <w:sz w:val="32"/>
      <w:szCs w:val="32"/>
    </w:rPr>
  </w:style>
  <w:style w:type="paragraph" w:customStyle="1" w:styleId="806">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8">
    <w:name w:val="首行缩进"/>
    <w:basedOn w:val="1"/>
    <w:qFormat/>
    <w:uiPriority w:val="99"/>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10">
    <w:name w:val="单元格左对齐"/>
    <w:basedOn w:val="1"/>
    <w:qFormat/>
    <w:uiPriority w:val="99"/>
    <w:pPr>
      <w:adjustRightInd/>
      <w:spacing w:line="360" w:lineRule="auto"/>
    </w:pPr>
    <w:rPr>
      <w:sz w:val="24"/>
    </w:rPr>
  </w:style>
  <w:style w:type="paragraph" w:customStyle="1" w:styleId="811">
    <w:name w:val="正文主体"/>
    <w:basedOn w:val="633"/>
    <w:qFormat/>
    <w:uiPriority w:val="99"/>
  </w:style>
  <w:style w:type="paragraph" w:customStyle="1" w:styleId="812">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3">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4">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qFormat/>
    <w:uiPriority w:val="99"/>
    <w:pPr>
      <w:adjustRightInd/>
      <w:spacing w:line="360" w:lineRule="auto"/>
      <w:ind w:firstLine="480" w:firstLineChars="200"/>
    </w:pPr>
    <w:rPr>
      <w:sz w:val="24"/>
      <w:szCs w:val="20"/>
    </w:rPr>
  </w:style>
  <w:style w:type="paragraph" w:customStyle="1" w:styleId="816">
    <w:name w:val="P1"/>
    <w:basedOn w:val="1"/>
    <w:qFormat/>
    <w:uiPriority w:val="99"/>
    <w:pPr>
      <w:adjustRightInd/>
      <w:spacing w:line="288" w:lineRule="auto"/>
      <w:ind w:firstLine="425" w:firstLineChars="200"/>
    </w:pPr>
  </w:style>
  <w:style w:type="paragraph" w:customStyle="1" w:styleId="817">
    <w:name w:val="列表内容"/>
    <w:basedOn w:val="1"/>
    <w:next w:val="1"/>
    <w:qFormat/>
    <w:uiPriority w:val="99"/>
    <w:pPr>
      <w:widowControl/>
      <w:tabs>
        <w:tab w:val="left" w:pos="840"/>
      </w:tabs>
      <w:ind w:left="840" w:hanging="420"/>
      <w:jc w:val="left"/>
    </w:pPr>
    <w:rPr>
      <w:kern w:val="0"/>
      <w:sz w:val="18"/>
    </w:rPr>
  </w:style>
  <w:style w:type="paragraph" w:customStyle="1" w:styleId="818">
    <w:name w:val="Char Char11 Char Char Char1"/>
    <w:basedOn w:val="1"/>
    <w:qFormat/>
    <w:uiPriority w:val="99"/>
    <w:pPr>
      <w:spacing w:line="360" w:lineRule="auto"/>
    </w:pPr>
    <w:rPr>
      <w:szCs w:val="20"/>
    </w:rPr>
  </w:style>
  <w:style w:type="paragraph" w:customStyle="1" w:styleId="819">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20">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3">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qFormat/>
    <w:uiPriority w:val="99"/>
    <w:pPr>
      <w:spacing w:line="360" w:lineRule="auto"/>
    </w:pPr>
    <w:rPr>
      <w:szCs w:val="20"/>
    </w:rPr>
  </w:style>
  <w:style w:type="paragraph" w:customStyle="1" w:styleId="825">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6">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qFormat/>
    <w:uiPriority w:val="99"/>
    <w:rPr>
      <w:rFonts w:ascii="仿宋_GB2312" w:eastAsia="仿宋_GB2312"/>
      <w:b/>
      <w:sz w:val="32"/>
      <w:szCs w:val="32"/>
    </w:rPr>
  </w:style>
  <w:style w:type="paragraph" w:customStyle="1" w:styleId="828">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30">
    <w:name w:val="正文 首行缩进:  2 字符 Char"/>
    <w:basedOn w:val="1"/>
    <w:qFormat/>
    <w:uiPriority w:val="99"/>
    <w:pPr>
      <w:adjustRightInd/>
      <w:spacing w:line="360" w:lineRule="auto"/>
      <w:ind w:firstLine="480"/>
    </w:pPr>
    <w:rPr>
      <w:rFonts w:cs="宋体"/>
      <w:sz w:val="24"/>
      <w:szCs w:val="20"/>
    </w:rPr>
  </w:style>
  <w:style w:type="paragraph" w:customStyle="1" w:styleId="831">
    <w:name w:val="Char Char4 Char Char"/>
    <w:basedOn w:val="1"/>
    <w:qFormat/>
    <w:uiPriority w:val="99"/>
    <w:pPr>
      <w:widowControl/>
      <w:adjustRightInd/>
      <w:spacing w:after="160" w:line="240" w:lineRule="exact"/>
      <w:jc w:val="left"/>
    </w:pPr>
  </w:style>
  <w:style w:type="paragraph" w:customStyle="1" w:styleId="832">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qFormat/>
    <w:uiPriority w:val="99"/>
    <w:pPr>
      <w:spacing w:line="360" w:lineRule="auto"/>
    </w:pPr>
    <w:rPr>
      <w:szCs w:val="20"/>
    </w:rPr>
  </w:style>
  <w:style w:type="paragraph" w:customStyle="1" w:styleId="834">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5">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6">
    <w:name w:val="数字标题4"/>
    <w:basedOn w:val="5"/>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8">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9">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qFormat/>
    <w:uiPriority w:val="99"/>
    <w:pPr>
      <w:adjustRightInd/>
      <w:ind w:firstLine="200" w:firstLineChars="200"/>
    </w:pPr>
    <w:rPr>
      <w:rFonts w:ascii="Tahoma" w:hAnsi="Tahoma"/>
      <w:sz w:val="24"/>
      <w:szCs w:val="20"/>
    </w:rPr>
  </w:style>
  <w:style w:type="paragraph" w:customStyle="1" w:styleId="841">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2">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3">
    <w:name w:val="正文 内标"/>
    <w:basedOn w:val="758"/>
    <w:qFormat/>
    <w:uiPriority w:val="99"/>
    <w:pPr>
      <w:tabs>
        <w:tab w:val="left" w:pos="0"/>
      </w:tabs>
      <w:ind w:left="900" w:firstLine="0" w:firstLineChars="0"/>
    </w:pPr>
  </w:style>
  <w:style w:type="paragraph" w:customStyle="1" w:styleId="844">
    <w:name w:val="Bulleted List"/>
    <w:basedOn w:val="1"/>
    <w:qFormat/>
    <w:uiPriority w:val="99"/>
    <w:pPr>
      <w:tabs>
        <w:tab w:val="left" w:pos="1260"/>
      </w:tabs>
      <w:adjustRightInd/>
      <w:ind w:left="1260" w:hanging="420"/>
    </w:pPr>
  </w:style>
  <w:style w:type="paragraph" w:customStyle="1" w:styleId="845">
    <w:name w:val="样式 正文文本缩进 2 + 仿宋_GB2312 黑色 行距: 1.5 倍行距"/>
    <w:basedOn w:val="39"/>
    <w:qFormat/>
    <w:uiPriority w:val="99"/>
    <w:pPr>
      <w:adjustRightInd/>
      <w:ind w:firstLine="560" w:firstLineChars="200"/>
      <w:textAlignment w:val="auto"/>
    </w:pPr>
    <w:rPr>
      <w:rFonts w:hAnsi="宋体" w:cs="宋体"/>
      <w:color w:val="000000"/>
      <w:kern w:val="2"/>
      <w:sz w:val="24"/>
    </w:rPr>
  </w:style>
  <w:style w:type="paragraph" w:customStyle="1" w:styleId="846">
    <w:name w:val="样式 左侧:  0.85 厘米"/>
    <w:basedOn w:val="1"/>
    <w:qFormat/>
    <w:uiPriority w:val="99"/>
    <w:pPr>
      <w:adjustRightInd/>
      <w:spacing w:line="360" w:lineRule="auto"/>
    </w:pPr>
    <w:rPr>
      <w:rFonts w:cs="宋体"/>
      <w:sz w:val="24"/>
      <w:szCs w:val="20"/>
    </w:rPr>
  </w:style>
  <w:style w:type="paragraph" w:customStyle="1" w:styleId="847">
    <w:name w:val="Char Char Char Char Char Char Char Char Char Char Char Char1 Char"/>
    <w:basedOn w:val="1"/>
    <w:qFormat/>
    <w:uiPriority w:val="99"/>
    <w:rPr>
      <w:rFonts w:ascii="Tahoma" w:hAnsi="Tahoma" w:cs="仿宋_GB2312"/>
      <w:sz w:val="24"/>
      <w:szCs w:val="20"/>
    </w:rPr>
  </w:style>
  <w:style w:type="paragraph" w:customStyle="1" w:styleId="848">
    <w:name w:val="正文1"/>
    <w:basedOn w:val="33"/>
    <w:qFormat/>
    <w:uiPriority w:val="99"/>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50">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6"/>
    <w:qFormat/>
    <w:uiPriority w:val="99"/>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99"/>
    <w:rPr>
      <w:rFonts w:ascii="仿宋_GB2312" w:eastAsia="仿宋_GB2312"/>
      <w:b/>
      <w:sz w:val="32"/>
      <w:szCs w:val="20"/>
    </w:rPr>
  </w:style>
  <w:style w:type="paragraph" w:customStyle="1" w:styleId="853">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99"/>
    <w:rPr>
      <w:rFonts w:ascii="仿宋_GB2312" w:eastAsia="仿宋_GB2312"/>
      <w:b/>
      <w:sz w:val="32"/>
      <w:szCs w:val="20"/>
    </w:rPr>
  </w:style>
  <w:style w:type="paragraph" w:customStyle="1" w:styleId="855">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7">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2">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99"/>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66">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99"/>
    <w:pPr>
      <w:widowControl/>
      <w:spacing w:after="160" w:line="240" w:lineRule="exact"/>
      <w:jc w:val="left"/>
    </w:pPr>
    <w:rPr>
      <w:rFonts w:eastAsia="仿宋_GB2312"/>
      <w:sz w:val="28"/>
    </w:rPr>
  </w:style>
  <w:style w:type="paragraph" w:customStyle="1" w:styleId="869">
    <w:name w:val="Char21"/>
    <w:basedOn w:val="1"/>
    <w:qFormat/>
    <w:uiPriority w:val="99"/>
    <w:pPr>
      <w:adjustRightInd/>
      <w:ind w:firstLine="200" w:firstLineChars="200"/>
    </w:pPr>
    <w:rPr>
      <w:rFonts w:ascii="仿宋_GB2312" w:eastAsia="仿宋_GB2312"/>
      <w:b/>
      <w:sz w:val="32"/>
      <w:szCs w:val="32"/>
    </w:rPr>
  </w:style>
  <w:style w:type="paragraph" w:customStyle="1" w:styleId="870">
    <w:name w:val="列表段落1"/>
    <w:basedOn w:val="1"/>
    <w:qFormat/>
    <w:uiPriority w:val="99"/>
    <w:pPr>
      <w:adjustRightInd/>
      <w:ind w:right="238" w:firstLine="420"/>
    </w:pPr>
    <w:rPr>
      <w:rFonts w:ascii="Calibri" w:hAnsi="Calibri"/>
      <w:sz w:val="24"/>
    </w:rPr>
  </w:style>
  <w:style w:type="paragraph" w:customStyle="1" w:styleId="871">
    <w:name w:val="Char Char110"/>
    <w:basedOn w:val="1"/>
    <w:qFormat/>
    <w:uiPriority w:val="99"/>
    <w:pPr>
      <w:spacing w:line="360" w:lineRule="auto"/>
    </w:pPr>
    <w:rPr>
      <w:rFonts w:ascii="Tahoma" w:hAnsi="Tahoma"/>
      <w:sz w:val="24"/>
      <w:szCs w:val="20"/>
    </w:rPr>
  </w:style>
  <w:style w:type="paragraph" w:customStyle="1" w:styleId="872">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4">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5">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99"/>
    <w:rPr>
      <w:rFonts w:ascii="Tahoma" w:hAnsi="Tahoma" w:cs="仿宋_GB2312"/>
      <w:sz w:val="24"/>
      <w:szCs w:val="20"/>
    </w:rPr>
  </w:style>
  <w:style w:type="paragraph" w:customStyle="1" w:styleId="877">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9">
    <w:name w:val="样式 列表编号 + 段后: 0.5 行"/>
    <w:basedOn w:val="14"/>
    <w:qFormat/>
    <w:uiPriority w:val="99"/>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1">
    <w:name w:val="_Style 12"/>
    <w:basedOn w:val="18"/>
    <w:qFormat/>
    <w:uiPriority w:val="99"/>
    <w:pPr>
      <w:snapToGrid w:val="0"/>
      <w:spacing w:line="360" w:lineRule="auto"/>
    </w:pPr>
  </w:style>
  <w:style w:type="paragraph" w:customStyle="1" w:styleId="882">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4"/>
    <w:qFormat/>
    <w:uiPriority w:val="99"/>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7">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qFormat/>
    <w:uiPriority w:val="99"/>
    <w:pPr>
      <w:outlineLvl w:val="2"/>
    </w:pPr>
  </w:style>
  <w:style w:type="paragraph" w:customStyle="1" w:styleId="889">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99"/>
    <w:pPr>
      <w:adjustRightInd/>
      <w:ind w:firstLine="200" w:firstLineChars="200"/>
    </w:pPr>
    <w:rPr>
      <w:rFonts w:ascii="Tahoma" w:hAnsi="Tahoma"/>
      <w:sz w:val="24"/>
      <w:szCs w:val="20"/>
    </w:rPr>
  </w:style>
  <w:style w:type="paragraph" w:customStyle="1" w:styleId="891">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2">
    <w:name w:val="MM Empty"/>
    <w:basedOn w:val="1"/>
    <w:qFormat/>
    <w:uiPriority w:val="99"/>
    <w:pPr>
      <w:adjustRightInd/>
    </w:pPr>
  </w:style>
  <w:style w:type="paragraph" w:customStyle="1" w:styleId="893">
    <w:name w:val="Char24"/>
    <w:basedOn w:val="1"/>
    <w:qFormat/>
    <w:uiPriority w:val="99"/>
    <w:rPr>
      <w:rFonts w:ascii="仿宋_GB2312" w:eastAsia="仿宋_GB2312"/>
      <w:b/>
      <w:sz w:val="32"/>
      <w:szCs w:val="32"/>
    </w:rPr>
  </w:style>
  <w:style w:type="paragraph" w:customStyle="1" w:styleId="894">
    <w:name w:val="正文箭头"/>
    <w:basedOn w:val="547"/>
    <w:qFormat/>
    <w:uiPriority w:val="99"/>
  </w:style>
  <w:style w:type="paragraph" w:customStyle="1" w:styleId="895">
    <w:name w:val="U_编号2"/>
    <w:basedOn w:val="1"/>
    <w:qFormat/>
    <w:uiPriority w:val="99"/>
    <w:pPr>
      <w:tabs>
        <w:tab w:val="left" w:pos="785"/>
      </w:tabs>
      <w:adjustRightInd/>
      <w:spacing w:beforeLines="10" w:afterLines="10" w:line="300" w:lineRule="auto"/>
    </w:pPr>
    <w:rPr>
      <w:sz w:val="24"/>
    </w:rPr>
  </w:style>
  <w:style w:type="paragraph" w:customStyle="1" w:styleId="896">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99"/>
    <w:pPr>
      <w:adjustRightInd/>
      <w:ind w:firstLine="420" w:firstLineChars="200"/>
    </w:pPr>
    <w:rPr>
      <w:rFonts w:eastAsia="仿宋_GB2312"/>
      <w:sz w:val="28"/>
    </w:rPr>
  </w:style>
  <w:style w:type="paragraph" w:customStyle="1" w:styleId="901">
    <w:name w:val="表格 内容"/>
    <w:basedOn w:val="737"/>
    <w:qFormat/>
    <w:uiPriority w:val="99"/>
    <w:rPr>
      <w:b w:val="0"/>
      <w:sz w:val="20"/>
    </w:rPr>
  </w:style>
  <w:style w:type="paragraph" w:customStyle="1" w:styleId="902">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4">
    <w:name w:val="数字标题5"/>
    <w:basedOn w:val="6"/>
    <w:next w:val="1"/>
    <w:qFormat/>
    <w:uiPriority w:val="99"/>
    <w:pPr>
      <w:tabs>
        <w:tab w:val="left" w:pos="1080"/>
      </w:tabs>
      <w:ind w:left="1080" w:hanging="1080"/>
    </w:pPr>
  </w:style>
  <w:style w:type="paragraph" w:customStyle="1" w:styleId="905">
    <w:name w:val="数字标题1"/>
    <w:basedOn w:val="3"/>
    <w:next w:val="1"/>
    <w:qFormat/>
    <w:uiPriority w:val="99"/>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7">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8">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99"/>
    <w:pPr>
      <w:widowControl/>
    </w:pPr>
    <w:rPr>
      <w:kern w:val="0"/>
      <w:sz w:val="24"/>
      <w:szCs w:val="20"/>
    </w:rPr>
  </w:style>
  <w:style w:type="paragraph" w:customStyle="1" w:styleId="913">
    <w:name w:val="Char Char113"/>
    <w:basedOn w:val="1"/>
    <w:qFormat/>
    <w:uiPriority w:val="99"/>
    <w:pPr>
      <w:widowControl/>
      <w:spacing w:after="160" w:line="240" w:lineRule="exact"/>
      <w:jc w:val="left"/>
    </w:pPr>
    <w:rPr>
      <w:rFonts w:eastAsia="仿宋_GB2312"/>
      <w:sz w:val="28"/>
    </w:rPr>
  </w:style>
  <w:style w:type="paragraph" w:customStyle="1" w:styleId="914">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99"/>
    <w:pPr>
      <w:adjustRightInd/>
      <w:ind w:firstLine="420" w:firstLineChars="200"/>
    </w:pPr>
    <w:rPr>
      <w:rFonts w:eastAsia="仿宋_GB2312"/>
      <w:sz w:val="28"/>
    </w:rPr>
  </w:style>
  <w:style w:type="paragraph" w:customStyle="1" w:styleId="916">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8">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99"/>
    <w:pPr>
      <w:widowControl/>
      <w:spacing w:after="160" w:line="240" w:lineRule="exact"/>
      <w:jc w:val="left"/>
    </w:pPr>
    <w:rPr>
      <w:rFonts w:eastAsia="仿宋_GB2312"/>
      <w:sz w:val="28"/>
    </w:rPr>
  </w:style>
  <w:style w:type="paragraph" w:customStyle="1" w:styleId="922">
    <w:name w:val="正文 图"/>
    <w:basedOn w:val="453"/>
    <w:qFormat/>
    <w:uiPriority w:val="99"/>
    <w:pPr>
      <w:adjustRightInd/>
      <w:spacing w:before="0"/>
      <w:ind w:firstLine="0"/>
      <w:jc w:val="center"/>
    </w:pPr>
    <w:rPr>
      <w:rFonts w:ascii="微软雅黑" w:hAnsi="微软雅黑"/>
    </w:rPr>
  </w:style>
  <w:style w:type="paragraph" w:customStyle="1" w:styleId="923">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1"/>
    <w:qFormat/>
    <w:uiPriority w:val="99"/>
    <w:pPr>
      <w:ind w:left="0"/>
    </w:pPr>
  </w:style>
  <w:style w:type="paragraph" w:customStyle="1" w:styleId="926">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8">
    <w:name w:val="注释"/>
    <w:basedOn w:val="1"/>
    <w:qFormat/>
    <w:uiPriority w:val="99"/>
    <w:pPr>
      <w:adjustRightInd/>
      <w:spacing w:line="360" w:lineRule="auto"/>
      <w:ind w:firstLine="480"/>
    </w:pPr>
    <w:rPr>
      <w:sz w:val="24"/>
    </w:rPr>
  </w:style>
  <w:style w:type="table" w:customStyle="1" w:styleId="929">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qFormat/>
    <w:uiPriority w:val="99"/>
    <w:pPr>
      <w:ind w:firstLine="420" w:firstLineChars="200"/>
    </w:pPr>
  </w:style>
  <w:style w:type="character" w:customStyle="1" w:styleId="936">
    <w:name w:val="交叉引用"/>
    <w:qFormat/>
    <w:uiPriority w:val="99"/>
    <w:rPr>
      <w:rFonts w:ascii="Arial" w:hAnsi="Arial" w:eastAsia="黑体"/>
      <w:snapToGrid w:val="0"/>
      <w:color w:val="0000FF"/>
      <w:kern w:val="0"/>
      <w:sz w:val="21"/>
      <w:u w:val="single"/>
      <w:lang w:val="en-US" w:eastAsia="zh-CN"/>
    </w:rPr>
  </w:style>
  <w:style w:type="character" w:customStyle="1" w:styleId="937">
    <w:name w:val="正文缩进 字符1"/>
    <w:qFormat/>
    <w:uiPriority w:val="99"/>
    <w:rPr>
      <w:rFonts w:ascii="宋体" w:eastAsia="宋体"/>
      <w:snapToGrid w:val="0"/>
      <w:color w:val="000000"/>
      <w:kern w:val="28"/>
      <w:sz w:val="28"/>
      <w:lang w:val="en-US" w:eastAsia="zh-CN"/>
    </w:rPr>
  </w:style>
  <w:style w:type="character" w:customStyle="1" w:styleId="938">
    <w:name w:val="页脚 字符1"/>
    <w:qFormat/>
    <w:locked/>
    <w:uiPriority w:val="99"/>
    <w:rPr>
      <w:kern w:val="2"/>
      <w:sz w:val="18"/>
    </w:rPr>
  </w:style>
  <w:style w:type="character" w:customStyle="1" w:styleId="939">
    <w:name w:val="页眉 字符1"/>
    <w:qFormat/>
    <w:uiPriority w:val="99"/>
    <w:rPr>
      <w:kern w:val="2"/>
      <w:sz w:val="18"/>
    </w:rPr>
  </w:style>
  <w:style w:type="character" w:customStyle="1" w:styleId="940">
    <w:name w:val="No Spacing Char1"/>
    <w:link w:val="493"/>
    <w:qFormat/>
    <w:locked/>
    <w:uiPriority w:val="99"/>
    <w:rPr>
      <w:kern w:val="2"/>
      <w:sz w:val="22"/>
    </w:rPr>
  </w:style>
  <w:style w:type="character" w:customStyle="1" w:styleId="941">
    <w:name w:val="标准文本 Char Char"/>
    <w:link w:val="942"/>
    <w:qFormat/>
    <w:locked/>
    <w:uiPriority w:val="99"/>
    <w:rPr>
      <w:kern w:val="2"/>
      <w:sz w:val="24"/>
    </w:rPr>
  </w:style>
  <w:style w:type="paragraph" w:customStyle="1" w:styleId="942">
    <w:name w:val="标准文本"/>
    <w:basedOn w:val="1"/>
    <w:link w:val="941"/>
    <w:qFormat/>
    <w:uiPriority w:val="99"/>
    <w:pPr>
      <w:adjustRightInd/>
      <w:spacing w:line="360" w:lineRule="auto"/>
      <w:ind w:firstLine="480" w:firstLineChars="200"/>
    </w:pPr>
    <w:rPr>
      <w:sz w:val="24"/>
      <w:szCs w:val="20"/>
    </w:rPr>
  </w:style>
  <w:style w:type="character" w:customStyle="1" w:styleId="943">
    <w:name w:val="Char Char213"/>
    <w:qFormat/>
    <w:uiPriority w:val="99"/>
    <w:rPr>
      <w:rFonts w:eastAsia="Times New Roman"/>
      <w:b/>
      <w:kern w:val="44"/>
      <w:sz w:val="44"/>
      <w:lang w:val="en-US" w:eastAsia="zh-CN"/>
    </w:rPr>
  </w:style>
  <w:style w:type="character" w:customStyle="1" w:styleId="944">
    <w:name w:val="apple-style-span"/>
    <w:qFormat/>
    <w:uiPriority w:val="99"/>
    <w:rPr>
      <w:rFonts w:ascii="Arial" w:hAnsi="Arial" w:eastAsia="黑体"/>
      <w:snapToGrid w:val="0"/>
      <w:kern w:val="0"/>
      <w:sz w:val="21"/>
    </w:rPr>
  </w:style>
  <w:style w:type="character" w:customStyle="1" w:styleId="945">
    <w:name w:val="15"/>
    <w:qFormat/>
    <w:uiPriority w:val="99"/>
    <w:rPr>
      <w:rFonts w:ascii="Calibri" w:hAnsi="Calibri"/>
      <w:color w:val="0000FF"/>
      <w:u w:val="single"/>
    </w:rPr>
  </w:style>
  <w:style w:type="character" w:customStyle="1" w:styleId="946">
    <w:name w:val="16"/>
    <w:qFormat/>
    <w:uiPriority w:val="99"/>
    <w:rPr>
      <w:rFonts w:ascii="宋体" w:hAnsi="宋体" w:eastAsia="宋体"/>
      <w:color w:val="000000"/>
      <w:sz w:val="20"/>
    </w:rPr>
  </w:style>
  <w:style w:type="character" w:customStyle="1" w:styleId="947">
    <w:name w:val="edui-unclickable"/>
    <w:qFormat/>
    <w:uiPriority w:val="99"/>
    <w:rPr>
      <w:color w:val="808080"/>
    </w:rPr>
  </w:style>
  <w:style w:type="character" w:customStyle="1" w:styleId="948">
    <w:name w:val="tpc_content1"/>
    <w:qFormat/>
    <w:uiPriority w:val="99"/>
    <w:rPr>
      <w:sz w:val="20"/>
    </w:rPr>
  </w:style>
  <w:style w:type="character" w:customStyle="1" w:styleId="949">
    <w:name w:val="正文文本缩进 字符"/>
    <w:qFormat/>
    <w:uiPriority w:val="99"/>
    <w:rPr>
      <w:rFonts w:ascii="Century Gothic" w:hAnsi="Century Gothic"/>
      <w:kern w:val="2"/>
      <w:sz w:val="24"/>
      <w:lang w:val="en-US" w:eastAsia="zh-CN"/>
    </w:rPr>
  </w:style>
  <w:style w:type="character" w:customStyle="1" w:styleId="950">
    <w:name w:val="正文文本 2 字符"/>
    <w:qFormat/>
    <w:uiPriority w:val="99"/>
    <w:rPr>
      <w:rFonts w:ascii="Arial" w:hAnsi="Arial" w:eastAsia="宋体"/>
      <w:kern w:val="2"/>
      <w:sz w:val="24"/>
      <w:lang w:val="en-US" w:eastAsia="zh-CN"/>
    </w:rPr>
  </w:style>
  <w:style w:type="character" w:customStyle="1" w:styleId="951">
    <w:name w:val="edui-clickable2"/>
    <w:qFormat/>
    <w:uiPriority w:val="99"/>
    <w:rPr>
      <w:color w:val="0000FF"/>
      <w:u w:val="single"/>
    </w:rPr>
  </w:style>
  <w:style w:type="character" w:customStyle="1" w:styleId="952">
    <w:name w:val="style1"/>
    <w:qFormat/>
    <w:uiPriority w:val="99"/>
    <w:rPr>
      <w:rFonts w:ascii="Arial" w:hAnsi="Arial" w:eastAsia="黑体"/>
      <w:snapToGrid w:val="0"/>
      <w:kern w:val="0"/>
      <w:sz w:val="21"/>
    </w:rPr>
  </w:style>
  <w:style w:type="character" w:customStyle="1" w:styleId="953">
    <w:name w:val="zbggtop11 style5"/>
    <w:qFormat/>
    <w:uiPriority w:val="99"/>
    <w:rPr>
      <w:rFonts w:ascii="Arial" w:hAnsi="Arial" w:eastAsia="黑体"/>
      <w:snapToGrid w:val="0"/>
      <w:kern w:val="0"/>
      <w:sz w:val="21"/>
    </w:rPr>
  </w:style>
  <w:style w:type="character" w:customStyle="1" w:styleId="954">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5">
    <w:name w:val="bulletintext1"/>
    <w:qFormat/>
    <w:uiPriority w:val="99"/>
    <w:rPr>
      <w:color w:val="000000"/>
      <w:sz w:val="18"/>
    </w:rPr>
  </w:style>
  <w:style w:type="paragraph" w:customStyle="1" w:styleId="956">
    <w:name w:val="_Style 947"/>
    <w:basedOn w:val="1"/>
    <w:next w:val="284"/>
    <w:qFormat/>
    <w:uiPriority w:val="99"/>
    <w:pPr>
      <w:adjustRightInd/>
      <w:ind w:firstLine="420" w:firstLineChars="200"/>
    </w:pPr>
  </w:style>
  <w:style w:type="paragraph" w:customStyle="1" w:styleId="957">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99"/>
    <w:pPr>
      <w:adjustRightInd/>
      <w:snapToGrid w:val="0"/>
      <w:jc w:val="left"/>
    </w:pPr>
    <w:rPr>
      <w:rFonts w:ascii="Century Gothic" w:hAnsi="楷体_GB2312" w:eastAsia="Times New Roman"/>
      <w:szCs w:val="20"/>
    </w:rPr>
  </w:style>
  <w:style w:type="paragraph" w:customStyle="1" w:styleId="959">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0">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2"/>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99"/>
    <w:pPr>
      <w:autoSpaceDE w:val="0"/>
      <w:autoSpaceDN w:val="0"/>
      <w:spacing w:before="100" w:after="100"/>
      <w:ind w:left="360" w:right="360"/>
      <w:jc w:val="left"/>
    </w:pPr>
    <w:rPr>
      <w:kern w:val="0"/>
      <w:sz w:val="24"/>
      <w:szCs w:val="20"/>
    </w:rPr>
  </w:style>
  <w:style w:type="paragraph" w:customStyle="1" w:styleId="963">
    <w:name w:val="p1"/>
    <w:basedOn w:val="1"/>
    <w:qFormat/>
    <w:uiPriority w:val="99"/>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99"/>
    <w:pPr>
      <w:adjustRightInd/>
      <w:jc w:val="left"/>
    </w:pPr>
    <w:rPr>
      <w:rFonts w:ascii="Calibri" w:hAnsi="Calibri"/>
      <w:kern w:val="0"/>
      <w:sz w:val="22"/>
      <w:szCs w:val="22"/>
      <w:lang w:eastAsia="en-US"/>
    </w:rPr>
  </w:style>
  <w:style w:type="paragraph" w:customStyle="1" w:styleId="965">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2"/>
    <w:qFormat/>
    <w:uiPriority w:val="99"/>
    <w:rPr>
      <w:rFonts w:cs="Times New Roman"/>
      <w:color w:val="000000"/>
      <w:shd w:val="clear" w:color="auto" w:fill="EFD200"/>
    </w:rPr>
  </w:style>
  <w:style w:type="character" w:customStyle="1" w:styleId="969">
    <w:name w:val="font71"/>
    <w:qFormat/>
    <w:uiPriority w:val="99"/>
    <w:rPr>
      <w:rFonts w:ascii="宋体" w:hAnsi="宋体" w:eastAsia="宋体"/>
      <w:color w:val="000000"/>
      <w:sz w:val="22"/>
      <w:u w:val="none"/>
    </w:rPr>
  </w:style>
  <w:style w:type="character" w:customStyle="1" w:styleId="970">
    <w:name w:val="font91"/>
    <w:qFormat/>
    <w:uiPriority w:val="99"/>
    <w:rPr>
      <w:rFonts w:ascii="仿宋" w:hAnsi="仿宋" w:eastAsia="仿宋"/>
      <w:color w:val="000000"/>
      <w:sz w:val="22"/>
      <w:u w:val="none"/>
    </w:rPr>
  </w:style>
  <w:style w:type="character" w:customStyle="1" w:styleId="971">
    <w:name w:val="Unresolved Mention"/>
    <w:basedOn w:val="72"/>
    <w:semiHidden/>
    <w:qFormat/>
    <w:uiPriority w:val="99"/>
    <w:rPr>
      <w:rFonts w:cs="Times New Roman"/>
      <w:color w:val="605E5C"/>
      <w:shd w:val="clear" w:color="auto" w:fill="E1DFDD"/>
    </w:rPr>
  </w:style>
  <w:style w:type="character" w:customStyle="1" w:styleId="972">
    <w:name w:val="页码11"/>
    <w:basedOn w:val="973"/>
    <w:qFormat/>
    <w:uiPriority w:val="99"/>
    <w:rPr>
      <w:rFonts w:cs="Times New Roman"/>
      <w:lang w:val="zh-TW" w:eastAsia="zh-TW"/>
    </w:rPr>
  </w:style>
  <w:style w:type="character" w:customStyle="1" w:styleId="973">
    <w:name w:val="无 A"/>
    <w:qFormat/>
    <w:uiPriority w:val="99"/>
    <w:rPr>
      <w:lang w:val="en-US"/>
    </w:rPr>
  </w:style>
  <w:style w:type="character" w:customStyle="1" w:styleId="974">
    <w:name w:val="无"/>
    <w:qFormat/>
    <w:uiPriority w:val="99"/>
  </w:style>
  <w:style w:type="paragraph" w:customStyle="1" w:styleId="975">
    <w:name w:val="正文文字2"/>
    <w:basedOn w:val="23"/>
    <w:next w:val="14"/>
    <w:qFormat/>
    <w:uiPriority w:val="0"/>
    <w:pPr>
      <w:autoSpaceDE/>
      <w:autoSpaceDN/>
      <w:spacing w:after="60" w:line="360" w:lineRule="atLeast"/>
      <w:ind w:left="72" w:right="72"/>
      <w:jc w:val="center"/>
      <w:textAlignment w:val="baseline"/>
    </w:pPr>
    <w:rPr>
      <w:rFonts w:ascii="Arial" w:eastAsia="黑体"/>
      <w:color w:val="auto"/>
      <w:sz w:val="20"/>
      <w:szCs w:val="20"/>
    </w:rPr>
  </w:style>
  <w:style w:type="paragraph" w:customStyle="1" w:styleId="976">
    <w:name w:val="Body Text First Indent 2"/>
    <w:basedOn w:val="977"/>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7">
    <w:name w:val="Body Text Indent"/>
    <w:basedOn w:val="1"/>
    <w:next w:val="1"/>
    <w:qFormat/>
    <w:uiPriority w:val="0"/>
    <w:pPr>
      <w:spacing w:after="120" w:afterLines="0"/>
      <w:ind w:left="420" w:leftChars="200"/>
    </w:pPr>
    <w:rPr>
      <w:color w:val="000000"/>
      <w:sz w:val="21"/>
      <w:szCs w:val="21"/>
    </w:rPr>
  </w:style>
  <w:style w:type="paragraph" w:customStyle="1" w:styleId="978">
    <w:name w:val="四级目录 Char Char Char Char Char"/>
    <w:next w:val="1"/>
    <w:uiPriority w:val="0"/>
    <w:pPr>
      <w:spacing w:line="360" w:lineRule="auto"/>
      <w:ind w:left="200" w:leftChars="200"/>
    </w:pPr>
    <w:rPr>
      <w:rFonts w:ascii="Times New Roman" w:hAnsi="Times New Roman" w:eastAsia="宋体" w:cs="Times New Roman"/>
      <w:lang w:val="en-US" w:eastAsia="zh-CN" w:bidi="ar-SA"/>
    </w:rPr>
  </w:style>
  <w:style w:type="paragraph" w:customStyle="1" w:styleId="979">
    <w:name w:val="cucd-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80">
    <w:name w:val="表内容"/>
    <w:basedOn w:val="1"/>
    <w:qFormat/>
    <w:uiPriority w:val="0"/>
    <w:pPr>
      <w:autoSpaceDE/>
      <w:autoSpaceDN/>
      <w:adjustRightInd/>
      <w:jc w:val="center"/>
    </w:pPr>
    <w:rPr>
      <w:rFonts w:ascii="宋体" w:hAnsi="Calibri" w:cs="宋体"/>
      <w:color w:val="auto"/>
      <w:szCs w:val="3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67</Pages>
  <Words>34648</Words>
  <Characters>36458</Characters>
  <Lines>0</Lines>
  <Paragraphs>0</Paragraphs>
  <TotalTime>11</TotalTime>
  <ScaleCrop>false</ScaleCrop>
  <LinksUpToDate>false</LinksUpToDate>
  <CharactersWithSpaces>41057</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NiNa</cp:lastModifiedBy>
  <cp:lastPrinted>2022-06-28T06:28:00Z</cp:lastPrinted>
  <dcterms:modified xsi:type="dcterms:W3CDTF">2022-08-09T08:42:49Z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2D24C24015644AAE92653A0DC81A5EB0</vt:lpwstr>
  </property>
</Properties>
</file>