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5D22B">
      <w:pPr>
        <w:spacing w:before="156" w:beforeLines="50" w:line="312" w:lineRule="auto"/>
        <w:jc w:val="center"/>
        <w:rPr>
          <w:rFonts w:ascii="宋体" w:hAnsi="宋体" w:cs="宋体"/>
          <w:b/>
          <w:color w:val="auto"/>
          <w:sz w:val="44"/>
          <w:szCs w:val="44"/>
          <w:highlight w:val="none"/>
        </w:rPr>
      </w:pPr>
    </w:p>
    <w:p w14:paraId="3D7137DC">
      <w:pPr>
        <w:spacing w:before="156" w:beforeLines="50" w:line="312"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新昌幼儿园2025年教职工疗休养采购项目</w:t>
      </w:r>
    </w:p>
    <w:p w14:paraId="21BA0624">
      <w:pPr>
        <w:spacing w:before="156" w:beforeLines="50" w:line="312" w:lineRule="auto"/>
        <w:jc w:val="center"/>
        <w:rPr>
          <w:rFonts w:hint="eastAsia" w:ascii="宋体" w:hAnsi="宋体" w:cs="宋体"/>
          <w:b/>
          <w:bCs/>
          <w:color w:val="auto"/>
          <w:sz w:val="36"/>
          <w:szCs w:val="36"/>
          <w:highlight w:val="none"/>
        </w:rPr>
      </w:pPr>
    </w:p>
    <w:p w14:paraId="7CCF163F">
      <w:pPr>
        <w:spacing w:before="156" w:beforeLines="50" w:line="312" w:lineRule="auto"/>
        <w:jc w:val="center"/>
        <w:rPr>
          <w:rFonts w:ascii="宋体" w:hAnsi="宋体" w:cs="宋体"/>
          <w:color w:val="auto"/>
          <w:sz w:val="36"/>
          <w:szCs w:val="36"/>
          <w:highlight w:val="none"/>
        </w:rPr>
      </w:pP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rPr>
        <w:t>公开招标文件</w:t>
      </w:r>
    </w:p>
    <w:p w14:paraId="02F15264">
      <w:pPr>
        <w:widowControl/>
        <w:spacing w:line="360" w:lineRule="auto"/>
        <w:ind w:right="-2"/>
        <w:jc w:val="center"/>
        <w:rPr>
          <w:rFonts w:ascii="宋体" w:hAnsi="宋体" w:cs="宋体"/>
          <w:b/>
          <w:color w:val="auto"/>
          <w:sz w:val="44"/>
          <w:szCs w:val="44"/>
          <w:highlight w:val="none"/>
        </w:rPr>
      </w:pPr>
      <w:r>
        <w:rPr>
          <w:rFonts w:hint="eastAsia" w:ascii="宋体" w:hAnsi="宋体" w:cs="宋体"/>
          <w:b/>
          <w:color w:val="auto"/>
          <w:sz w:val="36"/>
          <w:szCs w:val="20"/>
          <w:highlight w:val="none"/>
        </w:rPr>
        <w:t>（线上电子招投标）</w:t>
      </w:r>
    </w:p>
    <w:p w14:paraId="1B992323">
      <w:pPr>
        <w:spacing w:before="156" w:beforeLines="50" w:line="312" w:lineRule="auto"/>
        <w:jc w:val="center"/>
        <w:rPr>
          <w:rFonts w:ascii="宋体" w:hAnsi="宋体" w:cs="宋体"/>
          <w:color w:val="auto"/>
          <w:sz w:val="32"/>
          <w:szCs w:val="32"/>
          <w:highlight w:val="none"/>
        </w:rPr>
      </w:pPr>
    </w:p>
    <w:p w14:paraId="4E2FEC0C">
      <w:pPr>
        <w:spacing w:before="156" w:beforeLines="50" w:line="312"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[2025]866号</w:t>
      </w:r>
    </w:p>
    <w:p w14:paraId="0B1BFF9C">
      <w:pPr>
        <w:spacing w:before="156" w:beforeLines="50" w:line="312" w:lineRule="auto"/>
        <w:jc w:val="center"/>
        <w:rPr>
          <w:rFonts w:hint="eastAsia" w:ascii="宋体" w:hAnsi="宋体" w:eastAsia="宋体" w:cs="宋体"/>
          <w:b/>
          <w:bCs/>
          <w:color w:val="auto"/>
          <w:sz w:val="32"/>
          <w:szCs w:val="32"/>
          <w:highlight w:val="none"/>
          <w:lang w:eastAsia="zh-CN"/>
        </w:rPr>
      </w:pPr>
      <w:bookmarkStart w:id="107" w:name="_GoBack"/>
      <w:bookmarkEnd w:id="107"/>
    </w:p>
    <w:p w14:paraId="66E8088C">
      <w:pPr>
        <w:spacing w:before="156" w:beforeLines="50" w:line="312" w:lineRule="auto"/>
        <w:jc w:val="center"/>
        <w:rPr>
          <w:rFonts w:ascii="宋体" w:hAnsi="宋体" w:cs="宋体"/>
          <w:b/>
          <w:bCs/>
          <w:color w:val="auto"/>
          <w:sz w:val="44"/>
          <w:szCs w:val="20"/>
          <w:highlight w:val="none"/>
        </w:rPr>
      </w:pPr>
    </w:p>
    <w:p w14:paraId="01F665F1">
      <w:pPr>
        <w:pStyle w:val="3"/>
        <w:rPr>
          <w:color w:val="auto"/>
          <w:highlight w:val="none"/>
        </w:rPr>
      </w:pPr>
    </w:p>
    <w:p w14:paraId="45541453">
      <w:pPr>
        <w:spacing w:before="156" w:beforeLines="50" w:line="312" w:lineRule="auto"/>
        <w:ind w:left="2702" w:leftChars="534" w:hanging="1581" w:hangingChars="492"/>
        <w:rPr>
          <w:rFonts w:ascii="宋体" w:hAnsi="宋体" w:cs="宋体"/>
          <w:b/>
          <w:bCs/>
          <w:color w:val="auto"/>
          <w:sz w:val="32"/>
          <w:szCs w:val="32"/>
          <w:highlight w:val="none"/>
        </w:rPr>
      </w:pPr>
    </w:p>
    <w:p w14:paraId="4C3EE874">
      <w:pPr>
        <w:spacing w:before="156" w:beforeLines="50" w:line="312" w:lineRule="auto"/>
        <w:ind w:left="2702" w:leftChars="534" w:hanging="1581" w:hangingChars="492"/>
        <w:rPr>
          <w:rFonts w:ascii="宋体" w:hAnsi="宋体" w:cs="宋体"/>
          <w:b/>
          <w:bCs/>
          <w:color w:val="auto"/>
          <w:sz w:val="32"/>
          <w:szCs w:val="32"/>
          <w:highlight w:val="none"/>
        </w:rPr>
      </w:pPr>
    </w:p>
    <w:p w14:paraId="3007A8F0">
      <w:pPr>
        <w:pStyle w:val="3"/>
        <w:rPr>
          <w:color w:val="auto"/>
          <w:highlight w:val="none"/>
        </w:rPr>
      </w:pPr>
    </w:p>
    <w:p w14:paraId="7B156536">
      <w:pPr>
        <w:spacing w:before="156" w:beforeLines="50" w:line="312" w:lineRule="auto"/>
        <w:ind w:left="2702" w:leftChars="534" w:hanging="1581" w:hangingChars="492"/>
        <w:rPr>
          <w:rFonts w:ascii="宋体" w:hAnsi="宋体" w:cs="宋体"/>
          <w:b/>
          <w:bCs/>
          <w:color w:val="auto"/>
          <w:sz w:val="32"/>
          <w:szCs w:val="32"/>
          <w:highlight w:val="none"/>
        </w:rPr>
      </w:pPr>
    </w:p>
    <w:p w14:paraId="11C95557">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采购单位：</w:t>
      </w:r>
      <w:r>
        <w:rPr>
          <w:rFonts w:hint="eastAsia" w:ascii="宋体" w:hAnsi="宋体" w:cs="宋体"/>
          <w:color w:val="auto"/>
          <w:sz w:val="32"/>
          <w:szCs w:val="32"/>
          <w:highlight w:val="none"/>
          <w:u w:val="single"/>
          <w:lang w:eastAsia="zh-CN"/>
        </w:rPr>
        <w:t>新昌幼儿园</w:t>
      </w:r>
    </w:p>
    <w:p w14:paraId="5D86166E">
      <w:pPr>
        <w:spacing w:before="156" w:beforeLines="50" w:line="312" w:lineRule="auto"/>
        <w:ind w:left="2702" w:leftChars="534" w:hanging="1581" w:hangingChars="492"/>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color w:val="auto"/>
          <w:sz w:val="32"/>
          <w:szCs w:val="32"/>
          <w:highlight w:val="none"/>
          <w:u w:val="single"/>
          <w:lang w:eastAsia="zh-CN"/>
        </w:rPr>
        <w:t>新昌县同启项目管理有限公司</w:t>
      </w:r>
    </w:p>
    <w:p w14:paraId="2E59B02C">
      <w:pPr>
        <w:spacing w:before="156" w:beforeLines="50" w:line="312" w:lineRule="auto"/>
        <w:ind w:left="2702" w:leftChars="534" w:hanging="1581" w:hangingChars="492"/>
        <w:rPr>
          <w:rFonts w:ascii="宋体" w:hAnsi="宋体" w:cs="宋体"/>
          <w:color w:val="auto"/>
          <w:sz w:val="32"/>
          <w:szCs w:val="32"/>
          <w:highlight w:val="none"/>
          <w:u w:val="single"/>
        </w:rPr>
      </w:pPr>
      <w:r>
        <w:rPr>
          <w:rFonts w:hint="eastAsia" w:ascii="宋体" w:hAnsi="宋体" w:cs="宋体"/>
          <w:b/>
          <w:bCs/>
          <w:color w:val="auto"/>
          <w:sz w:val="32"/>
          <w:szCs w:val="32"/>
          <w:highlight w:val="none"/>
        </w:rPr>
        <w:t>日    期：</w:t>
      </w:r>
      <w:r>
        <w:rPr>
          <w:rFonts w:hint="eastAsia" w:ascii="宋体" w:hAnsi="宋体" w:cs="宋体"/>
          <w:color w:val="auto"/>
          <w:sz w:val="32"/>
          <w:szCs w:val="32"/>
          <w:highlight w:val="none"/>
          <w:u w:val="single"/>
        </w:rPr>
        <w:t xml:space="preserve">  202</w:t>
      </w:r>
      <w:r>
        <w:rPr>
          <w:rFonts w:hint="eastAsia" w:ascii="宋体" w:hAnsi="宋体" w:cs="宋体"/>
          <w:color w:val="auto"/>
          <w:sz w:val="32"/>
          <w:szCs w:val="32"/>
          <w:highlight w:val="none"/>
          <w:u w:val="single"/>
          <w:lang w:val="en-US" w:eastAsia="zh-CN"/>
        </w:rPr>
        <w:t>5</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 xml:space="preserve">6 </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14:paraId="78678260">
      <w:pPr>
        <w:pStyle w:val="21"/>
        <w:rPr>
          <w:rFonts w:ascii="宋体" w:hAnsi="宋体" w:cs="宋体"/>
          <w:color w:val="auto"/>
          <w:highlight w:val="none"/>
        </w:rPr>
        <w:sectPr>
          <w:headerReference r:id="rId3" w:type="default"/>
          <w:footerReference r:id="rId4" w:type="default"/>
          <w:pgSz w:w="11906" w:h="16838"/>
          <w:pgMar w:top="1440" w:right="1440" w:bottom="1440" w:left="1440" w:header="851" w:footer="992" w:gutter="0"/>
          <w:pgNumType w:start="1"/>
          <w:cols w:space="425" w:num="1"/>
          <w:titlePg/>
          <w:docGrid w:type="lines" w:linePitch="312" w:charSpace="0"/>
        </w:sectPr>
      </w:pPr>
    </w:p>
    <w:p w14:paraId="39095F1A">
      <w:pPr>
        <w:pStyle w:val="33"/>
        <w:rPr>
          <w:rFonts w:ascii="宋体" w:hAnsi="宋体" w:eastAsia="宋体" w:cs="宋体"/>
          <w:color w:val="auto"/>
          <w:highlight w:val="none"/>
        </w:rPr>
      </w:pPr>
    </w:p>
    <w:p w14:paraId="4D6B328F">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6FA57BD">
      <w:pPr>
        <w:pStyle w:val="18"/>
        <w:rPr>
          <w:rFonts w:ascii="宋体" w:hAnsi="宋体" w:eastAsia="宋体" w:cs="宋体"/>
          <w:b/>
          <w:bCs/>
          <w:color w:val="auto"/>
          <w:sz w:val="44"/>
          <w:szCs w:val="44"/>
          <w:highlight w:val="none"/>
        </w:rPr>
      </w:pPr>
    </w:p>
    <w:p w14:paraId="641C67A4">
      <w:pPr>
        <w:pStyle w:val="19"/>
        <w:rPr>
          <w:rFonts w:ascii="宋体" w:hAnsi="宋体" w:eastAsia="宋体" w:cs="宋体"/>
          <w:color w:val="auto"/>
          <w:highlight w:val="none"/>
        </w:rPr>
      </w:pPr>
    </w:p>
    <w:p w14:paraId="42CA9804">
      <w:pPr>
        <w:pStyle w:val="42"/>
        <w:spacing w:line="480" w:lineRule="auto"/>
        <w:ind w:left="0" w:leftChars="0"/>
        <w:jc w:val="both"/>
        <w:rPr>
          <w:rFonts w:eastAsia="宋体"/>
          <w:b w:val="0"/>
          <w:bCs w:val="0"/>
          <w:color w:val="auto"/>
          <w:sz w:val="21"/>
          <w:szCs w:val="21"/>
          <w:highlight w:val="none"/>
        </w:rPr>
      </w:pPr>
      <w:r>
        <w:rPr>
          <w:rStyle w:val="60"/>
          <w:rFonts w:hint="eastAsia" w:eastAsia="宋体"/>
          <w:b w:val="0"/>
          <w:bCs w:val="0"/>
          <w:color w:val="auto"/>
          <w:sz w:val="21"/>
          <w:szCs w:val="21"/>
          <w:highlight w:val="none"/>
        </w:rPr>
        <w:fldChar w:fldCharType="begin"/>
      </w:r>
      <w:r>
        <w:rPr>
          <w:rStyle w:val="60"/>
          <w:rFonts w:hint="eastAsia" w:eastAsia="宋体"/>
          <w:b w:val="0"/>
          <w:bCs w:val="0"/>
          <w:color w:val="auto"/>
          <w:sz w:val="21"/>
          <w:szCs w:val="21"/>
          <w:highlight w:val="none"/>
        </w:rPr>
        <w:instrText xml:space="preserve"> TOC \o "1-3" \h \z </w:instrText>
      </w:r>
      <w:r>
        <w:rPr>
          <w:rStyle w:val="60"/>
          <w:rFonts w:hint="eastAsia" w:eastAsia="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"_Toc43498217" </w:instrText>
      </w:r>
      <w:r>
        <w:rPr>
          <w:color w:val="auto"/>
          <w:highlight w:val="none"/>
        </w:rPr>
        <w:fldChar w:fldCharType="separate"/>
      </w:r>
      <w:r>
        <w:rPr>
          <w:rStyle w:val="60"/>
          <w:rFonts w:hint="eastAsia" w:eastAsia="宋体"/>
          <w:color w:val="auto"/>
          <w:sz w:val="21"/>
          <w:szCs w:val="21"/>
          <w:highlight w:val="none"/>
        </w:rPr>
        <w:t>第一部分 招标公告</w:t>
      </w:r>
      <w:r>
        <w:rPr>
          <w:rFonts w:hint="eastAsia" w:eastAsia="宋体"/>
          <w:color w:val="auto"/>
          <w:sz w:val="21"/>
          <w:szCs w:val="21"/>
          <w:highlight w:val="none"/>
        </w:rPr>
        <w:tab/>
      </w:r>
      <w:r>
        <w:rPr>
          <w:rFonts w:hint="eastAsia" w:eastAsia="宋体"/>
          <w:color w:val="auto"/>
          <w:sz w:val="21"/>
          <w:szCs w:val="21"/>
          <w:highlight w:val="none"/>
        </w:rPr>
        <w:t>1</w:t>
      </w:r>
      <w:r>
        <w:rPr>
          <w:rFonts w:hint="eastAsia" w:eastAsia="宋体"/>
          <w:color w:val="auto"/>
          <w:sz w:val="21"/>
          <w:szCs w:val="21"/>
          <w:highlight w:val="none"/>
        </w:rPr>
        <w:fldChar w:fldCharType="end"/>
      </w:r>
    </w:p>
    <w:p w14:paraId="58E1131D">
      <w:pPr>
        <w:pStyle w:val="42"/>
        <w:spacing w:line="480" w:lineRule="auto"/>
        <w:ind w:left="0" w:leftChars="0"/>
        <w:jc w:val="both"/>
        <w:rPr>
          <w:rFonts w:hint="eastAsia" w:eastAsia="宋体"/>
          <w:color w:val="auto"/>
          <w:sz w:val="21"/>
          <w:szCs w:val="21"/>
          <w:highlight w:val="none"/>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"_Toc43498218" </w:instrText>
      </w:r>
      <w:r>
        <w:rPr>
          <w:rFonts w:hint="eastAsia" w:eastAsia="宋体"/>
          <w:color w:val="auto"/>
          <w:sz w:val="21"/>
          <w:szCs w:val="21"/>
          <w:highlight w:val="none"/>
        </w:rPr>
        <w:fldChar w:fldCharType="separate"/>
      </w:r>
      <w:r>
        <w:rPr>
          <w:rFonts w:hint="eastAsia" w:eastAsia="宋体"/>
          <w:color w:val="auto"/>
          <w:sz w:val="21"/>
          <w:szCs w:val="21"/>
          <w:highlight w:val="none"/>
        </w:rPr>
        <w:t>第二部分 投标人须知</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p>
    <w:p w14:paraId="47A9DECD">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"_Toc43498234" </w:instrText>
      </w:r>
      <w:r>
        <w:rPr>
          <w:rFonts w:hint="eastAsia" w:eastAsia="宋体"/>
          <w:color w:val="auto"/>
          <w:sz w:val="21"/>
          <w:szCs w:val="21"/>
          <w:highlight w:val="none"/>
        </w:rPr>
        <w:fldChar w:fldCharType="separate"/>
      </w:r>
      <w:r>
        <w:rPr>
          <w:rFonts w:hint="eastAsia" w:eastAsia="宋体"/>
          <w:color w:val="auto"/>
          <w:sz w:val="21"/>
          <w:szCs w:val="21"/>
          <w:highlight w:val="none"/>
        </w:rPr>
        <w:t>第三部分 采购需求</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0</w:t>
      </w:r>
    </w:p>
    <w:p w14:paraId="5EA75EF4">
      <w:pPr>
        <w:pStyle w:val="42"/>
        <w:spacing w:line="480" w:lineRule="auto"/>
        <w:ind w:left="0" w:leftChars="0"/>
        <w:jc w:val="both"/>
        <w:rPr>
          <w:rFonts w:hint="eastAsia" w:eastAsia="宋体"/>
          <w:color w:val="auto"/>
          <w:sz w:val="21"/>
          <w:szCs w:val="21"/>
          <w:highlight w:val="none"/>
          <w:lang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"_Toc43498235" </w:instrText>
      </w:r>
      <w:r>
        <w:rPr>
          <w:rFonts w:hint="eastAsia" w:eastAsia="宋体"/>
          <w:color w:val="auto"/>
          <w:sz w:val="21"/>
          <w:szCs w:val="21"/>
          <w:highlight w:val="none"/>
        </w:rPr>
        <w:fldChar w:fldCharType="separate"/>
      </w:r>
      <w:r>
        <w:rPr>
          <w:rFonts w:hint="eastAsia" w:eastAsia="宋体"/>
          <w:color w:val="auto"/>
          <w:sz w:val="21"/>
          <w:szCs w:val="21"/>
          <w:highlight w:val="none"/>
        </w:rPr>
        <w:t>第四部分 政府采购合同格式（范本）</w:t>
      </w:r>
      <w:r>
        <w:rPr>
          <w:rFonts w:hint="eastAsia" w:eastAsia="宋体"/>
          <w:color w:val="auto"/>
          <w:sz w:val="21"/>
          <w:szCs w:val="21"/>
          <w:highlight w:val="none"/>
        </w:rPr>
        <w:tab/>
      </w:r>
      <w:r>
        <w:rPr>
          <w:rFonts w:hint="eastAsia" w:eastAsia="宋体"/>
          <w:color w:val="auto"/>
          <w:sz w:val="21"/>
          <w:szCs w:val="21"/>
          <w:highlight w:val="none"/>
          <w:lang w:val="en-US" w:eastAsia="zh-CN"/>
        </w:rPr>
        <w:t>2</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4</w:t>
      </w:r>
    </w:p>
    <w:p w14:paraId="1AF48041">
      <w:pPr>
        <w:pStyle w:val="42"/>
        <w:spacing w:line="480" w:lineRule="auto"/>
        <w:ind w:left="0" w:leftChars="0"/>
        <w:jc w:val="both"/>
        <w:rPr>
          <w:rFonts w:hint="eastAsia" w:eastAsia="宋体"/>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"_Toc43498236" </w:instrText>
      </w:r>
      <w:r>
        <w:rPr>
          <w:rFonts w:hint="eastAsia" w:eastAsia="宋体"/>
          <w:color w:val="auto"/>
          <w:sz w:val="21"/>
          <w:szCs w:val="21"/>
          <w:highlight w:val="none"/>
        </w:rPr>
        <w:fldChar w:fldCharType="separate"/>
      </w:r>
      <w:r>
        <w:rPr>
          <w:rFonts w:hint="eastAsia" w:eastAsia="宋体"/>
          <w:color w:val="auto"/>
          <w:sz w:val="21"/>
          <w:szCs w:val="21"/>
          <w:highlight w:val="none"/>
        </w:rPr>
        <w:t>第五部分 投标相关文件格式</w:t>
      </w:r>
      <w:r>
        <w:rPr>
          <w:rFonts w:hint="eastAsia" w:eastAsia="宋体"/>
          <w:color w:val="auto"/>
          <w:sz w:val="21"/>
          <w:szCs w:val="21"/>
          <w:highlight w:val="none"/>
        </w:rPr>
        <w:tab/>
      </w:r>
      <w:r>
        <w:rPr>
          <w:rFonts w:hint="eastAsia" w:eastAsia="宋体"/>
          <w:color w:val="auto"/>
          <w:sz w:val="21"/>
          <w:szCs w:val="21"/>
          <w:highlight w:val="none"/>
          <w:lang w:val="en-US" w:eastAsia="zh-CN"/>
        </w:rPr>
        <w:t>4</w:t>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w:t>
      </w:r>
    </w:p>
    <w:p w14:paraId="581FC141">
      <w:pPr>
        <w:pStyle w:val="42"/>
        <w:spacing w:line="480" w:lineRule="auto"/>
        <w:ind w:left="0" w:leftChars="0"/>
        <w:jc w:val="both"/>
        <w:rPr>
          <w:rFonts w:hint="default" w:eastAsia="宋体"/>
          <w:b w:val="0"/>
          <w:bCs w:val="0"/>
          <w:color w:val="auto"/>
          <w:sz w:val="21"/>
          <w:szCs w:val="21"/>
          <w:highlight w:val="none"/>
          <w:lang w:val="en-US" w:eastAsia="zh-CN"/>
        </w:rPr>
      </w:pPr>
      <w:r>
        <w:rPr>
          <w:rFonts w:hint="eastAsia" w:eastAsia="宋体"/>
          <w:color w:val="auto"/>
          <w:sz w:val="21"/>
          <w:szCs w:val="21"/>
          <w:highlight w:val="none"/>
        </w:rPr>
        <w:fldChar w:fldCharType="begin"/>
      </w:r>
      <w:r>
        <w:rPr>
          <w:rFonts w:hint="eastAsia" w:eastAsia="宋体"/>
          <w:color w:val="auto"/>
          <w:sz w:val="21"/>
          <w:szCs w:val="21"/>
          <w:highlight w:val="none"/>
        </w:rPr>
        <w:instrText xml:space="preserve"> HYPERLINK \l "_Toc43498241" </w:instrText>
      </w:r>
      <w:r>
        <w:rPr>
          <w:rFonts w:hint="eastAsia" w:eastAsia="宋体"/>
          <w:color w:val="auto"/>
          <w:sz w:val="21"/>
          <w:szCs w:val="21"/>
          <w:highlight w:val="none"/>
        </w:rPr>
        <w:fldChar w:fldCharType="separate"/>
      </w:r>
      <w:r>
        <w:rPr>
          <w:rFonts w:hint="eastAsia" w:eastAsia="宋体"/>
          <w:color w:val="auto"/>
          <w:sz w:val="21"/>
          <w:szCs w:val="21"/>
          <w:highlight w:val="none"/>
        </w:rPr>
        <w:t>第六部分 评标办法和细则</w:t>
      </w:r>
      <w:r>
        <w:rPr>
          <w:rFonts w:hint="eastAsia" w:eastAsia="宋体"/>
          <w:color w:val="auto"/>
          <w:sz w:val="21"/>
          <w:szCs w:val="21"/>
          <w:highlight w:val="none"/>
        </w:rPr>
        <w:tab/>
      </w:r>
      <w:r>
        <w:rPr>
          <w:rFonts w:hint="eastAsia" w:eastAsia="宋体"/>
          <w:color w:val="auto"/>
          <w:sz w:val="21"/>
          <w:szCs w:val="21"/>
          <w:highlight w:val="none"/>
        </w:rPr>
        <w:fldChar w:fldCharType="end"/>
      </w:r>
      <w:r>
        <w:rPr>
          <w:rFonts w:hint="eastAsia" w:eastAsia="宋体"/>
          <w:color w:val="auto"/>
          <w:sz w:val="21"/>
          <w:szCs w:val="21"/>
          <w:highlight w:val="none"/>
          <w:lang w:val="en-US" w:eastAsia="zh-CN"/>
        </w:rPr>
        <w:t>62</w:t>
      </w:r>
    </w:p>
    <w:p w14:paraId="6561028D">
      <w:pPr>
        <w:pStyle w:val="26"/>
        <w:spacing w:line="480" w:lineRule="auto"/>
        <w:ind w:left="105" w:leftChars="0" w:hanging="105"/>
        <w:rPr>
          <w:rFonts w:ascii="宋体" w:hAnsi="宋体" w:eastAsia="宋体" w:cs="宋体"/>
          <w:color w:val="auto"/>
          <w:sz w:val="21"/>
          <w:szCs w:val="21"/>
          <w:highlight w:val="none"/>
        </w:rPr>
      </w:pPr>
    </w:p>
    <w:p w14:paraId="3361CAF8">
      <w:pPr>
        <w:pStyle w:val="26"/>
        <w:spacing w:line="480" w:lineRule="auto"/>
        <w:ind w:left="105" w:leftChars="0" w:hanging="105"/>
        <w:rPr>
          <w:rFonts w:ascii="宋体" w:hAnsi="宋体" w:eastAsia="宋体" w:cs="宋体"/>
          <w:color w:val="auto"/>
          <w:sz w:val="28"/>
          <w:szCs w:val="28"/>
          <w:highlight w:val="none"/>
        </w:rPr>
      </w:pPr>
      <w:r>
        <w:rPr>
          <w:rStyle w:val="60"/>
          <w:rFonts w:hint="eastAsia" w:ascii="宋体" w:hAnsi="宋体" w:eastAsia="宋体" w:cs="宋体"/>
          <w:b/>
          <w:bCs/>
          <w:color w:val="auto"/>
          <w:sz w:val="21"/>
          <w:szCs w:val="21"/>
          <w:highlight w:val="none"/>
        </w:rPr>
        <w:fldChar w:fldCharType="end"/>
      </w:r>
    </w:p>
    <w:p w14:paraId="369E690F">
      <w:pPr>
        <w:pStyle w:val="4"/>
        <w:spacing w:line="560" w:lineRule="exact"/>
        <w:rPr>
          <w:rFonts w:ascii="宋体" w:hAnsi="宋体" w:eastAsia="宋体" w:cs="宋体"/>
          <w:color w:val="auto"/>
          <w:sz w:val="21"/>
          <w:szCs w:val="21"/>
          <w:highlight w:val="none"/>
        </w:rPr>
        <w:sectPr>
          <w:footerReference r:id="rId6" w:type="first"/>
          <w:footerReference r:id="rId5" w:type="default"/>
          <w:pgSz w:w="11906" w:h="16838"/>
          <w:pgMar w:top="1361" w:right="1440" w:bottom="1361" w:left="1440" w:header="851" w:footer="992" w:gutter="0"/>
          <w:pgNumType w:start="1"/>
          <w:cols w:space="425" w:num="1"/>
          <w:titlePg/>
          <w:docGrid w:type="lines" w:linePitch="312" w:charSpace="0"/>
        </w:sectPr>
      </w:pPr>
      <w:bookmarkStart w:id="0" w:name="_Toc43498217"/>
    </w:p>
    <w:p w14:paraId="654EC583">
      <w:pPr>
        <w:pStyle w:val="4"/>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第一部分  招标</w:t>
      </w:r>
      <w:bookmarkEnd w:id="0"/>
      <w:r>
        <w:rPr>
          <w:rFonts w:hint="eastAsia" w:ascii="宋体" w:hAnsi="宋体" w:eastAsia="宋体" w:cs="宋体"/>
          <w:color w:val="auto"/>
          <w:sz w:val="21"/>
          <w:szCs w:val="21"/>
          <w:highlight w:val="none"/>
        </w:rPr>
        <w:t>公告</w:t>
      </w:r>
    </w:p>
    <w:p w14:paraId="35E498AA">
      <w:pPr>
        <w:pBdr>
          <w:top w:val="single" w:color="auto" w:sz="4" w:space="1"/>
          <w:left w:val="single" w:color="auto" w:sz="4" w:space="4"/>
          <w:bottom w:val="single" w:color="auto" w:sz="4" w:space="1"/>
          <w:right w:val="single" w:color="auto" w:sz="4" w:space="2"/>
        </w:pBdr>
        <w:spacing w:line="420" w:lineRule="exact"/>
        <w:rPr>
          <w:rFonts w:ascii="宋体" w:hAnsi="宋体" w:cs="宋体"/>
          <w:color w:val="auto"/>
          <w:highlight w:val="none"/>
        </w:rPr>
      </w:pPr>
      <w:bookmarkStart w:id="1" w:name="_Toc28359002"/>
      <w:bookmarkStart w:id="2" w:name="_Toc28359079"/>
      <w:bookmarkStart w:id="3" w:name="_Toc35393790"/>
      <w:bookmarkStart w:id="4" w:name="_Toc35393621"/>
      <w:bookmarkStart w:id="5" w:name="_Hlk24379207"/>
      <w:bookmarkStart w:id="6" w:name="EBf1e27c6183244f4a8f3fc355defd653e"/>
      <w:r>
        <w:rPr>
          <w:rFonts w:hint="eastAsia" w:ascii="宋体" w:hAnsi="宋体" w:cs="宋体"/>
          <w:color w:val="auto"/>
          <w:highlight w:val="none"/>
        </w:rPr>
        <w:t>项目概况：</w:t>
      </w:r>
    </w:p>
    <w:p w14:paraId="266EED95">
      <w:pPr>
        <w:pBdr>
          <w:top w:val="single" w:color="auto" w:sz="4" w:space="1"/>
          <w:left w:val="single" w:color="auto" w:sz="4" w:space="4"/>
          <w:bottom w:val="single" w:color="auto" w:sz="4" w:space="1"/>
          <w:right w:val="single" w:color="auto" w:sz="4" w:space="2"/>
        </w:pBdr>
        <w:spacing w:line="420" w:lineRule="exact"/>
        <w:ind w:firstLine="420" w:firstLineChars="200"/>
        <w:jc w:val="both"/>
        <w:rPr>
          <w:rFonts w:ascii="宋体" w:hAnsi="宋体" w:cs="宋体"/>
          <w:color w:val="auto"/>
          <w:highlight w:val="none"/>
        </w:rPr>
      </w:pPr>
      <w:r>
        <w:rPr>
          <w:rFonts w:hint="eastAsia" w:ascii="宋体" w:hAnsi="宋体" w:cs="宋体"/>
          <w:color w:val="auto"/>
          <w:highlight w:val="none"/>
          <w:u w:val="single"/>
          <w:lang w:eastAsia="zh-CN"/>
        </w:rPr>
        <w:t>新昌幼儿园2025年教职工疗休养采购项目</w:t>
      </w:r>
      <w:r>
        <w:rPr>
          <w:rFonts w:hint="eastAsia" w:ascii="宋体" w:hAnsi="宋体" w:cs="宋体"/>
          <w:color w:val="auto"/>
          <w:highlight w:val="none"/>
        </w:rPr>
        <w:t>的潜在供应商应在政采云平台（https://www.zcygov.cn/）获取（下载）招标文件，并于</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22</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（北京时间）前提交（上传）响应文件。</w:t>
      </w:r>
    </w:p>
    <w:p w14:paraId="1B86B77F">
      <w:pPr>
        <w:spacing w:line="400" w:lineRule="exact"/>
        <w:jc w:val="left"/>
        <w:rPr>
          <w:rFonts w:ascii="宋体" w:hAnsi="宋体" w:cs="宋体"/>
          <w:b/>
          <w:color w:val="auto"/>
          <w:highlight w:val="none"/>
        </w:rPr>
      </w:pPr>
      <w:r>
        <w:rPr>
          <w:rFonts w:hint="eastAsia" w:ascii="宋体" w:hAnsi="宋体" w:cs="宋体"/>
          <w:b/>
          <w:color w:val="auto"/>
          <w:highlight w:val="none"/>
        </w:rPr>
        <w:t>一、项目基本情况</w:t>
      </w:r>
      <w:bookmarkEnd w:id="1"/>
      <w:bookmarkEnd w:id="2"/>
      <w:bookmarkEnd w:id="3"/>
      <w:bookmarkEnd w:id="4"/>
    </w:p>
    <w:bookmarkEnd w:id="5"/>
    <w:p w14:paraId="6FD5AF71">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val="en-US" w:eastAsia="zh-CN"/>
        </w:rPr>
        <w:t>[2025]866号</w:t>
      </w:r>
    </w:p>
    <w:p w14:paraId="41E43F35">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r>
        <w:rPr>
          <w:rFonts w:hint="eastAsia" w:ascii="宋体" w:hAnsi="宋体" w:cs="宋体"/>
          <w:color w:val="auto"/>
          <w:highlight w:val="none"/>
          <w:lang w:eastAsia="zh-CN"/>
        </w:rPr>
        <w:t>新昌幼儿园2025年教职工疗休养采购项目</w:t>
      </w:r>
    </w:p>
    <w:p w14:paraId="6B8FE1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采购方式：公开招标</w:t>
      </w:r>
    </w:p>
    <w:p w14:paraId="794DC5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预算金额（元）：</w:t>
      </w:r>
      <w:r>
        <w:rPr>
          <w:rFonts w:hint="eastAsia" w:ascii="宋体" w:hAnsi="宋体" w:cs="宋体"/>
          <w:color w:val="auto"/>
          <w:highlight w:val="none"/>
          <w:lang w:val="en-US" w:eastAsia="zh-CN"/>
        </w:rPr>
        <w:t xml:space="preserve">344000   </w:t>
      </w:r>
    </w:p>
    <w:p w14:paraId="32184C8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最高限价（元）：</w:t>
      </w:r>
      <w:r>
        <w:rPr>
          <w:rFonts w:hint="eastAsia" w:ascii="宋体" w:hAnsi="宋体" w:cs="宋体"/>
          <w:color w:val="auto"/>
          <w:highlight w:val="none"/>
          <w:lang w:val="en-US" w:eastAsia="zh-CN"/>
        </w:rPr>
        <w:t xml:space="preserve">344000   </w:t>
      </w:r>
    </w:p>
    <w:p w14:paraId="21CB702A">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采购需求：</w:t>
      </w:r>
    </w:p>
    <w:tbl>
      <w:tblPr>
        <w:tblStyle w:val="50"/>
        <w:tblW w:w="10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856"/>
        <w:gridCol w:w="1980"/>
        <w:gridCol w:w="690"/>
        <w:gridCol w:w="645"/>
        <w:gridCol w:w="1665"/>
        <w:gridCol w:w="2838"/>
      </w:tblGrid>
      <w:tr w14:paraId="5186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72" w:type="dxa"/>
            <w:vAlign w:val="center"/>
          </w:tcPr>
          <w:p w14:paraId="3751613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序号</w:t>
            </w:r>
          </w:p>
        </w:tc>
        <w:tc>
          <w:tcPr>
            <w:tcW w:w="1856" w:type="dxa"/>
            <w:vAlign w:val="center"/>
          </w:tcPr>
          <w:p w14:paraId="060608B3">
            <w:pPr>
              <w:spacing w:line="400" w:lineRule="exact"/>
              <w:jc w:val="center"/>
              <w:rPr>
                <w:rFonts w:hint="eastAsia" w:ascii="宋体" w:hAnsi="宋体" w:eastAsia="宋体" w:cs="宋体"/>
                <w:highlight w:val="none"/>
              </w:rPr>
            </w:pPr>
            <w:r>
              <w:rPr>
                <w:rFonts w:hint="eastAsia" w:ascii="宋体" w:hAnsi="宋体" w:eastAsia="宋体" w:cs="宋体"/>
                <w:highlight w:val="none"/>
              </w:rPr>
              <w:t>采购内容</w:t>
            </w:r>
          </w:p>
        </w:tc>
        <w:tc>
          <w:tcPr>
            <w:tcW w:w="1980" w:type="dxa"/>
            <w:vAlign w:val="center"/>
          </w:tcPr>
          <w:p w14:paraId="6B71C77E">
            <w:pPr>
              <w:spacing w:line="400" w:lineRule="exact"/>
              <w:jc w:val="center"/>
              <w:rPr>
                <w:rFonts w:hint="eastAsia" w:ascii="宋体" w:hAnsi="宋体" w:eastAsia="宋体" w:cs="宋体"/>
                <w:highlight w:val="none"/>
              </w:rPr>
            </w:pPr>
            <w:r>
              <w:rPr>
                <w:rFonts w:hint="eastAsia" w:ascii="宋体" w:hAnsi="宋体" w:eastAsia="宋体" w:cs="宋体"/>
                <w:highlight w:val="none"/>
              </w:rPr>
              <w:t>主要内容</w:t>
            </w:r>
          </w:p>
        </w:tc>
        <w:tc>
          <w:tcPr>
            <w:tcW w:w="690" w:type="dxa"/>
            <w:vAlign w:val="center"/>
          </w:tcPr>
          <w:p w14:paraId="73F2EADA">
            <w:pPr>
              <w:spacing w:line="400" w:lineRule="exact"/>
              <w:jc w:val="center"/>
              <w:rPr>
                <w:rFonts w:hint="eastAsia" w:ascii="宋体" w:hAnsi="宋体" w:eastAsia="宋体" w:cs="宋体"/>
                <w:highlight w:val="none"/>
              </w:rPr>
            </w:pPr>
            <w:r>
              <w:rPr>
                <w:rFonts w:hint="eastAsia" w:ascii="宋体" w:hAnsi="宋体" w:eastAsia="宋体" w:cs="宋体"/>
                <w:highlight w:val="none"/>
              </w:rPr>
              <w:t>数量</w:t>
            </w:r>
          </w:p>
        </w:tc>
        <w:tc>
          <w:tcPr>
            <w:tcW w:w="645" w:type="dxa"/>
            <w:vAlign w:val="center"/>
          </w:tcPr>
          <w:p w14:paraId="4B871A72">
            <w:pPr>
              <w:spacing w:line="400" w:lineRule="exact"/>
              <w:jc w:val="center"/>
              <w:rPr>
                <w:rFonts w:hint="eastAsia" w:ascii="宋体" w:hAnsi="宋体" w:eastAsia="宋体" w:cs="宋体"/>
                <w:highlight w:val="none"/>
              </w:rPr>
            </w:pPr>
            <w:r>
              <w:rPr>
                <w:rFonts w:hint="eastAsia" w:ascii="宋体" w:hAnsi="宋体" w:eastAsia="宋体" w:cs="宋体"/>
                <w:highlight w:val="none"/>
              </w:rPr>
              <w:t>单位</w:t>
            </w:r>
          </w:p>
        </w:tc>
        <w:tc>
          <w:tcPr>
            <w:tcW w:w="1665" w:type="dxa"/>
            <w:vAlign w:val="center"/>
          </w:tcPr>
          <w:p w14:paraId="4ABCE6D7">
            <w:pPr>
              <w:spacing w:line="400" w:lineRule="exact"/>
              <w:jc w:val="center"/>
              <w:rPr>
                <w:rFonts w:hint="eastAsia" w:ascii="宋体" w:hAnsi="宋体" w:eastAsia="宋体" w:cs="宋体"/>
                <w:highlight w:val="none"/>
              </w:rPr>
            </w:pPr>
            <w:r>
              <w:rPr>
                <w:rFonts w:hint="eastAsia" w:ascii="宋体" w:hAnsi="宋体" w:eastAsia="宋体" w:cs="宋体"/>
                <w:highlight w:val="none"/>
              </w:rPr>
              <w:t>最高限价（元）</w:t>
            </w:r>
          </w:p>
        </w:tc>
        <w:tc>
          <w:tcPr>
            <w:tcW w:w="2838" w:type="dxa"/>
            <w:vAlign w:val="center"/>
          </w:tcPr>
          <w:p w14:paraId="712F36F2">
            <w:pPr>
              <w:spacing w:line="400" w:lineRule="exact"/>
              <w:jc w:val="center"/>
              <w:rPr>
                <w:rFonts w:hint="eastAsia" w:ascii="宋体" w:hAnsi="宋体" w:eastAsia="宋体" w:cs="宋体"/>
                <w:highlight w:val="none"/>
              </w:rPr>
            </w:pPr>
            <w:r>
              <w:rPr>
                <w:rFonts w:hint="eastAsia" w:ascii="宋体" w:hAnsi="宋体" w:eastAsia="宋体" w:cs="宋体"/>
                <w:highlight w:val="none"/>
              </w:rPr>
              <w:t>备注</w:t>
            </w:r>
          </w:p>
        </w:tc>
      </w:tr>
      <w:tr w14:paraId="6371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vAlign w:val="center"/>
          </w:tcPr>
          <w:p w14:paraId="22646262">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一</w:t>
            </w:r>
          </w:p>
        </w:tc>
        <w:tc>
          <w:tcPr>
            <w:tcW w:w="1856" w:type="dxa"/>
            <w:vAlign w:val="center"/>
          </w:tcPr>
          <w:p w14:paraId="60642F9F">
            <w:pPr>
              <w:spacing w:line="400" w:lineRule="exact"/>
              <w:jc w:val="center"/>
              <w:rPr>
                <w:rFonts w:hint="eastAsia" w:ascii="宋体" w:hAnsi="宋体" w:cs="宋体"/>
                <w:highlight w:val="none"/>
                <w:lang w:eastAsia="zh-CN"/>
              </w:rPr>
            </w:pPr>
            <w:r>
              <w:rPr>
                <w:rFonts w:hint="eastAsia" w:ascii="宋体" w:hAnsi="宋体" w:cs="宋体"/>
                <w:highlight w:val="none"/>
                <w:lang w:eastAsia="zh-CN"/>
              </w:rPr>
              <w:t>疗休养活动服务</w:t>
            </w:r>
          </w:p>
        </w:tc>
        <w:tc>
          <w:tcPr>
            <w:tcW w:w="1980" w:type="dxa"/>
            <w:vAlign w:val="center"/>
          </w:tcPr>
          <w:p w14:paraId="2E225BBC">
            <w:pPr>
              <w:spacing w:line="400" w:lineRule="exact"/>
              <w:jc w:val="both"/>
              <w:rPr>
                <w:rFonts w:hint="eastAsia" w:ascii="宋体" w:hAnsi="宋体" w:eastAsia="宋体" w:cs="宋体"/>
                <w:highlight w:val="none"/>
                <w:lang w:eastAsia="zh-CN"/>
              </w:rPr>
            </w:pPr>
            <w:r>
              <w:rPr>
                <w:rFonts w:hint="eastAsia" w:ascii="宋体" w:hAnsi="宋体" w:eastAsia="宋体" w:cs="宋体"/>
                <w:highlight w:val="none"/>
                <w:lang w:eastAsia="zh-CN"/>
              </w:rPr>
              <w:t>见招标文件第三部分采购需求</w:t>
            </w:r>
          </w:p>
        </w:tc>
        <w:tc>
          <w:tcPr>
            <w:tcW w:w="690" w:type="dxa"/>
            <w:vAlign w:val="center"/>
          </w:tcPr>
          <w:p w14:paraId="7F662379">
            <w:pPr>
              <w:spacing w:line="400" w:lineRule="exact"/>
              <w:jc w:val="center"/>
              <w:rPr>
                <w:rFonts w:hint="default" w:ascii="宋体" w:hAnsi="宋体" w:eastAsia="宋体" w:cs="宋体"/>
                <w:highlight w:val="none"/>
                <w:lang w:val="en-US" w:eastAsia="zh-CN"/>
              </w:rPr>
            </w:pPr>
            <w:r>
              <w:rPr>
                <w:rFonts w:hint="eastAsia" w:ascii="宋体" w:hAnsi="宋体" w:cs="宋体"/>
                <w:highlight w:val="none"/>
                <w:lang w:val="en-US" w:eastAsia="zh-CN"/>
              </w:rPr>
              <w:t>1</w:t>
            </w:r>
          </w:p>
        </w:tc>
        <w:tc>
          <w:tcPr>
            <w:tcW w:w="645" w:type="dxa"/>
            <w:vAlign w:val="center"/>
          </w:tcPr>
          <w:p w14:paraId="3D1FAB08">
            <w:pPr>
              <w:spacing w:line="400" w:lineRule="exact"/>
              <w:jc w:val="center"/>
              <w:rPr>
                <w:rFonts w:hint="eastAsia" w:ascii="宋体" w:hAnsi="宋体" w:eastAsia="宋体" w:cs="宋体"/>
                <w:highlight w:val="none"/>
                <w:lang w:eastAsia="zh-CN"/>
              </w:rPr>
            </w:pPr>
            <w:r>
              <w:rPr>
                <w:rFonts w:hint="eastAsia" w:ascii="宋体" w:hAnsi="宋体" w:cs="宋体"/>
                <w:highlight w:val="none"/>
                <w:lang w:val="en-US" w:eastAsia="zh-CN"/>
              </w:rPr>
              <w:t>项</w:t>
            </w:r>
          </w:p>
        </w:tc>
        <w:tc>
          <w:tcPr>
            <w:tcW w:w="1665" w:type="dxa"/>
            <w:vAlign w:val="center"/>
          </w:tcPr>
          <w:p w14:paraId="4513AE10">
            <w:pPr>
              <w:spacing w:line="400" w:lineRule="exact"/>
              <w:jc w:val="center"/>
              <w:rPr>
                <w:rFonts w:hint="default" w:ascii="宋体" w:hAnsi="宋体" w:eastAsia="宋体" w:cs="宋体"/>
                <w:highlight w:val="none"/>
                <w:lang w:val="en-US" w:eastAsia="zh-CN"/>
              </w:rPr>
            </w:pPr>
            <w:r>
              <w:rPr>
                <w:rFonts w:hint="default" w:ascii="宋体" w:hAnsi="宋体" w:eastAsia="宋体" w:cs="宋体"/>
                <w:highlight w:val="none"/>
                <w:lang w:val="en-US" w:eastAsia="zh-CN"/>
              </w:rPr>
              <w:t>344000</w:t>
            </w:r>
          </w:p>
        </w:tc>
        <w:tc>
          <w:tcPr>
            <w:tcW w:w="2838" w:type="dxa"/>
            <w:vAlign w:val="center"/>
          </w:tcPr>
          <w:p w14:paraId="14EF00D2">
            <w:pPr>
              <w:spacing w:line="400" w:lineRule="exact"/>
              <w:jc w:val="both"/>
              <w:rPr>
                <w:rFonts w:hint="default" w:ascii="宋体" w:hAnsi="宋体" w:eastAsia="宋体" w:cs="宋体"/>
                <w:highlight w:val="none"/>
                <w:lang w:val="en-US" w:eastAsia="zh-CN"/>
              </w:rPr>
            </w:pPr>
            <w:r>
              <w:rPr>
                <w:rFonts w:hint="eastAsia" w:ascii="宋体" w:hAnsi="宋体" w:cs="宋体"/>
                <w:highlight w:val="none"/>
                <w:lang w:val="en-US" w:eastAsia="zh-CN"/>
              </w:rPr>
              <w:t>疗休养服务包括县内、省内、省外疗休养；线路待定（投标人初设县内五日游的线路以供参考，实际线路根据情况变更）</w:t>
            </w:r>
          </w:p>
        </w:tc>
      </w:tr>
      <w:tr w14:paraId="6898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446" w:type="dxa"/>
            <w:gridSpan w:val="7"/>
            <w:vAlign w:val="center"/>
          </w:tcPr>
          <w:p w14:paraId="29E316A2">
            <w:pPr>
              <w:spacing w:line="400" w:lineRule="exact"/>
              <w:jc w:val="left"/>
              <w:rPr>
                <w:rFonts w:hint="default" w:ascii="宋体" w:hAnsi="宋体" w:eastAsia="宋体" w:cs="宋体"/>
                <w:highlight w:val="none"/>
                <w:lang w:val="en-US" w:eastAsia="zh-CN"/>
              </w:rPr>
            </w:pPr>
            <w:r>
              <w:rPr>
                <w:rFonts w:hint="eastAsia" w:ascii="宋体" w:hAnsi="宋体" w:cs="宋体"/>
                <w:highlight w:val="none"/>
                <w:lang w:val="en-US" w:eastAsia="zh-CN"/>
              </w:rPr>
              <w:t>职工人数预计121人</w:t>
            </w:r>
            <w:r>
              <w:rPr>
                <w:rFonts w:hint="default" w:ascii="宋体" w:hAnsi="宋体" w:eastAsia="宋体" w:cs="宋体"/>
                <w:highlight w:val="none"/>
                <w:lang w:val="en-US" w:eastAsia="zh-CN"/>
              </w:rPr>
              <w:t>，</w:t>
            </w:r>
            <w:r>
              <w:rPr>
                <w:rFonts w:hint="eastAsia" w:ascii="宋体" w:hAnsi="宋体" w:cs="宋体"/>
                <w:highlight w:val="none"/>
                <w:lang w:val="en-US" w:eastAsia="zh-CN"/>
              </w:rPr>
              <w:t>其中编外人员19人，</w:t>
            </w:r>
            <w:r>
              <w:rPr>
                <w:rFonts w:hint="default" w:ascii="宋体" w:hAnsi="宋体" w:eastAsia="宋体" w:cs="宋体"/>
                <w:highlight w:val="none"/>
                <w:lang w:val="en-US" w:eastAsia="zh-CN"/>
              </w:rPr>
              <w:t>具体以实际出行人数为准；合同结算金额按照实际疗休养出行人数进行计算；如果实际出行人数不足，采购人不会给予任何补偿，供应商应当自行考虑由此产生的风险。</w:t>
            </w:r>
          </w:p>
        </w:tc>
      </w:tr>
    </w:tbl>
    <w:p w14:paraId="3CEA6543">
      <w:pPr>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rPr>
        <w:t>合同履行期限：</w:t>
      </w:r>
      <w:r>
        <w:rPr>
          <w:rFonts w:hint="eastAsia" w:ascii="宋体" w:hAnsi="宋体" w:cs="宋体"/>
          <w:highlight w:val="none"/>
          <w:lang w:val="en-US" w:eastAsia="zh-CN"/>
        </w:rPr>
        <w:t>自合同签订之日起至2025年12月30日。</w:t>
      </w:r>
    </w:p>
    <w:p w14:paraId="6EC5B6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w:t>
      </w:r>
      <w:r>
        <w:rPr>
          <w:rFonts w:hint="eastAsia" w:ascii="宋体" w:hAnsi="宋体" w:cs="宋体"/>
          <w:color w:val="auto"/>
          <w:highlight w:val="none"/>
          <w:lang w:val="en-US" w:eastAsia="zh-CN"/>
        </w:rPr>
        <w:t>目</w:t>
      </w:r>
      <w:r>
        <w:rPr>
          <w:rFonts w:hint="eastAsia" w:ascii="宋体" w:hAnsi="宋体" w:cs="宋体"/>
          <w:color w:val="auto"/>
          <w:highlight w:val="none"/>
        </w:rPr>
        <w:t>不接受联合体投标。</w:t>
      </w:r>
    </w:p>
    <w:p w14:paraId="45C91A7C">
      <w:pPr>
        <w:spacing w:line="400" w:lineRule="exact"/>
        <w:jc w:val="left"/>
        <w:rPr>
          <w:rFonts w:ascii="宋体" w:hAnsi="宋体" w:cs="宋体"/>
          <w:b/>
          <w:color w:val="auto"/>
          <w:highlight w:val="none"/>
        </w:rPr>
      </w:pPr>
      <w:bookmarkStart w:id="7" w:name="_Toc35393791"/>
      <w:bookmarkStart w:id="8" w:name="_Toc28359080"/>
      <w:bookmarkStart w:id="9" w:name="_Toc35393622"/>
      <w:bookmarkStart w:id="10" w:name="_Toc28359003"/>
      <w:r>
        <w:rPr>
          <w:rFonts w:hint="eastAsia" w:ascii="宋体" w:hAnsi="宋体" w:cs="宋体"/>
          <w:b/>
          <w:color w:val="auto"/>
          <w:highlight w:val="none"/>
        </w:rPr>
        <w:t>二、申请人的资格要求</w:t>
      </w:r>
      <w:bookmarkEnd w:id="7"/>
      <w:bookmarkEnd w:id="8"/>
      <w:bookmarkEnd w:id="9"/>
      <w:bookmarkEnd w:id="10"/>
    </w:p>
    <w:p w14:paraId="5299BA47">
      <w:pPr>
        <w:spacing w:line="400" w:lineRule="exact"/>
        <w:ind w:firstLine="420" w:firstLineChars="200"/>
        <w:rPr>
          <w:rFonts w:ascii="宋体" w:hAnsi="宋体" w:cs="宋体"/>
          <w:color w:val="auto"/>
          <w:highlight w:val="none"/>
        </w:rPr>
      </w:pPr>
      <w:bookmarkStart w:id="11" w:name="_Toc35393792"/>
      <w:bookmarkStart w:id="12" w:name="_Toc35393623"/>
      <w:bookmarkStart w:id="13" w:name="_Toc28359081"/>
      <w:bookmarkStart w:id="14" w:name="_Toc28359004"/>
      <w:r>
        <w:rPr>
          <w:rFonts w:hint="eastAsia" w:ascii="宋体" w:hAnsi="宋体" w:cs="宋体"/>
          <w:color w:val="auto"/>
          <w:highlight w:val="none"/>
        </w:rPr>
        <w:t>1.满足《中华人民共和国政府采购法》第二十二条规定；未被“信用中国”网站（</w:t>
      </w:r>
      <w:r>
        <w:rPr>
          <w:rFonts w:hint="eastAsia" w:ascii="宋体" w:hAnsi="宋体" w:cs="宋体"/>
          <w:color w:val="auto"/>
          <w:highlight w:val="none"/>
          <w:u w:val="single"/>
        </w:rPr>
        <w:t>www.creditchina.gov.cn</w:t>
      </w:r>
      <w:r>
        <w:rPr>
          <w:rFonts w:hint="eastAsia" w:ascii="宋体" w:hAnsi="宋体" w:cs="宋体"/>
          <w:color w:val="auto"/>
          <w:highlight w:val="none"/>
        </w:rPr>
        <w:t>）、中国政府采购网（</w:t>
      </w:r>
      <w:r>
        <w:rPr>
          <w:rFonts w:hint="eastAsia" w:ascii="宋体" w:hAnsi="宋体" w:cs="宋体"/>
          <w:color w:val="auto"/>
          <w:highlight w:val="none"/>
          <w:u w:val="single"/>
        </w:rPr>
        <w:t>www.ccgp.gov.cn</w:t>
      </w:r>
      <w:r>
        <w:rPr>
          <w:rFonts w:hint="eastAsia" w:ascii="宋体" w:hAnsi="宋体" w:cs="宋体"/>
          <w:color w:val="auto"/>
          <w:highlight w:val="none"/>
        </w:rPr>
        <w:t>）列入失信被执行人、重大税收违法当事人名单、政府采购严重违法失信行为记录名单。</w:t>
      </w:r>
    </w:p>
    <w:p w14:paraId="12263699">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2.落实政府采购政策需满足的资格要求：本项目属于专门面向中小企业采购的项目，投标人应为符合《政府采购促进中小企业发展管理办法》（财库﹝2020﹞46 号）规定的中小企业（其中，小微企业包括视同为小型、微型企业的监狱企业、残疾人福利性单位。） </w:t>
      </w:r>
    </w:p>
    <w:p w14:paraId="0A65F939">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3.本项目的特定资格要求：</w:t>
      </w:r>
      <w:r>
        <w:rPr>
          <w:rFonts w:hint="eastAsia" w:ascii="宋体" w:hAnsi="宋体" w:cs="宋体"/>
          <w:color w:val="auto"/>
          <w:highlight w:val="none"/>
          <w:lang w:val="en-US" w:eastAsia="zh-CN"/>
        </w:rPr>
        <w:t>具有《旅行社业务经营许可证》。</w:t>
      </w:r>
    </w:p>
    <w:bookmarkEnd w:id="11"/>
    <w:bookmarkEnd w:id="12"/>
    <w:bookmarkEnd w:id="13"/>
    <w:bookmarkEnd w:id="14"/>
    <w:p w14:paraId="6D553DA3">
      <w:pPr>
        <w:spacing w:line="400" w:lineRule="exact"/>
        <w:jc w:val="left"/>
        <w:rPr>
          <w:rFonts w:ascii="宋体" w:hAnsi="宋体" w:cs="宋体"/>
          <w:b/>
          <w:color w:val="auto"/>
          <w:highlight w:val="none"/>
        </w:rPr>
      </w:pPr>
      <w:r>
        <w:rPr>
          <w:rFonts w:hint="eastAsia" w:ascii="宋体" w:hAnsi="宋体" w:cs="宋体"/>
          <w:b/>
          <w:color w:val="auto"/>
          <w:highlight w:val="none"/>
        </w:rPr>
        <w:t>三、获取招标文件</w:t>
      </w:r>
    </w:p>
    <w:p w14:paraId="1AE939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 时间：发布公告之日至</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22</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color w:val="auto"/>
          <w:highlight w:val="none"/>
        </w:rPr>
        <w:t>，每天上午00:00至12:00，下午12:00至23:59（北京时间，线上获取法定节假日均可，线下获取文件法定节假日除外）</w:t>
      </w:r>
    </w:p>
    <w:p w14:paraId="7AF46D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 地点（网址）：政采云平台（https://www.zcygov.cn/） 。</w:t>
      </w:r>
    </w:p>
    <w:p w14:paraId="14C4DBE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 方式：供应商登录政采云平台https://www.zcygov.cn/在线申请获取采购文件（进入“项目采购”应用，在获取采购文件菜单中选择项目，申请获取采购文件）；</w:t>
      </w:r>
    </w:p>
    <w:p w14:paraId="25CE79C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 售价：0元</w:t>
      </w:r>
    </w:p>
    <w:p w14:paraId="08288C84">
      <w:pPr>
        <w:spacing w:line="400" w:lineRule="exact"/>
        <w:rPr>
          <w:rFonts w:ascii="宋体" w:hAnsi="宋体" w:cs="宋体"/>
          <w:b/>
          <w:color w:val="auto"/>
          <w:highlight w:val="none"/>
        </w:rPr>
      </w:pPr>
      <w:bookmarkStart w:id="15" w:name="_Toc28359084"/>
      <w:bookmarkStart w:id="16" w:name="_Toc35393625"/>
      <w:bookmarkStart w:id="17" w:name="_Toc28359007"/>
      <w:bookmarkStart w:id="18" w:name="_Toc35393794"/>
      <w:r>
        <w:rPr>
          <w:rFonts w:hint="eastAsia" w:ascii="宋体" w:hAnsi="宋体" w:cs="宋体"/>
          <w:b/>
          <w:color w:val="auto"/>
          <w:highlight w:val="none"/>
        </w:rPr>
        <w:t>四、提交投标文件截止时间、开标时间和地点</w:t>
      </w:r>
    </w:p>
    <w:p w14:paraId="5C45C7B4">
      <w:pPr>
        <w:spacing w:line="400" w:lineRule="exact"/>
        <w:ind w:firstLine="420" w:firstLineChars="200"/>
        <w:rPr>
          <w:rFonts w:ascii="宋体" w:hAnsi="宋体" w:cs="宋体"/>
          <w:bCs/>
          <w:color w:val="auto"/>
          <w:highlight w:val="none"/>
          <w:u w:val="single"/>
        </w:rPr>
      </w:pPr>
      <w:r>
        <w:rPr>
          <w:rFonts w:hint="eastAsia" w:ascii="宋体" w:hAnsi="宋体" w:cs="宋体"/>
          <w:bCs/>
          <w:color w:val="auto"/>
          <w:highlight w:val="none"/>
        </w:rPr>
        <w:t>提交投标文件截止时间：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22</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日 </w:t>
      </w:r>
      <w:r>
        <w:rPr>
          <w:rFonts w:hint="eastAsia" w:ascii="宋体" w:hAnsi="宋体" w:cs="宋体"/>
          <w:bCs/>
          <w:snapToGrid w:val="0"/>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4049198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投标地点（网址）：政采云平台（https://www.zcygov.cn/） </w:t>
      </w:r>
    </w:p>
    <w:p w14:paraId="50B46AB9">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开标时间：</w:t>
      </w:r>
      <w:r>
        <w:rPr>
          <w:rFonts w:hint="eastAsia" w:ascii="宋体" w:hAnsi="宋体" w:cs="宋体"/>
          <w:bCs/>
          <w:snapToGrid w:val="0"/>
          <w:color w:val="auto"/>
          <w:highlight w:val="none"/>
          <w:u w:val="single"/>
          <w:lang w:val="en-US" w:eastAsia="zh-CN"/>
        </w:rPr>
        <w:t xml:space="preserve"> 2025 </w:t>
      </w:r>
      <w:r>
        <w:rPr>
          <w:rFonts w:hint="eastAsia" w:ascii="宋体" w:hAnsi="宋体" w:cs="宋体"/>
          <w:bCs/>
          <w:color w:val="auto"/>
          <w:highlight w:val="none"/>
        </w:rPr>
        <w:t>年</w:t>
      </w:r>
      <w:r>
        <w:rPr>
          <w:rFonts w:hint="eastAsia" w:ascii="宋体" w:hAnsi="宋体" w:cs="宋体"/>
          <w:bCs/>
          <w:snapToGrid w:val="0"/>
          <w:color w:val="auto"/>
          <w:highlight w:val="none"/>
          <w:u w:val="single"/>
        </w:rPr>
        <w:t xml:space="preserve"> </w:t>
      </w:r>
      <w:r>
        <w:rPr>
          <w:rFonts w:hint="eastAsia" w:ascii="宋体" w:hAnsi="宋体" w:cs="宋体"/>
          <w:bCs/>
          <w:snapToGrid w:val="0"/>
          <w:color w:val="auto"/>
          <w:highlight w:val="none"/>
          <w:u w:val="single"/>
          <w:lang w:val="en-US" w:eastAsia="zh-CN"/>
        </w:rPr>
        <w:t>7</w:t>
      </w:r>
      <w:r>
        <w:rPr>
          <w:rFonts w:hint="eastAsia" w:ascii="宋体" w:hAnsi="宋体" w:cs="宋体"/>
          <w:bCs/>
          <w:snapToGrid w:val="0"/>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val="en-US" w:eastAsia="zh-CN"/>
        </w:rPr>
        <w:t>22</w:t>
      </w:r>
      <w:r>
        <w:rPr>
          <w:rFonts w:hint="eastAsia" w:ascii="宋体" w:hAnsi="宋体" w:cs="宋体"/>
          <w:bCs/>
          <w:color w:val="auto"/>
          <w:highlight w:val="none"/>
          <w:u w:val="single"/>
        </w:rPr>
        <w:t xml:space="preserve"> </w:t>
      </w:r>
      <w:r>
        <w:rPr>
          <w:rFonts w:hint="eastAsia" w:ascii="宋体" w:hAnsi="宋体" w:cs="宋体"/>
          <w:bCs/>
          <w:color w:val="auto"/>
          <w:highlight w:val="none"/>
        </w:rPr>
        <w:t>日</w:t>
      </w:r>
      <w:r>
        <w:rPr>
          <w:rFonts w:hint="eastAsia" w:ascii="宋体" w:hAnsi="宋体" w:cs="宋体"/>
          <w:bCs/>
          <w:color w:val="auto"/>
          <w:highlight w:val="none"/>
          <w:u w:val="single"/>
          <w:lang w:val="en-US" w:eastAsia="zh-CN"/>
        </w:rPr>
        <w:t>9</w:t>
      </w:r>
      <w:r>
        <w:rPr>
          <w:rFonts w:hint="eastAsia" w:ascii="宋体" w:hAnsi="宋体" w:cs="宋体"/>
          <w:bCs/>
          <w:snapToGrid w:val="0"/>
          <w:color w:val="auto"/>
          <w:highlight w:val="none"/>
          <w:u w:val="single"/>
        </w:rPr>
        <w:t>:30</w:t>
      </w:r>
      <w:r>
        <w:rPr>
          <w:rFonts w:hint="eastAsia" w:ascii="宋体" w:hAnsi="宋体" w:cs="宋体"/>
          <w:bCs/>
          <w:color w:val="auto"/>
          <w:highlight w:val="none"/>
        </w:rPr>
        <w:t>（北京时间）</w:t>
      </w:r>
    </w:p>
    <w:p w14:paraId="29D85606">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开标地点（网址）：</w:t>
      </w:r>
      <w:r>
        <w:rPr>
          <w:rFonts w:hint="eastAsia" w:ascii="宋体" w:hAnsi="宋体" w:cs="宋体"/>
          <w:color w:val="auto"/>
          <w:highlight w:val="none"/>
        </w:rPr>
        <w:t xml:space="preserve">政采云平台（https://www.zcygov.cn/） </w:t>
      </w:r>
    </w:p>
    <w:p w14:paraId="68FC2BFC">
      <w:pPr>
        <w:spacing w:line="400" w:lineRule="exact"/>
        <w:jc w:val="left"/>
        <w:rPr>
          <w:rFonts w:ascii="宋体" w:hAnsi="宋体" w:cs="宋体"/>
          <w:b/>
          <w:color w:val="auto"/>
          <w:highlight w:val="none"/>
        </w:rPr>
      </w:pPr>
      <w:r>
        <w:rPr>
          <w:rFonts w:hint="eastAsia" w:ascii="宋体" w:hAnsi="宋体" w:cs="宋体"/>
          <w:b/>
          <w:color w:val="auto"/>
          <w:highlight w:val="none"/>
        </w:rPr>
        <w:t>五、公告期限</w:t>
      </w:r>
      <w:bookmarkEnd w:id="15"/>
      <w:bookmarkEnd w:id="16"/>
      <w:bookmarkEnd w:id="17"/>
      <w:bookmarkEnd w:id="18"/>
    </w:p>
    <w:p w14:paraId="76F6D4DE">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自本公告发布之日起5个工作日。</w:t>
      </w:r>
    </w:p>
    <w:p w14:paraId="46120F45">
      <w:pPr>
        <w:spacing w:line="400" w:lineRule="exact"/>
        <w:jc w:val="left"/>
        <w:rPr>
          <w:rFonts w:ascii="宋体" w:hAnsi="宋体" w:cs="宋体"/>
          <w:b/>
          <w:color w:val="auto"/>
          <w:highlight w:val="none"/>
        </w:rPr>
      </w:pPr>
      <w:bookmarkStart w:id="19" w:name="_Toc35393626"/>
      <w:bookmarkStart w:id="20" w:name="_Toc35393795"/>
      <w:r>
        <w:rPr>
          <w:rFonts w:hint="eastAsia" w:ascii="宋体" w:hAnsi="宋体" w:cs="宋体"/>
          <w:b/>
          <w:color w:val="auto"/>
          <w:highlight w:val="none"/>
        </w:rPr>
        <w:t>六、其他补充事宜</w:t>
      </w:r>
      <w:bookmarkEnd w:id="19"/>
      <w:bookmarkEnd w:id="20"/>
    </w:p>
    <w:p w14:paraId="36DA0A89">
      <w:pPr>
        <w:spacing w:line="400" w:lineRule="exact"/>
        <w:ind w:firstLine="420" w:firstLineChars="200"/>
        <w:rPr>
          <w:rFonts w:hint="eastAsia" w:ascii="宋体" w:hAnsi="宋体" w:eastAsia="宋体" w:cs="宋体"/>
          <w:color w:val="auto"/>
          <w:highlight w:val="none"/>
        </w:rPr>
      </w:pPr>
      <w:bookmarkStart w:id="21" w:name="_Toc28359008"/>
      <w:bookmarkStart w:id="22" w:name="_Toc28359085"/>
      <w:bookmarkStart w:id="23" w:name="_Toc35393796"/>
      <w:bookmarkStart w:id="24" w:name="_Toc35393627"/>
      <w:r>
        <w:rPr>
          <w:rFonts w:hint="eastAsia" w:ascii="宋体" w:hAnsi="宋体" w:cs="宋体"/>
          <w:color w:val="auto"/>
          <w:highlight w:val="none"/>
          <w:lang w:val="en-US" w:eastAsia="zh-CN"/>
        </w:rPr>
        <w:t>1.</w:t>
      </w:r>
      <w:r>
        <w:rPr>
          <w:rFonts w:hint="eastAsia" w:ascii="宋体" w:hAnsi="宋体" w:eastAsia="宋体" w:cs="宋体"/>
          <w:color w:val="auto"/>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0275B6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4D4C91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10C44A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4.其他事项：无</w:t>
      </w:r>
    </w:p>
    <w:p w14:paraId="64D902ED">
      <w:pPr>
        <w:spacing w:line="400" w:lineRule="exact"/>
        <w:jc w:val="left"/>
        <w:rPr>
          <w:rFonts w:ascii="宋体" w:hAnsi="宋体" w:cs="宋体"/>
          <w:b/>
          <w:color w:val="auto"/>
          <w:highlight w:val="none"/>
        </w:rPr>
      </w:pPr>
      <w:r>
        <w:rPr>
          <w:rFonts w:hint="eastAsia" w:ascii="宋体" w:hAnsi="宋体" w:cs="宋体"/>
          <w:b/>
          <w:color w:val="auto"/>
          <w:highlight w:val="none"/>
        </w:rPr>
        <w:t>七、</w:t>
      </w:r>
      <w:bookmarkEnd w:id="21"/>
      <w:bookmarkEnd w:id="22"/>
      <w:bookmarkEnd w:id="23"/>
      <w:bookmarkEnd w:id="24"/>
      <w:r>
        <w:rPr>
          <w:rFonts w:hint="eastAsia" w:ascii="宋体" w:hAnsi="宋体" w:cs="宋体"/>
          <w:b/>
          <w:bCs/>
          <w:color w:val="auto"/>
          <w:highlight w:val="none"/>
        </w:rPr>
        <w:t>对本次招标提出询问、质疑、投诉，请按以下方式联系</w:t>
      </w:r>
    </w:p>
    <w:bookmarkEnd w:id="6"/>
    <w:p w14:paraId="5B50AACA">
      <w:pPr>
        <w:adjustRightInd w:val="0"/>
        <w:spacing w:line="400" w:lineRule="exact"/>
        <w:rPr>
          <w:rFonts w:ascii="宋体" w:hAnsi="宋体" w:cs="宋体"/>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highlight w:val="none"/>
        </w:rPr>
        <w:t>1.采购人信息</w:t>
      </w:r>
    </w:p>
    <w:p w14:paraId="17BCA96D">
      <w:pPr>
        <w:adjustRightInd w:val="0"/>
        <w:spacing w:line="400" w:lineRule="exact"/>
        <w:ind w:firstLine="420" w:firstLineChars="200"/>
        <w:jc w:val="left"/>
        <w:rPr>
          <w:rFonts w:hint="eastAsia" w:ascii="宋体" w:hAnsi="宋体" w:eastAsia="宋体" w:cs="宋体"/>
          <w:color w:val="auto"/>
          <w:highlight w:val="none"/>
          <w:lang w:val="zh-TW" w:eastAsia="zh-CN"/>
        </w:rPr>
      </w:pPr>
      <w:r>
        <w:rPr>
          <w:rFonts w:hint="eastAsia" w:ascii="宋体" w:hAnsi="宋体" w:cs="宋体"/>
          <w:color w:val="auto"/>
          <w:highlight w:val="none"/>
          <w:lang w:val="zh-TW" w:eastAsia="zh-TW"/>
        </w:rPr>
        <w:t>名</w:t>
      </w:r>
      <w:r>
        <w:rPr>
          <w:rFonts w:hint="eastAsia" w:ascii="宋体" w:hAnsi="宋体" w:cs="宋体"/>
          <w:color w:val="auto"/>
          <w:highlight w:val="none"/>
          <w:lang w:val="zh-TW"/>
        </w:rPr>
        <w:t xml:space="preserve"> </w:t>
      </w:r>
      <w:r>
        <w:rPr>
          <w:rFonts w:hint="eastAsia" w:ascii="宋体" w:hAnsi="宋体" w:cs="宋体"/>
          <w:color w:val="auto"/>
          <w:highlight w:val="none"/>
          <w:lang w:val="zh-TW" w:eastAsia="zh-TW"/>
        </w:rPr>
        <w:t xml:space="preserve">  称：</w:t>
      </w:r>
      <w:r>
        <w:rPr>
          <w:rFonts w:hint="eastAsia" w:ascii="宋体" w:hAnsi="宋体" w:cs="宋体"/>
          <w:color w:val="auto"/>
          <w:highlight w:val="none"/>
          <w:lang w:val="zh-TW" w:eastAsia="zh-CN"/>
        </w:rPr>
        <w:t>新昌幼儿园</w:t>
      </w:r>
    </w:p>
    <w:p w14:paraId="1BFA4400">
      <w:pPr>
        <w:adjustRightInd w:val="0"/>
        <w:spacing w:line="400" w:lineRule="exact"/>
        <w:ind w:firstLine="420" w:firstLineChars="200"/>
        <w:rPr>
          <w:rFonts w:hint="eastAsia" w:ascii="宋体" w:hAnsi="宋体" w:eastAsia="宋体" w:cs="宋体"/>
          <w:color w:val="auto"/>
          <w:highlight w:val="none"/>
          <w:lang w:val="zh-TW" w:eastAsia="zh-CN"/>
        </w:rPr>
      </w:pPr>
      <w:r>
        <w:rPr>
          <w:rFonts w:hint="eastAsia" w:ascii="宋体" w:hAnsi="宋体" w:cs="宋体"/>
          <w:color w:val="auto"/>
          <w:highlight w:val="none"/>
          <w:lang w:val="zh-TW"/>
        </w:rPr>
        <w:t xml:space="preserve">地 </w:t>
      </w:r>
      <w:r>
        <w:rPr>
          <w:rFonts w:hint="eastAsia" w:ascii="宋体" w:hAnsi="宋体" w:cs="宋体"/>
          <w:color w:val="auto"/>
          <w:highlight w:val="none"/>
          <w:lang w:val="zh-TW" w:eastAsia="zh-TW"/>
        </w:rPr>
        <w:t xml:space="preserve">  </w:t>
      </w:r>
      <w:r>
        <w:rPr>
          <w:rFonts w:hint="eastAsia" w:ascii="宋体" w:hAnsi="宋体" w:cs="宋体"/>
          <w:color w:val="auto"/>
          <w:highlight w:val="none"/>
          <w:lang w:val="zh-TW"/>
        </w:rPr>
        <w:t>址：</w:t>
      </w:r>
      <w:r>
        <w:rPr>
          <w:rFonts w:hint="eastAsia" w:ascii="宋体" w:hAnsi="宋体" w:cs="宋体"/>
          <w:color w:val="000000"/>
          <w:highlight w:val="none"/>
          <w:lang w:val="zh-TW"/>
        </w:rPr>
        <w:t>新昌县学苑路1号</w:t>
      </w:r>
    </w:p>
    <w:p w14:paraId="75F257F4">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项目联系人（询问）：</w:t>
      </w:r>
      <w:r>
        <w:rPr>
          <w:rFonts w:hint="eastAsia" w:ascii="宋体" w:hAnsi="宋体" w:cs="宋体"/>
          <w:color w:val="000000"/>
          <w:highlight w:val="none"/>
          <w:lang w:val="en-US" w:eastAsia="zh-CN"/>
        </w:rPr>
        <w:t>王老师</w:t>
      </w:r>
    </w:p>
    <w:p w14:paraId="200E092A">
      <w:pPr>
        <w:adjustRightInd w:val="0"/>
        <w:spacing w:line="40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lang w:val="zh-TW" w:eastAsia="zh-TW"/>
        </w:rPr>
        <w:t>项目联系方式（询问）：</w:t>
      </w:r>
      <w:r>
        <w:rPr>
          <w:rFonts w:hint="eastAsia" w:ascii="宋体" w:hAnsi="宋体" w:cs="宋体"/>
          <w:color w:val="000000"/>
          <w:highlight w:val="none"/>
          <w:lang w:val="zh-TW" w:eastAsia="zh-TW"/>
        </w:rPr>
        <w:t>0575-86332999</w:t>
      </w:r>
    </w:p>
    <w:p w14:paraId="701498F2">
      <w:pPr>
        <w:adjustRightInd w:val="0"/>
        <w:spacing w:line="400" w:lineRule="exact"/>
        <w:ind w:firstLine="420" w:firstLineChars="200"/>
        <w:rPr>
          <w:rFonts w:hint="default" w:ascii="宋体" w:hAnsi="宋体" w:cs="宋体"/>
          <w:color w:val="auto"/>
          <w:highlight w:val="none"/>
          <w:lang w:val="en-US"/>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zh-TW" w:eastAsia="zh-CN"/>
        </w:rPr>
        <w:t>：</w:t>
      </w:r>
      <w:r>
        <w:rPr>
          <w:rFonts w:hint="eastAsia" w:ascii="宋体" w:hAnsi="宋体" w:cs="宋体"/>
          <w:color w:val="auto"/>
          <w:highlight w:val="none"/>
          <w:lang w:val="en-US" w:eastAsia="zh-CN"/>
        </w:rPr>
        <w:t>陈老师</w:t>
      </w:r>
    </w:p>
    <w:p w14:paraId="26146A99">
      <w:pPr>
        <w:adjustRightIn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zh-TW" w:eastAsia="zh-TW"/>
        </w:rPr>
        <w:t>质疑联系方式 ：0575-86339985</w:t>
      </w:r>
    </w:p>
    <w:p w14:paraId="63359B0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2.采购代理机构信息            </w:t>
      </w:r>
    </w:p>
    <w:p w14:paraId="63474D8F">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名 称：</w:t>
      </w:r>
      <w:r>
        <w:rPr>
          <w:rFonts w:hint="eastAsia" w:ascii="宋体" w:hAnsi="宋体" w:cs="宋体"/>
          <w:color w:val="auto"/>
          <w:highlight w:val="none"/>
          <w:lang w:val="zh-TW" w:eastAsia="zh-CN"/>
        </w:rPr>
        <w:t>新昌县同启项目管理有限公司</w:t>
      </w:r>
      <w:r>
        <w:rPr>
          <w:rFonts w:hint="eastAsia" w:ascii="宋体" w:hAnsi="宋体" w:cs="宋体"/>
          <w:color w:val="auto"/>
          <w:highlight w:val="none"/>
          <w:lang w:val="zh-TW" w:eastAsia="zh-TW"/>
        </w:rPr>
        <w:t> 　　　　　　　　　　　</w:t>
      </w:r>
    </w:p>
    <w:p w14:paraId="7DCA5756">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地 址：</w:t>
      </w:r>
      <w:r>
        <w:rPr>
          <w:rFonts w:hint="eastAsia" w:ascii="宋体" w:hAnsi="宋体" w:cs="宋体"/>
          <w:color w:val="auto"/>
          <w:highlight w:val="none"/>
          <w:lang w:val="zh-TW"/>
        </w:rPr>
        <w:t>新昌县七星街道文锦东苑体育场路</w:t>
      </w:r>
      <w:r>
        <w:rPr>
          <w:rFonts w:hint="eastAsia" w:ascii="宋体" w:hAnsi="宋体" w:cs="宋体"/>
          <w:color w:val="auto"/>
          <w:highlight w:val="none"/>
        </w:rPr>
        <w:t>98号</w:t>
      </w:r>
      <w:r>
        <w:rPr>
          <w:rFonts w:hint="eastAsia" w:ascii="宋体" w:hAnsi="宋体" w:cs="宋体"/>
          <w:color w:val="auto"/>
          <w:highlight w:val="none"/>
          <w:lang w:val="zh-TW" w:eastAsia="zh-TW"/>
        </w:rPr>
        <w:t xml:space="preserve">  　   　</w:t>
      </w:r>
    </w:p>
    <w:p w14:paraId="3ACC9977">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项目联系人（询问）：</w:t>
      </w:r>
      <w:r>
        <w:rPr>
          <w:rFonts w:hint="eastAsia" w:ascii="宋体" w:hAnsi="宋体" w:cs="宋体"/>
          <w:color w:val="auto"/>
          <w:highlight w:val="none"/>
          <w:lang w:val="en-US" w:eastAsia="zh-CN"/>
        </w:rPr>
        <w:t>叶</w:t>
      </w:r>
      <w:r>
        <w:rPr>
          <w:rFonts w:hint="eastAsia" w:ascii="宋体" w:hAnsi="宋体" w:cs="宋体"/>
          <w:color w:val="auto"/>
          <w:highlight w:val="none"/>
        </w:rPr>
        <w:t>女士</w:t>
      </w:r>
    </w:p>
    <w:p w14:paraId="3CA500E5">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lang w:val="zh-TW" w:eastAsia="zh-TW"/>
        </w:rPr>
        <w:t>项目联系方式（询问）：0575-86</w:t>
      </w:r>
      <w:r>
        <w:rPr>
          <w:rFonts w:hint="eastAsia" w:ascii="宋体" w:hAnsi="宋体" w:cs="宋体"/>
          <w:color w:val="auto"/>
          <w:highlight w:val="none"/>
        </w:rPr>
        <w:t>660697</w:t>
      </w:r>
    </w:p>
    <w:p w14:paraId="2868AAD5">
      <w:pPr>
        <w:adjustRightInd w:val="0"/>
        <w:spacing w:line="400" w:lineRule="exact"/>
        <w:ind w:firstLine="420" w:firstLineChars="200"/>
        <w:rPr>
          <w:rFonts w:ascii="宋体" w:hAnsi="宋体" w:cs="宋体"/>
          <w:color w:val="auto"/>
          <w:highlight w:val="none"/>
          <w:lang w:val="zh-TW" w:eastAsia="zh-TW"/>
        </w:rPr>
      </w:pPr>
      <w:r>
        <w:rPr>
          <w:rFonts w:hint="eastAsia" w:ascii="宋体" w:hAnsi="宋体" w:cs="宋体"/>
          <w:color w:val="auto"/>
          <w:highlight w:val="none"/>
          <w:lang w:val="zh-TW" w:eastAsia="zh-TW"/>
        </w:rPr>
        <w:t>质疑联系人：</w:t>
      </w:r>
      <w:r>
        <w:rPr>
          <w:rFonts w:hint="eastAsia" w:ascii="宋体" w:hAnsi="宋体" w:cs="宋体"/>
          <w:color w:val="auto"/>
          <w:highlight w:val="none"/>
          <w:lang w:val="en-US" w:eastAsia="zh-CN"/>
        </w:rPr>
        <w:t>杨</w:t>
      </w:r>
      <w:r>
        <w:rPr>
          <w:rFonts w:hint="eastAsia" w:ascii="宋体" w:hAnsi="宋体" w:cs="宋体"/>
          <w:color w:val="auto"/>
          <w:highlight w:val="none"/>
        </w:rPr>
        <w:t>女士</w:t>
      </w:r>
    </w:p>
    <w:p w14:paraId="65BE104F">
      <w:pPr>
        <w:adjustRightInd w:val="0"/>
        <w:spacing w:line="400" w:lineRule="exact"/>
        <w:ind w:firstLine="420" w:firstLineChars="200"/>
        <w:rPr>
          <w:rFonts w:ascii="宋体" w:hAnsi="宋体" w:cs="宋体"/>
          <w:color w:val="auto"/>
          <w:highlight w:val="none"/>
          <w:lang w:val="zh-TW"/>
        </w:rPr>
      </w:pPr>
      <w:r>
        <w:rPr>
          <w:rFonts w:hint="eastAsia" w:ascii="宋体" w:hAnsi="宋体" w:cs="宋体"/>
          <w:color w:val="auto"/>
          <w:highlight w:val="none"/>
          <w:lang w:val="zh-TW" w:eastAsia="zh-TW"/>
        </w:rPr>
        <w:t>质疑联系方式：0575-86</w:t>
      </w:r>
      <w:r>
        <w:rPr>
          <w:rFonts w:hint="eastAsia" w:ascii="宋体" w:hAnsi="宋体" w:cs="宋体"/>
          <w:color w:val="auto"/>
          <w:highlight w:val="none"/>
        </w:rPr>
        <w:t>660697</w:t>
      </w:r>
    </w:p>
    <w:p w14:paraId="25C2508F">
      <w:pPr>
        <w:adjustRightInd w:val="0"/>
        <w:spacing w:line="400" w:lineRule="exact"/>
        <w:rPr>
          <w:rFonts w:ascii="宋体" w:hAnsi="宋体" w:cs="宋体"/>
          <w:color w:val="auto"/>
          <w:highlight w:val="none"/>
        </w:rPr>
      </w:pPr>
      <w:r>
        <w:rPr>
          <w:rFonts w:hint="eastAsia" w:ascii="宋体" w:hAnsi="宋体" w:cs="宋体"/>
          <w:color w:val="auto"/>
          <w:highlight w:val="none"/>
        </w:rPr>
        <w:t xml:space="preserve">    3.同级政府采购监督管理部门            </w:t>
      </w:r>
    </w:p>
    <w:p w14:paraId="1FBA57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名  称：新昌县财政局政府采购监管科        </w:t>
      </w:r>
    </w:p>
    <w:p w14:paraId="6A40CE9C">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地  址：新昌县鼓山中路118号           </w:t>
      </w:r>
    </w:p>
    <w:p w14:paraId="3F0E61F1">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传  真：/            </w:t>
      </w:r>
    </w:p>
    <w:p w14:paraId="53D9DA2E">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联系人：任先生             </w:t>
      </w:r>
    </w:p>
    <w:p w14:paraId="7283BADB">
      <w:pPr>
        <w:adjustRightInd w:val="0"/>
        <w:spacing w:line="400" w:lineRule="exact"/>
        <w:ind w:firstLine="420" w:firstLineChars="200"/>
        <w:rPr>
          <w:rFonts w:ascii="宋体" w:hAnsi="宋体" w:cs="宋体"/>
          <w:color w:val="auto"/>
          <w:sz w:val="24"/>
          <w:szCs w:val="24"/>
          <w:highlight w:val="none"/>
        </w:rPr>
      </w:pPr>
      <w:r>
        <w:rPr>
          <w:rFonts w:hint="eastAsia" w:ascii="宋体" w:hAnsi="宋体" w:cs="宋体"/>
          <w:color w:val="auto"/>
          <w:highlight w:val="none"/>
        </w:rPr>
        <w:t>监督投诉电话：0575-86621309 </w:t>
      </w:r>
      <w:r>
        <w:rPr>
          <w:rFonts w:hint="eastAsia" w:ascii="宋体" w:hAnsi="宋体" w:cs="宋体"/>
          <w:color w:val="auto"/>
          <w:sz w:val="24"/>
          <w:szCs w:val="24"/>
          <w:highlight w:val="none"/>
        </w:rPr>
        <w:t xml:space="preserve"> </w:t>
      </w:r>
    </w:p>
    <w:p w14:paraId="2C50B8ED">
      <w:pPr>
        <w:adjustRightIn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8252726">
      <w:pPr>
        <w:adjustRightIn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若对项目采购电子交易系统操作有疑问，可登录政采云，点击右侧咨询小采，获取采小蜜智能服务管家帮助，或拨打政采云服务热线95763获取热线服务帮助。</w:t>
      </w:r>
    </w:p>
    <w:p w14:paraId="53B6C19B">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CA问题联系电话（人工）：汇信CA 400-888-4636；天谷CA 400-087-8198。       </w:t>
      </w:r>
      <w:bookmarkStart w:id="25" w:name="_Toc43498218"/>
    </w:p>
    <w:p w14:paraId="20681AD6">
      <w:pPr>
        <w:jc w:val="left"/>
        <w:rPr>
          <w:rFonts w:ascii="宋体" w:hAnsi="宋体" w:cs="宋体"/>
          <w:b/>
          <w:bCs/>
          <w:color w:val="auto"/>
          <w:highlight w:val="none"/>
        </w:rPr>
      </w:pPr>
      <w:r>
        <w:rPr>
          <w:rFonts w:hint="eastAsia" w:ascii="宋体" w:hAnsi="宋体" w:cs="宋体"/>
          <w:b/>
          <w:bCs/>
          <w:color w:val="auto"/>
          <w:highlight w:val="none"/>
        </w:rPr>
        <w:br w:type="page"/>
      </w:r>
    </w:p>
    <w:p w14:paraId="46F7B70D">
      <w:pPr>
        <w:snapToGrid w:val="0"/>
        <w:spacing w:line="4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第二部分  投标人须知</w:t>
      </w:r>
      <w:bookmarkEnd w:id="25"/>
    </w:p>
    <w:p w14:paraId="6DD72A05">
      <w:pPr>
        <w:pStyle w:val="5"/>
        <w:spacing w:after="0" w:line="400" w:lineRule="exact"/>
        <w:ind w:firstLine="643"/>
        <w:jc w:val="center"/>
        <w:rPr>
          <w:rFonts w:ascii="宋体" w:hAnsi="宋体" w:eastAsia="宋体" w:cs="宋体"/>
          <w:color w:val="auto"/>
          <w:sz w:val="32"/>
          <w:szCs w:val="32"/>
          <w:highlight w:val="none"/>
        </w:rPr>
      </w:pPr>
      <w:bookmarkStart w:id="26" w:name="_Toc43498219"/>
      <w:r>
        <w:rPr>
          <w:rFonts w:hint="eastAsia" w:ascii="宋体" w:hAnsi="宋体" w:eastAsia="宋体" w:cs="宋体"/>
          <w:color w:val="auto"/>
          <w:sz w:val="32"/>
          <w:szCs w:val="32"/>
          <w:highlight w:val="none"/>
        </w:rPr>
        <w:t>前附表</w:t>
      </w:r>
      <w:bookmarkEnd w:id="26"/>
    </w:p>
    <w:tbl>
      <w:tblPr>
        <w:tblStyle w:val="50"/>
        <w:tblW w:w="8791"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095"/>
      </w:tblGrid>
      <w:tr w14:paraId="3FAE8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232D8E1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66DD6E47">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579E8D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本项目的特别规定</w:t>
            </w:r>
          </w:p>
        </w:tc>
      </w:tr>
      <w:tr w14:paraId="675AD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2527940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1</w:t>
            </w:r>
          </w:p>
        </w:tc>
        <w:tc>
          <w:tcPr>
            <w:tcW w:w="1991" w:type="dxa"/>
            <w:tcBorders>
              <w:top w:val="single" w:color="000000" w:sz="8" w:space="0"/>
              <w:left w:val="single" w:color="auto" w:sz="4" w:space="0"/>
              <w:bottom w:val="single" w:color="000000" w:sz="8" w:space="0"/>
              <w:right w:val="single" w:color="000000" w:sz="8" w:space="0"/>
            </w:tcBorders>
            <w:vAlign w:val="center"/>
          </w:tcPr>
          <w:p w14:paraId="7413E57F">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7C773DA">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有关本项目实施所需的所有费用</w:t>
            </w:r>
            <w:r>
              <w:rPr>
                <w:rFonts w:hint="eastAsia" w:ascii="宋体" w:hAnsi="宋体" w:cs="宋体"/>
                <w:bCs/>
                <w:color w:val="auto"/>
                <w:kern w:val="0"/>
                <w:highlight w:val="none"/>
                <w:u w:val="single"/>
                <w:lang w:val="zh-CN"/>
              </w:rPr>
              <w:t>（应考虑完成本项目全部内容可能发生的各项费用，包括但不限于提供服务所需的一切人员工资、</w:t>
            </w:r>
            <w:r>
              <w:rPr>
                <w:rFonts w:hint="eastAsia" w:ascii="宋体" w:hAnsi="宋体" w:cs="宋体"/>
                <w:bCs/>
                <w:color w:val="auto"/>
                <w:kern w:val="0"/>
                <w:highlight w:val="none"/>
                <w:u w:val="single"/>
                <w:lang w:val="zh-CN" w:eastAsia="zh-CN"/>
              </w:rPr>
              <w:t>福利、</w:t>
            </w:r>
            <w:r>
              <w:rPr>
                <w:rFonts w:hint="eastAsia" w:ascii="宋体" w:hAnsi="宋体" w:cs="宋体"/>
                <w:bCs/>
                <w:color w:val="auto"/>
                <w:kern w:val="0"/>
                <w:highlight w:val="none"/>
                <w:u w:val="single"/>
                <w:lang w:val="zh-CN"/>
              </w:rPr>
              <w:t>奖金、</w:t>
            </w:r>
            <w:r>
              <w:rPr>
                <w:rFonts w:hint="eastAsia" w:ascii="宋体" w:hAnsi="宋体" w:cs="宋体"/>
                <w:bCs/>
                <w:color w:val="auto"/>
                <w:kern w:val="0"/>
                <w:highlight w:val="none"/>
                <w:u w:val="single"/>
                <w:lang w:val="zh-CN" w:eastAsia="zh-CN"/>
              </w:rPr>
              <w:t>补贴</w:t>
            </w:r>
            <w:r>
              <w:rPr>
                <w:rFonts w:hint="eastAsia" w:ascii="宋体" w:hAnsi="宋体" w:cs="宋体"/>
                <w:bCs/>
                <w:color w:val="auto"/>
                <w:kern w:val="0"/>
                <w:highlight w:val="none"/>
                <w:u w:val="single"/>
                <w:lang w:val="zh-CN"/>
              </w:rPr>
              <w:t>、各种社会保险、食宿与交通、服装、安全、体检费</w:t>
            </w:r>
            <w:r>
              <w:rPr>
                <w:rFonts w:hint="eastAsia" w:ascii="宋体" w:hAnsi="宋体" w:cs="宋体"/>
                <w:bCs/>
                <w:color w:val="auto"/>
                <w:kern w:val="0"/>
                <w:highlight w:val="none"/>
                <w:u w:val="single"/>
                <w:lang w:val="zh-CN" w:eastAsia="zh-CN"/>
              </w:rPr>
              <w:t>、</w:t>
            </w:r>
            <w:r>
              <w:rPr>
                <w:rFonts w:hint="eastAsia" w:ascii="宋体" w:hAnsi="宋体" w:cs="宋体"/>
                <w:bCs/>
                <w:color w:val="auto"/>
                <w:kern w:val="0"/>
                <w:highlight w:val="none"/>
                <w:u w:val="single"/>
                <w:lang w:val="zh-CN"/>
              </w:rPr>
              <w:t>税费、利润、招标代理服务费、</w:t>
            </w:r>
            <w:r>
              <w:rPr>
                <w:rFonts w:hint="eastAsia" w:ascii="宋体" w:hAnsi="宋体" w:cs="宋体"/>
                <w:bCs/>
                <w:color w:val="auto"/>
                <w:kern w:val="0"/>
                <w:highlight w:val="none"/>
                <w:u w:val="single"/>
                <w:lang w:val="en-US" w:eastAsia="zh-CN"/>
              </w:rPr>
              <w:t>采购需求所提及的费用</w:t>
            </w:r>
            <w:r>
              <w:rPr>
                <w:rFonts w:hint="eastAsia" w:ascii="宋体" w:hAnsi="宋体" w:cs="宋体"/>
                <w:bCs/>
                <w:color w:val="auto"/>
                <w:kern w:val="0"/>
                <w:highlight w:val="none"/>
                <w:u w:val="single"/>
                <w:lang w:val="zh-CN"/>
              </w:rPr>
              <w:t>。</w:t>
            </w:r>
            <w:r>
              <w:rPr>
                <w:rFonts w:hint="eastAsia" w:ascii="宋体" w:hAnsi="宋体" w:cs="宋体"/>
                <w:bCs/>
                <w:color w:val="auto"/>
                <w:kern w:val="0"/>
                <w:highlight w:val="none"/>
                <w:lang w:val="zh-CN"/>
              </w:rPr>
              <w:t>）均计入报价。</w:t>
            </w:r>
            <w:r>
              <w:rPr>
                <w:rFonts w:hint="eastAsia" w:ascii="宋体" w:hAnsi="宋体" w:cs="宋体"/>
                <w:bCs/>
                <w:color w:val="auto"/>
                <w:highlight w:val="none"/>
              </w:rPr>
              <w:t>开标一览表（报价表）是报价的唯一载体</w:t>
            </w:r>
            <w:r>
              <w:rPr>
                <w:rFonts w:hint="eastAsia" w:ascii="宋体" w:hAnsi="宋体" w:cs="宋体"/>
                <w:bCs/>
                <w:color w:val="auto"/>
                <w:kern w:val="0"/>
                <w:highlight w:val="none"/>
                <w:lang w:val="zh-CN"/>
              </w:rPr>
              <w:t>。投标文件中价格全部采用人民币报价。招标文件未列明，而投标人认为必需的费用也需列入报价。</w:t>
            </w:r>
          </w:p>
          <w:p w14:paraId="76234E1A">
            <w:pPr>
              <w:adjustRightInd w:val="0"/>
              <w:snapToGrid w:val="0"/>
              <w:spacing w:line="380" w:lineRule="exact"/>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投标报价出现下列情形的，投标无效：</w:t>
            </w:r>
          </w:p>
          <w:p w14:paraId="28303F7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投标文件出现不是唯一的、有选择性投标报价的；</w:t>
            </w:r>
          </w:p>
          <w:p w14:paraId="79409D49">
            <w:pPr>
              <w:adjustRightInd w:val="0"/>
              <w:snapToGrid w:val="0"/>
              <w:spacing w:line="380" w:lineRule="exact"/>
              <w:ind w:firstLine="420" w:firstLineChars="200"/>
              <w:jc w:val="left"/>
              <w:rPr>
                <w:rFonts w:ascii="宋体" w:hAnsi="宋体" w:cs="宋体"/>
                <w:bCs/>
                <w:color w:val="auto"/>
                <w:kern w:val="0"/>
                <w:highlight w:val="none"/>
                <w:lang w:val="zh-CN"/>
              </w:rPr>
            </w:pPr>
            <w:r>
              <w:rPr>
                <w:rFonts w:hint="eastAsia" w:ascii="宋体" w:hAnsi="宋体" w:cs="宋体"/>
                <w:bCs/>
                <w:color w:val="auto"/>
                <w:kern w:val="0"/>
                <w:highlight w:val="none"/>
                <w:lang w:val="zh-CN"/>
              </w:rPr>
              <w:t>投标报价超过招标文件中规定的预算金额或者最高限价的;</w:t>
            </w:r>
          </w:p>
          <w:p w14:paraId="151B3113">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highlight w:val="none"/>
              </w:rPr>
              <w:t>;</w:t>
            </w:r>
          </w:p>
          <w:p w14:paraId="15B18D8B">
            <w:pPr>
              <w:adjustRightInd w:val="0"/>
              <w:spacing w:line="380" w:lineRule="exact"/>
              <w:ind w:firstLine="420" w:firstLineChars="200"/>
              <w:rPr>
                <w:rFonts w:ascii="宋体" w:hAnsi="宋体" w:cs="宋体"/>
                <w:bCs/>
                <w:color w:val="auto"/>
                <w:highlight w:val="none"/>
              </w:rPr>
            </w:pPr>
            <w:r>
              <w:rPr>
                <w:rFonts w:hint="eastAsia" w:ascii="宋体" w:hAnsi="宋体" w:cs="宋体"/>
                <w:bCs/>
                <w:color w:val="auto"/>
                <w:kern w:val="0"/>
                <w:highlight w:val="none"/>
              </w:rPr>
              <w:t>投标人对根据修正原则修正后的报价不确认的</w:t>
            </w:r>
            <w:r>
              <w:rPr>
                <w:rFonts w:hint="eastAsia" w:ascii="宋体" w:hAnsi="宋体" w:cs="宋体"/>
                <w:bCs/>
                <w:color w:val="auto"/>
                <w:highlight w:val="none"/>
              </w:rPr>
              <w:t>。</w:t>
            </w:r>
          </w:p>
        </w:tc>
      </w:tr>
      <w:tr w14:paraId="43B71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55C27D5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40216132">
            <w:pPr>
              <w:adjustRightInd w:val="0"/>
              <w:snapToGrid w:val="0"/>
              <w:spacing w:line="380" w:lineRule="exact"/>
              <w:ind w:firstLine="420" w:firstLineChars="200"/>
              <w:rPr>
                <w:rFonts w:ascii="宋体" w:hAnsi="宋体" w:cs="宋体"/>
                <w:bCs/>
                <w:color w:val="auto"/>
                <w:highlight w:val="none"/>
              </w:rPr>
            </w:pPr>
            <w:r>
              <w:rPr>
                <w:rFonts w:hint="eastAsia" w:ascii="宋体" w:hAnsi="宋体" w:cs="宋体"/>
                <w:bCs/>
                <w:color w:val="auto"/>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8F372">
            <w:pPr>
              <w:adjustRightInd w:val="0"/>
              <w:spacing w:line="380" w:lineRule="exact"/>
              <w:rPr>
                <w:rFonts w:ascii="宋体" w:hAnsi="宋体" w:cs="宋体"/>
                <w:bCs/>
                <w:color w:val="auto"/>
                <w:highlight w:val="none"/>
              </w:rPr>
            </w:pPr>
            <w:r>
              <w:rPr>
                <w:rFonts w:hint="eastAsia" w:ascii="宋体" w:hAnsi="宋体" w:cs="宋体"/>
                <w:bCs/>
                <w:color w:val="auto"/>
                <w:highlight w:val="none"/>
              </w:rPr>
              <w:t>不同意分包和转包。</w:t>
            </w:r>
          </w:p>
        </w:tc>
      </w:tr>
      <w:tr w14:paraId="4546C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0278C150">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3</w:t>
            </w:r>
          </w:p>
        </w:tc>
        <w:tc>
          <w:tcPr>
            <w:tcW w:w="1991" w:type="dxa"/>
            <w:vMerge w:val="restart"/>
            <w:tcBorders>
              <w:top w:val="single" w:color="000000" w:sz="8" w:space="0"/>
              <w:left w:val="single" w:color="auto" w:sz="4" w:space="0"/>
              <w:right w:val="single" w:color="000000" w:sz="8" w:space="0"/>
            </w:tcBorders>
            <w:vAlign w:val="center"/>
          </w:tcPr>
          <w:p w14:paraId="7654DFF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投标人应当提供的资格、商务技术文件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0275D">
            <w:pPr>
              <w:adjustRightInd w:val="0"/>
              <w:spacing w:line="380" w:lineRule="exact"/>
              <w:rPr>
                <w:rFonts w:ascii="宋体" w:hAnsi="宋体" w:cs="宋体"/>
                <w:bCs/>
                <w:snapToGrid w:val="0"/>
                <w:color w:val="auto"/>
                <w:kern w:val="0"/>
                <w:highlight w:val="none"/>
              </w:rPr>
            </w:pPr>
            <w:r>
              <w:rPr>
                <w:rFonts w:hint="eastAsia" w:ascii="宋体" w:hAnsi="宋体" w:cs="宋体"/>
                <w:bCs/>
                <w:color w:val="auto"/>
                <w:highlight w:val="none"/>
              </w:rPr>
              <w:t>（1）资格审查文件：见招标文件第二部分11.1。</w:t>
            </w:r>
            <w:r>
              <w:rPr>
                <w:rFonts w:hint="eastAsia" w:ascii="宋体" w:hAnsi="宋体" w:cs="宋体"/>
                <w:bCs/>
                <w:color w:val="auto"/>
                <w:kern w:val="0"/>
                <w:highlight w:val="none"/>
                <w:lang w:val="zh-CN"/>
              </w:rPr>
              <w:t>投标人未提供有效的资格审查文件的，视为投标人不具备招标文件中规定的资格要求，投标无效。</w:t>
            </w:r>
          </w:p>
        </w:tc>
      </w:tr>
      <w:tr w14:paraId="445E4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536CF620">
            <w:pPr>
              <w:adjustRightInd w:val="0"/>
              <w:snapToGrid w:val="0"/>
              <w:spacing w:line="380" w:lineRule="exact"/>
              <w:jc w:val="center"/>
              <w:rPr>
                <w:rFonts w:ascii="宋体" w:hAnsi="宋体" w:cs="宋体"/>
                <w:bCs/>
                <w:color w:val="auto"/>
                <w:highlight w:val="none"/>
              </w:rPr>
            </w:pPr>
          </w:p>
        </w:tc>
        <w:tc>
          <w:tcPr>
            <w:tcW w:w="1991" w:type="dxa"/>
            <w:vMerge w:val="continue"/>
            <w:tcBorders>
              <w:left w:val="single" w:color="auto" w:sz="4" w:space="0"/>
              <w:bottom w:val="single" w:color="000000" w:sz="8" w:space="0"/>
              <w:right w:val="single" w:color="000000" w:sz="8" w:space="0"/>
            </w:tcBorders>
            <w:vAlign w:val="center"/>
          </w:tcPr>
          <w:p w14:paraId="46C8CF50">
            <w:pPr>
              <w:adjustRightInd w:val="0"/>
              <w:snapToGrid w:val="0"/>
              <w:spacing w:line="380" w:lineRule="exact"/>
              <w:jc w:val="center"/>
              <w:rPr>
                <w:rFonts w:ascii="宋体" w:hAnsi="宋体" w:cs="宋体"/>
                <w:bCs/>
                <w:color w:val="auto"/>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9DB355">
            <w:pPr>
              <w:adjustRightInd w:val="0"/>
              <w:spacing w:line="380" w:lineRule="exact"/>
              <w:rPr>
                <w:rFonts w:ascii="宋体" w:hAnsi="宋体" w:cs="宋体"/>
                <w:bCs/>
                <w:color w:val="auto"/>
                <w:highlight w:val="none"/>
              </w:rPr>
            </w:pPr>
            <w:r>
              <w:rPr>
                <w:rFonts w:hint="eastAsia" w:ascii="宋体" w:hAnsi="宋体" w:cs="宋体"/>
                <w:bCs/>
                <w:color w:val="auto"/>
                <w:highlight w:val="none"/>
              </w:rPr>
              <w:t>（2）商务技术文件：见招标文件第二部分11.2。</w:t>
            </w:r>
          </w:p>
        </w:tc>
      </w:tr>
      <w:tr w14:paraId="05AC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E3F4649">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4</w:t>
            </w:r>
          </w:p>
        </w:tc>
        <w:tc>
          <w:tcPr>
            <w:tcW w:w="1991" w:type="dxa"/>
            <w:tcBorders>
              <w:top w:val="single" w:color="000000" w:sz="8" w:space="0"/>
              <w:left w:val="single" w:color="auto" w:sz="4" w:space="0"/>
              <w:bottom w:val="single" w:color="000000" w:sz="8" w:space="0"/>
              <w:right w:val="single" w:color="000000" w:sz="8" w:space="0"/>
            </w:tcBorders>
            <w:vAlign w:val="center"/>
          </w:tcPr>
          <w:p w14:paraId="329F76E5">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437F3">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不组织</w:t>
            </w:r>
          </w:p>
        </w:tc>
      </w:tr>
      <w:tr w14:paraId="5C5BC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3C3DB134">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5</w:t>
            </w:r>
          </w:p>
        </w:tc>
        <w:tc>
          <w:tcPr>
            <w:tcW w:w="1991" w:type="dxa"/>
            <w:tcBorders>
              <w:top w:val="single" w:color="000000" w:sz="8" w:space="0"/>
              <w:left w:val="single" w:color="auto" w:sz="4" w:space="0"/>
              <w:bottom w:val="single" w:color="000000" w:sz="8" w:space="0"/>
              <w:right w:val="single" w:color="000000" w:sz="8" w:space="0"/>
            </w:tcBorders>
            <w:vAlign w:val="center"/>
          </w:tcPr>
          <w:p w14:paraId="6A80A92A">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DE3E7">
            <w:pPr>
              <w:adjustRightInd w:val="0"/>
              <w:spacing w:line="380" w:lineRule="exact"/>
              <w:rPr>
                <w:rFonts w:ascii="宋体" w:hAnsi="宋体" w:cs="宋体"/>
                <w:bCs/>
                <w:color w:val="auto"/>
                <w:highlight w:val="none"/>
              </w:rPr>
            </w:pPr>
            <w:r>
              <w:rPr>
                <w:rFonts w:hint="eastAsia" w:ascii="宋体" w:hAnsi="宋体" w:cs="宋体"/>
                <w:bCs/>
                <w:color w:val="auto"/>
                <w:highlight w:val="none"/>
              </w:rPr>
              <w:t>不要求提供</w:t>
            </w:r>
          </w:p>
        </w:tc>
      </w:tr>
      <w:tr w14:paraId="50D3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48BE556E">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6</w:t>
            </w:r>
          </w:p>
        </w:tc>
        <w:tc>
          <w:tcPr>
            <w:tcW w:w="1991" w:type="dxa"/>
            <w:tcBorders>
              <w:top w:val="single" w:color="000000" w:sz="8" w:space="0"/>
              <w:left w:val="single" w:color="auto" w:sz="4" w:space="0"/>
              <w:right w:val="single" w:color="000000" w:sz="8" w:space="0"/>
            </w:tcBorders>
            <w:vAlign w:val="center"/>
          </w:tcPr>
          <w:p w14:paraId="5B5071B1">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lang w:val="en-US" w:eastAsia="zh-CN"/>
              </w:rPr>
              <w:t>功能</w:t>
            </w:r>
            <w:r>
              <w:rPr>
                <w:rFonts w:hint="eastAsia" w:ascii="宋体" w:hAnsi="宋体" w:cs="宋体"/>
                <w:bCs/>
                <w:color w:val="auto"/>
                <w:highlight w:val="none"/>
              </w:rPr>
              <w:t>演示</w:t>
            </w:r>
          </w:p>
        </w:tc>
        <w:tc>
          <w:tcPr>
            <w:tcW w:w="6095" w:type="dxa"/>
            <w:tcBorders>
              <w:top w:val="single" w:color="000000" w:sz="8" w:space="0"/>
              <w:left w:val="single" w:color="000000" w:sz="2" w:space="0"/>
              <w:right w:val="single" w:color="000000" w:sz="8" w:space="0"/>
            </w:tcBorders>
            <w:vAlign w:val="center"/>
          </w:tcPr>
          <w:p w14:paraId="7FFEC93D">
            <w:pPr>
              <w:adjustRightInd w:val="0"/>
              <w:snapToGrid w:val="0"/>
              <w:spacing w:line="380" w:lineRule="exact"/>
              <w:rPr>
                <w:rFonts w:hint="eastAsia" w:ascii="宋体" w:hAnsi="宋体" w:eastAsia="宋体" w:cs="宋体"/>
                <w:bCs/>
                <w:color w:val="auto"/>
                <w:kern w:val="0"/>
                <w:highlight w:val="none"/>
                <w:lang w:val="en-US" w:eastAsia="zh-CN"/>
              </w:rPr>
            </w:pPr>
            <w:r>
              <w:rPr>
                <w:rFonts w:hint="eastAsia" w:ascii="宋体" w:hAnsi="宋体" w:eastAsia="宋体" w:cs="宋体"/>
                <w:bCs/>
                <w:color w:val="auto"/>
                <w:kern w:val="0"/>
                <w:highlight w:val="none"/>
                <w:lang w:val="en-US" w:eastAsia="zh-CN"/>
              </w:rPr>
              <w:t>无</w:t>
            </w:r>
            <w:r>
              <w:rPr>
                <w:rFonts w:hint="eastAsia" w:ascii="宋体" w:hAnsi="宋体" w:cs="宋体"/>
                <w:bCs/>
                <w:color w:val="auto"/>
                <w:kern w:val="0"/>
                <w:highlight w:val="none"/>
                <w:lang w:val="en-US" w:eastAsia="zh-CN"/>
              </w:rPr>
              <w:t>功能讲解</w:t>
            </w:r>
            <w:r>
              <w:rPr>
                <w:rFonts w:hint="eastAsia" w:ascii="宋体" w:hAnsi="宋体" w:eastAsia="宋体" w:cs="宋体"/>
                <w:bCs/>
                <w:color w:val="auto"/>
                <w:kern w:val="0"/>
                <w:highlight w:val="none"/>
                <w:lang w:val="en-US" w:eastAsia="zh-CN"/>
              </w:rPr>
              <w:t>演示</w:t>
            </w:r>
          </w:p>
        </w:tc>
      </w:tr>
      <w:tr w14:paraId="3C8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1BB080D8">
            <w:pPr>
              <w:adjustRightInd w:val="0"/>
              <w:snapToGrid w:val="0"/>
              <w:spacing w:line="380" w:lineRule="exact"/>
              <w:jc w:val="center"/>
              <w:rPr>
                <w:rFonts w:hint="eastAsia" w:ascii="宋体" w:hAnsi="宋体" w:eastAsia="宋体" w:cs="宋体"/>
                <w:bCs/>
                <w:color w:val="auto"/>
                <w:highlight w:val="none"/>
                <w:lang w:val="en-US" w:eastAsia="zh-CN"/>
              </w:rPr>
            </w:pPr>
            <w:r>
              <w:rPr>
                <w:rFonts w:hint="eastAsia" w:ascii="宋体" w:hAnsi="宋体" w:cs="宋体"/>
                <w:bCs/>
                <w:color w:val="auto"/>
                <w:highlight w:val="none"/>
                <w:lang w:val="en-US" w:eastAsia="zh-CN"/>
              </w:rPr>
              <w:t>7</w:t>
            </w:r>
          </w:p>
        </w:tc>
        <w:tc>
          <w:tcPr>
            <w:tcW w:w="1991" w:type="dxa"/>
            <w:tcBorders>
              <w:top w:val="single" w:color="000000" w:sz="8" w:space="0"/>
              <w:left w:val="single" w:color="auto" w:sz="4" w:space="0"/>
              <w:right w:val="single" w:color="000000" w:sz="8" w:space="0"/>
            </w:tcBorders>
            <w:vAlign w:val="center"/>
          </w:tcPr>
          <w:p w14:paraId="6C281CC0">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履约保证金</w:t>
            </w:r>
          </w:p>
        </w:tc>
        <w:tc>
          <w:tcPr>
            <w:tcW w:w="6095" w:type="dxa"/>
            <w:tcBorders>
              <w:top w:val="single" w:color="000000" w:sz="8" w:space="0"/>
              <w:left w:val="single" w:color="000000" w:sz="2" w:space="0"/>
              <w:right w:val="single" w:color="000000" w:sz="8" w:space="0"/>
            </w:tcBorders>
            <w:vAlign w:val="center"/>
          </w:tcPr>
          <w:p w14:paraId="1434F913">
            <w:pPr>
              <w:adjustRightInd w:val="0"/>
              <w:snapToGrid w:val="0"/>
              <w:spacing w:line="380" w:lineRule="exact"/>
              <w:rPr>
                <w:rFonts w:hint="default" w:hAnsi="宋体"/>
                <w:color w:val="auto"/>
                <w:highlight w:val="none"/>
                <w:lang w:val="en-US" w:eastAsia="zh-CN"/>
              </w:rPr>
            </w:pPr>
            <w:r>
              <w:rPr>
                <w:rFonts w:hint="eastAsia" w:ascii="宋体" w:hAnsi="宋体" w:cs="宋体"/>
                <w:bCs/>
                <w:color w:val="auto"/>
                <w:highlight w:val="none"/>
              </w:rPr>
              <w:t>不要求提供</w:t>
            </w:r>
          </w:p>
        </w:tc>
      </w:tr>
      <w:tr w14:paraId="18E5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0" w:hRule="atLeast"/>
        </w:trPr>
        <w:tc>
          <w:tcPr>
            <w:tcW w:w="705" w:type="dxa"/>
            <w:tcBorders>
              <w:top w:val="single" w:color="auto" w:sz="4" w:space="0"/>
              <w:left w:val="single" w:color="auto" w:sz="4" w:space="0"/>
              <w:bottom w:val="single" w:color="auto" w:sz="4" w:space="0"/>
              <w:right w:val="single" w:color="auto" w:sz="4" w:space="0"/>
            </w:tcBorders>
            <w:vAlign w:val="center"/>
          </w:tcPr>
          <w:p w14:paraId="3D9E31E7">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8</w:t>
            </w:r>
          </w:p>
        </w:tc>
        <w:tc>
          <w:tcPr>
            <w:tcW w:w="1991" w:type="dxa"/>
            <w:tcBorders>
              <w:top w:val="single" w:color="000000" w:sz="8" w:space="0"/>
              <w:left w:val="single" w:color="auto" w:sz="4" w:space="0"/>
              <w:right w:val="single" w:color="000000" w:sz="8" w:space="0"/>
            </w:tcBorders>
            <w:vAlign w:val="center"/>
          </w:tcPr>
          <w:p w14:paraId="62A68255">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项目属性与核心产品</w:t>
            </w:r>
          </w:p>
        </w:tc>
        <w:tc>
          <w:tcPr>
            <w:tcW w:w="6095" w:type="dxa"/>
            <w:tcBorders>
              <w:top w:val="single" w:color="000000" w:sz="8" w:space="0"/>
              <w:left w:val="single" w:color="000000" w:sz="2" w:space="0"/>
              <w:right w:val="single" w:color="000000" w:sz="8" w:space="0"/>
            </w:tcBorders>
            <w:vAlign w:val="center"/>
          </w:tcPr>
          <w:p w14:paraId="39EB17EA">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服</w:t>
            </w:r>
            <w:r>
              <w:rPr>
                <w:rFonts w:hint="eastAsia" w:ascii="宋体" w:hAnsi="宋体" w:cs="宋体"/>
                <w:bCs/>
                <w:color w:val="auto"/>
                <w:highlight w:val="none"/>
                <w:lang w:val="en-US" w:eastAsia="zh-CN"/>
              </w:rPr>
              <w:t>务类</w:t>
            </w:r>
          </w:p>
        </w:tc>
      </w:tr>
      <w:tr w14:paraId="7D320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3AF4609B">
            <w:pPr>
              <w:adjustRightInd w:val="0"/>
              <w:snapToGrid w:val="0"/>
              <w:spacing w:line="380" w:lineRule="exact"/>
              <w:jc w:val="center"/>
              <w:rPr>
                <w:rFonts w:hint="default" w:ascii="宋体" w:hAnsi="宋体" w:cs="宋体"/>
                <w:bCs/>
                <w:color w:val="auto"/>
                <w:highlight w:val="none"/>
                <w:lang w:val="en-US" w:eastAsia="zh-CN"/>
              </w:rPr>
            </w:pPr>
            <w:r>
              <w:rPr>
                <w:rFonts w:hint="eastAsia" w:ascii="宋体" w:hAnsi="宋体" w:cs="宋体"/>
                <w:bCs/>
                <w:color w:val="auto"/>
                <w:highlight w:val="none"/>
                <w:lang w:val="en-US" w:eastAsia="zh-CN"/>
              </w:rPr>
              <w:t>9</w:t>
            </w:r>
          </w:p>
        </w:tc>
        <w:tc>
          <w:tcPr>
            <w:tcW w:w="1991" w:type="dxa"/>
            <w:tcBorders>
              <w:top w:val="single" w:color="000000" w:sz="8" w:space="0"/>
              <w:left w:val="single" w:color="auto" w:sz="4" w:space="0"/>
              <w:right w:val="single" w:color="000000" w:sz="8" w:space="0"/>
            </w:tcBorders>
            <w:vAlign w:val="center"/>
          </w:tcPr>
          <w:p w14:paraId="35F6DA17">
            <w:pPr>
              <w:adjustRightInd w:val="0"/>
              <w:snapToGrid w:val="0"/>
              <w:spacing w:line="380" w:lineRule="exact"/>
              <w:jc w:val="center"/>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采购标的对应的中小企业划分标准所属行业</w:t>
            </w:r>
          </w:p>
        </w:tc>
        <w:tc>
          <w:tcPr>
            <w:tcW w:w="6095" w:type="dxa"/>
            <w:tcBorders>
              <w:top w:val="single" w:color="000000" w:sz="8" w:space="0"/>
              <w:left w:val="single" w:color="000000" w:sz="2" w:space="0"/>
              <w:right w:val="single" w:color="000000" w:sz="8" w:space="0"/>
            </w:tcBorders>
            <w:vAlign w:val="center"/>
          </w:tcPr>
          <w:p w14:paraId="396007DB">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根据《工业和信息化部、国家统计局、国家发展和改革委员会、财政部关于印发中小企业划型标准规定的通知》（工信部联企业[2011]300号）规定（有最新中小企业划型标准的以更新后的为准）：</w:t>
            </w:r>
          </w:p>
          <w:p w14:paraId="51E6DB09">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（1）标的：</w:t>
            </w:r>
            <w:r>
              <w:rPr>
                <w:rFonts w:hint="eastAsia" w:hAnsi="宋体"/>
                <w:color w:val="auto"/>
                <w:highlight w:val="none"/>
                <w:u w:val="single"/>
                <w:lang w:val="en-US" w:eastAsia="zh-CN"/>
              </w:rPr>
              <w:t>新昌幼儿园2025年教职工疗休养采购项目</w:t>
            </w:r>
            <w:r>
              <w:rPr>
                <w:rFonts w:hint="eastAsia" w:hAnsi="宋体"/>
                <w:color w:val="auto"/>
                <w:highlight w:val="none"/>
                <w:lang w:val="en-US" w:eastAsia="zh-CN"/>
              </w:rPr>
              <w:t>，属于</w:t>
            </w:r>
            <w:r>
              <w:rPr>
                <w:rFonts w:hint="eastAsia" w:hAnsi="宋体"/>
                <w:color w:val="auto"/>
                <w:highlight w:val="none"/>
                <w:u w:val="single"/>
                <w:lang w:val="en-US" w:eastAsia="zh-CN"/>
              </w:rPr>
              <w:t xml:space="preserve"> 租赁和商务服务业</w:t>
            </w:r>
            <w:r>
              <w:rPr>
                <w:rFonts w:hint="eastAsia" w:hAnsi="宋体"/>
                <w:color w:val="auto"/>
                <w:highlight w:val="none"/>
                <w:lang w:val="en-US" w:eastAsia="zh-CN"/>
              </w:rPr>
              <w:t xml:space="preserve"> ；</w:t>
            </w:r>
          </w:p>
          <w:p w14:paraId="18960D5D">
            <w:pPr>
              <w:adjustRightInd w:val="0"/>
              <w:snapToGrid w:val="0"/>
              <w:spacing w:line="380" w:lineRule="exact"/>
              <w:rPr>
                <w:rFonts w:hint="eastAsia" w:hAnsi="宋体"/>
                <w:color w:val="auto"/>
                <w:highlight w:val="none"/>
                <w:lang w:val="en-US" w:eastAsia="zh-CN"/>
              </w:rPr>
            </w:pPr>
            <w:r>
              <w:rPr>
                <w:rFonts w:hint="eastAsia" w:hAnsi="宋体"/>
                <w:color w:val="auto"/>
                <w:highlight w:val="none"/>
                <w:lang w:val="en-US" w:eastAsia="zh-CN"/>
              </w:rPr>
              <w:t>说明：声明函中所列行业与采购文件所明确的行业不一致但不改变划型结果情形的，不影响声明有效性，也不作为虚假资料情形认定。</w:t>
            </w:r>
          </w:p>
        </w:tc>
      </w:tr>
      <w:tr w14:paraId="724C6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8"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289A6B03">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10</w:t>
            </w:r>
          </w:p>
        </w:tc>
        <w:tc>
          <w:tcPr>
            <w:tcW w:w="1991" w:type="dxa"/>
            <w:tcBorders>
              <w:top w:val="single" w:color="000000" w:sz="8" w:space="0"/>
              <w:left w:val="single" w:color="000000" w:sz="2" w:space="0"/>
              <w:bottom w:val="single" w:color="000000" w:sz="8" w:space="0"/>
              <w:right w:val="single" w:color="000000" w:sz="8" w:space="0"/>
            </w:tcBorders>
            <w:vAlign w:val="center"/>
          </w:tcPr>
          <w:p w14:paraId="672002F2">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3566AAD">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投标人如提交备份投标文件的，请</w:t>
            </w:r>
            <w:r>
              <w:rPr>
                <w:rFonts w:hint="eastAsia" w:ascii="宋体" w:hAnsi="宋体" w:cs="宋体"/>
                <w:bCs/>
                <w:snapToGrid w:val="0"/>
                <w:color w:val="auto"/>
                <w:kern w:val="28"/>
                <w:highlight w:val="none"/>
                <w:lang w:val="en-US" w:eastAsia="zh-CN"/>
              </w:rPr>
              <w:t>邮寄</w:t>
            </w:r>
            <w:r>
              <w:rPr>
                <w:rFonts w:hint="eastAsia" w:ascii="宋体" w:hAnsi="宋体" w:cs="宋体"/>
                <w:bCs/>
                <w:snapToGrid w:val="0"/>
                <w:color w:val="auto"/>
                <w:kern w:val="28"/>
                <w:highlight w:val="none"/>
              </w:rPr>
              <w:t>至</w:t>
            </w:r>
            <w:r>
              <w:rPr>
                <w:rFonts w:hint="eastAsia" w:ascii="宋体" w:hAnsi="宋体" w:cs="宋体"/>
                <w:bCs/>
                <w:snapToGrid w:val="0"/>
                <w:color w:val="auto"/>
                <w:highlight w:val="none"/>
                <w:u w:val="single"/>
              </w:rPr>
              <w:t xml:space="preserve"> 新昌县七星街道文锦东苑体育场路98号</w:t>
            </w:r>
            <w:r>
              <w:rPr>
                <w:rFonts w:hint="eastAsia" w:ascii="宋体" w:hAnsi="宋体" w:cs="宋体"/>
                <w:bCs/>
                <w:snapToGrid w:val="0"/>
                <w:color w:val="auto"/>
                <w:kern w:val="28"/>
                <w:highlight w:val="none"/>
              </w:rPr>
              <w:t>；备份投标文件签收人员：</w:t>
            </w:r>
            <w:r>
              <w:rPr>
                <w:rFonts w:hint="eastAsia" w:ascii="宋体" w:hAnsi="宋体" w:cs="宋体"/>
                <w:bCs/>
                <w:snapToGrid w:val="0"/>
                <w:color w:val="auto"/>
                <w:kern w:val="28"/>
                <w:highlight w:val="none"/>
                <w:u w:val="single"/>
                <w:lang w:val="en-US" w:eastAsia="zh-CN"/>
              </w:rPr>
              <w:t>叶</w:t>
            </w:r>
            <w:r>
              <w:rPr>
                <w:rFonts w:hint="eastAsia" w:ascii="宋体" w:hAnsi="宋体" w:cs="宋体"/>
                <w:bCs/>
                <w:snapToGrid w:val="0"/>
                <w:color w:val="auto"/>
                <w:kern w:val="28"/>
                <w:highlight w:val="none"/>
                <w:u w:val="single"/>
              </w:rPr>
              <w:t xml:space="preserve">女士 </w:t>
            </w:r>
            <w:r>
              <w:rPr>
                <w:rFonts w:hint="eastAsia" w:ascii="宋体" w:hAnsi="宋体" w:cs="宋体"/>
                <w:bCs/>
                <w:snapToGrid w:val="0"/>
                <w:color w:val="auto"/>
                <w:kern w:val="28"/>
                <w:highlight w:val="none"/>
              </w:rPr>
              <w:t>联系电话：</w:t>
            </w:r>
            <w:r>
              <w:rPr>
                <w:rFonts w:hint="eastAsia" w:ascii="宋体" w:hAnsi="宋体" w:cs="宋体"/>
                <w:bCs/>
                <w:snapToGrid w:val="0"/>
                <w:color w:val="auto"/>
                <w:highlight w:val="none"/>
                <w:u w:val="single"/>
              </w:rPr>
              <w:t xml:space="preserve"> 0575-86660697 </w:t>
            </w:r>
            <w:r>
              <w:rPr>
                <w:rFonts w:hint="eastAsia" w:ascii="宋体" w:hAnsi="宋体" w:cs="宋体"/>
                <w:bCs/>
                <w:snapToGrid w:val="0"/>
                <w:color w:val="auto"/>
                <w:highlight w:val="none"/>
              </w:rPr>
              <w:t>。</w:t>
            </w:r>
          </w:p>
        </w:tc>
      </w:tr>
      <w:tr w14:paraId="27680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690330C">
            <w:pPr>
              <w:adjustRightInd w:val="0"/>
              <w:snapToGrid w:val="0"/>
              <w:spacing w:line="380" w:lineRule="exact"/>
              <w:jc w:val="center"/>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11</w:t>
            </w:r>
          </w:p>
        </w:tc>
        <w:tc>
          <w:tcPr>
            <w:tcW w:w="1991" w:type="dxa"/>
            <w:tcBorders>
              <w:top w:val="single" w:color="000000" w:sz="8" w:space="0"/>
              <w:left w:val="single" w:color="000000" w:sz="2" w:space="0"/>
              <w:bottom w:val="single" w:color="000000" w:sz="8" w:space="0"/>
              <w:right w:val="single" w:color="000000" w:sz="8" w:space="0"/>
            </w:tcBorders>
            <w:vAlign w:val="center"/>
          </w:tcPr>
          <w:p w14:paraId="0086F51C">
            <w:pPr>
              <w:adjustRightInd w:val="0"/>
              <w:snapToGrid w:val="0"/>
              <w:spacing w:line="380" w:lineRule="exact"/>
              <w:jc w:val="center"/>
              <w:rPr>
                <w:rFonts w:ascii="宋体" w:hAnsi="宋体" w:cs="宋体"/>
                <w:bCs/>
                <w:color w:val="auto"/>
                <w:highlight w:val="none"/>
              </w:rPr>
            </w:pPr>
            <w:r>
              <w:rPr>
                <w:rFonts w:hint="eastAsia" w:ascii="宋体" w:hAnsi="宋体" w:cs="宋体"/>
                <w:bCs/>
                <w:color w:val="auto"/>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6F1FEDF">
            <w:pPr>
              <w:widowControl/>
              <w:numPr>
                <w:ilvl w:val="0"/>
                <w:numId w:val="2"/>
              </w:numPr>
              <w:adjustRightInd w:val="0"/>
              <w:spacing w:line="380" w:lineRule="exact"/>
              <w:rPr>
                <w:rFonts w:hint="eastAsia" w:ascii="宋体" w:hAnsi="宋体" w:eastAsia="宋体" w:cs="宋体"/>
                <w:bCs/>
                <w:highlight w:val="none"/>
                <w:lang w:val="en-US" w:eastAsia="zh-CN"/>
              </w:rPr>
            </w:pPr>
            <w:r>
              <w:rPr>
                <w:rFonts w:hint="eastAsia" w:ascii="宋体" w:hAnsi="宋体" w:eastAsia="宋体" w:cs="宋体"/>
                <w:bCs/>
                <w:color w:val="auto"/>
                <w:highlight w:val="none"/>
              </w:rPr>
              <w:t>采购代理服务费：以中标通知书中确定的中标金额作为服务费的计算基数，收费比例按照：</w:t>
            </w:r>
            <w:r>
              <w:rPr>
                <w:rFonts w:hint="eastAsia" w:ascii="宋体" w:hAnsi="宋体" w:eastAsia="宋体" w:cs="宋体"/>
                <w:bCs/>
                <w:highlight w:val="none"/>
              </w:rPr>
              <w:t>中标金额在100万以下部分为1.5%，100-500万部分为0.8%。</w:t>
            </w:r>
            <w:r>
              <w:rPr>
                <w:rFonts w:hint="eastAsia" w:ascii="宋体" w:hAnsi="宋体" w:eastAsia="宋体" w:cs="宋体"/>
                <w:bCs/>
                <w:highlight w:val="none"/>
                <w:lang w:val="en-US" w:eastAsia="zh-CN"/>
              </w:rPr>
              <w:t>(招标代理费按差额定率累进法计算)</w:t>
            </w:r>
          </w:p>
          <w:p w14:paraId="17A58901">
            <w:pPr>
              <w:widowControl/>
              <w:numPr>
                <w:ilvl w:val="0"/>
                <w:numId w:val="0"/>
              </w:numPr>
              <w:adjustRightInd w:val="0"/>
              <w:spacing w:line="380" w:lineRule="exact"/>
              <w:rPr>
                <w:rFonts w:ascii="宋体" w:hAnsi="宋体" w:cs="宋体"/>
                <w:bCs/>
                <w:color w:val="auto"/>
                <w:highlight w:val="none"/>
              </w:rPr>
            </w:pPr>
            <w:r>
              <w:rPr>
                <w:rFonts w:hint="eastAsia" w:ascii="宋体" w:hAnsi="宋体" w:cs="宋体"/>
                <w:bCs/>
                <w:color w:val="auto"/>
                <w:highlight w:val="none"/>
              </w:rPr>
              <w:t>由中标供应商在领取中标通知书时支付。</w:t>
            </w:r>
          </w:p>
          <w:p w14:paraId="0D96C720">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收款单位：新昌县同启项目管理有限公司</w:t>
            </w:r>
          </w:p>
          <w:p w14:paraId="48BA8C9F">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开户银行：中国建设银行新昌城中支行</w:t>
            </w:r>
          </w:p>
          <w:p w14:paraId="7A06C176">
            <w:pPr>
              <w:spacing w:line="348" w:lineRule="auto"/>
              <w:rPr>
                <w:rFonts w:hint="eastAsia" w:ascii="宋体" w:hAnsi="宋体" w:eastAsia="宋体" w:cs="宋体"/>
                <w:bCs/>
                <w:color w:val="auto"/>
                <w:highlight w:val="none"/>
              </w:rPr>
            </w:pPr>
            <w:r>
              <w:rPr>
                <w:rFonts w:hint="eastAsia" w:ascii="宋体" w:hAnsi="宋体" w:eastAsia="宋体" w:cs="宋体"/>
                <w:bCs/>
                <w:color w:val="auto"/>
                <w:highlight w:val="none"/>
              </w:rPr>
              <w:t>银行账号：33050165663900000084</w:t>
            </w:r>
          </w:p>
          <w:p w14:paraId="51F442EC">
            <w:pPr>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2.投标文件存在下列情况之一的，视为撤回：</w:t>
            </w:r>
          </w:p>
          <w:p w14:paraId="286687DB">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（1）电子投标文件（含备份文件）无法解密的；</w:t>
            </w:r>
          </w:p>
          <w:p w14:paraId="25224188">
            <w:pPr>
              <w:widowControl/>
              <w:adjustRightInd w:val="0"/>
              <w:spacing w:line="380" w:lineRule="exact"/>
              <w:rPr>
                <w:rFonts w:ascii="宋体" w:hAnsi="宋体" w:cs="宋体"/>
                <w:bCs/>
                <w:color w:val="auto"/>
                <w:highlight w:val="none"/>
              </w:rPr>
            </w:pPr>
            <w:r>
              <w:rPr>
                <w:rFonts w:hint="eastAsia" w:ascii="宋体" w:hAnsi="宋体" w:cs="宋体"/>
                <w:bCs/>
                <w:color w:val="auto"/>
                <w:highlight w:val="none"/>
              </w:rPr>
              <w:t>（2）投标文件未按时解密或备份文件无法成功导入的；</w:t>
            </w:r>
          </w:p>
          <w:p w14:paraId="09CE1C52">
            <w:pPr>
              <w:widowControl/>
              <w:adjustRightInd w:val="0"/>
              <w:spacing w:line="380" w:lineRule="exact"/>
              <w:jc w:val="left"/>
              <w:rPr>
                <w:rFonts w:ascii="宋体" w:hAnsi="宋体" w:cs="宋体"/>
                <w:bCs/>
                <w:color w:val="auto"/>
                <w:highlight w:val="none"/>
              </w:rPr>
            </w:pPr>
            <w:r>
              <w:rPr>
                <w:rFonts w:hint="eastAsia" w:ascii="宋体" w:hAnsi="宋体" w:cs="宋体"/>
                <w:bCs/>
                <w:color w:val="auto"/>
                <w:highlight w:val="none"/>
              </w:rPr>
              <w:t>（3）投标截止时间前，投标人仅递交了“备份投标文件”而未将“电子加密投标文件”成功上传至“政府采购云平台”的。</w:t>
            </w:r>
          </w:p>
          <w:p w14:paraId="14CB2F65">
            <w:pPr>
              <w:adjustRightInd w:val="0"/>
              <w:spacing w:line="380" w:lineRule="exact"/>
              <w:rPr>
                <w:rFonts w:hint="default" w:ascii="宋体" w:hAnsi="宋体" w:eastAsia="宋体" w:cs="宋体"/>
                <w:bCs/>
                <w:color w:val="auto"/>
                <w:highlight w:val="none"/>
                <w:lang w:val="en-US" w:eastAsia="zh-CN"/>
              </w:rPr>
            </w:pPr>
            <w:r>
              <w:rPr>
                <w:rFonts w:hint="eastAsia" w:ascii="宋体" w:hAnsi="宋体" w:cs="宋体"/>
                <w:bCs/>
                <w:color w:val="auto"/>
                <w:highlight w:val="none"/>
              </w:rPr>
              <w:t xml:space="preserve">3.政采云平台如对电子化开标及评审程序有调整的，按调整后的程序操作。 </w:t>
            </w:r>
          </w:p>
          <w:p w14:paraId="176DD63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4.本项目投标所产生的一切费用由投标人承担，未中标单位不设补偿费。</w:t>
            </w:r>
          </w:p>
          <w:p w14:paraId="506664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5.招标人向投标人提供的有关资料和数据，是招标人现有的能使投标人利用的资源，投标人在此基础上作出的推论、理解、结论概不负责。各投标人的本次投标成果，无论是否中标，均归招标人所有。投标必须在投标文件中对此予以承诺。</w:t>
            </w:r>
          </w:p>
          <w:p w14:paraId="1B42B1CE">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投标人应对投标内容所涉及的一切知识产权承担责任，并负责保护采购单位的利益不受损害，一切由于侵权引起的法律、诉讼、裁决和所发生的费用均与采购单位无关。</w:t>
            </w:r>
          </w:p>
          <w:p w14:paraId="0F30A57F">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6.供应商母公司（总机构）或者同一母公司下属的其他子公司（同一总机构下属的其他分支机构）的人员、业绩、荣誉、知识产权、项目案例等不作为供应商的资信文件。</w:t>
            </w:r>
          </w:p>
          <w:p w14:paraId="79BA985B">
            <w:pPr>
              <w:adjustRightInd w:val="0"/>
              <w:spacing w:line="380" w:lineRule="exact"/>
              <w:rPr>
                <w:rFonts w:ascii="宋体" w:hAnsi="宋体" w:cs="宋体"/>
                <w:bCs/>
                <w:snapToGrid w:val="0"/>
                <w:color w:val="auto"/>
                <w:kern w:val="28"/>
                <w:highlight w:val="none"/>
              </w:rPr>
            </w:pPr>
            <w:r>
              <w:rPr>
                <w:rFonts w:hint="eastAsia" w:ascii="宋体" w:hAnsi="宋体" w:cs="宋体"/>
                <w:bCs/>
                <w:snapToGrid w:val="0"/>
                <w:color w:val="auto"/>
                <w:kern w:val="28"/>
                <w:highlight w:val="none"/>
              </w:rPr>
              <w:t>7.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46BCFECD">
            <w:pPr>
              <w:adjustRightInd w:val="0"/>
              <w:spacing w:line="380" w:lineRule="exact"/>
              <w:jc w:val="both"/>
              <w:rPr>
                <w:rFonts w:ascii="宋体" w:hAnsi="宋体" w:cs="宋体"/>
                <w:bCs/>
                <w:snapToGrid w:val="0"/>
                <w:color w:val="auto"/>
                <w:kern w:val="28"/>
                <w:highlight w:val="none"/>
              </w:rPr>
            </w:pPr>
            <w:r>
              <w:rPr>
                <w:rFonts w:hint="eastAsia" w:ascii="宋体" w:hAnsi="宋体" w:cs="宋体"/>
                <w:bCs/>
                <w:snapToGrid w:val="0"/>
                <w:color w:val="auto"/>
                <w:kern w:val="28"/>
                <w:highlight w:val="none"/>
              </w:rPr>
              <w:t>8.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7CEAA485">
            <w:pPr>
              <w:widowControl/>
              <w:adjustRightInd w:val="0"/>
              <w:spacing w:line="380" w:lineRule="exact"/>
              <w:jc w:val="both"/>
              <w:rPr>
                <w:rFonts w:hint="eastAsia" w:ascii="宋体" w:hAnsi="宋体" w:cs="宋体"/>
                <w:bCs/>
                <w:snapToGrid w:val="0"/>
                <w:color w:val="auto"/>
                <w:kern w:val="28"/>
                <w:highlight w:val="none"/>
              </w:rPr>
            </w:pPr>
            <w:r>
              <w:rPr>
                <w:rFonts w:hint="eastAsia" w:ascii="宋体" w:hAnsi="宋体" w:cs="宋体"/>
                <w:bCs/>
                <w:snapToGrid w:val="0"/>
                <w:color w:val="auto"/>
                <w:kern w:val="28"/>
                <w:highlight w:val="none"/>
              </w:rPr>
              <w:t>9.中标供应商中标后需要提供与电子投标文件内容一致的纸质投标文件（一正二副）作为存档资料。</w:t>
            </w:r>
          </w:p>
          <w:p w14:paraId="0692F738">
            <w:pPr>
              <w:widowControl/>
              <w:adjustRightInd w:val="0"/>
              <w:spacing w:line="380" w:lineRule="exact"/>
              <w:jc w:val="both"/>
              <w:rPr>
                <w:rFonts w:ascii="宋体" w:hAnsi="宋体" w:cs="宋体"/>
                <w:bCs/>
                <w:color w:val="auto"/>
                <w:kern w:val="28"/>
                <w:highlight w:val="none"/>
              </w:rPr>
            </w:pPr>
            <w:r>
              <w:rPr>
                <w:rFonts w:hint="eastAsia" w:ascii="宋体" w:hAnsi="宋体" w:cs="宋体"/>
                <w:bCs/>
                <w:snapToGrid w:val="0"/>
                <w:color w:val="auto"/>
                <w:kern w:val="28"/>
                <w:highlight w:val="none"/>
                <w:lang w:val="en-US" w:eastAsia="zh-CN"/>
              </w:rPr>
              <w:t>10.政采云平台项目采购系统目前获取并在开标（开启）阶段展示投标（响应）供应商投标客户端制作投标（响应）文件的 IP、MAC、设备硬件等信息，并对 IP、MAC 、投标手机号等信息重复的供应商进行标红。（注：投标手机号是上传投标文件时的手机号信息。每次上传记录均获取）</w:t>
            </w:r>
            <w:r>
              <w:rPr>
                <w:rFonts w:hint="eastAsia" w:ascii="宋体" w:hAnsi="宋体" w:cs="宋体"/>
                <w:bCs/>
                <w:color w:val="auto"/>
                <w:highlight w:val="none"/>
              </w:rPr>
              <w:t xml:space="preserve">                                  </w:t>
            </w:r>
          </w:p>
        </w:tc>
      </w:tr>
    </w:tbl>
    <w:p w14:paraId="30648120">
      <w:pPr>
        <w:spacing w:line="360" w:lineRule="auto"/>
        <w:rPr>
          <w:rFonts w:ascii="宋体" w:hAnsi="宋体" w:cs="宋体"/>
          <w:color w:val="auto"/>
          <w:highlight w:val="none"/>
        </w:rPr>
      </w:pPr>
    </w:p>
    <w:p w14:paraId="78ACEF2D">
      <w:pPr>
        <w:pStyle w:val="5"/>
        <w:spacing w:before="0" w:after="0" w:line="400" w:lineRule="exact"/>
        <w:ind w:firstLine="0" w:firstLineChars="0"/>
        <w:rPr>
          <w:rFonts w:hint="eastAsia" w:ascii="宋体" w:hAnsi="宋体" w:eastAsia="宋体" w:cs="宋体"/>
          <w:color w:val="auto"/>
          <w:sz w:val="21"/>
          <w:szCs w:val="21"/>
          <w:highlight w:val="none"/>
        </w:rPr>
        <w:sectPr>
          <w:footerReference r:id="rId8" w:type="first"/>
          <w:footerReference r:id="rId7" w:type="default"/>
          <w:pgSz w:w="11906" w:h="16838"/>
          <w:pgMar w:top="1361" w:right="1440" w:bottom="1361" w:left="1440" w:header="851" w:footer="992" w:gutter="0"/>
          <w:pgNumType w:start="1"/>
          <w:cols w:space="425" w:num="1"/>
          <w:titlePg/>
          <w:docGrid w:type="lines" w:linePitch="312" w:charSpace="0"/>
        </w:sectPr>
      </w:pPr>
      <w:bookmarkStart w:id="27" w:name="_Toc43498220"/>
    </w:p>
    <w:p w14:paraId="6FB7C9DF">
      <w:pPr>
        <w:pStyle w:val="5"/>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  总则</w:t>
      </w:r>
      <w:bookmarkEnd w:id="27"/>
    </w:p>
    <w:p w14:paraId="1D51013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1.适用范围</w:t>
      </w:r>
    </w:p>
    <w:p w14:paraId="1F913E8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1.1招标文件适用于本次所述项目的采购行为（法律、法规另有规定的，从其规定）。</w:t>
      </w:r>
    </w:p>
    <w:p w14:paraId="65DDBF1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2.定义</w:t>
      </w:r>
    </w:p>
    <w:p w14:paraId="57CC014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“采购人”系指招标公告中载明的本项目的采购人/招标人。</w:t>
      </w:r>
    </w:p>
    <w:p w14:paraId="21285E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 “投标人”系指是指响应招标、参加投标竞争的法人、其他组织或者自然人。</w:t>
      </w:r>
    </w:p>
    <w:p w14:paraId="35541B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 “采购代理机构”系指招标公告中载明的本项目的采购代理机构。</w:t>
      </w:r>
    </w:p>
    <w:p w14:paraId="332147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2.4“负责人”系指法人企业的法定代表人，或其他组织为法律、行政法规规定代表单位行使职权的主要负责人。</w:t>
      </w:r>
    </w:p>
    <w:p w14:paraId="4156F1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2.5“合同”系指委托方、受托方双方签署的规定委托方、受托方双方权利与义务的协议，以及所有的附件、附录和招标文件所提到的构成合同的所有文件。</w:t>
      </w:r>
    </w:p>
    <w:p w14:paraId="26B09F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 “产品”系指投标人按招标文件规定，须向采购人提供的一切产品（包括：虚拟产品），以及产品相关的保险、税金、备品备件、附件、耗材、工具、手册及其它有关技术资料和材料等。</w:t>
      </w:r>
    </w:p>
    <w:p w14:paraId="4870D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2.7 “服务”系指投标人按招标文件规定应承担的送货上门、安装、调试、技术协助、校准、培训、技术指导以及其他类似的附随义务。</w:t>
      </w:r>
    </w:p>
    <w:p w14:paraId="5E38C0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2.8本文件所指的公章均指供应商的</w:t>
      </w:r>
      <w:r>
        <w:rPr>
          <w:rFonts w:hint="eastAsia" w:ascii="宋体" w:hAnsi="宋体" w:cs="宋体"/>
          <w:b/>
          <w:bCs/>
          <w:color w:val="auto"/>
          <w:highlight w:val="none"/>
        </w:rPr>
        <w:t>CA</w:t>
      </w:r>
      <w:r>
        <w:rPr>
          <w:rFonts w:hint="eastAsia" w:ascii="宋体" w:hAnsi="宋体" w:cs="宋体"/>
          <w:bCs/>
          <w:color w:val="auto"/>
          <w:highlight w:val="none"/>
        </w:rPr>
        <w:t>电子章</w:t>
      </w:r>
      <w:r>
        <w:rPr>
          <w:rFonts w:hint="eastAsia" w:ascii="宋体" w:hAnsi="宋体" w:cs="宋体"/>
          <w:b/>
          <w:bCs/>
          <w:color w:val="auto"/>
          <w:highlight w:val="none"/>
        </w:rPr>
        <w:t>（格式另有要求的除外）</w:t>
      </w:r>
      <w:r>
        <w:rPr>
          <w:rFonts w:hint="eastAsia" w:ascii="宋体" w:hAnsi="宋体" w:cs="宋体"/>
          <w:color w:val="auto"/>
          <w:highlight w:val="none"/>
        </w:rPr>
        <w:t>。</w:t>
      </w:r>
    </w:p>
    <w:p w14:paraId="477E8CC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2.9“电子交易平台”是指本项目政府采购活动所依托的政府采购云平台（https://www.zcygov.cn/）。</w:t>
      </w:r>
    </w:p>
    <w:p w14:paraId="230C341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2.10“书面形式”包括信函、传真、电邮等。</w:t>
      </w:r>
    </w:p>
    <w:p w14:paraId="480AE77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3.投标人资格条件</w:t>
      </w:r>
    </w:p>
    <w:p w14:paraId="0F3D019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3.1符合第一部分申请人的资格要求的规定；</w:t>
      </w:r>
    </w:p>
    <w:p w14:paraId="5A9BFFE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3.2投标人应遵守有关的法律、法规和规章条例。</w:t>
      </w:r>
    </w:p>
    <w:p w14:paraId="6C39E2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4.联合体说明</w:t>
      </w:r>
    </w:p>
    <w:p w14:paraId="5BA1CB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4.1本项目不接受联合体投标。</w:t>
      </w:r>
    </w:p>
    <w:p w14:paraId="2BC2093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5.特别说明</w:t>
      </w:r>
    </w:p>
    <w:p w14:paraId="035003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5.1 单位负责人为同一人或者存在直接控股、管理关系的不同投标人，以及属于同一母公司或集团的不同投标人不得参加同一合同项下的政府采购活动。</w:t>
      </w:r>
    </w:p>
    <w:p w14:paraId="1BD944C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5.2 为采购项目提供整体设计、规范编制或者项目管理、监理、检测等服务的投标人，不得再参加该采购项目的其他采购活动。</w:t>
      </w:r>
    </w:p>
    <w:p w14:paraId="48BE82A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5.3投标人自行承担所有与投标有关的全部费用。</w:t>
      </w:r>
      <w:bookmarkStart w:id="28" w:name="EBb242ed4d95ae426f999df4b9b64f51fb"/>
      <w:bookmarkEnd w:id="28"/>
      <w:bookmarkStart w:id="29" w:name="EBf33655181aa74616a4714729efbcef95"/>
      <w:bookmarkEnd w:id="29"/>
    </w:p>
    <w:p w14:paraId="02300496">
      <w:pPr>
        <w:pStyle w:val="5"/>
        <w:spacing w:before="0" w:after="0" w:line="400" w:lineRule="exact"/>
        <w:ind w:firstLine="422"/>
        <w:rPr>
          <w:rFonts w:ascii="宋体" w:hAnsi="宋体" w:eastAsia="宋体" w:cs="宋体"/>
          <w:color w:val="auto"/>
          <w:sz w:val="21"/>
          <w:szCs w:val="21"/>
          <w:highlight w:val="none"/>
        </w:rPr>
      </w:pPr>
      <w:bookmarkStart w:id="30" w:name="_Toc43498221"/>
      <w:r>
        <w:rPr>
          <w:rFonts w:hint="eastAsia" w:ascii="宋体" w:hAnsi="宋体" w:eastAsia="宋体" w:cs="宋体"/>
          <w:color w:val="auto"/>
          <w:sz w:val="21"/>
          <w:szCs w:val="21"/>
          <w:highlight w:val="none"/>
        </w:rPr>
        <w:t>二  招标文件说明</w:t>
      </w:r>
      <w:bookmarkEnd w:id="30"/>
    </w:p>
    <w:p w14:paraId="3DC2302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6.招标文件的构成</w:t>
      </w:r>
    </w:p>
    <w:p w14:paraId="2F3947A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6.1招标文件用以阐明所需货物及服务、招标、投标程序和合同条款。招标文件由下述部分组成：</w:t>
      </w:r>
    </w:p>
    <w:p w14:paraId="1387D0A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6.1.1招标公告</w:t>
      </w:r>
    </w:p>
    <w:p w14:paraId="19E4D7C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6.1.2投标人须知</w:t>
      </w:r>
    </w:p>
    <w:p w14:paraId="1CAA2DF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6.1.3采购需求</w:t>
      </w:r>
    </w:p>
    <w:p w14:paraId="5E433FB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6.1.4政府采购合同格式</w:t>
      </w:r>
    </w:p>
    <w:p w14:paraId="774338E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6.1.5投标相关文件格式</w:t>
      </w:r>
    </w:p>
    <w:p w14:paraId="7D3CBE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6.1.6评标办法和细则</w:t>
      </w:r>
    </w:p>
    <w:p w14:paraId="18FAF5F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6.1.7与本项目有关的招标文件澄清、答复、修改、补充的内容。</w:t>
      </w:r>
    </w:p>
    <w:p w14:paraId="243D331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7.投标人的风险</w:t>
      </w:r>
    </w:p>
    <w:p w14:paraId="1F86087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3E9C643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8.招标文件的发售及澄清</w:t>
      </w:r>
    </w:p>
    <w:p w14:paraId="23AEE2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8.1招标文件澄清、答复、修改、补充的内容为招标文件的组成部分。</w:t>
      </w:r>
    </w:p>
    <w:p w14:paraId="7310285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8.2报名投标人认真阅读招标文件，应于招标文件规定的时间前以书面形式或政采云线上询问方式向采购代理机构提出澄清申请。采购代理机构对已发出的招标文件进行必要的澄清或者修改。澄清或者修改内容可能影响投标文件编制的，采购代理机构在投标截止时间15日前,在“浙江省政府采购网”并对其具有约束力。不足15日的，采购代理机构有权顺延提交投标文件的截止时间。</w:t>
      </w:r>
    </w:p>
    <w:p w14:paraId="2E3114B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8.3 潜在投标人应密切关注“浙江省政府采购网”，如有修改等，投标人应及时响应。</w:t>
      </w:r>
    </w:p>
    <w:p w14:paraId="30334E82">
      <w:pPr>
        <w:pStyle w:val="5"/>
        <w:spacing w:before="0" w:after="0" w:line="400" w:lineRule="exact"/>
        <w:ind w:firstLine="200" w:firstLineChars="0"/>
        <w:rPr>
          <w:rFonts w:ascii="宋体" w:hAnsi="宋体" w:eastAsia="宋体" w:cs="宋体"/>
          <w:color w:val="auto"/>
          <w:sz w:val="21"/>
          <w:szCs w:val="21"/>
          <w:highlight w:val="none"/>
        </w:rPr>
      </w:pPr>
      <w:bookmarkStart w:id="31" w:name="_Toc43498222"/>
      <w:r>
        <w:rPr>
          <w:rFonts w:hint="eastAsia" w:ascii="宋体" w:hAnsi="宋体" w:eastAsia="宋体" w:cs="宋体"/>
          <w:color w:val="auto"/>
          <w:sz w:val="21"/>
          <w:szCs w:val="21"/>
          <w:highlight w:val="none"/>
        </w:rPr>
        <w:t>三  投标文件的编写</w:t>
      </w:r>
      <w:bookmarkEnd w:id="31"/>
    </w:p>
    <w:p w14:paraId="79A2341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9.要求</w:t>
      </w:r>
    </w:p>
    <w:p w14:paraId="2BB4B4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9.1投标人应仔细阅读招标文件的所有内容，按照招标文件的要求提交投标文件，并对所提供的全部资料的真实性承担法律责任。</w:t>
      </w:r>
    </w:p>
    <w:p w14:paraId="1FED7C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9.2投标文件、投标人与采购有关的往来通知、函件和文件均应使用中文。如涉及非中文内容的，投标人有义务将其内容翻译成中文，一切对非中文内容的误解，都将由投标人承担。</w:t>
      </w:r>
    </w:p>
    <w:p w14:paraId="645BA3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9.3投标文件的形式和效力</w:t>
      </w:r>
    </w:p>
    <w:p w14:paraId="6C7445B0">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9.3.1 投标文件的形式：投标文件分为电子投标文件、备份投标文件。</w:t>
      </w:r>
    </w:p>
    <w:p w14:paraId="5289BB2F">
      <w:pPr>
        <w:snapToGrid w:val="0"/>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9.3.2 投标文件的效力</w:t>
      </w:r>
    </w:p>
    <w:p w14:paraId="41164FB4">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投标文件的启用，按先后顺位分别为电子投标文件、备份投标文件。</w:t>
      </w:r>
    </w:p>
    <w:p w14:paraId="01CBF406">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2794614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10. 投标文件的组成</w:t>
      </w:r>
    </w:p>
    <w:p w14:paraId="30651B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10.1上传的投标文件应分为资格审查文件、商务技术文件、报价文件三部分。资格审查文件、商务技术文件如有报价的内容, 其投标文件无效。报价文件如有商务技术内容, 其商务技术内容评标时将作为无效内容。</w:t>
      </w:r>
    </w:p>
    <w:p w14:paraId="29993DA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 投标文件编制内容和要求</w:t>
      </w:r>
    </w:p>
    <w:p w14:paraId="156F3787">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11.1 资格审查文件编制内容和要求：</w:t>
      </w:r>
      <w:r>
        <w:rPr>
          <w:rFonts w:hint="eastAsia" w:ascii="宋体" w:hAnsi="宋体" w:cs="宋体"/>
          <w:color w:val="auto"/>
          <w:highlight w:val="none"/>
        </w:rPr>
        <w:t>格式见第五部分资格审查文件格式</w:t>
      </w:r>
    </w:p>
    <w:p w14:paraId="7165E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11.1.1公司有效营业执照</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p>
    <w:p w14:paraId="5446683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11.1.2关于财务状况、缴纳税收和社会保障资金的承诺函；</w:t>
      </w:r>
    </w:p>
    <w:p w14:paraId="4CCF632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11.1.3履约承诺函</w:t>
      </w:r>
    </w:p>
    <w:p w14:paraId="68EC517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11.1.4具有履行合同所必需的专业技术能力的承诺函；</w:t>
      </w:r>
    </w:p>
    <w:p w14:paraId="497E1A6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11.1.5无重大违法记录声明书；</w:t>
      </w:r>
    </w:p>
    <w:p w14:paraId="20B38A1F">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6</w:t>
      </w:r>
      <w:r>
        <w:rPr>
          <w:rFonts w:hint="eastAsia" w:ascii="宋体" w:hAnsi="宋体" w:cs="宋体"/>
          <w:color w:val="auto"/>
          <w:highlight w:val="none"/>
        </w:rPr>
        <w:t>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（委托代理人参加投标的，提供负责人身份证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，同时提供授权委托书及委托代理人身份证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w:t>
      </w:r>
      <w:r>
        <w:rPr>
          <w:rFonts w:hint="eastAsia" w:ascii="宋体" w:hAnsi="宋体" w:cs="宋体"/>
          <w:color w:val="auto"/>
          <w:highlight w:val="none"/>
          <w:lang w:eastAsia="zh-CN"/>
        </w:rPr>
        <w:t>；</w:t>
      </w:r>
    </w:p>
    <w:p w14:paraId="248F68D0">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11.1.</w:t>
      </w:r>
      <w:r>
        <w:rPr>
          <w:rFonts w:hint="eastAsia" w:ascii="宋体" w:hAnsi="宋体" w:cs="宋体"/>
          <w:color w:val="auto"/>
          <w:highlight w:val="none"/>
          <w:lang w:val="en-US" w:eastAsia="zh-CN"/>
        </w:rPr>
        <w:t>7中小企业、残疾人福利性单位、监狱企业声明函；</w:t>
      </w:r>
    </w:p>
    <w:p w14:paraId="396BA373">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11.1.8《旅行社业务经营许可证》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lang w:val="en-US" w:eastAsia="zh-CN"/>
        </w:rPr>
        <w:t>。</w:t>
      </w:r>
    </w:p>
    <w:p w14:paraId="27BA6A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11.2商务技术文件编制内容和要求：</w:t>
      </w:r>
    </w:p>
    <w:p w14:paraId="5A403EB7">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11.2.1自评分表（格式自拟）；</w:t>
      </w:r>
    </w:p>
    <w:p w14:paraId="17CC4D06">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11.2.2投标声明书（格式见第五部分）；</w:t>
      </w:r>
    </w:p>
    <w:p w14:paraId="3159667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11.2.3参数规格偏离表（格式见第五部分）；</w:t>
      </w:r>
    </w:p>
    <w:p w14:paraId="61F26594">
      <w:pPr>
        <w:adjustRightInd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11.2.4根据评分表及项目需求情况，自行添加相关表格及资料；</w:t>
      </w:r>
    </w:p>
    <w:p w14:paraId="327D4E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11.3报价文件内容: 详见第五部分格式。</w:t>
      </w:r>
    </w:p>
    <w:p w14:paraId="4FC4CE6E">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1投标报价要求</w:t>
      </w:r>
      <w:r>
        <w:rPr>
          <w:rFonts w:hint="eastAsia" w:ascii="宋体" w:hAnsi="宋体" w:cs="宋体"/>
          <w:color w:val="auto"/>
          <w:highlight w:val="none"/>
          <w:lang w:eastAsia="zh-CN"/>
        </w:rPr>
        <w:t>；</w:t>
      </w:r>
    </w:p>
    <w:p w14:paraId="61EC186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投标人应在招标文件所附的投标价格表上写明投标单价和投标总价。投标人只允许有一个报价,采购人不接受有任何选择的报价。投标报价高于采购预算单价和总价(最高限价)的不进入报价标评审，视报价分为零分。并不得推荐为中标候选人。</w:t>
      </w:r>
    </w:p>
    <w:p w14:paraId="6EDCE0C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11.3</w:t>
      </w:r>
      <w:r>
        <w:rPr>
          <w:rFonts w:hint="eastAsia" w:ascii="宋体" w:hAnsi="宋体" w:cs="宋体"/>
          <w:b/>
          <w:bCs/>
          <w:color w:val="auto"/>
          <w:highlight w:val="none"/>
        </w:rPr>
        <w:t>.</w:t>
      </w:r>
      <w:r>
        <w:rPr>
          <w:rFonts w:hint="eastAsia" w:ascii="宋体" w:hAnsi="宋体" w:cs="宋体"/>
          <w:color w:val="auto"/>
          <w:highlight w:val="none"/>
        </w:rPr>
        <w:t>2投标相关报价明细表填写时应详细注明该表列举的费用及分项清单。</w:t>
      </w:r>
    </w:p>
    <w:p w14:paraId="1E7BA02A">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12.排版</w:t>
      </w:r>
    </w:p>
    <w:p w14:paraId="7958ACCC">
      <w:pPr>
        <w:wordWrap w:val="0"/>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按政采云平台投标人项目采购-电子招投标操作指南和本招标文件要求编制；</w:t>
      </w:r>
    </w:p>
    <w:p w14:paraId="31DE8A46">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13.投标有效期</w:t>
      </w:r>
    </w:p>
    <w:p w14:paraId="74DB387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13.1</w:t>
      </w:r>
      <w:r>
        <w:rPr>
          <w:rFonts w:hint="eastAsia" w:ascii="宋体" w:hAnsi="宋体" w:cs="宋体"/>
          <w:snapToGrid w:val="0"/>
          <w:color w:val="auto"/>
          <w:highlight w:val="none"/>
        </w:rPr>
        <w:t>提交投标文件的截止之日起90天内有效。</w:t>
      </w:r>
    </w:p>
    <w:p w14:paraId="5879D76F">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14.投标文件的签署及规定</w:t>
      </w:r>
    </w:p>
    <w:p w14:paraId="7663661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14.1电报、电话、传真形式的投标概不接受。</w:t>
      </w:r>
    </w:p>
    <w:p w14:paraId="357DAEA4">
      <w:pPr>
        <w:spacing w:line="400" w:lineRule="exact"/>
        <w:ind w:firstLine="420" w:firstLineChars="200"/>
        <w:rPr>
          <w:rFonts w:ascii="宋体" w:hAnsi="宋体" w:cs="宋体"/>
          <w:bCs/>
          <w:color w:val="auto"/>
          <w:highlight w:val="none"/>
        </w:rPr>
      </w:pPr>
      <w:r>
        <w:rPr>
          <w:rFonts w:hint="eastAsia" w:ascii="宋体" w:hAnsi="宋体" w:cs="宋体"/>
          <w:color w:val="auto"/>
          <w:highlight w:val="none"/>
        </w:rPr>
        <w:t>14.2</w:t>
      </w:r>
      <w:r>
        <w:rPr>
          <w:rFonts w:hint="eastAsia" w:ascii="宋体" w:hAnsi="宋体" w:cs="宋体"/>
          <w:bCs/>
          <w:color w:val="auto"/>
          <w:highlight w:val="none"/>
        </w:rPr>
        <w:t>投标文件按照招标文件第五部分格式要求进行签署、盖章。投标人的投标文件未按照招标文件要求签署、盖章的，其投标无效。</w:t>
      </w:r>
    </w:p>
    <w:p w14:paraId="4DCF8D34">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14.3</w:t>
      </w:r>
      <w:r>
        <w:rPr>
          <w:rFonts w:hint="eastAsia" w:ascii="宋体" w:hAnsi="宋体" w:cs="宋体"/>
          <w:b/>
          <w:bCs/>
          <w:color w:val="auto"/>
          <w:highlight w:val="none"/>
        </w:rPr>
        <w:t>电子投标文件编制要求：按政采云平台投标人项目采购-电子招投标操作指南和本招标文件要求编制。</w:t>
      </w:r>
    </w:p>
    <w:p w14:paraId="164EFF26">
      <w:pPr>
        <w:pStyle w:val="5"/>
        <w:spacing w:before="0" w:after="0" w:line="400" w:lineRule="exact"/>
        <w:ind w:firstLine="422"/>
        <w:rPr>
          <w:rFonts w:ascii="宋体" w:hAnsi="宋体" w:eastAsia="宋体" w:cs="宋体"/>
          <w:color w:val="auto"/>
          <w:sz w:val="21"/>
          <w:szCs w:val="21"/>
          <w:highlight w:val="none"/>
        </w:rPr>
      </w:pPr>
      <w:bookmarkStart w:id="32" w:name="_Toc56928685"/>
      <w:bookmarkStart w:id="33" w:name="_Toc107820049"/>
      <w:bookmarkStart w:id="34" w:name="_Toc43498223"/>
      <w:r>
        <w:rPr>
          <w:rFonts w:hint="eastAsia" w:ascii="宋体" w:hAnsi="宋体" w:eastAsia="宋体" w:cs="宋体"/>
          <w:color w:val="auto"/>
          <w:sz w:val="21"/>
          <w:szCs w:val="21"/>
          <w:highlight w:val="none"/>
        </w:rPr>
        <w:t>四  投标文件的</w:t>
      </w:r>
      <w:bookmarkEnd w:id="32"/>
      <w:bookmarkEnd w:id="33"/>
      <w:r>
        <w:rPr>
          <w:rFonts w:hint="eastAsia" w:ascii="宋体" w:hAnsi="宋体" w:eastAsia="宋体" w:cs="宋体"/>
          <w:color w:val="auto"/>
          <w:sz w:val="21"/>
          <w:szCs w:val="21"/>
          <w:highlight w:val="none"/>
        </w:rPr>
        <w:t>包装、提交、修改和撤回</w:t>
      </w:r>
      <w:bookmarkEnd w:id="34"/>
    </w:p>
    <w:p w14:paraId="03986B41">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15.投标文件的密封和标记</w:t>
      </w:r>
    </w:p>
    <w:p w14:paraId="3E6842F8">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15.1电子投标文件按政采云平台投标人项目采购-电子招投标操作指南进行加密，其中电子投标文件中所须加盖公章部分采用CA签章或签章后扫描上传。</w:t>
      </w:r>
    </w:p>
    <w:p w14:paraId="78570B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15.2按招标文件第五部分提供的格式制作。</w:t>
      </w:r>
    </w:p>
    <w:p w14:paraId="2ABA05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15.3超过截止时间上传电子投标文件将被拒绝。由投标人标记错误造成投标文件被误投或提前解密的风险由投标人承担。</w:t>
      </w:r>
    </w:p>
    <w:p w14:paraId="5E140964">
      <w:pPr>
        <w:spacing w:line="400" w:lineRule="exact"/>
        <w:ind w:firstLine="422" w:firstLineChars="200"/>
        <w:rPr>
          <w:rFonts w:ascii="宋体" w:hAnsi="宋体" w:cs="宋体"/>
          <w:b/>
          <w:bCs/>
          <w:color w:val="auto"/>
          <w:highlight w:val="none"/>
        </w:rPr>
      </w:pPr>
      <w:bookmarkStart w:id="35" w:name="_Toc107820050"/>
      <w:r>
        <w:rPr>
          <w:rFonts w:hint="eastAsia" w:ascii="宋体" w:hAnsi="宋体" w:cs="宋体"/>
          <w:b/>
          <w:bCs/>
          <w:color w:val="auto"/>
          <w:highlight w:val="none"/>
        </w:rPr>
        <w:t>16.投标文件的提交</w:t>
      </w:r>
    </w:p>
    <w:p w14:paraId="38424AE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16.1在投标截止时间前，投标人应按招标文件规定的时间和方式提交投标文件。在投标截止时间后，采购代理机构将拒收投标人的投标文件。</w:t>
      </w:r>
    </w:p>
    <w:p w14:paraId="6D4AFD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16.2不予接收的电子投标文件情形</w:t>
      </w:r>
    </w:p>
    <w:p w14:paraId="0EC27BE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(1)投标截止时间前未完成传输的电子投标文件；</w:t>
      </w:r>
    </w:p>
    <w:p w14:paraId="5853D8A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(2)未生成加密的电子投标文件；</w:t>
      </w:r>
    </w:p>
    <w:p w14:paraId="2D289E3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(3)在规定时间内未解密的电子投标文件或者解密不成功又未在规定时间内提交备份投标文件的。</w:t>
      </w:r>
    </w:p>
    <w:p w14:paraId="4EA9D322">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17.投标文件的修改和撤销</w:t>
      </w:r>
    </w:p>
    <w:p w14:paraId="48E0643B">
      <w:pPr>
        <w:spacing w:line="400" w:lineRule="exact"/>
        <w:ind w:firstLine="420" w:firstLineChars="200"/>
        <w:rPr>
          <w:rFonts w:ascii="宋体" w:hAnsi="宋体" w:cs="宋体"/>
          <w:color w:val="auto"/>
          <w:highlight w:val="none"/>
        </w:rPr>
      </w:pPr>
      <w:bookmarkStart w:id="36" w:name="_Toc43498224"/>
      <w:r>
        <w:rPr>
          <w:rFonts w:hint="eastAsia" w:ascii="宋体" w:hAnsi="宋体" w:cs="宋体"/>
          <w:color w:val="auto"/>
          <w:highlight w:val="none"/>
        </w:rPr>
        <w:t>17.1在投标截止时间前，可以修改或撤回其投标文件：（1）电子投标文件补充、修改或撤回的，应当先行撤回原文件，补充、修改后重新传输提交；（2）备份投标文件补充、修改或撤回的应以书面形式通知采购代理机构。</w:t>
      </w:r>
    </w:p>
    <w:p w14:paraId="3368146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17.2修改后重新提交的投标文件应按招标文件的规定编制、标记和提交。</w:t>
      </w:r>
    </w:p>
    <w:p w14:paraId="3C2680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17.3在投标截止时间后,投标人不得修改、撤回已提交的投标文件。</w:t>
      </w:r>
    </w:p>
    <w:p w14:paraId="4F0263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17.4补充、修改后的电子投标文件、备份投标文件内容均应相同。</w:t>
      </w:r>
    </w:p>
    <w:p w14:paraId="5E611FF6">
      <w:pPr>
        <w:pStyle w:val="5"/>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  开标和评</w:t>
      </w:r>
      <w:bookmarkEnd w:id="35"/>
      <w:r>
        <w:rPr>
          <w:rFonts w:hint="eastAsia" w:ascii="宋体" w:hAnsi="宋体" w:eastAsia="宋体" w:cs="宋体"/>
          <w:color w:val="auto"/>
          <w:sz w:val="21"/>
          <w:szCs w:val="21"/>
          <w:highlight w:val="none"/>
        </w:rPr>
        <w:t>审</w:t>
      </w:r>
      <w:bookmarkEnd w:id="36"/>
    </w:p>
    <w:p w14:paraId="2072EFD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18.开标</w:t>
      </w:r>
    </w:p>
    <w:p w14:paraId="51586B5F">
      <w:pPr>
        <w:spacing w:line="400" w:lineRule="exact"/>
        <w:ind w:firstLine="420" w:firstLineChars="200"/>
        <w:rPr>
          <w:rFonts w:ascii="宋体" w:hAnsi="宋体" w:cs="宋体"/>
          <w:b/>
          <w:color w:val="auto"/>
          <w:highlight w:val="none"/>
        </w:rPr>
      </w:pPr>
      <w:bookmarkStart w:id="37" w:name="_Toc415648536"/>
      <w:bookmarkStart w:id="38" w:name="_Toc393869892"/>
      <w:bookmarkStart w:id="39" w:name="_Toc396838136"/>
      <w:bookmarkStart w:id="40" w:name="_Toc334087238"/>
      <w:bookmarkStart w:id="41" w:name="_Toc335664280"/>
      <w:bookmarkStart w:id="42" w:name="_Toc393869894"/>
      <w:bookmarkStart w:id="43" w:name="_Toc394928032"/>
      <w:bookmarkStart w:id="44" w:name="_Toc107820051"/>
      <w:r>
        <w:rPr>
          <w:rFonts w:hint="eastAsia" w:ascii="宋体" w:hAnsi="宋体" w:cs="宋体"/>
          <w:bCs/>
          <w:color w:val="auto"/>
          <w:highlight w:val="none"/>
        </w:rPr>
        <w:t>18.1采购代理机构按照招标文件规定的时间通过电子交易平台组织开标，所有投标人均应当准时在线参加。投标人不足3家的，不得开标。</w:t>
      </w:r>
    </w:p>
    <w:p w14:paraId="3E063D8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18.2开标时，电子交易平台按开标时间自动提取所有投标文件。采购代理机构依托电子交易平台发起开始解密指令，投标人按照平台提示和招标文件的规定在半小时内完成在线解密。</w:t>
      </w:r>
    </w:p>
    <w:p w14:paraId="7AD14B4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18.3投标文件未按时解密，投标人提供了备份投标文件的，以备份投标文件作为依据，否则视为投标文件撤回。投标文件已按时解密的，备份投标文件自动失效。</w:t>
      </w:r>
    </w:p>
    <w:p w14:paraId="559A2E04">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18.4投标人认为采购人员及相关人员与其他投标人有利害关系的，可向采购代理机构提出回避申请，并说明理</w:t>
      </w:r>
      <w:r>
        <w:rPr>
          <w:rFonts w:hint="eastAsia" w:ascii="宋体" w:hAnsi="宋体" w:cs="宋体"/>
          <w:color w:val="auto"/>
          <w:highlight w:val="none"/>
        </w:rPr>
        <w:t>由，申请须由投标人代表签字或盖章。</w:t>
      </w:r>
    </w:p>
    <w:p w14:paraId="6C3C6884">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19. 资格审查</w:t>
      </w:r>
    </w:p>
    <w:p w14:paraId="3F03CAC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19.1开标后，评标委员会将依法对投标人的资格进行审查。</w:t>
      </w:r>
    </w:p>
    <w:p w14:paraId="404C52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19.2评标委员会依据法律法规和招标文件的规定，对投标人的基本资格条件、特定资格条件进行审查。</w:t>
      </w:r>
    </w:p>
    <w:p w14:paraId="1C1D41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19.3投标人未按照招标文件要求提供与基本资格条件、特定资格条件相应的有效资格证明材料的，视为投标人不具备招标文件中规定的资格要求，其投标无效。</w:t>
      </w:r>
    </w:p>
    <w:p w14:paraId="350343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19.4对未通过资格审查的投标人，采购人或采购代理机构告知其未通过的原因。</w:t>
      </w:r>
    </w:p>
    <w:p w14:paraId="4983701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19.5合格投标人不足3家的，不再继续评标。</w:t>
      </w:r>
    </w:p>
    <w:p w14:paraId="598D26D7">
      <w:pPr>
        <w:numPr>
          <w:ilvl w:val="0"/>
          <w:numId w:val="3"/>
        </w:num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6信用信息查询</w:t>
      </w:r>
    </w:p>
    <w:p w14:paraId="2D323A8B">
      <w:pPr>
        <w:numPr>
          <w:ilvl w:val="255"/>
          <w:numId w:val="0"/>
        </w:num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19.6.1信用信息查询渠道及截止时间：采购代理机构将通过“信用中国”网站(www.creditchina.gov.cn)、中国政府采购网(www.ccgp.gov.cn)渠道查询投标人投标截止时间当天的信用记录。</w:t>
      </w:r>
    </w:p>
    <w:p w14:paraId="7DAD89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19.6.2信用信息查询记录和证据留存的具体方式：现场查询的投标人的信用记录、查询结果经确认后将与采购文件一起存档。</w:t>
      </w:r>
    </w:p>
    <w:p w14:paraId="12E8ACA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19.6.3信用信息的使用规则：经查询列入失信被执行人名单、重大税收违法案件当事人名单、政府采购严重违法失信行为记录名单的投标人将被拒绝参与政府采购活动。</w:t>
      </w:r>
    </w:p>
    <w:p w14:paraId="1670277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19.6.4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52C29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20.评审流程</w:t>
      </w:r>
    </w:p>
    <w:p w14:paraId="6521F3EF">
      <w:pPr>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20.1采购代理机构和采购人将根据采购项目的特点组建</w:t>
      </w:r>
      <w:r>
        <w:rPr>
          <w:rFonts w:hint="eastAsia" w:ascii="宋体" w:hAnsi="宋体" w:cs="宋体"/>
          <w:color w:val="auto"/>
          <w:highlight w:val="none"/>
        </w:rPr>
        <w:t>评标委员会</w:t>
      </w:r>
      <w:r>
        <w:rPr>
          <w:rFonts w:hint="eastAsia" w:ascii="宋体" w:hAnsi="宋体" w:cs="宋体"/>
          <w:color w:val="auto"/>
          <w:kern w:val="0"/>
          <w:highlight w:val="none"/>
        </w:rPr>
        <w:t>，其成员由技术、经济等方面的专家和采购人代表组成。</w:t>
      </w:r>
      <w:r>
        <w:rPr>
          <w:rFonts w:hint="eastAsia" w:ascii="宋体" w:hAnsi="宋体" w:cs="宋体"/>
          <w:color w:val="auto"/>
          <w:highlight w:val="none"/>
        </w:rPr>
        <w:t>评标委员会</w:t>
      </w:r>
      <w:r>
        <w:rPr>
          <w:rFonts w:hint="eastAsia" w:ascii="宋体" w:hAnsi="宋体" w:cs="宋体"/>
          <w:color w:val="auto"/>
          <w:kern w:val="0"/>
          <w:highlight w:val="none"/>
        </w:rPr>
        <w:t>对投标文件进行符合性审查、询标、评价和推荐中标候选人。</w:t>
      </w:r>
    </w:p>
    <w:p w14:paraId="0702835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20.1.1符合性审查</w:t>
      </w:r>
    </w:p>
    <w:p w14:paraId="02807952">
      <w:pPr>
        <w:spacing w:line="400" w:lineRule="exact"/>
        <w:ind w:firstLine="420" w:firstLineChars="200"/>
        <w:rPr>
          <w:rFonts w:ascii="宋体" w:hAnsi="宋体" w:cs="宋体"/>
          <w:b/>
          <w:bCs/>
          <w:color w:val="auto"/>
          <w:highlight w:val="none"/>
        </w:rPr>
      </w:pPr>
      <w:r>
        <w:rPr>
          <w:rFonts w:hint="eastAsia" w:ascii="宋体" w:hAnsi="宋体" w:cs="宋体"/>
          <w:color w:val="auto"/>
          <w:highlight w:val="none"/>
        </w:rPr>
        <w:t>根据招标文件的规定，从投标文件的有效性、完整性和对招标文件的响应程度进行审查，以确定是否对招标文件的实质性要求作出响应。</w:t>
      </w:r>
      <w:r>
        <w:rPr>
          <w:rFonts w:hint="eastAsia" w:ascii="宋体" w:hAnsi="宋体" w:cs="宋体"/>
          <w:b/>
          <w:bCs/>
          <w:color w:val="auto"/>
          <w:highlight w:val="none"/>
        </w:rPr>
        <w:t>通过符合性审查不足三家的，除采购任务取消情形外，按相关规定重新组织招标。</w:t>
      </w:r>
    </w:p>
    <w:p w14:paraId="191F10B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20.1.2 商务技术文件评审</w:t>
      </w:r>
    </w:p>
    <w:p w14:paraId="37EF8E0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w:t>
      </w:r>
      <w:r>
        <w:rPr>
          <w:rFonts w:hint="eastAsia" w:ascii="宋体" w:hAnsi="宋体" w:cs="宋体"/>
          <w:color w:val="auto"/>
          <w:kern w:val="0"/>
          <w:highlight w:val="none"/>
        </w:rPr>
        <w:t>投标人的商务</w:t>
      </w:r>
      <w:r>
        <w:rPr>
          <w:rFonts w:hint="eastAsia" w:ascii="宋体" w:hAnsi="宋体" w:cs="宋体"/>
          <w:color w:val="auto"/>
          <w:highlight w:val="none"/>
        </w:rPr>
        <w:t>技术文件进行评审（商务资信部分讨论统一后由组长评审、技术部分独立评审），对</w:t>
      </w:r>
      <w:r>
        <w:rPr>
          <w:rFonts w:hint="eastAsia" w:ascii="宋体" w:hAnsi="宋体" w:cs="宋体"/>
          <w:color w:val="auto"/>
          <w:kern w:val="0"/>
          <w:highlight w:val="none"/>
        </w:rPr>
        <w:t>投标文件</w:t>
      </w:r>
      <w:r>
        <w:rPr>
          <w:rFonts w:hint="eastAsia" w:ascii="宋体" w:hAnsi="宋体" w:cs="宋体"/>
          <w:color w:val="auto"/>
          <w:highlight w:val="none"/>
        </w:rPr>
        <w:t>进行比较和必要的澄清。</w:t>
      </w:r>
    </w:p>
    <w:p w14:paraId="0D35A27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20.1.3报价文件评审</w:t>
      </w:r>
    </w:p>
    <w:p w14:paraId="5FA490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评标委员会依据招标文件的规定，对各投标人的报价的合理性进行审查，必要时可要求投标人对其报价做出澄清、说明。</w:t>
      </w:r>
    </w:p>
    <w:p w14:paraId="309D8403">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21. 报价文件的澄清</w:t>
      </w:r>
    </w:p>
    <w:p w14:paraId="3BD557C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21.1 对</w:t>
      </w:r>
      <w:r>
        <w:rPr>
          <w:rFonts w:hint="eastAsia" w:ascii="宋体" w:hAnsi="宋体" w:cs="宋体"/>
          <w:color w:val="auto"/>
          <w:kern w:val="0"/>
          <w:highlight w:val="none"/>
        </w:rPr>
        <w:t>投标文件</w:t>
      </w:r>
      <w:r>
        <w:rPr>
          <w:rFonts w:hint="eastAsia" w:ascii="宋体" w:hAnsi="宋体" w:cs="宋体"/>
          <w:color w:val="auto"/>
          <w:highlight w:val="none"/>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2FFF01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21.2 报价算术错误将按以下方法修正：</w:t>
      </w:r>
    </w:p>
    <w:p w14:paraId="5699FB83">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highlight w:val="none"/>
        </w:rPr>
        <w:t>报价文件</w:t>
      </w:r>
      <w:r>
        <w:rPr>
          <w:rFonts w:hint="eastAsia" w:ascii="宋体" w:hAnsi="宋体" w:cs="宋体"/>
          <w:color w:val="auto"/>
          <w:highlight w:val="none"/>
        </w:rPr>
        <w:t>中开标一览表（报价表）内容与</w:t>
      </w:r>
      <w:r>
        <w:rPr>
          <w:rFonts w:hint="eastAsia" w:ascii="宋体" w:hAnsi="宋体" w:cs="宋体"/>
          <w:color w:val="auto"/>
          <w:kern w:val="0"/>
          <w:highlight w:val="none"/>
        </w:rPr>
        <w:t>报价</w:t>
      </w:r>
      <w:r>
        <w:rPr>
          <w:rFonts w:hint="eastAsia" w:ascii="宋体" w:hAnsi="宋体" w:cs="宋体"/>
          <w:color w:val="auto"/>
          <w:highlight w:val="none"/>
        </w:rPr>
        <w:t>明细表相应内容不一致的，以开标一览表（报价表）为准；</w:t>
      </w:r>
    </w:p>
    <w:p w14:paraId="3BD76691">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（2）报价文件的大写金额和小写金额不一致的，以大写金额为准；</w:t>
      </w:r>
    </w:p>
    <w:p w14:paraId="6007ECD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（3）单价金额小数点或者百分比有明显错位的，以开标一览表（报价表）的总价为准，并修改单价；</w:t>
      </w:r>
    </w:p>
    <w:p w14:paraId="15065A5B">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41AA7CE6">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（5）同时出现两种以上不一致的，按上述顺序修正。</w:t>
      </w:r>
    </w:p>
    <w:p w14:paraId="34DD87F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（6）对不同文字文本</w:t>
      </w:r>
      <w:r>
        <w:rPr>
          <w:rFonts w:hint="eastAsia" w:ascii="宋体" w:hAnsi="宋体" w:cs="宋体"/>
          <w:color w:val="auto"/>
          <w:kern w:val="0"/>
          <w:highlight w:val="none"/>
        </w:rPr>
        <w:t>投标文件</w:t>
      </w:r>
      <w:r>
        <w:rPr>
          <w:rFonts w:hint="eastAsia" w:ascii="宋体" w:hAnsi="宋体" w:cs="宋体"/>
          <w:color w:val="auto"/>
          <w:highlight w:val="none"/>
        </w:rPr>
        <w:t>的解释发生异议的，以中文文本为准。</w:t>
      </w:r>
    </w:p>
    <w:p w14:paraId="2EA4E15D">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57E17ECF">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8）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ascii="宋体" w:hAnsi="宋体" w:cs="宋体"/>
          <w:color w:val="auto"/>
          <w:highlight w:val="none"/>
          <w:lang w:val="en-US" w:eastAsia="zh-CN"/>
        </w:rPr>
        <w:t>10</w:t>
      </w:r>
      <w:r>
        <w:rPr>
          <w:rFonts w:hint="eastAsia" w:ascii="宋体" w:hAnsi="宋体" w:cs="宋体"/>
          <w:color w:val="auto"/>
          <w:highlight w:val="none"/>
        </w:rPr>
        <w:t>%的扣除，用扣除后的价格参加评审。</w:t>
      </w:r>
    </w:p>
    <w:p w14:paraId="66B4A84A">
      <w:pPr>
        <w:spacing w:line="400" w:lineRule="exact"/>
        <w:ind w:firstLine="382" w:firstLineChars="182"/>
        <w:rPr>
          <w:rFonts w:ascii="宋体" w:hAnsi="宋体" w:cs="宋体"/>
          <w:color w:val="auto"/>
          <w:highlight w:val="none"/>
        </w:rPr>
      </w:pPr>
      <w:r>
        <w:rPr>
          <w:rFonts w:hint="eastAsia" w:ascii="宋体" w:hAns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10B3ABF0">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 对投标文件的比较和评价</w:t>
      </w:r>
    </w:p>
    <w:p w14:paraId="23BA2E0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50B240BD">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22.2 相同品牌的产品</w:t>
      </w:r>
    </w:p>
    <w:p w14:paraId="1A49F19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A4AAE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22.2.2如按一家有效投标人认定后，造成项目有效投标人不足三家的，项目应予以废标处理</w:t>
      </w:r>
    </w:p>
    <w:p w14:paraId="3AC970EC">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23. 评标报告</w:t>
      </w:r>
    </w:p>
    <w:p w14:paraId="4A437B0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23.1评标委员会根据全体评审成员的原始评审记录和评审结果编写评标报告，并推荐</w:t>
      </w:r>
      <w:r>
        <w:rPr>
          <w:rFonts w:hint="eastAsia" w:ascii="宋体" w:hAnsi="宋体" w:cs="宋体"/>
          <w:color w:val="auto"/>
          <w:highlight w:val="none"/>
          <w:u w:val="single"/>
        </w:rPr>
        <w:t xml:space="preserve"> 1 </w:t>
      </w:r>
      <w:r>
        <w:rPr>
          <w:rFonts w:hint="eastAsia" w:ascii="宋体" w:hAnsi="宋体" w:cs="宋体"/>
          <w:color w:val="auto"/>
          <w:highlight w:val="none"/>
        </w:rPr>
        <w:t>名中标候选人，评审报告由评标委员会成员确认提交。</w:t>
      </w:r>
    </w:p>
    <w:p w14:paraId="3F9CE37E">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24.采购过程中出现以下情形，导致电子交易平台无法正常运行，或者无法保证电子交易的公平、公正和安全时，可中止电子交易活动：</w:t>
      </w:r>
    </w:p>
    <w:p w14:paraId="6DDBD9C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（一）电子交易平台发生故障而无法登录访问的； </w:t>
      </w:r>
    </w:p>
    <w:p w14:paraId="6AD550D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（二）电子交易平台应用或数据库出现错误，不能进行正常操作的；</w:t>
      </w:r>
    </w:p>
    <w:p w14:paraId="7E2E410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（三）电子交易平台发现严重安全漏洞，有潜在泄密危险的；</w:t>
      </w:r>
    </w:p>
    <w:p w14:paraId="0460FF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（四）病毒发作导致不能进行正常操作的； </w:t>
      </w:r>
    </w:p>
    <w:p w14:paraId="08FEC18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（五）其他无法保证电子交易的公平、公正和安全的情况。</w:t>
      </w:r>
    </w:p>
    <w:p w14:paraId="3A9D4C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出现前款规定情形，不影响采购公平、公正性的，采购代理机构可以待上述情形消除后继续组织电子交易活动；影响或可能影响采购公平、公正性的，重新组织采购。</w:t>
      </w:r>
    </w:p>
    <w:p w14:paraId="2C46FDF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 采购代理机构或评审委员会因不可抗力（不可抗力包括但不限于自然灾害、断电、传播疫病等）原因造成电子交易活动无法正常运行的，将采取以下措施：</w:t>
      </w:r>
    </w:p>
    <w:p w14:paraId="4D1FCDB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⑴短时间内能消除不可抗力因素的，采购代理机构或评审委员会在消除不可抗力因素后继续组织电子交易活动。</w:t>
      </w:r>
    </w:p>
    <w:p w14:paraId="2CBB1C7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⑵长时间内无法消除不可抗力因素的，采购代理机构或评审委员会将中止电子交易活动。中止电子交易活动的，采购人应当重新组织政府采购活动。</w:t>
      </w:r>
    </w:p>
    <w:p w14:paraId="0149BACB">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26. 保密</w:t>
      </w:r>
    </w:p>
    <w:p w14:paraId="217CD26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26.1 自开标时间起至中标结果公告发布时间止，凡属于审查、澄清、评价和比较投标的有关资料，且与授予合同有关的信息都不得向任何投标人或与上述评审过程无关的人员透露。</w:t>
      </w:r>
    </w:p>
    <w:p w14:paraId="00C694F2">
      <w:pPr>
        <w:pStyle w:val="5"/>
        <w:spacing w:before="0" w:after="0" w:line="400" w:lineRule="exact"/>
        <w:ind w:firstLine="0" w:firstLineChars="0"/>
        <w:rPr>
          <w:rFonts w:ascii="宋体" w:hAnsi="宋体" w:eastAsia="宋体" w:cs="宋体"/>
          <w:color w:val="auto"/>
          <w:sz w:val="21"/>
          <w:szCs w:val="21"/>
          <w:highlight w:val="none"/>
        </w:rPr>
      </w:pPr>
      <w:bookmarkStart w:id="45" w:name="_Toc494555855"/>
      <w:bookmarkStart w:id="46" w:name="_Toc493956039"/>
      <w:bookmarkStart w:id="47" w:name="_Toc43498225"/>
      <w:r>
        <w:rPr>
          <w:rFonts w:hint="eastAsia" w:ascii="宋体" w:hAnsi="宋体" w:eastAsia="宋体" w:cs="宋体"/>
          <w:color w:val="auto"/>
          <w:sz w:val="21"/>
          <w:szCs w:val="21"/>
          <w:highlight w:val="none"/>
        </w:rPr>
        <w:t>六  投标无效的情形</w:t>
      </w:r>
      <w:bookmarkEnd w:id="45"/>
      <w:bookmarkEnd w:id="46"/>
      <w:bookmarkEnd w:id="47"/>
    </w:p>
    <w:p w14:paraId="2290E6CA">
      <w:pPr>
        <w:spacing w:line="400" w:lineRule="exact"/>
        <w:ind w:firstLine="422" w:firstLineChars="200"/>
        <w:rPr>
          <w:rFonts w:ascii="宋体" w:hAnsi="宋体" w:cs="宋体"/>
          <w:b/>
          <w:color w:val="auto"/>
          <w:highlight w:val="none"/>
        </w:rPr>
      </w:pPr>
      <w:bookmarkStart w:id="48" w:name="_Toc493956040"/>
      <w:bookmarkStart w:id="49" w:name="_Toc43498226"/>
      <w:bookmarkStart w:id="50" w:name="_Toc494555856"/>
      <w:r>
        <w:rPr>
          <w:rFonts w:hint="eastAsia" w:ascii="宋体" w:hAnsi="宋体" w:cs="宋体"/>
          <w:b/>
          <w:color w:val="auto"/>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highlight w:val="none"/>
        </w:rPr>
        <w:t>投标文件</w:t>
      </w:r>
      <w:r>
        <w:rPr>
          <w:rFonts w:hint="eastAsia" w:ascii="宋体" w:hAnsi="宋体" w:cs="宋体"/>
          <w:b/>
          <w:color w:val="auto"/>
          <w:highlight w:val="none"/>
        </w:rPr>
        <w:t>无效：</w:t>
      </w:r>
    </w:p>
    <w:p w14:paraId="103E5376">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27.1投标人不具备招标文件中规定的资格要求的（投标人未提供有效的资格文件的，视为投标人不具备招标文件中规定的资格要求）；</w:t>
      </w:r>
    </w:p>
    <w:p w14:paraId="523EDA02">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27.2投标文件未按照招标文件要求签署、盖章的；</w:t>
      </w:r>
    </w:p>
    <w:p w14:paraId="5E2E6697">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27.3投标文件含有采购人不能接受的附加条件的；</w:t>
      </w:r>
    </w:p>
    <w:p w14:paraId="5C79669C">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27.4投标文件中承诺的投标有效期少于招标文件中载明的投标有效期的；</w:t>
      </w:r>
    </w:p>
    <w:p w14:paraId="7AEAD785">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27.5投标文件出现不是唯一的、有选择性投标报价的</w:t>
      </w:r>
      <w:r>
        <w:rPr>
          <w:rFonts w:hint="eastAsia" w:ascii="宋体" w:hAnsi="宋体" w:cs="宋体"/>
          <w:bCs/>
          <w:color w:val="auto"/>
          <w:highlight w:val="none"/>
          <w:lang w:eastAsia="zh-CN"/>
        </w:rPr>
        <w:t>；</w:t>
      </w:r>
    </w:p>
    <w:p w14:paraId="71E344D9">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27.6投标报价超过招标文件中规定的预算金额或者最高限价的</w:t>
      </w:r>
      <w:r>
        <w:rPr>
          <w:rFonts w:hint="eastAsia" w:ascii="宋体" w:hAnsi="宋体" w:cs="宋体"/>
          <w:bCs/>
          <w:color w:val="auto"/>
          <w:highlight w:val="none"/>
          <w:lang w:eastAsia="zh-CN"/>
        </w:rPr>
        <w:t>；</w:t>
      </w:r>
    </w:p>
    <w:p w14:paraId="6B0D0E11">
      <w:pPr>
        <w:spacing w:line="400" w:lineRule="exact"/>
        <w:ind w:firstLine="420" w:firstLineChars="200"/>
        <w:rPr>
          <w:rFonts w:hint="eastAsia" w:ascii="宋体" w:hAnsi="宋体" w:eastAsia="宋体" w:cs="宋体"/>
          <w:bCs/>
          <w:color w:val="auto"/>
          <w:highlight w:val="none"/>
          <w:lang w:eastAsia="zh-CN"/>
        </w:rPr>
      </w:pPr>
      <w:r>
        <w:rPr>
          <w:rFonts w:hint="eastAsia" w:ascii="宋体" w:hAnsi="宋体" w:cs="宋体"/>
          <w:bCs/>
          <w:color w:val="auto"/>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highlight w:val="none"/>
          <w:lang w:eastAsia="zh-CN"/>
        </w:rPr>
        <w:t>；</w:t>
      </w:r>
    </w:p>
    <w:p w14:paraId="6155BE80">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27.8投标人对根据修正原则修正后的报价不确认的；</w:t>
      </w:r>
    </w:p>
    <w:p w14:paraId="28B7AE6F">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27.9投标人提供虚假材料投标的；</w:t>
      </w:r>
    </w:p>
    <w:p w14:paraId="5E9A0F2B">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27.10投标人有恶意串通、妨碍其他投标人的竞争行为、损害采购人或者其他投标人的合法权益情形的；</w:t>
      </w:r>
    </w:p>
    <w:p w14:paraId="345F3C58">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27.11投标人仅提交备份投标文件，没有在电子交易平台传输递交投标文件的，投标无效；</w:t>
      </w:r>
    </w:p>
    <w:p w14:paraId="515EABD1">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27.12投标文件不满足招标文件的其它实质性要求的；</w:t>
      </w:r>
    </w:p>
    <w:p w14:paraId="01BC8B84">
      <w:pPr>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27.13投标文件组成严重漏项、或未按规定的格式编制、或内容严重不全的；</w:t>
      </w:r>
    </w:p>
    <w:p w14:paraId="5918FCEF">
      <w:pPr>
        <w:spacing w:line="400" w:lineRule="exact"/>
        <w:ind w:firstLine="420" w:firstLineChars="200"/>
        <w:rPr>
          <w:rFonts w:ascii="宋体" w:hAnsi="宋体" w:cs="宋体"/>
          <w:color w:val="auto"/>
          <w:highlight w:val="none"/>
        </w:rPr>
      </w:pPr>
      <w:r>
        <w:rPr>
          <w:rFonts w:hint="eastAsia" w:ascii="宋体" w:hAnsi="宋体" w:cs="宋体"/>
          <w:bCs/>
          <w:color w:val="auto"/>
          <w:highlight w:val="none"/>
        </w:rPr>
        <w:t>27.14履约保证金、供货期/工期/服务期、质保期、付款方式不满足招标文件要求的；</w:t>
      </w:r>
      <w:bookmarkStart w:id="51" w:name="EBdafef940fa674575a283c03dcfd15197"/>
      <w:r>
        <w:rPr>
          <w:rFonts w:hint="eastAsia" w:ascii="宋体" w:hAnsi="宋体" w:cs="宋体"/>
          <w:color w:val="auto"/>
          <w:highlight w:val="none"/>
        </w:rPr>
        <w:t xml:space="preserve"> </w:t>
      </w:r>
      <w:bookmarkEnd w:id="51"/>
      <w:bookmarkStart w:id="52" w:name="EB09b84f7f941446eb81ae304223ba6dc4"/>
      <w:r>
        <w:rPr>
          <w:rFonts w:hint="eastAsia" w:ascii="宋体" w:hAnsi="宋体" w:cs="宋体"/>
          <w:color w:val="auto"/>
          <w:highlight w:val="none"/>
        </w:rPr>
        <w:t xml:space="preserve"> </w:t>
      </w:r>
      <w:bookmarkEnd w:id="52"/>
    </w:p>
    <w:p w14:paraId="3FDEC3B2">
      <w:pPr>
        <w:pStyle w:val="5"/>
        <w:spacing w:before="0" w:after="0" w:line="400" w:lineRule="exact"/>
        <w:ind w:firstLine="0" w:firstLineChars="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七  法律责任</w:t>
      </w:r>
      <w:bookmarkEnd w:id="48"/>
      <w:bookmarkEnd w:id="49"/>
      <w:bookmarkEnd w:id="50"/>
    </w:p>
    <w:p w14:paraId="29C25E07">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28.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F4C0DD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28.1 提供虚假材料谋取中标的；</w:t>
      </w:r>
    </w:p>
    <w:p w14:paraId="28FF03B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28.2 采取不正当手段诋毁、排挤其他投标人的；</w:t>
      </w:r>
    </w:p>
    <w:p w14:paraId="76195FD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28.3 与采购人、其他投标人或者采购代理机构恶意串通的；</w:t>
      </w:r>
    </w:p>
    <w:p w14:paraId="5175FD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28.4 向采购人、采购代理机构行贿或者提供其他不正当利益的；</w:t>
      </w:r>
    </w:p>
    <w:p w14:paraId="46CE52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28.5 在招标采购过程中与采购人进行协商谈判的；</w:t>
      </w:r>
    </w:p>
    <w:p w14:paraId="4C565AA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28.6 拒绝有关部门监督检查或者提供虚假情况的；</w:t>
      </w:r>
    </w:p>
    <w:p w14:paraId="48BB136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投标人有前款2</w:t>
      </w:r>
      <w:r>
        <w:rPr>
          <w:rFonts w:hint="eastAsia" w:ascii="宋体" w:hAnsi="宋体" w:cs="宋体"/>
          <w:color w:val="auto"/>
          <w:highlight w:val="none"/>
          <w:lang w:val="en-US" w:eastAsia="zh-CN"/>
        </w:rPr>
        <w:t>8</w:t>
      </w:r>
      <w:r>
        <w:rPr>
          <w:rFonts w:hint="eastAsia" w:ascii="宋体" w:hAnsi="宋体" w:cs="宋体"/>
          <w:color w:val="auto"/>
          <w:highlight w:val="none"/>
        </w:rPr>
        <w:t>.1至2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项情形之一的，中标无效。</w:t>
      </w:r>
    </w:p>
    <w:p w14:paraId="35487574">
      <w:pPr>
        <w:spacing w:line="400" w:lineRule="exact"/>
        <w:ind w:firstLine="422" w:firstLineChars="200"/>
        <w:rPr>
          <w:rFonts w:ascii="宋体" w:hAnsi="宋体" w:cs="宋体"/>
          <w:b/>
          <w:color w:val="auto"/>
          <w:highlight w:val="none"/>
        </w:rPr>
      </w:pPr>
      <w:r>
        <w:rPr>
          <w:rFonts w:hint="eastAsia" w:ascii="宋体" w:hAnsi="宋体" w:cs="宋体"/>
          <w:b/>
          <w:color w:val="auto"/>
          <w:highlight w:val="none"/>
        </w:rPr>
        <w:t>29. 投标人有下列情形之一的，依照政府采购法第七十七条第一款的规定追究法律责任：</w:t>
      </w:r>
    </w:p>
    <w:p w14:paraId="0035243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29.1 向评审委员会或者评审委员会成员行贿或者提供其他不正当利益；</w:t>
      </w:r>
    </w:p>
    <w:p w14:paraId="0FEAEC4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29.2 中标或者成交后无正当理由拒不与采购人签订政府采购合同；</w:t>
      </w:r>
    </w:p>
    <w:p w14:paraId="79AF830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29.3 未按照招标文件确定的事项签订政府采购合同；</w:t>
      </w:r>
    </w:p>
    <w:p w14:paraId="291645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29.4 将政府采购合同转包；</w:t>
      </w:r>
    </w:p>
    <w:p w14:paraId="69F671A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29.5 提供假冒伪劣产品；</w:t>
      </w:r>
    </w:p>
    <w:p w14:paraId="340888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29.6 擅自变更、中止或者终止政府采购合同。</w:t>
      </w:r>
    </w:p>
    <w:p w14:paraId="6E837ED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3E2D2DD9">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30.投标人捏造事实、提供虚假材料或者以非法手段取得证明材料进行投诉的，由财政部门列入不良行为记录名单，禁止其1至3年内参加政府采购活动。</w:t>
      </w:r>
    </w:p>
    <w:p w14:paraId="2AB83125">
      <w:pPr>
        <w:spacing w:line="400" w:lineRule="exact"/>
        <w:ind w:firstLine="422" w:firstLineChars="200"/>
        <w:rPr>
          <w:rFonts w:ascii="宋体" w:hAnsi="宋体" w:cs="宋体"/>
          <w:b/>
          <w:bCs/>
          <w:color w:val="auto"/>
          <w:highlight w:val="none"/>
        </w:rPr>
      </w:pPr>
      <w:r>
        <w:rPr>
          <w:rFonts w:hint="eastAsia" w:ascii="宋体" w:hAnsi="宋体" w:cs="宋体"/>
          <w:b/>
          <w:bCs/>
          <w:color w:val="auto"/>
          <w:highlight w:val="none"/>
        </w:rPr>
        <w:t>31.有下列情形之一的，属于恶意串通，对投标人依照政府采购法第七十七条第一款的规定追究法律责任，对采购人、采购代理机构及其工作人员依照政府采购法第七十二条的规定追究法律责任：</w:t>
      </w:r>
    </w:p>
    <w:p w14:paraId="118EE2B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31.1投标人直接或者间接从采购人或者采购代理机构处获得其他投标人的相关情况并修改其</w:t>
      </w:r>
      <w:r>
        <w:rPr>
          <w:rFonts w:hint="eastAsia" w:ascii="宋体" w:hAnsi="宋体" w:cs="宋体"/>
          <w:color w:val="auto"/>
          <w:kern w:val="0"/>
          <w:highlight w:val="none"/>
        </w:rPr>
        <w:t>投标文件</w:t>
      </w:r>
      <w:r>
        <w:rPr>
          <w:rFonts w:hint="eastAsia" w:ascii="宋体" w:hAnsi="宋体" w:cs="宋体"/>
          <w:color w:val="auto"/>
          <w:highlight w:val="none"/>
        </w:rPr>
        <w:t>；</w:t>
      </w:r>
    </w:p>
    <w:p w14:paraId="480F7F2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31.2 投标人按照采购人或者采购代理机构的授意撤换、修改</w:t>
      </w:r>
      <w:r>
        <w:rPr>
          <w:rFonts w:hint="eastAsia" w:ascii="宋体" w:hAnsi="宋体" w:cs="宋体"/>
          <w:color w:val="auto"/>
          <w:kern w:val="0"/>
          <w:highlight w:val="none"/>
        </w:rPr>
        <w:t>投标文件</w:t>
      </w:r>
      <w:r>
        <w:rPr>
          <w:rFonts w:hint="eastAsia" w:ascii="宋体" w:hAnsi="宋体" w:cs="宋体"/>
          <w:color w:val="auto"/>
          <w:highlight w:val="none"/>
        </w:rPr>
        <w:t>；</w:t>
      </w:r>
    </w:p>
    <w:p w14:paraId="185AD43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31.3 投标人之间协商报价、技术方案等</w:t>
      </w:r>
      <w:r>
        <w:rPr>
          <w:rFonts w:hint="eastAsia" w:ascii="宋体" w:hAnsi="宋体" w:cs="宋体"/>
          <w:color w:val="auto"/>
          <w:kern w:val="0"/>
          <w:highlight w:val="none"/>
        </w:rPr>
        <w:t>投标文件</w:t>
      </w:r>
      <w:r>
        <w:rPr>
          <w:rFonts w:hint="eastAsia" w:ascii="宋体" w:hAnsi="宋体" w:cs="宋体"/>
          <w:color w:val="auto"/>
          <w:highlight w:val="none"/>
        </w:rPr>
        <w:t>的实质性内容；</w:t>
      </w:r>
    </w:p>
    <w:p w14:paraId="63C9F0CA">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31.4属于同一集团、协会、商会等组织成员的投标人按照该组织要求协同参加政府采购活动；</w:t>
      </w:r>
    </w:p>
    <w:p w14:paraId="30CE2A5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31.5 投标人之间事先约定由某一特定投标人中标、成交；</w:t>
      </w:r>
    </w:p>
    <w:p w14:paraId="2B6BC2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31.6 投标人之间商定部分投标人放弃参加政府采购活动或者放弃中标、成交；</w:t>
      </w:r>
    </w:p>
    <w:p w14:paraId="63AF2FD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31.7投标人与采购人或者采购代理机构之间、投标人相互之间，为谋求特定投标人中标、成交或者排斥其他投标人的其他串通行为；</w:t>
      </w:r>
    </w:p>
    <w:p w14:paraId="257EBD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31.8 不同投标人的投标文件由同一单位或者个人编制；</w:t>
      </w:r>
    </w:p>
    <w:p w14:paraId="15D2CAF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31.9 不同投标人委托同一单位或者个人办理投标事宜；</w:t>
      </w:r>
    </w:p>
    <w:p w14:paraId="338470B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31.10 不同投标人的投标文件载明的项目管理成员或者联系人员为同一人；</w:t>
      </w:r>
    </w:p>
    <w:p w14:paraId="7F7037B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31.11 不同投标人的投标文件异常一致或者投标报价呈规律性差异；</w:t>
      </w:r>
    </w:p>
    <w:p w14:paraId="659B7DD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31.12 不同投标人的投标文件相互混装；</w:t>
      </w:r>
    </w:p>
    <w:p w14:paraId="78052261">
      <w:pPr>
        <w:pStyle w:val="5"/>
        <w:spacing w:before="0" w:after="0" w:line="400" w:lineRule="exact"/>
        <w:ind w:firstLine="422"/>
        <w:rPr>
          <w:rFonts w:ascii="宋体" w:hAnsi="宋体" w:eastAsia="宋体" w:cs="宋体"/>
          <w:color w:val="auto"/>
          <w:sz w:val="21"/>
          <w:szCs w:val="21"/>
          <w:highlight w:val="none"/>
        </w:rPr>
      </w:pPr>
      <w:bookmarkStart w:id="53" w:name="_Toc43498227"/>
      <w:r>
        <w:rPr>
          <w:rFonts w:hint="eastAsia" w:ascii="宋体" w:hAnsi="宋体" w:eastAsia="宋体" w:cs="宋体"/>
          <w:color w:val="auto"/>
          <w:sz w:val="21"/>
          <w:szCs w:val="21"/>
          <w:highlight w:val="none"/>
        </w:rPr>
        <w:t>八  询问</w:t>
      </w:r>
      <w:bookmarkEnd w:id="37"/>
      <w:bookmarkEnd w:id="38"/>
      <w:bookmarkEnd w:id="39"/>
      <w:bookmarkEnd w:id="53"/>
    </w:p>
    <w:p w14:paraId="1F1DB11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32.供应商询问</w:t>
      </w:r>
    </w:p>
    <w:p w14:paraId="2F8183A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6838137"/>
      <w:bookmarkStart w:id="55" w:name="_Toc393869893"/>
      <w:bookmarkStart w:id="56" w:name="_Toc334087237"/>
      <w:bookmarkStart w:id="57" w:name="_Toc335664279"/>
      <w:bookmarkStart w:id="58" w:name="_Toc176659672"/>
    </w:p>
    <w:p w14:paraId="2A53C863">
      <w:pPr>
        <w:pStyle w:val="5"/>
        <w:spacing w:before="0" w:after="0" w:line="400" w:lineRule="exact"/>
        <w:ind w:firstLine="417" w:firstLineChars="198"/>
        <w:rPr>
          <w:rFonts w:ascii="宋体" w:hAnsi="宋体" w:eastAsia="宋体" w:cs="宋体"/>
          <w:color w:val="auto"/>
          <w:sz w:val="21"/>
          <w:szCs w:val="21"/>
          <w:highlight w:val="none"/>
        </w:rPr>
      </w:pPr>
      <w:bookmarkStart w:id="59" w:name="_Toc415648537"/>
      <w:bookmarkStart w:id="60" w:name="_Toc43498228"/>
      <w:r>
        <w:rPr>
          <w:rFonts w:hint="eastAsia" w:ascii="宋体" w:hAnsi="宋体" w:eastAsia="宋体" w:cs="宋体"/>
          <w:color w:val="auto"/>
          <w:sz w:val="21"/>
          <w:szCs w:val="21"/>
          <w:highlight w:val="none"/>
        </w:rPr>
        <w:t>九  质疑</w:t>
      </w:r>
      <w:bookmarkEnd w:id="54"/>
      <w:bookmarkEnd w:id="55"/>
      <w:bookmarkEnd w:id="56"/>
      <w:bookmarkEnd w:id="57"/>
      <w:bookmarkEnd w:id="58"/>
      <w:bookmarkEnd w:id="59"/>
      <w:bookmarkEnd w:id="60"/>
    </w:p>
    <w:p w14:paraId="41A12307">
      <w:pPr>
        <w:pStyle w:val="27"/>
        <w:numPr>
          <w:ilvl w:val="0"/>
          <w:numId w:val="4"/>
        </w:numPr>
        <w:spacing w:line="400" w:lineRule="exact"/>
        <w:ind w:firstLine="420" w:firstLineChars="200"/>
        <w:rPr>
          <w:rFonts w:hAnsi="宋体"/>
          <w:color w:val="auto"/>
          <w:highlight w:val="none"/>
        </w:rPr>
      </w:pPr>
      <w:r>
        <w:rPr>
          <w:rFonts w:hint="eastAsia" w:hAnsi="宋体"/>
          <w:color w:val="auto"/>
          <w:highlight w:val="none"/>
        </w:rPr>
        <w:t>供应商质疑</w:t>
      </w:r>
    </w:p>
    <w:p w14:paraId="03D46BF5">
      <w:pPr>
        <w:pStyle w:val="27"/>
        <w:numPr>
          <w:ilvl w:val="255"/>
          <w:numId w:val="0"/>
        </w:numPr>
        <w:spacing w:line="400" w:lineRule="exact"/>
        <w:ind w:firstLine="420" w:firstLineChars="200"/>
        <w:rPr>
          <w:rFonts w:hAnsi="宋体"/>
          <w:color w:val="auto"/>
          <w:highlight w:val="none"/>
        </w:rPr>
      </w:pPr>
      <w:r>
        <w:rPr>
          <w:rFonts w:hint="eastAsia" w:hAnsi="宋体"/>
          <w:color w:val="auto"/>
          <w:highlight w:val="none"/>
        </w:rPr>
        <w:t>33.1提出质疑的供应商应当是参与所质疑项目采购活动的供应商。潜在供应商已依法获取其可质疑的招标文件的，可以对该文件提出质疑。</w:t>
      </w:r>
    </w:p>
    <w:p w14:paraId="706CFADE">
      <w:pPr>
        <w:pStyle w:val="27"/>
        <w:spacing w:line="400" w:lineRule="exact"/>
        <w:ind w:firstLine="420" w:firstLineChars="200"/>
        <w:rPr>
          <w:rFonts w:hAnsi="宋体"/>
          <w:color w:val="auto"/>
          <w:highlight w:val="none"/>
        </w:rPr>
      </w:pPr>
      <w:r>
        <w:rPr>
          <w:rFonts w:hint="eastAsia" w:hAnsi="宋体"/>
          <w:color w:val="auto"/>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B57714C">
      <w:pPr>
        <w:pStyle w:val="27"/>
        <w:spacing w:line="400" w:lineRule="exact"/>
        <w:ind w:firstLine="420" w:firstLineChars="200"/>
        <w:rPr>
          <w:rFonts w:hAnsi="宋体"/>
          <w:color w:val="auto"/>
          <w:highlight w:val="none"/>
        </w:rPr>
      </w:pPr>
      <w:r>
        <w:rPr>
          <w:rFonts w:hint="eastAsia" w:hAnsi="宋体"/>
          <w:color w:val="auto"/>
          <w:highlight w:val="none"/>
        </w:rPr>
        <w:t>33.2.2.1对招标文件提出质疑的，质疑期限为供应商获得招标文件之日或者招标文件公告期限届满之日起计算。</w:t>
      </w:r>
    </w:p>
    <w:p w14:paraId="3B197675">
      <w:pPr>
        <w:pStyle w:val="27"/>
        <w:spacing w:line="400" w:lineRule="exact"/>
        <w:ind w:firstLine="420" w:firstLineChars="200"/>
        <w:rPr>
          <w:rFonts w:hAnsi="宋体"/>
          <w:color w:val="auto"/>
          <w:highlight w:val="none"/>
        </w:rPr>
      </w:pPr>
      <w:r>
        <w:rPr>
          <w:rFonts w:hint="eastAsia" w:hAnsi="宋体"/>
          <w:color w:val="auto"/>
          <w:highlight w:val="none"/>
        </w:rPr>
        <w:t>33.2.2.2对采购过程提出质疑的，质疑期限为各采购程序环节结束之日起计算。对同一采购程序环节的质疑，供应商须一次性提出。</w:t>
      </w:r>
    </w:p>
    <w:p w14:paraId="64724E82">
      <w:pPr>
        <w:pStyle w:val="27"/>
        <w:spacing w:line="400" w:lineRule="exact"/>
        <w:ind w:firstLine="420" w:firstLineChars="200"/>
        <w:rPr>
          <w:rFonts w:hAnsi="宋体"/>
          <w:color w:val="auto"/>
          <w:highlight w:val="none"/>
        </w:rPr>
      </w:pPr>
      <w:r>
        <w:rPr>
          <w:rFonts w:hint="eastAsia" w:hAnsi="宋体"/>
          <w:color w:val="auto"/>
          <w:highlight w:val="none"/>
        </w:rPr>
        <w:t>33.2.2.3对采购结果提出质疑的，质疑期限自采购结果公告期限届满之日起计算。</w:t>
      </w:r>
    </w:p>
    <w:p w14:paraId="12FA8EFD">
      <w:pPr>
        <w:pStyle w:val="27"/>
        <w:spacing w:line="400" w:lineRule="exact"/>
        <w:ind w:firstLine="420" w:firstLineChars="200"/>
        <w:rPr>
          <w:rFonts w:hAnsi="宋体"/>
          <w:color w:val="auto"/>
          <w:highlight w:val="none"/>
        </w:rPr>
      </w:pPr>
      <w:r>
        <w:rPr>
          <w:rFonts w:hint="eastAsia" w:hAnsi="宋体"/>
          <w:color w:val="auto"/>
          <w:highlight w:val="none"/>
        </w:rPr>
        <w:t>33.2.3供应商提出质疑应当提交质疑函和必要的证明材料。质疑函应当包括下列内容：</w:t>
      </w:r>
    </w:p>
    <w:p w14:paraId="3ED4A246">
      <w:pPr>
        <w:pStyle w:val="27"/>
        <w:spacing w:line="400" w:lineRule="exact"/>
        <w:ind w:firstLine="420" w:firstLineChars="200"/>
        <w:rPr>
          <w:rFonts w:hAnsi="宋体"/>
          <w:color w:val="auto"/>
          <w:highlight w:val="none"/>
        </w:rPr>
      </w:pPr>
      <w:r>
        <w:rPr>
          <w:rFonts w:hint="eastAsia" w:hAnsi="宋体"/>
          <w:color w:val="auto"/>
          <w:highlight w:val="none"/>
        </w:rPr>
        <w:t>33.2.3.1供应商的姓名或者名称、地址、邮编、联系人及联系电话；</w:t>
      </w:r>
    </w:p>
    <w:p w14:paraId="2EE9D181">
      <w:pPr>
        <w:pStyle w:val="27"/>
        <w:spacing w:line="400" w:lineRule="exact"/>
        <w:ind w:firstLine="420" w:firstLineChars="200"/>
        <w:rPr>
          <w:rFonts w:hAnsi="宋体"/>
          <w:color w:val="auto"/>
          <w:highlight w:val="none"/>
        </w:rPr>
      </w:pPr>
      <w:r>
        <w:rPr>
          <w:rFonts w:hint="eastAsia" w:hAnsi="宋体"/>
          <w:color w:val="auto"/>
          <w:highlight w:val="none"/>
        </w:rPr>
        <w:t>33.2.3.2质疑项目的名称、编号；</w:t>
      </w:r>
    </w:p>
    <w:p w14:paraId="6EE484E6">
      <w:pPr>
        <w:pStyle w:val="27"/>
        <w:spacing w:line="400" w:lineRule="exact"/>
        <w:ind w:firstLine="420" w:firstLineChars="200"/>
        <w:rPr>
          <w:rFonts w:hAnsi="宋体"/>
          <w:color w:val="auto"/>
          <w:highlight w:val="none"/>
        </w:rPr>
      </w:pPr>
      <w:r>
        <w:rPr>
          <w:rFonts w:hint="eastAsia" w:hAnsi="宋体"/>
          <w:color w:val="auto"/>
          <w:highlight w:val="none"/>
        </w:rPr>
        <w:t>33.2.3.3具体、明确的质疑事项和与质疑事项相关的请求；</w:t>
      </w:r>
    </w:p>
    <w:p w14:paraId="661EB3E1">
      <w:pPr>
        <w:pStyle w:val="27"/>
        <w:spacing w:line="400" w:lineRule="exact"/>
        <w:ind w:firstLine="420" w:firstLineChars="200"/>
        <w:rPr>
          <w:rFonts w:hAnsi="宋体"/>
          <w:color w:val="auto"/>
          <w:highlight w:val="none"/>
        </w:rPr>
      </w:pPr>
      <w:r>
        <w:rPr>
          <w:rFonts w:hint="eastAsia" w:hAnsi="宋体"/>
          <w:color w:val="auto"/>
          <w:highlight w:val="none"/>
        </w:rPr>
        <w:t>33.2.3.4事实依据；</w:t>
      </w:r>
    </w:p>
    <w:p w14:paraId="3CC928D5">
      <w:pPr>
        <w:pStyle w:val="27"/>
        <w:spacing w:line="400" w:lineRule="exact"/>
        <w:ind w:firstLine="420" w:firstLineChars="200"/>
        <w:rPr>
          <w:rFonts w:hAnsi="宋体"/>
          <w:color w:val="auto"/>
          <w:highlight w:val="none"/>
        </w:rPr>
      </w:pPr>
      <w:r>
        <w:rPr>
          <w:rFonts w:hint="eastAsia" w:hAnsi="宋体"/>
          <w:color w:val="auto"/>
          <w:highlight w:val="none"/>
        </w:rPr>
        <w:t>33.2.3.5必要的法律依据；</w:t>
      </w:r>
    </w:p>
    <w:p w14:paraId="19544230">
      <w:pPr>
        <w:pStyle w:val="27"/>
        <w:spacing w:line="400" w:lineRule="exact"/>
        <w:ind w:firstLine="420" w:firstLineChars="200"/>
        <w:rPr>
          <w:rFonts w:hAnsi="宋体"/>
          <w:color w:val="auto"/>
          <w:highlight w:val="none"/>
        </w:rPr>
      </w:pPr>
      <w:r>
        <w:rPr>
          <w:rFonts w:hint="eastAsia" w:hAnsi="宋体"/>
          <w:color w:val="auto"/>
          <w:highlight w:val="none"/>
        </w:rPr>
        <w:t>33.2.3.6提出质疑的日期。</w:t>
      </w:r>
    </w:p>
    <w:p w14:paraId="203F8A00">
      <w:pPr>
        <w:pStyle w:val="27"/>
        <w:spacing w:line="400" w:lineRule="exact"/>
        <w:ind w:firstLine="420" w:firstLineChars="200"/>
        <w:rPr>
          <w:rFonts w:hAnsi="宋体"/>
          <w:color w:val="auto"/>
          <w:highlight w:val="none"/>
        </w:rPr>
      </w:pPr>
      <w:r>
        <w:rPr>
          <w:rFonts w:hint="eastAsia" w:hAnsi="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ACFBF">
      <w:pPr>
        <w:pStyle w:val="27"/>
        <w:spacing w:line="400" w:lineRule="exact"/>
        <w:ind w:firstLine="420" w:firstLineChars="200"/>
        <w:rPr>
          <w:rFonts w:hAnsi="宋体"/>
          <w:color w:val="auto"/>
          <w:highlight w:val="none"/>
        </w:rPr>
      </w:pPr>
      <w:r>
        <w:rPr>
          <w:rFonts w:hint="eastAsia" w:hAnsi="宋体"/>
          <w:color w:val="auto"/>
          <w:highlight w:val="none"/>
        </w:rPr>
        <w:t>33.2.4采购人或者采购代理机构应当在收到供应商的书面质疑后七个工作日内作出答复，并以书面形式通知质疑供应商和其他与质疑处理结果有利害关系的政府采购当事人，但答复的内容不得涉及商业秘密。</w:t>
      </w:r>
    </w:p>
    <w:p w14:paraId="3A30B728">
      <w:pPr>
        <w:pStyle w:val="27"/>
        <w:spacing w:line="400" w:lineRule="exact"/>
        <w:ind w:firstLine="420" w:firstLineChars="200"/>
        <w:rPr>
          <w:rFonts w:hAnsi="宋体"/>
          <w:color w:val="auto"/>
          <w:highlight w:val="none"/>
        </w:rPr>
      </w:pPr>
      <w:r>
        <w:rPr>
          <w:rFonts w:hint="eastAsia" w:hAnsi="宋体"/>
          <w:color w:val="auto"/>
          <w:highlight w:val="none"/>
        </w:rPr>
        <w:t>33.2.5询问或者质疑事项可能影响采购结果的，采购人应当暂停签订合同，已经签订合同的，应当中止履行合同。</w:t>
      </w:r>
    </w:p>
    <w:p w14:paraId="3D19BC1C">
      <w:pPr>
        <w:pStyle w:val="5"/>
        <w:spacing w:before="0" w:after="0" w:line="400" w:lineRule="exact"/>
        <w:ind w:firstLine="207" w:firstLineChars="98"/>
        <w:rPr>
          <w:rFonts w:ascii="宋体" w:hAnsi="宋体" w:eastAsia="宋体" w:cs="宋体"/>
          <w:color w:val="auto"/>
          <w:sz w:val="21"/>
          <w:szCs w:val="21"/>
          <w:highlight w:val="none"/>
        </w:rPr>
      </w:pPr>
      <w:bookmarkStart w:id="61" w:name="_Toc43498229"/>
      <w:r>
        <w:rPr>
          <w:rFonts w:hint="eastAsia" w:ascii="宋体" w:hAnsi="宋体" w:eastAsia="宋体" w:cs="宋体"/>
          <w:color w:val="auto"/>
          <w:sz w:val="21"/>
          <w:szCs w:val="21"/>
          <w:highlight w:val="none"/>
        </w:rPr>
        <w:t>十  投诉</w:t>
      </w:r>
      <w:bookmarkEnd w:id="40"/>
      <w:bookmarkEnd w:id="41"/>
      <w:bookmarkEnd w:id="42"/>
      <w:bookmarkEnd w:id="43"/>
      <w:bookmarkEnd w:id="61"/>
    </w:p>
    <w:p w14:paraId="55F33B2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34.供应商投诉</w:t>
      </w:r>
    </w:p>
    <w:p w14:paraId="4F9EB08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34.1质疑供应商对采购人、采购代理机构的答复不满意或者采购人、采购代理机构未在规定的时间内作出答复的，可以在答复期满后十五个工作日内向同级政府采购监督管理部门提出投诉。</w:t>
      </w:r>
    </w:p>
    <w:p w14:paraId="11E4737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34.2供应商投诉的事项不得超出已质疑事项的范围，基于质疑答复内容提出的投诉事项除外。</w:t>
      </w:r>
    </w:p>
    <w:p w14:paraId="60EC66B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34.3供应商投诉应当有明确的请求和必要的证明材料。</w:t>
      </w:r>
    </w:p>
    <w:p w14:paraId="4CD3564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34.4 以联合体形式参加政府采购活动的，其投诉应当由组成联合体的所有供应商共同提出。</w:t>
      </w:r>
    </w:p>
    <w:p w14:paraId="16EAECD3">
      <w:pPr>
        <w:pStyle w:val="5"/>
        <w:spacing w:before="0" w:after="0" w:line="400" w:lineRule="exact"/>
        <w:ind w:firstLine="211" w:firstLineChars="100"/>
        <w:rPr>
          <w:rFonts w:ascii="宋体" w:hAnsi="宋体" w:eastAsia="宋体" w:cs="宋体"/>
          <w:color w:val="auto"/>
          <w:sz w:val="21"/>
          <w:szCs w:val="21"/>
          <w:highlight w:val="none"/>
        </w:rPr>
      </w:pPr>
      <w:bookmarkStart w:id="62" w:name="_Toc43498230"/>
      <w:r>
        <w:rPr>
          <w:rFonts w:hint="eastAsia" w:ascii="宋体" w:hAnsi="宋体" w:eastAsia="宋体" w:cs="宋体"/>
          <w:color w:val="auto"/>
          <w:sz w:val="21"/>
          <w:szCs w:val="21"/>
          <w:highlight w:val="none"/>
        </w:rPr>
        <w:t xml:space="preserve">十一  </w:t>
      </w:r>
      <w:bookmarkEnd w:id="44"/>
      <w:bookmarkEnd w:id="62"/>
      <w:r>
        <w:rPr>
          <w:rFonts w:hint="eastAsia" w:ascii="宋体" w:hAnsi="宋体" w:eastAsia="宋体" w:cs="宋体"/>
          <w:color w:val="auto"/>
          <w:sz w:val="21"/>
          <w:szCs w:val="21"/>
          <w:highlight w:val="none"/>
        </w:rPr>
        <w:t>定标</w:t>
      </w:r>
    </w:p>
    <w:p w14:paraId="43C3275C">
      <w:pPr>
        <w:adjustRightIn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rPr>
        <w:t>35. 确定中标供应商</w:t>
      </w:r>
    </w:p>
    <w:p w14:paraId="733D82C2">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u w:val="none"/>
          <w:lang w:val="en-US" w:eastAsia="zh-CN"/>
        </w:rPr>
        <w:t>35.1</w:t>
      </w:r>
      <w:r>
        <w:rPr>
          <w:rFonts w:hint="eastAsia" w:ascii="宋体" w:hAnsi="宋体" w:cs="宋体"/>
          <w:bCs/>
          <w:color w:val="auto"/>
          <w:highlight w:val="none"/>
          <w:u w:val="single"/>
        </w:rPr>
        <w:t>招标代理机构应当在评标结束后2个工作日内将评标报告送采购人</w:t>
      </w:r>
      <w:r>
        <w:rPr>
          <w:rFonts w:hint="eastAsia" w:ascii="宋体" w:hAnsi="宋体" w:cs="宋体"/>
          <w:bCs/>
          <w:color w:val="auto"/>
          <w:highlight w:val="none"/>
        </w:rPr>
        <w:t>。采购人将自收到评审报告之日起5个工作日内通过电子交易平台在评审报告推荐的中标候选人中按顺序确定中标供应商。</w:t>
      </w:r>
    </w:p>
    <w:p w14:paraId="4743CC80">
      <w:pPr>
        <w:adjustRightInd w:val="0"/>
        <w:snapToGrid w:val="0"/>
        <w:spacing w:line="400" w:lineRule="exact"/>
        <w:ind w:firstLine="420" w:firstLineChars="200"/>
        <w:rPr>
          <w:rFonts w:ascii="宋体" w:hAnsi="宋体" w:cs="宋体"/>
          <w:bCs/>
          <w:color w:val="auto"/>
          <w:highlight w:val="none"/>
        </w:rPr>
      </w:pPr>
      <w:r>
        <w:rPr>
          <w:rFonts w:hint="eastAsia" w:ascii="宋体" w:hAnsi="宋体" w:cs="宋体"/>
          <w:bCs/>
          <w:color w:val="auto"/>
          <w:highlight w:val="none"/>
          <w:lang w:val="en-US" w:eastAsia="zh-CN"/>
        </w:rPr>
        <w:t>36.</w:t>
      </w:r>
      <w:r>
        <w:rPr>
          <w:rFonts w:hint="eastAsia" w:ascii="宋体" w:hAnsi="宋体" w:cs="宋体"/>
          <w:bCs/>
          <w:color w:val="auto"/>
          <w:highlight w:val="none"/>
        </w:rPr>
        <w:t>中标通知与中标结果公告</w:t>
      </w:r>
    </w:p>
    <w:p w14:paraId="16E1B95C">
      <w:pPr>
        <w:widowControl/>
        <w:adjustRightInd w:val="0"/>
        <w:spacing w:line="400" w:lineRule="exact"/>
        <w:ind w:firstLine="420" w:firstLineChars="200"/>
        <w:jc w:val="left"/>
        <w:rPr>
          <w:rFonts w:ascii="宋体" w:hAnsi="宋体" w:cs="宋体"/>
          <w:color w:val="auto"/>
          <w:highlight w:val="none"/>
        </w:rPr>
      </w:pPr>
      <w:r>
        <w:rPr>
          <w:rFonts w:hint="eastAsia" w:ascii="宋体" w:hAnsi="宋体" w:cs="宋体"/>
          <w:bCs/>
          <w:color w:val="auto"/>
          <w:highlight w:val="none"/>
          <w:lang w:val="en-US" w:eastAsia="zh-CN"/>
        </w:rPr>
        <w:t>36.1</w:t>
      </w:r>
      <w:r>
        <w:rPr>
          <w:rFonts w:hint="eastAsia" w:ascii="宋体" w:hAnsi="宋体" w:cs="宋体"/>
          <w:bCs/>
          <w:color w:val="auto"/>
          <w:highlight w:val="none"/>
        </w:rPr>
        <w:t>采购结果经采购人确认后，采购代理机构将于2个工作日内在浙江省政府采购网上发布中标公告，并向中标方签发书面《中标通知书》。中标通知书发出后，中标单位无正当理由不得放弃中标。</w:t>
      </w:r>
    </w:p>
    <w:p w14:paraId="53F91433">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lang w:val="en-US" w:eastAsia="zh-CN"/>
        </w:rPr>
        <w:t>36.2</w:t>
      </w:r>
      <w:r>
        <w:rPr>
          <w:rFonts w:hint="eastAsia" w:ascii="宋体" w:hAnsi="宋体" w:cs="宋体"/>
          <w:color w:val="auto"/>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40B3F4A4">
      <w:pPr>
        <w:widowControl/>
        <w:adjustRightInd w:val="0"/>
        <w:spacing w:line="400" w:lineRule="exact"/>
        <w:ind w:firstLine="480"/>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.公告期限为1个工作日。</w:t>
      </w:r>
    </w:p>
    <w:p w14:paraId="17A37C5F">
      <w:pPr>
        <w:pStyle w:val="5"/>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  授予合同</w:t>
      </w:r>
    </w:p>
    <w:p w14:paraId="2946D7D0">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 合同的签订</w:t>
      </w:r>
    </w:p>
    <w:p w14:paraId="21F76893">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.1 采购人与中标人应当通过电子交易平台在中标通知书发出之日起三十日内，按照招标文件确定的事项签订政府采购合同，并在合同签订之日起2个工作日内依法发布合同公告。</w:t>
      </w:r>
    </w:p>
    <w:p w14:paraId="048D7F65">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.2中标人按规定的日期、时间、地点，由法定代表人或其授权代表与采购人代表签订合同。如中标人为联合体的，由联合体成员各方法定代表人或其授权代表与采购人代表签订合同。</w:t>
      </w:r>
    </w:p>
    <w:p w14:paraId="334513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.3如签订合同并生效后，供应商无故拒绝或延期，除按照合同条款处理外，列入不良行为记录一次，并给予通报。</w:t>
      </w:r>
    </w:p>
    <w:p w14:paraId="250705F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6B62E05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8</w:t>
      </w:r>
      <w:r>
        <w:rPr>
          <w:rFonts w:hint="eastAsia" w:ascii="宋体" w:hAnsi="宋体" w:cs="宋体"/>
          <w:color w:val="auto"/>
          <w:highlight w:val="none"/>
        </w:rPr>
        <w:t>.5采购合同由采购人与中标供应商根据招标文件、投标文件等内容通过政府采购电子交易平台在线签订，自动备案。</w:t>
      </w:r>
    </w:p>
    <w:p w14:paraId="58041AF0">
      <w:pPr>
        <w:spacing w:line="40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val="en-US" w:eastAsia="zh-CN"/>
        </w:rPr>
        <w:t>9</w:t>
      </w:r>
      <w:r>
        <w:rPr>
          <w:rFonts w:hint="eastAsia" w:ascii="宋体" w:hAnsi="宋体" w:cs="宋体"/>
          <w:color w:val="auto"/>
          <w:highlight w:val="none"/>
        </w:rPr>
        <w:t>. 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若有</w:t>
      </w:r>
      <w:r>
        <w:rPr>
          <w:rFonts w:hint="eastAsia" w:ascii="宋体" w:hAnsi="宋体" w:cs="宋体"/>
          <w:color w:val="auto"/>
          <w:highlight w:val="none"/>
          <w:lang w:eastAsia="zh-CN"/>
        </w:rPr>
        <w:t>）</w:t>
      </w:r>
    </w:p>
    <w:p w14:paraId="04B3179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w:t>
      </w:r>
    </w:p>
    <w:p w14:paraId="12F90051">
      <w:pPr>
        <w:pStyle w:val="5"/>
        <w:spacing w:before="0" w:after="0" w:line="40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Start w:id="63" w:name="_Toc43498231"/>
    </w:p>
    <w:p w14:paraId="71FD6337">
      <w:pPr>
        <w:pStyle w:val="5"/>
        <w:spacing w:before="0" w:after="0" w:line="400" w:lineRule="exact"/>
        <w:ind w:firstLine="211"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  验收</w:t>
      </w:r>
      <w:bookmarkEnd w:id="63"/>
    </w:p>
    <w:p w14:paraId="6C46B2C6">
      <w:pPr>
        <w:spacing w:line="400" w:lineRule="exact"/>
        <w:ind w:firstLine="420" w:firstLineChars="200"/>
        <w:rPr>
          <w:rFonts w:ascii="宋体" w:hAnsi="宋体" w:cs="宋体"/>
          <w:color w:val="auto"/>
          <w:highlight w:val="none"/>
        </w:rPr>
      </w:pPr>
      <w:bookmarkStart w:id="64" w:name="_Toc15805937"/>
      <w:bookmarkStart w:id="65" w:name="_Toc45506731"/>
      <w:bookmarkStart w:id="66" w:name="_Toc15813254"/>
      <w:bookmarkStart w:id="67" w:name="_Toc107820052"/>
      <w:bookmarkStart w:id="68" w:name="_Toc47756031"/>
      <w:r>
        <w:rPr>
          <w:rFonts w:hint="eastAsia" w:ascii="宋体" w:hAnsi="宋体" w:cs="宋体"/>
          <w:color w:val="auto"/>
          <w:highlight w:val="none"/>
          <w:lang w:val="en-US" w:eastAsia="zh-CN"/>
        </w:rPr>
        <w:t>40</w:t>
      </w:r>
      <w:r>
        <w:rPr>
          <w:rFonts w:hint="eastAsia" w:ascii="宋体" w:hAnsi="宋体" w:cs="宋体"/>
          <w:color w:val="auto"/>
          <w:highlight w:val="none"/>
        </w:rPr>
        <w:t>. 采购人应当按照政府采购合同规定的技术、服务、安全标准组织对投标人履约情况进行验收，并出具验收书。验收书应当包括每一项技术、服务、安全标准的履约情况。</w:t>
      </w:r>
    </w:p>
    <w:p w14:paraId="07C1CA9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40</w:t>
      </w:r>
      <w:r>
        <w:rPr>
          <w:rFonts w:hint="eastAsia" w:hAnsi="宋体" w:cs="宋体"/>
          <w:color w:val="auto"/>
          <w:kern w:val="2"/>
          <w:sz w:val="21"/>
          <w:szCs w:val="21"/>
          <w:highlight w:val="none"/>
        </w:rPr>
        <w:t>.1本项目采购人可邀请第三方机构参与验收、核对，参与验收、核对的内容为中标产品的技术指标、规格型号、保修服务、承诺等内容，是否和</w:t>
      </w:r>
      <w:r>
        <w:rPr>
          <w:rFonts w:hint="eastAsia" w:hAnsi="宋体" w:cs="宋体"/>
          <w:color w:val="auto"/>
          <w:sz w:val="21"/>
          <w:szCs w:val="21"/>
          <w:highlight w:val="none"/>
        </w:rPr>
        <w:t>招标文件</w:t>
      </w:r>
      <w:r>
        <w:rPr>
          <w:rFonts w:hint="eastAsia" w:hAnsi="宋体" w:cs="宋体"/>
          <w:color w:val="auto"/>
          <w:kern w:val="2"/>
          <w:sz w:val="21"/>
          <w:szCs w:val="21"/>
          <w:highlight w:val="none"/>
        </w:rPr>
        <w:t>、中标人</w:t>
      </w:r>
      <w:r>
        <w:rPr>
          <w:rFonts w:hint="eastAsia" w:hAnsi="宋体" w:cs="宋体"/>
          <w:color w:val="auto"/>
          <w:sz w:val="21"/>
          <w:szCs w:val="21"/>
          <w:highlight w:val="none"/>
        </w:rPr>
        <w:t>投标文件</w:t>
      </w:r>
      <w:r>
        <w:rPr>
          <w:rFonts w:hint="eastAsia" w:hAnsi="宋体" w:cs="宋体"/>
          <w:color w:val="auto"/>
          <w:kern w:val="2"/>
          <w:sz w:val="21"/>
          <w:szCs w:val="21"/>
          <w:highlight w:val="none"/>
        </w:rPr>
        <w:t>的内容相符合。</w:t>
      </w:r>
    </w:p>
    <w:p w14:paraId="5442BFA7">
      <w:pPr>
        <w:pStyle w:val="5"/>
        <w:spacing w:before="0" w:after="0" w:line="400" w:lineRule="exact"/>
        <w:ind w:firstLine="0" w:firstLineChars="0"/>
        <w:rPr>
          <w:rFonts w:ascii="宋体" w:hAnsi="宋体" w:eastAsia="宋体" w:cs="宋体"/>
          <w:color w:val="auto"/>
          <w:sz w:val="21"/>
          <w:szCs w:val="21"/>
          <w:highlight w:val="none"/>
        </w:rPr>
      </w:pPr>
      <w:bookmarkStart w:id="69" w:name="_Toc493956047"/>
      <w:bookmarkStart w:id="70" w:name="_Toc43498232"/>
      <w:bookmarkStart w:id="71" w:name="_Toc497222745"/>
      <w:bookmarkStart w:id="72" w:name="_Toc494555863"/>
      <w:r>
        <w:rPr>
          <w:rFonts w:hint="eastAsia" w:ascii="宋体" w:hAnsi="宋体" w:eastAsia="宋体" w:cs="宋体"/>
          <w:color w:val="auto"/>
          <w:sz w:val="21"/>
          <w:szCs w:val="21"/>
          <w:highlight w:val="none"/>
        </w:rPr>
        <w:t>十四  政府采购政策</w:t>
      </w:r>
      <w:bookmarkEnd w:id="69"/>
      <w:bookmarkEnd w:id="70"/>
      <w:bookmarkEnd w:id="71"/>
      <w:bookmarkEnd w:id="72"/>
    </w:p>
    <w:p w14:paraId="7F24F507">
      <w:pPr>
        <w:pStyle w:val="46"/>
        <w:snapToGrid w:val="0"/>
        <w:spacing w:line="400" w:lineRule="exact"/>
        <w:ind w:firstLine="420" w:firstLineChars="200"/>
        <w:jc w:val="both"/>
        <w:rPr>
          <w:rFonts w:hAnsi="宋体" w:cs="宋体"/>
          <w:color w:val="auto"/>
          <w:kern w:val="2"/>
          <w:sz w:val="21"/>
          <w:szCs w:val="21"/>
          <w:highlight w:val="none"/>
        </w:rPr>
      </w:pPr>
      <w:bookmarkStart w:id="73" w:name="_Toc43498233"/>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 关于中小企业参与政府采购活动的规定</w:t>
      </w:r>
    </w:p>
    <w:p w14:paraId="495698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.1本项目</w:t>
      </w:r>
      <w:r>
        <w:rPr>
          <w:rFonts w:hint="eastAsia" w:hAnsi="宋体" w:cs="宋体"/>
          <w:b/>
          <w:color w:val="auto"/>
          <w:kern w:val="2"/>
          <w:sz w:val="21"/>
          <w:szCs w:val="21"/>
          <w:highlight w:val="none"/>
          <w:u w:val="single"/>
        </w:rPr>
        <w:t xml:space="preserve"> </w:t>
      </w:r>
      <w:r>
        <w:rPr>
          <w:rFonts w:hint="eastAsia" w:hAnsi="宋体" w:cs="宋体"/>
          <w:b/>
          <w:color w:val="auto"/>
          <w:kern w:val="2"/>
          <w:sz w:val="21"/>
          <w:szCs w:val="21"/>
          <w:highlight w:val="none"/>
          <w:u w:val="single"/>
          <w:lang w:val="en-US" w:eastAsia="zh-CN"/>
        </w:rPr>
        <w:t>是</w:t>
      </w:r>
      <w:r>
        <w:rPr>
          <w:rFonts w:hint="eastAsia" w:hAnsi="宋体" w:cs="宋体"/>
          <w:b/>
          <w:color w:val="auto"/>
          <w:kern w:val="2"/>
          <w:sz w:val="21"/>
          <w:szCs w:val="21"/>
          <w:highlight w:val="none"/>
          <w:u w:val="single"/>
        </w:rPr>
        <w:t xml:space="preserve"> </w:t>
      </w:r>
      <w:r>
        <w:rPr>
          <w:rFonts w:hint="eastAsia" w:hAnsi="宋体" w:cs="宋体"/>
          <w:color w:val="auto"/>
          <w:kern w:val="2"/>
          <w:sz w:val="21"/>
          <w:szCs w:val="21"/>
          <w:highlight w:val="none"/>
        </w:rPr>
        <w:t>专门面向中小企业采购。</w:t>
      </w:r>
    </w:p>
    <w:p w14:paraId="76F5ED2D">
      <w:pPr>
        <w:adjustRightInd w:val="0"/>
        <w:snapToGrid w:val="0"/>
        <w:spacing w:line="400" w:lineRule="exact"/>
        <w:ind w:firstLine="420" w:firstLineChars="200"/>
        <w:rPr>
          <w:rFonts w:hint="eastAsia" w:ascii="宋体" w:hAnsi="宋体" w:eastAsia="宋体" w:cs="宋体"/>
          <w:b/>
          <w:color w:val="auto"/>
          <w:highlight w:val="none"/>
          <w:u w:val="single"/>
          <w:lang w:val="en-US" w:eastAsia="zh-CN"/>
        </w:rPr>
      </w:pPr>
      <w:r>
        <w:rPr>
          <w:rFonts w:hint="eastAsia" w:ascii="宋体" w:hAnsi="宋体" w:cs="宋体"/>
          <w:color w:val="auto"/>
          <w:highlight w:val="none"/>
          <w:lang w:val="en-US" w:eastAsia="zh-CN"/>
        </w:rPr>
        <w:t>41</w:t>
      </w:r>
      <w:r>
        <w:rPr>
          <w:rFonts w:hint="eastAsia" w:ascii="宋体" w:hAnsi="宋体" w:cs="宋体"/>
          <w:color w:val="auto"/>
          <w:highlight w:val="none"/>
        </w:rPr>
        <w:t>.2本项目对应的中小企业划分标准所属行业：</w:t>
      </w:r>
      <w:r>
        <w:rPr>
          <w:rFonts w:hint="eastAsia" w:ascii="宋体" w:hAnsi="宋体" w:cs="宋体"/>
          <w:b/>
          <w:color w:val="auto"/>
          <w:highlight w:val="none"/>
          <w:u w:val="single"/>
          <w:lang w:val="en-US" w:eastAsia="zh-CN"/>
        </w:rPr>
        <w:t>租赁和商务服务业</w:t>
      </w:r>
    </w:p>
    <w:p w14:paraId="64A7AEF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0ED4998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符合中小企业划分标准的个体工商户，在政府采购活动中视同中小企业。</w:t>
      </w:r>
    </w:p>
    <w:p w14:paraId="606988C4">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国务院批准的中小企业划分标准：具体见工信部联企业[2011]300号。</w:t>
      </w:r>
    </w:p>
    <w:p w14:paraId="25CFAD5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5FBADCC">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（1）在货物采购项目中，货物由小微企业制造，即货物由小微企业生产且使用该小微企业商号或者注册商标；</w:t>
      </w:r>
    </w:p>
    <w:p w14:paraId="24B7122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（2）在工程采购项目中，工程由小微企业承建，即工程施工单位为小微企业；</w:t>
      </w:r>
    </w:p>
    <w:p w14:paraId="67B560E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（3）在服务采购项目中，服务由小微企业承接，即提供服务的人员为小微企业依照《中华人民共和国劳动合同法》订立劳动合同的从业人员。</w:t>
      </w:r>
    </w:p>
    <w:p w14:paraId="0AE42900">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以联合体形式参加政府采购活动，联合体各方均为小微企业的，联合体视同小微企业。</w:t>
      </w:r>
    </w:p>
    <w:p w14:paraId="000D69C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.5在货物采购项目中，供应商提供的货物既有中小企业制造货物，也有大型企业制造货物的，不享受的小微企业价格扣除。</w:t>
      </w:r>
    </w:p>
    <w:p w14:paraId="781B3BF6">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6对于经主管预算单位统筹后未预留份额专门面向中小企业采购的采购项目，以及预留份额项目中的非预留部分采购包，供应商提供的货物、工程或者服务的项目，对符合《政府采购促进中小企业发展管理办法》（财库﹝2020﹞46号）规定的小微企业报价给予</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rPr>
        <w:t>%的扣除，用扣除后的价格参加评审。</w:t>
      </w:r>
    </w:p>
    <w:p w14:paraId="4DDA1DC1">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30%以上的，对联合体或者大中型企业的报价按最高优惠幅度（货物和服务项目为3%，工程项目为 2%）给予扣除，用扣除后的价格参加评审。组成联合体或者接受分包的小微企业与联合体内其他企业、分包企业之间存在直接控股、管理关系的，不享受价格扣除优惠政策。</w:t>
      </w:r>
    </w:p>
    <w:p w14:paraId="58207AB8">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.7小微企业应按照招标文件格式要求提供《中小企业声明函》。</w:t>
      </w:r>
    </w:p>
    <w:p w14:paraId="768AFEFA">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63EC31C3">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14:paraId="393F733E">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.10按规定享受扶持政策获得政府采购合同的，小微企业不得将合同分包给大中型企业，中型企业不得将合同分包给大型企业。</w:t>
      </w:r>
    </w:p>
    <w:p w14:paraId="270AFC25">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14:paraId="4121566F">
      <w:pPr>
        <w:pStyle w:val="46"/>
        <w:snapToGrid w:val="0"/>
        <w:spacing w:line="400" w:lineRule="exact"/>
        <w:ind w:firstLine="420" w:firstLineChars="200"/>
        <w:jc w:val="both"/>
        <w:rPr>
          <w:rFonts w:hAnsi="宋体" w:cs="宋体"/>
          <w:color w:val="auto"/>
          <w:kern w:val="2"/>
          <w:sz w:val="21"/>
          <w:szCs w:val="21"/>
          <w:highlight w:val="none"/>
        </w:rPr>
      </w:pPr>
      <w:r>
        <w:rPr>
          <w:rFonts w:hint="eastAsia" w:hAnsi="宋体" w:cs="宋体"/>
          <w:color w:val="auto"/>
          <w:kern w:val="2"/>
          <w:sz w:val="21"/>
          <w:szCs w:val="21"/>
          <w:highlight w:val="none"/>
          <w:lang w:val="en-US" w:eastAsia="zh-CN"/>
        </w:rPr>
        <w:t>41</w:t>
      </w:r>
      <w:r>
        <w:rPr>
          <w:rFonts w:hint="eastAsia" w:hAnsi="宋体" w:cs="宋体"/>
          <w:color w:val="auto"/>
          <w:kern w:val="2"/>
          <w:sz w:val="21"/>
          <w:szCs w:val="21"/>
          <w:highlight w:val="none"/>
        </w:rPr>
        <w:t>.12 采购单位应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291453F">
      <w:pPr>
        <w:pStyle w:val="5"/>
        <w:spacing w:before="0" w:after="0"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  其他事项</w:t>
      </w:r>
      <w:bookmarkEnd w:id="64"/>
      <w:bookmarkEnd w:id="65"/>
      <w:bookmarkEnd w:id="66"/>
      <w:bookmarkEnd w:id="67"/>
      <w:bookmarkEnd w:id="68"/>
      <w:bookmarkEnd w:id="73"/>
    </w:p>
    <w:p w14:paraId="24E98612">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 解释权</w:t>
      </w:r>
    </w:p>
    <w:p w14:paraId="718D5F5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.1本招标文件是根据国家有关法律、法规、规章和有关规定编制的,解释权属采购代理机构。</w:t>
      </w:r>
    </w:p>
    <w:p w14:paraId="4CBEB7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 采购代理机构对决标结果不负责解释。</w:t>
      </w:r>
      <w:bookmarkStart w:id="74" w:name="_Toc43498235"/>
    </w:p>
    <w:p w14:paraId="26F750EF">
      <w:pPr>
        <w:rPr>
          <w:rFonts w:ascii="宋体" w:hAnsi="宋体" w:cs="宋体"/>
          <w:color w:val="auto"/>
          <w:highlight w:val="none"/>
        </w:rPr>
      </w:pPr>
      <w:r>
        <w:rPr>
          <w:rFonts w:hint="eastAsia" w:ascii="宋体" w:hAnsi="宋体" w:cs="宋体"/>
          <w:color w:val="auto"/>
          <w:highlight w:val="none"/>
        </w:rPr>
        <w:br w:type="page"/>
      </w:r>
    </w:p>
    <w:p w14:paraId="63F3D084">
      <w:pPr>
        <w:widowControl/>
        <w:jc w:val="center"/>
        <w:rPr>
          <w:rFonts w:ascii="宋体" w:hAnsi="宋体" w:cs="宋体"/>
          <w:b/>
          <w:bCs/>
          <w:color w:val="auto"/>
          <w:highlight w:val="none"/>
        </w:rPr>
      </w:pPr>
      <w:bookmarkStart w:id="75" w:name="_Toc43498234"/>
      <w:r>
        <w:rPr>
          <w:rFonts w:hint="eastAsia" w:ascii="宋体" w:hAnsi="宋体" w:cs="宋体"/>
          <w:b/>
          <w:bCs/>
          <w:color w:val="auto"/>
          <w:highlight w:val="none"/>
        </w:rPr>
        <w:t>第三部分  采购需求</w:t>
      </w:r>
      <w:bookmarkEnd w:id="75"/>
    </w:p>
    <w:p w14:paraId="16E08F6A">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6" w:name="_Toc450248215"/>
      <w:r>
        <w:rPr>
          <w:rFonts w:hint="eastAsia" w:ascii="宋体" w:hAnsi="宋体" w:eastAsia="宋体" w:cs="宋体"/>
          <w:b/>
          <w:bCs/>
          <w:color w:val="auto"/>
          <w:sz w:val="21"/>
          <w:szCs w:val="21"/>
          <w:highlight w:val="none"/>
          <w:lang w:val="en-US" w:eastAsia="zh-CN"/>
        </w:rPr>
        <w:t>一、职工疗养旅行社服务内容</w:t>
      </w:r>
      <w:bookmarkEnd w:id="76"/>
    </w:p>
    <w:p w14:paraId="5DC5078B">
      <w:pPr>
        <w:pStyle w:val="27"/>
        <w:adjustRightInd w:val="0"/>
        <w:snapToGrid w:val="0"/>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疗休养的主要内容是为职工提供休息养生的服务，可就地适当安排参观学习，坚持身心健康一体化理念，健康管理与疗休养结合。</w:t>
      </w:r>
    </w:p>
    <w:p w14:paraId="0E8EEDCD">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bookmarkStart w:id="77" w:name="_Toc450248216"/>
      <w:r>
        <w:rPr>
          <w:rFonts w:hint="eastAsia" w:ascii="宋体" w:hAnsi="宋体" w:eastAsia="宋体" w:cs="宋体"/>
          <w:b/>
          <w:bCs/>
          <w:color w:val="auto"/>
          <w:sz w:val="21"/>
          <w:szCs w:val="21"/>
          <w:highlight w:val="none"/>
          <w:lang w:val="en-US" w:eastAsia="zh-CN"/>
        </w:rPr>
        <w:t>二、时间</w:t>
      </w:r>
      <w:bookmarkEnd w:id="77"/>
    </w:p>
    <w:p w14:paraId="7F94D9CB">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cs="宋体"/>
          <w:highlight w:val="none"/>
          <w:lang w:val="en-US" w:eastAsia="zh-CN"/>
        </w:rPr>
      </w:pPr>
      <w:r>
        <w:rPr>
          <w:rFonts w:hint="eastAsia" w:ascii="宋体" w:hAnsi="宋体" w:cs="宋体"/>
          <w:highlight w:val="none"/>
          <w:lang w:val="en-US" w:eastAsia="zh-CN"/>
        </w:rPr>
        <w:t>自合同签订之日起至2025年12月30日。</w:t>
      </w:r>
    </w:p>
    <w:p w14:paraId="564B38B2">
      <w:pPr>
        <w:keepNext w:val="0"/>
        <w:keepLines w:val="0"/>
        <w:pageBreakBefore w:val="0"/>
        <w:widowControl w:val="0"/>
        <w:numPr>
          <w:ilvl w:val="0"/>
          <w:numId w:val="0"/>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三、疗休养方案路线</w:t>
      </w:r>
    </w:p>
    <w:p w14:paraId="57194E39">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线路待定（</w:t>
      </w:r>
      <w:r>
        <w:rPr>
          <w:rFonts w:hint="eastAsia" w:ascii="宋体" w:hAnsi="宋体" w:cs="宋体"/>
          <w:color w:val="auto"/>
          <w:highlight w:val="none"/>
          <w:lang w:val="en-US" w:eastAsia="zh-CN"/>
        </w:rPr>
        <w:t>投标人初设县内五日游的线路以供参考</w:t>
      </w:r>
      <w:r>
        <w:rPr>
          <w:rFonts w:hint="eastAsia" w:ascii="宋体" w:hAnsi="宋体" w:eastAsia="宋体" w:cs="宋体"/>
          <w:color w:val="auto"/>
          <w:highlight w:val="none"/>
          <w:lang w:val="en-US" w:eastAsia="zh-CN"/>
        </w:rPr>
        <w:t>，实际线路根据情况变更）</w:t>
      </w:r>
      <w:r>
        <w:rPr>
          <w:rFonts w:hint="eastAsia" w:ascii="宋体" w:hAnsi="宋体" w:cs="宋体"/>
          <w:color w:val="auto"/>
          <w:highlight w:val="none"/>
          <w:lang w:val="en-US" w:eastAsia="zh-CN"/>
        </w:rPr>
        <w:t>，</w:t>
      </w:r>
      <w:r>
        <w:rPr>
          <w:rFonts w:hint="eastAsia" w:ascii="宋体" w:hAnsi="宋体" w:cs="宋体"/>
          <w:highlight w:val="none"/>
          <w:lang w:val="en-US" w:eastAsia="zh-CN"/>
        </w:rPr>
        <w:t>职工人数预计121人</w:t>
      </w:r>
      <w:r>
        <w:rPr>
          <w:rFonts w:hint="default" w:ascii="宋体" w:hAnsi="宋体" w:eastAsia="宋体" w:cs="宋体"/>
          <w:highlight w:val="none"/>
          <w:lang w:val="en-US" w:eastAsia="zh-CN"/>
        </w:rPr>
        <w:t>，</w:t>
      </w:r>
      <w:r>
        <w:rPr>
          <w:rFonts w:hint="eastAsia" w:ascii="宋体" w:hAnsi="宋体" w:cs="宋体"/>
          <w:highlight w:val="none"/>
          <w:lang w:val="en-US" w:eastAsia="zh-CN"/>
        </w:rPr>
        <w:t>其中编外人员19人，</w:t>
      </w:r>
      <w:r>
        <w:rPr>
          <w:rFonts w:hint="eastAsia" w:ascii="宋体" w:hAnsi="宋体" w:cs="宋体"/>
          <w:color w:val="auto"/>
          <w:highlight w:val="none"/>
          <w:lang w:val="en-US" w:eastAsia="zh-CN"/>
        </w:rPr>
        <w:t>具体以实际出行人数为准；合同结算金额按照实际疗休养出行人数进行计算（实际验收数量×中标单价）。</w:t>
      </w:r>
    </w:p>
    <w:p w14:paraId="74F2AD07">
      <w:pPr>
        <w:keepNext w:val="0"/>
        <w:keepLines w:val="0"/>
        <w:pageBreakBefore w:val="0"/>
        <w:widowControl w:val="0"/>
        <w:numPr>
          <w:ilvl w:val="0"/>
          <w:numId w:val="5"/>
        </w:numPr>
        <w:kinsoku/>
        <w:wordWrap/>
        <w:overflowPunct/>
        <w:topLinePunct w:val="0"/>
        <w:autoSpaceDE/>
        <w:autoSpaceDN/>
        <w:bidi w:val="0"/>
        <w:adjustRightInd/>
        <w:snapToGrid/>
        <w:spacing w:before="95" w:beforeLines="30" w:after="95" w:afterLines="30" w:line="360" w:lineRule="auto"/>
        <w:ind w:left="420"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14:paraId="34F2B1A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1.服务保障：除驾驶员外（需具有相应车辆驾驶资质），全程提供全陪导游人员1名以上，负责行程管理，住宿饮食、景点门票、沟通联络等安排，全陪导游须持有导游资格证书，且从事导游工作五年以上。</w:t>
      </w:r>
    </w:p>
    <w:p w14:paraId="5328252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景点线路：包含方案线路安排的主要景区，其他沿途景点或周边景点以成交单位编制并获得采购人认可的方案为准，不得强制安排购物点。景点门票包括大门票和景点内必游的小门票，以及索道（如有）、电瓶车（如有）、游船（如有）等，自费的娱乐项目除外（自费项目需明确说明，尽量不占用共用时间，不得影响团队不参加人员的活动及休息）。方案应针对每条线路具体编制，并列出每个参观景点及计划参观时间等。行程安排明细原则上不得更改，如遇特殊情况不得不需要更改的，更改的内容不得低于原标准，且在更改前须经采购人确认，并办妥相关手续，若有违约，采购人有权拒付相关费用，并追究违约责任。</w:t>
      </w:r>
    </w:p>
    <w:p w14:paraId="796B4D59">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每日行程结束后对车辆进行消杀。出行如安排高铁、动车，须安排二等座及以上座位，座位尽量安排在一起。省外路线建议双飞，航班不要过早或过晚，订票前需提供2-3个航班次供采购人选择</w:t>
      </w:r>
      <w:r>
        <w:rPr>
          <w:rFonts w:hint="eastAsia" w:ascii="宋体" w:hAnsi="宋体" w:cs="宋体"/>
          <w:color w:val="auto"/>
          <w:highlight w:val="none"/>
          <w:lang w:val="en-US" w:eastAsia="zh-CN"/>
        </w:rPr>
        <w:t>，出行航班时间方案需经采购人确认后方可购买飞机票；投标人不得私自安排</w:t>
      </w:r>
      <w:r>
        <w:rPr>
          <w:rFonts w:hint="eastAsia" w:ascii="宋体" w:hAnsi="宋体" w:eastAsia="宋体" w:cs="宋体"/>
          <w:color w:val="auto"/>
          <w:highlight w:val="none"/>
          <w:lang w:val="en-US" w:eastAsia="zh-CN"/>
        </w:rPr>
        <w:t>。司机及车辆费用，包括途中坐船等交通所需费用均计入报价中。</w:t>
      </w:r>
    </w:p>
    <w:p w14:paraId="3A016237">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住宿：集中住宿，四星级以上酒店标房或单间大床房，酒店未评挂星的，应提供相关酒店网站截图、评分资料或其他相关证明资料供评委评审认定，住宿地交通便利、环境相对清静、安全、舒适；有无线网络；确保24小时提供热水等。如果疗休养人员认为酒店住宿环境不满意，有权要求调整酒店。投标人须在投标文件中提供备选酒店信息。另外若团队中出现单男单女，不补住房差价，由成交单位安排并承担。</w:t>
      </w:r>
    </w:p>
    <w:p w14:paraId="4B0FAC3D">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用餐：保障三餐供应，中、晚餐考虑用餐时间，菜品荤素合理搭配并具有当地特色，正餐保证6荤6素1汤（以10人为准，每桌增加1人，加1荤菜）。本项目分批次组织疗休养，供应商需考虑季节因素，合理调配菜单菜品，确保卫生健康、鲜美可口；根据行程规划，随响应文件提交推荐菜单。</w:t>
      </w:r>
    </w:p>
    <w:p w14:paraId="31314FC5">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保险：成交单位提供必要的意外保险额不低于100万元/人(保险额大小作为加分项)，乘坐飞机、火车、客车等公共交通工具的，必须购买公共交通意外保险。承办疗休养的单位必须办理相关责任险。成交时需要提供相应的证明文件。</w:t>
      </w:r>
    </w:p>
    <w:p w14:paraId="72E03E44">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质量保证：成交单位要按照招标文件、投标文件、合同等履行服务，必须对采购人要求的全部服务范围进行响应，不得限定采购人活动区域范围，不得进行选择性服务，保证服务质量。本项目招标结束后，采购人如发现成交单位提供不实投标资料，采购人有权上报责任部门并取消资格。每批次疗休养结束后，采购人将对参加疗休养的人员进行疗休养情况满意度测评调查。实施过程中出现有效投诉3次或以上的，采购人有权终止合同。若首批行程参加休养人员对本次休养整体评差评率达到30%的，则采购人有权解除剩余行程及其他中标线路安排，所造成损失由成交单位自行承担。如果参加休养人员对本次休养整体评差评率达到50%及以上的，三年内不得参与采购人同类项目的招标。</w:t>
      </w:r>
    </w:p>
    <w:p w14:paraId="505E75F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报价要求：固定单价（人民币）。最后报价（中标单价）是履行合同的最终价格，包括完成本项目实施的所有费用，具体包括但不限于旅行、旅游、交通、住宿、餐饮及相关策划咨询服务，以及人工、管理、利润、税金、保险、验收等一切费用。</w:t>
      </w:r>
    </w:p>
    <w:p w14:paraId="12C7A08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9.资金支付：按照新总工〔2025〕5号《关于做好2025年职工疗休养工作的通知》相关规定，根据实际人数和活动内容按实结算，经费应符合国家财务有关规定。</w:t>
      </w:r>
      <w:r>
        <w:rPr>
          <w:rFonts w:hint="eastAsia" w:ascii="宋体" w:hAnsi="宋体" w:eastAsia="宋体" w:cs="宋体"/>
          <w:b w:val="0"/>
          <w:bCs w:val="0"/>
          <w:color w:val="auto"/>
          <w:kern w:val="2"/>
          <w:sz w:val="21"/>
          <w:szCs w:val="21"/>
          <w:highlight w:val="none"/>
          <w:lang w:val="en-US" w:eastAsia="zh-CN" w:bidi="ar-SA"/>
        </w:rPr>
        <w:t>职工疗休养补贴经费为人民币 3000 元/人，编外人员疗休养补贴经费为人民币 2000 元/人，</w:t>
      </w:r>
      <w:r>
        <w:rPr>
          <w:rFonts w:hint="eastAsia" w:ascii="宋体" w:hAnsi="宋体" w:eastAsia="宋体" w:cs="宋体"/>
          <w:color w:val="auto"/>
          <w:highlight w:val="none"/>
          <w:lang w:val="en-US" w:eastAsia="zh-CN"/>
        </w:rPr>
        <w:t>采购人根据实际疗休养人数按照成交单价对成交人进行补贴经费的支付。如实际费用超出补贴标准的，超出部分由相关人员自行承担与旅行社按实结算。疗休养活动如有家属随同参加的，由职工本人提出申请，经双方单位审批同意后，方可参加。同时，家属必须与旅行社单独签订合同，单独开具发票，费用自理。</w:t>
      </w:r>
    </w:p>
    <w:p w14:paraId="55987CAA">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10.退团商定：因特殊情况，组团后如出现临时退团的情形，成交单位应允许出团前3个工作日除预定的高铁车票退票费用（按国家规定执行，由退团单位或个人自负）外可无条件退团。</w:t>
      </w:r>
    </w:p>
    <w:p w14:paraId="11DD63E2">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11、参加疗休养人员名单和个人信息不得外泄；</w:t>
      </w:r>
    </w:p>
    <w:p w14:paraId="685BCF3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12、项目实施方案成交后一周内报采购人做确认，如遇恶劣天气等特殊情况，无法成团出行目的地的，需及时调整出行方案，采购人认可后可调整目的地或视情况取消出行。</w:t>
      </w:r>
    </w:p>
    <w:p w14:paraId="12954281">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13、其他：</w:t>
      </w:r>
    </w:p>
    <w:p w14:paraId="261CEA2F">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（1）行程中的相关安全事宜（住宿、交通、饮食等）全部由成交单位负责，如出现任何安全事故，则由成交单位承担相关经济赔偿与法律义务。</w:t>
      </w:r>
    </w:p>
    <w:p w14:paraId="18129803">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（2）其他要求：所有疗休养必须按照新昌县总工会下发的关于职工疗休养的文件规定执行。</w:t>
      </w:r>
    </w:p>
    <w:p w14:paraId="2FC020FC">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本项目不得以任何理由、任何形式进行转、分包、挂靠，一经发现采购人可单方面解除合同，所造成的任何损失由成交单位自行负责；并将其列入黑名单，不得参加下一次的招投标。</w:t>
      </w:r>
    </w:p>
    <w:p w14:paraId="65F919B0">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（3）如成交单位在合同履约过程中有任何被投诉或被行政处罚行为，采购人有权立即终止合同。</w:t>
      </w:r>
    </w:p>
    <w:p w14:paraId="5666E7FA">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5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935"/>
        <w:gridCol w:w="486"/>
        <w:gridCol w:w="1397"/>
        <w:gridCol w:w="486"/>
        <w:gridCol w:w="1396"/>
        <w:gridCol w:w="487"/>
        <w:gridCol w:w="935"/>
        <w:gridCol w:w="501"/>
      </w:tblGrid>
      <w:tr w14:paraId="1B6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293DA652">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疗休养地点</w:t>
            </w:r>
          </w:p>
        </w:tc>
        <w:tc>
          <w:tcPr>
            <w:tcW w:w="3886" w:type="pct"/>
            <w:gridSpan w:val="8"/>
            <w:noWrap w:val="0"/>
            <w:vAlign w:val="top"/>
          </w:tcPr>
          <w:p w14:paraId="5705CAA4">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1"/>
                <w:szCs w:val="21"/>
                <w:highlight w:val="none"/>
              </w:rPr>
            </w:pPr>
          </w:p>
        </w:tc>
      </w:tr>
      <w:tr w14:paraId="587A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3CA6DE3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疗休养时间</w:t>
            </w:r>
          </w:p>
        </w:tc>
        <w:tc>
          <w:tcPr>
            <w:tcW w:w="3886" w:type="pct"/>
            <w:gridSpan w:val="8"/>
            <w:noWrap w:val="0"/>
            <w:vAlign w:val="top"/>
          </w:tcPr>
          <w:p w14:paraId="5EC51AB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_____ 年___ 月 ____日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___ 月  ____日</w:t>
            </w:r>
          </w:p>
        </w:tc>
      </w:tr>
      <w:tr w14:paraId="14E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4215807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住宿满意度</w:t>
            </w:r>
          </w:p>
        </w:tc>
        <w:tc>
          <w:tcPr>
            <w:tcW w:w="549" w:type="pct"/>
            <w:noWrap w:val="0"/>
            <w:vAlign w:val="top"/>
          </w:tcPr>
          <w:p w14:paraId="231352C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285" w:type="pct"/>
            <w:noWrap w:val="0"/>
            <w:vAlign w:val="top"/>
          </w:tcPr>
          <w:p w14:paraId="289F2FC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20" w:type="pct"/>
            <w:noWrap w:val="0"/>
            <w:vAlign w:val="top"/>
          </w:tcPr>
          <w:p w14:paraId="1F8F2935">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285" w:type="pct"/>
            <w:noWrap w:val="0"/>
            <w:vAlign w:val="top"/>
          </w:tcPr>
          <w:p w14:paraId="1D7358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19" w:type="pct"/>
            <w:noWrap w:val="0"/>
            <w:vAlign w:val="top"/>
          </w:tcPr>
          <w:p w14:paraId="2E2AE812">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286" w:type="pct"/>
            <w:noWrap w:val="0"/>
            <w:vAlign w:val="top"/>
          </w:tcPr>
          <w:p w14:paraId="178EAB7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549" w:type="pct"/>
            <w:noWrap w:val="0"/>
            <w:vAlign w:val="top"/>
          </w:tcPr>
          <w:p w14:paraId="3B4FF0FF">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288" w:type="pct"/>
            <w:noWrap w:val="0"/>
            <w:vAlign w:val="top"/>
          </w:tcPr>
          <w:p w14:paraId="6A976E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4B40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196688D3">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餐饮满意度</w:t>
            </w:r>
          </w:p>
        </w:tc>
        <w:tc>
          <w:tcPr>
            <w:tcW w:w="549" w:type="pct"/>
            <w:noWrap w:val="0"/>
            <w:vAlign w:val="top"/>
          </w:tcPr>
          <w:p w14:paraId="79CD3EA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285" w:type="pct"/>
            <w:noWrap w:val="0"/>
            <w:vAlign w:val="top"/>
          </w:tcPr>
          <w:p w14:paraId="76B5D6A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20" w:type="pct"/>
            <w:noWrap w:val="0"/>
            <w:vAlign w:val="top"/>
          </w:tcPr>
          <w:p w14:paraId="2AC6F860">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285" w:type="pct"/>
            <w:noWrap w:val="0"/>
            <w:vAlign w:val="top"/>
          </w:tcPr>
          <w:p w14:paraId="2CE9DD7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19" w:type="pct"/>
            <w:noWrap w:val="0"/>
            <w:vAlign w:val="top"/>
          </w:tcPr>
          <w:p w14:paraId="5FB9625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286" w:type="pct"/>
            <w:noWrap w:val="0"/>
            <w:vAlign w:val="top"/>
          </w:tcPr>
          <w:p w14:paraId="651E11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549" w:type="pct"/>
            <w:noWrap w:val="0"/>
            <w:vAlign w:val="top"/>
          </w:tcPr>
          <w:p w14:paraId="16061F5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288" w:type="pct"/>
            <w:noWrap w:val="0"/>
            <w:vAlign w:val="top"/>
          </w:tcPr>
          <w:p w14:paraId="72929FB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7CD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6354C0E4">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行程满意度</w:t>
            </w:r>
          </w:p>
        </w:tc>
        <w:tc>
          <w:tcPr>
            <w:tcW w:w="549" w:type="pct"/>
            <w:noWrap w:val="0"/>
            <w:vAlign w:val="top"/>
          </w:tcPr>
          <w:p w14:paraId="0890847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285" w:type="pct"/>
            <w:noWrap w:val="0"/>
            <w:vAlign w:val="top"/>
          </w:tcPr>
          <w:p w14:paraId="78EB50F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20" w:type="pct"/>
            <w:noWrap w:val="0"/>
            <w:vAlign w:val="top"/>
          </w:tcPr>
          <w:p w14:paraId="3D39508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285" w:type="pct"/>
            <w:noWrap w:val="0"/>
            <w:vAlign w:val="top"/>
          </w:tcPr>
          <w:p w14:paraId="273A05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19" w:type="pct"/>
            <w:noWrap w:val="0"/>
            <w:vAlign w:val="top"/>
          </w:tcPr>
          <w:p w14:paraId="3D6F444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286" w:type="pct"/>
            <w:noWrap w:val="0"/>
            <w:vAlign w:val="top"/>
          </w:tcPr>
          <w:p w14:paraId="03AA4CE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549" w:type="pct"/>
            <w:noWrap w:val="0"/>
            <w:vAlign w:val="top"/>
          </w:tcPr>
          <w:p w14:paraId="1A9957D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288" w:type="pct"/>
            <w:noWrap w:val="0"/>
            <w:vAlign w:val="top"/>
          </w:tcPr>
          <w:p w14:paraId="59D478A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7B0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0DDA05C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景点满意度</w:t>
            </w:r>
          </w:p>
        </w:tc>
        <w:tc>
          <w:tcPr>
            <w:tcW w:w="549" w:type="pct"/>
            <w:noWrap w:val="0"/>
            <w:vAlign w:val="top"/>
          </w:tcPr>
          <w:p w14:paraId="195DA3F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285" w:type="pct"/>
            <w:noWrap w:val="0"/>
            <w:vAlign w:val="top"/>
          </w:tcPr>
          <w:p w14:paraId="0D3974C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20" w:type="pct"/>
            <w:noWrap w:val="0"/>
            <w:vAlign w:val="top"/>
          </w:tcPr>
          <w:p w14:paraId="32110D4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285" w:type="pct"/>
            <w:noWrap w:val="0"/>
            <w:vAlign w:val="top"/>
          </w:tcPr>
          <w:p w14:paraId="6988E8B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19" w:type="pct"/>
            <w:noWrap w:val="0"/>
            <w:vAlign w:val="top"/>
          </w:tcPr>
          <w:p w14:paraId="0025DD3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286" w:type="pct"/>
            <w:noWrap w:val="0"/>
            <w:vAlign w:val="top"/>
          </w:tcPr>
          <w:p w14:paraId="7D0F2C3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549" w:type="pct"/>
            <w:noWrap w:val="0"/>
            <w:vAlign w:val="top"/>
          </w:tcPr>
          <w:p w14:paraId="1E155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288" w:type="pct"/>
            <w:noWrap w:val="0"/>
            <w:vAlign w:val="top"/>
          </w:tcPr>
          <w:p w14:paraId="18F47437">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319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197CB0A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服务质量</w:t>
            </w:r>
          </w:p>
        </w:tc>
        <w:tc>
          <w:tcPr>
            <w:tcW w:w="549" w:type="pct"/>
            <w:noWrap w:val="0"/>
            <w:vAlign w:val="top"/>
          </w:tcPr>
          <w:p w14:paraId="5FC258E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285" w:type="pct"/>
            <w:noWrap w:val="0"/>
            <w:vAlign w:val="top"/>
          </w:tcPr>
          <w:p w14:paraId="02200AB4">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20" w:type="pct"/>
            <w:noWrap w:val="0"/>
            <w:vAlign w:val="top"/>
          </w:tcPr>
          <w:p w14:paraId="7B4CEF4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285" w:type="pct"/>
            <w:noWrap w:val="0"/>
            <w:vAlign w:val="top"/>
          </w:tcPr>
          <w:p w14:paraId="2BBB668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819" w:type="pct"/>
            <w:noWrap w:val="0"/>
            <w:vAlign w:val="top"/>
          </w:tcPr>
          <w:p w14:paraId="06D3E04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286" w:type="pct"/>
            <w:noWrap w:val="0"/>
            <w:vAlign w:val="top"/>
          </w:tcPr>
          <w:p w14:paraId="46C0824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c>
          <w:tcPr>
            <w:tcW w:w="549" w:type="pct"/>
            <w:noWrap w:val="0"/>
            <w:vAlign w:val="top"/>
          </w:tcPr>
          <w:p w14:paraId="1038DA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288" w:type="pct"/>
            <w:noWrap w:val="0"/>
            <w:vAlign w:val="top"/>
          </w:tcPr>
          <w:p w14:paraId="2D5A9A5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1"/>
                <w:szCs w:val="21"/>
                <w:highlight w:val="none"/>
              </w:rPr>
            </w:pPr>
          </w:p>
        </w:tc>
      </w:tr>
      <w:tr w14:paraId="2624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3" w:type="pct"/>
            <w:noWrap w:val="0"/>
            <w:vAlign w:val="top"/>
          </w:tcPr>
          <w:p w14:paraId="3BEB3998">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整体评价</w:t>
            </w:r>
          </w:p>
        </w:tc>
        <w:tc>
          <w:tcPr>
            <w:tcW w:w="549" w:type="pct"/>
            <w:noWrap w:val="0"/>
            <w:vAlign w:val="top"/>
          </w:tcPr>
          <w:p w14:paraId="73D26855">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好</w:t>
            </w:r>
          </w:p>
        </w:tc>
        <w:tc>
          <w:tcPr>
            <w:tcW w:w="285" w:type="pct"/>
            <w:noWrap w:val="0"/>
            <w:vAlign w:val="top"/>
          </w:tcPr>
          <w:p w14:paraId="0F8C17F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820" w:type="pct"/>
            <w:noWrap w:val="0"/>
            <w:vAlign w:val="top"/>
          </w:tcPr>
          <w:p w14:paraId="168181A7">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较好</w:t>
            </w:r>
          </w:p>
        </w:tc>
        <w:tc>
          <w:tcPr>
            <w:tcW w:w="285" w:type="pct"/>
            <w:noWrap w:val="0"/>
            <w:vAlign w:val="top"/>
          </w:tcPr>
          <w:p w14:paraId="7ECCD374">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819" w:type="pct"/>
            <w:noWrap w:val="0"/>
            <w:vAlign w:val="top"/>
          </w:tcPr>
          <w:p w14:paraId="5D725A74">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286" w:type="pct"/>
            <w:noWrap w:val="0"/>
            <w:vAlign w:val="top"/>
          </w:tcPr>
          <w:p w14:paraId="204E038C">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c>
          <w:tcPr>
            <w:tcW w:w="549" w:type="pct"/>
            <w:noWrap w:val="0"/>
            <w:vAlign w:val="top"/>
          </w:tcPr>
          <w:p w14:paraId="0E42E7B6">
            <w:pPr>
              <w:keepNext w:val="0"/>
              <w:keepLines w:val="0"/>
              <w:pageBreakBefore w:val="0"/>
              <w:kinsoku/>
              <w:wordWrap/>
              <w:overflowPunct/>
              <w:topLinePunct w:val="0"/>
              <w:bidi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差</w:t>
            </w:r>
          </w:p>
        </w:tc>
        <w:tc>
          <w:tcPr>
            <w:tcW w:w="288" w:type="pct"/>
            <w:noWrap w:val="0"/>
            <w:vAlign w:val="top"/>
          </w:tcPr>
          <w:p w14:paraId="7A046DF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1"/>
                <w:szCs w:val="21"/>
                <w:highlight w:val="none"/>
              </w:rPr>
            </w:pPr>
          </w:p>
        </w:tc>
      </w:tr>
      <w:tr w14:paraId="65E2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000" w:type="pct"/>
            <w:gridSpan w:val="9"/>
            <w:noWrap w:val="0"/>
            <w:vAlign w:val="top"/>
          </w:tcPr>
          <w:p w14:paraId="2787E30F">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对本次疗休养的整体评价及建议：</w:t>
            </w:r>
          </w:p>
          <w:p w14:paraId="6F04DCA3">
            <w:pPr>
              <w:pStyle w:val="18"/>
              <w:rPr>
                <w:rFonts w:hint="default" w:eastAsia="宋体"/>
                <w:sz w:val="21"/>
                <w:szCs w:val="21"/>
                <w:highlight w:val="none"/>
                <w:lang w:val="en-US" w:eastAsia="zh-CN"/>
              </w:rPr>
            </w:pPr>
            <w:r>
              <w:rPr>
                <w:rFonts w:hint="eastAsia" w:ascii="宋体" w:hAnsi="宋体" w:cs="宋体"/>
                <w:sz w:val="21"/>
                <w:szCs w:val="21"/>
                <w:highlight w:val="none"/>
                <w:lang w:val="en-US" w:eastAsia="zh-CN"/>
              </w:rPr>
              <w:t xml:space="preserve">                                                    </w:t>
            </w:r>
          </w:p>
          <w:p w14:paraId="3C8992AA">
            <w:pPr>
              <w:keepNext w:val="0"/>
              <w:keepLines w:val="0"/>
              <w:pageBreakBefore w:val="0"/>
              <w:kinsoku/>
              <w:wordWrap/>
              <w:overflowPunct/>
              <w:topLinePunct w:val="0"/>
              <w:bidi w:val="0"/>
              <w:spacing w:line="360" w:lineRule="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 xml:space="preserve">签名：                                              </w:t>
            </w:r>
          </w:p>
        </w:tc>
      </w:tr>
    </w:tbl>
    <w:p w14:paraId="0591713E">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1D44FB">
      <w:pPr>
        <w:pStyle w:val="3"/>
        <w:numPr>
          <w:ilvl w:val="0"/>
          <w:numId w:val="6"/>
        </w:numPr>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合同格式（范本）</w:t>
      </w:r>
      <w:bookmarkEnd w:id="74"/>
    </w:p>
    <w:p w14:paraId="6E0CA3FA">
      <w:pPr>
        <w:jc w:val="distribute"/>
        <w:rPr>
          <w:rFonts w:hint="eastAsia" w:ascii="方正黑体_GBK" w:hAnsi="方正黑体_GBK" w:eastAsia="方正黑体_GBK" w:cs="方正黑体_GBK"/>
          <w:sz w:val="52"/>
          <w:szCs w:val="52"/>
        </w:rPr>
      </w:pPr>
      <w:bookmarkStart w:id="78" w:name="_Toc43498236"/>
      <w:r>
        <w:rPr>
          <w:rFonts w:hint="eastAsia" w:ascii="方正黑体_GBK" w:hAnsi="方正黑体_GBK" w:eastAsia="方正黑体_GBK" w:cs="方正黑体_GBK"/>
          <w:sz w:val="52"/>
          <w:szCs w:val="52"/>
        </w:rPr>
        <w:t>浙江省合同示范文本</w:t>
      </w:r>
    </w:p>
    <w:p w14:paraId="160F7727">
      <w:pPr>
        <w:rPr>
          <w:rFonts w:hint="eastAsia"/>
        </w:rPr>
      </w:pPr>
    </w:p>
    <w:p w14:paraId="1379583B">
      <w:pPr>
        <w:spacing w:line="600" w:lineRule="exact"/>
        <w:jc w:val="right"/>
        <w:rPr>
          <w:rFonts w:hint="eastAsia" w:ascii="仿宋_GB2312" w:hAnsi="仿宋" w:eastAsia="仿宋_GB2312"/>
          <w:kern w:val="1"/>
          <w:sz w:val="32"/>
          <w:szCs w:val="32"/>
        </w:rPr>
      </w:pPr>
      <w:r>
        <w:rPr>
          <w:rFonts w:hint="eastAsia" w:ascii="仿宋_GB2312" w:hAnsi="仿宋" w:eastAsia="仿宋_GB2312"/>
          <w:kern w:val="1"/>
          <w:sz w:val="32"/>
          <w:szCs w:val="32"/>
        </w:rPr>
        <w:t>（</w:t>
      </w:r>
      <w:r>
        <w:rPr>
          <w:rFonts w:hint="eastAsia" w:ascii="仿宋_GB2312" w:hAnsi="仿宋_GB2312" w:eastAsia="仿宋_GB2312" w:cs="仿宋_GB2312"/>
          <w:sz w:val="32"/>
          <w:szCs w:val="32"/>
        </w:rPr>
        <w:t>HT33／SF03　1-2022</w:t>
      </w:r>
      <w:r>
        <w:rPr>
          <w:rFonts w:hint="eastAsia" w:ascii="仿宋_GB2312" w:hAnsi="仿宋" w:eastAsia="仿宋_GB2312"/>
          <w:kern w:val="1"/>
          <w:sz w:val="32"/>
          <w:szCs w:val="32"/>
        </w:rPr>
        <w:t>）</w:t>
      </w:r>
    </w:p>
    <w:p w14:paraId="25323203">
      <w:pPr>
        <w:spacing w:line="600" w:lineRule="exact"/>
        <w:rPr>
          <w:rFonts w:ascii="仿宋_GB2312" w:hAnsi="仿宋_GB2312" w:eastAsia="仿宋_GB2312" w:cs="仿宋_GB2312"/>
          <w:sz w:val="44"/>
          <w:szCs w:val="44"/>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44"/>
          <w:szCs w:val="44"/>
          <w:u w:val="single"/>
        </w:rPr>
        <w:t xml:space="preserve">                                                   </w:t>
      </w:r>
      <w:r>
        <w:rPr>
          <w:rFonts w:hint="eastAsia" w:ascii="仿宋_GB2312" w:hAnsi="仿宋_GB2312" w:eastAsia="仿宋_GB2312" w:cs="仿宋_GB2312"/>
          <w:sz w:val="44"/>
          <w:szCs w:val="44"/>
        </w:rPr>
        <w:t xml:space="preserve"> </w:t>
      </w:r>
    </w:p>
    <w:p w14:paraId="36F71CEE">
      <w:pPr>
        <w:spacing w:line="560" w:lineRule="exact"/>
        <w:jc w:val="center"/>
        <w:rPr>
          <w:rFonts w:hint="eastAsia" w:ascii="方正小标宋简体" w:hAnsi="方正小标宋简体" w:eastAsia="方正小标宋简体" w:cs="方正小标宋简体"/>
          <w:spacing w:val="-20"/>
          <w:sz w:val="44"/>
          <w:szCs w:val="44"/>
        </w:rPr>
      </w:pPr>
    </w:p>
    <w:p w14:paraId="54F69A86">
      <w:pPr>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kern w:val="1"/>
          <w:sz w:val="44"/>
          <w:szCs w:val="44"/>
        </w:rPr>
        <w:t>浙江省团队境内旅游合同</w:t>
      </w:r>
    </w:p>
    <w:p w14:paraId="7AD38FBB">
      <w:pPr>
        <w:jc w:val="both"/>
        <w:rPr>
          <w:rFonts w:hint="eastAsia" w:ascii="方正小标宋简体" w:hAnsi="方正小标宋简体" w:eastAsia="方正小标宋简体" w:cs="方正小标宋简体"/>
          <w:spacing w:val="-20"/>
          <w:sz w:val="44"/>
          <w:szCs w:val="44"/>
        </w:rPr>
      </w:pPr>
    </w:p>
    <w:p w14:paraId="5B9A9FA9">
      <w:pPr>
        <w:rPr>
          <w:rFonts w:hint="eastAsia" w:ascii="方正小标宋简体" w:hAnsi="方正小标宋简体" w:eastAsia="方正小标宋简体" w:cs="方正小标宋简体"/>
          <w:spacing w:val="-20"/>
          <w:sz w:val="44"/>
          <w:szCs w:val="44"/>
        </w:rPr>
      </w:pPr>
    </w:p>
    <w:p w14:paraId="3CA58BCF">
      <w:pPr>
        <w:jc w:val="center"/>
        <w:rPr>
          <w:rFonts w:hint="eastAsia" w:ascii="方正小标宋简体" w:hAnsi="方正小标宋简体" w:eastAsia="方正小标宋简体" w:cs="方正小标宋简体"/>
          <w:spacing w:val="-20"/>
          <w:sz w:val="44"/>
          <w:szCs w:val="44"/>
        </w:rPr>
      </w:pPr>
    </w:p>
    <w:p w14:paraId="5BE08187">
      <w:pPr>
        <w:jc w:val="center"/>
        <w:rPr>
          <w:rFonts w:hint="eastAsia" w:ascii="方正小标宋简体" w:hAnsi="方正小标宋简体" w:eastAsia="方正小标宋简体" w:cs="方正小标宋简体"/>
          <w:spacing w:val="-20"/>
          <w:sz w:val="44"/>
          <w:szCs w:val="44"/>
        </w:rPr>
      </w:pPr>
    </w:p>
    <w:p w14:paraId="6B133556">
      <w:pPr>
        <w:jc w:val="center"/>
        <w:rPr>
          <w:rFonts w:hint="eastAsia" w:ascii="方正小标宋简体" w:hAnsi="方正小标宋简体" w:eastAsia="方正小标宋简体" w:cs="方正小标宋简体"/>
          <w:spacing w:val="-20"/>
          <w:sz w:val="44"/>
          <w:szCs w:val="44"/>
        </w:rPr>
      </w:pPr>
    </w:p>
    <w:p w14:paraId="39693CB9">
      <w:pPr>
        <w:jc w:val="both"/>
        <w:rPr>
          <w:rFonts w:hint="eastAsia" w:ascii="方正黑体_GBK" w:hAnsi="方正黑体_GBK" w:eastAsia="方正黑体_GBK" w:cs="方正黑体_GBK"/>
          <w:spacing w:val="-20"/>
          <w:sz w:val="32"/>
          <w:szCs w:val="32"/>
        </w:rPr>
      </w:pPr>
    </w:p>
    <w:p w14:paraId="5164B9E4">
      <w:pPr>
        <w:jc w:val="center"/>
        <w:rPr>
          <w:rFonts w:hint="eastAsia" w:ascii="方正小标宋简体" w:hAnsi="方正小标宋简体" w:eastAsia="方正小标宋简体" w:cs="方正小标宋简体"/>
          <w:spacing w:val="-20"/>
          <w:sz w:val="44"/>
          <w:szCs w:val="44"/>
          <w:u w:val="single"/>
        </w:rPr>
      </w:pPr>
      <w:r>
        <w:rPr>
          <w:rFonts w:hint="eastAsia" w:ascii="方正黑体_GBK" w:hAnsi="方正黑体_GBK" w:eastAsia="方正黑体_GBK" w:cs="方正黑体_GBK"/>
          <w:spacing w:val="-20"/>
          <w:sz w:val="32"/>
          <w:szCs w:val="32"/>
          <w:u w:val="single"/>
        </w:rPr>
        <w:t xml:space="preserve">2022年6月20日发布 </w:t>
      </w:r>
      <w:r>
        <w:rPr>
          <w:rFonts w:hint="eastAsia" w:ascii="方正小标宋简体" w:hAnsi="方正小标宋简体" w:eastAsia="方正小标宋简体" w:cs="方正小标宋简体"/>
          <w:spacing w:val="-20"/>
          <w:sz w:val="44"/>
          <w:szCs w:val="44"/>
          <w:u w:val="single"/>
        </w:rPr>
        <w:t xml:space="preserve">      </w:t>
      </w:r>
      <w:r>
        <w:rPr>
          <w:rFonts w:hint="eastAsia" w:ascii="方正黑体_GBK" w:hAnsi="方正黑体_GBK" w:eastAsia="方正黑体_GBK" w:cs="方正黑体_GBK"/>
          <w:spacing w:val="-20"/>
          <w:sz w:val="32"/>
          <w:szCs w:val="32"/>
          <w:u w:val="single"/>
        </w:rPr>
        <w:t>2022年</w:t>
      </w:r>
      <w:r>
        <w:rPr>
          <w:rFonts w:hint="eastAsia" w:ascii="方正黑体_GBK" w:hAnsi="方正黑体_GBK" w:eastAsia="方正黑体_GBK" w:cs="方正黑体_GBK"/>
          <w:spacing w:val="-20"/>
          <w:sz w:val="32"/>
          <w:szCs w:val="32"/>
          <w:u w:val="single"/>
          <w:lang w:val="en-US" w:eastAsia="zh-CN"/>
        </w:rPr>
        <w:t>6</w:t>
      </w:r>
      <w:r>
        <w:rPr>
          <w:rFonts w:hint="eastAsia" w:ascii="方正黑体_GBK" w:hAnsi="方正黑体_GBK" w:eastAsia="方正黑体_GBK" w:cs="方正黑体_GBK"/>
          <w:spacing w:val="-20"/>
          <w:sz w:val="32"/>
          <w:szCs w:val="32"/>
          <w:u w:val="single"/>
        </w:rPr>
        <w:t>月</w:t>
      </w:r>
      <w:r>
        <w:rPr>
          <w:rFonts w:hint="eastAsia" w:ascii="方正黑体_GBK" w:hAnsi="方正黑体_GBK" w:eastAsia="方正黑体_GBK" w:cs="方正黑体_GBK"/>
          <w:spacing w:val="-20"/>
          <w:sz w:val="32"/>
          <w:szCs w:val="32"/>
          <w:u w:val="single"/>
          <w:lang w:val="en-US" w:eastAsia="zh-CN"/>
        </w:rPr>
        <w:t>20</w:t>
      </w:r>
      <w:r>
        <w:rPr>
          <w:rFonts w:hint="eastAsia" w:ascii="方正黑体_GBK" w:hAnsi="方正黑体_GBK" w:eastAsia="方正黑体_GBK" w:cs="方正黑体_GBK"/>
          <w:spacing w:val="-20"/>
          <w:sz w:val="32"/>
          <w:szCs w:val="32"/>
          <w:u w:val="single"/>
        </w:rPr>
        <w:t>日施行</w:t>
      </w:r>
    </w:p>
    <w:p w14:paraId="474B8500">
      <w:pPr>
        <w:jc w:val="center"/>
        <w:rPr>
          <w:rFonts w:hint="eastAsia" w:ascii="方正黑体_GBK" w:hAnsi="方正黑体_GBK" w:eastAsia="方正黑体_GBK" w:cs="方正黑体_GBK"/>
          <w:sz w:val="32"/>
          <w:szCs w:val="32"/>
        </w:rPr>
      </w:pPr>
    </w:p>
    <w:p w14:paraId="4B19E929">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浙江省文化和旅游厅</w:t>
      </w:r>
    </w:p>
    <w:p w14:paraId="4DCBE303">
      <w:pPr>
        <w:jc w:val="center"/>
        <w:rPr>
          <w:rFonts w:hint="eastAsia" w:ascii="方正黑体_GBK" w:hAnsi="方正黑体_GBK" w:eastAsia="方正黑体_GBK" w:cs="方正黑体_GBK"/>
          <w:sz w:val="32"/>
          <w:szCs w:val="32"/>
        </w:rPr>
        <w:sectPr>
          <w:footerReference r:id="rId9" w:type="default"/>
          <w:pgSz w:w="11906" w:h="16838"/>
          <w:pgMar w:top="1440" w:right="1800" w:bottom="1440" w:left="1800" w:header="851" w:footer="992" w:gutter="0"/>
          <w:cols w:space="720" w:num="1"/>
          <w:docGrid w:type="lines" w:linePitch="312" w:charSpace="0"/>
        </w:sectPr>
      </w:pPr>
      <w:r>
        <w:rPr>
          <w:rFonts w:hint="eastAsia" w:ascii="方正黑体_GBK" w:hAnsi="方正黑体_GBK" w:eastAsia="方正黑体_GBK" w:cs="方正黑体_GBK"/>
          <w:sz w:val="32"/>
          <w:szCs w:val="32"/>
        </w:rPr>
        <w:t>浙江省市场监督管理局</w:t>
      </w:r>
    </w:p>
    <w:p w14:paraId="02BB167C">
      <w:pPr>
        <w:jc w:val="center"/>
        <w:rPr>
          <w:rFonts w:hint="eastAsia" w:ascii="宋体" w:hAnsi="宋体"/>
          <w:b/>
          <w:bCs/>
          <w:sz w:val="36"/>
          <w:szCs w:val="36"/>
        </w:rPr>
      </w:pPr>
      <w:r>
        <w:rPr>
          <w:rFonts w:hint="eastAsia" w:ascii="宋体" w:hAnsi="宋体"/>
          <w:b/>
          <w:bCs/>
          <w:sz w:val="36"/>
          <w:szCs w:val="36"/>
        </w:rPr>
        <w:t>说  明</w:t>
      </w:r>
    </w:p>
    <w:p w14:paraId="0378FA5D">
      <w:pPr>
        <w:ind w:firstLine="480" w:firstLineChars="200"/>
        <w:rPr>
          <w:rFonts w:ascii="宋体" w:hAnsi="宋体"/>
          <w:sz w:val="24"/>
          <w:szCs w:val="24"/>
        </w:rPr>
      </w:pPr>
    </w:p>
    <w:p w14:paraId="1E42B499">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为了规范旅行社和旅游者的权利义务，维护双方合法权益，根据《中华人民共和国民法典》《中华人民共和国旅游法》《中华人民共和国消费者权益保护法》《旅行社条例》《浙江省旅游条例》等法律法规的规定，结合浙江省旅游发展要求制定本合同。</w:t>
      </w:r>
    </w:p>
    <w:p w14:paraId="5ECF82E4">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二、本合同为示范文本，由浙江省文化和旅游厅制定，浙江省文化和旅游厅和浙江省市场监督管理局共同发布。</w:t>
      </w:r>
    </w:p>
    <w:p w14:paraId="452D631B">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三、本合同由浙江省文化和旅游厅负责解释，但不负责对已订立的合同内容进行解释。</w:t>
      </w:r>
    </w:p>
    <w:p w14:paraId="410065F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四、本合同由通用条款、专用条款及其他双方约定的合同附件组成。</w:t>
      </w:r>
    </w:p>
    <w:p w14:paraId="28760E08">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五、本合同供住所地在浙江省行政区域内的旅行社与旅游者之间签订团队境内包价旅游（不含赴港、澳、台地区旅游及边境游）合同时参照使用。旅行社与旅游者可以通过互联网等信息平台签订使用本合同。</w:t>
      </w:r>
    </w:p>
    <w:p w14:paraId="749CC442">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六、签订本合同前，旅行社应当提前提供拟签合同文本及相关附件，以便旅游者能详细阅读并了解合同条款。</w:t>
      </w:r>
    </w:p>
    <w:p w14:paraId="5F3CE2D7">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七、双方可以协商以书面形式变更或者补充本合同。</w:t>
      </w:r>
    </w:p>
    <w:p w14:paraId="5EB03000">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八、旅行社若在本合同中自行拟订或修改格式条款，不得使用本合同示范文本的样式，不得以“合同示范文本”名义与旅游者签订合同。</w:t>
      </w:r>
    </w:p>
    <w:p w14:paraId="121F17EA">
      <w:pPr>
        <w:spacing w:line="560" w:lineRule="exact"/>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九、旅行社若在本合同中自行拟订或者修改格式条款的，应当在开始使用该格式条款之日起三十日内，将合同样本报核发其营业执照的市场监督管理部门备案（请登陆浙江政务服务网办理https://oauth.zjzwfw.gov.cn/login.jsp）。</w:t>
      </w:r>
    </w:p>
    <w:p w14:paraId="4F3C7D3B">
      <w:pPr>
        <w:tabs>
          <w:tab w:val="left" w:pos="5565"/>
        </w:tabs>
        <w:spacing w:line="360" w:lineRule="exact"/>
        <w:ind w:firstLine="480" w:firstLineChars="200"/>
        <w:rPr>
          <w:rFonts w:ascii="宋体"/>
          <w:sz w:val="24"/>
          <w:szCs w:val="24"/>
        </w:rPr>
      </w:pPr>
    </w:p>
    <w:p w14:paraId="5E2D699F">
      <w:pPr>
        <w:ind w:firstLine="480" w:firstLineChars="200"/>
        <w:rPr>
          <w:rFonts w:hint="eastAsia" w:ascii="宋体" w:hAnsi="宋体"/>
          <w:sz w:val="24"/>
          <w:szCs w:val="24"/>
        </w:rPr>
      </w:pPr>
    </w:p>
    <w:p w14:paraId="4EC033D1">
      <w:pPr>
        <w:jc w:val="left"/>
        <w:rPr>
          <w:rFonts w:hint="eastAsia" w:ascii="方正黑体_GBK" w:hAnsi="方正黑体_GBK" w:eastAsia="方正黑体_GBK" w:cs="方正黑体_GBK"/>
          <w:sz w:val="32"/>
          <w:szCs w:val="32"/>
        </w:rPr>
      </w:pPr>
    </w:p>
    <w:p w14:paraId="309AF00D">
      <w:pPr>
        <w:sectPr>
          <w:pgSz w:w="11906" w:h="16838"/>
          <w:pgMar w:top="1440" w:right="1800" w:bottom="1440" w:left="1800" w:header="851" w:footer="992" w:gutter="0"/>
          <w:cols w:space="720" w:num="1"/>
          <w:docGrid w:type="lines" w:linePitch="312" w:charSpace="0"/>
        </w:sectPr>
      </w:pPr>
    </w:p>
    <w:p w14:paraId="2FEA4F51">
      <w:pPr>
        <w:tabs>
          <w:tab w:val="left" w:pos="5565"/>
        </w:tabs>
        <w:spacing w:line="360" w:lineRule="exact"/>
        <w:rPr>
          <w:rFonts w:ascii="宋体"/>
          <w:b/>
          <w:sz w:val="36"/>
          <w:szCs w:val="36"/>
        </w:rPr>
      </w:pPr>
    </w:p>
    <w:p w14:paraId="107ACD01">
      <w:pPr>
        <w:tabs>
          <w:tab w:val="left" w:pos="5565"/>
        </w:tabs>
        <w:spacing w:line="36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通用条款</w:t>
      </w:r>
    </w:p>
    <w:p w14:paraId="2FECCFC1">
      <w:pPr>
        <w:tabs>
          <w:tab w:val="left" w:pos="5565"/>
        </w:tabs>
        <w:spacing w:line="360" w:lineRule="exact"/>
        <w:rPr>
          <w:rFonts w:ascii="宋体"/>
          <w:b/>
          <w:sz w:val="36"/>
          <w:szCs w:val="36"/>
        </w:rPr>
      </w:pPr>
    </w:p>
    <w:p w14:paraId="0FFC8A1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第一条　本合同词语定义</w:t>
      </w:r>
    </w:p>
    <w:p w14:paraId="6EFE544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1．旅游费用，指旅游者支付给旅行社，用于购买相关旅游服务的费用（本合同另有约定的除外）。</w:t>
      </w:r>
    </w:p>
    <w:p w14:paraId="293B8DA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旅游费用包括：</w:t>
      </w:r>
    </w:p>
    <w:p w14:paraId="71D2173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(1)交通费；</w:t>
      </w:r>
    </w:p>
    <w:p w14:paraId="1DC538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(2)住宿费；</w:t>
      </w:r>
    </w:p>
    <w:p w14:paraId="236844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(3)餐费（不含酒水费）；</w:t>
      </w:r>
    </w:p>
    <w:p w14:paraId="5BFE125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(4)旅行社统一安排的景区景点门票费；</w:t>
      </w:r>
    </w:p>
    <w:p w14:paraId="3B482E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(5)行程中安排的其他项目费用；</w:t>
      </w:r>
    </w:p>
    <w:p w14:paraId="41EE6B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(6)导游服务费；</w:t>
      </w:r>
    </w:p>
    <w:p w14:paraId="4F9C02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(7)旅行社其他服务费用。</w:t>
      </w:r>
    </w:p>
    <w:p w14:paraId="0BE1D1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旅游费用不包括：</w:t>
      </w:r>
    </w:p>
    <w:p w14:paraId="69D81ED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(1)旅游者投保的人身意外伤害保险费用；</w:t>
      </w:r>
    </w:p>
    <w:p w14:paraId="03D2ECF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(2)合同未约定由旅行社支付的费用，包括但不限于行程以外非合同约定活动项目所需的费用、自行安排活动期间发生的费用；</w:t>
      </w:r>
    </w:p>
    <w:p w14:paraId="692F0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14:paraId="3869027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2．履行辅助人，指与旅行社存在合同关系，协助其履行本合同义务，实际提供相关服务的法人、自然人或者其他组织。</w:t>
      </w:r>
    </w:p>
    <w:p w14:paraId="5A9BB6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3．自由活动，特指《旅游行程单》中安排的特定区域和限定时间的自由活动。</w:t>
      </w:r>
    </w:p>
    <w:p w14:paraId="1DBD9F9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4．自行安排活动期间，指旅游者不参加旅游行程活动期间、每日行程开始前至结束后旅游者离开住宿设施的个人活动期间、旅游者经导游同意暂时离团的个人活动期间。</w:t>
      </w:r>
    </w:p>
    <w:p w14:paraId="3484D98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14:paraId="7E7A4E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6．离团，指团队旅游者经导游或者旅行社同意不随团队完成约定行程的行为。</w:t>
      </w:r>
    </w:p>
    <w:p w14:paraId="053F3A8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7．脱团，指团队旅游者未与导游或者旅行社协商，自行脱离旅游团队，未能随团队完成约定行程的行为。</w:t>
      </w:r>
    </w:p>
    <w:p w14:paraId="5E57A22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8．转团，指由于未达到约定成团人数不能出团，旅行社征得旅游者书面同意，在行程开始前将旅游者转至其他旅行社所组的境内旅游团队履行合同的行为。</w:t>
      </w:r>
    </w:p>
    <w:p w14:paraId="25A9777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9．拼团，指旅行社在保证所承诺的服务内容和标准不变的前提下，在签订合同时经旅游者同意，与其他组团社招徕的旅游者拼成一个团，统一安排旅游服务的行为。</w:t>
      </w:r>
    </w:p>
    <w:p w14:paraId="076F26F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10．不可抗力，指不能预见、不能避免并不能克服的客观情况，包括但不限于因自然原因和社会原因引起的，如自然灾害、战争、恐怖活动、动乱、骚乱、罢工、突发公共卫生事件、政府行为。</w:t>
      </w:r>
    </w:p>
    <w:p w14:paraId="4A7A887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11．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14:paraId="613ADD5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12．公共交通经营者，指航空、铁路、航运客轮、城市公交、地铁等公共交通工具经营者。</w:t>
      </w:r>
    </w:p>
    <w:p w14:paraId="24AA7E8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第二条  旅游者的权利</w:t>
      </w:r>
    </w:p>
    <w:p w14:paraId="793D35B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1．在支付旅游费用时，有权要求旅行社出具发票。</w:t>
      </w:r>
    </w:p>
    <w:p w14:paraId="3E9DA52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 有权要求旅行社按照合同约定履行相关义务，有权拒绝旅行社单方变更的行程安排，有权拒绝未经事先协商一致的转团、拼团行为。</w:t>
      </w:r>
    </w:p>
    <w:p w14:paraId="75E3205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有权自主选择旅游产品和服务，有权拒绝旅行社未与旅游者协商一致或者未经旅游者要求而指定具体购物场所、安排旅游者参加另行付费旅游项目的行为，有权拒绝地接社的导游强迫或者变相强迫旅游者购物、参加另行付费旅游项目的行为</w:t>
      </w:r>
      <w:r>
        <w:rPr>
          <w:rFonts w:hint="eastAsia" w:asciiTheme="majorEastAsia" w:hAnsiTheme="majorEastAsia" w:eastAsiaTheme="majorEastAsia" w:cstheme="majorEastAsia"/>
          <w:sz w:val="21"/>
          <w:szCs w:val="21"/>
        </w:rPr>
        <w:t>。</w:t>
      </w:r>
    </w:p>
    <w:p w14:paraId="4737816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的人格尊严、民族风俗习惯和宗教信仰得到尊重。在其人身、财产安全遇有危险或者受到损害时，有权要求旅行社提供相应的保护和救助并依法获得赔偿。有权要求旅行社对在旅游活动中或者在解决纠纷时损害旅游者合法权益的行为承担相应责任。</w:t>
      </w:r>
    </w:p>
    <w:p w14:paraId="781E840F">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5．《中华人民共和国旅游法》《中华人民共和国消费者权益保护法》和有关法律法规赋予旅游者的其他权利。</w:t>
      </w:r>
    </w:p>
    <w:p w14:paraId="46673B1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第三条  旅游者的义务</w:t>
      </w:r>
    </w:p>
    <w:p w14:paraId="3DFC638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1．按照合同约定支付旅游费用。在接受相关组织、机构或者旅游经营者救助后，应当依法承担应由个人支付的费用。</w:t>
      </w:r>
    </w:p>
    <w:p w14:paraId="2EFA3C0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签约时应当使用有效身份证件，</w:t>
      </w:r>
      <w:r>
        <w:rPr>
          <w:rFonts w:hint="eastAsia" w:asciiTheme="majorEastAsia" w:hAnsiTheme="majorEastAsia" w:eastAsiaTheme="majorEastAsia" w:cstheme="majorEastAsia"/>
          <w:sz w:val="21"/>
          <w:szCs w:val="21"/>
        </w:rPr>
        <w:t>如实填写《游客报名表》等与旅游活动相关的个人信息（包括个人健康状况、是否被司法机关限制高消费等），确保身体健康状况适合本次旅游，并且不会影响其他旅游者的健康和安全。</w:t>
      </w:r>
    </w:p>
    <w:p w14:paraId="0355796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3．提倡旅游者</w:t>
      </w:r>
      <w:r>
        <w:rPr>
          <w:rFonts w:hint="eastAsia" w:asciiTheme="majorEastAsia" w:hAnsiTheme="majorEastAsia" w:eastAsiaTheme="majorEastAsia" w:cstheme="majorEastAsia"/>
          <w:sz w:val="21"/>
          <w:szCs w:val="21"/>
          <w:shd w:val="clear" w:color="auto" w:fill="FFFFFF"/>
        </w:rPr>
        <w:t>携带个人</w:t>
      </w:r>
      <w:r>
        <w:rPr>
          <w:rFonts w:hint="eastAsia" w:asciiTheme="majorEastAsia" w:hAnsiTheme="majorEastAsia" w:eastAsiaTheme="majorEastAsia" w:cstheme="majorEastAsia"/>
          <w:sz w:val="21"/>
          <w:szCs w:val="21"/>
        </w:rPr>
        <w:t>洗漱用具出行，减少一次性塑料用品的使用。用餐时应当节约粮食、杜绝浪费，建议使用公筷公勺。</w:t>
      </w:r>
    </w:p>
    <w:p w14:paraId="5A8829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4．应当妥善保管自己的行李物品，</w:t>
      </w:r>
      <w:r>
        <w:rPr>
          <w:rFonts w:hint="eastAsia" w:asciiTheme="majorEastAsia" w:hAnsiTheme="majorEastAsia" w:eastAsiaTheme="majorEastAsia" w:cstheme="majorEastAsia"/>
          <w:kern w:val="0"/>
          <w:sz w:val="21"/>
          <w:szCs w:val="21"/>
        </w:rPr>
        <w:t>现金、有价证券、贵重物品</w:t>
      </w:r>
      <w:r>
        <w:rPr>
          <w:rFonts w:hint="eastAsia" w:asciiTheme="majorEastAsia" w:hAnsiTheme="majorEastAsia" w:eastAsiaTheme="majorEastAsia" w:cstheme="majorEastAsia"/>
          <w:sz w:val="21"/>
          <w:szCs w:val="21"/>
        </w:rPr>
        <w:t>应随身携带。</w:t>
      </w:r>
      <w:r>
        <w:rPr>
          <w:rFonts w:hint="eastAsia" w:asciiTheme="majorEastAsia" w:hAnsiTheme="majorEastAsia" w:eastAsiaTheme="majorEastAsia" w:cstheme="majorEastAsia"/>
          <w:kern w:val="0"/>
          <w:sz w:val="21"/>
          <w:szCs w:val="21"/>
        </w:rPr>
        <w:t>自行安排活动期间，应当在自己能够控制风险的范围内选择活动项目（包括通过互联网或者当地旅游服务供应商提供的私人订制旅游产品等）。</w:t>
      </w:r>
    </w:p>
    <w:p w14:paraId="599481E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5．旅游者</w:t>
      </w:r>
      <w:r>
        <w:rPr>
          <w:rFonts w:hint="eastAsia" w:asciiTheme="majorEastAsia" w:hAnsiTheme="majorEastAsia" w:eastAsiaTheme="majorEastAsia" w:cstheme="majorEastAsia"/>
          <w:sz w:val="21"/>
          <w:szCs w:val="21"/>
        </w:rPr>
        <w:t>不得擅自脱团，如有特殊情况需要暂时离团的，应当提前与导游或者旅行社协商，并签订离团协议或者征得导游书面同意后方可离团。</w:t>
      </w:r>
    </w:p>
    <w:p w14:paraId="3D1C5B0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6．遵守旅游活动中的安全警示规定，对国家应对重大突发事件暂时限制旅游活动的措施以及有关部门、机构或者旅游经营者采取的安全防范和应急处置措施，应当予以配合。</w:t>
      </w:r>
    </w:p>
    <w:p w14:paraId="547021E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7．爱护旅游资源，保护生态环境，旅途中应当按照垃圾分类的要求妥善投放垃圾，不得破坏景区景观设施。如因个人行为给生态环境造成损害的，应当承担修复责任或者赔偿相关损失。</w:t>
      </w:r>
    </w:p>
    <w:p w14:paraId="4EFBF57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遵守国家相关法律规定和社会公德，尊重当地的风俗习惯、文化传统和宗教信仰。旅途中不从事违法活动，不从事或者参与涉及赌博、色情、毒品等活动，遵守《中国公民国内旅游文明行为公约》等文明行为规范。</w:t>
      </w:r>
    </w:p>
    <w:p w14:paraId="1563A2B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9．旅途中如发生纠纷，旅游者应当与旅行社平等协商解决或者在行程结束后处理，不得损害旅行社和同团其他旅游者的合法权益，不得以拒绝上、下机（船、车）等行为拖延行程或者脱团，否则依法承担相应责任。</w:t>
      </w:r>
    </w:p>
    <w:p w14:paraId="2F08BA6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第四条  旅行社的权利</w:t>
      </w:r>
    </w:p>
    <w:p w14:paraId="2475272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1．根据旅游者身体健康状况及相关条件决定是否接纳旅游者报名参团，核实旅游者提供的相关信息资料，按照合同约定向旅游者收取旅游费用。</w:t>
      </w:r>
    </w:p>
    <w:p w14:paraId="2E815D9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2．有权劝阻旅游者违法和违反社会公德的行为，拒绝旅游者提出的超出合同约定的不合理要求。</w:t>
      </w:r>
    </w:p>
    <w:p w14:paraId="779235C5">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3．旅游团队遇紧急情况时，可以采取安全防范和紧急避险措施并要求旅游者配合。</w:t>
      </w:r>
    </w:p>
    <w:p w14:paraId="44CCBCD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4．有权要求旅游者对在旅游活动中或者在解决纠纷时损害旅行社合法权益的行为承担赔偿责任。</w:t>
      </w:r>
    </w:p>
    <w:p w14:paraId="65F480A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5．《中华人民共和国旅游法》和有关法律法规赋予旅游经营者的其他权利。</w:t>
      </w:r>
    </w:p>
    <w:p w14:paraId="74EF89E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第五条  旅行社的义务</w:t>
      </w:r>
    </w:p>
    <w:p w14:paraId="55A7A46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pacing w:val="-2"/>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
          <w:sz w:val="21"/>
          <w:szCs w:val="21"/>
        </w:rPr>
        <w:t>向合格的供应商订购产品和服务，</w:t>
      </w:r>
      <w:r>
        <w:rPr>
          <w:rFonts w:hint="eastAsia" w:asciiTheme="majorEastAsia" w:hAnsiTheme="majorEastAsia" w:eastAsiaTheme="majorEastAsia" w:cstheme="majorEastAsia"/>
          <w:sz w:val="21"/>
          <w:szCs w:val="21"/>
        </w:rPr>
        <w:t>按照本合同和《旅游行程单》约定的内容和标准为旅游者提供服务，不得擅自变更旅游行程安排。向旅游者提供发票。</w:t>
      </w:r>
    </w:p>
    <w:p w14:paraId="78608FE2">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2．对在经营活动中获取的旅游者个人信息予以保密，并按照《中华人民共和国个人信息保护法》采取必要措施保障个人信息安全，不得向第三人泄露或者用于其他商业用途。</w:t>
      </w:r>
    </w:p>
    <w:p w14:paraId="665BBF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3．旅行社应当在旅游行程开始前向旅游者提供标有团号、出发日期的《旅游行程单》，并对如下内容作出明确的说明：</w:t>
      </w:r>
    </w:p>
    <w:p w14:paraId="70BE18E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（1）旅游行程的出发地、途经地、目的地、结束地，线路行程时间和具体安排（按自然日计算，含乘飞机、车、船等在途时间，不足24小时以一日计）；</w:t>
      </w:r>
    </w:p>
    <w:p w14:paraId="6B75092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（2）地接社的名称、地址、联系人和联系电话；</w:t>
      </w:r>
    </w:p>
    <w:p w14:paraId="1834FD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（3）交通服务安排及其标准（明确交通工具及档次等级、出发时间以及是否需中转等信息）；</w:t>
      </w:r>
    </w:p>
    <w:p w14:paraId="6FB4D05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（4）住宿服务安排及其标准（明确住宿饭店的名称、地点、星级，非星级饭店应当注明是否有空调、热水、独立卫生间等相关服务设施）；</w:t>
      </w:r>
    </w:p>
    <w:p w14:paraId="408F03A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（5）用餐（早餐和正餐）服务安排及其标准（明确用餐次数、地点、标准）；</w:t>
      </w:r>
    </w:p>
    <w:p w14:paraId="75C1E092">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（6）旅行社统一安排的游览项目的具体内容及时间（明确旅游线路内容包括景区点及游览项目名称等，景区点停留的最少时间）；</w:t>
      </w:r>
    </w:p>
    <w:p w14:paraId="217D927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（7）自由活动的时间；</w:t>
      </w:r>
    </w:p>
    <w:p w14:paraId="7C404205">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（8）行程安排的娱乐活动（明确娱乐活动的时间、地点和项目内容），以及经双方协商一致安排的购物场所和另行付费项目等。</w:t>
      </w:r>
    </w:p>
    <w:p w14:paraId="415F9E9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《旅游行程单》用语须准确清晰，在表明服务标准用语中不应当出现“准×星级”“豪华”“仅供参考”“以××为准”“以××同级”等不确定性用语。</w:t>
      </w:r>
    </w:p>
    <w:p w14:paraId="14BC807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出团前应当告知相关行程安排和有关具体事项，具体事项包括但不限于所到旅游目的地的重要规定和风俗习惯、旅游活动中的安全注意事项和安全避险措施、旅游者不适合参加旅游活动的情形、旅行社依法可以减免责任的信息、应急联络方式以及法律法规规定的其他应当告知的事项。</w:t>
      </w:r>
    </w:p>
    <w:p w14:paraId="059AB17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5．按照合同约定为旅游团队安排符合《中华人民共和国旅游法》《导游人员管理条例》规定的持证导游人员，妥善保管旅游者交其代管的证件、行李等物品。</w:t>
      </w:r>
    </w:p>
    <w:p w14:paraId="177757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6．当旅游者人身、财产权益受到损害时，应当采取合理必要的保护和救助措施，避免旅游者人身、财产权益损失扩大。</w:t>
      </w:r>
    </w:p>
    <w:p w14:paraId="6BC7BB4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7．旅行社接受委托代理销售境内包价旅游产品并代为订立合同的，应当在合同中载明委托社的基本信息。旅行社将合同中的接待业务委托给地接旅行社履行的，应当在合同中载明地接社的基本信息。</w:t>
      </w:r>
    </w:p>
    <w:p w14:paraId="717E1FA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8．旅行社组织、接待旅游者时，不得指定具体购物场所，不安排另行付费旅游项目。但是经双方协商一致或者旅游者要求，且不影响其他旅游者行程安排的除外。  </w:t>
      </w:r>
    </w:p>
    <w:p w14:paraId="60AA24F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9．旅游行程中解除合同的，旅行社应当协助旅游者返回出发地或者旅游者指定的合理地点。</w:t>
      </w:r>
    </w:p>
    <w:p w14:paraId="253B410D">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第六条  合同的变更</w:t>
      </w:r>
    </w:p>
    <w:p w14:paraId="2B1164A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1．旅行社与旅游者经协商一致，可以变更本合同约定的内容，但应当以书面形式确认。由此增加的旅游费用及给对方造成的损失，由变更提出方承担；由此减少的旅游费用，旅行社应当退还旅游者。</w:t>
      </w:r>
    </w:p>
    <w:p w14:paraId="22FFFF0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行程开始前遇到不可抗力或者旅行社、履行辅助人已尽合理注意义务仍不能避免的事件的，双方经协商可以取消行程或者延期出行。取消行程的，按照本合同第十条处理；延期出行的，增加的费用由旅游者承担，减少的费用退还旅游者。</w:t>
      </w:r>
    </w:p>
    <w:p w14:paraId="540BDDF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3．行程中遇到不可抗力或者旅行社、履行辅助人已尽合理注意义务仍不能避免的事件，影响旅游行程的，按以下方式处理：</w:t>
      </w:r>
    </w:p>
    <w:p w14:paraId="5FF4EF61">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（1）合同不能完全履行的，旅行社经向旅游者作出说明，旅游者同意变更的，可以在合理范围内变更合同，因此增加的费用由旅游者承担，减少的费用退还旅游者。</w:t>
      </w:r>
    </w:p>
    <w:p w14:paraId="792F1AB4">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（2）危及旅游者人身、财产安全的，旅行社应当采取相应的安全措施，因此支出的费用由旅行社与旅游者分担。</w:t>
      </w:r>
    </w:p>
    <w:p w14:paraId="12CF105E">
      <w:pPr>
        <w:keepNext w:val="0"/>
        <w:keepLines w:val="0"/>
        <w:pageBreakBefore w:val="0"/>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（3）造成旅游者滞留的，旅行社应采取相应的安置措施。因此增加的食宿费用由旅游者承担，增加的返程费用由双方分担。</w:t>
      </w:r>
    </w:p>
    <w:p w14:paraId="312E444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第七条  旅游者解除合同</w:t>
      </w:r>
    </w:p>
    <w:p w14:paraId="161FE74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1．未达到约定的成团人数不能成团时，旅行社应及时发出不能成团的书面通知。旅游者既不同意转团，也不同意延期出行或者改签其他线路出团的，旅游者可以解除合同。</w:t>
      </w:r>
      <w:r>
        <w:rPr>
          <w:rFonts w:hint="eastAsia" w:asciiTheme="majorEastAsia" w:hAnsiTheme="majorEastAsia" w:eastAsiaTheme="majorEastAsia" w:cstheme="majorEastAsia"/>
          <w:kern w:val="0"/>
          <w:sz w:val="21"/>
          <w:szCs w:val="21"/>
        </w:rPr>
        <w:t>旅游者在行程开始前7日</w:t>
      </w:r>
      <w:r>
        <w:rPr>
          <w:rFonts w:hint="eastAsia" w:asciiTheme="majorEastAsia" w:hAnsiTheme="majorEastAsia" w:eastAsiaTheme="majorEastAsia" w:cstheme="majorEastAsia"/>
          <w:sz w:val="21"/>
          <w:szCs w:val="21"/>
        </w:rPr>
        <w:t>（按照出发日减去解除合同通知到达日的自然日之差计算，下同）</w:t>
      </w:r>
      <w:r>
        <w:rPr>
          <w:rFonts w:hint="eastAsia" w:asciiTheme="majorEastAsia" w:hAnsiTheme="majorEastAsia" w:eastAsiaTheme="majorEastAsia" w:cstheme="majorEastAsia"/>
          <w:kern w:val="0"/>
          <w:sz w:val="21"/>
          <w:szCs w:val="21"/>
        </w:rPr>
        <w:t>以上</w:t>
      </w:r>
      <w:r>
        <w:rPr>
          <w:rFonts w:hint="eastAsia" w:asciiTheme="majorEastAsia" w:hAnsiTheme="majorEastAsia" w:eastAsiaTheme="majorEastAsia" w:cstheme="majorEastAsia"/>
          <w:sz w:val="21"/>
          <w:szCs w:val="21"/>
        </w:rPr>
        <w:t>（含第7日，下同）</w:t>
      </w:r>
      <w:r>
        <w:rPr>
          <w:rFonts w:hint="eastAsia" w:asciiTheme="majorEastAsia" w:hAnsiTheme="majorEastAsia" w:eastAsiaTheme="majorEastAsia" w:cstheme="majorEastAsia"/>
          <w:kern w:val="0"/>
          <w:sz w:val="21"/>
          <w:szCs w:val="21"/>
        </w:rPr>
        <w:t>收到旅行社不能成团通知，旅游者解除合同的，旅行社不承担违约责任，向旅游者退还已收取的全部旅游费用；旅游者在行程开始前不满7日收到旅行社不能成团通知，旅游者解除合同的，按照本合同第十四条第1项相关约定处理。</w:t>
      </w:r>
    </w:p>
    <w:p w14:paraId="0F52A8A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除本条第1项约定外，在旅游行程结束前，旅游者可以书面等形式解除合同。</w:t>
      </w:r>
      <w:r>
        <w:rPr>
          <w:rFonts w:hint="eastAsia" w:asciiTheme="majorEastAsia" w:hAnsiTheme="majorEastAsia" w:eastAsiaTheme="majorEastAsia" w:cstheme="majorEastAsia"/>
          <w:sz w:val="21"/>
          <w:szCs w:val="21"/>
        </w:rPr>
        <w:t>旅游者在行程开始前7日以上提出解除合同的，旅行社应当向旅游者退还全部旅游费用；旅游者在行程开始前不满7日和行程中提出解除合同的，旅行社按照本合同第十一条相关约定扣除必要的费用后，将余款退还旅游者。</w:t>
      </w:r>
    </w:p>
    <w:p w14:paraId="2253A14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旅游者未按约定时间到达约定集合出发地点，也未能在出发中途加入旅游团队的，视为旅游者解除合同，按照本合同第十一条相关约定处理。</w:t>
      </w:r>
    </w:p>
    <w:p w14:paraId="085884A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行社如购买航空公司出售的团队机票或者包机、包船和专列产品，当旅游者提出解除合同的，旅行社可以按照本合同专用条款第八条第2项相关约定计算实际发生的费用，旅游费退还不受本条第2项约定的限制。</w:t>
      </w:r>
    </w:p>
    <w:p w14:paraId="4CB074B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第八条  旅行社解除合同</w:t>
      </w:r>
    </w:p>
    <w:p w14:paraId="275B7E8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未达到约定的成团人数不能成团时，旅行社可以解除合同，但应当提前7日书面通知旅游者。旅行社在行程开始前7日以上提出解除合同的，不承担违约责任，旅行社向旅游者退还已收取的全部旅游费用；旅行社在行程开始前不满7日提出解除合同的，除向旅游者退还已收取的全部旅游费用外，还应当按本合同第十四条第1项的约定，承担相应的违约责任。</w:t>
      </w:r>
    </w:p>
    <w:p w14:paraId="772A58F1">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2．旅游者有下列情形之一的，旅行社可以解除合同：</w:t>
      </w:r>
    </w:p>
    <w:p w14:paraId="269145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（1）患有传染病等疾病，可能危害其他旅游者健康和安全的；</w:t>
      </w:r>
    </w:p>
    <w:p w14:paraId="53585B1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（2）携带危害公共安全的物品且不同意交有关部门处理的；</w:t>
      </w:r>
    </w:p>
    <w:p w14:paraId="45F6A38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（3）从事违法或者违反社会公德的活动的；</w:t>
      </w:r>
    </w:p>
    <w:p w14:paraId="04B2974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（4）从事严重影响其他旅游者权益的活动，且不听劝阻、不能制止的；</w:t>
      </w:r>
    </w:p>
    <w:p w14:paraId="5D2736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（5）法律、法规规定的其他情形。</w:t>
      </w:r>
    </w:p>
    <w:p w14:paraId="6079F74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旅行社因上述情形解除合同的，应当以书面形式通知旅游者，并按照本合同第十一条相关约定扣除必要的费用后，将余款退还旅游者。</w:t>
      </w:r>
    </w:p>
    <w:p w14:paraId="08C0598F">
      <w:pPr>
        <w:keepNext w:val="0"/>
        <w:keepLines w:val="0"/>
        <w:pageBreakBefore w:val="0"/>
        <w:kinsoku/>
        <w:wordWrap/>
        <w:overflowPunct/>
        <w:topLinePunct w:val="0"/>
        <w:autoSpaceDE/>
        <w:autoSpaceDN/>
        <w:bidi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第九条  合同的转让</w:t>
      </w:r>
    </w:p>
    <w:p w14:paraId="3625F6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旅游行程开始前，旅游者可以将合同中自身的权利义务转让给第三人，旅行社没有正当理由的不得拒绝，并办理相关转让手续，因此增加的费用由旅游者和第三人承担。</w:t>
      </w:r>
    </w:p>
    <w:p w14:paraId="230A6AF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正当理由包括原报名者办理的相关服务不可转让给第三人、无法为第三人安排交通等情形及旅游活动对于旅游者的身份、资格等有特殊要求的。</w:t>
      </w:r>
    </w:p>
    <w:p w14:paraId="22B40E5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第十条  因不可抗力或者已尽合理注意义务仍不能避免的事件解除合同</w:t>
      </w:r>
    </w:p>
    <w:p w14:paraId="2CBCFE2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因不可抗力或者旅行社、履行辅助人已尽合理注意义务仍不能避免的事件，影响旅游行程，合同不能继续履行的，旅行社与旅游者均可以解除合同；合同不能完全履行的，双方可以协商变更行程，旅游者不同意变更的，旅行社可以解除合同。合同解除的，旅行社应当在扣除已向地接社或者履行辅助人支付且不可退还的费用后，将余款退还旅游者。</w:t>
      </w:r>
    </w:p>
    <w:p w14:paraId="6FC49C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第十一条  必要的费用扣除</w:t>
      </w:r>
    </w:p>
    <w:p w14:paraId="798A483D">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1．因旅游者原因，在行程开始前不满7日提出解除合同或者按照本合同第八条第2项约定由旅行社在行程开始前解除合同的，按下列标准扣除必要的费用：</w:t>
      </w:r>
    </w:p>
    <w:p w14:paraId="47ED9B3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行程开始前6日至4日，按旅游费用总额的20%； </w:t>
      </w:r>
    </w:p>
    <w:p w14:paraId="025B65C4">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行程开始前3日至1日，按旅游费用总额的40%；</w:t>
      </w:r>
    </w:p>
    <w:p w14:paraId="7BBE61FE">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行程开始当日，按旅游费用总额的60%。</w:t>
      </w:r>
    </w:p>
    <w:p w14:paraId="3BAF13D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2．在行程中解除合同的，必要的费用扣除标准为：</w:t>
      </w:r>
    </w:p>
    <w:p w14:paraId="0B8389E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旅游费用×行程开始当日扣除比例+【（旅游费用-旅游费用×行程开始当日扣除比例)÷旅游天数×已经出游的天数】。</w:t>
      </w:r>
    </w:p>
    <w:p w14:paraId="67331FC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如按上述第1项或者第2项约定比例扣除的必要的费用低于实际发生的费用，旅游者按照实际发生的费用支付，但最高额不应当超过旅游费用总额。</w:t>
      </w:r>
    </w:p>
    <w:p w14:paraId="738FBC1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解除合同的，旅行社扣除必要的费用后，应当在解除合同通知到达之日起5个工作日内为旅游者办结退款手续。</w:t>
      </w:r>
    </w:p>
    <w:p w14:paraId="6CABF3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第十二条  旅行社协助旅游者返程及费用承担</w:t>
      </w:r>
    </w:p>
    <w:p w14:paraId="6CDBFCA6">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行程中解除合同的，旅行社应协助旅游者返回出发地或者旅游者指定的合理地点。因旅行社或者履行辅助人的原因导致合同解除的，返程费用由旅行社承担；行程中按照本合同第八条第2项，第七条第2项约定解除合同的，返程费用由旅游者承担；按照本合同第十条约定解除合同的，增加的返程费用由双方分担。</w:t>
      </w:r>
    </w:p>
    <w:p w14:paraId="4DD154A4">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第十三条  旅游者的违约责任</w:t>
      </w:r>
    </w:p>
    <w:p w14:paraId="25B6F1F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违反本合同约定未按期支付旅游费用，按日向旅行社支付逾期应付款0.03%的违约金。除非有特别约定，在旅游出发前一日尚未按约定支付旅游费用的，旅行社有权解除合同，并按照本合同第十一条约定要求旅游者承担必要的费用。</w:t>
      </w:r>
    </w:p>
    <w:p w14:paraId="2154C69F">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2．旅游者因不听从导游的劝告、提示而影响团队行程，给旅行社造成损失的，应当承担相应的赔偿责任。旅游者超出本合同约定的内容进行个人活动所造成的损失，由其自行承担。</w:t>
      </w:r>
    </w:p>
    <w:p w14:paraId="0A70B4E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3．由于旅游者的过错，使旅行社、履行辅助人、旅游从业人员或者其他旅游者及第三人遭受损害的，旅游者应当赔偿损失。</w:t>
      </w:r>
    </w:p>
    <w:p w14:paraId="0233CF22">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4．旅游者违反安全警示规定，或者对国家应对重大突发事件暂时限制旅游活动的措施、安全防范和应急处置措施不予配合，造成旅行社损失的，应当依法承担赔偿责任。</w:t>
      </w:r>
    </w:p>
    <w:p w14:paraId="0D2EDC8B">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5．旅游者在旅游活动中或者在解决纠纷时，应采取措施防止损失扩大，否则应当就扩大的损失承担相应的责任。</w:t>
      </w:r>
    </w:p>
    <w:p w14:paraId="1BB7375A">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第十四条  旅行社的违约责任</w:t>
      </w:r>
    </w:p>
    <w:p w14:paraId="39FF4F2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 xml:space="preserve">1．旅行社在行程开始前不满7日提出解除合同的，或者旅游者在行程开始前不满7日收到旅行社不能成团通知，不同意转团、延期出行和改签线路解除合同的，旅行社向旅游者退还已收取的全部旅游费用，并按下列标准向旅游者支付违约金（法律另有规定的除外）： </w:t>
      </w:r>
    </w:p>
    <w:p w14:paraId="4B17CCF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出发前6日至4日，支付旅游费用总额10%的违约金；</w:t>
      </w:r>
    </w:p>
    <w:p w14:paraId="6D85617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出发前3日至1日，支付旅游费用总额15%的违约金；</w:t>
      </w:r>
    </w:p>
    <w:p w14:paraId="523F0F9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出发当日，支付旅游费用总额20%的违约金。</w:t>
      </w:r>
    </w:p>
    <w:p w14:paraId="501E4988">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旅行社应当在取消出团通知或者旅游者不同意不成团安排的解除合同通知到达日起5个工作日内，为旅游者办结退还全部旅游费用的手续并支付上述违约金。</w:t>
      </w:r>
    </w:p>
    <w:p w14:paraId="315A4C80">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旅行社未按合同约定提供服务，或者未经旅游者同意调整旅游行程（本合同第六条第3项约定的情形除外），造成项目减少、旅游时间缩短或者标准降低的，应当依法承担继续履行、采取补救措施或者赔偿损失等违约责任。</w:t>
      </w:r>
    </w:p>
    <w:p w14:paraId="1515E814">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行社具备履行条件，经旅游者要求仍拒绝履行本合同义务的，旅行社向旅游者支付旅游费用总额30%的违约金，旅游者采取订同等级别的住宿、用餐、交通等补救措施的，费用由旅行社承担；造成旅游者人身损害、滞留等严重后果的，</w:t>
      </w:r>
      <w:r>
        <w:rPr>
          <w:rFonts w:hint="eastAsia" w:asciiTheme="majorEastAsia" w:hAnsiTheme="majorEastAsia" w:eastAsiaTheme="majorEastAsia" w:cstheme="majorEastAsia"/>
          <w:sz w:val="21"/>
          <w:szCs w:val="21"/>
        </w:rPr>
        <w:t>旅游者可以根据《中华人民共和国旅游法》第七十条第1款的规定获得惩罚性赔偿。</w:t>
      </w:r>
    </w:p>
    <w:p w14:paraId="5676E819">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kern w:val="0"/>
          <w:sz w:val="21"/>
          <w:szCs w:val="21"/>
        </w:rPr>
        <w:t>4．未经旅游者同意，旅行社转团、拼团的，旅行社应当向旅游者支付旅游费用总额25%的违约金；旅游者解除合同的，旅行社还应当向未随团出行的旅游者退还全部旅游费用，向已随团出行的旅游者退还尚未发生的旅游费用。如违约金不足以赔偿旅游者的实际损失，旅行社应当按实际损失对旅游者予以赔偿。</w:t>
      </w:r>
    </w:p>
    <w:p w14:paraId="3368096A">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5．与旅游者发生纠纷时，旅行社应当采取积极措施防止损失扩大，否则应当就扩大的损失承担责任。</w:t>
      </w:r>
    </w:p>
    <w:p w14:paraId="39A3E1F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第十五条  特别提示</w:t>
      </w:r>
    </w:p>
    <w:p w14:paraId="3B849F31">
      <w:pPr>
        <w:keepNext w:val="0"/>
        <w:keepLines w:val="0"/>
        <w:pageBreakBefore w:val="0"/>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1．为了确保旅游团顺利出行，防止在旅途中发生人身意外伤害事故，旅游者参团前如存在下列健康问题，请如实告知：</w:t>
      </w:r>
    </w:p>
    <w:p w14:paraId="01310F43">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（1）</w:t>
      </w:r>
      <w:r>
        <w:rPr>
          <w:rFonts w:hint="eastAsia" w:asciiTheme="majorEastAsia" w:hAnsiTheme="majorEastAsia" w:eastAsiaTheme="majorEastAsia" w:cstheme="majorEastAsia"/>
          <w:b/>
          <w:sz w:val="21"/>
          <w:szCs w:val="21"/>
        </w:rPr>
        <w:t>传染性疾病患者，如传染性肝炎、活动期肺结核、伤寒患者；</w:t>
      </w:r>
    </w:p>
    <w:p w14:paraId="68ACE2D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（2）神经/精</w:t>
      </w:r>
      <w:r>
        <w:rPr>
          <w:rFonts w:hint="eastAsia" w:asciiTheme="majorEastAsia" w:hAnsiTheme="majorEastAsia" w:eastAsiaTheme="majorEastAsia" w:cstheme="majorEastAsia"/>
          <w:b/>
          <w:sz w:val="21"/>
          <w:szCs w:val="21"/>
        </w:rPr>
        <w:t>神病患者，如癫痫及各种精神患者；</w:t>
      </w:r>
    </w:p>
    <w:p w14:paraId="5CFFFCB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（3）严重</w:t>
      </w:r>
      <w:r>
        <w:rPr>
          <w:rFonts w:hint="eastAsia" w:asciiTheme="majorEastAsia" w:hAnsiTheme="majorEastAsia" w:eastAsiaTheme="majorEastAsia" w:cstheme="majorEastAsia"/>
          <w:b/>
          <w:sz w:val="21"/>
          <w:szCs w:val="21"/>
        </w:rPr>
        <w:t>心血管疾病患者，如高血压、心功能不全（心肌缺氧、心肌梗塞）患者；</w:t>
      </w:r>
    </w:p>
    <w:p w14:paraId="03637FF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rPr>
        <w:t>（4）</w:t>
      </w:r>
      <w:r>
        <w:rPr>
          <w:rFonts w:hint="eastAsia" w:asciiTheme="majorEastAsia" w:hAnsiTheme="majorEastAsia" w:eastAsiaTheme="majorEastAsia" w:cstheme="majorEastAsia"/>
          <w:b/>
          <w:bCs/>
          <w:sz w:val="21"/>
          <w:szCs w:val="21"/>
        </w:rPr>
        <w:t>严重</w:t>
      </w:r>
      <w:r>
        <w:rPr>
          <w:rFonts w:hint="eastAsia" w:asciiTheme="majorEastAsia" w:hAnsiTheme="majorEastAsia" w:eastAsiaTheme="majorEastAsia" w:cstheme="majorEastAsia"/>
          <w:b/>
          <w:sz w:val="21"/>
          <w:szCs w:val="21"/>
        </w:rPr>
        <w:t>脑血管疾病患者，如脑栓塞、脑出血、脑肿瘤患者；</w:t>
      </w:r>
    </w:p>
    <w:p w14:paraId="674005F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（5）严重</w:t>
      </w:r>
      <w:r>
        <w:rPr>
          <w:rFonts w:hint="eastAsia" w:asciiTheme="majorEastAsia" w:hAnsiTheme="majorEastAsia" w:eastAsiaTheme="majorEastAsia" w:cstheme="majorEastAsia"/>
          <w:b/>
          <w:sz w:val="21"/>
          <w:szCs w:val="21"/>
        </w:rPr>
        <w:t>呼吸系统疾病患者，如肺气肿、肺心病患者；</w:t>
      </w:r>
    </w:p>
    <w:p w14:paraId="3B7112B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（6）</w:t>
      </w:r>
      <w:r>
        <w:rPr>
          <w:rFonts w:hint="eastAsia" w:asciiTheme="majorEastAsia" w:hAnsiTheme="majorEastAsia" w:eastAsiaTheme="majorEastAsia" w:cstheme="majorEastAsia"/>
          <w:b/>
          <w:sz w:val="21"/>
          <w:szCs w:val="21"/>
        </w:rPr>
        <w:t>严重贫血病患者，如血红蛋白量水平在 50 克 / 升以下的患者；</w:t>
      </w:r>
    </w:p>
    <w:p w14:paraId="7B42641F">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（7）大中型手术的恢复期病患者；</w:t>
      </w:r>
    </w:p>
    <w:p w14:paraId="4BC4DFD0">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（8）孕妇和其他因身患疾病行动不便者。</w:t>
      </w:r>
    </w:p>
    <w:p w14:paraId="2E70689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 xml:space="preserve">2. </w:t>
      </w:r>
      <w:r>
        <w:rPr>
          <w:rFonts w:hint="eastAsia" w:asciiTheme="majorEastAsia" w:hAnsiTheme="majorEastAsia" w:eastAsiaTheme="majorEastAsia" w:cstheme="majorEastAsia"/>
          <w:b/>
          <w:bCs/>
          <w:sz w:val="21"/>
          <w:szCs w:val="21"/>
        </w:rPr>
        <w:t>旅游者隐瞒上述疾病参团旅游，如发生人身意外伤害事故，责任自负。</w:t>
      </w:r>
    </w:p>
    <w:p w14:paraId="6C07443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3．传染病、精神病等患者参团，如危及其他旅游者健康和安全的，其本人或者法定监护人应承担相应赔偿责任。</w:t>
      </w:r>
    </w:p>
    <w:p w14:paraId="2931170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第十六条  老年人、未成年人、残疾人等旅游者参团旅游的注意事项</w:t>
      </w:r>
    </w:p>
    <w:p w14:paraId="1BFA581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1．年满60周岁的老年人报名参团旅游，应当如实填写身体健康状况、个人通讯方式和紧急联络人等信息，75周岁以上的老年人宜由成年家属陪同参团。</w:t>
      </w:r>
    </w:p>
    <w:p w14:paraId="5D6025D7">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2．未满18周岁的未成年人参团旅游，应当征得法定监护人书面同意。未成年人的法定监护人共同参团旅游的，有义务保护随行未成年人的旅途安全；法定监护人未参团旅游的，应当为未成年人指定临时监护人。</w:t>
      </w:r>
    </w:p>
    <w:p w14:paraId="1498010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3．旅行社招徕残疾人组团旅游时，应当优先选择适宜残疾人感官体验的旅游项目，安排无障碍标识系统完备、无障碍通行和游览设施相对完善的景点。</w:t>
      </w:r>
    </w:p>
    <w:p w14:paraId="54CBF3DA">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4．旅途中应当注意自身安全，建议根据自身条件选择适宜出行的旅游景点及参加游览、娱乐等活动，严禁参加高风险旅游和高风险娱乐项目。</w:t>
      </w:r>
    </w:p>
    <w:p w14:paraId="58AD90E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5．在餐厅、卫生间、浴室等场所或者在室外雨雪天步行时，应当注意地面湿滑，防止发生摔伤等意外事故。</w:t>
      </w:r>
    </w:p>
    <w:p w14:paraId="2410CF7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第十七条  责任免除</w:t>
      </w:r>
    </w:p>
    <w:p w14:paraId="17E72526">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1．由于旅游者自身原因（包括违法犯罪行为、自身疾病、自甘风险参加某些旅游项目等）导致本合同不能履行或者不能按照约定履行，或者造成旅游者人身伤害、财产损失的，旅行社不承担责任，旅行社因协助处理而支出的相关费用由旅游者承担。</w:t>
      </w:r>
    </w:p>
    <w:p w14:paraId="04D1DF8D">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2．旅游者在自行安排活动期间人身、财产权益受到损害的，旅行社在事前已尽到必要警示说明义务且事后已尽到必要救助义务的，旅行社不承担赔偿责任。</w:t>
      </w:r>
    </w:p>
    <w:p w14:paraId="42F829BE">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78D7D5B9">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4．旅游者未经允许擅自闯入高度危险区域或者进入景区未开发、未开放区域导致人身和财产损失的，应自担其责，并承担相应的救援费用。</w:t>
      </w:r>
    </w:p>
    <w:p w14:paraId="072F7DEA">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5．由于公共交通经营者的原因造成旅游者人身损害、财产损失的，由公共交通经营者依法向旅游者承担赔偿责任，旅行社应当协助旅游者向公共交通经营者索赔。因公共交通工具延误，导致合同不能按照约定履行的，旅行社不承担责任，但应当向旅游者退还未实际发生的费用。</w:t>
      </w:r>
    </w:p>
    <w:p w14:paraId="3C580A78">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6. 发生上述情形，如旅行社不履行协助处理义务致使旅游者人身、财产权益损失扩大的，旅行社应当就扩大的损失承担赔偿责任。</w:t>
      </w:r>
    </w:p>
    <w:p w14:paraId="523A1C04">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第十八条  不成团的安排</w:t>
      </w:r>
    </w:p>
    <w:p w14:paraId="0110D619">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当旅行社组团未达到约定的成团人数不能成团时，旅游者可以与旅行社就如下安排在本合同专用条款第四条中作出约定：</w:t>
      </w:r>
    </w:p>
    <w:p w14:paraId="5E4868F6">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1．转团：旅行社可以在保证所承诺的服务内容和标准不降低的前提下，经事先征得旅游者书面同意，委托其他组团社履行合同，并就受委托出团的组团社违反本合同约定的行为先行向旅游者承担责任，再行向受委托出团的组团社追偿。旅游者和受委托出团的组团社另行签订合同的，本合同的权利义务终止。</w:t>
      </w:r>
    </w:p>
    <w:p w14:paraId="67A03F98">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2．延期出团和改变线路出团：旅行社经征得旅游者书面同意，可以延期出团或者改变其他线路出团，因此增加的费用由旅游者承担，减少的费用旅行社予以退还。双方可以重新签订旅游合同。</w:t>
      </w:r>
    </w:p>
    <w:p w14:paraId="0355DFB5">
      <w:pPr>
        <w:tabs>
          <w:tab w:val="left" w:pos="5565"/>
        </w:tabs>
        <w:spacing w:line="360" w:lineRule="exact"/>
        <w:ind w:firstLine="422" w:firstLineChars="200"/>
        <w:jc w:val="left"/>
        <w:rPr>
          <w:rFonts w:ascii="宋体"/>
          <w:b/>
          <w:szCs w:val="21"/>
        </w:rPr>
      </w:pPr>
    </w:p>
    <w:p w14:paraId="20BD0337">
      <w:pPr>
        <w:tabs>
          <w:tab w:val="left" w:pos="5565"/>
        </w:tabs>
        <w:spacing w:line="360" w:lineRule="exact"/>
        <w:ind w:firstLine="422" w:firstLineChars="200"/>
        <w:jc w:val="left"/>
        <w:rPr>
          <w:rFonts w:ascii="宋体"/>
          <w:b/>
          <w:szCs w:val="21"/>
        </w:rPr>
      </w:pPr>
    </w:p>
    <w:p w14:paraId="2845FF3A">
      <w:pPr>
        <w:tabs>
          <w:tab w:val="left" w:pos="5565"/>
        </w:tabs>
        <w:spacing w:line="360" w:lineRule="exact"/>
        <w:jc w:val="center"/>
        <w:rPr>
          <w:rFonts w:ascii="宋体"/>
          <w:b/>
          <w:sz w:val="36"/>
          <w:szCs w:val="36"/>
        </w:rPr>
      </w:pPr>
    </w:p>
    <w:p w14:paraId="47B65261">
      <w:pPr>
        <w:tabs>
          <w:tab w:val="left" w:pos="5565"/>
        </w:tabs>
        <w:spacing w:line="360" w:lineRule="exact"/>
        <w:jc w:val="center"/>
        <w:rPr>
          <w:rFonts w:ascii="宋体"/>
          <w:b/>
          <w:sz w:val="36"/>
          <w:szCs w:val="36"/>
        </w:rPr>
      </w:pPr>
    </w:p>
    <w:p w14:paraId="1E005FA9">
      <w:pPr>
        <w:tabs>
          <w:tab w:val="left" w:pos="5565"/>
        </w:tabs>
        <w:spacing w:line="360" w:lineRule="exact"/>
        <w:jc w:val="center"/>
        <w:rPr>
          <w:rFonts w:ascii="宋体"/>
          <w:b/>
          <w:sz w:val="36"/>
          <w:szCs w:val="36"/>
        </w:rPr>
      </w:pPr>
    </w:p>
    <w:p w14:paraId="165316E9">
      <w:pPr>
        <w:tabs>
          <w:tab w:val="left" w:pos="5565"/>
        </w:tabs>
        <w:spacing w:line="360" w:lineRule="exact"/>
        <w:jc w:val="center"/>
        <w:rPr>
          <w:rFonts w:ascii="宋体"/>
          <w:b/>
          <w:sz w:val="36"/>
          <w:szCs w:val="36"/>
        </w:rPr>
      </w:pPr>
    </w:p>
    <w:p w14:paraId="780223BE">
      <w:pPr>
        <w:tabs>
          <w:tab w:val="left" w:pos="5565"/>
        </w:tabs>
        <w:spacing w:line="360" w:lineRule="exact"/>
        <w:jc w:val="center"/>
        <w:rPr>
          <w:rFonts w:ascii="宋体"/>
          <w:b/>
          <w:sz w:val="36"/>
          <w:szCs w:val="36"/>
        </w:rPr>
      </w:pPr>
    </w:p>
    <w:p w14:paraId="1F774FDE">
      <w:pPr>
        <w:tabs>
          <w:tab w:val="left" w:pos="5565"/>
        </w:tabs>
        <w:spacing w:line="360" w:lineRule="exact"/>
        <w:jc w:val="center"/>
        <w:rPr>
          <w:rFonts w:ascii="宋体"/>
          <w:b/>
          <w:sz w:val="36"/>
          <w:szCs w:val="36"/>
        </w:rPr>
      </w:pPr>
    </w:p>
    <w:p w14:paraId="30ED08C1">
      <w:pPr>
        <w:tabs>
          <w:tab w:val="left" w:pos="5565"/>
        </w:tabs>
        <w:spacing w:line="360" w:lineRule="exact"/>
        <w:jc w:val="center"/>
        <w:rPr>
          <w:rFonts w:ascii="宋体"/>
          <w:b/>
          <w:sz w:val="36"/>
          <w:szCs w:val="36"/>
        </w:rPr>
      </w:pPr>
    </w:p>
    <w:p w14:paraId="3DC70CAD">
      <w:pPr>
        <w:tabs>
          <w:tab w:val="left" w:pos="5565"/>
        </w:tabs>
        <w:spacing w:line="360" w:lineRule="exact"/>
        <w:jc w:val="center"/>
        <w:rPr>
          <w:rFonts w:ascii="宋体"/>
          <w:b/>
          <w:sz w:val="36"/>
          <w:szCs w:val="36"/>
        </w:rPr>
      </w:pPr>
    </w:p>
    <w:p w14:paraId="47874F87">
      <w:pPr>
        <w:tabs>
          <w:tab w:val="left" w:pos="5565"/>
        </w:tabs>
        <w:spacing w:line="360" w:lineRule="exact"/>
        <w:jc w:val="center"/>
        <w:rPr>
          <w:rFonts w:ascii="宋体"/>
          <w:b/>
          <w:sz w:val="36"/>
          <w:szCs w:val="36"/>
        </w:rPr>
      </w:pPr>
    </w:p>
    <w:p w14:paraId="7379333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sz w:val="36"/>
          <w:szCs w:val="36"/>
        </w:rPr>
      </w:pPr>
    </w:p>
    <w:p w14:paraId="30521092">
      <w:pPr>
        <w:rPr>
          <w:rFonts w:hint="eastAsia" w:ascii="宋体" w:hAnsi="宋体"/>
          <w:b/>
          <w:sz w:val="36"/>
          <w:szCs w:val="36"/>
        </w:rPr>
      </w:pPr>
      <w:r>
        <w:rPr>
          <w:rFonts w:hint="eastAsia" w:ascii="宋体" w:hAnsi="宋体"/>
          <w:b/>
          <w:sz w:val="36"/>
          <w:szCs w:val="36"/>
        </w:rPr>
        <w:br w:type="page"/>
      </w:r>
    </w:p>
    <w:p w14:paraId="69403105">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专用条款</w:t>
      </w:r>
    </w:p>
    <w:p w14:paraId="4121C8EB">
      <w:pPr>
        <w:tabs>
          <w:tab w:val="left" w:pos="5565"/>
        </w:tabs>
        <w:spacing w:line="360" w:lineRule="exact"/>
        <w:ind w:firstLine="420" w:firstLineChars="200"/>
        <w:jc w:val="left"/>
        <w:rPr>
          <w:rFonts w:ascii="宋体"/>
          <w:bCs/>
          <w:szCs w:val="21"/>
        </w:rPr>
      </w:pPr>
    </w:p>
    <w:p w14:paraId="3A0E8BCC">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甲方（旅游者/法人或者其他组织）：</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等</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sz w:val="21"/>
          <w:szCs w:val="21"/>
        </w:rPr>
        <w:t>人（名单可附页）</w:t>
      </w:r>
    </w:p>
    <w:p w14:paraId="46791A39">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
          <w:sz w:val="21"/>
          <w:szCs w:val="21"/>
          <w:u w:val="single"/>
        </w:rPr>
      </w:pPr>
      <w:r>
        <w:rPr>
          <w:rFonts w:hint="eastAsia" w:ascii="宋体" w:hAnsi="宋体" w:eastAsia="宋体" w:cs="宋体"/>
          <w:sz w:val="21"/>
          <w:szCs w:val="21"/>
        </w:rPr>
        <w:t>身份证号码/统一社会信用代码：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w:t>
      </w:r>
    </w:p>
    <w:p w14:paraId="1CEC183A">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住址或单位住所地：</w:t>
      </w:r>
      <w:r>
        <w:rPr>
          <w:rFonts w:hint="eastAsia" w:ascii="宋体" w:hAnsi="宋体" w:eastAsia="宋体" w:cs="宋体"/>
          <w:sz w:val="21"/>
          <w:szCs w:val="21"/>
          <w:u w:val="single"/>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E36BC5D">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固定电话：</w:t>
      </w:r>
      <w:r>
        <w:rPr>
          <w:rFonts w:hint="eastAsia" w:ascii="宋体" w:hAnsi="宋体" w:eastAsia="宋体" w:cs="宋体"/>
          <w:sz w:val="21"/>
          <w:szCs w:val="21"/>
          <w:u w:val="single"/>
        </w:rPr>
        <w:t xml:space="preserve">                                         </w:t>
      </w:r>
      <w:r>
        <w:rPr>
          <w:rFonts w:hint="eastAsia" w:ascii="宋体" w:hAnsi="宋体" w:eastAsia="宋体" w:cs="宋体"/>
          <w:sz w:val="21"/>
          <w:szCs w:val="21"/>
        </w:rPr>
        <w:t>手机：</w:t>
      </w:r>
      <w:r>
        <w:rPr>
          <w:rFonts w:hint="eastAsia" w:ascii="宋体" w:hAnsi="宋体" w:eastAsia="宋体" w:cs="宋体"/>
          <w:sz w:val="21"/>
          <w:szCs w:val="21"/>
          <w:u w:val="single"/>
        </w:rPr>
        <w:t xml:space="preserve">                            </w:t>
      </w:r>
    </w:p>
    <w:p w14:paraId="2DBE5F20">
      <w:pPr>
        <w:keepNext w:val="0"/>
        <w:keepLines w:val="0"/>
        <w:pageBreakBefore w:val="0"/>
        <w:kinsoku/>
        <w:wordWrap/>
        <w:overflowPunct/>
        <w:topLinePunct w:val="0"/>
        <w:autoSpaceDE/>
        <w:autoSpaceDN/>
        <w:bidi w:val="0"/>
        <w:adjustRightInd w:val="0"/>
        <w:snapToGrid w:val="0"/>
        <w:spacing w:line="360" w:lineRule="auto"/>
        <w:ind w:firstLine="413" w:firstLineChars="196"/>
        <w:jc w:val="left"/>
        <w:textAlignment w:val="auto"/>
        <w:rPr>
          <w:rFonts w:hint="eastAsia" w:ascii="宋体" w:hAnsi="宋体" w:eastAsia="宋体" w:cs="宋体"/>
          <w:b/>
          <w:sz w:val="21"/>
          <w:szCs w:val="21"/>
          <w:u w:val="single"/>
        </w:rPr>
      </w:pPr>
      <w:r>
        <w:rPr>
          <w:rFonts w:hint="eastAsia" w:ascii="宋体" w:hAnsi="宋体" w:eastAsia="宋体" w:cs="宋体"/>
          <w:b/>
          <w:sz w:val="21"/>
          <w:szCs w:val="21"/>
        </w:rPr>
        <w:t xml:space="preserve">乙方（旅行社）： </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 xml:space="preserve">                                 </w:t>
      </w:r>
      <w:r>
        <w:rPr>
          <w:rFonts w:hint="eastAsia" w:ascii="宋体" w:hAnsi="宋体" w:eastAsia="宋体" w:cs="宋体"/>
          <w:sz w:val="21"/>
          <w:szCs w:val="21"/>
          <w:u w:val="single"/>
        </w:rPr>
        <w:t xml:space="preserve">                     </w:t>
      </w:r>
    </w:p>
    <w:p w14:paraId="4CBFF54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旅行社业务经营许可证号/统一社会信用代码：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40132342">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住所地：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6700B195">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u w:val="single"/>
        </w:rPr>
      </w:pPr>
      <w:r>
        <w:rPr>
          <w:rFonts w:hint="eastAsia" w:ascii="宋体" w:hAnsi="宋体" w:eastAsia="宋体" w:cs="宋体"/>
          <w:sz w:val="21"/>
          <w:szCs w:val="21"/>
        </w:rPr>
        <w:t>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14:paraId="026AD9C4">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ascii="宋体"/>
          <w:sz w:val="24"/>
          <w:szCs w:val="24"/>
          <w:u w:val="single"/>
        </w:rPr>
      </w:pPr>
      <w:r>
        <w:rPr>
          <w:rFonts w:hint="eastAsia" w:ascii="宋体" w:hAnsi="宋体" w:eastAsia="宋体" w:cs="宋体"/>
          <w:sz w:val="21"/>
          <w:szCs w:val="21"/>
        </w:rPr>
        <w:t>经办人：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ascii="宋体" w:hAnsi="宋体"/>
          <w:sz w:val="24"/>
          <w:szCs w:val="24"/>
          <w:u w:val="single"/>
        </w:rPr>
        <w:t xml:space="preserve">     </w:t>
      </w:r>
    </w:p>
    <w:p w14:paraId="66783369">
      <w:pPr>
        <w:keepNext w:val="0"/>
        <w:keepLines w:val="0"/>
        <w:pageBreakBefore w:val="0"/>
        <w:kinsoku/>
        <w:wordWrap/>
        <w:overflowPunct/>
        <w:topLinePunct w:val="0"/>
        <w:autoSpaceDE/>
        <w:autoSpaceDN/>
        <w:bidi w:val="0"/>
        <w:adjustRightInd w:val="0"/>
        <w:snapToGrid w:val="0"/>
        <w:spacing w:line="360" w:lineRule="auto"/>
        <w:jc w:val="left"/>
        <w:textAlignment w:val="auto"/>
        <w:rPr>
          <w:rFonts w:ascii="宋体"/>
          <w:b/>
          <w:sz w:val="24"/>
          <w:szCs w:val="24"/>
        </w:rPr>
      </w:pPr>
    </w:p>
    <w:p w14:paraId="71FCD32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Cs/>
          <w:sz w:val="21"/>
          <w:szCs w:val="21"/>
        </w:rPr>
        <w:t>为保证旅游服务质量，明确合同当事人的权利和义务，本着诚实守信、平等协商的原则，现就有关组团旅游事宜达成如下协议：</w:t>
      </w:r>
      <w:r>
        <w:rPr>
          <w:rFonts w:hint="eastAsia" w:asciiTheme="majorEastAsia" w:hAnsiTheme="majorEastAsia" w:eastAsiaTheme="majorEastAsia" w:cstheme="majorEastAsia"/>
          <w:b/>
          <w:sz w:val="21"/>
          <w:szCs w:val="21"/>
        </w:rPr>
        <w:t xml:space="preserve"> </w:t>
      </w:r>
    </w:p>
    <w:p w14:paraId="7B378FEE">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b/>
          <w:bCs/>
          <w:kern w:val="0"/>
          <w:sz w:val="21"/>
          <w:szCs w:val="21"/>
        </w:rPr>
        <w:t>第一条</w:t>
      </w:r>
      <w:r>
        <w:rPr>
          <w:rFonts w:hint="eastAsia" w:asciiTheme="majorEastAsia" w:hAnsiTheme="majorEastAsia" w:eastAsiaTheme="majorEastAsia" w:cstheme="majorEastAsia"/>
          <w:b/>
          <w:bCs/>
          <w:sz w:val="21"/>
          <w:szCs w:val="21"/>
        </w:rPr>
        <w:t xml:space="preserve">  旅游线路及</w:t>
      </w:r>
      <w:r>
        <w:rPr>
          <w:rFonts w:hint="eastAsia" w:asciiTheme="majorEastAsia" w:hAnsiTheme="majorEastAsia" w:eastAsiaTheme="majorEastAsia" w:cstheme="majorEastAsia"/>
          <w:b/>
          <w:bCs/>
          <w:kern w:val="0"/>
          <w:sz w:val="21"/>
          <w:szCs w:val="21"/>
        </w:rPr>
        <w:t>时间</w:t>
      </w:r>
    </w:p>
    <w:p w14:paraId="3732452A">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旅游线路：</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团号：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w:t>
      </w:r>
    </w:p>
    <w:p w14:paraId="5B227CE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出发日期：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出发地：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7C1E703C">
      <w:pPr>
        <w:keepNext w:val="0"/>
        <w:keepLines w:val="0"/>
        <w:pageBreakBefore w:val="0"/>
        <w:widowControl/>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4"/>
          <w:sz w:val="21"/>
          <w:szCs w:val="21"/>
        </w:rPr>
        <w:t>途径地：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rPr>
        <w:t>，</w:t>
      </w:r>
      <w:r>
        <w:rPr>
          <w:rFonts w:hint="eastAsia" w:asciiTheme="majorEastAsia" w:hAnsiTheme="majorEastAsia" w:eastAsiaTheme="majorEastAsia" w:cstheme="majorEastAsia"/>
          <w:spacing w:val="-4"/>
          <w:sz w:val="21"/>
          <w:szCs w:val="21"/>
          <w:lang w:val="en-US" w:eastAsia="zh-CN"/>
        </w:rPr>
        <w:t xml:space="preserve">  </w:t>
      </w:r>
      <w:r>
        <w:rPr>
          <w:rFonts w:hint="eastAsia" w:asciiTheme="majorEastAsia" w:hAnsiTheme="majorEastAsia" w:eastAsiaTheme="majorEastAsia" w:cstheme="majorEastAsia"/>
          <w:spacing w:val="-4"/>
          <w:sz w:val="21"/>
          <w:szCs w:val="21"/>
        </w:rPr>
        <w:t>目的地：</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u w:val="single"/>
          <w:lang w:val="en-US" w:eastAsia="zh-CN"/>
        </w:rPr>
        <w:t xml:space="preserve"> </w:t>
      </w:r>
      <w:r>
        <w:rPr>
          <w:rFonts w:hint="eastAsia" w:asciiTheme="majorEastAsia" w:hAnsiTheme="majorEastAsia" w:eastAsiaTheme="majorEastAsia" w:cstheme="majorEastAsia"/>
          <w:spacing w:val="-4"/>
          <w:sz w:val="21"/>
          <w:szCs w:val="21"/>
          <w:u w:val="single"/>
        </w:rPr>
        <w:t xml:space="preserve"> </w:t>
      </w:r>
      <w:r>
        <w:rPr>
          <w:rFonts w:hint="eastAsia" w:asciiTheme="majorEastAsia" w:hAnsiTheme="majorEastAsia" w:eastAsiaTheme="majorEastAsia" w:cstheme="majorEastAsia"/>
          <w:spacing w:val="-4"/>
          <w:sz w:val="21"/>
          <w:szCs w:val="21"/>
        </w:rPr>
        <w:t>，</w:t>
      </w:r>
    </w:p>
    <w:p w14:paraId="64C3C82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结束日期：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结束地：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50AC45D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旅游时间：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晚</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天，共</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日（含在途时间）。</w:t>
      </w:r>
    </w:p>
    <w:p w14:paraId="5167A6B2">
      <w:pPr>
        <w:keepNext w:val="0"/>
        <w:keepLines w:val="0"/>
        <w:pageBreakBefore w:val="0"/>
        <w:widowControl/>
        <w:tabs>
          <w:tab w:val="left" w:pos="5565"/>
        </w:tabs>
        <w:kinsoku/>
        <w:wordWrap/>
        <w:overflowPunct/>
        <w:topLinePunct w:val="0"/>
        <w:autoSpaceDE/>
        <w:autoSpaceDN/>
        <w:bidi w:val="0"/>
        <w:spacing w:line="360" w:lineRule="auto"/>
        <w:ind w:firstLine="406" w:firstLineChars="200"/>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spacing w:val="-4"/>
          <w:sz w:val="21"/>
          <w:szCs w:val="21"/>
        </w:rPr>
        <w:t xml:space="preserve">第二条  </w:t>
      </w:r>
      <w:r>
        <w:rPr>
          <w:rFonts w:hint="eastAsia" w:asciiTheme="majorEastAsia" w:hAnsiTheme="majorEastAsia" w:eastAsiaTheme="majorEastAsia" w:cstheme="majorEastAsia"/>
          <w:b/>
          <w:bCs/>
          <w:kern w:val="0"/>
          <w:sz w:val="21"/>
          <w:szCs w:val="21"/>
        </w:rPr>
        <w:t>旅游费用及支付（以人民币为计算单位）</w:t>
      </w:r>
    </w:p>
    <w:p w14:paraId="043D4419">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spacing w:val="20"/>
          <w:kern w:val="0"/>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pacing w:val="20"/>
          <w:kern w:val="0"/>
          <w:sz w:val="21"/>
          <w:szCs w:val="21"/>
        </w:rPr>
        <w:t>成人</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元/人，儿童（不满14岁）占床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元/人，不占床</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元/人；其中，导游服务费</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u w:val="single"/>
          <w:lang w:val="en-US" w:eastAsia="zh-CN"/>
        </w:rPr>
        <w:t xml:space="preserve"> </w:t>
      </w:r>
      <w:r>
        <w:rPr>
          <w:rFonts w:hint="eastAsia" w:asciiTheme="majorEastAsia" w:hAnsiTheme="majorEastAsia" w:eastAsiaTheme="majorEastAsia" w:cstheme="majorEastAsia"/>
          <w:spacing w:val="20"/>
          <w:kern w:val="0"/>
          <w:sz w:val="21"/>
          <w:szCs w:val="21"/>
          <w:u w:val="single"/>
        </w:rPr>
        <w:t xml:space="preserve"> </w:t>
      </w:r>
      <w:r>
        <w:rPr>
          <w:rFonts w:hint="eastAsia" w:asciiTheme="majorEastAsia" w:hAnsiTheme="majorEastAsia" w:eastAsiaTheme="majorEastAsia" w:cstheme="majorEastAsia"/>
          <w:spacing w:val="20"/>
          <w:kern w:val="0"/>
          <w:sz w:val="21"/>
          <w:szCs w:val="21"/>
        </w:rPr>
        <w:t>元/人。</w:t>
      </w:r>
    </w:p>
    <w:p w14:paraId="00740592">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旅游费用合计：</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元</w:t>
      </w:r>
      <w:r>
        <w:rPr>
          <w:rFonts w:hint="eastAsia" w:asciiTheme="majorEastAsia" w:hAnsiTheme="majorEastAsia" w:eastAsiaTheme="majorEastAsia" w:cstheme="majorEastAsia"/>
          <w:spacing w:val="20"/>
          <w:kern w:val="0"/>
          <w:sz w:val="21"/>
          <w:szCs w:val="21"/>
        </w:rPr>
        <w:t>。</w:t>
      </w:r>
    </w:p>
    <w:p w14:paraId="428E106C">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2．旅游费用支付按下列第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w:t>
      </w:r>
    </w:p>
    <w:p w14:paraId="09F5FB5E">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（1）报名时支付预付款</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pacing w:val="20"/>
          <w:kern w:val="0"/>
          <w:sz w:val="21"/>
          <w:szCs w:val="21"/>
        </w:rPr>
        <w:t>元，余款在本合同签订当日付清</w:t>
      </w:r>
      <w:r>
        <w:rPr>
          <w:rFonts w:hint="eastAsia" w:asciiTheme="majorEastAsia" w:hAnsiTheme="majorEastAsia" w:eastAsiaTheme="majorEastAsia" w:cstheme="majorEastAsia"/>
          <w:sz w:val="21"/>
          <w:szCs w:val="21"/>
        </w:rPr>
        <w:t>；</w:t>
      </w:r>
    </w:p>
    <w:p w14:paraId="7EE8FF8B">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（2）本合同签订当日一次性付款；</w:t>
      </w:r>
    </w:p>
    <w:p w14:paraId="75FEAF15">
      <w:pPr>
        <w:keepNext w:val="0"/>
        <w:keepLines w:val="0"/>
        <w:pageBreakBefore w:val="0"/>
        <w:widowControl/>
        <w:tabs>
          <w:tab w:val="left" w:pos="5565"/>
        </w:tabs>
        <w:kinsoku/>
        <w:wordWrap/>
        <w:overflowPunct/>
        <w:topLinePunct w:val="0"/>
        <w:autoSpaceDE/>
        <w:autoSpaceDN/>
        <w:bidi w:val="0"/>
        <w:spacing w:line="360" w:lineRule="auto"/>
        <w:ind w:firstLine="411" w:firstLineChars="196"/>
        <w:jc w:val="left"/>
        <w:textAlignment w:val="auto"/>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sz w:val="21"/>
          <w:szCs w:val="21"/>
        </w:rPr>
        <w:t>（3）其他：</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14:paraId="4BF1199A">
      <w:pPr>
        <w:keepNext w:val="0"/>
        <w:keepLines w:val="0"/>
        <w:pageBreakBefore w:val="0"/>
        <w:tabs>
          <w:tab w:val="left" w:pos="5565"/>
        </w:tabs>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3．乙方收款账户（银行/支付宝/微信）：</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7F176D25">
      <w:pPr>
        <w:keepNext w:val="0"/>
        <w:keepLines w:val="0"/>
        <w:pageBreakBefore w:val="0"/>
        <w:tabs>
          <w:tab w:val="left" w:pos="5565"/>
        </w:tabs>
        <w:kinsoku/>
        <w:wordWrap/>
        <w:overflowPunct/>
        <w:topLinePunct w:val="0"/>
        <w:autoSpaceDE/>
        <w:autoSpaceDN/>
        <w:bidi w:val="0"/>
        <w:adjustRightInd w:val="0"/>
        <w:snapToGrid w:val="0"/>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第三条  人身意外伤害保险</w:t>
      </w:r>
    </w:p>
    <w:p w14:paraId="3EF040B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乙方建议甲方购买人身意外伤害保险，甲方同意选择以下第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种方式办理保险事宜：</w:t>
      </w:r>
    </w:p>
    <w:p w14:paraId="12E3A6AA">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1．委托乙方购买（旅行社如不具有保险兼业代理资格的，不得选此项）：</w:t>
      </w:r>
    </w:p>
    <w:p w14:paraId="6A52C3C7">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保险产品名称：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（投保的相关信息以实际保单为准）；</w:t>
      </w:r>
    </w:p>
    <w:p w14:paraId="7FD8E38C">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2．甲方自行购买；</w:t>
      </w:r>
    </w:p>
    <w:p w14:paraId="0593F8A3">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3．甲方放弃购买。</w:t>
      </w:r>
    </w:p>
    <w:p w14:paraId="32337C77">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b/>
          <w:sz w:val="21"/>
          <w:szCs w:val="21"/>
        </w:rPr>
        <w:t>第四条</w:t>
      </w:r>
      <w:r>
        <w:rPr>
          <w:rFonts w:hint="eastAsia" w:asciiTheme="majorEastAsia" w:hAnsiTheme="majorEastAsia" w:eastAsiaTheme="majorEastAsia" w:cstheme="majorEastAsia"/>
          <w:b/>
          <w:spacing w:val="-4"/>
          <w:sz w:val="21"/>
          <w:szCs w:val="21"/>
        </w:rPr>
        <w:t xml:space="preserve">  成团人数与不成团的约定</w:t>
      </w:r>
    </w:p>
    <w:p w14:paraId="42D745CE">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b/>
          <w:spacing w:val="-4"/>
          <w:sz w:val="21"/>
          <w:szCs w:val="21"/>
        </w:rPr>
      </w:pPr>
      <w:r>
        <w:rPr>
          <w:rFonts w:hint="eastAsia" w:asciiTheme="majorEastAsia" w:hAnsiTheme="majorEastAsia" w:eastAsiaTheme="majorEastAsia" w:cstheme="majorEastAsia"/>
          <w:iCs/>
          <w:spacing w:val="-4"/>
          <w:sz w:val="21"/>
          <w:szCs w:val="21"/>
        </w:rPr>
        <w:t>1．成团的最低人数：</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人。</w:t>
      </w:r>
    </w:p>
    <w:p w14:paraId="6A6845BA">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2．如不能成团，甲方同意选择以下第</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种方式解决（可多选）：</w:t>
      </w:r>
    </w:p>
    <w:p w14:paraId="3333F6D6">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u w:val="single"/>
        </w:rPr>
      </w:pPr>
      <w:r>
        <w:rPr>
          <w:rFonts w:hint="eastAsia" w:asciiTheme="majorEastAsia" w:hAnsiTheme="majorEastAsia" w:eastAsiaTheme="majorEastAsia" w:cstheme="majorEastAsia"/>
          <w:iCs/>
          <w:spacing w:val="-4"/>
          <w:sz w:val="21"/>
          <w:szCs w:val="21"/>
        </w:rPr>
        <w:t>（1）乙方委托</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u w:val="single"/>
          <w:lang w:val="en-US" w:eastAsia="zh-CN"/>
        </w:rPr>
        <w:t xml:space="preserve"> </w:t>
      </w:r>
      <w:r>
        <w:rPr>
          <w:rFonts w:hint="eastAsia" w:asciiTheme="majorEastAsia" w:hAnsiTheme="majorEastAsia" w:eastAsiaTheme="majorEastAsia" w:cstheme="majorEastAsia"/>
          <w:iCs/>
          <w:spacing w:val="-4"/>
          <w:sz w:val="21"/>
          <w:szCs w:val="21"/>
          <w:u w:val="single"/>
        </w:rPr>
        <w:t xml:space="preserve">      </w:t>
      </w:r>
      <w:r>
        <w:rPr>
          <w:rFonts w:hint="eastAsia" w:asciiTheme="majorEastAsia" w:hAnsiTheme="majorEastAsia" w:eastAsiaTheme="majorEastAsia" w:cstheme="majorEastAsia"/>
          <w:iCs/>
          <w:spacing w:val="-4"/>
          <w:sz w:val="21"/>
          <w:szCs w:val="21"/>
        </w:rPr>
        <w:t>（组团社）履行合同；</w:t>
      </w:r>
    </w:p>
    <w:p w14:paraId="04C2DE97">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（2）延期出团；</w:t>
      </w:r>
    </w:p>
    <w:p w14:paraId="5D92C70B">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（3）改变其他线路出团；</w:t>
      </w:r>
    </w:p>
    <w:p w14:paraId="233CB48D">
      <w:pPr>
        <w:keepNext w:val="0"/>
        <w:keepLines w:val="0"/>
        <w:pageBreakBefore w:val="0"/>
        <w:tabs>
          <w:tab w:val="left" w:pos="5565"/>
        </w:tabs>
        <w:kinsoku/>
        <w:wordWrap/>
        <w:overflowPunct/>
        <w:topLinePunct w:val="0"/>
        <w:autoSpaceDE/>
        <w:autoSpaceDN/>
        <w:bidi w:val="0"/>
        <w:spacing w:line="360" w:lineRule="auto"/>
        <w:ind w:firstLine="404" w:firstLineChars="200"/>
        <w:jc w:val="left"/>
        <w:textAlignment w:val="auto"/>
        <w:rPr>
          <w:rFonts w:hint="eastAsia" w:asciiTheme="majorEastAsia" w:hAnsiTheme="majorEastAsia" w:eastAsiaTheme="majorEastAsia" w:cstheme="majorEastAsia"/>
          <w:iCs/>
          <w:spacing w:val="-4"/>
          <w:sz w:val="21"/>
          <w:szCs w:val="21"/>
        </w:rPr>
      </w:pPr>
      <w:r>
        <w:rPr>
          <w:rFonts w:hint="eastAsia" w:asciiTheme="majorEastAsia" w:hAnsiTheme="majorEastAsia" w:eastAsiaTheme="majorEastAsia" w:cstheme="majorEastAsia"/>
          <w:iCs/>
          <w:spacing w:val="-4"/>
          <w:sz w:val="21"/>
          <w:szCs w:val="21"/>
        </w:rPr>
        <w:t>（4）解除合同。</w:t>
      </w:r>
    </w:p>
    <w:p w14:paraId="3A224602">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第五条  拼团约定</w:t>
      </w:r>
    </w:p>
    <w:p w14:paraId="3A917BB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甲方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（同意或者不同意，打勾无效）采用拼团方式拼至</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u w:val="single"/>
          <w:lang w:val="en-US" w:eastAsia="zh-CN"/>
        </w:rPr>
        <w:t xml:space="preserve"> </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旅行社成团。</w:t>
      </w:r>
    </w:p>
    <w:p w14:paraId="12C7F12B">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第六条  自愿购物和参加另行付费旅游项目约定</w:t>
      </w:r>
    </w:p>
    <w:p w14:paraId="6DEA251B">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乙方可以在不影响其他旅游者行程安排的前提下，按照平等自愿、诚实信用的原则，与甲方协商一致达成购物活动、另行付费旅游项目协议。地接社及其从业人员在行程中未经旅游者同意擅自安排购物活动、另行付费旅游项目的，责任由乙方承担。</w:t>
      </w:r>
    </w:p>
    <w:p w14:paraId="435E7544">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第七条  包价旅游产品信息披露</w:t>
      </w:r>
    </w:p>
    <w:p w14:paraId="27FAA7A7">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1．乙方为履行本合同，委托以下地接旅行社提供地接服务：</w:t>
      </w:r>
    </w:p>
    <w:p w14:paraId="727F633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地接旅行社（全称）：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32BED281">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7673901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2．乙方如接受其他旅行社委托，向甲方代理销售境内包价旅游产品的，应当向甲方告知委托社以下信息：</w:t>
      </w:r>
    </w:p>
    <w:p w14:paraId="2F72089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 xml:space="preserve">委托旅行社（全称）：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17A44A73">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住所地：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，联系人/电话：</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p>
    <w:p w14:paraId="05661CDA">
      <w:pPr>
        <w:keepNext w:val="0"/>
        <w:keepLines w:val="0"/>
        <w:pageBreakBefore w:val="0"/>
        <w:tabs>
          <w:tab w:val="left" w:pos="5565"/>
        </w:tabs>
        <w:kinsoku/>
        <w:wordWrap/>
        <w:overflowPunct/>
        <w:topLinePunct w:val="0"/>
        <w:autoSpaceDE/>
        <w:autoSpaceDN/>
        <w:bidi w:val="0"/>
        <w:adjustRightInd w:val="0"/>
        <w:snapToGrid w:val="0"/>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rPr>
        <w:t xml:space="preserve">第八条  </w:t>
      </w:r>
      <w:r>
        <w:rPr>
          <w:rFonts w:hint="eastAsia" w:asciiTheme="majorEastAsia" w:hAnsiTheme="majorEastAsia" w:eastAsiaTheme="majorEastAsia" w:cstheme="majorEastAsia"/>
          <w:b/>
          <w:iCs/>
          <w:sz w:val="21"/>
          <w:szCs w:val="21"/>
        </w:rPr>
        <w:t>其他约定事项</w:t>
      </w:r>
    </w:p>
    <w:p w14:paraId="11EAB6DD">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1．甲方如作为旅游者代表与乙方签订本合同，并支付全部旅游费用的，双方作出如下约定：</w:t>
      </w:r>
    </w:p>
    <w:p w14:paraId="5D374FD5">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（1）由于本合同旅游者不止一人，以实际签订合同的旅游者为甲方，甲方所代表的其他旅游者与甲方具有同等地位，甲方应当向乙方提供其他旅游者的身份证件、个人健康状况及联系方式等相关材料和信息。</w:t>
      </w:r>
    </w:p>
    <w:p w14:paraId="0FD3584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由于甲方所代表的其他旅游者不参与本合同签订过程，乙方无法通过合同直接向其他旅游者履行相关告知义务，因此甲方有义务将合同文本及相关约定（包括合同条款的说明、违约责任、对旅游者的特别提醒和警示、旅行社责任免除等）及时全面地告知其他旅游者。</w:t>
      </w:r>
    </w:p>
    <w:p w14:paraId="0C66FBCF">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除非甲方所代表的其他旅游者事先向乙方作出书面声明，否则甲方作为旅游者代表在本合同文本、相关附件的签名，其效力及于其他旅游者。如甲方将自身权利义务转让给第三人的，不影响其他旅游者在本合同中的权利义务，但该第三人不承受甲方代表地位。</w:t>
      </w:r>
    </w:p>
    <w:p w14:paraId="40231CB0">
      <w:pPr>
        <w:keepNext w:val="0"/>
        <w:keepLines w:val="0"/>
        <w:pageBreakBefore w:val="0"/>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乙方如购买航空公司出售的团队机票或者包机、包船和专列产品，由于所采购的机票、船票、车票因售价优惠附有严格的限制使用条件，通常情况下不能改、不能转、不能退（具体限制使用条件详见《游客报名表》《旅游行程单》等附件）。甲方行前解除合同的，乙方按照取消机票、船票、车票实际损失在退费中扣除。 </w:t>
      </w:r>
    </w:p>
    <w:p w14:paraId="0A009B0C">
      <w:pPr>
        <w:keepNext w:val="0"/>
        <w:keepLines w:val="0"/>
        <w:pageBreakBefore w:val="0"/>
        <w:tabs>
          <w:tab w:val="left" w:pos="5565"/>
        </w:tabs>
        <w:kinsoku/>
        <w:wordWrap/>
        <w:overflowPunct/>
        <w:topLinePunct w:val="0"/>
        <w:autoSpaceDE/>
        <w:autoSpaceDN/>
        <w:bidi w:val="0"/>
        <w:adjustRightInd w:val="0"/>
        <w:snapToGrid w:val="0"/>
        <w:spacing w:line="360" w:lineRule="auto"/>
        <w:ind w:firstLine="411"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u w:val="single"/>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rPr>
        <w:t xml:space="preserve">                                          </w:t>
      </w:r>
    </w:p>
    <w:p w14:paraId="2AE65B4F">
      <w:pPr>
        <w:keepNext w:val="0"/>
        <w:keepLines w:val="0"/>
        <w:pageBreakBefore w:val="0"/>
        <w:widowControl/>
        <w:tabs>
          <w:tab w:val="left" w:pos="5565"/>
        </w:tabs>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kern w:val="0"/>
          <w:sz w:val="21"/>
          <w:szCs w:val="21"/>
          <w:u w:val="single"/>
        </w:rPr>
        <w:t xml:space="preserve">                                                                               </w:t>
      </w:r>
    </w:p>
    <w:p w14:paraId="6636B0DC">
      <w:pPr>
        <w:keepNext w:val="0"/>
        <w:keepLines w:val="0"/>
        <w:pageBreakBefore w:val="0"/>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
          <w:bCs/>
          <w:sz w:val="21"/>
          <w:szCs w:val="21"/>
        </w:rPr>
        <w:t>第九条  争议的解决方式</w:t>
      </w:r>
    </w:p>
    <w:p w14:paraId="429AD53B">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本合同在履行过程中发生争议的，由甲乙双方协商解决，也可向有管辖权的旅游质监执法机构等有关部门投诉或者申请调解，也可按下列第</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w:t>
      </w:r>
      <w:r>
        <w:rPr>
          <w:rFonts w:hint="eastAsia" w:asciiTheme="majorEastAsia" w:hAnsiTheme="majorEastAsia" w:eastAsiaTheme="majorEastAsia" w:cstheme="majorEastAsia"/>
          <w:sz w:val="21"/>
          <w:szCs w:val="21"/>
        </w:rPr>
        <w:t>种方式解决：</w:t>
      </w:r>
      <w:r>
        <w:rPr>
          <w:rFonts w:hint="eastAsia" w:asciiTheme="majorEastAsia" w:hAnsiTheme="majorEastAsia" w:eastAsiaTheme="majorEastAsia" w:cstheme="majorEastAsia"/>
          <w:b/>
          <w:bCs/>
          <w:sz w:val="21"/>
          <w:szCs w:val="21"/>
        </w:rPr>
        <w:t xml:space="preserve">  </w:t>
      </w:r>
    </w:p>
    <w:p w14:paraId="69805EB9">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1．提交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仲裁委员会仲裁；</w:t>
      </w:r>
    </w:p>
    <w:p w14:paraId="34454F8F">
      <w:pPr>
        <w:keepNext w:val="0"/>
        <w:keepLines w:val="0"/>
        <w:pageBreakBefore w:val="0"/>
        <w:tabs>
          <w:tab w:val="left" w:pos="5565"/>
        </w:tabs>
        <w:kinsoku/>
        <w:wordWrap/>
        <w:overflowPunct/>
        <w:topLinePunct w:val="0"/>
        <w:autoSpaceDE/>
        <w:autoSpaceDN/>
        <w:bidi w:val="0"/>
        <w:adjustRightInd w:val="0"/>
        <w:spacing w:line="360" w:lineRule="auto"/>
        <w:ind w:firstLine="411" w:firstLineChars="196"/>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sz w:val="21"/>
          <w:szCs w:val="21"/>
        </w:rPr>
        <w:t>2．依法向人民法院起诉。　</w:t>
      </w:r>
    </w:p>
    <w:p w14:paraId="085D1F71">
      <w:pPr>
        <w:keepNext w:val="0"/>
        <w:keepLines w:val="0"/>
        <w:pageBreakBefore w:val="0"/>
        <w:widowControl/>
        <w:tabs>
          <w:tab w:val="left" w:pos="5565"/>
        </w:tabs>
        <w:kinsoku/>
        <w:wordWrap/>
        <w:overflowPunct/>
        <w:topLinePunct w:val="0"/>
        <w:autoSpaceDE/>
        <w:autoSpaceDN/>
        <w:bidi w:val="0"/>
        <w:spacing w:line="360" w:lineRule="auto"/>
        <w:ind w:firstLine="422" w:firstLineChars="200"/>
        <w:jc w:val="left"/>
        <w:textAlignment w:val="auto"/>
        <w:rPr>
          <w:rFonts w:hint="eastAsia" w:asciiTheme="majorEastAsia" w:hAnsiTheme="majorEastAsia" w:eastAsiaTheme="majorEastAsia" w:cstheme="majorEastAsia"/>
          <w:kern w:val="0"/>
          <w:sz w:val="21"/>
          <w:szCs w:val="21"/>
          <w:u w:val="single"/>
        </w:rPr>
      </w:pPr>
      <w:r>
        <w:rPr>
          <w:rFonts w:hint="eastAsia" w:asciiTheme="majorEastAsia" w:hAnsiTheme="majorEastAsia" w:eastAsiaTheme="majorEastAsia" w:cstheme="majorEastAsia"/>
          <w:b/>
          <w:sz w:val="21"/>
          <w:szCs w:val="21"/>
        </w:rPr>
        <w:t>第十条  附则</w:t>
      </w:r>
    </w:p>
    <w:p w14:paraId="094D9477">
      <w:pPr>
        <w:keepNext w:val="0"/>
        <w:keepLines w:val="0"/>
        <w:pageBreakBefore w:val="0"/>
        <w:widowControl/>
        <w:tabs>
          <w:tab w:val="left" w:pos="5565"/>
        </w:tabs>
        <w:kinsoku/>
        <w:wordWrap/>
        <w:overflowPunct/>
        <w:topLinePunct w:val="0"/>
        <w:autoSpaceDE/>
        <w:autoSpaceDN/>
        <w:bidi w:val="0"/>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1．本合同履行地为乙方住所地。</w:t>
      </w:r>
    </w:p>
    <w:p w14:paraId="5C7C0E04">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2．本合同自甲乙双方签名或者盖章之日起生效，合同一式两份，双方各持一份，具有同等效力。《旅游行程单》以及双方当事人经协商后补充或者变更的协议等，均为合同组成部分。</w:t>
      </w:r>
    </w:p>
    <w:p w14:paraId="340A28F8">
      <w:pPr>
        <w:keepNext w:val="0"/>
        <w:keepLines w:val="0"/>
        <w:pageBreakBefore w:val="0"/>
        <w:widowControl/>
        <w:tabs>
          <w:tab w:val="left" w:pos="5565"/>
        </w:tabs>
        <w:kinsoku/>
        <w:wordWrap/>
        <w:overflowPunct/>
        <w:topLinePunct w:val="0"/>
        <w:autoSpaceDE/>
        <w:autoSpaceDN/>
        <w:bidi w:val="0"/>
        <w:adjustRightInd/>
        <w:snapToGrid/>
        <w:spacing w:before="95" w:beforeLines="30" w:line="360" w:lineRule="auto"/>
        <w:ind w:firstLine="420" w:firstLineChars="200"/>
        <w:jc w:val="left"/>
        <w:textAlignment w:val="auto"/>
        <w:rPr>
          <w:rFonts w:hint="eastAsia" w:asciiTheme="majorEastAsia" w:hAnsiTheme="majorEastAsia" w:eastAsiaTheme="majorEastAsia" w:cstheme="majorEastAsia"/>
          <w:sz w:val="21"/>
          <w:szCs w:val="21"/>
        </w:rPr>
      </w:pPr>
    </w:p>
    <w:p w14:paraId="012D22B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甲方</w:t>
      </w:r>
      <w:r>
        <w:rPr>
          <w:rFonts w:hint="eastAsia" w:asciiTheme="majorEastAsia" w:hAnsiTheme="majorEastAsia" w:eastAsiaTheme="majorEastAsia" w:cstheme="majorEastAsia"/>
          <w:sz w:val="21"/>
          <w:szCs w:val="21"/>
        </w:rPr>
        <w:t xml:space="preserve">（自然人签名、法人或者其他组织盖章）：                          </w:t>
      </w:r>
    </w:p>
    <w:p w14:paraId="5199967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法人或者其他组织代表人（签名）：    </w:t>
      </w:r>
    </w:p>
    <w:p w14:paraId="37818569">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EEFCCF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kern w:val="0"/>
          <w:sz w:val="21"/>
          <w:szCs w:val="21"/>
        </w:rPr>
        <w:t>乙  方</w:t>
      </w:r>
      <w:r>
        <w:rPr>
          <w:rFonts w:hint="eastAsia" w:asciiTheme="majorEastAsia" w:hAnsiTheme="majorEastAsia" w:eastAsiaTheme="majorEastAsia" w:cstheme="majorEastAsia"/>
          <w:sz w:val="21"/>
          <w:szCs w:val="21"/>
        </w:rPr>
        <w:t>（盖章）：</w:t>
      </w:r>
    </w:p>
    <w:p w14:paraId="257FD1A7">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代表人（签名）：</w:t>
      </w:r>
      <w:r>
        <w:rPr>
          <w:rFonts w:hint="eastAsia" w:asciiTheme="majorEastAsia" w:hAnsiTheme="majorEastAsia" w:eastAsiaTheme="majorEastAsia" w:cstheme="majorEastAsia"/>
          <w:sz w:val="21"/>
          <w:szCs w:val="21"/>
          <w:lang w:val="en-US" w:eastAsia="zh-CN"/>
        </w:rPr>
        <w:t xml:space="preserve"> </w:t>
      </w:r>
    </w:p>
    <w:p w14:paraId="24CA87B8">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7990660B">
      <w:pPr>
        <w:keepNext w:val="0"/>
        <w:keepLines w:val="0"/>
        <w:pageBreakBefore w:val="0"/>
        <w:kinsoku/>
        <w:wordWrap/>
        <w:overflowPunct/>
        <w:topLinePunct w:val="0"/>
        <w:autoSpaceDE/>
        <w:autoSpaceDN/>
        <w:bidi w:val="0"/>
        <w:spacing w:line="360" w:lineRule="auto"/>
        <w:jc w:val="left"/>
        <w:textAlignment w:val="auto"/>
        <w:rPr>
          <w:rFonts w:hint="eastAsia" w:asciiTheme="majorEastAsia" w:hAnsiTheme="majorEastAsia" w:eastAsiaTheme="majorEastAsia" w:cstheme="majorEastAsia"/>
          <w:sz w:val="21"/>
          <w:szCs w:val="21"/>
        </w:rPr>
      </w:pPr>
    </w:p>
    <w:p w14:paraId="3021FFA7">
      <w:pPr>
        <w:keepNext w:val="0"/>
        <w:keepLines w:val="0"/>
        <w:pageBreakBefore w:val="0"/>
        <w:kinsoku/>
        <w:wordWrap/>
        <w:overflowPunct/>
        <w:topLinePunct w:val="0"/>
        <w:autoSpaceDE/>
        <w:autoSpaceDN/>
        <w:bidi w:val="0"/>
        <w:spacing w:line="360" w:lineRule="auto"/>
        <w:jc w:val="left"/>
        <w:textAlignment w:val="auto"/>
        <w:rPr>
          <w:rFonts w:ascii="宋体"/>
          <w:szCs w:val="21"/>
        </w:rPr>
      </w:pPr>
      <w:r>
        <w:rPr>
          <w:rFonts w:hint="eastAsia" w:asciiTheme="majorEastAsia" w:hAnsiTheme="majorEastAsia" w:eastAsiaTheme="majorEastAsia" w:cstheme="majorEastAsia"/>
          <w:sz w:val="21"/>
          <w:szCs w:val="21"/>
        </w:rPr>
        <w:t>合同签订地：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b w:val="0"/>
          <w:bCs/>
          <w:sz w:val="21"/>
          <w:szCs w:val="21"/>
          <w:u w:val="single"/>
          <w:lang w:val="en-US" w:eastAsia="zh-CN"/>
        </w:rPr>
        <w:t xml:space="preserve">                         </w:t>
      </w:r>
      <w:r>
        <w:rPr>
          <w:rFonts w:hint="eastAsia" w:asciiTheme="majorEastAsia" w:hAnsiTheme="majorEastAsia" w:eastAsiaTheme="majorEastAsia" w:cstheme="majorEastAsia"/>
          <w:b w:val="0"/>
          <w:bCs/>
          <w:sz w:val="21"/>
          <w:szCs w:val="21"/>
          <w:u w:val="single"/>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日</w:t>
      </w:r>
      <w:r>
        <w:rPr>
          <w:rFonts w:ascii="宋体" w:hAnsi="宋体"/>
          <w:szCs w:val="21"/>
        </w:rPr>
        <w:t xml:space="preserve">                                            </w:t>
      </w:r>
    </w:p>
    <w:p w14:paraId="23641E8F">
      <w:pPr>
        <w:adjustRightInd w:val="0"/>
        <w:spacing w:line="360" w:lineRule="exact"/>
        <w:ind w:firstLine="420" w:firstLineChars="200"/>
        <w:jc w:val="left"/>
        <w:rPr>
          <w:rFonts w:ascii="宋体"/>
          <w:b/>
          <w:szCs w:val="21"/>
        </w:rPr>
      </w:pPr>
      <w:r>
        <w:rPr>
          <w:rFonts w:ascii="宋体" w:hAnsi="宋体"/>
          <w:szCs w:val="21"/>
        </w:rPr>
        <w:t xml:space="preserve">                                   </w:t>
      </w:r>
    </w:p>
    <w:p w14:paraId="31F680CE">
      <w:pPr>
        <w:rPr>
          <w:rFonts w:hint="eastAsia"/>
          <w:b/>
          <w:sz w:val="36"/>
          <w:szCs w:val="36"/>
        </w:rPr>
      </w:pPr>
      <w:r>
        <w:rPr>
          <w:rFonts w:hint="eastAsia"/>
          <w:b/>
          <w:sz w:val="36"/>
          <w:szCs w:val="36"/>
        </w:rPr>
        <w:br w:type="page"/>
      </w:r>
    </w:p>
    <w:p w14:paraId="7533ADAD">
      <w:pPr>
        <w:jc w:val="center"/>
        <w:rPr>
          <w:b/>
          <w:sz w:val="36"/>
          <w:szCs w:val="36"/>
        </w:rPr>
      </w:pPr>
      <w:r>
        <w:rPr>
          <w:rFonts w:hint="eastAsia"/>
          <w:b/>
          <w:sz w:val="36"/>
          <w:szCs w:val="36"/>
        </w:rPr>
        <w:t>境内旅游行程单</w:t>
      </w:r>
    </w:p>
    <w:tbl>
      <w:tblPr>
        <w:tblStyle w:val="50"/>
        <w:tblW w:w="103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43"/>
        <w:gridCol w:w="457"/>
        <w:gridCol w:w="201"/>
        <w:gridCol w:w="199"/>
        <w:gridCol w:w="782"/>
        <w:gridCol w:w="738"/>
        <w:gridCol w:w="709"/>
        <w:gridCol w:w="1559"/>
        <w:gridCol w:w="804"/>
        <w:gridCol w:w="1095"/>
        <w:gridCol w:w="1515"/>
        <w:gridCol w:w="1197"/>
      </w:tblGrid>
      <w:tr w14:paraId="0EA62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tcBorders>
              <w:top w:val="double" w:color="auto" w:sz="4" w:space="0"/>
            </w:tcBorders>
            <w:noWrap w:val="0"/>
            <w:vAlign w:val="center"/>
          </w:tcPr>
          <w:p w14:paraId="1DE15FD6">
            <w:pPr>
              <w:jc w:val="center"/>
            </w:pPr>
            <w:r>
              <w:rPr>
                <w:rFonts w:hint="eastAsia"/>
              </w:rPr>
              <w:t>团</w:t>
            </w:r>
            <w:r>
              <w:t xml:space="preserve">    </w:t>
            </w:r>
            <w:r>
              <w:rPr>
                <w:rFonts w:hint="eastAsia"/>
              </w:rPr>
              <w:t>号</w:t>
            </w:r>
          </w:p>
        </w:tc>
        <w:tc>
          <w:tcPr>
            <w:tcW w:w="4791" w:type="dxa"/>
            <w:gridSpan w:val="6"/>
            <w:tcBorders>
              <w:top w:val="double" w:color="auto" w:sz="4" w:space="0"/>
            </w:tcBorders>
            <w:noWrap w:val="0"/>
            <w:vAlign w:val="top"/>
          </w:tcPr>
          <w:p w14:paraId="32F00CE3">
            <w:pPr>
              <w:jc w:val="both"/>
              <w:rPr>
                <w:rFonts w:hint="default" w:eastAsia="宋体"/>
                <w:lang w:val="en-US" w:eastAsia="zh-CN"/>
              </w:rPr>
            </w:pPr>
            <w:r>
              <w:rPr>
                <w:rFonts w:hint="eastAsia" w:eastAsia="宋体"/>
                <w:lang w:val="en-US" w:eastAsia="zh-CN"/>
              </w:rPr>
              <w:t xml:space="preserve"> </w:t>
            </w:r>
          </w:p>
        </w:tc>
        <w:tc>
          <w:tcPr>
            <w:tcW w:w="1095" w:type="dxa"/>
            <w:tcBorders>
              <w:top w:val="double" w:color="auto" w:sz="4" w:space="0"/>
            </w:tcBorders>
            <w:noWrap w:val="0"/>
            <w:vAlign w:val="top"/>
          </w:tcPr>
          <w:p w14:paraId="1A906739">
            <w:pPr>
              <w:jc w:val="center"/>
            </w:pPr>
            <w:r>
              <w:rPr>
                <w:rFonts w:hint="eastAsia"/>
              </w:rPr>
              <w:t>团队性质</w:t>
            </w:r>
          </w:p>
        </w:tc>
        <w:tc>
          <w:tcPr>
            <w:tcW w:w="2712" w:type="dxa"/>
            <w:gridSpan w:val="2"/>
            <w:tcBorders>
              <w:top w:val="double" w:color="auto" w:sz="4" w:space="0"/>
            </w:tcBorders>
            <w:noWrap w:val="0"/>
            <w:vAlign w:val="top"/>
          </w:tcPr>
          <w:p w14:paraId="4EFAEAA9">
            <w:pPr>
              <w:jc w:val="left"/>
              <w:rPr>
                <w:rFonts w:hint="eastAsia" w:eastAsia="宋体"/>
                <w:lang w:eastAsia="zh-CN"/>
              </w:rPr>
            </w:pPr>
            <w:r>
              <w:rPr>
                <w:rFonts w:hint="eastAsia"/>
                <w:lang w:val="en-US" w:eastAsia="zh-CN"/>
              </w:rPr>
              <w:t xml:space="preserve"> </w:t>
            </w:r>
          </w:p>
        </w:tc>
      </w:tr>
      <w:tr w14:paraId="16A8C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0FF4842">
            <w:pPr>
              <w:jc w:val="center"/>
            </w:pPr>
            <w:r>
              <w:rPr>
                <w:rFonts w:hint="eastAsia"/>
              </w:rPr>
              <w:t>人</w:t>
            </w:r>
            <w:r>
              <w:t xml:space="preserve">    </w:t>
            </w:r>
            <w:r>
              <w:rPr>
                <w:rFonts w:hint="eastAsia"/>
              </w:rPr>
              <w:t>数</w:t>
            </w:r>
          </w:p>
        </w:tc>
        <w:tc>
          <w:tcPr>
            <w:tcW w:w="1719" w:type="dxa"/>
            <w:gridSpan w:val="3"/>
            <w:noWrap w:val="0"/>
            <w:vAlign w:val="top"/>
          </w:tcPr>
          <w:p w14:paraId="06064A78">
            <w:pPr>
              <w:jc w:val="both"/>
              <w:rPr>
                <w:rFonts w:hint="default" w:eastAsia="宋体"/>
                <w:lang w:val="en-US" w:eastAsia="zh-CN"/>
              </w:rPr>
            </w:pPr>
            <w:r>
              <w:rPr>
                <w:rFonts w:hint="eastAsia" w:eastAsia="宋体"/>
                <w:lang w:val="en-US" w:eastAsia="zh-CN"/>
              </w:rPr>
              <w:t xml:space="preserve">  </w:t>
            </w:r>
          </w:p>
        </w:tc>
        <w:tc>
          <w:tcPr>
            <w:tcW w:w="709" w:type="dxa"/>
            <w:noWrap w:val="0"/>
            <w:vAlign w:val="top"/>
          </w:tcPr>
          <w:p w14:paraId="1D445F5F">
            <w:pPr>
              <w:jc w:val="center"/>
            </w:pPr>
            <w:r>
              <w:rPr>
                <w:rFonts w:hint="eastAsia"/>
              </w:rPr>
              <w:t>全陪</w:t>
            </w:r>
          </w:p>
        </w:tc>
        <w:tc>
          <w:tcPr>
            <w:tcW w:w="2363" w:type="dxa"/>
            <w:gridSpan w:val="2"/>
            <w:noWrap w:val="0"/>
            <w:vAlign w:val="top"/>
          </w:tcPr>
          <w:p w14:paraId="1E7189DB">
            <w:pPr>
              <w:jc w:val="center"/>
              <w:rPr>
                <w:rFonts w:hint="default" w:eastAsia="宋体"/>
                <w:lang w:val="en-US" w:eastAsia="zh-CN"/>
              </w:rPr>
            </w:pPr>
            <w:r>
              <w:rPr>
                <w:rFonts w:hint="eastAsia" w:eastAsia="宋体"/>
                <w:lang w:val="en-US" w:eastAsia="zh-CN"/>
              </w:rPr>
              <w:t xml:space="preserve"> </w:t>
            </w:r>
          </w:p>
        </w:tc>
        <w:tc>
          <w:tcPr>
            <w:tcW w:w="1095" w:type="dxa"/>
            <w:noWrap w:val="0"/>
            <w:vAlign w:val="top"/>
          </w:tcPr>
          <w:p w14:paraId="1AC68934">
            <w:pPr>
              <w:jc w:val="center"/>
            </w:pPr>
            <w:r>
              <w:rPr>
                <w:rFonts w:hint="eastAsia"/>
              </w:rPr>
              <w:t>手机</w:t>
            </w:r>
          </w:p>
        </w:tc>
        <w:tc>
          <w:tcPr>
            <w:tcW w:w="2712" w:type="dxa"/>
            <w:gridSpan w:val="2"/>
            <w:noWrap w:val="0"/>
            <w:vAlign w:val="top"/>
          </w:tcPr>
          <w:p w14:paraId="21E862BB">
            <w:pPr>
              <w:jc w:val="left"/>
              <w:rPr>
                <w:rFonts w:hint="default" w:eastAsia="宋体"/>
                <w:lang w:val="en-US" w:eastAsia="zh-CN"/>
              </w:rPr>
            </w:pPr>
            <w:r>
              <w:rPr>
                <w:rFonts w:hint="eastAsia" w:eastAsia="宋体"/>
                <w:lang w:val="en-US" w:eastAsia="zh-CN"/>
              </w:rPr>
              <w:t xml:space="preserve"> </w:t>
            </w:r>
          </w:p>
        </w:tc>
      </w:tr>
      <w:tr w14:paraId="55928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01" w:type="dxa"/>
            <w:gridSpan w:val="4"/>
            <w:noWrap w:val="0"/>
            <w:vAlign w:val="center"/>
          </w:tcPr>
          <w:p w14:paraId="27376D5A">
            <w:pPr>
              <w:ind w:firstLine="105" w:firstLineChars="50"/>
              <w:jc w:val="center"/>
            </w:pPr>
            <w:r>
              <w:rPr>
                <w:rFonts w:hint="eastAsia"/>
              </w:rPr>
              <w:t>集合时间和地点</w:t>
            </w:r>
          </w:p>
        </w:tc>
        <w:tc>
          <w:tcPr>
            <w:tcW w:w="4791" w:type="dxa"/>
            <w:gridSpan w:val="6"/>
            <w:noWrap w:val="0"/>
            <w:vAlign w:val="top"/>
          </w:tcPr>
          <w:p w14:paraId="11E12329">
            <w:pPr>
              <w:jc w:val="both"/>
              <w:rPr>
                <w:rFonts w:hint="default" w:eastAsia="宋体"/>
                <w:lang w:val="en-US" w:eastAsia="zh-CN"/>
              </w:rPr>
            </w:pPr>
            <w:r>
              <w:rPr>
                <w:rFonts w:hint="eastAsia" w:eastAsia="宋体"/>
                <w:lang w:val="en-US" w:eastAsia="zh-CN"/>
              </w:rPr>
              <w:t xml:space="preserve"> </w:t>
            </w:r>
          </w:p>
        </w:tc>
        <w:tc>
          <w:tcPr>
            <w:tcW w:w="1095" w:type="dxa"/>
            <w:noWrap w:val="0"/>
            <w:vAlign w:val="top"/>
          </w:tcPr>
          <w:p w14:paraId="22DB02F3">
            <w:pPr>
              <w:jc w:val="center"/>
            </w:pPr>
            <w:r>
              <w:rPr>
                <w:rFonts w:hint="eastAsia"/>
              </w:rPr>
              <w:t>目的地</w:t>
            </w:r>
          </w:p>
        </w:tc>
        <w:tc>
          <w:tcPr>
            <w:tcW w:w="2712" w:type="dxa"/>
            <w:gridSpan w:val="2"/>
            <w:noWrap w:val="0"/>
            <w:vAlign w:val="top"/>
          </w:tcPr>
          <w:p w14:paraId="412C34DA">
            <w:pPr>
              <w:jc w:val="left"/>
              <w:rPr>
                <w:rFonts w:hint="default" w:eastAsia="宋体"/>
                <w:lang w:val="en-US" w:eastAsia="zh-CN"/>
              </w:rPr>
            </w:pPr>
            <w:r>
              <w:rPr>
                <w:rFonts w:hint="eastAsia" w:eastAsia="宋体"/>
                <w:lang w:val="en-US" w:eastAsia="zh-CN"/>
              </w:rPr>
              <w:t xml:space="preserve"> </w:t>
            </w:r>
          </w:p>
        </w:tc>
      </w:tr>
      <w:tr w14:paraId="0693A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2F87ADCF">
            <w:pPr>
              <w:ind w:firstLine="105" w:firstLineChars="50"/>
              <w:jc w:val="center"/>
            </w:pPr>
            <w:r>
              <w:rPr>
                <w:rFonts w:hint="eastAsia"/>
              </w:rPr>
              <w:t>出发航班</w:t>
            </w:r>
          </w:p>
        </w:tc>
        <w:tc>
          <w:tcPr>
            <w:tcW w:w="4791" w:type="dxa"/>
            <w:gridSpan w:val="6"/>
            <w:noWrap w:val="0"/>
            <w:vAlign w:val="top"/>
          </w:tcPr>
          <w:p w14:paraId="26F56338">
            <w:pPr>
              <w:ind w:firstLine="105" w:firstLineChars="50"/>
              <w:jc w:val="center"/>
              <w:rPr>
                <w:rFonts w:hint="default" w:eastAsia="宋体"/>
                <w:lang w:val="en-US" w:eastAsia="zh-CN"/>
              </w:rPr>
            </w:pPr>
          </w:p>
        </w:tc>
        <w:tc>
          <w:tcPr>
            <w:tcW w:w="1095" w:type="dxa"/>
            <w:noWrap w:val="0"/>
            <w:vAlign w:val="top"/>
          </w:tcPr>
          <w:p w14:paraId="46FDE105">
            <w:pPr>
              <w:jc w:val="center"/>
            </w:pPr>
            <w:r>
              <w:rPr>
                <w:rFonts w:hint="eastAsia"/>
              </w:rPr>
              <w:t>航班时间</w:t>
            </w:r>
          </w:p>
        </w:tc>
        <w:tc>
          <w:tcPr>
            <w:tcW w:w="2712" w:type="dxa"/>
            <w:gridSpan w:val="2"/>
            <w:noWrap w:val="0"/>
            <w:vAlign w:val="top"/>
          </w:tcPr>
          <w:p w14:paraId="3D110E3F">
            <w:pPr>
              <w:jc w:val="left"/>
              <w:rPr>
                <w:rFonts w:hint="default" w:eastAsia="宋体"/>
                <w:lang w:val="en-US" w:eastAsia="zh-CN"/>
              </w:rPr>
            </w:pPr>
            <w:r>
              <w:rPr>
                <w:rFonts w:hint="eastAsia" w:eastAsia="宋体"/>
                <w:lang w:val="en-US" w:eastAsia="zh-CN"/>
              </w:rPr>
              <w:t xml:space="preserve"> </w:t>
            </w:r>
          </w:p>
        </w:tc>
      </w:tr>
      <w:tr w14:paraId="0834F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4"/>
            <w:noWrap w:val="0"/>
            <w:vAlign w:val="center"/>
          </w:tcPr>
          <w:p w14:paraId="71FCB588">
            <w:pPr>
              <w:ind w:firstLine="105" w:firstLineChars="50"/>
              <w:jc w:val="center"/>
            </w:pPr>
            <w:r>
              <w:rPr>
                <w:rFonts w:hint="eastAsia"/>
              </w:rPr>
              <w:t>送团人</w:t>
            </w:r>
          </w:p>
        </w:tc>
        <w:tc>
          <w:tcPr>
            <w:tcW w:w="4791" w:type="dxa"/>
            <w:gridSpan w:val="6"/>
            <w:noWrap w:val="0"/>
            <w:vAlign w:val="top"/>
          </w:tcPr>
          <w:p w14:paraId="14B13394">
            <w:pPr>
              <w:ind w:firstLine="105" w:firstLineChars="50"/>
              <w:jc w:val="center"/>
              <w:rPr>
                <w:rFonts w:hint="default" w:eastAsia="宋体"/>
                <w:lang w:val="en-US" w:eastAsia="zh-CN"/>
              </w:rPr>
            </w:pPr>
          </w:p>
        </w:tc>
        <w:tc>
          <w:tcPr>
            <w:tcW w:w="1095" w:type="dxa"/>
            <w:noWrap w:val="0"/>
            <w:vAlign w:val="top"/>
          </w:tcPr>
          <w:p w14:paraId="5D9412BF">
            <w:pPr>
              <w:jc w:val="center"/>
            </w:pPr>
            <w:r>
              <w:rPr>
                <w:rFonts w:hint="eastAsia"/>
              </w:rPr>
              <w:t>手机</w:t>
            </w:r>
          </w:p>
        </w:tc>
        <w:tc>
          <w:tcPr>
            <w:tcW w:w="2712" w:type="dxa"/>
            <w:gridSpan w:val="2"/>
            <w:noWrap w:val="0"/>
            <w:vAlign w:val="top"/>
          </w:tcPr>
          <w:p w14:paraId="17F4347F">
            <w:pPr>
              <w:jc w:val="left"/>
              <w:rPr>
                <w:rFonts w:hint="default" w:eastAsia="宋体"/>
                <w:lang w:val="en-US" w:eastAsia="zh-CN"/>
              </w:rPr>
            </w:pPr>
          </w:p>
        </w:tc>
      </w:tr>
      <w:tr w14:paraId="6C4E38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77F4BEA0">
            <w:pPr>
              <w:jc w:val="center"/>
            </w:pPr>
            <w:r>
              <w:rPr>
                <w:rFonts w:hint="eastAsia"/>
              </w:rPr>
              <w:t>日期</w:t>
            </w:r>
          </w:p>
        </w:tc>
        <w:tc>
          <w:tcPr>
            <w:tcW w:w="857" w:type="dxa"/>
            <w:gridSpan w:val="3"/>
            <w:noWrap w:val="0"/>
            <w:vAlign w:val="top"/>
          </w:tcPr>
          <w:p w14:paraId="54FD5B6B">
            <w:pPr>
              <w:jc w:val="center"/>
            </w:pPr>
            <w:r>
              <w:rPr>
                <w:rFonts w:hint="eastAsia"/>
              </w:rPr>
              <w:t>交通</w:t>
            </w:r>
          </w:p>
        </w:tc>
        <w:tc>
          <w:tcPr>
            <w:tcW w:w="5687" w:type="dxa"/>
            <w:gridSpan w:val="6"/>
            <w:noWrap w:val="0"/>
            <w:vAlign w:val="top"/>
          </w:tcPr>
          <w:p w14:paraId="5CECCBFF">
            <w:pPr>
              <w:jc w:val="center"/>
            </w:pPr>
            <w:r>
              <w:rPr>
                <w:rFonts w:hint="eastAsia"/>
              </w:rPr>
              <w:t>行程内容</w:t>
            </w:r>
          </w:p>
        </w:tc>
        <w:tc>
          <w:tcPr>
            <w:tcW w:w="1515" w:type="dxa"/>
            <w:noWrap w:val="0"/>
            <w:vAlign w:val="top"/>
          </w:tcPr>
          <w:p w14:paraId="3CA596FD">
            <w:pPr>
              <w:jc w:val="center"/>
            </w:pPr>
            <w:r>
              <w:rPr>
                <w:rFonts w:hint="eastAsia"/>
              </w:rPr>
              <w:t>酒店</w:t>
            </w:r>
          </w:p>
        </w:tc>
        <w:tc>
          <w:tcPr>
            <w:tcW w:w="1197" w:type="dxa"/>
            <w:noWrap w:val="0"/>
            <w:vAlign w:val="top"/>
          </w:tcPr>
          <w:p w14:paraId="3415B729">
            <w:pPr>
              <w:jc w:val="center"/>
            </w:pPr>
            <w:r>
              <w:rPr>
                <w:rFonts w:hint="eastAsia"/>
              </w:rPr>
              <w:t>用餐</w:t>
            </w:r>
          </w:p>
        </w:tc>
      </w:tr>
      <w:tr w14:paraId="5832F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43" w:type="dxa"/>
            <w:gridSpan w:val="2"/>
            <w:noWrap w:val="0"/>
            <w:vAlign w:val="top"/>
          </w:tcPr>
          <w:p w14:paraId="14201219">
            <w:pPr>
              <w:jc w:val="left"/>
              <w:rPr>
                <w:rFonts w:hint="default" w:eastAsia="宋体"/>
                <w:lang w:val="en-US" w:eastAsia="zh-CN"/>
              </w:rPr>
            </w:pPr>
          </w:p>
        </w:tc>
        <w:tc>
          <w:tcPr>
            <w:tcW w:w="857" w:type="dxa"/>
            <w:gridSpan w:val="3"/>
            <w:noWrap w:val="0"/>
            <w:vAlign w:val="top"/>
          </w:tcPr>
          <w:p w14:paraId="7DAE0B23">
            <w:pPr>
              <w:jc w:val="left"/>
              <w:rPr>
                <w:rFonts w:hint="default" w:eastAsia="宋体"/>
                <w:lang w:val="en-US" w:eastAsia="zh-CN"/>
              </w:rPr>
            </w:pPr>
          </w:p>
        </w:tc>
        <w:tc>
          <w:tcPr>
            <w:tcW w:w="5687" w:type="dxa"/>
            <w:gridSpan w:val="6"/>
            <w:noWrap w:val="0"/>
            <w:vAlign w:val="top"/>
          </w:tcPr>
          <w:p w14:paraId="7157300B">
            <w:pPr>
              <w:jc w:val="left"/>
              <w:rPr>
                <w:rFonts w:hint="default" w:eastAsia="宋体"/>
                <w:lang w:val="en-US" w:eastAsia="zh-CN"/>
              </w:rPr>
            </w:pPr>
          </w:p>
        </w:tc>
        <w:tc>
          <w:tcPr>
            <w:tcW w:w="1515" w:type="dxa"/>
            <w:noWrap w:val="0"/>
            <w:vAlign w:val="top"/>
          </w:tcPr>
          <w:p w14:paraId="780E618F">
            <w:pPr>
              <w:ind w:firstLine="630" w:firstLineChars="300"/>
              <w:jc w:val="left"/>
              <w:rPr>
                <w:rFonts w:hint="default" w:eastAsia="宋体"/>
                <w:lang w:val="en-US" w:eastAsia="zh-CN"/>
              </w:rPr>
            </w:pPr>
          </w:p>
        </w:tc>
        <w:tc>
          <w:tcPr>
            <w:tcW w:w="1197" w:type="dxa"/>
            <w:noWrap w:val="0"/>
            <w:vAlign w:val="top"/>
          </w:tcPr>
          <w:p w14:paraId="1F3E64FA">
            <w:pPr>
              <w:jc w:val="center"/>
              <w:rPr>
                <w:rFonts w:hint="default" w:eastAsia="宋体"/>
                <w:lang w:val="en-US" w:eastAsia="zh-CN"/>
              </w:rPr>
            </w:pPr>
          </w:p>
        </w:tc>
      </w:tr>
      <w:tr w14:paraId="4DF7B8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gridSpan w:val="2"/>
            <w:noWrap w:val="0"/>
            <w:vAlign w:val="top"/>
          </w:tcPr>
          <w:p w14:paraId="4CE46EF1">
            <w:pPr>
              <w:jc w:val="left"/>
              <w:rPr>
                <w:rFonts w:hint="default" w:eastAsia="宋体"/>
                <w:lang w:val="en-US" w:eastAsia="zh-CN"/>
              </w:rPr>
            </w:pPr>
          </w:p>
        </w:tc>
        <w:tc>
          <w:tcPr>
            <w:tcW w:w="857" w:type="dxa"/>
            <w:gridSpan w:val="3"/>
            <w:noWrap w:val="0"/>
            <w:vAlign w:val="top"/>
          </w:tcPr>
          <w:p w14:paraId="6B6F1B6D">
            <w:pPr>
              <w:jc w:val="left"/>
              <w:rPr>
                <w:rFonts w:hint="eastAsia" w:eastAsia="宋体"/>
                <w:lang w:eastAsia="zh-CN"/>
              </w:rPr>
            </w:pPr>
          </w:p>
        </w:tc>
        <w:tc>
          <w:tcPr>
            <w:tcW w:w="5687" w:type="dxa"/>
            <w:gridSpan w:val="6"/>
            <w:noWrap w:val="0"/>
            <w:vAlign w:val="top"/>
          </w:tcPr>
          <w:p w14:paraId="6795F42C">
            <w:pPr>
              <w:jc w:val="left"/>
              <w:rPr>
                <w:rFonts w:hint="eastAsia" w:eastAsia="宋体"/>
                <w:lang w:eastAsia="zh-CN"/>
              </w:rPr>
            </w:pPr>
          </w:p>
        </w:tc>
        <w:tc>
          <w:tcPr>
            <w:tcW w:w="1515" w:type="dxa"/>
            <w:noWrap w:val="0"/>
            <w:vAlign w:val="top"/>
          </w:tcPr>
          <w:p w14:paraId="0745B1A5">
            <w:pPr>
              <w:jc w:val="left"/>
              <w:rPr>
                <w:rFonts w:hint="eastAsia" w:eastAsia="宋体"/>
                <w:lang w:eastAsia="zh-CN"/>
              </w:rPr>
            </w:pPr>
          </w:p>
        </w:tc>
        <w:tc>
          <w:tcPr>
            <w:tcW w:w="1197" w:type="dxa"/>
            <w:noWrap w:val="0"/>
            <w:vAlign w:val="top"/>
          </w:tcPr>
          <w:p w14:paraId="640D7A49">
            <w:pPr>
              <w:jc w:val="center"/>
              <w:rPr>
                <w:rFonts w:hint="default" w:eastAsia="宋体"/>
                <w:lang w:val="en-US" w:eastAsia="zh-CN"/>
              </w:rPr>
            </w:pPr>
          </w:p>
        </w:tc>
      </w:tr>
      <w:tr w14:paraId="70380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5F07499F">
            <w:pPr>
              <w:jc w:val="left"/>
              <w:rPr>
                <w:rFonts w:hint="default" w:eastAsia="宋体"/>
                <w:lang w:val="en-US" w:eastAsia="zh-CN"/>
              </w:rPr>
            </w:pPr>
          </w:p>
        </w:tc>
        <w:tc>
          <w:tcPr>
            <w:tcW w:w="857" w:type="dxa"/>
            <w:gridSpan w:val="3"/>
            <w:noWrap w:val="0"/>
            <w:vAlign w:val="top"/>
          </w:tcPr>
          <w:p w14:paraId="637216D1">
            <w:pPr>
              <w:jc w:val="left"/>
              <w:rPr>
                <w:rFonts w:hint="eastAsia" w:eastAsia="宋体"/>
                <w:lang w:eastAsia="zh-CN"/>
              </w:rPr>
            </w:pPr>
          </w:p>
        </w:tc>
        <w:tc>
          <w:tcPr>
            <w:tcW w:w="5687" w:type="dxa"/>
            <w:gridSpan w:val="6"/>
            <w:noWrap w:val="0"/>
            <w:vAlign w:val="top"/>
          </w:tcPr>
          <w:p w14:paraId="7635317C">
            <w:pPr>
              <w:jc w:val="left"/>
              <w:rPr>
                <w:rFonts w:hint="eastAsia" w:eastAsia="宋体"/>
                <w:lang w:eastAsia="zh-CN"/>
              </w:rPr>
            </w:pPr>
          </w:p>
        </w:tc>
        <w:tc>
          <w:tcPr>
            <w:tcW w:w="1515" w:type="dxa"/>
            <w:noWrap w:val="0"/>
            <w:vAlign w:val="top"/>
          </w:tcPr>
          <w:p w14:paraId="05B46EC7">
            <w:pPr>
              <w:jc w:val="left"/>
              <w:rPr>
                <w:rFonts w:hint="eastAsia" w:eastAsia="宋体"/>
                <w:lang w:val="en-US" w:eastAsia="zh-CN"/>
              </w:rPr>
            </w:pPr>
          </w:p>
        </w:tc>
        <w:tc>
          <w:tcPr>
            <w:tcW w:w="1197" w:type="dxa"/>
            <w:noWrap w:val="0"/>
            <w:vAlign w:val="top"/>
          </w:tcPr>
          <w:p w14:paraId="78B7C5C0">
            <w:pPr>
              <w:jc w:val="center"/>
              <w:rPr>
                <w:rFonts w:hint="default" w:eastAsia="宋体"/>
                <w:lang w:val="en-US" w:eastAsia="zh-CN"/>
              </w:rPr>
            </w:pPr>
          </w:p>
        </w:tc>
      </w:tr>
      <w:tr w14:paraId="1F8CC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B54D6FC"/>
        </w:tc>
        <w:tc>
          <w:tcPr>
            <w:tcW w:w="857" w:type="dxa"/>
            <w:gridSpan w:val="3"/>
            <w:noWrap w:val="0"/>
            <w:vAlign w:val="top"/>
          </w:tcPr>
          <w:p w14:paraId="19C98C9B"/>
        </w:tc>
        <w:tc>
          <w:tcPr>
            <w:tcW w:w="5687" w:type="dxa"/>
            <w:gridSpan w:val="6"/>
            <w:noWrap w:val="0"/>
            <w:vAlign w:val="top"/>
          </w:tcPr>
          <w:p w14:paraId="060325DA"/>
        </w:tc>
        <w:tc>
          <w:tcPr>
            <w:tcW w:w="1515" w:type="dxa"/>
            <w:noWrap w:val="0"/>
            <w:vAlign w:val="top"/>
          </w:tcPr>
          <w:p w14:paraId="302700CD"/>
        </w:tc>
        <w:tc>
          <w:tcPr>
            <w:tcW w:w="1197" w:type="dxa"/>
            <w:noWrap w:val="0"/>
            <w:vAlign w:val="top"/>
          </w:tcPr>
          <w:p w14:paraId="6C76B770"/>
        </w:tc>
      </w:tr>
      <w:tr w14:paraId="09F9A5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4F8479B5"/>
        </w:tc>
        <w:tc>
          <w:tcPr>
            <w:tcW w:w="857" w:type="dxa"/>
            <w:gridSpan w:val="3"/>
            <w:noWrap w:val="0"/>
            <w:vAlign w:val="top"/>
          </w:tcPr>
          <w:p w14:paraId="23DD0487"/>
        </w:tc>
        <w:tc>
          <w:tcPr>
            <w:tcW w:w="5687" w:type="dxa"/>
            <w:gridSpan w:val="6"/>
            <w:noWrap w:val="0"/>
            <w:vAlign w:val="top"/>
          </w:tcPr>
          <w:p w14:paraId="7C8E1013"/>
        </w:tc>
        <w:tc>
          <w:tcPr>
            <w:tcW w:w="1515" w:type="dxa"/>
            <w:noWrap w:val="0"/>
            <w:vAlign w:val="top"/>
          </w:tcPr>
          <w:p w14:paraId="2C5E2435"/>
        </w:tc>
        <w:tc>
          <w:tcPr>
            <w:tcW w:w="1197" w:type="dxa"/>
            <w:noWrap w:val="0"/>
            <w:vAlign w:val="top"/>
          </w:tcPr>
          <w:p w14:paraId="55486E34"/>
        </w:tc>
      </w:tr>
      <w:tr w14:paraId="62CDF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43" w:type="dxa"/>
            <w:gridSpan w:val="2"/>
            <w:noWrap w:val="0"/>
            <w:vAlign w:val="top"/>
          </w:tcPr>
          <w:p w14:paraId="20DAF659"/>
        </w:tc>
        <w:tc>
          <w:tcPr>
            <w:tcW w:w="857" w:type="dxa"/>
            <w:gridSpan w:val="3"/>
            <w:noWrap w:val="0"/>
            <w:vAlign w:val="top"/>
          </w:tcPr>
          <w:p w14:paraId="53BCB041"/>
        </w:tc>
        <w:tc>
          <w:tcPr>
            <w:tcW w:w="5687" w:type="dxa"/>
            <w:gridSpan w:val="6"/>
            <w:noWrap w:val="0"/>
            <w:vAlign w:val="top"/>
          </w:tcPr>
          <w:p w14:paraId="78CB8B8C"/>
        </w:tc>
        <w:tc>
          <w:tcPr>
            <w:tcW w:w="1515" w:type="dxa"/>
            <w:noWrap w:val="0"/>
            <w:vAlign w:val="top"/>
          </w:tcPr>
          <w:p w14:paraId="56A2A0E9"/>
        </w:tc>
        <w:tc>
          <w:tcPr>
            <w:tcW w:w="1197" w:type="dxa"/>
            <w:noWrap w:val="0"/>
            <w:vAlign w:val="top"/>
          </w:tcPr>
          <w:p w14:paraId="68CDC037"/>
        </w:tc>
      </w:tr>
      <w:tr w14:paraId="74819C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9" w:type="dxa"/>
            <w:gridSpan w:val="13"/>
            <w:noWrap w:val="0"/>
            <w:vAlign w:val="top"/>
          </w:tcPr>
          <w:p w14:paraId="71E367D4">
            <w:pPr>
              <w:jc w:val="center"/>
            </w:pPr>
            <w:r>
              <w:rPr>
                <w:rFonts w:hint="eastAsia"/>
              </w:rPr>
              <w:t>以上行程遇有特殊情况，我公司在不减少景点前提下，征得旅游者同意后可根据实际情况调整行程先后顺序</w:t>
            </w:r>
          </w:p>
        </w:tc>
      </w:tr>
      <w:tr w14:paraId="7555F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FA3920A">
            <w:pPr>
              <w:jc w:val="left"/>
            </w:pPr>
            <w:r>
              <w:rPr>
                <w:rFonts w:hint="eastAsia"/>
              </w:rPr>
              <w:t>费用说明</w:t>
            </w:r>
          </w:p>
        </w:tc>
        <w:tc>
          <w:tcPr>
            <w:tcW w:w="9999" w:type="dxa"/>
            <w:gridSpan w:val="12"/>
            <w:noWrap w:val="0"/>
            <w:vAlign w:val="top"/>
          </w:tcPr>
          <w:p w14:paraId="511BB736">
            <w:pPr>
              <w:jc w:val="center"/>
            </w:pPr>
            <w:r>
              <w:rPr>
                <w:rFonts w:hint="eastAsia"/>
              </w:rPr>
              <w:t>【包含项目】</w:t>
            </w:r>
          </w:p>
        </w:tc>
      </w:tr>
      <w:tr w14:paraId="31BF7B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FD4715C">
            <w:pPr>
              <w:jc w:val="left"/>
            </w:pPr>
          </w:p>
        </w:tc>
        <w:tc>
          <w:tcPr>
            <w:tcW w:w="9999" w:type="dxa"/>
            <w:gridSpan w:val="12"/>
            <w:noWrap w:val="0"/>
            <w:vAlign w:val="top"/>
          </w:tcPr>
          <w:p w14:paraId="75263C10">
            <w:pPr>
              <w:tabs>
                <w:tab w:val="left" w:pos="1176"/>
              </w:tabs>
              <w:jc w:val="left"/>
              <w:rPr>
                <w:b/>
                <w:sz w:val="24"/>
              </w:rPr>
            </w:pPr>
          </w:p>
        </w:tc>
      </w:tr>
      <w:tr w14:paraId="59D9F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2AA3AB7E">
            <w:pPr>
              <w:jc w:val="left"/>
            </w:pPr>
          </w:p>
        </w:tc>
        <w:tc>
          <w:tcPr>
            <w:tcW w:w="9999" w:type="dxa"/>
            <w:gridSpan w:val="12"/>
            <w:noWrap w:val="0"/>
            <w:vAlign w:val="top"/>
          </w:tcPr>
          <w:p w14:paraId="3D841D3A">
            <w:pPr>
              <w:jc w:val="center"/>
            </w:pPr>
            <w:r>
              <w:rPr>
                <w:rFonts w:hint="eastAsia"/>
              </w:rPr>
              <w:t>【不含项目】</w:t>
            </w:r>
          </w:p>
        </w:tc>
      </w:tr>
      <w:tr w14:paraId="73A0F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218A64E">
            <w:pPr>
              <w:jc w:val="left"/>
            </w:pPr>
          </w:p>
        </w:tc>
        <w:tc>
          <w:tcPr>
            <w:tcW w:w="9999" w:type="dxa"/>
            <w:gridSpan w:val="12"/>
            <w:noWrap w:val="0"/>
            <w:vAlign w:val="top"/>
          </w:tcPr>
          <w:p w14:paraId="157C55D4">
            <w:pPr>
              <w:jc w:val="left"/>
              <w:rPr>
                <w:rFonts w:hint="eastAsia" w:eastAsia="宋体"/>
                <w:lang w:eastAsia="zh-CN"/>
              </w:rPr>
            </w:pPr>
          </w:p>
        </w:tc>
      </w:tr>
      <w:tr w14:paraId="15D65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400" w:type="dxa"/>
            <w:noWrap w:val="0"/>
            <w:vAlign w:val="center"/>
          </w:tcPr>
          <w:p w14:paraId="0684BCAB">
            <w:pPr>
              <w:jc w:val="center"/>
            </w:pPr>
            <w:r>
              <w:rPr>
                <w:rFonts w:hint="eastAsia"/>
              </w:rPr>
              <w:t>行程须知</w:t>
            </w:r>
          </w:p>
        </w:tc>
        <w:tc>
          <w:tcPr>
            <w:tcW w:w="9999" w:type="dxa"/>
            <w:gridSpan w:val="12"/>
            <w:noWrap w:val="0"/>
            <w:vAlign w:val="top"/>
          </w:tcPr>
          <w:p w14:paraId="7AC48015">
            <w:pPr>
              <w:jc w:val="left"/>
              <w:rPr>
                <w:rFonts w:hint="default" w:eastAsia="宋体"/>
                <w:lang w:val="en-US" w:eastAsia="zh-CN"/>
              </w:rPr>
            </w:pPr>
          </w:p>
        </w:tc>
      </w:tr>
      <w:tr w14:paraId="0C5BAD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400" w:type="dxa"/>
            <w:noWrap w:val="0"/>
            <w:vAlign w:val="top"/>
          </w:tcPr>
          <w:p w14:paraId="482AF9F5">
            <w:pPr>
              <w:jc w:val="left"/>
            </w:pPr>
          </w:p>
          <w:p w14:paraId="425BE5E9">
            <w:pPr>
              <w:jc w:val="left"/>
            </w:pPr>
            <w:r>
              <w:rPr>
                <w:rFonts w:hint="eastAsia"/>
              </w:rPr>
              <w:t>温馨提示</w:t>
            </w:r>
          </w:p>
        </w:tc>
        <w:tc>
          <w:tcPr>
            <w:tcW w:w="9999" w:type="dxa"/>
            <w:gridSpan w:val="12"/>
            <w:noWrap w:val="0"/>
            <w:vAlign w:val="top"/>
          </w:tcPr>
          <w:p w14:paraId="11692477">
            <w:pPr>
              <w:widowControl/>
              <w:jc w:val="left"/>
              <w:rPr>
                <w:b/>
                <w:bCs/>
                <w:kern w:val="0"/>
                <w:szCs w:val="21"/>
              </w:rPr>
            </w:pPr>
          </w:p>
          <w:p w14:paraId="45C047ED">
            <w:pPr>
              <w:widowControl/>
              <w:jc w:val="left"/>
            </w:pPr>
            <w:r>
              <w:rPr>
                <w:b/>
                <w:bCs/>
                <w:kern w:val="0"/>
                <w:szCs w:val="21"/>
              </w:rPr>
              <w:t>1</w:t>
            </w:r>
            <w:r>
              <w:rPr>
                <w:rFonts w:hint="eastAsia" w:ascii="宋体" w:hAnsi="宋体" w:cs="宋体"/>
                <w:b/>
                <w:bCs/>
                <w:kern w:val="0"/>
                <w:szCs w:val="21"/>
              </w:rPr>
              <w:t>．建议旅游者购买人身意外伤害保险</w:t>
            </w:r>
            <w:r>
              <w:rPr>
                <w:rFonts w:hint="eastAsia" w:ascii="宋体" w:hAnsi="宋体" w:cs="宋体"/>
                <w:b/>
                <w:bCs/>
                <w:kern w:val="0"/>
                <w:szCs w:val="21"/>
                <w:lang w:val="en-US" w:eastAsia="zh-CN"/>
              </w:rPr>
              <w:t xml:space="preserve"> </w:t>
            </w:r>
            <w:r>
              <w:rPr>
                <w:rFonts w:hint="eastAsia" w:ascii="宋体" w:hAnsi="宋体" w:cs="宋体"/>
                <w:b/>
                <w:bCs/>
                <w:kern w:val="0"/>
                <w:szCs w:val="21"/>
              </w:rPr>
              <w:t>。</w:t>
            </w:r>
            <w:r>
              <w:rPr>
                <w:rFonts w:ascii="宋体" w:hAnsi="宋体" w:cs="宋体"/>
                <w:b/>
                <w:bCs/>
                <w:kern w:val="0"/>
                <w:szCs w:val="21"/>
              </w:rPr>
              <w:t xml:space="preserve"> </w:t>
            </w:r>
          </w:p>
          <w:p w14:paraId="732FBB22">
            <w:pPr>
              <w:widowControl/>
              <w:jc w:val="left"/>
              <w:rPr>
                <w:rFonts w:ascii="宋体" w:hAnsi="宋体" w:cs="宋体"/>
                <w:b/>
                <w:bCs/>
                <w:kern w:val="0"/>
                <w:szCs w:val="21"/>
              </w:rPr>
            </w:pPr>
            <w:r>
              <w:rPr>
                <w:b/>
                <w:bCs/>
                <w:kern w:val="0"/>
                <w:szCs w:val="21"/>
              </w:rPr>
              <w:t>2</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3B77638E">
            <w:pPr>
              <w:widowControl/>
              <w:jc w:val="left"/>
              <w:rPr>
                <w:rFonts w:ascii="宋体" w:hAnsi="宋体" w:cs="宋体"/>
                <w:b/>
                <w:bCs/>
                <w:kern w:val="0"/>
                <w:szCs w:val="21"/>
              </w:rPr>
            </w:pPr>
            <w:r>
              <w:rPr>
                <w:b/>
                <w:bCs/>
                <w:kern w:val="0"/>
                <w:szCs w:val="21"/>
              </w:rPr>
              <w:t>3</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27588C6B">
            <w:pPr>
              <w:widowControl/>
              <w:jc w:val="left"/>
              <w:rPr>
                <w:rFonts w:ascii="宋体" w:hAnsi="宋体" w:cs="宋体"/>
                <w:b/>
                <w:bCs/>
                <w:kern w:val="0"/>
                <w:szCs w:val="21"/>
              </w:rPr>
            </w:pPr>
            <w:r>
              <w:rPr>
                <w:b/>
                <w:bCs/>
                <w:kern w:val="0"/>
                <w:szCs w:val="21"/>
              </w:rPr>
              <w:t>4</w:t>
            </w:r>
            <w:r>
              <w:rPr>
                <w:rFonts w:hint="eastAsia" w:ascii="宋体" w:hAnsi="宋体" w:cs="宋体"/>
                <w:b/>
                <w:bCs/>
                <w:kern w:val="0"/>
                <w:szCs w:val="21"/>
              </w:rPr>
              <w:t>．</w:t>
            </w:r>
            <w:r>
              <w:rPr>
                <w:rFonts w:hint="eastAsia" w:ascii="宋体" w:hAnsi="宋体" w:cs="宋体"/>
                <w:b/>
                <w:bCs/>
                <w:kern w:val="0"/>
                <w:szCs w:val="21"/>
                <w:u w:val="single"/>
              </w:rPr>
              <w:t xml:space="preserve"> </w:t>
            </w:r>
            <w:r>
              <w:rPr>
                <w:rFonts w:ascii="宋体" w:hAnsi="宋体" w:cs="宋体"/>
                <w:b/>
                <w:bCs/>
                <w:kern w:val="0"/>
                <w:szCs w:val="21"/>
                <w:u w:val="single"/>
              </w:rPr>
              <w:t xml:space="preserve">                              </w:t>
            </w:r>
            <w:r>
              <w:rPr>
                <w:rFonts w:hint="eastAsia" w:ascii="宋体" w:hAnsi="宋体" w:cs="宋体"/>
                <w:b/>
                <w:bCs/>
                <w:kern w:val="0"/>
                <w:szCs w:val="21"/>
              </w:rPr>
              <w:t>。</w:t>
            </w:r>
          </w:p>
          <w:p w14:paraId="1A6E1017">
            <w:pPr>
              <w:widowControl/>
              <w:jc w:val="left"/>
              <w:rPr>
                <w:rFonts w:hint="eastAsia"/>
              </w:rPr>
            </w:pPr>
          </w:p>
        </w:tc>
      </w:tr>
      <w:tr w14:paraId="51168C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restart"/>
            <w:noWrap w:val="0"/>
            <w:vAlign w:val="top"/>
          </w:tcPr>
          <w:p w14:paraId="3E024925">
            <w:pPr>
              <w:jc w:val="left"/>
            </w:pPr>
          </w:p>
          <w:p w14:paraId="2EEF46D3">
            <w:pPr>
              <w:jc w:val="left"/>
            </w:pPr>
            <w:r>
              <w:rPr>
                <w:rFonts w:hint="eastAsia"/>
              </w:rPr>
              <w:t>联系方式</w:t>
            </w:r>
          </w:p>
        </w:tc>
        <w:tc>
          <w:tcPr>
            <w:tcW w:w="1200" w:type="dxa"/>
            <w:gridSpan w:val="2"/>
            <w:noWrap w:val="0"/>
            <w:vAlign w:val="top"/>
          </w:tcPr>
          <w:p w14:paraId="18E69DAA">
            <w:pPr>
              <w:ind w:firstLine="210" w:firstLineChars="100"/>
              <w:jc w:val="center"/>
            </w:pPr>
            <w:r>
              <w:rPr>
                <w:rFonts w:hint="eastAsia"/>
              </w:rPr>
              <w:t>组团社</w:t>
            </w:r>
          </w:p>
        </w:tc>
        <w:tc>
          <w:tcPr>
            <w:tcW w:w="1182" w:type="dxa"/>
            <w:gridSpan w:val="3"/>
            <w:noWrap w:val="0"/>
            <w:vAlign w:val="top"/>
          </w:tcPr>
          <w:p w14:paraId="29037590">
            <w:pPr>
              <w:jc w:val="center"/>
            </w:pPr>
            <w:r>
              <w:rPr>
                <w:rFonts w:hint="eastAsia"/>
              </w:rPr>
              <w:t>联系人</w:t>
            </w:r>
          </w:p>
        </w:tc>
        <w:tc>
          <w:tcPr>
            <w:tcW w:w="3006" w:type="dxa"/>
            <w:gridSpan w:val="3"/>
            <w:noWrap w:val="0"/>
            <w:vAlign w:val="top"/>
          </w:tcPr>
          <w:p w14:paraId="14AE834D">
            <w:pPr>
              <w:ind w:firstLine="210" w:firstLineChars="100"/>
              <w:jc w:val="center"/>
              <w:rPr>
                <w:rFonts w:hint="eastAsia" w:eastAsia="宋体"/>
                <w:lang w:eastAsia="zh-CN"/>
              </w:rPr>
            </w:pPr>
          </w:p>
        </w:tc>
        <w:tc>
          <w:tcPr>
            <w:tcW w:w="1899" w:type="dxa"/>
            <w:gridSpan w:val="2"/>
            <w:noWrap w:val="0"/>
            <w:vAlign w:val="top"/>
          </w:tcPr>
          <w:p w14:paraId="0B205127">
            <w:pPr>
              <w:jc w:val="center"/>
            </w:pPr>
            <w:r>
              <w:rPr>
                <w:rFonts w:hint="eastAsia"/>
              </w:rPr>
              <w:t>联系电话</w:t>
            </w:r>
          </w:p>
        </w:tc>
        <w:tc>
          <w:tcPr>
            <w:tcW w:w="2712" w:type="dxa"/>
            <w:gridSpan w:val="2"/>
            <w:noWrap w:val="0"/>
            <w:vAlign w:val="top"/>
          </w:tcPr>
          <w:p w14:paraId="1A90D3D4">
            <w:pPr>
              <w:jc w:val="center"/>
              <w:rPr>
                <w:rFonts w:hint="default" w:eastAsia="宋体"/>
                <w:lang w:val="en-US" w:eastAsia="zh-CN"/>
              </w:rPr>
            </w:pPr>
          </w:p>
        </w:tc>
      </w:tr>
      <w:tr w14:paraId="7632B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E0A7D15">
            <w:pPr>
              <w:jc w:val="left"/>
            </w:pPr>
          </w:p>
        </w:tc>
        <w:tc>
          <w:tcPr>
            <w:tcW w:w="1200" w:type="dxa"/>
            <w:gridSpan w:val="2"/>
            <w:vMerge w:val="restart"/>
            <w:noWrap w:val="0"/>
            <w:vAlign w:val="center"/>
          </w:tcPr>
          <w:p w14:paraId="59F9FC55">
            <w:pPr>
              <w:jc w:val="center"/>
              <w:rPr>
                <w:sz w:val="18"/>
                <w:szCs w:val="18"/>
              </w:rPr>
            </w:pPr>
            <w:r>
              <w:rPr>
                <w:rFonts w:hint="eastAsia"/>
                <w:szCs w:val="21"/>
              </w:rPr>
              <w:t>地接社1</w:t>
            </w:r>
          </w:p>
        </w:tc>
        <w:tc>
          <w:tcPr>
            <w:tcW w:w="1182" w:type="dxa"/>
            <w:gridSpan w:val="3"/>
            <w:noWrap w:val="0"/>
            <w:vAlign w:val="top"/>
          </w:tcPr>
          <w:p w14:paraId="14D42992">
            <w:pPr>
              <w:jc w:val="center"/>
            </w:pPr>
            <w:r>
              <w:rPr>
                <w:rFonts w:hint="eastAsia"/>
              </w:rPr>
              <w:t xml:space="preserve">名 </w:t>
            </w:r>
            <w:r>
              <w:t xml:space="preserve"> </w:t>
            </w:r>
            <w:r>
              <w:rPr>
                <w:rFonts w:hint="eastAsia"/>
              </w:rPr>
              <w:t>称</w:t>
            </w:r>
          </w:p>
        </w:tc>
        <w:tc>
          <w:tcPr>
            <w:tcW w:w="3006" w:type="dxa"/>
            <w:gridSpan w:val="3"/>
            <w:noWrap w:val="0"/>
            <w:vAlign w:val="top"/>
          </w:tcPr>
          <w:p w14:paraId="07CA35DE">
            <w:pPr>
              <w:ind w:left="210" w:leftChars="100"/>
              <w:jc w:val="center"/>
              <w:rPr>
                <w:rFonts w:hint="eastAsia" w:eastAsia="宋体"/>
                <w:lang w:val="en-US" w:eastAsia="zh-CN"/>
              </w:rPr>
            </w:pPr>
          </w:p>
        </w:tc>
        <w:tc>
          <w:tcPr>
            <w:tcW w:w="1899" w:type="dxa"/>
            <w:gridSpan w:val="2"/>
            <w:noWrap w:val="0"/>
            <w:vAlign w:val="top"/>
          </w:tcPr>
          <w:p w14:paraId="0BB35D86">
            <w:pPr>
              <w:jc w:val="center"/>
            </w:pPr>
            <w:r>
              <w:rPr>
                <w:rFonts w:hint="eastAsia"/>
              </w:rPr>
              <w:t xml:space="preserve">地 </w:t>
            </w:r>
            <w:r>
              <w:t xml:space="preserve"> </w:t>
            </w:r>
            <w:r>
              <w:rPr>
                <w:rFonts w:hint="eastAsia"/>
              </w:rPr>
              <w:t>址</w:t>
            </w:r>
          </w:p>
        </w:tc>
        <w:tc>
          <w:tcPr>
            <w:tcW w:w="2712" w:type="dxa"/>
            <w:gridSpan w:val="2"/>
            <w:noWrap w:val="0"/>
            <w:vAlign w:val="top"/>
          </w:tcPr>
          <w:p w14:paraId="0AE9F8E2">
            <w:pPr>
              <w:jc w:val="center"/>
              <w:rPr>
                <w:rFonts w:hint="eastAsia" w:eastAsia="宋体"/>
                <w:lang w:val="en-US" w:eastAsia="zh-CN"/>
              </w:rPr>
            </w:pPr>
          </w:p>
        </w:tc>
      </w:tr>
      <w:tr w14:paraId="587448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6007FC05">
            <w:pPr>
              <w:jc w:val="left"/>
            </w:pPr>
          </w:p>
        </w:tc>
        <w:tc>
          <w:tcPr>
            <w:tcW w:w="1200" w:type="dxa"/>
            <w:gridSpan w:val="2"/>
            <w:vMerge w:val="continue"/>
            <w:noWrap w:val="0"/>
            <w:vAlign w:val="center"/>
          </w:tcPr>
          <w:p w14:paraId="3145EC90">
            <w:pPr>
              <w:jc w:val="center"/>
              <w:rPr>
                <w:sz w:val="18"/>
                <w:szCs w:val="18"/>
              </w:rPr>
            </w:pPr>
          </w:p>
        </w:tc>
        <w:tc>
          <w:tcPr>
            <w:tcW w:w="1182" w:type="dxa"/>
            <w:gridSpan w:val="3"/>
            <w:noWrap w:val="0"/>
            <w:vAlign w:val="top"/>
          </w:tcPr>
          <w:p w14:paraId="609AF2DF">
            <w:pPr>
              <w:jc w:val="center"/>
            </w:pPr>
            <w:r>
              <w:rPr>
                <w:rFonts w:hint="eastAsia"/>
              </w:rPr>
              <w:t>联系人</w:t>
            </w:r>
          </w:p>
        </w:tc>
        <w:tc>
          <w:tcPr>
            <w:tcW w:w="3006" w:type="dxa"/>
            <w:gridSpan w:val="3"/>
            <w:noWrap w:val="0"/>
            <w:vAlign w:val="top"/>
          </w:tcPr>
          <w:p w14:paraId="1AF67792">
            <w:pPr>
              <w:jc w:val="center"/>
              <w:rPr>
                <w:rFonts w:hint="eastAsia" w:eastAsia="宋体"/>
                <w:lang w:val="en-US" w:eastAsia="zh-CN"/>
              </w:rPr>
            </w:pPr>
          </w:p>
        </w:tc>
        <w:tc>
          <w:tcPr>
            <w:tcW w:w="1899" w:type="dxa"/>
            <w:gridSpan w:val="2"/>
            <w:noWrap w:val="0"/>
            <w:vAlign w:val="top"/>
          </w:tcPr>
          <w:p w14:paraId="2BE90F8F">
            <w:pPr>
              <w:jc w:val="center"/>
            </w:pPr>
            <w:r>
              <w:rPr>
                <w:rFonts w:hint="eastAsia"/>
              </w:rPr>
              <w:t>联系电话</w:t>
            </w:r>
          </w:p>
        </w:tc>
        <w:tc>
          <w:tcPr>
            <w:tcW w:w="2712" w:type="dxa"/>
            <w:gridSpan w:val="2"/>
            <w:noWrap w:val="0"/>
            <w:vAlign w:val="top"/>
          </w:tcPr>
          <w:p w14:paraId="1335F2EF">
            <w:pPr>
              <w:jc w:val="center"/>
              <w:rPr>
                <w:rFonts w:hint="eastAsia" w:eastAsia="宋体"/>
                <w:lang w:val="en-US" w:eastAsia="zh-CN"/>
              </w:rPr>
            </w:pPr>
          </w:p>
        </w:tc>
      </w:tr>
      <w:tr w14:paraId="5025A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8CA25E1">
            <w:pPr>
              <w:jc w:val="left"/>
            </w:pPr>
          </w:p>
        </w:tc>
        <w:tc>
          <w:tcPr>
            <w:tcW w:w="1200" w:type="dxa"/>
            <w:gridSpan w:val="2"/>
            <w:vMerge w:val="continue"/>
            <w:noWrap w:val="0"/>
            <w:vAlign w:val="center"/>
          </w:tcPr>
          <w:p w14:paraId="686C38D1">
            <w:pPr>
              <w:jc w:val="center"/>
            </w:pPr>
          </w:p>
        </w:tc>
        <w:tc>
          <w:tcPr>
            <w:tcW w:w="1182" w:type="dxa"/>
            <w:gridSpan w:val="3"/>
            <w:noWrap w:val="0"/>
            <w:vAlign w:val="top"/>
          </w:tcPr>
          <w:p w14:paraId="0F6C62F2">
            <w:pPr>
              <w:jc w:val="center"/>
            </w:pPr>
            <w:r>
              <w:rPr>
                <w:rFonts w:hint="eastAsia"/>
              </w:rPr>
              <w:t xml:space="preserve">导 </w:t>
            </w:r>
            <w:r>
              <w:t xml:space="preserve"> </w:t>
            </w:r>
            <w:r>
              <w:rPr>
                <w:rFonts w:hint="eastAsia"/>
              </w:rPr>
              <w:t>游</w:t>
            </w:r>
          </w:p>
        </w:tc>
        <w:tc>
          <w:tcPr>
            <w:tcW w:w="3006" w:type="dxa"/>
            <w:gridSpan w:val="3"/>
            <w:noWrap w:val="0"/>
            <w:vAlign w:val="top"/>
          </w:tcPr>
          <w:p w14:paraId="511AFDB6">
            <w:pPr>
              <w:jc w:val="center"/>
              <w:rPr>
                <w:rFonts w:hint="eastAsia" w:eastAsia="宋体"/>
                <w:lang w:val="en-US" w:eastAsia="zh-CN"/>
              </w:rPr>
            </w:pPr>
          </w:p>
        </w:tc>
        <w:tc>
          <w:tcPr>
            <w:tcW w:w="1899" w:type="dxa"/>
            <w:gridSpan w:val="2"/>
            <w:noWrap w:val="0"/>
            <w:vAlign w:val="top"/>
          </w:tcPr>
          <w:p w14:paraId="6D0B95AB">
            <w:pPr>
              <w:jc w:val="center"/>
            </w:pPr>
            <w:r>
              <w:rPr>
                <w:rFonts w:hint="eastAsia"/>
              </w:rPr>
              <w:t>联系电话</w:t>
            </w:r>
          </w:p>
        </w:tc>
        <w:tc>
          <w:tcPr>
            <w:tcW w:w="2712" w:type="dxa"/>
            <w:gridSpan w:val="2"/>
            <w:noWrap w:val="0"/>
            <w:vAlign w:val="top"/>
          </w:tcPr>
          <w:p w14:paraId="304E12F5">
            <w:pPr>
              <w:jc w:val="center"/>
              <w:rPr>
                <w:rFonts w:hint="eastAsia" w:eastAsia="宋体"/>
                <w:lang w:val="en-US" w:eastAsia="zh-CN"/>
              </w:rPr>
            </w:pPr>
          </w:p>
        </w:tc>
      </w:tr>
      <w:tr w14:paraId="565FD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59CAA04C">
            <w:pPr>
              <w:jc w:val="left"/>
            </w:pPr>
          </w:p>
        </w:tc>
        <w:tc>
          <w:tcPr>
            <w:tcW w:w="1200" w:type="dxa"/>
            <w:gridSpan w:val="2"/>
            <w:vMerge w:val="restart"/>
            <w:noWrap w:val="0"/>
            <w:vAlign w:val="center"/>
          </w:tcPr>
          <w:p w14:paraId="18179B4F">
            <w:pPr>
              <w:jc w:val="center"/>
            </w:pPr>
            <w:r>
              <w:rPr>
                <w:rFonts w:hint="eastAsia"/>
                <w:szCs w:val="21"/>
              </w:rPr>
              <w:t>地接社</w:t>
            </w:r>
            <w:r>
              <w:rPr>
                <w:szCs w:val="21"/>
              </w:rPr>
              <w:t>2</w:t>
            </w:r>
          </w:p>
        </w:tc>
        <w:tc>
          <w:tcPr>
            <w:tcW w:w="1182" w:type="dxa"/>
            <w:gridSpan w:val="3"/>
            <w:noWrap w:val="0"/>
            <w:vAlign w:val="top"/>
          </w:tcPr>
          <w:p w14:paraId="6EC4D0D1">
            <w:pPr>
              <w:jc w:val="center"/>
            </w:pPr>
            <w:r>
              <w:rPr>
                <w:rFonts w:hint="eastAsia"/>
              </w:rPr>
              <w:t xml:space="preserve">名 </w:t>
            </w:r>
            <w:r>
              <w:t xml:space="preserve"> </w:t>
            </w:r>
            <w:r>
              <w:rPr>
                <w:rFonts w:hint="eastAsia"/>
              </w:rPr>
              <w:t>称</w:t>
            </w:r>
          </w:p>
        </w:tc>
        <w:tc>
          <w:tcPr>
            <w:tcW w:w="3006" w:type="dxa"/>
            <w:gridSpan w:val="3"/>
            <w:noWrap w:val="0"/>
            <w:vAlign w:val="top"/>
          </w:tcPr>
          <w:p w14:paraId="3F8ED09D">
            <w:pPr>
              <w:jc w:val="center"/>
              <w:rPr>
                <w:rFonts w:hint="eastAsia" w:eastAsia="宋体"/>
                <w:lang w:val="en-US" w:eastAsia="zh-CN"/>
              </w:rPr>
            </w:pPr>
          </w:p>
        </w:tc>
        <w:tc>
          <w:tcPr>
            <w:tcW w:w="1899" w:type="dxa"/>
            <w:gridSpan w:val="2"/>
            <w:noWrap w:val="0"/>
            <w:vAlign w:val="top"/>
          </w:tcPr>
          <w:p w14:paraId="1254C25B">
            <w:pPr>
              <w:jc w:val="center"/>
            </w:pPr>
            <w:r>
              <w:rPr>
                <w:rFonts w:hint="eastAsia"/>
              </w:rPr>
              <w:t xml:space="preserve">地 </w:t>
            </w:r>
            <w:r>
              <w:t xml:space="preserve"> </w:t>
            </w:r>
            <w:r>
              <w:rPr>
                <w:rFonts w:hint="eastAsia"/>
              </w:rPr>
              <w:t>址</w:t>
            </w:r>
          </w:p>
        </w:tc>
        <w:tc>
          <w:tcPr>
            <w:tcW w:w="2712" w:type="dxa"/>
            <w:gridSpan w:val="2"/>
            <w:noWrap w:val="0"/>
            <w:vAlign w:val="top"/>
          </w:tcPr>
          <w:p w14:paraId="485288C7">
            <w:pPr>
              <w:jc w:val="center"/>
              <w:rPr>
                <w:rFonts w:hint="eastAsia" w:eastAsia="宋体"/>
                <w:lang w:val="en-US" w:eastAsia="zh-CN"/>
              </w:rPr>
            </w:pPr>
          </w:p>
        </w:tc>
      </w:tr>
      <w:tr w14:paraId="7DFF17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5611197">
            <w:pPr>
              <w:jc w:val="left"/>
            </w:pPr>
          </w:p>
        </w:tc>
        <w:tc>
          <w:tcPr>
            <w:tcW w:w="1200" w:type="dxa"/>
            <w:gridSpan w:val="2"/>
            <w:vMerge w:val="continue"/>
            <w:noWrap w:val="0"/>
            <w:vAlign w:val="top"/>
          </w:tcPr>
          <w:p w14:paraId="4F2FACE8">
            <w:pPr>
              <w:jc w:val="center"/>
            </w:pPr>
          </w:p>
        </w:tc>
        <w:tc>
          <w:tcPr>
            <w:tcW w:w="1182" w:type="dxa"/>
            <w:gridSpan w:val="3"/>
            <w:noWrap w:val="0"/>
            <w:vAlign w:val="top"/>
          </w:tcPr>
          <w:p w14:paraId="161FF07B">
            <w:pPr>
              <w:jc w:val="center"/>
            </w:pPr>
            <w:r>
              <w:rPr>
                <w:rFonts w:hint="eastAsia"/>
              </w:rPr>
              <w:t>联系人</w:t>
            </w:r>
          </w:p>
        </w:tc>
        <w:tc>
          <w:tcPr>
            <w:tcW w:w="3006" w:type="dxa"/>
            <w:gridSpan w:val="3"/>
            <w:noWrap w:val="0"/>
            <w:vAlign w:val="top"/>
          </w:tcPr>
          <w:p w14:paraId="79E9C420">
            <w:pPr>
              <w:jc w:val="center"/>
              <w:rPr>
                <w:rFonts w:hint="eastAsia" w:eastAsia="宋体"/>
                <w:lang w:val="en-US" w:eastAsia="zh-CN"/>
              </w:rPr>
            </w:pPr>
          </w:p>
        </w:tc>
        <w:tc>
          <w:tcPr>
            <w:tcW w:w="1899" w:type="dxa"/>
            <w:gridSpan w:val="2"/>
            <w:noWrap w:val="0"/>
            <w:vAlign w:val="top"/>
          </w:tcPr>
          <w:p w14:paraId="505E0646">
            <w:pPr>
              <w:jc w:val="center"/>
            </w:pPr>
            <w:r>
              <w:rPr>
                <w:rFonts w:hint="eastAsia"/>
              </w:rPr>
              <w:t>联系电话</w:t>
            </w:r>
          </w:p>
        </w:tc>
        <w:tc>
          <w:tcPr>
            <w:tcW w:w="2712" w:type="dxa"/>
            <w:gridSpan w:val="2"/>
            <w:noWrap w:val="0"/>
            <w:vAlign w:val="top"/>
          </w:tcPr>
          <w:p w14:paraId="2758E3E1">
            <w:pPr>
              <w:jc w:val="center"/>
              <w:rPr>
                <w:rFonts w:hint="eastAsia" w:eastAsia="宋体"/>
                <w:lang w:val="en-US" w:eastAsia="zh-CN"/>
              </w:rPr>
            </w:pPr>
          </w:p>
        </w:tc>
      </w:tr>
      <w:tr w14:paraId="25E2F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7E0B480D">
            <w:pPr>
              <w:jc w:val="left"/>
            </w:pPr>
          </w:p>
        </w:tc>
        <w:tc>
          <w:tcPr>
            <w:tcW w:w="1200" w:type="dxa"/>
            <w:gridSpan w:val="2"/>
            <w:vMerge w:val="continue"/>
            <w:noWrap w:val="0"/>
            <w:vAlign w:val="top"/>
          </w:tcPr>
          <w:p w14:paraId="6F9320D6">
            <w:pPr>
              <w:jc w:val="center"/>
            </w:pPr>
          </w:p>
        </w:tc>
        <w:tc>
          <w:tcPr>
            <w:tcW w:w="1182" w:type="dxa"/>
            <w:gridSpan w:val="3"/>
            <w:noWrap w:val="0"/>
            <w:vAlign w:val="top"/>
          </w:tcPr>
          <w:p w14:paraId="0019EACC">
            <w:pPr>
              <w:jc w:val="center"/>
            </w:pPr>
            <w:r>
              <w:rPr>
                <w:rFonts w:hint="eastAsia"/>
              </w:rPr>
              <w:t xml:space="preserve">导 </w:t>
            </w:r>
            <w:r>
              <w:t xml:space="preserve"> </w:t>
            </w:r>
            <w:r>
              <w:rPr>
                <w:rFonts w:hint="eastAsia"/>
              </w:rPr>
              <w:t>游</w:t>
            </w:r>
          </w:p>
        </w:tc>
        <w:tc>
          <w:tcPr>
            <w:tcW w:w="3006" w:type="dxa"/>
            <w:gridSpan w:val="3"/>
            <w:noWrap w:val="0"/>
            <w:vAlign w:val="top"/>
          </w:tcPr>
          <w:p w14:paraId="456620FD">
            <w:pPr>
              <w:jc w:val="center"/>
              <w:rPr>
                <w:rFonts w:hint="eastAsia" w:eastAsia="宋体"/>
                <w:lang w:val="en-US" w:eastAsia="zh-CN"/>
              </w:rPr>
            </w:pPr>
          </w:p>
        </w:tc>
        <w:tc>
          <w:tcPr>
            <w:tcW w:w="1899" w:type="dxa"/>
            <w:gridSpan w:val="2"/>
            <w:noWrap w:val="0"/>
            <w:vAlign w:val="top"/>
          </w:tcPr>
          <w:p w14:paraId="1B066C93">
            <w:pPr>
              <w:jc w:val="center"/>
            </w:pPr>
            <w:r>
              <w:rPr>
                <w:rFonts w:hint="eastAsia"/>
              </w:rPr>
              <w:t>联系电话</w:t>
            </w:r>
          </w:p>
        </w:tc>
        <w:tc>
          <w:tcPr>
            <w:tcW w:w="2712" w:type="dxa"/>
            <w:gridSpan w:val="2"/>
            <w:noWrap w:val="0"/>
            <w:vAlign w:val="top"/>
          </w:tcPr>
          <w:p w14:paraId="5549406A">
            <w:pPr>
              <w:jc w:val="center"/>
              <w:rPr>
                <w:rFonts w:hint="eastAsia" w:eastAsia="宋体"/>
                <w:lang w:val="en-US" w:eastAsia="zh-CN"/>
              </w:rPr>
            </w:pPr>
          </w:p>
        </w:tc>
      </w:tr>
      <w:tr w14:paraId="5FD7F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dxa"/>
            <w:vMerge w:val="continue"/>
            <w:noWrap w:val="0"/>
            <w:vAlign w:val="top"/>
          </w:tcPr>
          <w:p w14:paraId="1A1730E0">
            <w:pPr>
              <w:jc w:val="left"/>
            </w:pPr>
          </w:p>
        </w:tc>
        <w:tc>
          <w:tcPr>
            <w:tcW w:w="9999" w:type="dxa"/>
            <w:gridSpan w:val="12"/>
            <w:noWrap w:val="0"/>
            <w:vAlign w:val="top"/>
          </w:tcPr>
          <w:p w14:paraId="47CFC6E2">
            <w:pPr>
              <w:jc w:val="left"/>
              <w:rPr>
                <w:rFonts w:hint="default" w:eastAsia="宋体"/>
                <w:lang w:val="en-US" w:eastAsia="zh-CN"/>
              </w:rPr>
            </w:pPr>
            <w:r>
              <w:rPr>
                <w:rFonts w:hint="eastAsia"/>
                <w:b/>
              </w:rPr>
              <w:t>本公司质量监督电话:</w:t>
            </w:r>
          </w:p>
        </w:tc>
      </w:tr>
    </w:tbl>
    <w:p w14:paraId="7A08BC3F">
      <w:pPr>
        <w:spacing w:line="400" w:lineRule="exact"/>
        <w:ind w:right="-932" w:rightChars="-444"/>
        <w:rPr>
          <w:rFonts w:hint="eastAsia" w:ascii="宋体" w:hAnsi="宋体"/>
          <w:b/>
          <w:sz w:val="24"/>
        </w:rPr>
      </w:pPr>
    </w:p>
    <w:p w14:paraId="021F14EB">
      <w:pPr>
        <w:spacing w:line="400" w:lineRule="exact"/>
        <w:ind w:right="-932" w:rightChars="-444"/>
        <w:rPr>
          <w:rFonts w:ascii="宋体"/>
          <w:b/>
          <w:szCs w:val="21"/>
        </w:rPr>
      </w:pPr>
      <w:r>
        <w:rPr>
          <w:rFonts w:hint="eastAsia" w:ascii="宋体" w:hAnsi="宋体"/>
          <w:b/>
          <w:sz w:val="24"/>
        </w:rPr>
        <w:t>旅游者签名处：</w:t>
      </w:r>
      <w:r>
        <w:rPr>
          <w:rFonts w:ascii="宋体" w:hAnsi="宋体"/>
          <w:b/>
          <w:sz w:val="24"/>
        </w:rPr>
        <w:t xml:space="preserve">_____________                  </w:t>
      </w:r>
      <w:r>
        <w:rPr>
          <w:rFonts w:hint="eastAsia" w:ascii="宋体" w:hAnsi="宋体"/>
          <w:b/>
          <w:sz w:val="24"/>
        </w:rPr>
        <w:t>日期：</w:t>
      </w:r>
      <w:r>
        <w:rPr>
          <w:rFonts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u w:val="single"/>
          <w:lang w:val="en-US" w:eastAsia="zh-CN"/>
        </w:rPr>
        <w:t xml:space="preserve">  </w:t>
      </w:r>
      <w:r>
        <w:rPr>
          <w:rFonts w:ascii="宋体" w:hAnsi="宋体"/>
          <w:b/>
          <w:sz w:val="24"/>
          <w:u w:val="single"/>
        </w:rPr>
        <w:t xml:space="preserve">  </w:t>
      </w:r>
      <w:r>
        <w:rPr>
          <w:rFonts w:hint="eastAsia" w:ascii="宋体" w:hAnsi="宋体"/>
          <w:b/>
          <w:sz w:val="24"/>
        </w:rPr>
        <w:t>日</w:t>
      </w:r>
    </w:p>
    <w:p w14:paraId="3CCB0711"/>
    <w:p w14:paraId="66217851">
      <w:pPr>
        <w:spacing w:line="660" w:lineRule="exact"/>
        <w:jc w:val="center"/>
        <w:rPr>
          <w:rFonts w:hint="eastAsia" w:ascii="黑体" w:hAnsi="黑体" w:eastAsia="黑体" w:cs="黑体"/>
          <w:b/>
          <w:sz w:val="36"/>
          <w:szCs w:val="36"/>
        </w:rPr>
      </w:pPr>
      <w:r>
        <w:rPr>
          <w:rFonts w:hint="eastAsia" w:ascii="黑体" w:hAnsi="黑体" w:eastAsia="黑体" w:cs="黑体"/>
          <w:b/>
          <w:sz w:val="36"/>
          <w:szCs w:val="36"/>
        </w:rPr>
        <w:t>境内旅游安全须知</w:t>
      </w:r>
    </w:p>
    <w:p w14:paraId="14EAF96D">
      <w:pPr>
        <w:spacing w:line="360" w:lineRule="exact"/>
        <w:ind w:firstLine="420" w:firstLineChars="200"/>
        <w:jc w:val="left"/>
        <w:rPr>
          <w:rFonts w:hint="eastAsia" w:ascii="宋体" w:hAnsi="宋体"/>
          <w:szCs w:val="21"/>
        </w:rPr>
      </w:pPr>
    </w:p>
    <w:p w14:paraId="31773A0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ascii="宋体" w:hAnsi="宋体"/>
          <w:sz w:val="21"/>
          <w:szCs w:val="21"/>
        </w:rPr>
        <w:t>为了增强旅游者安全意识，普及旅游安全基本常识，</w:t>
      </w:r>
      <w:r>
        <w:rPr>
          <w:rFonts w:ascii="ˎ̥" w:hAnsi="ˎ̥"/>
          <w:sz w:val="21"/>
          <w:szCs w:val="21"/>
        </w:rPr>
        <w:t>使旅游者参加旅游活动的计划能圆满、愉快、顺利完成</w:t>
      </w:r>
      <w:r>
        <w:rPr>
          <w:rFonts w:hint="eastAsia" w:ascii="ˎ̥" w:hAnsi="ˎ̥"/>
          <w:sz w:val="21"/>
          <w:szCs w:val="21"/>
        </w:rPr>
        <w:t>，</w:t>
      </w:r>
      <w:r>
        <w:rPr>
          <w:rFonts w:ascii="ˎ̥" w:hAnsi="ˎ̥"/>
          <w:sz w:val="21"/>
          <w:szCs w:val="21"/>
        </w:rPr>
        <w:t>本</w:t>
      </w:r>
      <w:r>
        <w:rPr>
          <w:rFonts w:hint="eastAsia" w:ascii="ˎ̥" w:hAnsi="ˎ̥"/>
          <w:sz w:val="21"/>
          <w:szCs w:val="21"/>
        </w:rPr>
        <w:t>公司</w:t>
      </w:r>
      <w:r>
        <w:rPr>
          <w:rFonts w:ascii="ˎ̥" w:hAnsi="ˎ̥"/>
          <w:sz w:val="21"/>
          <w:szCs w:val="21"/>
        </w:rPr>
        <w:t>特制</w:t>
      </w:r>
      <w:r>
        <w:rPr>
          <w:rFonts w:hint="eastAsia" w:ascii="ˎ̥" w:hAnsi="ˎ̥"/>
          <w:sz w:val="21"/>
          <w:szCs w:val="21"/>
        </w:rPr>
        <w:t>定境内</w:t>
      </w:r>
      <w:r>
        <w:rPr>
          <w:rFonts w:ascii="ˎ̥" w:hAnsi="ˎ̥"/>
          <w:sz w:val="21"/>
          <w:szCs w:val="21"/>
        </w:rPr>
        <w:t>旅游</w:t>
      </w:r>
      <w:r>
        <w:rPr>
          <w:rFonts w:hint="eastAsia" w:ascii="ˎ̥" w:hAnsi="ˎ̥"/>
          <w:sz w:val="21"/>
          <w:szCs w:val="21"/>
        </w:rPr>
        <w:t>安全</w:t>
      </w:r>
      <w:r>
        <w:rPr>
          <w:rFonts w:ascii="ˎ̥" w:hAnsi="ˎ̥"/>
          <w:sz w:val="21"/>
          <w:szCs w:val="21"/>
        </w:rPr>
        <w:t>须知，请旅游者认真地阅读并切实遵守。</w:t>
      </w:r>
    </w:p>
    <w:p w14:paraId="152D44ED">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楷体" w:eastAsia="华文隶书"/>
          <w:b/>
          <w:bCs/>
          <w:sz w:val="24"/>
          <w:szCs w:val="24"/>
        </w:rPr>
      </w:pPr>
    </w:p>
    <w:p w14:paraId="1F8F762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楷体" w:eastAsia="华文隶书"/>
          <w:sz w:val="24"/>
          <w:szCs w:val="24"/>
        </w:rPr>
      </w:pPr>
      <w:r>
        <w:rPr>
          <w:rFonts w:hint="eastAsia" w:ascii="华文隶书" w:hAnsi="楷体" w:eastAsia="华文隶书"/>
          <w:b/>
          <w:bCs/>
          <w:sz w:val="24"/>
          <w:szCs w:val="24"/>
        </w:rPr>
        <w:t>带好物品，准备心情，我们出发</w:t>
      </w:r>
    </w:p>
    <w:p w14:paraId="5EE535E7">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一、基本注意事项</w:t>
      </w:r>
    </w:p>
    <w:p w14:paraId="09D437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1．请旅游者务必带上身份证、个人旅行用品，准时到达约定的集合地点，并佩戴好旅行团团标，以便导游识别。</w:t>
      </w:r>
    </w:p>
    <w:p w14:paraId="6412B03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kern w:val="0"/>
          <w:sz w:val="21"/>
          <w:szCs w:val="21"/>
        </w:rPr>
        <w:t>旅游者应当服从</w:t>
      </w:r>
      <w:r>
        <w:rPr>
          <w:rFonts w:hint="eastAsia" w:asciiTheme="majorEastAsia" w:hAnsiTheme="majorEastAsia" w:eastAsiaTheme="majorEastAsia" w:cstheme="majorEastAsia"/>
          <w:sz w:val="21"/>
          <w:szCs w:val="21"/>
        </w:rPr>
        <w:t>导游的安排，记住集中的时间和地点，认清自己所乘的车型、车牌号及颜色，请勿迟到（因迟到无法跟团旅游的后果自负）。</w:t>
      </w:r>
      <w:r>
        <w:rPr>
          <w:rFonts w:hint="eastAsia" w:asciiTheme="majorEastAsia" w:hAnsiTheme="majorEastAsia" w:eastAsiaTheme="majorEastAsia" w:cstheme="majorEastAsia"/>
          <w:kern w:val="0"/>
          <w:sz w:val="21"/>
          <w:szCs w:val="21"/>
        </w:rPr>
        <w:t>旅途中，旅游者</w:t>
      </w:r>
      <w:r>
        <w:rPr>
          <w:rFonts w:hint="eastAsia" w:asciiTheme="majorEastAsia" w:hAnsiTheme="majorEastAsia" w:eastAsiaTheme="majorEastAsia" w:cstheme="majorEastAsia"/>
          <w:sz w:val="21"/>
          <w:szCs w:val="21"/>
        </w:rPr>
        <w:t>不得擅自脱团，如有特殊情况需要暂时离团的，必须征得导游的书面同意。</w:t>
      </w:r>
    </w:p>
    <w:p w14:paraId="2BC8097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kern w:val="0"/>
          <w:sz w:val="21"/>
          <w:szCs w:val="21"/>
        </w:rPr>
        <w:t>旅游者应当根据自身健康状况随身携带一些必备的药品和卫生防疫用品（如感冒药、止泻药、晕车药、口罩等），根据天气变化准备衣物及雨具。</w:t>
      </w:r>
      <w:r>
        <w:rPr>
          <w:rFonts w:hint="eastAsia" w:asciiTheme="majorEastAsia" w:hAnsiTheme="majorEastAsia" w:eastAsiaTheme="majorEastAsia" w:cstheme="majorEastAsia"/>
          <w:sz w:val="21"/>
          <w:szCs w:val="21"/>
        </w:rPr>
        <w:t>为了防止火灾事故的发生，请勿携带易燃、易爆等危害公共安全的物品，不要乱扔烟头和火种。</w:t>
      </w:r>
      <w:r>
        <w:rPr>
          <w:rFonts w:hint="eastAsia" w:asciiTheme="majorEastAsia" w:hAnsiTheme="majorEastAsia" w:eastAsiaTheme="majorEastAsia" w:cstheme="majorEastAsia"/>
          <w:kern w:val="0"/>
          <w:sz w:val="21"/>
          <w:szCs w:val="21"/>
        </w:rPr>
        <w:t xml:space="preserve"> </w:t>
      </w:r>
    </w:p>
    <w:p w14:paraId="46E2322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行程中或者自由活动期间，请旅游者看管、保护好自己的小孩，不能让未成年人单独行动并注意其安全。</w:t>
      </w:r>
    </w:p>
    <w:p w14:paraId="34D1CF8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5．行程中或者自由活动期间，旅游者应当选择自己能够控制风险的活动项目</w:t>
      </w:r>
      <w:r>
        <w:rPr>
          <w:rFonts w:hint="eastAsia" w:asciiTheme="majorEastAsia" w:hAnsiTheme="majorEastAsia" w:eastAsiaTheme="majorEastAsia" w:cstheme="majorEastAsia"/>
          <w:kern w:val="0"/>
          <w:sz w:val="21"/>
          <w:szCs w:val="21"/>
        </w:rPr>
        <w:t>。除特殊团队外，本公司不安排赛车、赛马、攀岩、无动力滑翔、探险性漂流、潜水、高山滑雪、滑板、跳伞、热气球、蹦极、冲浪等高风险活动，也敬请旅游者尽量不要去参加此类活动。如旅游者坚持参加，请自行承担风险。</w:t>
      </w:r>
    </w:p>
    <w:p w14:paraId="17D627C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6．行程中</w:t>
      </w:r>
      <w:r>
        <w:rPr>
          <w:rFonts w:hint="eastAsia" w:asciiTheme="majorEastAsia" w:hAnsiTheme="majorEastAsia" w:eastAsiaTheme="majorEastAsia" w:cstheme="majorEastAsia"/>
          <w:sz w:val="21"/>
          <w:szCs w:val="21"/>
        </w:rPr>
        <w:t>或者自由活动期间，旅游者</w:t>
      </w:r>
      <w:r>
        <w:rPr>
          <w:rFonts w:hint="eastAsia" w:asciiTheme="majorEastAsia" w:hAnsiTheme="majorEastAsia" w:eastAsiaTheme="majorEastAsia" w:cstheme="majorEastAsia"/>
          <w:kern w:val="0"/>
          <w:sz w:val="21"/>
          <w:szCs w:val="21"/>
        </w:rPr>
        <w:t>应当妥善保管自己的行李物品，现金、有价证券、贵重物品</w:t>
      </w:r>
      <w:r>
        <w:rPr>
          <w:rFonts w:hint="eastAsia" w:asciiTheme="majorEastAsia" w:hAnsiTheme="majorEastAsia" w:eastAsiaTheme="majorEastAsia" w:cstheme="majorEastAsia"/>
          <w:sz w:val="21"/>
          <w:szCs w:val="21"/>
        </w:rPr>
        <w:t>应随身携带。入住宾馆时，请将贵重物品予以寄存。</w:t>
      </w:r>
    </w:p>
    <w:p w14:paraId="3039D81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7．</w:t>
      </w:r>
      <w:r>
        <w:rPr>
          <w:rFonts w:hint="eastAsia" w:asciiTheme="majorEastAsia" w:hAnsiTheme="majorEastAsia" w:eastAsiaTheme="majorEastAsia" w:cstheme="majorEastAsia"/>
          <w:sz w:val="21"/>
          <w:szCs w:val="21"/>
        </w:rPr>
        <w:t>如遇恶劣天气、自然灾害、战争、恐怖活动、动乱、骚乱、罢工、突发公共卫生事件、政府行为等客观原因，造成旅游行程安排的交通服务延误、景区临时关闭、宾馆饭店临时被征用、政府机构发布橙色及以上旅游预警信息等影响旅游行程的，本公司经向旅游者作出说明后，可以在合理范围内变更行程及活动内容，以策安全。旅游者不同意变更的，可以解除合同。</w:t>
      </w:r>
    </w:p>
    <w:p w14:paraId="111ABA6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8．黄金周或者其他旅游旺季期间，由于国内航班加班机、包机的数量大增，极易引起航班的延误，如遇此情况，请旅游者在候机厅耐心等待，密切注意航班的信息，不要到处乱跑，以免误机。同时，航空公司因运力等因素有可能临时调整航班，如有此情况发生，本公司将对旅游行程作出相应调整，届时敬请旅游者配合与谅解。</w:t>
      </w:r>
    </w:p>
    <w:p w14:paraId="23D6001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9．黄金周或者其他旅游旺季期间，景区内游人如织，存在排队游览现象，请旅游者理解与配合，耐心等候，完成游程。</w:t>
      </w:r>
    </w:p>
    <w:p w14:paraId="68A94D86">
      <w:pPr>
        <w:pStyle w:val="278"/>
        <w:keepNext w:val="0"/>
        <w:keepLines w:val="0"/>
        <w:pageBreakBefore w:val="0"/>
        <w:kinsoku/>
        <w:wordWrap/>
        <w:overflowPunct/>
        <w:topLinePunct w:val="0"/>
        <w:autoSpaceDE/>
        <w:autoSpaceDN/>
        <w:bidi w:val="0"/>
        <w:adjustRightInd/>
        <w:snapToGrid/>
        <w:spacing w:line="360" w:lineRule="auto"/>
        <w:ind w:left="-2" w:leftChars="-1"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10．旅游者应遵守中国的法律法规，不得从事违法或者违反社会公德的活动，不得从事或者参与涉及赌博、色情、毒品等活动。</w:t>
      </w:r>
    </w:p>
    <w:p w14:paraId="52DE90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11．出发前，本公司给每位旅游者分发一份《</w:t>
      </w:r>
      <w:r>
        <w:rPr>
          <w:rFonts w:hint="eastAsia" w:asciiTheme="majorEastAsia" w:hAnsiTheme="majorEastAsia" w:eastAsiaTheme="majorEastAsia" w:cstheme="majorEastAsia"/>
          <w:spacing w:val="-2"/>
          <w:sz w:val="21"/>
          <w:szCs w:val="21"/>
        </w:rPr>
        <w:t>旅游行程单</w:t>
      </w:r>
      <w:r>
        <w:rPr>
          <w:rFonts w:hint="eastAsia" w:asciiTheme="majorEastAsia" w:hAnsiTheme="majorEastAsia" w:eastAsiaTheme="majorEastAsia" w:cstheme="majorEastAsia"/>
          <w:sz w:val="21"/>
          <w:szCs w:val="21"/>
        </w:rPr>
        <w:t>》，其中有具体的行程安排、地接旅行社名称、导游联系方式及旅途酒店信息等。</w:t>
      </w:r>
    </w:p>
    <w:p w14:paraId="79341D91">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二、乘坐交通工具安全须知</w:t>
      </w:r>
    </w:p>
    <w:p w14:paraId="6A0D581D">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乘坐交通工具时，应当系好安全带，在交通工具停稳后方可离开。老年旅游者乘坐车辆时请不要坐最后一排，以免车辆颠簸发生不测。上下交通工具时须排队等候，讲究文明礼貌，并优先照顾老人、儿童、妇女及残疾人，切勿拥挤，以免发生意外。</w:t>
      </w:r>
    </w:p>
    <w:p w14:paraId="123DE34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2．旅游者乘坐交通工具时，请不要与司机交谈和催促司机开快车，不要将头、手、脚或者行李物品伸出窗外，以防发生意外。不要向车窗外扔废（杂）物品，特别是硬质物品，以免伤害他人。　　</w:t>
      </w:r>
    </w:p>
    <w:p w14:paraId="06049925">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3．旅游者下车游览、就餐、购物时，请注意关好旅游车窗并随身携带现金、有价证券及贵重物品。</w:t>
      </w:r>
    </w:p>
    <w:p w14:paraId="48B1197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旅游者乘坐飞机时，请随身携带有效身份证并注意保管（未成年旅游者应携带户口本原件，年满16周岁未办理身份证的旅游者须持派出所证明原件）。导游分发机票或登机牌时，旅游者应注意机票或登机牌上的姓名、往返时间、抵离目的地、航班号是否正确，如因旅游者原因或者机场出票系统故障造成旅游者不能登机，本公司不负赔偿责任，但应协助旅游者处理。</w:t>
      </w:r>
    </w:p>
    <w:p w14:paraId="3083C71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5．旅游者乘坐飞机时，应当遵守民航安全管理规定，</w:t>
      </w:r>
      <w:bookmarkStart w:id="79" w:name="_Hlk105087057"/>
      <w:r>
        <w:rPr>
          <w:rFonts w:hint="eastAsia" w:asciiTheme="majorEastAsia" w:hAnsiTheme="majorEastAsia" w:eastAsiaTheme="majorEastAsia" w:cstheme="majorEastAsia"/>
          <w:sz w:val="21"/>
          <w:szCs w:val="21"/>
        </w:rPr>
        <w:t>不得携带危险或者易燃品，移动电话、移动电脑及充电宝等电子设备携带和使用应当遵守航空公司安全管理规定。</w:t>
      </w:r>
      <w:bookmarkEnd w:id="79"/>
      <w:r>
        <w:rPr>
          <w:rFonts w:hint="eastAsia" w:asciiTheme="majorEastAsia" w:hAnsiTheme="majorEastAsia" w:eastAsiaTheme="majorEastAsia" w:cstheme="majorEastAsia"/>
          <w:kern w:val="0"/>
          <w:sz w:val="21"/>
          <w:szCs w:val="21"/>
        </w:rPr>
        <w:t>托运行李应当符合航空公司相关规定，超重费由旅游者自理（注：</w:t>
      </w:r>
      <w:r>
        <w:rPr>
          <w:rFonts w:hint="eastAsia" w:asciiTheme="majorEastAsia" w:hAnsiTheme="majorEastAsia" w:eastAsiaTheme="majorEastAsia" w:cstheme="majorEastAsia"/>
          <w:sz w:val="21"/>
          <w:szCs w:val="21"/>
        </w:rPr>
        <w:t>旅游者随身携带液体登机将被禁止，如坚持携带少量液体上机，则必须开瓶检查，为了避免不必要的麻烦，建议旅游者将所带液体予以托运</w:t>
      </w:r>
      <w:r>
        <w:rPr>
          <w:rFonts w:hint="eastAsia" w:asciiTheme="majorEastAsia" w:hAnsiTheme="majorEastAsia" w:eastAsiaTheme="majorEastAsia" w:cstheme="majorEastAsia"/>
          <w:kern w:val="0"/>
          <w:sz w:val="21"/>
          <w:szCs w:val="21"/>
        </w:rPr>
        <w:t>）</w:t>
      </w:r>
      <w:r>
        <w:rPr>
          <w:rFonts w:hint="eastAsia" w:asciiTheme="majorEastAsia" w:hAnsiTheme="majorEastAsia" w:eastAsiaTheme="majorEastAsia" w:cstheme="majorEastAsia"/>
          <w:sz w:val="21"/>
          <w:szCs w:val="21"/>
        </w:rPr>
        <w:t>。　　</w:t>
      </w:r>
    </w:p>
    <w:p w14:paraId="4EDAF4D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6.旅游者乘坐高铁、大巴等其他交通工具时应遵守相关的安全管理规定。</w:t>
      </w:r>
    </w:p>
    <w:p w14:paraId="0D5BB81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7.搭乘快艇、漂流木筏、参加水上活动时，请旅游者按规定穿着救生衣，并听从工作人员的指导。乘坐快艇游玩时，所有旅游者请抓紧扶手，请不要坐在船头，以免发生不测。</w:t>
      </w:r>
    </w:p>
    <w:p w14:paraId="00AD07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sz w:val="21"/>
          <w:szCs w:val="21"/>
        </w:rPr>
        <w:t>8.旅途中发生交通事故，旅游者应当听从导游或者现场工作人员的安排及指挥，不要慌张。发生人员伤害时，旅游者应尽力施救或自救，同时注意保护现场，避免损失扩大。</w:t>
      </w:r>
    </w:p>
    <w:p w14:paraId="3443342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华文隶书" w:hAnsi="宋体" w:eastAsia="华文隶书"/>
          <w:b/>
          <w:bCs/>
          <w:sz w:val="24"/>
          <w:szCs w:val="24"/>
        </w:rPr>
      </w:pPr>
    </w:p>
    <w:p w14:paraId="3786D10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享受沿途美景的时候，有我们在关心您的吃住行</w:t>
      </w:r>
    </w:p>
    <w:p w14:paraId="1FBCB2A0">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kern w:val="0"/>
          <w:sz w:val="21"/>
          <w:szCs w:val="21"/>
        </w:rPr>
        <w:t>三</w:t>
      </w:r>
      <w:r>
        <w:rPr>
          <w:rFonts w:hint="eastAsia" w:asciiTheme="majorEastAsia" w:hAnsiTheme="majorEastAsia" w:eastAsiaTheme="majorEastAsia" w:cstheme="majorEastAsia"/>
          <w:b/>
          <w:sz w:val="21"/>
          <w:szCs w:val="21"/>
        </w:rPr>
        <w:t>、住宿安全须知</w:t>
      </w:r>
    </w:p>
    <w:p w14:paraId="6AB518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抵达宾馆后，旅游者应当听从导游安排。宾馆住宿以两人一室、自由组合为原则，请旅游者互相礼让使用房间内卫生设施、电器设备等，如出现单男单女，本公司将调换夫妻用房或者调整为三人房，请旅游者谅解。如旅游者特别指定单人房间，请于出行前支付单人房差额并取得本公司的确认，以免出行后产生纷争。</w:t>
      </w:r>
    </w:p>
    <w:p w14:paraId="27F6A79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2.旅游者入住宾馆后，应当了解宾馆安全须知，熟悉宾馆的安全出口、安全楼梯的位置及安全转移的路线。</w:t>
      </w:r>
    </w:p>
    <w:p w14:paraId="262E33C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3.旅游者入住宾馆后，请不要将自己住宿的宾馆、房号随便告诉陌生人，不要让陌生人或者自称宾馆的维修人员随便进入客房。出入客房要锁好房门，睡觉前注意房门窗是否关好，保险锁是否锁上。</w:t>
      </w:r>
    </w:p>
    <w:p w14:paraId="78317B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4.进入客房后，请及时了解房间内设备情况，如房门插销、浴室水龙头开关、电视及冰箱饮料等，如有不能使用或者缺损的情况，请及时向导游反映，退房时请提前结清房间自费项目。</w:t>
      </w:r>
    </w:p>
    <w:p w14:paraId="554C571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5.旅游者入住宾馆后需要外出时，建议告知导游并领取宾馆名片，如果旅游者迷路时，可以按宾馆名片提示的电话、地址安全顺利返回宾馆。</w:t>
      </w:r>
    </w:p>
    <w:p w14:paraId="2F42DB1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kern w:val="0"/>
          <w:sz w:val="21"/>
          <w:szCs w:val="21"/>
        </w:rPr>
        <w:t>如旅游者选择消费宾馆的配套健身娱乐设施（如游泳池、健身房等），请务必注意人身及财产安全。非本公司安排的活动，本公司仅限于告知、协助处理义务。</w:t>
      </w:r>
    </w:p>
    <w:p w14:paraId="6AD097A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7.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w:t>
      </w:r>
    </w:p>
    <w:p w14:paraId="247B28D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sz w:val="21"/>
          <w:szCs w:val="21"/>
        </w:rPr>
        <w:t>　　</w:t>
      </w:r>
      <w:r>
        <w:rPr>
          <w:rFonts w:hint="eastAsia" w:asciiTheme="majorEastAsia" w:hAnsiTheme="majorEastAsia" w:eastAsiaTheme="majorEastAsia" w:cstheme="majorEastAsia"/>
          <w:b/>
          <w:kern w:val="0"/>
          <w:sz w:val="21"/>
          <w:szCs w:val="21"/>
        </w:rPr>
        <w:t>四</w:t>
      </w:r>
      <w:r>
        <w:rPr>
          <w:rFonts w:hint="eastAsia" w:asciiTheme="majorEastAsia" w:hAnsiTheme="majorEastAsia" w:eastAsiaTheme="majorEastAsia" w:cstheme="majorEastAsia"/>
          <w:b/>
          <w:sz w:val="21"/>
          <w:szCs w:val="21"/>
        </w:rPr>
        <w:t>、饮食卫生安全须知</w:t>
      </w:r>
    </w:p>
    <w:p w14:paraId="5F654DE4">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1.旅游者应当注意身体健康，切勿吃生食、生海鲜、未剥皮的水果，不可光顾路边无牌照摊档，忌暴饮暴食，多喝开水，多吃新鲜蔬菜水果，少抽烟，少喝酒。</w:t>
      </w:r>
    </w:p>
    <w:p w14:paraId="586ECE0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2.在旅游目的地购买食物须注意商品质量，不要购买“三无”产品（无生产厂家、生产日期、厂家地址），发现食物不卫生或者存在异味变质的情况，切勿食用。</w:t>
      </w:r>
    </w:p>
    <w:p w14:paraId="2EBA9D5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　　3.不要随意接受和食用陌生人赠送的香烟、食物和饮品，防止发生意外。</w:t>
      </w:r>
    </w:p>
    <w:p w14:paraId="3C2B6D1B">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21"/>
          <w:szCs w:val="21"/>
        </w:rPr>
        <w:t>五、游览观景安全须知</w:t>
      </w:r>
    </w:p>
    <w:p w14:paraId="6180547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1.听从当地导游有关安全提示和忠告，注意景区安全告示，预防意外事故和突发性疾病的发生。　　        </w:t>
      </w:r>
    </w:p>
    <w:p w14:paraId="703672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经过危险地段（如陡峭、狭窄、潮湿泛滑的道路）不可拥挤，前往险峻景点观光时应充分考虑自身的条件是否可行，不要强求和存侥幸心理。参与登山等活动时，应注意适当休息，避免过度激烈运动，同时做好防护工作。　　    </w:t>
      </w:r>
    </w:p>
    <w:p w14:paraId="173B0FB7">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3.在水上（包括江河、湖海、水库）游览或者活动时，旅游者须注意乘船安全，应穿戴救生衣，不可单独前往深水水域或者危险河道。选择水下游泳时，应携救生设备助游。</w:t>
      </w:r>
    </w:p>
    <w:p w14:paraId="6802913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sz w:val="21"/>
          <w:szCs w:val="21"/>
        </w:rPr>
        <w:t>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神经或者精神病及孕妇等不宜进入高原旅游。</w:t>
      </w:r>
    </w:p>
    <w:p w14:paraId="0600554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w:t>
      </w:r>
      <w:r>
        <w:rPr>
          <w:rFonts w:hint="eastAsia" w:asciiTheme="majorEastAsia" w:hAnsiTheme="majorEastAsia" w:eastAsiaTheme="majorEastAsia" w:cstheme="majorEastAsia"/>
          <w:sz w:val="21"/>
          <w:szCs w:val="21"/>
        </w:rPr>
        <w:t>泡温泉时，旅游者应注意水温和矿物质含量是否适合自己的身体，有些疾病不宜泡温泉，请遵医嘱。</w:t>
      </w:r>
    </w:p>
    <w:p w14:paraId="12BA1F3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6.乘坐缆车或者其他观光运载工具时，应服从景区工作人员安排，遇超载、超员或者其他异常情况时，千万不要乘坐，以防发生危险。</w:t>
      </w:r>
    </w:p>
    <w:p w14:paraId="5C815FBB">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r>
        <w:rPr>
          <w:rFonts w:hint="eastAsia" w:asciiTheme="majorEastAsia" w:hAnsiTheme="majorEastAsia" w:eastAsiaTheme="majorEastAsia" w:cstheme="majorEastAsia"/>
          <w:kern w:val="0"/>
          <w:sz w:val="21"/>
          <w:szCs w:val="21"/>
        </w:rPr>
        <w:t>在景区参观游览时，请听从导游的安排，不要擅自离队，</w:t>
      </w:r>
      <w:r>
        <w:rPr>
          <w:rFonts w:hint="eastAsia" w:asciiTheme="majorEastAsia" w:hAnsiTheme="majorEastAsia" w:eastAsiaTheme="majorEastAsia" w:cstheme="majorEastAsia"/>
          <w:sz w:val="21"/>
          <w:szCs w:val="21"/>
        </w:rPr>
        <w:t>如果迷失方向，原则上应原地等候导游的到来或者打电话求救、求助，千万不要着急。</w:t>
      </w:r>
    </w:p>
    <w:p w14:paraId="4F1920C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8.自由活动期间，应注意人身安全，谨记导游提醒的各种注意事项以及景区的各种公告和警示牌。在拍摄照片时，旅游者不要专注于眼前的美景，而忽略了身边或者脚下的危险。</w:t>
      </w:r>
    </w:p>
    <w:p w14:paraId="0907430D">
      <w:pPr>
        <w:pStyle w:val="278"/>
        <w:keepNext w:val="0"/>
        <w:keepLines w:val="0"/>
        <w:pageBreakBefore w:val="0"/>
        <w:kinsoku/>
        <w:wordWrap/>
        <w:overflowPunct/>
        <w:topLinePunct w:val="0"/>
        <w:autoSpaceDE/>
        <w:autoSpaceDN/>
        <w:bidi w:val="0"/>
        <w:adjustRightInd/>
        <w:snapToGrid/>
        <w:spacing w:line="360" w:lineRule="auto"/>
        <w:ind w:firstLine="420"/>
        <w:jc w:val="left"/>
        <w:textAlignment w:val="auto"/>
        <w:rPr>
          <w:rFonts w:hint="eastAsia" w:ascii="华文隶书" w:hAnsi="宋体" w:eastAsia="华文隶书"/>
          <w:b/>
          <w:bCs/>
          <w:sz w:val="24"/>
          <w:szCs w:val="24"/>
        </w:rPr>
      </w:pPr>
      <w:r>
        <w:rPr>
          <w:rFonts w:hint="eastAsia" w:asciiTheme="majorEastAsia" w:hAnsiTheme="majorEastAsia" w:eastAsiaTheme="majorEastAsia" w:cstheme="majorEastAsia"/>
          <w:sz w:val="21"/>
          <w:szCs w:val="21"/>
        </w:rPr>
        <w:t>9.旅游者购物时须慎重，购买物品请向商家索取发票等凭证。</w:t>
      </w:r>
    </w:p>
    <w:p w14:paraId="5F376657">
      <w:pPr>
        <w:keepNext w:val="0"/>
        <w:keepLines w:val="0"/>
        <w:pageBreakBefore w:val="0"/>
        <w:kinsoku/>
        <w:wordWrap/>
        <w:overflowPunct/>
        <w:topLinePunct w:val="0"/>
        <w:autoSpaceDE/>
        <w:autoSpaceDN/>
        <w:bidi w:val="0"/>
        <w:adjustRightInd/>
        <w:snapToGrid/>
        <w:spacing w:line="360" w:lineRule="auto"/>
        <w:ind w:firstLine="1201" w:firstLineChars="500"/>
        <w:jc w:val="center"/>
        <w:textAlignment w:val="auto"/>
        <w:rPr>
          <w:rFonts w:hint="eastAsia" w:ascii="华文隶书" w:hAnsi="宋体" w:eastAsia="华文隶书"/>
          <w:sz w:val="24"/>
          <w:szCs w:val="24"/>
        </w:rPr>
      </w:pPr>
      <w:r>
        <w:rPr>
          <w:rFonts w:hint="eastAsia" w:ascii="华文隶书" w:hAnsi="宋体" w:eastAsia="华文隶书"/>
          <w:b/>
          <w:bCs/>
          <w:sz w:val="24"/>
          <w:szCs w:val="24"/>
        </w:rPr>
        <w:t>我们为您服务，也非常感谢您的配合</w:t>
      </w:r>
    </w:p>
    <w:p w14:paraId="407FB6C8">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六、团队互助和配合</w:t>
      </w:r>
    </w:p>
    <w:p w14:paraId="4C5D2FF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1.旅游者参加团体旅游时请守时、勿迟到，尊重大家的时间。</w:t>
      </w:r>
    </w:p>
    <w:p w14:paraId="07663E0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2.请旅游者佩戴好团体识别证，以利导游及旅行团成员相互辩识，增进友谊。</w:t>
      </w:r>
    </w:p>
    <w:p w14:paraId="7DED56E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3.团体旅游应彼此包容，同舟共济，互帮互助，共同享受旅行乐趣。</w:t>
      </w:r>
    </w:p>
    <w:p w14:paraId="080C1D6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pacing w:val="-6"/>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spacing w:val="-6"/>
          <w:sz w:val="21"/>
          <w:szCs w:val="21"/>
        </w:rPr>
        <w:t>如旅游者需寻求帮助，可及时向导游反映，或者直接致电本公司相关工作人员，请勿与当地相关服务人员或第三人直接发生冲突。</w:t>
      </w:r>
    </w:p>
    <w:p w14:paraId="42FEA17C">
      <w:pPr>
        <w:keepNext w:val="0"/>
        <w:keepLines w:val="0"/>
        <w:pageBreakBefore w:val="0"/>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七、特别提示</w:t>
      </w:r>
    </w:p>
    <w:p w14:paraId="08F8364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1．为了确保旅游团顺利出行，防止在旅途中发生人身意外伤害事故，旅游者参团前如存在下列健康问题，请如实告知：</w:t>
      </w:r>
    </w:p>
    <w:p w14:paraId="113D7466">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（1）传染性疾病患者，如传染性肝炎、活动期肺结核、伤寒患者；</w:t>
      </w:r>
    </w:p>
    <w:p w14:paraId="71AD651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（2）神经/精神病患者，如癫痫及各种精神患者；</w:t>
      </w:r>
    </w:p>
    <w:p w14:paraId="4AEAD8EA">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（3）严重心血管疾病患者，如高血压、心功能不全（心肌缺氧、心肌梗塞）患者；</w:t>
      </w:r>
    </w:p>
    <w:p w14:paraId="0C298D9E">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（4）严重脑血管疾病患者，如脑栓塞、脑出血、脑肿瘤患者；</w:t>
      </w:r>
    </w:p>
    <w:p w14:paraId="5693168F">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（5）严重呼吸系统疾病患者，如肺气肿、肺心病患者；</w:t>
      </w:r>
    </w:p>
    <w:p w14:paraId="3B31B268">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（6）严重贫血病患者，如血红蛋白量水平在 50 克 / 升以下的患者；</w:t>
      </w:r>
    </w:p>
    <w:p w14:paraId="26F1CF61">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（7）大中型手术的恢复期病患者；</w:t>
      </w:r>
    </w:p>
    <w:p w14:paraId="71C5DAF9">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（8）孕妇和其他因身患疾病行动不便者。</w:t>
      </w:r>
    </w:p>
    <w:p w14:paraId="3B4EE99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2．旅游者隐瞒上述疾病参团旅游，如发生人身意外伤害事故，责任自负。</w:t>
      </w:r>
    </w:p>
    <w:p w14:paraId="35EA177C">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spacing w:val="-6"/>
          <w:sz w:val="21"/>
          <w:szCs w:val="21"/>
        </w:rPr>
      </w:pPr>
      <w:r>
        <w:rPr>
          <w:rFonts w:hint="eastAsia" w:asciiTheme="majorEastAsia" w:hAnsiTheme="majorEastAsia" w:eastAsiaTheme="majorEastAsia" w:cstheme="majorEastAsia"/>
          <w:b/>
          <w:spacing w:val="-6"/>
          <w:sz w:val="21"/>
          <w:szCs w:val="21"/>
        </w:rPr>
        <w:t>3．传染病、精神病等患者参团，如危及其他旅游者健康和安全的，其本人或者法定监护人应当承担相应赔偿责任。</w:t>
      </w:r>
    </w:p>
    <w:p w14:paraId="06E12BFF">
      <w:pPr>
        <w:keepNext w:val="0"/>
        <w:keepLines w:val="0"/>
        <w:pageBreakBefore w:val="0"/>
        <w:kinsoku/>
        <w:wordWrap/>
        <w:overflowPunct/>
        <w:topLinePunct w:val="0"/>
        <w:autoSpaceDE/>
        <w:autoSpaceDN/>
        <w:bidi w:val="0"/>
        <w:adjustRightInd/>
        <w:snapToGrid/>
        <w:spacing w:line="360" w:lineRule="auto"/>
        <w:ind w:firstLine="413" w:firstLineChars="196"/>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八、责任免除</w:t>
      </w:r>
    </w:p>
    <w:p w14:paraId="435D2F90">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w:t>
      </w:r>
    </w:p>
    <w:p w14:paraId="709C85D7">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2．旅游者在自行安排活动期间人身、财产权益受到损害的，旅行社在事前已尽到必要警示说明义务且事后已尽到必要救助义务的，旅行社不承担赔偿责任。</w:t>
      </w:r>
    </w:p>
    <w:p w14:paraId="61532FE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3．由于第三人侵害等不可归责于旅行社的原因导致旅游者人身、财产权益受到损害的，旅行社已尽到安全保障义务的，由第三人承担侵权责任，旅行社因协助处理而支出的相关费用由旅游者承担。</w:t>
      </w:r>
    </w:p>
    <w:p w14:paraId="19579FD4">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4．旅游者未经允许擅自闯入高度危险区域或者进入景区未开发、未开放区域导致人身和财产损失的，应当自担其责，并承担相应的救援费用。</w:t>
      </w:r>
    </w:p>
    <w:p w14:paraId="2F989945">
      <w:pPr>
        <w:keepNext w:val="0"/>
        <w:keepLines w:val="0"/>
        <w:pageBreakBefore w:val="0"/>
        <w:kinsoku/>
        <w:wordWrap/>
        <w:overflowPunct/>
        <w:topLinePunct w:val="0"/>
        <w:autoSpaceDE/>
        <w:autoSpaceDN/>
        <w:bidi w:val="0"/>
        <w:adjustRightInd/>
        <w:snapToGrid/>
        <w:spacing w:line="360" w:lineRule="auto"/>
        <w:ind w:firstLine="398" w:firstLineChars="200"/>
        <w:jc w:val="left"/>
        <w:textAlignment w:val="auto"/>
        <w:rPr>
          <w:rFonts w:hint="eastAsia" w:asciiTheme="majorEastAsia" w:hAnsiTheme="majorEastAsia" w:eastAsiaTheme="majorEastAsia" w:cstheme="majorEastAsia"/>
          <w:b/>
          <w:bCs/>
          <w:spacing w:val="-6"/>
          <w:sz w:val="21"/>
          <w:szCs w:val="21"/>
        </w:rPr>
      </w:pPr>
      <w:r>
        <w:rPr>
          <w:rFonts w:hint="eastAsia" w:asciiTheme="majorEastAsia" w:hAnsiTheme="majorEastAsia" w:eastAsiaTheme="majorEastAsia" w:cstheme="majorEastAsia"/>
          <w:b/>
          <w:bCs/>
          <w:spacing w:val="-6"/>
          <w:sz w:val="21"/>
          <w:szCs w:val="21"/>
        </w:rPr>
        <w:t>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w:t>
      </w:r>
    </w:p>
    <w:p w14:paraId="52EE48D1">
      <w:pPr>
        <w:keepNext w:val="0"/>
        <w:keepLines w:val="0"/>
        <w:pageBreakBefore w:val="0"/>
        <w:tabs>
          <w:tab w:val="left" w:pos="5565"/>
        </w:tabs>
        <w:kinsoku/>
        <w:wordWrap/>
        <w:overflowPunct/>
        <w:topLinePunct w:val="0"/>
        <w:autoSpaceDE/>
        <w:autoSpaceDN/>
        <w:bidi w:val="0"/>
        <w:adjustRightInd/>
        <w:snapToGrid/>
        <w:spacing w:line="360" w:lineRule="auto"/>
        <w:ind w:firstLine="422" w:firstLineChars="200"/>
        <w:jc w:val="left"/>
        <w:textAlignment w:val="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6.发生上述情形，如旅行社不履行协助处理义务致使旅游者人身、财产权益损失扩大的，旅行社应当就扩大的损失承担赔偿责任。</w:t>
      </w:r>
    </w:p>
    <w:p w14:paraId="0AFEFD6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b/>
          <w:bCs/>
          <w:sz w:val="24"/>
          <w:szCs w:val="24"/>
        </w:rPr>
      </w:pPr>
    </w:p>
    <w:p w14:paraId="36BF6B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隶书" w:hAnsi="宋体" w:eastAsia="华文隶书"/>
          <w:sz w:val="24"/>
          <w:szCs w:val="24"/>
        </w:rPr>
      </w:pPr>
      <w:r>
        <w:rPr>
          <w:rFonts w:hint="eastAsia" w:ascii="华文隶书" w:hAnsi="宋体" w:eastAsia="华文隶书"/>
          <w:b/>
          <w:bCs/>
          <w:sz w:val="24"/>
          <w:szCs w:val="24"/>
        </w:rPr>
        <w:t>祝您愉快出行，满意而归，期待下一次和您见面</w:t>
      </w:r>
    </w:p>
    <w:p w14:paraId="050F42A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九、文明出行，树立良好形象</w:t>
      </w:r>
    </w:p>
    <w:p w14:paraId="5D2B2B26">
      <w:pPr>
        <w:pStyle w:val="46"/>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《中国公民国内旅游文明行为公约》</w:t>
      </w:r>
    </w:p>
    <w:p w14:paraId="192B08A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营造文明、和谐的旅游环境，关系到每位旅游者的切身利益。做文明旅游者是我们大家的义务，请遵守以下公约：</w:t>
      </w:r>
    </w:p>
    <w:p w14:paraId="7E5686B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1．维护环境卫生。不随地吐痰和口香糖，不乱扔废弃物，不在禁烟场所吸烟。</w:t>
      </w:r>
    </w:p>
    <w:p w14:paraId="4FB71CEA">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2．遵守公共秩序。不喧哗吵闹，排队遵守秩序，不并行挡道，不在公众场所高声交谈。</w:t>
      </w:r>
    </w:p>
    <w:p w14:paraId="544FA8E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3．保护生态环境。不踩踏绿地，不摘折花木和果实，不追捉、投打、乱喂动物。</w:t>
      </w:r>
    </w:p>
    <w:p w14:paraId="4E72B39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4．保护文物古迹。不在文物古迹上涂刻，不攀爬触摸文物，拍照摄像遵守规定。</w:t>
      </w:r>
    </w:p>
    <w:p w14:paraId="47C2AF30">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5．爱惜公共设施。不污损客房用品，不损坏公用设施，不贪占小便宜，节约用水用电，用餐不浪费。 </w:t>
      </w:r>
    </w:p>
    <w:p w14:paraId="398A78F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6．尊重别人权利。不强行和外宾合影，不对着别人打喷嚏，不长期占用公共设施，尊重服务人员的劳动，尊重各民族宗教习俗。 </w:t>
      </w:r>
    </w:p>
    <w:p w14:paraId="03BB3CB4">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7．讲究以礼待人。衣着整洁得体，不在公共场所袒胸赤膊;礼让老幼病残，礼让女士;不讲粗话。</w:t>
      </w:r>
    </w:p>
    <w:p w14:paraId="72B3260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8．提倡健康娱乐。抵制封建迷信活动，拒绝黄、赌、毒。 </w:t>
      </w:r>
    </w:p>
    <w:p w14:paraId="3827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十、结束语</w:t>
      </w:r>
    </w:p>
    <w:p w14:paraId="44611FE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rPr>
      </w:pPr>
      <w:bookmarkStart w:id="80" w:name="_Hlk105089843"/>
      <w:r>
        <w:rPr>
          <w:rFonts w:hint="eastAsia" w:asciiTheme="majorEastAsia" w:hAnsiTheme="majorEastAsia" w:eastAsiaTheme="majorEastAsia" w:cstheme="majorEastAsia"/>
          <w:sz w:val="21"/>
          <w:szCs w:val="21"/>
        </w:rPr>
        <w:t>旅游安全是旅游活动的头等大事，做好境内旅游安全是本公司与全体旅游者的共同心愿与责任。尊敬的旅游者，为了您和他人的幸福，请注意旅游安全！</w:t>
      </w:r>
    </w:p>
    <w:p w14:paraId="483B028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p>
    <w:p w14:paraId="6D9FFD0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公司</w:t>
      </w:r>
    </w:p>
    <w:p w14:paraId="6BE7B64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sz w:val="24"/>
          <w:szCs w:val="24"/>
        </w:rPr>
      </w:pPr>
    </w:p>
    <w:p w14:paraId="66D3F2F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r>
        <w:rPr>
          <w:rFonts w:hint="eastAsia" w:ascii="宋体" w:hAnsi="宋体"/>
          <w:sz w:val="21"/>
          <w:szCs w:val="21"/>
        </w:rPr>
        <w:t>就旅游合同和本安全须知中的</w:t>
      </w:r>
      <w:r>
        <w:rPr>
          <w:rFonts w:hint="eastAsia"/>
          <w:sz w:val="21"/>
          <w:szCs w:val="21"/>
        </w:rPr>
        <w:t>特别提示、责任免除等相关约定，你公司已提醒我注意并作出充分说明，对此内容</w:t>
      </w:r>
      <w:r>
        <w:rPr>
          <w:rFonts w:hint="eastAsia" w:ascii="宋体" w:hAnsi="宋体"/>
          <w:sz w:val="21"/>
          <w:szCs w:val="21"/>
        </w:rPr>
        <w:t>我已知悉。根据我目前的健康状况，我适宜参加本次旅游。</w:t>
      </w:r>
    </w:p>
    <w:bookmarkEnd w:id="80"/>
    <w:p w14:paraId="33DC896E">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z w:val="21"/>
          <w:szCs w:val="21"/>
        </w:rPr>
      </w:pPr>
    </w:p>
    <w:p w14:paraId="43D5C26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bCs/>
          <w:sz w:val="21"/>
          <w:szCs w:val="21"/>
        </w:rPr>
      </w:pPr>
      <w:r>
        <w:rPr>
          <w:rFonts w:hint="eastAsia" w:ascii="宋体" w:hAnsi="宋体"/>
          <w:sz w:val="21"/>
          <w:szCs w:val="21"/>
        </w:rPr>
        <w:t xml:space="preserve">旅游者（签名）： </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lang w:val="en-US" w:eastAsia="zh-CN"/>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日</w:t>
      </w:r>
    </w:p>
    <w:p w14:paraId="7F179282">
      <w:pPr>
        <w:pStyle w:val="4"/>
        <w:spacing w:line="5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第五部分　投标相关文件格式</w:t>
      </w:r>
      <w:bookmarkEnd w:id="78"/>
      <w:bookmarkStart w:id="81" w:name="_Toc15805942"/>
      <w:bookmarkStart w:id="82" w:name="_Toc45506740"/>
      <w:bookmarkStart w:id="83" w:name="_Toc47756041"/>
      <w:bookmarkStart w:id="84" w:name="_Toc15813259"/>
    </w:p>
    <w:p w14:paraId="7E3E4688">
      <w:pPr>
        <w:pStyle w:val="5"/>
        <w:ind w:firstLine="0" w:firstLineChars="0"/>
        <w:jc w:val="center"/>
        <w:rPr>
          <w:rFonts w:ascii="宋体" w:hAnsi="宋体" w:eastAsia="宋体" w:cs="宋体"/>
          <w:color w:val="auto"/>
          <w:sz w:val="21"/>
          <w:szCs w:val="21"/>
          <w:highlight w:val="none"/>
        </w:rPr>
      </w:pPr>
      <w:bookmarkStart w:id="85" w:name="_Toc43498237"/>
      <w:r>
        <w:rPr>
          <w:rFonts w:hint="eastAsia" w:ascii="宋体" w:hAnsi="宋体" w:eastAsia="宋体" w:cs="宋体"/>
          <w:color w:val="auto"/>
          <w:sz w:val="21"/>
          <w:szCs w:val="21"/>
          <w:highlight w:val="none"/>
        </w:rPr>
        <w:t>一 资格审查文件格式</w:t>
      </w:r>
      <w:bookmarkEnd w:id="85"/>
    </w:p>
    <w:p w14:paraId="1CF5D955">
      <w:pPr>
        <w:numPr>
          <w:ilvl w:val="0"/>
          <w:numId w:val="7"/>
        </w:numPr>
        <w:spacing w:line="360" w:lineRule="auto"/>
        <w:jc w:val="left"/>
        <w:rPr>
          <w:rFonts w:ascii="宋体" w:hAnsi="宋体" w:cs="宋体"/>
          <w:color w:val="auto"/>
          <w:highlight w:val="none"/>
        </w:rPr>
      </w:pPr>
      <w:bookmarkStart w:id="86" w:name="_Toc493956055"/>
      <w:bookmarkStart w:id="87" w:name="_Toc494555869"/>
      <w:bookmarkStart w:id="88" w:name="_Toc493956054"/>
      <w:bookmarkStart w:id="89" w:name="_Toc494555872"/>
      <w:bookmarkStart w:id="90" w:name="_Toc494555871"/>
      <w:bookmarkStart w:id="91" w:name="_Toc493956053"/>
      <w:bookmarkStart w:id="92" w:name="_Toc494555870"/>
      <w:bookmarkStart w:id="93" w:name="_Toc494555873"/>
      <w:r>
        <w:rPr>
          <w:rFonts w:hint="eastAsia" w:ascii="宋体" w:hAnsi="宋体" w:cs="宋体"/>
          <w:color w:val="auto"/>
          <w:highlight w:val="none"/>
        </w:rPr>
        <w:t>营业执照</w:t>
      </w:r>
    </w:p>
    <w:p w14:paraId="554D79DC">
      <w:pPr>
        <w:numPr>
          <w:ilvl w:val="0"/>
          <w:numId w:val="7"/>
        </w:numPr>
        <w:spacing w:line="360" w:lineRule="auto"/>
        <w:jc w:val="left"/>
        <w:rPr>
          <w:rFonts w:ascii="宋体" w:hAnsi="宋体" w:cs="宋体"/>
          <w:color w:val="auto"/>
          <w:highlight w:val="none"/>
        </w:rPr>
      </w:pPr>
      <w:r>
        <w:rPr>
          <w:rFonts w:hint="eastAsia" w:ascii="宋体" w:hAnsi="宋体" w:cs="宋体"/>
          <w:color w:val="auto"/>
          <w:highlight w:val="none"/>
        </w:rPr>
        <w:t>关于财务状况、缴纳税收和社会保障资金的承诺函</w:t>
      </w:r>
    </w:p>
    <w:p w14:paraId="0FD2349C">
      <w:pPr>
        <w:spacing w:line="360" w:lineRule="auto"/>
        <w:jc w:val="left"/>
        <w:rPr>
          <w:rFonts w:ascii="宋体" w:hAnsi="宋体" w:cs="宋体"/>
          <w:color w:val="auto"/>
          <w:highlight w:val="none"/>
        </w:rPr>
      </w:pPr>
      <w:r>
        <w:rPr>
          <w:rFonts w:hint="eastAsia" w:ascii="宋体" w:hAnsi="宋体" w:cs="宋体"/>
          <w:color w:val="auto"/>
          <w:highlight w:val="none"/>
        </w:rPr>
        <w:t>3、履约承诺函</w:t>
      </w:r>
    </w:p>
    <w:p w14:paraId="29081237">
      <w:pPr>
        <w:spacing w:line="360" w:lineRule="auto"/>
        <w:jc w:val="left"/>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431B4DAC">
      <w:pPr>
        <w:spacing w:line="360" w:lineRule="auto"/>
        <w:jc w:val="left"/>
        <w:rPr>
          <w:rFonts w:ascii="宋体" w:hAnsi="宋体" w:cs="宋体"/>
          <w:color w:val="auto"/>
          <w:highlight w:val="none"/>
        </w:rPr>
      </w:pPr>
      <w:r>
        <w:rPr>
          <w:rFonts w:hint="eastAsia" w:ascii="宋体" w:hAnsi="宋体" w:cs="宋体"/>
          <w:color w:val="auto"/>
          <w:highlight w:val="none"/>
        </w:rPr>
        <w:t>5、无重大违法记录声明书</w:t>
      </w:r>
    </w:p>
    <w:p w14:paraId="3AE811BB">
      <w:pPr>
        <w:spacing w:line="360" w:lineRule="auto"/>
        <w:jc w:val="left"/>
        <w:rPr>
          <w:rFonts w:hint="eastAsia" w:ascii="宋体" w:hAnsi="宋体" w:cs="宋体"/>
          <w:color w:val="auto"/>
          <w:highlight w:val="none"/>
        </w:rPr>
      </w:pPr>
      <w:r>
        <w:rPr>
          <w:rFonts w:hint="eastAsia" w:ascii="宋体" w:hAnsi="宋体" w:cs="宋体"/>
          <w:color w:val="auto"/>
          <w:highlight w:val="none"/>
        </w:rPr>
        <w:t>6、授权委托书、身份证</w:t>
      </w:r>
      <w:bookmarkEnd w:id="86"/>
      <w:bookmarkEnd w:id="87"/>
      <w:bookmarkEnd w:id="88"/>
      <w:bookmarkEnd w:id="89"/>
      <w:bookmarkEnd w:id="90"/>
      <w:bookmarkEnd w:id="91"/>
      <w:bookmarkEnd w:id="92"/>
      <w:bookmarkEnd w:id="93"/>
    </w:p>
    <w:p w14:paraId="32D5F21D">
      <w:pPr>
        <w:spacing w:line="360" w:lineRule="auto"/>
        <w:jc w:val="left"/>
        <w:rPr>
          <w:rFonts w:hint="eastAsia"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4E93592C">
      <w:pPr>
        <w:spacing w:line="360" w:lineRule="auto"/>
        <w:jc w:val="left"/>
        <w:rPr>
          <w:color w:val="auto"/>
          <w:highlight w:val="none"/>
        </w:rPr>
      </w:pPr>
      <w:r>
        <w:rPr>
          <w:rFonts w:hint="eastAsia" w:ascii="宋体" w:hAnsi="宋体" w:cs="宋体"/>
          <w:color w:val="auto"/>
          <w:highlight w:val="none"/>
          <w:lang w:val="en-US" w:eastAsia="zh-CN"/>
        </w:rPr>
        <w:t>8、《旅行社业务经营许可证</w:t>
      </w:r>
      <w:r>
        <w:rPr>
          <w:rFonts w:hint="eastAsia" w:ascii="宋体" w:hAnsi="宋体" w:cs="宋体"/>
          <w:color w:val="auto"/>
          <w:highlight w:val="none"/>
          <w:u w:val="none"/>
          <w:lang w:val="en-US" w:eastAsia="zh-CN"/>
        </w:rPr>
        <w:t>》</w:t>
      </w:r>
      <w:r>
        <w:rPr>
          <w:rFonts w:hint="eastAsia" w:ascii="宋体" w:hAnsi="宋体" w:cs="宋体"/>
          <w:color w:val="auto"/>
          <w:highlight w:val="none"/>
          <w:u w:val="none"/>
        </w:rPr>
        <w:t>扫描件</w:t>
      </w:r>
      <w:r>
        <w:rPr>
          <w:rFonts w:hint="eastAsia" w:ascii="宋体" w:hAnsi="宋体" w:cs="宋体"/>
          <w:color w:val="auto"/>
          <w:highlight w:val="none"/>
          <w:u w:val="none"/>
          <w:lang w:val="en-US" w:eastAsia="zh-CN"/>
        </w:rPr>
        <w:t>或复印件</w:t>
      </w:r>
    </w:p>
    <w:p w14:paraId="43C2E258">
      <w:pPr>
        <w:pStyle w:val="19"/>
        <w:rPr>
          <w:color w:val="auto"/>
          <w:highlight w:val="none"/>
        </w:rPr>
      </w:pPr>
    </w:p>
    <w:p w14:paraId="5E326360">
      <w:pPr>
        <w:spacing w:line="360" w:lineRule="auto"/>
        <w:jc w:val="left"/>
        <w:rPr>
          <w:rFonts w:ascii="宋体" w:hAnsi="宋体" w:cs="宋体"/>
          <w:color w:val="auto"/>
          <w:highlight w:val="none"/>
        </w:rPr>
      </w:pPr>
    </w:p>
    <w:p w14:paraId="42A11002">
      <w:pPr>
        <w:spacing w:line="360" w:lineRule="auto"/>
        <w:rPr>
          <w:rFonts w:ascii="宋体" w:hAnsi="宋体" w:cs="宋体"/>
          <w:color w:val="auto"/>
          <w:highlight w:val="none"/>
        </w:rPr>
      </w:pPr>
    </w:p>
    <w:p w14:paraId="732D3DAF">
      <w:pPr>
        <w:spacing w:line="360" w:lineRule="auto"/>
        <w:rPr>
          <w:rFonts w:ascii="宋体" w:hAnsi="宋体" w:cs="宋体"/>
          <w:color w:val="auto"/>
          <w:highlight w:val="none"/>
        </w:rPr>
        <w:sectPr>
          <w:headerReference r:id="rId10" w:type="default"/>
          <w:footerReference r:id="rId11" w:type="default"/>
          <w:pgSz w:w="11906" w:h="16838"/>
          <w:pgMar w:top="1361" w:right="1440" w:bottom="1361" w:left="1440" w:header="851" w:footer="992" w:gutter="0"/>
          <w:cols w:space="425" w:num="1"/>
          <w:titlePg/>
          <w:docGrid w:type="lines" w:linePitch="312" w:charSpace="0"/>
        </w:sectPr>
      </w:pPr>
    </w:p>
    <w:p w14:paraId="3987C294">
      <w:pPr>
        <w:jc w:val="center"/>
        <w:rPr>
          <w:rFonts w:ascii="宋体" w:hAnsi="宋体" w:cs="宋体"/>
          <w:color w:val="auto"/>
          <w:highlight w:val="none"/>
        </w:rPr>
      </w:pPr>
      <w:r>
        <w:rPr>
          <w:rFonts w:hint="eastAsia" w:ascii="宋体" w:hAnsi="宋体" w:cs="宋体"/>
          <w:color w:val="auto"/>
          <w:highlight w:val="none"/>
        </w:rPr>
        <w:t>1、营业执照</w:t>
      </w:r>
    </w:p>
    <w:p w14:paraId="40EF21B1">
      <w:pPr>
        <w:spacing w:line="360" w:lineRule="auto"/>
        <w:rPr>
          <w:rFonts w:ascii="宋体" w:hAnsi="宋体" w:cs="宋体"/>
          <w:color w:val="auto"/>
          <w:highlight w:val="none"/>
        </w:rPr>
      </w:pPr>
    </w:p>
    <w:p w14:paraId="2761AACF">
      <w:pPr>
        <w:spacing w:line="360" w:lineRule="auto"/>
        <w:rPr>
          <w:rFonts w:ascii="宋体" w:hAnsi="宋体" w:cs="宋体"/>
          <w:color w:val="auto"/>
          <w:highlight w:val="none"/>
        </w:rPr>
      </w:pPr>
    </w:p>
    <w:p w14:paraId="0BA20887">
      <w:pPr>
        <w:spacing w:line="360" w:lineRule="auto"/>
        <w:rPr>
          <w:rFonts w:ascii="宋体" w:hAnsi="宋体" w:cs="宋体"/>
          <w:color w:val="auto"/>
          <w:highlight w:val="none"/>
        </w:rPr>
      </w:pPr>
    </w:p>
    <w:p w14:paraId="3EEFABE0">
      <w:pPr>
        <w:spacing w:line="360" w:lineRule="auto"/>
        <w:jc w:val="center"/>
        <w:rPr>
          <w:rFonts w:ascii="宋体" w:hAnsi="宋体" w:cs="宋体"/>
          <w:color w:val="auto"/>
          <w:highlight w:val="none"/>
        </w:rPr>
      </w:pPr>
      <w:r>
        <w:rPr>
          <w:rFonts w:hint="eastAsia" w:ascii="宋体" w:hAnsi="宋体" w:cs="宋体"/>
          <w:color w:val="auto"/>
          <w:highlight w:val="none"/>
        </w:rPr>
        <w:t>2、关于财务状况、缴纳税收和社会保障资金的承诺函</w:t>
      </w:r>
    </w:p>
    <w:p w14:paraId="44862570">
      <w:pPr>
        <w:pStyle w:val="103"/>
        <w:spacing w:line="360" w:lineRule="auto"/>
        <w:jc w:val="center"/>
        <w:rPr>
          <w:rFonts w:ascii="宋体" w:hAnsi="宋体" w:cs="宋体"/>
          <w:color w:val="auto"/>
          <w:highlight w:val="none"/>
          <w:u w:val="single"/>
        </w:rPr>
      </w:pPr>
    </w:p>
    <w:p w14:paraId="79615572">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3BEC8029">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我公司作为该项目的投标人，郑重承诺具备以下条件：符合参与政府采购活动的资格条件，具有良好的商业信誉和健全的财务制度以及良好的财务状况，具有依法缴纳税收和社会保障资金的良好记录。</w:t>
      </w:r>
    </w:p>
    <w:p w14:paraId="577A4B6A">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35063E5D">
      <w:pPr>
        <w:pStyle w:val="326"/>
        <w:spacing w:after="120" w:line="360" w:lineRule="auto"/>
        <w:rPr>
          <w:rFonts w:ascii="宋体" w:hAnsi="宋体" w:cs="宋体"/>
          <w:color w:val="auto"/>
          <w:highlight w:val="none"/>
        </w:rPr>
      </w:pPr>
    </w:p>
    <w:p w14:paraId="4B5897AB">
      <w:pPr>
        <w:pStyle w:val="27"/>
        <w:spacing w:line="360" w:lineRule="auto"/>
        <w:ind w:right="480" w:firstLine="2100" w:firstLineChars="1000"/>
        <w:rPr>
          <w:rFonts w:hAnsi="宋体"/>
          <w:color w:val="auto"/>
          <w:highlight w:val="none"/>
        </w:rPr>
      </w:pPr>
    </w:p>
    <w:p w14:paraId="7F2C13A1">
      <w:pPr>
        <w:pStyle w:val="27"/>
        <w:spacing w:line="360" w:lineRule="auto"/>
        <w:ind w:right="480"/>
        <w:jc w:val="center"/>
        <w:rPr>
          <w:rFonts w:hAnsi="宋体"/>
          <w:color w:val="auto"/>
          <w:highlight w:val="none"/>
        </w:rPr>
      </w:pPr>
      <w:r>
        <w:rPr>
          <w:rFonts w:hint="eastAsia" w:hAnsi="宋体"/>
          <w:color w:val="auto"/>
          <w:highlight w:val="none"/>
        </w:rPr>
        <w:t>　　　　投标人(公章)：</w:t>
      </w:r>
    </w:p>
    <w:p w14:paraId="1C5E98BC">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5B5AFB46">
      <w:pPr>
        <w:pStyle w:val="326"/>
        <w:spacing w:after="120" w:line="360" w:lineRule="auto"/>
        <w:ind w:firstLine="420" w:firstLineChars="200"/>
        <w:rPr>
          <w:rFonts w:ascii="宋体" w:hAnsi="宋体" w:cs="宋体"/>
          <w:color w:val="auto"/>
          <w:highlight w:val="none"/>
        </w:rPr>
      </w:pPr>
    </w:p>
    <w:p w14:paraId="1A7A856D">
      <w:pPr>
        <w:pStyle w:val="103"/>
        <w:numPr>
          <w:ilvl w:val="255"/>
          <w:numId w:val="0"/>
        </w:numPr>
        <w:spacing w:line="360" w:lineRule="auto"/>
        <w:jc w:val="center"/>
        <w:rPr>
          <w:rFonts w:ascii="宋体" w:hAnsi="宋体" w:cs="宋体"/>
          <w:color w:val="auto"/>
          <w:highlight w:val="none"/>
        </w:rPr>
      </w:pPr>
      <w:r>
        <w:rPr>
          <w:rFonts w:hint="eastAsia" w:ascii="宋体" w:hAnsi="宋体" w:cs="宋体"/>
          <w:color w:val="auto"/>
          <w:highlight w:val="none"/>
        </w:rPr>
        <w:t>3、履约承诺函</w:t>
      </w:r>
    </w:p>
    <w:p w14:paraId="15FA2FC5">
      <w:pPr>
        <w:pStyle w:val="103"/>
        <w:numPr>
          <w:ilvl w:val="255"/>
          <w:numId w:val="0"/>
        </w:numPr>
        <w:spacing w:line="360" w:lineRule="auto"/>
        <w:jc w:val="center"/>
        <w:rPr>
          <w:rFonts w:ascii="宋体" w:hAnsi="宋体" w:cs="宋体"/>
          <w:color w:val="auto"/>
          <w:highlight w:val="none"/>
        </w:rPr>
      </w:pPr>
    </w:p>
    <w:p w14:paraId="6BF79079">
      <w:pPr>
        <w:pStyle w:val="103"/>
        <w:spacing w:line="360" w:lineRule="auto"/>
        <w:rPr>
          <w:rFonts w:ascii="宋体" w:hAnsi="宋体" w:cs="宋体"/>
          <w:color w:val="auto"/>
          <w:highlight w:val="none"/>
          <w:u w:val="single"/>
        </w:rPr>
      </w:pPr>
      <w:r>
        <w:rPr>
          <w:rFonts w:hint="eastAsia" w:ascii="宋体" w:hAnsi="宋体" w:cs="宋体"/>
          <w:color w:val="auto"/>
          <w:highlight w:val="none"/>
          <w:u w:val="single"/>
        </w:rPr>
        <w:t>（采购人名称）：</w:t>
      </w:r>
    </w:p>
    <w:p w14:paraId="49DEF3AB">
      <w:pPr>
        <w:pStyle w:val="326"/>
        <w:spacing w:line="360" w:lineRule="auto"/>
        <w:ind w:firstLine="444" w:firstLineChars="200"/>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我公司作为该项目的投标人，郑重承诺我公司按采购文件要求完成本项目</w:t>
      </w:r>
      <w:r>
        <w:rPr>
          <w:rFonts w:hint="eastAsia" w:ascii="宋体" w:hAnsi="宋体" w:cs="宋体"/>
          <w:color w:val="auto"/>
          <w:highlight w:val="none"/>
          <w:lang w:val="en-US" w:eastAsia="zh-CN"/>
        </w:rPr>
        <w:t>服务内容</w:t>
      </w:r>
      <w:r>
        <w:rPr>
          <w:rFonts w:hint="eastAsia" w:ascii="宋体" w:hAnsi="宋体" w:cs="宋体"/>
          <w:color w:val="auto"/>
          <w:highlight w:val="none"/>
        </w:rPr>
        <w:t>。</w:t>
      </w:r>
    </w:p>
    <w:p w14:paraId="4F02D30C">
      <w:pPr>
        <w:pStyle w:val="103"/>
        <w:spacing w:line="360" w:lineRule="auto"/>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772A28C4">
      <w:pPr>
        <w:pStyle w:val="326"/>
        <w:spacing w:after="120" w:line="360" w:lineRule="auto"/>
        <w:rPr>
          <w:rFonts w:ascii="宋体" w:hAnsi="宋体" w:cs="宋体"/>
          <w:color w:val="auto"/>
          <w:highlight w:val="none"/>
        </w:rPr>
      </w:pPr>
    </w:p>
    <w:p w14:paraId="0C522B11">
      <w:pPr>
        <w:pStyle w:val="27"/>
        <w:spacing w:line="360" w:lineRule="auto"/>
        <w:ind w:right="480" w:firstLine="2100" w:firstLineChars="1000"/>
        <w:rPr>
          <w:rFonts w:hAnsi="宋体"/>
          <w:color w:val="auto"/>
          <w:highlight w:val="none"/>
        </w:rPr>
      </w:pPr>
    </w:p>
    <w:p w14:paraId="4C419214">
      <w:pPr>
        <w:pStyle w:val="27"/>
        <w:spacing w:line="360" w:lineRule="auto"/>
        <w:ind w:right="480"/>
        <w:jc w:val="center"/>
        <w:rPr>
          <w:rFonts w:hAnsi="宋体"/>
          <w:color w:val="auto"/>
          <w:highlight w:val="none"/>
        </w:rPr>
      </w:pPr>
      <w:r>
        <w:rPr>
          <w:rFonts w:hint="eastAsia" w:hAnsi="宋体"/>
          <w:color w:val="auto"/>
          <w:highlight w:val="none"/>
        </w:rPr>
        <w:t>　　　　投标人(公章)：</w:t>
      </w:r>
    </w:p>
    <w:p w14:paraId="52854839">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7E715CC6">
      <w:pPr>
        <w:spacing w:line="360" w:lineRule="auto"/>
        <w:jc w:val="center"/>
        <w:rPr>
          <w:rFonts w:ascii="宋体" w:hAnsi="宋体" w:cs="宋体"/>
          <w:color w:val="auto"/>
          <w:sz w:val="24"/>
          <w:szCs w:val="24"/>
          <w:highlight w:val="none"/>
        </w:rPr>
      </w:pPr>
    </w:p>
    <w:p w14:paraId="6856531E">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5F3AFC2C">
      <w:pPr>
        <w:spacing w:line="360" w:lineRule="auto"/>
        <w:jc w:val="center"/>
        <w:rPr>
          <w:rFonts w:ascii="宋体" w:hAnsi="宋体" w:cs="宋体"/>
          <w:color w:val="auto"/>
          <w:highlight w:val="none"/>
        </w:rPr>
      </w:pPr>
      <w:r>
        <w:rPr>
          <w:rFonts w:hint="eastAsia" w:ascii="宋体" w:hAnsi="宋体" w:cs="宋体"/>
          <w:color w:val="auto"/>
          <w:highlight w:val="none"/>
        </w:rPr>
        <w:t>4、具有履行合同必须的专业技术能力承诺函</w:t>
      </w:r>
    </w:p>
    <w:p w14:paraId="7149B0CA">
      <w:pPr>
        <w:pStyle w:val="103"/>
        <w:spacing w:line="400" w:lineRule="exact"/>
        <w:rPr>
          <w:rFonts w:ascii="宋体" w:hAnsi="宋体" w:cs="宋体"/>
          <w:color w:val="auto"/>
          <w:highlight w:val="none"/>
          <w:u w:val="single"/>
        </w:rPr>
      </w:pPr>
      <w:r>
        <w:rPr>
          <w:rFonts w:hint="eastAsia" w:ascii="宋体" w:hAnsi="宋体" w:cs="宋体"/>
          <w:color w:val="auto"/>
          <w:highlight w:val="none"/>
          <w:u w:val="single"/>
        </w:rPr>
        <w:t>（采购人名称）：</w:t>
      </w:r>
    </w:p>
    <w:p w14:paraId="302482CC">
      <w:pPr>
        <w:pStyle w:val="103"/>
        <w:spacing w:line="400" w:lineRule="exact"/>
        <w:ind w:firstLine="499" w:firstLineChars="225"/>
        <w:rPr>
          <w:rFonts w:ascii="宋体" w:hAnsi="宋体" w:cs="宋体"/>
          <w:color w:val="auto"/>
          <w:highlight w:val="none"/>
        </w:rPr>
      </w:pPr>
      <w:r>
        <w:rPr>
          <w:rFonts w:hint="eastAsia" w:ascii="宋体" w:hAnsi="宋体" w:cs="宋体"/>
          <w:color w:val="auto"/>
          <w:spacing w:val="6"/>
          <w:highlight w:val="none"/>
        </w:rPr>
        <w:t>贵公司组织的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w:t>
      </w:r>
      <w:r>
        <w:rPr>
          <w:rFonts w:hint="eastAsia" w:ascii="宋体" w:hAnsi="宋体" w:cs="宋体"/>
          <w:color w:val="auto"/>
          <w:highlight w:val="none"/>
        </w:rPr>
        <w:t>我公司在完全理解本项目招标的技术要求、商务条款及其他内容后, 决定参与该项目的招标活动。并承诺,如中标,我公司将提供足够的专业技术能力保证本合同履行。</w:t>
      </w:r>
    </w:p>
    <w:p w14:paraId="4485FB28">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（一）企业基本情况</w:t>
      </w:r>
    </w:p>
    <w:p w14:paraId="298C0A1B">
      <w:pPr>
        <w:pStyle w:val="170"/>
        <w:spacing w:line="400" w:lineRule="exact"/>
        <w:ind w:firstLine="420"/>
        <w:rPr>
          <w:rFonts w:hAnsi="宋体" w:cs="宋体"/>
          <w:color w:val="auto"/>
          <w:highlight w:val="none"/>
        </w:rPr>
      </w:pPr>
      <w:r>
        <w:rPr>
          <w:rFonts w:hint="eastAsia" w:hAnsi="宋体" w:cs="宋体"/>
          <w:color w:val="auto"/>
          <w:highlight w:val="none"/>
        </w:rPr>
        <w:t xml:space="preserve">1．企业名称：________________________________________________ </w:t>
      </w:r>
    </w:p>
    <w:p w14:paraId="06DA87D2">
      <w:pPr>
        <w:pStyle w:val="170"/>
        <w:spacing w:line="400" w:lineRule="exact"/>
        <w:ind w:firstLine="420"/>
        <w:rPr>
          <w:rFonts w:hAnsi="宋体" w:cs="宋体"/>
          <w:b/>
          <w:bCs/>
          <w:color w:val="auto"/>
          <w:highlight w:val="none"/>
        </w:rPr>
      </w:pPr>
      <w:r>
        <w:rPr>
          <w:rFonts w:hint="eastAsia" w:hAnsi="宋体" w:cs="宋体"/>
          <w:color w:val="auto"/>
          <w:highlight w:val="none"/>
        </w:rPr>
        <w:t>银行开户名称：________________________________________________</w:t>
      </w:r>
    </w:p>
    <w:p w14:paraId="2B645D94">
      <w:pPr>
        <w:pStyle w:val="170"/>
        <w:spacing w:line="400" w:lineRule="exact"/>
        <w:ind w:firstLine="420"/>
        <w:rPr>
          <w:rFonts w:hAnsi="宋体" w:cs="宋体"/>
          <w:color w:val="auto"/>
          <w:highlight w:val="none"/>
        </w:rPr>
      </w:pPr>
      <w:r>
        <w:rPr>
          <w:rFonts w:hint="eastAsia" w:hAnsi="宋体" w:cs="宋体"/>
          <w:color w:val="auto"/>
          <w:highlight w:val="none"/>
        </w:rPr>
        <w:t xml:space="preserve">    开户银行：_________________________________________________ </w:t>
      </w:r>
    </w:p>
    <w:p w14:paraId="2DFAF42B">
      <w:pPr>
        <w:pStyle w:val="170"/>
        <w:spacing w:line="400" w:lineRule="exact"/>
        <w:ind w:firstLine="420"/>
        <w:rPr>
          <w:rFonts w:hAnsi="宋体" w:cs="宋体"/>
          <w:color w:val="auto"/>
          <w:highlight w:val="none"/>
        </w:rPr>
      </w:pPr>
      <w:r>
        <w:rPr>
          <w:rFonts w:hint="eastAsia" w:hAnsi="宋体" w:cs="宋体"/>
          <w:color w:val="auto"/>
          <w:highlight w:val="none"/>
        </w:rPr>
        <w:t xml:space="preserve">    账    号：________________________________________________ </w:t>
      </w:r>
    </w:p>
    <w:p w14:paraId="69DC4E90">
      <w:pPr>
        <w:pStyle w:val="170"/>
        <w:spacing w:line="400" w:lineRule="exact"/>
        <w:ind w:firstLine="420"/>
        <w:rPr>
          <w:rFonts w:hAnsi="宋体" w:cs="宋体"/>
          <w:color w:val="auto"/>
          <w:highlight w:val="none"/>
        </w:rPr>
      </w:pPr>
      <w:r>
        <w:rPr>
          <w:rFonts w:hint="eastAsia" w:hAnsi="宋体" w:cs="宋体"/>
          <w:color w:val="auto"/>
          <w:highlight w:val="none"/>
        </w:rPr>
        <w:t xml:space="preserve">企业详细地址：________________________________________________ </w:t>
      </w:r>
    </w:p>
    <w:p w14:paraId="7D777E27">
      <w:pPr>
        <w:pStyle w:val="170"/>
        <w:spacing w:line="400" w:lineRule="exact"/>
        <w:ind w:firstLine="420"/>
        <w:rPr>
          <w:rFonts w:hAnsi="宋体" w:cs="宋体"/>
          <w:color w:val="auto"/>
          <w:highlight w:val="none"/>
        </w:rPr>
      </w:pPr>
      <w:r>
        <w:rPr>
          <w:rFonts w:hint="eastAsia" w:hAnsi="宋体" w:cs="宋体"/>
          <w:color w:val="auto"/>
          <w:highlight w:val="none"/>
        </w:rPr>
        <w:t xml:space="preserve">    传    真： ________________________________________________</w:t>
      </w:r>
    </w:p>
    <w:p w14:paraId="15A3C1E0">
      <w:pPr>
        <w:pStyle w:val="170"/>
        <w:spacing w:line="400" w:lineRule="exact"/>
        <w:ind w:firstLine="420"/>
        <w:rPr>
          <w:rFonts w:hAnsi="宋体" w:cs="宋体"/>
          <w:color w:val="auto"/>
          <w:highlight w:val="none"/>
        </w:rPr>
      </w:pPr>
      <w:r>
        <w:rPr>
          <w:rFonts w:hint="eastAsia" w:hAnsi="宋体" w:cs="宋体"/>
          <w:color w:val="auto"/>
          <w:highlight w:val="none"/>
        </w:rPr>
        <w:t xml:space="preserve">    电    话： ________________________________________________</w:t>
      </w:r>
    </w:p>
    <w:p w14:paraId="40601D55">
      <w:pPr>
        <w:pStyle w:val="170"/>
        <w:spacing w:line="400" w:lineRule="exact"/>
        <w:ind w:firstLine="420"/>
        <w:rPr>
          <w:rFonts w:hAnsi="宋体" w:cs="宋体"/>
          <w:color w:val="auto"/>
          <w:highlight w:val="none"/>
        </w:rPr>
      </w:pPr>
      <w:r>
        <w:rPr>
          <w:rFonts w:hint="eastAsia" w:hAnsi="宋体" w:cs="宋体"/>
          <w:color w:val="auto"/>
          <w:highlight w:val="none"/>
        </w:rPr>
        <w:t xml:space="preserve">2．负责人姓名：___________________________________________ </w:t>
      </w:r>
    </w:p>
    <w:p w14:paraId="0B4BFDE4">
      <w:pPr>
        <w:pStyle w:val="170"/>
        <w:spacing w:line="400" w:lineRule="exact"/>
        <w:ind w:firstLine="420"/>
        <w:rPr>
          <w:rFonts w:hAnsi="宋体" w:cs="宋体"/>
          <w:color w:val="auto"/>
          <w:highlight w:val="none"/>
        </w:rPr>
      </w:pPr>
      <w:r>
        <w:rPr>
          <w:rFonts w:hint="eastAsia" w:hAnsi="宋体" w:cs="宋体"/>
          <w:color w:val="auto"/>
          <w:highlight w:val="none"/>
        </w:rPr>
        <w:t>3．项目联系人：姓名__________职务：______电话______手机______</w:t>
      </w:r>
    </w:p>
    <w:p w14:paraId="01C9573A">
      <w:pPr>
        <w:pStyle w:val="170"/>
        <w:spacing w:line="400" w:lineRule="exact"/>
        <w:ind w:firstLine="420"/>
        <w:rPr>
          <w:rFonts w:hAnsi="宋体" w:cs="宋体"/>
          <w:color w:val="auto"/>
          <w:highlight w:val="none"/>
        </w:rPr>
      </w:pPr>
      <w:r>
        <w:rPr>
          <w:rFonts w:hint="eastAsia" w:hAnsi="宋体" w:cs="宋体"/>
          <w:color w:val="auto"/>
          <w:highlight w:val="none"/>
        </w:rPr>
        <w:t>4．注册地址：________________________________________________</w:t>
      </w:r>
    </w:p>
    <w:p w14:paraId="126EA686">
      <w:pPr>
        <w:pStyle w:val="170"/>
        <w:spacing w:line="400" w:lineRule="exact"/>
        <w:ind w:firstLine="420"/>
        <w:rPr>
          <w:rFonts w:hAnsi="宋体" w:cs="宋体"/>
          <w:color w:val="auto"/>
          <w:highlight w:val="none"/>
        </w:rPr>
      </w:pPr>
      <w:r>
        <w:rPr>
          <w:rFonts w:hint="eastAsia" w:hAnsi="宋体" w:cs="宋体"/>
          <w:color w:val="auto"/>
          <w:highlight w:val="none"/>
        </w:rPr>
        <w:t xml:space="preserve">5．注册资金：________________________________________________ </w:t>
      </w:r>
    </w:p>
    <w:p w14:paraId="4FE6E924">
      <w:pPr>
        <w:pStyle w:val="170"/>
        <w:spacing w:line="400" w:lineRule="exact"/>
        <w:ind w:firstLine="735"/>
        <w:rPr>
          <w:rFonts w:hAnsi="宋体" w:cs="宋体"/>
          <w:color w:val="auto"/>
          <w:highlight w:val="none"/>
        </w:rPr>
      </w:pPr>
      <w:r>
        <w:rPr>
          <w:rFonts w:hint="eastAsia" w:hAnsi="宋体" w:cs="宋体"/>
          <w:color w:val="auto"/>
          <w:highlight w:val="none"/>
        </w:rPr>
        <w:t>自有资金：________________________________________________</w:t>
      </w:r>
    </w:p>
    <w:p w14:paraId="360E7893">
      <w:pPr>
        <w:pStyle w:val="170"/>
        <w:spacing w:line="400" w:lineRule="exact"/>
        <w:ind w:firstLine="735"/>
        <w:rPr>
          <w:rFonts w:hAnsi="宋体" w:cs="宋体"/>
          <w:color w:val="auto"/>
          <w:highlight w:val="none"/>
        </w:rPr>
      </w:pPr>
      <w:r>
        <w:rPr>
          <w:rFonts w:hint="eastAsia" w:hAnsi="宋体" w:cs="宋体"/>
          <w:color w:val="auto"/>
          <w:highlight w:val="none"/>
        </w:rPr>
        <w:t>企业人数：______</w:t>
      </w:r>
      <w:r>
        <w:rPr>
          <w:rFonts w:hint="eastAsia" w:hAnsi="宋体" w:cs="宋体"/>
          <w:b/>
          <w:bCs/>
          <w:color w:val="auto"/>
          <w:highlight w:val="none"/>
        </w:rPr>
        <w:t>_</w:t>
      </w:r>
      <w:r>
        <w:rPr>
          <w:rFonts w:hint="eastAsia" w:hAnsi="宋体" w:cs="宋体"/>
          <w:color w:val="auto"/>
          <w:highlight w:val="none"/>
        </w:rPr>
        <w:t>人</w:t>
      </w:r>
    </w:p>
    <w:p w14:paraId="4FE7534C">
      <w:pPr>
        <w:pStyle w:val="170"/>
        <w:spacing w:line="400" w:lineRule="exact"/>
        <w:ind w:firstLine="420"/>
        <w:rPr>
          <w:rFonts w:hAnsi="宋体" w:cs="宋体"/>
          <w:color w:val="auto"/>
          <w:highlight w:val="none"/>
        </w:rPr>
      </w:pPr>
      <w:r>
        <w:rPr>
          <w:rFonts w:hint="eastAsia" w:hAnsi="宋体" w:cs="宋体"/>
          <w:color w:val="auto"/>
          <w:highlight w:val="none"/>
        </w:rPr>
        <w:t>6．企业性质：_________</w:t>
      </w:r>
    </w:p>
    <w:p w14:paraId="2E63A15E">
      <w:pPr>
        <w:pStyle w:val="170"/>
        <w:spacing w:line="400" w:lineRule="exact"/>
        <w:ind w:firstLine="420"/>
        <w:rPr>
          <w:rFonts w:hAnsi="宋体" w:cs="宋体"/>
          <w:color w:val="auto"/>
          <w:highlight w:val="none"/>
        </w:rPr>
      </w:pPr>
      <w:r>
        <w:rPr>
          <w:rFonts w:hint="eastAsia" w:hAnsi="宋体" w:cs="宋体"/>
          <w:color w:val="auto"/>
          <w:highlight w:val="none"/>
        </w:rPr>
        <w:t xml:space="preserve">7．主要经营地点：_______________________________________________ </w:t>
      </w:r>
    </w:p>
    <w:p w14:paraId="332D7863">
      <w:pPr>
        <w:pStyle w:val="170"/>
        <w:spacing w:line="400" w:lineRule="exact"/>
        <w:ind w:firstLine="420"/>
        <w:rPr>
          <w:rFonts w:hAnsi="宋体" w:cs="宋体"/>
          <w:color w:val="auto"/>
          <w:highlight w:val="none"/>
        </w:rPr>
      </w:pPr>
      <w:r>
        <w:rPr>
          <w:rFonts w:hint="eastAsia" w:hAnsi="宋体" w:cs="宋体"/>
          <w:color w:val="auto"/>
          <w:highlight w:val="none"/>
        </w:rPr>
        <w:t>如有派出机构，请列出名称及详细通讯地址如下：</w:t>
      </w:r>
      <w:r>
        <w:rPr>
          <w:rFonts w:hint="eastAsia" w:hAnsi="宋体" w:cs="宋体"/>
          <w:color w:val="auto"/>
          <w:highlight w:val="none"/>
          <w:u w:val="single"/>
        </w:rPr>
        <w:t xml:space="preserve">               </w:t>
      </w:r>
    </w:p>
    <w:p w14:paraId="0A44B0F7">
      <w:pPr>
        <w:pStyle w:val="103"/>
        <w:spacing w:line="400" w:lineRule="exact"/>
        <w:ind w:firstLine="472" w:firstLineChars="225"/>
        <w:rPr>
          <w:rFonts w:ascii="宋体" w:hAnsi="宋体" w:cs="宋体"/>
          <w:color w:val="auto"/>
          <w:highlight w:val="none"/>
        </w:rPr>
      </w:pPr>
    </w:p>
    <w:p w14:paraId="265F2A8A">
      <w:pPr>
        <w:pStyle w:val="103"/>
        <w:spacing w:line="400" w:lineRule="exact"/>
        <w:ind w:firstLine="474" w:firstLineChars="225"/>
        <w:rPr>
          <w:rFonts w:ascii="宋体" w:hAnsi="宋体" w:cs="宋体"/>
          <w:b/>
          <w:color w:val="auto"/>
          <w:highlight w:val="none"/>
        </w:rPr>
      </w:pPr>
      <w:r>
        <w:rPr>
          <w:rFonts w:hint="eastAsia" w:ascii="宋体" w:hAnsi="宋体" w:cs="宋体"/>
          <w:b/>
          <w:color w:val="auto"/>
          <w:highlight w:val="none"/>
        </w:rPr>
        <w:t>（二）履行合同必须的专业技术能力材料</w:t>
      </w:r>
    </w:p>
    <w:p w14:paraId="6CDC8559">
      <w:pPr>
        <w:pStyle w:val="170"/>
        <w:spacing w:line="400" w:lineRule="exact"/>
        <w:ind w:firstLine="465"/>
        <w:rPr>
          <w:rFonts w:hAnsi="宋体" w:cs="宋体"/>
          <w:color w:val="auto"/>
          <w:highlight w:val="none"/>
        </w:rPr>
      </w:pPr>
      <w:r>
        <w:rPr>
          <w:rFonts w:hint="eastAsia" w:hAnsi="宋体" w:cs="宋体"/>
          <w:color w:val="auto"/>
          <w:highlight w:val="none"/>
        </w:rPr>
        <w:t>专业技术能力的证明材料：</w:t>
      </w:r>
      <w:r>
        <w:rPr>
          <w:rFonts w:hint="eastAsia" w:hAnsi="宋体" w:cs="宋体"/>
          <w:color w:val="auto"/>
          <w:highlight w:val="none"/>
          <w:u w:val="single"/>
        </w:rPr>
        <w:t xml:space="preserve">                                              。 </w:t>
      </w:r>
    </w:p>
    <w:p w14:paraId="0FEEEC2F">
      <w:pPr>
        <w:pStyle w:val="103"/>
        <w:spacing w:line="400" w:lineRule="exact"/>
        <w:ind w:firstLine="472" w:firstLineChars="225"/>
        <w:rPr>
          <w:rFonts w:hint="eastAsia" w:ascii="宋体" w:hAnsi="宋体" w:cs="宋体"/>
          <w:color w:val="auto"/>
          <w:highlight w:val="none"/>
        </w:rPr>
      </w:pPr>
    </w:p>
    <w:p w14:paraId="151FD0F8">
      <w:pPr>
        <w:pStyle w:val="103"/>
        <w:spacing w:line="400" w:lineRule="exact"/>
        <w:ind w:firstLine="472" w:firstLineChars="225"/>
        <w:rPr>
          <w:rFonts w:ascii="宋体" w:hAnsi="宋体" w:cs="宋体"/>
          <w:color w:val="auto"/>
          <w:highlight w:val="none"/>
        </w:rPr>
      </w:pPr>
      <w:r>
        <w:rPr>
          <w:rFonts w:hint="eastAsia" w:ascii="宋体" w:hAnsi="宋体" w:cs="宋体"/>
          <w:color w:val="auto"/>
          <w:highlight w:val="none"/>
        </w:rPr>
        <w:t>本公司对上述承诺的真实性负责,并依法承担相应法律责任。</w:t>
      </w:r>
    </w:p>
    <w:p w14:paraId="40669779">
      <w:pPr>
        <w:pStyle w:val="27"/>
        <w:spacing w:line="380" w:lineRule="exact"/>
        <w:ind w:right="480" w:firstLine="2100" w:firstLineChars="1000"/>
        <w:rPr>
          <w:rFonts w:hAnsi="宋体"/>
          <w:color w:val="auto"/>
          <w:highlight w:val="none"/>
        </w:rPr>
      </w:pPr>
    </w:p>
    <w:p w14:paraId="58FC01FF">
      <w:pPr>
        <w:pStyle w:val="27"/>
        <w:spacing w:line="380" w:lineRule="exact"/>
        <w:ind w:right="480" w:firstLine="2100" w:firstLineChars="1000"/>
        <w:rPr>
          <w:rFonts w:hAnsi="宋体"/>
          <w:color w:val="auto"/>
          <w:highlight w:val="none"/>
        </w:rPr>
      </w:pPr>
    </w:p>
    <w:p w14:paraId="2023B1C4">
      <w:pPr>
        <w:pStyle w:val="27"/>
        <w:spacing w:line="380" w:lineRule="exact"/>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254044B4">
      <w:pPr>
        <w:pStyle w:val="27"/>
        <w:wordWrap w:val="0"/>
        <w:spacing w:line="380" w:lineRule="exact"/>
        <w:ind w:right="480" w:firstLine="3990" w:firstLineChars="1900"/>
        <w:rPr>
          <w:rFonts w:hAnsi="宋体"/>
          <w:color w:val="auto"/>
          <w:highlight w:val="none"/>
        </w:rPr>
      </w:pPr>
      <w:r>
        <w:rPr>
          <w:rFonts w:hint="eastAsia" w:hAnsi="宋体"/>
          <w:color w:val="auto"/>
          <w:highlight w:val="none"/>
        </w:rPr>
        <w:t>日期：_____年____月____日</w:t>
      </w:r>
    </w:p>
    <w:p w14:paraId="5808265E">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42C0A51B">
      <w:pPr>
        <w:spacing w:line="360" w:lineRule="auto"/>
        <w:jc w:val="center"/>
        <w:rPr>
          <w:rFonts w:ascii="宋体" w:hAnsi="宋体" w:cs="宋体"/>
          <w:color w:val="auto"/>
          <w:highlight w:val="none"/>
        </w:rPr>
      </w:pPr>
      <w:r>
        <w:rPr>
          <w:rFonts w:hint="eastAsia" w:ascii="宋体" w:hAnsi="宋体" w:cs="宋体"/>
          <w:color w:val="auto"/>
          <w:highlight w:val="none"/>
        </w:rPr>
        <w:t>5、无重大违法记录声明书</w:t>
      </w:r>
    </w:p>
    <w:p w14:paraId="1E02BB93">
      <w:pPr>
        <w:pStyle w:val="203"/>
        <w:spacing w:line="440" w:lineRule="exact"/>
        <w:rPr>
          <w:rFonts w:ascii="宋体" w:hAnsi="宋体" w:cs="宋体"/>
          <w:color w:val="auto"/>
          <w:spacing w:val="6"/>
          <w:highlight w:val="none"/>
          <w:u w:val="single"/>
        </w:rPr>
      </w:pPr>
      <w:r>
        <w:rPr>
          <w:rFonts w:hint="eastAsia" w:ascii="宋体" w:hAnsi="宋体" w:cs="宋体"/>
          <w:color w:val="auto"/>
          <w:spacing w:val="6"/>
          <w:highlight w:val="none"/>
          <w:u w:val="single"/>
        </w:rPr>
        <w:t>（采购人名称）：</w:t>
      </w:r>
    </w:p>
    <w:p w14:paraId="632FE087">
      <w:pPr>
        <w:pStyle w:val="140"/>
        <w:spacing w:before="156" w:beforeLines="50"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我公司参与的</w:t>
      </w:r>
      <w:r>
        <w:rPr>
          <w:rFonts w:hint="eastAsia" w:ascii="宋体" w:hAnsi="宋体" w:cs="宋体"/>
          <w:color w:val="auto"/>
          <w:spacing w:val="6"/>
          <w:highlight w:val="none"/>
          <w:u w:val="single"/>
          <w:lang w:val="en-US" w:eastAsia="zh-CN"/>
        </w:rPr>
        <w:t xml:space="preserve">                   </w:t>
      </w:r>
      <w:r>
        <w:rPr>
          <w:rFonts w:hint="eastAsia" w:ascii="宋体" w:hAnsi="宋体" w:cs="宋体"/>
          <w:color w:val="auto"/>
          <w:spacing w:val="6"/>
          <w:highlight w:val="none"/>
        </w:rPr>
        <w:t>（采购项目名称）（采购编号：</w:t>
      </w:r>
      <w:r>
        <w:rPr>
          <w:rFonts w:hint="eastAsia" w:ascii="宋体" w:hAnsi="宋体" w:cs="宋体"/>
          <w:color w:val="auto"/>
          <w:spacing w:val="6"/>
          <w:highlight w:val="none"/>
          <w:u w:val="single"/>
        </w:rPr>
        <w:t>　　　　</w:t>
      </w:r>
      <w:r>
        <w:rPr>
          <w:rFonts w:hint="eastAsia" w:ascii="宋体" w:hAnsi="宋体" w:cs="宋体"/>
          <w:color w:val="auto"/>
          <w:spacing w:val="6"/>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649E482">
      <w:pPr>
        <w:pStyle w:val="140"/>
        <w:spacing w:line="480" w:lineRule="auto"/>
        <w:ind w:firstLine="444" w:firstLineChars="200"/>
        <w:rPr>
          <w:rFonts w:ascii="宋体" w:hAnsi="宋体" w:cs="宋体"/>
          <w:color w:val="auto"/>
          <w:spacing w:val="6"/>
          <w:highlight w:val="none"/>
        </w:rPr>
      </w:pPr>
      <w:r>
        <w:rPr>
          <w:rFonts w:hint="eastAsia" w:ascii="宋体" w:hAnsi="宋体" w:cs="宋体"/>
          <w:color w:val="auto"/>
          <w:spacing w:val="6"/>
          <w:highlight w:val="none"/>
        </w:rPr>
        <w:tab/>
      </w:r>
      <w:r>
        <w:rPr>
          <w:rFonts w:hint="eastAsia" w:ascii="宋体" w:hAnsi="宋体" w:cs="宋体"/>
          <w:color w:val="auto"/>
          <w:spacing w:val="6"/>
          <w:highlight w:val="none"/>
        </w:rPr>
        <w:t>特此声明。</w:t>
      </w:r>
    </w:p>
    <w:p w14:paraId="58461AF6">
      <w:pPr>
        <w:pStyle w:val="139"/>
        <w:jc w:val="center"/>
        <w:rPr>
          <w:rFonts w:hAnsi="宋体" w:cs="宋体"/>
          <w:color w:val="auto"/>
          <w:highlight w:val="none"/>
        </w:rPr>
      </w:pPr>
    </w:p>
    <w:p w14:paraId="6BAAAC21">
      <w:pPr>
        <w:pStyle w:val="139"/>
        <w:jc w:val="center"/>
        <w:rPr>
          <w:rFonts w:hAnsi="宋体" w:cs="宋体"/>
          <w:color w:val="auto"/>
          <w:highlight w:val="none"/>
        </w:rPr>
      </w:pPr>
    </w:p>
    <w:p w14:paraId="4B350BB4">
      <w:pPr>
        <w:pStyle w:val="139"/>
        <w:jc w:val="center"/>
        <w:rPr>
          <w:rFonts w:hAnsi="宋体" w:cs="宋体"/>
          <w:color w:val="auto"/>
          <w:highlight w:val="none"/>
        </w:rPr>
      </w:pPr>
    </w:p>
    <w:p w14:paraId="4ED7C700">
      <w:pPr>
        <w:pStyle w:val="27"/>
        <w:spacing w:line="360" w:lineRule="auto"/>
        <w:ind w:right="480"/>
        <w:jc w:val="center"/>
        <w:rPr>
          <w:rFonts w:hAnsi="宋体"/>
          <w:color w:val="auto"/>
          <w:highlight w:val="none"/>
          <w:u w:val="single"/>
        </w:rPr>
      </w:pPr>
      <w:r>
        <w:rPr>
          <w:rFonts w:hint="eastAsia" w:hAnsi="宋体"/>
          <w:color w:val="auto"/>
          <w:highlight w:val="none"/>
        </w:rPr>
        <w:t>　　　　投标人(公章)：</w:t>
      </w:r>
      <w:r>
        <w:rPr>
          <w:rFonts w:hint="eastAsia" w:hAnsi="宋体"/>
          <w:color w:val="auto"/>
          <w:highlight w:val="none"/>
          <w:u w:val="single"/>
        </w:rPr>
        <w:t xml:space="preserve">              </w:t>
      </w:r>
    </w:p>
    <w:p w14:paraId="69AF77F8">
      <w:pPr>
        <w:pStyle w:val="27"/>
        <w:wordWrap w:val="0"/>
        <w:spacing w:line="360" w:lineRule="auto"/>
        <w:ind w:right="480" w:firstLine="3990" w:firstLineChars="1900"/>
        <w:rPr>
          <w:rFonts w:hAnsi="宋体"/>
          <w:color w:val="auto"/>
          <w:highlight w:val="none"/>
        </w:rPr>
      </w:pPr>
      <w:r>
        <w:rPr>
          <w:rFonts w:hint="eastAsia" w:hAnsi="宋体"/>
          <w:color w:val="auto"/>
          <w:highlight w:val="none"/>
        </w:rPr>
        <w:t>日期：_____年____月____日</w:t>
      </w:r>
    </w:p>
    <w:p w14:paraId="21EBF788">
      <w:pPr>
        <w:rPr>
          <w:rFonts w:ascii="宋体" w:hAnsi="宋体" w:cs="宋体"/>
          <w:color w:val="auto"/>
          <w:highlight w:val="none"/>
        </w:rPr>
      </w:pPr>
      <w:r>
        <w:rPr>
          <w:rFonts w:ascii="宋体" w:hAnsi="宋体" w:cs="宋体"/>
          <w:color w:val="auto"/>
          <w:highlight w:val="none"/>
        </w:rPr>
        <w:br w:type="page"/>
      </w:r>
    </w:p>
    <w:p w14:paraId="71478E21">
      <w:pPr>
        <w:pStyle w:val="3"/>
        <w:rPr>
          <w:color w:val="auto"/>
          <w:highlight w:val="none"/>
        </w:rPr>
      </w:pPr>
    </w:p>
    <w:p w14:paraId="7787ECD7">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授权委托书</w:t>
      </w:r>
    </w:p>
    <w:p w14:paraId="4EE63C4E">
      <w:pPr>
        <w:pStyle w:val="203"/>
        <w:spacing w:line="440" w:lineRule="exact"/>
        <w:rPr>
          <w:rFonts w:ascii="宋体" w:hAnsi="宋体" w:cs="宋体"/>
          <w:b/>
          <w:bCs/>
          <w:color w:val="auto"/>
          <w:highlight w:val="none"/>
        </w:rPr>
      </w:pPr>
      <w:r>
        <w:rPr>
          <w:rFonts w:hint="eastAsia" w:ascii="宋体" w:hAnsi="宋体" w:cs="宋体"/>
          <w:color w:val="auto"/>
          <w:highlight w:val="none"/>
          <w:u w:val="single"/>
        </w:rPr>
        <w:t>（采购人名称）</w:t>
      </w:r>
      <w:r>
        <w:rPr>
          <w:rFonts w:hint="eastAsia" w:ascii="宋体" w:hAnsi="宋体" w:cs="宋体"/>
          <w:color w:val="auto"/>
          <w:highlight w:val="none"/>
        </w:rPr>
        <w:t>：</w:t>
      </w:r>
    </w:p>
    <w:p w14:paraId="0DF03024">
      <w:pPr>
        <w:pStyle w:val="203"/>
        <w:autoSpaceDE w:val="0"/>
        <w:autoSpaceDN w:val="0"/>
        <w:spacing w:line="44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我</w:t>
      </w:r>
      <w:r>
        <w:rPr>
          <w:rFonts w:hint="eastAsia" w:ascii="宋体" w:hAnsi="宋体" w:cs="宋体"/>
          <w:color w:val="auto"/>
          <w:highlight w:val="none"/>
          <w:u w:val="single"/>
        </w:rPr>
        <w:t>（负责人姓名）</w:t>
      </w:r>
      <w:r>
        <w:rPr>
          <w:rFonts w:hint="eastAsia" w:ascii="宋体" w:hAnsi="宋体" w:cs="宋体"/>
          <w:color w:val="auto"/>
          <w:highlight w:val="none"/>
        </w:rPr>
        <w:t>系（投标人全称）的负责人，现授权委托本单位</w:t>
      </w:r>
      <w:r>
        <w:rPr>
          <w:rFonts w:hint="eastAsia" w:ascii="宋体" w:hAnsi="宋体" w:cs="宋体"/>
          <w:b/>
          <w:bCs/>
          <w:color w:val="auto"/>
          <w:highlight w:val="none"/>
        </w:rPr>
        <w:t>在职职工</w:t>
      </w:r>
      <w:r>
        <w:rPr>
          <w:rFonts w:hint="eastAsia" w:ascii="宋体" w:hAnsi="宋体" w:cs="宋体"/>
          <w:b/>
          <w:bCs/>
          <w:color w:val="auto"/>
          <w:highlight w:val="none"/>
          <w:u w:val="single"/>
        </w:rPr>
        <w:t xml:space="preserve">      </w:t>
      </w:r>
      <w:r>
        <w:rPr>
          <w:rFonts w:hint="eastAsia" w:ascii="宋体" w:hAnsi="宋体" w:cs="宋体"/>
          <w:color w:val="auto"/>
          <w:highlight w:val="none"/>
        </w:rPr>
        <w:t>（姓名）以我方的名义参加就贵方组织的</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（采购项目名称）</w:t>
      </w:r>
      <w:r>
        <w:rPr>
          <w:rFonts w:hint="eastAsia" w:ascii="宋体" w:hAnsi="宋体" w:cs="宋体"/>
          <w:color w:val="auto"/>
          <w:highlight w:val="none"/>
        </w:rPr>
        <w:t>（采购编号：</w:t>
      </w:r>
      <w:r>
        <w:rPr>
          <w:rFonts w:hint="eastAsia" w:ascii="宋体" w:hAnsi="宋体" w:cs="宋体"/>
          <w:color w:val="auto"/>
          <w:highlight w:val="none"/>
          <w:u w:val="single"/>
        </w:rPr>
        <w:t>　　　　</w:t>
      </w:r>
      <w:r>
        <w:rPr>
          <w:rFonts w:hint="eastAsia" w:ascii="宋体" w:hAnsi="宋体" w:cs="宋体"/>
          <w:color w:val="auto"/>
          <w:highlight w:val="none"/>
        </w:rPr>
        <w:t>）项目的投标活动，并代表我方全权办理针对上述项目的投标、开标、评审、签约等具体事务和签署相关文件。</w:t>
      </w:r>
    </w:p>
    <w:p w14:paraId="180EEB38">
      <w:pPr>
        <w:pStyle w:val="203"/>
        <w:autoSpaceDE w:val="0"/>
        <w:autoSpaceDN w:val="0"/>
        <w:spacing w:line="440" w:lineRule="exact"/>
        <w:textAlignment w:val="bottom"/>
        <w:rPr>
          <w:rFonts w:ascii="宋体" w:hAnsi="宋体" w:cs="宋体"/>
          <w:color w:val="auto"/>
          <w:highlight w:val="none"/>
        </w:rPr>
      </w:pPr>
      <w:r>
        <w:rPr>
          <w:rFonts w:hint="eastAsia" w:ascii="宋体" w:hAnsi="宋体" w:cs="宋体"/>
          <w:color w:val="auto"/>
          <w:highlight w:val="none"/>
        </w:rPr>
        <w:t>我方对被委托人的签字或盖章事项负全部责任。</w:t>
      </w:r>
    </w:p>
    <w:p w14:paraId="7932CE75">
      <w:pPr>
        <w:pStyle w:val="203"/>
        <w:spacing w:line="440" w:lineRule="exact"/>
        <w:ind w:firstLine="480"/>
        <w:rPr>
          <w:rFonts w:ascii="宋体" w:hAnsi="宋体" w:cs="宋体"/>
          <w:color w:val="auto"/>
          <w:highlight w:val="none"/>
        </w:rPr>
      </w:pPr>
      <w:r>
        <w:rPr>
          <w:rFonts w:hint="eastAsia" w:ascii="宋体" w:hAnsi="宋体" w:cs="宋体"/>
          <w:color w:val="auto"/>
          <w:highlight w:val="none"/>
        </w:rPr>
        <w:t>本授权书自签署之日起生效，在撤销授权的书面通知送达贵方以前，本授权委托书一直有效。被委托人在授权书有效期内签署的所有文件不因授权的撤销而失效。</w:t>
      </w:r>
    </w:p>
    <w:p w14:paraId="0C7B0600">
      <w:pPr>
        <w:pStyle w:val="203"/>
        <w:spacing w:line="440" w:lineRule="exact"/>
        <w:ind w:firstLine="480"/>
        <w:rPr>
          <w:rFonts w:ascii="宋体" w:hAnsi="宋体" w:cs="宋体"/>
          <w:color w:val="auto"/>
          <w:highlight w:val="none"/>
        </w:rPr>
      </w:pPr>
      <w:r>
        <w:rPr>
          <w:rFonts w:hint="eastAsia" w:ascii="宋体" w:hAnsi="宋体" w:cs="宋体"/>
          <w:color w:val="auto"/>
          <w:highlight w:val="none"/>
        </w:rPr>
        <w:t>被委托人无转委托权，特此声明。</w:t>
      </w:r>
    </w:p>
    <w:p w14:paraId="6CCB842A">
      <w:pPr>
        <w:pStyle w:val="203"/>
        <w:spacing w:line="440" w:lineRule="exact"/>
        <w:ind w:firstLine="480"/>
        <w:rPr>
          <w:rFonts w:ascii="宋体" w:hAnsi="宋体" w:cs="宋体"/>
          <w:color w:val="auto"/>
          <w:highlight w:val="none"/>
        </w:rPr>
      </w:pPr>
    </w:p>
    <w:p w14:paraId="2E9C0100">
      <w:pPr>
        <w:pStyle w:val="203"/>
        <w:spacing w:line="440" w:lineRule="exact"/>
        <w:ind w:firstLine="4000" w:firstLineChars="1600"/>
        <w:jc w:val="center"/>
        <w:rPr>
          <w:rFonts w:ascii="宋体" w:hAnsi="宋体" w:cs="宋体"/>
          <w:color w:val="auto"/>
          <w:spacing w:val="20"/>
          <w:highlight w:val="none"/>
          <w:u w:val="single"/>
        </w:rPr>
      </w:pPr>
      <w:r>
        <w:rPr>
          <w:rFonts w:hint="eastAsia" w:ascii="宋体" w:hAnsi="宋体" w:cs="宋体"/>
          <w:color w:val="auto"/>
          <w:spacing w:val="20"/>
          <w:highlight w:val="none"/>
        </w:rPr>
        <w:t xml:space="preserve">     负责人（签字或盖章）：</w:t>
      </w:r>
      <w:r>
        <w:rPr>
          <w:rFonts w:hint="eastAsia" w:ascii="宋体" w:hAnsi="宋体" w:cs="宋体"/>
          <w:color w:val="auto"/>
          <w:spacing w:val="20"/>
          <w:highlight w:val="none"/>
          <w:u w:val="single"/>
        </w:rPr>
        <w:t xml:space="preserve">       </w:t>
      </w:r>
    </w:p>
    <w:p w14:paraId="13F297B6">
      <w:pPr>
        <w:pStyle w:val="203"/>
        <w:spacing w:line="440" w:lineRule="exact"/>
        <w:ind w:firstLine="3360" w:firstLineChars="1600"/>
        <w:jc w:val="center"/>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FC78C4B">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411A535A">
      <w:pPr>
        <w:pStyle w:val="203"/>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1089D247">
      <w:pPr>
        <w:pStyle w:val="203"/>
        <w:spacing w:line="440" w:lineRule="exact"/>
        <w:ind w:firstLine="480"/>
        <w:rPr>
          <w:rFonts w:ascii="宋体" w:hAnsi="宋体" w:cs="宋体"/>
          <w:color w:val="auto"/>
          <w:highlight w:val="none"/>
        </w:rPr>
      </w:pPr>
      <w:r>
        <w:rPr>
          <w:rFonts w:hint="eastAsia" w:ascii="宋体" w:hAnsi="宋体" w:cs="宋体"/>
          <w:color w:val="auto"/>
          <w:highlight w:val="none"/>
        </w:rPr>
        <w:t>附：1、委托代理人工作单位：</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职务：</w:t>
      </w:r>
    </w:p>
    <w:p w14:paraId="5B86D305">
      <w:pPr>
        <w:pStyle w:val="203"/>
        <w:spacing w:line="440" w:lineRule="exact"/>
        <w:ind w:firstLine="1260" w:firstLineChars="600"/>
        <w:rPr>
          <w:rFonts w:ascii="宋体" w:hAnsi="宋体" w:cs="宋体"/>
          <w:color w:val="auto"/>
          <w:highlight w:val="none"/>
        </w:rPr>
      </w:pPr>
      <w:r>
        <w:rPr>
          <w:rFonts w:hint="eastAsia" w:ascii="宋体" w:hAnsi="宋体" w:cs="宋体"/>
          <w:color w:val="auto"/>
          <w:highlight w:val="none"/>
        </w:rPr>
        <w:t>身份证号码：　　　　　　　　　　</w:t>
      </w:r>
      <w:r>
        <w:rPr>
          <w:rFonts w:hint="eastAsia" w:ascii="宋体" w:hAnsi="宋体" w:cs="宋体"/>
          <w:color w:val="auto"/>
          <w:highlight w:val="none"/>
        </w:rPr>
        <w:tab/>
      </w:r>
      <w:r>
        <w:rPr>
          <w:rFonts w:hint="eastAsia" w:ascii="宋体" w:hAnsi="宋体" w:cs="宋体"/>
          <w:color w:val="auto"/>
          <w:highlight w:val="none"/>
        </w:rPr>
        <w:t>性别：　</w:t>
      </w:r>
    </w:p>
    <w:p w14:paraId="6869EC1F">
      <w:pPr>
        <w:pStyle w:val="203"/>
        <w:spacing w:line="360" w:lineRule="auto"/>
        <w:ind w:firstLine="420"/>
        <w:rPr>
          <w:rFonts w:ascii="宋体" w:hAnsi="宋体" w:cs="宋体"/>
          <w:b/>
          <w:bCs/>
          <w:color w:val="auto"/>
          <w:highlight w:val="none"/>
        </w:rPr>
      </w:pPr>
    </w:p>
    <w:p w14:paraId="05F2C266">
      <w:pPr>
        <w:pStyle w:val="203"/>
        <w:spacing w:line="400" w:lineRule="exact"/>
        <w:ind w:firstLine="420"/>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1、投标人为法人企业的，其负责人为其法定代表人；投标人为其他组织的，其负责人为法律、行政法规规定代表单位行使职权的主要负责人。</w:t>
      </w:r>
    </w:p>
    <w:p w14:paraId="36F5CFC3">
      <w:pPr>
        <w:pStyle w:val="203"/>
        <w:spacing w:line="400" w:lineRule="exact"/>
        <w:ind w:firstLine="787" w:firstLineChars="375"/>
        <w:rPr>
          <w:rFonts w:ascii="宋体" w:hAnsi="宋体" w:cs="宋体"/>
          <w:color w:val="auto"/>
          <w:highlight w:val="none"/>
        </w:rPr>
      </w:pPr>
      <w:r>
        <w:rPr>
          <w:rFonts w:hint="eastAsia" w:ascii="宋体" w:hAnsi="宋体" w:cs="宋体"/>
          <w:color w:val="auto"/>
          <w:highlight w:val="none"/>
        </w:rPr>
        <w:t>2、委托人为上述条款中的负责人。</w:t>
      </w:r>
    </w:p>
    <w:p w14:paraId="5E4F72E2">
      <w:pPr>
        <w:pStyle w:val="203"/>
        <w:spacing w:line="400" w:lineRule="exact"/>
        <w:ind w:firstLine="787" w:firstLineChars="375"/>
        <w:rPr>
          <w:rFonts w:ascii="宋体" w:hAnsi="宋体" w:cs="宋体"/>
          <w:b/>
          <w:color w:val="auto"/>
          <w:highlight w:val="none"/>
        </w:rPr>
      </w:pPr>
      <w:r>
        <w:rPr>
          <w:rFonts w:hint="eastAsia" w:ascii="宋体" w:hAnsi="宋体" w:cs="宋体"/>
          <w:color w:val="auto"/>
          <w:highlight w:val="none"/>
        </w:rPr>
        <w:t>3、本“授权委托书”需附负责人</w:t>
      </w:r>
      <w:r>
        <w:rPr>
          <w:rFonts w:hint="eastAsia" w:ascii="宋体" w:hAnsi="宋体" w:cs="宋体"/>
          <w:b/>
          <w:color w:val="auto"/>
          <w:highlight w:val="none"/>
        </w:rPr>
        <w:t>和</w:t>
      </w:r>
      <w:r>
        <w:rPr>
          <w:rFonts w:hint="eastAsia" w:ascii="宋体" w:hAnsi="宋体" w:cs="宋体"/>
          <w:color w:val="auto"/>
          <w:highlight w:val="none"/>
        </w:rPr>
        <w:t>委托代理人身份证</w:t>
      </w:r>
      <w:r>
        <w:rPr>
          <w:rFonts w:hint="eastAsia" w:ascii="宋体" w:hAnsi="宋体" w:cs="宋体"/>
          <w:color w:val="auto"/>
          <w:highlight w:val="none"/>
          <w:u w:val="single"/>
        </w:rPr>
        <w:t>扫描件</w:t>
      </w:r>
      <w:r>
        <w:rPr>
          <w:rFonts w:hint="eastAsia" w:ascii="宋体" w:hAnsi="宋体" w:cs="宋体"/>
          <w:color w:val="auto"/>
          <w:highlight w:val="none"/>
          <w:u w:val="single"/>
          <w:lang w:val="en-US" w:eastAsia="zh-CN"/>
        </w:rPr>
        <w:t>或复印件</w:t>
      </w:r>
      <w:r>
        <w:rPr>
          <w:rFonts w:hint="eastAsia" w:ascii="宋体" w:hAnsi="宋体" w:cs="宋体"/>
          <w:color w:val="auto"/>
          <w:highlight w:val="none"/>
        </w:rPr>
        <w:t>，如扫描件</w:t>
      </w:r>
      <w:r>
        <w:rPr>
          <w:rFonts w:hint="eastAsia" w:ascii="宋体" w:hAnsi="宋体" w:cs="宋体"/>
          <w:color w:val="auto"/>
          <w:highlight w:val="none"/>
          <w:lang w:val="en-US" w:eastAsia="zh-CN"/>
        </w:rPr>
        <w:t>或复印件</w:t>
      </w:r>
      <w:r>
        <w:rPr>
          <w:rFonts w:hint="eastAsia" w:ascii="宋体" w:hAnsi="宋体" w:cs="宋体"/>
          <w:color w:val="auto"/>
          <w:highlight w:val="none"/>
        </w:rPr>
        <w:t>不清晰或错误的，后果由投标人自行承担。</w:t>
      </w:r>
    </w:p>
    <w:p w14:paraId="7F2553EB">
      <w:pPr>
        <w:pStyle w:val="202"/>
        <w:spacing w:line="440" w:lineRule="exact"/>
        <w:ind w:firstLine="422" w:firstLineChars="200"/>
        <w:rPr>
          <w:rFonts w:hAnsi="宋体" w:cs="宋体"/>
          <w:color w:val="auto"/>
          <w:highlight w:val="none"/>
        </w:rPr>
      </w:pPr>
      <w:r>
        <w:rPr>
          <w:rFonts w:hint="eastAsia" w:hAnsi="宋体" w:cs="宋体"/>
          <w:b/>
          <w:color w:val="auto"/>
          <w:highlight w:val="none"/>
        </w:rPr>
        <w:t>4、上述格式中的“负责人签字或盖章”，投标人通过政采云平台电子投标工具无法完成的，可以采用纸质签字完成后再扫描上传政采云平台电子投标工具。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highlight w:val="none"/>
        </w:rPr>
        <w:t>负责人身份证扫描件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D6E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8609D9">
            <w:pPr>
              <w:pStyle w:val="202"/>
              <w:spacing w:line="440" w:lineRule="exact"/>
              <w:rPr>
                <w:rFonts w:hAnsi="宋体" w:cs="宋体"/>
                <w:color w:val="auto"/>
                <w:highlight w:val="none"/>
              </w:rPr>
            </w:pPr>
            <w:r>
              <w:rPr>
                <w:rFonts w:hint="eastAsia" w:hAnsi="宋体" w:cs="宋体"/>
                <w:color w:val="auto"/>
                <w:highlight w:val="none"/>
              </w:rPr>
              <w:t>正面：反面：</w:t>
            </w:r>
          </w:p>
          <w:p w14:paraId="591A4EF0">
            <w:pPr>
              <w:pStyle w:val="202"/>
              <w:spacing w:line="440" w:lineRule="exact"/>
              <w:rPr>
                <w:rFonts w:hAnsi="宋体" w:cs="宋体"/>
                <w:color w:val="auto"/>
                <w:highlight w:val="none"/>
              </w:rPr>
            </w:pPr>
          </w:p>
        </w:tc>
      </w:tr>
    </w:tbl>
    <w:p w14:paraId="7DB6935F">
      <w:pPr>
        <w:pStyle w:val="202"/>
        <w:spacing w:line="440" w:lineRule="exact"/>
        <w:rPr>
          <w:rFonts w:hAnsi="宋体" w:cs="宋体"/>
          <w:color w:val="auto"/>
          <w:highlight w:val="none"/>
        </w:rPr>
      </w:pPr>
      <w:r>
        <w:rPr>
          <w:rFonts w:hint="eastAsia" w:hAnsi="宋体" w:cs="宋体"/>
          <w:color w:val="auto"/>
          <w:highlight w:val="none"/>
        </w:rPr>
        <w:t>委托代理人身份证扫描件</w:t>
      </w:r>
      <w:r>
        <w:rPr>
          <w:rFonts w:hint="eastAsia" w:hAnsi="宋体" w:cs="宋体"/>
          <w:color w:val="auto"/>
          <w:highlight w:val="none"/>
          <w:lang w:val="en-US" w:eastAsia="zh-CN"/>
        </w:rPr>
        <w:t>或复印件</w:t>
      </w:r>
      <w:r>
        <w:rPr>
          <w:rFonts w:hint="eastAsia" w:hAnsi="宋体" w:cs="宋体"/>
          <w:color w:val="auto"/>
          <w:highlight w:val="none"/>
        </w:rPr>
        <w:t>：</w:t>
      </w:r>
    </w:p>
    <w:tbl>
      <w:tblPr>
        <w:tblStyle w:val="5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49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75897F">
            <w:pPr>
              <w:pStyle w:val="202"/>
              <w:spacing w:line="440" w:lineRule="exact"/>
              <w:rPr>
                <w:rFonts w:hAnsi="宋体" w:cs="宋体"/>
                <w:color w:val="auto"/>
                <w:highlight w:val="none"/>
              </w:rPr>
            </w:pPr>
            <w:r>
              <w:rPr>
                <w:rFonts w:hint="eastAsia" w:hAnsi="宋体" w:cs="宋体"/>
                <w:color w:val="auto"/>
                <w:highlight w:val="none"/>
              </w:rPr>
              <w:t>正面：反面：</w:t>
            </w:r>
          </w:p>
          <w:p w14:paraId="1148C276">
            <w:pPr>
              <w:pStyle w:val="202"/>
              <w:spacing w:line="440" w:lineRule="exact"/>
              <w:rPr>
                <w:rFonts w:hAnsi="宋体" w:cs="宋体"/>
                <w:color w:val="auto"/>
                <w:highlight w:val="none"/>
              </w:rPr>
            </w:pPr>
          </w:p>
        </w:tc>
      </w:tr>
    </w:tbl>
    <w:p w14:paraId="4E529549">
      <w:pPr>
        <w:pStyle w:val="202"/>
        <w:spacing w:line="360" w:lineRule="auto"/>
        <w:ind w:firstLine="4000" w:firstLineChars="1600"/>
        <w:rPr>
          <w:rFonts w:hAnsi="宋体" w:cs="宋体"/>
          <w:color w:val="auto"/>
          <w:spacing w:val="20"/>
          <w:highlight w:val="none"/>
        </w:rPr>
      </w:pPr>
    </w:p>
    <w:p w14:paraId="0524BABA">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3AF44E4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332231A5">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737E7E65">
      <w:pPr>
        <w:snapToGrid w:val="0"/>
        <w:spacing w:line="500" w:lineRule="exact"/>
        <w:jc w:val="center"/>
        <w:rPr>
          <w:rFonts w:ascii="宋体" w:hAnsi="宋体" w:cs="宋体"/>
          <w:color w:val="auto"/>
          <w:highlight w:val="none"/>
        </w:rPr>
      </w:pPr>
    </w:p>
    <w:p w14:paraId="38C75006">
      <w:pPr>
        <w:snapToGrid w:val="0"/>
        <w:spacing w:line="500" w:lineRule="exact"/>
        <w:jc w:val="center"/>
        <w:rPr>
          <w:rFonts w:ascii="宋体" w:hAnsi="宋体" w:cs="宋体"/>
          <w:color w:val="auto"/>
          <w:highlight w:val="none"/>
        </w:rPr>
      </w:pPr>
    </w:p>
    <w:p w14:paraId="4FEE038D">
      <w:pPr>
        <w:pStyle w:val="19"/>
        <w:rPr>
          <w:rFonts w:ascii="宋体" w:hAnsi="宋体" w:cs="宋体"/>
          <w:color w:val="auto"/>
          <w:highlight w:val="none"/>
        </w:rPr>
      </w:pPr>
    </w:p>
    <w:p w14:paraId="0E0E45F4">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中小企业、残疾人福利性单位、监狱企业声明函</w:t>
      </w:r>
    </w:p>
    <w:p w14:paraId="387B1875">
      <w:pPr>
        <w:rPr>
          <w:rFonts w:ascii="宋体" w:hAnsi="宋体" w:cs="宋体"/>
          <w:color w:val="auto"/>
          <w:highlight w:val="none"/>
        </w:rPr>
      </w:pPr>
    </w:p>
    <w:p w14:paraId="79D51A5E">
      <w:pPr>
        <w:adjustRightInd w:val="0"/>
        <w:spacing w:line="360" w:lineRule="auto"/>
        <w:jc w:val="center"/>
        <w:rPr>
          <w:rFonts w:ascii="宋体" w:hAnsi="宋体" w:cs="宋体"/>
          <w:b/>
          <w:color w:val="auto"/>
          <w:highlight w:val="none"/>
        </w:rPr>
      </w:pPr>
      <w:r>
        <w:rPr>
          <w:rFonts w:hint="eastAsia" w:ascii="宋体" w:hAnsi="宋体" w:cs="宋体"/>
          <w:b/>
          <w:color w:val="auto"/>
          <w:highlight w:val="none"/>
        </w:rPr>
        <w:sym w:font="Wingdings" w:char="00FE"/>
      </w:r>
      <w:r>
        <w:rPr>
          <w:rFonts w:hint="eastAsia" w:ascii="宋体" w:hAnsi="宋体" w:cs="宋体"/>
          <w:b/>
          <w:color w:val="auto"/>
          <w:highlight w:val="none"/>
        </w:rPr>
        <w:t>中小企业声明函（服务）</w:t>
      </w:r>
    </w:p>
    <w:p w14:paraId="6950D8CF">
      <w:pPr>
        <w:adjustRightInd w:val="0"/>
        <w:spacing w:line="360" w:lineRule="auto"/>
        <w:rPr>
          <w:rFonts w:ascii="宋体" w:hAnsi="宋体" w:cs="宋体"/>
          <w:color w:val="auto"/>
          <w:highlight w:val="none"/>
        </w:rPr>
      </w:pPr>
    </w:p>
    <w:p w14:paraId="4EBC2C1C">
      <w:pPr>
        <w:adjustRightInd w:val="0"/>
        <w:spacing w:line="360" w:lineRule="auto"/>
        <w:ind w:firstLine="525" w:firstLineChars="250"/>
        <w:jc w:val="left"/>
        <w:rPr>
          <w:rFonts w:ascii="宋体" w:hAnsi="宋体" w:cs="宋体"/>
          <w:color w:val="auto"/>
          <w:highlight w:val="none"/>
        </w:rPr>
      </w:pPr>
      <w:r>
        <w:rPr>
          <w:rFonts w:hint="eastAsia" w:ascii="宋体" w:hAnsi="宋体" w:cs="宋体"/>
          <w:color w:val="auto"/>
          <w:highlight w:val="none"/>
        </w:rPr>
        <w:t>本公司（联合体）郑重声明，根据《政府采购促进中小企业发展管理办法》（财库﹝2020﹞46 号）的规定，本公司</w:t>
      </w:r>
      <w:r>
        <w:rPr>
          <w:rFonts w:hint="eastAsia" w:ascii="宋体" w:hAnsi="宋体" w:cs="宋体"/>
          <w:color w:val="auto"/>
          <w:highlight w:val="none"/>
          <w:u w:val="single"/>
        </w:rPr>
        <w:t>（单位名称。联合体参加的，联合体所有成员名称）</w:t>
      </w:r>
      <w:r>
        <w:rPr>
          <w:rFonts w:hint="eastAsia" w:ascii="宋体" w:hAnsi="宋体" w:cs="宋体"/>
          <w:color w:val="auto"/>
          <w:highlight w:val="none"/>
        </w:rPr>
        <w:t xml:space="preserve">参加 </w:t>
      </w:r>
      <w:r>
        <w:rPr>
          <w:rFonts w:hint="eastAsia" w:ascii="宋体" w:hAnsi="宋体" w:cs="宋体"/>
          <w:color w:val="auto"/>
          <w:highlight w:val="none"/>
          <w:u w:val="single"/>
        </w:rPr>
        <w:t>（采购人单位名称）</w:t>
      </w:r>
      <w:r>
        <w:rPr>
          <w:rFonts w:hint="eastAsia" w:ascii="宋体" w:hAnsi="宋体" w:cs="宋体"/>
          <w:color w:val="auto"/>
          <w:highlight w:val="none"/>
        </w:rPr>
        <w:t xml:space="preserve"> 的 </w:t>
      </w:r>
      <w:r>
        <w:rPr>
          <w:rFonts w:hint="eastAsia" w:ascii="宋体" w:hAnsi="宋体" w:cs="宋体"/>
          <w:color w:val="auto"/>
          <w:highlight w:val="none"/>
          <w:u w:val="single"/>
        </w:rPr>
        <w:t xml:space="preserve">（项目名称） </w:t>
      </w:r>
      <w:r>
        <w:rPr>
          <w:rFonts w:hint="eastAsia" w:ascii="宋体" w:hAnsi="宋体" w:cs="宋体"/>
          <w:color w:val="auto"/>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1.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665906A9">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2. </w:t>
      </w:r>
      <w:r>
        <w:rPr>
          <w:rFonts w:hint="eastAsia" w:ascii="宋体" w:hAnsi="宋体" w:cs="宋体"/>
          <w:color w:val="auto"/>
          <w:highlight w:val="none"/>
          <w:u w:val="single"/>
        </w:rPr>
        <w:t>（标的名称）</w:t>
      </w:r>
      <w:r>
        <w:rPr>
          <w:rFonts w:hint="eastAsia" w:ascii="宋体" w:hAnsi="宋体" w:cs="宋体"/>
          <w:color w:val="auto"/>
          <w:highlight w:val="none"/>
        </w:rPr>
        <w:t xml:space="preserve">，属于 </w:t>
      </w:r>
      <w:r>
        <w:rPr>
          <w:rFonts w:hint="eastAsia" w:ascii="宋体" w:hAnsi="宋体" w:cs="宋体"/>
          <w:color w:val="auto"/>
          <w:highlight w:val="none"/>
          <w:u w:val="single"/>
        </w:rPr>
        <w:t>（采购文件中明确的所属行业）</w:t>
      </w:r>
      <w:r>
        <w:rPr>
          <w:rFonts w:hint="eastAsia" w:ascii="宋体" w:hAnsi="宋体" w:cs="宋体"/>
          <w:color w:val="auto"/>
          <w:highlight w:val="none"/>
        </w:rPr>
        <w:t xml:space="preserve"> ；承建（承接）企业为 </w:t>
      </w:r>
      <w:r>
        <w:rPr>
          <w:rFonts w:hint="eastAsia" w:ascii="宋体" w:hAnsi="宋体" w:cs="宋体"/>
          <w:color w:val="auto"/>
          <w:highlight w:val="none"/>
          <w:u w:val="single"/>
        </w:rPr>
        <w:t>（企业名称）</w:t>
      </w:r>
      <w:r>
        <w:rPr>
          <w:rFonts w:hint="eastAsia" w:ascii="宋体" w:hAnsi="宋体" w:cs="宋体"/>
          <w:color w:val="auto"/>
          <w:highlight w:val="none"/>
        </w:rPr>
        <w:t xml:space="preserve"> ，从业人员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 xml:space="preserve"> （中型企业、小型企业、微型企业） </w:t>
      </w:r>
      <w:r>
        <w:rPr>
          <w:rFonts w:hint="eastAsia" w:ascii="宋体" w:hAnsi="宋体" w:cs="宋体"/>
          <w:color w:val="auto"/>
          <w:highlight w:val="none"/>
        </w:rPr>
        <w:t>；</w:t>
      </w:r>
    </w:p>
    <w:p w14:paraId="29A87668">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w:t>
      </w:r>
    </w:p>
    <w:p w14:paraId="643E90FC">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02253480">
      <w:pPr>
        <w:adjustRightIn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0842CEE">
      <w:pPr>
        <w:adjustRightInd w:val="0"/>
        <w:snapToGrid w:val="0"/>
        <w:spacing w:line="360" w:lineRule="auto"/>
        <w:ind w:firstLine="5565" w:firstLineChars="265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0D728C5">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EF53519">
      <w:pPr>
        <w:adjustRightInd w:val="0"/>
        <w:spacing w:line="360" w:lineRule="auto"/>
        <w:ind w:right="1120" w:firstLine="5670" w:firstLineChars="2700"/>
        <w:rPr>
          <w:rFonts w:ascii="宋体" w:hAnsi="宋体" w:cs="宋体"/>
          <w:color w:val="auto"/>
          <w:highlight w:val="none"/>
        </w:rPr>
      </w:pPr>
    </w:p>
    <w:p w14:paraId="2663EA2C">
      <w:pPr>
        <w:adjustRightInd w:val="0"/>
        <w:spacing w:line="360" w:lineRule="auto"/>
        <w:ind w:firstLine="310" w:firstLineChars="147"/>
        <w:jc w:val="left"/>
        <w:rPr>
          <w:rFonts w:ascii="宋体" w:hAnsi="宋体" w:cs="宋体"/>
          <w:b/>
          <w:color w:val="auto"/>
          <w:highlight w:val="none"/>
        </w:rPr>
      </w:pPr>
      <w:r>
        <w:rPr>
          <w:rFonts w:hint="eastAsia" w:ascii="宋体" w:hAnsi="宋体" w:cs="宋体"/>
          <w:b/>
          <w:color w:val="auto"/>
          <w:highlight w:val="none"/>
        </w:rPr>
        <w:t>从业人员、营业收入、资产总额填报上一年度数据，无上一年度数据的新成立企业可不填报。</w:t>
      </w:r>
    </w:p>
    <w:p w14:paraId="09BE3360">
      <w:pPr>
        <w:adjustRightInd w:val="0"/>
        <w:spacing w:line="360" w:lineRule="auto"/>
        <w:ind w:right="420"/>
        <w:rPr>
          <w:rFonts w:ascii="宋体" w:hAnsi="宋体" w:cs="宋体"/>
          <w:color w:val="auto"/>
          <w:highlight w:val="none"/>
        </w:rPr>
      </w:pPr>
    </w:p>
    <w:p w14:paraId="4C21A3F9">
      <w:pPr>
        <w:adjustRightInd w:val="0"/>
        <w:spacing w:line="360" w:lineRule="auto"/>
        <w:ind w:right="420"/>
        <w:rPr>
          <w:rFonts w:ascii="宋体" w:hAnsi="宋体" w:cs="宋体"/>
          <w:color w:val="auto"/>
          <w:highlight w:val="none"/>
        </w:rPr>
      </w:pPr>
      <w:r>
        <w:rPr>
          <w:rFonts w:hint="eastAsia" w:ascii="宋体" w:hAnsi="宋体" w:cs="宋体"/>
          <w:color w:val="auto"/>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630" w:firstLineChars="300"/>
        <w:rPr>
          <w:rFonts w:ascii="宋体" w:hAnsi="宋体" w:cs="宋体"/>
          <w:b/>
          <w:color w:val="auto"/>
          <w:highlight w:val="none"/>
        </w:rPr>
      </w:pPr>
      <w:r>
        <w:rPr>
          <w:rFonts w:hint="eastAsia" w:ascii="宋体" w:hAnsi="宋体" w:cs="宋体"/>
          <w:color w:val="auto"/>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r>
        <w:rPr>
          <w:rFonts w:hint="eastAsia" w:ascii="宋体" w:hAnsi="宋体" w:cs="宋体"/>
          <w:b/>
          <w:color w:val="auto"/>
          <w:highlight w:val="none"/>
        </w:rPr>
        <w:br w:type="page"/>
      </w:r>
    </w:p>
    <w:p w14:paraId="3CDA4EE4">
      <w:pPr>
        <w:jc w:val="center"/>
        <w:rPr>
          <w:rFonts w:ascii="宋体" w:hAnsi="宋体" w:cs="宋体"/>
          <w:b/>
          <w:color w:val="auto"/>
          <w:highlight w:val="none"/>
        </w:rPr>
      </w:pPr>
      <w:r>
        <w:rPr>
          <w:rFonts w:hint="eastAsia" w:ascii="宋体" w:hAnsi="宋体" w:cs="宋体"/>
          <w:b/>
          <w:color w:val="auto"/>
          <w:highlight w:val="none"/>
        </w:rPr>
        <w:t>残疾人福利性单位声明函</w:t>
      </w:r>
    </w:p>
    <w:p w14:paraId="76B77962">
      <w:pPr>
        <w:pStyle w:val="19"/>
        <w:ind w:firstLine="210"/>
        <w:rPr>
          <w:rFonts w:ascii="宋体" w:hAnsi="宋体" w:eastAsia="宋体" w:cs="宋体"/>
          <w:color w:val="auto"/>
          <w:sz w:val="21"/>
          <w:szCs w:val="21"/>
          <w:highlight w:val="none"/>
        </w:rPr>
      </w:pPr>
    </w:p>
    <w:p w14:paraId="59DFCC5A">
      <w:pPr>
        <w:pStyle w:val="278"/>
        <w:spacing w:line="360" w:lineRule="auto"/>
        <w:ind w:firstLine="601"/>
        <w:rPr>
          <w:color w:val="auto"/>
          <w:kern w:val="2"/>
          <w:sz w:val="21"/>
          <w:szCs w:val="21"/>
          <w:highlight w:val="none"/>
        </w:rPr>
      </w:pPr>
      <w:r>
        <w:rPr>
          <w:rFonts w:hint="eastAsia"/>
          <w:color w:val="auto"/>
          <w:kern w:val="2"/>
          <w:sz w:val="21"/>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1"/>
          <w:szCs w:val="21"/>
          <w:highlight w:val="none"/>
          <w:u w:val="single"/>
        </w:rPr>
        <w:t xml:space="preserve">        </w:t>
      </w:r>
      <w:r>
        <w:rPr>
          <w:rFonts w:hint="eastAsia"/>
          <w:color w:val="auto"/>
          <w:kern w:val="2"/>
          <w:sz w:val="21"/>
          <w:szCs w:val="21"/>
          <w:highlight w:val="none"/>
        </w:rPr>
        <w:t>单位的</w:t>
      </w:r>
      <w:r>
        <w:rPr>
          <w:rFonts w:hint="eastAsia"/>
          <w:color w:val="auto"/>
          <w:kern w:val="2"/>
          <w:sz w:val="21"/>
          <w:szCs w:val="21"/>
          <w:highlight w:val="none"/>
          <w:u w:val="single"/>
        </w:rPr>
        <w:t xml:space="preserve">       </w:t>
      </w:r>
      <w:r>
        <w:rPr>
          <w:rFonts w:hint="eastAsia"/>
          <w:color w:val="auto"/>
          <w:kern w:val="2"/>
          <w:sz w:val="21"/>
          <w:szCs w:val="21"/>
          <w:highlight w:val="none"/>
        </w:rPr>
        <w:t>项目采购活动提供本单位制造的货物（由本单位承担工程/提供服务），或者提供其他残疾人福利性单位制造的货物（不包括使用非残疾人福利性单位注册商标的货物）。</w:t>
      </w:r>
    </w:p>
    <w:p w14:paraId="29BE81F1">
      <w:pPr>
        <w:pStyle w:val="278"/>
        <w:spacing w:line="360" w:lineRule="auto"/>
        <w:ind w:firstLine="600"/>
        <w:rPr>
          <w:color w:val="auto"/>
          <w:kern w:val="2"/>
          <w:sz w:val="21"/>
          <w:szCs w:val="21"/>
          <w:highlight w:val="none"/>
        </w:rPr>
      </w:pPr>
      <w:r>
        <w:rPr>
          <w:rFonts w:hint="eastAsia"/>
          <w:color w:val="auto"/>
          <w:kern w:val="2"/>
          <w:sz w:val="21"/>
          <w:szCs w:val="21"/>
          <w:highlight w:val="none"/>
        </w:rPr>
        <w:t>本单位对上述声明的真实性负责。如有虚假，将依法承担相应责任。</w:t>
      </w:r>
    </w:p>
    <w:p w14:paraId="4E50E3D1">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62874388">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011C142C">
      <w:pPr>
        <w:pStyle w:val="278"/>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51CCAA64">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highlight w:val="none"/>
        </w:rPr>
      </w:pPr>
    </w:p>
    <w:p w14:paraId="19AB151F">
      <w:pPr>
        <w:spacing w:line="360" w:lineRule="auto"/>
        <w:jc w:val="center"/>
        <w:rPr>
          <w:rFonts w:ascii="宋体" w:hAnsi="宋体" w:cs="宋体"/>
          <w:b/>
          <w:color w:val="auto"/>
          <w:highlight w:val="none"/>
        </w:rPr>
      </w:pPr>
      <w:r>
        <w:rPr>
          <w:rFonts w:hint="eastAsia" w:ascii="宋体" w:hAnsi="宋体" w:cs="宋体"/>
          <w:b/>
          <w:color w:val="auto"/>
          <w:highlight w:val="none"/>
        </w:rPr>
        <w:t>监狱企业证明</w:t>
      </w:r>
    </w:p>
    <w:p w14:paraId="57BBCFFF">
      <w:pPr>
        <w:pStyle w:val="2"/>
        <w:spacing w:line="360" w:lineRule="auto"/>
        <w:ind w:firstLine="0"/>
        <w:jc w:val="center"/>
        <w:rPr>
          <w:rFonts w:ascii="宋体" w:hAnsi="宋体" w:cs="宋体"/>
          <w:color w:val="auto"/>
          <w:highlight w:val="none"/>
        </w:rPr>
      </w:pPr>
    </w:p>
    <w:p w14:paraId="0770E90B">
      <w:pPr>
        <w:pStyle w:val="2"/>
        <w:spacing w:line="360" w:lineRule="auto"/>
        <w:ind w:firstLine="422" w:firstLineChars="200"/>
        <w:jc w:val="left"/>
        <w:rPr>
          <w:rFonts w:ascii="宋体" w:hAnsi="宋体" w:cs="宋体"/>
          <w:color w:val="auto"/>
          <w:highlight w:val="none"/>
        </w:rPr>
      </w:pPr>
      <w:r>
        <w:rPr>
          <w:rFonts w:hint="eastAsia" w:ascii="宋体" w:hAnsi="宋体" w:cs="宋体"/>
          <w:b/>
          <w:color w:val="auto"/>
          <w:highlight w:val="none"/>
        </w:rPr>
        <w:t>注：</w:t>
      </w:r>
      <w:r>
        <w:rPr>
          <w:rFonts w:hint="eastAsia" w:ascii="宋体" w:hAnsi="宋体" w:cs="宋体"/>
          <w:color w:val="auto"/>
          <w:highlight w:val="none"/>
        </w:rPr>
        <w:t>须提供省级以上监狱管理局、戒毒管理局（含新疆生产建设兵团）出具的属于监狱企业的证明文件</w:t>
      </w:r>
    </w:p>
    <w:p w14:paraId="2A18E9C6">
      <w:pPr>
        <w:rPr>
          <w:rFonts w:ascii="宋体" w:hAnsi="宋体" w:cs="宋体"/>
          <w:color w:val="auto"/>
          <w:highlight w:val="none"/>
        </w:rPr>
      </w:pPr>
    </w:p>
    <w:p w14:paraId="7F577FBC">
      <w:pPr>
        <w:adjustRightInd w:val="0"/>
        <w:snapToGrid w:val="0"/>
        <w:spacing w:line="360" w:lineRule="auto"/>
        <w:ind w:firstLine="5460" w:firstLineChars="2600"/>
        <w:rPr>
          <w:rFonts w:ascii="宋体" w:hAnsi="宋体" w:cs="宋体"/>
          <w:color w:val="auto"/>
          <w:kern w:val="0"/>
          <w:highlight w:val="none"/>
          <w:u w:val="single"/>
        </w:rPr>
      </w:pPr>
      <w:r>
        <w:rPr>
          <w:rFonts w:hint="eastAsia" w:ascii="宋体" w:hAnsi="宋体" w:cs="宋体"/>
          <w:color w:val="auto"/>
          <w:kern w:val="0"/>
          <w:highlight w:val="none"/>
          <w:lang w:val="zh-CN"/>
        </w:rPr>
        <w:t>投标人(公章)：</w:t>
      </w:r>
      <w:r>
        <w:rPr>
          <w:rFonts w:hint="eastAsia" w:ascii="宋体" w:hAnsi="宋体" w:cs="宋体"/>
          <w:color w:val="auto"/>
          <w:kern w:val="0"/>
          <w:highlight w:val="none"/>
          <w:u w:val="single"/>
        </w:rPr>
        <w:t xml:space="preserve">          </w:t>
      </w:r>
    </w:p>
    <w:p w14:paraId="39994277">
      <w:pPr>
        <w:adjustRightInd w:val="0"/>
        <w:spacing w:line="360" w:lineRule="auto"/>
        <w:ind w:right="1120" w:firstLine="4620" w:firstLineChars="2200"/>
        <w:jc w:val="right"/>
        <w:rPr>
          <w:rFonts w:ascii="宋体" w:hAnsi="宋体" w:cs="宋体"/>
          <w:color w:val="auto"/>
          <w:highlight w:val="none"/>
        </w:rPr>
      </w:pP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lang w:val="zh-CN"/>
        </w:rPr>
        <w:t>日期</w:t>
      </w:r>
      <w:r>
        <w:rPr>
          <w:rFonts w:hint="eastAsia" w:ascii="宋体" w:hAnsi="宋体" w:cs="宋体"/>
          <w:color w:val="auto"/>
          <w:kern w:val="0"/>
          <w:highlight w:val="none"/>
        </w:rPr>
        <w:t>：</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lang w:val="zh-CN"/>
        </w:rPr>
        <w:t>日</w:t>
      </w:r>
    </w:p>
    <w:p w14:paraId="1E57ECF1">
      <w:pPr>
        <w:rPr>
          <w:color w:val="auto"/>
          <w:highlight w:val="none"/>
        </w:rPr>
      </w:pPr>
    </w:p>
    <w:p w14:paraId="456ECA66">
      <w:pPr>
        <w:snapToGrid w:val="0"/>
        <w:spacing w:line="500" w:lineRule="exact"/>
        <w:jc w:val="center"/>
        <w:rPr>
          <w:rFonts w:ascii="宋体" w:hAnsi="宋体" w:cs="宋体"/>
          <w:color w:val="auto"/>
          <w:highlight w:val="none"/>
        </w:rPr>
      </w:pPr>
    </w:p>
    <w:p w14:paraId="29FE31A3">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p>
    <w:p w14:paraId="21245F81">
      <w:pPr>
        <w:pStyle w:val="5"/>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8、《旅行社业务经营许可证》扫描件或复印件</w:t>
      </w:r>
      <w:r>
        <w:rPr>
          <w:rFonts w:hint="eastAsia" w:ascii="宋体" w:hAnsi="宋体" w:eastAsia="宋体" w:cs="宋体"/>
          <w:b w:val="0"/>
          <w:bCs w:val="0"/>
          <w:color w:val="auto"/>
          <w:sz w:val="21"/>
          <w:szCs w:val="21"/>
          <w:highlight w:val="none"/>
        </w:rPr>
        <w:br w:type="page"/>
      </w:r>
      <w:bookmarkStart w:id="94" w:name="_Toc43498238"/>
      <w:r>
        <w:rPr>
          <w:rFonts w:hint="eastAsia" w:ascii="宋体" w:hAnsi="宋体" w:eastAsia="宋体" w:cs="宋体"/>
          <w:b w:val="0"/>
          <w:bCs w:val="0"/>
          <w:color w:val="auto"/>
          <w:sz w:val="21"/>
          <w:szCs w:val="21"/>
          <w:highlight w:val="none"/>
        </w:rPr>
        <w:t xml:space="preserve">           </w:t>
      </w:r>
      <w:r>
        <w:rPr>
          <w:rFonts w:hint="eastAsia" w:ascii="宋体" w:hAnsi="宋体" w:eastAsia="宋体" w:cs="宋体"/>
          <w:color w:val="auto"/>
          <w:kern w:val="0"/>
          <w:sz w:val="21"/>
          <w:szCs w:val="21"/>
          <w:highlight w:val="none"/>
        </w:rPr>
        <w:t>二  商务技术文件</w:t>
      </w:r>
      <w:bookmarkEnd w:id="94"/>
      <w:r>
        <w:rPr>
          <w:rFonts w:hint="eastAsia" w:ascii="宋体" w:hAnsi="宋体" w:eastAsia="宋体" w:cs="宋体"/>
          <w:color w:val="auto"/>
          <w:kern w:val="0"/>
          <w:sz w:val="21"/>
          <w:szCs w:val="21"/>
          <w:highlight w:val="none"/>
        </w:rPr>
        <w:t>格式</w:t>
      </w:r>
    </w:p>
    <w:bookmarkEnd w:id="81"/>
    <w:bookmarkEnd w:id="82"/>
    <w:bookmarkEnd w:id="83"/>
    <w:bookmarkEnd w:id="84"/>
    <w:p w14:paraId="2AF7568F">
      <w:pPr>
        <w:spacing w:line="360" w:lineRule="auto"/>
        <w:jc w:val="left"/>
        <w:rPr>
          <w:rFonts w:ascii="宋体" w:hAnsi="宋体" w:cs="宋体"/>
          <w:color w:val="auto"/>
          <w:highlight w:val="none"/>
        </w:rPr>
      </w:pPr>
      <w:bookmarkStart w:id="95" w:name="_Toc494555875"/>
      <w:bookmarkStart w:id="96" w:name="_Toc493956059"/>
      <w:bookmarkStart w:id="97" w:name="_Toc493956064"/>
      <w:bookmarkStart w:id="98" w:name="_Toc493956065"/>
      <w:bookmarkStart w:id="99" w:name="_Toc493956060"/>
      <w:bookmarkStart w:id="100" w:name="_Toc493956062"/>
      <w:bookmarkStart w:id="101" w:name="_Toc494555876"/>
      <w:bookmarkStart w:id="102" w:name="_Toc494555877"/>
      <w:bookmarkStart w:id="103" w:name="_Toc494555879"/>
      <w:bookmarkStart w:id="104" w:name="_Toc494555880"/>
      <w:bookmarkStart w:id="105" w:name="_Toc69635465"/>
      <w:r>
        <w:rPr>
          <w:rFonts w:hint="eastAsia" w:ascii="宋体" w:hAnsi="宋体" w:cs="宋体"/>
          <w:color w:val="auto"/>
          <w:highlight w:val="none"/>
        </w:rPr>
        <w:t>1、自评分表（格式自拟）</w:t>
      </w:r>
    </w:p>
    <w:p w14:paraId="3E126A89">
      <w:pPr>
        <w:spacing w:line="360" w:lineRule="auto"/>
        <w:jc w:val="left"/>
        <w:rPr>
          <w:rFonts w:ascii="宋体" w:hAnsi="宋体" w:cs="宋体"/>
          <w:color w:val="auto"/>
          <w:highlight w:val="none"/>
        </w:rPr>
      </w:pPr>
      <w:r>
        <w:rPr>
          <w:rFonts w:hint="eastAsia" w:ascii="宋体" w:hAnsi="宋体" w:cs="宋体"/>
          <w:color w:val="auto"/>
          <w:highlight w:val="none"/>
        </w:rPr>
        <w:t>2、投标声明书</w:t>
      </w:r>
      <w:bookmarkEnd w:id="95"/>
      <w:bookmarkEnd w:id="96"/>
    </w:p>
    <w:p w14:paraId="76535871">
      <w:pPr>
        <w:spacing w:line="360" w:lineRule="auto"/>
        <w:jc w:val="left"/>
        <w:rPr>
          <w:rFonts w:ascii="宋体" w:hAnsi="宋体" w:cs="宋体"/>
          <w:color w:val="auto"/>
          <w:highlight w:val="none"/>
        </w:rPr>
      </w:pPr>
      <w:r>
        <w:rPr>
          <w:rFonts w:hint="eastAsia" w:ascii="宋体" w:hAnsi="宋体" w:cs="宋体"/>
          <w:color w:val="auto"/>
          <w:highlight w:val="none"/>
        </w:rPr>
        <w:t>3、</w:t>
      </w:r>
      <w:bookmarkEnd w:id="97"/>
      <w:bookmarkEnd w:id="98"/>
      <w:bookmarkEnd w:id="99"/>
      <w:bookmarkEnd w:id="100"/>
      <w:bookmarkEnd w:id="101"/>
      <w:bookmarkEnd w:id="102"/>
      <w:bookmarkEnd w:id="103"/>
      <w:bookmarkEnd w:id="104"/>
      <w:r>
        <w:rPr>
          <w:rFonts w:hint="eastAsia" w:ascii="宋体" w:hAnsi="宋体" w:cs="宋体"/>
          <w:color w:val="auto"/>
          <w:highlight w:val="none"/>
        </w:rPr>
        <w:t>参数规格偏离表</w:t>
      </w:r>
    </w:p>
    <w:p w14:paraId="12578D4D">
      <w:pPr>
        <w:spacing w:line="360" w:lineRule="auto"/>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根据评分表及项目需求情况，自行添加相关表格及资料</w:t>
      </w:r>
    </w:p>
    <w:p w14:paraId="3A4FA584">
      <w:pPr>
        <w:spacing w:line="360" w:lineRule="auto"/>
        <w:jc w:val="left"/>
        <w:rPr>
          <w:rFonts w:ascii="宋体" w:hAnsi="宋体" w:cs="宋体"/>
          <w:color w:val="auto"/>
          <w:highlight w:val="none"/>
        </w:rPr>
      </w:pPr>
    </w:p>
    <w:p w14:paraId="3300E0DC">
      <w:pPr>
        <w:widowControl/>
        <w:jc w:val="left"/>
        <w:rPr>
          <w:rFonts w:ascii="宋体" w:hAnsi="宋体" w:cs="宋体"/>
          <w:b/>
          <w:bCs/>
          <w:color w:val="auto"/>
          <w:highlight w:val="none"/>
        </w:rPr>
      </w:pPr>
      <w:r>
        <w:rPr>
          <w:rFonts w:hint="eastAsia" w:ascii="宋体" w:hAnsi="宋体" w:cs="宋体"/>
          <w:b/>
          <w:bCs/>
          <w:color w:val="auto"/>
          <w:highlight w:val="none"/>
        </w:rPr>
        <w:br w:type="page"/>
      </w:r>
    </w:p>
    <w:p w14:paraId="16933B66">
      <w:pPr>
        <w:widowControl/>
        <w:jc w:val="center"/>
        <w:rPr>
          <w:rFonts w:ascii="宋体" w:hAnsi="宋体" w:cs="宋体"/>
          <w:color w:val="auto"/>
          <w:highlight w:val="none"/>
        </w:rPr>
      </w:pPr>
      <w:bookmarkStart w:id="106" w:name="_Toc43498239"/>
      <w:r>
        <w:rPr>
          <w:rFonts w:hint="eastAsia" w:ascii="宋体" w:hAnsi="宋体" w:cs="宋体"/>
          <w:b/>
          <w:bCs/>
          <w:color w:val="auto"/>
          <w:highlight w:val="none"/>
        </w:rPr>
        <w:t>1、投标声明书</w:t>
      </w:r>
    </w:p>
    <w:p w14:paraId="4B3386AE">
      <w:pPr>
        <w:pStyle w:val="203"/>
        <w:spacing w:before="62" w:after="62" w:line="440" w:lineRule="exact"/>
        <w:rPr>
          <w:rFonts w:ascii="宋体" w:hAnsi="宋体" w:cs="宋体"/>
          <w:color w:val="auto"/>
          <w:kern w:val="0"/>
          <w:highlight w:val="none"/>
          <w:u w:val="single"/>
        </w:rPr>
      </w:pPr>
      <w:r>
        <w:rPr>
          <w:rFonts w:hint="eastAsia" w:ascii="宋体" w:hAnsi="宋体" w:cs="宋体"/>
          <w:color w:val="auto"/>
          <w:kern w:val="0"/>
          <w:highlight w:val="none"/>
          <w:u w:val="single"/>
        </w:rPr>
        <w:t>（采购人名称）：</w:t>
      </w:r>
    </w:p>
    <w:p w14:paraId="2F62376E">
      <w:pPr>
        <w:pStyle w:val="150"/>
        <w:spacing w:line="440" w:lineRule="exact"/>
        <w:ind w:firstLine="720"/>
        <w:rPr>
          <w:rFonts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lang w:eastAsia="zh-CN"/>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4B4C3A7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(法定代表人或负责人名字)</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为负责人，我方愿意参加贵方组织的</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（项目名称）（采购编号：）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1D4ADADA">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36D7C66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7169C2D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6DBF334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资格审查文件；</w:t>
      </w:r>
    </w:p>
    <w:p w14:paraId="18C8FC8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商务技术文件；</w:t>
      </w:r>
    </w:p>
    <w:p w14:paraId="1075677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报价文件；</w:t>
      </w:r>
    </w:p>
    <w:p w14:paraId="3875DAC4">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投标人须知要求的投标人提交的全部文件；</w:t>
      </w:r>
    </w:p>
    <w:p w14:paraId="3C7ABC75">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按招标文件要求提供和交付的服务的投标报价详见报价表。</w:t>
      </w:r>
    </w:p>
    <w:p w14:paraId="14C7E3A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（姓名及身份证号码），</w:t>
      </w:r>
      <w:r>
        <w:rPr>
          <w:rFonts w:hint="eastAsia" w:hAnsi="宋体" w:cs="宋体"/>
          <w:color w:val="auto"/>
          <w:sz w:val="21"/>
          <w:szCs w:val="21"/>
          <w:highlight w:val="none"/>
        </w:rPr>
        <w:t>作为本项目与采购单位联系的项目实施负责人，联系手机号码：</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3A562C4C">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595C3CCB">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33F812A3">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75C99A32">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7D99F998">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06101EF1">
      <w:pPr>
        <w:pStyle w:val="150"/>
        <w:spacing w:line="44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F58343">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（一）提供虚假材料谋取中标、中标的；</w:t>
      </w:r>
    </w:p>
    <w:p w14:paraId="5642F8B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（二）采取不正当手段诋毁、排挤其他投标人的；</w:t>
      </w:r>
    </w:p>
    <w:p w14:paraId="6401A9E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（三）与采购人、其它投标人或者采购代理机构恶意串通的；</w:t>
      </w:r>
    </w:p>
    <w:p w14:paraId="6C688D3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（四）向采购人、采购代理机构行贿或者提供其他不正当利益的；</w:t>
      </w:r>
    </w:p>
    <w:p w14:paraId="1033AF0A">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（五）在招标采购过程中与采购人进行协商谈判的；</w:t>
      </w:r>
    </w:p>
    <w:p w14:paraId="35306F86">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（六）拒绝有关部门监督检查或提供虚假情况的。</w:t>
      </w:r>
    </w:p>
    <w:p w14:paraId="2F176247">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746A67C2">
      <w:pPr>
        <w:pStyle w:val="150"/>
        <w:spacing w:line="440" w:lineRule="exact"/>
        <w:ind w:firstLine="210" w:firstLineChars="100"/>
        <w:rPr>
          <w:rFonts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1101B813">
      <w:pPr>
        <w:pStyle w:val="150"/>
        <w:spacing w:line="440" w:lineRule="exact"/>
        <w:ind w:firstLine="480"/>
        <w:rPr>
          <w:rFonts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3BF49983">
      <w:pPr>
        <w:pStyle w:val="150"/>
        <w:spacing w:line="44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             邮编：　</w:t>
      </w:r>
    </w:p>
    <w:p w14:paraId="630B740A">
      <w:pPr>
        <w:pStyle w:val="150"/>
        <w:spacing w:line="440" w:lineRule="exact"/>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传真：</w:t>
      </w:r>
    </w:p>
    <w:p w14:paraId="4F4BAD97">
      <w:pPr>
        <w:pStyle w:val="150"/>
        <w:spacing w:line="440" w:lineRule="exact"/>
        <w:rPr>
          <w:rFonts w:hAnsi="宋体" w:cs="宋体"/>
          <w:color w:val="auto"/>
          <w:sz w:val="21"/>
          <w:szCs w:val="21"/>
          <w:highlight w:val="none"/>
        </w:rPr>
      </w:pPr>
    </w:p>
    <w:p w14:paraId="734A6283">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F442E1F">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1C9B871D">
      <w:pPr>
        <w:pStyle w:val="27"/>
        <w:wordWrap w:val="0"/>
        <w:spacing w:line="360" w:lineRule="auto"/>
        <w:ind w:right="480" w:firstLine="3990" w:firstLineChars="1900"/>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日期：_____年____月____日</w:t>
      </w:r>
    </w:p>
    <w:p w14:paraId="00F02407">
      <w:pPr>
        <w:pStyle w:val="2"/>
        <w:spacing w:line="360" w:lineRule="auto"/>
        <w:ind w:firstLine="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2、参数规格偏离表</w:t>
      </w:r>
    </w:p>
    <w:p w14:paraId="39D50032">
      <w:pPr>
        <w:spacing w:line="360" w:lineRule="auto"/>
        <w:rPr>
          <w:rFonts w:ascii="宋体" w:hAnsi="宋体" w:cs="宋体"/>
          <w:color w:val="auto"/>
          <w:spacing w:val="20"/>
          <w:highlight w:val="none"/>
        </w:rPr>
      </w:pPr>
      <w:r>
        <w:rPr>
          <w:rFonts w:hint="eastAsia" w:ascii="宋体" w:hAnsi="宋体" w:cs="宋体"/>
          <w:color w:val="auto"/>
          <w:spacing w:val="20"/>
          <w:highlight w:val="none"/>
        </w:rPr>
        <w:t>采购项目：</w:t>
      </w:r>
      <w:r>
        <w:rPr>
          <w:rFonts w:hint="eastAsia" w:ascii="宋体" w:hAnsi="宋体" w:cs="宋体"/>
          <w:color w:val="auto"/>
          <w:spacing w:val="20"/>
          <w:highlight w:val="none"/>
          <w:lang w:val="en-US" w:eastAsia="zh-CN"/>
        </w:rPr>
        <w:t xml:space="preserve">       </w:t>
      </w:r>
    </w:p>
    <w:p w14:paraId="78843BDC">
      <w:pPr>
        <w:tabs>
          <w:tab w:val="left" w:pos="1418"/>
        </w:tabs>
        <w:spacing w:line="360" w:lineRule="auto"/>
        <w:rPr>
          <w:rFonts w:ascii="宋体" w:hAnsi="宋体" w:cs="宋体"/>
          <w:color w:val="auto"/>
          <w:highlight w:val="none"/>
        </w:rPr>
      </w:pPr>
      <w:r>
        <w:rPr>
          <w:rFonts w:hint="eastAsia" w:ascii="宋体" w:hAnsi="宋体" w:cs="宋体"/>
          <w:color w:val="auto"/>
          <w:spacing w:val="20"/>
          <w:highlight w:val="none"/>
        </w:rPr>
        <w:t>采购编号</w:t>
      </w:r>
      <w:r>
        <w:rPr>
          <w:rFonts w:hint="eastAsia" w:ascii="宋体" w:hAnsi="宋体" w:cs="宋体"/>
          <w:color w:val="auto"/>
          <w:highlight w:val="none"/>
        </w:rPr>
        <w:t>：</w:t>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r>
        <w:rPr>
          <w:rFonts w:hint="eastAsia" w:ascii="宋体" w:hAnsi="宋体" w:cs="宋体"/>
          <w:color w:val="auto"/>
          <w:highlight w:val="none"/>
          <w:lang w:val="en-GB"/>
        </w:rPr>
        <w:tab/>
      </w:r>
    </w:p>
    <w:tbl>
      <w:tblPr>
        <w:tblStyle w:val="50"/>
        <w:tblW w:w="98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6"/>
        <w:gridCol w:w="3038"/>
        <w:gridCol w:w="2328"/>
        <w:gridCol w:w="3471"/>
      </w:tblGrid>
      <w:tr w14:paraId="7698C9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6FF184ED">
            <w:pPr>
              <w:jc w:val="center"/>
              <w:rPr>
                <w:rFonts w:ascii="Arial" w:hAnsi="Arial" w:cs="Arial"/>
                <w:color w:val="auto"/>
                <w:sz w:val="21"/>
                <w:szCs w:val="18"/>
                <w:highlight w:val="none"/>
              </w:rPr>
            </w:pPr>
            <w:r>
              <w:rPr>
                <w:rFonts w:ascii="Arial" w:hAnsi="Arial" w:cs="Arial"/>
                <w:color w:val="auto"/>
                <w:sz w:val="21"/>
                <w:szCs w:val="18"/>
                <w:highlight w:val="none"/>
              </w:rPr>
              <w:t>序号</w:t>
            </w:r>
          </w:p>
        </w:tc>
        <w:tc>
          <w:tcPr>
            <w:tcW w:w="3038" w:type="dxa"/>
            <w:vAlign w:val="center"/>
          </w:tcPr>
          <w:p w14:paraId="665C1A03">
            <w:pPr>
              <w:jc w:val="center"/>
              <w:rPr>
                <w:rFonts w:ascii="Arial" w:hAnsi="Arial" w:cs="Arial"/>
                <w:color w:val="auto"/>
                <w:sz w:val="21"/>
                <w:szCs w:val="18"/>
                <w:highlight w:val="none"/>
              </w:rPr>
            </w:pPr>
            <w:r>
              <w:rPr>
                <w:rFonts w:ascii="Arial" w:hAnsi="Arial" w:cs="Arial"/>
                <w:color w:val="auto"/>
                <w:sz w:val="21"/>
                <w:szCs w:val="18"/>
                <w:highlight w:val="none"/>
              </w:rPr>
              <w:t>采购文件要求</w:t>
            </w:r>
          </w:p>
        </w:tc>
        <w:tc>
          <w:tcPr>
            <w:tcW w:w="2328" w:type="dxa"/>
            <w:vAlign w:val="center"/>
          </w:tcPr>
          <w:p w14:paraId="344F9742">
            <w:pPr>
              <w:jc w:val="center"/>
              <w:rPr>
                <w:rFonts w:ascii="Arial" w:hAnsi="Arial" w:cs="Arial"/>
                <w:color w:val="auto"/>
                <w:sz w:val="21"/>
                <w:szCs w:val="18"/>
                <w:highlight w:val="none"/>
              </w:rPr>
            </w:pPr>
            <w:r>
              <w:rPr>
                <w:rFonts w:ascii="Arial" w:hAnsi="Arial" w:cs="Arial"/>
                <w:color w:val="auto"/>
                <w:sz w:val="21"/>
                <w:szCs w:val="18"/>
                <w:highlight w:val="none"/>
              </w:rPr>
              <w:t>响应内容</w:t>
            </w:r>
          </w:p>
        </w:tc>
        <w:tc>
          <w:tcPr>
            <w:tcW w:w="3471" w:type="dxa"/>
            <w:vAlign w:val="center"/>
          </w:tcPr>
          <w:p w14:paraId="3E6E6E06">
            <w:pPr>
              <w:jc w:val="center"/>
              <w:rPr>
                <w:rFonts w:ascii="Arial" w:hAnsi="Arial" w:cs="Arial"/>
                <w:color w:val="auto"/>
                <w:sz w:val="21"/>
                <w:szCs w:val="18"/>
                <w:highlight w:val="none"/>
              </w:rPr>
            </w:pPr>
            <w:r>
              <w:rPr>
                <w:rFonts w:ascii="Arial" w:hAnsi="Arial" w:cs="Arial"/>
                <w:color w:val="auto"/>
                <w:sz w:val="21"/>
                <w:szCs w:val="18"/>
                <w:highlight w:val="none"/>
              </w:rPr>
              <w:t>说明（正偏离/负偏离</w:t>
            </w:r>
            <w:r>
              <w:rPr>
                <w:rFonts w:hint="eastAsia" w:ascii="Arial" w:hAnsi="Arial" w:cs="Arial"/>
                <w:color w:val="auto"/>
                <w:sz w:val="21"/>
                <w:szCs w:val="18"/>
                <w:highlight w:val="none"/>
                <w:lang w:val="en-US" w:eastAsia="zh-CN"/>
              </w:rPr>
              <w:t>/无偏离</w:t>
            </w:r>
            <w:r>
              <w:rPr>
                <w:rFonts w:ascii="Arial" w:hAnsi="Arial" w:cs="Arial"/>
                <w:color w:val="auto"/>
                <w:sz w:val="21"/>
                <w:szCs w:val="18"/>
                <w:highlight w:val="none"/>
              </w:rPr>
              <w:t>）</w:t>
            </w:r>
          </w:p>
        </w:tc>
      </w:tr>
      <w:tr w14:paraId="2268B5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464AF00">
            <w:pPr>
              <w:jc w:val="center"/>
              <w:rPr>
                <w:rFonts w:ascii="Arial" w:hAnsi="Arial" w:cs="Arial"/>
                <w:color w:val="auto"/>
                <w:spacing w:val="20"/>
                <w:sz w:val="24"/>
                <w:highlight w:val="none"/>
              </w:rPr>
            </w:pPr>
          </w:p>
        </w:tc>
        <w:tc>
          <w:tcPr>
            <w:tcW w:w="3038" w:type="dxa"/>
            <w:vAlign w:val="center"/>
          </w:tcPr>
          <w:p w14:paraId="2F0F93F8">
            <w:pPr>
              <w:jc w:val="center"/>
              <w:rPr>
                <w:rFonts w:ascii="Arial" w:hAnsi="Arial" w:cs="Arial"/>
                <w:color w:val="auto"/>
                <w:spacing w:val="20"/>
                <w:sz w:val="24"/>
                <w:highlight w:val="none"/>
              </w:rPr>
            </w:pPr>
          </w:p>
        </w:tc>
        <w:tc>
          <w:tcPr>
            <w:tcW w:w="2328" w:type="dxa"/>
            <w:vAlign w:val="center"/>
          </w:tcPr>
          <w:p w14:paraId="4F42283E">
            <w:pPr>
              <w:jc w:val="center"/>
              <w:rPr>
                <w:rFonts w:ascii="Arial" w:hAnsi="Arial" w:cs="Arial"/>
                <w:color w:val="auto"/>
                <w:spacing w:val="20"/>
                <w:sz w:val="24"/>
                <w:highlight w:val="none"/>
              </w:rPr>
            </w:pPr>
          </w:p>
        </w:tc>
        <w:tc>
          <w:tcPr>
            <w:tcW w:w="3471" w:type="dxa"/>
            <w:vAlign w:val="center"/>
          </w:tcPr>
          <w:p w14:paraId="3417F01E">
            <w:pPr>
              <w:jc w:val="center"/>
              <w:rPr>
                <w:rFonts w:ascii="Arial" w:hAnsi="Arial" w:cs="Arial"/>
                <w:color w:val="auto"/>
                <w:spacing w:val="20"/>
                <w:sz w:val="24"/>
                <w:highlight w:val="none"/>
              </w:rPr>
            </w:pPr>
          </w:p>
        </w:tc>
      </w:tr>
      <w:tr w14:paraId="3D05D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E14F848">
            <w:pPr>
              <w:jc w:val="center"/>
              <w:rPr>
                <w:rFonts w:ascii="Arial" w:hAnsi="Arial" w:cs="Arial"/>
                <w:color w:val="auto"/>
                <w:spacing w:val="20"/>
                <w:sz w:val="24"/>
                <w:highlight w:val="none"/>
              </w:rPr>
            </w:pPr>
          </w:p>
        </w:tc>
        <w:tc>
          <w:tcPr>
            <w:tcW w:w="3038" w:type="dxa"/>
            <w:vAlign w:val="center"/>
          </w:tcPr>
          <w:p w14:paraId="3ACF5D91">
            <w:pPr>
              <w:jc w:val="center"/>
              <w:rPr>
                <w:rFonts w:ascii="Arial" w:hAnsi="Arial" w:cs="Arial"/>
                <w:color w:val="auto"/>
                <w:spacing w:val="20"/>
                <w:sz w:val="24"/>
                <w:highlight w:val="none"/>
              </w:rPr>
            </w:pPr>
          </w:p>
        </w:tc>
        <w:tc>
          <w:tcPr>
            <w:tcW w:w="2328" w:type="dxa"/>
            <w:vAlign w:val="center"/>
          </w:tcPr>
          <w:p w14:paraId="65C6B079">
            <w:pPr>
              <w:jc w:val="center"/>
              <w:rPr>
                <w:rFonts w:ascii="Arial" w:hAnsi="Arial" w:cs="Arial"/>
                <w:color w:val="auto"/>
                <w:spacing w:val="20"/>
                <w:sz w:val="24"/>
                <w:highlight w:val="none"/>
              </w:rPr>
            </w:pPr>
          </w:p>
        </w:tc>
        <w:tc>
          <w:tcPr>
            <w:tcW w:w="3471" w:type="dxa"/>
            <w:vAlign w:val="center"/>
          </w:tcPr>
          <w:p w14:paraId="2DA706B5">
            <w:pPr>
              <w:jc w:val="center"/>
              <w:rPr>
                <w:rFonts w:ascii="Arial" w:hAnsi="Arial" w:cs="Arial"/>
                <w:color w:val="auto"/>
                <w:spacing w:val="20"/>
                <w:sz w:val="24"/>
                <w:highlight w:val="none"/>
              </w:rPr>
            </w:pPr>
          </w:p>
        </w:tc>
      </w:tr>
      <w:tr w14:paraId="0F23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22603B6C">
            <w:pPr>
              <w:jc w:val="center"/>
              <w:rPr>
                <w:rFonts w:ascii="Arial" w:hAnsi="Arial" w:cs="Arial"/>
                <w:color w:val="auto"/>
                <w:spacing w:val="20"/>
                <w:sz w:val="24"/>
                <w:highlight w:val="none"/>
              </w:rPr>
            </w:pPr>
          </w:p>
        </w:tc>
        <w:tc>
          <w:tcPr>
            <w:tcW w:w="3038" w:type="dxa"/>
            <w:vAlign w:val="center"/>
          </w:tcPr>
          <w:p w14:paraId="6FE3A64E">
            <w:pPr>
              <w:jc w:val="center"/>
              <w:rPr>
                <w:rFonts w:ascii="Arial" w:hAnsi="Arial" w:cs="Arial"/>
                <w:color w:val="auto"/>
                <w:spacing w:val="20"/>
                <w:sz w:val="24"/>
                <w:highlight w:val="none"/>
              </w:rPr>
            </w:pPr>
          </w:p>
        </w:tc>
        <w:tc>
          <w:tcPr>
            <w:tcW w:w="2328" w:type="dxa"/>
            <w:vAlign w:val="center"/>
          </w:tcPr>
          <w:p w14:paraId="75E6FCB1">
            <w:pPr>
              <w:jc w:val="center"/>
              <w:rPr>
                <w:rFonts w:ascii="Arial" w:hAnsi="Arial" w:cs="Arial"/>
                <w:color w:val="auto"/>
                <w:spacing w:val="20"/>
                <w:sz w:val="24"/>
                <w:highlight w:val="none"/>
              </w:rPr>
            </w:pPr>
          </w:p>
        </w:tc>
        <w:tc>
          <w:tcPr>
            <w:tcW w:w="3471" w:type="dxa"/>
            <w:vAlign w:val="center"/>
          </w:tcPr>
          <w:p w14:paraId="7A668409">
            <w:pPr>
              <w:jc w:val="center"/>
              <w:rPr>
                <w:rFonts w:ascii="Arial" w:hAnsi="Arial" w:cs="Arial"/>
                <w:color w:val="auto"/>
                <w:spacing w:val="20"/>
                <w:sz w:val="24"/>
                <w:highlight w:val="none"/>
              </w:rPr>
            </w:pPr>
          </w:p>
        </w:tc>
      </w:tr>
      <w:tr w14:paraId="3C5F62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3AB113B">
            <w:pPr>
              <w:jc w:val="center"/>
              <w:rPr>
                <w:rFonts w:ascii="Arial" w:hAnsi="Arial" w:cs="Arial"/>
                <w:color w:val="auto"/>
                <w:spacing w:val="20"/>
                <w:sz w:val="24"/>
                <w:highlight w:val="none"/>
              </w:rPr>
            </w:pPr>
          </w:p>
        </w:tc>
        <w:tc>
          <w:tcPr>
            <w:tcW w:w="3038" w:type="dxa"/>
            <w:vAlign w:val="center"/>
          </w:tcPr>
          <w:p w14:paraId="06C98776">
            <w:pPr>
              <w:jc w:val="center"/>
              <w:rPr>
                <w:rFonts w:ascii="Arial" w:hAnsi="Arial" w:cs="Arial"/>
                <w:color w:val="auto"/>
                <w:spacing w:val="20"/>
                <w:sz w:val="24"/>
                <w:highlight w:val="none"/>
              </w:rPr>
            </w:pPr>
          </w:p>
        </w:tc>
        <w:tc>
          <w:tcPr>
            <w:tcW w:w="2328" w:type="dxa"/>
            <w:vAlign w:val="center"/>
          </w:tcPr>
          <w:p w14:paraId="0412B002">
            <w:pPr>
              <w:jc w:val="center"/>
              <w:rPr>
                <w:rFonts w:ascii="Arial" w:hAnsi="Arial" w:cs="Arial"/>
                <w:color w:val="auto"/>
                <w:spacing w:val="20"/>
                <w:sz w:val="24"/>
                <w:highlight w:val="none"/>
              </w:rPr>
            </w:pPr>
          </w:p>
        </w:tc>
        <w:tc>
          <w:tcPr>
            <w:tcW w:w="3471" w:type="dxa"/>
            <w:vAlign w:val="center"/>
          </w:tcPr>
          <w:p w14:paraId="59235E5C">
            <w:pPr>
              <w:jc w:val="center"/>
              <w:rPr>
                <w:rFonts w:ascii="Arial" w:hAnsi="Arial" w:cs="Arial"/>
                <w:color w:val="auto"/>
                <w:spacing w:val="20"/>
                <w:sz w:val="24"/>
                <w:highlight w:val="none"/>
              </w:rPr>
            </w:pPr>
          </w:p>
        </w:tc>
      </w:tr>
      <w:tr w14:paraId="50680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12EDC9EB">
            <w:pPr>
              <w:jc w:val="center"/>
              <w:rPr>
                <w:rFonts w:ascii="Arial" w:hAnsi="Arial" w:cs="Arial"/>
                <w:color w:val="auto"/>
                <w:spacing w:val="20"/>
                <w:sz w:val="24"/>
                <w:highlight w:val="none"/>
              </w:rPr>
            </w:pPr>
          </w:p>
        </w:tc>
        <w:tc>
          <w:tcPr>
            <w:tcW w:w="3038" w:type="dxa"/>
            <w:vAlign w:val="center"/>
          </w:tcPr>
          <w:p w14:paraId="05BB2CD5">
            <w:pPr>
              <w:jc w:val="center"/>
              <w:rPr>
                <w:rFonts w:ascii="Arial" w:hAnsi="Arial" w:cs="Arial"/>
                <w:color w:val="auto"/>
                <w:spacing w:val="20"/>
                <w:sz w:val="24"/>
                <w:highlight w:val="none"/>
              </w:rPr>
            </w:pPr>
          </w:p>
        </w:tc>
        <w:tc>
          <w:tcPr>
            <w:tcW w:w="2328" w:type="dxa"/>
            <w:vAlign w:val="center"/>
          </w:tcPr>
          <w:p w14:paraId="73D2BCAB">
            <w:pPr>
              <w:jc w:val="center"/>
              <w:rPr>
                <w:rFonts w:ascii="Arial" w:hAnsi="Arial" w:cs="Arial"/>
                <w:color w:val="auto"/>
                <w:spacing w:val="20"/>
                <w:sz w:val="24"/>
                <w:highlight w:val="none"/>
              </w:rPr>
            </w:pPr>
          </w:p>
        </w:tc>
        <w:tc>
          <w:tcPr>
            <w:tcW w:w="3471" w:type="dxa"/>
            <w:vAlign w:val="center"/>
          </w:tcPr>
          <w:p w14:paraId="5049E218">
            <w:pPr>
              <w:jc w:val="center"/>
              <w:rPr>
                <w:rFonts w:ascii="Arial" w:hAnsi="Arial" w:cs="Arial"/>
                <w:color w:val="auto"/>
                <w:spacing w:val="20"/>
                <w:sz w:val="24"/>
                <w:highlight w:val="none"/>
              </w:rPr>
            </w:pPr>
          </w:p>
        </w:tc>
      </w:tr>
      <w:tr w14:paraId="7CD23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5F37C44">
            <w:pPr>
              <w:jc w:val="center"/>
              <w:rPr>
                <w:rFonts w:ascii="Arial" w:hAnsi="Arial" w:cs="Arial"/>
                <w:color w:val="auto"/>
                <w:spacing w:val="20"/>
                <w:sz w:val="24"/>
                <w:highlight w:val="none"/>
              </w:rPr>
            </w:pPr>
          </w:p>
        </w:tc>
        <w:tc>
          <w:tcPr>
            <w:tcW w:w="3038" w:type="dxa"/>
            <w:vAlign w:val="center"/>
          </w:tcPr>
          <w:p w14:paraId="678C4867">
            <w:pPr>
              <w:jc w:val="center"/>
              <w:rPr>
                <w:rFonts w:ascii="Arial" w:hAnsi="Arial" w:cs="Arial"/>
                <w:color w:val="auto"/>
                <w:spacing w:val="20"/>
                <w:sz w:val="24"/>
                <w:highlight w:val="none"/>
              </w:rPr>
            </w:pPr>
          </w:p>
        </w:tc>
        <w:tc>
          <w:tcPr>
            <w:tcW w:w="2328" w:type="dxa"/>
            <w:vAlign w:val="center"/>
          </w:tcPr>
          <w:p w14:paraId="5A5A487A">
            <w:pPr>
              <w:jc w:val="center"/>
              <w:rPr>
                <w:rFonts w:ascii="Arial" w:hAnsi="Arial" w:cs="Arial"/>
                <w:color w:val="auto"/>
                <w:spacing w:val="20"/>
                <w:sz w:val="24"/>
                <w:highlight w:val="none"/>
              </w:rPr>
            </w:pPr>
          </w:p>
        </w:tc>
        <w:tc>
          <w:tcPr>
            <w:tcW w:w="3471" w:type="dxa"/>
            <w:vAlign w:val="center"/>
          </w:tcPr>
          <w:p w14:paraId="764FBED1">
            <w:pPr>
              <w:jc w:val="center"/>
              <w:rPr>
                <w:rFonts w:ascii="Arial" w:hAnsi="Arial" w:cs="Arial"/>
                <w:color w:val="auto"/>
                <w:spacing w:val="20"/>
                <w:sz w:val="24"/>
                <w:highlight w:val="none"/>
              </w:rPr>
            </w:pPr>
          </w:p>
        </w:tc>
      </w:tr>
      <w:tr w14:paraId="1B766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49D16703">
            <w:pPr>
              <w:jc w:val="center"/>
              <w:rPr>
                <w:rFonts w:ascii="Arial" w:hAnsi="Arial" w:cs="Arial"/>
                <w:color w:val="auto"/>
                <w:spacing w:val="20"/>
                <w:sz w:val="24"/>
                <w:highlight w:val="none"/>
              </w:rPr>
            </w:pPr>
          </w:p>
        </w:tc>
        <w:tc>
          <w:tcPr>
            <w:tcW w:w="3038" w:type="dxa"/>
            <w:vAlign w:val="center"/>
          </w:tcPr>
          <w:p w14:paraId="1C8DF0BF">
            <w:pPr>
              <w:jc w:val="center"/>
              <w:rPr>
                <w:rFonts w:ascii="Arial" w:hAnsi="Arial" w:cs="Arial"/>
                <w:color w:val="auto"/>
                <w:spacing w:val="20"/>
                <w:sz w:val="24"/>
                <w:highlight w:val="none"/>
              </w:rPr>
            </w:pPr>
          </w:p>
        </w:tc>
        <w:tc>
          <w:tcPr>
            <w:tcW w:w="2328" w:type="dxa"/>
            <w:vAlign w:val="center"/>
          </w:tcPr>
          <w:p w14:paraId="5C4B8813">
            <w:pPr>
              <w:jc w:val="center"/>
              <w:rPr>
                <w:rFonts w:ascii="Arial" w:hAnsi="Arial" w:cs="Arial"/>
                <w:color w:val="auto"/>
                <w:spacing w:val="20"/>
                <w:sz w:val="24"/>
                <w:highlight w:val="none"/>
              </w:rPr>
            </w:pPr>
          </w:p>
        </w:tc>
        <w:tc>
          <w:tcPr>
            <w:tcW w:w="3471" w:type="dxa"/>
            <w:vAlign w:val="center"/>
          </w:tcPr>
          <w:p w14:paraId="68624A34">
            <w:pPr>
              <w:jc w:val="center"/>
              <w:rPr>
                <w:rFonts w:ascii="Arial" w:hAnsi="Arial" w:cs="Arial"/>
                <w:color w:val="auto"/>
                <w:spacing w:val="20"/>
                <w:sz w:val="24"/>
                <w:highlight w:val="none"/>
              </w:rPr>
            </w:pPr>
          </w:p>
        </w:tc>
      </w:tr>
      <w:tr w14:paraId="3137D2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48221C5">
            <w:pPr>
              <w:jc w:val="center"/>
              <w:rPr>
                <w:rFonts w:ascii="Arial" w:hAnsi="Arial" w:cs="Arial"/>
                <w:color w:val="auto"/>
                <w:spacing w:val="20"/>
                <w:sz w:val="24"/>
                <w:highlight w:val="none"/>
              </w:rPr>
            </w:pPr>
          </w:p>
        </w:tc>
        <w:tc>
          <w:tcPr>
            <w:tcW w:w="3038" w:type="dxa"/>
            <w:vAlign w:val="center"/>
          </w:tcPr>
          <w:p w14:paraId="73E8CF8C">
            <w:pPr>
              <w:jc w:val="center"/>
              <w:rPr>
                <w:rFonts w:ascii="Arial" w:hAnsi="Arial" w:cs="Arial"/>
                <w:color w:val="auto"/>
                <w:spacing w:val="20"/>
                <w:sz w:val="24"/>
                <w:highlight w:val="none"/>
              </w:rPr>
            </w:pPr>
          </w:p>
        </w:tc>
        <w:tc>
          <w:tcPr>
            <w:tcW w:w="2328" w:type="dxa"/>
            <w:vAlign w:val="center"/>
          </w:tcPr>
          <w:p w14:paraId="09D004C4">
            <w:pPr>
              <w:jc w:val="center"/>
              <w:rPr>
                <w:rFonts w:ascii="Arial" w:hAnsi="Arial" w:cs="Arial"/>
                <w:color w:val="auto"/>
                <w:spacing w:val="20"/>
                <w:sz w:val="24"/>
                <w:highlight w:val="none"/>
              </w:rPr>
            </w:pPr>
          </w:p>
        </w:tc>
        <w:tc>
          <w:tcPr>
            <w:tcW w:w="3471" w:type="dxa"/>
            <w:vAlign w:val="center"/>
          </w:tcPr>
          <w:p w14:paraId="3E5FE964">
            <w:pPr>
              <w:jc w:val="center"/>
              <w:rPr>
                <w:rFonts w:ascii="Arial" w:hAnsi="Arial" w:cs="Arial"/>
                <w:color w:val="auto"/>
                <w:spacing w:val="20"/>
                <w:sz w:val="24"/>
                <w:highlight w:val="none"/>
              </w:rPr>
            </w:pPr>
          </w:p>
        </w:tc>
      </w:tr>
      <w:tr w14:paraId="4704E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0EF9FFFC">
            <w:pPr>
              <w:jc w:val="center"/>
              <w:rPr>
                <w:rFonts w:ascii="Arial" w:hAnsi="Arial" w:cs="Arial"/>
                <w:color w:val="auto"/>
                <w:spacing w:val="20"/>
                <w:sz w:val="24"/>
                <w:highlight w:val="none"/>
              </w:rPr>
            </w:pPr>
          </w:p>
        </w:tc>
        <w:tc>
          <w:tcPr>
            <w:tcW w:w="3038" w:type="dxa"/>
            <w:vAlign w:val="center"/>
          </w:tcPr>
          <w:p w14:paraId="1C264514">
            <w:pPr>
              <w:jc w:val="center"/>
              <w:rPr>
                <w:rFonts w:ascii="Arial" w:hAnsi="Arial" w:cs="Arial"/>
                <w:color w:val="auto"/>
                <w:spacing w:val="20"/>
                <w:sz w:val="24"/>
                <w:highlight w:val="none"/>
              </w:rPr>
            </w:pPr>
          </w:p>
        </w:tc>
        <w:tc>
          <w:tcPr>
            <w:tcW w:w="2328" w:type="dxa"/>
            <w:vAlign w:val="center"/>
          </w:tcPr>
          <w:p w14:paraId="6518EBDA">
            <w:pPr>
              <w:jc w:val="center"/>
              <w:rPr>
                <w:rFonts w:ascii="Arial" w:hAnsi="Arial" w:cs="Arial"/>
                <w:color w:val="auto"/>
                <w:spacing w:val="20"/>
                <w:sz w:val="24"/>
                <w:highlight w:val="none"/>
              </w:rPr>
            </w:pPr>
          </w:p>
        </w:tc>
        <w:tc>
          <w:tcPr>
            <w:tcW w:w="3471" w:type="dxa"/>
            <w:vAlign w:val="center"/>
          </w:tcPr>
          <w:p w14:paraId="246F4FB1">
            <w:pPr>
              <w:jc w:val="center"/>
              <w:rPr>
                <w:rFonts w:ascii="Arial" w:hAnsi="Arial" w:cs="Arial"/>
                <w:color w:val="auto"/>
                <w:spacing w:val="20"/>
                <w:sz w:val="24"/>
                <w:highlight w:val="none"/>
              </w:rPr>
            </w:pPr>
          </w:p>
        </w:tc>
      </w:tr>
      <w:tr w14:paraId="4E5AD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16" w:type="dxa"/>
            <w:vAlign w:val="center"/>
          </w:tcPr>
          <w:p w14:paraId="3653BC76">
            <w:pPr>
              <w:jc w:val="center"/>
              <w:rPr>
                <w:rFonts w:ascii="Arial" w:hAnsi="Arial" w:cs="Arial"/>
                <w:color w:val="auto"/>
                <w:spacing w:val="20"/>
                <w:sz w:val="24"/>
                <w:highlight w:val="none"/>
              </w:rPr>
            </w:pPr>
          </w:p>
        </w:tc>
        <w:tc>
          <w:tcPr>
            <w:tcW w:w="3038" w:type="dxa"/>
            <w:vAlign w:val="center"/>
          </w:tcPr>
          <w:p w14:paraId="5263AA43">
            <w:pPr>
              <w:jc w:val="center"/>
              <w:rPr>
                <w:rFonts w:ascii="Arial" w:hAnsi="Arial" w:cs="Arial"/>
                <w:color w:val="auto"/>
                <w:spacing w:val="20"/>
                <w:sz w:val="24"/>
                <w:highlight w:val="none"/>
              </w:rPr>
            </w:pPr>
          </w:p>
        </w:tc>
        <w:tc>
          <w:tcPr>
            <w:tcW w:w="2328" w:type="dxa"/>
            <w:vAlign w:val="center"/>
          </w:tcPr>
          <w:p w14:paraId="6B0EC91D">
            <w:pPr>
              <w:jc w:val="center"/>
              <w:rPr>
                <w:rFonts w:ascii="Arial" w:hAnsi="Arial" w:cs="Arial"/>
                <w:color w:val="auto"/>
                <w:spacing w:val="20"/>
                <w:sz w:val="24"/>
                <w:highlight w:val="none"/>
              </w:rPr>
            </w:pPr>
          </w:p>
        </w:tc>
        <w:tc>
          <w:tcPr>
            <w:tcW w:w="3471" w:type="dxa"/>
            <w:vAlign w:val="center"/>
          </w:tcPr>
          <w:p w14:paraId="667E5B71">
            <w:pPr>
              <w:jc w:val="center"/>
              <w:rPr>
                <w:rFonts w:ascii="Arial" w:hAnsi="Arial" w:cs="Arial"/>
                <w:color w:val="auto"/>
                <w:spacing w:val="20"/>
                <w:sz w:val="24"/>
                <w:highlight w:val="none"/>
              </w:rPr>
            </w:pPr>
          </w:p>
        </w:tc>
      </w:tr>
    </w:tbl>
    <w:p w14:paraId="43B89449">
      <w:pPr>
        <w:spacing w:line="360" w:lineRule="auto"/>
        <w:rPr>
          <w:rFonts w:ascii="宋体" w:hAnsi="宋体" w:cs="宋体"/>
          <w:color w:val="auto"/>
          <w:highlight w:val="none"/>
          <w:lang w:val="en-GB"/>
        </w:rPr>
      </w:pPr>
      <w:r>
        <w:rPr>
          <w:rFonts w:hint="eastAsia" w:ascii="宋体" w:hAnsi="宋体" w:cs="宋体"/>
          <w:color w:val="auto"/>
          <w:highlight w:val="none"/>
          <w:lang w:val="en-GB"/>
        </w:rPr>
        <w:t>注：请各投标人参照招标文件第三部分严格按以下要求认真填写偏离表</w:t>
      </w:r>
    </w:p>
    <w:p w14:paraId="72641FD2">
      <w:pPr>
        <w:pStyle w:val="27"/>
        <w:spacing w:line="360" w:lineRule="auto"/>
        <w:ind w:firstLine="420" w:firstLineChars="200"/>
        <w:rPr>
          <w:rFonts w:hAnsi="宋体"/>
          <w:color w:val="auto"/>
          <w:highlight w:val="none"/>
          <w:lang w:val="en-GB"/>
        </w:rPr>
      </w:pPr>
      <w:r>
        <w:rPr>
          <w:rFonts w:hint="eastAsia" w:hAnsi="宋体"/>
          <w:color w:val="auto"/>
          <w:highlight w:val="none"/>
          <w:lang w:val="en-GB"/>
        </w:rPr>
        <w:t>1.投标人应根据</w:t>
      </w:r>
      <w:r>
        <w:rPr>
          <w:rFonts w:hint="eastAsia" w:hAnsi="宋体"/>
          <w:color w:val="auto"/>
          <w:highlight w:val="none"/>
          <w:lang w:val="en-US" w:eastAsia="zh-CN"/>
        </w:rPr>
        <w:t>所投</w:t>
      </w:r>
      <w:r>
        <w:rPr>
          <w:rFonts w:hint="eastAsia" w:hAnsi="宋体"/>
          <w:color w:val="auto"/>
          <w:highlight w:val="none"/>
          <w:lang w:val="en-GB"/>
        </w:rPr>
        <w:t>的实际规格,并对照招标文件要求，对确实存在</w:t>
      </w:r>
      <w:r>
        <w:rPr>
          <w:rFonts w:hint="eastAsia" w:hAnsi="宋体"/>
          <w:color w:val="auto"/>
          <w:highlight w:val="none"/>
          <w:lang w:val="en-US" w:eastAsia="zh-CN"/>
        </w:rPr>
        <w:t>所投服务</w:t>
      </w:r>
      <w:r>
        <w:rPr>
          <w:rFonts w:hint="eastAsia" w:hAnsi="宋体"/>
          <w:color w:val="auto"/>
          <w:highlight w:val="none"/>
          <w:lang w:val="en-GB"/>
        </w:rPr>
        <w:t>要求与招标文件要求有偏离的情况，应真实、认真的填写本表。完全满足采购文件要求的供应商只需填写【完全满足采购文件的全部要求】</w:t>
      </w:r>
      <w:r>
        <w:rPr>
          <w:rFonts w:hint="eastAsia" w:hAnsi="宋体"/>
          <w:color w:val="auto"/>
          <w:highlight w:val="none"/>
          <w:lang w:val="en-GB" w:eastAsia="zh-CN"/>
        </w:rPr>
        <w:t>；</w:t>
      </w:r>
      <w:r>
        <w:rPr>
          <w:rFonts w:hint="eastAsia" w:hAnsi="宋体"/>
          <w:color w:val="auto"/>
          <w:highlight w:val="none"/>
          <w:lang w:val="en-GB"/>
        </w:rPr>
        <w:t>投标人应任何原因漏写或缺项或填写不正确的，后果由投标人自行承担。</w:t>
      </w:r>
    </w:p>
    <w:p w14:paraId="40D02B77">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2.投标人真实填写本表，并对其真实性负责。评审委员会将根据评审办法和细则进行打分。</w:t>
      </w:r>
    </w:p>
    <w:p w14:paraId="6B1B63FB">
      <w:pPr>
        <w:pStyle w:val="27"/>
        <w:spacing w:line="360" w:lineRule="auto"/>
        <w:ind w:firstLine="420" w:firstLineChars="200"/>
        <w:rPr>
          <w:rFonts w:hAnsi="宋体"/>
          <w:color w:val="auto"/>
          <w:highlight w:val="none"/>
          <w:lang w:val="en-GB"/>
        </w:rPr>
      </w:pPr>
      <w:r>
        <w:rPr>
          <w:rFonts w:hint="eastAsia" w:hAnsi="宋体"/>
          <w:color w:val="auto"/>
          <w:highlight w:val="none"/>
          <w:lang w:val="en-GB"/>
        </w:rPr>
        <w:t>3.投标人注明的偏离情况只作为评审专家评定的参考，最终是否构成偏离或实质性偏离情况应由评审委员会决定。</w:t>
      </w:r>
    </w:p>
    <w:p w14:paraId="3DA1722A">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GB"/>
        </w:rPr>
        <w:t>4.不允许存在实质性负偏离。</w:t>
      </w:r>
    </w:p>
    <w:p w14:paraId="61391A1D">
      <w:pPr>
        <w:pStyle w:val="27"/>
        <w:tabs>
          <w:tab w:val="left" w:pos="1267"/>
        </w:tabs>
        <w:spacing w:line="360" w:lineRule="auto"/>
        <w:ind w:firstLine="420" w:firstLineChars="200"/>
        <w:rPr>
          <w:rFonts w:hint="eastAsia" w:hAnsi="宋体"/>
          <w:color w:val="auto"/>
          <w:highlight w:val="none"/>
          <w:lang w:val="en-GB"/>
        </w:rPr>
      </w:pPr>
      <w:r>
        <w:rPr>
          <w:rFonts w:hint="eastAsia" w:hAnsi="宋体"/>
          <w:color w:val="auto"/>
          <w:highlight w:val="none"/>
          <w:lang w:val="en-GB"/>
        </w:rPr>
        <w:t>5.供应商可调整、修改上述表格。</w:t>
      </w:r>
    </w:p>
    <w:p w14:paraId="6EE96DD4">
      <w:pPr>
        <w:pStyle w:val="27"/>
        <w:tabs>
          <w:tab w:val="left" w:pos="1267"/>
        </w:tabs>
        <w:spacing w:line="360" w:lineRule="auto"/>
        <w:ind w:firstLine="420" w:firstLineChars="200"/>
        <w:rPr>
          <w:rFonts w:hint="eastAsia" w:hAnsi="宋体"/>
          <w:color w:val="auto"/>
          <w:highlight w:val="none"/>
          <w:lang w:val="en-US" w:eastAsia="zh-CN"/>
        </w:rPr>
      </w:pPr>
      <w:r>
        <w:rPr>
          <w:rFonts w:hint="eastAsia" w:hAnsi="宋体"/>
          <w:color w:val="auto"/>
          <w:highlight w:val="none"/>
          <w:lang w:val="en-US" w:eastAsia="zh-CN"/>
        </w:rPr>
        <w:t>6.如不填写，采购人有权视作投标文件完全响应采购文件要求。</w:t>
      </w:r>
    </w:p>
    <w:p w14:paraId="055DC932">
      <w:pPr>
        <w:pStyle w:val="27"/>
        <w:tabs>
          <w:tab w:val="left" w:pos="1267"/>
        </w:tabs>
        <w:spacing w:line="360" w:lineRule="auto"/>
        <w:ind w:firstLine="420" w:firstLineChars="200"/>
        <w:rPr>
          <w:rFonts w:hAnsi="宋体"/>
          <w:color w:val="auto"/>
          <w:highlight w:val="none"/>
          <w:lang w:val="en-GB"/>
        </w:rPr>
      </w:pPr>
      <w:r>
        <w:rPr>
          <w:rFonts w:hint="eastAsia" w:hAnsi="宋体"/>
          <w:color w:val="auto"/>
          <w:highlight w:val="none"/>
          <w:lang w:val="en-US" w:eastAsia="zh-CN"/>
        </w:rPr>
        <w:t>7.</w:t>
      </w:r>
      <w:r>
        <w:rPr>
          <w:rFonts w:hint="eastAsia" w:hAnsi="宋体"/>
          <w:color w:val="auto"/>
          <w:highlight w:val="none"/>
          <w:lang w:val="en-GB"/>
        </w:rPr>
        <w:t>投标规格的实际偏离情况以评审委员会综合评价为准，</w:t>
      </w:r>
      <w:r>
        <w:rPr>
          <w:rFonts w:hint="eastAsia" w:hAnsi="宋体"/>
          <w:bCs/>
          <w:color w:val="auto"/>
          <w:highlight w:val="none"/>
        </w:rPr>
        <w:t>解释权属评审委员会。</w:t>
      </w:r>
    </w:p>
    <w:p w14:paraId="2370A1E3">
      <w:pPr>
        <w:tabs>
          <w:tab w:val="left" w:pos="2355"/>
          <w:tab w:val="center" w:pos="4513"/>
        </w:tabs>
        <w:spacing w:line="360" w:lineRule="auto"/>
        <w:ind w:firstLine="420" w:firstLineChars="200"/>
        <w:jc w:val="center"/>
        <w:rPr>
          <w:rFonts w:ascii="宋体" w:hAnsi="宋体" w:cs="宋体"/>
          <w:color w:val="auto"/>
          <w:highlight w:val="none"/>
          <w:lang w:val="en-GB"/>
        </w:rPr>
      </w:pPr>
    </w:p>
    <w:p w14:paraId="355D5F67">
      <w:pPr>
        <w:tabs>
          <w:tab w:val="left" w:pos="2355"/>
          <w:tab w:val="center" w:pos="4513"/>
        </w:tabs>
        <w:spacing w:line="360" w:lineRule="auto"/>
        <w:ind w:firstLine="420" w:firstLineChars="200"/>
        <w:jc w:val="center"/>
        <w:rPr>
          <w:rFonts w:ascii="宋体" w:hAnsi="宋体" w:cs="宋体"/>
          <w:color w:val="auto"/>
          <w:highlight w:val="none"/>
        </w:rPr>
      </w:pPr>
    </w:p>
    <w:p w14:paraId="7D373988">
      <w:pPr>
        <w:pStyle w:val="27"/>
        <w:spacing w:line="360" w:lineRule="auto"/>
        <w:ind w:left="630" w:right="480" w:firstLine="2310" w:firstLineChars="1100"/>
        <w:jc w:val="right"/>
        <w:rPr>
          <w:rFonts w:hAnsi="宋体"/>
          <w:color w:val="auto"/>
          <w:highlight w:val="none"/>
        </w:rPr>
      </w:pPr>
      <w:r>
        <w:rPr>
          <w:rFonts w:hint="eastAsia" w:hAnsi="宋体"/>
          <w:color w:val="auto"/>
          <w:highlight w:val="none"/>
        </w:rPr>
        <w:t>负责人或委托代理人（签字或盖章）_____________</w:t>
      </w:r>
    </w:p>
    <w:p w14:paraId="0B939AA7">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71AD7410">
      <w:pPr>
        <w:pStyle w:val="27"/>
        <w:wordWrap w:val="0"/>
        <w:spacing w:line="360" w:lineRule="auto"/>
        <w:ind w:right="480"/>
        <w:jc w:val="right"/>
        <w:rPr>
          <w:rFonts w:ascii="宋体" w:hAnsi="宋体" w:cs="宋体"/>
          <w:color w:val="auto"/>
          <w:sz w:val="21"/>
          <w:highlight w:val="none"/>
        </w:rPr>
      </w:pPr>
      <w:r>
        <w:rPr>
          <w:rFonts w:hint="eastAsia" w:hAnsi="宋体"/>
          <w:color w:val="auto"/>
          <w:highlight w:val="none"/>
        </w:rPr>
        <w:t xml:space="preserve">                       日期：_____年____月____日</w:t>
      </w:r>
    </w:p>
    <w:p w14:paraId="5255991D">
      <w:pPr>
        <w:tabs>
          <w:tab w:val="left" w:pos="2355"/>
          <w:tab w:val="center" w:pos="4513"/>
        </w:tabs>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三  报价文件格式</w:t>
      </w:r>
      <w:bookmarkEnd w:id="105"/>
      <w:bookmarkEnd w:id="106"/>
    </w:p>
    <w:p w14:paraId="35167C1C">
      <w:pPr>
        <w:spacing w:line="360" w:lineRule="auto"/>
        <w:rPr>
          <w:rFonts w:ascii="宋体" w:hAnsi="宋体" w:cs="宋体"/>
          <w:color w:val="auto"/>
          <w:highlight w:val="none"/>
        </w:rPr>
      </w:pPr>
    </w:p>
    <w:p w14:paraId="73324C8A">
      <w:pPr>
        <w:spacing w:line="360" w:lineRule="auto"/>
        <w:rPr>
          <w:rFonts w:ascii="宋体" w:hAnsi="宋体" w:cs="宋体"/>
          <w:color w:val="auto"/>
          <w:highlight w:val="none"/>
        </w:rPr>
      </w:pPr>
      <w:r>
        <w:rPr>
          <w:rFonts w:hint="eastAsia" w:ascii="宋体" w:hAnsi="宋体" w:cs="宋体"/>
          <w:color w:val="auto"/>
          <w:highlight w:val="none"/>
        </w:rPr>
        <w:t>1、开标一览表</w:t>
      </w:r>
    </w:p>
    <w:p w14:paraId="4748E13B">
      <w:pPr>
        <w:spacing w:line="360" w:lineRule="auto"/>
        <w:rPr>
          <w:rFonts w:hint="eastAsia" w:ascii="宋体" w:hAnsi="宋体" w:cs="宋体"/>
          <w:color w:val="auto"/>
          <w:highlight w:val="none"/>
          <w:lang w:val="en-US"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投标报价明细表</w:t>
      </w:r>
    </w:p>
    <w:p w14:paraId="09BDB9FA">
      <w:pPr>
        <w:pStyle w:val="3"/>
        <w:rPr>
          <w:color w:val="auto"/>
          <w:highlight w:val="none"/>
        </w:rPr>
      </w:pPr>
    </w:p>
    <w:p w14:paraId="4275F6F5">
      <w:pPr>
        <w:pStyle w:val="2"/>
        <w:rPr>
          <w:rFonts w:ascii="宋体" w:hAnsi="宋体" w:cs="宋体"/>
          <w:color w:val="auto"/>
          <w:highlight w:val="none"/>
        </w:rPr>
      </w:pPr>
    </w:p>
    <w:p w14:paraId="7EEFA2D8">
      <w:pPr>
        <w:pStyle w:val="2"/>
        <w:rPr>
          <w:rFonts w:ascii="宋体" w:hAnsi="宋体" w:cs="宋体"/>
          <w:color w:val="auto"/>
          <w:highlight w:val="none"/>
        </w:rPr>
      </w:pPr>
    </w:p>
    <w:p w14:paraId="1996EE02">
      <w:pPr>
        <w:pStyle w:val="2"/>
        <w:rPr>
          <w:rFonts w:ascii="宋体" w:hAnsi="宋体" w:cs="宋体"/>
          <w:color w:val="auto"/>
          <w:highlight w:val="none"/>
        </w:rPr>
      </w:pPr>
    </w:p>
    <w:p w14:paraId="326FC34A">
      <w:pPr>
        <w:pStyle w:val="2"/>
        <w:rPr>
          <w:rFonts w:ascii="宋体" w:hAnsi="宋体" w:cs="宋体"/>
          <w:color w:val="auto"/>
          <w:highlight w:val="none"/>
        </w:rPr>
      </w:pPr>
    </w:p>
    <w:p w14:paraId="3484936D">
      <w:pPr>
        <w:pStyle w:val="2"/>
        <w:rPr>
          <w:rFonts w:ascii="宋体" w:hAnsi="宋体" w:cs="宋体"/>
          <w:color w:val="auto"/>
          <w:highlight w:val="none"/>
        </w:rPr>
      </w:pPr>
    </w:p>
    <w:p w14:paraId="41DF8E5E">
      <w:pPr>
        <w:pStyle w:val="2"/>
        <w:rPr>
          <w:rFonts w:ascii="宋体" w:hAnsi="宋体" w:cs="宋体"/>
          <w:color w:val="auto"/>
          <w:highlight w:val="none"/>
        </w:rPr>
      </w:pPr>
    </w:p>
    <w:p w14:paraId="1D6B612B">
      <w:pPr>
        <w:pStyle w:val="2"/>
        <w:rPr>
          <w:rFonts w:ascii="宋体" w:hAnsi="宋体" w:cs="宋体"/>
          <w:color w:val="auto"/>
          <w:highlight w:val="none"/>
        </w:rPr>
      </w:pPr>
    </w:p>
    <w:p w14:paraId="32F265E3">
      <w:pPr>
        <w:pStyle w:val="2"/>
        <w:rPr>
          <w:rFonts w:ascii="宋体" w:hAnsi="宋体" w:cs="宋体"/>
          <w:color w:val="auto"/>
          <w:highlight w:val="none"/>
        </w:rPr>
      </w:pPr>
    </w:p>
    <w:p w14:paraId="735F506A">
      <w:pPr>
        <w:pStyle w:val="2"/>
        <w:rPr>
          <w:rFonts w:ascii="宋体" w:hAnsi="宋体" w:cs="宋体"/>
          <w:color w:val="auto"/>
          <w:highlight w:val="none"/>
        </w:rPr>
      </w:pPr>
    </w:p>
    <w:p w14:paraId="1084D2D2">
      <w:pPr>
        <w:pStyle w:val="2"/>
        <w:rPr>
          <w:rFonts w:ascii="宋体" w:hAnsi="宋体" w:cs="宋体"/>
          <w:color w:val="auto"/>
          <w:highlight w:val="none"/>
        </w:rPr>
      </w:pPr>
    </w:p>
    <w:p w14:paraId="47BE4C0D">
      <w:pPr>
        <w:pStyle w:val="2"/>
        <w:rPr>
          <w:rFonts w:ascii="宋体" w:hAnsi="宋体" w:cs="宋体"/>
          <w:color w:val="auto"/>
          <w:highlight w:val="none"/>
        </w:rPr>
      </w:pPr>
    </w:p>
    <w:p w14:paraId="3F257724">
      <w:pPr>
        <w:pStyle w:val="2"/>
        <w:rPr>
          <w:rFonts w:ascii="宋体" w:hAnsi="宋体" w:cs="宋体"/>
          <w:color w:val="auto"/>
          <w:highlight w:val="none"/>
        </w:rPr>
      </w:pPr>
    </w:p>
    <w:p w14:paraId="1CECF2FC">
      <w:pPr>
        <w:pStyle w:val="2"/>
        <w:rPr>
          <w:rFonts w:ascii="宋体" w:hAnsi="宋体" w:cs="宋体"/>
          <w:color w:val="auto"/>
          <w:highlight w:val="none"/>
        </w:rPr>
      </w:pPr>
    </w:p>
    <w:p w14:paraId="72D69E16">
      <w:pPr>
        <w:pStyle w:val="2"/>
        <w:rPr>
          <w:rFonts w:ascii="宋体" w:hAnsi="宋体" w:cs="宋体"/>
          <w:color w:val="auto"/>
          <w:highlight w:val="none"/>
        </w:rPr>
      </w:pPr>
    </w:p>
    <w:p w14:paraId="44C3D011">
      <w:pPr>
        <w:pStyle w:val="2"/>
        <w:rPr>
          <w:rFonts w:ascii="宋体" w:hAnsi="宋体" w:cs="宋体"/>
          <w:color w:val="auto"/>
          <w:highlight w:val="none"/>
        </w:rPr>
      </w:pPr>
    </w:p>
    <w:p w14:paraId="36B1349B">
      <w:pPr>
        <w:pStyle w:val="2"/>
        <w:rPr>
          <w:rFonts w:ascii="宋体" w:hAnsi="宋体" w:cs="宋体"/>
          <w:color w:val="auto"/>
          <w:highlight w:val="none"/>
        </w:rPr>
      </w:pPr>
    </w:p>
    <w:p w14:paraId="6638EE7A">
      <w:pPr>
        <w:pStyle w:val="2"/>
        <w:rPr>
          <w:rFonts w:ascii="宋体" w:hAnsi="宋体" w:cs="宋体"/>
          <w:color w:val="auto"/>
          <w:highlight w:val="none"/>
        </w:rPr>
      </w:pPr>
    </w:p>
    <w:p w14:paraId="6860ED82">
      <w:pPr>
        <w:pStyle w:val="2"/>
        <w:rPr>
          <w:rFonts w:ascii="宋体" w:hAnsi="宋体" w:cs="宋体"/>
          <w:color w:val="auto"/>
          <w:highlight w:val="none"/>
        </w:rPr>
      </w:pPr>
    </w:p>
    <w:p w14:paraId="2249E72F">
      <w:pPr>
        <w:pStyle w:val="2"/>
        <w:rPr>
          <w:rFonts w:ascii="宋体" w:hAnsi="宋体" w:cs="宋体"/>
          <w:color w:val="auto"/>
          <w:highlight w:val="none"/>
        </w:rPr>
      </w:pPr>
    </w:p>
    <w:p w14:paraId="3CFF2D36">
      <w:pPr>
        <w:pStyle w:val="2"/>
        <w:rPr>
          <w:rFonts w:ascii="宋体" w:hAnsi="宋体" w:cs="宋体"/>
          <w:color w:val="auto"/>
          <w:highlight w:val="none"/>
        </w:rPr>
      </w:pPr>
    </w:p>
    <w:p w14:paraId="6336506C">
      <w:pPr>
        <w:pStyle w:val="2"/>
        <w:rPr>
          <w:rFonts w:ascii="宋体" w:hAnsi="宋体" w:cs="宋体"/>
          <w:color w:val="auto"/>
          <w:highlight w:val="none"/>
        </w:rPr>
      </w:pPr>
    </w:p>
    <w:p w14:paraId="3ED5D1A9">
      <w:pPr>
        <w:pStyle w:val="2"/>
        <w:rPr>
          <w:rFonts w:ascii="宋体" w:hAnsi="宋体" w:cs="宋体"/>
          <w:color w:val="auto"/>
          <w:highlight w:val="none"/>
        </w:rPr>
      </w:pPr>
    </w:p>
    <w:p w14:paraId="5EB3301B">
      <w:pPr>
        <w:pStyle w:val="2"/>
        <w:rPr>
          <w:rFonts w:ascii="宋体" w:hAnsi="宋体" w:cs="宋体"/>
          <w:color w:val="auto"/>
          <w:highlight w:val="none"/>
        </w:rPr>
      </w:pPr>
    </w:p>
    <w:p w14:paraId="56CBFC4B">
      <w:pPr>
        <w:pStyle w:val="2"/>
        <w:rPr>
          <w:rFonts w:ascii="宋体" w:hAnsi="宋体" w:cs="宋体"/>
          <w:color w:val="auto"/>
          <w:highlight w:val="none"/>
        </w:rPr>
      </w:pPr>
    </w:p>
    <w:p w14:paraId="682CDB26">
      <w:pPr>
        <w:pStyle w:val="2"/>
        <w:rPr>
          <w:rFonts w:ascii="宋体" w:hAnsi="宋体" w:cs="宋体"/>
          <w:color w:val="auto"/>
          <w:highlight w:val="none"/>
        </w:rPr>
      </w:pPr>
    </w:p>
    <w:p w14:paraId="083F5EFF">
      <w:pPr>
        <w:pStyle w:val="2"/>
        <w:rPr>
          <w:rFonts w:ascii="宋体" w:hAnsi="宋体" w:cs="宋体"/>
          <w:color w:val="auto"/>
          <w:highlight w:val="none"/>
        </w:rPr>
      </w:pPr>
    </w:p>
    <w:p w14:paraId="493A9737">
      <w:pPr>
        <w:pStyle w:val="2"/>
        <w:rPr>
          <w:rFonts w:ascii="宋体" w:hAnsi="宋体" w:cs="宋体"/>
          <w:color w:val="auto"/>
          <w:highlight w:val="none"/>
        </w:rPr>
      </w:pPr>
    </w:p>
    <w:p w14:paraId="066E6E91">
      <w:pPr>
        <w:pStyle w:val="2"/>
        <w:rPr>
          <w:rFonts w:ascii="宋体" w:hAnsi="宋体" w:cs="宋体"/>
          <w:color w:val="auto"/>
          <w:highlight w:val="none"/>
        </w:rPr>
      </w:pPr>
    </w:p>
    <w:p w14:paraId="7D61931A">
      <w:pPr>
        <w:pStyle w:val="2"/>
        <w:rPr>
          <w:rFonts w:ascii="宋体" w:hAnsi="宋体" w:cs="宋体"/>
          <w:color w:val="auto"/>
          <w:highlight w:val="none"/>
        </w:rPr>
      </w:pPr>
    </w:p>
    <w:p w14:paraId="5F08B6C7">
      <w:pPr>
        <w:pStyle w:val="2"/>
        <w:rPr>
          <w:rFonts w:ascii="宋体" w:hAnsi="宋体" w:cs="宋体"/>
          <w:color w:val="auto"/>
          <w:highlight w:val="none"/>
        </w:rPr>
      </w:pPr>
    </w:p>
    <w:p w14:paraId="3D7A4871">
      <w:pPr>
        <w:pStyle w:val="2"/>
        <w:rPr>
          <w:rFonts w:ascii="宋体" w:hAnsi="宋体" w:cs="宋体"/>
          <w:color w:val="auto"/>
          <w:highlight w:val="none"/>
        </w:rPr>
      </w:pPr>
    </w:p>
    <w:p w14:paraId="7B0DBB7C">
      <w:pPr>
        <w:pStyle w:val="2"/>
        <w:rPr>
          <w:rFonts w:ascii="宋体" w:hAnsi="宋体" w:cs="宋体"/>
          <w:color w:val="auto"/>
          <w:highlight w:val="none"/>
        </w:rPr>
      </w:pPr>
    </w:p>
    <w:p w14:paraId="4A2DEB8E">
      <w:pPr>
        <w:pStyle w:val="21"/>
        <w:rPr>
          <w:rFonts w:ascii="宋体" w:hAnsi="宋体" w:cs="宋体"/>
          <w:color w:val="auto"/>
          <w:highlight w:val="none"/>
        </w:rPr>
      </w:pPr>
    </w:p>
    <w:p w14:paraId="4B4CBAFC">
      <w:pPr>
        <w:pStyle w:val="2"/>
        <w:rPr>
          <w:rFonts w:ascii="宋体" w:hAnsi="宋体" w:cs="宋体"/>
          <w:color w:val="auto"/>
          <w:highlight w:val="none"/>
        </w:rPr>
      </w:pPr>
    </w:p>
    <w:p w14:paraId="60B49657">
      <w:pPr>
        <w:rPr>
          <w:rFonts w:ascii="宋体" w:hAnsi="宋体" w:cs="宋体"/>
          <w:color w:val="auto"/>
          <w:highlight w:val="none"/>
        </w:rPr>
      </w:pPr>
      <w:r>
        <w:rPr>
          <w:rFonts w:hint="eastAsia" w:ascii="宋体" w:hAnsi="宋体" w:cs="宋体"/>
          <w:color w:val="auto"/>
          <w:highlight w:val="none"/>
        </w:rPr>
        <w:br w:type="page"/>
      </w:r>
    </w:p>
    <w:p w14:paraId="6C29A7F1">
      <w:pPr>
        <w:pStyle w:val="2"/>
        <w:rPr>
          <w:rFonts w:ascii="宋体" w:hAnsi="宋体" w:cs="宋体"/>
          <w:color w:val="auto"/>
          <w:highlight w:val="none"/>
        </w:rPr>
      </w:pPr>
    </w:p>
    <w:p w14:paraId="3521AA67">
      <w:pPr>
        <w:pStyle w:val="27"/>
        <w:spacing w:line="360" w:lineRule="auto"/>
        <w:jc w:val="center"/>
        <w:rPr>
          <w:rFonts w:hAnsi="宋体"/>
          <w:b/>
          <w:bCs/>
          <w:color w:val="auto"/>
          <w:highlight w:val="none"/>
        </w:rPr>
      </w:pPr>
      <w:r>
        <w:rPr>
          <w:rFonts w:hint="eastAsia" w:hAnsi="宋体"/>
          <w:b/>
          <w:bCs/>
          <w:color w:val="auto"/>
          <w:highlight w:val="none"/>
        </w:rPr>
        <w:t>1、</w:t>
      </w:r>
      <w:r>
        <w:rPr>
          <w:rFonts w:hint="eastAsia" w:hAnsi="宋体"/>
          <w:color w:val="auto"/>
          <w:highlight w:val="none"/>
        </w:rPr>
        <w:t>开标一览表</w:t>
      </w:r>
    </w:p>
    <w:p w14:paraId="43E13C71">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lang w:val="en-US" w:eastAsia="zh-CN"/>
        </w:rPr>
      </w:pPr>
      <w:r>
        <w:rPr>
          <w:rFonts w:hint="eastAsia" w:ascii="宋体" w:hAnsi="宋体"/>
          <w:color w:val="auto"/>
          <w:sz w:val="21"/>
          <w:szCs w:val="21"/>
          <w:highlight w:val="none"/>
        </w:rPr>
        <w:t>项目名称：</w:t>
      </w:r>
      <w:r>
        <w:rPr>
          <w:rFonts w:hint="eastAsia" w:ascii="宋体" w:hAnsi="宋体"/>
          <w:color w:val="auto"/>
          <w:sz w:val="21"/>
          <w:szCs w:val="21"/>
          <w:highlight w:val="none"/>
          <w:lang w:val="en-US" w:eastAsia="zh-CN"/>
        </w:rPr>
        <w:t xml:space="preserve">                                          </w:t>
      </w:r>
    </w:p>
    <w:p w14:paraId="0CAFD8CA">
      <w:pPr>
        <w:keepNext w:val="0"/>
        <w:keepLines w:val="0"/>
        <w:pageBreakBefore w:val="0"/>
        <w:kinsoku/>
        <w:wordWrap/>
        <w:overflowPunct/>
        <w:topLinePunct w:val="0"/>
        <w:autoSpaceDE/>
        <w:autoSpaceDN/>
        <w:bidi w:val="0"/>
        <w:adjustRightInd/>
        <w:spacing w:line="360" w:lineRule="auto"/>
        <w:ind w:firstLine="105" w:firstLineChars="50"/>
        <w:outlineLvl w:val="9"/>
        <w:rPr>
          <w:rFonts w:hint="eastAsia" w:ascii="宋体" w:hAnsi="宋体"/>
          <w:color w:val="auto"/>
          <w:sz w:val="21"/>
          <w:szCs w:val="21"/>
          <w:highlight w:val="none"/>
        </w:rPr>
      </w:pPr>
      <w:r>
        <w:rPr>
          <w:rFonts w:hint="eastAsia" w:ascii="宋体" w:hAnsi="宋体"/>
          <w:color w:val="auto"/>
          <w:sz w:val="21"/>
          <w:szCs w:val="21"/>
          <w:highlight w:val="none"/>
        </w:rPr>
        <w:t>项目编号：</w:t>
      </w:r>
    </w:p>
    <w:tbl>
      <w:tblPr>
        <w:tblStyle w:val="51"/>
        <w:tblW w:w="9885"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4320"/>
        <w:gridCol w:w="2325"/>
        <w:gridCol w:w="1860"/>
      </w:tblGrid>
      <w:tr w14:paraId="6C8F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0" w:type="dxa"/>
            <w:vAlign w:val="center"/>
          </w:tcPr>
          <w:p w14:paraId="3BF4609B">
            <w:pPr>
              <w:jc w:val="center"/>
              <w:rPr>
                <w:rFonts w:hint="eastAsia" w:ascii="宋体" w:hAnsi="宋体" w:eastAsia="宋体" w:cs="宋体"/>
              </w:rPr>
            </w:pPr>
            <w:r>
              <w:rPr>
                <w:rFonts w:hint="eastAsia" w:ascii="宋体" w:hAnsi="宋体" w:eastAsia="宋体" w:cs="宋体"/>
              </w:rPr>
              <w:t>序号</w:t>
            </w:r>
          </w:p>
        </w:tc>
        <w:tc>
          <w:tcPr>
            <w:tcW w:w="4320" w:type="dxa"/>
            <w:vAlign w:val="center"/>
          </w:tcPr>
          <w:p w14:paraId="7050542A">
            <w:pPr>
              <w:jc w:val="center"/>
              <w:rPr>
                <w:rFonts w:hint="eastAsia" w:ascii="宋体" w:hAnsi="宋体" w:eastAsia="宋体" w:cs="宋体"/>
              </w:rPr>
            </w:pPr>
            <w:r>
              <w:rPr>
                <w:rFonts w:hint="eastAsia" w:ascii="宋体" w:hAnsi="宋体" w:eastAsia="宋体" w:cs="宋体"/>
              </w:rPr>
              <w:t>项目名称</w:t>
            </w:r>
          </w:p>
        </w:tc>
        <w:tc>
          <w:tcPr>
            <w:tcW w:w="2325" w:type="dxa"/>
            <w:vAlign w:val="center"/>
          </w:tcPr>
          <w:p w14:paraId="7881BBFC">
            <w:pPr>
              <w:jc w:val="center"/>
              <w:rPr>
                <w:rFonts w:hint="eastAsia" w:ascii="宋体" w:hAnsi="宋体" w:eastAsia="宋体" w:cs="宋体"/>
                <w:lang w:val="en-US" w:eastAsia="zh-CN"/>
              </w:rPr>
            </w:pPr>
            <w:r>
              <w:rPr>
                <w:rFonts w:hint="eastAsia" w:ascii="宋体" w:hAnsi="宋体" w:eastAsia="宋体" w:cs="宋体"/>
                <w:lang w:val="en-US" w:eastAsia="zh-CN"/>
              </w:rPr>
              <w:t>投标单价（元/人）</w:t>
            </w:r>
          </w:p>
        </w:tc>
        <w:tc>
          <w:tcPr>
            <w:tcW w:w="1860" w:type="dxa"/>
            <w:vAlign w:val="center"/>
          </w:tcPr>
          <w:p w14:paraId="0D71B26C">
            <w:pPr>
              <w:jc w:val="center"/>
              <w:rPr>
                <w:rFonts w:hint="eastAsia" w:ascii="宋体" w:hAnsi="宋体" w:eastAsia="宋体" w:cs="宋体"/>
                <w:lang w:val="en-US" w:eastAsia="zh-CN"/>
              </w:rPr>
            </w:pPr>
            <w:r>
              <w:rPr>
                <w:rFonts w:hint="eastAsia" w:ascii="宋体" w:hAnsi="宋体" w:eastAsia="宋体" w:cs="宋体"/>
                <w:lang w:val="en-US" w:eastAsia="zh-CN"/>
              </w:rPr>
              <w:t>备注</w:t>
            </w:r>
          </w:p>
        </w:tc>
      </w:tr>
      <w:tr w14:paraId="28C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380" w:type="dxa"/>
            <w:vAlign w:val="center"/>
          </w:tcPr>
          <w:p w14:paraId="361E7CE9">
            <w:pPr>
              <w:jc w:val="center"/>
              <w:rPr>
                <w:rFonts w:hint="eastAsia" w:ascii="宋体" w:hAnsi="宋体" w:eastAsia="宋体" w:cs="宋体"/>
              </w:rPr>
            </w:pPr>
            <w:r>
              <w:rPr>
                <w:rFonts w:hint="eastAsia" w:ascii="宋体" w:hAnsi="宋体" w:eastAsia="宋体" w:cs="宋体"/>
              </w:rPr>
              <w:t>1</w:t>
            </w:r>
          </w:p>
        </w:tc>
        <w:tc>
          <w:tcPr>
            <w:tcW w:w="4320" w:type="dxa"/>
            <w:vAlign w:val="center"/>
          </w:tcPr>
          <w:p w14:paraId="783F89AB">
            <w:pPr>
              <w:jc w:val="center"/>
              <w:rPr>
                <w:rFonts w:hint="eastAsia" w:ascii="宋体" w:hAnsi="宋体" w:eastAsia="宋体" w:cs="宋体"/>
              </w:rPr>
            </w:pPr>
            <w:r>
              <w:rPr>
                <w:rFonts w:hint="eastAsia" w:ascii="宋体" w:hAnsi="宋体" w:cs="宋体"/>
                <w:lang w:val="en-US" w:eastAsia="zh-CN"/>
              </w:rPr>
              <w:t>新昌幼儿园2025年教职工疗休养采购项目</w:t>
            </w:r>
          </w:p>
        </w:tc>
        <w:tc>
          <w:tcPr>
            <w:tcW w:w="2325" w:type="dxa"/>
            <w:vAlign w:val="center"/>
          </w:tcPr>
          <w:p w14:paraId="0AB16666">
            <w:pPr>
              <w:jc w:val="center"/>
              <w:rPr>
                <w:rFonts w:hint="eastAsia" w:ascii="宋体" w:hAnsi="宋体" w:eastAsia="宋体" w:cs="宋体"/>
                <w:lang w:val="en-US" w:eastAsia="zh-CN"/>
              </w:rPr>
            </w:pPr>
            <w:r>
              <w:rPr>
                <w:rFonts w:hint="eastAsia" w:ascii="宋体" w:hAnsi="宋体" w:cs="宋体"/>
                <w:lang w:val="en-US" w:eastAsia="zh-CN"/>
              </w:rPr>
              <w:t>职工：</w:t>
            </w:r>
            <w:r>
              <w:rPr>
                <w:rFonts w:hint="eastAsia" w:ascii="宋体" w:hAnsi="宋体" w:eastAsia="宋体" w:cs="宋体"/>
                <w:lang w:val="en-US" w:eastAsia="zh-CN"/>
              </w:rPr>
              <w:t>3000</w:t>
            </w:r>
          </w:p>
          <w:p w14:paraId="2B59FC69">
            <w:pPr>
              <w:pStyle w:val="2"/>
              <w:ind w:left="0" w:leftChars="0" w:firstLine="0" w:firstLineChars="0"/>
              <w:jc w:val="center"/>
              <w:rPr>
                <w:rFonts w:hint="default"/>
                <w:lang w:val="en-US" w:eastAsia="zh-CN"/>
              </w:rPr>
            </w:pPr>
            <w:r>
              <w:rPr>
                <w:rFonts w:hint="eastAsia"/>
                <w:lang w:val="en-US" w:eastAsia="zh-CN"/>
              </w:rPr>
              <w:t>编</w:t>
            </w:r>
            <w:r>
              <w:rPr>
                <w:rFonts w:hint="eastAsia" w:ascii="宋体" w:hAnsi="宋体" w:eastAsia="宋体" w:cs="宋体"/>
                <w:kern w:val="2"/>
                <w:sz w:val="21"/>
                <w:szCs w:val="21"/>
                <w:lang w:val="en-US" w:eastAsia="zh-CN" w:bidi="ar-SA"/>
              </w:rPr>
              <w:t>外人员：2000</w:t>
            </w:r>
          </w:p>
        </w:tc>
        <w:tc>
          <w:tcPr>
            <w:tcW w:w="1860" w:type="dxa"/>
            <w:vAlign w:val="center"/>
          </w:tcPr>
          <w:p w14:paraId="15E5EBA8">
            <w:pPr>
              <w:jc w:val="center"/>
              <w:rPr>
                <w:rFonts w:hint="eastAsia" w:ascii="宋体" w:hAnsi="宋体" w:eastAsia="宋体" w:cs="宋体"/>
                <w:lang w:val="en-US" w:eastAsia="zh-CN"/>
              </w:rPr>
            </w:pPr>
            <w:r>
              <w:rPr>
                <w:rFonts w:hint="eastAsia" w:ascii="宋体" w:hAnsi="宋体" w:eastAsia="宋体" w:cs="宋体"/>
                <w:lang w:val="en-US" w:eastAsia="zh-CN"/>
              </w:rPr>
              <w:t>单价不上下浮</w:t>
            </w:r>
          </w:p>
        </w:tc>
      </w:tr>
    </w:tbl>
    <w:p w14:paraId="1ABD5F84">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b w:val="0"/>
          <w:bCs/>
          <w:color w:val="auto"/>
          <w:sz w:val="21"/>
          <w:szCs w:val="21"/>
          <w:highlight w:val="none"/>
        </w:rPr>
        <w:t>注：</w:t>
      </w:r>
      <w:r>
        <w:rPr>
          <w:rFonts w:hint="eastAsia" w:ascii="宋体" w:hAnsi="宋体" w:eastAsia="宋体" w:cs="Times New Roman"/>
          <w:b w:val="0"/>
          <w:bCs/>
          <w:color w:val="auto"/>
          <w:sz w:val="21"/>
          <w:szCs w:val="21"/>
          <w:highlight w:val="none"/>
          <w:lang w:val="en-US" w:eastAsia="zh-CN"/>
        </w:rPr>
        <w:t>1.本项目报价应包括完成本项目配置单的所有工作人员的一切费用，包括提供服务所需的一切人员工资、福利、奖金、补贴、各种社会保险、食宿与交通、服装、安全、体检费、税费、利润、招标代理服务费、采购需求所提及的费用等完成合同所需的所有费用。</w:t>
      </w:r>
    </w:p>
    <w:p w14:paraId="751BFA8B">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2.报价一经涂改，应在涂改处加盖单位公章或者由法定代表人签字或盖章，否则其投标作无效标处理。</w:t>
      </w:r>
    </w:p>
    <w:p w14:paraId="34CCD2F5">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3.以上报价应与“投标报价明细表”中的“投标报价”相一致。</w:t>
      </w:r>
    </w:p>
    <w:p w14:paraId="2A3797F2">
      <w:pPr>
        <w:keepNext w:val="0"/>
        <w:keepLines w:val="0"/>
        <w:pageBreakBefore w:val="0"/>
        <w:widowControl w:val="0"/>
        <w:kinsoku/>
        <w:wordWrap/>
        <w:overflowPunct/>
        <w:topLinePunct w:val="0"/>
        <w:autoSpaceDE/>
        <w:autoSpaceDN/>
        <w:bidi w:val="0"/>
        <w:adjustRightInd/>
        <w:snapToGrid w:val="0"/>
        <w:spacing w:before="157" w:beforeLines="50" w:line="360" w:lineRule="auto"/>
        <w:ind w:left="0" w:leftChars="0" w:firstLine="420" w:firstLineChars="200"/>
        <w:jc w:val="left"/>
        <w:textAlignment w:val="auto"/>
        <w:outlineLvl w:val="9"/>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371D9052">
      <w:pPr>
        <w:spacing w:line="360" w:lineRule="auto"/>
        <w:ind w:firstLine="211" w:firstLineChars="100"/>
        <w:rPr>
          <w:rFonts w:ascii="宋体" w:hAnsi="宋体" w:cs="宋体"/>
          <w:b/>
          <w:bCs/>
          <w:color w:val="auto"/>
          <w:highlight w:val="none"/>
        </w:rPr>
      </w:pPr>
    </w:p>
    <w:p w14:paraId="42A19931">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6D64E7E4">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F318371">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14295333">
      <w:pPr>
        <w:rPr>
          <w:rFonts w:ascii="宋体" w:hAnsi="宋体" w:cs="宋体"/>
          <w:color w:val="auto"/>
          <w:highlight w:val="none"/>
        </w:rPr>
      </w:pPr>
    </w:p>
    <w:p w14:paraId="04A3AA1C">
      <w:pPr>
        <w:pStyle w:val="30"/>
        <w:snapToGrid/>
        <w:spacing w:line="360" w:lineRule="auto"/>
        <w:ind w:firstLine="480" w:firstLineChars="200"/>
        <w:rPr>
          <w:rFonts w:hint="eastAsia" w:ascii="宋体" w:hAnsi="宋体" w:eastAsia="宋体" w:cs="宋体"/>
          <w:color w:val="auto"/>
          <w:sz w:val="21"/>
          <w:szCs w:val="21"/>
          <w:highlight w:val="none"/>
        </w:rPr>
        <w:sectPr>
          <w:pgSz w:w="11906" w:h="16838"/>
          <w:pgMar w:top="1361" w:right="1440" w:bottom="1361" w:left="1440" w:header="851" w:footer="992" w:gutter="0"/>
          <w:cols w:space="425" w:num="1"/>
          <w:titlePg/>
          <w:docGrid w:type="lines" w:linePitch="312" w:charSpace="0"/>
        </w:sectPr>
      </w:pPr>
      <w:r>
        <w:rPr>
          <w:rFonts w:hint="eastAsia" w:hAnsi="宋体"/>
          <w:color w:val="auto"/>
          <w:highlight w:val="none"/>
        </w:rPr>
        <w:br w:type="page"/>
      </w:r>
    </w:p>
    <w:p w14:paraId="7B720EE0">
      <w:pPr>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rPr>
        <w:t>、</w:t>
      </w:r>
      <w:r>
        <w:rPr>
          <w:rFonts w:hint="eastAsia" w:ascii="宋体" w:hAnsi="宋体" w:cs="宋体"/>
          <w:color w:val="auto"/>
          <w:highlight w:val="none"/>
          <w:lang w:val="en-US" w:eastAsia="zh-CN"/>
        </w:rPr>
        <w:t>投标报价明细表</w:t>
      </w:r>
    </w:p>
    <w:p w14:paraId="3A3D407B">
      <w:pPr>
        <w:spacing w:line="360" w:lineRule="auto"/>
        <w:jc w:val="center"/>
        <w:rPr>
          <w:rFonts w:hint="eastAsia" w:ascii="宋体" w:hAnsi="宋体" w:cs="宋体"/>
          <w:color w:val="auto"/>
          <w:highlight w:val="none"/>
        </w:rPr>
      </w:pPr>
    </w:p>
    <w:p w14:paraId="06E0B76A">
      <w:pPr>
        <w:keepNext w:val="0"/>
        <w:keepLines w:val="0"/>
        <w:pageBreakBefore w:val="0"/>
        <w:kinsoku/>
        <w:wordWrap/>
        <w:overflowPunct/>
        <w:topLinePunct w:val="0"/>
        <w:autoSpaceDE/>
        <w:autoSpaceDN/>
        <w:bidi w:val="0"/>
        <w:adjustRightInd/>
        <w:snapToGrid w:val="0"/>
        <w:spacing w:before="50" w:after="120" w:afterLines="50" w:line="360" w:lineRule="auto"/>
        <w:ind w:firstLine="0" w:firstLineChars="0"/>
        <w:jc w:val="left"/>
        <w:outlineLvl w:val="9"/>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项目名称</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项目编号：</w:t>
      </w:r>
    </w:p>
    <w:tbl>
      <w:tblPr>
        <w:tblStyle w:val="5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4"/>
        <w:gridCol w:w="992"/>
        <w:gridCol w:w="4500"/>
        <w:gridCol w:w="1335"/>
        <w:gridCol w:w="1536"/>
      </w:tblGrid>
      <w:tr w14:paraId="6BA07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26C39C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服务类</w:t>
            </w:r>
          </w:p>
        </w:tc>
      </w:tr>
      <w:tr w14:paraId="2F6EB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7" w:type="dxa"/>
            <w:gridSpan w:val="2"/>
            <w:tcBorders>
              <w:top w:val="single" w:color="auto" w:sz="4" w:space="0"/>
              <w:left w:val="single" w:color="auto" w:sz="4" w:space="0"/>
              <w:bottom w:val="nil"/>
              <w:right w:val="single" w:color="auto" w:sz="4" w:space="0"/>
            </w:tcBorders>
            <w:vAlign w:val="center"/>
          </w:tcPr>
          <w:p w14:paraId="0068D9CD">
            <w:pPr>
              <w:jc w:val="center"/>
            </w:pPr>
            <w:r>
              <w:rPr>
                <w:rFonts w:hint="eastAsia"/>
              </w:rPr>
              <w:t>序号</w:t>
            </w:r>
          </w:p>
        </w:tc>
        <w:tc>
          <w:tcPr>
            <w:tcW w:w="992" w:type="dxa"/>
            <w:tcBorders>
              <w:top w:val="single" w:color="auto" w:sz="4" w:space="0"/>
              <w:left w:val="single" w:color="auto" w:sz="4" w:space="0"/>
              <w:bottom w:val="nil"/>
              <w:right w:val="single" w:color="auto" w:sz="4" w:space="0"/>
            </w:tcBorders>
            <w:vAlign w:val="center"/>
          </w:tcPr>
          <w:p w14:paraId="62307681">
            <w:pPr>
              <w:jc w:val="center"/>
            </w:pPr>
            <w:r>
              <w:rPr>
                <w:rFonts w:hint="eastAsia"/>
              </w:rPr>
              <w:t>类别</w:t>
            </w:r>
          </w:p>
        </w:tc>
        <w:tc>
          <w:tcPr>
            <w:tcW w:w="4500" w:type="dxa"/>
            <w:tcBorders>
              <w:top w:val="single" w:color="auto" w:sz="4" w:space="0"/>
              <w:left w:val="single" w:color="auto" w:sz="4" w:space="0"/>
              <w:bottom w:val="nil"/>
              <w:right w:val="single" w:color="auto" w:sz="4" w:space="0"/>
            </w:tcBorders>
            <w:vAlign w:val="center"/>
          </w:tcPr>
          <w:p w14:paraId="7739CE0C">
            <w:pPr>
              <w:jc w:val="center"/>
            </w:pPr>
            <w:r>
              <w:rPr>
                <w:rFonts w:hint="eastAsia"/>
              </w:rPr>
              <w:t>内容</w:t>
            </w:r>
          </w:p>
        </w:tc>
        <w:tc>
          <w:tcPr>
            <w:tcW w:w="1335" w:type="dxa"/>
            <w:tcBorders>
              <w:top w:val="single" w:color="auto" w:sz="4" w:space="0"/>
              <w:left w:val="single" w:color="auto" w:sz="4" w:space="0"/>
              <w:bottom w:val="nil"/>
              <w:right w:val="single" w:color="auto" w:sz="4" w:space="0"/>
            </w:tcBorders>
            <w:vAlign w:val="center"/>
          </w:tcPr>
          <w:p w14:paraId="0E11D240">
            <w:pPr>
              <w:jc w:val="center"/>
            </w:pPr>
            <w:r>
              <w:rPr>
                <w:rFonts w:hint="eastAsia"/>
              </w:rPr>
              <w:t>单价（元）</w:t>
            </w:r>
          </w:p>
        </w:tc>
        <w:tc>
          <w:tcPr>
            <w:tcW w:w="1536" w:type="dxa"/>
            <w:tcBorders>
              <w:top w:val="single" w:color="auto" w:sz="4" w:space="0"/>
              <w:left w:val="single" w:color="auto" w:sz="4" w:space="0"/>
              <w:bottom w:val="nil"/>
              <w:right w:val="single" w:color="auto" w:sz="4" w:space="0"/>
            </w:tcBorders>
            <w:vAlign w:val="center"/>
          </w:tcPr>
          <w:p w14:paraId="5BAF49EC">
            <w:pPr>
              <w:jc w:val="center"/>
            </w:pPr>
            <w:r>
              <w:rPr>
                <w:rFonts w:hint="eastAsia"/>
              </w:rPr>
              <w:t>备注</w:t>
            </w:r>
          </w:p>
        </w:tc>
      </w:tr>
      <w:tr w14:paraId="58744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17" w:type="dxa"/>
            <w:gridSpan w:val="2"/>
            <w:tcBorders>
              <w:top w:val="single" w:color="auto" w:sz="4" w:space="0"/>
              <w:left w:val="single" w:color="auto" w:sz="4" w:space="0"/>
              <w:bottom w:val="single" w:color="auto" w:sz="4" w:space="0"/>
              <w:right w:val="single" w:color="auto" w:sz="4" w:space="0"/>
            </w:tcBorders>
            <w:vAlign w:val="center"/>
          </w:tcPr>
          <w:p w14:paraId="75370E3B">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24351621">
            <w:pPr>
              <w:jc w:val="center"/>
              <w:rPr>
                <w:rFonts w:hint="eastAsia" w:ascii="宋体" w:hAnsi="宋体" w:eastAsia="宋体" w:cs="宋体"/>
                <w:lang w:val="en-US" w:eastAsia="zh-CN"/>
              </w:rPr>
            </w:pPr>
            <w:r>
              <w:rPr>
                <w:rFonts w:hint="eastAsia" w:ascii="宋体" w:hAnsi="宋体" w:eastAsia="宋体" w:cs="宋体"/>
                <w:lang w:val="en-US" w:eastAsia="zh-CN"/>
              </w:rPr>
              <w:t>疗休养</w:t>
            </w:r>
          </w:p>
        </w:tc>
        <w:tc>
          <w:tcPr>
            <w:tcW w:w="4500" w:type="dxa"/>
            <w:tcBorders>
              <w:top w:val="single" w:color="auto" w:sz="4" w:space="0"/>
              <w:left w:val="single" w:color="auto" w:sz="4" w:space="0"/>
              <w:bottom w:val="single" w:color="auto" w:sz="4" w:space="0"/>
              <w:right w:val="single" w:color="auto" w:sz="4" w:space="0"/>
            </w:tcBorders>
            <w:vAlign w:val="center"/>
          </w:tcPr>
          <w:p w14:paraId="025BDE92">
            <w:pPr>
              <w:jc w:val="center"/>
              <w:rPr>
                <w:rFonts w:hint="eastAsia" w:ascii="宋体" w:hAnsi="宋体" w:eastAsia="宋体" w:cs="宋体"/>
              </w:rPr>
            </w:pPr>
            <w:r>
              <w:rPr>
                <w:rFonts w:hint="eastAsia" w:ascii="宋体" w:hAnsi="宋体" w:cs="宋体"/>
                <w:lang w:val="en-US" w:eastAsia="zh-CN"/>
              </w:rPr>
              <w:t>新昌幼儿园2025年教职工疗休养采购项目</w:t>
            </w:r>
          </w:p>
        </w:tc>
        <w:tc>
          <w:tcPr>
            <w:tcW w:w="1335" w:type="dxa"/>
            <w:tcBorders>
              <w:top w:val="single" w:color="auto" w:sz="4" w:space="0"/>
              <w:left w:val="single" w:color="auto" w:sz="4" w:space="0"/>
              <w:bottom w:val="single" w:color="auto" w:sz="4" w:space="0"/>
              <w:right w:val="single" w:color="auto" w:sz="4" w:space="0"/>
            </w:tcBorders>
            <w:vAlign w:val="center"/>
          </w:tcPr>
          <w:p w14:paraId="311F3DD4">
            <w:pPr>
              <w:jc w:val="center"/>
              <w:rPr>
                <w:rFonts w:hint="eastAsia" w:ascii="宋体" w:hAnsi="宋体" w:eastAsia="宋体" w:cs="宋体"/>
                <w:lang w:val="en-US" w:eastAsia="zh-CN"/>
              </w:rPr>
            </w:pPr>
            <w:r>
              <w:rPr>
                <w:rFonts w:hint="eastAsia" w:ascii="宋体" w:hAnsi="宋体" w:cs="宋体"/>
                <w:lang w:val="en-US" w:eastAsia="zh-CN"/>
              </w:rPr>
              <w:t>职工：</w:t>
            </w:r>
            <w:r>
              <w:rPr>
                <w:rFonts w:hint="eastAsia" w:ascii="宋体" w:hAnsi="宋体" w:eastAsia="宋体" w:cs="宋体"/>
                <w:lang w:val="en-US" w:eastAsia="zh-CN"/>
              </w:rPr>
              <w:t>3000</w:t>
            </w:r>
          </w:p>
          <w:p w14:paraId="67743DAD">
            <w:pPr>
              <w:jc w:val="center"/>
              <w:rPr>
                <w:rFonts w:hint="eastAsia" w:ascii="宋体" w:hAnsi="宋体" w:eastAsia="宋体" w:cs="宋体"/>
                <w:lang w:val="en-US" w:eastAsia="zh-CN"/>
              </w:rPr>
            </w:pPr>
            <w:r>
              <w:rPr>
                <w:rFonts w:hint="eastAsia"/>
                <w:lang w:val="en-US" w:eastAsia="zh-CN"/>
              </w:rPr>
              <w:t>编</w:t>
            </w:r>
            <w:r>
              <w:rPr>
                <w:rFonts w:hint="eastAsia" w:ascii="宋体" w:hAnsi="宋体" w:eastAsia="宋体" w:cs="宋体"/>
                <w:kern w:val="2"/>
                <w:sz w:val="21"/>
                <w:szCs w:val="21"/>
                <w:lang w:val="en-US" w:eastAsia="zh-CN" w:bidi="ar-SA"/>
              </w:rPr>
              <w:t>外人员：2000</w:t>
            </w:r>
          </w:p>
        </w:tc>
        <w:tc>
          <w:tcPr>
            <w:tcW w:w="1536" w:type="dxa"/>
            <w:tcBorders>
              <w:top w:val="single" w:color="auto" w:sz="4" w:space="0"/>
              <w:left w:val="single" w:color="auto" w:sz="4" w:space="0"/>
              <w:bottom w:val="single" w:color="auto" w:sz="4" w:space="0"/>
              <w:right w:val="single" w:color="auto" w:sz="4" w:space="0"/>
            </w:tcBorders>
            <w:vAlign w:val="center"/>
          </w:tcPr>
          <w:p w14:paraId="399715E1">
            <w:pPr>
              <w:jc w:val="center"/>
              <w:rPr>
                <w:rFonts w:hint="eastAsia" w:ascii="宋体" w:hAnsi="宋体" w:eastAsia="宋体" w:cs="宋体"/>
              </w:rPr>
            </w:pPr>
            <w:r>
              <w:rPr>
                <w:rFonts w:hint="eastAsia" w:ascii="宋体" w:hAnsi="宋体" w:eastAsia="宋体" w:cs="宋体"/>
                <w:lang w:val="en-US" w:eastAsia="zh-CN"/>
              </w:rPr>
              <w:t>单价不上下浮</w:t>
            </w:r>
          </w:p>
        </w:tc>
      </w:tr>
      <w:tr w14:paraId="35E24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7CC0F792">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8647" w:type="dxa"/>
            <w:gridSpan w:val="5"/>
            <w:tcBorders>
              <w:top w:val="single" w:color="auto" w:sz="4" w:space="0"/>
              <w:left w:val="single" w:color="auto" w:sz="4" w:space="0"/>
              <w:bottom w:val="single" w:color="auto" w:sz="4" w:space="0"/>
              <w:right w:val="single" w:color="auto" w:sz="4" w:space="0"/>
            </w:tcBorders>
            <w:vAlign w:val="center"/>
          </w:tcPr>
          <w:p w14:paraId="11FDDCC5">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1.此表应按项目的明细情况列项填报,在填写时，如上表不适合本项目的实际情况，可在确保投标明细内容完整的情况下，根据上表格式自行划表填写。</w:t>
            </w:r>
          </w:p>
          <w:p w14:paraId="4C86E1C8">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2.报价要求：本项目报价应包括完成本项目配置单的所有工作人员的一切费用</w:t>
            </w:r>
            <w:r>
              <w:rPr>
                <w:rFonts w:hint="eastAsia" w:ascii="宋体" w:hAnsi="宋体" w:eastAsia="宋体" w:cs="宋体"/>
                <w:color w:val="auto"/>
                <w:sz w:val="21"/>
                <w:szCs w:val="21"/>
                <w:highlight w:val="none"/>
              </w:rPr>
              <w:t>，包括提供服务所需的一切人员工资、</w:t>
            </w:r>
            <w:r>
              <w:rPr>
                <w:rFonts w:hint="eastAsia" w:ascii="宋体" w:hAnsi="宋体" w:eastAsia="宋体" w:cs="宋体"/>
                <w:color w:val="auto"/>
                <w:sz w:val="21"/>
                <w:szCs w:val="21"/>
                <w:highlight w:val="none"/>
                <w:lang w:val="en-US" w:eastAsia="zh-CN"/>
              </w:rPr>
              <w:t>福利、</w:t>
            </w:r>
            <w:r>
              <w:rPr>
                <w:rFonts w:hint="eastAsia" w:ascii="宋体" w:hAnsi="宋体" w:eastAsia="宋体" w:cs="宋体"/>
                <w:color w:val="auto"/>
                <w:sz w:val="21"/>
                <w:szCs w:val="21"/>
                <w:highlight w:val="none"/>
              </w:rPr>
              <w:t>奖金、</w:t>
            </w:r>
            <w:r>
              <w:rPr>
                <w:rFonts w:hint="eastAsia" w:ascii="宋体" w:hAnsi="宋体" w:eastAsia="宋体" w:cs="宋体"/>
                <w:color w:val="auto"/>
                <w:sz w:val="21"/>
                <w:szCs w:val="21"/>
                <w:highlight w:val="none"/>
                <w:lang w:val="en-US" w:eastAsia="zh-CN"/>
              </w:rPr>
              <w:t>补贴</w:t>
            </w:r>
            <w:r>
              <w:rPr>
                <w:rFonts w:hint="eastAsia" w:ascii="宋体" w:hAnsi="宋体" w:eastAsia="宋体" w:cs="宋体"/>
                <w:color w:val="auto"/>
                <w:sz w:val="21"/>
                <w:szCs w:val="21"/>
                <w:highlight w:val="none"/>
              </w:rPr>
              <w:t>、各种社会保险、食宿与交通、服装、安全、体检费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税费、利润、招标代理服务费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采购需求所提及的费用等</w:t>
            </w:r>
            <w:r>
              <w:rPr>
                <w:rFonts w:hint="eastAsia" w:ascii="宋体" w:hAnsi="宋体" w:eastAsia="宋体" w:cs="宋体"/>
                <w:color w:val="auto"/>
                <w:sz w:val="21"/>
                <w:szCs w:val="21"/>
                <w:highlight w:val="none"/>
              </w:rPr>
              <w:t>完成合同所需的所有费用</w:t>
            </w:r>
            <w:r>
              <w:rPr>
                <w:rFonts w:hint="eastAsia" w:ascii="宋体" w:hAnsi="宋体" w:eastAsia="宋体" w:cs="宋体"/>
                <w:color w:val="auto"/>
                <w:sz w:val="21"/>
                <w:szCs w:val="21"/>
                <w:highlight w:val="none"/>
                <w:lang w:eastAsia="zh-CN"/>
              </w:rPr>
              <w:t>。</w:t>
            </w:r>
          </w:p>
          <w:p w14:paraId="2F393542">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3.报价中不允许出现报价优惠等字样,投标总价合计金额应与明细报价汇总相等。</w:t>
            </w:r>
          </w:p>
          <w:p w14:paraId="66BEFF23">
            <w:pPr>
              <w:keepNext w:val="0"/>
              <w:keepLines w:val="0"/>
              <w:pageBreakBefore w:val="0"/>
              <w:kinsoku/>
              <w:wordWrap/>
              <w:overflowPunct/>
              <w:topLinePunct w:val="0"/>
              <w:autoSpaceDE/>
              <w:autoSpaceDN/>
              <w:bidi w:val="0"/>
              <w:adjustRightInd/>
              <w:snapToGrid w:val="0"/>
              <w:spacing w:line="360" w:lineRule="auto"/>
              <w:ind w:firstLine="0" w:firstLineChars="0"/>
              <w:jc w:val="left"/>
              <w:outlineLvl w:val="9"/>
              <w:rPr>
                <w:rFonts w:ascii="Times New Roman" w:hAnsi="Times New Roman" w:eastAsia="宋体" w:cs="Times New Roman"/>
                <w:color w:val="auto"/>
                <w:sz w:val="21"/>
                <w:szCs w:val="21"/>
                <w:highlight w:val="none"/>
              </w:rPr>
            </w:pPr>
            <w:r>
              <w:rPr>
                <w:rFonts w:hint="eastAsia" w:ascii="宋体" w:hAnsi="宋体" w:eastAsia="宋体" w:cs="宋体"/>
                <w:color w:val="auto"/>
                <w:sz w:val="21"/>
                <w:szCs w:val="21"/>
                <w:highlight w:val="none"/>
              </w:rPr>
              <w:t>4.投标人所填写的单价在合同实施期间不因市场变化因素而变动；投标人在计算报价时应考虑一定的风险系数。</w:t>
            </w:r>
          </w:p>
        </w:tc>
      </w:tr>
    </w:tbl>
    <w:p w14:paraId="1D00B0BC">
      <w:pPr>
        <w:rPr>
          <w:rFonts w:hint="eastAsia" w:ascii="宋体" w:hAnsi="宋体" w:cs="宋体"/>
          <w:color w:val="auto"/>
          <w:highlight w:val="none"/>
        </w:rPr>
      </w:pPr>
    </w:p>
    <w:p w14:paraId="0DB287DA">
      <w:pPr>
        <w:pStyle w:val="27"/>
        <w:spacing w:line="360" w:lineRule="auto"/>
        <w:ind w:right="480" w:firstLine="2100" w:firstLineChars="1000"/>
        <w:jc w:val="right"/>
        <w:rPr>
          <w:rFonts w:hint="eastAsia" w:hAnsi="宋体"/>
          <w:color w:val="auto"/>
          <w:highlight w:val="none"/>
        </w:rPr>
      </w:pPr>
    </w:p>
    <w:p w14:paraId="0484D82E">
      <w:pPr>
        <w:pStyle w:val="27"/>
        <w:spacing w:line="360" w:lineRule="auto"/>
        <w:ind w:right="480" w:firstLine="2100" w:firstLineChars="1000"/>
        <w:jc w:val="right"/>
        <w:rPr>
          <w:rFonts w:hAnsi="宋体"/>
          <w:color w:val="auto"/>
          <w:highlight w:val="none"/>
        </w:rPr>
      </w:pPr>
      <w:r>
        <w:rPr>
          <w:rFonts w:hint="eastAsia" w:hAnsi="宋体"/>
          <w:color w:val="auto"/>
          <w:highlight w:val="none"/>
        </w:rPr>
        <w:t>负责人或委托代理人（签字或盖章）_____________</w:t>
      </w:r>
    </w:p>
    <w:p w14:paraId="5DF4B70C">
      <w:pPr>
        <w:pStyle w:val="27"/>
        <w:spacing w:line="360" w:lineRule="auto"/>
        <w:ind w:right="480"/>
        <w:jc w:val="right"/>
        <w:rPr>
          <w:rFonts w:hAnsi="宋体"/>
          <w:color w:val="auto"/>
          <w:highlight w:val="none"/>
        </w:rPr>
      </w:pPr>
      <w:r>
        <w:rPr>
          <w:rFonts w:hint="eastAsia" w:hAnsi="宋体"/>
          <w:color w:val="auto"/>
          <w:highlight w:val="none"/>
        </w:rPr>
        <w:t>　　　　　　　　　　　　　投标人（公章）_____________</w:t>
      </w:r>
    </w:p>
    <w:p w14:paraId="5A502572">
      <w:pPr>
        <w:pStyle w:val="27"/>
        <w:wordWrap w:val="0"/>
        <w:spacing w:line="360" w:lineRule="auto"/>
        <w:ind w:right="480" w:firstLine="3990" w:firstLineChars="1900"/>
        <w:jc w:val="right"/>
        <w:rPr>
          <w:rFonts w:hAnsi="宋体"/>
          <w:color w:val="auto"/>
          <w:highlight w:val="none"/>
        </w:rPr>
      </w:pPr>
      <w:r>
        <w:rPr>
          <w:rFonts w:hint="eastAsia" w:hAnsi="宋体"/>
          <w:color w:val="auto"/>
          <w:highlight w:val="none"/>
        </w:rPr>
        <w:t>日期：_____年____月____日</w:t>
      </w:r>
    </w:p>
    <w:p w14:paraId="64D0FF38">
      <w:pPr>
        <w:rPr>
          <w:rFonts w:hint="eastAsia" w:ascii="宋体" w:hAnsi="宋体" w:cs="宋体"/>
          <w:color w:val="auto"/>
          <w:highlight w:val="none"/>
          <w:lang w:val="en-US" w:eastAsia="zh-CN"/>
        </w:rPr>
      </w:pPr>
    </w:p>
    <w:p w14:paraId="687FEFFD">
      <w:pPr>
        <w:rPr>
          <w:rFonts w:hint="eastAsia" w:ascii="宋体" w:hAnsi="宋体" w:cs="宋体"/>
          <w:b/>
          <w:bCs/>
          <w:color w:val="auto"/>
          <w:kern w:val="0"/>
          <w:highlight w:val="none"/>
        </w:rPr>
        <w:sectPr>
          <w:pgSz w:w="11906" w:h="16838"/>
          <w:pgMar w:top="1361" w:right="1440" w:bottom="1361" w:left="1440" w:header="851" w:footer="992" w:gutter="0"/>
          <w:cols w:space="425" w:num="1"/>
          <w:titlePg/>
          <w:docGrid w:type="lines" w:linePitch="312" w:charSpace="0"/>
        </w:sectPr>
      </w:pPr>
      <w:r>
        <w:rPr>
          <w:rFonts w:hint="eastAsia" w:ascii="宋体" w:hAnsi="宋体" w:cs="宋体"/>
          <w:color w:val="auto"/>
          <w:highlight w:val="none"/>
          <w:lang w:val="en-US" w:eastAsia="zh-CN"/>
        </w:rPr>
        <w:br w:type="page"/>
      </w:r>
    </w:p>
    <w:p w14:paraId="10A4E128">
      <w:pPr>
        <w:keepNext/>
        <w:adjustRightInd w:val="0"/>
        <w:snapToGrid w:val="0"/>
        <w:spacing w:before="120" w:after="120" w:line="560" w:lineRule="exact"/>
        <w:jc w:val="center"/>
        <w:textAlignment w:val="baseline"/>
        <w:outlineLvl w:val="1"/>
        <w:rPr>
          <w:rFonts w:ascii="宋体" w:hAnsi="宋体" w:cs="宋体"/>
          <w:b/>
          <w:bCs/>
          <w:color w:val="auto"/>
          <w:kern w:val="0"/>
          <w:highlight w:val="none"/>
        </w:rPr>
      </w:pPr>
      <w:r>
        <w:rPr>
          <w:rFonts w:hint="eastAsia" w:ascii="宋体" w:hAnsi="宋体" w:cs="宋体"/>
          <w:b/>
          <w:bCs/>
          <w:color w:val="auto"/>
          <w:kern w:val="0"/>
          <w:highlight w:val="none"/>
        </w:rPr>
        <w:t>第六部分  评标办法和细则</w:t>
      </w:r>
    </w:p>
    <w:p w14:paraId="71426E1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根据《中华人民共和国政府采购法》等有关法律法规的规定，并结合本项目的实际，按照公正、公平、科学、择优的原则选择中标人，特制定本办法。</w:t>
      </w:r>
    </w:p>
    <w:p w14:paraId="412D7704">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一  总则</w:t>
      </w:r>
    </w:p>
    <w:p w14:paraId="0AD0B8C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1.1 为最大限度地保护各当事人的权益，评标委员会应严格按照招标文件的商务、技术、报价要求，对</w:t>
      </w:r>
      <w:r>
        <w:rPr>
          <w:rFonts w:hint="eastAsia" w:ascii="宋体" w:hAnsi="宋体"/>
          <w:color w:val="auto"/>
          <w:kern w:val="0"/>
          <w:highlight w:val="none"/>
        </w:rPr>
        <w:t>投标文件</w:t>
      </w:r>
      <w:r>
        <w:rPr>
          <w:rFonts w:hint="eastAsia" w:ascii="宋体" w:hAnsi="宋体"/>
          <w:color w:val="auto"/>
          <w:highlight w:val="none"/>
        </w:rPr>
        <w:t>进行综合分析评价并编制评标报告。评审专家必须严格遵守保密规定，不得泄漏评标有关的情况，不得索贿受贿，不得参加影响评标的任何活动。</w:t>
      </w:r>
    </w:p>
    <w:p w14:paraId="702AF273">
      <w:pPr>
        <w:autoSpaceDE w:val="0"/>
        <w:snapToGrid w:val="0"/>
        <w:spacing w:line="360" w:lineRule="auto"/>
        <w:ind w:firstLine="422" w:firstLineChars="200"/>
        <w:rPr>
          <w:rFonts w:hint="eastAsia" w:ascii="宋体" w:hAnsi="宋体" w:eastAsia="宋体"/>
          <w:b/>
          <w:bCs/>
          <w:color w:val="auto"/>
          <w:highlight w:val="none"/>
          <w:lang w:val="en-US" w:eastAsia="zh-CN"/>
        </w:rPr>
      </w:pPr>
      <w:r>
        <w:rPr>
          <w:rFonts w:hint="eastAsia" w:ascii="宋体" w:hAnsi="宋体"/>
          <w:b/>
          <w:bCs/>
          <w:color w:val="auto"/>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b/>
          <w:color w:val="auto"/>
          <w:highlight w:val="none"/>
        </w:rPr>
        <w:t>以上得分均相同的，抽签产生中标候选人</w:t>
      </w:r>
      <w:r>
        <w:rPr>
          <w:rFonts w:hint="eastAsia" w:ascii="宋体" w:hAnsi="宋体"/>
          <w:b/>
          <w:bCs/>
          <w:color w:val="auto"/>
          <w:highlight w:val="none"/>
        </w:rPr>
        <w:t>。评标委员会推荐最终得分最高的投标人为中标候选人。本项目推荐中标候选人1名</w:t>
      </w:r>
      <w:r>
        <w:rPr>
          <w:rFonts w:hint="eastAsia" w:ascii="宋体" w:hAnsi="宋体"/>
          <w:b/>
          <w:bCs/>
          <w:color w:val="auto"/>
          <w:highlight w:val="none"/>
          <w:lang w:eastAsia="zh-CN"/>
        </w:rPr>
        <w:t>。</w:t>
      </w:r>
    </w:p>
    <w:p w14:paraId="56B6FBA6">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二  评审委员会</w:t>
      </w:r>
    </w:p>
    <w:p w14:paraId="1840149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2.1评审委员会</w:t>
      </w:r>
    </w:p>
    <w:p w14:paraId="7BCBC08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2.1.1成员：由采购人代表和评审专家组成五人及以上单数，其中评审专家不得少于评审委员会总人数的三分之二。除国务院财政部门规定的情形外，评审专家由采购代理机构在政府采购专家库中随机抽取。</w:t>
      </w:r>
    </w:p>
    <w:p w14:paraId="6407DBE7">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2.1.2职责：严格按政府采购法律法规的有关规定执行，评审专家应按招标文件规定的评审要求、评审程序、评审内容、评审方法和评审标准进行评审，对评审意见承担个人责任。</w:t>
      </w:r>
    </w:p>
    <w:p w14:paraId="550BC041">
      <w:pPr>
        <w:autoSpaceDE w:val="0"/>
        <w:snapToGrid w:val="0"/>
        <w:spacing w:line="360" w:lineRule="auto"/>
        <w:rPr>
          <w:rFonts w:ascii="宋体" w:hAnsi="宋体"/>
          <w:color w:val="auto"/>
          <w:highlight w:val="none"/>
        </w:rPr>
      </w:pPr>
      <w:r>
        <w:rPr>
          <w:rFonts w:hint="eastAsia" w:ascii="宋体" w:hAnsi="宋体"/>
          <w:color w:val="auto"/>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0CE4255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三  评标程序</w:t>
      </w:r>
    </w:p>
    <w:p w14:paraId="446CEA3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3.1 符合性审查</w:t>
      </w:r>
    </w:p>
    <w:p w14:paraId="4B0C1994">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6B5AF518">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3.2 商务技术文件评审</w:t>
      </w:r>
    </w:p>
    <w:p w14:paraId="455C6D4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3.2.1评标委员会依据招标文件的规定，对各</w:t>
      </w:r>
      <w:r>
        <w:rPr>
          <w:rFonts w:hint="eastAsia" w:ascii="宋体" w:hAnsi="宋体"/>
          <w:color w:val="auto"/>
          <w:kern w:val="0"/>
          <w:highlight w:val="none"/>
        </w:rPr>
        <w:t>投标人的商务</w:t>
      </w:r>
      <w:r>
        <w:rPr>
          <w:rFonts w:hint="eastAsia" w:ascii="宋体" w:hAnsi="宋体"/>
          <w:color w:val="auto"/>
          <w:highlight w:val="none"/>
        </w:rPr>
        <w:t>技术文件进行独立评审。对各</w:t>
      </w:r>
      <w:r>
        <w:rPr>
          <w:rFonts w:hint="eastAsia" w:ascii="宋体" w:hAnsi="宋体"/>
          <w:color w:val="auto"/>
          <w:kern w:val="0"/>
          <w:highlight w:val="none"/>
        </w:rPr>
        <w:t>投标文件</w:t>
      </w:r>
      <w:r>
        <w:rPr>
          <w:rFonts w:hint="eastAsia" w:ascii="宋体" w:hAnsi="宋体"/>
          <w:color w:val="auto"/>
          <w:highlight w:val="none"/>
        </w:rPr>
        <w:t>进行比较和必要的澄清，若有演示、样品要求和商务技术文件评审同步进行，演示顺序为投标文件递交顺序，并根据审查、澄清、演示、样品等情况结合评审办法进行独立打分。</w:t>
      </w:r>
    </w:p>
    <w:p w14:paraId="7429F60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3.2.2 各投标人的商务技术得分，为各评审专家对该投标人的商务技术得分结果汇总后的算术平均数。</w:t>
      </w:r>
    </w:p>
    <w:p w14:paraId="4BE08962">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3.3 报价文件评审</w:t>
      </w:r>
    </w:p>
    <w:p w14:paraId="39A1601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3.3.1 评标委员会依据招标文件的规定，对各投标人的报价的合理性进行审查，必要时可要求投标人对其报价做出澄清、说明。</w:t>
      </w:r>
    </w:p>
    <w:p w14:paraId="36C3F8DA">
      <w:pPr>
        <w:autoSpaceDE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3.4 评标结果</w:t>
      </w:r>
    </w:p>
    <w:p w14:paraId="61F910A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3.4.1 评审结果汇总，同品牌投标人的确定，投标人结果排序；</w:t>
      </w:r>
    </w:p>
    <w:p w14:paraId="4E7736C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3.4.2 起草评标报告，确定中标候选人；</w:t>
      </w:r>
    </w:p>
    <w:p w14:paraId="64D9739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3227E">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四  评标一般规定</w:t>
      </w:r>
    </w:p>
    <w:p w14:paraId="10953E9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4.本评标办法采用综合评分法,总分100分。</w:t>
      </w:r>
    </w:p>
    <w:p w14:paraId="155487A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4.1项目商务技术分为</w:t>
      </w:r>
      <w:r>
        <w:rPr>
          <w:rFonts w:hint="eastAsia" w:ascii="宋体" w:hAnsi="宋体"/>
          <w:color w:val="auto"/>
          <w:highlight w:val="none"/>
          <w:lang w:val="en-US" w:eastAsia="zh-CN"/>
        </w:rPr>
        <w:t>80</w:t>
      </w:r>
      <w:r>
        <w:rPr>
          <w:rFonts w:hint="eastAsia" w:ascii="宋体" w:hAnsi="宋体"/>
          <w:color w:val="auto"/>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5FA67CCF">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4.2报价分为</w:t>
      </w:r>
      <w:r>
        <w:rPr>
          <w:rFonts w:hint="eastAsia" w:ascii="宋体" w:hAnsi="宋体"/>
          <w:color w:val="auto"/>
          <w:highlight w:val="none"/>
          <w:lang w:val="en-US" w:eastAsia="zh-CN"/>
        </w:rPr>
        <w:t>20</w:t>
      </w:r>
      <w:r>
        <w:rPr>
          <w:rFonts w:hint="eastAsia" w:ascii="宋体" w:hAnsi="宋体"/>
          <w:color w:val="auto"/>
          <w:highlight w:val="none"/>
        </w:rPr>
        <w:t>分，由评委按各投标人的报价统一计算。</w:t>
      </w:r>
    </w:p>
    <w:p w14:paraId="4F5B4F9D">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4.3评审专家在规定的分值范围内独立打分，评分保留两位小数。</w:t>
      </w:r>
    </w:p>
    <w:p w14:paraId="7FF5FA37">
      <w:pPr>
        <w:keepNext/>
        <w:autoSpaceDE w:val="0"/>
        <w:snapToGrid w:val="0"/>
        <w:spacing w:line="360" w:lineRule="auto"/>
        <w:outlineLvl w:val="2"/>
        <w:rPr>
          <w:rFonts w:ascii="宋体" w:hAnsi="宋体" w:cs="宋体"/>
          <w:b/>
          <w:bCs/>
          <w:color w:val="auto"/>
          <w:highlight w:val="none"/>
        </w:rPr>
      </w:pPr>
      <w:r>
        <w:rPr>
          <w:rFonts w:hint="eastAsia" w:ascii="宋体" w:hAnsi="宋体" w:cs="宋体"/>
          <w:b/>
          <w:bCs/>
          <w:color w:val="auto"/>
          <w:highlight w:val="none"/>
        </w:rPr>
        <w:t>五  评标办法和细则</w:t>
      </w:r>
    </w:p>
    <w:p w14:paraId="315FE53F">
      <w:pPr>
        <w:autoSpaceDE w:val="0"/>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5.1商务技术文件得分为</w:t>
      </w:r>
      <w:r>
        <w:rPr>
          <w:rFonts w:hint="eastAsia" w:ascii="宋体" w:hAnsi="宋体"/>
          <w:b/>
          <w:bCs/>
          <w:color w:val="auto"/>
          <w:highlight w:val="none"/>
          <w:lang w:val="en-US" w:eastAsia="zh-CN"/>
        </w:rPr>
        <w:t>80</w:t>
      </w:r>
      <w:r>
        <w:rPr>
          <w:rFonts w:hint="eastAsia" w:ascii="宋体" w:hAnsi="宋体"/>
          <w:b/>
          <w:bCs/>
          <w:color w:val="auto"/>
          <w:highlight w:val="none"/>
        </w:rPr>
        <w:t>分，由评委独立完成打分。</w:t>
      </w:r>
    </w:p>
    <w:tbl>
      <w:tblPr>
        <w:tblStyle w:val="50"/>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62"/>
        <w:gridCol w:w="1324"/>
        <w:gridCol w:w="4996"/>
        <w:gridCol w:w="990"/>
      </w:tblGrid>
      <w:tr w14:paraId="0C05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7AC9BBB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序号</w:t>
            </w:r>
          </w:p>
        </w:tc>
        <w:tc>
          <w:tcPr>
            <w:tcW w:w="1362" w:type="dxa"/>
            <w:tcBorders>
              <w:top w:val="single" w:color="auto" w:sz="4" w:space="0"/>
              <w:left w:val="single" w:color="auto" w:sz="4" w:space="0"/>
              <w:right w:val="single" w:color="auto" w:sz="4" w:space="0"/>
            </w:tcBorders>
            <w:noWrap w:val="0"/>
            <w:vAlign w:val="center"/>
          </w:tcPr>
          <w:p w14:paraId="2EFD0AB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评分内容</w:t>
            </w:r>
          </w:p>
        </w:tc>
        <w:tc>
          <w:tcPr>
            <w:tcW w:w="6320" w:type="dxa"/>
            <w:gridSpan w:val="2"/>
            <w:tcBorders>
              <w:top w:val="single" w:color="auto" w:sz="4" w:space="0"/>
              <w:left w:val="single" w:color="auto" w:sz="4" w:space="0"/>
              <w:right w:val="single" w:color="auto" w:sz="4" w:space="0"/>
            </w:tcBorders>
            <w:noWrap w:val="0"/>
            <w:vAlign w:val="center"/>
          </w:tcPr>
          <w:p w14:paraId="5DD2623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评分标准</w:t>
            </w:r>
          </w:p>
        </w:tc>
        <w:tc>
          <w:tcPr>
            <w:tcW w:w="990" w:type="dxa"/>
            <w:tcBorders>
              <w:top w:val="single" w:color="auto" w:sz="4" w:space="0"/>
              <w:left w:val="single" w:color="auto" w:sz="4" w:space="0"/>
              <w:right w:val="single" w:color="auto" w:sz="4" w:space="0"/>
            </w:tcBorders>
            <w:noWrap w:val="0"/>
            <w:vAlign w:val="center"/>
          </w:tcPr>
          <w:p w14:paraId="6A8E4B2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分值</w:t>
            </w:r>
          </w:p>
        </w:tc>
      </w:tr>
      <w:tr w14:paraId="09D8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2EDD58C">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62" w:type="dxa"/>
            <w:tcBorders>
              <w:top w:val="single" w:color="auto" w:sz="4" w:space="0"/>
              <w:left w:val="single" w:color="auto" w:sz="4" w:space="0"/>
              <w:right w:val="single" w:color="auto" w:sz="4" w:space="0"/>
            </w:tcBorders>
            <w:noWrap w:val="0"/>
            <w:vAlign w:val="center"/>
          </w:tcPr>
          <w:p w14:paraId="34D0F56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综合实力</w:t>
            </w:r>
          </w:p>
        </w:tc>
        <w:tc>
          <w:tcPr>
            <w:tcW w:w="6320" w:type="dxa"/>
            <w:gridSpan w:val="2"/>
            <w:tcBorders>
              <w:top w:val="single" w:color="auto" w:sz="4" w:space="0"/>
              <w:left w:val="single" w:color="auto" w:sz="4" w:space="0"/>
              <w:right w:val="single" w:color="auto" w:sz="4" w:space="0"/>
            </w:tcBorders>
            <w:noWrap w:val="0"/>
            <w:vAlign w:val="center"/>
          </w:tcPr>
          <w:p w14:paraId="4FEB1F3D">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投标人被</w:t>
            </w:r>
            <w:r>
              <w:rPr>
                <w:rFonts w:hint="eastAsia" w:ascii="宋体" w:hAnsi="宋体" w:eastAsia="宋体" w:cs="宋体"/>
                <w:color w:val="auto"/>
                <w:sz w:val="21"/>
                <w:szCs w:val="21"/>
                <w:highlight w:val="none"/>
                <w:lang w:eastAsia="zh-CN"/>
              </w:rPr>
              <w:t>旅游</w:t>
            </w:r>
            <w:r>
              <w:rPr>
                <w:rFonts w:hint="eastAsia" w:ascii="宋体" w:hAnsi="宋体" w:eastAsia="宋体" w:cs="宋体"/>
                <w:color w:val="auto"/>
                <w:sz w:val="21"/>
                <w:szCs w:val="21"/>
                <w:highlight w:val="none"/>
              </w:rPr>
              <w:t>主管部门评定为星级品质旅行社等级2星级的得1分，3星级的得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星级及以上的得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1F8A00E9">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提供证书或相关证明文件</w:t>
            </w:r>
            <w:r>
              <w:rPr>
                <w:rFonts w:hint="eastAsia" w:ascii="宋体" w:hAnsi="宋体" w:cs="宋体"/>
                <w:b/>
                <w:bCs/>
                <w:color w:val="auto"/>
                <w:sz w:val="21"/>
                <w:szCs w:val="21"/>
                <w:highlight w:val="none"/>
                <w:lang w:val="en-US" w:eastAsia="zh-CN"/>
              </w:rPr>
              <w:t>复印件或</w:t>
            </w:r>
            <w:r>
              <w:rPr>
                <w:rFonts w:hint="eastAsia" w:ascii="宋体" w:hAnsi="宋体" w:eastAsia="宋体" w:cs="宋体"/>
                <w:b/>
                <w:bCs/>
                <w:color w:val="auto"/>
                <w:sz w:val="21"/>
                <w:szCs w:val="21"/>
                <w:highlight w:val="none"/>
              </w:rPr>
              <w:t>扫描件</w:t>
            </w:r>
            <w:r>
              <w:rPr>
                <w:rFonts w:hint="eastAsia" w:ascii="宋体" w:hAnsi="宋体" w:eastAsia="宋体" w:cs="宋体"/>
                <w:b/>
                <w:bCs/>
                <w:color w:val="auto"/>
                <w:sz w:val="21"/>
                <w:szCs w:val="21"/>
                <w:highlight w:val="none"/>
                <w:lang w:val="en-US" w:eastAsia="zh-CN"/>
              </w:rPr>
              <w:t>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2E1F2C7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7D7A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90E122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362" w:type="dxa"/>
            <w:tcBorders>
              <w:top w:val="single" w:color="auto" w:sz="4" w:space="0"/>
              <w:left w:val="single" w:color="auto" w:sz="4" w:space="0"/>
              <w:right w:val="single" w:color="auto" w:sz="4" w:space="0"/>
            </w:tcBorders>
            <w:noWrap w:val="0"/>
            <w:vAlign w:val="center"/>
          </w:tcPr>
          <w:p w14:paraId="7E3BF30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业绩经验</w:t>
            </w:r>
          </w:p>
        </w:tc>
        <w:tc>
          <w:tcPr>
            <w:tcW w:w="6320" w:type="dxa"/>
            <w:gridSpan w:val="2"/>
            <w:tcBorders>
              <w:top w:val="single" w:color="auto" w:sz="4" w:space="0"/>
              <w:left w:val="single" w:color="auto" w:sz="4" w:space="0"/>
              <w:right w:val="single" w:color="auto" w:sz="4" w:space="0"/>
            </w:tcBorders>
            <w:noWrap w:val="0"/>
            <w:vAlign w:val="center"/>
          </w:tcPr>
          <w:p w14:paraId="3511984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投标人（不含子公司、分公司）自20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年1月1日至今（以合同签订时间为准）承担过同类</w:t>
            </w:r>
            <w:r>
              <w:rPr>
                <w:rFonts w:hint="eastAsia" w:ascii="宋体" w:hAnsi="宋体" w:cs="宋体"/>
                <w:color w:val="auto"/>
                <w:sz w:val="21"/>
                <w:szCs w:val="21"/>
                <w:highlight w:val="none"/>
                <w:lang w:val="en-US" w:eastAsia="zh-CN"/>
              </w:rPr>
              <w:t>职工疗休养</w:t>
            </w:r>
            <w:r>
              <w:rPr>
                <w:rFonts w:hint="eastAsia" w:ascii="宋体" w:hAnsi="宋体" w:eastAsia="宋体" w:cs="宋体"/>
                <w:color w:val="auto"/>
                <w:sz w:val="21"/>
                <w:szCs w:val="21"/>
                <w:highlight w:val="none"/>
              </w:rPr>
              <w:t>项目业绩的，每个得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D7B1ADB">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合同复印件或</w:t>
            </w:r>
            <w:r>
              <w:rPr>
                <w:rFonts w:hint="eastAsia" w:ascii="宋体" w:hAnsi="宋体" w:eastAsia="宋体" w:cs="宋体"/>
                <w:b/>
                <w:bCs/>
                <w:color w:val="auto"/>
                <w:sz w:val="21"/>
                <w:szCs w:val="21"/>
                <w:highlight w:val="none"/>
              </w:rPr>
              <w:t>扫描件</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50CC91C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5158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F1943E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362" w:type="dxa"/>
            <w:tcBorders>
              <w:top w:val="single" w:color="auto" w:sz="4" w:space="0"/>
              <w:left w:val="single" w:color="auto" w:sz="4" w:space="0"/>
              <w:right w:val="single" w:color="auto" w:sz="4" w:space="0"/>
            </w:tcBorders>
            <w:noWrap w:val="0"/>
            <w:vAlign w:val="center"/>
          </w:tcPr>
          <w:p w14:paraId="5230F69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安全证明</w:t>
            </w:r>
          </w:p>
        </w:tc>
        <w:tc>
          <w:tcPr>
            <w:tcW w:w="6320" w:type="dxa"/>
            <w:gridSpan w:val="2"/>
            <w:tcBorders>
              <w:top w:val="single" w:color="auto" w:sz="4" w:space="0"/>
              <w:left w:val="single" w:color="auto" w:sz="4" w:space="0"/>
              <w:right w:val="single" w:color="auto" w:sz="4" w:space="0"/>
            </w:tcBorders>
            <w:noWrap w:val="0"/>
            <w:vAlign w:val="center"/>
          </w:tcPr>
          <w:p w14:paraId="48EC01C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年1月1日以来，组织无安全责任事故的得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C4CDB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提供</w:t>
            </w:r>
            <w:r>
              <w:rPr>
                <w:rFonts w:hint="eastAsia" w:ascii="宋体"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当地旅游局开具的旅行安全事故证明并加盖</w:t>
            </w:r>
            <w:r>
              <w:rPr>
                <w:rFonts w:hint="eastAsia" w:ascii="宋体" w:hAnsi="宋体" w:cs="宋体"/>
                <w:b/>
                <w:bCs/>
                <w:color w:val="auto"/>
                <w:sz w:val="21"/>
                <w:szCs w:val="21"/>
                <w:highlight w:val="none"/>
                <w:lang w:val="en-US" w:eastAsia="zh-CN"/>
              </w:rPr>
              <w:t>公</w:t>
            </w:r>
            <w:r>
              <w:rPr>
                <w:rFonts w:hint="eastAsia" w:ascii="宋体" w:hAnsi="宋体" w:eastAsia="宋体" w:cs="宋体"/>
                <w:b/>
                <w:bCs/>
                <w:color w:val="auto"/>
                <w:sz w:val="21"/>
                <w:szCs w:val="21"/>
                <w:highlight w:val="none"/>
                <w:lang w:val="en-US" w:eastAsia="zh-CN"/>
              </w:rPr>
              <w:t>章</w:t>
            </w:r>
            <w:r>
              <w:rPr>
                <w:rFonts w:hint="eastAsia" w:ascii="宋体" w:hAnsi="宋体" w:eastAsia="宋体" w:cs="宋体"/>
                <w:b/>
                <w:bCs/>
                <w:color w:val="auto"/>
                <w:sz w:val="21"/>
                <w:szCs w:val="21"/>
                <w:highlight w:val="none"/>
              </w:rPr>
              <w:t>，不提供不得分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盖章时间须为2025年</w:t>
            </w:r>
            <w:r>
              <w:rPr>
                <w:rFonts w:hint="eastAsia" w:ascii="宋体" w:hAnsi="宋体" w:eastAsia="宋体" w:cs="宋体"/>
                <w:b/>
                <w:bCs/>
                <w:color w:val="auto"/>
                <w:sz w:val="21"/>
                <w:szCs w:val="21"/>
                <w:highlight w:val="none"/>
              </w:rPr>
              <w:t>。</w:t>
            </w:r>
          </w:p>
        </w:tc>
        <w:tc>
          <w:tcPr>
            <w:tcW w:w="990" w:type="dxa"/>
            <w:tcBorders>
              <w:top w:val="single" w:color="auto" w:sz="4" w:space="0"/>
              <w:left w:val="single" w:color="auto" w:sz="4" w:space="0"/>
              <w:right w:val="single" w:color="auto" w:sz="4" w:space="0"/>
            </w:tcBorders>
            <w:noWrap w:val="0"/>
            <w:vAlign w:val="center"/>
          </w:tcPr>
          <w:p w14:paraId="135AF427">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3C7E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56A872A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62" w:type="dxa"/>
            <w:tcBorders>
              <w:top w:val="single" w:color="auto" w:sz="4" w:space="0"/>
              <w:left w:val="single" w:color="auto" w:sz="4" w:space="0"/>
              <w:right w:val="single" w:color="auto" w:sz="4" w:space="0"/>
            </w:tcBorders>
            <w:noWrap w:val="0"/>
            <w:vAlign w:val="center"/>
          </w:tcPr>
          <w:p w14:paraId="6E0FCDF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队伍配备</w:t>
            </w:r>
          </w:p>
        </w:tc>
        <w:tc>
          <w:tcPr>
            <w:tcW w:w="6320" w:type="dxa"/>
            <w:gridSpan w:val="2"/>
            <w:tcBorders>
              <w:top w:val="single" w:color="auto" w:sz="4" w:space="0"/>
              <w:left w:val="single" w:color="auto" w:sz="4" w:space="0"/>
              <w:right w:val="single" w:color="auto" w:sz="4" w:space="0"/>
            </w:tcBorders>
            <w:noWrap w:val="0"/>
            <w:vAlign w:val="center"/>
          </w:tcPr>
          <w:p w14:paraId="3BFD7B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拟投入的项目组人员中有初级导游证的每个得</w:t>
            </w:r>
            <w:r>
              <w:rPr>
                <w:rFonts w:hint="eastAsia" w:ascii="宋体" w:hAnsi="宋体" w:cs="宋体"/>
                <w:color w:val="auto"/>
                <w:sz w:val="21"/>
                <w:szCs w:val="21"/>
                <w:highlight w:val="none"/>
                <w:lang w:val="en-US" w:eastAsia="zh-CN" w:bidi="ar"/>
              </w:rPr>
              <w:t>0.5</w:t>
            </w:r>
            <w:r>
              <w:rPr>
                <w:rFonts w:hint="eastAsia" w:ascii="宋体" w:hAnsi="宋体" w:eastAsia="宋体" w:cs="宋体"/>
                <w:color w:val="auto"/>
                <w:sz w:val="21"/>
                <w:szCs w:val="21"/>
                <w:highlight w:val="none"/>
                <w:lang w:val="en-US" w:eastAsia="zh-CN" w:bidi="ar"/>
              </w:rPr>
              <w:t>分，有中级导游证的每人得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分,有高级导游证的每个得</w:t>
            </w:r>
            <w:r>
              <w:rPr>
                <w:rFonts w:hint="eastAsia" w:ascii="宋体" w:hAnsi="宋体" w:cs="宋体"/>
                <w:color w:val="auto"/>
                <w:sz w:val="21"/>
                <w:szCs w:val="21"/>
                <w:highlight w:val="none"/>
                <w:lang w:val="en-US" w:eastAsia="zh-CN" w:bidi="ar"/>
              </w:rPr>
              <w:t>2</w:t>
            </w:r>
            <w:r>
              <w:rPr>
                <w:rFonts w:hint="eastAsia" w:ascii="宋体" w:hAnsi="宋体" w:eastAsia="宋体" w:cs="宋体"/>
                <w:color w:val="auto"/>
                <w:sz w:val="21"/>
                <w:szCs w:val="21"/>
                <w:highlight w:val="none"/>
                <w:lang w:val="en-US" w:eastAsia="zh-CN" w:bidi="ar"/>
              </w:rPr>
              <w:t>分，最高得</w:t>
            </w:r>
            <w:r>
              <w:rPr>
                <w:rFonts w:hint="eastAsia" w:ascii="宋体" w:hAnsi="宋体" w:cs="宋体"/>
                <w:color w:val="auto"/>
                <w:sz w:val="21"/>
                <w:szCs w:val="21"/>
                <w:highlight w:val="none"/>
                <w:lang w:val="en-US" w:eastAsia="zh-CN" w:bidi="ar"/>
              </w:rPr>
              <w:t>5</w:t>
            </w:r>
            <w:r>
              <w:rPr>
                <w:rFonts w:hint="eastAsia" w:ascii="宋体" w:hAnsi="宋体" w:eastAsia="宋体" w:cs="宋体"/>
                <w:color w:val="auto"/>
                <w:sz w:val="21"/>
                <w:szCs w:val="21"/>
                <w:highlight w:val="none"/>
                <w:lang w:val="en-US" w:eastAsia="zh-CN" w:bidi="ar"/>
              </w:rPr>
              <w:t>分。</w:t>
            </w:r>
          </w:p>
          <w:p w14:paraId="4D3304EE">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提供具有导游证资格人员的证书</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扫描件及</w:t>
            </w:r>
            <w:r>
              <w:rPr>
                <w:rFonts w:hint="eastAsia" w:ascii="宋体" w:hAnsi="宋体" w:cs="宋体"/>
                <w:b/>
                <w:bCs/>
                <w:color w:val="auto"/>
                <w:sz w:val="21"/>
                <w:szCs w:val="21"/>
                <w:highlight w:val="none"/>
                <w:lang w:val="en-US" w:eastAsia="zh-CN" w:bidi="ar"/>
              </w:rPr>
              <w:t>由投标人为其缴纳</w:t>
            </w:r>
            <w:r>
              <w:rPr>
                <w:rFonts w:hint="eastAsia" w:ascii="宋体" w:hAnsi="宋体" w:eastAsia="宋体" w:cs="宋体"/>
                <w:b/>
                <w:bCs/>
                <w:color w:val="auto"/>
                <w:sz w:val="21"/>
                <w:szCs w:val="21"/>
                <w:highlight w:val="none"/>
                <w:lang w:val="en-US" w:eastAsia="zh-CN" w:bidi="ar"/>
              </w:rPr>
              <w:t>的社保证明（近</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个月）</w:t>
            </w:r>
            <w:r>
              <w:rPr>
                <w:rFonts w:hint="eastAsia" w:ascii="宋体" w:hAnsi="宋体" w:cs="宋体"/>
                <w:b/>
                <w:bCs/>
                <w:color w:val="auto"/>
                <w:sz w:val="21"/>
                <w:szCs w:val="21"/>
                <w:highlight w:val="none"/>
                <w:lang w:val="en-US" w:eastAsia="zh-CN" w:bidi="ar"/>
              </w:rPr>
              <w:t>复印件或</w:t>
            </w:r>
            <w:r>
              <w:rPr>
                <w:rFonts w:hint="eastAsia" w:ascii="宋体" w:hAnsi="宋体" w:eastAsia="宋体" w:cs="宋体"/>
                <w:b/>
                <w:bCs/>
                <w:color w:val="auto"/>
                <w:sz w:val="21"/>
                <w:szCs w:val="21"/>
                <w:highlight w:val="none"/>
                <w:lang w:val="en-US" w:eastAsia="zh-CN" w:bidi="ar"/>
              </w:rPr>
              <w:t>扫描件并加盖公章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不得分</w:t>
            </w:r>
            <w:r>
              <w:rPr>
                <w:rFonts w:hint="eastAsia" w:ascii="宋体" w:hAnsi="宋体" w:cs="宋体"/>
                <w:b/>
                <w:bCs/>
                <w:color w:val="auto"/>
                <w:sz w:val="21"/>
                <w:szCs w:val="21"/>
                <w:highlight w:val="none"/>
                <w:lang w:val="en-US" w:eastAsia="zh-CN" w:bidi="ar"/>
              </w:rPr>
              <w:t>。</w:t>
            </w:r>
          </w:p>
        </w:tc>
        <w:tc>
          <w:tcPr>
            <w:tcW w:w="990" w:type="dxa"/>
            <w:tcBorders>
              <w:top w:val="single" w:color="auto" w:sz="4" w:space="0"/>
              <w:left w:val="single" w:color="auto" w:sz="4" w:space="0"/>
              <w:right w:val="single" w:color="auto" w:sz="4" w:space="0"/>
            </w:tcBorders>
            <w:noWrap w:val="0"/>
            <w:vAlign w:val="center"/>
          </w:tcPr>
          <w:p w14:paraId="0DD74F0A">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0-5分</w:t>
            </w:r>
          </w:p>
        </w:tc>
      </w:tr>
      <w:tr w14:paraId="4B06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0BA0C41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62" w:type="dxa"/>
            <w:vMerge w:val="restart"/>
            <w:tcBorders>
              <w:top w:val="single" w:color="auto" w:sz="4" w:space="0"/>
              <w:left w:val="single" w:color="auto" w:sz="4" w:space="0"/>
              <w:right w:val="single" w:color="auto" w:sz="4" w:space="0"/>
            </w:tcBorders>
            <w:noWrap w:val="0"/>
            <w:vAlign w:val="center"/>
          </w:tcPr>
          <w:p w14:paraId="1DABA547">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保险情况</w:t>
            </w:r>
          </w:p>
        </w:tc>
        <w:tc>
          <w:tcPr>
            <w:tcW w:w="6320" w:type="dxa"/>
            <w:gridSpan w:val="2"/>
            <w:tcBorders>
              <w:top w:val="single" w:color="auto" w:sz="4" w:space="0"/>
              <w:left w:val="single" w:color="auto" w:sz="4" w:space="0"/>
              <w:right w:val="single" w:color="auto" w:sz="4" w:space="0"/>
            </w:tcBorders>
            <w:noWrap w:val="0"/>
            <w:vAlign w:val="center"/>
          </w:tcPr>
          <w:p w14:paraId="71799A3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旅行社责任险：400万（含）-1000万（不含）的得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分；1000万及以上的得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分。</w:t>
            </w:r>
          </w:p>
          <w:p w14:paraId="6A7C2EBA">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cs="宋体"/>
                <w:b/>
                <w:bCs/>
                <w:color w:val="auto"/>
                <w:sz w:val="21"/>
                <w:szCs w:val="21"/>
                <w:highlight w:val="none"/>
                <w:lang w:val="en-US" w:eastAsia="zh-CN"/>
              </w:rPr>
              <w:t>投标文件中提供有效保单材料复印件或扫描件并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3D45272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0-3分</w:t>
            </w:r>
          </w:p>
        </w:tc>
      </w:tr>
      <w:tr w14:paraId="6EEC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1ABA17C9">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62" w:type="dxa"/>
            <w:vMerge w:val="continue"/>
            <w:tcBorders>
              <w:left w:val="single" w:color="auto" w:sz="4" w:space="0"/>
              <w:right w:val="single" w:color="auto" w:sz="4" w:space="0"/>
            </w:tcBorders>
            <w:noWrap w:val="0"/>
            <w:vAlign w:val="center"/>
          </w:tcPr>
          <w:p w14:paraId="72161B3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6320" w:type="dxa"/>
            <w:gridSpan w:val="2"/>
            <w:tcBorders>
              <w:top w:val="single" w:color="auto" w:sz="4" w:space="0"/>
              <w:left w:val="single" w:color="auto" w:sz="4" w:space="0"/>
              <w:right w:val="single" w:color="auto" w:sz="4" w:space="0"/>
            </w:tcBorders>
            <w:noWrap w:val="0"/>
            <w:vAlign w:val="center"/>
          </w:tcPr>
          <w:p w14:paraId="26385B8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highlight w:val="none"/>
                <w:lang w:val="en-US" w:eastAsia="zh-CN"/>
              </w:rPr>
              <w:t>意外保险额</w:t>
            </w:r>
            <w:r>
              <w:rPr>
                <w:rFonts w:hint="eastAsia" w:ascii="宋体" w:hAnsi="宋体" w:cs="宋体"/>
                <w:color w:val="auto"/>
                <w:sz w:val="21"/>
                <w:szCs w:val="21"/>
                <w:highlight w:val="none"/>
                <w:lang w:val="en-US" w:eastAsia="zh-CN" w:bidi="ar"/>
              </w:rPr>
              <w:t>（职工疗休养）</w:t>
            </w:r>
            <w:r>
              <w:rPr>
                <w:rFonts w:hint="eastAsia" w:ascii="宋体" w:hAnsi="宋体" w:eastAsia="宋体" w:cs="宋体"/>
                <w:color w:val="auto"/>
                <w:sz w:val="21"/>
                <w:szCs w:val="21"/>
                <w:highlight w:val="none"/>
                <w:lang w:val="en-US" w:eastAsia="zh-CN" w:bidi="ar"/>
              </w:rPr>
              <w:t>：投标人需为游客购买人身意外险</w:t>
            </w:r>
            <w:r>
              <w:rPr>
                <w:rFonts w:hint="eastAsia" w:ascii="宋体" w:hAnsi="宋体" w:cs="宋体"/>
                <w:color w:val="auto"/>
                <w:sz w:val="21"/>
                <w:szCs w:val="21"/>
                <w:highlight w:val="none"/>
                <w:lang w:val="en-US" w:eastAsia="zh-CN" w:bidi="ar"/>
              </w:rPr>
              <w:t>，</w:t>
            </w:r>
            <w:r>
              <w:rPr>
                <w:rFonts w:hint="eastAsia" w:ascii="宋体" w:hAnsi="宋体" w:eastAsia="宋体" w:cs="宋体"/>
                <w:color w:val="auto"/>
                <w:sz w:val="21"/>
                <w:szCs w:val="21"/>
                <w:highlight w:val="none"/>
                <w:lang w:val="en-US" w:eastAsia="zh-CN" w:bidi="ar"/>
              </w:rPr>
              <w:t>每人100（不含）-150万的（不含），得1分；每人150万及以上的，得2分。</w:t>
            </w:r>
          </w:p>
          <w:p w14:paraId="0B1E92E2">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提供承诺函</w:t>
            </w:r>
            <w:r>
              <w:rPr>
                <w:rFonts w:hint="eastAsia" w:ascii="宋体" w:hAnsi="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加盖公章</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不提供不得分。</w:t>
            </w:r>
          </w:p>
        </w:tc>
        <w:tc>
          <w:tcPr>
            <w:tcW w:w="990" w:type="dxa"/>
            <w:tcBorders>
              <w:top w:val="single" w:color="auto" w:sz="4" w:space="0"/>
              <w:left w:val="single" w:color="auto" w:sz="4" w:space="0"/>
              <w:right w:val="single" w:color="auto" w:sz="4" w:space="0"/>
            </w:tcBorders>
            <w:noWrap w:val="0"/>
            <w:vAlign w:val="center"/>
          </w:tcPr>
          <w:p w14:paraId="02F80EB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0-2分</w:t>
            </w:r>
          </w:p>
        </w:tc>
      </w:tr>
      <w:tr w14:paraId="2756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59024BCB">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7</w:t>
            </w:r>
          </w:p>
        </w:tc>
        <w:tc>
          <w:tcPr>
            <w:tcW w:w="1362" w:type="dxa"/>
            <w:vMerge w:val="restart"/>
            <w:tcBorders>
              <w:top w:val="single" w:color="auto" w:sz="4" w:space="0"/>
              <w:left w:val="single" w:color="auto" w:sz="4" w:space="0"/>
              <w:right w:val="single" w:color="auto" w:sz="4" w:space="0"/>
            </w:tcBorders>
            <w:noWrap w:val="0"/>
            <w:vAlign w:val="center"/>
          </w:tcPr>
          <w:p w14:paraId="0C26059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r>
              <w:rPr>
                <w:rFonts w:hint="default" w:ascii="宋体" w:hAnsi="宋体" w:cs="宋体"/>
                <w:color w:val="auto"/>
                <w:kern w:val="0"/>
                <w:sz w:val="21"/>
                <w:szCs w:val="21"/>
                <w:highlight w:val="none"/>
                <w:lang w:val="en-US" w:eastAsia="zh-CN"/>
              </w:rPr>
              <w:t>疗休养线路细化方案（根据投标人提供的疗休养线路</w:t>
            </w: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规划行程安排、住宿、餐饮标准等情况进行评审；线路必须根据服务清单及要求进行编制）</w:t>
            </w:r>
          </w:p>
          <w:p w14:paraId="3CB21042">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726225AF">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1.线路安排</w:t>
            </w:r>
          </w:p>
        </w:tc>
        <w:tc>
          <w:tcPr>
            <w:tcW w:w="4996" w:type="dxa"/>
            <w:tcBorders>
              <w:top w:val="single" w:color="auto" w:sz="4" w:space="0"/>
              <w:left w:val="single" w:color="auto" w:sz="4" w:space="0"/>
              <w:right w:val="single" w:color="auto" w:sz="4" w:space="0"/>
            </w:tcBorders>
            <w:noWrap w:val="0"/>
            <w:vAlign w:val="center"/>
          </w:tcPr>
          <w:p w14:paraId="771F3FC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zh-CN" w:eastAsia="zh-CN" w:bidi="ar"/>
              </w:rPr>
              <w:t>根据投标人</w:t>
            </w:r>
            <w:r>
              <w:rPr>
                <w:rFonts w:hint="eastAsia" w:ascii="宋体" w:hAnsi="宋体" w:eastAsia="宋体" w:cs="宋体"/>
                <w:color w:val="auto"/>
                <w:sz w:val="21"/>
                <w:szCs w:val="21"/>
                <w:highlight w:val="none"/>
                <w:lang w:val="en-US" w:eastAsia="zh-CN" w:bidi="ar"/>
              </w:rPr>
              <w:t>提供的①疗休养内容安排</w:t>
            </w:r>
            <w:r>
              <w:rPr>
                <w:rFonts w:hint="eastAsia" w:ascii="宋体" w:hAnsi="宋体" w:cs="宋体"/>
                <w:color w:val="auto"/>
                <w:sz w:val="21"/>
                <w:szCs w:val="21"/>
                <w:highlight w:val="none"/>
                <w:lang w:val="en-US" w:eastAsia="zh-CN" w:bidi="ar"/>
              </w:rPr>
              <w:t>，包含主题策划、时间安排、活动安排</w:t>
            </w:r>
            <w:r>
              <w:rPr>
                <w:rFonts w:hint="eastAsia" w:ascii="宋体" w:hAnsi="宋体" w:cs="宋体"/>
                <w:bCs/>
                <w:color w:val="auto"/>
                <w:sz w:val="21"/>
                <w:szCs w:val="21"/>
                <w:highlight w:val="none"/>
                <w:lang w:val="en-US" w:eastAsia="zh-CN"/>
              </w:rPr>
              <w:t>（分值：0/1/2/3/4）</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w:t>
            </w:r>
            <w:r>
              <w:rPr>
                <w:rFonts w:hint="eastAsia" w:ascii="宋体" w:hAnsi="宋体" w:eastAsia="宋体" w:cs="宋体"/>
                <w:color w:val="auto"/>
                <w:sz w:val="21"/>
                <w:szCs w:val="21"/>
                <w:highlight w:val="none"/>
                <w:lang w:val="en-US" w:eastAsia="zh-CN" w:bidi="ar"/>
              </w:rPr>
              <w:t>路线的合理性</w:t>
            </w:r>
            <w:r>
              <w:rPr>
                <w:rFonts w:hint="eastAsia" w:ascii="宋体" w:hAnsi="宋体" w:cs="宋体"/>
                <w:bCs/>
                <w:color w:val="auto"/>
                <w:sz w:val="21"/>
                <w:szCs w:val="21"/>
                <w:highlight w:val="none"/>
                <w:lang w:val="en-US" w:eastAsia="zh-CN"/>
              </w:rPr>
              <w:t>（分值：0/1/2）</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景</w:t>
            </w:r>
            <w:r>
              <w:rPr>
                <w:rFonts w:hint="eastAsia" w:ascii="宋体" w:hAnsi="宋体" w:cs="宋体"/>
                <w:color w:val="auto"/>
                <w:sz w:val="21"/>
                <w:szCs w:val="21"/>
                <w:highlight w:val="none"/>
                <w:lang w:val="en-US" w:eastAsia="zh-CN" w:bidi="ar"/>
              </w:rPr>
              <w:t>点</w:t>
            </w:r>
            <w:r>
              <w:rPr>
                <w:rFonts w:hint="eastAsia" w:ascii="宋体" w:hAnsi="宋体" w:eastAsia="宋体" w:cs="宋体"/>
                <w:color w:val="auto"/>
                <w:sz w:val="21"/>
                <w:szCs w:val="21"/>
                <w:highlight w:val="none"/>
                <w:lang w:val="en-US" w:eastAsia="zh-CN" w:bidi="ar"/>
              </w:rPr>
              <w:t>的</w:t>
            </w:r>
            <w:r>
              <w:rPr>
                <w:rFonts w:hint="eastAsia" w:ascii="宋体" w:hAnsi="宋体" w:cs="宋体"/>
                <w:color w:val="auto"/>
                <w:sz w:val="21"/>
                <w:szCs w:val="21"/>
                <w:highlight w:val="none"/>
                <w:lang w:val="en-US" w:eastAsia="zh-CN" w:bidi="ar"/>
              </w:rPr>
              <w:t>吸引力及</w:t>
            </w:r>
            <w:r>
              <w:rPr>
                <w:rFonts w:hint="eastAsia" w:ascii="宋体" w:hAnsi="宋体" w:eastAsia="宋体" w:cs="宋体"/>
                <w:color w:val="auto"/>
                <w:sz w:val="21"/>
                <w:szCs w:val="21"/>
                <w:highlight w:val="none"/>
                <w:lang w:val="en-US" w:eastAsia="zh-CN" w:bidi="ar"/>
              </w:rPr>
              <w:t>价值</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w:t>
            </w:r>
            <w:r>
              <w:rPr>
                <w:rFonts w:hint="eastAsia" w:ascii="宋体" w:hAnsi="宋体" w:cs="宋体"/>
                <w:color w:val="auto"/>
                <w:sz w:val="21"/>
                <w:szCs w:val="21"/>
                <w:highlight w:val="none"/>
                <w:lang w:val="en-US" w:eastAsia="zh-CN" w:bidi="ar"/>
              </w:rPr>
              <w:t>的</w:t>
            </w:r>
            <w:r>
              <w:rPr>
                <w:rFonts w:hint="eastAsia" w:ascii="宋体" w:hAnsi="宋体" w:eastAsia="宋体" w:cs="宋体"/>
                <w:color w:val="auto"/>
                <w:sz w:val="21"/>
                <w:szCs w:val="21"/>
                <w:highlight w:val="none"/>
                <w:lang w:val="en-US" w:eastAsia="zh-CN" w:bidi="ar"/>
              </w:rPr>
              <w:t>设计安排合理、服务内容全面、创意设计</w:t>
            </w:r>
            <w:r>
              <w:rPr>
                <w:rFonts w:hint="eastAsia" w:ascii="宋体" w:hAnsi="宋体" w:cs="宋体"/>
                <w:color w:val="auto"/>
                <w:sz w:val="21"/>
                <w:szCs w:val="21"/>
                <w:highlight w:val="none"/>
                <w:lang w:val="en-US" w:eastAsia="zh-CN" w:bidi="ar"/>
              </w:rPr>
              <w:t>新颖，</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C74BBDE">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356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365AECE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8</w:t>
            </w:r>
          </w:p>
        </w:tc>
        <w:tc>
          <w:tcPr>
            <w:tcW w:w="1362" w:type="dxa"/>
            <w:vMerge w:val="continue"/>
            <w:tcBorders>
              <w:left w:val="single" w:color="auto" w:sz="4" w:space="0"/>
              <w:right w:val="single" w:color="auto" w:sz="4" w:space="0"/>
            </w:tcBorders>
            <w:noWrap w:val="0"/>
            <w:vAlign w:val="center"/>
          </w:tcPr>
          <w:p w14:paraId="5BBB61EB">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1"/>
                <w:szCs w:val="21"/>
                <w:highlight w:val="none"/>
                <w:lang w:val="en-US" w:eastAsia="zh-CN"/>
              </w:rPr>
            </w:pPr>
          </w:p>
        </w:tc>
        <w:tc>
          <w:tcPr>
            <w:tcW w:w="1324" w:type="dxa"/>
            <w:tcBorders>
              <w:top w:val="single" w:color="auto" w:sz="4" w:space="0"/>
              <w:left w:val="single" w:color="auto" w:sz="4" w:space="0"/>
              <w:right w:val="single" w:color="auto" w:sz="4" w:space="0"/>
            </w:tcBorders>
            <w:noWrap w:val="0"/>
            <w:vAlign w:val="center"/>
          </w:tcPr>
          <w:p w14:paraId="4B5F576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2.住宿安排</w:t>
            </w:r>
          </w:p>
        </w:tc>
        <w:tc>
          <w:tcPr>
            <w:tcW w:w="4996" w:type="dxa"/>
            <w:tcBorders>
              <w:top w:val="single" w:color="auto" w:sz="4" w:space="0"/>
              <w:left w:val="single" w:color="auto" w:sz="4" w:space="0"/>
              <w:right w:val="single" w:color="auto" w:sz="4" w:space="0"/>
            </w:tcBorders>
            <w:noWrap w:val="0"/>
            <w:vAlign w:val="center"/>
          </w:tcPr>
          <w:p w14:paraId="258984F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lang w:val="en-US" w:eastAsia="zh-CN"/>
              </w:rPr>
            </w:pPr>
            <w:r>
              <w:rPr>
                <w:rFonts w:hint="eastAsia" w:ascii="宋体" w:hAnsi="宋体" w:eastAsia="宋体" w:cs="宋体"/>
                <w:color w:val="auto"/>
                <w:sz w:val="21"/>
                <w:szCs w:val="21"/>
                <w:highlight w:val="none"/>
                <w:lang w:val="zh-CN" w:eastAsia="zh-CN" w:bidi="ar"/>
              </w:rPr>
              <w:t>根据投标人所列酒店（包括备选酒店）</w:t>
            </w:r>
            <w:r>
              <w:rPr>
                <w:rFonts w:hint="eastAsia" w:ascii="宋体" w:hAnsi="宋体" w:cs="宋体"/>
                <w:color w:val="auto"/>
                <w:sz w:val="21"/>
                <w:szCs w:val="21"/>
                <w:highlight w:val="none"/>
                <w:lang w:val="en-US" w:eastAsia="zh-CN" w:bidi="ar"/>
              </w:rPr>
              <w:t>①</w:t>
            </w:r>
            <w:r>
              <w:rPr>
                <w:rFonts w:hint="eastAsia" w:ascii="宋体" w:hAnsi="宋体"/>
                <w:highlight w:val="none"/>
              </w:rPr>
              <w:t>住宿环境</w:t>
            </w:r>
            <w:r>
              <w:rPr>
                <w:rFonts w:hint="eastAsia" w:ascii="宋体" w:hAnsi="宋体" w:eastAsia="宋体" w:cs="宋体"/>
                <w:color w:val="auto"/>
                <w:sz w:val="21"/>
                <w:szCs w:val="21"/>
                <w:highlight w:val="none"/>
                <w:lang w:val="zh-CN" w:eastAsia="zh-CN" w:bidi="ar"/>
              </w:rPr>
              <w:t>舒适度</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②</w:t>
            </w:r>
            <w:r>
              <w:rPr>
                <w:rFonts w:hint="eastAsia" w:ascii="宋体" w:hAnsi="宋体"/>
                <w:highlight w:val="none"/>
              </w:rPr>
              <w:t>周边配套设施齐全</w:t>
            </w:r>
            <w:r>
              <w:rPr>
                <w:rFonts w:hint="eastAsia" w:ascii="宋体" w:hAnsi="宋体"/>
                <w:highlight w:val="none"/>
                <w:lang w:val="en-US" w:eastAsia="zh-CN"/>
              </w:rPr>
              <w:t>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w:t>
            </w:r>
            <w:r>
              <w:rPr>
                <w:rFonts w:hint="eastAsia" w:ascii="宋体" w:hAnsi="宋体" w:cs="宋体"/>
                <w:color w:val="auto"/>
                <w:sz w:val="21"/>
                <w:szCs w:val="21"/>
                <w:highlight w:val="none"/>
                <w:lang w:val="en-US" w:eastAsia="zh-CN" w:bidi="ar"/>
              </w:rPr>
              <w:t>③</w:t>
            </w:r>
            <w:r>
              <w:rPr>
                <w:rFonts w:hint="eastAsia" w:ascii="宋体" w:hAnsi="宋体"/>
                <w:highlight w:val="none"/>
              </w:rPr>
              <w:t>地理位置</w:t>
            </w:r>
            <w:r>
              <w:rPr>
                <w:rFonts w:hint="eastAsia" w:ascii="宋体" w:hAnsi="宋体"/>
                <w:highlight w:val="none"/>
                <w:lang w:val="en-US" w:eastAsia="zh-CN"/>
              </w:rPr>
              <w:t>便利性</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等内容安排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r>
              <w:rPr>
                <w:rFonts w:hint="eastAsia" w:ascii="宋体" w:hAnsi="宋体" w:eastAsia="宋体" w:cs="宋体"/>
                <w:b/>
                <w:bCs/>
                <w:color w:val="auto"/>
                <w:sz w:val="21"/>
                <w:szCs w:val="21"/>
                <w:highlight w:val="none"/>
                <w:lang w:val="zh-CN" w:eastAsia="zh-CN" w:bidi="ar"/>
              </w:rPr>
              <w:t>提供酒店相关介绍或说明。</w:t>
            </w:r>
          </w:p>
        </w:tc>
        <w:tc>
          <w:tcPr>
            <w:tcW w:w="990" w:type="dxa"/>
            <w:tcBorders>
              <w:top w:val="single" w:color="auto" w:sz="4" w:space="0"/>
              <w:left w:val="single" w:color="auto" w:sz="4" w:space="0"/>
              <w:right w:val="single" w:color="auto" w:sz="4" w:space="0"/>
            </w:tcBorders>
            <w:noWrap w:val="0"/>
            <w:vAlign w:val="center"/>
          </w:tcPr>
          <w:p w14:paraId="7C44077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0-9分</w:t>
            </w:r>
          </w:p>
        </w:tc>
      </w:tr>
      <w:tr w14:paraId="5B5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A47D53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9</w:t>
            </w:r>
          </w:p>
        </w:tc>
        <w:tc>
          <w:tcPr>
            <w:tcW w:w="1362" w:type="dxa"/>
            <w:vMerge w:val="continue"/>
            <w:tcBorders>
              <w:left w:val="single" w:color="auto" w:sz="4" w:space="0"/>
              <w:right w:val="single" w:color="auto" w:sz="4" w:space="0"/>
            </w:tcBorders>
            <w:noWrap w:val="0"/>
            <w:vAlign w:val="center"/>
          </w:tcPr>
          <w:p w14:paraId="49D8664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324" w:type="dxa"/>
            <w:tcBorders>
              <w:top w:val="single" w:color="auto" w:sz="4" w:space="0"/>
              <w:left w:val="single" w:color="auto" w:sz="4" w:space="0"/>
              <w:right w:val="single" w:color="auto" w:sz="4" w:space="0"/>
            </w:tcBorders>
            <w:noWrap w:val="0"/>
            <w:vAlign w:val="center"/>
          </w:tcPr>
          <w:p w14:paraId="739A963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3.餐饮安排</w:t>
            </w:r>
          </w:p>
        </w:tc>
        <w:tc>
          <w:tcPr>
            <w:tcW w:w="4996" w:type="dxa"/>
            <w:tcBorders>
              <w:top w:val="single" w:color="auto" w:sz="4" w:space="0"/>
              <w:left w:val="single" w:color="auto" w:sz="4" w:space="0"/>
              <w:right w:val="single" w:color="auto" w:sz="4" w:space="0"/>
            </w:tcBorders>
            <w:noWrap w:val="0"/>
            <w:vAlign w:val="center"/>
          </w:tcPr>
          <w:p w14:paraId="19E17D1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根据投标人提供的</w:t>
            </w:r>
            <w:r>
              <w:rPr>
                <w:rFonts w:hint="eastAsia" w:ascii="宋体" w:hAnsi="宋体" w:cs="宋体"/>
                <w:color w:val="auto"/>
                <w:sz w:val="21"/>
                <w:szCs w:val="21"/>
                <w:highlight w:val="none"/>
                <w:lang w:val="en-US" w:eastAsia="zh-CN" w:bidi="ar"/>
              </w:rPr>
              <w:t>①</w:t>
            </w:r>
            <w:r>
              <w:rPr>
                <w:rFonts w:hint="eastAsia" w:ascii="宋体" w:hAnsi="宋体" w:eastAsia="宋体" w:cs="宋体"/>
                <w:color w:val="auto"/>
                <w:sz w:val="21"/>
                <w:szCs w:val="21"/>
                <w:highlight w:val="none"/>
                <w:lang w:val="en-US" w:eastAsia="zh-CN" w:bidi="ar"/>
              </w:rPr>
              <w:t>就餐时间</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②就餐</w:t>
            </w:r>
            <w:r>
              <w:rPr>
                <w:rFonts w:hint="eastAsia" w:ascii="宋体" w:hAnsi="宋体" w:eastAsia="宋体" w:cs="宋体"/>
                <w:color w:val="auto"/>
                <w:sz w:val="21"/>
                <w:szCs w:val="21"/>
                <w:highlight w:val="none"/>
                <w:lang w:val="en-US" w:eastAsia="zh-CN" w:bidi="ar"/>
              </w:rPr>
              <w:t>环境</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en-US" w:eastAsia="zh-CN" w:bidi="ar"/>
              </w:rPr>
              <w:t>、</w:t>
            </w:r>
            <w:r>
              <w:rPr>
                <w:rFonts w:hint="eastAsia" w:ascii="宋体" w:hAnsi="宋体" w:cs="宋体"/>
                <w:color w:val="auto"/>
                <w:sz w:val="21"/>
                <w:szCs w:val="21"/>
                <w:highlight w:val="none"/>
                <w:lang w:val="en-US" w:eastAsia="zh-CN" w:bidi="ar"/>
              </w:rPr>
              <w:t>③</w:t>
            </w:r>
            <w:r>
              <w:rPr>
                <w:rFonts w:hint="eastAsia" w:ascii="宋体" w:hAnsi="宋体" w:eastAsia="宋体" w:cs="宋体"/>
                <w:color w:val="auto"/>
                <w:sz w:val="21"/>
                <w:szCs w:val="21"/>
                <w:highlight w:val="none"/>
                <w:lang w:val="en-US" w:eastAsia="zh-CN" w:bidi="ar"/>
              </w:rPr>
              <w:t>菜品数量</w:t>
            </w:r>
            <w:r>
              <w:rPr>
                <w:rFonts w:hint="eastAsia" w:ascii="宋体" w:hAnsi="宋体" w:cs="宋体"/>
                <w:color w:val="auto"/>
                <w:sz w:val="21"/>
                <w:szCs w:val="21"/>
                <w:highlight w:val="none"/>
                <w:lang w:val="en-US" w:eastAsia="zh-CN" w:bidi="ar"/>
              </w:rPr>
              <w:t>及</w:t>
            </w:r>
            <w:r>
              <w:rPr>
                <w:rFonts w:hint="eastAsia" w:ascii="宋体" w:hAnsi="宋体" w:eastAsia="宋体" w:cs="宋体"/>
                <w:color w:val="auto"/>
                <w:sz w:val="21"/>
                <w:szCs w:val="21"/>
                <w:highlight w:val="none"/>
                <w:lang w:val="zh-CN" w:eastAsia="zh-CN" w:bidi="ar"/>
              </w:rPr>
              <w:t>餐饮荤素搭配情况</w:t>
            </w:r>
            <w:r>
              <w:rPr>
                <w:rFonts w:hint="eastAsia" w:ascii="宋体" w:hAnsi="宋体" w:cs="宋体"/>
                <w:bCs/>
                <w:color w:val="auto"/>
                <w:sz w:val="21"/>
                <w:szCs w:val="21"/>
                <w:highlight w:val="none"/>
                <w:lang w:val="en-US" w:eastAsia="zh-CN"/>
              </w:rPr>
              <w:t>（分值：0/1/2/3）</w:t>
            </w:r>
            <w:r>
              <w:rPr>
                <w:rFonts w:hint="eastAsia" w:ascii="宋体" w:hAnsi="宋体" w:eastAsia="宋体" w:cs="宋体"/>
                <w:color w:val="auto"/>
                <w:sz w:val="21"/>
                <w:szCs w:val="21"/>
                <w:highlight w:val="none"/>
                <w:lang w:val="zh-CN" w:eastAsia="zh-CN" w:bidi="ar"/>
              </w:rPr>
              <w:t>等</w:t>
            </w:r>
            <w:r>
              <w:rPr>
                <w:rFonts w:hint="eastAsia" w:ascii="宋体" w:hAnsi="宋体" w:eastAsia="宋体" w:cs="宋体"/>
                <w:color w:val="auto"/>
                <w:sz w:val="21"/>
                <w:szCs w:val="21"/>
                <w:highlight w:val="none"/>
                <w:lang w:val="en-US" w:eastAsia="zh-CN" w:bidi="ar"/>
              </w:rPr>
              <w:t>安排</w:t>
            </w:r>
            <w:r>
              <w:rPr>
                <w:rFonts w:hint="default" w:ascii="宋体" w:hAnsi="宋体" w:cs="宋体"/>
                <w:b w:val="0"/>
                <w:bCs w:val="0"/>
                <w:color w:val="auto"/>
                <w:sz w:val="21"/>
                <w:szCs w:val="21"/>
                <w:highlight w:val="none"/>
                <w:lang w:val="en-US" w:eastAsia="zh-CN"/>
              </w:rPr>
              <w:t>是否具有</w:t>
            </w:r>
            <w:r>
              <w:rPr>
                <w:rFonts w:hint="eastAsia" w:ascii="宋体" w:hAnsi="宋体" w:eastAsia="宋体" w:cs="宋体"/>
                <w:color w:val="auto"/>
                <w:sz w:val="21"/>
                <w:szCs w:val="21"/>
                <w:highlight w:val="none"/>
                <w:lang w:val="en-US" w:eastAsia="zh-CN" w:bidi="ar"/>
              </w:rPr>
              <w:t>合理性</w:t>
            </w:r>
            <w:r>
              <w:rPr>
                <w:rFonts w:hint="eastAsia" w:ascii="宋体" w:hAnsi="宋体" w:cs="宋体"/>
                <w:color w:val="auto"/>
                <w:sz w:val="21"/>
                <w:szCs w:val="21"/>
                <w:highlight w:val="none"/>
                <w:lang w:val="en-US" w:eastAsia="zh-CN" w:bidi="ar"/>
              </w:rPr>
              <w:t>，</w:t>
            </w:r>
            <w:r>
              <w:rPr>
                <w:rFonts w:hint="default" w:ascii="宋体" w:hAnsi="宋体" w:cs="宋体"/>
                <w:b w:val="0"/>
                <w:bCs w:val="0"/>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7FB0D1C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0-9分</w:t>
            </w:r>
          </w:p>
        </w:tc>
      </w:tr>
      <w:tr w14:paraId="01A1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23BA511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c>
          <w:tcPr>
            <w:tcW w:w="1362" w:type="dxa"/>
            <w:tcBorders>
              <w:left w:val="single" w:color="auto" w:sz="4" w:space="0"/>
              <w:right w:val="single" w:color="auto" w:sz="4" w:space="0"/>
            </w:tcBorders>
            <w:noWrap w:val="0"/>
            <w:vAlign w:val="center"/>
          </w:tcPr>
          <w:p w14:paraId="1E7CBAF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车辆配备</w:t>
            </w:r>
          </w:p>
        </w:tc>
        <w:tc>
          <w:tcPr>
            <w:tcW w:w="6320" w:type="dxa"/>
            <w:gridSpan w:val="2"/>
            <w:tcBorders>
              <w:top w:val="single" w:color="auto" w:sz="4" w:space="0"/>
              <w:left w:val="single" w:color="auto" w:sz="4" w:space="0"/>
              <w:right w:val="single" w:color="auto" w:sz="4" w:space="0"/>
            </w:tcBorders>
            <w:noWrap w:val="0"/>
            <w:vAlign w:val="center"/>
          </w:tcPr>
          <w:p w14:paraId="05CCF821">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①</w:t>
            </w:r>
            <w:r>
              <w:rPr>
                <w:rFonts w:hint="default" w:ascii="宋体" w:hAnsi="宋体" w:cs="宋体"/>
                <w:b w:val="0"/>
                <w:bCs w:val="0"/>
                <w:color w:val="auto"/>
                <w:sz w:val="21"/>
                <w:szCs w:val="21"/>
                <w:highlight w:val="none"/>
                <w:lang w:val="en-US" w:eastAsia="zh-CN"/>
              </w:rPr>
              <w:t>车辆已使用年限</w:t>
            </w:r>
            <w:r>
              <w:rPr>
                <w:rFonts w:hint="eastAsia" w:ascii="宋体" w:hAnsi="宋体" w:cs="宋体"/>
                <w:bCs/>
                <w:color w:val="auto"/>
                <w:sz w:val="21"/>
                <w:szCs w:val="21"/>
                <w:highlight w:val="none"/>
                <w:lang w:val="en-US" w:eastAsia="zh-CN"/>
              </w:rPr>
              <w:t>（分值：0/0.5/1）</w:t>
            </w:r>
            <w:r>
              <w:rPr>
                <w:rFonts w:hint="default" w:ascii="宋体" w:hAnsi="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default" w:ascii="宋体" w:hAnsi="宋体" w:cs="宋体"/>
                <w:b w:val="0"/>
                <w:bCs w:val="0"/>
                <w:color w:val="auto"/>
                <w:sz w:val="21"/>
                <w:szCs w:val="21"/>
                <w:highlight w:val="none"/>
                <w:lang w:val="en-US" w:eastAsia="zh-CN"/>
              </w:rPr>
              <w:t>车辆配置舒适性</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、③</w:t>
            </w:r>
            <w:r>
              <w:rPr>
                <w:rFonts w:hint="default" w:ascii="宋体" w:hAnsi="宋体" w:cs="宋体"/>
                <w:b w:val="0"/>
                <w:bCs w:val="0"/>
                <w:color w:val="auto"/>
                <w:sz w:val="21"/>
                <w:szCs w:val="21"/>
                <w:highlight w:val="none"/>
                <w:lang w:val="en-US" w:eastAsia="zh-CN"/>
              </w:rPr>
              <w:t>配备的司机驾龄</w:t>
            </w:r>
            <w:r>
              <w:rPr>
                <w:rFonts w:hint="eastAsia" w:ascii="宋体" w:hAnsi="宋体" w:cs="宋体"/>
                <w:bCs/>
                <w:color w:val="auto"/>
                <w:sz w:val="21"/>
                <w:szCs w:val="21"/>
                <w:highlight w:val="none"/>
                <w:lang w:val="en-US" w:eastAsia="zh-CN"/>
              </w:rPr>
              <w:t>（分值：0/1/2）</w:t>
            </w:r>
            <w:r>
              <w:rPr>
                <w:rFonts w:hint="default" w:ascii="宋体" w:hAnsi="宋体" w:cs="宋体"/>
                <w:b w:val="0"/>
                <w:bCs w:val="0"/>
                <w:color w:val="auto"/>
                <w:sz w:val="21"/>
                <w:szCs w:val="21"/>
                <w:highlight w:val="none"/>
                <w:lang w:val="en-US" w:eastAsia="zh-CN"/>
              </w:rPr>
              <w:t>等方面</w:t>
            </w:r>
            <w:r>
              <w:rPr>
                <w:rFonts w:hint="eastAsia" w:ascii="宋体" w:hAnsi="宋体" w:cs="宋体"/>
                <w:b w:val="0"/>
                <w:bCs w:val="0"/>
                <w:color w:val="auto"/>
                <w:sz w:val="21"/>
                <w:szCs w:val="21"/>
                <w:highlight w:val="none"/>
                <w:lang w:val="en-US" w:eastAsia="zh-CN"/>
              </w:rPr>
              <w:t>安排</w:t>
            </w:r>
            <w:r>
              <w:rPr>
                <w:rFonts w:hint="default" w:ascii="宋体" w:hAnsi="宋体" w:cs="宋体"/>
                <w:b w:val="0"/>
                <w:bCs w:val="0"/>
                <w:color w:val="auto"/>
                <w:sz w:val="21"/>
                <w:szCs w:val="21"/>
                <w:highlight w:val="none"/>
                <w:lang w:val="en-US" w:eastAsia="zh-CN"/>
              </w:rPr>
              <w:t>是否具有合理性，由评标委员会进行综合打分。</w:t>
            </w:r>
          </w:p>
        </w:tc>
        <w:tc>
          <w:tcPr>
            <w:tcW w:w="990" w:type="dxa"/>
            <w:tcBorders>
              <w:top w:val="single" w:color="auto" w:sz="4" w:space="0"/>
              <w:left w:val="single" w:color="auto" w:sz="4" w:space="0"/>
              <w:right w:val="single" w:color="auto" w:sz="4" w:space="0"/>
            </w:tcBorders>
            <w:noWrap w:val="0"/>
            <w:vAlign w:val="center"/>
          </w:tcPr>
          <w:p w14:paraId="27776F90">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185E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163C91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p>
        </w:tc>
        <w:tc>
          <w:tcPr>
            <w:tcW w:w="1362" w:type="dxa"/>
            <w:tcBorders>
              <w:left w:val="single" w:color="auto" w:sz="4" w:space="0"/>
              <w:right w:val="single" w:color="auto" w:sz="4" w:space="0"/>
            </w:tcBorders>
            <w:noWrap w:val="0"/>
            <w:vAlign w:val="center"/>
          </w:tcPr>
          <w:p w14:paraId="28AFCA6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highlight w:val="none"/>
                <w:lang w:val="en-US" w:eastAsia="zh-CN"/>
              </w:rPr>
            </w:pPr>
            <w:r>
              <w:rPr>
                <w:rFonts w:hint="default" w:ascii="宋体" w:hAnsi="宋体"/>
                <w:color w:val="auto"/>
                <w:highlight w:val="none"/>
                <w:lang w:val="en-US" w:eastAsia="zh-CN"/>
              </w:rPr>
              <w:t>公司管理制度</w:t>
            </w:r>
          </w:p>
        </w:tc>
        <w:tc>
          <w:tcPr>
            <w:tcW w:w="6320" w:type="dxa"/>
            <w:gridSpan w:val="2"/>
            <w:tcBorders>
              <w:top w:val="single" w:color="auto" w:sz="4" w:space="0"/>
              <w:left w:val="single" w:color="auto" w:sz="4" w:space="0"/>
              <w:right w:val="single" w:color="auto" w:sz="4" w:space="0"/>
            </w:tcBorders>
            <w:noWrap w:val="0"/>
            <w:vAlign w:val="center"/>
          </w:tcPr>
          <w:p w14:paraId="40BB46C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根据投标人是否建立健全</w:t>
            </w:r>
            <w:r>
              <w:rPr>
                <w:rFonts w:hint="eastAsia" w:ascii="宋体" w:hAnsi="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en-US" w:eastAsia="zh-CN"/>
              </w:rPr>
              <w:t>各项</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en-US" w:eastAsia="zh-CN"/>
              </w:rPr>
              <w:t>岗位管理制度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en-US" w:eastAsia="zh-CN"/>
              </w:rPr>
              <w:t>经营管理制度</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en-US" w:eastAsia="zh-CN"/>
              </w:rPr>
              <w:t>财务管理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④</w:t>
            </w:r>
            <w:r>
              <w:rPr>
                <w:rFonts w:hint="eastAsia" w:ascii="宋体" w:hAnsi="宋体" w:eastAsia="宋体" w:cs="宋体"/>
                <w:bCs/>
                <w:color w:val="auto"/>
                <w:sz w:val="21"/>
                <w:szCs w:val="21"/>
                <w:highlight w:val="none"/>
                <w:lang w:val="en-US" w:eastAsia="zh-CN"/>
              </w:rPr>
              <w:t>品牌管理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⑤</w:t>
            </w:r>
            <w:r>
              <w:rPr>
                <w:rFonts w:hint="eastAsia" w:ascii="宋体" w:hAnsi="宋体" w:eastAsia="宋体" w:cs="宋体"/>
                <w:bCs/>
                <w:color w:val="auto"/>
                <w:sz w:val="21"/>
                <w:szCs w:val="21"/>
                <w:highlight w:val="none"/>
                <w:lang w:val="en-US" w:eastAsia="zh-CN"/>
              </w:rPr>
              <w:t>星级评定管理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⑥</w:t>
            </w:r>
            <w:r>
              <w:rPr>
                <w:rFonts w:hint="eastAsia" w:ascii="宋体" w:hAnsi="宋体" w:eastAsia="宋体" w:cs="宋体"/>
                <w:bCs/>
                <w:color w:val="auto"/>
                <w:sz w:val="21"/>
                <w:szCs w:val="21"/>
                <w:highlight w:val="none"/>
                <w:lang w:val="en-US" w:eastAsia="zh-CN"/>
              </w:rPr>
              <w:t>形象管理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⑦</w:t>
            </w:r>
            <w:r>
              <w:rPr>
                <w:rFonts w:hint="eastAsia" w:ascii="宋体" w:hAnsi="宋体" w:eastAsia="宋体" w:cs="宋体"/>
                <w:bCs/>
                <w:color w:val="auto"/>
                <w:sz w:val="21"/>
                <w:szCs w:val="21"/>
                <w:highlight w:val="none"/>
                <w:lang w:val="en-US" w:eastAsia="zh-CN"/>
              </w:rPr>
              <w:t>投诉管理</w:t>
            </w:r>
            <w:r>
              <w:rPr>
                <w:rFonts w:hint="eastAsia" w:ascii="宋体" w:hAnsi="宋体" w:cs="宋体"/>
                <w:bCs/>
                <w:color w:val="auto"/>
                <w:sz w:val="21"/>
                <w:szCs w:val="21"/>
                <w:highlight w:val="none"/>
                <w:lang w:val="en-US" w:eastAsia="zh-CN"/>
              </w:rPr>
              <w:t>（分值：0/0.5/1）</w:t>
            </w:r>
            <w:r>
              <w:rPr>
                <w:rFonts w:hint="eastAsia" w:ascii="宋体" w:hAnsi="宋体" w:eastAsia="宋体" w:cs="宋体"/>
                <w:bCs/>
                <w:color w:val="auto"/>
                <w:sz w:val="21"/>
                <w:szCs w:val="21"/>
                <w:highlight w:val="none"/>
                <w:lang w:val="en-US" w:eastAsia="zh-CN"/>
              </w:rPr>
              <w:t>等情况</w:t>
            </w:r>
            <w:r>
              <w:rPr>
                <w:rFonts w:hint="eastAsia" w:ascii="宋体" w:hAnsi="宋体" w:cs="宋体"/>
                <w:bCs/>
                <w:color w:val="auto"/>
                <w:sz w:val="21"/>
                <w:szCs w:val="21"/>
                <w:highlight w:val="none"/>
                <w:lang w:val="en-US" w:eastAsia="zh-CN"/>
              </w:rPr>
              <w:t>的完整性、合理性、针对性</w:t>
            </w:r>
            <w:r>
              <w:rPr>
                <w:rFonts w:hint="eastAsia" w:ascii="宋体" w:hAnsi="宋体" w:eastAsia="宋体" w:cs="宋体"/>
                <w:bCs/>
                <w:color w:val="auto"/>
                <w:sz w:val="21"/>
                <w:szCs w:val="21"/>
                <w:highlight w:val="none"/>
                <w:lang w:val="en-US" w:eastAsia="zh-CN"/>
              </w:rPr>
              <w:t>由评标委员会进行综合打分。</w:t>
            </w:r>
          </w:p>
        </w:tc>
        <w:tc>
          <w:tcPr>
            <w:tcW w:w="990" w:type="dxa"/>
            <w:tcBorders>
              <w:top w:val="single" w:color="auto" w:sz="4" w:space="0"/>
              <w:left w:val="single" w:color="auto" w:sz="4" w:space="0"/>
              <w:right w:val="single" w:color="auto" w:sz="4" w:space="0"/>
            </w:tcBorders>
            <w:noWrap w:val="0"/>
            <w:vAlign w:val="center"/>
          </w:tcPr>
          <w:p w14:paraId="13D54718">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0-7分</w:t>
            </w:r>
          </w:p>
        </w:tc>
      </w:tr>
      <w:tr w14:paraId="4B2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5ED8549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1362" w:type="dxa"/>
            <w:tcBorders>
              <w:left w:val="single" w:color="auto" w:sz="4" w:space="0"/>
              <w:right w:val="single" w:color="auto" w:sz="4" w:space="0"/>
            </w:tcBorders>
            <w:noWrap w:val="0"/>
            <w:vAlign w:val="center"/>
          </w:tcPr>
          <w:p w14:paraId="4A2460C9">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安全及服务质量保证</w:t>
            </w:r>
          </w:p>
        </w:tc>
        <w:tc>
          <w:tcPr>
            <w:tcW w:w="6320" w:type="dxa"/>
            <w:gridSpan w:val="2"/>
            <w:tcBorders>
              <w:left w:val="single" w:color="auto" w:sz="4" w:space="0"/>
              <w:right w:val="single" w:color="auto" w:sz="4" w:space="0"/>
            </w:tcBorders>
            <w:noWrap w:val="0"/>
            <w:vAlign w:val="center"/>
          </w:tcPr>
          <w:p w14:paraId="0EE001D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eastAsia="zh-CN"/>
              </w:rPr>
              <w:t>根据</w:t>
            </w:r>
            <w:r>
              <w:rPr>
                <w:rFonts w:hint="eastAsia" w:ascii="宋体" w:hAnsi="宋体" w:cs="宋体"/>
                <w:bCs/>
                <w:color w:val="auto"/>
                <w:sz w:val="21"/>
                <w:szCs w:val="21"/>
                <w:highlight w:val="none"/>
                <w:lang w:val="en-US" w:eastAsia="zh-CN"/>
              </w:rPr>
              <w:t>①</w:t>
            </w:r>
            <w:r>
              <w:rPr>
                <w:rFonts w:hint="eastAsia" w:ascii="宋体" w:hAnsi="宋体" w:eastAsia="宋体" w:cs="宋体"/>
                <w:bCs/>
                <w:color w:val="auto"/>
                <w:sz w:val="21"/>
                <w:szCs w:val="21"/>
                <w:highlight w:val="none"/>
                <w:lang w:val="zh-CN" w:eastAsia="zh-CN"/>
              </w:rPr>
              <w:t>出发前</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②</w:t>
            </w:r>
            <w:r>
              <w:rPr>
                <w:rFonts w:hint="eastAsia" w:ascii="宋体" w:hAnsi="宋体" w:eastAsia="宋体" w:cs="宋体"/>
                <w:bCs/>
                <w:color w:val="auto"/>
                <w:sz w:val="21"/>
                <w:szCs w:val="21"/>
                <w:highlight w:val="none"/>
                <w:lang w:val="zh-CN" w:eastAsia="zh-CN"/>
              </w:rPr>
              <w:t>疗养中</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w:t>
            </w:r>
            <w:r>
              <w:rPr>
                <w:rFonts w:hint="eastAsia" w:ascii="宋体" w:hAnsi="宋体" w:cs="宋体"/>
                <w:bCs/>
                <w:color w:val="auto"/>
                <w:sz w:val="21"/>
                <w:szCs w:val="21"/>
                <w:highlight w:val="none"/>
                <w:lang w:val="en-US" w:eastAsia="zh-CN"/>
              </w:rPr>
              <w:t>③</w:t>
            </w:r>
            <w:r>
              <w:rPr>
                <w:rFonts w:hint="eastAsia" w:ascii="宋体" w:hAnsi="宋体" w:eastAsia="宋体" w:cs="宋体"/>
                <w:bCs/>
                <w:color w:val="auto"/>
                <w:sz w:val="21"/>
                <w:szCs w:val="21"/>
                <w:highlight w:val="none"/>
                <w:lang w:val="zh-CN" w:eastAsia="zh-CN"/>
              </w:rPr>
              <w:t>回程情况</w:t>
            </w:r>
            <w:r>
              <w:rPr>
                <w:rFonts w:hint="eastAsia" w:ascii="宋体" w:hAnsi="宋体" w:cs="宋体"/>
                <w:bCs/>
                <w:color w:val="auto"/>
                <w:sz w:val="21"/>
                <w:szCs w:val="21"/>
                <w:highlight w:val="none"/>
                <w:lang w:val="en-US" w:eastAsia="zh-CN"/>
              </w:rPr>
              <w:t>（分值：0/1/2/3）</w:t>
            </w:r>
            <w:r>
              <w:rPr>
                <w:rFonts w:hint="eastAsia" w:ascii="宋体" w:hAnsi="宋体" w:eastAsia="宋体" w:cs="宋体"/>
                <w:bCs/>
                <w:color w:val="auto"/>
                <w:sz w:val="21"/>
                <w:szCs w:val="21"/>
                <w:highlight w:val="none"/>
                <w:lang w:val="zh-CN" w:eastAsia="zh-CN"/>
              </w:rPr>
              <w:t>相应的安全方面的承诺及服务质量保障措施等方案。</w:t>
            </w:r>
            <w:r>
              <w:rPr>
                <w:rFonts w:hint="eastAsia" w:ascii="宋体" w:hAnsi="宋体" w:eastAsia="宋体" w:cs="宋体"/>
                <w:bCs/>
                <w:color w:val="auto"/>
                <w:sz w:val="21"/>
                <w:szCs w:val="21"/>
                <w:highlight w:val="none"/>
                <w:lang w:val="en-US" w:eastAsia="zh-CN"/>
              </w:rPr>
              <w:t>由评标委员会</w:t>
            </w:r>
            <w:r>
              <w:rPr>
                <w:rFonts w:hint="eastAsia" w:ascii="宋体" w:hAnsi="宋体" w:eastAsia="宋体" w:cs="宋体"/>
                <w:bCs/>
                <w:color w:val="auto"/>
                <w:sz w:val="21"/>
                <w:szCs w:val="21"/>
                <w:highlight w:val="none"/>
                <w:lang w:val="zh-CN" w:eastAsia="zh-CN"/>
              </w:rPr>
              <w:t>根据方案是否覆盖全面、是否科学合理、具有针对性和可操作性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5981A952">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3FA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9C146D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13</w:t>
            </w:r>
          </w:p>
        </w:tc>
        <w:tc>
          <w:tcPr>
            <w:tcW w:w="1362" w:type="dxa"/>
            <w:tcBorders>
              <w:left w:val="single" w:color="auto" w:sz="4" w:space="0"/>
              <w:right w:val="single" w:color="auto" w:sz="4" w:space="0"/>
            </w:tcBorders>
            <w:noWrap w:val="0"/>
            <w:vAlign w:val="center"/>
          </w:tcPr>
          <w:p w14:paraId="732B1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突发事件的处理方案</w:t>
            </w:r>
          </w:p>
        </w:tc>
        <w:tc>
          <w:tcPr>
            <w:tcW w:w="6320" w:type="dxa"/>
            <w:gridSpan w:val="2"/>
            <w:tcBorders>
              <w:left w:val="single" w:color="auto" w:sz="4" w:space="0"/>
              <w:right w:val="single" w:color="auto" w:sz="4" w:space="0"/>
            </w:tcBorders>
            <w:noWrap w:val="0"/>
            <w:vAlign w:val="center"/>
          </w:tcPr>
          <w:p w14:paraId="3399CFBC">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由评标委员会根据</w:t>
            </w:r>
            <w:r>
              <w:rPr>
                <w:rFonts w:hint="eastAsia" w:ascii="宋体" w:hAnsi="宋体" w:cs="宋体"/>
                <w:color w:val="auto"/>
                <w:kern w:val="2"/>
                <w:sz w:val="21"/>
                <w:szCs w:val="21"/>
                <w:highlight w:val="none"/>
                <w:lang w:val="en-US" w:eastAsia="zh-CN" w:bidi="ar-SA"/>
              </w:rPr>
              <w:t>投标</w:t>
            </w:r>
            <w:r>
              <w:rPr>
                <w:rFonts w:hint="eastAsia" w:ascii="宋体" w:hAnsi="宋体" w:eastAsia="宋体" w:cs="宋体"/>
                <w:color w:val="auto"/>
                <w:kern w:val="2"/>
                <w:sz w:val="21"/>
                <w:szCs w:val="21"/>
                <w:highlight w:val="none"/>
                <w:lang w:val="en-US" w:eastAsia="zh-CN" w:bidi="ar-SA"/>
              </w:rPr>
              <w:t>人对</w:t>
            </w:r>
            <w:r>
              <w:rPr>
                <w:rFonts w:hint="eastAsia" w:ascii="宋体" w:hAnsi="宋体" w:cs="宋体"/>
                <w:color w:val="auto"/>
                <w:kern w:val="2"/>
                <w:sz w:val="21"/>
                <w:szCs w:val="21"/>
                <w:highlight w:val="none"/>
                <w:lang w:val="en-US" w:eastAsia="zh-CN" w:bidi="ar-SA"/>
              </w:rPr>
              <w:t>①</w:t>
            </w:r>
            <w:r>
              <w:rPr>
                <w:rFonts w:hint="eastAsia" w:ascii="宋体" w:hAnsi="宋体" w:eastAsia="宋体" w:cs="宋体"/>
                <w:color w:val="auto"/>
                <w:kern w:val="2"/>
                <w:sz w:val="21"/>
                <w:szCs w:val="21"/>
                <w:highlight w:val="none"/>
                <w:lang w:val="en-US" w:eastAsia="zh-CN" w:bidi="ar-SA"/>
              </w:rPr>
              <w:t>临时路线调整</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②职工及司机等工作人员身体</w:t>
            </w:r>
            <w:r>
              <w:rPr>
                <w:rFonts w:hint="eastAsia" w:ascii="宋体" w:hAnsi="宋体" w:eastAsia="宋体" w:cs="宋体"/>
                <w:color w:val="auto"/>
                <w:kern w:val="2"/>
                <w:sz w:val="21"/>
                <w:szCs w:val="21"/>
                <w:highlight w:val="none"/>
                <w:lang w:val="en-US" w:eastAsia="zh-CN" w:bidi="ar-SA"/>
              </w:rPr>
              <w:t>突发事件处理</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③</w:t>
            </w:r>
            <w:r>
              <w:rPr>
                <w:rFonts w:hint="eastAsia" w:ascii="宋体" w:hAnsi="宋体" w:eastAsia="宋体" w:cs="宋体"/>
                <w:color w:val="auto"/>
                <w:kern w:val="2"/>
                <w:sz w:val="21"/>
                <w:szCs w:val="21"/>
                <w:highlight w:val="none"/>
                <w:lang w:val="en-US" w:eastAsia="zh-CN" w:bidi="ar-SA"/>
              </w:rPr>
              <w:t>安防措施</w:t>
            </w:r>
            <w:r>
              <w:rPr>
                <w:rFonts w:hint="eastAsia" w:ascii="宋体" w:hAnsi="宋体" w:cs="宋体"/>
                <w:bCs/>
                <w:color w:val="auto"/>
                <w:sz w:val="21"/>
                <w:szCs w:val="21"/>
                <w:highlight w:val="none"/>
                <w:lang w:val="en-US" w:eastAsia="zh-CN"/>
              </w:rPr>
              <w:t>（分值：0/1/2）</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④出行时的突发</w:t>
            </w:r>
            <w:r>
              <w:rPr>
                <w:rFonts w:hint="eastAsia" w:ascii="宋体" w:hAnsi="宋体" w:eastAsia="宋体" w:cs="宋体"/>
                <w:color w:val="auto"/>
                <w:kern w:val="2"/>
                <w:sz w:val="21"/>
                <w:szCs w:val="21"/>
                <w:highlight w:val="none"/>
                <w:lang w:val="en-US" w:eastAsia="zh-CN" w:bidi="ar-SA"/>
              </w:rPr>
              <w:t>投诉处理</w:t>
            </w:r>
            <w:r>
              <w:rPr>
                <w:rFonts w:hint="eastAsia" w:ascii="宋体" w:hAnsi="宋体" w:cs="宋体"/>
                <w:bCs/>
                <w:color w:val="auto"/>
                <w:sz w:val="21"/>
                <w:szCs w:val="21"/>
                <w:highlight w:val="none"/>
                <w:lang w:val="en-US" w:eastAsia="zh-CN"/>
              </w:rPr>
              <w:t>（分值：0/1/2）</w:t>
            </w:r>
            <w:r>
              <w:rPr>
                <w:rFonts w:hint="eastAsia" w:ascii="宋体" w:hAnsi="宋体" w:cs="宋体"/>
                <w:color w:val="auto"/>
                <w:kern w:val="2"/>
                <w:sz w:val="21"/>
                <w:szCs w:val="21"/>
                <w:highlight w:val="none"/>
                <w:lang w:val="en-US" w:eastAsia="zh-CN" w:bidi="ar-SA"/>
              </w:rPr>
              <w:t>、⑤各类极端天气、地质灾害</w:t>
            </w:r>
            <w:r>
              <w:rPr>
                <w:rFonts w:hint="eastAsia" w:ascii="宋体" w:hAnsi="宋体" w:cs="宋体"/>
                <w:bCs/>
                <w:color w:val="auto"/>
                <w:sz w:val="21"/>
                <w:szCs w:val="21"/>
                <w:highlight w:val="none"/>
                <w:lang w:val="en-US" w:eastAsia="zh-CN"/>
              </w:rPr>
              <w:t>（分值：0/0.5/1）</w:t>
            </w:r>
            <w:r>
              <w:rPr>
                <w:rFonts w:hint="eastAsia" w:ascii="宋体" w:hAnsi="宋体" w:eastAsia="宋体" w:cs="宋体"/>
                <w:color w:val="auto"/>
                <w:kern w:val="2"/>
                <w:sz w:val="21"/>
                <w:szCs w:val="21"/>
                <w:highlight w:val="none"/>
                <w:lang w:val="en-US" w:eastAsia="zh-CN" w:bidi="ar-SA"/>
              </w:rPr>
              <w:t>等</w:t>
            </w:r>
            <w:r>
              <w:rPr>
                <w:rFonts w:hint="eastAsia" w:ascii="宋体" w:hAnsi="宋体" w:cs="宋体"/>
                <w:color w:val="auto"/>
                <w:kern w:val="2"/>
                <w:sz w:val="21"/>
                <w:szCs w:val="21"/>
                <w:highlight w:val="none"/>
                <w:lang w:val="en-US" w:eastAsia="zh-CN" w:bidi="ar-SA"/>
              </w:rPr>
              <w:t>突发事件</w:t>
            </w:r>
            <w:r>
              <w:rPr>
                <w:rFonts w:hint="eastAsia" w:ascii="宋体" w:hAnsi="宋体" w:eastAsia="宋体" w:cs="宋体"/>
                <w:color w:val="auto"/>
                <w:kern w:val="2"/>
                <w:sz w:val="21"/>
                <w:szCs w:val="21"/>
                <w:highlight w:val="none"/>
                <w:lang w:val="en-US" w:eastAsia="zh-CN" w:bidi="ar-SA"/>
              </w:rPr>
              <w:t>作出的具体预案</w:t>
            </w:r>
            <w:r>
              <w:rPr>
                <w:rFonts w:hint="eastAsia" w:ascii="宋体" w:hAnsi="宋体" w:cs="宋体"/>
                <w:color w:val="auto"/>
                <w:kern w:val="2"/>
                <w:sz w:val="21"/>
                <w:szCs w:val="21"/>
                <w:highlight w:val="none"/>
                <w:lang w:val="en-US" w:eastAsia="zh-CN" w:bidi="ar-SA"/>
              </w:rPr>
              <w:t>的合理性、针对性</w:t>
            </w:r>
            <w:r>
              <w:rPr>
                <w:rFonts w:hint="eastAsia" w:ascii="宋体" w:hAnsi="宋体" w:eastAsia="宋体" w:cs="宋体"/>
                <w:bCs/>
                <w:color w:val="auto"/>
                <w:sz w:val="21"/>
                <w:szCs w:val="21"/>
                <w:highlight w:val="none"/>
                <w:lang w:val="en-US" w:eastAsia="zh-CN"/>
              </w:rPr>
              <w:t>进行综合打分</w:t>
            </w:r>
            <w:r>
              <w:rPr>
                <w:rFonts w:hint="eastAsia" w:ascii="宋体" w:hAnsi="宋体" w:eastAsia="宋体" w:cs="宋体"/>
                <w:bCs/>
                <w:color w:val="auto"/>
                <w:sz w:val="21"/>
                <w:szCs w:val="21"/>
                <w:highlight w:val="none"/>
                <w:lang w:val="zh-CN" w:eastAsia="zh-CN"/>
              </w:rPr>
              <w:t>。</w:t>
            </w:r>
          </w:p>
        </w:tc>
        <w:tc>
          <w:tcPr>
            <w:tcW w:w="990" w:type="dxa"/>
            <w:tcBorders>
              <w:left w:val="single" w:color="auto" w:sz="4" w:space="0"/>
              <w:right w:val="single" w:color="auto" w:sz="4" w:space="0"/>
            </w:tcBorders>
            <w:noWrap w:val="0"/>
            <w:vAlign w:val="center"/>
          </w:tcPr>
          <w:p w14:paraId="24988773">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r>
      <w:tr w14:paraId="7F79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5DC8C69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14</w:t>
            </w:r>
          </w:p>
        </w:tc>
        <w:tc>
          <w:tcPr>
            <w:tcW w:w="1362" w:type="dxa"/>
            <w:tcBorders>
              <w:left w:val="single" w:color="auto" w:sz="4" w:space="0"/>
              <w:right w:val="single" w:color="auto" w:sz="4" w:space="0"/>
            </w:tcBorders>
            <w:noWrap w:val="0"/>
            <w:vAlign w:val="center"/>
          </w:tcPr>
          <w:p w14:paraId="5E6ADA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人员培训</w:t>
            </w:r>
          </w:p>
        </w:tc>
        <w:tc>
          <w:tcPr>
            <w:tcW w:w="6320" w:type="dxa"/>
            <w:gridSpan w:val="2"/>
            <w:tcBorders>
              <w:left w:val="single" w:color="auto" w:sz="4" w:space="0"/>
              <w:right w:val="single" w:color="auto" w:sz="4" w:space="0"/>
            </w:tcBorders>
            <w:noWrap w:val="0"/>
            <w:vAlign w:val="center"/>
          </w:tcPr>
          <w:p w14:paraId="6E5EC193">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根据</w:t>
            </w:r>
            <w:r>
              <w:rPr>
                <w:rFonts w:hint="eastAsia" w:ascii="宋体" w:hAnsi="宋体" w:eastAsia="宋体" w:cs="宋体"/>
                <w:b w:val="0"/>
                <w:bCs w:val="0"/>
                <w:color w:val="auto"/>
                <w:sz w:val="21"/>
                <w:szCs w:val="21"/>
                <w:highlight w:val="none"/>
                <w:lang w:val="en-US" w:eastAsia="zh-CN"/>
              </w:rPr>
              <w:t>投标人提供的</w:t>
            </w:r>
            <w:r>
              <w:rPr>
                <w:rFonts w:hint="eastAsia" w:ascii="宋体" w:hAnsi="宋体" w:cs="宋体"/>
                <w:b w:val="0"/>
                <w:bCs w:val="0"/>
                <w:color w:val="auto"/>
                <w:sz w:val="21"/>
                <w:szCs w:val="21"/>
                <w:highlight w:val="none"/>
                <w:lang w:val="en-US" w:eastAsia="zh-CN"/>
              </w:rPr>
              <w:t>①</w:t>
            </w:r>
            <w:r>
              <w:rPr>
                <w:rFonts w:hint="eastAsia" w:ascii="宋体" w:hAnsi="宋体" w:eastAsia="宋体" w:cs="宋体"/>
                <w:b w:val="0"/>
                <w:bCs w:val="0"/>
                <w:color w:val="auto"/>
                <w:sz w:val="21"/>
                <w:szCs w:val="21"/>
                <w:highlight w:val="none"/>
                <w:lang w:val="en-US" w:eastAsia="zh-CN"/>
              </w:rPr>
              <w:t>岗位人员职责培训</w:t>
            </w:r>
            <w:r>
              <w:rPr>
                <w:rFonts w:hint="eastAsia" w:ascii="宋体" w:hAnsi="宋体" w:cs="宋体"/>
                <w:bCs/>
                <w:color w:val="auto"/>
                <w:sz w:val="21"/>
                <w:szCs w:val="21"/>
                <w:highlight w:val="none"/>
                <w:lang w:val="en-US" w:eastAsia="zh-CN"/>
              </w:rPr>
              <w:t>（分值：0/1/2）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②</w:t>
            </w:r>
            <w:r>
              <w:rPr>
                <w:rFonts w:hint="eastAsia" w:ascii="宋体" w:hAnsi="宋体" w:eastAsia="宋体" w:cs="宋体"/>
                <w:b w:val="0"/>
                <w:bCs w:val="0"/>
                <w:color w:val="auto"/>
                <w:sz w:val="21"/>
                <w:szCs w:val="21"/>
                <w:highlight w:val="none"/>
                <w:lang w:val="en-US" w:eastAsia="zh-CN"/>
              </w:rPr>
              <w:t>业务技能培训</w:t>
            </w:r>
            <w:r>
              <w:rPr>
                <w:rFonts w:hint="eastAsia" w:ascii="宋体" w:hAnsi="宋体" w:cs="宋体"/>
                <w:bCs/>
                <w:color w:val="auto"/>
                <w:sz w:val="21"/>
                <w:szCs w:val="21"/>
                <w:highlight w:val="none"/>
                <w:lang w:val="en-US" w:eastAsia="zh-CN"/>
              </w:rPr>
              <w:t>（分值：0/1/2）</w:t>
            </w:r>
            <w:r>
              <w:rPr>
                <w:rFonts w:hint="eastAsia" w:ascii="宋体" w:hAnsi="宋体" w:cs="宋体"/>
                <w:b w:val="0"/>
                <w:bCs w:val="0"/>
                <w:color w:val="auto"/>
                <w:sz w:val="21"/>
                <w:szCs w:val="21"/>
                <w:highlight w:val="none"/>
                <w:lang w:val="en-US" w:eastAsia="zh-CN"/>
              </w:rPr>
              <w:t>的合理性、完整性、针对性</w:t>
            </w:r>
            <w:r>
              <w:rPr>
                <w:rFonts w:hint="eastAsia" w:ascii="宋体" w:hAnsi="宋体" w:eastAsia="宋体" w:cs="宋体"/>
                <w:bCs/>
                <w:color w:val="auto"/>
                <w:sz w:val="21"/>
                <w:szCs w:val="21"/>
                <w:highlight w:val="none"/>
                <w:lang w:val="en-US" w:eastAsia="zh-CN"/>
              </w:rPr>
              <w:t>进行</w:t>
            </w:r>
            <w:r>
              <w:rPr>
                <w:rFonts w:hint="eastAsia" w:ascii="宋体" w:hAnsi="宋体" w:eastAsia="宋体" w:cs="宋体"/>
                <w:color w:val="auto"/>
                <w:kern w:val="2"/>
                <w:sz w:val="21"/>
                <w:szCs w:val="21"/>
                <w:highlight w:val="none"/>
                <w:lang w:val="en-US" w:eastAsia="zh-CN" w:bidi="ar-SA"/>
              </w:rPr>
              <w:t>综合打分。</w:t>
            </w:r>
          </w:p>
        </w:tc>
        <w:tc>
          <w:tcPr>
            <w:tcW w:w="990" w:type="dxa"/>
            <w:tcBorders>
              <w:left w:val="single" w:color="auto" w:sz="4" w:space="0"/>
              <w:right w:val="single" w:color="auto" w:sz="4" w:space="0"/>
            </w:tcBorders>
            <w:noWrap w:val="0"/>
            <w:vAlign w:val="center"/>
          </w:tcPr>
          <w:p w14:paraId="761D9016">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r>
      <w:tr w14:paraId="1AB5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4658BE3D">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15</w:t>
            </w:r>
          </w:p>
        </w:tc>
        <w:tc>
          <w:tcPr>
            <w:tcW w:w="1362" w:type="dxa"/>
            <w:tcBorders>
              <w:left w:val="single" w:color="auto" w:sz="4" w:space="0"/>
              <w:right w:val="single" w:color="auto" w:sz="4" w:space="0"/>
            </w:tcBorders>
            <w:noWrap w:val="0"/>
            <w:vAlign w:val="center"/>
          </w:tcPr>
          <w:p w14:paraId="1B65CD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w:t>
            </w:r>
          </w:p>
        </w:tc>
        <w:tc>
          <w:tcPr>
            <w:tcW w:w="6320" w:type="dxa"/>
            <w:gridSpan w:val="2"/>
            <w:tcBorders>
              <w:left w:val="single" w:color="auto" w:sz="4" w:space="0"/>
              <w:right w:val="single" w:color="auto" w:sz="4" w:space="0"/>
            </w:tcBorders>
            <w:noWrap w:val="0"/>
            <w:vAlign w:val="center"/>
          </w:tcPr>
          <w:p w14:paraId="0B2107EE">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根据投标人额外提供的增值服务方案（包括但不限于如何提升疗休养体验和满意度等方面制定增值服务方案）</w:t>
            </w:r>
            <w:r>
              <w:rPr>
                <w:rFonts w:hint="eastAsia" w:ascii="宋体" w:hAnsi="宋体" w:cs="宋体"/>
                <w:color w:val="auto"/>
                <w:kern w:val="2"/>
                <w:sz w:val="21"/>
                <w:szCs w:val="21"/>
                <w:highlight w:val="none"/>
                <w:lang w:val="en-US" w:eastAsia="zh-CN" w:bidi="ar-SA"/>
              </w:rPr>
              <w:t>的合理性</w:t>
            </w:r>
            <w:r>
              <w:rPr>
                <w:rFonts w:hint="eastAsia" w:ascii="宋体" w:hAnsi="宋体" w:eastAsia="宋体" w:cs="宋体"/>
                <w:color w:val="auto"/>
                <w:kern w:val="2"/>
                <w:sz w:val="21"/>
                <w:szCs w:val="21"/>
                <w:highlight w:val="none"/>
                <w:lang w:val="en-US" w:eastAsia="zh-CN" w:bidi="ar-SA"/>
              </w:rPr>
              <w:t>进行评价。</w:t>
            </w:r>
            <w:r>
              <w:rPr>
                <w:rFonts w:hint="eastAsia" w:ascii="宋体" w:hAnsi="宋体" w:cs="宋体"/>
                <w:color w:val="auto"/>
                <w:kern w:val="2"/>
                <w:sz w:val="21"/>
                <w:szCs w:val="21"/>
                <w:highlight w:val="none"/>
                <w:lang w:val="en-US" w:eastAsia="zh-CN" w:bidi="ar-SA"/>
              </w:rPr>
              <w:t>（分值：0/1/2）</w:t>
            </w:r>
          </w:p>
        </w:tc>
        <w:tc>
          <w:tcPr>
            <w:tcW w:w="990" w:type="dxa"/>
            <w:tcBorders>
              <w:left w:val="single" w:color="auto" w:sz="4" w:space="0"/>
              <w:right w:val="single" w:color="auto" w:sz="4" w:space="0"/>
            </w:tcBorders>
            <w:noWrap w:val="0"/>
            <w:vAlign w:val="center"/>
          </w:tcPr>
          <w:p w14:paraId="1241331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r>
    </w:tbl>
    <w:p w14:paraId="559ED9D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22" w:firstLineChars="200"/>
        <w:textAlignment w:val="auto"/>
        <w:rPr>
          <w:rFonts w:ascii="宋体" w:hAnsi="宋体"/>
          <w:b/>
          <w:bCs/>
          <w:color w:val="auto"/>
          <w:highlight w:val="none"/>
        </w:rPr>
      </w:pPr>
      <w:r>
        <w:rPr>
          <w:rFonts w:hint="eastAsia" w:ascii="宋体" w:hAnsi="宋体"/>
          <w:b/>
          <w:bCs/>
          <w:color w:val="auto"/>
          <w:highlight w:val="none"/>
        </w:rPr>
        <w:t>注：证明材料提供扫描件或复制件并加盖公章，未提供的不得分。</w:t>
      </w:r>
    </w:p>
    <w:p w14:paraId="1CFE977B">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5.2投标人报价满分为</w:t>
      </w:r>
      <w:r>
        <w:rPr>
          <w:rFonts w:hint="eastAsia" w:ascii="宋体" w:hAnsi="宋体"/>
          <w:b/>
          <w:bCs/>
          <w:highlight w:val="none"/>
          <w:lang w:val="en-US" w:eastAsia="zh-CN"/>
        </w:rPr>
        <w:t>20</w:t>
      </w:r>
      <w:r>
        <w:rPr>
          <w:rFonts w:hint="eastAsia" w:ascii="宋体" w:hAnsi="宋体"/>
          <w:b/>
          <w:bCs/>
          <w:highlight w:val="none"/>
        </w:rPr>
        <w:t>分，由评标委员会根据以下内容统一计算打分：</w:t>
      </w:r>
    </w:p>
    <w:p w14:paraId="689D8748">
      <w:pPr>
        <w:autoSpaceDE w:val="0"/>
        <w:snapToGrid w:val="0"/>
        <w:spacing w:line="360" w:lineRule="auto"/>
        <w:ind w:firstLine="420" w:firstLineChars="200"/>
        <w:rPr>
          <w:rFonts w:ascii="宋体" w:hAnsi="宋体"/>
          <w:highlight w:val="none"/>
        </w:rPr>
      </w:pPr>
      <w:r>
        <w:rPr>
          <w:rFonts w:hint="eastAsia" w:ascii="宋体" w:hAnsi="宋体"/>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D3314DF">
      <w:pPr>
        <w:autoSpaceDE w:val="0"/>
        <w:snapToGrid w:val="0"/>
        <w:spacing w:line="360" w:lineRule="auto"/>
        <w:ind w:firstLine="420" w:firstLineChars="200"/>
        <w:rPr>
          <w:rFonts w:ascii="宋体" w:hAnsi="宋体"/>
          <w:highlight w:val="none"/>
        </w:rPr>
      </w:pPr>
      <w:r>
        <w:rPr>
          <w:rFonts w:hint="eastAsia" w:ascii="宋体" w:hAnsi="宋体"/>
          <w:highlight w:val="none"/>
        </w:rPr>
        <w:t>5.2.2 最终报价高于最高限价</w:t>
      </w:r>
      <w:r>
        <w:rPr>
          <w:rFonts w:hint="eastAsia" w:ascii="宋体" w:hAnsi="宋体"/>
          <w:highlight w:val="none"/>
          <w:lang w:val="en-US" w:eastAsia="zh-CN"/>
        </w:rPr>
        <w:t>总价</w:t>
      </w:r>
      <w:r>
        <w:rPr>
          <w:rFonts w:hint="eastAsia" w:ascii="宋体" w:hAnsi="宋体"/>
          <w:highlight w:val="none"/>
          <w:lang w:eastAsia="zh-CN"/>
        </w:rPr>
        <w:t>（</w:t>
      </w:r>
      <w:r>
        <w:rPr>
          <w:rFonts w:hint="eastAsia" w:ascii="宋体" w:hAnsi="宋体"/>
          <w:highlight w:val="none"/>
          <w:lang w:val="en-US" w:eastAsia="zh-CN"/>
        </w:rPr>
        <w:t>或单价</w:t>
      </w:r>
      <w:r>
        <w:rPr>
          <w:rFonts w:hint="eastAsia" w:ascii="宋体" w:hAnsi="宋体"/>
          <w:highlight w:val="none"/>
          <w:lang w:eastAsia="zh-CN"/>
        </w:rPr>
        <w:t>）</w:t>
      </w:r>
      <w:r>
        <w:rPr>
          <w:rFonts w:hint="eastAsia" w:ascii="宋体" w:hAnsi="宋体"/>
          <w:highlight w:val="none"/>
        </w:rPr>
        <w:t>的投标人不进入报价评分。</w:t>
      </w:r>
    </w:p>
    <w:p w14:paraId="11AA4DF9">
      <w:pPr>
        <w:autoSpaceDE w:val="0"/>
        <w:snapToGrid w:val="0"/>
        <w:spacing w:line="360" w:lineRule="auto"/>
        <w:ind w:firstLine="420" w:firstLineChars="200"/>
        <w:rPr>
          <w:rFonts w:ascii="宋体" w:hAnsi="宋体"/>
          <w:highlight w:val="none"/>
        </w:rPr>
      </w:pPr>
      <w:r>
        <w:rPr>
          <w:rFonts w:hint="eastAsia" w:ascii="宋体" w:hAnsi="宋体"/>
          <w:highlight w:val="none"/>
        </w:rPr>
        <w:t>5.2.3最终报价有漏项的或报价数量少于招标文件要求数量的，其报价无效。</w:t>
      </w:r>
    </w:p>
    <w:p w14:paraId="2ACD857F">
      <w:pPr>
        <w:autoSpaceDE w:val="0"/>
        <w:snapToGrid w:val="0"/>
        <w:spacing w:line="360" w:lineRule="auto"/>
        <w:ind w:firstLine="420" w:firstLineChars="200"/>
        <w:rPr>
          <w:rFonts w:ascii="宋体" w:hAnsi="宋体"/>
          <w:highlight w:val="none"/>
        </w:rPr>
      </w:pPr>
      <w:r>
        <w:rPr>
          <w:rFonts w:hint="eastAsia" w:ascii="宋体" w:hAnsi="宋体"/>
          <w:highlight w:val="none"/>
        </w:rPr>
        <w:t>如最终报价有增项的或报价数量多于招标文件要求数量的，不对其价格进行修正。若该投标人成交的，将按其承诺的有利于采购人的增项和数量进行供货，风险由成交人自行承担。</w:t>
      </w:r>
    </w:p>
    <w:p w14:paraId="0263DDBD">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5.2.4报价得分计算：</w:t>
      </w:r>
    </w:p>
    <w:p w14:paraId="27AD9E42">
      <w:pPr>
        <w:autoSpaceDE w:val="0"/>
        <w:snapToGrid w:val="0"/>
        <w:spacing w:line="360" w:lineRule="auto"/>
        <w:ind w:firstLine="420" w:firstLineChars="200"/>
        <w:rPr>
          <w:rFonts w:hint="eastAsia" w:ascii="宋体" w:hAnsi="宋体"/>
          <w:highlight w:val="none"/>
          <w:lang w:val="en-US" w:eastAsia="zh-CN"/>
        </w:rPr>
      </w:pPr>
      <w:r>
        <w:rPr>
          <w:rFonts w:hint="eastAsia" w:ascii="宋体" w:hAnsi="宋体"/>
          <w:highlight w:val="none"/>
        </w:rPr>
        <w:t>根据相关规定，每人额定</w:t>
      </w:r>
      <w:r>
        <w:rPr>
          <w:rFonts w:hint="eastAsia" w:ascii="宋体" w:hAnsi="宋体"/>
          <w:highlight w:val="none"/>
          <w:lang w:val="en-US" w:eastAsia="zh-CN"/>
        </w:rPr>
        <w:t>标准</w:t>
      </w:r>
      <w:r>
        <w:rPr>
          <w:rFonts w:hint="eastAsia" w:ascii="宋体" w:hAnsi="宋体"/>
          <w:highlight w:val="none"/>
        </w:rPr>
        <w:t>3000元/人（不上下浮）；</w:t>
      </w:r>
      <w:r>
        <w:rPr>
          <w:rFonts w:hint="eastAsia" w:ascii="宋体" w:hAnsi="宋体"/>
          <w:highlight w:val="none"/>
          <w:lang w:val="en-US" w:eastAsia="zh-CN"/>
        </w:rPr>
        <w:t>投标</w:t>
      </w:r>
      <w:r>
        <w:rPr>
          <w:rFonts w:hint="eastAsia" w:ascii="宋体" w:hAnsi="宋体"/>
          <w:highlight w:val="none"/>
        </w:rPr>
        <w:t>方响应文件报价要求的，报价得</w:t>
      </w:r>
      <w:r>
        <w:rPr>
          <w:rFonts w:hint="eastAsia" w:ascii="宋体" w:hAnsi="宋体"/>
          <w:highlight w:val="none"/>
          <w:lang w:val="en-US" w:eastAsia="zh-CN"/>
        </w:rPr>
        <w:t>2</w:t>
      </w:r>
      <w:r>
        <w:rPr>
          <w:rFonts w:hint="eastAsia" w:ascii="宋体" w:hAnsi="宋体"/>
          <w:highlight w:val="none"/>
        </w:rPr>
        <w:t>0分；未响应采购文件报价需求的，</w:t>
      </w:r>
      <w:r>
        <w:rPr>
          <w:rFonts w:hint="eastAsia" w:ascii="宋体" w:hAnsi="宋体"/>
          <w:highlight w:val="none"/>
          <w:lang w:val="en-US" w:eastAsia="zh-CN"/>
        </w:rPr>
        <w:t>作无效标处理</w:t>
      </w:r>
      <w:r>
        <w:rPr>
          <w:rFonts w:hint="eastAsia" w:ascii="宋体" w:hAnsi="宋体"/>
          <w:highlight w:val="none"/>
        </w:rPr>
        <w:t>。</w:t>
      </w:r>
    </w:p>
    <w:p w14:paraId="7BE5DC63">
      <w:pPr>
        <w:autoSpaceDE w:val="0"/>
        <w:snapToGrid w:val="0"/>
        <w:spacing w:line="360" w:lineRule="auto"/>
        <w:ind w:firstLine="422" w:firstLineChars="200"/>
        <w:rPr>
          <w:rFonts w:ascii="宋体" w:hAnsi="宋体"/>
          <w:b/>
          <w:bCs/>
          <w:highlight w:val="none"/>
        </w:rPr>
      </w:pPr>
      <w:r>
        <w:rPr>
          <w:rFonts w:hint="eastAsia" w:ascii="宋体" w:hAnsi="宋体"/>
          <w:b/>
          <w:bCs/>
          <w:highlight w:val="none"/>
        </w:rPr>
        <w:t>5.3 本项目最终得分=商务技术得分＋报价得分；</w:t>
      </w:r>
    </w:p>
    <w:p w14:paraId="0C09D46C">
      <w:pPr>
        <w:autoSpaceDE w:val="0"/>
        <w:snapToGrid w:val="0"/>
        <w:spacing w:line="360" w:lineRule="auto"/>
        <w:ind w:firstLine="420" w:firstLineChars="200"/>
        <w:rPr>
          <w:rFonts w:ascii="宋体" w:hAnsi="宋体"/>
          <w:color w:val="auto"/>
          <w:highlight w:val="none"/>
        </w:rPr>
      </w:pPr>
      <w:r>
        <w:rPr>
          <w:rFonts w:hint="eastAsia" w:ascii="宋体" w:hAnsi="宋体"/>
          <w:highlight w:val="none"/>
        </w:rPr>
        <w:t>5.4 评分时保留小数2位，计算评分值时保留小数2位，小数点采用四舍五入方法。</w:t>
      </w:r>
    </w:p>
    <w:p w14:paraId="446C9739">
      <w:pPr>
        <w:keepNext/>
        <w:autoSpaceDE w:val="0"/>
        <w:snapToGrid w:val="0"/>
        <w:spacing w:line="360" w:lineRule="auto"/>
        <w:ind w:firstLine="422" w:firstLineChars="200"/>
        <w:outlineLvl w:val="2"/>
        <w:rPr>
          <w:rFonts w:ascii="宋体" w:hAnsi="宋体" w:cs="宋体"/>
          <w:b/>
          <w:bCs/>
          <w:color w:val="auto"/>
          <w:highlight w:val="none"/>
        </w:rPr>
      </w:pPr>
      <w:r>
        <w:rPr>
          <w:rFonts w:hint="eastAsia" w:ascii="宋体" w:hAnsi="宋体" w:cs="宋体"/>
          <w:b/>
          <w:bCs/>
          <w:color w:val="auto"/>
          <w:highlight w:val="none"/>
        </w:rPr>
        <w:t>六  评审纪律和要求</w:t>
      </w:r>
    </w:p>
    <w:p w14:paraId="019C84CA">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 评审专家必须公平、公正评审，遵纪守法，客观、廉洁地履行职责。</w:t>
      </w:r>
    </w:p>
    <w:p w14:paraId="648E7D8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6.2 评审专家在评审开始前，应关闭并上交随身携带的各种通信工具。</w:t>
      </w:r>
    </w:p>
    <w:p w14:paraId="64218D28">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6.3 评审专家在评审过程中，未经许可不得中途离开评审现场，不得迟到早退。</w:t>
      </w:r>
    </w:p>
    <w:p w14:paraId="4543A050">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6.4 评审专家和工作人员不得透露评审过程中的讨论情况和评审结果。</w:t>
      </w:r>
    </w:p>
    <w:p w14:paraId="28B5D804">
      <w:pPr>
        <w:autoSpaceDE w:val="0"/>
        <w:snapToGrid w:val="0"/>
        <w:spacing w:line="360" w:lineRule="auto"/>
        <w:ind w:firstLine="480"/>
        <w:rPr>
          <w:rFonts w:ascii="宋体" w:hAnsi="宋体"/>
          <w:color w:val="auto"/>
          <w:highlight w:val="none"/>
        </w:rPr>
      </w:pPr>
      <w:r>
        <w:rPr>
          <w:rFonts w:hint="eastAsia" w:ascii="宋体" w:hAnsi="宋体"/>
          <w:color w:val="auto"/>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16D2CC5">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6.6 采购人、采购代理机构不得向评标委员会的评审专家作倾向性、误导性的解释或者说明。</w:t>
      </w:r>
    </w:p>
    <w:p w14:paraId="77E05AB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15652B72">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6.8 评审专家在评审过程中不得将自己的观点强加给其他评审专家，评审专家应自主发表见解，对评审意见承担个人责任。</w:t>
      </w:r>
    </w:p>
    <w:p w14:paraId="7D547A63">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01A4CADB">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551137B5">
      <w:pPr>
        <w:autoSpaceDE w:val="0"/>
        <w:snapToGrid w:val="0"/>
        <w:spacing w:line="360" w:lineRule="auto"/>
        <w:ind w:firstLine="396" w:firstLineChars="200"/>
        <w:rPr>
          <w:rFonts w:ascii="宋体" w:hAnsi="宋体"/>
          <w:color w:val="auto"/>
          <w:highlight w:val="none"/>
        </w:rPr>
      </w:pPr>
      <w:r>
        <w:rPr>
          <w:rFonts w:hint="eastAsia" w:ascii="宋体" w:hAnsi="宋体"/>
          <w:color w:val="auto"/>
          <w:spacing w:val="-6"/>
          <w:highlight w:val="none"/>
        </w:rPr>
        <w:t>6.11 评审专家应当遵守评审工作纪律，不得泄露评审文件、评审情况和评审中获悉的商业秘密</w:t>
      </w:r>
      <w:r>
        <w:rPr>
          <w:rFonts w:hint="eastAsia" w:ascii="宋体" w:hAnsi="宋体"/>
          <w:color w:val="auto"/>
          <w:highlight w:val="none"/>
        </w:rPr>
        <w:t>。</w:t>
      </w:r>
    </w:p>
    <w:p w14:paraId="580BA951">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评标委员会在评审过程中发现投标人有行贿、提供虚假材料或者串通等违法行为的，应当及时向财政部门报告。</w:t>
      </w:r>
    </w:p>
    <w:p w14:paraId="687F6BC6">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6.12 招标文件内容违反国家有关强制性规定的，评标委员会应当停止评审并向采购代理机构说明情况。</w:t>
      </w:r>
    </w:p>
    <w:p w14:paraId="641D47BC">
      <w:pPr>
        <w:autoSpaceDE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6.13 评审专家应当配合采购代理机构答复投标人提出的质疑。</w:t>
      </w:r>
    </w:p>
    <w:p w14:paraId="75B1B500">
      <w:pPr>
        <w:snapToGrid w:val="0"/>
        <w:spacing w:line="360" w:lineRule="auto"/>
        <w:ind w:firstLine="420" w:firstLineChars="200"/>
        <w:rPr>
          <w:rFonts w:ascii="宋体" w:hAnsi="宋体" w:cs="宋体"/>
          <w:color w:val="auto"/>
          <w:highlight w:val="none"/>
        </w:rPr>
      </w:pPr>
      <w:r>
        <w:rPr>
          <w:rFonts w:hint="eastAsia" w:ascii="宋体" w:hAnsi="宋体"/>
          <w:color w:val="auto"/>
          <w:highlight w:val="none"/>
        </w:rPr>
        <w:t>6.14 评审专家应当配合财政部门的投诉处理工作。</w:t>
      </w:r>
    </w:p>
    <w:p w14:paraId="7CDBCB02">
      <w:pPr>
        <w:rPr>
          <w:color w:val="auto"/>
          <w:highlight w:val="none"/>
        </w:rPr>
      </w:pPr>
    </w:p>
    <w:sectPr>
      <w:pgSz w:w="11906" w:h="16838"/>
      <w:pgMar w:top="1361"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ail">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F81A">
    <w:pPr>
      <w:pStyle w:val="3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028A">
    <w:pPr>
      <w:pStyle w:val="32"/>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1A9A">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9FBD">
    <w:pPr>
      <w:pStyle w:val="3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6CB2">
                          <w:pPr>
                            <w:pStyle w:val="3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5E56CB2">
                    <w:pPr>
                      <w:pStyle w:val="3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8B437">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CFF38">
                          <w:pPr>
                            <w:pStyle w:val="3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3DCFF38">
                    <w:pPr>
                      <w:pStyle w:val="3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D946">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22E15996">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1PXrR0QAAAAMBAAAPAAAAAAAAAAEAIAAAACIAAABkcnMvZG93&#10;bnJldi54bWxQSwECFAAUAAAACACHTuJAF68ye84BAACXAwAADgAAAAAAAAABACAAAAAgAQAAZHJz&#10;L2Uyb0RvYy54bWxQSwUGAAAAAAYABgBZAQAAYAUAAAAA&#10;">
              <v:fill on="f" focussize="0,0"/>
              <v:stroke on="f"/>
              <v:imagedata o:title=""/>
              <o:lock v:ext="edit" aspectratio="f"/>
              <v:textbox inset="0mm,0mm,0mm,0mm" style="mso-fit-shape-to-text:t;">
                <w:txbxContent>
                  <w:p w14:paraId="22E15996">
                    <w:pPr>
                      <w:pStyle w:val="32"/>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v:shape>
          </w:pict>
        </mc:Fallback>
      </mc:AlternateContent>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888">
    <w:pPr>
      <w:pStyle w:val="32"/>
      <w:jc w:val="center"/>
      <w:rPr>
        <w:rFonts w:hint="eastAsia"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A4D9F7">
                          <w:pPr>
                            <w:pStyle w:val="32"/>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7A4D9F7">
                    <w:pPr>
                      <w:pStyle w:val="3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D8B0">
    <w:pPr>
      <w:autoSpaceDE w:val="0"/>
      <w:autoSpaceDN w:val="0"/>
      <w:spacing w:line="360" w:lineRule="auto"/>
      <w:jc w:val="left"/>
      <w:textAlignment w:val="bottom"/>
      <w:outlineLvl w:val="0"/>
      <w:rPr>
        <w:kern w:val="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AC45">
    <w:pPr>
      <w:pStyle w:val="34"/>
      <w:pBdr>
        <w:bottom w:val="none" w:color="auto" w:sz="0" w:space="1"/>
      </w:pBd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697C8"/>
    <w:multiLevelType w:val="singleLevel"/>
    <w:tmpl w:val="9FC697C8"/>
    <w:lvl w:ilvl="0" w:tentative="0">
      <w:start w:val="1"/>
      <w:numFmt w:val="decimal"/>
      <w:suff w:val="nothing"/>
      <w:lvlText w:val="%1、"/>
      <w:lvlJc w:val="left"/>
    </w:lvl>
  </w:abstractNum>
  <w:abstractNum w:abstractNumId="1">
    <w:nsid w:val="B6F0A980"/>
    <w:multiLevelType w:val="singleLevel"/>
    <w:tmpl w:val="B6F0A980"/>
    <w:lvl w:ilvl="0" w:tentative="0">
      <w:start w:val="4"/>
      <w:numFmt w:val="chineseCounting"/>
      <w:suff w:val="nothing"/>
      <w:lvlText w:val="%1、"/>
      <w:lvlJc w:val="left"/>
      <w:rPr>
        <w:rFonts w:hint="eastAsia"/>
      </w:rPr>
    </w:lvl>
  </w:abstractNum>
  <w:abstractNum w:abstractNumId="2">
    <w:nsid w:val="BE80F6C3"/>
    <w:multiLevelType w:val="singleLevel"/>
    <w:tmpl w:val="BE80F6C3"/>
    <w:lvl w:ilvl="0" w:tentative="0">
      <w:start w:val="4"/>
      <w:numFmt w:val="chineseCounting"/>
      <w:suff w:val="nothing"/>
      <w:lvlText w:val="第%1部分　"/>
      <w:lvlJc w:val="left"/>
      <w:rPr>
        <w:rFonts w:hint="eastAsia"/>
      </w:rPr>
    </w:lvl>
  </w:abstractNum>
  <w:abstractNum w:abstractNumId="3">
    <w:nsid w:val="D149B249"/>
    <w:multiLevelType w:val="singleLevel"/>
    <w:tmpl w:val="D149B249"/>
    <w:lvl w:ilvl="0" w:tentative="0">
      <w:start w:val="19"/>
      <w:numFmt w:val="decimal"/>
      <w:suff w:val="space"/>
      <w:lvlText w:val="%1."/>
      <w:lvlJc w:val="left"/>
    </w:lvl>
  </w:abstractNum>
  <w:abstractNum w:abstractNumId="4">
    <w:nsid w:val="D7C8DE68"/>
    <w:multiLevelType w:val="singleLevel"/>
    <w:tmpl w:val="D7C8DE68"/>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9"/>
      <w:numFmt w:val="decimal"/>
      <w:pStyle w:val="446"/>
      <w:lvlText w:val="%1."/>
      <w:lvlJc w:val="left"/>
      <w:pPr>
        <w:tabs>
          <w:tab w:val="left" w:pos="312"/>
        </w:tabs>
      </w:pPr>
    </w:lvl>
  </w:abstractNum>
  <w:abstractNum w:abstractNumId="6">
    <w:nsid w:val="4731C571"/>
    <w:multiLevelType w:val="singleLevel"/>
    <w:tmpl w:val="4731C571"/>
    <w:lvl w:ilvl="0" w:tentative="0">
      <w:start w:val="33"/>
      <w:numFmt w:val="decimal"/>
      <w:lvlText w:val="%1."/>
      <w:lvlJc w:val="left"/>
      <w:pPr>
        <w:tabs>
          <w:tab w:val="left" w:pos="312"/>
        </w:tabs>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zNjOTkyYTllMDIxN2NjYWU5YTcxZmMyNGZkYjQifQ=="/>
  </w:docVars>
  <w:rsids>
    <w:rsidRoot w:val="005B3533"/>
    <w:rsid w:val="000053B7"/>
    <w:rsid w:val="00011A22"/>
    <w:rsid w:val="00020092"/>
    <w:rsid w:val="00050E5C"/>
    <w:rsid w:val="0006330F"/>
    <w:rsid w:val="00064262"/>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E79DC"/>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45403"/>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A5C25"/>
    <w:rsid w:val="00EB0656"/>
    <w:rsid w:val="00EB26D1"/>
    <w:rsid w:val="00EB3703"/>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4903A9"/>
    <w:rsid w:val="015A65CB"/>
    <w:rsid w:val="016E6DCC"/>
    <w:rsid w:val="016F4726"/>
    <w:rsid w:val="017114A5"/>
    <w:rsid w:val="017842DE"/>
    <w:rsid w:val="019571A4"/>
    <w:rsid w:val="01A85CF6"/>
    <w:rsid w:val="01D92940"/>
    <w:rsid w:val="01DA5A10"/>
    <w:rsid w:val="01DB319C"/>
    <w:rsid w:val="01DD1E9F"/>
    <w:rsid w:val="01DD4B3B"/>
    <w:rsid w:val="01E13B59"/>
    <w:rsid w:val="01EF13EE"/>
    <w:rsid w:val="020739D5"/>
    <w:rsid w:val="023522FA"/>
    <w:rsid w:val="023F66B6"/>
    <w:rsid w:val="02607008"/>
    <w:rsid w:val="026774FC"/>
    <w:rsid w:val="026D2583"/>
    <w:rsid w:val="02700596"/>
    <w:rsid w:val="0288383F"/>
    <w:rsid w:val="029E45BD"/>
    <w:rsid w:val="02AF1B27"/>
    <w:rsid w:val="02E45CC7"/>
    <w:rsid w:val="02ED79E5"/>
    <w:rsid w:val="03000794"/>
    <w:rsid w:val="03091115"/>
    <w:rsid w:val="03287ACA"/>
    <w:rsid w:val="032D3A42"/>
    <w:rsid w:val="032E6670"/>
    <w:rsid w:val="032F6F45"/>
    <w:rsid w:val="03367172"/>
    <w:rsid w:val="03414CA5"/>
    <w:rsid w:val="03504B24"/>
    <w:rsid w:val="03621775"/>
    <w:rsid w:val="03684A71"/>
    <w:rsid w:val="036B5067"/>
    <w:rsid w:val="036D00AF"/>
    <w:rsid w:val="037800D1"/>
    <w:rsid w:val="038D536B"/>
    <w:rsid w:val="039C3694"/>
    <w:rsid w:val="039C5BA0"/>
    <w:rsid w:val="03B9623A"/>
    <w:rsid w:val="03CC4D9B"/>
    <w:rsid w:val="03CE7C8F"/>
    <w:rsid w:val="03DD4779"/>
    <w:rsid w:val="03DE46EA"/>
    <w:rsid w:val="03E77005"/>
    <w:rsid w:val="03EC2B7B"/>
    <w:rsid w:val="03F6348B"/>
    <w:rsid w:val="03FA120B"/>
    <w:rsid w:val="03FE43AE"/>
    <w:rsid w:val="040F0986"/>
    <w:rsid w:val="04231131"/>
    <w:rsid w:val="043E0559"/>
    <w:rsid w:val="04407FCB"/>
    <w:rsid w:val="04480CE1"/>
    <w:rsid w:val="044B6418"/>
    <w:rsid w:val="04500690"/>
    <w:rsid w:val="045D1075"/>
    <w:rsid w:val="04664A43"/>
    <w:rsid w:val="046D4A7A"/>
    <w:rsid w:val="049A11BC"/>
    <w:rsid w:val="04B8274F"/>
    <w:rsid w:val="04E35692"/>
    <w:rsid w:val="04EF20CA"/>
    <w:rsid w:val="04FF173F"/>
    <w:rsid w:val="050C54EF"/>
    <w:rsid w:val="050F7AF7"/>
    <w:rsid w:val="051E25B2"/>
    <w:rsid w:val="053064DD"/>
    <w:rsid w:val="054742C7"/>
    <w:rsid w:val="05572737"/>
    <w:rsid w:val="055A1D03"/>
    <w:rsid w:val="055F7B9E"/>
    <w:rsid w:val="0568287C"/>
    <w:rsid w:val="056E448D"/>
    <w:rsid w:val="0578142E"/>
    <w:rsid w:val="05963B1E"/>
    <w:rsid w:val="05A60942"/>
    <w:rsid w:val="05CC12E2"/>
    <w:rsid w:val="05D3081E"/>
    <w:rsid w:val="05D70457"/>
    <w:rsid w:val="05DA64B7"/>
    <w:rsid w:val="05DE5D29"/>
    <w:rsid w:val="05F66454"/>
    <w:rsid w:val="06000652"/>
    <w:rsid w:val="061843BC"/>
    <w:rsid w:val="062F78B2"/>
    <w:rsid w:val="06417489"/>
    <w:rsid w:val="06464CE1"/>
    <w:rsid w:val="06573239"/>
    <w:rsid w:val="06752568"/>
    <w:rsid w:val="0683335E"/>
    <w:rsid w:val="06971860"/>
    <w:rsid w:val="06A76277"/>
    <w:rsid w:val="06AD7CBB"/>
    <w:rsid w:val="06DA4126"/>
    <w:rsid w:val="06F668B3"/>
    <w:rsid w:val="070D203D"/>
    <w:rsid w:val="071A149F"/>
    <w:rsid w:val="072623C9"/>
    <w:rsid w:val="073162F8"/>
    <w:rsid w:val="07415313"/>
    <w:rsid w:val="074628FE"/>
    <w:rsid w:val="07476917"/>
    <w:rsid w:val="074B3407"/>
    <w:rsid w:val="076158F6"/>
    <w:rsid w:val="077B0AE3"/>
    <w:rsid w:val="078C1D6D"/>
    <w:rsid w:val="078F7ABA"/>
    <w:rsid w:val="079429FD"/>
    <w:rsid w:val="07B33965"/>
    <w:rsid w:val="07BA39FD"/>
    <w:rsid w:val="07BE70C4"/>
    <w:rsid w:val="07C02047"/>
    <w:rsid w:val="07C2201C"/>
    <w:rsid w:val="07E029EC"/>
    <w:rsid w:val="07E263D1"/>
    <w:rsid w:val="07EB3442"/>
    <w:rsid w:val="080B233F"/>
    <w:rsid w:val="082A4D00"/>
    <w:rsid w:val="08327D56"/>
    <w:rsid w:val="08382B51"/>
    <w:rsid w:val="08621A08"/>
    <w:rsid w:val="08AF4880"/>
    <w:rsid w:val="08BB3CF8"/>
    <w:rsid w:val="08DB55EE"/>
    <w:rsid w:val="08F74842"/>
    <w:rsid w:val="090C7ACE"/>
    <w:rsid w:val="09104908"/>
    <w:rsid w:val="091A6E51"/>
    <w:rsid w:val="09211EA8"/>
    <w:rsid w:val="092F3FA2"/>
    <w:rsid w:val="094000D3"/>
    <w:rsid w:val="095473DE"/>
    <w:rsid w:val="09547CAD"/>
    <w:rsid w:val="097950BE"/>
    <w:rsid w:val="09862E2D"/>
    <w:rsid w:val="0990373C"/>
    <w:rsid w:val="09916DDD"/>
    <w:rsid w:val="09BE4C33"/>
    <w:rsid w:val="09C42B4D"/>
    <w:rsid w:val="09C56195"/>
    <w:rsid w:val="09D2138F"/>
    <w:rsid w:val="09EA2540"/>
    <w:rsid w:val="0A1E77DC"/>
    <w:rsid w:val="0A3E226C"/>
    <w:rsid w:val="0A4D7B7C"/>
    <w:rsid w:val="0A670B1F"/>
    <w:rsid w:val="0A7460B2"/>
    <w:rsid w:val="0A823CEB"/>
    <w:rsid w:val="0A8E0EBA"/>
    <w:rsid w:val="0A9173AA"/>
    <w:rsid w:val="0ABD632B"/>
    <w:rsid w:val="0AC018B0"/>
    <w:rsid w:val="0ACA0AE6"/>
    <w:rsid w:val="0AE41BA8"/>
    <w:rsid w:val="0AE767FD"/>
    <w:rsid w:val="0B154457"/>
    <w:rsid w:val="0B30096F"/>
    <w:rsid w:val="0B653E82"/>
    <w:rsid w:val="0B78105E"/>
    <w:rsid w:val="0B81776F"/>
    <w:rsid w:val="0B82196E"/>
    <w:rsid w:val="0B84338B"/>
    <w:rsid w:val="0B957097"/>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C55A5"/>
    <w:rsid w:val="0D144A9A"/>
    <w:rsid w:val="0D1A15D5"/>
    <w:rsid w:val="0D2729F3"/>
    <w:rsid w:val="0D2C5A88"/>
    <w:rsid w:val="0D4975B0"/>
    <w:rsid w:val="0D4A065F"/>
    <w:rsid w:val="0D501EA5"/>
    <w:rsid w:val="0D5E412D"/>
    <w:rsid w:val="0D720104"/>
    <w:rsid w:val="0D7743A7"/>
    <w:rsid w:val="0D8D3E4E"/>
    <w:rsid w:val="0DDC300B"/>
    <w:rsid w:val="0DDE0560"/>
    <w:rsid w:val="0DE820DC"/>
    <w:rsid w:val="0DF43970"/>
    <w:rsid w:val="0DFF7FE2"/>
    <w:rsid w:val="0E270CC8"/>
    <w:rsid w:val="0E2802E4"/>
    <w:rsid w:val="0E2A3C19"/>
    <w:rsid w:val="0E2D3511"/>
    <w:rsid w:val="0E4F531A"/>
    <w:rsid w:val="0E5F3AA0"/>
    <w:rsid w:val="0E842BAA"/>
    <w:rsid w:val="0E9647FF"/>
    <w:rsid w:val="0E983ACE"/>
    <w:rsid w:val="0EB06EB9"/>
    <w:rsid w:val="0EB208AB"/>
    <w:rsid w:val="0EBD541C"/>
    <w:rsid w:val="0ED2335F"/>
    <w:rsid w:val="0EE4486D"/>
    <w:rsid w:val="0EEA2A9B"/>
    <w:rsid w:val="0EFE54A8"/>
    <w:rsid w:val="0F053294"/>
    <w:rsid w:val="0F1C6C56"/>
    <w:rsid w:val="0F617A43"/>
    <w:rsid w:val="0F6B0AFC"/>
    <w:rsid w:val="0F6D575B"/>
    <w:rsid w:val="0F74458B"/>
    <w:rsid w:val="0F755507"/>
    <w:rsid w:val="0F8C0A60"/>
    <w:rsid w:val="0F9C598E"/>
    <w:rsid w:val="0FA51139"/>
    <w:rsid w:val="0FAA6DAA"/>
    <w:rsid w:val="0FCA38F7"/>
    <w:rsid w:val="0FE77A57"/>
    <w:rsid w:val="0FEA19B8"/>
    <w:rsid w:val="0FEE2832"/>
    <w:rsid w:val="0FF51D93"/>
    <w:rsid w:val="100B5D24"/>
    <w:rsid w:val="10102A21"/>
    <w:rsid w:val="10273C90"/>
    <w:rsid w:val="103819AC"/>
    <w:rsid w:val="103A1E90"/>
    <w:rsid w:val="105C3B34"/>
    <w:rsid w:val="105F58AC"/>
    <w:rsid w:val="106E22E2"/>
    <w:rsid w:val="10771491"/>
    <w:rsid w:val="10815624"/>
    <w:rsid w:val="10904B92"/>
    <w:rsid w:val="10907E3C"/>
    <w:rsid w:val="10924AD3"/>
    <w:rsid w:val="10B4201D"/>
    <w:rsid w:val="10B43DB0"/>
    <w:rsid w:val="10C3614D"/>
    <w:rsid w:val="10CB5992"/>
    <w:rsid w:val="10F26BDC"/>
    <w:rsid w:val="1106605B"/>
    <w:rsid w:val="112D433B"/>
    <w:rsid w:val="112F3D99"/>
    <w:rsid w:val="11342369"/>
    <w:rsid w:val="11472DC8"/>
    <w:rsid w:val="11491C7C"/>
    <w:rsid w:val="114A6F49"/>
    <w:rsid w:val="11534DF8"/>
    <w:rsid w:val="11566614"/>
    <w:rsid w:val="117635B2"/>
    <w:rsid w:val="117A1736"/>
    <w:rsid w:val="117A5D8E"/>
    <w:rsid w:val="117F4DC6"/>
    <w:rsid w:val="11874B5D"/>
    <w:rsid w:val="11A1386B"/>
    <w:rsid w:val="11A510B3"/>
    <w:rsid w:val="11B4471C"/>
    <w:rsid w:val="11B64DB5"/>
    <w:rsid w:val="11CE0656"/>
    <w:rsid w:val="11D00C85"/>
    <w:rsid w:val="11DB0A96"/>
    <w:rsid w:val="11E80F39"/>
    <w:rsid w:val="12026A19"/>
    <w:rsid w:val="120E4807"/>
    <w:rsid w:val="121410E2"/>
    <w:rsid w:val="12301AE7"/>
    <w:rsid w:val="12347CD5"/>
    <w:rsid w:val="124C3305"/>
    <w:rsid w:val="125A0DAB"/>
    <w:rsid w:val="12977D6E"/>
    <w:rsid w:val="129D39F5"/>
    <w:rsid w:val="12E62EA4"/>
    <w:rsid w:val="13103B2D"/>
    <w:rsid w:val="13110E08"/>
    <w:rsid w:val="13285110"/>
    <w:rsid w:val="133E688D"/>
    <w:rsid w:val="133F2AD6"/>
    <w:rsid w:val="13450604"/>
    <w:rsid w:val="138B15E4"/>
    <w:rsid w:val="13954308"/>
    <w:rsid w:val="13A1281B"/>
    <w:rsid w:val="13A8509F"/>
    <w:rsid w:val="13DA0C71"/>
    <w:rsid w:val="14231F17"/>
    <w:rsid w:val="144D5ECF"/>
    <w:rsid w:val="147A543A"/>
    <w:rsid w:val="149371D6"/>
    <w:rsid w:val="14942891"/>
    <w:rsid w:val="14A26550"/>
    <w:rsid w:val="14A276A2"/>
    <w:rsid w:val="14A71C69"/>
    <w:rsid w:val="14B24B51"/>
    <w:rsid w:val="14B85505"/>
    <w:rsid w:val="14E04B12"/>
    <w:rsid w:val="14E632DA"/>
    <w:rsid w:val="14F002D3"/>
    <w:rsid w:val="14F32CDA"/>
    <w:rsid w:val="15065D8D"/>
    <w:rsid w:val="152D4BA4"/>
    <w:rsid w:val="15347683"/>
    <w:rsid w:val="153B29E4"/>
    <w:rsid w:val="15713DA7"/>
    <w:rsid w:val="15761F97"/>
    <w:rsid w:val="157B57FF"/>
    <w:rsid w:val="15A30627"/>
    <w:rsid w:val="15A75BCB"/>
    <w:rsid w:val="15C65513"/>
    <w:rsid w:val="15CD2329"/>
    <w:rsid w:val="15D11246"/>
    <w:rsid w:val="15F20E8D"/>
    <w:rsid w:val="15FC02F6"/>
    <w:rsid w:val="161426C7"/>
    <w:rsid w:val="162E64CC"/>
    <w:rsid w:val="163A5FE3"/>
    <w:rsid w:val="163B6372"/>
    <w:rsid w:val="16403DB5"/>
    <w:rsid w:val="16450281"/>
    <w:rsid w:val="164D3B25"/>
    <w:rsid w:val="164E5D06"/>
    <w:rsid w:val="165226B5"/>
    <w:rsid w:val="165C1919"/>
    <w:rsid w:val="167270ED"/>
    <w:rsid w:val="16815185"/>
    <w:rsid w:val="168C0E7B"/>
    <w:rsid w:val="16986E8A"/>
    <w:rsid w:val="16A90DAB"/>
    <w:rsid w:val="16B965DF"/>
    <w:rsid w:val="16D70206"/>
    <w:rsid w:val="170963F8"/>
    <w:rsid w:val="174F48F1"/>
    <w:rsid w:val="17522D9E"/>
    <w:rsid w:val="175401EC"/>
    <w:rsid w:val="177C5224"/>
    <w:rsid w:val="178674AA"/>
    <w:rsid w:val="17886D19"/>
    <w:rsid w:val="17905436"/>
    <w:rsid w:val="1794007B"/>
    <w:rsid w:val="179C125C"/>
    <w:rsid w:val="17B07142"/>
    <w:rsid w:val="17C231DE"/>
    <w:rsid w:val="17DD417D"/>
    <w:rsid w:val="17F30145"/>
    <w:rsid w:val="17FF788A"/>
    <w:rsid w:val="180D33A6"/>
    <w:rsid w:val="18276C54"/>
    <w:rsid w:val="183543BF"/>
    <w:rsid w:val="183B2ED3"/>
    <w:rsid w:val="18933F59"/>
    <w:rsid w:val="189975CD"/>
    <w:rsid w:val="189A548D"/>
    <w:rsid w:val="18AE6667"/>
    <w:rsid w:val="18D54727"/>
    <w:rsid w:val="18E14395"/>
    <w:rsid w:val="18FD0D8C"/>
    <w:rsid w:val="191C263F"/>
    <w:rsid w:val="192A2DE3"/>
    <w:rsid w:val="192D0BBE"/>
    <w:rsid w:val="19575099"/>
    <w:rsid w:val="195B2CD4"/>
    <w:rsid w:val="198A7AC0"/>
    <w:rsid w:val="1993112E"/>
    <w:rsid w:val="19945121"/>
    <w:rsid w:val="19C340D1"/>
    <w:rsid w:val="19C44475"/>
    <w:rsid w:val="19CA7395"/>
    <w:rsid w:val="19F81434"/>
    <w:rsid w:val="19FA4090"/>
    <w:rsid w:val="19FA79D0"/>
    <w:rsid w:val="1A184E60"/>
    <w:rsid w:val="1A1D6F29"/>
    <w:rsid w:val="1A23796E"/>
    <w:rsid w:val="1A2F1FB7"/>
    <w:rsid w:val="1A574945"/>
    <w:rsid w:val="1A8D72A4"/>
    <w:rsid w:val="1A97792D"/>
    <w:rsid w:val="1AAF1A1F"/>
    <w:rsid w:val="1AE31FAA"/>
    <w:rsid w:val="1B3C15F9"/>
    <w:rsid w:val="1B5310EE"/>
    <w:rsid w:val="1B5D4DDF"/>
    <w:rsid w:val="1B612879"/>
    <w:rsid w:val="1B6415FF"/>
    <w:rsid w:val="1B657081"/>
    <w:rsid w:val="1B664B02"/>
    <w:rsid w:val="1B7A0E8E"/>
    <w:rsid w:val="1BA911BE"/>
    <w:rsid w:val="1BD14334"/>
    <w:rsid w:val="1BD143CB"/>
    <w:rsid w:val="1BE05C37"/>
    <w:rsid w:val="1C0038E5"/>
    <w:rsid w:val="1C1E650E"/>
    <w:rsid w:val="1C27133D"/>
    <w:rsid w:val="1C2A2BDE"/>
    <w:rsid w:val="1C461BF2"/>
    <w:rsid w:val="1C5A616E"/>
    <w:rsid w:val="1C5E2A60"/>
    <w:rsid w:val="1C672126"/>
    <w:rsid w:val="1C8A66C6"/>
    <w:rsid w:val="1C991A36"/>
    <w:rsid w:val="1CA6190B"/>
    <w:rsid w:val="1CAC4358"/>
    <w:rsid w:val="1CB20235"/>
    <w:rsid w:val="1CB63AD4"/>
    <w:rsid w:val="1CC418B7"/>
    <w:rsid w:val="1CD85960"/>
    <w:rsid w:val="1CFA2ACE"/>
    <w:rsid w:val="1CFC5E9D"/>
    <w:rsid w:val="1D220904"/>
    <w:rsid w:val="1D3C79E6"/>
    <w:rsid w:val="1D6B43AB"/>
    <w:rsid w:val="1D8F7689"/>
    <w:rsid w:val="1D9149A9"/>
    <w:rsid w:val="1D917DF9"/>
    <w:rsid w:val="1DA575B0"/>
    <w:rsid w:val="1DD51DD3"/>
    <w:rsid w:val="1DD62ACD"/>
    <w:rsid w:val="1DE2263A"/>
    <w:rsid w:val="1DEE2ACD"/>
    <w:rsid w:val="1E092B29"/>
    <w:rsid w:val="1E20277C"/>
    <w:rsid w:val="1E303A24"/>
    <w:rsid w:val="1E472EB9"/>
    <w:rsid w:val="1E6359B1"/>
    <w:rsid w:val="1E6B73A1"/>
    <w:rsid w:val="1EAC2360"/>
    <w:rsid w:val="1EBD007C"/>
    <w:rsid w:val="1EFC79EE"/>
    <w:rsid w:val="1F090B41"/>
    <w:rsid w:val="1F1F369F"/>
    <w:rsid w:val="1F2F3CAC"/>
    <w:rsid w:val="1F3F789D"/>
    <w:rsid w:val="1F612D89"/>
    <w:rsid w:val="1F680BA2"/>
    <w:rsid w:val="1F6D6B9B"/>
    <w:rsid w:val="1F8020CE"/>
    <w:rsid w:val="1F884DA0"/>
    <w:rsid w:val="1FBE6D3F"/>
    <w:rsid w:val="1FCD5877"/>
    <w:rsid w:val="1FCF67EB"/>
    <w:rsid w:val="1FD31DC3"/>
    <w:rsid w:val="1FD4596B"/>
    <w:rsid w:val="1FD47FE6"/>
    <w:rsid w:val="20045E15"/>
    <w:rsid w:val="20053897"/>
    <w:rsid w:val="20087C99"/>
    <w:rsid w:val="20270A5D"/>
    <w:rsid w:val="202D3637"/>
    <w:rsid w:val="203543E6"/>
    <w:rsid w:val="205E3900"/>
    <w:rsid w:val="206A35BB"/>
    <w:rsid w:val="20734143"/>
    <w:rsid w:val="20931BF2"/>
    <w:rsid w:val="20B9542D"/>
    <w:rsid w:val="20EF5C95"/>
    <w:rsid w:val="21041C00"/>
    <w:rsid w:val="2104629C"/>
    <w:rsid w:val="21170B21"/>
    <w:rsid w:val="211E3350"/>
    <w:rsid w:val="2148258B"/>
    <w:rsid w:val="216B481E"/>
    <w:rsid w:val="217D0370"/>
    <w:rsid w:val="21A23175"/>
    <w:rsid w:val="21B32625"/>
    <w:rsid w:val="21D320CC"/>
    <w:rsid w:val="21E9453B"/>
    <w:rsid w:val="21EB4182"/>
    <w:rsid w:val="21EF3D11"/>
    <w:rsid w:val="21F971D9"/>
    <w:rsid w:val="222212FD"/>
    <w:rsid w:val="223D1B17"/>
    <w:rsid w:val="225D0CCB"/>
    <w:rsid w:val="2268661C"/>
    <w:rsid w:val="229D5007"/>
    <w:rsid w:val="22FD3CF7"/>
    <w:rsid w:val="23055AE2"/>
    <w:rsid w:val="23100E8A"/>
    <w:rsid w:val="232079E6"/>
    <w:rsid w:val="232A43C0"/>
    <w:rsid w:val="233B6F6D"/>
    <w:rsid w:val="234A44CD"/>
    <w:rsid w:val="234B10F5"/>
    <w:rsid w:val="236D6B4E"/>
    <w:rsid w:val="238F7E04"/>
    <w:rsid w:val="239911F4"/>
    <w:rsid w:val="239A6C76"/>
    <w:rsid w:val="23AC19E3"/>
    <w:rsid w:val="23D322D3"/>
    <w:rsid w:val="23DB76DF"/>
    <w:rsid w:val="240F3CE2"/>
    <w:rsid w:val="241B3D4C"/>
    <w:rsid w:val="242106E3"/>
    <w:rsid w:val="242320B4"/>
    <w:rsid w:val="2437271F"/>
    <w:rsid w:val="243E45C7"/>
    <w:rsid w:val="244B7BF2"/>
    <w:rsid w:val="245F252D"/>
    <w:rsid w:val="24785650"/>
    <w:rsid w:val="249C349D"/>
    <w:rsid w:val="24A24B56"/>
    <w:rsid w:val="24A474E4"/>
    <w:rsid w:val="24C1313C"/>
    <w:rsid w:val="24E10292"/>
    <w:rsid w:val="24ED1154"/>
    <w:rsid w:val="24F829C8"/>
    <w:rsid w:val="25056918"/>
    <w:rsid w:val="251870E7"/>
    <w:rsid w:val="253C4D26"/>
    <w:rsid w:val="256A5012"/>
    <w:rsid w:val="2572021B"/>
    <w:rsid w:val="257F22D1"/>
    <w:rsid w:val="259A3A7F"/>
    <w:rsid w:val="25AE6362"/>
    <w:rsid w:val="25B76FF0"/>
    <w:rsid w:val="25BA7C7E"/>
    <w:rsid w:val="25C33172"/>
    <w:rsid w:val="25C65F86"/>
    <w:rsid w:val="25F25669"/>
    <w:rsid w:val="260E79FF"/>
    <w:rsid w:val="26145C7C"/>
    <w:rsid w:val="2620356A"/>
    <w:rsid w:val="26492CDC"/>
    <w:rsid w:val="266D3E6D"/>
    <w:rsid w:val="267731D1"/>
    <w:rsid w:val="267907D5"/>
    <w:rsid w:val="26B353DC"/>
    <w:rsid w:val="26B53690"/>
    <w:rsid w:val="26DC0619"/>
    <w:rsid w:val="27195933"/>
    <w:rsid w:val="273B3CF7"/>
    <w:rsid w:val="27475541"/>
    <w:rsid w:val="275671B8"/>
    <w:rsid w:val="277577D6"/>
    <w:rsid w:val="27762C81"/>
    <w:rsid w:val="279377FB"/>
    <w:rsid w:val="27967104"/>
    <w:rsid w:val="27996673"/>
    <w:rsid w:val="279D596A"/>
    <w:rsid w:val="27A50D40"/>
    <w:rsid w:val="27A7649B"/>
    <w:rsid w:val="27B055DB"/>
    <w:rsid w:val="27B824C4"/>
    <w:rsid w:val="27F87DFF"/>
    <w:rsid w:val="28331903"/>
    <w:rsid w:val="28586DA0"/>
    <w:rsid w:val="285F2F3A"/>
    <w:rsid w:val="286B1703"/>
    <w:rsid w:val="28865B09"/>
    <w:rsid w:val="289E124B"/>
    <w:rsid w:val="28BD2CF4"/>
    <w:rsid w:val="28F238F0"/>
    <w:rsid w:val="28F95311"/>
    <w:rsid w:val="291A0D29"/>
    <w:rsid w:val="295E6B72"/>
    <w:rsid w:val="29826D04"/>
    <w:rsid w:val="298F4EF3"/>
    <w:rsid w:val="299F78B6"/>
    <w:rsid w:val="29B3230C"/>
    <w:rsid w:val="29B97BA4"/>
    <w:rsid w:val="29CB06D7"/>
    <w:rsid w:val="29CC039F"/>
    <w:rsid w:val="29D30EAF"/>
    <w:rsid w:val="29D357B2"/>
    <w:rsid w:val="29E62EBE"/>
    <w:rsid w:val="2A04012A"/>
    <w:rsid w:val="2A164F5A"/>
    <w:rsid w:val="2A6B02A8"/>
    <w:rsid w:val="2A743136"/>
    <w:rsid w:val="2A7B2BC2"/>
    <w:rsid w:val="2A9845F0"/>
    <w:rsid w:val="2AA35A00"/>
    <w:rsid w:val="2ABF44AF"/>
    <w:rsid w:val="2AC63C23"/>
    <w:rsid w:val="2AFC4894"/>
    <w:rsid w:val="2B230BC7"/>
    <w:rsid w:val="2B25767C"/>
    <w:rsid w:val="2B3C2000"/>
    <w:rsid w:val="2B424A89"/>
    <w:rsid w:val="2B4C1378"/>
    <w:rsid w:val="2B5841C1"/>
    <w:rsid w:val="2B5A33D9"/>
    <w:rsid w:val="2B634913"/>
    <w:rsid w:val="2B664AA8"/>
    <w:rsid w:val="2B68108F"/>
    <w:rsid w:val="2B6F54BD"/>
    <w:rsid w:val="2B84102E"/>
    <w:rsid w:val="2B8751C0"/>
    <w:rsid w:val="2B8B0C1D"/>
    <w:rsid w:val="2BCB1306"/>
    <w:rsid w:val="2BCD0DE9"/>
    <w:rsid w:val="2BCE686B"/>
    <w:rsid w:val="2BD71724"/>
    <w:rsid w:val="2BEE56AA"/>
    <w:rsid w:val="2C197C11"/>
    <w:rsid w:val="2C5A484A"/>
    <w:rsid w:val="2C600130"/>
    <w:rsid w:val="2C974E26"/>
    <w:rsid w:val="2CC13BF5"/>
    <w:rsid w:val="2CCD05D7"/>
    <w:rsid w:val="2CE85574"/>
    <w:rsid w:val="2CEA3B3F"/>
    <w:rsid w:val="2D0068BE"/>
    <w:rsid w:val="2D1626FD"/>
    <w:rsid w:val="2D1C4BA9"/>
    <w:rsid w:val="2D44062F"/>
    <w:rsid w:val="2D880734"/>
    <w:rsid w:val="2D9F5D44"/>
    <w:rsid w:val="2DA127E9"/>
    <w:rsid w:val="2DBA61AE"/>
    <w:rsid w:val="2DD05C44"/>
    <w:rsid w:val="2DE00818"/>
    <w:rsid w:val="2DE30D73"/>
    <w:rsid w:val="2DFC3737"/>
    <w:rsid w:val="2E092E20"/>
    <w:rsid w:val="2E121023"/>
    <w:rsid w:val="2E144526"/>
    <w:rsid w:val="2E1B3EB1"/>
    <w:rsid w:val="2E1D799E"/>
    <w:rsid w:val="2E5E4C46"/>
    <w:rsid w:val="2E9564D6"/>
    <w:rsid w:val="2EAF7ABA"/>
    <w:rsid w:val="2EBE2575"/>
    <w:rsid w:val="2EF04710"/>
    <w:rsid w:val="2EFC2207"/>
    <w:rsid w:val="2F172C53"/>
    <w:rsid w:val="2F1808D1"/>
    <w:rsid w:val="2F3C63B4"/>
    <w:rsid w:val="2F3D1F5C"/>
    <w:rsid w:val="2F5E6405"/>
    <w:rsid w:val="2F6A44C2"/>
    <w:rsid w:val="2F7368A7"/>
    <w:rsid w:val="2FAA36C3"/>
    <w:rsid w:val="2FAE0E52"/>
    <w:rsid w:val="2FB865AB"/>
    <w:rsid w:val="2FB92659"/>
    <w:rsid w:val="2FB96E4E"/>
    <w:rsid w:val="2FCC1679"/>
    <w:rsid w:val="2FF47A4A"/>
    <w:rsid w:val="30041AE8"/>
    <w:rsid w:val="301D51DB"/>
    <w:rsid w:val="302A7494"/>
    <w:rsid w:val="302B1EEE"/>
    <w:rsid w:val="302C5C1C"/>
    <w:rsid w:val="306D7B1F"/>
    <w:rsid w:val="30902D63"/>
    <w:rsid w:val="309A7748"/>
    <w:rsid w:val="30DA099F"/>
    <w:rsid w:val="30DC72B8"/>
    <w:rsid w:val="30EC6FAC"/>
    <w:rsid w:val="30EF53E6"/>
    <w:rsid w:val="30F350F6"/>
    <w:rsid w:val="31057ECC"/>
    <w:rsid w:val="31122397"/>
    <w:rsid w:val="31393DCE"/>
    <w:rsid w:val="313E1763"/>
    <w:rsid w:val="313E79B5"/>
    <w:rsid w:val="31740F1E"/>
    <w:rsid w:val="317653A0"/>
    <w:rsid w:val="318B18A1"/>
    <w:rsid w:val="319B6CE9"/>
    <w:rsid w:val="31AC6F2B"/>
    <w:rsid w:val="31BA5621"/>
    <w:rsid w:val="31BD2FCF"/>
    <w:rsid w:val="31E72423"/>
    <w:rsid w:val="31F1357D"/>
    <w:rsid w:val="320A1F29"/>
    <w:rsid w:val="321D2357"/>
    <w:rsid w:val="323B37F3"/>
    <w:rsid w:val="32413B97"/>
    <w:rsid w:val="32490D4C"/>
    <w:rsid w:val="324D08CC"/>
    <w:rsid w:val="32891103"/>
    <w:rsid w:val="328A3658"/>
    <w:rsid w:val="32C0342E"/>
    <w:rsid w:val="32DB6FC7"/>
    <w:rsid w:val="32DC6FA1"/>
    <w:rsid w:val="32E64D8F"/>
    <w:rsid w:val="33257527"/>
    <w:rsid w:val="33267D80"/>
    <w:rsid w:val="334141A4"/>
    <w:rsid w:val="334C55A8"/>
    <w:rsid w:val="334F6D3D"/>
    <w:rsid w:val="33575FDA"/>
    <w:rsid w:val="337A0A4C"/>
    <w:rsid w:val="3380519E"/>
    <w:rsid w:val="33AF005B"/>
    <w:rsid w:val="33DA14EB"/>
    <w:rsid w:val="33E826A8"/>
    <w:rsid w:val="340B70F0"/>
    <w:rsid w:val="34152278"/>
    <w:rsid w:val="342C56A3"/>
    <w:rsid w:val="34356E11"/>
    <w:rsid w:val="34594EB1"/>
    <w:rsid w:val="345C39F7"/>
    <w:rsid w:val="34773A53"/>
    <w:rsid w:val="34785525"/>
    <w:rsid w:val="347F0388"/>
    <w:rsid w:val="348979BE"/>
    <w:rsid w:val="349F4C0E"/>
    <w:rsid w:val="34AC6619"/>
    <w:rsid w:val="34D20A45"/>
    <w:rsid w:val="350015E8"/>
    <w:rsid w:val="350506B1"/>
    <w:rsid w:val="35247985"/>
    <w:rsid w:val="35354FF1"/>
    <w:rsid w:val="35370DDB"/>
    <w:rsid w:val="35415CC5"/>
    <w:rsid w:val="354256C3"/>
    <w:rsid w:val="35445EF3"/>
    <w:rsid w:val="354A495E"/>
    <w:rsid w:val="35511985"/>
    <w:rsid w:val="356C5F96"/>
    <w:rsid w:val="35952619"/>
    <w:rsid w:val="35B55932"/>
    <w:rsid w:val="35B7305A"/>
    <w:rsid w:val="35CF2253"/>
    <w:rsid w:val="35D16939"/>
    <w:rsid w:val="35DA7F09"/>
    <w:rsid w:val="35E92FBB"/>
    <w:rsid w:val="35FB0557"/>
    <w:rsid w:val="36026AA7"/>
    <w:rsid w:val="360F30AC"/>
    <w:rsid w:val="36222011"/>
    <w:rsid w:val="36453517"/>
    <w:rsid w:val="36524DCE"/>
    <w:rsid w:val="36867804"/>
    <w:rsid w:val="36891E17"/>
    <w:rsid w:val="368F7C07"/>
    <w:rsid w:val="36A62889"/>
    <w:rsid w:val="36AC65E1"/>
    <w:rsid w:val="36D1436C"/>
    <w:rsid w:val="370152BB"/>
    <w:rsid w:val="371151BF"/>
    <w:rsid w:val="3715036C"/>
    <w:rsid w:val="371B7CF7"/>
    <w:rsid w:val="37306998"/>
    <w:rsid w:val="37322CBC"/>
    <w:rsid w:val="37364DBD"/>
    <w:rsid w:val="3738315E"/>
    <w:rsid w:val="373A57F2"/>
    <w:rsid w:val="37445638"/>
    <w:rsid w:val="374704C4"/>
    <w:rsid w:val="374B5BA2"/>
    <w:rsid w:val="37734130"/>
    <w:rsid w:val="37870763"/>
    <w:rsid w:val="37974803"/>
    <w:rsid w:val="37981102"/>
    <w:rsid w:val="37AA7989"/>
    <w:rsid w:val="37B41D4B"/>
    <w:rsid w:val="37B80E66"/>
    <w:rsid w:val="37C4374F"/>
    <w:rsid w:val="37CD795F"/>
    <w:rsid w:val="37F9FFC0"/>
    <w:rsid w:val="37FD2868"/>
    <w:rsid w:val="38014688"/>
    <w:rsid w:val="38194620"/>
    <w:rsid w:val="38310116"/>
    <w:rsid w:val="38483784"/>
    <w:rsid w:val="385A0A04"/>
    <w:rsid w:val="3878252B"/>
    <w:rsid w:val="387C0EB5"/>
    <w:rsid w:val="38B77E9B"/>
    <w:rsid w:val="38BA6025"/>
    <w:rsid w:val="38BC4357"/>
    <w:rsid w:val="38D23F20"/>
    <w:rsid w:val="38F4304F"/>
    <w:rsid w:val="392549AD"/>
    <w:rsid w:val="392C04C3"/>
    <w:rsid w:val="39417E72"/>
    <w:rsid w:val="39654509"/>
    <w:rsid w:val="396F69B4"/>
    <w:rsid w:val="3983100C"/>
    <w:rsid w:val="398D0725"/>
    <w:rsid w:val="399B2270"/>
    <w:rsid w:val="39D228A1"/>
    <w:rsid w:val="39DA212F"/>
    <w:rsid w:val="39DD7046"/>
    <w:rsid w:val="39F95935"/>
    <w:rsid w:val="39FB0887"/>
    <w:rsid w:val="3A0B68A2"/>
    <w:rsid w:val="3A2A049B"/>
    <w:rsid w:val="3A2A75FA"/>
    <w:rsid w:val="3A2B061E"/>
    <w:rsid w:val="3A3D2D97"/>
    <w:rsid w:val="3A7204EA"/>
    <w:rsid w:val="3A8E5120"/>
    <w:rsid w:val="3ABC01EE"/>
    <w:rsid w:val="3AC74A80"/>
    <w:rsid w:val="3AC84000"/>
    <w:rsid w:val="3AF41507"/>
    <w:rsid w:val="3B021F36"/>
    <w:rsid w:val="3B452519"/>
    <w:rsid w:val="3B52400F"/>
    <w:rsid w:val="3B942635"/>
    <w:rsid w:val="3B9B6557"/>
    <w:rsid w:val="3BAC2D91"/>
    <w:rsid w:val="3BC769F3"/>
    <w:rsid w:val="3BDF44B4"/>
    <w:rsid w:val="3BE432F7"/>
    <w:rsid w:val="3BF359E8"/>
    <w:rsid w:val="3BF94372"/>
    <w:rsid w:val="3C0B2548"/>
    <w:rsid w:val="3C0E6896"/>
    <w:rsid w:val="3C1B64BB"/>
    <w:rsid w:val="3C381E36"/>
    <w:rsid w:val="3C4E70C5"/>
    <w:rsid w:val="3C7623C1"/>
    <w:rsid w:val="3CA4480B"/>
    <w:rsid w:val="3CB22926"/>
    <w:rsid w:val="3CB477A3"/>
    <w:rsid w:val="3CB52527"/>
    <w:rsid w:val="3CBF4B32"/>
    <w:rsid w:val="3CD95BAD"/>
    <w:rsid w:val="3CDB3C72"/>
    <w:rsid w:val="3CEB717E"/>
    <w:rsid w:val="3D1069DA"/>
    <w:rsid w:val="3D2A7F67"/>
    <w:rsid w:val="3D614BBF"/>
    <w:rsid w:val="3D866FAA"/>
    <w:rsid w:val="3D993E1E"/>
    <w:rsid w:val="3DA71B01"/>
    <w:rsid w:val="3DB60AC0"/>
    <w:rsid w:val="3DB82847"/>
    <w:rsid w:val="3DDC3DA2"/>
    <w:rsid w:val="3DEE2977"/>
    <w:rsid w:val="3DF85193"/>
    <w:rsid w:val="3E171AC4"/>
    <w:rsid w:val="3E2A2088"/>
    <w:rsid w:val="3E2D5D2F"/>
    <w:rsid w:val="3E3E0189"/>
    <w:rsid w:val="3E560707"/>
    <w:rsid w:val="3E92439A"/>
    <w:rsid w:val="3EAA3358"/>
    <w:rsid w:val="3EAB07F9"/>
    <w:rsid w:val="3EAC7F9F"/>
    <w:rsid w:val="3ED62333"/>
    <w:rsid w:val="3EE11F9F"/>
    <w:rsid w:val="3EE549F5"/>
    <w:rsid w:val="3EF7158A"/>
    <w:rsid w:val="3EFF5F12"/>
    <w:rsid w:val="3F017AAD"/>
    <w:rsid w:val="3F077838"/>
    <w:rsid w:val="3F1B4469"/>
    <w:rsid w:val="3F224BED"/>
    <w:rsid w:val="3F4809F7"/>
    <w:rsid w:val="3F8216E0"/>
    <w:rsid w:val="3F843BBE"/>
    <w:rsid w:val="3FA32CC6"/>
    <w:rsid w:val="3FB47B8D"/>
    <w:rsid w:val="3FE23867"/>
    <w:rsid w:val="3FE54091"/>
    <w:rsid w:val="3FE61943"/>
    <w:rsid w:val="3FF17476"/>
    <w:rsid w:val="4003089F"/>
    <w:rsid w:val="400B001F"/>
    <w:rsid w:val="400C43FC"/>
    <w:rsid w:val="40217FC5"/>
    <w:rsid w:val="402406BD"/>
    <w:rsid w:val="40326890"/>
    <w:rsid w:val="403C59C0"/>
    <w:rsid w:val="405A3622"/>
    <w:rsid w:val="40623991"/>
    <w:rsid w:val="40657240"/>
    <w:rsid w:val="4086576B"/>
    <w:rsid w:val="408966EF"/>
    <w:rsid w:val="409A43F7"/>
    <w:rsid w:val="40AF0ADB"/>
    <w:rsid w:val="40D97773"/>
    <w:rsid w:val="40DB1222"/>
    <w:rsid w:val="40EE24DC"/>
    <w:rsid w:val="40F77B80"/>
    <w:rsid w:val="40FA1EA6"/>
    <w:rsid w:val="4127313D"/>
    <w:rsid w:val="413A6513"/>
    <w:rsid w:val="413B04EA"/>
    <w:rsid w:val="415C2E07"/>
    <w:rsid w:val="41A97B8E"/>
    <w:rsid w:val="41D731B5"/>
    <w:rsid w:val="41EB2AB3"/>
    <w:rsid w:val="4205365D"/>
    <w:rsid w:val="420B0DEA"/>
    <w:rsid w:val="420F4049"/>
    <w:rsid w:val="42295B17"/>
    <w:rsid w:val="422C360E"/>
    <w:rsid w:val="42503C7F"/>
    <w:rsid w:val="425D5371"/>
    <w:rsid w:val="42702248"/>
    <w:rsid w:val="427F7E2D"/>
    <w:rsid w:val="428414F0"/>
    <w:rsid w:val="42905FED"/>
    <w:rsid w:val="429338D8"/>
    <w:rsid w:val="429C1FDF"/>
    <w:rsid w:val="42AD715E"/>
    <w:rsid w:val="42B05E18"/>
    <w:rsid w:val="42C11812"/>
    <w:rsid w:val="42EF6C21"/>
    <w:rsid w:val="42F205FF"/>
    <w:rsid w:val="430516D1"/>
    <w:rsid w:val="431C0C27"/>
    <w:rsid w:val="432E54A2"/>
    <w:rsid w:val="433340CF"/>
    <w:rsid w:val="433832DD"/>
    <w:rsid w:val="434F017C"/>
    <w:rsid w:val="436A06BA"/>
    <w:rsid w:val="43966024"/>
    <w:rsid w:val="43990A6F"/>
    <w:rsid w:val="43A35F00"/>
    <w:rsid w:val="43D2324F"/>
    <w:rsid w:val="43DB6EC0"/>
    <w:rsid w:val="43EF5D63"/>
    <w:rsid w:val="43F6411F"/>
    <w:rsid w:val="440F4D37"/>
    <w:rsid w:val="441D5B50"/>
    <w:rsid w:val="442F6BA5"/>
    <w:rsid w:val="448434D9"/>
    <w:rsid w:val="449A1171"/>
    <w:rsid w:val="44AA7191"/>
    <w:rsid w:val="44C070D7"/>
    <w:rsid w:val="44DE0CB4"/>
    <w:rsid w:val="44EE00F9"/>
    <w:rsid w:val="44FC16F7"/>
    <w:rsid w:val="450C4F1D"/>
    <w:rsid w:val="45266E38"/>
    <w:rsid w:val="45344135"/>
    <w:rsid w:val="4536001D"/>
    <w:rsid w:val="453C49D0"/>
    <w:rsid w:val="453E1BA6"/>
    <w:rsid w:val="45495226"/>
    <w:rsid w:val="45534E7E"/>
    <w:rsid w:val="455659FE"/>
    <w:rsid w:val="45795008"/>
    <w:rsid w:val="4586705D"/>
    <w:rsid w:val="45876384"/>
    <w:rsid w:val="45912351"/>
    <w:rsid w:val="459A1911"/>
    <w:rsid w:val="459B196B"/>
    <w:rsid w:val="45D24FF7"/>
    <w:rsid w:val="45DD4DC1"/>
    <w:rsid w:val="45E91640"/>
    <w:rsid w:val="4617510C"/>
    <w:rsid w:val="461D6A8E"/>
    <w:rsid w:val="462D66FA"/>
    <w:rsid w:val="462F3918"/>
    <w:rsid w:val="46472A10"/>
    <w:rsid w:val="466B6D95"/>
    <w:rsid w:val="46780C70"/>
    <w:rsid w:val="46851FCA"/>
    <w:rsid w:val="4697073F"/>
    <w:rsid w:val="469E0B58"/>
    <w:rsid w:val="46A2629B"/>
    <w:rsid w:val="46AF4534"/>
    <w:rsid w:val="46B11CD5"/>
    <w:rsid w:val="46B3785E"/>
    <w:rsid w:val="46F97AAB"/>
    <w:rsid w:val="46FA1DA3"/>
    <w:rsid w:val="47430B28"/>
    <w:rsid w:val="47775452"/>
    <w:rsid w:val="477B03E8"/>
    <w:rsid w:val="478E5CD5"/>
    <w:rsid w:val="47AB6FCE"/>
    <w:rsid w:val="47B5739B"/>
    <w:rsid w:val="47BE36AE"/>
    <w:rsid w:val="47D85D6C"/>
    <w:rsid w:val="47DC5924"/>
    <w:rsid w:val="47EE4D13"/>
    <w:rsid w:val="47F66FEA"/>
    <w:rsid w:val="48172D6C"/>
    <w:rsid w:val="481935D8"/>
    <w:rsid w:val="481A3538"/>
    <w:rsid w:val="483B187F"/>
    <w:rsid w:val="48497FAC"/>
    <w:rsid w:val="485338EE"/>
    <w:rsid w:val="485E47AF"/>
    <w:rsid w:val="48823F01"/>
    <w:rsid w:val="489133E5"/>
    <w:rsid w:val="48931C1D"/>
    <w:rsid w:val="48A104E1"/>
    <w:rsid w:val="48A759E8"/>
    <w:rsid w:val="48B60321"/>
    <w:rsid w:val="48C86911"/>
    <w:rsid w:val="48CA2893"/>
    <w:rsid w:val="48DB7303"/>
    <w:rsid w:val="48F232BB"/>
    <w:rsid w:val="491E4377"/>
    <w:rsid w:val="493B2B85"/>
    <w:rsid w:val="49476BC8"/>
    <w:rsid w:val="495A3BE4"/>
    <w:rsid w:val="49601FFF"/>
    <w:rsid w:val="496C6BB4"/>
    <w:rsid w:val="496F2879"/>
    <w:rsid w:val="497345F8"/>
    <w:rsid w:val="497B39E0"/>
    <w:rsid w:val="4983317C"/>
    <w:rsid w:val="498404CE"/>
    <w:rsid w:val="499C3754"/>
    <w:rsid w:val="49B7484D"/>
    <w:rsid w:val="49BB0786"/>
    <w:rsid w:val="49CA15DA"/>
    <w:rsid w:val="49CB203A"/>
    <w:rsid w:val="49F90CD3"/>
    <w:rsid w:val="49FE0680"/>
    <w:rsid w:val="4A1C3B3B"/>
    <w:rsid w:val="4A3D03E0"/>
    <w:rsid w:val="4A4C2CEB"/>
    <w:rsid w:val="4A531BFE"/>
    <w:rsid w:val="4A6025A7"/>
    <w:rsid w:val="4A6401CF"/>
    <w:rsid w:val="4A64791A"/>
    <w:rsid w:val="4A6E7BB8"/>
    <w:rsid w:val="4A873352"/>
    <w:rsid w:val="4A9B7DF4"/>
    <w:rsid w:val="4AA74793"/>
    <w:rsid w:val="4AC35519"/>
    <w:rsid w:val="4AEA6325"/>
    <w:rsid w:val="4AF22A01"/>
    <w:rsid w:val="4B3777B4"/>
    <w:rsid w:val="4B51629E"/>
    <w:rsid w:val="4B5B2430"/>
    <w:rsid w:val="4BCF4727"/>
    <w:rsid w:val="4BD24D75"/>
    <w:rsid w:val="4BDE16DD"/>
    <w:rsid w:val="4BEE55BB"/>
    <w:rsid w:val="4C1656AE"/>
    <w:rsid w:val="4C1F6E90"/>
    <w:rsid w:val="4C570FDC"/>
    <w:rsid w:val="4C784527"/>
    <w:rsid w:val="4C7C5D8B"/>
    <w:rsid w:val="4C7F348C"/>
    <w:rsid w:val="4C80766E"/>
    <w:rsid w:val="4C8B2B22"/>
    <w:rsid w:val="4C9F1D79"/>
    <w:rsid w:val="4CC91BA1"/>
    <w:rsid w:val="4CE21929"/>
    <w:rsid w:val="4CE4545C"/>
    <w:rsid w:val="4CF17B79"/>
    <w:rsid w:val="4D377DC3"/>
    <w:rsid w:val="4D5A40F4"/>
    <w:rsid w:val="4D677E3B"/>
    <w:rsid w:val="4DC11902"/>
    <w:rsid w:val="4DC16DD5"/>
    <w:rsid w:val="4DF20B3F"/>
    <w:rsid w:val="4E1F19BD"/>
    <w:rsid w:val="4E4D7793"/>
    <w:rsid w:val="4E533B9E"/>
    <w:rsid w:val="4E944A86"/>
    <w:rsid w:val="4EAE429A"/>
    <w:rsid w:val="4EC15329"/>
    <w:rsid w:val="4ED57E88"/>
    <w:rsid w:val="4EE87E31"/>
    <w:rsid w:val="4EE96D5A"/>
    <w:rsid w:val="4F165675"/>
    <w:rsid w:val="4F213764"/>
    <w:rsid w:val="4F2A2171"/>
    <w:rsid w:val="4F314E1D"/>
    <w:rsid w:val="4F442E5D"/>
    <w:rsid w:val="4F44379D"/>
    <w:rsid w:val="4F545C2A"/>
    <w:rsid w:val="4F5A37B4"/>
    <w:rsid w:val="4F820602"/>
    <w:rsid w:val="4F886CA3"/>
    <w:rsid w:val="4FBC1439"/>
    <w:rsid w:val="4FBF4BE3"/>
    <w:rsid w:val="4FE626BF"/>
    <w:rsid w:val="5000564D"/>
    <w:rsid w:val="502838B2"/>
    <w:rsid w:val="50330D94"/>
    <w:rsid w:val="50421C69"/>
    <w:rsid w:val="504466E3"/>
    <w:rsid w:val="5076286F"/>
    <w:rsid w:val="507C3E36"/>
    <w:rsid w:val="508D0734"/>
    <w:rsid w:val="50CE3319"/>
    <w:rsid w:val="50D0772D"/>
    <w:rsid w:val="51051E45"/>
    <w:rsid w:val="510B1E8D"/>
    <w:rsid w:val="51442461"/>
    <w:rsid w:val="515007C0"/>
    <w:rsid w:val="51516081"/>
    <w:rsid w:val="515962F8"/>
    <w:rsid w:val="515C5909"/>
    <w:rsid w:val="516A3A56"/>
    <w:rsid w:val="516C2118"/>
    <w:rsid w:val="517664B3"/>
    <w:rsid w:val="517C04A2"/>
    <w:rsid w:val="51805044"/>
    <w:rsid w:val="51CB39BF"/>
    <w:rsid w:val="51DC782B"/>
    <w:rsid w:val="51DC7922"/>
    <w:rsid w:val="51F11262"/>
    <w:rsid w:val="51F50086"/>
    <w:rsid w:val="523019B3"/>
    <w:rsid w:val="523F0155"/>
    <w:rsid w:val="52461B6F"/>
    <w:rsid w:val="52474E42"/>
    <w:rsid w:val="526C46B1"/>
    <w:rsid w:val="52794C8A"/>
    <w:rsid w:val="527D63D3"/>
    <w:rsid w:val="52A515EE"/>
    <w:rsid w:val="52A5743C"/>
    <w:rsid w:val="52A673B3"/>
    <w:rsid w:val="53295FA3"/>
    <w:rsid w:val="53640D14"/>
    <w:rsid w:val="536B7B4C"/>
    <w:rsid w:val="53A76E30"/>
    <w:rsid w:val="53AB1E00"/>
    <w:rsid w:val="53D035D9"/>
    <w:rsid w:val="53D03DB1"/>
    <w:rsid w:val="53E14EEE"/>
    <w:rsid w:val="53E227A0"/>
    <w:rsid w:val="53EB7352"/>
    <w:rsid w:val="541926B1"/>
    <w:rsid w:val="54203E93"/>
    <w:rsid w:val="5422686A"/>
    <w:rsid w:val="542720D3"/>
    <w:rsid w:val="54275A1C"/>
    <w:rsid w:val="542B5673"/>
    <w:rsid w:val="54324DA4"/>
    <w:rsid w:val="54462AAE"/>
    <w:rsid w:val="54712F93"/>
    <w:rsid w:val="54AA5233"/>
    <w:rsid w:val="54BF7C08"/>
    <w:rsid w:val="54D526BD"/>
    <w:rsid w:val="54E37BAF"/>
    <w:rsid w:val="54F945DF"/>
    <w:rsid w:val="55050BB9"/>
    <w:rsid w:val="550D1A53"/>
    <w:rsid w:val="5514470E"/>
    <w:rsid w:val="551E1977"/>
    <w:rsid w:val="552A59D6"/>
    <w:rsid w:val="553F0A67"/>
    <w:rsid w:val="554C277D"/>
    <w:rsid w:val="5566566D"/>
    <w:rsid w:val="5572737D"/>
    <w:rsid w:val="55801BAC"/>
    <w:rsid w:val="558934D9"/>
    <w:rsid w:val="559343F8"/>
    <w:rsid w:val="55945546"/>
    <w:rsid w:val="55A048E4"/>
    <w:rsid w:val="55A84C13"/>
    <w:rsid w:val="55B80731"/>
    <w:rsid w:val="55BC501B"/>
    <w:rsid w:val="55C53C6A"/>
    <w:rsid w:val="55F35093"/>
    <w:rsid w:val="55FF537E"/>
    <w:rsid w:val="5620701B"/>
    <w:rsid w:val="563D098A"/>
    <w:rsid w:val="56623148"/>
    <w:rsid w:val="566717CE"/>
    <w:rsid w:val="566F5D6B"/>
    <w:rsid w:val="567A2B6B"/>
    <w:rsid w:val="569A4B9D"/>
    <w:rsid w:val="56AE7644"/>
    <w:rsid w:val="56D025AE"/>
    <w:rsid w:val="56D6509B"/>
    <w:rsid w:val="56E37EF6"/>
    <w:rsid w:val="56EE5184"/>
    <w:rsid w:val="56F225F5"/>
    <w:rsid w:val="571B011B"/>
    <w:rsid w:val="572C6AC1"/>
    <w:rsid w:val="574355A9"/>
    <w:rsid w:val="576158FB"/>
    <w:rsid w:val="577E261B"/>
    <w:rsid w:val="57952240"/>
    <w:rsid w:val="57952E30"/>
    <w:rsid w:val="57A604AB"/>
    <w:rsid w:val="57BF34B0"/>
    <w:rsid w:val="57BF51F9"/>
    <w:rsid w:val="57D7316D"/>
    <w:rsid w:val="57DF3E9C"/>
    <w:rsid w:val="5804599B"/>
    <w:rsid w:val="58105328"/>
    <w:rsid w:val="58191195"/>
    <w:rsid w:val="581F7145"/>
    <w:rsid w:val="582A7A9E"/>
    <w:rsid w:val="5867301D"/>
    <w:rsid w:val="588875E4"/>
    <w:rsid w:val="588F0397"/>
    <w:rsid w:val="589D1C70"/>
    <w:rsid w:val="58A96885"/>
    <w:rsid w:val="58B008E9"/>
    <w:rsid w:val="58B638C1"/>
    <w:rsid w:val="58B9564B"/>
    <w:rsid w:val="58CB2E83"/>
    <w:rsid w:val="58DC2558"/>
    <w:rsid w:val="58E819D3"/>
    <w:rsid w:val="58E96CBE"/>
    <w:rsid w:val="58FC6126"/>
    <w:rsid w:val="59024134"/>
    <w:rsid w:val="590A1DA2"/>
    <w:rsid w:val="591D0966"/>
    <w:rsid w:val="59266DFD"/>
    <w:rsid w:val="592E6ADF"/>
    <w:rsid w:val="59701E26"/>
    <w:rsid w:val="597C465F"/>
    <w:rsid w:val="59814F23"/>
    <w:rsid w:val="59907A7D"/>
    <w:rsid w:val="599E0097"/>
    <w:rsid w:val="59AC3452"/>
    <w:rsid w:val="59B00B7E"/>
    <w:rsid w:val="59BA410A"/>
    <w:rsid w:val="59C524D5"/>
    <w:rsid w:val="59D414DC"/>
    <w:rsid w:val="59E5393F"/>
    <w:rsid w:val="59E910F2"/>
    <w:rsid w:val="59FB2037"/>
    <w:rsid w:val="59FE6BB8"/>
    <w:rsid w:val="5A156A5E"/>
    <w:rsid w:val="5A200011"/>
    <w:rsid w:val="5A201415"/>
    <w:rsid w:val="5A3A0E2B"/>
    <w:rsid w:val="5A4E6713"/>
    <w:rsid w:val="5A5E13CF"/>
    <w:rsid w:val="5A5F09E5"/>
    <w:rsid w:val="5AA96B31"/>
    <w:rsid w:val="5ADB3276"/>
    <w:rsid w:val="5ADF7E93"/>
    <w:rsid w:val="5AEB2F58"/>
    <w:rsid w:val="5B7A08A2"/>
    <w:rsid w:val="5B7B5CBA"/>
    <w:rsid w:val="5B836631"/>
    <w:rsid w:val="5B8D2B5D"/>
    <w:rsid w:val="5BA23E80"/>
    <w:rsid w:val="5BAE46C1"/>
    <w:rsid w:val="5BF277E2"/>
    <w:rsid w:val="5BFF627E"/>
    <w:rsid w:val="5C024437"/>
    <w:rsid w:val="5C171A25"/>
    <w:rsid w:val="5C2E5019"/>
    <w:rsid w:val="5C372408"/>
    <w:rsid w:val="5C414DE8"/>
    <w:rsid w:val="5C570A5A"/>
    <w:rsid w:val="5C9238ED"/>
    <w:rsid w:val="5C98591B"/>
    <w:rsid w:val="5CB52A3B"/>
    <w:rsid w:val="5CC35690"/>
    <w:rsid w:val="5CC41329"/>
    <w:rsid w:val="5CC50CC2"/>
    <w:rsid w:val="5CCF5950"/>
    <w:rsid w:val="5CDC5791"/>
    <w:rsid w:val="5CDF6288"/>
    <w:rsid w:val="5CEB1EEF"/>
    <w:rsid w:val="5CF10C74"/>
    <w:rsid w:val="5CFC0118"/>
    <w:rsid w:val="5D33189B"/>
    <w:rsid w:val="5D3C01FC"/>
    <w:rsid w:val="5D54201E"/>
    <w:rsid w:val="5D5958B4"/>
    <w:rsid w:val="5D6B1203"/>
    <w:rsid w:val="5D6E725A"/>
    <w:rsid w:val="5D745F06"/>
    <w:rsid w:val="5D820C77"/>
    <w:rsid w:val="5D835912"/>
    <w:rsid w:val="5D8F6D1E"/>
    <w:rsid w:val="5DA7596F"/>
    <w:rsid w:val="5DA87DE0"/>
    <w:rsid w:val="5DBA4DF7"/>
    <w:rsid w:val="5DC310BE"/>
    <w:rsid w:val="5DCB1D21"/>
    <w:rsid w:val="5DD56E47"/>
    <w:rsid w:val="5DEA7DBC"/>
    <w:rsid w:val="5DEE5DA8"/>
    <w:rsid w:val="5E045388"/>
    <w:rsid w:val="5E0B315A"/>
    <w:rsid w:val="5E2C2894"/>
    <w:rsid w:val="5E2E6509"/>
    <w:rsid w:val="5E457D25"/>
    <w:rsid w:val="5E844D28"/>
    <w:rsid w:val="5E8940A1"/>
    <w:rsid w:val="5E8D4E37"/>
    <w:rsid w:val="5E940365"/>
    <w:rsid w:val="5E9F6680"/>
    <w:rsid w:val="5EA1374F"/>
    <w:rsid w:val="5EB72437"/>
    <w:rsid w:val="5EB86AF5"/>
    <w:rsid w:val="5EC23861"/>
    <w:rsid w:val="5ED21F89"/>
    <w:rsid w:val="5EE40B9B"/>
    <w:rsid w:val="5EF6729B"/>
    <w:rsid w:val="5EF808F3"/>
    <w:rsid w:val="5F022797"/>
    <w:rsid w:val="5F1A04A7"/>
    <w:rsid w:val="5F214EA0"/>
    <w:rsid w:val="5F276322"/>
    <w:rsid w:val="5F4D5684"/>
    <w:rsid w:val="5F5860C7"/>
    <w:rsid w:val="5F63118D"/>
    <w:rsid w:val="5FA62A45"/>
    <w:rsid w:val="5FB9411A"/>
    <w:rsid w:val="5FDD6B34"/>
    <w:rsid w:val="5FEB236A"/>
    <w:rsid w:val="5FF17AF7"/>
    <w:rsid w:val="600C08A3"/>
    <w:rsid w:val="60171F35"/>
    <w:rsid w:val="603C0E70"/>
    <w:rsid w:val="60444A7D"/>
    <w:rsid w:val="605178A7"/>
    <w:rsid w:val="605D4C28"/>
    <w:rsid w:val="60735155"/>
    <w:rsid w:val="60B5698B"/>
    <w:rsid w:val="60B71B8D"/>
    <w:rsid w:val="60FD44EB"/>
    <w:rsid w:val="61012499"/>
    <w:rsid w:val="6136238C"/>
    <w:rsid w:val="614B102D"/>
    <w:rsid w:val="61620C52"/>
    <w:rsid w:val="616D262E"/>
    <w:rsid w:val="6176052D"/>
    <w:rsid w:val="61841955"/>
    <w:rsid w:val="618941F1"/>
    <w:rsid w:val="618A1E17"/>
    <w:rsid w:val="61920BFB"/>
    <w:rsid w:val="61A84047"/>
    <w:rsid w:val="61AE3D33"/>
    <w:rsid w:val="61D615AF"/>
    <w:rsid w:val="61EF0F8B"/>
    <w:rsid w:val="61F71336"/>
    <w:rsid w:val="61FC0A35"/>
    <w:rsid w:val="620F7B24"/>
    <w:rsid w:val="621243C2"/>
    <w:rsid w:val="62550EC2"/>
    <w:rsid w:val="625E7607"/>
    <w:rsid w:val="627B095F"/>
    <w:rsid w:val="62A20E69"/>
    <w:rsid w:val="62B8390B"/>
    <w:rsid w:val="62D37F0E"/>
    <w:rsid w:val="62DD677E"/>
    <w:rsid w:val="62E83734"/>
    <w:rsid w:val="62EC2CC1"/>
    <w:rsid w:val="62F50E97"/>
    <w:rsid w:val="62F64FE7"/>
    <w:rsid w:val="63056EA3"/>
    <w:rsid w:val="63082288"/>
    <w:rsid w:val="6310583B"/>
    <w:rsid w:val="631C2DE5"/>
    <w:rsid w:val="633419F7"/>
    <w:rsid w:val="634E3EC3"/>
    <w:rsid w:val="635051A2"/>
    <w:rsid w:val="63513C84"/>
    <w:rsid w:val="635241C3"/>
    <w:rsid w:val="637473B8"/>
    <w:rsid w:val="63901267"/>
    <w:rsid w:val="639C0A01"/>
    <w:rsid w:val="63A80B14"/>
    <w:rsid w:val="63AD559E"/>
    <w:rsid w:val="63B401A2"/>
    <w:rsid w:val="63EA6DE7"/>
    <w:rsid w:val="64236257"/>
    <w:rsid w:val="64572560"/>
    <w:rsid w:val="646802C9"/>
    <w:rsid w:val="648F1840"/>
    <w:rsid w:val="64B8674B"/>
    <w:rsid w:val="64CC1DFF"/>
    <w:rsid w:val="64D97516"/>
    <w:rsid w:val="650A2CD2"/>
    <w:rsid w:val="65135B60"/>
    <w:rsid w:val="65187685"/>
    <w:rsid w:val="651E4E2C"/>
    <w:rsid w:val="6521472D"/>
    <w:rsid w:val="65347083"/>
    <w:rsid w:val="654F4FE5"/>
    <w:rsid w:val="65865E9F"/>
    <w:rsid w:val="65890E41"/>
    <w:rsid w:val="65A663D3"/>
    <w:rsid w:val="65C030DF"/>
    <w:rsid w:val="65C4199C"/>
    <w:rsid w:val="65D12F00"/>
    <w:rsid w:val="65D46021"/>
    <w:rsid w:val="65DE7FBC"/>
    <w:rsid w:val="65FD165F"/>
    <w:rsid w:val="66084D38"/>
    <w:rsid w:val="660E0B0A"/>
    <w:rsid w:val="66223BF7"/>
    <w:rsid w:val="662E6A71"/>
    <w:rsid w:val="66301C69"/>
    <w:rsid w:val="663E1840"/>
    <w:rsid w:val="666C7096"/>
    <w:rsid w:val="668869C6"/>
    <w:rsid w:val="66A678D4"/>
    <w:rsid w:val="66AF4608"/>
    <w:rsid w:val="66BE361D"/>
    <w:rsid w:val="66C53D3B"/>
    <w:rsid w:val="66D87AF9"/>
    <w:rsid w:val="66DB1411"/>
    <w:rsid w:val="66DE1953"/>
    <w:rsid w:val="66DF4A22"/>
    <w:rsid w:val="66E15165"/>
    <w:rsid w:val="66FB5C7F"/>
    <w:rsid w:val="67710478"/>
    <w:rsid w:val="677B1E9B"/>
    <w:rsid w:val="6780286C"/>
    <w:rsid w:val="6787315C"/>
    <w:rsid w:val="67BD2A9F"/>
    <w:rsid w:val="67BE4F1B"/>
    <w:rsid w:val="67C344D1"/>
    <w:rsid w:val="67D7520C"/>
    <w:rsid w:val="67DC19B5"/>
    <w:rsid w:val="67FC13D5"/>
    <w:rsid w:val="68347D07"/>
    <w:rsid w:val="685079F2"/>
    <w:rsid w:val="685C1EF3"/>
    <w:rsid w:val="68626BDC"/>
    <w:rsid w:val="68754EED"/>
    <w:rsid w:val="68792F37"/>
    <w:rsid w:val="688D3549"/>
    <w:rsid w:val="688D479A"/>
    <w:rsid w:val="68914293"/>
    <w:rsid w:val="68C2756A"/>
    <w:rsid w:val="68E06DC4"/>
    <w:rsid w:val="68EF30C0"/>
    <w:rsid w:val="68F0088D"/>
    <w:rsid w:val="690D0296"/>
    <w:rsid w:val="69174E12"/>
    <w:rsid w:val="694A61CA"/>
    <w:rsid w:val="695074D3"/>
    <w:rsid w:val="69995F07"/>
    <w:rsid w:val="69A4394B"/>
    <w:rsid w:val="69CD4538"/>
    <w:rsid w:val="69DF14E6"/>
    <w:rsid w:val="69F46F40"/>
    <w:rsid w:val="6A2E3D63"/>
    <w:rsid w:val="6A445338"/>
    <w:rsid w:val="6A736AB1"/>
    <w:rsid w:val="6A7D079A"/>
    <w:rsid w:val="6A961000"/>
    <w:rsid w:val="6AAE3893"/>
    <w:rsid w:val="6AB42D1F"/>
    <w:rsid w:val="6AD31520"/>
    <w:rsid w:val="6AE66E71"/>
    <w:rsid w:val="6AEE3C01"/>
    <w:rsid w:val="6B154282"/>
    <w:rsid w:val="6B1B22C6"/>
    <w:rsid w:val="6B2C2D57"/>
    <w:rsid w:val="6B483A91"/>
    <w:rsid w:val="6B62243D"/>
    <w:rsid w:val="6B721796"/>
    <w:rsid w:val="6B9F0E1E"/>
    <w:rsid w:val="6BAA605B"/>
    <w:rsid w:val="6BB10A0B"/>
    <w:rsid w:val="6BD30D56"/>
    <w:rsid w:val="6BD702F7"/>
    <w:rsid w:val="6BEC459F"/>
    <w:rsid w:val="6BF270CE"/>
    <w:rsid w:val="6BF914ED"/>
    <w:rsid w:val="6BFBAB96"/>
    <w:rsid w:val="6C19498A"/>
    <w:rsid w:val="6C2E2A8A"/>
    <w:rsid w:val="6C6F193B"/>
    <w:rsid w:val="6C700348"/>
    <w:rsid w:val="6C706D77"/>
    <w:rsid w:val="6C754489"/>
    <w:rsid w:val="6C7D6C05"/>
    <w:rsid w:val="6C891E9F"/>
    <w:rsid w:val="6CB334A2"/>
    <w:rsid w:val="6CBD2E59"/>
    <w:rsid w:val="6CC50C24"/>
    <w:rsid w:val="6CF84761"/>
    <w:rsid w:val="6CFB5196"/>
    <w:rsid w:val="6CFE2412"/>
    <w:rsid w:val="6D5411B2"/>
    <w:rsid w:val="6D652B07"/>
    <w:rsid w:val="6D9A3AEA"/>
    <w:rsid w:val="6DBF4F45"/>
    <w:rsid w:val="6DC61CBE"/>
    <w:rsid w:val="6DC72505"/>
    <w:rsid w:val="6DF026EB"/>
    <w:rsid w:val="6E0C4BC3"/>
    <w:rsid w:val="6E4E0F43"/>
    <w:rsid w:val="6E4E41FF"/>
    <w:rsid w:val="6E5B71E2"/>
    <w:rsid w:val="6E7440FF"/>
    <w:rsid w:val="6E927F9B"/>
    <w:rsid w:val="6E930520"/>
    <w:rsid w:val="6E975014"/>
    <w:rsid w:val="6E9C64BD"/>
    <w:rsid w:val="6ED21C8D"/>
    <w:rsid w:val="6EDF7DF5"/>
    <w:rsid w:val="6EF44215"/>
    <w:rsid w:val="6F0B4673"/>
    <w:rsid w:val="6F3473E5"/>
    <w:rsid w:val="6F3E1B52"/>
    <w:rsid w:val="6F3E3D86"/>
    <w:rsid w:val="6F410E91"/>
    <w:rsid w:val="6F5903D3"/>
    <w:rsid w:val="6F5A2F04"/>
    <w:rsid w:val="6F9E54E7"/>
    <w:rsid w:val="6FA14A68"/>
    <w:rsid w:val="6FAA39D1"/>
    <w:rsid w:val="6FAA74EA"/>
    <w:rsid w:val="6FC165CF"/>
    <w:rsid w:val="6FD6290B"/>
    <w:rsid w:val="6FDA6603"/>
    <w:rsid w:val="6FDB6D93"/>
    <w:rsid w:val="6FE25B6B"/>
    <w:rsid w:val="700C06A3"/>
    <w:rsid w:val="70721977"/>
    <w:rsid w:val="70745C8D"/>
    <w:rsid w:val="70760363"/>
    <w:rsid w:val="70833188"/>
    <w:rsid w:val="70DB3E63"/>
    <w:rsid w:val="70EE078E"/>
    <w:rsid w:val="70FD0687"/>
    <w:rsid w:val="71081111"/>
    <w:rsid w:val="71270FB3"/>
    <w:rsid w:val="713166BB"/>
    <w:rsid w:val="71425CBB"/>
    <w:rsid w:val="716F0310"/>
    <w:rsid w:val="71705FC9"/>
    <w:rsid w:val="718D0958"/>
    <w:rsid w:val="719E6674"/>
    <w:rsid w:val="71CD4E75"/>
    <w:rsid w:val="71DE5A3B"/>
    <w:rsid w:val="71E35433"/>
    <w:rsid w:val="71E44A95"/>
    <w:rsid w:val="72293C49"/>
    <w:rsid w:val="723050F8"/>
    <w:rsid w:val="724E4FA2"/>
    <w:rsid w:val="72506CC5"/>
    <w:rsid w:val="725325B9"/>
    <w:rsid w:val="725F4037"/>
    <w:rsid w:val="727042AD"/>
    <w:rsid w:val="72A049EC"/>
    <w:rsid w:val="72A9667D"/>
    <w:rsid w:val="72E31EB7"/>
    <w:rsid w:val="72F23AA2"/>
    <w:rsid w:val="72F91E31"/>
    <w:rsid w:val="73365C79"/>
    <w:rsid w:val="733A3E96"/>
    <w:rsid w:val="7363682B"/>
    <w:rsid w:val="736A5D47"/>
    <w:rsid w:val="736F0F97"/>
    <w:rsid w:val="737179EE"/>
    <w:rsid w:val="73774085"/>
    <w:rsid w:val="737819DC"/>
    <w:rsid w:val="738F302B"/>
    <w:rsid w:val="73966566"/>
    <w:rsid w:val="73AE2DD7"/>
    <w:rsid w:val="73B85BA3"/>
    <w:rsid w:val="74196686"/>
    <w:rsid w:val="74233153"/>
    <w:rsid w:val="74251D33"/>
    <w:rsid w:val="74353480"/>
    <w:rsid w:val="74481E55"/>
    <w:rsid w:val="745D2AE8"/>
    <w:rsid w:val="746A200A"/>
    <w:rsid w:val="746B313D"/>
    <w:rsid w:val="74740A98"/>
    <w:rsid w:val="7489001F"/>
    <w:rsid w:val="749A67C9"/>
    <w:rsid w:val="74A27042"/>
    <w:rsid w:val="74A9621B"/>
    <w:rsid w:val="74B80DF9"/>
    <w:rsid w:val="74F75E16"/>
    <w:rsid w:val="74FA5671"/>
    <w:rsid w:val="7521148F"/>
    <w:rsid w:val="752A52EA"/>
    <w:rsid w:val="752A6BC5"/>
    <w:rsid w:val="753D6E5D"/>
    <w:rsid w:val="755D620A"/>
    <w:rsid w:val="755E3B9C"/>
    <w:rsid w:val="758075D4"/>
    <w:rsid w:val="758D7A4D"/>
    <w:rsid w:val="7592220F"/>
    <w:rsid w:val="759A5F7F"/>
    <w:rsid w:val="75AA6219"/>
    <w:rsid w:val="75F234F5"/>
    <w:rsid w:val="75FC27A0"/>
    <w:rsid w:val="760A3CB4"/>
    <w:rsid w:val="76230FA6"/>
    <w:rsid w:val="762C2E26"/>
    <w:rsid w:val="763518A9"/>
    <w:rsid w:val="7641097A"/>
    <w:rsid w:val="76495653"/>
    <w:rsid w:val="764F4E86"/>
    <w:rsid w:val="76527399"/>
    <w:rsid w:val="765771A9"/>
    <w:rsid w:val="76662BEC"/>
    <w:rsid w:val="768A3309"/>
    <w:rsid w:val="76B33626"/>
    <w:rsid w:val="76B949B4"/>
    <w:rsid w:val="76E6374A"/>
    <w:rsid w:val="76EC4D8A"/>
    <w:rsid w:val="76EF6DD7"/>
    <w:rsid w:val="76FF0277"/>
    <w:rsid w:val="770164E5"/>
    <w:rsid w:val="77025A15"/>
    <w:rsid w:val="770A56C6"/>
    <w:rsid w:val="770C75F3"/>
    <w:rsid w:val="7714428A"/>
    <w:rsid w:val="771C6966"/>
    <w:rsid w:val="77257379"/>
    <w:rsid w:val="772F1899"/>
    <w:rsid w:val="77546D15"/>
    <w:rsid w:val="77591BE9"/>
    <w:rsid w:val="776506EB"/>
    <w:rsid w:val="77661522"/>
    <w:rsid w:val="776D40C1"/>
    <w:rsid w:val="777462C8"/>
    <w:rsid w:val="779B4B59"/>
    <w:rsid w:val="77B87AD6"/>
    <w:rsid w:val="77C12134"/>
    <w:rsid w:val="77DE1622"/>
    <w:rsid w:val="77E05E39"/>
    <w:rsid w:val="77EF4773"/>
    <w:rsid w:val="77EF6155"/>
    <w:rsid w:val="78095E2C"/>
    <w:rsid w:val="78193FB6"/>
    <w:rsid w:val="78367C29"/>
    <w:rsid w:val="7843265A"/>
    <w:rsid w:val="78475DCA"/>
    <w:rsid w:val="784F583C"/>
    <w:rsid w:val="786363F3"/>
    <w:rsid w:val="7881126C"/>
    <w:rsid w:val="7887764D"/>
    <w:rsid w:val="789C3FEE"/>
    <w:rsid w:val="78AC5F5A"/>
    <w:rsid w:val="78E0470C"/>
    <w:rsid w:val="78F10436"/>
    <w:rsid w:val="790C1713"/>
    <w:rsid w:val="79381C6E"/>
    <w:rsid w:val="796075AF"/>
    <w:rsid w:val="7974376B"/>
    <w:rsid w:val="79746AC8"/>
    <w:rsid w:val="79863FE5"/>
    <w:rsid w:val="798D141B"/>
    <w:rsid w:val="79A00398"/>
    <w:rsid w:val="79A376E3"/>
    <w:rsid w:val="79AB36E9"/>
    <w:rsid w:val="79BE31CC"/>
    <w:rsid w:val="79C36276"/>
    <w:rsid w:val="79C466B2"/>
    <w:rsid w:val="79E42912"/>
    <w:rsid w:val="7A0A223C"/>
    <w:rsid w:val="7A254E7A"/>
    <w:rsid w:val="7A2F6982"/>
    <w:rsid w:val="7A454629"/>
    <w:rsid w:val="7A5201EB"/>
    <w:rsid w:val="7A551201"/>
    <w:rsid w:val="7A5670F2"/>
    <w:rsid w:val="7A6841AF"/>
    <w:rsid w:val="7A8969A3"/>
    <w:rsid w:val="7A8976BD"/>
    <w:rsid w:val="7A9E28FC"/>
    <w:rsid w:val="7AA75347"/>
    <w:rsid w:val="7ABF0705"/>
    <w:rsid w:val="7AE33563"/>
    <w:rsid w:val="7AE96BD1"/>
    <w:rsid w:val="7AF53199"/>
    <w:rsid w:val="7B094167"/>
    <w:rsid w:val="7B1B6CA4"/>
    <w:rsid w:val="7B3661C2"/>
    <w:rsid w:val="7B3D4778"/>
    <w:rsid w:val="7B4C47A0"/>
    <w:rsid w:val="7B5007B7"/>
    <w:rsid w:val="7B671F02"/>
    <w:rsid w:val="7B716112"/>
    <w:rsid w:val="7B8878D2"/>
    <w:rsid w:val="7B9652C4"/>
    <w:rsid w:val="7B9B0B2D"/>
    <w:rsid w:val="7BA52164"/>
    <w:rsid w:val="7BB32FBA"/>
    <w:rsid w:val="7BC368A3"/>
    <w:rsid w:val="7C1E0E08"/>
    <w:rsid w:val="7C1F04B7"/>
    <w:rsid w:val="7C2646F0"/>
    <w:rsid w:val="7C3D1EE5"/>
    <w:rsid w:val="7C416BFD"/>
    <w:rsid w:val="7C4D7068"/>
    <w:rsid w:val="7C75642A"/>
    <w:rsid w:val="7C852D0B"/>
    <w:rsid w:val="7C8810B1"/>
    <w:rsid w:val="7C8A60CB"/>
    <w:rsid w:val="7CC14A62"/>
    <w:rsid w:val="7CD2057E"/>
    <w:rsid w:val="7CFF2350"/>
    <w:rsid w:val="7D0857B2"/>
    <w:rsid w:val="7D13378D"/>
    <w:rsid w:val="7D145441"/>
    <w:rsid w:val="7D424536"/>
    <w:rsid w:val="7D5847AD"/>
    <w:rsid w:val="7D592A4D"/>
    <w:rsid w:val="7D8A1D89"/>
    <w:rsid w:val="7D8E227D"/>
    <w:rsid w:val="7DCA3510"/>
    <w:rsid w:val="7DCB59C3"/>
    <w:rsid w:val="7DF65158"/>
    <w:rsid w:val="7DF70D09"/>
    <w:rsid w:val="7E027FF7"/>
    <w:rsid w:val="7E24488A"/>
    <w:rsid w:val="7E274433"/>
    <w:rsid w:val="7E2F2716"/>
    <w:rsid w:val="7E2F7B9D"/>
    <w:rsid w:val="7E322E22"/>
    <w:rsid w:val="7E573587"/>
    <w:rsid w:val="7E6416AA"/>
    <w:rsid w:val="7E820E9B"/>
    <w:rsid w:val="7E8A5499"/>
    <w:rsid w:val="7E9114B5"/>
    <w:rsid w:val="7EA3721E"/>
    <w:rsid w:val="7EB44715"/>
    <w:rsid w:val="7EBE547D"/>
    <w:rsid w:val="7EC04D90"/>
    <w:rsid w:val="7EE23ABA"/>
    <w:rsid w:val="7EEE748F"/>
    <w:rsid w:val="7F0206DD"/>
    <w:rsid w:val="7F297097"/>
    <w:rsid w:val="7F3F158A"/>
    <w:rsid w:val="7F4E64DD"/>
    <w:rsid w:val="7F5E72BF"/>
    <w:rsid w:val="7F761B34"/>
    <w:rsid w:val="7F862B2A"/>
    <w:rsid w:val="7FBA3C77"/>
    <w:rsid w:val="7FE71A67"/>
    <w:rsid w:val="7FE92714"/>
    <w:rsid w:val="9DBF22A7"/>
    <w:rsid w:val="B92BFDDD"/>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72"/>
    <w:autoRedefine/>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73"/>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1"/>
    <w:link w:val="71"/>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6">
    <w:name w:val="heading 4"/>
    <w:basedOn w:val="1"/>
    <w:next w:val="1"/>
    <w:link w:val="74"/>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5"/>
    <w:autoRedefine/>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6"/>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7"/>
    <w:autoRedefine/>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78"/>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79"/>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3">
    <w:name w:val="Default Paragraph Font"/>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12">
    <w:name w:val="toc 7"/>
    <w:basedOn w:val="1"/>
    <w:next w:val="1"/>
    <w:autoRedefine/>
    <w:qFormat/>
    <w:uiPriority w:val="39"/>
    <w:pPr>
      <w:ind w:left="2520" w:leftChars="1200"/>
    </w:pPr>
    <w:rPr>
      <w:rFonts w:ascii="Calibri" w:hAnsi="Calibri" w:cs="Calibri"/>
    </w:rPr>
  </w:style>
  <w:style w:type="paragraph" w:styleId="13">
    <w:name w:val="caption"/>
    <w:basedOn w:val="1"/>
    <w:next w:val="1"/>
    <w:link w:val="99"/>
    <w:autoRedefine/>
    <w:qFormat/>
    <w:uiPriority w:val="0"/>
    <w:pPr>
      <w:spacing w:before="152" w:after="160"/>
    </w:pPr>
    <w:rPr>
      <w:rFonts w:ascii="Arial" w:hAnsi="Arial" w:eastAsia="黑体"/>
      <w:sz w:val="20"/>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link w:val="80"/>
    <w:autoRedefine/>
    <w:qFormat/>
    <w:uiPriority w:val="99"/>
    <w:pPr>
      <w:widowControl/>
      <w:adjustRightInd w:val="0"/>
      <w:snapToGrid w:val="0"/>
      <w:spacing w:after="200"/>
      <w:jc w:val="left"/>
    </w:pPr>
    <w:rPr>
      <w:rFonts w:ascii="宋体" w:hAnsi="Tahoma" w:cs="宋体"/>
      <w:kern w:val="0"/>
      <w:sz w:val="18"/>
      <w:szCs w:val="18"/>
    </w:rPr>
  </w:style>
  <w:style w:type="paragraph" w:styleId="16">
    <w:name w:val="annotation text"/>
    <w:basedOn w:val="1"/>
    <w:link w:val="81"/>
    <w:autoRedefine/>
    <w:qFormat/>
    <w:uiPriority w:val="99"/>
    <w:pPr>
      <w:jc w:val="left"/>
    </w:pPr>
  </w:style>
  <w:style w:type="paragraph" w:styleId="17">
    <w:name w:val="Body Text 3"/>
    <w:basedOn w:val="1"/>
    <w:link w:val="82"/>
    <w:autoRedefine/>
    <w:qFormat/>
    <w:uiPriority w:val="0"/>
    <w:pPr>
      <w:widowControl/>
      <w:spacing w:line="360" w:lineRule="auto"/>
    </w:pPr>
    <w:rPr>
      <w:rFonts w:ascii="仿宋_GB2312" w:eastAsia="仿宋_GB2312" w:cs="仿宋_GB2312"/>
      <w:sz w:val="24"/>
      <w:szCs w:val="24"/>
    </w:rPr>
  </w:style>
  <w:style w:type="paragraph" w:styleId="18">
    <w:name w:val="Body Text"/>
    <w:basedOn w:val="1"/>
    <w:next w:val="19"/>
    <w:link w:val="83"/>
    <w:autoRedefine/>
    <w:qFormat/>
    <w:uiPriority w:val="0"/>
    <w:pPr>
      <w:tabs>
        <w:tab w:val="left" w:pos="208"/>
      </w:tabs>
      <w:spacing w:line="432" w:lineRule="auto"/>
    </w:pPr>
    <w:rPr>
      <w:rFonts w:ascii="仿宋_GB2312" w:eastAsia="仿宋_GB2312" w:cs="仿宋_GB2312"/>
      <w:sz w:val="28"/>
      <w:szCs w:val="28"/>
    </w:rPr>
  </w:style>
  <w:style w:type="paragraph" w:styleId="19">
    <w:name w:val="Body Text First Indent"/>
    <w:basedOn w:val="18"/>
    <w:next w:val="20"/>
    <w:link w:val="98"/>
    <w:autoRedefine/>
    <w:qFormat/>
    <w:uiPriority w:val="0"/>
    <w:pPr>
      <w:spacing w:after="120" w:line="240" w:lineRule="auto"/>
      <w:ind w:firstLine="420"/>
    </w:pPr>
    <w:rPr>
      <w:lang w:val="zh-CN"/>
    </w:rPr>
  </w:style>
  <w:style w:type="paragraph" w:styleId="20">
    <w:name w:val="toc 6"/>
    <w:basedOn w:val="1"/>
    <w:next w:val="1"/>
    <w:autoRedefine/>
    <w:qFormat/>
    <w:uiPriority w:val="39"/>
    <w:pPr>
      <w:ind w:left="2100" w:leftChars="1000"/>
    </w:pPr>
    <w:rPr>
      <w:rFonts w:ascii="Calibri" w:hAnsi="Calibri" w:cs="Calibri"/>
    </w:rPr>
  </w:style>
  <w:style w:type="paragraph" w:styleId="21">
    <w:name w:val="Body Text Indent"/>
    <w:basedOn w:val="1"/>
    <w:next w:val="2"/>
    <w:link w:val="84"/>
    <w:autoRedefine/>
    <w:qFormat/>
    <w:uiPriority w:val="0"/>
    <w:pPr>
      <w:ind w:firstLine="540"/>
    </w:pPr>
    <w:rPr>
      <w:sz w:val="28"/>
      <w:szCs w:val="28"/>
    </w:rPr>
  </w:style>
  <w:style w:type="paragraph" w:styleId="22">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autoRedefine/>
    <w:qFormat/>
    <w:uiPriority w:val="39"/>
    <w:pPr>
      <w:ind w:left="1680" w:leftChars="800"/>
    </w:pPr>
    <w:rPr>
      <w:rFonts w:ascii="Calibri" w:hAnsi="Calibri" w:cs="Calibri"/>
    </w:rPr>
  </w:style>
  <w:style w:type="paragraph" w:styleId="26">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1"/>
    <w:link w:val="85"/>
    <w:qFormat/>
    <w:uiPriority w:val="99"/>
    <w:rPr>
      <w:rFonts w:ascii="宋体" w:hAnsi="Courier New" w:cs="宋体"/>
    </w:rPr>
  </w:style>
  <w:style w:type="paragraph" w:styleId="28">
    <w:name w:val="toc 8"/>
    <w:basedOn w:val="1"/>
    <w:next w:val="1"/>
    <w:autoRedefine/>
    <w:qFormat/>
    <w:uiPriority w:val="39"/>
    <w:pPr>
      <w:ind w:left="2940" w:leftChars="1400"/>
    </w:pPr>
    <w:rPr>
      <w:rFonts w:ascii="Calibri" w:hAnsi="Calibri" w:cs="Calibri"/>
    </w:rPr>
  </w:style>
  <w:style w:type="paragraph" w:styleId="29">
    <w:name w:val="Date"/>
    <w:basedOn w:val="1"/>
    <w:next w:val="1"/>
    <w:link w:val="86"/>
    <w:autoRedefine/>
    <w:qFormat/>
    <w:uiPriority w:val="0"/>
    <w:pPr>
      <w:adjustRightInd w:val="0"/>
      <w:spacing w:line="312" w:lineRule="atLeast"/>
    </w:pPr>
    <w:rPr>
      <w:rFonts w:ascii="仿宋_GB2312" w:eastAsia="仿宋_GB2312" w:cs="仿宋_GB2312"/>
      <w:kern w:val="0"/>
      <w:sz w:val="28"/>
      <w:szCs w:val="28"/>
    </w:rPr>
  </w:style>
  <w:style w:type="paragraph" w:styleId="30">
    <w:name w:val="Body Text Indent 2"/>
    <w:basedOn w:val="1"/>
    <w:link w:val="87"/>
    <w:autoRedefine/>
    <w:qFormat/>
    <w:uiPriority w:val="0"/>
    <w:pPr>
      <w:snapToGrid w:val="0"/>
      <w:spacing w:line="400" w:lineRule="exact"/>
      <w:ind w:firstLine="480"/>
    </w:pPr>
    <w:rPr>
      <w:rFonts w:eastAsia="仿宋_GB2312"/>
      <w:sz w:val="24"/>
      <w:szCs w:val="24"/>
    </w:rPr>
  </w:style>
  <w:style w:type="paragraph" w:styleId="31">
    <w:name w:val="Balloon Text"/>
    <w:basedOn w:val="1"/>
    <w:link w:val="88"/>
    <w:autoRedefine/>
    <w:qFormat/>
    <w:uiPriority w:val="0"/>
    <w:rPr>
      <w:sz w:val="18"/>
      <w:szCs w:val="18"/>
    </w:rPr>
  </w:style>
  <w:style w:type="paragraph" w:styleId="32">
    <w:name w:val="footer"/>
    <w:basedOn w:val="1"/>
    <w:link w:val="89"/>
    <w:qFormat/>
    <w:uiPriority w:val="99"/>
    <w:pPr>
      <w:tabs>
        <w:tab w:val="center" w:pos="4153"/>
        <w:tab w:val="right" w:pos="8306"/>
      </w:tabs>
      <w:snapToGrid w:val="0"/>
      <w:jc w:val="left"/>
    </w:pPr>
    <w:rPr>
      <w:sz w:val="18"/>
      <w:szCs w:val="18"/>
    </w:rPr>
  </w:style>
  <w:style w:type="paragraph" w:styleId="33">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34">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7">
    <w:name w:val="toc 4"/>
    <w:basedOn w:val="1"/>
    <w:next w:val="1"/>
    <w:qFormat/>
    <w:uiPriority w:val="39"/>
    <w:pPr>
      <w:ind w:left="1260" w:leftChars="600"/>
    </w:pPr>
    <w:rPr>
      <w:rFonts w:ascii="Calibri" w:hAnsi="Calibri" w:cs="Calibri"/>
    </w:rPr>
  </w:style>
  <w:style w:type="paragraph" w:styleId="38">
    <w:name w:val="Subtitle"/>
    <w:basedOn w:val="1"/>
    <w:next w:val="1"/>
    <w:link w:val="92"/>
    <w:qFormat/>
    <w:uiPriority w:val="0"/>
    <w:pPr>
      <w:spacing w:before="240" w:after="60" w:line="312" w:lineRule="auto"/>
      <w:jc w:val="center"/>
      <w:outlineLvl w:val="1"/>
    </w:pPr>
    <w:rPr>
      <w:rFonts w:ascii="Cambria" w:hAnsi="Cambria" w:cs="Cambria"/>
      <w:b/>
      <w:bCs/>
      <w:kern w:val="28"/>
      <w:sz w:val="32"/>
      <w:szCs w:val="32"/>
    </w:rPr>
  </w:style>
  <w:style w:type="paragraph" w:styleId="39">
    <w:name w:val="List"/>
    <w:basedOn w:val="1"/>
    <w:autoRedefine/>
    <w:qFormat/>
    <w:uiPriority w:val="99"/>
    <w:pPr>
      <w:ind w:left="200" w:hanging="200" w:hangingChars="200"/>
    </w:pPr>
  </w:style>
  <w:style w:type="paragraph" w:styleId="40">
    <w:name w:val="Body Text Indent 3"/>
    <w:basedOn w:val="1"/>
    <w:link w:val="93"/>
    <w:autoRedefine/>
    <w:qFormat/>
    <w:uiPriority w:val="0"/>
    <w:pPr>
      <w:spacing w:line="360" w:lineRule="auto"/>
      <w:ind w:left="220"/>
      <w:jc w:val="left"/>
    </w:pPr>
    <w:rPr>
      <w:rFonts w:ascii="仿宋_GB2312" w:eastAsia="仿宋_GB2312" w:cs="仿宋_GB2312"/>
      <w:color w:val="000000"/>
      <w:sz w:val="24"/>
      <w:szCs w:val="24"/>
    </w:rPr>
  </w:style>
  <w:style w:type="paragraph" w:styleId="41">
    <w:name w:val="index 7"/>
    <w:basedOn w:val="1"/>
    <w:next w:val="1"/>
    <w:semiHidden/>
    <w:qFormat/>
    <w:uiPriority w:val="0"/>
    <w:pPr>
      <w:ind w:left="1200" w:leftChars="1200"/>
    </w:pPr>
  </w:style>
  <w:style w:type="paragraph" w:styleId="42">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autoRedefine/>
    <w:qFormat/>
    <w:uiPriority w:val="39"/>
    <w:pPr>
      <w:ind w:left="3360" w:leftChars="1600"/>
    </w:pPr>
    <w:rPr>
      <w:rFonts w:ascii="Calibri" w:hAnsi="Calibri" w:cs="Calibri"/>
    </w:rPr>
  </w:style>
  <w:style w:type="paragraph" w:styleId="44">
    <w:name w:val="Body Text 2"/>
    <w:basedOn w:val="1"/>
    <w:link w:val="94"/>
    <w:autoRedefine/>
    <w:qFormat/>
    <w:uiPriority w:val="0"/>
    <w:pPr>
      <w:spacing w:line="560" w:lineRule="exact"/>
    </w:pPr>
    <w:rPr>
      <w:rFonts w:ascii="仿宋_GB2312" w:eastAsia="仿宋_GB2312" w:cs="仿宋_GB2312"/>
      <w:sz w:val="24"/>
      <w:szCs w:val="24"/>
    </w:rPr>
  </w:style>
  <w:style w:type="paragraph" w:styleId="45">
    <w:name w:val="HTML Preformatted"/>
    <w:basedOn w:val="1"/>
    <w:link w:val="95"/>
    <w:qFormat/>
    <w:uiPriority w:val="0"/>
    <w:rPr>
      <w:rFonts w:ascii="Arial Unicode MS" w:hAnsi="Arial Unicode MS" w:cs="Arial Unicode MS"/>
      <w:kern w:val="0"/>
      <w:sz w:val="20"/>
      <w:szCs w:val="20"/>
    </w:rPr>
  </w:style>
  <w:style w:type="paragraph" w:styleId="46">
    <w:name w:val="Normal (Web)"/>
    <w:basedOn w:val="1"/>
    <w:link w:val="100"/>
    <w:autoRedefine/>
    <w:qFormat/>
    <w:uiPriority w:val="0"/>
    <w:pPr>
      <w:widowControl/>
      <w:jc w:val="left"/>
    </w:pPr>
    <w:rPr>
      <w:rFonts w:ascii="宋体"/>
      <w:kern w:val="0"/>
      <w:sz w:val="24"/>
      <w:szCs w:val="24"/>
    </w:rPr>
  </w:style>
  <w:style w:type="paragraph" w:styleId="47">
    <w:name w:val="Title"/>
    <w:basedOn w:val="1"/>
    <w:next w:val="1"/>
    <w:link w:val="96"/>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6"/>
    <w:next w:val="16"/>
    <w:link w:val="97"/>
    <w:autoRedefine/>
    <w:qFormat/>
    <w:uiPriority w:val="0"/>
    <w:rPr>
      <w:b/>
      <w:bCs/>
    </w:rPr>
  </w:style>
  <w:style w:type="paragraph" w:styleId="49">
    <w:name w:val="Body Text First Indent 2"/>
    <w:basedOn w:val="21"/>
    <w:autoRedefine/>
    <w:semiHidden/>
    <w:unhideWhenUsed/>
    <w:qFormat/>
    <w:uiPriority w:val="99"/>
    <w:pPr>
      <w:ind w:firstLine="420" w:firstLineChars="200"/>
    </w:pPr>
  </w:style>
  <w:style w:type="table" w:styleId="51">
    <w:name w:val="Table Grid"/>
    <w:basedOn w:val="5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Grid 4"/>
    <w:basedOn w:val="50"/>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4">
    <w:name w:val="Strong"/>
    <w:basedOn w:val="53"/>
    <w:autoRedefine/>
    <w:qFormat/>
    <w:uiPriority w:val="0"/>
  </w:style>
  <w:style w:type="character" w:styleId="55">
    <w:name w:val="page number"/>
    <w:basedOn w:val="53"/>
    <w:autoRedefine/>
    <w:qFormat/>
    <w:uiPriority w:val="0"/>
  </w:style>
  <w:style w:type="character" w:styleId="56">
    <w:name w:val="FollowedHyperlink"/>
    <w:autoRedefine/>
    <w:qFormat/>
    <w:uiPriority w:val="99"/>
    <w:rPr>
      <w:color w:val="800080"/>
      <w:u w:val="single"/>
    </w:rPr>
  </w:style>
  <w:style w:type="character" w:styleId="57">
    <w:name w:val="Emphasis"/>
    <w:autoRedefine/>
    <w:qFormat/>
    <w:uiPriority w:val="0"/>
    <w:rPr>
      <w:color w:val="auto"/>
    </w:rPr>
  </w:style>
  <w:style w:type="character" w:styleId="58">
    <w:name w:val="HTML Definition"/>
    <w:basedOn w:val="53"/>
    <w:autoRedefine/>
    <w:qFormat/>
    <w:uiPriority w:val="0"/>
  </w:style>
  <w:style w:type="character" w:styleId="59">
    <w:name w:val="HTML Variable"/>
    <w:basedOn w:val="53"/>
    <w:autoRedefine/>
    <w:qFormat/>
    <w:uiPriority w:val="0"/>
  </w:style>
  <w:style w:type="character" w:styleId="60">
    <w:name w:val="Hyperlink"/>
    <w:autoRedefine/>
    <w:qFormat/>
    <w:uiPriority w:val="99"/>
    <w:rPr>
      <w:color w:val="0000FF"/>
      <w:u w:val="single"/>
    </w:rPr>
  </w:style>
  <w:style w:type="character" w:styleId="61">
    <w:name w:val="HTML Code"/>
    <w:autoRedefine/>
    <w:qFormat/>
    <w:uiPriority w:val="0"/>
    <w:rPr>
      <w:rFonts w:ascii="Courier New" w:hAnsi="Courier New" w:cs="Courier New"/>
      <w:sz w:val="20"/>
      <w:szCs w:val="20"/>
    </w:rPr>
  </w:style>
  <w:style w:type="character" w:styleId="62">
    <w:name w:val="annotation reference"/>
    <w:autoRedefine/>
    <w:qFormat/>
    <w:uiPriority w:val="0"/>
    <w:rPr>
      <w:sz w:val="21"/>
      <w:szCs w:val="21"/>
    </w:rPr>
  </w:style>
  <w:style w:type="character" w:styleId="63">
    <w:name w:val="HTML Cite"/>
    <w:basedOn w:val="53"/>
    <w:autoRedefine/>
    <w:qFormat/>
    <w:uiPriority w:val="0"/>
  </w:style>
  <w:style w:type="character" w:styleId="64">
    <w:name w:val="HTML Keyboard"/>
    <w:autoRedefine/>
    <w:qFormat/>
    <w:uiPriority w:val="0"/>
    <w:rPr>
      <w:rFonts w:ascii="Courier New" w:hAnsi="Courier New" w:cs="Courier New"/>
      <w:sz w:val="20"/>
      <w:szCs w:val="20"/>
    </w:rPr>
  </w:style>
  <w:style w:type="character" w:styleId="65">
    <w:name w:val="HTML Sample"/>
    <w:autoRedefine/>
    <w:qFormat/>
    <w:uiPriority w:val="0"/>
    <w:rPr>
      <w:rFonts w:ascii="Courier New" w:hAnsi="Courier New" w:cs="Courier New"/>
    </w:rPr>
  </w:style>
  <w:style w:type="paragraph" w:customStyle="1" w:styleId="66">
    <w:name w:val="表格文字"/>
    <w:basedOn w:val="27"/>
    <w:next w:val="18"/>
    <w:autoRedefine/>
    <w:qFormat/>
    <w:uiPriority w:val="99"/>
    <w:pPr>
      <w:adjustRightInd w:val="0"/>
      <w:spacing w:line="420" w:lineRule="atLeast"/>
      <w:textAlignment w:val="baseline"/>
    </w:pPr>
    <w:rPr>
      <w:rFonts w:ascii="Calibri" w:hAnsi="Calibri" w:cs="Calibri"/>
    </w:rPr>
  </w:style>
  <w:style w:type="paragraph" w:customStyle="1" w:styleId="67">
    <w:name w:val="章正文"/>
    <w:basedOn w:val="1"/>
    <w:autoRedefine/>
    <w:qFormat/>
    <w:uiPriority w:val="0"/>
    <w:pPr>
      <w:spacing w:before="156" w:beforeLines="50" w:after="120" w:line="300" w:lineRule="auto"/>
      <w:ind w:firstLine="480"/>
    </w:pPr>
    <w:rPr>
      <w:rFonts w:ascii="Helvetica" w:hAnsi="Helvetica"/>
      <w:kern w:val="0"/>
      <w:sz w:val="24"/>
    </w:rPr>
  </w:style>
  <w:style w:type="paragraph" w:customStyle="1" w:styleId="68">
    <w:name w:val="Default"/>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69">
    <w:name w:val="样式 表格正文 + 两端对齐"/>
    <w:basedOn w:val="1"/>
    <w:next w:val="70"/>
    <w:autoRedefine/>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autoRedefine/>
    <w:qFormat/>
    <w:uiPriority w:val="0"/>
    <w:rPr>
      <w:rFonts w:ascii="Times New Roman" w:hAnsi="Times New Roman" w:eastAsia="宋体" w:cs="Times New Roman"/>
      <w:sz w:val="24"/>
      <w:szCs w:val="24"/>
      <w:lang w:val="en-US" w:eastAsia="zh-CN" w:bidi="ar-SA"/>
    </w:rPr>
  </w:style>
  <w:style w:type="character" w:customStyle="1" w:styleId="71">
    <w:name w:val="标题 3 Char"/>
    <w:link w:val="5"/>
    <w:autoRedefine/>
    <w:qFormat/>
    <w:uiPriority w:val="0"/>
    <w:rPr>
      <w:rFonts w:ascii="仿宋_GB2312" w:eastAsia="仿宋_GB2312" w:cs="仿宋_GB2312"/>
      <w:b/>
      <w:bCs/>
      <w:kern w:val="2"/>
      <w:sz w:val="30"/>
      <w:szCs w:val="30"/>
    </w:rPr>
  </w:style>
  <w:style w:type="character" w:customStyle="1" w:styleId="72">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73">
    <w:name w:val="标题 2 Char"/>
    <w:link w:val="4"/>
    <w:autoRedefine/>
    <w:qFormat/>
    <w:uiPriority w:val="9"/>
    <w:rPr>
      <w:rFonts w:ascii="仿宋_GB2312" w:eastAsia="仿宋_GB2312" w:cs="仿宋_GB2312"/>
      <w:b/>
      <w:bCs/>
      <w:sz w:val="36"/>
      <w:szCs w:val="36"/>
    </w:rPr>
  </w:style>
  <w:style w:type="character" w:customStyle="1" w:styleId="74">
    <w:name w:val="标题 4 Char"/>
    <w:link w:val="6"/>
    <w:autoRedefine/>
    <w:qFormat/>
    <w:uiPriority w:val="0"/>
    <w:rPr>
      <w:rFonts w:ascii="Arial" w:hAnsi="Arial" w:eastAsia="黑体" w:cs="Arial"/>
      <w:b/>
      <w:bCs/>
      <w:color w:val="000000"/>
      <w:kern w:val="2"/>
      <w:sz w:val="28"/>
      <w:szCs w:val="28"/>
    </w:rPr>
  </w:style>
  <w:style w:type="character" w:customStyle="1" w:styleId="75">
    <w:name w:val="标题 5 Char"/>
    <w:link w:val="7"/>
    <w:autoRedefine/>
    <w:qFormat/>
    <w:uiPriority w:val="0"/>
    <w:rPr>
      <w:b/>
      <w:bCs/>
      <w:color w:val="000000"/>
      <w:kern w:val="2"/>
      <w:sz w:val="28"/>
      <w:szCs w:val="28"/>
    </w:rPr>
  </w:style>
  <w:style w:type="character" w:customStyle="1" w:styleId="76">
    <w:name w:val="标题 6 Char"/>
    <w:link w:val="8"/>
    <w:autoRedefine/>
    <w:qFormat/>
    <w:uiPriority w:val="0"/>
    <w:rPr>
      <w:rFonts w:ascii="Arial" w:hAnsi="Arial" w:eastAsia="黑体" w:cs="Arial"/>
      <w:b/>
      <w:bCs/>
      <w:color w:val="000000"/>
      <w:kern w:val="2"/>
      <w:sz w:val="24"/>
      <w:szCs w:val="24"/>
    </w:rPr>
  </w:style>
  <w:style w:type="character" w:customStyle="1" w:styleId="77">
    <w:name w:val="标题 7 Char"/>
    <w:link w:val="9"/>
    <w:autoRedefine/>
    <w:qFormat/>
    <w:uiPriority w:val="0"/>
    <w:rPr>
      <w:b/>
      <w:bCs/>
      <w:color w:val="000000"/>
      <w:kern w:val="2"/>
      <w:sz w:val="24"/>
      <w:szCs w:val="24"/>
    </w:rPr>
  </w:style>
  <w:style w:type="character" w:customStyle="1" w:styleId="78">
    <w:name w:val="标题 8 Char"/>
    <w:link w:val="10"/>
    <w:autoRedefine/>
    <w:qFormat/>
    <w:uiPriority w:val="0"/>
    <w:rPr>
      <w:rFonts w:ascii="Arial" w:hAnsi="Arial" w:eastAsia="黑体" w:cs="Arial"/>
      <w:color w:val="000000"/>
      <w:kern w:val="2"/>
      <w:sz w:val="24"/>
      <w:szCs w:val="24"/>
    </w:rPr>
  </w:style>
  <w:style w:type="character" w:customStyle="1" w:styleId="79">
    <w:name w:val="标题 9 Char"/>
    <w:link w:val="11"/>
    <w:autoRedefine/>
    <w:qFormat/>
    <w:uiPriority w:val="0"/>
    <w:rPr>
      <w:rFonts w:ascii="Arial" w:hAnsi="Arial" w:eastAsia="黑体" w:cs="Arial"/>
      <w:color w:val="000000"/>
      <w:kern w:val="2"/>
      <w:sz w:val="21"/>
      <w:szCs w:val="21"/>
    </w:rPr>
  </w:style>
  <w:style w:type="character" w:customStyle="1" w:styleId="80">
    <w:name w:val="文档结构图 Char"/>
    <w:link w:val="15"/>
    <w:autoRedefine/>
    <w:qFormat/>
    <w:uiPriority w:val="99"/>
    <w:rPr>
      <w:rFonts w:ascii="宋体" w:hAnsi="Tahoma" w:cs="宋体"/>
      <w:sz w:val="18"/>
      <w:szCs w:val="18"/>
    </w:rPr>
  </w:style>
  <w:style w:type="character" w:customStyle="1" w:styleId="81">
    <w:name w:val="批注文字 Char1"/>
    <w:link w:val="16"/>
    <w:autoRedefine/>
    <w:qFormat/>
    <w:uiPriority w:val="99"/>
    <w:rPr>
      <w:kern w:val="2"/>
      <w:sz w:val="24"/>
      <w:szCs w:val="24"/>
    </w:rPr>
  </w:style>
  <w:style w:type="character" w:customStyle="1" w:styleId="82">
    <w:name w:val="正文文本 3 Char"/>
    <w:link w:val="17"/>
    <w:autoRedefine/>
    <w:qFormat/>
    <w:uiPriority w:val="0"/>
    <w:rPr>
      <w:rFonts w:ascii="仿宋_GB2312" w:eastAsia="仿宋_GB2312" w:cs="仿宋_GB2312"/>
      <w:kern w:val="2"/>
      <w:sz w:val="24"/>
      <w:szCs w:val="24"/>
    </w:rPr>
  </w:style>
  <w:style w:type="character" w:customStyle="1" w:styleId="83">
    <w:name w:val="正文文本 Char"/>
    <w:link w:val="18"/>
    <w:autoRedefine/>
    <w:qFormat/>
    <w:uiPriority w:val="0"/>
    <w:rPr>
      <w:rFonts w:ascii="仿宋_GB2312" w:eastAsia="仿宋_GB2312" w:cs="仿宋_GB2312"/>
      <w:kern w:val="2"/>
      <w:sz w:val="24"/>
      <w:szCs w:val="24"/>
    </w:rPr>
  </w:style>
  <w:style w:type="character" w:customStyle="1" w:styleId="84">
    <w:name w:val="正文文本缩进 Char"/>
    <w:link w:val="21"/>
    <w:autoRedefine/>
    <w:qFormat/>
    <w:uiPriority w:val="0"/>
    <w:rPr>
      <w:kern w:val="2"/>
      <w:sz w:val="28"/>
      <w:szCs w:val="28"/>
    </w:rPr>
  </w:style>
  <w:style w:type="character" w:customStyle="1" w:styleId="85">
    <w:name w:val="纯文本 Char"/>
    <w:link w:val="27"/>
    <w:autoRedefine/>
    <w:qFormat/>
    <w:uiPriority w:val="99"/>
    <w:rPr>
      <w:rFonts w:ascii="宋体" w:hAnsi="Courier New" w:eastAsia="宋体" w:cs="宋体"/>
      <w:kern w:val="2"/>
      <w:sz w:val="21"/>
      <w:szCs w:val="21"/>
      <w:lang w:val="en-US" w:eastAsia="zh-CN"/>
    </w:rPr>
  </w:style>
  <w:style w:type="character" w:customStyle="1" w:styleId="86">
    <w:name w:val="日期 Char"/>
    <w:link w:val="29"/>
    <w:autoRedefine/>
    <w:qFormat/>
    <w:uiPriority w:val="0"/>
    <w:rPr>
      <w:rFonts w:ascii="仿宋_GB2312" w:eastAsia="仿宋_GB2312" w:cs="仿宋_GB2312"/>
      <w:sz w:val="28"/>
      <w:szCs w:val="28"/>
    </w:rPr>
  </w:style>
  <w:style w:type="character" w:customStyle="1" w:styleId="87">
    <w:name w:val="正文文本缩进 2 Char1"/>
    <w:link w:val="30"/>
    <w:autoRedefine/>
    <w:qFormat/>
    <w:uiPriority w:val="0"/>
    <w:rPr>
      <w:rFonts w:eastAsia="仿宋_GB2312"/>
      <w:kern w:val="2"/>
      <w:sz w:val="24"/>
      <w:szCs w:val="24"/>
    </w:rPr>
  </w:style>
  <w:style w:type="character" w:customStyle="1" w:styleId="88">
    <w:name w:val="批注框文本 Char"/>
    <w:link w:val="31"/>
    <w:autoRedefine/>
    <w:qFormat/>
    <w:uiPriority w:val="0"/>
    <w:rPr>
      <w:kern w:val="2"/>
      <w:sz w:val="18"/>
      <w:szCs w:val="18"/>
    </w:rPr>
  </w:style>
  <w:style w:type="character" w:customStyle="1" w:styleId="89">
    <w:name w:val="页脚 Char"/>
    <w:link w:val="32"/>
    <w:autoRedefine/>
    <w:qFormat/>
    <w:uiPriority w:val="99"/>
    <w:rPr>
      <w:kern w:val="2"/>
      <w:sz w:val="18"/>
      <w:szCs w:val="18"/>
    </w:rPr>
  </w:style>
  <w:style w:type="character" w:customStyle="1" w:styleId="90">
    <w:name w:val="页眉 Char"/>
    <w:link w:val="34"/>
    <w:autoRedefine/>
    <w:qFormat/>
    <w:uiPriority w:val="99"/>
    <w:rPr>
      <w:sz w:val="18"/>
      <w:szCs w:val="18"/>
    </w:rPr>
  </w:style>
  <w:style w:type="character" w:customStyle="1" w:styleId="91">
    <w:name w:val="签名 Char"/>
    <w:link w:val="35"/>
    <w:autoRedefine/>
    <w:qFormat/>
    <w:uiPriority w:val="0"/>
    <w:rPr>
      <w:rFonts w:ascii="Arial" w:hAnsi="Arial" w:cs="Arial"/>
      <w:spacing w:val="-5"/>
      <w:sz w:val="24"/>
      <w:szCs w:val="24"/>
    </w:rPr>
  </w:style>
  <w:style w:type="character" w:customStyle="1" w:styleId="92">
    <w:name w:val="副标题 Char"/>
    <w:link w:val="38"/>
    <w:autoRedefine/>
    <w:qFormat/>
    <w:uiPriority w:val="0"/>
    <w:rPr>
      <w:rFonts w:ascii="Cambria" w:hAnsi="Cambria" w:cs="Cambria"/>
      <w:b/>
      <w:bCs/>
      <w:kern w:val="28"/>
      <w:sz w:val="32"/>
      <w:szCs w:val="32"/>
    </w:rPr>
  </w:style>
  <w:style w:type="character" w:customStyle="1" w:styleId="93">
    <w:name w:val="正文文本缩进 3 Char"/>
    <w:link w:val="40"/>
    <w:autoRedefine/>
    <w:qFormat/>
    <w:uiPriority w:val="0"/>
    <w:rPr>
      <w:rFonts w:ascii="仿宋_GB2312" w:eastAsia="仿宋_GB2312" w:cs="仿宋_GB2312"/>
      <w:color w:val="000000"/>
      <w:kern w:val="2"/>
      <w:sz w:val="24"/>
      <w:szCs w:val="24"/>
    </w:rPr>
  </w:style>
  <w:style w:type="character" w:customStyle="1" w:styleId="94">
    <w:name w:val="正文文本 2 Char"/>
    <w:link w:val="44"/>
    <w:autoRedefine/>
    <w:qFormat/>
    <w:uiPriority w:val="0"/>
    <w:rPr>
      <w:rFonts w:ascii="仿宋_GB2312" w:eastAsia="仿宋_GB2312" w:cs="仿宋_GB2312"/>
      <w:kern w:val="2"/>
      <w:sz w:val="24"/>
      <w:szCs w:val="24"/>
    </w:rPr>
  </w:style>
  <w:style w:type="character" w:customStyle="1" w:styleId="95">
    <w:name w:val="HTML 预设格式 Char"/>
    <w:link w:val="45"/>
    <w:autoRedefine/>
    <w:qFormat/>
    <w:uiPriority w:val="0"/>
    <w:rPr>
      <w:rFonts w:ascii="Arial Unicode MS" w:hAnsi="Arial Unicode MS" w:cs="Arial Unicode MS"/>
    </w:rPr>
  </w:style>
  <w:style w:type="character" w:customStyle="1" w:styleId="96">
    <w:name w:val="标题 Char"/>
    <w:link w:val="47"/>
    <w:autoRedefine/>
    <w:qFormat/>
    <w:uiPriority w:val="0"/>
    <w:rPr>
      <w:rFonts w:eastAsia="黑体"/>
      <w:b/>
      <w:bCs/>
      <w:sz w:val="28"/>
      <w:szCs w:val="28"/>
      <w:lang w:val="en-GB"/>
    </w:rPr>
  </w:style>
  <w:style w:type="character" w:customStyle="1" w:styleId="97">
    <w:name w:val="批注主题 Char1"/>
    <w:basedOn w:val="81"/>
    <w:link w:val="48"/>
    <w:autoRedefine/>
    <w:qFormat/>
    <w:uiPriority w:val="99"/>
    <w:rPr>
      <w:kern w:val="2"/>
      <w:sz w:val="24"/>
      <w:szCs w:val="24"/>
    </w:rPr>
  </w:style>
  <w:style w:type="character" w:customStyle="1" w:styleId="98">
    <w:name w:val="正文首行缩进 Char"/>
    <w:link w:val="19"/>
    <w:autoRedefine/>
    <w:qFormat/>
    <w:uiPriority w:val="0"/>
    <w:rPr>
      <w:rFonts w:ascii="仿宋_GB2312" w:eastAsia="仿宋_GB2312" w:cs="仿宋_GB2312"/>
      <w:kern w:val="2"/>
      <w:sz w:val="24"/>
      <w:szCs w:val="24"/>
      <w:lang w:val="zh-CN"/>
    </w:rPr>
  </w:style>
  <w:style w:type="character" w:customStyle="1" w:styleId="99">
    <w:name w:val="题注 Char"/>
    <w:link w:val="13"/>
    <w:autoRedefine/>
    <w:qFormat/>
    <w:uiPriority w:val="0"/>
    <w:rPr>
      <w:rFonts w:ascii="Arial" w:hAnsi="Arial" w:eastAsia="黑体" w:cs="Arial"/>
      <w:kern w:val="2"/>
    </w:rPr>
  </w:style>
  <w:style w:type="character" w:customStyle="1" w:styleId="100">
    <w:name w:val="普通(网站) Char"/>
    <w:link w:val="46"/>
    <w:autoRedefine/>
    <w:qFormat/>
    <w:uiPriority w:val="0"/>
    <w:rPr>
      <w:rFonts w:ascii="宋体" w:eastAsia="宋体" w:cs="宋体"/>
      <w:sz w:val="24"/>
      <w:szCs w:val="24"/>
    </w:rPr>
  </w:style>
  <w:style w:type="character" w:customStyle="1" w:styleId="101">
    <w:name w:val="纯文本 Char_0_0_0"/>
    <w:link w:val="102"/>
    <w:autoRedefine/>
    <w:qFormat/>
    <w:uiPriority w:val="0"/>
    <w:rPr>
      <w:rFonts w:ascii="宋体" w:hAnsi="Courier New" w:cs="宋体"/>
    </w:rPr>
  </w:style>
  <w:style w:type="paragraph" w:customStyle="1" w:styleId="102">
    <w:name w:val="纯文本_6_1"/>
    <w:basedOn w:val="103"/>
    <w:link w:val="101"/>
    <w:autoRedefine/>
    <w:qFormat/>
    <w:uiPriority w:val="0"/>
    <w:rPr>
      <w:rFonts w:ascii="宋体" w:hAnsi="Courier New"/>
      <w:kern w:val="0"/>
      <w:sz w:val="20"/>
      <w:szCs w:val="20"/>
    </w:rPr>
  </w:style>
  <w:style w:type="paragraph" w:customStyle="1" w:styleId="103">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4">
    <w:name w:val="font01"/>
    <w:basedOn w:val="53"/>
    <w:autoRedefine/>
    <w:qFormat/>
    <w:uiPriority w:val="0"/>
    <w:rPr>
      <w:rFonts w:ascii="Arial" w:hAnsi="Arial" w:cs="Arial"/>
      <w:color w:val="000000"/>
      <w:sz w:val="24"/>
      <w:szCs w:val="24"/>
      <w:u w:val="none"/>
    </w:rPr>
  </w:style>
  <w:style w:type="character" w:customStyle="1" w:styleId="105">
    <w:name w:val="访问过的超链接1"/>
    <w:autoRedefine/>
    <w:qFormat/>
    <w:uiPriority w:val="99"/>
    <w:rPr>
      <w:color w:val="800080"/>
      <w:u w:val="single"/>
    </w:rPr>
  </w:style>
  <w:style w:type="character" w:customStyle="1" w:styleId="106">
    <w:name w:val="正文 + 宋体 Char"/>
    <w:link w:val="107"/>
    <w:autoRedefine/>
    <w:qFormat/>
    <w:uiPriority w:val="0"/>
    <w:rPr>
      <w:rFonts w:ascii="宋体" w:eastAsia="宋体" w:cs="宋体"/>
      <w:b/>
      <w:bCs/>
      <w:sz w:val="24"/>
      <w:szCs w:val="24"/>
    </w:rPr>
  </w:style>
  <w:style w:type="paragraph" w:customStyle="1" w:styleId="107">
    <w:name w:val="正文 + 宋体"/>
    <w:basedOn w:val="32"/>
    <w:next w:val="1"/>
    <w:link w:val="106"/>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8">
    <w:name w:val="style21"/>
    <w:autoRedefine/>
    <w:qFormat/>
    <w:uiPriority w:val="0"/>
    <w:rPr>
      <w:color w:val="auto"/>
    </w:rPr>
  </w:style>
  <w:style w:type="character" w:customStyle="1" w:styleId="109">
    <w:name w:val="sort1"/>
    <w:basedOn w:val="53"/>
    <w:autoRedefine/>
    <w:qFormat/>
    <w:uiPriority w:val="0"/>
  </w:style>
  <w:style w:type="character" w:customStyle="1" w:styleId="110">
    <w:name w:val="bds_more8"/>
    <w:autoRedefine/>
    <w:qFormat/>
    <w:uiPriority w:val="0"/>
    <w:rPr>
      <w:rFonts w:ascii="宋体" w:hAnsi="宋体" w:eastAsia="宋体" w:cs="宋体"/>
    </w:rPr>
  </w:style>
  <w:style w:type="character" w:customStyle="1" w:styleId="111">
    <w:name w:val="正文2 Char"/>
    <w:link w:val="112"/>
    <w:autoRedefine/>
    <w:qFormat/>
    <w:uiPriority w:val="0"/>
  </w:style>
  <w:style w:type="paragraph" w:customStyle="1" w:styleId="112">
    <w:name w:val="正文2"/>
    <w:basedOn w:val="1"/>
    <w:link w:val="111"/>
    <w:autoRedefine/>
    <w:qFormat/>
    <w:uiPriority w:val="0"/>
    <w:pPr>
      <w:spacing w:line="300" w:lineRule="auto"/>
      <w:ind w:left="500" w:leftChars="500"/>
    </w:pPr>
    <w:rPr>
      <w:kern w:val="0"/>
      <w:sz w:val="20"/>
      <w:szCs w:val="20"/>
    </w:rPr>
  </w:style>
  <w:style w:type="character" w:customStyle="1" w:styleId="113">
    <w:name w:val="表正文 Char"/>
    <w:autoRedefine/>
    <w:qFormat/>
    <w:uiPriority w:val="0"/>
    <w:rPr>
      <w:rFonts w:eastAsia="宋体"/>
      <w:kern w:val="2"/>
      <w:sz w:val="21"/>
      <w:szCs w:val="21"/>
      <w:lang w:val="en-US" w:eastAsia="zh-CN"/>
    </w:rPr>
  </w:style>
  <w:style w:type="character" w:customStyle="1" w:styleId="114">
    <w:name w:val="zxot"/>
    <w:basedOn w:val="53"/>
    <w:autoRedefine/>
    <w:qFormat/>
    <w:uiPriority w:val="0"/>
  </w:style>
  <w:style w:type="character" w:customStyle="1" w:styleId="115">
    <w:name w:val="纯文本 Char_0_0"/>
    <w:link w:val="116"/>
    <w:autoRedefine/>
    <w:qFormat/>
    <w:uiPriority w:val="0"/>
    <w:rPr>
      <w:rFonts w:ascii="宋体" w:hAnsi="Courier New" w:cs="宋体"/>
    </w:rPr>
  </w:style>
  <w:style w:type="paragraph" w:customStyle="1" w:styleId="116">
    <w:name w:val="纯文本_6"/>
    <w:basedOn w:val="117"/>
    <w:link w:val="115"/>
    <w:autoRedefine/>
    <w:qFormat/>
    <w:uiPriority w:val="0"/>
    <w:rPr>
      <w:rFonts w:ascii="宋体" w:hAnsi="Courier New"/>
      <w:kern w:val="0"/>
      <w:sz w:val="20"/>
      <w:szCs w:val="20"/>
    </w:rPr>
  </w:style>
  <w:style w:type="paragraph" w:customStyle="1" w:styleId="117">
    <w:name w:val="正文_1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我的正文 Char"/>
    <w:link w:val="119"/>
    <w:autoRedefine/>
    <w:qFormat/>
    <w:uiPriority w:val="0"/>
    <w:rPr>
      <w:sz w:val="24"/>
      <w:szCs w:val="24"/>
    </w:rPr>
  </w:style>
  <w:style w:type="paragraph" w:customStyle="1" w:styleId="119">
    <w:name w:val="我的正文"/>
    <w:basedOn w:val="1"/>
    <w:link w:val="118"/>
    <w:autoRedefine/>
    <w:qFormat/>
    <w:uiPriority w:val="0"/>
    <w:pPr>
      <w:spacing w:line="360" w:lineRule="auto"/>
      <w:ind w:hanging="202" w:hangingChars="202"/>
      <w:jc w:val="left"/>
    </w:pPr>
    <w:rPr>
      <w:kern w:val="0"/>
      <w:sz w:val="24"/>
      <w:szCs w:val="24"/>
    </w:rPr>
  </w:style>
  <w:style w:type="character" w:customStyle="1" w:styleId="120">
    <w:name w:val="Char Char1_0"/>
    <w:link w:val="121"/>
    <w:autoRedefine/>
    <w:qFormat/>
    <w:uiPriority w:val="0"/>
    <w:rPr>
      <w:rFonts w:ascii="Tahoma" w:hAnsi="Tahoma" w:cs="Tahoma"/>
      <w:sz w:val="24"/>
      <w:szCs w:val="24"/>
    </w:rPr>
  </w:style>
  <w:style w:type="paragraph" w:customStyle="1" w:styleId="121">
    <w:name w:val="Char_0"/>
    <w:basedOn w:val="122"/>
    <w:link w:val="120"/>
    <w:autoRedefine/>
    <w:qFormat/>
    <w:uiPriority w:val="0"/>
    <w:rPr>
      <w:rFonts w:ascii="Tahoma" w:hAnsi="Tahoma"/>
      <w:kern w:val="0"/>
      <w:sz w:val="24"/>
      <w:szCs w:val="24"/>
    </w:rPr>
  </w:style>
  <w:style w:type="paragraph" w:customStyle="1" w:styleId="122">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3">
    <w:name w:val="bds_more"/>
    <w:basedOn w:val="53"/>
    <w:autoRedefine/>
    <w:qFormat/>
    <w:uiPriority w:val="0"/>
  </w:style>
  <w:style w:type="character" w:customStyle="1" w:styleId="124">
    <w:name w:val="Item List Char"/>
    <w:link w:val="125"/>
    <w:autoRedefine/>
    <w:qFormat/>
    <w:uiPriority w:val="0"/>
    <w:rPr>
      <w:rFonts w:ascii="Arial" w:hAnsi="Arial" w:cs="Arial"/>
      <w:sz w:val="21"/>
      <w:szCs w:val="21"/>
      <w:lang w:val="en-US" w:eastAsia="zh-CN" w:bidi="ar-SA"/>
    </w:rPr>
  </w:style>
  <w:style w:type="paragraph" w:customStyle="1" w:styleId="125">
    <w:name w:val="Item List"/>
    <w:link w:val="124"/>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6">
    <w:name w:val="i42"/>
    <w:basedOn w:val="53"/>
    <w:autoRedefine/>
    <w:qFormat/>
    <w:uiPriority w:val="0"/>
  </w:style>
  <w:style w:type="character" w:customStyle="1" w:styleId="127">
    <w:name w:val="zxpp"/>
    <w:autoRedefine/>
    <w:qFormat/>
    <w:uiPriority w:val="0"/>
    <w:rPr>
      <w:rFonts w:ascii="微软雅黑" w:hAnsi="微软雅黑" w:eastAsia="微软雅黑" w:cs="微软雅黑"/>
      <w:b/>
      <w:bCs/>
      <w:color w:val="auto"/>
      <w:sz w:val="24"/>
      <w:szCs w:val="24"/>
    </w:rPr>
  </w:style>
  <w:style w:type="character" w:customStyle="1" w:styleId="128">
    <w:name w:val="批注文字 Char2"/>
    <w:autoRedefine/>
    <w:qFormat/>
    <w:uiPriority w:val="99"/>
    <w:rPr>
      <w:rFonts w:ascii="Calibri" w:hAnsi="Calibri" w:eastAsia="宋体" w:cs="Calibri"/>
      <w:sz w:val="24"/>
      <w:szCs w:val="24"/>
    </w:rPr>
  </w:style>
  <w:style w:type="character" w:customStyle="1" w:styleId="129">
    <w:name w:val="font31"/>
    <w:basedOn w:val="53"/>
    <w:autoRedefine/>
    <w:qFormat/>
    <w:uiPriority w:val="0"/>
    <w:rPr>
      <w:rFonts w:ascii="宋体" w:hAnsi="宋体" w:eastAsia="宋体" w:cs="宋体"/>
      <w:color w:val="000000"/>
      <w:sz w:val="20"/>
      <w:szCs w:val="20"/>
      <w:u w:val="none"/>
    </w:rPr>
  </w:style>
  <w:style w:type="character" w:customStyle="1" w:styleId="130">
    <w:name w:val="无间隔 字符"/>
    <w:link w:val="131"/>
    <w:autoRedefine/>
    <w:qFormat/>
    <w:uiPriority w:val="1"/>
    <w:rPr>
      <w:rFonts w:ascii="等线" w:hAnsi="等线" w:eastAsia="等线" w:cs="等线"/>
      <w:sz w:val="22"/>
      <w:szCs w:val="22"/>
      <w:lang w:val="en-US" w:eastAsia="zh-CN" w:bidi="ar-SA"/>
    </w:rPr>
  </w:style>
  <w:style w:type="paragraph" w:customStyle="1" w:styleId="131">
    <w:name w:val="无间隔1"/>
    <w:link w:val="130"/>
    <w:autoRedefine/>
    <w:qFormat/>
    <w:uiPriority w:val="1"/>
    <w:rPr>
      <w:rFonts w:ascii="等线" w:hAnsi="等线" w:eastAsia="等线" w:cs="等线"/>
      <w:sz w:val="22"/>
      <w:szCs w:val="22"/>
      <w:lang w:val="en-US" w:eastAsia="zh-CN" w:bidi="ar-SA"/>
    </w:rPr>
  </w:style>
  <w:style w:type="character" w:customStyle="1" w:styleId="132">
    <w:name w:val="正文缩进 Char_0"/>
    <w:link w:val="133"/>
    <w:autoRedefine/>
    <w:qFormat/>
    <w:uiPriority w:val="0"/>
  </w:style>
  <w:style w:type="paragraph" w:customStyle="1" w:styleId="133">
    <w:name w:val="正文缩进_0"/>
    <w:basedOn w:val="134"/>
    <w:link w:val="132"/>
    <w:autoRedefine/>
    <w:qFormat/>
    <w:uiPriority w:val="0"/>
    <w:pPr>
      <w:ind w:firstLine="420"/>
    </w:pPr>
    <w:rPr>
      <w:rFonts w:ascii="Calibri" w:hAnsi="Calibri" w:cs="Calibri"/>
      <w:kern w:val="0"/>
      <w:sz w:val="20"/>
      <w:szCs w:val="20"/>
    </w:rPr>
  </w:style>
  <w:style w:type="paragraph" w:customStyle="1" w:styleId="134">
    <w:name w:val="正文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5">
    <w:name w:val="bds_more3"/>
    <w:basedOn w:val="53"/>
    <w:autoRedefine/>
    <w:qFormat/>
    <w:uiPriority w:val="0"/>
  </w:style>
  <w:style w:type="character" w:customStyle="1" w:styleId="136">
    <w:name w:val="font81"/>
    <w:autoRedefine/>
    <w:qFormat/>
    <w:uiPriority w:val="0"/>
    <w:rPr>
      <w:rFonts w:ascii="宋体" w:hAnsi="宋体" w:eastAsia="宋体" w:cs="宋体"/>
      <w:b/>
      <w:bCs/>
      <w:color w:val="FF0000"/>
      <w:sz w:val="20"/>
      <w:szCs w:val="20"/>
      <w:u w:val="none"/>
    </w:rPr>
  </w:style>
  <w:style w:type="character" w:customStyle="1" w:styleId="137">
    <w:name w:val="font51"/>
    <w:autoRedefine/>
    <w:qFormat/>
    <w:uiPriority w:val="0"/>
    <w:rPr>
      <w:rFonts w:ascii="宋体" w:hAnsi="宋体" w:eastAsia="宋体" w:cs="宋体"/>
      <w:color w:val="000000"/>
      <w:sz w:val="21"/>
      <w:szCs w:val="21"/>
      <w:u w:val="none"/>
    </w:rPr>
  </w:style>
  <w:style w:type="character" w:customStyle="1" w:styleId="138">
    <w:name w:val="纯文本 Char1_3"/>
    <w:link w:val="139"/>
    <w:autoRedefine/>
    <w:qFormat/>
    <w:uiPriority w:val="0"/>
    <w:rPr>
      <w:rFonts w:ascii="宋体" w:hAnsi="Courier New" w:cs="宋体"/>
      <w:kern w:val="2"/>
      <w:sz w:val="21"/>
      <w:szCs w:val="21"/>
      <w:lang w:val="en-US" w:eastAsia="zh-CN"/>
    </w:rPr>
  </w:style>
  <w:style w:type="paragraph" w:customStyle="1" w:styleId="139">
    <w:name w:val="纯文本_3"/>
    <w:basedOn w:val="140"/>
    <w:link w:val="138"/>
    <w:autoRedefine/>
    <w:qFormat/>
    <w:uiPriority w:val="0"/>
    <w:rPr>
      <w:rFonts w:ascii="宋体" w:hAnsi="Courier New"/>
    </w:rPr>
  </w:style>
  <w:style w:type="paragraph" w:customStyle="1" w:styleId="140">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1">
    <w:name w:val="sidecatalog-index1"/>
    <w:autoRedefine/>
    <w:qFormat/>
    <w:uiPriority w:val="0"/>
    <w:rPr>
      <w:rFonts w:ascii="Arial" w:hAnsi="Arial" w:cs="Arial"/>
      <w:b/>
      <w:bCs/>
      <w:color w:val="auto"/>
      <w:sz w:val="21"/>
      <w:szCs w:val="21"/>
    </w:rPr>
  </w:style>
  <w:style w:type="character" w:customStyle="1" w:styleId="142">
    <w:name w:val="font41"/>
    <w:autoRedefine/>
    <w:qFormat/>
    <w:uiPriority w:val="0"/>
    <w:rPr>
      <w:rFonts w:ascii="宋体" w:hAnsi="宋体" w:eastAsia="宋体" w:cs="宋体"/>
      <w:color w:val="000000"/>
      <w:sz w:val="20"/>
      <w:szCs w:val="20"/>
      <w:u w:val="none"/>
    </w:rPr>
  </w:style>
  <w:style w:type="character" w:customStyle="1" w:styleId="143">
    <w:name w:val="Char Char1_01"/>
    <w:link w:val="144"/>
    <w:autoRedefine/>
    <w:qFormat/>
    <w:uiPriority w:val="99"/>
    <w:rPr>
      <w:rFonts w:ascii="Tahoma" w:hAnsi="Tahoma" w:cs="Tahoma"/>
      <w:kern w:val="2"/>
      <w:sz w:val="24"/>
      <w:szCs w:val="24"/>
    </w:rPr>
  </w:style>
  <w:style w:type="paragraph" w:customStyle="1" w:styleId="144">
    <w:name w:val="Char_01"/>
    <w:basedOn w:val="122"/>
    <w:link w:val="143"/>
    <w:autoRedefine/>
    <w:qFormat/>
    <w:uiPriority w:val="99"/>
    <w:rPr>
      <w:rFonts w:ascii="Tahoma" w:hAnsi="Tahoma"/>
      <w:sz w:val="24"/>
      <w:szCs w:val="24"/>
    </w:rPr>
  </w:style>
  <w:style w:type="character" w:customStyle="1" w:styleId="145">
    <w:name w:val="Char Char1"/>
    <w:link w:val="146"/>
    <w:autoRedefine/>
    <w:qFormat/>
    <w:uiPriority w:val="0"/>
    <w:rPr>
      <w:rFonts w:ascii="Tahoma" w:hAnsi="Tahoma" w:cs="Tahoma"/>
      <w:kern w:val="2"/>
      <w:sz w:val="24"/>
      <w:szCs w:val="24"/>
    </w:rPr>
  </w:style>
  <w:style w:type="paragraph" w:customStyle="1" w:styleId="146">
    <w:name w:val="Char"/>
    <w:basedOn w:val="1"/>
    <w:link w:val="145"/>
    <w:autoRedefine/>
    <w:qFormat/>
    <w:uiPriority w:val="0"/>
    <w:rPr>
      <w:rFonts w:ascii="Tahoma" w:hAnsi="Tahoma"/>
      <w:sz w:val="24"/>
      <w:szCs w:val="24"/>
    </w:rPr>
  </w:style>
  <w:style w:type="character" w:customStyle="1" w:styleId="147">
    <w:name w:val="标题 Char2"/>
    <w:autoRedefine/>
    <w:qFormat/>
    <w:uiPriority w:val="10"/>
    <w:rPr>
      <w:rFonts w:ascii="Cambria" w:hAnsi="Cambria" w:eastAsia="宋体" w:cs="Cambria"/>
      <w:b/>
      <w:bCs/>
      <w:sz w:val="32"/>
      <w:szCs w:val="32"/>
    </w:rPr>
  </w:style>
  <w:style w:type="character" w:customStyle="1" w:styleId="148">
    <w:name w:val="bds_more7"/>
    <w:basedOn w:val="53"/>
    <w:autoRedefine/>
    <w:qFormat/>
    <w:uiPriority w:val="0"/>
  </w:style>
  <w:style w:type="character" w:customStyle="1" w:styleId="149">
    <w:name w:val="纯文本 Char1_0"/>
    <w:link w:val="150"/>
    <w:autoRedefine/>
    <w:qFormat/>
    <w:uiPriority w:val="99"/>
    <w:rPr>
      <w:rFonts w:ascii="宋体" w:hAnsi="Courier New" w:cs="宋体"/>
      <w:lang w:val="en-US" w:eastAsia="zh-CN"/>
    </w:rPr>
  </w:style>
  <w:style w:type="paragraph" w:customStyle="1" w:styleId="150">
    <w:name w:val="纯文本_0"/>
    <w:basedOn w:val="1"/>
    <w:link w:val="149"/>
    <w:autoRedefine/>
    <w:qFormat/>
    <w:uiPriority w:val="99"/>
    <w:rPr>
      <w:rFonts w:ascii="宋体" w:hAnsi="Courier New"/>
      <w:kern w:val="0"/>
      <w:sz w:val="20"/>
      <w:szCs w:val="20"/>
    </w:rPr>
  </w:style>
  <w:style w:type="character" w:customStyle="1" w:styleId="151">
    <w:name w:val="cai"/>
    <w:basedOn w:val="53"/>
    <w:autoRedefine/>
    <w:qFormat/>
    <w:uiPriority w:val="0"/>
  </w:style>
  <w:style w:type="character" w:customStyle="1" w:styleId="152">
    <w:name w:val="font21"/>
    <w:basedOn w:val="53"/>
    <w:autoRedefine/>
    <w:qFormat/>
    <w:uiPriority w:val="0"/>
    <w:rPr>
      <w:rFonts w:ascii="Calibri" w:hAnsi="Calibri" w:cs="Calibri"/>
      <w:color w:val="000000"/>
      <w:sz w:val="24"/>
      <w:szCs w:val="24"/>
      <w:u w:val="none"/>
    </w:rPr>
  </w:style>
  <w:style w:type="character" w:customStyle="1" w:styleId="153">
    <w:name w:val="i1"/>
    <w:basedOn w:val="53"/>
    <w:autoRedefine/>
    <w:qFormat/>
    <w:uiPriority w:val="0"/>
  </w:style>
  <w:style w:type="character" w:customStyle="1" w:styleId="154">
    <w:name w:val="textfont1"/>
    <w:basedOn w:val="53"/>
    <w:autoRedefine/>
    <w:qFormat/>
    <w:uiPriority w:val="0"/>
  </w:style>
  <w:style w:type="character" w:customStyle="1" w:styleId="155">
    <w:name w:val="批注文字 Char"/>
    <w:autoRedefine/>
    <w:qFormat/>
    <w:uiPriority w:val="0"/>
    <w:rPr>
      <w:kern w:val="2"/>
      <w:sz w:val="24"/>
      <w:szCs w:val="24"/>
    </w:rPr>
  </w:style>
  <w:style w:type="character" w:customStyle="1" w:styleId="156">
    <w:name w:val="ding"/>
    <w:basedOn w:val="53"/>
    <w:autoRedefine/>
    <w:qFormat/>
    <w:uiPriority w:val="0"/>
  </w:style>
  <w:style w:type="character" w:customStyle="1" w:styleId="157">
    <w:name w:val="htd0"/>
    <w:basedOn w:val="53"/>
    <w:autoRedefine/>
    <w:qFormat/>
    <w:uiPriority w:val="0"/>
  </w:style>
  <w:style w:type="character" w:customStyle="1" w:styleId="158">
    <w:name w:val="SANGFOR_3_标题3 Char"/>
    <w:link w:val="159"/>
    <w:autoRedefine/>
    <w:qFormat/>
    <w:uiPriority w:val="0"/>
    <w:rPr>
      <w:rFonts w:ascii="黑体" w:hAnsi="黑体" w:eastAsia="黑体" w:cs="黑体"/>
      <w:b/>
      <w:bCs/>
      <w:kern w:val="2"/>
      <w:sz w:val="36"/>
      <w:szCs w:val="36"/>
    </w:rPr>
  </w:style>
  <w:style w:type="paragraph" w:customStyle="1" w:styleId="159">
    <w:name w:val="SANGFOR_3_标题3"/>
    <w:basedOn w:val="5"/>
    <w:next w:val="1"/>
    <w:link w:val="158"/>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0">
    <w:name w:val="Char Char11"/>
    <w:link w:val="161"/>
    <w:autoRedefine/>
    <w:qFormat/>
    <w:uiPriority w:val="99"/>
    <w:rPr>
      <w:rFonts w:ascii="Tahoma" w:hAnsi="Tahoma" w:cs="Tahoma"/>
      <w:kern w:val="2"/>
      <w:sz w:val="28"/>
      <w:szCs w:val="28"/>
    </w:rPr>
  </w:style>
  <w:style w:type="paragraph" w:customStyle="1" w:styleId="161">
    <w:name w:val="Char2"/>
    <w:basedOn w:val="1"/>
    <w:link w:val="160"/>
    <w:autoRedefine/>
    <w:qFormat/>
    <w:uiPriority w:val="99"/>
    <w:rPr>
      <w:rFonts w:ascii="Tahoma" w:hAnsi="Tahoma"/>
      <w:sz w:val="28"/>
      <w:szCs w:val="28"/>
    </w:rPr>
  </w:style>
  <w:style w:type="character" w:customStyle="1" w:styleId="162">
    <w:name w:val="p141"/>
    <w:autoRedefine/>
    <w:qFormat/>
    <w:uiPriority w:val="0"/>
    <w:rPr>
      <w:sz w:val="21"/>
      <w:szCs w:val="21"/>
      <w:u w:val="none"/>
    </w:rPr>
  </w:style>
  <w:style w:type="character" w:customStyle="1" w:styleId="163">
    <w:name w:val="明显强调1"/>
    <w:autoRedefine/>
    <w:qFormat/>
    <w:uiPriority w:val="0"/>
    <w:rPr>
      <w:b/>
      <w:bCs/>
      <w:i/>
      <w:iCs/>
      <w:color w:val="4F81BD"/>
    </w:rPr>
  </w:style>
  <w:style w:type="character" w:customStyle="1" w:styleId="164">
    <w:name w:val="sidecatalog-dot"/>
    <w:basedOn w:val="53"/>
    <w:autoRedefine/>
    <w:qFormat/>
    <w:uiPriority w:val="0"/>
  </w:style>
  <w:style w:type="character" w:customStyle="1" w:styleId="165">
    <w:name w:val="普通文字 Char Char1_2"/>
    <w:link w:val="166"/>
    <w:autoRedefine/>
    <w:qFormat/>
    <w:uiPriority w:val="0"/>
    <w:rPr>
      <w:rFonts w:ascii="宋体" w:hAnsi="Courier New" w:cs="宋体"/>
    </w:rPr>
  </w:style>
  <w:style w:type="paragraph" w:customStyle="1" w:styleId="166">
    <w:name w:val="纯文本_5"/>
    <w:basedOn w:val="167"/>
    <w:link w:val="165"/>
    <w:autoRedefine/>
    <w:qFormat/>
    <w:uiPriority w:val="0"/>
    <w:rPr>
      <w:rFonts w:ascii="宋体" w:hAnsi="Courier New"/>
      <w:kern w:val="0"/>
      <w:sz w:val="20"/>
      <w:szCs w:val="20"/>
    </w:rPr>
  </w:style>
  <w:style w:type="paragraph" w:customStyle="1" w:styleId="167">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8">
    <w:name w:val="批注主题 Char"/>
    <w:autoRedefine/>
    <w:qFormat/>
    <w:uiPriority w:val="0"/>
    <w:rPr>
      <w:b/>
      <w:bCs/>
      <w:kern w:val="2"/>
      <w:sz w:val="24"/>
      <w:szCs w:val="24"/>
    </w:rPr>
  </w:style>
  <w:style w:type="character" w:customStyle="1" w:styleId="169">
    <w:name w:val="纯文本 Char1_1"/>
    <w:link w:val="170"/>
    <w:autoRedefine/>
    <w:qFormat/>
    <w:uiPriority w:val="0"/>
    <w:rPr>
      <w:rFonts w:ascii="宋体" w:hAnsi="Courier New" w:cs="宋体"/>
      <w:kern w:val="2"/>
      <w:sz w:val="21"/>
      <w:szCs w:val="21"/>
      <w:lang w:val="en-US" w:eastAsia="zh-CN"/>
    </w:rPr>
  </w:style>
  <w:style w:type="paragraph" w:customStyle="1" w:styleId="170">
    <w:name w:val="纯文本_1"/>
    <w:basedOn w:val="1"/>
    <w:link w:val="169"/>
    <w:autoRedefine/>
    <w:qFormat/>
    <w:uiPriority w:val="0"/>
    <w:rPr>
      <w:rFonts w:ascii="宋体" w:hAnsi="Courier New"/>
    </w:rPr>
  </w:style>
  <w:style w:type="character" w:customStyle="1" w:styleId="171">
    <w:name w:val="bds_more9"/>
    <w:basedOn w:val="53"/>
    <w:autoRedefine/>
    <w:qFormat/>
    <w:uiPriority w:val="0"/>
  </w:style>
  <w:style w:type="character" w:customStyle="1" w:styleId="172">
    <w:name w:val="plus"/>
    <w:autoRedefine/>
    <w:qFormat/>
    <w:uiPriority w:val="0"/>
    <w:rPr>
      <w:b/>
      <w:bCs/>
      <w:vanish/>
      <w:color w:val="auto"/>
      <w:sz w:val="24"/>
      <w:szCs w:val="24"/>
    </w:rPr>
  </w:style>
  <w:style w:type="character" w:customStyle="1" w:styleId="173">
    <w:name w:val="morelink-item"/>
    <w:autoRedefine/>
    <w:qFormat/>
    <w:uiPriority w:val="0"/>
  </w:style>
  <w:style w:type="character" w:customStyle="1" w:styleId="174">
    <w:name w:val="SANGFOR_6_正文 Char"/>
    <w:link w:val="175"/>
    <w:autoRedefine/>
    <w:qFormat/>
    <w:uiPriority w:val="0"/>
    <w:rPr>
      <w:rFonts w:ascii="楷体_gb18030" w:hAnsi="Verdana" w:eastAsia="楷体_gb18030" w:cs="楷体_gb18030"/>
      <w:color w:val="000000"/>
      <w:kern w:val="2"/>
      <w:sz w:val="28"/>
      <w:szCs w:val="28"/>
    </w:rPr>
  </w:style>
  <w:style w:type="paragraph" w:customStyle="1" w:styleId="175">
    <w:name w:val="SANGFOR_6_正文"/>
    <w:basedOn w:val="1"/>
    <w:link w:val="174"/>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6">
    <w:name w:val="bds_more4"/>
    <w:basedOn w:val="53"/>
    <w:autoRedefine/>
    <w:qFormat/>
    <w:uiPriority w:val="0"/>
  </w:style>
  <w:style w:type="character" w:customStyle="1" w:styleId="177">
    <w:name w:val="不明显强调1"/>
    <w:autoRedefine/>
    <w:qFormat/>
    <w:uiPriority w:val="0"/>
    <w:rPr>
      <w:i/>
      <w:iCs/>
      <w:color w:val="auto"/>
    </w:rPr>
  </w:style>
  <w:style w:type="character" w:customStyle="1" w:styleId="178">
    <w:name w:val="font91"/>
    <w:autoRedefine/>
    <w:qFormat/>
    <w:uiPriority w:val="0"/>
    <w:rPr>
      <w:rFonts w:ascii="Calibri" w:hAnsi="Calibri" w:cs="Calibri"/>
      <w:color w:val="FF0000"/>
      <w:sz w:val="24"/>
      <w:szCs w:val="24"/>
      <w:u w:val="none"/>
    </w:rPr>
  </w:style>
  <w:style w:type="character" w:customStyle="1" w:styleId="179">
    <w:name w:val="apple-converted-space"/>
    <w:autoRedefine/>
    <w:qFormat/>
    <w:uiPriority w:val="0"/>
  </w:style>
  <w:style w:type="character" w:customStyle="1" w:styleId="180">
    <w:name w:val="HTML 预设格式 Char1"/>
    <w:autoRedefine/>
    <w:qFormat/>
    <w:uiPriority w:val="0"/>
    <w:rPr>
      <w:rFonts w:ascii="Courier New" w:hAnsi="Courier New" w:cs="Courier New"/>
      <w:kern w:val="2"/>
    </w:rPr>
  </w:style>
  <w:style w:type="character" w:customStyle="1" w:styleId="181">
    <w:name w:val="bds_more6"/>
    <w:basedOn w:val="53"/>
    <w:autoRedefine/>
    <w:qFormat/>
    <w:uiPriority w:val="0"/>
  </w:style>
  <w:style w:type="character" w:customStyle="1" w:styleId="182">
    <w:name w:val="titlestylelight1"/>
    <w:autoRedefine/>
    <w:qFormat/>
    <w:uiPriority w:val="0"/>
    <w:rPr>
      <w:rFonts w:ascii="Arial" w:hAnsi="Arial" w:cs="Arial"/>
      <w:b/>
      <w:bCs/>
      <w:color w:val="auto"/>
      <w:sz w:val="18"/>
      <w:szCs w:val="18"/>
    </w:rPr>
  </w:style>
  <w:style w:type="character" w:customStyle="1" w:styleId="183">
    <w:name w:val="正文文本缩进 2 Char"/>
    <w:link w:val="184"/>
    <w:autoRedefine/>
    <w:qFormat/>
    <w:uiPriority w:val="0"/>
    <w:rPr>
      <w:rFonts w:eastAsia="仿宋_GB2312"/>
      <w:sz w:val="24"/>
      <w:szCs w:val="24"/>
    </w:rPr>
  </w:style>
  <w:style w:type="paragraph" w:customStyle="1" w:styleId="184">
    <w:name w:val="正文文本缩进 2_0"/>
    <w:basedOn w:val="134"/>
    <w:link w:val="183"/>
    <w:autoRedefine/>
    <w:qFormat/>
    <w:uiPriority w:val="0"/>
    <w:pPr>
      <w:snapToGrid w:val="0"/>
      <w:spacing w:line="400" w:lineRule="exact"/>
      <w:ind w:firstLine="480"/>
    </w:pPr>
    <w:rPr>
      <w:rFonts w:eastAsia="仿宋_GB2312"/>
      <w:kern w:val="0"/>
      <w:sz w:val="24"/>
      <w:szCs w:val="24"/>
    </w:rPr>
  </w:style>
  <w:style w:type="character" w:customStyle="1" w:styleId="185">
    <w:name w:val="纯文本 Char1_4_2"/>
    <w:link w:val="186"/>
    <w:autoRedefine/>
    <w:qFormat/>
    <w:uiPriority w:val="0"/>
    <w:rPr>
      <w:rFonts w:ascii="宋体" w:hAnsi="Courier New" w:cs="宋体"/>
    </w:rPr>
  </w:style>
  <w:style w:type="paragraph" w:customStyle="1" w:styleId="186">
    <w:name w:val="纯文本_4_2"/>
    <w:basedOn w:val="117"/>
    <w:link w:val="185"/>
    <w:autoRedefine/>
    <w:qFormat/>
    <w:uiPriority w:val="0"/>
    <w:rPr>
      <w:rFonts w:ascii="宋体" w:hAnsi="Courier New"/>
      <w:kern w:val="0"/>
      <w:sz w:val="20"/>
      <w:szCs w:val="20"/>
    </w:rPr>
  </w:style>
  <w:style w:type="character" w:customStyle="1" w:styleId="187">
    <w:name w:val="SANGFOR_4_标题4 Char"/>
    <w:link w:val="188"/>
    <w:autoRedefine/>
    <w:qFormat/>
    <w:uiPriority w:val="0"/>
    <w:rPr>
      <w:rFonts w:ascii="Arial" w:hAnsi="Arial" w:eastAsia="黑体" w:cs="Arial"/>
      <w:b/>
      <w:bCs/>
      <w:kern w:val="2"/>
      <w:sz w:val="24"/>
      <w:szCs w:val="24"/>
    </w:rPr>
  </w:style>
  <w:style w:type="paragraph" w:customStyle="1" w:styleId="188">
    <w:name w:val="SANGFOR_4_标题4"/>
    <w:basedOn w:val="6"/>
    <w:next w:val="175"/>
    <w:link w:val="187"/>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9">
    <w:name w:val="i2"/>
    <w:basedOn w:val="53"/>
    <w:autoRedefine/>
    <w:qFormat/>
    <w:uiPriority w:val="0"/>
  </w:style>
  <w:style w:type="character" w:customStyle="1" w:styleId="190">
    <w:name w:val="bds_more2"/>
    <w:autoRedefine/>
    <w:qFormat/>
    <w:uiPriority w:val="0"/>
    <w:rPr>
      <w:rFonts w:ascii="宋体" w:hAnsi="宋体" w:eastAsia="宋体" w:cs="宋体"/>
    </w:rPr>
  </w:style>
  <w:style w:type="character" w:customStyle="1" w:styleId="191">
    <w:name w:val="i5"/>
    <w:basedOn w:val="53"/>
    <w:qFormat/>
    <w:uiPriority w:val="0"/>
  </w:style>
  <w:style w:type="character" w:customStyle="1" w:styleId="192">
    <w:name w:val="页脚 Char Char"/>
    <w:autoRedefine/>
    <w:qFormat/>
    <w:uiPriority w:val="0"/>
    <w:rPr>
      <w:sz w:val="18"/>
      <w:szCs w:val="18"/>
    </w:rPr>
  </w:style>
  <w:style w:type="character" w:customStyle="1" w:styleId="193">
    <w:name w:val="bds_nopic2"/>
    <w:basedOn w:val="53"/>
    <w:autoRedefine/>
    <w:qFormat/>
    <w:uiPriority w:val="0"/>
  </w:style>
  <w:style w:type="character" w:customStyle="1" w:styleId="194">
    <w:name w:val="bds_nopic1"/>
    <w:basedOn w:val="53"/>
    <w:autoRedefine/>
    <w:qFormat/>
    <w:uiPriority w:val="0"/>
  </w:style>
  <w:style w:type="character" w:customStyle="1" w:styleId="195">
    <w:name w:val="签名 Char1"/>
    <w:autoRedefine/>
    <w:qFormat/>
    <w:uiPriority w:val="0"/>
    <w:rPr>
      <w:kern w:val="2"/>
      <w:sz w:val="24"/>
      <w:szCs w:val="24"/>
    </w:rPr>
  </w:style>
  <w:style w:type="character" w:customStyle="1" w:styleId="196">
    <w:name w:val="不明显强调11"/>
    <w:autoRedefine/>
    <w:qFormat/>
    <w:uiPriority w:val="99"/>
    <w:rPr>
      <w:i/>
      <w:iCs/>
      <w:color w:val="808080"/>
    </w:rPr>
  </w:style>
  <w:style w:type="character" w:customStyle="1" w:styleId="197">
    <w:name w:val="bds_more1"/>
    <w:autoRedefine/>
    <w:qFormat/>
    <w:uiPriority w:val="0"/>
    <w:rPr>
      <w:rFonts w:ascii="宋体" w:hAnsi="宋体" w:eastAsia="宋体" w:cs="宋体"/>
    </w:rPr>
  </w:style>
  <w:style w:type="character" w:customStyle="1" w:styleId="198">
    <w:name w:val="标题 3 Char1"/>
    <w:autoRedefine/>
    <w:qFormat/>
    <w:uiPriority w:val="0"/>
    <w:rPr>
      <w:rFonts w:ascii="仿宋_GB2312" w:eastAsia="仿宋_GB2312" w:cs="仿宋_GB2312"/>
      <w:b/>
      <w:bCs/>
      <w:kern w:val="2"/>
      <w:sz w:val="30"/>
      <w:szCs w:val="30"/>
    </w:rPr>
  </w:style>
  <w:style w:type="character" w:customStyle="1" w:styleId="199">
    <w:name w:val="sort"/>
    <w:autoRedefine/>
    <w:qFormat/>
    <w:uiPriority w:val="0"/>
    <w:rPr>
      <w:color w:val="FFFFFF"/>
      <w:bdr w:val="single" w:color="auto" w:sz="24" w:space="0"/>
    </w:rPr>
  </w:style>
  <w:style w:type="character" w:customStyle="1" w:styleId="200">
    <w:name w:val="sidecatalog-index2"/>
    <w:autoRedefine/>
    <w:qFormat/>
    <w:uiPriority w:val="0"/>
    <w:rPr>
      <w:rFonts w:ascii="Arail" w:hAnsi="Arail" w:cs="Arail"/>
      <w:color w:val="auto"/>
      <w:sz w:val="21"/>
      <w:szCs w:val="21"/>
    </w:rPr>
  </w:style>
  <w:style w:type="character" w:customStyle="1" w:styleId="201">
    <w:name w:val="纯文本 Char_0"/>
    <w:link w:val="202"/>
    <w:autoRedefine/>
    <w:qFormat/>
    <w:uiPriority w:val="0"/>
    <w:rPr>
      <w:rFonts w:ascii="宋体" w:hAnsi="Courier New" w:cs="宋体"/>
      <w:kern w:val="2"/>
      <w:sz w:val="21"/>
      <w:szCs w:val="21"/>
      <w:lang w:val="en-US" w:eastAsia="zh-CN"/>
    </w:rPr>
  </w:style>
  <w:style w:type="paragraph" w:customStyle="1" w:styleId="202">
    <w:name w:val="纯文本_0_0"/>
    <w:basedOn w:val="203"/>
    <w:link w:val="201"/>
    <w:autoRedefine/>
    <w:qFormat/>
    <w:uiPriority w:val="0"/>
    <w:rPr>
      <w:rFonts w:ascii="宋体" w:hAnsi="Courier New"/>
    </w:rPr>
  </w:style>
  <w:style w:type="paragraph" w:customStyle="1" w:styleId="203">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4">
    <w:name w:val="bds_more10"/>
    <w:basedOn w:val="53"/>
    <w:autoRedefine/>
    <w:qFormat/>
    <w:uiPriority w:val="0"/>
  </w:style>
  <w:style w:type="character" w:customStyle="1" w:styleId="205">
    <w:name w:val="polysemyred"/>
    <w:autoRedefine/>
    <w:qFormat/>
    <w:uiPriority w:val="0"/>
    <w:rPr>
      <w:color w:val="auto"/>
      <w:sz w:val="18"/>
      <w:szCs w:val="18"/>
    </w:rPr>
  </w:style>
  <w:style w:type="character" w:customStyle="1" w:styleId="206">
    <w:name w:val="sidecatalog-dot1"/>
    <w:basedOn w:val="53"/>
    <w:autoRedefine/>
    <w:qFormat/>
    <w:uiPriority w:val="0"/>
  </w:style>
  <w:style w:type="character" w:customStyle="1" w:styleId="207">
    <w:name w:val="font61"/>
    <w:autoRedefine/>
    <w:qFormat/>
    <w:uiPriority w:val="0"/>
    <w:rPr>
      <w:rFonts w:ascii="宋体" w:hAnsi="宋体" w:eastAsia="宋体" w:cs="宋体"/>
      <w:color w:val="FF0000"/>
      <w:sz w:val="24"/>
      <w:szCs w:val="24"/>
      <w:u w:val="none"/>
    </w:rPr>
  </w:style>
  <w:style w:type="character" w:customStyle="1" w:styleId="208">
    <w:name w:val="i3"/>
    <w:basedOn w:val="53"/>
    <w:autoRedefine/>
    <w:qFormat/>
    <w:uiPriority w:val="0"/>
  </w:style>
  <w:style w:type="character" w:customStyle="1" w:styleId="209">
    <w:name w:val="纯文本 Char1_4_1"/>
    <w:link w:val="210"/>
    <w:autoRedefine/>
    <w:qFormat/>
    <w:uiPriority w:val="0"/>
    <w:rPr>
      <w:rFonts w:ascii="宋体" w:hAnsi="Courier New" w:cs="宋体"/>
    </w:rPr>
  </w:style>
  <w:style w:type="paragraph" w:customStyle="1" w:styleId="210">
    <w:name w:val="纯文本_4_1"/>
    <w:basedOn w:val="211"/>
    <w:link w:val="209"/>
    <w:autoRedefine/>
    <w:qFormat/>
    <w:uiPriority w:val="0"/>
    <w:rPr>
      <w:rFonts w:ascii="宋体" w:hAnsi="Courier New"/>
      <w:kern w:val="0"/>
      <w:sz w:val="20"/>
      <w:szCs w:val="20"/>
    </w:rPr>
  </w:style>
  <w:style w:type="paragraph" w:customStyle="1" w:styleId="211">
    <w:name w:val="正文_1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polysemyexp"/>
    <w:autoRedefine/>
    <w:qFormat/>
    <w:uiPriority w:val="0"/>
    <w:rPr>
      <w:color w:val="auto"/>
      <w:sz w:val="18"/>
      <w:szCs w:val="18"/>
    </w:rPr>
  </w:style>
  <w:style w:type="character" w:customStyle="1" w:styleId="213">
    <w:name w:val="副标题 Char1"/>
    <w:autoRedefine/>
    <w:qFormat/>
    <w:uiPriority w:val="11"/>
    <w:rPr>
      <w:rFonts w:ascii="Cambria" w:hAnsi="Cambria" w:eastAsia="宋体" w:cs="Cambria"/>
      <w:b/>
      <w:bCs/>
      <w:kern w:val="28"/>
      <w:sz w:val="32"/>
      <w:szCs w:val="32"/>
    </w:rPr>
  </w:style>
  <w:style w:type="character" w:customStyle="1" w:styleId="214">
    <w:name w:val="纯文本 Char1_4_3"/>
    <w:link w:val="215"/>
    <w:autoRedefine/>
    <w:qFormat/>
    <w:uiPriority w:val="0"/>
    <w:rPr>
      <w:rFonts w:ascii="宋体" w:hAnsi="Courier New" w:cs="宋体"/>
      <w:kern w:val="2"/>
      <w:sz w:val="21"/>
      <w:szCs w:val="21"/>
      <w:lang w:val="en-US" w:eastAsia="zh-CN"/>
    </w:rPr>
  </w:style>
  <w:style w:type="paragraph" w:customStyle="1" w:styleId="215">
    <w:name w:val="纯文本_5_0"/>
    <w:basedOn w:val="1"/>
    <w:link w:val="214"/>
    <w:autoRedefine/>
    <w:qFormat/>
    <w:uiPriority w:val="0"/>
    <w:rPr>
      <w:rFonts w:ascii="宋体" w:hAnsi="Courier New"/>
    </w:rPr>
  </w:style>
  <w:style w:type="character" w:customStyle="1" w:styleId="216">
    <w:name w:val="i4"/>
    <w:basedOn w:val="53"/>
    <w:autoRedefine/>
    <w:qFormat/>
    <w:uiPriority w:val="0"/>
  </w:style>
  <w:style w:type="character" w:customStyle="1" w:styleId="217">
    <w:name w:val="纯文本 Char1_4_0"/>
    <w:link w:val="218"/>
    <w:autoRedefine/>
    <w:qFormat/>
    <w:uiPriority w:val="0"/>
    <w:rPr>
      <w:rFonts w:ascii="宋体" w:hAnsi="Courier New" w:cs="宋体"/>
      <w:kern w:val="2"/>
      <w:sz w:val="21"/>
      <w:szCs w:val="21"/>
      <w:lang w:val="en-US" w:eastAsia="zh-CN"/>
    </w:rPr>
  </w:style>
  <w:style w:type="paragraph" w:customStyle="1" w:styleId="218">
    <w:name w:val="纯文本_4_0"/>
    <w:basedOn w:val="1"/>
    <w:link w:val="217"/>
    <w:autoRedefine/>
    <w:qFormat/>
    <w:uiPriority w:val="0"/>
    <w:rPr>
      <w:rFonts w:ascii="宋体" w:hAnsi="Courier New"/>
    </w:rPr>
  </w:style>
  <w:style w:type="character" w:customStyle="1" w:styleId="219">
    <w:name w:val="样式 宋体 小四"/>
    <w:autoRedefine/>
    <w:qFormat/>
    <w:uiPriority w:val="99"/>
    <w:rPr>
      <w:rFonts w:ascii="宋体" w:hAnsi="宋体" w:eastAsia="宋体" w:cs="宋体"/>
      <w:sz w:val="24"/>
      <w:szCs w:val="24"/>
    </w:rPr>
  </w:style>
  <w:style w:type="character" w:customStyle="1" w:styleId="220">
    <w:name w:val="bds_nopic"/>
    <w:basedOn w:val="53"/>
    <w:autoRedefine/>
    <w:qFormat/>
    <w:uiPriority w:val="0"/>
  </w:style>
  <w:style w:type="character" w:customStyle="1" w:styleId="221">
    <w:name w:val="lemmatitleh12"/>
    <w:basedOn w:val="53"/>
    <w:autoRedefine/>
    <w:qFormat/>
    <w:uiPriority w:val="0"/>
  </w:style>
  <w:style w:type="character" w:customStyle="1" w:styleId="222">
    <w:name w:val="纯文本 Char1_4_4"/>
    <w:link w:val="223"/>
    <w:autoRedefine/>
    <w:qFormat/>
    <w:uiPriority w:val="0"/>
    <w:rPr>
      <w:rFonts w:ascii="宋体" w:hAnsi="Courier New" w:cs="宋体"/>
    </w:rPr>
  </w:style>
  <w:style w:type="paragraph" w:customStyle="1" w:styleId="223">
    <w:name w:val="纯文本_4_3"/>
    <w:basedOn w:val="224"/>
    <w:link w:val="222"/>
    <w:autoRedefine/>
    <w:qFormat/>
    <w:uiPriority w:val="0"/>
    <w:rPr>
      <w:rFonts w:ascii="宋体" w:hAnsi="Courier New"/>
      <w:kern w:val="0"/>
      <w:sz w:val="20"/>
      <w:szCs w:val="20"/>
    </w:rPr>
  </w:style>
  <w:style w:type="paragraph" w:customStyle="1" w:styleId="224">
    <w:name w:val="正文_16"/>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5">
    <w:name w:val="普通文字 Char Char1"/>
    <w:autoRedefine/>
    <w:qFormat/>
    <w:uiPriority w:val="0"/>
    <w:rPr>
      <w:rFonts w:ascii="宋体" w:hAnsi="Courier New" w:eastAsia="宋体" w:cs="宋体"/>
      <w:kern w:val="2"/>
      <w:sz w:val="21"/>
      <w:szCs w:val="21"/>
      <w:lang w:val="en-US" w:eastAsia="zh-CN"/>
    </w:rPr>
  </w:style>
  <w:style w:type="character" w:customStyle="1" w:styleId="226">
    <w:name w:val="desc"/>
    <w:autoRedefine/>
    <w:qFormat/>
    <w:uiPriority w:val="0"/>
    <w:rPr>
      <w:color w:val="000000"/>
      <w:sz w:val="18"/>
      <w:szCs w:val="18"/>
    </w:rPr>
  </w:style>
  <w:style w:type="character" w:customStyle="1" w:styleId="227">
    <w:name w:val="副标题 Char2"/>
    <w:autoRedefine/>
    <w:qFormat/>
    <w:uiPriority w:val="11"/>
    <w:rPr>
      <w:rFonts w:ascii="Cambria" w:hAnsi="Cambria" w:eastAsia="宋体" w:cs="Cambria"/>
      <w:b/>
      <w:bCs/>
      <w:kern w:val="28"/>
      <w:sz w:val="32"/>
      <w:szCs w:val="32"/>
    </w:rPr>
  </w:style>
  <w:style w:type="character" w:customStyle="1" w:styleId="228">
    <w:name w:val="正文文本 Char1"/>
    <w:autoRedefine/>
    <w:qFormat/>
    <w:uiPriority w:val="99"/>
    <w:rPr>
      <w:rFonts w:ascii="Calibri" w:hAnsi="Calibri" w:eastAsia="宋体" w:cs="Calibri"/>
      <w:sz w:val="24"/>
      <w:szCs w:val="24"/>
    </w:rPr>
  </w:style>
  <w:style w:type="character" w:customStyle="1" w:styleId="229">
    <w:name w:val="标题 Char1"/>
    <w:autoRedefine/>
    <w:qFormat/>
    <w:uiPriority w:val="10"/>
    <w:rPr>
      <w:rFonts w:ascii="Cambria" w:hAnsi="Cambria" w:eastAsia="宋体" w:cs="Cambria"/>
      <w:b/>
      <w:bCs/>
      <w:sz w:val="32"/>
      <w:szCs w:val="32"/>
    </w:rPr>
  </w:style>
  <w:style w:type="character" w:customStyle="1" w:styleId="230">
    <w:name w:val="标题 3 Char_0"/>
    <w:link w:val="231"/>
    <w:autoRedefine/>
    <w:qFormat/>
    <w:uiPriority w:val="0"/>
    <w:rPr>
      <w:rFonts w:ascii="仿宋_GB2312" w:eastAsia="仿宋_GB2312" w:cs="仿宋_GB2312"/>
      <w:b/>
      <w:bCs/>
      <w:sz w:val="30"/>
      <w:szCs w:val="30"/>
    </w:rPr>
  </w:style>
  <w:style w:type="paragraph" w:customStyle="1" w:styleId="231">
    <w:name w:val="标题 3_0"/>
    <w:basedOn w:val="134"/>
    <w:next w:val="133"/>
    <w:link w:val="230"/>
    <w:autoRedefine/>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2">
    <w:name w:val="15"/>
    <w:autoRedefine/>
    <w:qFormat/>
    <w:uiPriority w:val="0"/>
    <w:rPr>
      <w:rFonts w:ascii="Times New Roman" w:hAnsi="Times New Roman" w:cs="Times New Roman"/>
      <w:color w:val="auto"/>
      <w:u w:val="none"/>
    </w:rPr>
  </w:style>
  <w:style w:type="paragraph" w:customStyle="1" w:styleId="233">
    <w:name w:val="正文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4">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6">
    <w:name w:val="列表项目"/>
    <w:basedOn w:val="1"/>
    <w:autoRedefine/>
    <w:qFormat/>
    <w:uiPriority w:val="0"/>
    <w:pPr>
      <w:tabs>
        <w:tab w:val="left" w:pos="420"/>
      </w:tabs>
      <w:spacing w:line="288" w:lineRule="auto"/>
      <w:ind w:left="840" w:leftChars="200" w:hanging="420" w:hangingChars="200"/>
    </w:pPr>
    <w:rPr>
      <w:sz w:val="24"/>
      <w:szCs w:val="24"/>
    </w:rPr>
  </w:style>
  <w:style w:type="paragraph" w:customStyle="1" w:styleId="237">
    <w:name w:val="xl6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8">
    <w:name w:val="toc 11"/>
    <w:next w:val="1"/>
    <w:autoRedefine/>
    <w:qFormat/>
    <w:uiPriority w:val="0"/>
    <w:pPr>
      <w:wordWrap w:val="0"/>
      <w:jc w:val="both"/>
    </w:pPr>
    <w:rPr>
      <w:rFonts w:ascii="宋体" w:hAnsi="宋体" w:eastAsia="宋体" w:cs="宋体"/>
      <w:sz w:val="21"/>
      <w:szCs w:val="21"/>
      <w:lang w:val="en-US" w:eastAsia="zh-CN" w:bidi="ar-SA"/>
    </w:rPr>
  </w:style>
  <w:style w:type="paragraph" w:customStyle="1" w:styleId="239">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0">
    <w:name w:val="def正文"/>
    <w:basedOn w:val="18"/>
    <w:autoRedefine/>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1">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3">
    <w:name w:val="纯文本1"/>
    <w:basedOn w:val="1"/>
    <w:autoRedefine/>
    <w:qFormat/>
    <w:uiPriority w:val="0"/>
    <w:pPr>
      <w:adjustRightInd w:val="0"/>
      <w:jc w:val="left"/>
      <w:textAlignment w:val="baseline"/>
    </w:pPr>
    <w:rPr>
      <w:rFonts w:ascii="宋体" w:hAnsi="Courier New" w:cs="宋体"/>
      <w:sz w:val="24"/>
      <w:szCs w:val="24"/>
    </w:rPr>
  </w:style>
  <w:style w:type="paragraph" w:customStyle="1" w:styleId="244">
    <w:name w:val="正文缩进1"/>
    <w:basedOn w:val="1"/>
    <w:autoRedefine/>
    <w:qFormat/>
    <w:uiPriority w:val="0"/>
    <w:pPr>
      <w:spacing w:line="300" w:lineRule="auto"/>
      <w:ind w:firstLine="425"/>
    </w:pPr>
  </w:style>
  <w:style w:type="paragraph" w:customStyle="1" w:styleId="245">
    <w:name w:val="Normal_7"/>
    <w:autoRedefine/>
    <w:qFormat/>
    <w:uiPriority w:val="0"/>
    <w:rPr>
      <w:rFonts w:ascii="黑体" w:hAnsi="黑体" w:eastAsia="黑体" w:cs="黑体"/>
      <w:b/>
      <w:bCs/>
      <w:sz w:val="32"/>
      <w:szCs w:val="32"/>
      <w:lang w:val="en-US" w:eastAsia="zh-CN" w:bidi="ar-SA"/>
    </w:rPr>
  </w:style>
  <w:style w:type="paragraph" w:customStyle="1" w:styleId="246">
    <w:name w:val="默认段落字体 Para Char Char Char Char Char Char Char Char Char Char1 Char Char Char Char"/>
    <w:basedOn w:val="1"/>
    <w:autoRedefine/>
    <w:qFormat/>
    <w:uiPriority w:val="0"/>
    <w:pPr>
      <w:spacing w:line="500" w:lineRule="exact"/>
      <w:ind w:firstLine="200" w:firstLineChars="200"/>
    </w:pPr>
  </w:style>
  <w:style w:type="paragraph" w:customStyle="1" w:styleId="247">
    <w:name w:val="Table Contents"/>
    <w:basedOn w:val="1"/>
    <w:autoRedefine/>
    <w:qFormat/>
    <w:uiPriority w:val="0"/>
    <w:pPr>
      <w:suppressAutoHyphens/>
      <w:autoSpaceDE w:val="0"/>
      <w:spacing w:after="120"/>
      <w:jc w:val="left"/>
    </w:pPr>
    <w:rPr>
      <w:rFonts w:ascii="Helvetica" w:hAnsi="Helvetica" w:cs="Helvetica"/>
      <w:kern w:val="1"/>
      <w:sz w:val="20"/>
      <w:szCs w:val="20"/>
    </w:rPr>
  </w:style>
  <w:style w:type="paragraph" w:customStyle="1" w:styleId="248">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9">
    <w:name w:val="Normal_10"/>
    <w:qFormat/>
    <w:uiPriority w:val="0"/>
    <w:rPr>
      <w:rFonts w:ascii="黑体" w:hAnsi="黑体" w:eastAsia="黑体" w:cs="黑体"/>
      <w:b/>
      <w:bCs/>
      <w:sz w:val="32"/>
      <w:szCs w:val="32"/>
      <w:lang w:val="en-US" w:eastAsia="zh-CN" w:bidi="ar-SA"/>
    </w:rPr>
  </w:style>
  <w:style w:type="paragraph" w:customStyle="1" w:styleId="250">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1">
    <w:name w:val="样式1"/>
    <w:basedOn w:val="4"/>
    <w:autoRedefine/>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2">
    <w:name w:val="表内文字"/>
    <w:basedOn w:val="1"/>
    <w:autoRedefine/>
    <w:qFormat/>
    <w:uiPriority w:val="0"/>
    <w:pPr>
      <w:jc w:val="center"/>
    </w:pPr>
    <w:rPr>
      <w:rFonts w:ascii="仿宋_GB2312" w:eastAsia="仿宋_GB2312" w:cs="仿宋_GB2312"/>
      <w:sz w:val="24"/>
      <w:szCs w:val="24"/>
    </w:rPr>
  </w:style>
  <w:style w:type="paragraph" w:customStyle="1" w:styleId="253">
    <w:name w:val="普通(网站)_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4">
    <w:name w:val="正文_1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5">
    <w:name w:val="Normal_4"/>
    <w:autoRedefine/>
    <w:qFormat/>
    <w:uiPriority w:val="0"/>
    <w:rPr>
      <w:rFonts w:ascii="黑体" w:hAnsi="黑体" w:eastAsia="黑体" w:cs="黑体"/>
      <w:b/>
      <w:bCs/>
      <w:sz w:val="32"/>
      <w:szCs w:val="32"/>
      <w:lang w:val="en-US" w:eastAsia="zh-CN" w:bidi="ar-SA"/>
    </w:rPr>
  </w:style>
  <w:style w:type="paragraph" w:customStyle="1" w:styleId="256">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9">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0">
    <w:name w:val="font11"/>
    <w:basedOn w:val="1"/>
    <w:autoRedefine/>
    <w:qFormat/>
    <w:uiPriority w:val="0"/>
    <w:pPr>
      <w:widowControl/>
      <w:spacing w:before="100" w:beforeAutospacing="1" w:after="100" w:afterAutospacing="1"/>
      <w:jc w:val="left"/>
    </w:pPr>
    <w:rPr>
      <w:b/>
      <w:bCs/>
      <w:i/>
      <w:iCs/>
      <w:kern w:val="0"/>
      <w:sz w:val="24"/>
      <w:szCs w:val="24"/>
    </w:rPr>
  </w:style>
  <w:style w:type="paragraph" w:customStyle="1" w:styleId="261">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3">
    <w:name w:val="xl8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4">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5">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6">
    <w:name w:val="SANGFOR_2_标题2"/>
    <w:basedOn w:val="4"/>
    <w:next w:val="175"/>
    <w:autoRedefine/>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7">
    <w:name w:val="正文 New New New New New New New"/>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8">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模板标题3"/>
    <w:basedOn w:val="1"/>
    <w:next w:val="19"/>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2">
    <w:name w:val="a"/>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列出段落1"/>
    <w:basedOn w:val="1"/>
    <w:autoRedefine/>
    <w:qFormat/>
    <w:uiPriority w:val="0"/>
    <w:pPr>
      <w:ind w:firstLine="420" w:firstLineChars="200"/>
    </w:pPr>
  </w:style>
  <w:style w:type="paragraph" w:customStyle="1" w:styleId="274">
    <w:name w:val="Normal_1"/>
    <w:autoRedefine/>
    <w:qFormat/>
    <w:uiPriority w:val="0"/>
    <w:rPr>
      <w:rFonts w:ascii="黑体" w:hAnsi="黑体" w:eastAsia="黑体" w:cs="黑体"/>
      <w:b/>
      <w:bCs/>
      <w:sz w:val="32"/>
      <w:szCs w:val="32"/>
      <w:lang w:val="en-US" w:eastAsia="zh-CN" w:bidi="ar-SA"/>
    </w:rPr>
  </w:style>
  <w:style w:type="paragraph" w:customStyle="1" w:styleId="275">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6">
    <w:name w:val="说明内容"/>
    <w:autoRedefine/>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7">
    <w:name w:val="小四文字"/>
    <w:basedOn w:val="1"/>
    <w:autoRedefine/>
    <w:qFormat/>
    <w:uiPriority w:val="0"/>
    <w:pPr>
      <w:adjustRightInd w:val="0"/>
      <w:snapToGrid w:val="0"/>
      <w:spacing w:line="240" w:lineRule="atLeast"/>
    </w:pPr>
    <w:rPr>
      <w:sz w:val="24"/>
      <w:szCs w:val="24"/>
    </w:rPr>
  </w:style>
  <w:style w:type="paragraph" w:customStyle="1" w:styleId="27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Normal_8"/>
    <w:qFormat/>
    <w:uiPriority w:val="0"/>
    <w:rPr>
      <w:rFonts w:ascii="黑体" w:hAnsi="黑体" w:eastAsia="黑体" w:cs="黑体"/>
      <w:b/>
      <w:bCs/>
      <w:sz w:val="32"/>
      <w:szCs w:val="32"/>
      <w:lang w:val="en-US" w:eastAsia="zh-CN" w:bidi="ar-SA"/>
    </w:rPr>
  </w:style>
  <w:style w:type="paragraph" w:customStyle="1" w:styleId="28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82">
    <w:name w:val="Normal_9"/>
    <w:autoRedefine/>
    <w:qFormat/>
    <w:uiPriority w:val="0"/>
    <w:rPr>
      <w:rFonts w:ascii="黑体" w:hAnsi="黑体" w:eastAsia="黑体" w:cs="黑体"/>
      <w:b/>
      <w:bCs/>
      <w:sz w:val="32"/>
      <w:szCs w:val="32"/>
      <w:lang w:val="en-US" w:eastAsia="zh-CN" w:bidi="ar-SA"/>
    </w:rPr>
  </w:style>
  <w:style w:type="paragraph" w:customStyle="1" w:styleId="283">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4">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85">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8">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模板标题6"/>
    <w:basedOn w:val="1"/>
    <w:next w:val="19"/>
    <w:autoRedefine/>
    <w:qFormat/>
    <w:uiPriority w:val="0"/>
    <w:pPr>
      <w:tabs>
        <w:tab w:val="left" w:pos="2160"/>
      </w:tabs>
      <w:spacing w:afterLines="50"/>
      <w:outlineLvl w:val="5"/>
    </w:pPr>
    <w:rPr>
      <w:rFonts w:ascii="宋体" w:hAnsi="宋体" w:cs="宋体"/>
      <w:b/>
      <w:bCs/>
    </w:rPr>
  </w:style>
  <w:style w:type="paragraph" w:customStyle="1" w:styleId="290">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1">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93">
    <w:name w:val="Char Char Char Char1 Char Char Char Char"/>
    <w:basedOn w:val="1"/>
    <w:autoRedefine/>
    <w:qFormat/>
    <w:uiPriority w:val="0"/>
    <w:pPr>
      <w:widowControl/>
      <w:spacing w:after="160" w:line="240" w:lineRule="exact"/>
      <w:jc w:val="left"/>
    </w:pPr>
  </w:style>
  <w:style w:type="paragraph" w:customStyle="1" w:styleId="294">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5">
    <w:name w:val="List Paragraph_90856f6b-30ca-40dc-a0b9-c118bd5e2b98"/>
    <w:basedOn w:val="1"/>
    <w:link w:val="296"/>
    <w:autoRedefine/>
    <w:qFormat/>
    <w:uiPriority w:val="34"/>
    <w:pPr>
      <w:ind w:firstLine="420" w:firstLineChars="200"/>
    </w:pPr>
    <w:rPr>
      <w:rFonts w:ascii="Calibri" w:hAnsi="Calibri"/>
      <w:sz w:val="22"/>
      <w:szCs w:val="22"/>
    </w:rPr>
  </w:style>
  <w:style w:type="character" w:customStyle="1" w:styleId="296">
    <w:name w:val="列表段落 字符"/>
    <w:link w:val="295"/>
    <w:autoRedefine/>
    <w:qFormat/>
    <w:uiPriority w:val="99"/>
    <w:rPr>
      <w:rFonts w:ascii="Calibri" w:hAnsi="Calibri" w:cs="Calibri"/>
      <w:kern w:val="2"/>
      <w:sz w:val="22"/>
      <w:szCs w:val="22"/>
    </w:rPr>
  </w:style>
  <w:style w:type="paragraph" w:customStyle="1" w:styleId="297">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9">
    <w:name w:val="Normal_17"/>
    <w:qFormat/>
    <w:uiPriority w:val="0"/>
    <w:rPr>
      <w:rFonts w:ascii="黑体" w:hAnsi="黑体" w:eastAsia="黑体" w:cs="黑体"/>
      <w:b/>
      <w:bCs/>
      <w:sz w:val="32"/>
      <w:szCs w:val="32"/>
      <w:lang w:val="en-US" w:eastAsia="zh-CN" w:bidi="ar-SA"/>
    </w:rPr>
  </w:style>
  <w:style w:type="paragraph" w:customStyle="1" w:styleId="3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2">
    <w:name w:val="样式2"/>
    <w:basedOn w:val="1"/>
    <w:autoRedefine/>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3">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Normal_16"/>
    <w:autoRedefine/>
    <w:qFormat/>
    <w:uiPriority w:val="0"/>
    <w:rPr>
      <w:rFonts w:ascii="黑体" w:hAnsi="黑体" w:eastAsia="黑体" w:cs="黑体"/>
      <w:b/>
      <w:bCs/>
      <w:sz w:val="32"/>
      <w:szCs w:val="32"/>
      <w:lang w:val="en-US" w:eastAsia="zh-CN" w:bidi="ar-SA"/>
    </w:rPr>
  </w:style>
  <w:style w:type="paragraph" w:customStyle="1" w:styleId="305">
    <w:name w:val="xl4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6">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7">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9">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0">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1">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3">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4">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6">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9">
    <w:name w:val="xl64"/>
    <w:basedOn w:val="1"/>
    <w:autoRedefine/>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3">
    <w:name w:val="xl45"/>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4">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6">
    <w:name w:val="正文_8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8">
    <w:name w:val="CM106"/>
    <w:basedOn w:val="68"/>
    <w:next w:val="68"/>
    <w:autoRedefine/>
    <w:qFormat/>
    <w:uiPriority w:val="0"/>
    <w:rPr>
      <w:rFonts w:ascii="宋体" w:eastAsia="宋体" w:cs="宋体"/>
      <w:color w:val="auto"/>
    </w:rPr>
  </w:style>
  <w:style w:type="paragraph" w:customStyle="1" w:styleId="329">
    <w:name w:val="Char1"/>
    <w:basedOn w:val="1"/>
    <w:qFormat/>
    <w:uiPriority w:val="0"/>
    <w:pPr>
      <w:adjustRightInd w:val="0"/>
      <w:spacing w:line="360" w:lineRule="auto"/>
    </w:pPr>
    <w:rPr>
      <w:kern w:val="0"/>
      <w:sz w:val="24"/>
      <w:szCs w:val="24"/>
    </w:rPr>
  </w:style>
  <w:style w:type="paragraph" w:customStyle="1" w:styleId="330">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1">
    <w:name w:val="Normal_3"/>
    <w:autoRedefine/>
    <w:qFormat/>
    <w:uiPriority w:val="0"/>
    <w:rPr>
      <w:rFonts w:ascii="黑体" w:hAnsi="黑体" w:eastAsia="黑体" w:cs="黑体"/>
      <w:b/>
      <w:bCs/>
      <w:sz w:val="32"/>
      <w:szCs w:val="32"/>
      <w:lang w:val="en-US" w:eastAsia="zh-CN" w:bidi="ar-SA"/>
    </w:rPr>
  </w:style>
  <w:style w:type="paragraph" w:customStyle="1" w:styleId="332">
    <w:name w:val="List Paragraph1"/>
    <w:basedOn w:val="1"/>
    <w:qFormat/>
    <w:uiPriority w:val="99"/>
    <w:pPr>
      <w:ind w:firstLine="420" w:firstLineChars="200"/>
    </w:pPr>
    <w:rPr>
      <w:rFonts w:ascii="Calibri" w:hAnsi="Calibri" w:cs="Calibri"/>
    </w:rPr>
  </w:style>
  <w:style w:type="paragraph" w:customStyle="1" w:styleId="333">
    <w:name w:val="xl6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4">
    <w:name w:val="Normal_5"/>
    <w:autoRedefine/>
    <w:qFormat/>
    <w:uiPriority w:val="0"/>
    <w:rPr>
      <w:rFonts w:ascii="黑体" w:hAnsi="黑体" w:eastAsia="黑体" w:cs="黑体"/>
      <w:b/>
      <w:bCs/>
      <w:sz w:val="32"/>
      <w:szCs w:val="32"/>
      <w:lang w:val="en-US" w:eastAsia="zh-CN" w:bidi="ar-SA"/>
    </w:rPr>
  </w:style>
  <w:style w:type="paragraph" w:customStyle="1" w:styleId="335">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7">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8">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9">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40">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1">
    <w:name w:val="Table Text"/>
    <w:autoRedefine/>
    <w:qFormat/>
    <w:uiPriority w:val="0"/>
    <w:pPr>
      <w:snapToGrid w:val="0"/>
      <w:spacing w:before="80" w:after="80"/>
    </w:pPr>
    <w:rPr>
      <w:rFonts w:ascii="Arial" w:hAnsi="Arial" w:eastAsia="宋体" w:cs="Arial"/>
      <w:kern w:val="2"/>
      <w:sz w:val="18"/>
      <w:szCs w:val="18"/>
      <w:lang w:val="en-US" w:eastAsia="zh-CN" w:bidi="ar-SA"/>
    </w:rPr>
  </w:style>
  <w:style w:type="paragraph" w:customStyle="1" w:styleId="342">
    <w:name w:val="xl78"/>
    <w:basedOn w:val="1"/>
    <w:autoRedefine/>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3">
    <w:name w:val="列出段落11"/>
    <w:basedOn w:val="1"/>
    <w:autoRedefine/>
    <w:qFormat/>
    <w:uiPriority w:val="0"/>
    <w:pPr>
      <w:ind w:firstLine="420" w:firstLineChars="200"/>
    </w:pPr>
    <w:rPr>
      <w:rFonts w:ascii="Calibri" w:hAnsi="Calibri" w:cs="Calibri"/>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Normal_21"/>
    <w:autoRedefine/>
    <w:qFormat/>
    <w:uiPriority w:val="0"/>
    <w:rPr>
      <w:rFonts w:ascii="黑体" w:hAnsi="黑体" w:eastAsia="黑体" w:cs="黑体"/>
      <w:b/>
      <w:bCs/>
      <w:sz w:val="32"/>
      <w:szCs w:val="32"/>
      <w:lang w:val="en-US" w:eastAsia="zh-CN" w:bidi="ar-SA"/>
    </w:rPr>
  </w:style>
  <w:style w:type="paragraph" w:customStyle="1" w:styleId="346">
    <w:name w:val="模板标题5"/>
    <w:basedOn w:val="1"/>
    <w:next w:val="19"/>
    <w:autoRedefine/>
    <w:qFormat/>
    <w:uiPriority w:val="0"/>
    <w:pPr>
      <w:tabs>
        <w:tab w:val="left" w:pos="1800"/>
      </w:tabs>
      <w:spacing w:afterLines="50"/>
      <w:outlineLvl w:val="4"/>
    </w:pPr>
    <w:rPr>
      <w:rFonts w:ascii="宋体" w:hAnsi="宋体" w:cs="宋体"/>
      <w:b/>
      <w:bCs/>
    </w:rPr>
  </w:style>
  <w:style w:type="paragraph" w:customStyle="1" w:styleId="347">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8">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0">
    <w:name w:val="SANGFOR_8_表格文字"/>
    <w:basedOn w:val="1"/>
    <w:autoRedefine/>
    <w:qFormat/>
    <w:uiPriority w:val="0"/>
    <w:pPr>
      <w:snapToGrid w:val="0"/>
    </w:pPr>
  </w:style>
  <w:style w:type="paragraph" w:customStyle="1" w:styleId="351">
    <w:name w:val="Normal_0"/>
    <w:autoRedefine/>
    <w:qFormat/>
    <w:uiPriority w:val="0"/>
    <w:rPr>
      <w:rFonts w:ascii="黑体" w:hAnsi="黑体" w:eastAsia="黑体" w:cs="黑体"/>
      <w:b/>
      <w:bCs/>
      <w:sz w:val="32"/>
      <w:szCs w:val="32"/>
      <w:lang w:val="en-US" w:eastAsia="zh-CN" w:bidi="ar-SA"/>
    </w:rPr>
  </w:style>
  <w:style w:type="paragraph" w:customStyle="1" w:styleId="352">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53">
    <w:name w:val="Table Paragraph"/>
    <w:basedOn w:val="1"/>
    <w:autoRedefine/>
    <w:qFormat/>
    <w:uiPriority w:val="1"/>
    <w:pPr>
      <w:autoSpaceDE w:val="0"/>
      <w:autoSpaceDN w:val="0"/>
      <w:adjustRightInd w:val="0"/>
      <w:jc w:val="left"/>
    </w:pPr>
    <w:rPr>
      <w:kern w:val="0"/>
      <w:sz w:val="24"/>
      <w:szCs w:val="24"/>
    </w:rPr>
  </w:style>
  <w:style w:type="paragraph" w:customStyle="1" w:styleId="354">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6">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Char Char Char Char Char Char Char"/>
    <w:basedOn w:val="1"/>
    <w:autoRedefine/>
    <w:qFormat/>
    <w:uiPriority w:val="0"/>
    <w:rPr>
      <w:rFonts w:ascii="仿宋_GB2312" w:eastAsia="仿宋_GB2312" w:cs="仿宋_GB2312"/>
      <w:b/>
      <w:bCs/>
      <w:sz w:val="32"/>
      <w:szCs w:val="32"/>
    </w:rPr>
  </w:style>
  <w:style w:type="paragraph" w:customStyle="1" w:styleId="358">
    <w:name w:val="Normal_11"/>
    <w:autoRedefine/>
    <w:qFormat/>
    <w:uiPriority w:val="0"/>
    <w:rPr>
      <w:rFonts w:ascii="黑体" w:hAnsi="黑体" w:eastAsia="黑体" w:cs="黑体"/>
      <w:b/>
      <w:bCs/>
      <w:sz w:val="32"/>
      <w:szCs w:val="32"/>
      <w:lang w:val="en-US" w:eastAsia="zh-CN" w:bidi="ar-SA"/>
    </w:rPr>
  </w:style>
  <w:style w:type="paragraph" w:customStyle="1" w:styleId="359">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0">
    <w:name w:val="Item List in Table"/>
    <w:basedOn w:val="1"/>
    <w:autoRedefine/>
    <w:qFormat/>
    <w:uiPriority w:val="0"/>
    <w:pPr>
      <w:tabs>
        <w:tab w:val="left" w:pos="420"/>
      </w:tabs>
      <w:ind w:left="420" w:hanging="420"/>
    </w:pPr>
    <w:rPr>
      <w:sz w:val="18"/>
      <w:szCs w:val="18"/>
    </w:rPr>
  </w:style>
  <w:style w:type="paragraph" w:customStyle="1" w:styleId="361">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2">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3">
    <w:name w:val="特点标题"/>
    <w:basedOn w:val="1"/>
    <w:next w:val="21"/>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4">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5">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6">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7">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8">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9">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0">
    <w:name w:val="正文_8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1">
    <w:name w:val="SJ2"/>
    <w:basedOn w:val="1"/>
    <w:autoRedefine/>
    <w:qFormat/>
    <w:uiPriority w:val="0"/>
    <w:pPr>
      <w:spacing w:line="360" w:lineRule="auto"/>
      <w:ind w:firstLine="480" w:firstLineChars="200"/>
      <w:jc w:val="left"/>
    </w:pPr>
    <w:rPr>
      <w:sz w:val="24"/>
      <w:szCs w:val="24"/>
    </w:rPr>
  </w:style>
  <w:style w:type="paragraph" w:customStyle="1" w:styleId="372">
    <w:name w:val="font10"/>
    <w:basedOn w:val="1"/>
    <w:autoRedefine/>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3">
    <w:name w:val="Normal_6"/>
    <w:qFormat/>
    <w:uiPriority w:val="0"/>
    <w:rPr>
      <w:rFonts w:ascii="黑体" w:hAnsi="黑体" w:eastAsia="黑体" w:cs="黑体"/>
      <w:b/>
      <w:bCs/>
      <w:sz w:val="32"/>
      <w:szCs w:val="32"/>
      <w:lang w:val="en-US" w:eastAsia="zh-CN" w:bidi="ar-SA"/>
    </w:rPr>
  </w:style>
  <w:style w:type="paragraph" w:customStyle="1" w:styleId="374">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6">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正文段"/>
    <w:basedOn w:val="1"/>
    <w:qFormat/>
    <w:uiPriority w:val="0"/>
    <w:pPr>
      <w:widowControl/>
      <w:snapToGrid w:val="0"/>
      <w:spacing w:afterLines="50"/>
      <w:ind w:firstLine="200" w:firstLineChars="200"/>
    </w:pPr>
    <w:rPr>
      <w:kern w:val="0"/>
      <w:sz w:val="24"/>
      <w:szCs w:val="24"/>
    </w:rPr>
  </w:style>
  <w:style w:type="paragraph" w:customStyle="1" w:styleId="378">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9">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0">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1">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2">
    <w:name w:val="Normal_13"/>
    <w:qFormat/>
    <w:uiPriority w:val="0"/>
    <w:rPr>
      <w:rFonts w:ascii="黑体" w:hAnsi="黑体" w:eastAsia="黑体" w:cs="黑体"/>
      <w:b/>
      <w:bCs/>
      <w:sz w:val="32"/>
      <w:szCs w:val="32"/>
      <w:lang w:val="en-US" w:eastAsia="zh-CN" w:bidi="ar-SA"/>
    </w:rPr>
  </w:style>
  <w:style w:type="paragraph" w:customStyle="1" w:styleId="383">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4">
    <w:name w:val="Normal_19"/>
    <w:qFormat/>
    <w:uiPriority w:val="0"/>
    <w:rPr>
      <w:rFonts w:ascii="黑体" w:hAnsi="黑体" w:eastAsia="黑体" w:cs="黑体"/>
      <w:b/>
      <w:bCs/>
      <w:sz w:val="32"/>
      <w:szCs w:val="32"/>
      <w:lang w:val="en-US" w:eastAsia="zh-CN" w:bidi="ar-SA"/>
    </w:rPr>
  </w:style>
  <w:style w:type="paragraph" w:customStyle="1" w:styleId="385">
    <w:name w:val="正文_1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7">
    <w:name w:val="Normal_20"/>
    <w:qFormat/>
    <w:uiPriority w:val="0"/>
    <w:rPr>
      <w:rFonts w:ascii="黑体" w:hAnsi="黑体" w:eastAsia="黑体" w:cs="黑体"/>
      <w:b/>
      <w:bCs/>
      <w:sz w:val="32"/>
      <w:szCs w:val="32"/>
      <w:lang w:val="en-US" w:eastAsia="zh-CN" w:bidi="ar-SA"/>
    </w:rPr>
  </w:style>
  <w:style w:type="paragraph" w:customStyle="1" w:styleId="388">
    <w:name w:val="纯文本2"/>
    <w:basedOn w:val="1"/>
    <w:qFormat/>
    <w:uiPriority w:val="99"/>
    <w:pPr>
      <w:adjustRightInd w:val="0"/>
      <w:jc w:val="left"/>
      <w:textAlignment w:val="baseline"/>
    </w:pPr>
    <w:rPr>
      <w:rFonts w:ascii="宋体" w:hAnsi="Courier New" w:cs="宋体"/>
      <w:sz w:val="24"/>
      <w:szCs w:val="24"/>
    </w:rPr>
  </w:style>
  <w:style w:type="paragraph" w:customStyle="1" w:styleId="38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0">
    <w:name w:val="font8"/>
    <w:basedOn w:val="1"/>
    <w:qFormat/>
    <w:uiPriority w:val="0"/>
    <w:pPr>
      <w:widowControl/>
      <w:spacing w:before="100" w:beforeAutospacing="1" w:after="100" w:afterAutospacing="1"/>
      <w:jc w:val="left"/>
    </w:pPr>
    <w:rPr>
      <w:kern w:val="0"/>
      <w:sz w:val="20"/>
      <w:szCs w:val="20"/>
    </w:rPr>
  </w:style>
  <w:style w:type="paragraph" w:customStyle="1" w:styleId="391">
    <w:name w:val="默认段落字体 Para Char Char Char Char Char Char Char Char Char1 Char Char Char Char"/>
    <w:basedOn w:val="1"/>
    <w:qFormat/>
    <w:uiPriority w:val="0"/>
    <w:rPr>
      <w:rFonts w:ascii="Tahoma" w:hAnsi="Tahoma" w:cs="Tahoma"/>
      <w:sz w:val="24"/>
      <w:szCs w:val="24"/>
    </w:rPr>
  </w:style>
  <w:style w:type="paragraph" w:customStyle="1" w:styleId="392">
    <w:name w:val="_Style 2"/>
    <w:basedOn w:val="1"/>
    <w:qFormat/>
    <w:uiPriority w:val="34"/>
    <w:pPr>
      <w:ind w:firstLine="420" w:firstLineChars="200"/>
    </w:pPr>
    <w:rPr>
      <w:rFonts w:ascii="Calibri" w:hAnsi="Calibri" w:cs="Calibri"/>
    </w:rPr>
  </w:style>
  <w:style w:type="paragraph" w:customStyle="1" w:styleId="39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4">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6">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7">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8">
    <w:name w:val="SANGFOR_7_2级编号"/>
    <w:basedOn w:val="1"/>
    <w:autoRedefine/>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0">
    <w:name w:val="Normal_15"/>
    <w:autoRedefine/>
    <w:qFormat/>
    <w:uiPriority w:val="0"/>
    <w:rPr>
      <w:rFonts w:ascii="黑体" w:hAnsi="黑体" w:eastAsia="黑体" w:cs="黑体"/>
      <w:b/>
      <w:bCs/>
      <w:sz w:val="32"/>
      <w:szCs w:val="32"/>
      <w:lang w:val="en-US" w:eastAsia="zh-CN" w:bidi="ar-SA"/>
    </w:rPr>
  </w:style>
  <w:style w:type="paragraph" w:customStyle="1" w:styleId="401">
    <w:name w:val="Char Char Char Char Char Char Char1"/>
    <w:basedOn w:val="1"/>
    <w:autoRedefine/>
    <w:qFormat/>
    <w:uiPriority w:val="99"/>
    <w:rPr>
      <w:rFonts w:ascii="仿宋_GB2312" w:eastAsia="仿宋_GB2312" w:cs="仿宋_GB2312"/>
      <w:b/>
      <w:bCs/>
      <w:sz w:val="32"/>
      <w:szCs w:val="32"/>
    </w:rPr>
  </w:style>
  <w:style w:type="paragraph" w:customStyle="1" w:styleId="402">
    <w:name w:val="正文样式"/>
    <w:basedOn w:val="1"/>
    <w:autoRedefine/>
    <w:qFormat/>
    <w:uiPriority w:val="0"/>
    <w:pPr>
      <w:spacing w:line="360" w:lineRule="auto"/>
      <w:ind w:firstLine="480" w:firstLineChars="200"/>
    </w:pPr>
    <w:rPr>
      <w:sz w:val="24"/>
      <w:szCs w:val="24"/>
    </w:rPr>
  </w:style>
  <w:style w:type="paragraph" w:customStyle="1" w:styleId="403">
    <w:name w:val="页码1"/>
    <w:basedOn w:val="1"/>
    <w:next w:val="1"/>
    <w:qFormat/>
    <w:uiPriority w:val="0"/>
    <w:pPr>
      <w:widowControl/>
    </w:pPr>
    <w:rPr>
      <w:color w:val="000000"/>
    </w:rPr>
  </w:style>
  <w:style w:type="paragraph" w:customStyle="1" w:styleId="404">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5">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6">
    <w:name w:val="节前说明"/>
    <w:next w:val="276"/>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Normal_12"/>
    <w:autoRedefine/>
    <w:qFormat/>
    <w:uiPriority w:val="0"/>
    <w:rPr>
      <w:rFonts w:ascii="黑体" w:hAnsi="黑体" w:eastAsia="黑体" w:cs="黑体"/>
      <w:b/>
      <w:bCs/>
      <w:sz w:val="32"/>
      <w:szCs w:val="32"/>
      <w:lang w:val="en-US" w:eastAsia="zh-CN" w:bidi="ar-SA"/>
    </w:rPr>
  </w:style>
  <w:style w:type="paragraph" w:customStyle="1" w:styleId="409">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0">
    <w:name w:val="模板标题4"/>
    <w:basedOn w:val="1"/>
    <w:next w:val="19"/>
    <w:qFormat/>
    <w:uiPriority w:val="0"/>
    <w:pPr>
      <w:tabs>
        <w:tab w:val="left" w:pos="1440"/>
      </w:tabs>
      <w:spacing w:afterLines="50"/>
      <w:outlineLvl w:val="3"/>
    </w:pPr>
    <w:rPr>
      <w:rFonts w:ascii="宋体" w:hAnsi="宋体" w:cs="宋体"/>
      <w:b/>
      <w:bCs/>
    </w:rPr>
  </w:style>
  <w:style w:type="paragraph" w:customStyle="1" w:styleId="411">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2">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3">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4">
    <w:name w:val="Normal_18"/>
    <w:qFormat/>
    <w:uiPriority w:val="0"/>
    <w:rPr>
      <w:rFonts w:ascii="黑体" w:hAnsi="黑体" w:eastAsia="黑体" w:cs="黑体"/>
      <w:b/>
      <w:bCs/>
      <w:sz w:val="32"/>
      <w:szCs w:val="32"/>
      <w:lang w:val="en-US" w:eastAsia="zh-CN" w:bidi="ar-SA"/>
    </w:rPr>
  </w:style>
  <w:style w:type="paragraph" w:customStyle="1" w:styleId="415">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Normal_2"/>
    <w:qFormat/>
    <w:uiPriority w:val="0"/>
    <w:rPr>
      <w:rFonts w:ascii="黑体" w:hAnsi="黑体" w:eastAsia="黑体" w:cs="黑体"/>
      <w:b/>
      <w:bCs/>
      <w:sz w:val="32"/>
      <w:szCs w:val="32"/>
      <w:lang w:val="en-US" w:eastAsia="zh-CN" w:bidi="ar-SA"/>
    </w:rPr>
  </w:style>
  <w:style w:type="paragraph" w:customStyle="1" w:styleId="417">
    <w:name w:val="_Style 96"/>
    <w:basedOn w:val="1"/>
    <w:qFormat/>
    <w:uiPriority w:val="0"/>
    <w:rPr>
      <w:rFonts w:ascii="Calibri" w:hAnsi="Calibri" w:cs="Calibri"/>
    </w:rPr>
  </w:style>
  <w:style w:type="paragraph" w:customStyle="1" w:styleId="41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9">
    <w:name w:val="0"/>
    <w:basedOn w:val="1"/>
    <w:qFormat/>
    <w:uiPriority w:val="99"/>
    <w:pPr>
      <w:widowControl/>
      <w:jc w:val="left"/>
    </w:pPr>
    <w:rPr>
      <w:kern w:val="0"/>
      <w:sz w:val="20"/>
      <w:szCs w:val="20"/>
    </w:rPr>
  </w:style>
  <w:style w:type="paragraph" w:customStyle="1" w:styleId="420">
    <w:name w:val="zhang"/>
    <w:basedOn w:val="1"/>
    <w:qFormat/>
    <w:uiPriority w:val="99"/>
    <w:pPr>
      <w:spacing w:before="100" w:beforeAutospacing="1" w:after="100" w:afterAutospacing="1"/>
    </w:pPr>
    <w:rPr>
      <w:b/>
      <w:bCs/>
      <w:smallCaps/>
      <w:color w:val="000000"/>
      <w:sz w:val="20"/>
      <w:szCs w:val="20"/>
    </w:rPr>
  </w:style>
  <w:style w:type="paragraph" w:customStyle="1" w:styleId="421">
    <w:name w:val="TOC 标题2"/>
    <w:basedOn w:val="3"/>
    <w:next w:val="1"/>
    <w:qFormat/>
    <w:uiPriority w:val="99"/>
    <w:pPr>
      <w:spacing w:line="576" w:lineRule="auto"/>
      <w:jc w:val="both"/>
      <w:outlineLvl w:val="9"/>
    </w:pPr>
    <w:rPr>
      <w:rFonts w:ascii="Calibri" w:hAnsi="Calibri" w:cs="Calibri"/>
    </w:rPr>
  </w:style>
  <w:style w:type="character" w:customStyle="1" w:styleId="422">
    <w:name w:val="Intense Quote Char_31136f24-3343-42ad-ad1f-cfb294a7ba44"/>
    <w:qFormat/>
    <w:uiPriority w:val="99"/>
    <w:rPr>
      <w:rFonts w:ascii="Calibri" w:hAnsi="Calibri" w:cs="Calibri"/>
      <w:b/>
      <w:bCs/>
      <w:i/>
      <w:iCs/>
      <w:color w:val="4F81BD"/>
      <w:kern w:val="2"/>
      <w:sz w:val="22"/>
      <w:szCs w:val="22"/>
    </w:rPr>
  </w:style>
  <w:style w:type="paragraph" w:customStyle="1" w:styleId="423">
    <w:name w:val="Intense Quote_33c0cd97-d832-47a4-8bd1-a1dcce9c4bae"/>
    <w:basedOn w:val="1"/>
    <w:next w:val="1"/>
    <w:link w:val="42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4">
    <w:name w:val="明显引用 字符"/>
    <w:link w:val="423"/>
    <w:qFormat/>
    <w:uiPriority w:val="99"/>
    <w:rPr>
      <w:b/>
      <w:bCs/>
      <w:i/>
      <w:iCs/>
      <w:color w:val="4F81BD"/>
      <w:sz w:val="21"/>
      <w:szCs w:val="21"/>
    </w:rPr>
  </w:style>
  <w:style w:type="character" w:customStyle="1" w:styleId="425">
    <w:name w:val="无间隔 字符1"/>
    <w:link w:val="426"/>
    <w:qFormat/>
    <w:uiPriority w:val="99"/>
    <w:rPr>
      <w:rFonts w:ascii="Calibri" w:hAnsi="Calibri" w:cs="Calibri"/>
      <w:kern w:val="2"/>
      <w:sz w:val="22"/>
      <w:szCs w:val="22"/>
    </w:rPr>
  </w:style>
  <w:style w:type="paragraph" w:customStyle="1" w:styleId="426">
    <w:name w:val="No Spacing_0d47bddc-cf3c-4b46-8dd9-4540d37e214f"/>
    <w:basedOn w:val="1"/>
    <w:link w:val="425"/>
    <w:qFormat/>
    <w:uiPriority w:val="1"/>
    <w:rPr>
      <w:rFonts w:ascii="Calibri" w:hAnsi="Calibri"/>
      <w:sz w:val="22"/>
      <w:szCs w:val="22"/>
    </w:rPr>
  </w:style>
  <w:style w:type="character" w:customStyle="1" w:styleId="427">
    <w:name w:val="明显参考1"/>
    <w:qFormat/>
    <w:uiPriority w:val="99"/>
    <w:rPr>
      <w:b/>
      <w:bCs/>
      <w:smallCaps/>
      <w:color w:val="auto"/>
      <w:spacing w:val="5"/>
      <w:u w:val="single"/>
    </w:rPr>
  </w:style>
  <w:style w:type="character" w:customStyle="1" w:styleId="428">
    <w:name w:val="Quote Char_aab042b9-bfcb-4a37-bb29-2b646f57baea"/>
    <w:qFormat/>
    <w:uiPriority w:val="99"/>
    <w:rPr>
      <w:rFonts w:ascii="Calibri" w:hAnsi="Calibri" w:cs="Calibri"/>
      <w:i/>
      <w:iCs/>
      <w:color w:val="000000"/>
      <w:kern w:val="2"/>
      <w:sz w:val="22"/>
      <w:szCs w:val="22"/>
    </w:rPr>
  </w:style>
  <w:style w:type="paragraph" w:customStyle="1" w:styleId="429">
    <w:name w:val="Quote_7aab041e-a0e9-4f7a-8589-9ec6cf89356a"/>
    <w:basedOn w:val="1"/>
    <w:next w:val="1"/>
    <w:link w:val="430"/>
    <w:qFormat/>
    <w:uiPriority w:val="99"/>
    <w:rPr>
      <w:rFonts w:ascii="Calibri" w:hAnsi="Calibri" w:cs="Calibri"/>
      <w:i/>
      <w:iCs/>
      <w:color w:val="000000"/>
    </w:rPr>
  </w:style>
  <w:style w:type="character" w:customStyle="1" w:styleId="430">
    <w:name w:val="引用 字符"/>
    <w:link w:val="429"/>
    <w:qFormat/>
    <w:uiPriority w:val="99"/>
    <w:rPr>
      <w:i/>
      <w:iCs/>
      <w:color w:val="000000"/>
      <w:sz w:val="21"/>
      <w:szCs w:val="21"/>
    </w:rPr>
  </w:style>
  <w:style w:type="character" w:customStyle="1" w:styleId="431">
    <w:name w:val="明显强调2"/>
    <w:qFormat/>
    <w:uiPriority w:val="99"/>
    <w:rPr>
      <w:b/>
      <w:bCs/>
      <w:i/>
      <w:iCs/>
      <w:color w:val="4F81BD"/>
    </w:rPr>
  </w:style>
  <w:style w:type="character" w:customStyle="1" w:styleId="432">
    <w:name w:val="Char Char12"/>
    <w:link w:val="433"/>
    <w:qFormat/>
    <w:uiPriority w:val="99"/>
    <w:rPr>
      <w:rFonts w:ascii="Tahoma" w:hAnsi="Tahoma" w:cs="Tahoma"/>
      <w:kern w:val="2"/>
      <w:sz w:val="24"/>
      <w:szCs w:val="24"/>
    </w:rPr>
  </w:style>
  <w:style w:type="paragraph" w:customStyle="1" w:styleId="433">
    <w:name w:val="Char3"/>
    <w:basedOn w:val="1"/>
    <w:link w:val="432"/>
    <w:qFormat/>
    <w:uiPriority w:val="99"/>
    <w:rPr>
      <w:rFonts w:ascii="Tahoma" w:hAnsi="Tahoma"/>
      <w:sz w:val="24"/>
      <w:szCs w:val="24"/>
    </w:rPr>
  </w:style>
  <w:style w:type="character" w:customStyle="1" w:styleId="434">
    <w:name w:val="纯文本 字符"/>
    <w:qFormat/>
    <w:uiPriority w:val="99"/>
    <w:rPr>
      <w:rFonts w:ascii="宋体" w:hAnsi="Courier New" w:eastAsia="宋体" w:cs="宋体"/>
      <w:kern w:val="2"/>
      <w:sz w:val="21"/>
      <w:szCs w:val="21"/>
      <w:lang w:val="en-US" w:eastAsia="zh-CN"/>
    </w:rPr>
  </w:style>
  <w:style w:type="character" w:customStyle="1" w:styleId="435">
    <w:name w:val="不明显强调2"/>
    <w:qFormat/>
    <w:uiPriority w:val="99"/>
    <w:rPr>
      <w:i/>
      <w:iCs/>
      <w:color w:val="808080"/>
    </w:rPr>
  </w:style>
  <w:style w:type="character" w:customStyle="1" w:styleId="436">
    <w:name w:val="Char Char1_02"/>
    <w:link w:val="437"/>
    <w:qFormat/>
    <w:uiPriority w:val="99"/>
    <w:rPr>
      <w:rFonts w:ascii="Tahoma" w:hAnsi="Tahoma" w:cs="Tahoma"/>
      <w:kern w:val="2"/>
      <w:sz w:val="24"/>
      <w:szCs w:val="24"/>
    </w:rPr>
  </w:style>
  <w:style w:type="paragraph" w:customStyle="1" w:styleId="437">
    <w:name w:val="Char_02"/>
    <w:basedOn w:val="122"/>
    <w:link w:val="436"/>
    <w:qFormat/>
    <w:uiPriority w:val="99"/>
    <w:rPr>
      <w:rFonts w:ascii="Tahoma" w:hAnsi="Tahoma"/>
      <w:sz w:val="24"/>
      <w:szCs w:val="24"/>
    </w:rPr>
  </w:style>
  <w:style w:type="character" w:customStyle="1" w:styleId="438">
    <w:name w:val="书籍标题1"/>
    <w:qFormat/>
    <w:uiPriority w:val="99"/>
    <w:rPr>
      <w:b/>
      <w:bCs/>
      <w:smallCaps/>
      <w:spacing w:val="5"/>
    </w:rPr>
  </w:style>
  <w:style w:type="character" w:customStyle="1" w:styleId="439">
    <w:name w:val="不明显参考1"/>
    <w:qFormat/>
    <w:uiPriority w:val="99"/>
    <w:rPr>
      <w:smallCaps/>
      <w:color w:val="auto"/>
      <w:u w:val="single"/>
    </w:rPr>
  </w:style>
  <w:style w:type="character" w:customStyle="1" w:styleId="440">
    <w:name w:val="标准正文 Char Char"/>
    <w:link w:val="441"/>
    <w:qFormat/>
    <w:uiPriority w:val="99"/>
    <w:rPr>
      <w:rFonts w:ascii="Calibri" w:hAnsi="Calibri" w:cs="Calibri"/>
    </w:rPr>
  </w:style>
  <w:style w:type="paragraph" w:customStyle="1" w:styleId="441">
    <w:name w:val="标准正文"/>
    <w:basedOn w:val="1"/>
    <w:link w:val="440"/>
    <w:qFormat/>
    <w:uiPriority w:val="99"/>
    <w:pPr>
      <w:spacing w:line="360" w:lineRule="auto"/>
      <w:ind w:firstLine="420" w:firstLineChars="200"/>
    </w:pPr>
    <w:rPr>
      <w:rFonts w:ascii="Calibri" w:hAnsi="Calibri"/>
      <w:kern w:val="0"/>
      <w:sz w:val="20"/>
      <w:szCs w:val="20"/>
    </w:rPr>
  </w:style>
  <w:style w:type="paragraph" w:customStyle="1" w:styleId="442">
    <w:name w:val="列出段落2"/>
    <w:basedOn w:val="1"/>
    <w:qFormat/>
    <w:uiPriority w:val="99"/>
    <w:pPr>
      <w:ind w:firstLine="420" w:firstLineChars="200"/>
    </w:pPr>
    <w:rPr>
      <w:rFonts w:ascii="Calibri" w:hAnsi="Calibri" w:cs="Calibri"/>
    </w:rPr>
  </w:style>
  <w:style w:type="paragraph" w:customStyle="1" w:styleId="443">
    <w:name w:val="纯文本3"/>
    <w:basedOn w:val="1"/>
    <w:qFormat/>
    <w:uiPriority w:val="99"/>
    <w:pPr>
      <w:adjustRightInd w:val="0"/>
      <w:jc w:val="left"/>
      <w:textAlignment w:val="baseline"/>
    </w:pPr>
    <w:rPr>
      <w:rFonts w:ascii="宋体" w:hAnsi="Courier New" w:cs="宋体"/>
      <w:sz w:val="24"/>
      <w:szCs w:val="24"/>
    </w:rPr>
  </w:style>
  <w:style w:type="paragraph" w:customStyle="1" w:styleId="444">
    <w:name w:val="文档正文首行缩进"/>
    <w:basedOn w:val="1"/>
    <w:qFormat/>
    <w:uiPriority w:val="99"/>
    <w:pPr>
      <w:spacing w:line="360" w:lineRule="auto"/>
      <w:ind w:firstLine="420"/>
    </w:pPr>
    <w:rPr>
      <w:rFonts w:ascii="Calibri" w:hAnsi="Calibri" w:cs="Calibri"/>
      <w:sz w:val="24"/>
      <w:szCs w:val="24"/>
    </w:rPr>
  </w:style>
  <w:style w:type="paragraph" w:customStyle="1" w:styleId="445">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6">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7">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8">
    <w:name w:val="明显引用 Char1"/>
    <w:qFormat/>
    <w:uiPriority w:val="99"/>
    <w:rPr>
      <w:i/>
      <w:iCs/>
      <w:color w:val="4F81BD"/>
      <w:kern w:val="2"/>
      <w:sz w:val="24"/>
      <w:szCs w:val="24"/>
    </w:rPr>
  </w:style>
  <w:style w:type="paragraph" w:customStyle="1" w:styleId="449">
    <w:name w:val="第二级标题"/>
    <w:basedOn w:val="4"/>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0">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1">
    <w:name w:val="引用 Char1"/>
    <w:qFormat/>
    <w:uiPriority w:val="99"/>
    <w:rPr>
      <w:i/>
      <w:iCs/>
      <w:color w:val="auto"/>
      <w:kern w:val="2"/>
      <w:sz w:val="24"/>
      <w:szCs w:val="24"/>
    </w:rPr>
  </w:style>
  <w:style w:type="paragraph" w:customStyle="1" w:styleId="452">
    <w:name w:val="_Style 4"/>
    <w:basedOn w:val="1"/>
    <w:qFormat/>
    <w:uiPriority w:val="99"/>
    <w:pPr>
      <w:ind w:firstLine="420" w:firstLineChars="200"/>
    </w:pPr>
    <w:rPr>
      <w:rFonts w:ascii="Calibri" w:hAnsi="Calibri" w:cs="Calibri"/>
    </w:rPr>
  </w:style>
  <w:style w:type="paragraph" w:customStyle="1" w:styleId="453">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4">
    <w:name w:val="第三极标题"/>
    <w:basedOn w:val="5"/>
    <w:next w:val="1"/>
    <w:qFormat/>
    <w:uiPriority w:val="99"/>
    <w:pPr>
      <w:spacing w:before="120" w:after="120"/>
      <w:ind w:left="1418" w:hanging="709" w:firstLineChars="0"/>
    </w:pPr>
    <w:rPr>
      <w:rFonts w:ascii="Calibri" w:hAnsi="Calibri" w:eastAsia="仿宋" w:cs="Calibri"/>
    </w:rPr>
  </w:style>
  <w:style w:type="paragraph" w:customStyle="1" w:styleId="455">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6">
    <w:name w:val="Char Char Char Char Char Char Char2"/>
    <w:basedOn w:val="1"/>
    <w:qFormat/>
    <w:uiPriority w:val="99"/>
    <w:rPr>
      <w:rFonts w:ascii="仿宋_GB2312" w:hAnsi="Calibri" w:eastAsia="仿宋_GB2312" w:cs="仿宋_GB2312"/>
      <w:b/>
      <w:bCs/>
      <w:sz w:val="32"/>
      <w:szCs w:val="32"/>
    </w:rPr>
  </w:style>
  <w:style w:type="paragraph" w:customStyle="1" w:styleId="457">
    <w:name w:val="第一级标题"/>
    <w:basedOn w:val="3"/>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8">
    <w:name w:val="第四级标题"/>
    <w:basedOn w:val="6"/>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9">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0">
    <w:name w:val="TOC 标题3"/>
    <w:basedOn w:val="3"/>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1">
    <w:name w:val="_Style 49"/>
    <w:basedOn w:val="1"/>
    <w:next w:val="27"/>
    <w:qFormat/>
    <w:uiPriority w:val="0"/>
    <w:rPr>
      <w:rFonts w:ascii="宋体" w:hAnsi="Courier New"/>
      <w:kern w:val="0"/>
      <w:sz w:val="24"/>
    </w:rPr>
  </w:style>
  <w:style w:type="paragraph" w:customStyle="1" w:styleId="462">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3">
    <w:name w:val="10"/>
    <w:basedOn w:val="53"/>
    <w:autoRedefine/>
    <w:qFormat/>
    <w:uiPriority w:val="0"/>
    <w:rPr>
      <w:rFonts w:hint="default" w:ascii="Calibri" w:hAnsi="Calibri"/>
    </w:rPr>
  </w:style>
  <w:style w:type="paragraph" w:customStyle="1" w:styleId="464">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5">
    <w:name w:val="不明显强调3"/>
    <w:autoRedefine/>
    <w:qFormat/>
    <w:uiPriority w:val="19"/>
    <w:rPr>
      <w:i/>
      <w:iCs/>
      <w:color w:val="404040"/>
    </w:rPr>
  </w:style>
  <w:style w:type="character" w:customStyle="1" w:styleId="466">
    <w:name w:val="Char Char13"/>
    <w:link w:val="467"/>
    <w:autoRedefine/>
    <w:qFormat/>
    <w:uiPriority w:val="0"/>
    <w:rPr>
      <w:rFonts w:ascii="Tahoma" w:hAnsi="Tahoma"/>
      <w:kern w:val="2"/>
      <w:sz w:val="24"/>
    </w:rPr>
  </w:style>
  <w:style w:type="paragraph" w:customStyle="1" w:styleId="467">
    <w:name w:val="Char4"/>
    <w:basedOn w:val="1"/>
    <w:link w:val="466"/>
    <w:autoRedefine/>
    <w:qFormat/>
    <w:uiPriority w:val="0"/>
    <w:rPr>
      <w:rFonts w:ascii="Tahoma" w:hAnsi="Tahoma"/>
      <w:sz w:val="24"/>
      <w:szCs w:val="20"/>
    </w:rPr>
  </w:style>
  <w:style w:type="paragraph" w:customStyle="1" w:styleId="468">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9">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0">
    <w:name w:val="列出段落3"/>
    <w:basedOn w:val="1"/>
    <w:autoRedefine/>
    <w:qFormat/>
    <w:uiPriority w:val="34"/>
    <w:pPr>
      <w:ind w:firstLine="420" w:firstLineChars="200"/>
    </w:pPr>
    <w:rPr>
      <w:szCs w:val="20"/>
    </w:rPr>
  </w:style>
  <w:style w:type="paragraph" w:customStyle="1" w:styleId="471">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2">
    <w:name w:val="Char Char Char Char Char Char Char3"/>
    <w:basedOn w:val="1"/>
    <w:autoRedefine/>
    <w:qFormat/>
    <w:uiPriority w:val="0"/>
    <w:rPr>
      <w:rFonts w:ascii="仿宋_GB2312" w:eastAsia="仿宋_GB2312"/>
      <w:b/>
      <w:sz w:val="32"/>
      <w:szCs w:val="32"/>
    </w:rPr>
  </w:style>
  <w:style w:type="paragraph" w:customStyle="1" w:styleId="473">
    <w:name w:val="纯文本4"/>
    <w:basedOn w:val="1"/>
    <w:autoRedefine/>
    <w:qFormat/>
    <w:uiPriority w:val="0"/>
    <w:pPr>
      <w:adjustRightInd w:val="0"/>
      <w:jc w:val="left"/>
      <w:textAlignment w:val="baseline"/>
    </w:pPr>
    <w:rPr>
      <w:rFonts w:ascii="宋体" w:hAnsi="Courier New"/>
      <w:sz w:val="24"/>
      <w:szCs w:val="20"/>
    </w:rPr>
  </w:style>
  <w:style w:type="paragraph" w:customStyle="1" w:styleId="474">
    <w:name w:val="Char 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75">
    <w:name w:val="*正文"/>
    <w:basedOn w:val="1"/>
    <w:autoRedefine/>
    <w:qFormat/>
    <w:uiPriority w:val="0"/>
    <w:pPr>
      <w:spacing w:line="360" w:lineRule="auto"/>
      <w:ind w:firstLine="200" w:firstLineChars="200"/>
    </w:pPr>
    <w:rPr>
      <w:rFonts w:ascii="宋体" w:hAnsi="宋体"/>
      <w:sz w:val="24"/>
      <w:szCs w:val="24"/>
    </w:rPr>
  </w:style>
  <w:style w:type="paragraph" w:customStyle="1" w:styleId="476">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7">
    <w:name w:val="正文（首行缩进2字符）"/>
    <w:basedOn w:val="1"/>
    <w:autoRedefine/>
    <w:qFormat/>
    <w:uiPriority w:val="0"/>
    <w:pPr>
      <w:ind w:firstLine="420"/>
    </w:pPr>
    <w:rPr>
      <w:rFonts w:ascii="Calibri" w:hAnsi="Calibri" w:eastAsia="仿宋_GB2312"/>
      <w:sz w:val="30"/>
    </w:rPr>
  </w:style>
  <w:style w:type="paragraph" w:customStyle="1" w:styleId="478">
    <w:name w:val="表格正文"/>
    <w:basedOn w:val="1"/>
    <w:autoRedefine/>
    <w:qFormat/>
    <w:uiPriority w:val="0"/>
    <w:pPr>
      <w:jc w:val="left"/>
    </w:pPr>
    <w:rPr>
      <w:rFonts w:ascii="宋体" w:hAnsi="宋体" w:cstheme="minorBidi"/>
    </w:rPr>
  </w:style>
  <w:style w:type="paragraph" w:styleId="479">
    <w:name w:val="List Paragraph"/>
    <w:basedOn w:val="1"/>
    <w:autoRedefine/>
    <w:qFormat/>
    <w:uiPriority w:val="34"/>
    <w:pPr>
      <w:ind w:firstLine="420" w:firstLineChars="200"/>
    </w:pPr>
    <w:rPr>
      <w:rFonts w:ascii="Calibri" w:hAnsi="Calibri"/>
      <w:szCs w:val="22"/>
    </w:rPr>
  </w:style>
  <w:style w:type="paragraph" w:customStyle="1" w:styleId="480">
    <w:name w:val="首行缩进"/>
    <w:basedOn w:val="1"/>
    <w:autoRedefine/>
    <w:qFormat/>
    <w:uiPriority w:val="0"/>
    <w:pPr>
      <w:ind w:firstLine="480" w:firstLineChars="200"/>
    </w:pPr>
  </w:style>
  <w:style w:type="character" w:customStyle="1" w:styleId="481">
    <w:name w:val="纯文本 Char2"/>
    <w:autoRedefine/>
    <w:qFormat/>
    <w:uiPriority w:val="0"/>
    <w:rPr>
      <w:rFonts w:ascii="宋体" w:hAnsi="Courier New"/>
      <w:kern w:val="2"/>
      <w:sz w:val="21"/>
    </w:rPr>
  </w:style>
  <w:style w:type="character" w:customStyle="1" w:styleId="482">
    <w:name w:val="Char Char14"/>
    <w:link w:val="483"/>
    <w:autoRedefine/>
    <w:qFormat/>
    <w:uiPriority w:val="0"/>
    <w:rPr>
      <w:rFonts w:ascii="Tahoma" w:hAnsi="Tahoma"/>
      <w:kern w:val="2"/>
      <w:sz w:val="24"/>
    </w:rPr>
  </w:style>
  <w:style w:type="paragraph" w:customStyle="1" w:styleId="483">
    <w:name w:val="Char5"/>
    <w:basedOn w:val="1"/>
    <w:link w:val="482"/>
    <w:autoRedefine/>
    <w:qFormat/>
    <w:uiPriority w:val="0"/>
    <w:rPr>
      <w:rFonts w:ascii="Tahoma" w:hAnsi="Tahoma"/>
      <w:sz w:val="24"/>
      <w:szCs w:val="20"/>
    </w:rPr>
  </w:style>
  <w:style w:type="paragraph" w:customStyle="1" w:styleId="484">
    <w:name w:val="1正文"/>
    <w:basedOn w:val="1"/>
    <w:autoRedefine/>
    <w:qFormat/>
    <w:uiPriority w:val="0"/>
    <w:rPr>
      <w:rFonts w:ascii="宋体" w:hAnsi="宋体"/>
      <w:color w:val="000000"/>
      <w:sz w:val="15"/>
      <w:szCs w:val="14"/>
    </w:rPr>
  </w:style>
  <w:style w:type="paragraph" w:customStyle="1" w:styleId="485">
    <w:name w:val="[Normal]"/>
    <w:autoRedefine/>
    <w:qFormat/>
    <w:uiPriority w:val="0"/>
    <w:rPr>
      <w:rFonts w:ascii="宋体" w:hAnsi="宋体" w:eastAsia="宋体" w:cs="Times New Roman"/>
      <w:sz w:val="24"/>
      <w:szCs w:val="22"/>
      <w:lang w:val="zh-CN" w:eastAsia="zh-CN" w:bidi="ar-SA"/>
    </w:rPr>
  </w:style>
  <w:style w:type="paragraph" w:customStyle="1" w:styleId="486">
    <w:name w:val="表 靠左"/>
    <w:basedOn w:val="1"/>
    <w:autoRedefine/>
    <w:qFormat/>
    <w:uiPriority w:val="0"/>
    <w:pPr>
      <w:jc w:val="left"/>
    </w:pPr>
    <w:rPr>
      <w:rFonts w:ascii="Times New Roman" w:hAnsi="Times New Roman"/>
      <w:szCs w:val="21"/>
    </w:rPr>
  </w:style>
  <w:style w:type="paragraph" w:customStyle="1" w:styleId="487">
    <w:name w:val="正文首行缩进2字符"/>
    <w:basedOn w:val="1"/>
    <w:qFormat/>
    <w:uiPriority w:val="0"/>
    <w:pPr>
      <w:ind w:firstLine="200" w:firstLineChars="200"/>
    </w:pPr>
    <w:rPr>
      <w:rFonts w:ascii="Calibri" w:hAnsi="Calibri" w:eastAsia="宋体" w:cs="Times New Roman"/>
      <w:kern w:val="2"/>
      <w:sz w:val="21"/>
    </w:rPr>
  </w:style>
  <w:style w:type="paragraph" w:customStyle="1" w:styleId="488">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68</Pages>
  <Words>24289</Words>
  <Characters>25693</Characters>
  <Lines>291</Lines>
  <Paragraphs>82</Paragraphs>
  <TotalTime>1</TotalTime>
  <ScaleCrop>false</ScaleCrop>
  <LinksUpToDate>false</LinksUpToDate>
  <CharactersWithSpaces>26260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2023-06-28T00:19:00Z</dcterms:created>
  <dc:creator>000</dc:creator>
  <cp:lastModifiedBy>叶大也</cp:lastModifiedBy>
  <cp:lastPrinted>2024-03-29T07:24:00Z</cp:lastPrinted>
  <dcterms:modified xsi:type="dcterms:W3CDTF">2025-06-30T09:28:44Z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0E0E0DAFF1A94B7D8B2ACA15AC0057C0_13</vt:lpwstr>
  </property>
  <property fmtid="{D5CDD505-2E9C-101B-9397-08002B2CF9AE}" pid="4" name="KSOTemplateDocerSaveRecord">
    <vt:lpwstr>eyJoZGlkIjoiOTFiZTgyZjk2YWE4NDMxZjEyYmUzMTVhNmVhYjIwMGEiLCJ1c2VySWQiOiI5NzY4NTI0NzgifQ==</vt:lpwstr>
  </property>
</Properties>
</file>