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0825E">
      <w:pPr>
        <w:spacing w:line="660" w:lineRule="exact"/>
        <w:rPr>
          <w:rFonts w:ascii="宋体" w:hAnsi="宋体"/>
          <w:b/>
          <w:bCs/>
          <w:color w:val="auto"/>
          <w:sz w:val="28"/>
          <w:szCs w:val="28"/>
          <w:highlight w:val="none"/>
        </w:rPr>
      </w:pPr>
    </w:p>
    <w:p w14:paraId="0B92B18A">
      <w:pPr>
        <w:spacing w:line="360" w:lineRule="auto"/>
        <w:rPr>
          <w:rFonts w:ascii="宋体" w:hAnsi="宋体" w:cs="宋体"/>
          <w:b/>
          <w:bCs/>
          <w:color w:val="auto"/>
          <w:sz w:val="36"/>
          <w:szCs w:val="36"/>
          <w:highlight w:val="none"/>
        </w:rPr>
      </w:pPr>
    </w:p>
    <w:p w14:paraId="4C824C6A">
      <w:pPr>
        <w:spacing w:line="360" w:lineRule="auto"/>
        <w:jc w:val="center"/>
        <w:rPr>
          <w:rFonts w:hint="eastAsia" w:ascii="宋体" w:hAnsi="宋体" w:eastAsia="宋体" w:cs="宋体"/>
          <w:color w:val="auto"/>
          <w:spacing w:val="-4"/>
          <w:sz w:val="48"/>
          <w:szCs w:val="48"/>
          <w:highlight w:val="none"/>
          <w:lang w:eastAsia="zh-CN"/>
        </w:rPr>
      </w:pPr>
      <w:r>
        <w:rPr>
          <w:rFonts w:hint="eastAsia" w:ascii="宋体" w:hAnsi="宋体" w:cs="宋体"/>
          <w:color w:val="auto"/>
          <w:spacing w:val="-4"/>
          <w:sz w:val="48"/>
          <w:szCs w:val="48"/>
          <w:highlight w:val="none"/>
          <w:lang w:eastAsia="zh-CN"/>
        </w:rPr>
        <w:t xml:space="preserve">新昌县2025-2026年农村生活污水治理设施水质委托检测项目 </w:t>
      </w:r>
    </w:p>
    <w:p w14:paraId="5531CDF8">
      <w:pPr>
        <w:spacing w:line="360" w:lineRule="auto"/>
        <w:jc w:val="center"/>
        <w:rPr>
          <w:rFonts w:hint="eastAsia" w:ascii="宋体" w:hAnsi="宋体" w:cs="宋体"/>
          <w:b/>
          <w:bCs/>
          <w:color w:val="auto"/>
          <w:spacing w:val="-4"/>
          <w:sz w:val="48"/>
          <w:szCs w:val="48"/>
          <w:highlight w:val="none"/>
        </w:rPr>
      </w:pPr>
    </w:p>
    <w:p w14:paraId="5B67A52D">
      <w:pPr>
        <w:spacing w:line="360" w:lineRule="auto"/>
        <w:jc w:val="center"/>
        <w:rPr>
          <w:rFonts w:ascii="宋体" w:hAnsi="宋体" w:cs="宋体"/>
          <w:b/>
          <w:bCs/>
          <w:color w:val="auto"/>
          <w:spacing w:val="-4"/>
          <w:sz w:val="48"/>
          <w:szCs w:val="48"/>
          <w:highlight w:val="none"/>
        </w:rPr>
      </w:pPr>
      <w:r>
        <w:rPr>
          <w:rFonts w:hint="eastAsia" w:ascii="宋体" w:hAnsi="宋体" w:cs="宋体"/>
          <w:b/>
          <w:bCs/>
          <w:color w:val="auto"/>
          <w:spacing w:val="-4"/>
          <w:sz w:val="48"/>
          <w:szCs w:val="48"/>
          <w:highlight w:val="none"/>
        </w:rPr>
        <w:t xml:space="preserve">招   标  文   件 </w:t>
      </w:r>
    </w:p>
    <w:p w14:paraId="4627E5C6">
      <w:pPr>
        <w:jc w:val="center"/>
        <w:rPr>
          <w:rFonts w:ascii="宋体" w:hAnsi="宋体" w:cs="宋体"/>
          <w:b/>
          <w:bCs/>
          <w:color w:val="auto"/>
          <w:sz w:val="48"/>
          <w:szCs w:val="48"/>
          <w:highlight w:val="none"/>
          <w:u w:val="single"/>
        </w:rPr>
      </w:pPr>
    </w:p>
    <w:p w14:paraId="194B9CB9">
      <w:pPr>
        <w:tabs>
          <w:tab w:val="left" w:pos="5460"/>
        </w:tabs>
        <w:ind w:firstLine="2570" w:firstLineChars="800"/>
        <w:rPr>
          <w:rFonts w:ascii="宋体" w:hAnsi="宋体" w:cs="宋体"/>
          <w:b/>
          <w:bCs/>
          <w:color w:val="auto"/>
          <w:sz w:val="52"/>
          <w:szCs w:val="52"/>
          <w:highlight w:val="none"/>
        </w:rPr>
      </w:pPr>
      <w:r>
        <w:rPr>
          <w:rFonts w:hint="eastAsia" w:ascii="宋体" w:hAnsi="宋体" w:cs="宋体"/>
          <w:b/>
          <w:bCs/>
          <w:color w:val="auto"/>
          <w:sz w:val="32"/>
          <w:szCs w:val="32"/>
          <w:highlight w:val="none"/>
        </w:rPr>
        <w:t>项目编号：</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HX2025-</w:t>
      </w:r>
      <w:r>
        <w:rPr>
          <w:rFonts w:hint="eastAsia" w:ascii="宋体" w:hAnsi="宋体" w:cs="宋体"/>
          <w:color w:val="auto"/>
          <w:sz w:val="28"/>
          <w:szCs w:val="28"/>
          <w:highlight w:val="none"/>
          <w:lang w:val="en-US" w:eastAsia="zh-CN"/>
        </w:rPr>
        <w:t>28</w:t>
      </w:r>
      <w:r>
        <w:rPr>
          <w:rFonts w:hint="eastAsia" w:ascii="宋体" w:hAnsi="宋体" w:cs="宋体"/>
          <w:color w:val="auto"/>
          <w:sz w:val="28"/>
          <w:szCs w:val="28"/>
          <w:highlight w:val="none"/>
        </w:rPr>
        <w:t>(CG)</w:t>
      </w:r>
    </w:p>
    <w:p w14:paraId="37EBC92C">
      <w:pPr>
        <w:jc w:val="center"/>
        <w:rPr>
          <w:rFonts w:ascii="宋体" w:hAnsi="宋体" w:cs="宋体"/>
          <w:b/>
          <w:bCs/>
          <w:color w:val="auto"/>
          <w:sz w:val="44"/>
          <w:szCs w:val="44"/>
          <w:highlight w:val="none"/>
        </w:rPr>
      </w:pPr>
    </w:p>
    <w:p w14:paraId="362119E7">
      <w:pPr>
        <w:jc w:val="center"/>
        <w:rPr>
          <w:rFonts w:ascii="宋体" w:hAnsi="宋体" w:cs="宋体"/>
          <w:b/>
          <w:bCs/>
          <w:color w:val="auto"/>
          <w:sz w:val="44"/>
          <w:szCs w:val="44"/>
          <w:highlight w:val="none"/>
        </w:rPr>
      </w:pPr>
    </w:p>
    <w:p w14:paraId="7A0E483B">
      <w:pPr>
        <w:jc w:val="center"/>
        <w:rPr>
          <w:rFonts w:ascii="宋体" w:hAnsi="宋体" w:cs="宋体"/>
          <w:b/>
          <w:bCs/>
          <w:color w:val="auto"/>
          <w:sz w:val="44"/>
          <w:szCs w:val="44"/>
          <w:highlight w:val="none"/>
        </w:rPr>
      </w:pPr>
    </w:p>
    <w:p w14:paraId="6F54BCA1">
      <w:pPr>
        <w:jc w:val="center"/>
        <w:rPr>
          <w:rFonts w:ascii="宋体" w:hAnsi="宋体" w:cs="宋体"/>
          <w:b/>
          <w:bCs/>
          <w:color w:val="auto"/>
          <w:sz w:val="44"/>
          <w:szCs w:val="44"/>
          <w:highlight w:val="none"/>
        </w:rPr>
      </w:pPr>
    </w:p>
    <w:p w14:paraId="2165CB31">
      <w:pPr>
        <w:jc w:val="center"/>
        <w:rPr>
          <w:rFonts w:ascii="宋体" w:hAnsi="宋体" w:cs="宋体"/>
          <w:b/>
          <w:bCs/>
          <w:color w:val="auto"/>
          <w:sz w:val="44"/>
          <w:szCs w:val="44"/>
          <w:highlight w:val="none"/>
        </w:rPr>
      </w:pPr>
    </w:p>
    <w:p w14:paraId="138C61B1">
      <w:pPr>
        <w:jc w:val="center"/>
        <w:rPr>
          <w:rFonts w:ascii="宋体" w:hAnsi="宋体" w:cs="宋体"/>
          <w:b/>
          <w:bCs/>
          <w:color w:val="auto"/>
          <w:sz w:val="44"/>
          <w:szCs w:val="44"/>
          <w:highlight w:val="none"/>
        </w:rPr>
      </w:pPr>
    </w:p>
    <w:p w14:paraId="35A413E1">
      <w:pPr>
        <w:jc w:val="center"/>
        <w:rPr>
          <w:rFonts w:ascii="宋体" w:hAnsi="宋体" w:cs="宋体"/>
          <w:b/>
          <w:bCs/>
          <w:color w:val="auto"/>
          <w:sz w:val="44"/>
          <w:szCs w:val="44"/>
          <w:highlight w:val="none"/>
        </w:rPr>
      </w:pPr>
    </w:p>
    <w:p w14:paraId="76D854A3">
      <w:pPr>
        <w:jc w:val="center"/>
        <w:rPr>
          <w:rFonts w:ascii="宋体" w:hAnsi="宋体" w:cs="宋体"/>
          <w:b/>
          <w:bCs/>
          <w:color w:val="auto"/>
          <w:sz w:val="44"/>
          <w:szCs w:val="44"/>
          <w:highlight w:val="none"/>
        </w:rPr>
      </w:pPr>
    </w:p>
    <w:p w14:paraId="55AF6AF8">
      <w:pPr>
        <w:spacing w:line="600" w:lineRule="exact"/>
        <w:ind w:firstLine="1124" w:firstLineChars="400"/>
        <w:rPr>
          <w:rFonts w:ascii="宋体" w:hAnsi="宋体" w:cs="宋体"/>
          <w:b/>
          <w:bCs/>
          <w:color w:val="auto"/>
          <w:sz w:val="28"/>
          <w:szCs w:val="28"/>
          <w:highlight w:val="none"/>
        </w:rPr>
      </w:pPr>
      <w:r>
        <w:rPr>
          <w:rFonts w:hint="eastAsia" w:ascii="宋体" w:hAnsi="宋体" w:cs="宋体"/>
          <w:b/>
          <w:bCs/>
          <w:color w:val="auto"/>
          <w:sz w:val="28"/>
          <w:szCs w:val="28"/>
          <w:highlight w:val="none"/>
        </w:rPr>
        <w:t>采购单位：</w:t>
      </w:r>
      <w:r>
        <w:rPr>
          <w:rFonts w:hint="eastAsia" w:ascii="宋体" w:hAnsi="宋体" w:cs="宋体"/>
          <w:color w:val="auto"/>
          <w:sz w:val="28"/>
          <w:szCs w:val="28"/>
          <w:highlight w:val="none"/>
          <w:u w:val="single"/>
          <w:lang w:eastAsia="zh-CN"/>
        </w:rPr>
        <w:t>新昌县住房和城乡建设局</w:t>
      </w:r>
      <w:r>
        <w:rPr>
          <w:rFonts w:hint="eastAsia" w:ascii="宋体" w:hAnsi="宋体" w:cs="宋体"/>
          <w:color w:val="auto"/>
          <w:sz w:val="28"/>
          <w:szCs w:val="28"/>
          <w:highlight w:val="none"/>
          <w:u w:val="single"/>
        </w:rPr>
        <w:t xml:space="preserve">   （盖章）</w:t>
      </w:r>
    </w:p>
    <w:p w14:paraId="726955E2">
      <w:pPr>
        <w:spacing w:line="600" w:lineRule="exact"/>
        <w:ind w:firstLine="1124" w:firstLineChars="400"/>
        <w:rPr>
          <w:rFonts w:ascii="宋体" w:hAnsi="宋体" w:cs="宋体"/>
          <w:color w:val="auto"/>
          <w:sz w:val="28"/>
          <w:szCs w:val="28"/>
          <w:highlight w:val="none"/>
          <w:u w:val="single"/>
        </w:rPr>
      </w:pPr>
      <w:r>
        <w:rPr>
          <w:rFonts w:hint="eastAsia" w:ascii="宋体" w:hAnsi="宋体" w:cs="宋体"/>
          <w:b/>
          <w:bCs/>
          <w:color w:val="auto"/>
          <w:sz w:val="28"/>
          <w:szCs w:val="28"/>
          <w:highlight w:val="none"/>
        </w:rPr>
        <w:t>采购机构：</w:t>
      </w:r>
      <w:r>
        <w:rPr>
          <w:rFonts w:hint="eastAsia" w:ascii="宋体" w:hAnsi="宋体" w:cs="宋体"/>
          <w:b/>
          <w:bCs/>
          <w:color w:val="auto"/>
          <w:sz w:val="28"/>
          <w:szCs w:val="28"/>
          <w:highlight w:val="none"/>
          <w:u w:val="single"/>
        </w:rPr>
        <w:t xml:space="preserve">新昌县鸿翔工程咨询有限公司  </w:t>
      </w:r>
      <w:r>
        <w:rPr>
          <w:rFonts w:hint="eastAsia" w:ascii="宋体" w:hAnsi="宋体" w:cs="宋体"/>
          <w:color w:val="auto"/>
          <w:sz w:val="28"/>
          <w:szCs w:val="28"/>
          <w:highlight w:val="none"/>
          <w:u w:val="single"/>
        </w:rPr>
        <w:t>（盖章）</w:t>
      </w:r>
    </w:p>
    <w:p w14:paraId="765995BF">
      <w:pPr>
        <w:spacing w:line="600" w:lineRule="exact"/>
        <w:ind w:firstLine="1124" w:firstLineChars="400"/>
        <w:jc w:val="left"/>
        <w:rPr>
          <w:rFonts w:ascii="宋体" w:hAnsi="宋体" w:cs="宋体"/>
          <w:color w:val="auto"/>
          <w:sz w:val="28"/>
          <w:szCs w:val="28"/>
          <w:highlight w:val="none"/>
        </w:rPr>
      </w:pPr>
      <w:r>
        <w:rPr>
          <w:rFonts w:hint="eastAsia" w:ascii="宋体" w:hAnsi="宋体" w:cs="宋体"/>
          <w:b/>
          <w:bCs/>
          <w:color w:val="auto"/>
          <w:sz w:val="28"/>
          <w:szCs w:val="28"/>
          <w:highlight w:val="none"/>
        </w:rPr>
        <w:t>日    期：</w:t>
      </w:r>
      <w:r>
        <w:rPr>
          <w:rFonts w:hint="eastAsia" w:ascii="宋体" w:hAnsi="宋体" w:cs="宋体"/>
          <w:color w:val="auto"/>
          <w:sz w:val="28"/>
          <w:szCs w:val="28"/>
          <w:highlight w:val="none"/>
          <w:u w:val="single"/>
        </w:rPr>
        <w:t xml:space="preserve"> 202</w:t>
      </w:r>
      <w:r>
        <w:rPr>
          <w:rFonts w:hint="eastAsia" w:ascii="宋体" w:hAnsi="宋体" w:cs="宋体"/>
          <w:color w:val="auto"/>
          <w:sz w:val="28"/>
          <w:szCs w:val="28"/>
          <w:highlight w:val="none"/>
          <w:u w:val="single"/>
          <w:lang w:val="en-US" w:eastAsia="zh-CN"/>
        </w:rPr>
        <w:t>5</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7 </w:t>
      </w:r>
      <w:r>
        <w:rPr>
          <w:rFonts w:hint="eastAsia" w:ascii="宋体" w:hAnsi="宋体" w:cs="宋体"/>
          <w:color w:val="auto"/>
          <w:sz w:val="28"/>
          <w:szCs w:val="28"/>
          <w:highlight w:val="none"/>
        </w:rPr>
        <w:t>月</w:t>
      </w:r>
    </w:p>
    <w:p w14:paraId="7DF8D8A0">
      <w:pPr>
        <w:pStyle w:val="2"/>
        <w:rPr>
          <w:color w:val="auto"/>
          <w:highlight w:val="none"/>
        </w:rPr>
      </w:pPr>
    </w:p>
    <w:p w14:paraId="1C2FE2E6">
      <w:pPr>
        <w:jc w:val="center"/>
        <w:rPr>
          <w:rFonts w:ascii="宋体" w:hAnsi="宋体" w:cs="宋体"/>
          <w:b/>
          <w:bCs/>
          <w:color w:val="auto"/>
          <w:w w:val="95"/>
          <w:sz w:val="30"/>
          <w:szCs w:val="30"/>
          <w:highlight w:val="none"/>
        </w:rPr>
      </w:pPr>
    </w:p>
    <w:p w14:paraId="0B00764A">
      <w:pPr>
        <w:rPr>
          <w:rFonts w:ascii="宋体" w:hAnsi="宋体" w:cs="宋体"/>
          <w:color w:val="auto"/>
          <w:highlight w:val="none"/>
        </w:rPr>
      </w:pPr>
    </w:p>
    <w:p w14:paraId="1247A0F7">
      <w:pPr>
        <w:jc w:val="center"/>
        <w:rPr>
          <w:rFonts w:hint="eastAsia" w:ascii="宋体" w:hAnsi="宋体" w:cs="宋体"/>
          <w:b/>
          <w:bCs/>
          <w:color w:val="auto"/>
          <w:sz w:val="44"/>
          <w:szCs w:val="44"/>
          <w:highlight w:val="none"/>
        </w:rPr>
        <w:sectPr>
          <w:footerReference r:id="rId3" w:type="default"/>
          <w:pgSz w:w="11850" w:h="16783"/>
          <w:pgMar w:top="1304" w:right="1565" w:bottom="1247" w:left="1344" w:header="851" w:footer="992" w:gutter="0"/>
          <w:pgNumType w:start="0"/>
          <w:cols w:space="720" w:num="1"/>
          <w:docGrid w:linePitch="312" w:charSpace="0"/>
        </w:sectPr>
      </w:pPr>
    </w:p>
    <w:p w14:paraId="5ADA3727">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6852E93C">
      <w:pPr>
        <w:jc w:val="center"/>
        <w:rPr>
          <w:rFonts w:ascii="宋体" w:hAnsi="宋体" w:cs="宋体"/>
          <w:color w:val="auto"/>
          <w:sz w:val="44"/>
          <w:szCs w:val="44"/>
          <w:highlight w:val="none"/>
        </w:rPr>
      </w:pPr>
    </w:p>
    <w:p w14:paraId="459858C7">
      <w:pPr>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招标公告</w:t>
      </w:r>
    </w:p>
    <w:p w14:paraId="45D092DD">
      <w:pPr>
        <w:spacing w:line="360" w:lineRule="auto"/>
        <w:ind w:firstLine="640" w:firstLineChars="200"/>
        <w:rPr>
          <w:rFonts w:ascii="宋体" w:hAnsi="宋体" w:cs="宋体"/>
          <w:color w:val="auto"/>
          <w:sz w:val="32"/>
          <w:szCs w:val="32"/>
          <w:highlight w:val="none"/>
        </w:rPr>
      </w:pPr>
    </w:p>
    <w:p w14:paraId="0B269882">
      <w:pPr>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第一章 采购需求</w:t>
      </w:r>
    </w:p>
    <w:p w14:paraId="264ACA0E">
      <w:pPr>
        <w:spacing w:line="360" w:lineRule="auto"/>
        <w:ind w:firstLine="640" w:firstLineChars="200"/>
        <w:rPr>
          <w:rFonts w:ascii="宋体" w:hAnsi="宋体" w:cs="宋体"/>
          <w:color w:val="auto"/>
          <w:sz w:val="32"/>
          <w:szCs w:val="32"/>
          <w:highlight w:val="none"/>
        </w:rPr>
      </w:pPr>
    </w:p>
    <w:p w14:paraId="61D678AD">
      <w:pPr>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第二章 投标须知及其前附表</w:t>
      </w:r>
    </w:p>
    <w:p w14:paraId="532E1D09">
      <w:pPr>
        <w:spacing w:line="360" w:lineRule="auto"/>
        <w:ind w:firstLine="640" w:firstLineChars="200"/>
        <w:rPr>
          <w:rFonts w:ascii="宋体" w:hAnsi="宋体" w:cs="宋体"/>
          <w:color w:val="auto"/>
          <w:sz w:val="32"/>
          <w:szCs w:val="32"/>
          <w:highlight w:val="none"/>
        </w:rPr>
      </w:pPr>
    </w:p>
    <w:p w14:paraId="5927D32D">
      <w:pPr>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第三章 合同主要条款</w:t>
      </w:r>
    </w:p>
    <w:p w14:paraId="36757C5D">
      <w:pPr>
        <w:spacing w:line="360" w:lineRule="auto"/>
        <w:ind w:firstLine="640" w:firstLineChars="200"/>
        <w:rPr>
          <w:rFonts w:ascii="宋体" w:hAnsi="宋体" w:cs="宋体"/>
          <w:color w:val="auto"/>
          <w:sz w:val="32"/>
          <w:szCs w:val="32"/>
          <w:highlight w:val="none"/>
        </w:rPr>
      </w:pPr>
    </w:p>
    <w:p w14:paraId="78E3DF38">
      <w:pPr>
        <w:spacing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第四章 投标文件格式</w:t>
      </w:r>
    </w:p>
    <w:p w14:paraId="6D7B999D">
      <w:pPr>
        <w:spacing w:line="360" w:lineRule="auto"/>
        <w:ind w:firstLine="640" w:firstLineChars="200"/>
        <w:rPr>
          <w:rFonts w:ascii="宋体" w:hAnsi="宋体" w:cs="宋体"/>
          <w:color w:val="auto"/>
          <w:sz w:val="32"/>
          <w:szCs w:val="32"/>
          <w:highlight w:val="none"/>
        </w:rPr>
      </w:pPr>
    </w:p>
    <w:p w14:paraId="56BD390E">
      <w:pPr>
        <w:spacing w:line="400" w:lineRule="exact"/>
        <w:rPr>
          <w:rFonts w:ascii="宋体" w:hAnsi="宋体" w:cs="宋体"/>
          <w:b/>
          <w:color w:val="auto"/>
          <w:sz w:val="44"/>
          <w:szCs w:val="44"/>
          <w:highlight w:val="none"/>
        </w:rPr>
      </w:pPr>
      <w:bookmarkStart w:id="0" w:name="_Toc125344501"/>
      <w:bookmarkStart w:id="1" w:name="_Toc454374909"/>
    </w:p>
    <w:p w14:paraId="1EC4DEAB">
      <w:pPr>
        <w:spacing w:line="400" w:lineRule="exact"/>
        <w:rPr>
          <w:rFonts w:ascii="宋体" w:hAnsi="宋体" w:cs="宋体"/>
          <w:b/>
          <w:color w:val="auto"/>
          <w:sz w:val="44"/>
          <w:szCs w:val="44"/>
          <w:highlight w:val="none"/>
        </w:rPr>
      </w:pPr>
    </w:p>
    <w:p w14:paraId="6E128C2A">
      <w:pPr>
        <w:spacing w:line="400" w:lineRule="exact"/>
        <w:rPr>
          <w:rFonts w:ascii="隶书" w:eastAsia="隶书"/>
          <w:b/>
          <w:color w:val="auto"/>
          <w:sz w:val="44"/>
          <w:szCs w:val="44"/>
          <w:highlight w:val="none"/>
        </w:rPr>
      </w:pPr>
    </w:p>
    <w:p w14:paraId="61BA6ECA">
      <w:pPr>
        <w:spacing w:line="400" w:lineRule="exact"/>
        <w:rPr>
          <w:rFonts w:ascii="隶书" w:eastAsia="隶书"/>
          <w:b/>
          <w:color w:val="auto"/>
          <w:sz w:val="44"/>
          <w:szCs w:val="44"/>
          <w:highlight w:val="none"/>
        </w:rPr>
      </w:pPr>
    </w:p>
    <w:p w14:paraId="181072BA">
      <w:pPr>
        <w:spacing w:line="400" w:lineRule="exact"/>
        <w:rPr>
          <w:rFonts w:ascii="隶书" w:eastAsia="隶书"/>
          <w:b/>
          <w:color w:val="auto"/>
          <w:sz w:val="44"/>
          <w:szCs w:val="44"/>
          <w:highlight w:val="none"/>
        </w:rPr>
      </w:pPr>
    </w:p>
    <w:p w14:paraId="34F7EC36">
      <w:pPr>
        <w:spacing w:line="400" w:lineRule="exact"/>
        <w:rPr>
          <w:rFonts w:ascii="隶书" w:eastAsia="隶书"/>
          <w:b/>
          <w:color w:val="auto"/>
          <w:sz w:val="44"/>
          <w:szCs w:val="44"/>
          <w:highlight w:val="none"/>
        </w:rPr>
      </w:pPr>
    </w:p>
    <w:p w14:paraId="5EA548F5">
      <w:pPr>
        <w:pStyle w:val="5"/>
        <w:rPr>
          <w:color w:val="auto"/>
          <w:highlight w:val="none"/>
        </w:rPr>
      </w:pPr>
    </w:p>
    <w:p w14:paraId="07F94A37">
      <w:pPr>
        <w:spacing w:line="400" w:lineRule="exact"/>
        <w:rPr>
          <w:rFonts w:ascii="隶书" w:eastAsia="隶书"/>
          <w:b/>
          <w:color w:val="auto"/>
          <w:sz w:val="44"/>
          <w:szCs w:val="44"/>
          <w:highlight w:val="none"/>
        </w:rPr>
      </w:pPr>
    </w:p>
    <w:p w14:paraId="36E80AD4">
      <w:pPr>
        <w:spacing w:line="400" w:lineRule="exact"/>
        <w:rPr>
          <w:rFonts w:ascii="隶书" w:eastAsia="隶书"/>
          <w:b/>
          <w:color w:val="auto"/>
          <w:sz w:val="44"/>
          <w:szCs w:val="44"/>
          <w:highlight w:val="none"/>
        </w:rPr>
      </w:pPr>
    </w:p>
    <w:p w14:paraId="7FD338F6">
      <w:pPr>
        <w:spacing w:line="400" w:lineRule="exact"/>
        <w:rPr>
          <w:rFonts w:ascii="隶书" w:eastAsia="隶书"/>
          <w:b/>
          <w:color w:val="auto"/>
          <w:sz w:val="44"/>
          <w:szCs w:val="44"/>
          <w:highlight w:val="none"/>
        </w:rPr>
      </w:pPr>
    </w:p>
    <w:p w14:paraId="7FCF0210">
      <w:pPr>
        <w:spacing w:line="400" w:lineRule="exact"/>
        <w:jc w:val="right"/>
        <w:rPr>
          <w:rFonts w:ascii="隶书" w:eastAsia="隶书"/>
          <w:b/>
          <w:color w:val="auto"/>
          <w:sz w:val="44"/>
          <w:szCs w:val="44"/>
          <w:highlight w:val="none"/>
        </w:rPr>
      </w:pPr>
    </w:p>
    <w:p w14:paraId="786A3F98">
      <w:pPr>
        <w:rPr>
          <w:rFonts w:ascii="宋体" w:hAnsi="宋体" w:cs="宋体"/>
          <w:color w:val="auto"/>
          <w:highlight w:val="none"/>
        </w:rPr>
      </w:pPr>
    </w:p>
    <w:p w14:paraId="6F4E9A11">
      <w:pPr>
        <w:pStyle w:val="2"/>
        <w:ind w:firstLine="480"/>
        <w:rPr>
          <w:rFonts w:ascii="宋体" w:hAnsi="宋体" w:cs="宋体"/>
          <w:color w:val="auto"/>
          <w:highlight w:val="none"/>
        </w:rPr>
      </w:pPr>
    </w:p>
    <w:bookmarkEnd w:id="0"/>
    <w:bookmarkEnd w:id="1"/>
    <w:p w14:paraId="36B4C869">
      <w:pPr>
        <w:pStyle w:val="4"/>
        <w:spacing w:line="50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p>
    <w:p w14:paraId="68CA8FE3">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444E3CCC">
      <w:pPr>
        <w:pStyle w:val="4"/>
        <w:spacing w:line="50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招 标 公 告</w:t>
      </w:r>
    </w:p>
    <w:p w14:paraId="016BDCFA">
      <w:pPr>
        <w:pStyle w:val="2"/>
        <w:ind w:firstLine="2880" w:firstLineChars="1200"/>
        <w:rPr>
          <w:rFonts w:hint="eastAsia" w:ascii="宋体" w:hAnsi="宋体" w:cs="宋体"/>
          <w:color w:val="auto"/>
          <w:highlight w:val="none"/>
        </w:rPr>
      </w:pPr>
      <w:r>
        <w:rPr>
          <w:rFonts w:hint="eastAsia"/>
          <w:color w:val="auto"/>
          <w:highlight w:val="none"/>
        </w:rPr>
        <w:t>项目编号：</w:t>
      </w:r>
      <w:r>
        <w:rPr>
          <w:rFonts w:hint="eastAsia" w:ascii="宋体" w:hAnsi="宋体" w:cs="宋体"/>
          <w:color w:val="auto"/>
          <w:highlight w:val="none"/>
          <w:lang w:eastAsia="zh-CN"/>
        </w:rPr>
        <w:t>HX2025-</w:t>
      </w:r>
      <w:r>
        <w:rPr>
          <w:rFonts w:hint="eastAsia" w:ascii="宋体" w:hAnsi="宋体" w:cs="宋体"/>
          <w:color w:val="auto"/>
          <w:highlight w:val="none"/>
          <w:lang w:val="en-US" w:eastAsia="zh-CN"/>
        </w:rPr>
        <w:t>28</w:t>
      </w:r>
      <w:r>
        <w:rPr>
          <w:rFonts w:hint="eastAsia" w:ascii="宋体" w:hAnsi="宋体" w:cs="宋体"/>
          <w:color w:val="auto"/>
          <w:highlight w:val="none"/>
        </w:rPr>
        <w:t>(CG)</w:t>
      </w:r>
    </w:p>
    <w:p w14:paraId="3CF2B597">
      <w:pPr>
        <w:pStyle w:val="18"/>
        <w:shd w:val="clear" w:color="auto" w:fill="FFFFFF"/>
        <w:spacing w:beforeAutospacing="0" w:afterAutospacing="0" w:line="360" w:lineRule="auto"/>
        <w:ind w:firstLine="480" w:firstLineChars="200"/>
        <w:rPr>
          <w:rFonts w:hint="eastAsia" w:cs="宋体"/>
          <w:color w:val="auto"/>
          <w:highlight w:val="none"/>
        </w:rPr>
      </w:pPr>
      <w:r>
        <w:rPr>
          <w:rFonts w:hint="eastAsia" w:cs="宋体"/>
          <w:color w:val="auto"/>
          <w:highlight w:val="none"/>
          <w:shd w:val="clear" w:color="auto" w:fill="FFFFFF"/>
        </w:rPr>
        <w:t>新昌县鸿翔工程咨询有限公司（以下简称“采购代理机构”）受</w:t>
      </w:r>
      <w:r>
        <w:rPr>
          <w:rFonts w:hint="eastAsia" w:cs="宋体"/>
          <w:color w:val="auto"/>
          <w:highlight w:val="none"/>
          <w:shd w:val="clear" w:color="auto" w:fill="FFFFFF"/>
          <w:lang w:eastAsia="zh-CN"/>
        </w:rPr>
        <w:t>新昌县住房和城乡建设局</w:t>
      </w:r>
      <w:r>
        <w:rPr>
          <w:rFonts w:hint="eastAsia" w:cs="宋体"/>
          <w:color w:val="auto"/>
          <w:highlight w:val="none"/>
          <w:shd w:val="clear" w:color="auto" w:fill="FFFFFF"/>
        </w:rPr>
        <w:t>（以下简称“采购方”）的委托，就以下采购项目通过公开招标方式选定供应商。有关事项公告如下：</w:t>
      </w:r>
    </w:p>
    <w:p w14:paraId="131B006F">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一、招标项目简要</w:t>
      </w:r>
    </w:p>
    <w:p w14:paraId="063DCE33">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1.1、采购内容及数量</w:t>
      </w:r>
    </w:p>
    <w:tbl>
      <w:tblPr>
        <w:tblStyle w:val="20"/>
        <w:tblpPr w:leftFromText="180" w:rightFromText="180" w:vertAnchor="text" w:horzAnchor="page" w:tblpX="1412" w:tblpY="8"/>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57"/>
        <w:gridCol w:w="1725"/>
        <w:gridCol w:w="2295"/>
        <w:gridCol w:w="1651"/>
      </w:tblGrid>
      <w:tr w14:paraId="4717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50" w:type="dxa"/>
            <w:noWrap w:val="0"/>
            <w:vAlign w:val="center"/>
          </w:tcPr>
          <w:p w14:paraId="3EB427ED">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957" w:type="dxa"/>
            <w:noWrap w:val="0"/>
            <w:vAlign w:val="center"/>
          </w:tcPr>
          <w:p w14:paraId="2B2A8067">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725" w:type="dxa"/>
            <w:noWrap w:val="0"/>
            <w:vAlign w:val="center"/>
          </w:tcPr>
          <w:p w14:paraId="775A74B1">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2295" w:type="dxa"/>
            <w:noWrap w:val="0"/>
            <w:vAlign w:val="center"/>
          </w:tcPr>
          <w:p w14:paraId="6DFACAE0">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项目要求</w:t>
            </w:r>
          </w:p>
        </w:tc>
        <w:tc>
          <w:tcPr>
            <w:tcW w:w="1651" w:type="dxa"/>
            <w:noWrap w:val="0"/>
            <w:vAlign w:val="center"/>
          </w:tcPr>
          <w:p w14:paraId="29156928">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预算（元）</w:t>
            </w:r>
          </w:p>
        </w:tc>
      </w:tr>
      <w:tr w14:paraId="4E2A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50" w:type="dxa"/>
            <w:noWrap w:val="0"/>
            <w:vAlign w:val="center"/>
          </w:tcPr>
          <w:p w14:paraId="716A3394">
            <w:pPr>
              <w:autoSpaceDE/>
              <w:autoSpaceDN/>
              <w:snapToGrid w:val="0"/>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957" w:type="dxa"/>
            <w:noWrap w:val="0"/>
            <w:vAlign w:val="center"/>
          </w:tcPr>
          <w:p w14:paraId="09D33E61">
            <w:pPr>
              <w:autoSpaceDE/>
              <w:autoSpaceDN/>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新昌县2025-2026年农村生活污水治理设施水质委托检测项目  </w:t>
            </w:r>
          </w:p>
        </w:tc>
        <w:tc>
          <w:tcPr>
            <w:tcW w:w="1725" w:type="dxa"/>
            <w:noWrap w:val="0"/>
            <w:vAlign w:val="center"/>
          </w:tcPr>
          <w:p w14:paraId="03F064C4">
            <w:pPr>
              <w:autoSpaceDE/>
              <w:autoSpaceDN/>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1项</w:t>
            </w:r>
          </w:p>
        </w:tc>
        <w:tc>
          <w:tcPr>
            <w:tcW w:w="2295" w:type="dxa"/>
            <w:noWrap w:val="0"/>
            <w:vAlign w:val="center"/>
          </w:tcPr>
          <w:p w14:paraId="76DF0771">
            <w:pPr>
              <w:pStyle w:val="9"/>
              <w:autoSpaceDE/>
              <w:autoSpaceDN/>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对我县农村生活污水治理设施的水质按要求进行检测</w:t>
            </w:r>
          </w:p>
        </w:tc>
        <w:tc>
          <w:tcPr>
            <w:tcW w:w="1651" w:type="dxa"/>
            <w:noWrap w:val="0"/>
            <w:vAlign w:val="center"/>
          </w:tcPr>
          <w:p w14:paraId="11927D5B">
            <w:pPr>
              <w:pStyle w:val="15"/>
              <w:jc w:val="center"/>
              <w:rPr>
                <w:rFonts w:hint="eastAsia" w:eastAsia="仿宋_GB2312"/>
                <w:color w:val="auto"/>
                <w:sz w:val="24"/>
                <w:szCs w:val="24"/>
                <w:highlight w:val="none"/>
                <w:lang w:eastAsia="zh-CN"/>
              </w:rPr>
            </w:pPr>
            <w:r>
              <w:rPr>
                <w:rFonts w:hint="eastAsia" w:ascii="宋体" w:hAnsi="宋体" w:eastAsia="宋体" w:cs="宋体"/>
                <w:color w:val="auto"/>
                <w:sz w:val="24"/>
                <w:szCs w:val="24"/>
                <w:highlight w:val="none"/>
                <w:lang w:eastAsia="zh-CN"/>
              </w:rPr>
              <w:t>400000</w:t>
            </w:r>
          </w:p>
        </w:tc>
      </w:tr>
    </w:tbl>
    <w:p w14:paraId="6013D53A">
      <w:pPr>
        <w:pStyle w:val="18"/>
        <w:shd w:val="clear" w:color="auto" w:fill="FFFFFF"/>
        <w:spacing w:beforeAutospacing="0" w:afterAutospacing="0" w:line="360" w:lineRule="auto"/>
        <w:ind w:firstLine="0"/>
        <w:rPr>
          <w:rFonts w:hint="default" w:eastAsia="宋体" w:cs="宋体"/>
          <w:color w:val="auto"/>
          <w:highlight w:val="none"/>
          <w:lang w:val="en-US" w:eastAsia="zh-CN"/>
        </w:rPr>
      </w:pPr>
      <w:r>
        <w:rPr>
          <w:rFonts w:hint="eastAsia" w:cs="宋体"/>
          <w:color w:val="auto"/>
          <w:highlight w:val="none"/>
          <w:shd w:val="clear" w:color="auto" w:fill="FFFFFF"/>
        </w:rPr>
        <w:t>1.2、</w:t>
      </w:r>
      <w:r>
        <w:rPr>
          <w:rFonts w:hint="eastAsia" w:cs="宋体"/>
          <w:color w:val="auto"/>
          <w:highlight w:val="none"/>
          <w:shd w:val="clear" w:color="auto" w:fill="FFFFFF"/>
          <w:lang w:eastAsia="zh-CN"/>
        </w:rPr>
        <w:t>服务期限：</w:t>
      </w:r>
      <w:r>
        <w:rPr>
          <w:rFonts w:hint="eastAsia" w:cs="宋体"/>
          <w:color w:val="auto"/>
          <w:highlight w:val="none"/>
          <w:shd w:val="clear" w:color="auto" w:fill="FFFFFF"/>
          <w:lang w:val="en-US" w:eastAsia="zh-CN"/>
        </w:rPr>
        <w:t>自合同签订之日起1年</w:t>
      </w:r>
    </w:p>
    <w:p w14:paraId="2744A36C">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二、投标人资格要求</w:t>
      </w:r>
    </w:p>
    <w:p w14:paraId="17FDA5BB">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（1）符合《中华人民共和国政府采购法》第二十二条规定。</w:t>
      </w:r>
    </w:p>
    <w:p w14:paraId="4B0E0D99">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（2）未被“信用中国”、中国政府采购网列入失信被执行人、重大税收违法案件当事人名单、政府采购严重违法失信行为记录名单。</w:t>
      </w:r>
    </w:p>
    <w:p w14:paraId="58A72DE4">
      <w:pPr>
        <w:pStyle w:val="18"/>
        <w:shd w:val="clear" w:color="auto" w:fill="FFFFFF"/>
        <w:spacing w:beforeAutospacing="0" w:afterAutospacing="0" w:line="360" w:lineRule="auto"/>
        <w:ind w:firstLine="0"/>
        <w:rPr>
          <w:rFonts w:hint="default" w:eastAsia="宋体" w:cs="宋体"/>
          <w:color w:val="auto"/>
          <w:highlight w:val="none"/>
          <w:shd w:val="clear" w:color="auto" w:fill="FFFFFF"/>
          <w:lang w:val="en-US" w:eastAsia="zh-CN"/>
        </w:rPr>
      </w:pPr>
      <w:r>
        <w:rPr>
          <w:rFonts w:hint="eastAsia" w:cs="宋体"/>
          <w:color w:val="auto"/>
          <w:highlight w:val="none"/>
          <w:shd w:val="clear" w:color="auto" w:fill="FFFFFF"/>
        </w:rPr>
        <w:t>（3）</w:t>
      </w:r>
      <w:r>
        <w:rPr>
          <w:rFonts w:hint="eastAsia" w:cs="宋体"/>
          <w:color w:val="auto"/>
          <w:highlight w:val="none"/>
          <w:shd w:val="clear" w:color="auto" w:fill="FFFFFF"/>
          <w:lang w:val="en-US" w:eastAsia="zh-CN"/>
        </w:rPr>
        <w:t>本项目特定资格要求：具有省级及以上质量技术监督部门颁发的检验检测机构资质认定证书CMA，资质认定证书附表中的检验检测能力范围应涵盖本次所有水质检测项目。</w:t>
      </w:r>
    </w:p>
    <w:p w14:paraId="50E3478E">
      <w:pPr>
        <w:pStyle w:val="18"/>
        <w:shd w:val="clear" w:color="auto" w:fill="FFFFFF"/>
        <w:spacing w:beforeAutospacing="0" w:afterAutospacing="0" w:line="360" w:lineRule="auto"/>
        <w:ind w:firstLine="0"/>
        <w:rPr>
          <w:rFonts w:hint="eastAsia" w:eastAsia="宋体" w:cs="宋体"/>
          <w:color w:val="auto"/>
          <w:highlight w:val="none"/>
          <w:shd w:val="clear" w:color="auto" w:fill="FFFFFF"/>
          <w:lang w:eastAsia="zh-CN"/>
        </w:rPr>
      </w:pP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4</w:t>
      </w:r>
      <w:r>
        <w:rPr>
          <w:rFonts w:hint="eastAsia" w:cs="宋体"/>
          <w:color w:val="auto"/>
          <w:highlight w:val="none"/>
          <w:shd w:val="clear" w:color="auto" w:fill="FFFFFF"/>
          <w:lang w:eastAsia="zh-CN"/>
        </w:rPr>
        <w:t>）</w:t>
      </w:r>
      <w:r>
        <w:rPr>
          <w:rFonts w:hint="eastAsia" w:cs="宋体"/>
          <w:color w:val="auto"/>
          <w:highlight w:val="none"/>
          <w:shd w:val="clear" w:color="auto" w:fill="FFFFFF"/>
        </w:rPr>
        <w:t>落实政府采购政策需满足的资格要求：专门面向中小企业</w:t>
      </w:r>
    </w:p>
    <w:p w14:paraId="7AB409F1">
      <w:pPr>
        <w:pStyle w:val="18"/>
        <w:shd w:val="clear" w:color="auto" w:fill="FFFFFF"/>
        <w:spacing w:beforeAutospacing="0" w:afterAutospacing="0" w:line="360" w:lineRule="auto"/>
        <w:ind w:firstLine="0"/>
        <w:rPr>
          <w:rFonts w:hint="eastAsia" w:cs="宋体"/>
          <w:color w:val="auto"/>
          <w:highlight w:val="none"/>
          <w:shd w:val="clear" w:color="auto" w:fill="FFFFFF"/>
        </w:rPr>
      </w:pPr>
      <w:r>
        <w:rPr>
          <w:rFonts w:hint="eastAsia" w:cs="宋体"/>
          <w:color w:val="auto"/>
          <w:highlight w:val="none"/>
          <w:shd w:val="clear" w:color="auto" w:fill="FFFFFF"/>
        </w:rPr>
        <w:t>（</w:t>
      </w:r>
      <w:r>
        <w:rPr>
          <w:rFonts w:hint="eastAsia" w:cs="宋体"/>
          <w:color w:val="auto"/>
          <w:highlight w:val="none"/>
          <w:shd w:val="clear" w:color="auto" w:fill="FFFFFF"/>
          <w:lang w:val="en-US" w:eastAsia="zh-CN"/>
        </w:rPr>
        <w:t>5</w:t>
      </w:r>
      <w:r>
        <w:rPr>
          <w:rFonts w:hint="eastAsia" w:cs="宋体"/>
          <w:color w:val="auto"/>
          <w:highlight w:val="none"/>
          <w:shd w:val="clear" w:color="auto" w:fill="FFFFFF"/>
        </w:rPr>
        <w:t>）本项目不接受联合体投标，不允许转包与分包。</w:t>
      </w:r>
    </w:p>
    <w:p w14:paraId="29910A45">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三、获取招标文件</w:t>
      </w:r>
    </w:p>
    <w:p w14:paraId="668C9835">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1.时间：自本公告发布之日起至投标文件递交截止时间止。</w:t>
      </w:r>
    </w:p>
    <w:p w14:paraId="41E2762C">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2.地点：浙江政府采购云平台，网址http://www.zcygov.cn。</w:t>
      </w:r>
    </w:p>
    <w:p w14:paraId="47F4E6DA">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3.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707E4AF0">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4.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62C12575">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5.售价（元）：0</w:t>
      </w:r>
    </w:p>
    <w:p w14:paraId="46D22AA6">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四、提交投标文件截止时间、开标时间和地点</w:t>
      </w:r>
    </w:p>
    <w:p w14:paraId="6DF0746C">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提交投标文件截止时间：</w:t>
      </w:r>
      <w:r>
        <w:rPr>
          <w:rFonts w:hint="eastAsia" w:cs="宋体"/>
          <w:color w:val="auto"/>
          <w:highlight w:val="none"/>
          <w:shd w:val="clear" w:color="auto" w:fill="FFFFFF"/>
          <w:lang w:eastAsia="zh-CN"/>
        </w:rPr>
        <w:t>2025年</w:t>
      </w:r>
      <w:r>
        <w:rPr>
          <w:rFonts w:hint="eastAsia" w:cs="宋体"/>
          <w:color w:val="auto"/>
          <w:highlight w:val="none"/>
          <w:shd w:val="clear" w:color="auto" w:fill="FFFFFF"/>
          <w:lang w:val="en-US" w:eastAsia="zh-CN"/>
        </w:rPr>
        <w:t>8月8日</w:t>
      </w:r>
      <w:r>
        <w:rPr>
          <w:rFonts w:hint="eastAsia" w:cs="宋体"/>
          <w:color w:val="auto"/>
          <w:highlight w:val="none"/>
          <w:shd w:val="clear" w:color="auto" w:fill="FFFFFF"/>
        </w:rPr>
        <w:t>09:00（北京时间）</w:t>
      </w:r>
    </w:p>
    <w:p w14:paraId="6C0BA7BE">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投标地点（网址）：请登录政采云投标客户端投标</w:t>
      </w:r>
    </w:p>
    <w:p w14:paraId="4FEACFB8">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开标时间：</w:t>
      </w:r>
      <w:r>
        <w:rPr>
          <w:rFonts w:hint="eastAsia" w:cs="宋体"/>
          <w:color w:val="auto"/>
          <w:highlight w:val="none"/>
          <w:shd w:val="clear" w:color="auto" w:fill="FFFFFF"/>
          <w:lang w:eastAsia="zh-CN"/>
        </w:rPr>
        <w:t>2025年</w:t>
      </w:r>
      <w:r>
        <w:rPr>
          <w:rFonts w:hint="eastAsia" w:cs="宋体"/>
          <w:color w:val="auto"/>
          <w:highlight w:val="none"/>
          <w:shd w:val="clear" w:color="auto" w:fill="FFFFFF"/>
          <w:lang w:val="en-US" w:eastAsia="zh-CN"/>
        </w:rPr>
        <w:t>8月8日</w:t>
      </w:r>
      <w:r>
        <w:rPr>
          <w:rFonts w:hint="eastAsia" w:cs="宋体"/>
          <w:color w:val="auto"/>
          <w:highlight w:val="none"/>
          <w:shd w:val="clear" w:color="auto" w:fill="FFFFFF"/>
        </w:rPr>
        <w:t>09:00（北京时间）</w:t>
      </w:r>
    </w:p>
    <w:p w14:paraId="6DEC861A">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开标地点（网址）：新昌县七星街道</w:t>
      </w:r>
      <w:r>
        <w:rPr>
          <w:rFonts w:hint="eastAsia" w:cs="宋体"/>
          <w:color w:val="auto"/>
          <w:highlight w:val="none"/>
          <w:shd w:val="clear" w:color="auto" w:fill="FFFFFF"/>
          <w:lang w:val="en-US" w:eastAsia="zh-CN"/>
        </w:rPr>
        <w:t>体育场路</w:t>
      </w:r>
      <w:r>
        <w:rPr>
          <w:rFonts w:hint="eastAsia" w:cs="宋体"/>
          <w:color w:val="auto"/>
          <w:highlight w:val="none"/>
          <w:shd w:val="clear" w:color="auto" w:fill="FFFFFF"/>
        </w:rPr>
        <w:t>磕山佳苑2幢</w:t>
      </w:r>
      <w:r>
        <w:rPr>
          <w:rFonts w:hint="eastAsia" w:ascii="宋体" w:hAnsi="宋体"/>
          <w:color w:val="auto"/>
          <w:highlight w:val="none"/>
          <w:lang w:val="en-US" w:eastAsia="zh-CN"/>
        </w:rPr>
        <w:t>3单元</w:t>
      </w:r>
      <w:r>
        <w:rPr>
          <w:rFonts w:hint="eastAsia" w:cs="宋体"/>
          <w:color w:val="auto"/>
          <w:highlight w:val="none"/>
          <w:shd w:val="clear" w:color="auto" w:fill="FFFFFF"/>
        </w:rPr>
        <w:t>322室</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海洋城公寓楼南侧</w:t>
      </w:r>
      <w:r>
        <w:rPr>
          <w:rFonts w:hint="eastAsia" w:cs="宋体"/>
          <w:color w:val="auto"/>
          <w:highlight w:val="none"/>
          <w:shd w:val="clear" w:color="auto" w:fill="FFFFFF"/>
          <w:lang w:eastAsia="zh-CN"/>
        </w:rPr>
        <w:t>）</w:t>
      </w:r>
      <w:r>
        <w:rPr>
          <w:rFonts w:hint="eastAsia" w:cs="宋体"/>
          <w:color w:val="auto"/>
          <w:highlight w:val="none"/>
          <w:shd w:val="clear" w:color="auto" w:fill="FFFFFF"/>
        </w:rPr>
        <w:t>。</w:t>
      </w:r>
      <w:r>
        <w:rPr>
          <w:rFonts w:hint="eastAsia" w:cs="宋体"/>
          <w:color w:val="auto"/>
          <w:highlight w:val="none"/>
          <w:shd w:val="clear" w:color="auto" w:fill="FFFFFF"/>
          <w:lang w:val="en-US" w:eastAsia="zh-CN"/>
        </w:rPr>
        <w:t xml:space="preserve"> </w:t>
      </w:r>
    </w:p>
    <w:p w14:paraId="06606A18">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五、公告期限</w:t>
      </w:r>
    </w:p>
    <w:p w14:paraId="6E1D194A">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自本公告发布之日起5个工作日。</w:t>
      </w:r>
    </w:p>
    <w:p w14:paraId="24D7B1FC">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六、其他补充事宜</w:t>
      </w:r>
    </w:p>
    <w:p w14:paraId="7C40CEBB">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1.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做出答复的，可以在答复期满后15个工作日内向同级政府采购监督管理部门投诉。质疑函范本、投诉书范本请到浙江政府采购网下载专区下载。</w:t>
      </w:r>
    </w:p>
    <w:p w14:paraId="37294E98">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2.其他事项</w:t>
      </w:r>
    </w:p>
    <w:p w14:paraId="2D3D4087">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助力扎实稳住经济的通知》（浙财采监〔2022〕8号）已分别于2022年1月29日、2022年2月1日、2022年7月1日开始实施，此前有关规定与上述文件内容不一致的，按上述文件要求执行。</w:t>
      </w:r>
    </w:p>
    <w:p w14:paraId="403F4C96">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4DB596">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（3）需要落实的政府采购政策：包括节约资源、保护环境、支持创新、促进中小企业发展、支持绿色发展等。  </w:t>
      </w:r>
    </w:p>
    <w:p w14:paraId="347C1359">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七、招标公告发布：浙江政府采购网和新昌县公共资源交易平台</w:t>
      </w:r>
    </w:p>
    <w:p w14:paraId="24B20A36">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八、采购方、采购代理机构的名称、地址和联系方式</w:t>
      </w:r>
    </w:p>
    <w:p w14:paraId="50208D5F">
      <w:pPr>
        <w:pStyle w:val="18"/>
        <w:shd w:val="clear" w:color="auto" w:fill="FFFFFF"/>
        <w:spacing w:beforeAutospacing="0" w:afterAutospacing="0" w:line="360" w:lineRule="auto"/>
        <w:ind w:firstLine="0"/>
        <w:rPr>
          <w:rFonts w:hint="eastAsia" w:eastAsia="宋体" w:cs="宋体"/>
          <w:color w:val="auto"/>
          <w:highlight w:val="none"/>
          <w:lang w:eastAsia="zh-CN"/>
        </w:rPr>
      </w:pPr>
      <w:r>
        <w:rPr>
          <w:rFonts w:hint="eastAsia" w:cs="宋体"/>
          <w:color w:val="auto"/>
          <w:highlight w:val="none"/>
          <w:shd w:val="clear" w:color="auto" w:fill="FFFFFF"/>
        </w:rPr>
        <w:t>1、采购方名称：</w:t>
      </w:r>
      <w:r>
        <w:rPr>
          <w:rFonts w:hint="eastAsia" w:cs="宋体"/>
          <w:color w:val="auto"/>
          <w:highlight w:val="none"/>
          <w:shd w:val="clear" w:color="auto" w:fill="FFFFFF"/>
          <w:lang w:eastAsia="zh-CN"/>
        </w:rPr>
        <w:t>新昌县住房和城乡建设局</w:t>
      </w:r>
    </w:p>
    <w:p w14:paraId="73BE4DBB">
      <w:pPr>
        <w:pStyle w:val="18"/>
        <w:shd w:val="clear" w:color="auto" w:fill="FFFFFF"/>
        <w:spacing w:beforeAutospacing="0" w:afterAutospacing="0" w:line="360" w:lineRule="auto"/>
        <w:ind w:firstLine="0"/>
        <w:rPr>
          <w:rFonts w:hint="eastAsia" w:cs="宋体"/>
          <w:color w:val="auto"/>
          <w:highlight w:val="none"/>
          <w:shd w:val="clear" w:color="auto" w:fill="FFFFFF"/>
        </w:rPr>
      </w:pPr>
      <w:r>
        <w:rPr>
          <w:rFonts w:hint="eastAsia" w:cs="宋体"/>
          <w:color w:val="auto"/>
          <w:highlight w:val="none"/>
          <w:shd w:val="clear" w:color="auto" w:fill="FFFFFF"/>
        </w:rPr>
        <w:t>采购方地址:新昌县江滨西路588号建业大厦</w:t>
      </w:r>
    </w:p>
    <w:p w14:paraId="68EB31E5">
      <w:pPr>
        <w:pStyle w:val="18"/>
        <w:shd w:val="clear" w:color="auto" w:fill="FFFFFF"/>
        <w:spacing w:beforeAutospacing="0" w:afterAutospacing="0" w:line="360" w:lineRule="auto"/>
        <w:ind w:firstLine="0"/>
        <w:rPr>
          <w:rFonts w:hint="default" w:eastAsia="宋体" w:cs="宋体"/>
          <w:color w:val="auto"/>
          <w:highlight w:val="none"/>
          <w:shd w:val="clear" w:color="auto" w:fill="FFFFFF"/>
          <w:lang w:val="en-US" w:eastAsia="zh-CN"/>
        </w:rPr>
      </w:pPr>
      <w:r>
        <w:rPr>
          <w:rFonts w:hint="eastAsia" w:cs="宋体"/>
          <w:color w:val="auto"/>
          <w:highlight w:val="none"/>
          <w:shd w:val="clear" w:color="auto" w:fill="FFFFFF"/>
        </w:rPr>
        <w:t>操作联系人：</w:t>
      </w:r>
      <w:r>
        <w:rPr>
          <w:rFonts w:hint="eastAsia" w:cs="宋体"/>
          <w:color w:val="auto"/>
          <w:highlight w:val="none"/>
          <w:shd w:val="clear" w:color="auto" w:fill="FFFFFF"/>
          <w:lang w:val="en-US" w:eastAsia="zh-CN"/>
        </w:rPr>
        <w:t>张女士  0575-86335715</w:t>
      </w:r>
    </w:p>
    <w:p w14:paraId="26C3BFBA">
      <w:pPr>
        <w:pStyle w:val="18"/>
        <w:shd w:val="clear" w:color="auto" w:fill="FFFFFF"/>
        <w:spacing w:beforeAutospacing="0" w:afterAutospacing="0" w:line="360" w:lineRule="auto"/>
        <w:ind w:firstLine="0"/>
        <w:rPr>
          <w:rFonts w:hint="default" w:eastAsia="宋体" w:cs="宋体"/>
          <w:color w:val="auto"/>
          <w:highlight w:val="none"/>
          <w:lang w:val="en-US" w:eastAsia="zh-CN"/>
        </w:rPr>
      </w:pPr>
      <w:r>
        <w:rPr>
          <w:rFonts w:hint="eastAsia" w:cs="宋体"/>
          <w:color w:val="auto"/>
          <w:highlight w:val="none"/>
          <w:shd w:val="clear" w:color="auto" w:fill="FFFFFF"/>
        </w:rPr>
        <w:t>质疑联系人：</w:t>
      </w:r>
      <w:r>
        <w:rPr>
          <w:rFonts w:hint="eastAsia" w:cs="宋体"/>
          <w:color w:val="auto"/>
          <w:highlight w:val="none"/>
          <w:shd w:val="clear" w:color="auto" w:fill="FFFFFF"/>
          <w:lang w:val="en-US" w:eastAsia="zh-CN"/>
        </w:rPr>
        <w:t xml:space="preserve">章先生  </w:t>
      </w:r>
      <w:r>
        <w:rPr>
          <w:rFonts w:hint="eastAsia" w:cs="宋体"/>
          <w:color w:val="auto"/>
          <w:highlight w:val="none"/>
          <w:shd w:val="clear" w:color="auto" w:fill="FFFFFF"/>
        </w:rPr>
        <w:t>0575-86938372</w:t>
      </w:r>
    </w:p>
    <w:p w14:paraId="0B374B7F">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2、采购代理机构名称：新昌县鸿翔工程咨询有限公司</w:t>
      </w:r>
    </w:p>
    <w:p w14:paraId="7E4B149D">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采购代理机构地址：新昌县七星街道海洋城南区公寓楼21楼</w:t>
      </w:r>
    </w:p>
    <w:p w14:paraId="290D918E">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操作执行人：  王小姐   17758196696</w:t>
      </w:r>
    </w:p>
    <w:p w14:paraId="08D0E6A6">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质疑答复人： 方先生   14757587804</w:t>
      </w:r>
    </w:p>
    <w:p w14:paraId="001B7ADC">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采购代理机构传真：0575-86270111</w:t>
      </w:r>
    </w:p>
    <w:p w14:paraId="691BDE65">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3、同级政府采购监督管理部门名称：新昌县财政局</w:t>
      </w:r>
    </w:p>
    <w:p w14:paraId="01F98F5D">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联系人：任先生</w:t>
      </w:r>
    </w:p>
    <w:p w14:paraId="548E4E92">
      <w:pPr>
        <w:pStyle w:val="18"/>
        <w:shd w:val="clear" w:color="auto" w:fill="FFFFFF"/>
        <w:spacing w:beforeAutospacing="0" w:afterAutospacing="0" w:line="360" w:lineRule="auto"/>
        <w:ind w:firstLine="0"/>
        <w:rPr>
          <w:rFonts w:hint="eastAsia" w:cs="宋体"/>
          <w:color w:val="auto"/>
          <w:highlight w:val="none"/>
        </w:rPr>
      </w:pPr>
      <w:r>
        <w:rPr>
          <w:rFonts w:hint="eastAsia" w:cs="宋体"/>
          <w:color w:val="auto"/>
          <w:highlight w:val="none"/>
          <w:shd w:val="clear" w:color="auto" w:fill="FFFFFF"/>
        </w:rPr>
        <w:t>监督投诉电话：0575-86621309</w:t>
      </w:r>
    </w:p>
    <w:p w14:paraId="123C2BDB">
      <w:pPr>
        <w:pStyle w:val="18"/>
        <w:shd w:val="clear" w:color="auto" w:fill="FFFFFF"/>
        <w:spacing w:beforeAutospacing="0" w:afterAutospacing="0" w:line="360" w:lineRule="auto"/>
        <w:ind w:firstLine="0"/>
        <w:rPr>
          <w:rFonts w:hint="eastAsia" w:cs="宋体"/>
          <w:color w:val="auto"/>
          <w:highlight w:val="none"/>
          <w:shd w:val="clear" w:color="auto" w:fill="FFFFFF"/>
        </w:rPr>
      </w:pPr>
      <w:r>
        <w:rPr>
          <w:rFonts w:hint="eastAsia" w:cs="宋体"/>
          <w:color w:val="auto"/>
          <w:highlight w:val="none"/>
          <w:shd w:val="clear" w:color="auto" w:fill="FFFFFF"/>
        </w:rPr>
        <w:t>地址：新昌县鼓山中路118号</w:t>
      </w:r>
    </w:p>
    <w:p w14:paraId="2D889709">
      <w:pPr>
        <w:pStyle w:val="18"/>
        <w:shd w:val="clear" w:color="auto" w:fill="FFFFFF"/>
        <w:spacing w:beforeAutospacing="0" w:afterAutospacing="0" w:line="360" w:lineRule="auto"/>
        <w:ind w:firstLine="0"/>
        <w:rPr>
          <w:rFonts w:hint="eastAsia" w:cs="宋体"/>
          <w:color w:val="auto"/>
          <w:highlight w:val="none"/>
          <w:shd w:val="clear" w:color="auto" w:fill="FFFFFF"/>
        </w:rPr>
      </w:pPr>
    </w:p>
    <w:p w14:paraId="1D7F0ED6">
      <w:pPr>
        <w:pStyle w:val="18"/>
        <w:shd w:val="clear" w:color="auto" w:fill="FFFFFF"/>
        <w:spacing w:beforeAutospacing="0" w:afterAutospacing="0" w:line="360" w:lineRule="auto"/>
        <w:ind w:firstLine="0"/>
        <w:rPr>
          <w:rFonts w:hint="eastAsia" w:cs="宋体"/>
          <w:color w:val="auto"/>
          <w:highlight w:val="none"/>
          <w:shd w:val="clear" w:color="auto" w:fill="FFFFFF"/>
        </w:rPr>
      </w:pPr>
    </w:p>
    <w:p w14:paraId="78188C7D">
      <w:pPr>
        <w:spacing w:line="360" w:lineRule="auto"/>
        <w:ind w:firstLine="4080" w:firstLineChars="17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采购单位</w:t>
      </w:r>
      <w:r>
        <w:rPr>
          <w:rFonts w:hint="eastAsia" w:ascii="宋体" w:hAnsi="宋体" w:cs="宋体"/>
          <w:color w:val="auto"/>
          <w:spacing w:val="20"/>
          <w:sz w:val="24"/>
          <w:highlight w:val="none"/>
        </w:rPr>
        <w:t>：</w:t>
      </w:r>
      <w:r>
        <w:rPr>
          <w:rFonts w:hint="eastAsia" w:ascii="宋体" w:hAnsi="宋体" w:cs="宋体"/>
          <w:color w:val="auto"/>
          <w:sz w:val="24"/>
          <w:highlight w:val="none"/>
          <w:lang w:eastAsia="zh-CN"/>
        </w:rPr>
        <w:t>新昌县住房和城乡建设局</w:t>
      </w:r>
    </w:p>
    <w:p w14:paraId="5811E1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代理机构：新昌县鸿翔工程咨询有限公司</w:t>
      </w:r>
    </w:p>
    <w:p w14:paraId="4274EE8F">
      <w:pPr>
        <w:spacing w:line="360" w:lineRule="auto"/>
        <w:ind w:right="84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 xml:space="preserve"> 7 月 18日</w:t>
      </w:r>
    </w:p>
    <w:p w14:paraId="747AE3D6">
      <w:pPr>
        <w:pStyle w:val="19"/>
        <w:spacing w:line="360" w:lineRule="auto"/>
        <w:rPr>
          <w:rFonts w:hint="eastAsia" w:ascii="宋体" w:hAnsi="宋体" w:cs="宋体"/>
          <w:color w:val="auto"/>
          <w:sz w:val="36"/>
          <w:szCs w:val="36"/>
          <w:highlight w:val="none"/>
        </w:rPr>
      </w:pPr>
    </w:p>
    <w:p w14:paraId="570E3776">
      <w:pPr>
        <w:pStyle w:val="19"/>
        <w:spacing w:line="360" w:lineRule="auto"/>
        <w:rPr>
          <w:rFonts w:hint="eastAsia" w:ascii="宋体" w:hAnsi="宋体" w:cs="宋体"/>
          <w:color w:val="auto"/>
          <w:sz w:val="24"/>
          <w:szCs w:val="24"/>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第一章  采购需求</w:t>
      </w:r>
      <w:bookmarkStart w:id="2" w:name="_Toc454374910"/>
      <w:bookmarkStart w:id="3" w:name="_Toc125344503"/>
    </w:p>
    <w:bookmarkEnd w:id="2"/>
    <w:p w14:paraId="21356DCC">
      <w:pPr>
        <w:pStyle w:val="4"/>
        <w:pageBreakBefore w:val="0"/>
        <w:widowControl w:val="0"/>
        <w:numPr>
          <w:ilvl w:val="0"/>
          <w:numId w:val="0"/>
        </w:numPr>
        <w:kinsoku/>
        <w:wordWrap/>
        <w:overflowPunct/>
        <w:topLinePunct w:val="0"/>
        <w:autoSpaceDE/>
        <w:autoSpaceDN/>
        <w:bidi w:val="0"/>
        <w:adjustRightInd w:val="0"/>
        <w:snapToGrid/>
        <w:spacing w:before="0" w:after="0" w:line="360" w:lineRule="auto"/>
        <w:jc w:val="both"/>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一、采购内容</w:t>
      </w:r>
    </w:p>
    <w:p w14:paraId="1F2D9F63">
      <w:pPr>
        <w:pStyle w:val="4"/>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jc w:val="both"/>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1、检测范围</w:t>
      </w:r>
    </w:p>
    <w:p w14:paraId="5B4B6B67">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1、进水和出水水质检测频率：</w:t>
      </w:r>
      <w:r>
        <w:rPr>
          <w:rFonts w:hint="eastAsia" w:ascii="宋体" w:hAnsi="宋体" w:eastAsia="宋体" w:cs="宋体"/>
          <w:color w:val="auto"/>
          <w:sz w:val="24"/>
          <w:szCs w:val="24"/>
          <w:highlight w:val="none"/>
          <w:lang w:val="en-US" w:eastAsia="zh-CN"/>
        </w:rPr>
        <w:t>日处理能力 30 吨及以上的处理设施，每季度委托检测不得少于一次；日处理能力 10-30 吨的处理设施，每半年委托检测不得少于一次，并按每季度50%抽取比例的处理设施开展水质检测，做到半个年度内全覆盖；日处理能力 10 吨以下的处理设施，每年委托检测不得少于一次，并按每季度 25%抽取比例的处理设施开展水质检测，做到整个年度内全覆盖。</w:t>
      </w:r>
      <w:r>
        <w:rPr>
          <w:rFonts w:hint="eastAsia" w:ascii="宋体" w:hAnsi="宋体" w:eastAsia="宋体" w:cs="宋体"/>
          <w:color w:val="auto"/>
          <w:sz w:val="24"/>
          <w:szCs w:val="24"/>
          <w:highlight w:val="none"/>
        </w:rPr>
        <w:t>检测服务期限为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年，具体时间范围为合同签订之日起</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p>
    <w:p w14:paraId="2C9465F8">
      <w:pPr>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检测服务内容</w:t>
      </w:r>
    </w:p>
    <w:p w14:paraId="30C8E97B">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检测指标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《农村生活污水处理设施水污染物排放标准》（DB33-973-2015）要求</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项指标</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：PH值、化学需氧量（CODcr）、氨氮（NH3-N）、总磷、动植物油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粪大肠菌</w:t>
      </w:r>
      <w:r>
        <w:rPr>
          <w:rFonts w:hint="eastAsia" w:ascii="宋体" w:hAnsi="宋体" w:eastAsia="宋体" w:cs="宋体"/>
          <w:color w:val="auto"/>
          <w:sz w:val="24"/>
          <w:szCs w:val="24"/>
          <w:highlight w:val="none"/>
          <w:lang w:val="en-US" w:eastAsia="zh-CN"/>
        </w:rPr>
        <w:t>群</w:t>
      </w:r>
      <w:r>
        <w:rPr>
          <w:rFonts w:hint="eastAsia" w:ascii="宋体" w:hAnsi="宋体" w:eastAsia="宋体" w:cs="宋体"/>
          <w:color w:val="auto"/>
          <w:sz w:val="24"/>
          <w:szCs w:val="24"/>
          <w:highlight w:val="none"/>
        </w:rPr>
        <w:t>、悬浮物（SS）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总氮（TN）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5项指标：</w:t>
      </w:r>
      <w:r>
        <w:rPr>
          <w:rFonts w:hint="eastAsia" w:ascii="宋体" w:hAnsi="宋体" w:eastAsia="宋体" w:cs="宋体"/>
          <w:color w:val="auto"/>
          <w:sz w:val="24"/>
          <w:szCs w:val="24"/>
          <w:highlight w:val="none"/>
        </w:rPr>
        <w:t>PH值、化学需氧量（CODcr）、氨氮（NH3-N）、总磷、悬浮物（SS</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val="en-US" w:eastAsia="zh-CN"/>
        </w:rPr>
        <w:t>对位于水源保护地的终端设施出水进行</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项指标检测，其他为5项指标检测。</w:t>
      </w:r>
    </w:p>
    <w:p w14:paraId="03B65CA0">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以采购方提供的检测清单为准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农污终端</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val="en-US" w:eastAsia="zh-CN"/>
        </w:rPr>
        <w:t>941</w:t>
      </w:r>
      <w:r>
        <w:rPr>
          <w:rFonts w:hint="eastAsia" w:ascii="宋体" w:hAnsi="宋体" w:eastAsia="宋体" w:cs="宋体"/>
          <w:color w:val="auto"/>
          <w:sz w:val="24"/>
          <w:szCs w:val="24"/>
          <w:highlight w:val="none"/>
        </w:rPr>
        <w:t>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30吨以上终端</w:t>
      </w:r>
      <w:r>
        <w:rPr>
          <w:rFonts w:hint="eastAsia" w:ascii="宋体" w:hAnsi="宋体" w:eastAsia="宋体" w:cs="宋体"/>
          <w:color w:val="auto"/>
          <w:sz w:val="24"/>
          <w:szCs w:val="24"/>
          <w:highlight w:val="none"/>
          <w:lang w:val="en-US" w:eastAsia="zh-CN"/>
        </w:rPr>
        <w:t>194</w:t>
      </w:r>
      <w:r>
        <w:rPr>
          <w:rFonts w:hint="eastAsia" w:ascii="宋体" w:hAnsi="宋体" w:eastAsia="宋体" w:cs="宋体"/>
          <w:color w:val="auto"/>
          <w:sz w:val="24"/>
          <w:szCs w:val="24"/>
          <w:highlight w:val="none"/>
        </w:rPr>
        <w:t>只，10~30吨终端</w:t>
      </w:r>
      <w:r>
        <w:rPr>
          <w:rFonts w:hint="eastAsia" w:ascii="宋体" w:hAnsi="宋体" w:eastAsia="宋体" w:cs="宋体"/>
          <w:color w:val="auto"/>
          <w:sz w:val="24"/>
          <w:szCs w:val="24"/>
          <w:highlight w:val="none"/>
          <w:lang w:val="en-US" w:eastAsia="zh-CN"/>
        </w:rPr>
        <w:t>428</w:t>
      </w:r>
      <w:r>
        <w:rPr>
          <w:rFonts w:hint="eastAsia" w:ascii="宋体" w:hAnsi="宋体" w:eastAsia="宋体" w:cs="宋体"/>
          <w:color w:val="auto"/>
          <w:sz w:val="24"/>
          <w:szCs w:val="24"/>
          <w:highlight w:val="none"/>
        </w:rPr>
        <w:t>只，10吨以下终端</w:t>
      </w:r>
      <w:r>
        <w:rPr>
          <w:rFonts w:hint="eastAsia" w:ascii="宋体" w:hAnsi="宋体" w:eastAsia="宋体" w:cs="宋体"/>
          <w:color w:val="auto"/>
          <w:sz w:val="24"/>
          <w:szCs w:val="24"/>
          <w:highlight w:val="none"/>
          <w:lang w:val="en-US" w:eastAsia="zh-CN"/>
        </w:rPr>
        <w:t>319</w:t>
      </w:r>
      <w:r>
        <w:rPr>
          <w:rFonts w:hint="eastAsia" w:ascii="宋体" w:hAnsi="宋体" w:eastAsia="宋体" w:cs="宋体"/>
          <w:color w:val="auto"/>
          <w:sz w:val="24"/>
          <w:szCs w:val="24"/>
          <w:highlight w:val="none"/>
        </w:rPr>
        <w:t>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以甲方提供的检测清单为准；</w:t>
      </w:r>
    </w:p>
    <w:p w14:paraId="426483C9">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 xml:space="preserve"> 其中总氮（TN）指标只需</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长诏水库</w:t>
      </w:r>
      <w:r>
        <w:rPr>
          <w:rFonts w:hint="eastAsia" w:ascii="宋体" w:hAnsi="宋体" w:eastAsia="宋体" w:cs="宋体"/>
          <w:color w:val="auto"/>
          <w:sz w:val="24"/>
          <w:szCs w:val="24"/>
          <w:highlight w:val="none"/>
          <w:lang w:val="en-US" w:eastAsia="zh-CN"/>
        </w:rPr>
        <w:t>和钦村水库</w:t>
      </w:r>
      <w:r>
        <w:rPr>
          <w:rFonts w:hint="eastAsia" w:ascii="宋体" w:hAnsi="宋体" w:eastAsia="宋体" w:cs="宋体"/>
          <w:color w:val="auto"/>
          <w:sz w:val="24"/>
          <w:szCs w:val="24"/>
          <w:highlight w:val="none"/>
        </w:rPr>
        <w:t xml:space="preserve">区域终端：            </w:t>
      </w:r>
    </w:p>
    <w:tbl>
      <w:tblPr>
        <w:tblStyle w:val="20"/>
        <w:tblW w:w="9109" w:type="dxa"/>
        <w:tblInd w:w="-69" w:type="dxa"/>
        <w:tblLayout w:type="fixed"/>
        <w:tblCellMar>
          <w:top w:w="15" w:type="dxa"/>
          <w:left w:w="15" w:type="dxa"/>
          <w:bottom w:w="15" w:type="dxa"/>
          <w:right w:w="15" w:type="dxa"/>
        </w:tblCellMar>
      </w:tblPr>
      <w:tblGrid>
        <w:gridCol w:w="995"/>
        <w:gridCol w:w="926"/>
        <w:gridCol w:w="1196"/>
        <w:gridCol w:w="1294"/>
        <w:gridCol w:w="1756"/>
        <w:gridCol w:w="2942"/>
      </w:tblGrid>
      <w:tr w14:paraId="7EF87AFB">
        <w:tblPrEx>
          <w:tblCellMar>
            <w:top w:w="15" w:type="dxa"/>
            <w:left w:w="15" w:type="dxa"/>
            <w:bottom w:w="15" w:type="dxa"/>
            <w:right w:w="15" w:type="dxa"/>
          </w:tblCellMar>
        </w:tblPrEx>
        <w:trPr>
          <w:trHeight w:val="596" w:hRule="atLeast"/>
        </w:trPr>
        <w:tc>
          <w:tcPr>
            <w:tcW w:w="9109" w:type="dxa"/>
            <w:gridSpan w:val="6"/>
            <w:tcBorders>
              <w:top w:val="single" w:color="auto" w:sz="4" w:space="0"/>
              <w:left w:val="single" w:color="auto" w:sz="4" w:space="0"/>
              <w:bottom w:val="single" w:color="auto" w:sz="4" w:space="0"/>
            </w:tcBorders>
            <w:noWrap w:val="0"/>
            <w:vAlign w:val="center"/>
          </w:tcPr>
          <w:p w14:paraId="07987070">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长诏水库区域终端名单</w:t>
            </w:r>
          </w:p>
        </w:tc>
      </w:tr>
      <w:tr w14:paraId="2E6F85AE">
        <w:tblPrEx>
          <w:tblCellMar>
            <w:top w:w="15" w:type="dxa"/>
            <w:left w:w="15" w:type="dxa"/>
            <w:bottom w:w="15" w:type="dxa"/>
            <w:right w:w="15" w:type="dxa"/>
          </w:tblCellMar>
        </w:tblPrEx>
        <w:trPr>
          <w:trHeight w:val="37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14:paraId="2F6268E4">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吨数</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BC13EED">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D572B76">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乡镇</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D6D80AE">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行政村</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3A5D8BB7">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终端名称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7C644F77">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设施编码</w:t>
            </w:r>
          </w:p>
        </w:tc>
      </w:tr>
      <w:tr w14:paraId="19D37BE5">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4042782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30t/d以上（包含30t/d）</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287B53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9DC48E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622E8E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茅洋村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F2BD94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茅洋终端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E83B42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330624113209-001-0060-GB</w:t>
            </w:r>
          </w:p>
        </w:tc>
      </w:tr>
      <w:tr w14:paraId="06DDA57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972F5AE">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B7E77A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17635A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A4E468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9D9F00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方口终端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0340FB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330624113207-002-0056-D2</w:t>
            </w:r>
          </w:p>
        </w:tc>
      </w:tr>
      <w:tr w14:paraId="502D6DD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2D4383E">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476693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E81D3F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843B50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朱部村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5FCC1B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下朱部终端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513961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330624113208-003-0040-D2</w:t>
            </w:r>
          </w:p>
        </w:tc>
      </w:tr>
      <w:tr w14:paraId="432DE456">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2608B367">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33921E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30EFF1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327A34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茅洋村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6BF980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道士岙终端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65528C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330624113209-003-0030-GB</w:t>
            </w:r>
          </w:p>
        </w:tc>
      </w:tr>
      <w:tr w14:paraId="188D4FD7">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47D5EEE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10—30t/d（包含10t/d）</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7D1DFD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FE0FF9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5A8989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4C8314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铜坑终端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CD5FA2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330624113207-006-0020-D2</w:t>
            </w:r>
          </w:p>
        </w:tc>
      </w:tr>
      <w:tr w14:paraId="5A34292B">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EE341A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480896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7FE890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7EC667B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朱部村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D60660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上朱部终端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7926DF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330624113208-001-0015-D2</w:t>
            </w:r>
          </w:p>
        </w:tc>
      </w:tr>
      <w:tr w14:paraId="1FF09BA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AAE434B">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D6B5FC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ABFD2E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DAF8F0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10EB75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下坞终端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75EB70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330624113207-004-0015-GB</w:t>
            </w:r>
          </w:p>
        </w:tc>
      </w:tr>
      <w:tr w14:paraId="41A504E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6C30AA5">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5F8253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35468E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0B2ADB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466A04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陈家坞终端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69843B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330624113207-001-0012-D2</w:t>
            </w:r>
          </w:p>
        </w:tc>
      </w:tr>
      <w:tr w14:paraId="643285F0">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E78439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0602F2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95458D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78E73A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百菊村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78F358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9E1948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330624112210-002-0019-GB</w:t>
            </w:r>
          </w:p>
        </w:tc>
      </w:tr>
      <w:tr w14:paraId="37649C8E">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B942E0F">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5B7943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201083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6D9936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35E8A0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第头村终端2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AEA74C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330624112207-002-0024-GB</w:t>
            </w:r>
          </w:p>
        </w:tc>
      </w:tr>
      <w:tr w14:paraId="6567CB4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2FCA6AC">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F092C2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11691D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B023F1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5A49AF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郎坑终端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A281B9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330624112207-002-0020-GB</w:t>
            </w:r>
          </w:p>
        </w:tc>
      </w:tr>
      <w:tr w14:paraId="0F7F256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4109C3B">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45A248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490DAB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26ED6B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661E77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7C2097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330624112211-002-0017-GB</w:t>
            </w:r>
          </w:p>
        </w:tc>
      </w:tr>
      <w:tr w14:paraId="6D83E81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50AC57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A4960C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069C9D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3CD1D1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132FDE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下坑村终端2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EA8BF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330624112207-002-0014-GB</w:t>
            </w:r>
          </w:p>
        </w:tc>
      </w:tr>
      <w:tr w14:paraId="35F83DCB">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36AE5F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F86A93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C354A4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D35CE7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CD9875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下坂终端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4E6979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330624112207-004-0013-GB</w:t>
            </w:r>
          </w:p>
        </w:tc>
      </w:tr>
      <w:tr w14:paraId="1B6F82B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D4280E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C204AD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D33344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44A33A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黄坛村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308651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黄坛村终端2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11D66D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330624112208-004-0012-GB</w:t>
            </w:r>
          </w:p>
        </w:tc>
      </w:tr>
      <w:tr w14:paraId="5803BCEA">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FBAAAC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464C30D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97CDA7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36D55C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黄坛村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305F9A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新村终端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EA6F4A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330624112208-006-0012-GB</w:t>
            </w:r>
          </w:p>
        </w:tc>
      </w:tr>
      <w:tr w14:paraId="35C73B1E">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C7254B3">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2E514E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7CC7E5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A8D02B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沃州村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9FC132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岭头等终端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66CFD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330624112005-001-0011-GB</w:t>
            </w:r>
          </w:p>
        </w:tc>
      </w:tr>
      <w:tr w14:paraId="7D64747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50C72B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EEBEBE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DF370D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50D356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4B9B45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东山村终端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A93038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330624110003-001-0026-D2</w:t>
            </w:r>
          </w:p>
        </w:tc>
      </w:tr>
      <w:tr w14:paraId="22FDB5A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C75D11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F29897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A58283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986EC1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上里村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E9C01A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腾公山、立庄</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7FE7F5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330624110024-001-0026-D2</w:t>
            </w:r>
          </w:p>
        </w:tc>
      </w:tr>
      <w:tr w14:paraId="0EBBA1AF">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484C1F0">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60CFC7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EF9A73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47457D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上里村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708289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上里</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60155D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330624110024-001-0019-D2</w:t>
            </w:r>
          </w:p>
        </w:tc>
      </w:tr>
      <w:tr w14:paraId="1EDFB70C">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3D79799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E8ADFC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61E296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1B2B98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4F2966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68ADFA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330624110025-001-0017-D2</w:t>
            </w:r>
          </w:p>
        </w:tc>
      </w:tr>
      <w:tr w14:paraId="38F95BCB">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4AB08B6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10t/d以下</w:t>
            </w:r>
          </w:p>
        </w:tc>
        <w:tc>
          <w:tcPr>
            <w:tcW w:w="926" w:type="dxa"/>
            <w:tcBorders>
              <w:top w:val="single" w:color="auto" w:sz="4" w:space="0"/>
              <w:left w:val="single" w:color="auto" w:sz="4" w:space="0"/>
              <w:bottom w:val="single" w:color="auto" w:sz="4" w:space="0"/>
              <w:right w:val="single" w:color="auto" w:sz="4" w:space="0"/>
            </w:tcBorders>
            <w:noWrap w:val="0"/>
            <w:vAlign w:val="bottom"/>
          </w:tcPr>
          <w:p w14:paraId="0AE9022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DFEEEC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729833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D9B5BF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田西</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0B02E5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330624113207-005-0010-D2</w:t>
            </w:r>
          </w:p>
        </w:tc>
      </w:tr>
      <w:tr w14:paraId="04CD64C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0BD784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0C0B5C0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567A06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7068FC7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605E5C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联盟（2）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4179C7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330624113207-003-0005-GB</w:t>
            </w:r>
          </w:p>
        </w:tc>
      </w:tr>
      <w:tr w14:paraId="3AA2300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32BDE18">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39E612D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63E46B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小将镇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AFA2F4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方泉村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E9555D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联盟1终端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247C70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330624113207-007-0005-GB</w:t>
            </w:r>
          </w:p>
        </w:tc>
      </w:tr>
      <w:tr w14:paraId="71397F9F">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610109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2F9BC05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16C0F2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62490E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2D6AD4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坂卜平终端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8664A0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330624112211-005-0009-GB</w:t>
            </w:r>
          </w:p>
        </w:tc>
      </w:tr>
      <w:tr w14:paraId="3D15ECF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7AFA490">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769435F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6C4426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1B2CB7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70A7FE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掉埠头终端1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2B63FB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330624112211-003-0008-GB</w:t>
            </w:r>
          </w:p>
        </w:tc>
      </w:tr>
      <w:tr w14:paraId="03401D52">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DEF329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55EBA02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3AE852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A8D53B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5AE4DE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赤坑终端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B16AA1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330624112211-002-0008-GB</w:t>
            </w:r>
          </w:p>
        </w:tc>
      </w:tr>
      <w:tr w14:paraId="56B6DFA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A3AAC2E">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0A9D8AA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31FFC3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765E01F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百菊村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83D491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上百菊终端2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0915E2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330624112210-001-0008-GB</w:t>
            </w:r>
          </w:p>
        </w:tc>
      </w:tr>
      <w:tr w14:paraId="2C4C328B">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A81AF6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009E7C2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684E9A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03ADD8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120034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第头村终端1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E818A3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330624112207-001-0008-GB</w:t>
            </w:r>
          </w:p>
        </w:tc>
      </w:tr>
      <w:tr w14:paraId="09EEC1D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9F163A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62315BB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71B786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F29211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512AFE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十字路终端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D2E7DF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330624112211-001-0008-GB</w:t>
            </w:r>
          </w:p>
        </w:tc>
      </w:tr>
      <w:tr w14:paraId="5228195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4424780">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6B7E573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920AFE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8E729B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沃州村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8C0CA7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岭根村终端1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2F26DE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330624112005-002-0008-GB</w:t>
            </w:r>
          </w:p>
        </w:tc>
      </w:tr>
      <w:tr w14:paraId="699B9B7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6687BB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17E32B4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D91214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49B351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沃州村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E9367C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岭根村终端2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179948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330624112005-003-0006-GB</w:t>
            </w:r>
          </w:p>
        </w:tc>
      </w:tr>
      <w:tr w14:paraId="3782781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BE4568C">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4C62AEF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4F3FD46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6F3BF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91109A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郎坑村终端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EC0781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330624112207-001-0006-GB</w:t>
            </w:r>
          </w:p>
        </w:tc>
      </w:tr>
      <w:tr w14:paraId="3CE21FF6">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187DA3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7029E14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A6DE5E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024483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百菊村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971167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上百菊</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895B27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330624112210-001-0005-GB</w:t>
            </w:r>
          </w:p>
        </w:tc>
      </w:tr>
      <w:tr w14:paraId="215D293F">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91098C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6482C0E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16B86E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7580A0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2EF64A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852BD6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330624112211-001-0004-GB</w:t>
            </w:r>
          </w:p>
        </w:tc>
      </w:tr>
      <w:tr w14:paraId="44CA88E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25A8D3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1D656A6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2C42E7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69CE0A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5D542A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下坑村终端1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939A7E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330624112207-001-0002-GB</w:t>
            </w:r>
          </w:p>
        </w:tc>
      </w:tr>
      <w:tr w14:paraId="7CE7C13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4132B0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61326B6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D02276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E25C6B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知新村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3FCA24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念石面终端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7CA14F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330624112207-003-0002-GB</w:t>
            </w:r>
          </w:p>
        </w:tc>
      </w:tr>
      <w:tr w14:paraId="394F718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86EBE89">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44D7506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404F2B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762D4C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寨岭村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B8F2AB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掉埠头终端2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CD46DB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330624112211-004-0002-GB</w:t>
            </w:r>
          </w:p>
        </w:tc>
      </w:tr>
      <w:tr w14:paraId="6749F3D5">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97CFEF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2D1C861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CED4F2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01820F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325C25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CAEC22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330624110025-002-0006-D2</w:t>
            </w:r>
          </w:p>
        </w:tc>
      </w:tr>
      <w:tr w14:paraId="42CFCBB5">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0AFC4C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459D795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091699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B57EEB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上里村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3909D4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清凉寺</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FBECA0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330624110024-002-0005-D2</w:t>
            </w:r>
          </w:p>
        </w:tc>
      </w:tr>
      <w:tr w14:paraId="21693F1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9B1DF6D">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79CFB5C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CF6F60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59BC49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30293A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石磁3</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542ED1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330624110025-003-0004-D2</w:t>
            </w:r>
          </w:p>
        </w:tc>
      </w:tr>
      <w:tr w14:paraId="36ECD056">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2061196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53E4D39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51DF03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AAA118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上里村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E427D0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库山头</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B028B2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330624110024-003-0004-D2</w:t>
            </w:r>
          </w:p>
        </w:tc>
      </w:tr>
      <w:tr w14:paraId="7DF23935">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06F5B6B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bottom"/>
          </w:tcPr>
          <w:p w14:paraId="739BD83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B05399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儒岙镇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BB3194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F1E55F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石磁4</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CF2A76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330624110025-004-0004-D2</w:t>
            </w:r>
          </w:p>
        </w:tc>
      </w:tr>
      <w:tr w14:paraId="2B943299">
        <w:tblPrEx>
          <w:tblCellMar>
            <w:top w:w="15" w:type="dxa"/>
            <w:left w:w="15" w:type="dxa"/>
            <w:bottom w:w="15" w:type="dxa"/>
            <w:right w:w="15" w:type="dxa"/>
          </w:tblCellMar>
        </w:tblPrEx>
        <w:trPr>
          <w:trHeight w:val="596" w:hRule="atLeast"/>
        </w:trPr>
        <w:tc>
          <w:tcPr>
            <w:tcW w:w="9109" w:type="dxa"/>
            <w:gridSpan w:val="6"/>
            <w:tcBorders>
              <w:top w:val="single" w:color="auto" w:sz="4" w:space="0"/>
              <w:left w:val="single" w:color="auto" w:sz="4" w:space="0"/>
              <w:bottom w:val="single" w:color="auto" w:sz="4" w:space="0"/>
            </w:tcBorders>
            <w:noWrap w:val="0"/>
            <w:vAlign w:val="center"/>
          </w:tcPr>
          <w:p w14:paraId="0F59EC2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钦村水库区域终端名单</w:t>
            </w:r>
          </w:p>
        </w:tc>
      </w:tr>
      <w:tr w14:paraId="382B0168">
        <w:tblPrEx>
          <w:tblCellMar>
            <w:top w:w="15" w:type="dxa"/>
            <w:left w:w="15" w:type="dxa"/>
            <w:bottom w:w="15" w:type="dxa"/>
            <w:right w:w="15" w:type="dxa"/>
          </w:tblCellMar>
        </w:tblPrEx>
        <w:trPr>
          <w:trHeight w:val="376" w:hRule="atLeast"/>
        </w:trPr>
        <w:tc>
          <w:tcPr>
            <w:tcW w:w="995" w:type="dxa"/>
            <w:tcBorders>
              <w:top w:val="single" w:color="auto" w:sz="4" w:space="0"/>
              <w:left w:val="single" w:color="auto" w:sz="4" w:space="0"/>
              <w:bottom w:val="single" w:color="auto" w:sz="4" w:space="0"/>
              <w:right w:val="single" w:color="auto" w:sz="4" w:space="0"/>
            </w:tcBorders>
            <w:noWrap w:val="0"/>
            <w:vAlign w:val="center"/>
          </w:tcPr>
          <w:p w14:paraId="6F65CA0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吨数</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92747B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8E5065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乡镇</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2A9F08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行政村</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14349FF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终端名称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169089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设施编码</w:t>
            </w:r>
          </w:p>
        </w:tc>
      </w:tr>
      <w:tr w14:paraId="3A49B623">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4095BDB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30t/d以上（包含30t/d）</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F7C531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16E26E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EA5948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银顶山村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763608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银星终端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72A07C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330624112223-002-0060-D1</w:t>
            </w:r>
          </w:p>
        </w:tc>
      </w:tr>
      <w:tr w14:paraId="0475F6E4">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ABFA6D8">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82308C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46B0F0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E87A12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76B568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中心村终端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BCB8DF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330624112222-002-0050-D2</w:t>
            </w:r>
          </w:p>
        </w:tc>
      </w:tr>
      <w:tr w14:paraId="0CE81310">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56B4AB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E04242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22517D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CC01A6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严丹赤村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0A8706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丹坑村终端2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2A9F40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330624112017-002-0030-GB</w:t>
            </w:r>
          </w:p>
        </w:tc>
      </w:tr>
      <w:tr w14:paraId="598ED7C7">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087FD6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EE8A98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FE43AB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F61521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81E48A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万灯山终端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0358E3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330624112220-002-0030-D1</w:t>
            </w:r>
          </w:p>
        </w:tc>
      </w:tr>
      <w:tr w14:paraId="4F2C0CF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F0843E0">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F43EAC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5A4DBB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63490B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AC1383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东庄1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4F5223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330624112221-001-0030-D2</w:t>
            </w:r>
          </w:p>
        </w:tc>
      </w:tr>
      <w:tr w14:paraId="1C7ADCF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5948638">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471615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75AE16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4FEC3A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5FC809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祝家庙1终端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222D6A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330624112221-003-0030-D2</w:t>
            </w:r>
          </w:p>
        </w:tc>
      </w:tr>
      <w:tr w14:paraId="73A97ACE">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F0979F3">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02E8CE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4A0D66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D18D1A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70733F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拓树湾终端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23BF65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330624112221-007-0030-D1</w:t>
            </w:r>
          </w:p>
        </w:tc>
      </w:tr>
      <w:tr w14:paraId="2A0C9C3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4C0549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1844BF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FE5402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D0B8A9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0A430B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枫树下终端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5FB74F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330624112222-001-0030-D2</w:t>
            </w:r>
          </w:p>
        </w:tc>
      </w:tr>
      <w:tr w14:paraId="2C514538">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FB2E604">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2CA842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28A62D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F93CDF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A87DD9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孟冢坞终端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B4F21E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330624112222-005-0030-D1</w:t>
            </w:r>
          </w:p>
        </w:tc>
      </w:tr>
      <w:tr w14:paraId="4E6B20BA">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60420F3">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037BC8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40EC87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649FE8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银顶山村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6331E2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彭顶山终端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2B649E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330624112223-001-0030-D1</w:t>
            </w:r>
          </w:p>
        </w:tc>
      </w:tr>
      <w:tr w14:paraId="21F0B2D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A5C1D9B">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2EFEBC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EDEC45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BE6FF9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鳌峰村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A09666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后坑终端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FDE821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330624112215-007-0030-D1</w:t>
            </w:r>
          </w:p>
        </w:tc>
      </w:tr>
      <w:tr w14:paraId="4C66D03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35D34EE">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86D68B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78244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D86F8D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东郑村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DF77F4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郑家终端1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8A40BF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330624112205-002-0030-D1</w:t>
            </w:r>
          </w:p>
        </w:tc>
      </w:tr>
      <w:tr w14:paraId="02FFBAD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1638577">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C57527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13C1EF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844F32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西山村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C1B78C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西山村终端6</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EB61F0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330624112206-006-0030-D1</w:t>
            </w:r>
          </w:p>
        </w:tc>
      </w:tr>
      <w:tr w14:paraId="41E9F330">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2C63C699">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96EFBC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9A0278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B8791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西山村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9EE21B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西山村终端10</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3C1B46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330624112206-010-0030-D2</w:t>
            </w:r>
          </w:p>
        </w:tc>
      </w:tr>
      <w:tr w14:paraId="3678490B">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56005FD1">
            <w:pPr>
              <w:widowControl/>
              <w:jc w:val="center"/>
              <w:textAlignment w:val="center"/>
              <w:rPr>
                <w:rFonts w:hint="eastAsia" w:ascii="宋体" w:hAnsi="宋体" w:eastAsia="宋体" w:cs="宋体"/>
                <w:b/>
                <w:bCs/>
                <w:color w:val="auto"/>
                <w:sz w:val="24"/>
                <w:szCs w:val="24"/>
                <w:highlight w:val="none"/>
                <w:lang w:val="en-US" w:eastAsia="zh-CN"/>
              </w:rPr>
            </w:pPr>
          </w:p>
          <w:p w14:paraId="005DD682">
            <w:pPr>
              <w:widowControl/>
              <w:jc w:val="center"/>
              <w:textAlignment w:val="center"/>
              <w:rPr>
                <w:rFonts w:hint="eastAsia" w:ascii="宋体" w:hAnsi="宋体" w:eastAsia="宋体" w:cs="宋体"/>
                <w:b/>
                <w:bCs/>
                <w:color w:val="auto"/>
                <w:sz w:val="24"/>
                <w:szCs w:val="24"/>
                <w:highlight w:val="none"/>
                <w:lang w:val="en-US" w:eastAsia="zh-CN"/>
              </w:rPr>
            </w:pPr>
          </w:p>
          <w:p w14:paraId="13448A38">
            <w:pPr>
              <w:widowControl/>
              <w:jc w:val="center"/>
              <w:textAlignment w:val="center"/>
              <w:rPr>
                <w:rFonts w:hint="eastAsia" w:ascii="宋体" w:hAnsi="宋体" w:eastAsia="宋体" w:cs="宋体"/>
                <w:b/>
                <w:bCs/>
                <w:color w:val="auto"/>
                <w:sz w:val="24"/>
                <w:szCs w:val="24"/>
                <w:highlight w:val="none"/>
                <w:lang w:val="en-US" w:eastAsia="zh-CN"/>
              </w:rPr>
            </w:pPr>
          </w:p>
          <w:p w14:paraId="0631EB7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10—30t/d（包含10t/d）</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29AE7A0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FEDBB5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18B6BDA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412BBE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吴家终端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2B43B1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330624112221-005-0022-D2</w:t>
            </w:r>
          </w:p>
        </w:tc>
      </w:tr>
      <w:tr w14:paraId="6CD37F3E">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14E776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967A2E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E06D23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3E41D4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3A0079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大坪头终端3</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57A48D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330624112220-005-0020-D1</w:t>
            </w:r>
          </w:p>
        </w:tc>
      </w:tr>
      <w:tr w14:paraId="7E1D8851">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2C7A66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48F9951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9B5CA5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8EFE86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6646FC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东庄2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CD3D62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330624112221-002-0020-D1</w:t>
            </w:r>
          </w:p>
        </w:tc>
      </w:tr>
      <w:tr w14:paraId="6DB285B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BC64E9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FA9A9C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5A5691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615124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BDB58B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新庄终端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74A83A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330624112221-006-0020-D1</w:t>
            </w:r>
          </w:p>
        </w:tc>
      </w:tr>
      <w:tr w14:paraId="77B79B0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B845185">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EE7706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672C21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7579849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严丹赤村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750916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丹坑终端3</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B69E45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330624112017-001-0020-D1</w:t>
            </w:r>
          </w:p>
        </w:tc>
      </w:tr>
      <w:tr w14:paraId="427E315A">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0A2B3ED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D9B93A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79D3500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96E926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鳌峰村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B2ED9D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庄坞终端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31A6C1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330624112215-006-0020-D1</w:t>
            </w:r>
          </w:p>
        </w:tc>
      </w:tr>
      <w:tr w14:paraId="538B61F3">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1AE4A851">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83F9AE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5C07C2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891E1F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A2EBB3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王家年终端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262B28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330624108001-004-0020-D2</w:t>
            </w:r>
          </w:p>
        </w:tc>
      </w:tr>
      <w:tr w14:paraId="4A846414">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8E1DED5">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522BA2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FC7CE4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7883AA5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8CCC9F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3F2704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330624112220-003-0015-D2</w:t>
            </w:r>
          </w:p>
        </w:tc>
      </w:tr>
      <w:tr w14:paraId="6BBB3038">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4E67E95">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E4D82C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AF3951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06275B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祝家庄村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3834369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祝家庙2终端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7540BC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330624112221-004-0015-D1</w:t>
            </w:r>
          </w:p>
        </w:tc>
      </w:tr>
      <w:tr w14:paraId="4BBA8FF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7680ADD">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C5CCAB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64E138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183CA3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5BAEAA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上后午终端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13ED67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330624112222-006-0015-D2</w:t>
            </w:r>
          </w:p>
        </w:tc>
      </w:tr>
      <w:tr w14:paraId="7BAB4AEB">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5FE0C3B">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C6E889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B2146B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36158B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鳌峰村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AF5CAA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王坑终端5</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E815E0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330624112215-005-0015-D2</w:t>
            </w:r>
          </w:p>
        </w:tc>
      </w:tr>
      <w:tr w14:paraId="6999EE4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664FA3A">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6D2B3D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E7C870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9416C8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东郑村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975541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西塘终端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77C5ED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330624112205-001-0015-D1</w:t>
            </w:r>
          </w:p>
        </w:tc>
      </w:tr>
      <w:tr w14:paraId="7908E8AA">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6778985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E45A11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DCD04F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63E5661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严丹赤村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C47590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赤岩终端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DB087F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330624112017-003-0012-GB</w:t>
            </w:r>
          </w:p>
        </w:tc>
      </w:tr>
      <w:tr w14:paraId="1A19B219">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0F58BDB">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EDCDD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B75CDB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7DBE9B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4BA559C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杨树坪终端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26BA8D5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330624112220-001-0010-D2</w:t>
            </w:r>
          </w:p>
        </w:tc>
      </w:tr>
      <w:tr w14:paraId="37CDD95B">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049F6B6">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352066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5ED3B97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E660B7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2CA979E">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大龙1终端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05AA3DF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330624112222-003-0010-D2</w:t>
            </w:r>
          </w:p>
        </w:tc>
      </w:tr>
      <w:tr w14:paraId="613F459C">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5CF8C1B8">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7AD26C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4078EF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942512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7AD8C3A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大龙2终端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A9BF57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330624112222-004-0010-D2</w:t>
            </w:r>
          </w:p>
        </w:tc>
      </w:tr>
      <w:tr w14:paraId="392FB814">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7047D0E">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EEE682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B4E08C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8D8D4F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龙皇堂村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5B6AEA7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下午年终端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6E4BC19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330624112222-006-0010-D1</w:t>
            </w:r>
          </w:p>
        </w:tc>
      </w:tr>
      <w:tr w14:paraId="27B92F7E">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4D7E4450">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2DBC61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25654E6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2941F7C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5985D6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大坪头终端2</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D9E016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330624112222-003-0030-D1</w:t>
            </w:r>
          </w:p>
        </w:tc>
      </w:tr>
      <w:tr w14:paraId="7199782B">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59BA7559">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46DBA91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A5100B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BCC8F8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784C95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王家年终端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57EF79C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330624108001-003-0010-D1</w:t>
            </w:r>
          </w:p>
        </w:tc>
      </w:tr>
      <w:tr w14:paraId="65C85D91">
        <w:tblPrEx>
          <w:tblCellMar>
            <w:top w:w="15" w:type="dxa"/>
            <w:left w:w="15" w:type="dxa"/>
            <w:bottom w:w="15" w:type="dxa"/>
            <w:right w:w="15" w:type="dxa"/>
          </w:tblCellMar>
        </w:tblPrEx>
        <w:trPr>
          <w:trHeight w:val="376" w:hRule="atLeast"/>
        </w:trPr>
        <w:tc>
          <w:tcPr>
            <w:tcW w:w="995" w:type="dxa"/>
            <w:vMerge w:val="restart"/>
            <w:tcBorders>
              <w:top w:val="single" w:color="auto" w:sz="4" w:space="0"/>
              <w:left w:val="single" w:color="auto" w:sz="4" w:space="0"/>
              <w:right w:val="single" w:color="auto" w:sz="4" w:space="0"/>
            </w:tcBorders>
            <w:noWrap w:val="0"/>
            <w:vAlign w:val="center"/>
          </w:tcPr>
          <w:p w14:paraId="3977660A">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10t/d以下</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6ED177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30B23C9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6EADDA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梅林山村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C71596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鹭鸶岗终端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76109AE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330624112201-004-0009-D2</w:t>
            </w:r>
          </w:p>
        </w:tc>
      </w:tr>
      <w:tr w14:paraId="4215728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3091A62">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AFE090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1896F86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3DE4A52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东郑村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0964CC5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梁家井终端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162576F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330624112205-005-0008-GB</w:t>
            </w:r>
          </w:p>
        </w:tc>
      </w:tr>
      <w:tr w14:paraId="694B58CD">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79734705">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390E19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FE71E1C">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0A440E8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东郑村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6BFBCBB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仰湾村</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EA23EC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330624112205-003-0005-D1</w:t>
            </w:r>
          </w:p>
        </w:tc>
      </w:tr>
      <w:tr w14:paraId="40AE9AD8">
        <w:tblPrEx>
          <w:tblCellMar>
            <w:top w:w="15" w:type="dxa"/>
            <w:left w:w="15" w:type="dxa"/>
            <w:bottom w:w="15" w:type="dxa"/>
            <w:right w:w="15" w:type="dxa"/>
          </w:tblCellMar>
        </w:tblPrEx>
        <w:trPr>
          <w:trHeight w:val="376" w:hRule="atLeast"/>
        </w:trPr>
        <w:tc>
          <w:tcPr>
            <w:tcW w:w="995" w:type="dxa"/>
            <w:vMerge w:val="continue"/>
            <w:tcBorders>
              <w:left w:val="single" w:color="auto" w:sz="4" w:space="0"/>
              <w:right w:val="single" w:color="auto" w:sz="4" w:space="0"/>
            </w:tcBorders>
            <w:noWrap w:val="0"/>
            <w:vAlign w:val="center"/>
          </w:tcPr>
          <w:p w14:paraId="31DE8B5D">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4A35053">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646E8A79">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沃洲镇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55658C3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严丹赤村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1C96324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丹坑村终端1</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414F8D7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330624112017-001-0003-D2</w:t>
            </w:r>
          </w:p>
        </w:tc>
      </w:tr>
      <w:tr w14:paraId="293279E0">
        <w:tblPrEx>
          <w:tblCellMar>
            <w:top w:w="15" w:type="dxa"/>
            <w:left w:w="15" w:type="dxa"/>
            <w:bottom w:w="15" w:type="dxa"/>
            <w:right w:w="15" w:type="dxa"/>
          </w:tblCellMar>
        </w:tblPrEx>
        <w:trPr>
          <w:trHeight w:val="376" w:hRule="atLeast"/>
        </w:trPr>
        <w:tc>
          <w:tcPr>
            <w:tcW w:w="995" w:type="dxa"/>
            <w:vMerge w:val="continue"/>
            <w:tcBorders>
              <w:left w:val="single" w:color="auto" w:sz="4" w:space="0"/>
              <w:bottom w:val="single" w:color="auto" w:sz="4" w:space="0"/>
              <w:right w:val="single" w:color="auto" w:sz="4" w:space="0"/>
            </w:tcBorders>
            <w:noWrap w:val="0"/>
            <w:vAlign w:val="center"/>
          </w:tcPr>
          <w:p w14:paraId="5A5C0EE7">
            <w:pPr>
              <w:widowControl/>
              <w:jc w:val="center"/>
              <w:textAlignment w:val="center"/>
              <w:rPr>
                <w:rFonts w:hint="eastAsia" w:ascii="宋体" w:hAnsi="宋体" w:eastAsia="宋体" w:cs="宋体"/>
                <w:b/>
                <w:bCs/>
                <w:color w:val="auto"/>
                <w:sz w:val="24"/>
                <w:szCs w:val="24"/>
                <w:highlight w:val="none"/>
                <w:lang w:val="en-US" w:eastAsia="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011E405">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196" w:type="dxa"/>
            <w:tcBorders>
              <w:top w:val="single" w:color="auto" w:sz="4" w:space="0"/>
              <w:left w:val="single" w:color="auto" w:sz="4" w:space="0"/>
              <w:bottom w:val="single" w:color="auto" w:sz="4" w:space="0"/>
              <w:right w:val="single" w:color="auto" w:sz="4" w:space="0"/>
            </w:tcBorders>
            <w:noWrap w:val="0"/>
            <w:vAlign w:val="bottom"/>
          </w:tcPr>
          <w:p w14:paraId="028A859D">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沙溪镇</w:t>
            </w:r>
          </w:p>
        </w:tc>
        <w:tc>
          <w:tcPr>
            <w:tcW w:w="1294" w:type="dxa"/>
            <w:tcBorders>
              <w:top w:val="single" w:color="auto" w:sz="4" w:space="0"/>
              <w:left w:val="single" w:color="auto" w:sz="4" w:space="0"/>
              <w:bottom w:val="single" w:color="auto" w:sz="4" w:space="0"/>
              <w:right w:val="single" w:color="auto" w:sz="4" w:space="0"/>
            </w:tcBorders>
            <w:noWrap w:val="0"/>
            <w:vAlign w:val="bottom"/>
          </w:tcPr>
          <w:p w14:paraId="4CBE8DF7">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沙溪村</w:t>
            </w:r>
          </w:p>
        </w:tc>
        <w:tc>
          <w:tcPr>
            <w:tcW w:w="1756" w:type="dxa"/>
            <w:tcBorders>
              <w:top w:val="single" w:color="auto" w:sz="4" w:space="0"/>
              <w:left w:val="single" w:color="auto" w:sz="4" w:space="0"/>
              <w:bottom w:val="single" w:color="auto" w:sz="4" w:space="0"/>
              <w:right w:val="single" w:color="auto" w:sz="4" w:space="0"/>
            </w:tcBorders>
            <w:noWrap w:val="0"/>
            <w:vAlign w:val="bottom"/>
          </w:tcPr>
          <w:p w14:paraId="2CAAD148">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合溪1终端</w:t>
            </w:r>
          </w:p>
        </w:tc>
        <w:tc>
          <w:tcPr>
            <w:tcW w:w="2942" w:type="dxa"/>
            <w:tcBorders>
              <w:top w:val="single" w:color="auto" w:sz="4" w:space="0"/>
              <w:left w:val="single" w:color="auto" w:sz="4" w:space="0"/>
              <w:bottom w:val="single" w:color="auto" w:sz="4" w:space="0"/>
              <w:right w:val="single" w:color="auto" w:sz="4" w:space="0"/>
            </w:tcBorders>
            <w:noWrap w:val="0"/>
            <w:vAlign w:val="bottom"/>
          </w:tcPr>
          <w:p w14:paraId="3692F63B">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330624108001-006-0006-D2</w:t>
            </w:r>
          </w:p>
        </w:tc>
      </w:tr>
    </w:tbl>
    <w:p w14:paraId="56092653">
      <w:pPr>
        <w:spacing w:line="360" w:lineRule="auto"/>
        <w:ind w:firstLine="480" w:firstLineChars="200"/>
        <w:rPr>
          <w:rFonts w:hint="eastAsia" w:ascii="宋体" w:hAnsi="宋体" w:eastAsia="宋体" w:cs="宋体"/>
          <w:color w:val="auto"/>
          <w:sz w:val="24"/>
          <w:szCs w:val="24"/>
          <w:highlight w:val="none"/>
        </w:rPr>
      </w:pPr>
    </w:p>
    <w:p w14:paraId="178818A1">
      <w:pPr>
        <w:pStyle w:val="5"/>
        <w:numPr>
          <w:ilvl w:val="0"/>
          <w:numId w:val="0"/>
        </w:numPr>
        <w:bidi w:val="0"/>
        <w:ind w:leftChars="0" w:firstLine="480" w:firstLineChars="200"/>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2.4 最高限价</w:t>
      </w:r>
    </w:p>
    <w:tbl>
      <w:tblPr>
        <w:tblStyle w:val="2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05"/>
        <w:gridCol w:w="1657"/>
        <w:gridCol w:w="1963"/>
        <w:gridCol w:w="2265"/>
      </w:tblGrid>
      <w:tr w14:paraId="5F0D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8" w:type="dxa"/>
            <w:vAlign w:val="center"/>
          </w:tcPr>
          <w:p w14:paraId="02524E2F">
            <w:pPr>
              <w:adjustRightInd/>
              <w:spacing w:line="380" w:lineRule="exact"/>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005" w:type="dxa"/>
            <w:vAlign w:val="center"/>
          </w:tcPr>
          <w:p w14:paraId="21A40B6C">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1657" w:type="dxa"/>
            <w:vAlign w:val="center"/>
          </w:tcPr>
          <w:p w14:paraId="41545985">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tc>
        <w:tc>
          <w:tcPr>
            <w:tcW w:w="1963" w:type="dxa"/>
            <w:vAlign w:val="center"/>
          </w:tcPr>
          <w:p w14:paraId="580A552C">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数量/年</w:t>
            </w:r>
          </w:p>
        </w:tc>
        <w:tc>
          <w:tcPr>
            <w:tcW w:w="2265" w:type="dxa"/>
            <w:vAlign w:val="center"/>
          </w:tcPr>
          <w:p w14:paraId="7F1B79DB">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单价最高限价（元）</w:t>
            </w:r>
          </w:p>
        </w:tc>
      </w:tr>
      <w:tr w14:paraId="153F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8" w:type="dxa"/>
            <w:vAlign w:val="center"/>
          </w:tcPr>
          <w:p w14:paraId="78D92F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005" w:type="dxa"/>
            <w:vAlign w:val="center"/>
          </w:tcPr>
          <w:p w14:paraId="74716E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5项指标检测</w:t>
            </w:r>
          </w:p>
        </w:tc>
        <w:tc>
          <w:tcPr>
            <w:tcW w:w="1657" w:type="dxa"/>
            <w:vAlign w:val="center"/>
          </w:tcPr>
          <w:p w14:paraId="696B57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次</w:t>
            </w:r>
          </w:p>
        </w:tc>
        <w:tc>
          <w:tcPr>
            <w:tcW w:w="1963" w:type="dxa"/>
            <w:vAlign w:val="center"/>
          </w:tcPr>
          <w:p w14:paraId="58B991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1784</w:t>
            </w:r>
          </w:p>
        </w:tc>
        <w:tc>
          <w:tcPr>
            <w:tcW w:w="2265" w:type="dxa"/>
            <w:vAlign w:val="center"/>
          </w:tcPr>
          <w:p w14:paraId="159302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195</w:t>
            </w:r>
          </w:p>
        </w:tc>
      </w:tr>
      <w:tr w14:paraId="064E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8" w:type="dxa"/>
            <w:vAlign w:val="center"/>
          </w:tcPr>
          <w:p w14:paraId="0DAFA5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005" w:type="dxa"/>
            <w:vAlign w:val="center"/>
          </w:tcPr>
          <w:p w14:paraId="3A580D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8项指标检测</w:t>
            </w:r>
          </w:p>
        </w:tc>
        <w:tc>
          <w:tcPr>
            <w:tcW w:w="1657" w:type="dxa"/>
            <w:vAlign w:val="center"/>
          </w:tcPr>
          <w:p w14:paraId="3E80EB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次</w:t>
            </w:r>
          </w:p>
        </w:tc>
        <w:tc>
          <w:tcPr>
            <w:tcW w:w="1963" w:type="dxa"/>
            <w:vAlign w:val="center"/>
          </w:tcPr>
          <w:p w14:paraId="737206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171</w:t>
            </w:r>
          </w:p>
        </w:tc>
        <w:tc>
          <w:tcPr>
            <w:tcW w:w="2265" w:type="dxa"/>
            <w:vAlign w:val="center"/>
          </w:tcPr>
          <w:p w14:paraId="49131B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0</w:t>
            </w:r>
          </w:p>
        </w:tc>
      </w:tr>
    </w:tbl>
    <w:p w14:paraId="475AF471">
      <w:pPr>
        <w:pStyle w:val="5"/>
        <w:keepNext/>
        <w:keepLines/>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3.检测要求和评价依据</w:t>
      </w:r>
    </w:p>
    <w:p w14:paraId="471759D5">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按浙江省住房和城乡建设厅及浙江省环境保护厅联合下发的《</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农村生活污水治理设施出水水质检测与结果评价导则（试行）》（建村发〔2017〕212号）文件和《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农村生活污水处理设施水污染物排放标准》（DB33/973）相关要求进行排放检测和结果评价。</w:t>
      </w:r>
    </w:p>
    <w:p w14:paraId="4E06E8A5">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质控要求</w:t>
      </w:r>
    </w:p>
    <w:p w14:paraId="487A9B0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为保证实验室所提供数据的准确、真实、可靠，同时保证检测结果的公平、公正，中标单位需按照质控要求执行。</w:t>
      </w:r>
    </w:p>
    <w:p w14:paraId="6737ABFE">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采样质控要求</w:t>
      </w:r>
    </w:p>
    <w:p w14:paraId="78630B64">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 采样容器材质要求：采样容器严格按照《浙江省环境监测质量保证技术规定》附表1的相关要求执行。</w:t>
      </w:r>
    </w:p>
    <w:p w14:paraId="0B6F5D18">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 样品保存要求：水样的保存严格参照《水质采样样品的保持和管理技术规定》（HJ493-2009）和《污水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）执行。</w:t>
      </w:r>
    </w:p>
    <w:p w14:paraId="593C1CC4">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 采样方法：水样的采集应按《水质采样技术指导》（HJ494-2009）和《污水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）执行。</w:t>
      </w:r>
    </w:p>
    <w:p w14:paraId="415015D7">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 质控样的采集：采集所需水样的同时需采集不少于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%的现场平行样，不足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0个样品的至少采1个平行样。</w:t>
      </w:r>
    </w:p>
    <w:p w14:paraId="6D3F2F47">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 采样和分析时间：根据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安排采样，委托检测采样后10个工作日内，日常检测5个工作日内上报分析数据。</w:t>
      </w:r>
    </w:p>
    <w:p w14:paraId="5DC433A4">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4.1.6 </w:t>
      </w:r>
      <w:r>
        <w:rPr>
          <w:rFonts w:hint="eastAsia" w:ascii="宋体" w:hAnsi="宋体" w:eastAsia="宋体" w:cs="宋体"/>
          <w:color w:val="auto"/>
          <w:sz w:val="24"/>
          <w:szCs w:val="24"/>
          <w:highlight w:val="none"/>
        </w:rPr>
        <w:t>相片、视频：每个断面采样的同时须拍摄照片或视频，内容应包括采样时间、位置（GPS轨迹）、人员及周边的明显标志物等佐证资料</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须保证此数据的真实性，每份水质检测报告都须附佐证资料，若未提供或数据造假将扣除相应的检测费及履约保证金</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p>
    <w:p w14:paraId="5C9B6BB6">
      <w:pPr>
        <w:spacing w:line="44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7粪大肠菌群必须在6小时内进行检测完成，并出具相应的取样时间、签收时间。</w:t>
      </w:r>
    </w:p>
    <w:p w14:paraId="724A98A3">
      <w:pPr>
        <w:pageBreakBefore w:val="0"/>
        <w:widowControl w:val="0"/>
        <w:kinsoku/>
        <w:wordWrap/>
        <w:overflowPunct/>
        <w:topLinePunct w:val="0"/>
        <w:autoSpaceDE/>
        <w:autoSpaceDN/>
        <w:bidi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4.1.8</w:t>
      </w:r>
      <w:r>
        <w:rPr>
          <w:rFonts w:hint="eastAsia" w:ascii="宋体" w:hAnsi="宋体" w:eastAsia="宋体" w:cs="宋体"/>
          <w:color w:val="auto"/>
          <w:sz w:val="24"/>
          <w:szCs w:val="24"/>
          <w:highlight w:val="none"/>
        </w:rPr>
        <w:t>未尽事宜，严格按照《污水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）、《水质采样技术指导》HJ494-2009、《水质采样样品的保存和管理技术规定》HJ493-2009中的相关规定执行。</w:t>
      </w:r>
    </w:p>
    <w:p w14:paraId="3CCF388E">
      <w:pPr>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若农村生活污水处理终端运维异常、停运以及无明显出水等情况，不得采样，无法采样终端应同水质检查结果一同反馈</w:t>
      </w:r>
      <w:r>
        <w:rPr>
          <w:rFonts w:hint="eastAsia" w:ascii="宋体" w:hAnsi="宋体" w:eastAsia="宋体" w:cs="宋体"/>
          <w:b/>
          <w:color w:val="auto"/>
          <w:sz w:val="24"/>
          <w:szCs w:val="24"/>
          <w:highlight w:val="none"/>
          <w:lang w:val="en-US" w:eastAsia="zh-CN"/>
        </w:rPr>
        <w:t>采购人</w:t>
      </w:r>
      <w:r>
        <w:rPr>
          <w:rFonts w:hint="eastAsia" w:ascii="宋体" w:hAnsi="宋体" w:eastAsia="宋体" w:cs="宋体"/>
          <w:b/>
          <w:color w:val="auto"/>
          <w:sz w:val="24"/>
          <w:szCs w:val="24"/>
          <w:highlight w:val="none"/>
        </w:rPr>
        <w:t>，待终端设施恢复正常后重新采样。</w:t>
      </w:r>
    </w:p>
    <w:p w14:paraId="0DDA3614">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实验室质控要求</w:t>
      </w:r>
    </w:p>
    <w:p w14:paraId="21CCBCF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.2.1 校准曲线：应在每次分析样品的同时，同步制作校准曲线。工作确实有困难时，对校准曲线斜率较为稳定的分析方法，至少在分析样品的同时，测定两个适当浓度（高、低浓度）及空白两份，分别取均值，减去空白均值后，与原校准曲线的相同浓度点校核，相对偏差小于5%，原曲线可用。否则，应重新制作校准曲线。校准曲线回归方程的相关系数、截距和斜率应符合方法中规定的要求。校准曲线只能在其线性范围内使用，在使用中不得在两端随意外推。</w:t>
      </w:r>
    </w:p>
    <w:p w14:paraId="15CF59E4">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 实验室空白：每个批次、每个项目都应做现场空白和实验室空白。两种结果之间应无明显差异，如现场空白明显高于实验室空白，表明采样过程中可能有意外玷污，在查清原因后方能做出本次采样是否有效以及分析数据能否接受的决定。</w:t>
      </w:r>
    </w:p>
    <w:p w14:paraId="278E639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.2.3 精密度控制：每批样品随机抽取10%的实验室平行样，平行双样的偏差需在《浙江省环境监测质量保证技术规定》所规定的允许偏差内。</w:t>
      </w:r>
    </w:p>
    <w:p w14:paraId="0454CFD0">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.2.4 准确度控制：实验室内部自身对每批样品设置1-2个质控样，测定结果准确度合格率必须达到100%。</w:t>
      </w:r>
    </w:p>
    <w:p w14:paraId="166A6AAB">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.2.5 分析时间要求：所有样品必须按照《浙江省环境监测质量保证技术规定》的相关要求在有效期限内完成分析。</w:t>
      </w:r>
    </w:p>
    <w:p w14:paraId="75F46539">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比对考核</w:t>
      </w:r>
    </w:p>
    <w:p w14:paraId="700D237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采购人将从密封样品中抽取适当的样品进行比对检测、考核，并在完成检测后通知中标供应商上报相关比对样品的检测进行评价</w:t>
      </w:r>
    </w:p>
    <w:p w14:paraId="3C5C32F1">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.3.2 有效结果的评价：比对检测结果的误差符合《浙江省环境监测质量保证技术规定》的实验室间相对误差要求时（一般为+20%），中标单位提供的检测数据方为有效。</w:t>
      </w:r>
    </w:p>
    <w:p w14:paraId="474CC7B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.3.3 无效结果处理：当比对结果误差超出范围的视为监测数据不合格，说明该批水样的检测数据存在可疑，业主有权要求</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24小时内对该批次样品进行重新检测，若重新检测结果还未满足质控要求，</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需在2天内重新到现场采样检测，重新采样检测过程中产生的一切费用由中标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承担。若重新现场采样检测后，中标单位的检测数据还是达不到质控要求，业主有权单方面解除合同协议，并扣除该批样品的相关检测费用。</w:t>
      </w:r>
    </w:p>
    <w:p w14:paraId="0F08FE80">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.3.4 其他考核：业主有权不定期发放质控样对中标单位进行考核，考核结果以“</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.3.3”条款执行。</w:t>
      </w:r>
    </w:p>
    <w:p w14:paraId="55113E65">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 责任追究</w:t>
      </w:r>
    </w:p>
    <w:p w14:paraId="0B0F10EF">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上述工作任务未按时完成或质控要求中的任何一项达不到相关要求时，说明该批水样的检测数据存在可疑，业主有权要求中标供应商24小时内对该批次样品进行重新检测，若重新检测结果还未满足质控要求，中标供应商需在1天内重新到现场采样检测，重新采样检测过程中产生的一切费用由中标供应商承担。若重新现场采样检测后，中标供应商的检测数据还是达不到质控要求，则扣除该批样品的相关检测费用，同时业主有权单方面解除合同协议。</w:t>
      </w:r>
    </w:p>
    <w:p w14:paraId="3F0DE34D">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 保密责任</w:t>
      </w:r>
    </w:p>
    <w:p w14:paraId="0F81D11C">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color w:val="auto"/>
          <w:sz w:val="24"/>
          <w:szCs w:val="24"/>
          <w:highlight w:val="none"/>
        </w:rPr>
        <w:t>中标方对所有检测数据不得</w:t>
      </w:r>
      <w:r>
        <w:rPr>
          <w:rFonts w:hint="eastAsia" w:ascii="宋体" w:hAnsi="宋体" w:eastAsia="宋体" w:cs="宋体"/>
          <w:color w:val="auto"/>
          <w:sz w:val="24"/>
          <w:szCs w:val="24"/>
          <w:highlight w:val="none"/>
          <w:lang w:eastAsia="zh-CN"/>
        </w:rPr>
        <w:t>私自</w:t>
      </w:r>
      <w:r>
        <w:rPr>
          <w:rFonts w:hint="eastAsia" w:ascii="宋体" w:hAnsi="宋体" w:eastAsia="宋体" w:cs="宋体"/>
          <w:color w:val="auto"/>
          <w:sz w:val="24"/>
          <w:szCs w:val="24"/>
          <w:highlight w:val="none"/>
        </w:rPr>
        <w:t>泄露给其他部门、机构、团体，否则业主有权单方面解除合同协议，并视其造成的影响程度追究责任。</w:t>
      </w:r>
    </w:p>
    <w:p w14:paraId="0BF870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二、项目要求</w:t>
      </w:r>
    </w:p>
    <w:p w14:paraId="0F6D856B">
      <w:pPr>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1.项目完成要求：</w:t>
      </w:r>
      <w:r>
        <w:rPr>
          <w:rFonts w:hint="eastAsia" w:ascii="宋体" w:hAnsi="宋体" w:eastAsia="宋体" w:cs="宋体"/>
          <w:b/>
          <w:bCs/>
          <w:color w:val="auto"/>
          <w:sz w:val="24"/>
          <w:szCs w:val="24"/>
          <w:highlight w:val="none"/>
        </w:rPr>
        <w:t>自完成</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后开始采样之日起为期</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人根据工作需要，安排指定时间由中标供应商履行检测工作。</w:t>
      </w:r>
    </w:p>
    <w:p w14:paraId="321F0A3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kern w:val="1"/>
          <w:sz w:val="24"/>
          <w:szCs w:val="24"/>
          <w:highlight w:val="none"/>
          <w:lang w:val="en-US" w:eastAsia="zh-CN"/>
        </w:rPr>
        <w:t>在服务期内，中标供应商根据要求于检测任务下达后10个工作日内完成委托检测的采样和分析工作，并将检测结果提供给采购人，</w:t>
      </w:r>
      <w:r>
        <w:rPr>
          <w:rFonts w:hint="eastAsia" w:ascii="宋体" w:hAnsi="宋体" w:eastAsia="宋体" w:cs="宋体"/>
          <w:b/>
          <w:bCs/>
          <w:color w:val="auto"/>
          <w:sz w:val="24"/>
          <w:szCs w:val="24"/>
          <w:highlight w:val="none"/>
          <w:lang w:val="en-US" w:eastAsia="zh-CN"/>
        </w:rPr>
        <w:t>按照采购方要求提供电子版数据并在新昌县农村生活污水治理管理服务系统填报相关数据</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kern w:val="1"/>
          <w:sz w:val="24"/>
          <w:szCs w:val="24"/>
          <w:highlight w:val="none"/>
          <w:lang w:val="en-US" w:eastAsia="zh-CN"/>
        </w:rPr>
        <w:t>除检测报告（3份）外，还需根据采购人指定的格式提供检测数据文档、水质分析报告、相片及视频材料。</w:t>
      </w:r>
    </w:p>
    <w:p w14:paraId="108C0A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1.2 针对仍存在有异议的检测数据，应重新采样和分析，并在采样后3个工作日内完成新数据的上报。</w:t>
      </w:r>
    </w:p>
    <w:p w14:paraId="7B6371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1.3 中标供应商同意接受采购人对本项目的原始记录、仪器设备等档案进行调阅的检查。</w:t>
      </w:r>
    </w:p>
    <w:p w14:paraId="28904E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1.4 如遇情况，要求突击抽样，需在24小时内拿出水质分析报告，如遇水样分析不合格，由中标供应商开展整改后，进行复测（费用由中标供应商支付）。</w:t>
      </w:r>
    </w:p>
    <w:p w14:paraId="39BFDC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1.5</w:t>
      </w:r>
      <w:r>
        <w:rPr>
          <w:rFonts w:hint="eastAsia" w:ascii="宋体" w:hAnsi="宋体" w:eastAsia="宋体" w:cs="宋体"/>
          <w:color w:val="auto"/>
          <w:sz w:val="24"/>
          <w:szCs w:val="24"/>
          <w:highlight w:val="none"/>
          <w:lang w:val="en-US" w:eastAsia="zh-CN"/>
        </w:rPr>
        <w:t>采购人将不定期对检测数据的真实性进行跟踪抽样，并送至生态环境局进行取样。若结果误差超过±10%，则要求中标单位进行重新取样。</w:t>
      </w:r>
    </w:p>
    <w:p w14:paraId="097CA7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2.数量调整</w:t>
      </w:r>
      <w:r>
        <w:rPr>
          <w:rFonts w:hint="eastAsia" w:ascii="宋体" w:hAnsi="宋体" w:eastAsia="宋体" w:cs="宋体"/>
          <w:b/>
          <w:color w:val="auto"/>
          <w:kern w:val="1"/>
          <w:sz w:val="24"/>
          <w:szCs w:val="24"/>
          <w:highlight w:val="none"/>
          <w:lang w:val="en-US" w:eastAsia="zh-CN"/>
        </w:rPr>
        <w:t>：</w:t>
      </w:r>
      <w:r>
        <w:rPr>
          <w:rFonts w:hint="eastAsia" w:ascii="宋体" w:hAnsi="宋体" w:eastAsia="宋体" w:cs="宋体"/>
          <w:color w:val="auto"/>
          <w:kern w:val="1"/>
          <w:sz w:val="24"/>
          <w:szCs w:val="24"/>
          <w:highlight w:val="none"/>
          <w:lang w:val="en-US" w:eastAsia="zh-CN"/>
        </w:rPr>
        <w:t>采购</w:t>
      </w:r>
      <w:r>
        <w:rPr>
          <w:rFonts w:hint="eastAsia" w:ascii="宋体" w:hAnsi="宋体" w:eastAsia="宋体" w:cs="宋体"/>
          <w:color w:val="auto"/>
          <w:kern w:val="1"/>
          <w:sz w:val="24"/>
          <w:szCs w:val="24"/>
          <w:highlight w:val="none"/>
        </w:rPr>
        <w:t>人保留在签约时调整部分服务的权力，按投标单价不变的前提下进行调整，双方不得拒绝。如遇本次</w:t>
      </w:r>
      <w:r>
        <w:rPr>
          <w:rFonts w:hint="eastAsia" w:ascii="宋体" w:hAnsi="宋体" w:eastAsia="宋体" w:cs="宋体"/>
          <w:color w:val="auto"/>
          <w:kern w:val="1"/>
          <w:sz w:val="24"/>
          <w:szCs w:val="24"/>
          <w:highlight w:val="none"/>
          <w:lang w:val="en-US" w:eastAsia="zh-CN"/>
        </w:rPr>
        <w:t>采购</w:t>
      </w:r>
      <w:r>
        <w:rPr>
          <w:rFonts w:hint="eastAsia" w:ascii="宋体" w:hAnsi="宋体" w:eastAsia="宋体" w:cs="宋体"/>
          <w:color w:val="auto"/>
          <w:kern w:val="1"/>
          <w:sz w:val="24"/>
          <w:szCs w:val="24"/>
          <w:highlight w:val="none"/>
        </w:rPr>
        <w:t>没有涉及的设备或服务时，由</w:t>
      </w:r>
      <w:r>
        <w:rPr>
          <w:rFonts w:hint="eastAsia" w:ascii="宋体" w:hAnsi="宋体" w:eastAsia="宋体" w:cs="宋体"/>
          <w:color w:val="auto"/>
          <w:kern w:val="1"/>
          <w:sz w:val="24"/>
          <w:szCs w:val="24"/>
          <w:highlight w:val="none"/>
          <w:lang w:val="en-US" w:eastAsia="zh-CN"/>
        </w:rPr>
        <w:t>供应商</w:t>
      </w:r>
      <w:r>
        <w:rPr>
          <w:rFonts w:hint="eastAsia" w:ascii="宋体" w:hAnsi="宋体" w:eastAsia="宋体" w:cs="宋体"/>
          <w:color w:val="auto"/>
          <w:kern w:val="1"/>
          <w:sz w:val="24"/>
          <w:szCs w:val="24"/>
          <w:highlight w:val="none"/>
        </w:rPr>
        <w:t>提供申请，</w:t>
      </w:r>
      <w:r>
        <w:rPr>
          <w:rFonts w:hint="eastAsia" w:ascii="宋体" w:hAnsi="宋体" w:eastAsia="宋体" w:cs="宋体"/>
          <w:color w:val="auto"/>
          <w:kern w:val="1"/>
          <w:sz w:val="24"/>
          <w:szCs w:val="24"/>
          <w:highlight w:val="none"/>
          <w:lang w:val="en-US" w:eastAsia="zh-CN"/>
        </w:rPr>
        <w:t>采购</w:t>
      </w:r>
      <w:r>
        <w:rPr>
          <w:rFonts w:hint="eastAsia" w:ascii="宋体" w:hAnsi="宋体" w:eastAsia="宋体" w:cs="宋体"/>
          <w:color w:val="auto"/>
          <w:kern w:val="1"/>
          <w:sz w:val="24"/>
          <w:szCs w:val="24"/>
          <w:highlight w:val="none"/>
        </w:rPr>
        <w:t>人确认后实施。政府采购合同履行中追加与合同标的相同的货物、工程或者服务的采购金额不得超过原合同采购金额</w:t>
      </w:r>
      <w:r>
        <w:rPr>
          <w:rFonts w:hint="eastAsia" w:ascii="宋体" w:hAnsi="宋体" w:eastAsia="宋体" w:cs="宋体"/>
          <w:color w:val="auto"/>
          <w:kern w:val="1"/>
          <w:sz w:val="24"/>
          <w:szCs w:val="24"/>
          <w:highlight w:val="none"/>
          <w:lang w:val="en-US" w:eastAsia="zh-CN"/>
        </w:rPr>
        <w:t>的</w:t>
      </w:r>
      <w:r>
        <w:rPr>
          <w:rFonts w:hint="eastAsia" w:ascii="宋体" w:hAnsi="宋体" w:eastAsia="宋体" w:cs="宋体"/>
          <w:color w:val="auto"/>
          <w:kern w:val="1"/>
          <w:sz w:val="24"/>
          <w:szCs w:val="24"/>
          <w:highlight w:val="none"/>
        </w:rPr>
        <w:t>10%。</w:t>
      </w:r>
    </w:p>
    <w:p w14:paraId="2499B2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3.供应商必须为全体作业人员购买人身意外保险，必须重视安全生产工作，确保全年不出安全生产责任事故。如发生安全生产责任事故或交通事故，由供应商承担一切责任及损失。</w:t>
      </w:r>
    </w:p>
    <w:p w14:paraId="0278CBD4">
      <w:pPr>
        <w:pStyle w:val="39"/>
        <w:tabs>
          <w:tab w:val="left" w:pos="1980"/>
          <w:tab w:val="left" w:pos="2160"/>
          <w:tab w:val="right" w:leader="dot" w:pos="8268"/>
        </w:tabs>
        <w:ind w:left="0" w:leftChars="0" w:firstLine="482" w:firstLineChars="200"/>
        <w:rPr>
          <w:rFonts w:hint="eastAsia" w:ascii="宋体" w:hAnsi="宋体" w:eastAsia="宋体" w:cs="宋体"/>
          <w:b/>
          <w:bCs/>
          <w:color w:val="auto"/>
          <w:sz w:val="24"/>
          <w:szCs w:val="24"/>
          <w:highlight w:val="none"/>
          <w:lang w:val="en-US" w:eastAsia="zh-CN"/>
        </w:rPr>
      </w:pPr>
    </w:p>
    <w:p w14:paraId="336DD14E">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、服务标准：</w:t>
      </w:r>
    </w:p>
    <w:p w14:paraId="382AF9C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1、自觉遵守有关规定，严格执行服务、廉政纪律和职业道德，保守工程资料数据的秘密。</w:t>
      </w:r>
    </w:p>
    <w:p w14:paraId="3932D76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采购人的有关规定和要求实施服务，接受采购人的指导、监督和管理，同时按采购人的质量和进度要求及时提供结果以及与服务事项相关的资料。按采购人规定的格式、要求起草有关文书和其他材料。</w:t>
      </w:r>
    </w:p>
    <w:p w14:paraId="466E7E5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3、不得将承接的业务对外转包，不得以任何借口违反独立准则和质量控制准则，降低执业质量，并同意对承担相关业务的质量向社会公示；</w:t>
      </w:r>
    </w:p>
    <w:p w14:paraId="502978A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4、愿意接受相关部门对项目质量的审查考核。</w:t>
      </w:r>
    </w:p>
    <w:p w14:paraId="11A62B9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5、中标单位需自行组织人员进行现场取样，进行检测。</w:t>
      </w:r>
    </w:p>
    <w:p w14:paraId="116CBDC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6、需无偿满足招标人正常检测需求之外的应急检测需求，并在招标人规定的时间内完成取样及免费提供检测报告。</w:t>
      </w:r>
    </w:p>
    <w:p w14:paraId="1CC52195">
      <w:pPr>
        <w:spacing w:line="40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7、如有终端出现无出水，无法取样的情况，需跟甲方提前联系，并在检测报告中</w:t>
      </w:r>
      <w:r>
        <w:rPr>
          <w:rFonts w:hint="eastAsia" w:ascii="宋体" w:hAnsi="宋体" w:eastAsia="宋体" w:cs="宋体"/>
          <w:bCs/>
          <w:color w:val="auto"/>
          <w:sz w:val="24"/>
          <w:szCs w:val="24"/>
          <w:highlight w:val="none"/>
          <w:lang w:eastAsia="zh-CN"/>
        </w:rPr>
        <w:t>作出</w:t>
      </w:r>
      <w:r>
        <w:rPr>
          <w:rFonts w:hint="eastAsia" w:ascii="宋体" w:hAnsi="宋体" w:eastAsia="宋体" w:cs="宋体"/>
          <w:bCs/>
          <w:color w:val="auto"/>
          <w:sz w:val="24"/>
          <w:szCs w:val="24"/>
          <w:highlight w:val="none"/>
        </w:rPr>
        <w:t>说明，并提交甲方确认，如终端可正常取样而未取样检测的，一经发现每次扣除5000元。</w:t>
      </w:r>
    </w:p>
    <w:p w14:paraId="53F1FAFB">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中标方对所有检测数据不得</w:t>
      </w:r>
      <w:r>
        <w:rPr>
          <w:rFonts w:hint="eastAsia" w:ascii="宋体" w:hAnsi="宋体" w:eastAsia="宋体" w:cs="宋体"/>
          <w:color w:val="auto"/>
          <w:sz w:val="24"/>
          <w:szCs w:val="24"/>
          <w:highlight w:val="none"/>
          <w:lang w:eastAsia="zh-CN"/>
        </w:rPr>
        <w:t>私自</w:t>
      </w:r>
      <w:r>
        <w:rPr>
          <w:rFonts w:hint="eastAsia" w:ascii="宋体" w:hAnsi="宋体" w:eastAsia="宋体" w:cs="宋体"/>
          <w:color w:val="auto"/>
          <w:sz w:val="24"/>
          <w:szCs w:val="24"/>
          <w:highlight w:val="none"/>
        </w:rPr>
        <w:t>泄露给其他部门、机构、团体，否则业主有权单方面解除合同协议，并视其造成的影响程度追究责任。</w:t>
      </w:r>
    </w:p>
    <w:p w14:paraId="1FD4CE2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五、对项目转包、分包要求</w:t>
      </w:r>
    </w:p>
    <w:p w14:paraId="3B89790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rPr>
        <w:t>该项目不允许转包、分包。</w:t>
      </w:r>
    </w:p>
    <w:p w14:paraId="12DF340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rPr>
        <w:t>采购人发现成交供应商进行转包、分包的，有权单方解除合同，取消成交供应商实施项目资格。成交供应商除赔偿损失外，还须向采购人支付项目合同总价款5%的违约金。</w:t>
      </w:r>
    </w:p>
    <w:p w14:paraId="4F0ADE0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1"/>
          <w:sz w:val="24"/>
          <w:szCs w:val="24"/>
          <w:highlight w:val="none"/>
          <w:lang w:val="en-US" w:eastAsia="zh-CN"/>
        </w:rPr>
        <w:t>六、验收及付款方式</w:t>
      </w:r>
    </w:p>
    <w:p w14:paraId="15E5EAE6">
      <w:pPr>
        <w:pageBreakBefore w:val="0"/>
        <w:widowControl w:val="0"/>
        <w:numPr>
          <w:ilvl w:val="0"/>
          <w:numId w:val="2"/>
        </w:numPr>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w:t>
      </w:r>
    </w:p>
    <w:p w14:paraId="10116B66">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由采购人负责进行验收。</w:t>
      </w:r>
    </w:p>
    <w:p w14:paraId="798AF1A9">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对中标供应商的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14:paraId="29E72E1A">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对检测结论异议的处理：</w:t>
      </w:r>
    </w:p>
    <w:p w14:paraId="4CFCB742">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采购人对检测结论有异议的，可由双方共同认可的检测机构复检。复检结论与原检测结论相同，由采购人支付复检费用；反之，则由成交单位承担复检费用。对复检结论仍有异议的，可向主管部门申请专家论证解决。</w:t>
      </w:r>
    </w:p>
    <w:p w14:paraId="3C0CA29E">
      <w:pPr>
        <w:pageBreakBefore w:val="0"/>
        <w:widowControl w:val="0"/>
        <w:numPr>
          <w:ilvl w:val="0"/>
          <w:numId w:val="2"/>
        </w:numPr>
        <w:kinsoku/>
        <w:wordWrap/>
        <w:overflowPunct/>
        <w:topLinePunct w:val="0"/>
        <w:autoSpaceDE/>
        <w:autoSpaceDN/>
        <w:bidi w:val="0"/>
        <w:spacing w:line="48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7B620A46">
      <w:pPr>
        <w:pageBreakBefore w:val="0"/>
        <w:widowControl w:val="0"/>
        <w:kinsoku/>
        <w:wordWrap/>
        <w:overflowPunct/>
        <w:topLinePunct w:val="0"/>
        <w:autoSpaceDE/>
        <w:autoSpaceDN/>
        <w:bidi w:val="0"/>
        <w:spacing w:line="480" w:lineRule="exact"/>
        <w:ind w:firstLine="472" w:firstLineChars="196"/>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合同签订</w:t>
      </w:r>
      <w:r>
        <w:rPr>
          <w:rFonts w:hint="eastAsia" w:ascii="宋体" w:hAnsi="宋体" w:eastAsia="宋体" w:cs="宋体"/>
          <w:b/>
          <w:bCs/>
          <w:color w:val="auto"/>
          <w:sz w:val="24"/>
          <w:szCs w:val="24"/>
          <w:highlight w:val="none"/>
          <w:lang w:val="en-US" w:eastAsia="zh-CN"/>
        </w:rPr>
        <w:t>后半年支付一次，按要求</w:t>
      </w:r>
      <w:r>
        <w:rPr>
          <w:rFonts w:hint="eastAsia" w:ascii="宋体" w:hAnsi="宋体" w:eastAsia="宋体" w:cs="宋体"/>
          <w:b/>
          <w:bCs/>
          <w:color w:val="auto"/>
          <w:sz w:val="24"/>
          <w:szCs w:val="24"/>
          <w:highlight w:val="none"/>
        </w:rPr>
        <w:t>完成</w:t>
      </w:r>
      <w:r>
        <w:rPr>
          <w:rFonts w:hint="eastAsia" w:ascii="宋体" w:hAnsi="宋体" w:eastAsia="宋体" w:cs="宋体"/>
          <w:b/>
          <w:bCs/>
          <w:color w:val="auto"/>
          <w:sz w:val="24"/>
          <w:szCs w:val="24"/>
          <w:highlight w:val="none"/>
          <w:u w:val="single"/>
          <w:lang w:val="en-US" w:eastAsia="zh-CN"/>
        </w:rPr>
        <w:t xml:space="preserve"> 2个</w:t>
      </w:r>
      <w:r>
        <w:rPr>
          <w:rFonts w:hint="eastAsia" w:ascii="宋体" w:hAnsi="宋体" w:eastAsia="宋体" w:cs="宋体"/>
          <w:b/>
          <w:bCs/>
          <w:color w:val="auto"/>
          <w:sz w:val="24"/>
          <w:szCs w:val="24"/>
          <w:highlight w:val="none"/>
          <w:lang w:val="en-US" w:eastAsia="zh-CN"/>
        </w:rPr>
        <w:t>季度</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检测</w:t>
      </w:r>
      <w:r>
        <w:rPr>
          <w:rFonts w:hint="eastAsia" w:ascii="宋体" w:hAnsi="宋体" w:eastAsia="宋体" w:cs="宋体"/>
          <w:b/>
          <w:bCs/>
          <w:color w:val="auto"/>
          <w:sz w:val="24"/>
          <w:szCs w:val="24"/>
          <w:highlight w:val="none"/>
        </w:rPr>
        <w:t>任务后</w:t>
      </w:r>
      <w:r>
        <w:rPr>
          <w:rFonts w:hint="eastAsia" w:ascii="宋体" w:hAnsi="宋体" w:eastAsia="宋体" w:cs="宋体"/>
          <w:b/>
          <w:bCs/>
          <w:color w:val="auto"/>
          <w:sz w:val="24"/>
          <w:szCs w:val="24"/>
          <w:highlight w:val="none"/>
          <w:lang w:val="en-US" w:eastAsia="zh-CN"/>
        </w:rPr>
        <w:t>且验收合格的一次性支付已完成检测量的100%。</w:t>
      </w:r>
    </w:p>
    <w:p w14:paraId="6D284A36">
      <w:pPr>
        <w:pStyle w:val="2"/>
        <w:rPr>
          <w:rFonts w:hint="eastAsia" w:ascii="仿宋" w:hAnsi="仿宋" w:eastAsia="仿宋" w:cs="仿宋"/>
          <w:b/>
          <w:color w:val="auto"/>
          <w:sz w:val="36"/>
          <w:szCs w:val="36"/>
          <w:highlight w:val="none"/>
        </w:rPr>
      </w:pPr>
    </w:p>
    <w:p w14:paraId="4BAEA43E">
      <w:pPr>
        <w:pStyle w:val="2"/>
        <w:rPr>
          <w:rFonts w:hint="eastAsia" w:ascii="仿宋" w:hAnsi="仿宋" w:eastAsia="仿宋" w:cs="仿宋"/>
          <w:b/>
          <w:color w:val="auto"/>
          <w:sz w:val="36"/>
          <w:szCs w:val="36"/>
          <w:highlight w:val="none"/>
        </w:rPr>
      </w:pPr>
    </w:p>
    <w:p w14:paraId="79FFB9C8">
      <w:pPr>
        <w:pStyle w:val="2"/>
        <w:rPr>
          <w:rFonts w:hint="eastAsia" w:ascii="仿宋" w:hAnsi="仿宋" w:eastAsia="仿宋" w:cs="仿宋"/>
          <w:b/>
          <w:color w:val="auto"/>
          <w:sz w:val="36"/>
          <w:szCs w:val="36"/>
          <w:highlight w:val="none"/>
        </w:rPr>
      </w:pPr>
    </w:p>
    <w:p w14:paraId="331C520D">
      <w:pPr>
        <w:jc w:val="both"/>
        <w:rPr>
          <w:rFonts w:hint="eastAsia" w:ascii="宋体" w:hAnsi="宋体" w:cs="宋体"/>
          <w:b/>
          <w:color w:val="auto"/>
          <w:sz w:val="36"/>
          <w:szCs w:val="36"/>
          <w:highlight w:val="none"/>
        </w:rPr>
      </w:pPr>
    </w:p>
    <w:p w14:paraId="08CBC505">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前  附  表</w:t>
      </w:r>
    </w:p>
    <w:tbl>
      <w:tblPr>
        <w:tblStyle w:val="20"/>
        <w:tblW w:w="102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1540"/>
        <w:gridCol w:w="8016"/>
      </w:tblGrid>
      <w:tr w14:paraId="1C8A2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74D7C75">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序号</w:t>
            </w:r>
          </w:p>
        </w:tc>
        <w:tc>
          <w:tcPr>
            <w:tcW w:w="1540" w:type="dxa"/>
            <w:tcBorders>
              <w:top w:val="single" w:color="auto" w:sz="4" w:space="0"/>
              <w:left w:val="single" w:color="auto" w:sz="4" w:space="0"/>
              <w:bottom w:val="single" w:color="auto" w:sz="4" w:space="0"/>
              <w:right w:val="single" w:color="auto" w:sz="4" w:space="0"/>
            </w:tcBorders>
            <w:noWrap/>
            <w:vAlign w:val="center"/>
          </w:tcPr>
          <w:p w14:paraId="463614C4">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内容</w:t>
            </w:r>
          </w:p>
        </w:tc>
        <w:tc>
          <w:tcPr>
            <w:tcW w:w="8016" w:type="dxa"/>
            <w:tcBorders>
              <w:top w:val="single" w:color="auto" w:sz="4" w:space="0"/>
              <w:left w:val="single" w:color="auto" w:sz="4" w:space="0"/>
              <w:bottom w:val="single" w:color="auto" w:sz="4" w:space="0"/>
              <w:right w:val="single" w:color="auto" w:sz="4" w:space="0"/>
            </w:tcBorders>
            <w:noWrap/>
            <w:vAlign w:val="center"/>
          </w:tcPr>
          <w:p w14:paraId="425E8D4F">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说明与要求</w:t>
            </w:r>
          </w:p>
        </w:tc>
      </w:tr>
      <w:tr w14:paraId="66D43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F981866">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1</w:t>
            </w:r>
          </w:p>
        </w:tc>
        <w:tc>
          <w:tcPr>
            <w:tcW w:w="1540" w:type="dxa"/>
            <w:tcBorders>
              <w:top w:val="single" w:color="auto" w:sz="4" w:space="0"/>
              <w:left w:val="single" w:color="auto" w:sz="4" w:space="0"/>
              <w:bottom w:val="single" w:color="auto" w:sz="4" w:space="0"/>
              <w:right w:val="single" w:color="auto" w:sz="4" w:space="0"/>
            </w:tcBorders>
            <w:noWrap/>
            <w:vAlign w:val="center"/>
          </w:tcPr>
          <w:p w14:paraId="28F8CAB7">
            <w:pPr>
              <w:pStyle w:val="12"/>
              <w:jc w:val="center"/>
              <w:rPr>
                <w:rFonts w:ascii="宋体" w:hAnsi="宋体" w:cs="宋体"/>
                <w:b/>
                <w:color w:val="auto"/>
                <w:kern w:val="2"/>
                <w:szCs w:val="24"/>
                <w:highlight w:val="none"/>
              </w:rPr>
            </w:pPr>
            <w:r>
              <w:rPr>
                <w:rFonts w:hint="eastAsia" w:ascii="宋体" w:hAnsi="宋体" w:cs="宋体"/>
                <w:color w:val="auto"/>
                <w:kern w:val="2"/>
                <w:szCs w:val="24"/>
                <w:highlight w:val="none"/>
              </w:rPr>
              <w:t>项目名称</w:t>
            </w:r>
          </w:p>
        </w:tc>
        <w:tc>
          <w:tcPr>
            <w:tcW w:w="8016" w:type="dxa"/>
            <w:tcBorders>
              <w:top w:val="single" w:color="auto" w:sz="4" w:space="0"/>
              <w:left w:val="single" w:color="auto" w:sz="4" w:space="0"/>
              <w:bottom w:val="single" w:color="auto" w:sz="4" w:space="0"/>
              <w:right w:val="single" w:color="auto" w:sz="4" w:space="0"/>
            </w:tcBorders>
            <w:noWrap/>
            <w:vAlign w:val="center"/>
          </w:tcPr>
          <w:p w14:paraId="135E4BDA">
            <w:pPr>
              <w:pStyle w:val="12"/>
              <w:ind w:right="-107" w:rightChars="-51"/>
              <w:rPr>
                <w:rFonts w:ascii="宋体" w:hAnsi="宋体" w:cs="宋体"/>
                <w:color w:val="auto"/>
                <w:kern w:val="2"/>
                <w:szCs w:val="24"/>
                <w:highlight w:val="none"/>
              </w:rPr>
            </w:pPr>
            <w:r>
              <w:rPr>
                <w:rFonts w:hint="eastAsia" w:ascii="宋体" w:hAnsi="宋体" w:cs="宋体"/>
                <w:color w:val="auto"/>
                <w:kern w:val="28"/>
                <w:highlight w:val="none"/>
                <w:lang w:eastAsia="zh-CN"/>
              </w:rPr>
              <w:t xml:space="preserve">新昌县2025-2026年农村生活污水治理设施水质委托检测项目  </w:t>
            </w:r>
            <w:r>
              <w:rPr>
                <w:rFonts w:hint="eastAsia" w:ascii="宋体" w:hAnsi="宋体" w:cs="宋体"/>
                <w:color w:val="auto"/>
                <w:kern w:val="28"/>
                <w:highlight w:val="none"/>
              </w:rPr>
              <w:t xml:space="preserve">   </w:t>
            </w:r>
          </w:p>
        </w:tc>
      </w:tr>
      <w:tr w14:paraId="5D73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0907478C">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2</w:t>
            </w:r>
          </w:p>
        </w:tc>
        <w:tc>
          <w:tcPr>
            <w:tcW w:w="1540" w:type="dxa"/>
            <w:tcBorders>
              <w:top w:val="single" w:color="auto" w:sz="4" w:space="0"/>
              <w:left w:val="single" w:color="auto" w:sz="4" w:space="0"/>
              <w:bottom w:val="single" w:color="auto" w:sz="4" w:space="0"/>
              <w:right w:val="single" w:color="auto" w:sz="4" w:space="0"/>
            </w:tcBorders>
            <w:noWrap/>
            <w:vAlign w:val="center"/>
          </w:tcPr>
          <w:p w14:paraId="7279C137">
            <w:pPr>
              <w:pStyle w:val="12"/>
              <w:jc w:val="center"/>
              <w:rPr>
                <w:rFonts w:ascii="宋体" w:hAnsi="宋体" w:cs="宋体"/>
                <w:b/>
                <w:color w:val="auto"/>
                <w:kern w:val="2"/>
                <w:szCs w:val="24"/>
                <w:highlight w:val="none"/>
              </w:rPr>
            </w:pPr>
            <w:r>
              <w:rPr>
                <w:rFonts w:hint="eastAsia" w:ascii="宋体" w:hAnsi="宋体" w:cs="宋体"/>
                <w:color w:val="auto"/>
                <w:kern w:val="2"/>
                <w:szCs w:val="24"/>
                <w:highlight w:val="none"/>
              </w:rPr>
              <w:t>采购方式</w:t>
            </w:r>
          </w:p>
        </w:tc>
        <w:tc>
          <w:tcPr>
            <w:tcW w:w="8016" w:type="dxa"/>
            <w:tcBorders>
              <w:top w:val="single" w:color="auto" w:sz="4" w:space="0"/>
              <w:left w:val="single" w:color="auto" w:sz="4" w:space="0"/>
              <w:bottom w:val="single" w:color="auto" w:sz="4" w:space="0"/>
              <w:right w:val="single" w:color="auto" w:sz="4" w:space="0"/>
            </w:tcBorders>
            <w:noWrap/>
            <w:vAlign w:val="center"/>
          </w:tcPr>
          <w:p w14:paraId="37C73A66">
            <w:pPr>
              <w:pStyle w:val="12"/>
              <w:ind w:right="-107" w:rightChars="-51"/>
              <w:rPr>
                <w:rFonts w:ascii="宋体" w:hAnsi="宋体" w:cs="宋体"/>
                <w:color w:val="auto"/>
                <w:kern w:val="2"/>
                <w:szCs w:val="24"/>
                <w:highlight w:val="none"/>
              </w:rPr>
            </w:pPr>
            <w:r>
              <w:rPr>
                <w:rFonts w:hint="eastAsia" w:ascii="宋体" w:hAnsi="宋体" w:cs="宋体"/>
                <w:color w:val="auto"/>
                <w:kern w:val="2"/>
                <w:szCs w:val="24"/>
                <w:highlight w:val="none"/>
              </w:rPr>
              <w:t>公开招标</w:t>
            </w:r>
          </w:p>
        </w:tc>
      </w:tr>
      <w:tr w14:paraId="4CB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97C41A0">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3</w:t>
            </w:r>
          </w:p>
        </w:tc>
        <w:tc>
          <w:tcPr>
            <w:tcW w:w="1540" w:type="dxa"/>
            <w:tcBorders>
              <w:top w:val="single" w:color="auto" w:sz="4" w:space="0"/>
              <w:left w:val="single" w:color="auto" w:sz="4" w:space="0"/>
              <w:bottom w:val="single" w:color="auto" w:sz="4" w:space="0"/>
              <w:right w:val="single" w:color="auto" w:sz="4" w:space="0"/>
            </w:tcBorders>
            <w:noWrap/>
            <w:vAlign w:val="center"/>
          </w:tcPr>
          <w:p w14:paraId="54B526B4">
            <w:pPr>
              <w:pStyle w:val="12"/>
              <w:jc w:val="center"/>
              <w:rPr>
                <w:rFonts w:ascii="宋体" w:hAnsi="宋体" w:cs="宋体"/>
                <w:b/>
                <w:color w:val="auto"/>
                <w:kern w:val="2"/>
                <w:szCs w:val="24"/>
                <w:highlight w:val="none"/>
              </w:rPr>
            </w:pPr>
            <w:r>
              <w:rPr>
                <w:rFonts w:hint="eastAsia" w:ascii="宋体" w:hAnsi="宋体" w:cs="宋体"/>
                <w:color w:val="auto"/>
                <w:kern w:val="2"/>
                <w:szCs w:val="24"/>
                <w:highlight w:val="none"/>
              </w:rPr>
              <w:t>评标办法</w:t>
            </w:r>
          </w:p>
        </w:tc>
        <w:tc>
          <w:tcPr>
            <w:tcW w:w="8016" w:type="dxa"/>
            <w:tcBorders>
              <w:top w:val="single" w:color="auto" w:sz="4" w:space="0"/>
              <w:left w:val="single" w:color="auto" w:sz="4" w:space="0"/>
              <w:bottom w:val="single" w:color="auto" w:sz="4" w:space="0"/>
              <w:right w:val="single" w:color="auto" w:sz="4" w:space="0"/>
            </w:tcBorders>
            <w:noWrap/>
            <w:vAlign w:val="center"/>
          </w:tcPr>
          <w:p w14:paraId="2F311E11">
            <w:pPr>
              <w:pStyle w:val="12"/>
              <w:ind w:right="-107" w:rightChars="-51"/>
              <w:rPr>
                <w:rFonts w:ascii="宋体" w:hAnsi="宋体" w:cs="宋体"/>
                <w:color w:val="auto"/>
                <w:kern w:val="2"/>
                <w:szCs w:val="24"/>
                <w:highlight w:val="none"/>
              </w:rPr>
            </w:pPr>
            <w:r>
              <w:rPr>
                <w:rFonts w:hint="eastAsia" w:ascii="宋体" w:hAnsi="宋体" w:cs="宋体"/>
                <w:color w:val="auto"/>
                <w:kern w:val="2"/>
                <w:szCs w:val="24"/>
                <w:highlight w:val="none"/>
              </w:rPr>
              <w:t>综合评标法</w:t>
            </w:r>
          </w:p>
        </w:tc>
      </w:tr>
      <w:tr w14:paraId="3ADE6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61B4DF2">
            <w:pPr>
              <w:pStyle w:val="12"/>
              <w:spacing w:line="440" w:lineRule="exact"/>
              <w:jc w:val="center"/>
              <w:rPr>
                <w:rFonts w:ascii="宋体" w:hAnsi="宋体" w:cs="宋体"/>
                <w:color w:val="auto"/>
                <w:kern w:val="2"/>
                <w:szCs w:val="24"/>
                <w:highlight w:val="none"/>
              </w:rPr>
            </w:pPr>
            <w:r>
              <w:rPr>
                <w:rFonts w:hint="eastAsia" w:ascii="宋体" w:hAnsi="宋体" w:cs="宋体"/>
                <w:b/>
                <w:bCs/>
                <w:color w:val="auto"/>
                <w:kern w:val="2"/>
                <w:szCs w:val="24"/>
                <w:highlight w:val="none"/>
              </w:rPr>
              <w:t>4</w:t>
            </w:r>
          </w:p>
        </w:tc>
        <w:tc>
          <w:tcPr>
            <w:tcW w:w="1540" w:type="dxa"/>
            <w:tcBorders>
              <w:top w:val="single" w:color="auto" w:sz="4" w:space="0"/>
              <w:left w:val="single" w:color="auto" w:sz="4" w:space="0"/>
              <w:bottom w:val="single" w:color="auto" w:sz="4" w:space="0"/>
              <w:right w:val="single" w:color="auto" w:sz="4" w:space="0"/>
            </w:tcBorders>
            <w:noWrap/>
            <w:vAlign w:val="center"/>
          </w:tcPr>
          <w:p w14:paraId="37ACB5C8">
            <w:pPr>
              <w:pStyle w:val="12"/>
              <w:jc w:val="center"/>
              <w:rPr>
                <w:rFonts w:ascii="宋体" w:hAnsi="宋体" w:cs="宋体"/>
                <w:color w:val="auto"/>
                <w:kern w:val="2"/>
                <w:szCs w:val="24"/>
                <w:highlight w:val="none"/>
              </w:rPr>
            </w:pPr>
            <w:r>
              <w:rPr>
                <w:rFonts w:hint="eastAsia" w:ascii="宋体" w:hAnsi="宋体" w:cs="宋体"/>
                <w:color w:val="auto"/>
                <w:kern w:val="2"/>
                <w:szCs w:val="24"/>
                <w:highlight w:val="none"/>
              </w:rPr>
              <w:t>最高限价</w:t>
            </w:r>
          </w:p>
        </w:tc>
        <w:tc>
          <w:tcPr>
            <w:tcW w:w="8016" w:type="dxa"/>
            <w:tcBorders>
              <w:top w:val="single" w:color="auto" w:sz="4" w:space="0"/>
              <w:left w:val="single" w:color="auto" w:sz="4" w:space="0"/>
              <w:bottom w:val="single" w:color="auto" w:sz="4" w:space="0"/>
              <w:right w:val="single" w:color="auto" w:sz="4" w:space="0"/>
            </w:tcBorders>
            <w:noWrap/>
            <w:vAlign w:val="center"/>
          </w:tcPr>
          <w:p w14:paraId="6734A15F">
            <w:pPr>
              <w:pStyle w:val="12"/>
              <w:rPr>
                <w:rFonts w:ascii="宋体" w:hAnsi="宋体" w:cs="宋体"/>
                <w:bCs/>
                <w:color w:val="auto"/>
                <w:kern w:val="2"/>
                <w:szCs w:val="24"/>
                <w:highlight w:val="none"/>
              </w:rPr>
            </w:pPr>
            <w:r>
              <w:rPr>
                <w:rFonts w:hint="eastAsia" w:ascii="宋体" w:hAnsi="宋体" w:cs="宋体"/>
                <w:bCs/>
                <w:color w:val="auto"/>
                <w:kern w:val="2"/>
                <w:szCs w:val="24"/>
                <w:highlight w:val="none"/>
              </w:rPr>
              <w:t>本次最高总限价：</w:t>
            </w:r>
            <w:r>
              <w:rPr>
                <w:rFonts w:hint="eastAsia" w:ascii="宋体" w:hAnsi="宋体" w:cs="宋体"/>
                <w:bCs/>
                <w:color w:val="auto"/>
                <w:kern w:val="2"/>
                <w:szCs w:val="24"/>
                <w:highlight w:val="none"/>
                <w:lang w:val="en-US" w:eastAsia="zh-CN"/>
              </w:rPr>
              <w:t>400000元</w:t>
            </w:r>
            <w:r>
              <w:rPr>
                <w:rFonts w:hint="eastAsia" w:ascii="宋体" w:hAnsi="宋体" w:cs="宋体"/>
                <w:bCs/>
                <w:color w:val="auto"/>
                <w:kern w:val="2"/>
                <w:szCs w:val="24"/>
                <w:highlight w:val="none"/>
              </w:rPr>
              <w:t xml:space="preserve">；    </w:t>
            </w:r>
          </w:p>
          <w:p w14:paraId="4DE7FCF7">
            <w:pPr>
              <w:pStyle w:val="12"/>
              <w:rPr>
                <w:rFonts w:ascii="宋体" w:hAnsi="宋体" w:cs="宋体"/>
                <w:bCs/>
                <w:color w:val="auto"/>
                <w:kern w:val="2"/>
                <w:szCs w:val="24"/>
                <w:highlight w:val="none"/>
              </w:rPr>
            </w:pPr>
            <w:r>
              <w:rPr>
                <w:rFonts w:hint="eastAsia" w:ascii="宋体" w:hAnsi="宋体" w:cs="宋体"/>
                <w:bCs/>
                <w:color w:val="auto"/>
                <w:kern w:val="2"/>
                <w:szCs w:val="24"/>
                <w:highlight w:val="none"/>
              </w:rPr>
              <w:t>任何超过最高限价的报价将被认定为无效报价。</w:t>
            </w:r>
          </w:p>
        </w:tc>
      </w:tr>
      <w:tr w14:paraId="64042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1DC73981">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5</w:t>
            </w:r>
          </w:p>
        </w:tc>
        <w:tc>
          <w:tcPr>
            <w:tcW w:w="1540" w:type="dxa"/>
            <w:tcBorders>
              <w:top w:val="single" w:color="auto" w:sz="4" w:space="0"/>
              <w:left w:val="single" w:color="auto" w:sz="4" w:space="0"/>
              <w:bottom w:val="single" w:color="auto" w:sz="4" w:space="0"/>
              <w:right w:val="single" w:color="auto" w:sz="4" w:space="0"/>
            </w:tcBorders>
            <w:noWrap/>
            <w:vAlign w:val="center"/>
          </w:tcPr>
          <w:p w14:paraId="42487CE2">
            <w:pPr>
              <w:pStyle w:val="12"/>
              <w:jc w:val="center"/>
              <w:rPr>
                <w:rFonts w:ascii="宋体" w:hAnsi="宋体" w:cs="宋体"/>
                <w:color w:val="auto"/>
                <w:kern w:val="2"/>
                <w:szCs w:val="24"/>
                <w:highlight w:val="none"/>
              </w:rPr>
            </w:pPr>
            <w:r>
              <w:rPr>
                <w:rFonts w:hint="eastAsia" w:ascii="宋体" w:hAnsi="宋体" w:cs="宋体"/>
                <w:color w:val="auto"/>
                <w:kern w:val="2"/>
                <w:szCs w:val="24"/>
                <w:highlight w:val="none"/>
              </w:rPr>
              <w:t>投标人（供应商）资格要求</w:t>
            </w:r>
          </w:p>
        </w:tc>
        <w:tc>
          <w:tcPr>
            <w:tcW w:w="8016" w:type="dxa"/>
            <w:tcBorders>
              <w:top w:val="single" w:color="auto" w:sz="4" w:space="0"/>
              <w:left w:val="single" w:color="auto" w:sz="4" w:space="0"/>
              <w:bottom w:val="single" w:color="auto" w:sz="4" w:space="0"/>
              <w:right w:val="single" w:color="auto" w:sz="4" w:space="0"/>
            </w:tcBorders>
            <w:noWrap/>
            <w:vAlign w:val="center"/>
          </w:tcPr>
          <w:p w14:paraId="31B249F1">
            <w:pPr>
              <w:autoSpaceDE/>
              <w:autoSpaceDN/>
              <w:adjustRightInd/>
              <w:snapToGrid w:val="0"/>
              <w:spacing w:line="360" w:lineRule="auto"/>
              <w:rPr>
                <w:rFonts w:ascii="宋体" w:hAnsi="宋体" w:cs="宋体"/>
                <w:color w:val="auto"/>
                <w:highlight w:val="none"/>
              </w:rPr>
            </w:pPr>
            <w:r>
              <w:rPr>
                <w:rFonts w:hint="eastAsia" w:ascii="宋体" w:hAnsi="宋体" w:cs="Arial"/>
                <w:bCs/>
                <w:color w:val="auto"/>
                <w:sz w:val="24"/>
                <w:szCs w:val="24"/>
                <w:highlight w:val="none"/>
              </w:rPr>
              <w:t>详见招标公告</w:t>
            </w:r>
          </w:p>
        </w:tc>
      </w:tr>
      <w:tr w14:paraId="62706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F0D7DE8">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6</w:t>
            </w:r>
          </w:p>
        </w:tc>
        <w:tc>
          <w:tcPr>
            <w:tcW w:w="1540" w:type="dxa"/>
            <w:tcBorders>
              <w:top w:val="single" w:color="auto" w:sz="4" w:space="0"/>
              <w:left w:val="single" w:color="auto" w:sz="4" w:space="0"/>
              <w:bottom w:val="single" w:color="auto" w:sz="4" w:space="0"/>
              <w:right w:val="single" w:color="auto" w:sz="4" w:space="0"/>
            </w:tcBorders>
            <w:noWrap/>
            <w:vAlign w:val="center"/>
          </w:tcPr>
          <w:p w14:paraId="344C6DFA">
            <w:pPr>
              <w:pStyle w:val="12"/>
              <w:jc w:val="center"/>
              <w:rPr>
                <w:rFonts w:ascii="宋体" w:hAnsi="宋体" w:cs="宋体"/>
                <w:b/>
                <w:color w:val="auto"/>
                <w:kern w:val="2"/>
                <w:szCs w:val="24"/>
                <w:highlight w:val="none"/>
              </w:rPr>
            </w:pPr>
            <w:r>
              <w:rPr>
                <w:rFonts w:hint="eastAsia" w:ascii="宋体" w:hAnsi="宋体" w:cs="宋体"/>
                <w:color w:val="auto"/>
                <w:szCs w:val="24"/>
                <w:highlight w:val="none"/>
              </w:rPr>
              <w:t>投标保证金</w:t>
            </w:r>
          </w:p>
        </w:tc>
        <w:tc>
          <w:tcPr>
            <w:tcW w:w="8016" w:type="dxa"/>
            <w:tcBorders>
              <w:top w:val="single" w:color="auto" w:sz="4" w:space="0"/>
              <w:left w:val="single" w:color="auto" w:sz="4" w:space="0"/>
              <w:bottom w:val="single" w:color="auto" w:sz="4" w:space="0"/>
              <w:right w:val="single" w:color="auto" w:sz="4" w:space="0"/>
            </w:tcBorders>
            <w:noWrap/>
            <w:vAlign w:val="center"/>
          </w:tcPr>
          <w:p w14:paraId="53E560A2">
            <w:pPr>
              <w:pStyle w:val="12"/>
              <w:rPr>
                <w:rFonts w:ascii="宋体" w:hAnsi="宋体" w:cs="宋体"/>
                <w:color w:val="auto"/>
                <w:szCs w:val="24"/>
                <w:highlight w:val="none"/>
              </w:rPr>
            </w:pPr>
            <w:r>
              <w:rPr>
                <w:rFonts w:hint="eastAsia" w:ascii="宋体" w:hAnsi="宋体" w:cs="宋体"/>
                <w:b/>
                <w:color w:val="auto"/>
                <w:highlight w:val="none"/>
              </w:rPr>
              <w:t>根据浙江省财政厅浙财采监[2019]5号文件《浙江省财政厅关于明确政府采购保证金管理工作的通知》的规定</w:t>
            </w:r>
          </w:p>
        </w:tc>
      </w:tr>
      <w:tr w14:paraId="102B7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9"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24638F8A">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7</w:t>
            </w:r>
          </w:p>
        </w:tc>
        <w:tc>
          <w:tcPr>
            <w:tcW w:w="1540" w:type="dxa"/>
            <w:tcBorders>
              <w:top w:val="single" w:color="auto" w:sz="4" w:space="0"/>
              <w:left w:val="single" w:color="auto" w:sz="4" w:space="0"/>
              <w:bottom w:val="single" w:color="auto" w:sz="4" w:space="0"/>
              <w:right w:val="single" w:color="auto" w:sz="4" w:space="0"/>
            </w:tcBorders>
            <w:noWrap/>
            <w:vAlign w:val="center"/>
          </w:tcPr>
          <w:p w14:paraId="77519BA6">
            <w:pPr>
              <w:pStyle w:val="18"/>
              <w:snapToGrid w:val="0"/>
              <w:spacing w:beforeAutospacing="0" w:afterAutospacing="0" w:line="400" w:lineRule="exact"/>
              <w:jc w:val="center"/>
              <w:rPr>
                <w:rFonts w:cs="宋体"/>
                <w:color w:val="auto"/>
                <w:kern w:val="2"/>
                <w:highlight w:val="none"/>
              </w:rPr>
            </w:pPr>
            <w:r>
              <w:rPr>
                <w:rFonts w:hint="eastAsia" w:cs="宋体"/>
                <w:b/>
                <w:color w:val="auto"/>
                <w:highlight w:val="none"/>
              </w:rPr>
              <w:t>投标文件份数</w:t>
            </w:r>
          </w:p>
        </w:tc>
        <w:tc>
          <w:tcPr>
            <w:tcW w:w="8016" w:type="dxa"/>
            <w:tcBorders>
              <w:top w:val="single" w:color="auto" w:sz="4" w:space="0"/>
              <w:left w:val="single" w:color="auto" w:sz="4" w:space="0"/>
              <w:bottom w:val="single" w:color="auto" w:sz="4" w:space="0"/>
              <w:right w:val="single" w:color="auto" w:sz="4" w:space="0"/>
            </w:tcBorders>
            <w:noWrap/>
            <w:vAlign w:val="center"/>
          </w:tcPr>
          <w:p w14:paraId="403B7AED">
            <w:pPr>
              <w:widowControl/>
              <w:jc w:val="left"/>
              <w:rPr>
                <w:rFonts w:ascii="宋体" w:hAnsi="宋体" w:cs="宋体"/>
                <w:color w:val="auto"/>
                <w:sz w:val="24"/>
                <w:highlight w:val="none"/>
              </w:rPr>
            </w:pPr>
            <w:r>
              <w:rPr>
                <w:rFonts w:hint="eastAsia" w:ascii="宋体" w:hAnsi="宋体" w:cs="宋体"/>
                <w:color w:val="auto"/>
                <w:sz w:val="24"/>
                <w:highlight w:val="none"/>
              </w:rPr>
              <w:t>在开标</w:t>
            </w:r>
            <w:r>
              <w:rPr>
                <w:rFonts w:hint="eastAsia" w:ascii="宋体" w:hAnsi="宋体" w:cs="宋体"/>
                <w:color w:val="auto"/>
                <w:sz w:val="24"/>
                <w:highlight w:val="none"/>
                <w:lang w:eastAsia="zh-CN"/>
              </w:rPr>
              <w:t>截止</w:t>
            </w:r>
            <w:r>
              <w:rPr>
                <w:rFonts w:hint="eastAsia" w:ascii="宋体" w:hAnsi="宋体" w:cs="宋体"/>
                <w:color w:val="auto"/>
                <w:sz w:val="24"/>
                <w:highlight w:val="none"/>
              </w:rPr>
              <w:t>时间前须在政采云系统里上传加密的电子版投标文件。同时还须邮寄一份未加密的电子版投标文件，该电子投标文件应为政采云投标客户端生成的电子标书（后缀名为.bfbs）,投标人解密异常或未按时解密时应急使用），介质可以是U盘或DVD光盘。</w:t>
            </w:r>
          </w:p>
          <w:p w14:paraId="51F7FE2C">
            <w:pPr>
              <w:widowControl/>
              <w:jc w:val="left"/>
              <w:rPr>
                <w:rFonts w:ascii="宋体" w:hAnsi="宋体" w:cs="宋体"/>
                <w:color w:val="auto"/>
                <w:sz w:val="24"/>
                <w:highlight w:val="none"/>
              </w:rPr>
            </w:pPr>
            <w:r>
              <w:rPr>
                <w:rFonts w:hint="eastAsia" w:ascii="宋体" w:hAnsi="宋体" w:cs="宋体"/>
                <w:color w:val="auto"/>
                <w:sz w:val="24"/>
                <w:highlight w:val="none"/>
              </w:rPr>
              <w:t>投标人递交备份投标文件时，如出现下列情况之一的，将被拒收：</w:t>
            </w:r>
          </w:p>
          <w:p w14:paraId="3F8B8557">
            <w:pPr>
              <w:widowControl/>
              <w:jc w:val="left"/>
              <w:rPr>
                <w:rFonts w:ascii="宋体" w:hAnsi="宋体" w:cs="宋体"/>
                <w:color w:val="auto"/>
                <w:sz w:val="24"/>
                <w:highlight w:val="none"/>
              </w:rPr>
            </w:pPr>
            <w:r>
              <w:rPr>
                <w:rFonts w:hint="eastAsia" w:ascii="宋体" w:hAnsi="宋体" w:cs="宋体"/>
                <w:color w:val="auto"/>
                <w:sz w:val="24"/>
                <w:highlight w:val="none"/>
              </w:rPr>
              <w:t>1、未按规定密封或标记的投标文件；</w:t>
            </w:r>
          </w:p>
          <w:p w14:paraId="42B48759">
            <w:pPr>
              <w:widowControl/>
              <w:jc w:val="left"/>
              <w:rPr>
                <w:rFonts w:ascii="宋体" w:hAnsi="宋体" w:cs="宋体"/>
                <w:color w:val="auto"/>
                <w:sz w:val="24"/>
                <w:highlight w:val="none"/>
              </w:rPr>
            </w:pPr>
            <w:r>
              <w:rPr>
                <w:rFonts w:hint="eastAsia" w:ascii="宋体" w:hAnsi="宋体" w:cs="宋体"/>
                <w:color w:val="auto"/>
                <w:sz w:val="24"/>
                <w:highlight w:val="none"/>
              </w:rPr>
              <w:t>2、由于包装不妥，在送交途中严重损坏的；</w:t>
            </w:r>
          </w:p>
          <w:p w14:paraId="1549658A">
            <w:pPr>
              <w:widowControl/>
              <w:jc w:val="left"/>
              <w:rPr>
                <w:rFonts w:ascii="宋体" w:hAnsi="宋体" w:cs="宋体"/>
                <w:color w:val="auto"/>
                <w:sz w:val="24"/>
                <w:highlight w:val="none"/>
              </w:rPr>
            </w:pPr>
            <w:r>
              <w:rPr>
                <w:rFonts w:hint="eastAsia" w:ascii="宋体" w:hAnsi="宋体" w:cs="宋体"/>
                <w:color w:val="auto"/>
                <w:sz w:val="24"/>
                <w:highlight w:val="none"/>
              </w:rPr>
              <w:t>3、超过规定时间送达的；</w:t>
            </w:r>
          </w:p>
          <w:p w14:paraId="51437ADB">
            <w:pPr>
              <w:widowControl/>
              <w:jc w:val="left"/>
              <w:rPr>
                <w:rFonts w:ascii="宋体" w:hAnsi="宋体" w:cs="宋体"/>
                <w:color w:val="auto"/>
                <w:sz w:val="24"/>
                <w:highlight w:val="none"/>
              </w:rPr>
            </w:pPr>
            <w:r>
              <w:rPr>
                <w:rFonts w:hint="eastAsia" w:ascii="宋体" w:hAnsi="宋体" w:cs="宋体"/>
                <w:color w:val="auto"/>
                <w:sz w:val="24"/>
                <w:highlight w:val="none"/>
              </w:rPr>
              <w:t>4、仅提供备份投标文件的，投标无效。</w:t>
            </w:r>
          </w:p>
          <w:p w14:paraId="78AD0398">
            <w:pPr>
              <w:widowControl/>
              <w:jc w:val="left"/>
              <w:rPr>
                <w:rFonts w:ascii="宋体" w:hAnsi="宋体" w:cs="宋体"/>
                <w:color w:val="auto"/>
                <w:sz w:val="24"/>
                <w:szCs w:val="24"/>
                <w:highlight w:val="none"/>
              </w:rPr>
            </w:pPr>
            <w:r>
              <w:rPr>
                <w:rFonts w:hint="eastAsia" w:ascii="宋体" w:hAnsi="宋体" w:cs="宋体"/>
                <w:color w:val="auto"/>
                <w:sz w:val="24"/>
                <w:highlight w:val="none"/>
              </w:rPr>
              <w:t>当发生解密失败或未按时解密的，如投标人未按要求提交备份电子投标文件的，造成项目开评标活动无法进行下去的，投标无效，相关风险由投标人自行承担。</w:t>
            </w:r>
          </w:p>
        </w:tc>
      </w:tr>
      <w:tr w14:paraId="74EE8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FAF8CC6">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8</w:t>
            </w:r>
          </w:p>
        </w:tc>
        <w:tc>
          <w:tcPr>
            <w:tcW w:w="1540" w:type="dxa"/>
            <w:tcBorders>
              <w:top w:val="single" w:color="auto" w:sz="4" w:space="0"/>
              <w:left w:val="single" w:color="auto" w:sz="4" w:space="0"/>
              <w:bottom w:val="single" w:color="auto" w:sz="4" w:space="0"/>
              <w:right w:val="single" w:color="auto" w:sz="4" w:space="0"/>
            </w:tcBorders>
            <w:noWrap/>
            <w:vAlign w:val="center"/>
          </w:tcPr>
          <w:p w14:paraId="03C083F1">
            <w:pPr>
              <w:pStyle w:val="12"/>
              <w:jc w:val="center"/>
              <w:rPr>
                <w:rFonts w:ascii="宋体" w:hAnsi="宋体" w:cs="宋体"/>
                <w:color w:val="auto"/>
                <w:kern w:val="2"/>
                <w:szCs w:val="24"/>
                <w:highlight w:val="none"/>
              </w:rPr>
            </w:pPr>
            <w:r>
              <w:rPr>
                <w:rFonts w:hint="eastAsia" w:ascii="宋体" w:hAnsi="宋体" w:cs="宋体"/>
                <w:color w:val="auto"/>
                <w:kern w:val="2"/>
                <w:szCs w:val="24"/>
                <w:highlight w:val="none"/>
              </w:rPr>
              <w:t>投标有效期</w:t>
            </w:r>
          </w:p>
        </w:tc>
        <w:tc>
          <w:tcPr>
            <w:tcW w:w="8016" w:type="dxa"/>
            <w:tcBorders>
              <w:top w:val="single" w:color="auto" w:sz="4" w:space="0"/>
              <w:left w:val="single" w:color="auto" w:sz="4" w:space="0"/>
              <w:bottom w:val="single" w:color="auto" w:sz="4" w:space="0"/>
              <w:right w:val="single" w:color="auto" w:sz="4" w:space="0"/>
            </w:tcBorders>
            <w:noWrap/>
            <w:vAlign w:val="center"/>
          </w:tcPr>
          <w:p w14:paraId="1B14C358">
            <w:pPr>
              <w:pStyle w:val="12"/>
              <w:rPr>
                <w:rFonts w:ascii="宋体" w:hAnsi="宋体" w:cs="宋体"/>
                <w:color w:val="auto"/>
                <w:kern w:val="2"/>
                <w:szCs w:val="24"/>
                <w:highlight w:val="none"/>
              </w:rPr>
            </w:pPr>
            <w:r>
              <w:rPr>
                <w:rFonts w:hint="eastAsia" w:ascii="宋体" w:hAnsi="宋体" w:cs="宋体"/>
                <w:color w:val="auto"/>
                <w:kern w:val="2"/>
                <w:szCs w:val="24"/>
                <w:highlight w:val="none"/>
              </w:rPr>
              <w:t>自投标截止日起</w:t>
            </w:r>
            <w:r>
              <w:rPr>
                <w:rFonts w:hint="eastAsia" w:ascii="宋体" w:hAnsi="宋体" w:cs="宋体"/>
                <w:color w:val="auto"/>
                <w:szCs w:val="24"/>
                <w:highlight w:val="none"/>
              </w:rPr>
              <w:t>90天</w:t>
            </w:r>
            <w:r>
              <w:rPr>
                <w:rFonts w:hint="eastAsia" w:ascii="宋体" w:hAnsi="宋体" w:cs="宋体"/>
                <w:color w:val="auto"/>
                <w:kern w:val="2"/>
                <w:szCs w:val="24"/>
                <w:highlight w:val="none"/>
              </w:rPr>
              <w:t>。</w:t>
            </w:r>
          </w:p>
        </w:tc>
      </w:tr>
      <w:tr w14:paraId="255F0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158DB874">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9</w:t>
            </w:r>
          </w:p>
        </w:tc>
        <w:tc>
          <w:tcPr>
            <w:tcW w:w="1540" w:type="dxa"/>
            <w:tcBorders>
              <w:top w:val="single" w:color="auto" w:sz="4" w:space="0"/>
              <w:left w:val="single" w:color="auto" w:sz="4" w:space="0"/>
              <w:bottom w:val="single" w:color="auto" w:sz="4" w:space="0"/>
              <w:right w:val="single" w:color="auto" w:sz="4" w:space="0"/>
            </w:tcBorders>
            <w:noWrap/>
            <w:vAlign w:val="center"/>
          </w:tcPr>
          <w:p w14:paraId="35271C95">
            <w:pPr>
              <w:pStyle w:val="12"/>
              <w:jc w:val="center"/>
              <w:rPr>
                <w:rFonts w:hint="eastAsia" w:ascii="宋体" w:hAnsi="宋体" w:cs="宋体"/>
                <w:bCs/>
                <w:color w:val="auto"/>
                <w:szCs w:val="24"/>
                <w:highlight w:val="none"/>
              </w:rPr>
            </w:pPr>
            <w:r>
              <w:rPr>
                <w:rFonts w:hint="eastAsia" w:ascii="宋体" w:hAnsi="宋体" w:cs="宋体"/>
                <w:bCs/>
                <w:color w:val="auto"/>
                <w:szCs w:val="24"/>
                <w:highlight w:val="none"/>
              </w:rPr>
              <w:t>付款方式</w:t>
            </w:r>
          </w:p>
        </w:tc>
        <w:tc>
          <w:tcPr>
            <w:tcW w:w="8016" w:type="dxa"/>
            <w:tcBorders>
              <w:top w:val="single" w:color="auto" w:sz="4" w:space="0"/>
              <w:left w:val="single" w:color="auto" w:sz="4" w:space="0"/>
              <w:bottom w:val="single" w:color="auto" w:sz="4" w:space="0"/>
              <w:right w:val="single" w:color="auto" w:sz="4" w:space="0"/>
            </w:tcBorders>
            <w:noWrap/>
            <w:vAlign w:val="center"/>
          </w:tcPr>
          <w:p w14:paraId="5F68CB42">
            <w:pPr>
              <w:pStyle w:val="26"/>
              <w:ind w:left="0" w:leftChars="0" w:firstLine="0" w:firstLineChars="0"/>
              <w:rPr>
                <w:rFonts w:hint="eastAsia" w:ascii="宋体" w:hAnsi="Times New Roman" w:cs="Times New Roman"/>
                <w:bCs w:val="0"/>
                <w:color w:val="auto"/>
                <w:sz w:val="34"/>
                <w:szCs w:val="22"/>
                <w:highlight w:val="none"/>
              </w:rPr>
            </w:pPr>
            <w:r>
              <w:rPr>
                <w:rFonts w:hint="eastAsia" w:ascii="宋体" w:hAnsi="宋体" w:eastAsia="宋体" w:cs="宋体"/>
                <w:bCs/>
                <w:color w:val="auto"/>
                <w:kern w:val="0"/>
                <w:sz w:val="24"/>
                <w:szCs w:val="24"/>
                <w:highlight w:val="none"/>
                <w:lang w:val="en-US" w:eastAsia="zh-CN" w:bidi="ar-SA"/>
              </w:rPr>
              <w:t>合同签订后半年支付一次，按要求完成 2个季度的检测任务后且验收合格的一次性支付已完成检测量的100%。</w:t>
            </w:r>
          </w:p>
        </w:tc>
      </w:tr>
      <w:tr w14:paraId="4759F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3"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FBB9114">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11</w:t>
            </w:r>
          </w:p>
        </w:tc>
        <w:tc>
          <w:tcPr>
            <w:tcW w:w="1540" w:type="dxa"/>
            <w:tcBorders>
              <w:top w:val="single" w:color="auto" w:sz="4" w:space="0"/>
              <w:left w:val="single" w:color="auto" w:sz="4" w:space="0"/>
              <w:bottom w:val="single" w:color="auto" w:sz="4" w:space="0"/>
              <w:right w:val="single" w:color="auto" w:sz="4" w:space="0"/>
            </w:tcBorders>
            <w:noWrap/>
            <w:vAlign w:val="center"/>
          </w:tcPr>
          <w:p w14:paraId="1D6C3005">
            <w:pPr>
              <w:spacing w:before="48" w:after="48" w:line="360" w:lineRule="exact"/>
              <w:rPr>
                <w:rFonts w:ascii="宋体" w:hAnsi="宋体" w:cs="宋体"/>
                <w:color w:val="auto"/>
                <w:kern w:val="2"/>
                <w:szCs w:val="24"/>
                <w:highlight w:val="none"/>
              </w:rPr>
            </w:pPr>
            <w:r>
              <w:rPr>
                <w:rFonts w:hint="eastAsia" w:ascii="宋体" w:hAnsi="宋体" w:cs="宋体"/>
                <w:color w:val="auto"/>
                <w:sz w:val="24"/>
                <w:szCs w:val="24"/>
                <w:highlight w:val="none"/>
              </w:rPr>
              <w:t>信用记录</w:t>
            </w:r>
          </w:p>
        </w:tc>
        <w:tc>
          <w:tcPr>
            <w:tcW w:w="8016" w:type="dxa"/>
            <w:tcBorders>
              <w:top w:val="single" w:color="auto" w:sz="4" w:space="0"/>
              <w:left w:val="single" w:color="auto" w:sz="4" w:space="0"/>
              <w:bottom w:val="single" w:color="auto" w:sz="4" w:space="0"/>
              <w:right w:val="single" w:color="auto" w:sz="4" w:space="0"/>
            </w:tcBorders>
            <w:noWrap/>
            <w:vAlign w:val="center"/>
          </w:tcPr>
          <w:p w14:paraId="4DE330D3">
            <w:pPr>
              <w:spacing w:before="48" w:after="48"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根据财库</w:t>
            </w:r>
            <w:r>
              <w:rPr>
                <w:rFonts w:hint="eastAsia" w:ascii="宋体" w:hAnsi="宋体" w:cs="宋体"/>
                <w:color w:val="auto"/>
                <w:sz w:val="24"/>
                <w:szCs w:val="24"/>
                <w:highlight w:val="none"/>
                <w:lang w:eastAsia="zh-CN"/>
              </w:rPr>
              <w:t>〔2016〕125号</w:t>
            </w:r>
            <w:r>
              <w:rPr>
                <w:rFonts w:hint="eastAsia" w:ascii="宋体" w:hAnsi="宋体" w:cs="宋体"/>
                <w:color w:val="auto"/>
                <w:sz w:val="24"/>
                <w:szCs w:val="24"/>
                <w:highlight w:val="none"/>
              </w:rPr>
              <w:t>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p w14:paraId="43EBC843">
            <w:pPr>
              <w:spacing w:before="48" w:after="48" w:line="360" w:lineRule="exact"/>
              <w:rPr>
                <w:rFonts w:ascii="宋体" w:hAnsi="宋体" w:cs="宋体"/>
                <w:color w:val="auto"/>
                <w:sz w:val="24"/>
                <w:highlight w:val="none"/>
              </w:rPr>
            </w:pPr>
            <w:r>
              <w:rPr>
                <w:rFonts w:hint="eastAsia" w:ascii="宋体" w:hAnsi="宋体" w:cs="宋体"/>
                <w:color w:val="auto"/>
                <w:sz w:val="24"/>
                <w:szCs w:val="24"/>
                <w:highlight w:val="none"/>
              </w:rPr>
              <w:t>查询记录和证据的留存：信用信息查询记录和证据以网页截图等方式留存。</w:t>
            </w:r>
          </w:p>
        </w:tc>
      </w:tr>
      <w:tr w14:paraId="6C272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6"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75FAB34F">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12</w:t>
            </w:r>
          </w:p>
        </w:tc>
        <w:tc>
          <w:tcPr>
            <w:tcW w:w="1540" w:type="dxa"/>
            <w:tcBorders>
              <w:top w:val="single" w:color="auto" w:sz="4" w:space="0"/>
              <w:left w:val="single" w:color="auto" w:sz="4" w:space="0"/>
              <w:bottom w:val="single" w:color="auto" w:sz="4" w:space="0"/>
              <w:right w:val="single" w:color="auto" w:sz="4" w:space="0"/>
            </w:tcBorders>
            <w:noWrap/>
            <w:vAlign w:val="center"/>
          </w:tcPr>
          <w:p w14:paraId="713A49ED">
            <w:pPr>
              <w:tabs>
                <w:tab w:val="right" w:leader="dot" w:pos="8820"/>
              </w:tabs>
              <w:spacing w:before="48" w:after="48" w:line="360" w:lineRule="exact"/>
              <w:rPr>
                <w:rFonts w:ascii="宋体" w:hAnsi="宋体" w:cs="宋体"/>
                <w:color w:val="auto"/>
                <w:kern w:val="2"/>
                <w:szCs w:val="24"/>
                <w:highlight w:val="none"/>
              </w:rPr>
            </w:pPr>
            <w:r>
              <w:rPr>
                <w:rFonts w:hint="eastAsia" w:ascii="宋体" w:hAnsi="宋体"/>
                <w:color w:val="auto"/>
                <w:sz w:val="24"/>
                <w:szCs w:val="24"/>
                <w:highlight w:val="none"/>
              </w:rPr>
              <w:t>小微企业有关政策</w:t>
            </w:r>
          </w:p>
        </w:tc>
        <w:tc>
          <w:tcPr>
            <w:tcW w:w="8016" w:type="dxa"/>
            <w:tcBorders>
              <w:top w:val="single" w:color="auto" w:sz="4" w:space="0"/>
              <w:left w:val="single" w:color="auto" w:sz="4" w:space="0"/>
              <w:bottom w:val="single" w:color="auto" w:sz="4" w:space="0"/>
              <w:right w:val="single" w:color="auto" w:sz="4" w:space="0"/>
            </w:tcBorders>
            <w:noWrap/>
            <w:vAlign w:val="center"/>
          </w:tcPr>
          <w:p w14:paraId="707E7B84">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 小微企业价格扣除。</w:t>
            </w:r>
          </w:p>
          <w:p w14:paraId="56F8A4D8">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1.1本项目</w:t>
            </w:r>
            <w:r>
              <w:rPr>
                <w:rFonts w:hint="eastAsia" w:ascii="宋体" w:hAnsi="宋体" w:cs="宋体"/>
                <w:b/>
                <w:bCs/>
                <w:color w:val="auto"/>
                <w:sz w:val="24"/>
                <w:highlight w:val="none"/>
              </w:rPr>
              <w:t>专门</w:t>
            </w:r>
            <w:r>
              <w:rPr>
                <w:rFonts w:hint="eastAsia" w:ascii="宋体" w:hAnsi="宋体" w:cs="宋体"/>
                <w:color w:val="auto"/>
                <w:sz w:val="24"/>
                <w:highlight w:val="none"/>
              </w:rPr>
              <w:t>面向中小企业采购。</w:t>
            </w:r>
          </w:p>
          <w:p w14:paraId="532F418E">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1.2本项目对应的中小企业划分标准所属行业：</w:t>
            </w:r>
            <w:r>
              <w:rPr>
                <w:rFonts w:hint="eastAsia" w:ascii="宋体" w:hAnsi="宋体" w:cs="宋体"/>
                <w:color w:val="auto"/>
                <w:sz w:val="24"/>
                <w:highlight w:val="none"/>
                <w:lang w:val="en-US" w:eastAsia="zh-CN"/>
              </w:rPr>
              <w:t>技术服务业</w:t>
            </w:r>
            <w:r>
              <w:rPr>
                <w:rFonts w:hint="eastAsia" w:ascii="宋体" w:hAnsi="宋体" w:cs="宋体"/>
                <w:color w:val="auto"/>
                <w:sz w:val="24"/>
                <w:highlight w:val="none"/>
              </w:rPr>
              <w:t xml:space="preserve"> </w:t>
            </w:r>
          </w:p>
          <w:p w14:paraId="58B4C8F1">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1.3小微企业是指在中华人民共和国境内依法设立，依据国务院批准的中小企业划分标准确定的小型企业和微型企业，但与大企业的负责人为同一人，或者与大企业存在直接控股、管理关系的除外。</w:t>
            </w:r>
          </w:p>
          <w:p w14:paraId="27002CB5">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1.4在货物采购项目中，货物由小微企业制造，即货物由小微企业生产且使用该小微企业商号或者注册商标。供应商提供的货物既有中小企业制造货物，也有大型企业制造货物的，不享受中小企业扶持政策。</w:t>
            </w:r>
          </w:p>
          <w:p w14:paraId="45F2139A">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1.5在服务采购项目中，服务由小微企业承接，即提供服务的人员为小微企业依照《中华人民共和国劳动合同法》订立劳动合同的从业人员。</w:t>
            </w:r>
          </w:p>
          <w:p w14:paraId="2864F177">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1.6小微企业应按照招标文件格式要求提供《中小企业声明函》。</w:t>
            </w:r>
          </w:p>
          <w:p w14:paraId="21F4329C">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1.7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3610ABE">
            <w:pPr>
              <w:snapToGrid w:val="0"/>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1.8符合《关于促进残疾人就业政府采购政策的通知》（财库〔2017〕141号）规定的条件并提供《残疾人福利性单位声明函》（附件1）的残疾人福利性单位视同小微企业。</w:t>
            </w:r>
          </w:p>
          <w:p w14:paraId="7D95458C">
            <w:pPr>
              <w:snapToGrid w:val="0"/>
              <w:spacing w:line="440" w:lineRule="exact"/>
              <w:jc w:val="left"/>
              <w:rPr>
                <w:rFonts w:ascii="宋体" w:hAnsi="宋体" w:cs="宋体"/>
                <w:b/>
                <w:snapToGrid w:val="0"/>
                <w:color w:val="auto"/>
                <w:sz w:val="24"/>
                <w:szCs w:val="24"/>
                <w:highlight w:val="none"/>
              </w:rPr>
            </w:pPr>
            <w:r>
              <w:rPr>
                <w:rFonts w:hint="eastAsia" w:ascii="宋体" w:hAnsi="宋体" w:cs="宋体"/>
                <w:color w:val="auto"/>
                <w:sz w:val="24"/>
                <w:highlight w:val="none"/>
              </w:rPr>
              <w:t>1.9符合《关于政府采购支持监狱企业发展有关问题的通知》（财库[2014]68号）规定的监狱企业并提供由省级以上监狱管理局、戒毒管理局（含新疆生产建设兵团）出具的属于监狱企业证明文件的，视同为小微企业。</w:t>
            </w:r>
          </w:p>
        </w:tc>
      </w:tr>
      <w:tr w14:paraId="3C099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130A2EC7">
            <w:pPr>
              <w:pStyle w:val="12"/>
              <w:spacing w:line="440" w:lineRule="exact"/>
              <w:jc w:val="center"/>
              <w:rPr>
                <w:rFonts w:ascii="宋体" w:hAnsi="宋体" w:cs="宋体"/>
                <w:b/>
                <w:color w:val="auto"/>
                <w:kern w:val="2"/>
                <w:szCs w:val="24"/>
                <w:highlight w:val="none"/>
              </w:rPr>
            </w:pPr>
            <w:r>
              <w:rPr>
                <w:rFonts w:hint="eastAsia" w:ascii="宋体" w:hAnsi="宋体" w:cs="宋体"/>
                <w:b/>
                <w:color w:val="auto"/>
                <w:kern w:val="2"/>
                <w:szCs w:val="24"/>
                <w:highlight w:val="none"/>
              </w:rPr>
              <w:t>13</w:t>
            </w:r>
          </w:p>
        </w:tc>
        <w:tc>
          <w:tcPr>
            <w:tcW w:w="1540" w:type="dxa"/>
            <w:tcBorders>
              <w:top w:val="single" w:color="auto" w:sz="4" w:space="0"/>
              <w:left w:val="single" w:color="auto" w:sz="4" w:space="0"/>
              <w:bottom w:val="single" w:color="auto" w:sz="4" w:space="0"/>
              <w:right w:val="single" w:color="auto" w:sz="4" w:space="0"/>
            </w:tcBorders>
            <w:noWrap/>
            <w:vAlign w:val="center"/>
          </w:tcPr>
          <w:p w14:paraId="0CD53434">
            <w:pPr>
              <w:snapToGrid w:val="0"/>
              <w:spacing w:line="400" w:lineRule="exact"/>
              <w:rPr>
                <w:rFonts w:ascii="宋体" w:hAnsi="宋体" w:cs="宋体"/>
                <w:b/>
                <w:color w:val="auto"/>
                <w:kern w:val="2"/>
                <w:szCs w:val="24"/>
                <w:highlight w:val="none"/>
              </w:rPr>
            </w:pPr>
            <w:r>
              <w:rPr>
                <w:rFonts w:hint="eastAsia" w:ascii="宋体" w:hAnsi="宋体"/>
                <w:bCs/>
                <w:color w:val="auto"/>
                <w:sz w:val="24"/>
                <w:highlight w:val="none"/>
              </w:rPr>
              <w:t>政府采购节能环保产品</w:t>
            </w:r>
          </w:p>
        </w:tc>
        <w:tc>
          <w:tcPr>
            <w:tcW w:w="8016" w:type="dxa"/>
            <w:tcBorders>
              <w:top w:val="single" w:color="auto" w:sz="4" w:space="0"/>
              <w:left w:val="single" w:color="auto" w:sz="4" w:space="0"/>
              <w:bottom w:val="single" w:color="auto" w:sz="4" w:space="0"/>
              <w:right w:val="single" w:color="auto" w:sz="4" w:space="0"/>
            </w:tcBorders>
            <w:noWrap/>
            <w:vAlign w:val="center"/>
          </w:tcPr>
          <w:p w14:paraId="0ECD96E7">
            <w:pPr>
              <w:snapToGrid w:val="0"/>
              <w:spacing w:line="400" w:lineRule="exact"/>
              <w:rPr>
                <w:rFonts w:ascii="宋体" w:hAnsi="宋体"/>
                <w:color w:val="auto"/>
                <w:sz w:val="24"/>
                <w:highlight w:val="none"/>
              </w:rPr>
            </w:pPr>
            <w:r>
              <w:rPr>
                <w:rFonts w:hint="eastAsia" w:ascii="宋体" w:hAnsi="宋体"/>
                <w:color w:val="auto"/>
                <w:sz w:val="24"/>
                <w:highlight w:val="none"/>
              </w:rPr>
              <w:t>投标产品若属于节能环保产品的，请提供财政部、</w:t>
            </w:r>
            <w:r>
              <w:rPr>
                <w:rFonts w:hint="eastAsia" w:ascii="宋体" w:hAnsi="宋体"/>
                <w:color w:val="auto"/>
                <w:sz w:val="24"/>
                <w:highlight w:val="none"/>
                <w:lang w:eastAsia="zh-CN"/>
              </w:rPr>
              <w:t>环境保护</w:t>
            </w:r>
            <w:r>
              <w:rPr>
                <w:rFonts w:hint="eastAsia" w:ascii="宋体" w:hAnsi="宋体"/>
                <w:color w:val="auto"/>
                <w:sz w:val="24"/>
                <w:highlight w:val="none"/>
              </w:rPr>
              <w:t>部发</w:t>
            </w:r>
            <w:r>
              <w:rPr>
                <w:rFonts w:hint="eastAsia" w:ascii="宋体" w:hAnsi="宋体"/>
                <w:color w:val="auto"/>
                <w:sz w:val="24"/>
                <w:highlight w:val="none"/>
                <w:lang w:eastAsia="zh-CN"/>
              </w:rPr>
              <w:t>布的</w:t>
            </w:r>
            <w:r>
              <w:rPr>
                <w:rFonts w:hint="eastAsia" w:ascii="宋体" w:hAnsi="宋体"/>
                <w:color w:val="auto"/>
                <w:sz w:val="24"/>
                <w:highlight w:val="none"/>
              </w:rPr>
              <w:t>有效期内环境标志产品政府采购清单以及财政部、发改委联合发布有效期内节能产品政府采购清单。</w:t>
            </w:r>
          </w:p>
          <w:p w14:paraId="21B1FF14">
            <w:pPr>
              <w:snapToGrid w:val="0"/>
              <w:spacing w:line="400" w:lineRule="exact"/>
              <w:rPr>
                <w:rFonts w:ascii="宋体" w:hAnsi="宋体" w:cs="宋体"/>
                <w:color w:val="auto"/>
                <w:kern w:val="2"/>
                <w:highlight w:val="none"/>
              </w:rPr>
            </w:pPr>
            <w:r>
              <w:rPr>
                <w:rFonts w:hint="eastAsia" w:ascii="宋体" w:hAnsi="宋体"/>
                <w:color w:val="auto"/>
                <w:sz w:val="24"/>
                <w:highlight w:val="none"/>
              </w:rPr>
              <w:t>招标需求中要求提供的产品属于节能清单中政府强制采购节能产品品目的，供应商须提供该清单内产品，</w:t>
            </w:r>
            <w:r>
              <w:rPr>
                <w:rFonts w:hint="eastAsia" w:ascii="宋体" w:hAnsi="宋体"/>
                <w:b/>
                <w:color w:val="auto"/>
                <w:sz w:val="24"/>
                <w:highlight w:val="none"/>
              </w:rPr>
              <w:t>否则其投标将作为无效标处理。</w:t>
            </w:r>
          </w:p>
        </w:tc>
      </w:tr>
      <w:tr w14:paraId="1723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4D12C624">
            <w:pPr>
              <w:pStyle w:val="12"/>
              <w:spacing w:line="440" w:lineRule="exact"/>
              <w:jc w:val="center"/>
              <w:rPr>
                <w:rFonts w:ascii="宋体" w:hAnsi="宋体" w:cs="宋体"/>
                <w:b/>
                <w:color w:val="auto"/>
                <w:szCs w:val="24"/>
                <w:highlight w:val="none"/>
              </w:rPr>
            </w:pPr>
            <w:r>
              <w:rPr>
                <w:rFonts w:hint="eastAsia" w:ascii="宋体" w:hAnsi="宋体" w:cs="宋体"/>
                <w:b/>
                <w:color w:val="auto"/>
                <w:kern w:val="2"/>
                <w:szCs w:val="24"/>
                <w:highlight w:val="none"/>
              </w:rPr>
              <w:t>14</w:t>
            </w:r>
          </w:p>
        </w:tc>
        <w:tc>
          <w:tcPr>
            <w:tcW w:w="1540" w:type="dxa"/>
            <w:tcBorders>
              <w:top w:val="single" w:color="auto" w:sz="4" w:space="0"/>
              <w:left w:val="single" w:color="auto" w:sz="4" w:space="0"/>
              <w:bottom w:val="single" w:color="auto" w:sz="4" w:space="0"/>
              <w:right w:val="single" w:color="auto" w:sz="4" w:space="0"/>
            </w:tcBorders>
            <w:noWrap/>
            <w:vAlign w:val="center"/>
          </w:tcPr>
          <w:p w14:paraId="4E8A5B5C">
            <w:pPr>
              <w:pStyle w:val="12"/>
              <w:jc w:val="center"/>
              <w:rPr>
                <w:rFonts w:ascii="宋体" w:hAnsi="宋体" w:cs="宋体"/>
                <w:color w:val="auto"/>
                <w:kern w:val="2"/>
                <w:highlight w:val="none"/>
              </w:rPr>
            </w:pPr>
            <w:r>
              <w:rPr>
                <w:rFonts w:hint="eastAsia" w:ascii="宋体" w:hAnsi="宋体" w:cs="宋体"/>
                <w:color w:val="auto"/>
                <w:kern w:val="2"/>
                <w:szCs w:val="24"/>
                <w:highlight w:val="none"/>
              </w:rPr>
              <w:t>质疑与答疑时间</w:t>
            </w:r>
          </w:p>
        </w:tc>
        <w:tc>
          <w:tcPr>
            <w:tcW w:w="8016" w:type="dxa"/>
            <w:tcBorders>
              <w:top w:val="single" w:color="auto" w:sz="4" w:space="0"/>
              <w:left w:val="single" w:color="auto" w:sz="4" w:space="0"/>
              <w:bottom w:val="single" w:color="auto" w:sz="4" w:space="0"/>
              <w:right w:val="single" w:color="auto" w:sz="4" w:space="0"/>
            </w:tcBorders>
            <w:noWrap/>
            <w:vAlign w:val="center"/>
          </w:tcPr>
          <w:p w14:paraId="05BCAC9A">
            <w:pPr>
              <w:pStyle w:val="12"/>
              <w:rPr>
                <w:rFonts w:ascii="宋体" w:hAnsi="宋体" w:cs="宋体"/>
                <w:color w:val="auto"/>
                <w:kern w:val="2"/>
                <w:highlight w:val="none"/>
              </w:rPr>
            </w:pPr>
            <w:r>
              <w:rPr>
                <w:rFonts w:hint="eastAsia" w:ascii="宋体" w:hAnsi="宋体" w:cs="宋体"/>
                <w:color w:val="auto"/>
                <w:kern w:val="2"/>
                <w:highlight w:val="none"/>
              </w:rPr>
              <w:t>投标人应在</w:t>
            </w:r>
            <w:r>
              <w:rPr>
                <w:rFonts w:hint="eastAsia" w:ascii="宋体" w:hAnsi="宋体" w:cs="宋体"/>
                <w:color w:val="auto"/>
                <w:kern w:val="2"/>
                <w:szCs w:val="24"/>
                <w:highlight w:val="none"/>
              </w:rPr>
              <w:t>投标截止时间七个工作日前</w:t>
            </w:r>
            <w:r>
              <w:rPr>
                <w:rFonts w:hint="eastAsia" w:ascii="宋体" w:hAnsi="宋体" w:cs="宋体"/>
                <w:color w:val="auto"/>
                <w:kern w:val="2"/>
                <w:highlight w:val="none"/>
              </w:rPr>
              <w:t>以书面形式向采购代理机构提出质疑，逾期提出的，采购代理机构不予受理。</w:t>
            </w:r>
          </w:p>
        </w:tc>
      </w:tr>
      <w:tr w14:paraId="71D2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05919C85">
            <w:pPr>
              <w:pStyle w:val="12"/>
              <w:tabs>
                <w:tab w:val="left" w:pos="205"/>
              </w:tabs>
              <w:spacing w:line="440" w:lineRule="exact"/>
              <w:jc w:val="center"/>
              <w:rPr>
                <w:rFonts w:ascii="宋体" w:hAnsi="宋体" w:cs="宋体"/>
                <w:b/>
                <w:color w:val="auto"/>
                <w:kern w:val="2"/>
                <w:szCs w:val="24"/>
                <w:highlight w:val="none"/>
              </w:rPr>
            </w:pPr>
            <w:r>
              <w:rPr>
                <w:rFonts w:hint="eastAsia" w:ascii="宋体" w:hAnsi="宋体" w:cs="宋体"/>
                <w:b/>
                <w:color w:val="auto"/>
                <w:szCs w:val="24"/>
                <w:highlight w:val="none"/>
              </w:rPr>
              <w:t>15</w:t>
            </w:r>
          </w:p>
        </w:tc>
        <w:tc>
          <w:tcPr>
            <w:tcW w:w="1540" w:type="dxa"/>
            <w:tcBorders>
              <w:top w:val="single" w:color="auto" w:sz="4" w:space="0"/>
              <w:left w:val="single" w:color="auto" w:sz="4" w:space="0"/>
              <w:bottom w:val="single" w:color="auto" w:sz="4" w:space="0"/>
              <w:right w:val="single" w:color="auto" w:sz="4" w:space="0"/>
            </w:tcBorders>
            <w:noWrap/>
            <w:vAlign w:val="center"/>
          </w:tcPr>
          <w:p w14:paraId="281647CC">
            <w:pPr>
              <w:snapToGrid w:val="0"/>
              <w:jc w:val="center"/>
              <w:rPr>
                <w:rFonts w:ascii="宋体" w:hAnsi="宋体" w:cs="宋体"/>
                <w:color w:val="auto"/>
                <w:highlight w:val="none"/>
              </w:rPr>
            </w:pPr>
            <w:r>
              <w:rPr>
                <w:rFonts w:hint="eastAsia" w:ascii="宋体" w:hAnsi="宋体"/>
                <w:color w:val="auto"/>
                <w:sz w:val="24"/>
                <w:szCs w:val="24"/>
                <w:highlight w:val="none"/>
              </w:rPr>
              <w:t>代理服务费</w:t>
            </w:r>
          </w:p>
        </w:tc>
        <w:tc>
          <w:tcPr>
            <w:tcW w:w="8016" w:type="dxa"/>
            <w:tcBorders>
              <w:top w:val="single" w:color="auto" w:sz="4" w:space="0"/>
              <w:left w:val="single" w:color="auto" w:sz="4" w:space="0"/>
              <w:bottom w:val="single" w:color="auto" w:sz="4" w:space="0"/>
              <w:right w:val="single" w:color="auto" w:sz="4" w:space="0"/>
            </w:tcBorders>
            <w:noWrap/>
            <w:vAlign w:val="center"/>
          </w:tcPr>
          <w:p w14:paraId="1EDB94B1">
            <w:pPr>
              <w:pStyle w:val="18"/>
              <w:wordWrap w:val="0"/>
              <w:spacing w:beforeAutospacing="0" w:afterAutospacing="0" w:line="400" w:lineRule="exact"/>
              <w:rPr>
                <w:rFonts w:hint="eastAsia" w:ascii="Calibri" w:hAnsi="Calibri"/>
                <w:color w:val="auto"/>
                <w:kern w:val="2"/>
                <w:highlight w:val="none"/>
              </w:rPr>
            </w:pPr>
            <w:r>
              <w:rPr>
                <w:rFonts w:hint="eastAsia" w:ascii="Calibri" w:hAnsi="Calibri"/>
                <w:color w:val="auto"/>
                <w:kern w:val="2"/>
                <w:highlight w:val="none"/>
              </w:rPr>
              <w:t>①代理服务费以中标通知书中确定的中标金额作为服务费的计算基数，收费</w:t>
            </w:r>
            <w:r>
              <w:rPr>
                <w:rFonts w:hint="eastAsia" w:ascii="宋体" w:hAnsi="宋体"/>
                <w:color w:val="auto"/>
                <w:sz w:val="24"/>
                <w:highlight w:val="none"/>
                <w:lang w:val="en-US" w:eastAsia="zh-CN"/>
              </w:rPr>
              <w:t>收费比例按照如下标准计取</w:t>
            </w:r>
            <w:r>
              <w:rPr>
                <w:rFonts w:hint="eastAsia" w:ascii="Calibri" w:hAnsi="Calibri"/>
                <w:color w:val="auto"/>
                <w:kern w:val="2"/>
                <w:highlight w:val="none"/>
              </w:rPr>
              <w:t>：中标金额在100万以下部分为</w:t>
            </w:r>
            <w:r>
              <w:rPr>
                <w:rFonts w:hint="eastAsia"/>
                <w:color w:val="auto"/>
                <w:kern w:val="2"/>
                <w:highlight w:val="none"/>
              </w:rPr>
              <w:t>中标价的</w:t>
            </w:r>
            <w:r>
              <w:rPr>
                <w:rFonts w:hint="eastAsia" w:ascii="Calibri" w:hAnsi="Calibri"/>
                <w:color w:val="auto"/>
                <w:kern w:val="2"/>
                <w:highlight w:val="none"/>
              </w:rPr>
              <w:t>1.5%</w:t>
            </w:r>
            <w:r>
              <w:rPr>
                <w:rFonts w:hint="eastAsia" w:ascii="Calibri" w:hAnsi="Calibri"/>
                <w:color w:val="auto"/>
                <w:kern w:val="2"/>
                <w:highlight w:val="none"/>
                <w:lang w:eastAsia="zh-CN"/>
              </w:rPr>
              <w:t>，</w:t>
            </w:r>
            <w:r>
              <w:rPr>
                <w:rFonts w:hint="eastAsia" w:ascii="Calibri" w:hAnsi="Calibri"/>
                <w:color w:val="auto"/>
                <w:kern w:val="2"/>
                <w:highlight w:val="none"/>
              </w:rPr>
              <w:t>由中标供应商按中标价在领取中标通知书时支付</w:t>
            </w:r>
            <w:r>
              <w:rPr>
                <w:rFonts w:hint="eastAsia"/>
                <w:color w:val="auto"/>
                <w:kern w:val="2"/>
                <w:highlight w:val="none"/>
              </w:rPr>
              <w:t>完成</w:t>
            </w:r>
            <w:r>
              <w:rPr>
                <w:rFonts w:hint="eastAsia" w:ascii="Calibri" w:hAnsi="Calibri"/>
                <w:color w:val="auto"/>
                <w:kern w:val="2"/>
                <w:highlight w:val="none"/>
              </w:rPr>
              <w:t>；</w:t>
            </w:r>
          </w:p>
          <w:p w14:paraId="7830BDDA">
            <w:pPr>
              <w:jc w:val="left"/>
              <w:rPr>
                <w:rFonts w:ascii="宋体" w:hAnsi="宋体" w:cs="宋体"/>
                <w:color w:val="auto"/>
                <w:highlight w:val="none"/>
              </w:rPr>
            </w:pPr>
            <w:r>
              <w:rPr>
                <w:rFonts w:hint="eastAsia"/>
                <w:color w:val="auto"/>
                <w:sz w:val="24"/>
                <w:szCs w:val="24"/>
                <w:highlight w:val="none"/>
              </w:rPr>
              <w:t>支付方式：银行支票、电汇、现金等。</w:t>
            </w:r>
          </w:p>
        </w:tc>
      </w:tr>
      <w:tr w14:paraId="68EE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4A86C376">
            <w:pPr>
              <w:pStyle w:val="12"/>
              <w:tabs>
                <w:tab w:val="left" w:pos="205"/>
              </w:tabs>
              <w:spacing w:line="440" w:lineRule="exact"/>
              <w:jc w:val="center"/>
              <w:rPr>
                <w:rFonts w:ascii="宋体" w:hAnsi="宋体" w:cs="宋体"/>
                <w:b/>
                <w:color w:val="auto"/>
                <w:szCs w:val="24"/>
                <w:highlight w:val="none"/>
              </w:rPr>
            </w:pPr>
            <w:bookmarkStart w:id="4" w:name="_Toc454374911"/>
            <w:r>
              <w:rPr>
                <w:rFonts w:hint="eastAsia" w:ascii="宋体" w:hAnsi="宋体" w:cs="宋体"/>
                <w:b/>
                <w:color w:val="auto"/>
                <w:szCs w:val="24"/>
                <w:highlight w:val="none"/>
              </w:rPr>
              <w:t>16</w:t>
            </w:r>
          </w:p>
        </w:tc>
        <w:tc>
          <w:tcPr>
            <w:tcW w:w="1540" w:type="dxa"/>
            <w:tcBorders>
              <w:top w:val="single" w:color="auto" w:sz="4" w:space="0"/>
              <w:left w:val="single" w:color="auto" w:sz="4" w:space="0"/>
              <w:bottom w:val="single" w:color="auto" w:sz="4" w:space="0"/>
              <w:right w:val="single" w:color="auto" w:sz="4" w:space="0"/>
            </w:tcBorders>
            <w:noWrap/>
            <w:vAlign w:val="center"/>
          </w:tcPr>
          <w:p w14:paraId="793A1947">
            <w:pPr>
              <w:snapToGrid w:val="0"/>
              <w:spacing w:line="360" w:lineRule="auto"/>
              <w:jc w:val="center"/>
              <w:textAlignment w:val="bottom"/>
              <w:rPr>
                <w:rFonts w:ascii="宋体" w:hAnsi="宋体" w:cs="宋体"/>
                <w:color w:val="auto"/>
                <w:kern w:val="2"/>
                <w:sz w:val="24"/>
                <w:szCs w:val="20"/>
                <w:highlight w:val="none"/>
              </w:rPr>
            </w:pPr>
            <w:r>
              <w:rPr>
                <w:rFonts w:hint="eastAsia" w:ascii="宋体" w:hAnsi="宋体" w:cs="宋体"/>
                <w:color w:val="auto"/>
                <w:kern w:val="2"/>
                <w:sz w:val="24"/>
                <w:szCs w:val="20"/>
                <w:highlight w:val="none"/>
              </w:rPr>
              <w:t>履约保证金</w:t>
            </w:r>
          </w:p>
        </w:tc>
        <w:tc>
          <w:tcPr>
            <w:tcW w:w="8016" w:type="dxa"/>
            <w:tcBorders>
              <w:top w:val="single" w:color="auto" w:sz="4" w:space="0"/>
              <w:left w:val="single" w:color="auto" w:sz="4" w:space="0"/>
              <w:bottom w:val="single" w:color="auto" w:sz="4" w:space="0"/>
              <w:right w:val="single" w:color="auto" w:sz="4" w:space="0"/>
            </w:tcBorders>
            <w:noWrap/>
            <w:vAlign w:val="center"/>
          </w:tcPr>
          <w:p w14:paraId="62B764FB">
            <w:pPr>
              <w:snapToGrid w:val="0"/>
              <w:spacing w:line="360" w:lineRule="auto"/>
              <w:textAlignment w:val="bottom"/>
              <w:rPr>
                <w:rFonts w:hint="default" w:ascii="宋体" w:hAnsi="宋体" w:eastAsia="宋体" w:cs="宋体"/>
                <w:color w:val="auto"/>
                <w:kern w:val="2"/>
                <w:sz w:val="24"/>
                <w:szCs w:val="20"/>
                <w:highlight w:val="none"/>
                <w:lang w:val="en-US" w:eastAsia="zh-CN"/>
              </w:rPr>
            </w:pPr>
            <w:r>
              <w:rPr>
                <w:rFonts w:hint="eastAsia" w:ascii="宋体" w:hAnsi="宋体" w:cs="宋体"/>
                <w:color w:val="auto"/>
                <w:kern w:val="2"/>
                <w:sz w:val="24"/>
                <w:szCs w:val="20"/>
                <w:highlight w:val="none"/>
                <w:lang w:val="en-US" w:eastAsia="zh-CN"/>
              </w:rPr>
              <w:t>合同价的1%，在签订合同前提交，服务期满后无违约问题（5日内）无息退还。</w:t>
            </w:r>
          </w:p>
        </w:tc>
      </w:tr>
      <w:tr w14:paraId="1F09F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436BF881">
            <w:pPr>
              <w:pStyle w:val="12"/>
              <w:tabs>
                <w:tab w:val="left" w:pos="205"/>
              </w:tabs>
              <w:spacing w:line="440" w:lineRule="exact"/>
              <w:jc w:val="center"/>
              <w:rPr>
                <w:rFonts w:hint="eastAsia" w:ascii="宋体" w:hAnsi="宋体" w:cs="宋体"/>
                <w:b/>
                <w:color w:val="auto"/>
                <w:szCs w:val="24"/>
                <w:highlight w:val="none"/>
              </w:rPr>
            </w:pPr>
            <w:r>
              <w:rPr>
                <w:rFonts w:hint="eastAsia" w:ascii="宋体" w:hAnsi="宋体" w:cs="宋体"/>
                <w:b/>
                <w:color w:val="auto"/>
                <w:szCs w:val="24"/>
                <w:highlight w:val="none"/>
              </w:rPr>
              <w:t>17</w:t>
            </w:r>
          </w:p>
        </w:tc>
        <w:tc>
          <w:tcPr>
            <w:tcW w:w="1540" w:type="dxa"/>
            <w:tcBorders>
              <w:top w:val="single" w:color="auto" w:sz="4" w:space="0"/>
              <w:left w:val="single" w:color="auto" w:sz="4" w:space="0"/>
              <w:bottom w:val="single" w:color="auto" w:sz="4" w:space="0"/>
              <w:right w:val="single" w:color="auto" w:sz="4" w:space="0"/>
            </w:tcBorders>
            <w:noWrap/>
            <w:vAlign w:val="center"/>
          </w:tcPr>
          <w:p w14:paraId="5B16D00F">
            <w:pPr>
              <w:snapToGrid w:val="0"/>
              <w:spacing w:line="360" w:lineRule="auto"/>
              <w:jc w:val="center"/>
              <w:textAlignment w:val="bottom"/>
              <w:rPr>
                <w:rFonts w:ascii="宋体" w:hAnsi="宋体" w:cs="宋体"/>
                <w:color w:val="auto"/>
                <w:kern w:val="2"/>
                <w:sz w:val="24"/>
                <w:szCs w:val="20"/>
                <w:highlight w:val="none"/>
              </w:rPr>
            </w:pPr>
            <w:r>
              <w:rPr>
                <w:rFonts w:hint="eastAsia" w:ascii="宋体" w:hAnsi="宋体" w:cs="宋体"/>
                <w:color w:val="auto"/>
                <w:kern w:val="2"/>
                <w:sz w:val="24"/>
                <w:szCs w:val="20"/>
                <w:highlight w:val="none"/>
              </w:rPr>
              <w:t>解释</w:t>
            </w:r>
          </w:p>
        </w:tc>
        <w:tc>
          <w:tcPr>
            <w:tcW w:w="8016" w:type="dxa"/>
            <w:tcBorders>
              <w:top w:val="single" w:color="auto" w:sz="4" w:space="0"/>
              <w:left w:val="single" w:color="auto" w:sz="4" w:space="0"/>
              <w:bottom w:val="single" w:color="auto" w:sz="4" w:space="0"/>
              <w:right w:val="single" w:color="auto" w:sz="4" w:space="0"/>
            </w:tcBorders>
            <w:noWrap/>
            <w:vAlign w:val="center"/>
          </w:tcPr>
          <w:p w14:paraId="08463797">
            <w:pPr>
              <w:snapToGrid w:val="0"/>
              <w:spacing w:line="360" w:lineRule="auto"/>
              <w:textAlignment w:val="bottom"/>
              <w:rPr>
                <w:rFonts w:ascii="宋体" w:hAnsi="宋体" w:cs="宋体"/>
                <w:color w:val="auto"/>
                <w:kern w:val="2"/>
                <w:sz w:val="24"/>
                <w:szCs w:val="20"/>
                <w:highlight w:val="none"/>
              </w:rPr>
            </w:pPr>
            <w:r>
              <w:rPr>
                <w:rFonts w:hint="eastAsia" w:ascii="宋体" w:hAnsi="宋体" w:cs="宋体"/>
                <w:color w:val="auto"/>
                <w:kern w:val="2"/>
                <w:sz w:val="24"/>
                <w:szCs w:val="20"/>
                <w:highlight w:val="none"/>
              </w:rPr>
              <w:t>本采购文件的解释权属于招标采购单位</w:t>
            </w:r>
          </w:p>
        </w:tc>
      </w:tr>
    </w:tbl>
    <w:p w14:paraId="427645F1">
      <w:pPr>
        <w:rPr>
          <w:rFonts w:ascii="宋体" w:hAnsi="宋体" w:cs="宋体"/>
          <w:bCs/>
          <w:color w:val="auto"/>
          <w:sz w:val="24"/>
          <w:highlight w:val="none"/>
        </w:rPr>
      </w:pPr>
    </w:p>
    <w:p w14:paraId="60DDD5F2">
      <w:pPr>
        <w:rPr>
          <w:rFonts w:ascii="宋体" w:hAnsi="宋体" w:cs="宋体"/>
          <w:bCs/>
          <w:color w:val="auto"/>
          <w:sz w:val="24"/>
          <w:highlight w:val="none"/>
        </w:rPr>
      </w:pPr>
    </w:p>
    <w:p w14:paraId="30B1F5B5">
      <w:pPr>
        <w:rPr>
          <w:rFonts w:ascii="宋体" w:hAnsi="宋体" w:cs="宋体"/>
          <w:bCs/>
          <w:color w:val="auto"/>
          <w:sz w:val="24"/>
          <w:highlight w:val="none"/>
        </w:rPr>
      </w:pPr>
    </w:p>
    <w:p w14:paraId="4D4498C8">
      <w:pPr>
        <w:rPr>
          <w:rFonts w:ascii="宋体" w:hAnsi="宋体" w:cs="宋体"/>
          <w:bCs/>
          <w:color w:val="auto"/>
          <w:sz w:val="24"/>
          <w:highlight w:val="none"/>
        </w:rPr>
        <w:sectPr>
          <w:footerReference r:id="rId4" w:type="default"/>
          <w:pgSz w:w="11850" w:h="16783"/>
          <w:pgMar w:top="1304" w:right="1565" w:bottom="1247" w:left="1344" w:header="851" w:footer="992" w:gutter="0"/>
          <w:pgNumType w:start="1"/>
          <w:cols w:space="720" w:num="1"/>
          <w:docGrid w:linePitch="312" w:charSpace="0"/>
        </w:sectPr>
      </w:pPr>
    </w:p>
    <w:p w14:paraId="18E338CF">
      <w:pPr>
        <w:pStyle w:val="2"/>
        <w:ind w:firstLine="480"/>
        <w:rPr>
          <w:color w:val="auto"/>
          <w:highlight w:val="none"/>
        </w:rPr>
      </w:pPr>
    </w:p>
    <w:p w14:paraId="51F72EB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附件1：</w:t>
      </w:r>
      <w:bookmarkStart w:id="5" w:name="_Toc78267630"/>
    </w:p>
    <w:p w14:paraId="36866096">
      <w:pPr>
        <w:spacing w:line="360" w:lineRule="auto"/>
        <w:ind w:firstLine="2891" w:firstLineChars="800"/>
        <w:rPr>
          <w:rFonts w:hint="default" w:ascii="Times New Roman" w:hAnsi="Times New Roman" w:eastAsia="仿宋_GB2312" w:cs="Times New Roman"/>
          <w:b/>
          <w:color w:val="auto"/>
          <w:sz w:val="36"/>
          <w:szCs w:val="36"/>
          <w:highlight w:val="none"/>
        </w:rPr>
      </w:pPr>
      <w:r>
        <w:rPr>
          <w:rFonts w:hint="default" w:ascii="Times New Roman" w:hAnsi="Times New Roman" w:eastAsia="仿宋" w:cs="Times New Roman"/>
          <w:b/>
          <w:color w:val="auto"/>
          <w:sz w:val="36"/>
          <w:szCs w:val="36"/>
          <w:highlight w:val="none"/>
        </w:rPr>
        <w:t>评分方法及标准</w:t>
      </w:r>
      <w:bookmarkEnd w:id="5"/>
    </w:p>
    <w:p w14:paraId="69A2CB18">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最大限度地满足招标文件实质性要求前提下，按照招标文件中规定的各项因素进行综合评审后，按评标总得分从高到低依次排列，确定1家中标候选人。得分相同的，按投标报价由低到高顺序排列；得分且投标报价相同的，抽签决定排列顺序。</w:t>
      </w:r>
    </w:p>
    <w:p w14:paraId="5390B67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第一条 本项目评审内容共分二部分，即资信技术部分和报价部分。总分共100分，其中资信技术分80分，商务报价分20分。评分依下述所列为评标打分依据，分值如下（所有评委的评分的算术平均分即为该投标人的资信技术部分得分，分值保留一位小数，计算结果保留两位小数）：</w:t>
      </w:r>
    </w:p>
    <w:p w14:paraId="08142F2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第二条 评分时各部分的实际得分之和为总分。各部分的实际得分与总分都保留2位小数。</w:t>
      </w:r>
    </w:p>
    <w:p w14:paraId="5B6314D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第三条 资信技术部分</w:t>
      </w:r>
    </w:p>
    <w:p w14:paraId="34259C40">
      <w:pPr>
        <w:spacing w:after="156" w:afterLines="50"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3、资信商务技术评分标准（</w:t>
      </w:r>
      <w:r>
        <w:rPr>
          <w:rFonts w:hint="eastAsia" w:ascii="宋体" w:hAnsi="宋体" w:cs="宋体"/>
          <w:b/>
          <w:color w:val="auto"/>
          <w:sz w:val="24"/>
          <w:highlight w:val="none"/>
          <w:lang w:val="en-US" w:eastAsia="zh-CN"/>
        </w:rPr>
        <w:t>80</w:t>
      </w:r>
      <w:r>
        <w:rPr>
          <w:rFonts w:hint="eastAsia" w:ascii="宋体" w:hAnsi="宋体" w:eastAsia="宋体" w:cs="宋体"/>
          <w:b/>
          <w:color w:val="auto"/>
          <w:sz w:val="24"/>
          <w:highlight w:val="none"/>
        </w:rPr>
        <w:t>分）</w:t>
      </w:r>
    </w:p>
    <w:tbl>
      <w:tblPr>
        <w:tblStyle w:val="20"/>
        <w:tblW w:w="5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165"/>
        <w:gridCol w:w="6293"/>
        <w:gridCol w:w="823"/>
        <w:gridCol w:w="946"/>
      </w:tblGrid>
      <w:tr w14:paraId="18A5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14:paraId="40C7AA4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6CB27C7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27373ED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6579111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FAE58F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071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tcBorders>
              <w:left w:val="single" w:color="auto" w:sz="4" w:space="0"/>
              <w:right w:val="single" w:color="auto" w:sz="4" w:space="0"/>
            </w:tcBorders>
            <w:noWrap w:val="0"/>
            <w:vAlign w:val="center"/>
          </w:tcPr>
          <w:p w14:paraId="66D6FF2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7" w:type="pct"/>
            <w:tcBorders>
              <w:left w:val="single" w:color="auto" w:sz="4" w:space="0"/>
              <w:right w:val="single" w:color="auto" w:sz="4" w:space="0"/>
            </w:tcBorders>
            <w:noWrap w:val="0"/>
            <w:vAlign w:val="center"/>
          </w:tcPr>
          <w:p w14:paraId="497FE15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7DD64D17">
            <w:pPr>
              <w:keepNext w:val="0"/>
              <w:keepLines w:val="0"/>
              <w:pageBreakBefore w:val="0"/>
              <w:kinsoku/>
              <w:wordWrap/>
              <w:overflowPunct/>
              <w:topLinePunct w:val="0"/>
              <w:autoSpaceDE/>
              <w:autoSpaceDN/>
              <w:bidi w:val="0"/>
              <w:adjustRightInd w:val="0"/>
              <w:snapToGrid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年1月1日以来承担过类似检测项目的每个得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。（投标文件中提供合同原件扫描件）。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13EF8A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0-2</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56D4BC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D7B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vMerge w:val="restart"/>
            <w:tcBorders>
              <w:left w:val="single" w:color="auto" w:sz="4" w:space="0"/>
              <w:right w:val="single" w:color="auto" w:sz="4" w:space="0"/>
            </w:tcBorders>
            <w:noWrap w:val="0"/>
            <w:vAlign w:val="center"/>
          </w:tcPr>
          <w:p w14:paraId="5B12188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7" w:type="pct"/>
            <w:vMerge w:val="restart"/>
            <w:tcBorders>
              <w:left w:val="single" w:color="auto" w:sz="4" w:space="0"/>
              <w:right w:val="single" w:color="auto" w:sz="4" w:space="0"/>
            </w:tcBorders>
            <w:noWrap w:val="0"/>
            <w:vAlign w:val="center"/>
          </w:tcPr>
          <w:p w14:paraId="1E32F1A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19017FF0">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具有质量管理体系认证证书的得1分，具有环境管理体系认证证书的得1分，具有职业健康安全管理体系认证证书的得1分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此项最多得3分</w:t>
            </w:r>
            <w:r>
              <w:rPr>
                <w:rFonts w:hint="eastAsia" w:ascii="宋体" w:hAnsi="宋体" w:eastAsia="宋体" w:cs="宋体"/>
                <w:color w:val="auto"/>
                <w:sz w:val="24"/>
                <w:szCs w:val="24"/>
                <w:highlight w:val="none"/>
              </w:rPr>
              <w:t>；</w:t>
            </w:r>
          </w:p>
          <w:p w14:paraId="269F7053">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提供认证证书扫描件</w:t>
            </w:r>
            <w:r>
              <w:rPr>
                <w:rFonts w:hint="eastAsia" w:ascii="宋体" w:hAnsi="宋体" w:eastAsia="宋体" w:cs="宋体"/>
                <w:b w:val="0"/>
                <w:bCs w:val="0"/>
                <w:color w:val="auto"/>
                <w:sz w:val="24"/>
                <w:szCs w:val="24"/>
                <w:highlight w:val="none"/>
                <w:lang w:val="en-US" w:eastAsia="zh-CN"/>
              </w:rPr>
              <w:t>加盖投标人公章，</w:t>
            </w:r>
            <w:r>
              <w:rPr>
                <w:rFonts w:hint="eastAsia" w:ascii="宋体" w:hAnsi="宋体" w:eastAsia="宋体" w:cs="宋体"/>
                <w:b w:val="0"/>
                <w:bCs w:val="0"/>
                <w:color w:val="auto"/>
                <w:sz w:val="24"/>
                <w:szCs w:val="24"/>
                <w:highlight w:val="none"/>
              </w:rPr>
              <w:t>未提供不得分。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77F466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1E0446F">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3C3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68" w:type="pct"/>
            <w:vMerge w:val="continue"/>
            <w:tcBorders>
              <w:left w:val="single" w:color="auto" w:sz="4" w:space="0"/>
              <w:right w:val="single" w:color="auto" w:sz="4" w:space="0"/>
            </w:tcBorders>
            <w:noWrap w:val="0"/>
            <w:vAlign w:val="center"/>
          </w:tcPr>
          <w:p w14:paraId="14AEE75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455F9B8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3226" w:type="pct"/>
            <w:tcBorders>
              <w:top w:val="single" w:color="auto" w:sz="4" w:space="0"/>
              <w:left w:val="single" w:color="auto" w:sz="4" w:space="0"/>
              <w:right w:val="single" w:color="auto" w:sz="4" w:space="0"/>
            </w:tcBorders>
            <w:noWrap w:val="0"/>
            <w:vAlign w:val="center"/>
          </w:tcPr>
          <w:p w14:paraId="72B69FFF">
            <w:pPr>
              <w:keepNext w:val="0"/>
              <w:keepLines w:val="0"/>
              <w:pageBreakBefore w:val="0"/>
              <w:widowControl/>
              <w:kinsoku/>
              <w:wordWrap/>
              <w:overflowPunct/>
              <w:topLinePunct w:val="0"/>
              <w:autoSpaceDE/>
              <w:autoSpaceDN/>
              <w:bidi w:val="0"/>
              <w:adjustRightInd w:val="0"/>
              <w:snapToGrid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具有省级社会生态环境监测机构能力评估等级4A级以上的得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分，3A级的得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分，2A的得1分，其余不得分。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250E84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AB5D66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D35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8" w:type="pct"/>
            <w:vMerge w:val="continue"/>
            <w:tcBorders>
              <w:left w:val="single" w:color="auto" w:sz="4" w:space="0"/>
              <w:right w:val="single" w:color="auto" w:sz="4" w:space="0"/>
            </w:tcBorders>
            <w:noWrap w:val="0"/>
            <w:vAlign w:val="center"/>
          </w:tcPr>
          <w:p w14:paraId="12806EC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613EC09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3226" w:type="pct"/>
            <w:tcBorders>
              <w:top w:val="single" w:color="auto" w:sz="4" w:space="0"/>
              <w:left w:val="single" w:color="auto" w:sz="4" w:space="0"/>
              <w:right w:val="single" w:color="auto" w:sz="4" w:space="0"/>
            </w:tcBorders>
            <w:noWrap w:val="0"/>
            <w:vAlign w:val="center"/>
          </w:tcPr>
          <w:p w14:paraId="64D17F51">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投标人具有通过资质认定的环境检测实验室且能开展相关环境检测、分析工作，其中实验室面积≥3000平方米，得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分；1500平方米≤实验室面积＜3000平方米，得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分；实验室面积＜1500平方米，得1分。</w:t>
            </w:r>
          </w:p>
          <w:p w14:paraId="12772A17">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提供房屋产权证明或房屋租赁合同扫描件）</w:t>
            </w:r>
          </w:p>
        </w:tc>
        <w:tc>
          <w:tcPr>
            <w:tcW w:w="422" w:type="pct"/>
            <w:tcBorders>
              <w:top w:val="single" w:color="auto" w:sz="4" w:space="0"/>
              <w:left w:val="single" w:color="auto" w:sz="4" w:space="0"/>
              <w:right w:val="single" w:color="auto" w:sz="4" w:space="0"/>
            </w:tcBorders>
            <w:noWrap w:val="0"/>
            <w:vAlign w:val="center"/>
          </w:tcPr>
          <w:p w14:paraId="14F1B52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D4BF94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53A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tcBorders>
              <w:left w:val="single" w:color="auto" w:sz="4" w:space="0"/>
              <w:right w:val="single" w:color="auto" w:sz="4" w:space="0"/>
            </w:tcBorders>
            <w:noWrap w:val="0"/>
            <w:vAlign w:val="center"/>
          </w:tcPr>
          <w:p w14:paraId="7E97624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7" w:type="pct"/>
            <w:tcBorders>
              <w:left w:val="single" w:color="auto" w:sz="4" w:space="0"/>
              <w:right w:val="single" w:color="auto" w:sz="4" w:space="0"/>
            </w:tcBorders>
            <w:noWrap w:val="0"/>
            <w:vAlign w:val="center"/>
          </w:tcPr>
          <w:p w14:paraId="307171E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投标人监测能力</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3C0BE048">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通过资质认定的环境检测类检测项目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＜500项的不得分；≥500项，＜</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00项，2分；≥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00项，＜</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00项，得4分；≥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00项，6分。</w:t>
            </w:r>
          </w:p>
          <w:p w14:paraId="7FFA15D2">
            <w:pPr>
              <w:keepNext w:val="0"/>
              <w:keepLines w:val="0"/>
              <w:pageBreakBefore w:val="0"/>
              <w:kinsoku/>
              <w:wordWrap/>
              <w:overflowPunct/>
              <w:topLinePunct w:val="0"/>
              <w:autoSpaceDE/>
              <w:autoSpaceDN/>
              <w:bidi w:val="0"/>
              <w:adjustRightInd w:val="0"/>
              <w:snapToGrid w:val="0"/>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投标文件中提供</w:t>
            </w:r>
            <w:r>
              <w:rPr>
                <w:rFonts w:hint="eastAsia" w:ascii="宋体" w:hAnsi="宋体" w:eastAsia="宋体" w:cs="宋体"/>
                <w:color w:val="auto"/>
                <w:sz w:val="24"/>
                <w:szCs w:val="24"/>
                <w:highlight w:val="none"/>
                <w:lang w:val="en-US" w:eastAsia="zh-CN"/>
              </w:rPr>
              <w:t>计量认证</w:t>
            </w:r>
            <w:r>
              <w:rPr>
                <w:rFonts w:hint="eastAsia" w:ascii="宋体" w:hAnsi="宋体" w:eastAsia="宋体" w:cs="宋体"/>
                <w:color w:val="auto"/>
                <w:sz w:val="24"/>
                <w:szCs w:val="24"/>
                <w:highlight w:val="none"/>
              </w:rPr>
              <w:t>相关证明材料扫描件加盖公章。</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1F1169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B60485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D70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vMerge w:val="restart"/>
            <w:tcBorders>
              <w:left w:val="single" w:color="auto" w:sz="4" w:space="0"/>
              <w:right w:val="single" w:color="auto" w:sz="4" w:space="0"/>
            </w:tcBorders>
            <w:noWrap w:val="0"/>
            <w:vAlign w:val="center"/>
          </w:tcPr>
          <w:p w14:paraId="7A6856A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7" w:type="pct"/>
            <w:vMerge w:val="restart"/>
            <w:tcBorders>
              <w:left w:val="single" w:color="auto" w:sz="4" w:space="0"/>
              <w:right w:val="single" w:color="auto" w:sz="4" w:space="0"/>
            </w:tcBorders>
            <w:noWrap w:val="0"/>
            <w:vAlign w:val="center"/>
          </w:tcPr>
          <w:p w14:paraId="1D99B20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拟投入项目团队</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55C94A0C">
            <w:pPr>
              <w:keepNext w:val="0"/>
              <w:keepLines w:val="0"/>
              <w:pageBreakBefore w:val="0"/>
              <w:kinsoku/>
              <w:wordWrap/>
              <w:overflowPunct/>
              <w:topLinePunct w:val="0"/>
              <w:autoSpaceDE/>
              <w:autoSpaceDN/>
              <w:bidi w:val="0"/>
              <w:adjustRightInd w:val="0"/>
              <w:snapToGrid w:val="0"/>
              <w:spacing w:line="48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投标人拟派项目负责人具有环保专业高级工程师及以上职称的得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分，具有环保专业中级工程师职称的得1分。本项最高得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分。投标文件需提供相关证书及社保机构出具的近三个月社保缴纳证明扫描件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退休返聘的需提供返聘合同</w:t>
            </w:r>
            <w:r>
              <w:rPr>
                <w:rFonts w:hint="eastAsia" w:ascii="宋体" w:hAnsi="宋体" w:eastAsia="宋体" w:cs="宋体"/>
                <w:color w:val="auto"/>
                <w:sz w:val="24"/>
                <w:szCs w:val="24"/>
                <w:highlight w:val="none"/>
              </w:rPr>
              <w:t>。</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8C296C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0-2</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9D1F8B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3D2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268" w:type="pct"/>
            <w:vMerge w:val="continue"/>
            <w:tcBorders>
              <w:left w:val="single" w:color="auto" w:sz="4" w:space="0"/>
              <w:right w:val="single" w:color="auto" w:sz="4" w:space="0"/>
            </w:tcBorders>
            <w:noWrap w:val="0"/>
            <w:vAlign w:val="center"/>
          </w:tcPr>
          <w:p w14:paraId="6F7AC4E0">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0BA19E0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3226" w:type="pct"/>
            <w:tcBorders>
              <w:top w:val="single" w:color="auto" w:sz="4" w:space="0"/>
              <w:left w:val="single" w:color="auto" w:sz="4" w:space="0"/>
              <w:right w:val="single" w:color="auto" w:sz="4" w:space="0"/>
            </w:tcBorders>
            <w:noWrap w:val="0"/>
            <w:vAlign w:val="center"/>
          </w:tcPr>
          <w:p w14:paraId="7859A3FE">
            <w:pPr>
              <w:keepNext w:val="0"/>
              <w:keepLines w:val="0"/>
              <w:pageBreakBefore w:val="0"/>
              <w:kinsoku/>
              <w:wordWrap/>
              <w:overflowPunct/>
              <w:topLinePunct w:val="0"/>
              <w:autoSpaceDE/>
              <w:autoSpaceDN/>
              <w:bidi w:val="0"/>
              <w:adjustRightInd w:val="0"/>
              <w:snapToGrid w:val="0"/>
              <w:spacing w:line="48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投标人具备同时派遣多组采样人员的能力，应对相应的检测任务，其中采样小组≤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组的得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组≤采样小组≤1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组的得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分，采样小组≥1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分。投标文件需提供相关人员清单、上岗证等相关证书及社保机构出具的近三个月社保缴纳证明扫描件。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4C9903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53E4D4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893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8" w:type="pct"/>
            <w:tcBorders>
              <w:left w:val="single" w:color="auto" w:sz="4" w:space="0"/>
              <w:right w:val="single" w:color="auto" w:sz="4" w:space="0"/>
            </w:tcBorders>
            <w:noWrap w:val="0"/>
            <w:vAlign w:val="center"/>
          </w:tcPr>
          <w:p w14:paraId="0F529CE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7" w:type="pct"/>
            <w:tcBorders>
              <w:left w:val="single" w:color="auto" w:sz="4" w:space="0"/>
              <w:right w:val="single" w:color="auto" w:sz="4" w:space="0"/>
            </w:tcBorders>
            <w:noWrap w:val="0"/>
            <w:vAlign w:val="center"/>
          </w:tcPr>
          <w:p w14:paraId="257C9193">
            <w:pPr>
              <w:keepNext w:val="0"/>
              <w:keepLines w:val="0"/>
              <w:pageBreakBefore w:val="0"/>
              <w:kinsoku/>
              <w:wordWrap/>
              <w:overflowPunct/>
              <w:topLinePunct w:val="0"/>
              <w:autoSpaceDE/>
              <w:autoSpaceDN/>
              <w:bidi w:val="0"/>
              <w:adjustRightInd w:val="0"/>
              <w:snapToGrid w:val="0"/>
              <w:spacing w:line="48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设备、材料配置情况</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0F8EAEF2">
            <w:pPr>
              <w:keepNext w:val="0"/>
              <w:keepLines w:val="0"/>
              <w:pageBreakBefore w:val="0"/>
              <w:kinsoku/>
              <w:wordWrap/>
              <w:overflowPunct/>
              <w:topLinePunct w:val="0"/>
              <w:autoSpaceDE/>
              <w:autoSpaceDN/>
              <w:bidi w:val="0"/>
              <w:adjustRightInd w:val="0"/>
              <w:snapToGrid w:val="0"/>
              <w:spacing w:line="48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对本项目拟投入的车辆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、检测仪器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、采样设备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、材料配置等完整性和可靠性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szCs w:val="24"/>
                <w:highlight w:val="none"/>
              </w:rPr>
              <w:t>，未提供配置情况的不得分。(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检测仪器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采样设备等照片</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证明资料，能反映检测设备的规格型号、品牌等内容）</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2F0236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8A0D65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2EAA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8" w:type="pct"/>
            <w:vMerge w:val="restart"/>
            <w:tcBorders>
              <w:left w:val="single" w:color="auto" w:sz="4" w:space="0"/>
              <w:right w:val="single" w:color="auto" w:sz="4" w:space="0"/>
            </w:tcBorders>
            <w:noWrap w:val="0"/>
            <w:vAlign w:val="center"/>
          </w:tcPr>
          <w:p w14:paraId="0515FE9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97" w:type="pct"/>
            <w:vMerge w:val="restart"/>
            <w:tcBorders>
              <w:left w:val="single" w:color="auto" w:sz="4" w:space="0"/>
              <w:right w:val="single" w:color="auto" w:sz="4" w:space="0"/>
            </w:tcBorders>
            <w:noWrap w:val="0"/>
            <w:vAlign w:val="center"/>
          </w:tcPr>
          <w:p w14:paraId="6A9F0BCF">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项目质量保证措施</w:t>
            </w:r>
            <w:r>
              <w:rPr>
                <w:rFonts w:hint="eastAsia" w:ascii="宋体" w:hAnsi="宋体" w:eastAsia="宋体" w:cs="宋体"/>
                <w:color w:val="auto"/>
                <w:sz w:val="24"/>
                <w:szCs w:val="24"/>
                <w:highlight w:val="none"/>
                <w:lang w:val="en-US" w:eastAsia="zh-CN"/>
              </w:rPr>
              <w:t>和</w:t>
            </w:r>
          </w:p>
          <w:p w14:paraId="392554F8">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6F733C7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提供的针对本项目质量保证措施详实、科学合理、针对性等情况综合评分；</w:t>
            </w:r>
          </w:p>
          <w:p w14:paraId="01A1AD5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（1）质量保证措施内容</w:t>
            </w:r>
            <w:r>
              <w:rPr>
                <w:rFonts w:hint="eastAsia" w:ascii="宋体" w:hAnsi="宋体" w:eastAsia="宋体" w:cs="宋体"/>
                <w:b w:val="0"/>
                <w:bCs w:val="0"/>
                <w:color w:val="auto"/>
                <w:sz w:val="24"/>
                <w:szCs w:val="24"/>
                <w:highlight w:val="none"/>
                <w:lang w:val="en-US" w:eastAsia="zh-CN"/>
              </w:rPr>
              <w:t>详实</w:t>
            </w:r>
            <w:r>
              <w:rPr>
                <w:rFonts w:hint="eastAsia" w:ascii="宋体" w:hAnsi="宋体" w:eastAsia="宋体" w:cs="宋体"/>
                <w:b w:val="0"/>
                <w:bCs w:val="0"/>
                <w:color w:val="auto"/>
                <w:sz w:val="24"/>
                <w:szCs w:val="24"/>
                <w:highlight w:val="none"/>
              </w:rPr>
              <w:t>、合理、全面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具有针对性</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p w14:paraId="4D04206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（2）质量保证措施</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基本科学、基本合理、基本全面的得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15FB7B7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（3）质量保证措施内容一般科学、一般合理、一般全面的得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276BA2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831FA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0-8</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27D7A2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43C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268" w:type="pct"/>
            <w:vMerge w:val="continue"/>
            <w:tcBorders>
              <w:left w:val="single" w:color="auto" w:sz="4" w:space="0"/>
              <w:bottom w:val="single" w:color="auto" w:sz="4" w:space="0"/>
              <w:right w:val="single" w:color="auto" w:sz="4" w:space="0"/>
            </w:tcBorders>
            <w:noWrap w:val="0"/>
            <w:vAlign w:val="center"/>
          </w:tcPr>
          <w:p w14:paraId="56400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133AD3AF">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p>
        </w:tc>
        <w:tc>
          <w:tcPr>
            <w:tcW w:w="3226" w:type="pct"/>
            <w:tcBorders>
              <w:top w:val="single" w:color="auto" w:sz="4" w:space="0"/>
              <w:left w:val="single" w:color="auto" w:sz="4" w:space="0"/>
              <w:bottom w:val="single" w:color="auto" w:sz="4" w:space="0"/>
              <w:right w:val="single" w:color="auto" w:sz="4" w:space="0"/>
            </w:tcBorders>
            <w:noWrap w:val="0"/>
            <w:vAlign w:val="center"/>
          </w:tcPr>
          <w:p w14:paraId="73351E1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根据投标单位</w:t>
            </w:r>
            <w:r>
              <w:rPr>
                <w:rFonts w:hint="eastAsia" w:ascii="宋体" w:hAnsi="宋体" w:eastAsia="宋体" w:cs="宋体"/>
                <w:b w:val="0"/>
                <w:bCs w:val="0"/>
                <w:color w:val="auto"/>
                <w:sz w:val="24"/>
                <w:szCs w:val="24"/>
                <w:highlight w:val="none"/>
                <w:lang w:val="en-US" w:eastAsia="zh-CN"/>
              </w:rPr>
              <w:t>针对应对各种突发事件及安全保障制定的方案是否具有可行性、科学性、合理性等情况由评标委员会进行综合评分。</w:t>
            </w:r>
          </w:p>
          <w:p w14:paraId="31FBFC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方案详实</w:t>
            </w:r>
            <w:r>
              <w:rPr>
                <w:rFonts w:hint="eastAsia" w:ascii="宋体" w:hAnsi="宋体" w:eastAsia="宋体" w:cs="宋体"/>
                <w:b w:val="0"/>
                <w:bCs w:val="0"/>
                <w:color w:val="auto"/>
                <w:sz w:val="24"/>
                <w:szCs w:val="24"/>
                <w:highlight w:val="none"/>
              </w:rPr>
              <w:t>、合理、全面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具有针对性</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2E4A8A4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基本科学、基本合理、基本全面的得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3924ABF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一般科学、一般合理、一般全面的得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3010E98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（4）未阐述以上内容的或无法满足采购需求的得0分</w:t>
            </w:r>
            <w:r>
              <w:rPr>
                <w:rFonts w:hint="eastAsia" w:ascii="宋体" w:hAnsi="宋体" w:eastAsia="宋体" w:cs="宋体"/>
                <w:b w:val="0"/>
                <w:bCs w:val="0"/>
                <w:color w:val="auto"/>
                <w:sz w:val="24"/>
                <w:szCs w:val="24"/>
                <w:highlight w:val="none"/>
                <w:lang w:eastAsia="zh-CN"/>
              </w:rPr>
              <w:t>。</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E9EC15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C280B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3804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8" w:type="pct"/>
            <w:vMerge w:val="restart"/>
            <w:tcBorders>
              <w:left w:val="single" w:color="auto" w:sz="4" w:space="0"/>
              <w:right w:val="single" w:color="auto" w:sz="4" w:space="0"/>
            </w:tcBorders>
            <w:noWrap w:val="0"/>
            <w:vAlign w:val="center"/>
          </w:tcPr>
          <w:p w14:paraId="5343F7C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97" w:type="pct"/>
            <w:vMerge w:val="restart"/>
            <w:tcBorders>
              <w:left w:val="single" w:color="auto" w:sz="4" w:space="0"/>
              <w:right w:val="single" w:color="auto" w:sz="4" w:space="0"/>
            </w:tcBorders>
            <w:noWrap w:val="0"/>
            <w:vAlign w:val="center"/>
          </w:tcPr>
          <w:p w14:paraId="39EEBBDB">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项目进度与保障措施</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6FA6110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根据投标单位针对本项目制定的工作计划和时间进度综合评分；</w:t>
            </w:r>
          </w:p>
          <w:p w14:paraId="129F1BF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（1）工作计划和时间进度</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zh-CN"/>
              </w:rPr>
              <w:t>健全、可行、合理</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p>
          <w:p w14:paraId="45709DB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（2）质量保证措施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val="en-US" w:eastAsia="zh-CN"/>
              </w:rPr>
              <w:t>健全</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val="en-US" w:eastAsia="zh-CN"/>
              </w:rPr>
              <w:t>合理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305F7E6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（3）质量保证措施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rPr>
              <w:t>一般</w:t>
            </w:r>
            <w:r>
              <w:rPr>
                <w:rFonts w:hint="eastAsia" w:ascii="宋体" w:hAnsi="宋体" w:eastAsia="宋体" w:cs="宋体"/>
                <w:b w:val="0"/>
                <w:bCs w:val="0"/>
                <w:color w:val="auto"/>
                <w:sz w:val="24"/>
                <w:szCs w:val="24"/>
                <w:highlight w:val="none"/>
                <w:lang w:val="en-US" w:eastAsia="zh-CN"/>
              </w:rPr>
              <w:t>健全</w:t>
            </w:r>
            <w:r>
              <w:rPr>
                <w:rFonts w:hint="eastAsia" w:ascii="宋体" w:hAnsi="宋体" w:eastAsia="宋体" w:cs="宋体"/>
                <w:b w:val="0"/>
                <w:bCs w:val="0"/>
                <w:color w:val="auto"/>
                <w:sz w:val="24"/>
                <w:szCs w:val="24"/>
                <w:highlight w:val="none"/>
              </w:rPr>
              <w:t>、一般合理的得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7656E6B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554A73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0-7</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8D5738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4A1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8" w:type="pct"/>
            <w:vMerge w:val="continue"/>
            <w:tcBorders>
              <w:left w:val="single" w:color="auto" w:sz="4" w:space="0"/>
              <w:bottom w:val="single" w:color="auto" w:sz="4" w:space="0"/>
              <w:right w:val="single" w:color="auto" w:sz="4" w:space="0"/>
            </w:tcBorders>
            <w:noWrap w:val="0"/>
            <w:vAlign w:val="center"/>
          </w:tcPr>
          <w:p w14:paraId="632F731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34E26E6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c>
          <w:tcPr>
            <w:tcW w:w="3226" w:type="pct"/>
            <w:tcBorders>
              <w:top w:val="single" w:color="auto" w:sz="4" w:space="0"/>
              <w:left w:val="single" w:color="auto" w:sz="4" w:space="0"/>
              <w:bottom w:val="single" w:color="auto" w:sz="4" w:space="0"/>
              <w:right w:val="single" w:color="auto" w:sz="4" w:space="0"/>
            </w:tcBorders>
            <w:noWrap w:val="0"/>
            <w:vAlign w:val="center"/>
          </w:tcPr>
          <w:p w14:paraId="79A9084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根据投标单位针对本项目制定项目保障措施是否健全等情况综合评分</w:t>
            </w:r>
            <w:r>
              <w:rPr>
                <w:rFonts w:hint="eastAsia" w:ascii="宋体" w:hAnsi="宋体" w:eastAsia="宋体" w:cs="宋体"/>
                <w:color w:val="auto"/>
                <w:sz w:val="24"/>
                <w:szCs w:val="24"/>
                <w:highlight w:val="none"/>
                <w:lang w:eastAsia="zh-CN"/>
              </w:rPr>
              <w:t>；</w:t>
            </w:r>
          </w:p>
          <w:p w14:paraId="279C407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color w:val="auto"/>
                <w:sz w:val="24"/>
                <w:szCs w:val="24"/>
                <w:highlight w:val="none"/>
              </w:rPr>
              <w:t>项目保障措施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zh-CN"/>
              </w:rPr>
              <w:t>健全、可行、合理</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p>
          <w:p w14:paraId="47B763D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（2）质量保证措施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val="en-US" w:eastAsia="zh-CN"/>
              </w:rPr>
              <w:t>健全</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val="en-US" w:eastAsia="zh-CN"/>
              </w:rPr>
              <w:t>合理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41FEAD7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（3）质量保证措施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b w:val="0"/>
                <w:bCs w:val="0"/>
                <w:color w:val="auto"/>
                <w:sz w:val="24"/>
                <w:szCs w:val="24"/>
                <w:highlight w:val="none"/>
              </w:rPr>
              <w:t>一般</w:t>
            </w:r>
            <w:r>
              <w:rPr>
                <w:rFonts w:hint="eastAsia" w:ascii="宋体" w:hAnsi="宋体" w:eastAsia="宋体" w:cs="宋体"/>
                <w:b w:val="0"/>
                <w:bCs w:val="0"/>
                <w:color w:val="auto"/>
                <w:sz w:val="24"/>
                <w:szCs w:val="24"/>
                <w:highlight w:val="none"/>
                <w:lang w:val="en-US" w:eastAsia="zh-CN"/>
              </w:rPr>
              <w:t>健全</w:t>
            </w:r>
            <w:r>
              <w:rPr>
                <w:rFonts w:hint="eastAsia" w:ascii="宋体" w:hAnsi="宋体" w:eastAsia="宋体" w:cs="宋体"/>
                <w:b w:val="0"/>
                <w:bCs w:val="0"/>
                <w:color w:val="auto"/>
                <w:sz w:val="24"/>
                <w:szCs w:val="24"/>
                <w:highlight w:val="none"/>
              </w:rPr>
              <w:t>、一般合理的得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34831A2F">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（4）未阐述以上内容的或无法满足采购需求的得0分。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1ABFE1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7</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1A57F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4A7A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268" w:type="pct"/>
            <w:vMerge w:val="restart"/>
            <w:tcBorders>
              <w:left w:val="single" w:color="auto" w:sz="4" w:space="0"/>
              <w:right w:val="single" w:color="auto" w:sz="4" w:space="0"/>
            </w:tcBorders>
            <w:noWrap w:val="0"/>
            <w:vAlign w:val="center"/>
          </w:tcPr>
          <w:p w14:paraId="2D101AA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97" w:type="pct"/>
            <w:vMerge w:val="restart"/>
            <w:tcBorders>
              <w:left w:val="single" w:color="auto" w:sz="4" w:space="0"/>
              <w:right w:val="single" w:color="auto" w:sz="4" w:space="0"/>
            </w:tcBorders>
            <w:noWrap w:val="0"/>
            <w:vAlign w:val="center"/>
          </w:tcPr>
          <w:p w14:paraId="0C0299A9">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服务承诺及建议</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1DC43818">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根据投标单位对本项目调查评估内容要求，提供的各项承诺（服务机制、服务承诺、建设性承诺等）情况综合评分；</w:t>
            </w:r>
          </w:p>
          <w:p w14:paraId="117BAF21">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服务承诺全面、可行、针对性强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54CF93E">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rPr>
              <w:t>全面、可行、针对性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CEAFD7C">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服务承诺一般及以下</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61B73C5">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48C29F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125E9D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6126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 w:type="pct"/>
            <w:vMerge w:val="continue"/>
            <w:tcBorders>
              <w:left w:val="single" w:color="auto" w:sz="4" w:space="0"/>
              <w:bottom w:val="single" w:color="auto" w:sz="4" w:space="0"/>
              <w:right w:val="single" w:color="auto" w:sz="4" w:space="0"/>
            </w:tcBorders>
            <w:noWrap w:val="0"/>
            <w:vAlign w:val="center"/>
          </w:tcPr>
          <w:p w14:paraId="6AF3ED3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c>
          <w:tcPr>
            <w:tcW w:w="597" w:type="pct"/>
            <w:vMerge w:val="continue"/>
            <w:tcBorders>
              <w:left w:val="single" w:color="auto" w:sz="4" w:space="0"/>
              <w:right w:val="single" w:color="auto" w:sz="4" w:space="0"/>
            </w:tcBorders>
            <w:noWrap w:val="0"/>
            <w:vAlign w:val="center"/>
          </w:tcPr>
          <w:p w14:paraId="4F937A8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p>
        </w:tc>
        <w:tc>
          <w:tcPr>
            <w:tcW w:w="3226" w:type="pct"/>
            <w:tcBorders>
              <w:top w:val="single" w:color="auto" w:sz="4" w:space="0"/>
              <w:left w:val="single" w:color="auto" w:sz="4" w:space="0"/>
              <w:bottom w:val="single" w:color="auto" w:sz="4" w:space="0"/>
              <w:right w:val="single" w:color="auto" w:sz="4" w:space="0"/>
            </w:tcBorders>
            <w:noWrap w:val="0"/>
            <w:vAlign w:val="center"/>
          </w:tcPr>
          <w:p w14:paraId="213094E7">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根据投标单位对本项目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内容要求，提供的合理化建议</w:t>
            </w:r>
            <w:r>
              <w:rPr>
                <w:rFonts w:hint="eastAsia" w:ascii="宋体" w:hAnsi="宋体" w:eastAsia="宋体" w:cs="宋体"/>
                <w:color w:val="auto"/>
                <w:sz w:val="24"/>
                <w:szCs w:val="24"/>
                <w:highlight w:val="none"/>
                <w:lang w:val="en-US" w:eastAsia="zh-CN"/>
              </w:rPr>
              <w:t>综合评分。</w:t>
            </w:r>
          </w:p>
          <w:p w14:paraId="722CC6E4">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合理化建议方案</w:t>
            </w:r>
            <w:r>
              <w:rPr>
                <w:rFonts w:hint="eastAsia" w:ascii="宋体" w:hAnsi="宋体" w:eastAsia="宋体" w:cs="宋体"/>
                <w:color w:val="auto"/>
                <w:sz w:val="24"/>
                <w:szCs w:val="24"/>
                <w:highlight w:val="none"/>
              </w:rPr>
              <w:t>全面、可行、针对性强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3BC2F7F">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合理化建议方案比较</w:t>
            </w:r>
            <w:r>
              <w:rPr>
                <w:rFonts w:hint="eastAsia" w:ascii="宋体" w:hAnsi="宋体" w:eastAsia="宋体" w:cs="宋体"/>
                <w:color w:val="auto"/>
                <w:sz w:val="24"/>
                <w:szCs w:val="24"/>
                <w:highlight w:val="none"/>
              </w:rPr>
              <w:t>全面、可行、针对性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A80966F">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合理化建议方案</w:t>
            </w:r>
            <w:r>
              <w:rPr>
                <w:rFonts w:hint="eastAsia" w:ascii="宋体" w:hAnsi="宋体" w:eastAsia="宋体" w:cs="宋体"/>
                <w:color w:val="auto"/>
                <w:sz w:val="24"/>
                <w:szCs w:val="24"/>
                <w:highlight w:val="none"/>
              </w:rPr>
              <w:t>一般及以下</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19A82D5">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D94D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4</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A106A8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3576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68" w:type="pct"/>
            <w:tcBorders>
              <w:left w:val="single" w:color="auto" w:sz="4" w:space="0"/>
              <w:bottom w:val="single" w:color="auto" w:sz="4" w:space="0"/>
              <w:right w:val="single" w:color="auto" w:sz="4" w:space="0"/>
            </w:tcBorders>
            <w:noWrap w:val="0"/>
            <w:vAlign w:val="center"/>
          </w:tcPr>
          <w:p w14:paraId="2428423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97" w:type="pct"/>
            <w:tcBorders>
              <w:left w:val="single" w:color="auto" w:sz="4" w:space="0"/>
              <w:right w:val="single" w:color="auto" w:sz="4" w:space="0"/>
            </w:tcBorders>
            <w:noWrap w:val="0"/>
            <w:vAlign w:val="center"/>
          </w:tcPr>
          <w:p w14:paraId="2675E549">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档案管理方案与数据保密措施</w:t>
            </w:r>
          </w:p>
        </w:tc>
        <w:tc>
          <w:tcPr>
            <w:tcW w:w="3226" w:type="pct"/>
            <w:tcBorders>
              <w:top w:val="single" w:color="auto" w:sz="4" w:space="0"/>
              <w:left w:val="single" w:color="auto" w:sz="4" w:space="0"/>
              <w:bottom w:val="single" w:color="auto" w:sz="4" w:space="0"/>
              <w:right w:val="single" w:color="auto" w:sz="4" w:space="0"/>
            </w:tcBorders>
            <w:noWrap w:val="0"/>
            <w:vAlign w:val="center"/>
          </w:tcPr>
          <w:p w14:paraId="6FA5162A">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根据投标单位提供的档案管理，数据保密措施等实施方案的合理性、可行性与针对性等情况综合评分；</w:t>
            </w:r>
          </w:p>
          <w:p w14:paraId="4FE9260E">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档案管理方案与数据保密措施全面、可行、针对性强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B2FA33E">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档案管理方案与数据保密措施</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rPr>
              <w:t>全面、可行、针对性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D865B27">
            <w:pPr>
              <w:keepNext w:val="0"/>
              <w:keepLines w:val="0"/>
              <w:pageBreakBefore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档案管理方案与数据保密措施一般及以下</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16EB24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未阐述以上内容的或无法满足采购需求的得0分。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ED5274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913A26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064B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14:paraId="0BB774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97" w:type="pct"/>
            <w:tcBorders>
              <w:left w:val="single" w:color="auto" w:sz="4" w:space="0"/>
              <w:bottom w:val="single" w:color="auto" w:sz="4" w:space="0"/>
              <w:right w:val="single" w:color="auto" w:sz="4" w:space="0"/>
            </w:tcBorders>
            <w:noWrap w:val="0"/>
            <w:vAlign w:val="center"/>
          </w:tcPr>
          <w:p w14:paraId="11803BA5">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便捷化</w:t>
            </w:r>
          </w:p>
          <w:p w14:paraId="0B2DD0C6">
            <w:pPr>
              <w:keepNext w:val="0"/>
              <w:keepLines w:val="0"/>
              <w:pageBreakBefore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p>
        </w:tc>
        <w:tc>
          <w:tcPr>
            <w:tcW w:w="3226" w:type="pct"/>
            <w:tcBorders>
              <w:top w:val="single" w:color="auto" w:sz="4" w:space="0"/>
              <w:left w:val="single" w:color="auto" w:sz="4" w:space="0"/>
              <w:bottom w:val="single" w:color="auto" w:sz="4" w:space="0"/>
              <w:right w:val="single" w:color="auto" w:sz="4" w:space="0"/>
            </w:tcBorders>
            <w:noWrap w:val="0"/>
            <w:vAlign w:val="top"/>
          </w:tcPr>
          <w:p w14:paraId="01D9A79D">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采样及送检路径的便捷性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以实验室地理位置（需有证明资料）到达新昌县住房和城乡建设局的时间为准，送检</w:t>
            </w:r>
            <w:r>
              <w:rPr>
                <w:rFonts w:hint="eastAsia" w:ascii="宋体" w:hAnsi="宋体" w:eastAsia="宋体" w:cs="宋体"/>
                <w:color w:val="auto"/>
                <w:sz w:val="24"/>
                <w:szCs w:val="24"/>
                <w:highlight w:val="none"/>
              </w:rPr>
              <w:t>速</w:t>
            </w:r>
            <w:r>
              <w:rPr>
                <w:rFonts w:hint="eastAsia" w:ascii="宋体" w:hAnsi="宋体" w:eastAsia="宋体" w:cs="宋体"/>
                <w:color w:val="auto"/>
                <w:sz w:val="24"/>
                <w:szCs w:val="24"/>
                <w:highlight w:val="none"/>
                <w:lang w:val="en-US" w:eastAsia="zh-CN"/>
              </w:rPr>
              <w:t>度1</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送检</w:t>
            </w:r>
            <w:r>
              <w:rPr>
                <w:rFonts w:hint="eastAsia" w:ascii="宋体" w:hAnsi="宋体" w:eastAsia="宋体" w:cs="宋体"/>
                <w:color w:val="auto"/>
                <w:sz w:val="24"/>
                <w:szCs w:val="24"/>
                <w:highlight w:val="none"/>
              </w:rPr>
              <w:t>速度</w:t>
            </w:r>
            <w:r>
              <w:rPr>
                <w:rFonts w:hint="eastAsia" w:ascii="宋体" w:hAnsi="宋体" w:eastAsia="宋体" w:cs="宋体"/>
                <w:color w:val="auto"/>
                <w:sz w:val="24"/>
                <w:szCs w:val="24"/>
                <w:highlight w:val="none"/>
                <w:lang w:val="en-US" w:eastAsia="zh-CN"/>
              </w:rPr>
              <w:t>1-2（含）</w:t>
            </w:r>
            <w:r>
              <w:rPr>
                <w:rFonts w:hint="eastAsia" w:ascii="宋体" w:hAnsi="宋体" w:eastAsia="宋体" w:cs="宋体"/>
                <w:color w:val="auto"/>
                <w:sz w:val="24"/>
                <w:szCs w:val="24"/>
                <w:highlight w:val="none"/>
              </w:rPr>
              <w:t>小时的得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送检</w:t>
            </w:r>
            <w:r>
              <w:rPr>
                <w:rFonts w:hint="eastAsia" w:ascii="宋体" w:hAnsi="宋体" w:eastAsia="宋体" w:cs="宋体"/>
                <w:color w:val="auto"/>
                <w:sz w:val="24"/>
                <w:szCs w:val="24"/>
                <w:highlight w:val="none"/>
              </w:rPr>
              <w:t>速度</w:t>
            </w:r>
            <w:r>
              <w:rPr>
                <w:rFonts w:hint="eastAsia" w:ascii="宋体" w:hAnsi="宋体" w:eastAsia="宋体" w:cs="宋体"/>
                <w:color w:val="auto"/>
                <w:sz w:val="24"/>
                <w:szCs w:val="24"/>
                <w:highlight w:val="none"/>
                <w:lang w:val="en-US" w:eastAsia="zh-CN"/>
              </w:rPr>
              <w:t>超过2</w:t>
            </w:r>
            <w:r>
              <w:rPr>
                <w:rFonts w:hint="eastAsia" w:ascii="宋体" w:hAnsi="宋体" w:eastAsia="宋体" w:cs="宋体"/>
                <w:color w:val="auto"/>
                <w:sz w:val="24"/>
                <w:szCs w:val="24"/>
                <w:highlight w:val="none"/>
              </w:rPr>
              <w:t>小时的得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D535DFC">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送检速度证明材料：高德地图或百度地图等导航软件的驾车导航时间截图。</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363EB6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1CD02E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bl>
    <w:p w14:paraId="20127058">
      <w:pPr>
        <w:keepNext w:val="0"/>
        <w:keepLines w:val="0"/>
        <w:widowControl/>
        <w:suppressLineNumbers w:val="0"/>
        <w:snapToGrid w:val="0"/>
        <w:spacing w:before="0" w:beforeAutospacing="0" w:after="0" w:afterAutospacing="0" w:line="440" w:lineRule="exact"/>
        <w:ind w:left="0" w:right="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注：①、以上证明材料要求提供相关扫描件。</w:t>
      </w:r>
    </w:p>
    <w:p w14:paraId="5CDA17B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②、采购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机构审查的，采购机构将向上级主管部门报告并予以处理。</w:t>
      </w:r>
    </w:p>
    <w:p w14:paraId="40139D8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第四条  报价部分</w:t>
      </w:r>
    </w:p>
    <w:tbl>
      <w:tblPr>
        <w:tblStyle w:val="20"/>
        <w:tblW w:w="9418"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0" w:type="dxa"/>
          <w:right w:w="15" w:type="dxa"/>
        </w:tblCellMar>
      </w:tblPr>
      <w:tblGrid>
        <w:gridCol w:w="687"/>
        <w:gridCol w:w="783"/>
        <w:gridCol w:w="659"/>
        <w:gridCol w:w="7289"/>
      </w:tblGrid>
      <w:tr w14:paraId="3DAF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0" w:type="dxa"/>
            <w:right w:w="15" w:type="dxa"/>
          </w:tblCellMar>
        </w:tblPrEx>
        <w:trPr>
          <w:trHeight w:val="174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45F4">
            <w:pPr>
              <w:keepNext w:val="0"/>
              <w:keepLines w:val="0"/>
              <w:widowControl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价格部分</w:t>
            </w:r>
          </w:p>
        </w:tc>
        <w:tc>
          <w:tcPr>
            <w:tcW w:w="783" w:type="dxa"/>
            <w:tcBorders>
              <w:top w:val="single" w:color="000000" w:sz="4" w:space="0"/>
              <w:left w:val="nil"/>
              <w:bottom w:val="single" w:color="000000" w:sz="4" w:space="0"/>
              <w:right w:val="single" w:color="000000" w:sz="4" w:space="0"/>
            </w:tcBorders>
            <w:shd w:val="clear" w:color="auto" w:fill="auto"/>
            <w:vAlign w:val="center"/>
          </w:tcPr>
          <w:p w14:paraId="3D0150E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tc>
        <w:tc>
          <w:tcPr>
            <w:tcW w:w="659" w:type="dxa"/>
            <w:tcBorders>
              <w:top w:val="single" w:color="000000" w:sz="4" w:space="0"/>
              <w:left w:val="nil"/>
              <w:bottom w:val="single" w:color="000000" w:sz="4" w:space="0"/>
              <w:right w:val="single" w:color="000000" w:sz="4" w:space="0"/>
            </w:tcBorders>
            <w:shd w:val="clear" w:color="auto" w:fill="auto"/>
            <w:vAlign w:val="center"/>
          </w:tcPr>
          <w:p w14:paraId="4534C947">
            <w:pPr>
              <w:keepNext w:val="0"/>
              <w:keepLines w:val="0"/>
              <w:widowControl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20</w:t>
            </w:r>
          </w:p>
        </w:tc>
        <w:tc>
          <w:tcPr>
            <w:tcW w:w="7289" w:type="dxa"/>
            <w:tcBorders>
              <w:top w:val="single" w:color="000000" w:sz="4" w:space="0"/>
              <w:left w:val="nil"/>
              <w:bottom w:val="single" w:color="000000" w:sz="4" w:space="0"/>
              <w:right w:val="single" w:color="000000" w:sz="4" w:space="0"/>
            </w:tcBorders>
            <w:shd w:val="clear" w:color="auto" w:fill="auto"/>
            <w:vAlign w:val="center"/>
          </w:tcPr>
          <w:p w14:paraId="09FA127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低价优先法计算:满足招标文件要求最低报价为评标基准价,其价格分为满分。其他投标人的价格分统一按照下列公式计算:</w:t>
            </w:r>
          </w:p>
          <w:p w14:paraId="5C5331AD">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投标报价得分=（评定基准价/投标报价）×20%×100</w:t>
            </w:r>
          </w:p>
        </w:tc>
      </w:tr>
    </w:tbl>
    <w:p w14:paraId="4DC528B0">
      <w:pPr>
        <w:pStyle w:val="4"/>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kern w:val="2"/>
          <w:sz w:val="40"/>
          <w:szCs w:val="40"/>
          <w:highlight w:val="none"/>
        </w:rPr>
      </w:pPr>
      <w:r>
        <w:rPr>
          <w:rFonts w:hint="eastAsia" w:ascii="宋体" w:hAnsi="宋体" w:eastAsia="宋体" w:cs="宋体"/>
          <w:b/>
          <w:bCs/>
          <w:color w:val="auto"/>
          <w:kern w:val="2"/>
          <w:sz w:val="22"/>
          <w:szCs w:val="22"/>
          <w:highlight w:val="none"/>
        </w:rPr>
        <w:t>评标委员会认为投标人的报价明显低于其他通过符合性审查投标人的报价，有可能影响服务质量或者不能诚信履约的，经线上询标后，如不能在开评标线上1小时内提供相关证明材料证明其报价合理性的，作为无效投标处理。</w:t>
      </w:r>
    </w:p>
    <w:p w14:paraId="1FE93F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bCs/>
          <w:color w:val="auto"/>
          <w:kern w:val="2"/>
          <w:sz w:val="22"/>
          <w:szCs w:val="22"/>
          <w:highlight w:val="none"/>
          <w:lang w:val="en-US" w:eastAsia="zh-CN" w:bidi="ar"/>
        </w:rPr>
        <w:t>第五条  综合得分=资信技术部分得分+报价部分得分</w:t>
      </w:r>
    </w:p>
    <w:p w14:paraId="04CF20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第六条  评审完毕后，评标委员会对有效投标按照综合得分自高到低进行排序，推荐1名中标候选人；如得分有并列，由投标报价低者优先，如投标报价也相同，则抽签产生排名。</w:t>
      </w:r>
    </w:p>
    <w:p w14:paraId="79530C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color w:val="auto"/>
          <w:sz w:val="20"/>
          <w:szCs w:val="22"/>
          <w:highlight w:val="none"/>
        </w:rPr>
      </w:pPr>
      <w:r>
        <w:rPr>
          <w:rFonts w:hint="eastAsia" w:ascii="宋体" w:hAnsi="宋体" w:eastAsia="宋体" w:cs="宋体"/>
          <w:color w:val="auto"/>
          <w:kern w:val="2"/>
          <w:sz w:val="22"/>
          <w:szCs w:val="22"/>
          <w:highlight w:val="none"/>
          <w:lang w:val="en-US" w:eastAsia="zh-CN" w:bidi="ar"/>
        </w:rPr>
        <w:t>第七条  本评标办法未尽事宜由评标委员会集体讨论决定。</w:t>
      </w:r>
    </w:p>
    <w:p w14:paraId="3206822E">
      <w:pPr>
        <w:pStyle w:val="28"/>
        <w:keepNext w:val="0"/>
        <w:tabs>
          <w:tab w:val="left" w:pos="0"/>
          <w:tab w:val="left" w:pos="360"/>
        </w:tabs>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1781EEEF">
      <w:pPr>
        <w:pStyle w:val="28"/>
        <w:keepNext w:val="0"/>
        <w:tabs>
          <w:tab w:val="left" w:pos="0"/>
          <w:tab w:val="left" w:pos="360"/>
        </w:tabs>
        <w:spacing w:line="360" w:lineRule="auto"/>
        <w:ind w:firstLine="1606" w:firstLineChars="5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386ECF68">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30D50598">
      <w:pPr>
        <w:pStyle w:val="28"/>
        <w:keepNext w:val="0"/>
        <w:tabs>
          <w:tab w:val="left" w:pos="0"/>
          <w:tab w:val="left" w:pos="360"/>
        </w:tabs>
        <w:spacing w:line="360" w:lineRule="auto"/>
        <w:ind w:left="0" w:leftChars="0" w:firstLine="842" w:firstLineChars="262"/>
        <w:jc w:val="center"/>
        <w:rPr>
          <w:rFonts w:ascii="宋体" w:hAnsi="宋体" w:cs="宋体"/>
          <w:b/>
          <w:color w:val="auto"/>
          <w:sz w:val="32"/>
          <w:szCs w:val="32"/>
          <w:highlight w:val="none"/>
        </w:rPr>
      </w:pPr>
      <w:r>
        <w:rPr>
          <w:rFonts w:hint="eastAsia" w:ascii="宋体" w:hAnsi="宋体" w:cs="宋体"/>
          <w:b/>
          <w:color w:val="auto"/>
          <w:sz w:val="32"/>
          <w:szCs w:val="32"/>
          <w:highlight w:val="none"/>
        </w:rPr>
        <w:t>二、投标须知</w:t>
      </w:r>
    </w:p>
    <w:p w14:paraId="047AEB8A">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14:paraId="08D952C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1、招标说明</w:t>
      </w:r>
    </w:p>
    <w:p w14:paraId="71F20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本次招标采购项目具体要求详见采购需求。</w:t>
      </w:r>
    </w:p>
    <w:p w14:paraId="427088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本招标采购项目按照《中华人民共和国政府采购法》、《</w:t>
      </w:r>
      <w:r>
        <w:rPr>
          <w:rFonts w:hint="eastAsia" w:ascii="宋体" w:hAnsi="宋体" w:cs="宋体"/>
          <w:color w:val="auto"/>
          <w:sz w:val="24"/>
          <w:highlight w:val="none"/>
          <w:lang w:eastAsia="zh-CN"/>
        </w:rPr>
        <w:t>中华人民共和国政府采购法实施条例</w:t>
      </w:r>
      <w:r>
        <w:rPr>
          <w:rFonts w:hint="eastAsia" w:ascii="宋体" w:hAnsi="宋体" w:cs="宋体"/>
          <w:color w:val="auto"/>
          <w:sz w:val="24"/>
          <w:highlight w:val="none"/>
        </w:rPr>
        <w:t>》等有关规定，通过公开招标方式选定供应商。</w:t>
      </w:r>
    </w:p>
    <w:p w14:paraId="74FB26B1">
      <w:pPr>
        <w:spacing w:line="360" w:lineRule="auto"/>
        <w:ind w:left="420" w:leftChars="200"/>
        <w:rPr>
          <w:rFonts w:hint="eastAsia" w:ascii="宋体" w:hAnsi="宋体" w:cs="宋体"/>
          <w:b/>
          <w:bCs/>
          <w:color w:val="auto"/>
          <w:sz w:val="24"/>
          <w:highlight w:val="none"/>
        </w:rPr>
      </w:pPr>
      <w:r>
        <w:rPr>
          <w:rFonts w:hint="eastAsia" w:ascii="宋体" w:hAnsi="宋体" w:cs="宋体"/>
          <w:b/>
          <w:bCs/>
          <w:color w:val="auto"/>
          <w:sz w:val="24"/>
          <w:highlight w:val="none"/>
        </w:rPr>
        <w:t>2、合格的投标人</w:t>
      </w:r>
    </w:p>
    <w:p w14:paraId="6D3CF467">
      <w:pPr>
        <w:spacing w:line="360" w:lineRule="auto"/>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详见招标公告</w:t>
      </w:r>
    </w:p>
    <w:p w14:paraId="7E4E13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3、投标费用</w:t>
      </w:r>
    </w:p>
    <w:p w14:paraId="1D5F7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3.1无论投标过程和结果如何，投标人自行承担与投标有关的全部费用。</w:t>
      </w:r>
    </w:p>
    <w:p w14:paraId="44F5858F">
      <w:pPr>
        <w:snapToGrid w:val="0"/>
        <w:spacing w:line="400" w:lineRule="exact"/>
        <w:ind w:firstLine="482"/>
        <w:jc w:val="left"/>
        <w:outlineLvl w:val="2"/>
        <w:rPr>
          <w:rFonts w:ascii="宋体" w:hAnsi="宋体" w:cs="宋体"/>
          <w:color w:val="auto"/>
          <w:sz w:val="24"/>
          <w:highlight w:val="none"/>
        </w:rPr>
      </w:pPr>
      <w:r>
        <w:rPr>
          <w:rFonts w:hint="eastAsia" w:ascii="宋体" w:hAnsi="宋体" w:cs="宋体"/>
          <w:b/>
          <w:color w:val="auto"/>
          <w:sz w:val="24"/>
          <w:highlight w:val="none"/>
        </w:rPr>
        <w:t>4、投标人及委托有关说明</w:t>
      </w:r>
    </w:p>
    <w:p w14:paraId="1229C679">
      <w:pPr>
        <w:snapToGrid w:val="0"/>
        <w:spacing w:line="400" w:lineRule="exact"/>
        <w:ind w:firstLine="480"/>
        <w:jc w:val="left"/>
        <w:outlineLvl w:val="2"/>
        <w:rPr>
          <w:rFonts w:ascii="宋体" w:hAnsi="宋体" w:cs="宋体"/>
          <w:color w:val="auto"/>
          <w:sz w:val="24"/>
          <w:highlight w:val="none"/>
        </w:rPr>
      </w:pPr>
      <w:r>
        <w:rPr>
          <w:rFonts w:hint="eastAsia" w:ascii="宋体" w:hAnsi="宋体" w:cs="宋体"/>
          <w:color w:val="auto"/>
          <w:sz w:val="24"/>
          <w:highlight w:val="none"/>
        </w:rPr>
        <w:t>4.1.本项目为电子投标项目，授权代表不需要参加现场投标和开标。</w:t>
      </w:r>
    </w:p>
    <w:p w14:paraId="7A904FFB">
      <w:pPr>
        <w:snapToGrid w:val="0"/>
        <w:spacing w:line="400" w:lineRule="exact"/>
        <w:ind w:firstLine="480"/>
        <w:jc w:val="left"/>
        <w:outlineLvl w:val="2"/>
        <w:rPr>
          <w:rFonts w:ascii="宋体" w:hAnsi="宋体" w:cs="宋体"/>
          <w:color w:val="auto"/>
          <w:sz w:val="24"/>
          <w:highlight w:val="none"/>
        </w:rPr>
      </w:pPr>
      <w:r>
        <w:rPr>
          <w:rFonts w:hint="eastAsia" w:ascii="宋体" w:hAnsi="宋体" w:cs="宋体"/>
          <w:color w:val="auto"/>
          <w:sz w:val="24"/>
          <w:highlight w:val="none"/>
        </w:rPr>
        <w:t>4.2.投标人投标所使用的资格、信誉、荣誉、业绩与企业认证必须为本法人所拥有。</w:t>
      </w:r>
    </w:p>
    <w:p w14:paraId="14719FC9">
      <w:pPr>
        <w:snapToGrid w:val="0"/>
        <w:spacing w:line="400" w:lineRule="exact"/>
        <w:ind w:firstLine="480"/>
        <w:jc w:val="left"/>
        <w:outlineLvl w:val="2"/>
        <w:rPr>
          <w:rFonts w:ascii="宋体" w:hAnsi="宋体" w:cs="宋体"/>
          <w:color w:val="auto"/>
          <w:sz w:val="24"/>
          <w:highlight w:val="none"/>
        </w:rPr>
      </w:pPr>
      <w:r>
        <w:rPr>
          <w:rFonts w:hint="eastAsia" w:ascii="宋体" w:hAnsi="宋体" w:cs="宋体"/>
          <w:color w:val="auto"/>
          <w:sz w:val="24"/>
          <w:highlight w:val="none"/>
        </w:rPr>
        <w:t>4.3.单位负责人为同一人或者存在直接控股、管理关系的不同供应商，不得参加同一合同项下的政府采购活动。</w:t>
      </w:r>
    </w:p>
    <w:p w14:paraId="4957642D">
      <w:pPr>
        <w:snapToGrid w:val="0"/>
        <w:spacing w:line="400" w:lineRule="exact"/>
        <w:ind w:firstLine="480"/>
        <w:jc w:val="left"/>
        <w:outlineLvl w:val="2"/>
        <w:rPr>
          <w:rFonts w:ascii="宋体" w:hAnsi="宋体" w:cs="宋体"/>
          <w:color w:val="auto"/>
          <w:sz w:val="24"/>
          <w:highlight w:val="none"/>
        </w:rPr>
      </w:pPr>
      <w:r>
        <w:rPr>
          <w:rFonts w:hint="eastAsia" w:ascii="宋体" w:hAnsi="宋体" w:cs="宋体"/>
          <w:color w:val="auto"/>
          <w:sz w:val="24"/>
          <w:highlight w:val="none"/>
        </w:rPr>
        <w:t>4.4.投标人应仔细阅读招标文件的所有内容，按照招标文件的要求提交投标文件，并对所提供的全部资料的真实性承担法律责任。</w:t>
      </w:r>
    </w:p>
    <w:p w14:paraId="14FCCC6D">
      <w:pPr>
        <w:spacing w:line="360" w:lineRule="auto"/>
        <w:rPr>
          <w:rFonts w:ascii="宋体" w:hAnsi="宋体"/>
          <w:color w:val="auto"/>
          <w:sz w:val="24"/>
          <w:highlight w:val="none"/>
        </w:rPr>
      </w:pPr>
      <w:r>
        <w:rPr>
          <w:rFonts w:hint="eastAsia" w:ascii="宋体" w:hAnsi="宋体"/>
          <w:color w:val="auto"/>
          <w:sz w:val="24"/>
          <w:highlight w:val="none"/>
        </w:rPr>
        <w:t xml:space="preserve">    5、</w:t>
      </w:r>
      <w:r>
        <w:rPr>
          <w:rFonts w:hint="eastAsia" w:ascii="宋体" w:hAnsi="宋体"/>
          <w:b/>
          <w:bCs/>
          <w:color w:val="auto"/>
          <w:sz w:val="24"/>
          <w:highlight w:val="none"/>
        </w:rPr>
        <w:t>采购项目需要落实的政府采购政策</w:t>
      </w:r>
    </w:p>
    <w:p w14:paraId="370509BE">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5.1 本项目原则上采购本国生产的货物、工程和服务。</w:t>
      </w:r>
    </w:p>
    <w:p w14:paraId="361FC39D">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5.2根据《政府采购促进中小企业发展管理办法》财库</w:t>
      </w:r>
      <w:r>
        <w:rPr>
          <w:rFonts w:hint="eastAsia" w:ascii="宋体" w:hAnsi="宋体"/>
          <w:color w:val="auto"/>
          <w:sz w:val="24"/>
          <w:highlight w:val="none"/>
          <w:lang w:eastAsia="zh-CN"/>
        </w:rPr>
        <w:t>〔2020〕46号</w:t>
      </w:r>
      <w:r>
        <w:rPr>
          <w:rFonts w:hint="eastAsia" w:ascii="宋体" w:hAnsi="宋体"/>
          <w:color w:val="auto"/>
          <w:sz w:val="24"/>
          <w:highlight w:val="none"/>
        </w:rPr>
        <w:t>文件的规定，本项目预留份额专门面向中小企业采购。</w:t>
      </w:r>
    </w:p>
    <w:p w14:paraId="26810CA4">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5.3 节能环保要求</w:t>
      </w:r>
    </w:p>
    <w:p w14:paraId="50C5B639">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5.3.1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61E9ACC">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5.3.2采购人拟采购的产品属于政府强制采购的节能产品品目清单范围的，投标人未按招标文件要求提供国家确定的认证机构出具的、处于有效期之内的节能产品认证证书，投标无效。</w:t>
      </w:r>
    </w:p>
    <w:p w14:paraId="6A40A498">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5.4小微企业价格扣除。</w:t>
      </w:r>
    </w:p>
    <w:p w14:paraId="006BFA1F">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5.4.1本项目</w:t>
      </w:r>
      <w:r>
        <w:rPr>
          <w:rFonts w:hint="eastAsia" w:ascii="宋体" w:hAnsi="宋体"/>
          <w:b w:val="0"/>
          <w:bCs w:val="0"/>
          <w:color w:val="auto"/>
          <w:sz w:val="24"/>
          <w:highlight w:val="none"/>
        </w:rPr>
        <w:t>专门</w:t>
      </w:r>
      <w:r>
        <w:rPr>
          <w:rFonts w:hint="eastAsia" w:ascii="宋体" w:hAnsi="宋体"/>
          <w:color w:val="auto"/>
          <w:sz w:val="24"/>
          <w:highlight w:val="none"/>
        </w:rPr>
        <w:t>面向中小企业采购。</w:t>
      </w:r>
    </w:p>
    <w:p w14:paraId="23180389">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5.4.2本项目对应的中小企业划分标准所属行业：</w:t>
      </w:r>
      <w:r>
        <w:rPr>
          <w:rFonts w:hint="eastAsia" w:ascii="宋体" w:hAnsi="宋体" w:cs="宋体"/>
          <w:color w:val="auto"/>
          <w:sz w:val="24"/>
          <w:highlight w:val="none"/>
          <w:lang w:val="en-US" w:eastAsia="zh-CN"/>
        </w:rPr>
        <w:t>技术服务业</w:t>
      </w:r>
      <w:r>
        <w:rPr>
          <w:rFonts w:hint="eastAsia" w:ascii="宋体" w:hAnsi="宋体"/>
          <w:color w:val="auto"/>
          <w:sz w:val="24"/>
          <w:highlight w:val="none"/>
        </w:rPr>
        <w:t>。</w:t>
      </w:r>
    </w:p>
    <w:p w14:paraId="27A870C6">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5.4.3小微企业是指在中华人民共和国境内依法设立，依据国务院批准的中小企业划分标准确定的小型企业和微型企业，但与大企业的负责人为同一人，或者与大企业存在直接控股、管理关系的除外。</w:t>
      </w:r>
    </w:p>
    <w:p w14:paraId="706D1E4E">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5.4.4在货物采购项目中，货物由小微企业制造，即货物由小微企业生产且使用该小微企业商号或者注册商标。供应商提供的货物既有中小企业制造货物，也有大型企业制造货物的，不享受中小企业扶持政策。</w:t>
      </w:r>
    </w:p>
    <w:p w14:paraId="4B4DCCCE">
      <w:pPr>
        <w:pStyle w:val="10"/>
        <w:ind w:firstLine="480" w:firstLineChars="200"/>
        <w:rPr>
          <w:color w:val="auto"/>
          <w:highlight w:val="none"/>
        </w:rPr>
      </w:pPr>
      <w:r>
        <w:rPr>
          <w:rFonts w:hint="eastAsia" w:hAnsi="宋体"/>
          <w:color w:val="auto"/>
          <w:kern w:val="2"/>
          <w:sz w:val="24"/>
          <w:szCs w:val="24"/>
          <w:highlight w:val="none"/>
        </w:rPr>
        <w:t>5.4.5在服务采购项目中，服务由小微企业承接，即提供服务的人员为小微企业依照《中华人民共和国劳动合同法》订立劳动合同的从业人员。</w:t>
      </w:r>
    </w:p>
    <w:p w14:paraId="336779BD">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5.4.6小微企业应按照招标文件格式要求提供《中小企业声明函》。</w:t>
      </w:r>
    </w:p>
    <w:p w14:paraId="4F1859A0">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5.4.7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0B49E7A3">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5.4.8符合《关于促进残疾人就业政府采购政策的通知》（财库〔2017〕141号）规定的条件并提供《残疾人福利性单位声明函》（附件1）的残疾人福利性单位视同小微企业；</w:t>
      </w:r>
    </w:p>
    <w:p w14:paraId="2692396D">
      <w:pPr>
        <w:autoSpaceDE/>
        <w:autoSpaceDN/>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5.4.9 符合《关于政府采购支持监狱企业发展有关问题的通知》（财库</w:t>
      </w:r>
      <w:r>
        <w:rPr>
          <w:rFonts w:hint="eastAsia" w:ascii="宋体" w:hAnsi="宋体"/>
          <w:color w:val="auto"/>
          <w:sz w:val="24"/>
          <w:highlight w:val="none"/>
          <w:lang w:eastAsia="zh-CN"/>
        </w:rPr>
        <w:t>〔2014〕68号</w:t>
      </w:r>
      <w:r>
        <w:rPr>
          <w:rFonts w:hint="eastAsia" w:ascii="宋体" w:hAnsi="宋体"/>
          <w:color w:val="auto"/>
          <w:sz w:val="24"/>
          <w:highlight w:val="none"/>
        </w:rPr>
        <w:t>）规定的监狱企业并提供由省级以上监狱管理局、戒毒管理局（含新疆生产建设兵团）出具的属于监狱企业证明文件的，视同为小微企业。</w:t>
      </w:r>
    </w:p>
    <w:p w14:paraId="34B13CB8">
      <w:pPr>
        <w:spacing w:line="360" w:lineRule="auto"/>
        <w:rPr>
          <w:rFonts w:ascii="宋体" w:hAnsi="宋体" w:cs="宋体"/>
          <w:color w:val="auto"/>
          <w:sz w:val="24"/>
          <w:highlight w:val="none"/>
        </w:rPr>
      </w:pPr>
    </w:p>
    <w:p w14:paraId="3D5F6C30">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（二）招标文件</w:t>
      </w:r>
    </w:p>
    <w:p w14:paraId="1ED42F3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1、招标文件的组成</w:t>
      </w:r>
    </w:p>
    <w:p w14:paraId="327B6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1.1招标文件由招标公告、采购需求、投标须知及其前附表、合同主要条款、投标文件格式五部分内容组成。</w:t>
      </w:r>
    </w:p>
    <w:p w14:paraId="13796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1.2除4.1内容外，招标人在提交投标文件截止时间前，以公告形式发出的对招标文件的澄清或修改内容，均为招标文件的组成部分，对招标人和投标人起约束作用。</w:t>
      </w:r>
    </w:p>
    <w:p w14:paraId="26C45ED5">
      <w:pPr>
        <w:snapToGrid w:val="0"/>
        <w:spacing w:line="400" w:lineRule="exact"/>
        <w:ind w:firstLine="482"/>
        <w:jc w:val="left"/>
        <w:outlineLvl w:val="2"/>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 xml:space="preserve">招标文件的澄清与修改 </w:t>
      </w:r>
    </w:p>
    <w:p w14:paraId="431FA39E">
      <w:pPr>
        <w:snapToGrid w:val="0"/>
        <w:spacing w:line="400" w:lineRule="exact"/>
        <w:ind w:firstLine="480"/>
        <w:jc w:val="left"/>
        <w:rPr>
          <w:rFonts w:ascii="宋体" w:hAnsi="宋体" w:cs="宋体"/>
          <w:color w:val="auto"/>
          <w:sz w:val="24"/>
          <w:highlight w:val="none"/>
        </w:rPr>
      </w:pPr>
      <w:bookmarkStart w:id="6" w:name="OLE_LINK5"/>
      <w:r>
        <w:rPr>
          <w:rFonts w:hint="eastAsia" w:ascii="宋体" w:hAnsi="宋体" w:cs="宋体"/>
          <w:color w:val="auto"/>
          <w:sz w:val="24"/>
          <w:highlight w:val="none"/>
        </w:rPr>
        <w:t>2.1.投标人应认真阅读本招标文件，发现其中有误或有要求不合理的，投标人必须在投标须知前附表规定的招标文件答疑与澄清截止时间前以书面形式要求招标采购单位澄清。</w:t>
      </w:r>
    </w:p>
    <w:p w14:paraId="24604548">
      <w:pPr>
        <w:snapToGrid w:val="0"/>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2.2.招标采购单位必须以书面形式答复投标人要求澄清的问题，并将不包含问题来源的答复书面通知所有购买招标文件的投标人。</w:t>
      </w:r>
    </w:p>
    <w:p w14:paraId="7A76DD65">
      <w:pPr>
        <w:snapToGrid w:val="0"/>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2.3.招标采购单位对已发出的招标文件进行必要澄清、答复、修改或补充的，应在招标文件要求提交投标文件截止时间3日前，在浙江政府采购网（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3"/>
          <w:rFonts w:hint="eastAsia" w:ascii="宋体" w:hAnsi="宋体" w:cs="宋体"/>
          <w:color w:val="auto"/>
          <w:sz w:val="24"/>
          <w:highlight w:val="none"/>
        </w:rPr>
        <w:t>http://www.zjzfcg.gov.cn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eastAsia="zh-CN"/>
        </w:rPr>
        <w:t>和</w:t>
      </w:r>
      <w:r>
        <w:rPr>
          <w:rFonts w:hint="eastAsia" w:ascii="宋体" w:hAnsi="宋体" w:cs="宋体"/>
          <w:bCs/>
          <w:color w:val="auto"/>
          <w:sz w:val="24"/>
          <w:highlight w:val="none"/>
        </w:rPr>
        <w:t>新昌县公共资源交易平台http://www.zjxc.gov.cn/col/col1634736/index.html</w:t>
      </w:r>
      <w:r>
        <w:rPr>
          <w:rFonts w:hint="eastAsia" w:ascii="宋体" w:hAnsi="宋体" w:cs="宋体"/>
          <w:color w:val="auto"/>
          <w:sz w:val="24"/>
          <w:highlight w:val="none"/>
        </w:rPr>
        <w:t>上发布更正公告，并以书面形式通知所有招标文件收受人。</w:t>
      </w:r>
    </w:p>
    <w:p w14:paraId="2FE74980">
      <w:pPr>
        <w:snapToGrid w:val="0"/>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2.4.为保证投标人有足够的时间按修改、补充后的招标文件的要求编制和修正其投标文件，招标采购单位可酌情推迟投标截止时间和开标时间，并在招标文件要求提交投标文件截止时间3日前，将变更后的时间书面通知所有招标文件收受人，同时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3"/>
          <w:rFonts w:hint="eastAsia" w:ascii="宋体" w:hAnsi="宋体" w:cs="宋体"/>
          <w:color w:val="auto"/>
          <w:sz w:val="24"/>
          <w:highlight w:val="none"/>
        </w:rPr>
        <w:t>http://www.zjzfcg.gov.cn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eastAsia="zh-CN"/>
        </w:rPr>
        <w:t>和</w:t>
      </w:r>
      <w:r>
        <w:rPr>
          <w:rFonts w:hint="eastAsia" w:ascii="宋体" w:hAnsi="宋体" w:cs="宋体"/>
          <w:bCs/>
          <w:color w:val="auto"/>
          <w:sz w:val="24"/>
          <w:highlight w:val="none"/>
        </w:rPr>
        <w:t>新昌县公共资源交易平台http://www.zjxc.gov.cn/col/col1634736/index.html</w:t>
      </w:r>
      <w:r>
        <w:rPr>
          <w:rFonts w:hint="eastAsia" w:ascii="宋体" w:hAnsi="宋体" w:cs="宋体"/>
          <w:color w:val="auto"/>
          <w:sz w:val="24"/>
          <w:highlight w:val="none"/>
        </w:rPr>
        <w:t>上发布变更公告。</w:t>
      </w:r>
    </w:p>
    <w:p w14:paraId="3955D30F">
      <w:pPr>
        <w:snapToGrid w:val="0"/>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2.5.招标文件澄清、答复、修改、补充的内容为招标文件的组成部分。当招标文件与招标文件的答复、澄清、修改、补充通知就同一内容的表述不一致时，以最后发出的书面文件为准。</w:t>
      </w:r>
    </w:p>
    <w:bookmarkEnd w:id="6"/>
    <w:p w14:paraId="15D2ACF7">
      <w:pPr>
        <w:tabs>
          <w:tab w:val="left" w:pos="9540"/>
        </w:tabs>
        <w:spacing w:line="312" w:lineRule="auto"/>
        <w:ind w:right="40" w:rightChars="19" w:firstLine="540" w:firstLineChars="225"/>
        <w:rPr>
          <w:rFonts w:ascii="宋体" w:hAnsi="宋体" w:cs="宋体"/>
          <w:color w:val="auto"/>
          <w:sz w:val="24"/>
          <w:highlight w:val="none"/>
        </w:rPr>
      </w:pPr>
    </w:p>
    <w:p w14:paraId="136C7693">
      <w:pPr>
        <w:numPr>
          <w:ilvl w:val="0"/>
          <w:numId w:val="3"/>
        </w:num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投标文件的编制</w:t>
      </w:r>
    </w:p>
    <w:p w14:paraId="1BAD42CE">
      <w:pPr>
        <w:snapToGrid w:val="0"/>
        <w:spacing w:line="400" w:lineRule="exact"/>
        <w:ind w:firstLine="482"/>
        <w:jc w:val="left"/>
        <w:rPr>
          <w:rFonts w:ascii="宋体" w:hAnsi="宋体" w:cs="宋体"/>
          <w:color w:val="auto"/>
          <w:sz w:val="24"/>
          <w:highlight w:val="none"/>
        </w:rPr>
      </w:pPr>
      <w:r>
        <w:rPr>
          <w:rFonts w:hint="eastAsia" w:ascii="宋体" w:hAnsi="宋体" w:cs="宋体"/>
          <w:color w:val="auto"/>
          <w:sz w:val="24"/>
          <w:highlight w:val="none"/>
        </w:rPr>
        <w:t>1、投标文件的形式和效力</w:t>
      </w:r>
    </w:p>
    <w:p w14:paraId="05DD678E">
      <w:pPr>
        <w:snapToGrid w:val="0"/>
        <w:spacing w:line="400" w:lineRule="exact"/>
        <w:ind w:firstLine="482"/>
        <w:jc w:val="left"/>
        <w:rPr>
          <w:rFonts w:ascii="宋体" w:hAnsi="宋体" w:cs="宋体"/>
          <w:color w:val="auto"/>
          <w:sz w:val="24"/>
          <w:highlight w:val="none"/>
        </w:rPr>
      </w:pPr>
      <w:r>
        <w:rPr>
          <w:rFonts w:hint="eastAsia" w:ascii="宋体" w:hAnsi="宋体" w:cs="宋体"/>
          <w:color w:val="auto"/>
          <w:sz w:val="24"/>
          <w:highlight w:val="none"/>
        </w:rPr>
        <w:t>投标文件分为电子投标文件以及备份投标文件，备份文件分为以介质存储的数据电文形式的备份投标文件。</w:t>
      </w:r>
    </w:p>
    <w:p w14:paraId="6F31657D">
      <w:pPr>
        <w:snapToGrid w:val="0"/>
        <w:spacing w:line="400" w:lineRule="exact"/>
        <w:ind w:firstLine="482"/>
        <w:jc w:val="left"/>
        <w:rPr>
          <w:rFonts w:ascii="宋体" w:hAnsi="宋体" w:cs="宋体"/>
          <w:color w:val="auto"/>
          <w:sz w:val="24"/>
          <w:highlight w:val="none"/>
        </w:rPr>
      </w:pPr>
      <w:r>
        <w:rPr>
          <w:rFonts w:hint="eastAsia" w:ascii="宋体" w:hAnsi="宋体" w:cs="宋体"/>
          <w:color w:val="auto"/>
          <w:sz w:val="24"/>
          <w:highlight w:val="none"/>
        </w:rPr>
        <w:t>1.1.电子投标文件，按“政采云供应商项目采购-电子招投标操作指南”及本招标文件要求制作、加密并递交。</w:t>
      </w:r>
    </w:p>
    <w:p w14:paraId="7EC6F7B8">
      <w:pPr>
        <w:snapToGrid w:val="0"/>
        <w:spacing w:line="400" w:lineRule="exact"/>
        <w:ind w:firstLine="482"/>
        <w:jc w:val="left"/>
        <w:rPr>
          <w:rFonts w:ascii="宋体" w:hAnsi="宋体" w:cs="宋体"/>
          <w:color w:val="auto"/>
          <w:sz w:val="24"/>
          <w:highlight w:val="none"/>
        </w:rPr>
      </w:pPr>
      <w:r>
        <w:rPr>
          <w:rFonts w:hint="eastAsia" w:ascii="宋体" w:hAnsi="宋体" w:cs="宋体"/>
          <w:color w:val="auto"/>
          <w:sz w:val="24"/>
          <w:highlight w:val="none"/>
        </w:rPr>
        <w:t>1.2.以介质存储的数据电文形式的备份投标文件，即电子投标文件按“政采云供应商项目采购-电子招投标操作指南”制作的备份文件。</w:t>
      </w:r>
    </w:p>
    <w:p w14:paraId="55E615B1">
      <w:pPr>
        <w:snapToGrid w:val="0"/>
        <w:spacing w:line="400" w:lineRule="exact"/>
        <w:ind w:firstLine="482"/>
        <w:jc w:val="left"/>
        <w:rPr>
          <w:rFonts w:ascii="宋体" w:hAnsi="宋体" w:cs="宋体"/>
          <w:color w:val="auto"/>
          <w:sz w:val="24"/>
          <w:highlight w:val="none"/>
        </w:rPr>
      </w:pPr>
      <w:r>
        <w:rPr>
          <w:rFonts w:hint="eastAsia" w:ascii="宋体" w:hAnsi="宋体" w:cs="宋体"/>
          <w:color w:val="auto"/>
          <w:sz w:val="24"/>
          <w:highlight w:val="none"/>
        </w:rPr>
        <w:t>1.4.投标文件的效力</w:t>
      </w:r>
    </w:p>
    <w:p w14:paraId="19DC0B36">
      <w:pPr>
        <w:snapToGrid w:val="0"/>
        <w:spacing w:line="400" w:lineRule="exact"/>
        <w:ind w:firstLine="482"/>
        <w:jc w:val="left"/>
        <w:outlineLvl w:val="2"/>
        <w:rPr>
          <w:rFonts w:ascii="宋体" w:hAnsi="宋体" w:cs="宋体"/>
          <w:color w:val="auto"/>
          <w:sz w:val="24"/>
          <w:highlight w:val="none"/>
        </w:rPr>
      </w:pPr>
      <w:r>
        <w:rPr>
          <w:rFonts w:hint="eastAsia" w:ascii="宋体" w:hAnsi="宋体" w:cs="宋体"/>
          <w:color w:val="auto"/>
          <w:sz w:val="24"/>
          <w:highlight w:val="none"/>
        </w:rPr>
        <w:t>（1）投标文件的启用，按先后顺位分别为电子投标文件、以介质存储的数据电文形式的备份投标文件。在下一顺位的投标文件启用时，前一顺位的投标文件自动失效。</w:t>
      </w:r>
    </w:p>
    <w:p w14:paraId="06233E6C">
      <w:pPr>
        <w:snapToGrid w:val="0"/>
        <w:spacing w:line="400" w:lineRule="exact"/>
        <w:ind w:firstLine="482"/>
        <w:jc w:val="left"/>
        <w:outlineLvl w:val="2"/>
        <w:rPr>
          <w:rFonts w:ascii="宋体" w:hAnsi="宋体" w:cs="宋体"/>
          <w:color w:val="auto"/>
          <w:sz w:val="24"/>
          <w:highlight w:val="none"/>
        </w:rPr>
      </w:pPr>
      <w:r>
        <w:rPr>
          <w:rFonts w:hint="eastAsia" w:ascii="宋体" w:hAnsi="宋体" w:cs="宋体"/>
          <w:color w:val="auto"/>
          <w:sz w:val="24"/>
          <w:highlight w:val="none"/>
        </w:rPr>
        <w:t>（2） 投标、响应文件未按时解密，供应商提供了备份投标、响应文件的，以备份投标、响应文件作为依据，否则视为投标、响应文件撤回。投标、响应文件已按时解密的，备份投标、响应文件自动失效。</w:t>
      </w:r>
    </w:p>
    <w:p w14:paraId="6C3348A6">
      <w:pPr>
        <w:snapToGrid w:val="0"/>
        <w:spacing w:line="40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2、投标文件的组成</w:t>
      </w:r>
    </w:p>
    <w:p w14:paraId="7808ECDA">
      <w:pPr>
        <w:snapToGrid w:val="0"/>
        <w:spacing w:line="400" w:lineRule="exact"/>
        <w:ind w:firstLine="482"/>
        <w:jc w:val="left"/>
        <w:rPr>
          <w:rFonts w:ascii="宋体" w:hAnsi="宋体" w:cs="宋体"/>
          <w:b/>
          <w:bCs/>
          <w:color w:val="auto"/>
          <w:sz w:val="24"/>
          <w:highlight w:val="none"/>
        </w:rPr>
      </w:pPr>
      <w:r>
        <w:rPr>
          <w:rFonts w:hint="eastAsia" w:ascii="宋体" w:hAnsi="宋体" w:cs="宋体"/>
          <w:b/>
          <w:bCs/>
          <w:color w:val="auto"/>
          <w:sz w:val="24"/>
          <w:highlight w:val="none"/>
        </w:rPr>
        <w:t>投标文件组成均为资格证明文件、商务技术文件、报价文件</w:t>
      </w:r>
      <w:r>
        <w:rPr>
          <w:rFonts w:hint="eastAsia" w:ascii="宋体" w:hAnsi="宋体" w:cs="宋体"/>
          <w:b/>
          <w:bCs/>
          <w:color w:val="auto"/>
          <w:sz w:val="24"/>
          <w:highlight w:val="none"/>
          <w:lang w:eastAsia="zh-CN"/>
        </w:rPr>
        <w:t>三部分组成</w:t>
      </w:r>
      <w:r>
        <w:rPr>
          <w:rFonts w:hint="eastAsia" w:ascii="宋体" w:hAnsi="宋体" w:cs="宋体"/>
          <w:b/>
          <w:bCs/>
          <w:color w:val="auto"/>
          <w:sz w:val="24"/>
          <w:highlight w:val="none"/>
        </w:rPr>
        <w:t>。其中电子投标文件中所</w:t>
      </w:r>
      <w:r>
        <w:rPr>
          <w:rFonts w:hint="eastAsia" w:ascii="宋体" w:hAnsi="宋体" w:cs="宋体"/>
          <w:b/>
          <w:bCs/>
          <w:color w:val="auto"/>
          <w:sz w:val="24"/>
          <w:highlight w:val="none"/>
          <w:lang w:eastAsia="zh-CN"/>
        </w:rPr>
        <w:t>需加盖CA签章</w:t>
      </w:r>
      <w:r>
        <w:rPr>
          <w:rFonts w:hint="eastAsia" w:ascii="宋体" w:hAnsi="宋体" w:cs="宋体"/>
          <w:b/>
          <w:bCs/>
          <w:color w:val="auto"/>
          <w:sz w:val="24"/>
          <w:highlight w:val="none"/>
        </w:rPr>
        <w:t>部分均采用CA签章。</w:t>
      </w:r>
    </w:p>
    <w:p w14:paraId="791969C7">
      <w:pPr>
        <w:snapToGrid w:val="0"/>
        <w:spacing w:line="400" w:lineRule="exact"/>
        <w:ind w:firstLine="482"/>
        <w:jc w:val="left"/>
        <w:rPr>
          <w:rFonts w:ascii="宋体" w:hAnsi="宋体" w:cs="宋体"/>
          <w:color w:val="auto"/>
          <w:sz w:val="24"/>
          <w:highlight w:val="none"/>
        </w:rPr>
      </w:pPr>
      <w:r>
        <w:rPr>
          <w:rFonts w:hint="eastAsia" w:ascii="宋体" w:hAnsi="宋体" w:cs="宋体"/>
          <w:b/>
          <w:bCs/>
          <w:color w:val="auto"/>
          <w:sz w:val="24"/>
          <w:highlight w:val="none"/>
        </w:rPr>
        <w:t>2.1.资格证明文件目录</w:t>
      </w:r>
    </w:p>
    <w:p w14:paraId="1A47F0F0">
      <w:pPr>
        <w:snapToGrid w:val="0"/>
        <w:spacing w:line="40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rPr>
        <w:t>（1）提供有效的营业执照复印件并加盖公司公章；事业单位的，则提供有效的《事业单位法人证书》副本复印件并加盖单位公章；自然人的，则提供有效的身份证复印件并签字</w:t>
      </w:r>
      <w:r>
        <w:rPr>
          <w:rFonts w:hint="eastAsia" w:ascii="宋体" w:hAnsi="宋体"/>
          <w:color w:val="auto"/>
          <w:sz w:val="24"/>
          <w:highlight w:val="none"/>
          <w:lang w:bidi="ar"/>
        </w:rPr>
        <w:t>；</w:t>
      </w:r>
    </w:p>
    <w:p w14:paraId="13BF586A">
      <w:pPr>
        <w:snapToGrid w:val="0"/>
        <w:spacing w:line="40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rPr>
        <w:t>（2）提供自招标公告发布之日起至响应截止日内任意时间的“信用中国”网站（www.creditchina.gov.cn）中国政府采购网（www.ccgp.gov.cn）信用查询网页截图。（以开标当日采购人或由采购人委托的评标委员会核实的查询结果为准）</w:t>
      </w:r>
      <w:r>
        <w:rPr>
          <w:rFonts w:hint="eastAsia" w:ascii="宋体" w:hAnsi="宋体"/>
          <w:color w:val="auto"/>
          <w:sz w:val="24"/>
          <w:highlight w:val="none"/>
          <w:lang w:bidi="ar"/>
        </w:rPr>
        <w:t>；</w:t>
      </w:r>
    </w:p>
    <w:p w14:paraId="10D24C8B">
      <w:pPr>
        <w:snapToGrid w:val="0"/>
        <w:spacing w:line="40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rPr>
        <w:t>（3）</w:t>
      </w:r>
      <w:r>
        <w:rPr>
          <w:rFonts w:hint="eastAsia" w:ascii="宋体" w:hAnsi="宋体"/>
          <w:color w:val="auto"/>
          <w:sz w:val="24"/>
          <w:highlight w:val="none"/>
          <w:lang w:bidi="ar"/>
        </w:rPr>
        <w:t>法定代表人身份证明书（格式见附件）；</w:t>
      </w:r>
    </w:p>
    <w:p w14:paraId="4979ED6B">
      <w:pPr>
        <w:snapToGrid w:val="0"/>
        <w:spacing w:line="400" w:lineRule="exact"/>
        <w:ind w:firstLine="480" w:firstLineChars="200"/>
        <w:jc w:val="left"/>
        <w:rPr>
          <w:rFonts w:ascii="宋体" w:hAnsi="宋体"/>
          <w:color w:val="auto"/>
          <w:sz w:val="24"/>
          <w:highlight w:val="none"/>
          <w:lang w:bidi="ar"/>
        </w:rPr>
      </w:pPr>
      <w:r>
        <w:rPr>
          <w:rFonts w:hint="eastAsia" w:ascii="宋体" w:hAnsi="宋体"/>
          <w:color w:val="auto"/>
          <w:sz w:val="24"/>
          <w:highlight w:val="none"/>
        </w:rPr>
        <w:t>（4）</w:t>
      </w:r>
      <w:r>
        <w:rPr>
          <w:rFonts w:hint="eastAsia" w:ascii="宋体" w:hAnsi="宋体"/>
          <w:color w:val="auto"/>
          <w:sz w:val="24"/>
          <w:highlight w:val="none"/>
          <w:lang w:bidi="ar"/>
        </w:rPr>
        <w:t>法定代表人授权委托书（格式见附件，</w:t>
      </w:r>
      <w:r>
        <w:rPr>
          <w:rFonts w:hint="eastAsia" w:ascii="宋体" w:hAnsi="宋体" w:cs="宋体"/>
          <w:color w:val="auto"/>
          <w:sz w:val="24"/>
          <w:highlight w:val="none"/>
        </w:rPr>
        <w:t>若委托</w:t>
      </w:r>
      <w:r>
        <w:rPr>
          <w:rFonts w:hint="eastAsia" w:ascii="宋体" w:hAnsi="宋体"/>
          <w:color w:val="auto"/>
          <w:sz w:val="24"/>
          <w:highlight w:val="none"/>
          <w:lang w:bidi="ar"/>
        </w:rPr>
        <w:t>）；</w:t>
      </w:r>
    </w:p>
    <w:p w14:paraId="0EC0E851">
      <w:pPr>
        <w:snapToGri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（5）供应商参与政府采购活动投标资格声明（格式</w:t>
      </w:r>
      <w:r>
        <w:rPr>
          <w:rFonts w:hint="eastAsia" w:ascii="宋体" w:hAnsi="宋体"/>
          <w:color w:val="auto"/>
          <w:sz w:val="24"/>
          <w:highlight w:val="none"/>
          <w:lang w:bidi="ar"/>
        </w:rPr>
        <w:t>见附件</w:t>
      </w:r>
      <w:r>
        <w:rPr>
          <w:rFonts w:hint="eastAsia" w:ascii="宋体" w:hAnsi="宋体"/>
          <w:color w:val="auto"/>
          <w:sz w:val="24"/>
          <w:highlight w:val="none"/>
        </w:rPr>
        <w:t>）；</w:t>
      </w:r>
    </w:p>
    <w:p w14:paraId="1288ED10">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olor w:val="auto"/>
          <w:sz w:val="24"/>
          <w:szCs w:val="20"/>
          <w:highlight w:val="none"/>
        </w:rPr>
        <w:t>提供中小企业声明函（或监狱企业声明函及其相关的充分的证明材料或残疾人福利性单位声明函）（格式见附件）</w:t>
      </w:r>
      <w:r>
        <w:rPr>
          <w:rFonts w:hint="eastAsia" w:ascii="宋体" w:hAnsi="宋体" w:cs="宋体"/>
          <w:color w:val="auto"/>
          <w:sz w:val="24"/>
          <w:highlight w:val="none"/>
          <w:lang w:bidi="ar"/>
        </w:rPr>
        <w:t>；</w:t>
      </w:r>
    </w:p>
    <w:p w14:paraId="27E94665">
      <w:pPr>
        <w:snapToGrid w:val="0"/>
        <w:spacing w:line="400" w:lineRule="exact"/>
        <w:ind w:firstLine="480" w:firstLineChars="200"/>
        <w:jc w:val="left"/>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提供采购公告中符合投标人特定条件要求的有效的其他资质复印件并加盖公司公章及需要说明的资料。</w:t>
      </w:r>
    </w:p>
    <w:p w14:paraId="21AC0F6B">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2.2.商务技术文件目录</w:t>
      </w:r>
    </w:p>
    <w:p w14:paraId="763901DC">
      <w:pPr>
        <w:spacing w:line="360" w:lineRule="auto"/>
        <w:ind w:firstLine="602" w:firstLineChars="250"/>
        <w:rPr>
          <w:rFonts w:ascii="宋体" w:hAnsi="宋体" w:cs="宋体"/>
          <w:b/>
          <w:bCs/>
          <w:color w:val="auto"/>
          <w:sz w:val="24"/>
          <w:highlight w:val="none"/>
        </w:rPr>
      </w:pPr>
      <w:r>
        <w:rPr>
          <w:rFonts w:hint="eastAsia" w:ascii="宋体" w:hAnsi="宋体" w:cs="宋体"/>
          <w:b/>
          <w:bCs/>
          <w:color w:val="auto"/>
          <w:sz w:val="24"/>
          <w:highlight w:val="none"/>
        </w:rPr>
        <w:t>评分索引表(格式见附件)</w:t>
      </w:r>
    </w:p>
    <w:p w14:paraId="5940A75C">
      <w:pPr>
        <w:spacing w:line="360" w:lineRule="auto"/>
        <w:ind w:firstLine="480" w:firstLineChars="200"/>
        <w:rPr>
          <w:rFonts w:ascii="宋体" w:hAnsi="宋体" w:cs="宋体"/>
          <w:color w:val="auto"/>
          <w:sz w:val="24"/>
          <w:highlight w:val="none"/>
        </w:rPr>
      </w:pPr>
      <w:bookmarkStart w:id="7" w:name="OLE_LINK3"/>
      <w:r>
        <w:rPr>
          <w:rFonts w:hint="eastAsia" w:ascii="宋体" w:hAnsi="宋体" w:cs="宋体"/>
          <w:color w:val="auto"/>
          <w:sz w:val="24"/>
          <w:highlight w:val="none"/>
        </w:rPr>
        <w:t>（1）</w:t>
      </w:r>
      <w:bookmarkEnd w:id="7"/>
      <w:r>
        <w:rPr>
          <w:rFonts w:hint="eastAsia" w:ascii="宋体" w:hAnsi="宋体" w:cs="宋体"/>
          <w:color w:val="auto"/>
          <w:sz w:val="24"/>
          <w:highlight w:val="none"/>
        </w:rPr>
        <w:t>投标函(格式见附件)</w:t>
      </w:r>
    </w:p>
    <w:p w14:paraId="5F99AB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（2）声明书(格式见附件)</w:t>
      </w:r>
    </w:p>
    <w:p w14:paraId="4B20AFD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（3）提供有效的营业执照副本并加盖公司公章；</w:t>
      </w:r>
    </w:p>
    <w:p w14:paraId="54AFF101">
      <w:pPr>
        <w:snapToGrid w:val="0"/>
        <w:spacing w:line="400" w:lineRule="exact"/>
        <w:ind w:firstLine="480" w:firstLineChars="200"/>
        <w:rPr>
          <w:rFonts w:ascii="宋体" w:hAnsi="宋体" w:cs="宋体"/>
          <w:color w:val="auto"/>
          <w:sz w:val="24"/>
          <w:highlight w:val="none"/>
        </w:rPr>
      </w:pPr>
      <w:r>
        <w:rPr>
          <w:rFonts w:hint="eastAsia"/>
          <w:color w:val="auto"/>
          <w:sz w:val="24"/>
          <w:highlight w:val="none"/>
        </w:rPr>
        <w:t>（4）</w:t>
      </w:r>
      <w:r>
        <w:rPr>
          <w:rFonts w:hint="eastAsia" w:ascii="宋体" w:hAnsi="宋体" w:cs="宋体"/>
          <w:color w:val="auto"/>
          <w:sz w:val="24"/>
          <w:highlight w:val="none"/>
        </w:rPr>
        <w:t>投标人须提供法定代表人身份证明书、授权委托书及授权代理人有效身份证明（若委托）(格式见附件)；</w:t>
      </w:r>
    </w:p>
    <w:p w14:paraId="677428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（5）</w:t>
      </w:r>
      <w:r>
        <w:rPr>
          <w:rFonts w:hint="eastAsia" w:ascii="宋体" w:hAnsi="宋体" w:cs="宋体"/>
          <w:color w:val="auto"/>
          <w:sz w:val="24"/>
          <w:szCs w:val="24"/>
          <w:highlight w:val="none"/>
        </w:rPr>
        <w:t>供应商情况表</w:t>
      </w:r>
    </w:p>
    <w:p w14:paraId="5F3A33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（6）供应商参与政府采购活动投标资格声明（格式</w:t>
      </w:r>
      <w:r>
        <w:rPr>
          <w:rFonts w:hint="eastAsia" w:ascii="宋体" w:hAnsi="宋体" w:cs="宋体"/>
          <w:color w:val="auto"/>
          <w:sz w:val="24"/>
          <w:highlight w:val="none"/>
        </w:rPr>
        <w:t>见附件</w:t>
      </w:r>
      <w:r>
        <w:rPr>
          <w:rFonts w:hint="eastAsia" w:ascii="宋体" w:hAnsi="宋体" w:cs="宋体"/>
          <w:color w:val="auto"/>
          <w:sz w:val="24"/>
          <w:szCs w:val="24"/>
          <w:highlight w:val="none"/>
        </w:rPr>
        <w:t>）</w:t>
      </w:r>
    </w:p>
    <w:p w14:paraId="2D1DB5B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（7）主要业绩证明</w:t>
      </w:r>
      <w:r>
        <w:rPr>
          <w:rFonts w:hint="eastAsia" w:ascii="宋体" w:hAnsi="宋体" w:cs="宋体"/>
          <w:color w:val="auto"/>
          <w:sz w:val="24"/>
          <w:highlight w:val="none"/>
        </w:rPr>
        <w:t>(格式见附件)</w:t>
      </w:r>
    </w:p>
    <w:p w14:paraId="7FA66C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（8）商务</w:t>
      </w:r>
      <w:r>
        <w:rPr>
          <w:rFonts w:hint="eastAsia" w:ascii="宋体" w:hAnsi="宋体" w:cs="宋体"/>
          <w:color w:val="auto"/>
          <w:sz w:val="24"/>
          <w:szCs w:val="24"/>
          <w:highlight w:val="none"/>
          <w:lang w:val="zh-CN"/>
        </w:rPr>
        <w:t>响应表</w:t>
      </w:r>
      <w:r>
        <w:rPr>
          <w:rFonts w:hint="eastAsia" w:ascii="宋体" w:hAnsi="宋体" w:cs="宋体"/>
          <w:color w:val="auto"/>
          <w:sz w:val="24"/>
          <w:szCs w:val="24"/>
          <w:highlight w:val="none"/>
        </w:rPr>
        <w:t>(格式见附件)</w:t>
      </w:r>
    </w:p>
    <w:p w14:paraId="1D337E0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（9）根据商务技术部分需要提供的资料；</w:t>
      </w:r>
      <w:r>
        <w:rPr>
          <w:rFonts w:hint="eastAsia" w:ascii="宋体" w:hAnsi="宋体" w:cs="宋体"/>
          <w:color w:val="auto"/>
          <w:sz w:val="24"/>
          <w:highlight w:val="none"/>
        </w:rPr>
        <w:t>（格式自拟）</w:t>
      </w:r>
    </w:p>
    <w:p w14:paraId="3D6CB6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）投标人认为需要提供的其他资料；</w:t>
      </w:r>
    </w:p>
    <w:p w14:paraId="6F7BEE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2.3.报价部分包括下列内容：</w:t>
      </w:r>
    </w:p>
    <w:p w14:paraId="69AB6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（1）开标一览表(格式见附件)</w:t>
      </w:r>
    </w:p>
    <w:p w14:paraId="4653B0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投标人针对报价需要说明的其他文件和说明（格式自拟）</w:t>
      </w:r>
    </w:p>
    <w:p w14:paraId="492BD3E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注：法定代表人授权委托书必须由法定代表人签名并加盖单位公章，签章不齐的视同未提供；资格证明文件、商务技术文件中不得出现项目报价信息，否则将作无效标处理。</w:t>
      </w:r>
    </w:p>
    <w:p w14:paraId="57F4A02D">
      <w:pPr>
        <w:snapToGrid w:val="0"/>
        <w:spacing w:line="360" w:lineRule="auto"/>
        <w:ind w:firstLine="482"/>
        <w:jc w:val="left"/>
        <w:outlineLvl w:val="2"/>
        <w:rPr>
          <w:rFonts w:ascii="宋体" w:hAnsi="宋体" w:cs="宋体"/>
          <w:b/>
          <w:color w:val="auto"/>
          <w:sz w:val="24"/>
          <w:highlight w:val="none"/>
        </w:rPr>
      </w:pPr>
      <w:bookmarkStart w:id="8" w:name="_Toc504504538"/>
      <w:r>
        <w:rPr>
          <w:rFonts w:hint="eastAsia" w:ascii="宋体" w:hAnsi="宋体" w:cs="宋体"/>
          <w:b/>
          <w:color w:val="auto"/>
          <w:sz w:val="24"/>
          <w:highlight w:val="none"/>
        </w:rPr>
        <w:t>3、投标文件的语言及计量</w:t>
      </w:r>
      <w:bookmarkEnd w:id="8"/>
    </w:p>
    <w:p w14:paraId="5529C56F">
      <w:pPr>
        <w:snapToGrid w:val="0"/>
        <w:spacing w:line="360" w:lineRule="auto"/>
        <w:ind w:firstLine="480"/>
        <w:jc w:val="left"/>
        <w:outlineLvl w:val="2"/>
        <w:rPr>
          <w:rFonts w:ascii="宋体" w:hAnsi="宋体" w:cs="宋体"/>
          <w:color w:val="auto"/>
          <w:sz w:val="24"/>
          <w:highlight w:val="none"/>
        </w:rPr>
      </w:pPr>
      <w:r>
        <w:rPr>
          <w:rFonts w:hint="eastAsia" w:ascii="宋体" w:hAnsi="宋体" w:cs="宋体"/>
          <w:color w:val="auto"/>
          <w:sz w:val="24"/>
          <w:highlight w:val="none"/>
        </w:rPr>
        <w:t>3.1.投标文件以及投标人与招标方就有关投标事宜的所有来往函电，均应以中文简体字书写。除签名、盖章、专用名称等特殊情形外，投标文件中以中文汉语以外的文字表述部分视同未提供。</w:t>
      </w:r>
    </w:p>
    <w:p w14:paraId="7584439F">
      <w:pPr>
        <w:snapToGrid w:val="0"/>
        <w:spacing w:line="360" w:lineRule="auto"/>
        <w:ind w:firstLine="480"/>
        <w:jc w:val="left"/>
        <w:outlineLvl w:val="2"/>
        <w:rPr>
          <w:rFonts w:ascii="宋体" w:hAnsi="宋体" w:cs="宋体"/>
          <w:color w:val="auto"/>
          <w:sz w:val="24"/>
          <w:highlight w:val="none"/>
        </w:rPr>
      </w:pPr>
      <w:r>
        <w:rPr>
          <w:rFonts w:hint="eastAsia" w:ascii="宋体" w:hAnsi="宋体" w:cs="宋体"/>
          <w:color w:val="auto"/>
          <w:sz w:val="24"/>
          <w:highlight w:val="none"/>
        </w:rPr>
        <w:t>3.2.投标计量单位，招标文件已有明确规定的，使用招标文件规定的计量单位；招标文件没有规定的，应采用中华人民共和国法定计量单位（货币单位：人民币元），</w:t>
      </w:r>
      <w:r>
        <w:rPr>
          <w:rFonts w:hint="eastAsia" w:ascii="宋体" w:hAnsi="宋体" w:cs="宋体"/>
          <w:b/>
          <w:bCs/>
          <w:color w:val="auto"/>
          <w:sz w:val="24"/>
          <w:highlight w:val="none"/>
        </w:rPr>
        <w:t>否则将作无效标处理</w:t>
      </w:r>
      <w:r>
        <w:rPr>
          <w:rFonts w:hint="eastAsia" w:ascii="宋体" w:hAnsi="宋体" w:cs="宋体"/>
          <w:color w:val="auto"/>
          <w:sz w:val="24"/>
          <w:highlight w:val="none"/>
        </w:rPr>
        <w:t>。</w:t>
      </w:r>
    </w:p>
    <w:p w14:paraId="63082965">
      <w:pPr>
        <w:snapToGrid w:val="0"/>
        <w:spacing w:line="360" w:lineRule="auto"/>
        <w:ind w:firstLine="482"/>
        <w:jc w:val="left"/>
        <w:outlineLvl w:val="2"/>
        <w:rPr>
          <w:rFonts w:ascii="宋体" w:hAnsi="宋体" w:cs="宋体"/>
          <w:b/>
          <w:color w:val="auto"/>
          <w:sz w:val="24"/>
          <w:highlight w:val="none"/>
        </w:rPr>
      </w:pPr>
      <w:r>
        <w:rPr>
          <w:rFonts w:hint="eastAsia" w:ascii="宋体" w:hAnsi="宋体" w:cs="宋体"/>
          <w:b/>
          <w:color w:val="auto"/>
          <w:sz w:val="24"/>
          <w:highlight w:val="none"/>
        </w:rPr>
        <w:t>4、投标文件的有效期</w:t>
      </w:r>
    </w:p>
    <w:p w14:paraId="5104DDE5">
      <w:pPr>
        <w:snapToGrid w:val="0"/>
        <w:spacing w:line="360" w:lineRule="auto"/>
        <w:ind w:firstLine="482"/>
        <w:jc w:val="left"/>
        <w:outlineLvl w:val="2"/>
        <w:rPr>
          <w:rFonts w:ascii="宋体" w:hAnsi="宋体" w:cs="宋体"/>
          <w:color w:val="auto"/>
          <w:sz w:val="24"/>
          <w:highlight w:val="none"/>
        </w:rPr>
      </w:pPr>
      <w:r>
        <w:rPr>
          <w:rFonts w:hint="eastAsia" w:ascii="宋体" w:hAnsi="宋体" w:cs="宋体"/>
          <w:color w:val="auto"/>
          <w:sz w:val="24"/>
          <w:highlight w:val="none"/>
        </w:rPr>
        <w:t>4.1.自投标截止日起90天内投标文件应保持有效。有效期不足的投标文件将作无效标处理。</w:t>
      </w:r>
    </w:p>
    <w:p w14:paraId="2A1D1723">
      <w:pPr>
        <w:snapToGrid w:val="0"/>
        <w:spacing w:line="360" w:lineRule="auto"/>
        <w:ind w:firstLine="482"/>
        <w:jc w:val="left"/>
        <w:outlineLvl w:val="2"/>
        <w:rPr>
          <w:rFonts w:ascii="宋体" w:hAnsi="宋体" w:cs="宋体"/>
          <w:b/>
          <w:color w:val="auto"/>
          <w:sz w:val="24"/>
          <w:highlight w:val="none"/>
        </w:rPr>
      </w:pPr>
      <w:r>
        <w:rPr>
          <w:rFonts w:hint="eastAsia" w:ascii="宋体" w:hAnsi="宋体" w:cs="宋体"/>
          <w:b/>
          <w:color w:val="auto"/>
          <w:sz w:val="24"/>
          <w:highlight w:val="none"/>
        </w:rPr>
        <w:t>5、投标文件的签署和份数、包装</w:t>
      </w:r>
    </w:p>
    <w:p w14:paraId="70D71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电子投标文件部分：</w:t>
      </w:r>
    </w:p>
    <w:p w14:paraId="629C5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投标人应根据“政采云供应商项目采购-电子招投标操作指南”及本招标文件规定的格式和顺序编制电子投标文件并进行关联定位。</w:t>
      </w:r>
    </w:p>
    <w:p w14:paraId="0D9A0E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以介质存储的数据电文形式的备份投标文件部分：</w:t>
      </w:r>
    </w:p>
    <w:p w14:paraId="57176B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电子投标文件的备份文件，以U盘或DVD光盘形式存储，并单独密封递交。</w:t>
      </w:r>
    </w:p>
    <w:p w14:paraId="512D2588">
      <w:pPr>
        <w:snapToGrid w:val="0"/>
        <w:spacing w:line="360" w:lineRule="auto"/>
        <w:ind w:firstLine="456" w:firstLineChars="190"/>
        <w:jc w:val="left"/>
        <w:rPr>
          <w:rFonts w:ascii="宋体" w:hAnsi="宋体" w:cs="宋体"/>
          <w:color w:val="auto"/>
          <w:sz w:val="24"/>
          <w:highlight w:val="none"/>
        </w:rPr>
      </w:pPr>
      <w:r>
        <w:rPr>
          <w:rFonts w:hint="eastAsia" w:ascii="宋体" w:hAnsi="宋体" w:cs="宋体"/>
          <w:color w:val="auto"/>
          <w:sz w:val="24"/>
          <w:highlight w:val="none"/>
        </w:rPr>
        <w:t>5.6.投标人应将电子投标文件的备份文件单独密封封装。封装后，包装封面上应注明投标人名称、投标人地址、投标文件名称（以介质存储的数据电文形式的备份投标文件）、投标项目名称、项目编号、标项及“开标时启封”字样，并加盖投标人公章。</w:t>
      </w:r>
    </w:p>
    <w:p w14:paraId="2A61D9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6、投标报价</w:t>
      </w:r>
    </w:p>
    <w:p w14:paraId="255E5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投标总报价包括完成全部工作所发生的一切费用。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w:t>
      </w:r>
      <w:r>
        <w:rPr>
          <w:rFonts w:hint="eastAsia" w:ascii="宋体" w:hAnsi="宋体" w:cs="宋体"/>
          <w:color w:val="auto"/>
          <w:sz w:val="24"/>
          <w:highlight w:val="none"/>
          <w:lang w:eastAsia="zh-CN"/>
        </w:rPr>
        <w:t>所有</w:t>
      </w:r>
      <w:r>
        <w:rPr>
          <w:rFonts w:hint="eastAsia" w:ascii="宋体" w:hAnsi="宋体" w:cs="宋体"/>
          <w:color w:val="auto"/>
          <w:sz w:val="24"/>
          <w:highlight w:val="none"/>
        </w:rPr>
        <w:t>风险、责任、招标代理费等各项全部费用。</w:t>
      </w:r>
    </w:p>
    <w:p w14:paraId="29DBF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6.2报价币种为人民币。招标人不接受两个（含）以上的报价，若有两个（含）以上的报价且未声明哪个为有效报价的，作无效标处理。报价若有更改，更改处须</w:t>
      </w:r>
      <w:r>
        <w:rPr>
          <w:rFonts w:hint="eastAsia" w:ascii="宋体" w:hAnsi="宋体" w:cs="宋体"/>
          <w:color w:val="auto"/>
          <w:sz w:val="24"/>
          <w:highlight w:val="none"/>
          <w:lang w:eastAsia="zh-CN"/>
        </w:rPr>
        <w:t>加盖CA签章</w:t>
      </w:r>
      <w:r>
        <w:rPr>
          <w:rFonts w:hint="eastAsia" w:ascii="宋体" w:hAnsi="宋体" w:cs="宋体"/>
          <w:color w:val="auto"/>
          <w:sz w:val="24"/>
          <w:highlight w:val="none"/>
        </w:rPr>
        <w:t>或由全权代表签字或盖章，投标函中的投标总报价与报价明细表中的计价必须相符。</w:t>
      </w:r>
    </w:p>
    <w:p w14:paraId="7D3CE8C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6.3  最高控制价：</w:t>
      </w:r>
      <w:r>
        <w:rPr>
          <w:rFonts w:hint="eastAsia" w:ascii="宋体" w:hAnsi="宋体" w:cs="宋体"/>
          <w:color w:val="auto"/>
          <w:sz w:val="24"/>
          <w:highlight w:val="none"/>
          <w:lang w:val="en-US" w:eastAsia="zh-CN"/>
        </w:rPr>
        <w:t>400000元</w:t>
      </w:r>
      <w:r>
        <w:rPr>
          <w:rFonts w:hint="eastAsia" w:ascii="宋体" w:hAnsi="宋体" w:cs="宋体"/>
          <w:color w:val="auto"/>
          <w:sz w:val="24"/>
          <w:highlight w:val="none"/>
        </w:rPr>
        <w:t>；</w:t>
      </w:r>
      <w:r>
        <w:rPr>
          <w:rFonts w:hint="eastAsia" w:ascii="宋体" w:hAnsi="宋体" w:cs="宋体"/>
          <w:b/>
          <w:bCs/>
          <w:color w:val="auto"/>
          <w:sz w:val="24"/>
          <w:highlight w:val="none"/>
        </w:rPr>
        <w:t>投标报价高于最高控制价的，作无效标处理。</w:t>
      </w:r>
    </w:p>
    <w:p w14:paraId="5AC56483">
      <w:pPr>
        <w:spacing w:line="360" w:lineRule="auto"/>
        <w:jc w:val="center"/>
        <w:rPr>
          <w:rFonts w:ascii="宋体" w:hAnsi="宋体" w:cs="宋体"/>
          <w:b/>
          <w:color w:val="auto"/>
          <w:sz w:val="32"/>
          <w:szCs w:val="32"/>
          <w:highlight w:val="none"/>
        </w:rPr>
      </w:pPr>
    </w:p>
    <w:p w14:paraId="4EE4C481">
      <w:pPr>
        <w:spacing w:line="360" w:lineRule="auto"/>
        <w:jc w:val="center"/>
        <w:rPr>
          <w:rFonts w:ascii="宋体" w:hAnsi="宋体" w:cs="宋体"/>
          <w:b/>
          <w:color w:val="auto"/>
          <w:sz w:val="32"/>
          <w:szCs w:val="32"/>
          <w:highlight w:val="none"/>
        </w:rPr>
      </w:pPr>
    </w:p>
    <w:p w14:paraId="3AE6FCB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（四）开标和评标</w:t>
      </w:r>
    </w:p>
    <w:p w14:paraId="0F579F6D">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1．电子招投标开标及评审程序</w:t>
      </w:r>
    </w:p>
    <w:p w14:paraId="5A50008C">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1.1投标截止时间后，主持人宣布开标会开始。</w:t>
      </w:r>
    </w:p>
    <w:p w14:paraId="6A327599">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1.2投标人登录政采云平台，用“项目采购-开标评标”功能对电子投标文件进行在线解密。在线解密电子投标文件时间为开标时间起30分钟内。</w:t>
      </w:r>
    </w:p>
    <w:p w14:paraId="752B5F53">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1.3评标委员会对资格和商务技术响应文件进行评审。</w:t>
      </w:r>
    </w:p>
    <w:p w14:paraId="0C986CEC">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1.4主持人宣布商务技术得分及无效（废）投标情形（如有），公布经商务技术评审符合招标文件要求的投标人名单及其商务技术得分。</w:t>
      </w:r>
    </w:p>
    <w:p w14:paraId="7D926EF8">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1.5启封报价文件资料。</w:t>
      </w:r>
    </w:p>
    <w:p w14:paraId="181B5164">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1.6评标委员会对投标文件报价文件资料进行评审，核准投标报价及计算价格分，汇总商务技术分、价格分，根据得分排序确定中标候选人。</w:t>
      </w:r>
    </w:p>
    <w:p w14:paraId="421D616E">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1.7主持人公布评标结果。</w:t>
      </w:r>
    </w:p>
    <w:p w14:paraId="4DAEC2AF">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7FCDD1C1">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2.采购过程中出现以下情形，导致电子交易平台无法正常运行，或者无法保证电子交易的公平、公正和安全时，采购组织机构可中止电子交易活动：</w:t>
      </w:r>
    </w:p>
    <w:p w14:paraId="37C095A3">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2.1电子交易平台发生故障而无法登录访问的； </w:t>
      </w:r>
    </w:p>
    <w:p w14:paraId="1C9FC905">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2.2电子交易平台应用或数据库出现错误，不能进行正常操作的；</w:t>
      </w:r>
    </w:p>
    <w:p w14:paraId="4AA4F427">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2.3电子交易平台发现严重安全漏洞，有潜在泄密危险的；</w:t>
      </w:r>
    </w:p>
    <w:p w14:paraId="05EE8110">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2.4病毒发作导致不能进行正常操作的； </w:t>
      </w:r>
    </w:p>
    <w:p w14:paraId="3174ADAB">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2.5其他无法保证电子交易的公平、公正和安全的情况。</w:t>
      </w:r>
    </w:p>
    <w:p w14:paraId="2EDF2297">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E25D347">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3.评标</w:t>
      </w:r>
    </w:p>
    <w:p w14:paraId="7EFA312B">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3.1评标委员会由招标采购单位依法组建，负责评标活动。评标委员会遵循公开、公平、公正、科学合理、竞争择优的原则。</w:t>
      </w:r>
    </w:p>
    <w:p w14:paraId="0A9682D2">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3.2评标委员会由采购人代表和有关方面的专家组成，成员人数为五人（含）以上单数。</w:t>
      </w:r>
    </w:p>
    <w:p w14:paraId="7B9F2C7A">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3.3评标委员会负责对投标人资格的最终审定。</w:t>
      </w:r>
    </w:p>
    <w:p w14:paraId="3C863F4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3.4评标委员会可以要求投标人对其投标文件中含义不明确的内容</w:t>
      </w:r>
      <w:r>
        <w:rPr>
          <w:rFonts w:hint="eastAsia" w:ascii="宋体" w:hAnsi="宋体" w:cs="宋体"/>
          <w:color w:val="auto"/>
          <w:sz w:val="24"/>
          <w:highlight w:val="none"/>
          <w:lang w:eastAsia="zh-CN"/>
        </w:rPr>
        <w:t>做必要</w:t>
      </w:r>
      <w:r>
        <w:rPr>
          <w:rFonts w:hint="eastAsia" w:ascii="宋体" w:hAnsi="宋体" w:cs="宋体"/>
          <w:color w:val="auto"/>
          <w:sz w:val="24"/>
          <w:highlight w:val="none"/>
        </w:rPr>
        <w:t>的澄清或者说明，但澄清或者说明不得超过投标文件的范围或者改变投标文件的实质性内容。</w:t>
      </w:r>
    </w:p>
    <w:p w14:paraId="01FB26A5">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9AF507B">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供应商通过政采云平台交换的数据电文必须进行电子签章。</w:t>
      </w:r>
    </w:p>
    <w:p w14:paraId="3F404208">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3C8908E">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3.6评标委员会对投标文件的判定，只依据投标文件和招标文件内容本身，不依据任何外来证明。</w:t>
      </w:r>
    </w:p>
    <w:p w14:paraId="4DF31C54">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3.7评标委员会不向落标方解释落标的原因。</w:t>
      </w:r>
    </w:p>
    <w:p w14:paraId="7A9B73E8">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4.投标文件的初审鉴定</w:t>
      </w:r>
    </w:p>
    <w:p w14:paraId="4DD0FFFA">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4.1资格性审查</w:t>
      </w:r>
    </w:p>
    <w:p w14:paraId="03A52104">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4.1.1依据法律、法规和招标文件规定，资格审查小组对投标人进行资格审查，以确定投标人是否具备投标资格。</w:t>
      </w:r>
    </w:p>
    <w:p w14:paraId="064488D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4.2符合性审查</w:t>
      </w:r>
    </w:p>
    <w:p w14:paraId="4EAD46CF">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818117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69561B6E">
      <w:pPr>
        <w:autoSpaceDE/>
        <w:autoSpaceDN/>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5.投标文件报价出现前后不一致的，按照下列规定修正：</w:t>
      </w:r>
    </w:p>
    <w:p w14:paraId="44CCFF52">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5.1投标文件中开标一览表内容与投标文件中相应内容不一致的，以开标一览表为准；</w:t>
      </w:r>
    </w:p>
    <w:p w14:paraId="07A4AEB3">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1CE319E7">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14:paraId="3896F989">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5670EF70">
      <w:pPr>
        <w:autoSpaceDE/>
        <w:autoSpaceDN/>
        <w:snapToGrid w:val="0"/>
        <w:spacing w:line="440" w:lineRule="exact"/>
        <w:ind w:firstLine="420" w:firstLineChars="175"/>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5.5电子投标客户端填报的报价与投标文件中的开标一览表报价不一致的，以投标文件开标一览表为准，修正电子投标客户端报价。</w:t>
      </w:r>
    </w:p>
    <w:p w14:paraId="52E9997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2245EDB7">
      <w:pPr>
        <w:autoSpaceDE/>
        <w:autoSpaceDN/>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6.投标文件的评审、比较和否决</w:t>
      </w:r>
    </w:p>
    <w:p w14:paraId="7DAA96E2">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6.1评标委员会将对在实质上响应招标文件要求的投标文件进行评估和比较。</w:t>
      </w:r>
    </w:p>
    <w:p w14:paraId="76D8CF0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62BCFB9">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6.3在评标过程中，如发现与招标文件要求相偏离的，评标委员会可对其偏离情形进行必要的核实。</w:t>
      </w:r>
    </w:p>
    <w:p w14:paraId="7EBE8A37">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6.4在评审过程中，如属于实质性偏离或符合无效响应条件的，应当询问相关投标人，并可对其通过政采云平台进行线上确认，但不允许对偏离条款进行补充、修正或撤回。</w:t>
      </w:r>
    </w:p>
    <w:p w14:paraId="784B8341">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6.5比较与评价。评标委员会应当按照评标标准，对符合性审查合格的投标文件进行商务和技术评估，综合比较与评价。</w:t>
      </w:r>
    </w:p>
    <w:p w14:paraId="04FA43F6">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6.6汇总（商务技术得分情况）。评标委员会各成员应当独立对每个投标人的商务技术文件进行评价，并汇总商务技术得分情况。</w:t>
      </w:r>
    </w:p>
    <w:p w14:paraId="42BE9BE5">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6.7 报价审核。对符合采购需求且通过商务技术（资信）评审的投标人的报价的合理性、准确性等进行审查核实。</w:t>
      </w:r>
    </w:p>
    <w:p w14:paraId="3AC3D9E4">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D57B691">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6.7.2根据财政部发布的《政府采购促进中小企业发展暂行办法》规定，对于非专门面向中小企业的项目，对小型和微型企业产品的价格给予一定的扣除，用扣除后的价格参与评审。</w:t>
      </w:r>
    </w:p>
    <w:p w14:paraId="70577B45">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6.7.3如需投标价格修正，按财政部87号令第五十九条的规定对投标价格进行修正。</w:t>
      </w:r>
    </w:p>
    <w:p w14:paraId="16722420">
      <w:pPr>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27F90C54">
      <w:pPr>
        <w:autoSpaceDE/>
        <w:autoSpaceDN/>
        <w:snapToGrid w:val="0"/>
        <w:spacing w:line="440" w:lineRule="exact"/>
        <w:ind w:firstLine="422" w:firstLineChars="175"/>
        <w:jc w:val="left"/>
        <w:rPr>
          <w:rFonts w:hint="eastAsia" w:ascii="宋体" w:hAnsi="宋体" w:cs="宋体"/>
          <w:b/>
          <w:color w:val="auto"/>
          <w:highlight w:val="none"/>
        </w:rPr>
      </w:pPr>
      <w:r>
        <w:rPr>
          <w:rFonts w:hint="eastAsia" w:ascii="宋体" w:hAnsi="宋体" w:cs="宋体"/>
          <w:b/>
          <w:color w:val="auto"/>
          <w:sz w:val="24"/>
          <w:szCs w:val="32"/>
          <w:highlight w:val="none"/>
        </w:rPr>
        <w:t>7.投标文件的澄清</w:t>
      </w:r>
    </w:p>
    <w:p w14:paraId="5A9B924A">
      <w:pPr>
        <w:pStyle w:val="6"/>
        <w:widowControl w:val="0"/>
        <w:spacing w:afterLines="0" w:line="440" w:lineRule="exact"/>
        <w:ind w:left="0" w:firstLine="420" w:firstLineChars="175"/>
        <w:rPr>
          <w:rFonts w:hint="eastAsia" w:ascii="宋体" w:hAnsi="宋体" w:cs="宋体"/>
          <w:color w:val="auto"/>
          <w:sz w:val="24"/>
          <w:szCs w:val="24"/>
          <w:highlight w:val="none"/>
        </w:rPr>
      </w:pPr>
      <w:r>
        <w:rPr>
          <w:rFonts w:hint="eastAsia" w:ascii="宋体" w:hAnsi="宋体" w:cs="宋体"/>
          <w:color w:val="auto"/>
          <w:sz w:val="24"/>
          <w:szCs w:val="32"/>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C391E42">
      <w:pPr>
        <w:autoSpaceDE/>
        <w:autoSpaceDN/>
        <w:snapToGrid w:val="0"/>
        <w:spacing w:line="440" w:lineRule="exact"/>
        <w:ind w:firstLine="422" w:firstLineChars="175"/>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8.无效</w:t>
      </w:r>
      <w:r>
        <w:rPr>
          <w:rFonts w:hint="eastAsia" w:ascii="宋体" w:hAnsi="宋体" w:cs="宋体"/>
          <w:b/>
          <w:color w:val="auto"/>
          <w:sz w:val="24"/>
          <w:szCs w:val="32"/>
          <w:highlight w:val="none"/>
        </w:rPr>
        <w:t>投标</w:t>
      </w:r>
      <w:r>
        <w:rPr>
          <w:rFonts w:hint="eastAsia" w:ascii="宋体" w:hAnsi="宋体" w:cs="宋体"/>
          <w:b/>
          <w:color w:val="auto"/>
          <w:sz w:val="24"/>
          <w:szCs w:val="24"/>
          <w:highlight w:val="none"/>
        </w:rPr>
        <w:t>的情形</w:t>
      </w:r>
    </w:p>
    <w:p w14:paraId="6E0E4C39">
      <w:pPr>
        <w:tabs>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投标文件有下列情形之一的作无效投标处理：</w:t>
      </w:r>
    </w:p>
    <w:p w14:paraId="0CC33825">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8.1未按照招标文件规定要求电子签章、签字或盖章的；</w:t>
      </w:r>
    </w:p>
    <w:p w14:paraId="17F6E482">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8.2单位负责人为同一人或者存在直接控股、管理关系的不同供应商参加同一合同项下的政府采购活动的（均无效）；</w:t>
      </w:r>
    </w:p>
    <w:p w14:paraId="32475C48">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 xml:space="preserve">8.3为采购项目提供整体设计、规范编制或者项目管理、监理、检测等服务的供应商参加该采购项目的其他采购活动的； </w:t>
      </w:r>
    </w:p>
    <w:p w14:paraId="322B8D80">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8.4投标人未提供招标文件中规定的基本资格条件书面承诺函的，或投标人未提供有效的特定资格证明文件的，视为投标人不具备招标文件中规定的资格要求；</w:t>
      </w:r>
    </w:p>
    <w:p w14:paraId="31A4BADC">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8.5《法定代表人身份证明书》与提供的身份证扫描件信息不符的；《法定代表人授权委托书》与提供的身份证扫描件信息不符的；</w:t>
      </w:r>
    </w:p>
    <w:p w14:paraId="338229AF">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8.6《法定代表人授权委托书》或《法定代表人身份证明书》填写不全、错误、未电子签章(《法定代表人授权委托书》要求“电子签章”和“签字或盖章”缺一不可）的；</w:t>
      </w:r>
    </w:p>
    <w:p w14:paraId="665164DA">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8.7投标文件中的投标函无投标人的电子签章或填写不全的；</w:t>
      </w:r>
    </w:p>
    <w:p w14:paraId="01F4E478">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8.8报价一经涂改，未在涂改处加盖投标单位公章或者未经法定代表人或其授权代表签字或盖章的；</w:t>
      </w:r>
    </w:p>
    <w:p w14:paraId="5E1C2C72">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8.9未按招标文件规定的格式填写，或对招标服务或技术或产品等要求未详细应答或应答内容不全、有缺失的,经评标委员会认定为无法评审的；</w:t>
      </w:r>
    </w:p>
    <w:p w14:paraId="0AEA7776">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8.10出现同一标的物或本次招标产品(服务)内的主要产品(重要组成部分)出现商务技术文件资料、报价文件资料描述不一致或前后描述不一致，经评标委员会认定后为无法评审的；</w:t>
      </w:r>
    </w:p>
    <w:p w14:paraId="08C43E94">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8.11《技术偏离表》不真实填写或弄虚作假的；</w:t>
      </w:r>
    </w:p>
    <w:p w14:paraId="61F060A4">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8.12评标委员会认定有重大偏差或标“★”实质性不响应招标文件要求的；</w:t>
      </w:r>
    </w:p>
    <w:p w14:paraId="7077D151">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8.13投标人递交两份或两份以上内容不同的投标文件，且未声明哪一份有效的；</w:t>
      </w:r>
    </w:p>
    <w:p w14:paraId="77116514">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8.14投标文件含有采购人不能接受的附加条件；</w:t>
      </w:r>
    </w:p>
    <w:p w14:paraId="0F0BC414">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8.15评标委员会认为投标人的报价明显低于其他通过符合性审查投标人的报价，有可能影响产品质量或者不能诚信履约的，未能按要求提供书面说明或者提交相关证明材料证明其报价合理性的;</w:t>
      </w:r>
    </w:p>
    <w:p w14:paraId="20131433">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8.16报价超过招标文件中规定的预算金额或最高限价的；</w:t>
      </w:r>
    </w:p>
    <w:p w14:paraId="2495549D">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8.17投标文件“商务技术文件资料”部分中出现《开标一览表》相关内容的；</w:t>
      </w:r>
    </w:p>
    <w:p w14:paraId="14C9039B">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8.18采购人拟采购的产品属于政府强制采购的节能产品品目清单范围的，投标人未按招标文件要求提供国家确定的认证机构出具的、处于有效期之内的节能产品认证证书的；</w:t>
      </w:r>
    </w:p>
    <w:p w14:paraId="579A157E">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8.19《开标一览表》填写不完整或字迹不能辨认或有漏项的，经评标委员会认定属于重大偏差的；</w:t>
      </w:r>
    </w:p>
    <w:p w14:paraId="6D826F72">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8.20投标人对根据修正原则修正后的报价不确认的；</w:t>
      </w:r>
    </w:p>
    <w:p w14:paraId="56694C34">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8.21投标人提供虚假材料投标的（包括但不限于以下情节）；</w:t>
      </w:r>
    </w:p>
    <w:p w14:paraId="52E1C85D">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8.21.1使用伪造、变造的许可证件；</w:t>
      </w:r>
    </w:p>
    <w:p w14:paraId="3CF9CBD6">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8.21.2提供虚假的财务状况或者业绩；</w:t>
      </w:r>
    </w:p>
    <w:p w14:paraId="4204ABE0">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8.21.3提供虚假的项目负责人或者主要技术人员简历、劳动关系证明；</w:t>
      </w:r>
    </w:p>
    <w:p w14:paraId="347677E7">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8.21.4提供虚假的信用状况；</w:t>
      </w:r>
    </w:p>
    <w:p w14:paraId="636F6499">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8.21.5其他弄虚作假的行为。</w:t>
      </w:r>
    </w:p>
    <w:p w14:paraId="47C423EB">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8.22下列情形之一的，视为投标人串通投标，其投标无效：</w:t>
      </w:r>
    </w:p>
    <w:p w14:paraId="046F8AB7">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8.22.1不同投标人的投标文件由同一单位或者个人编制；</w:t>
      </w:r>
    </w:p>
    <w:p w14:paraId="41810BE1">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8.22.2不同投标人委托同一单位或者个人办理投标事宜；</w:t>
      </w:r>
    </w:p>
    <w:p w14:paraId="6AB7DC07">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8.22.3不同投标人的投标文件载明的项目管理成员或者联系人员为同一人；</w:t>
      </w:r>
    </w:p>
    <w:p w14:paraId="226A51A9">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8.22.4不同投标人的投标文件异常一致或者投标报价呈规律性差异；</w:t>
      </w:r>
    </w:p>
    <w:p w14:paraId="6A0FC7A7">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8.22.5不同投标人的投标文件相互混装；</w:t>
      </w:r>
    </w:p>
    <w:p w14:paraId="00410016">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8.22.6</w:t>
      </w:r>
      <w:r>
        <w:rPr>
          <w:rFonts w:hint="eastAsia" w:ascii="宋体" w:hAnsi="宋体" w:eastAsia="宋体" w:cs="宋体"/>
          <w:color w:val="auto"/>
          <w:sz w:val="24"/>
          <w:highlight w:val="none"/>
        </w:rPr>
        <w:t>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4D9DA3BE">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8.23有下列情形之一的，属于恶意串通，其投标无效：</w:t>
      </w:r>
    </w:p>
    <w:p w14:paraId="36F3C1E3">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8.23.1供应商直接或者间接从采购人或者采购机构处获得其他供应商的相关情况并修改其投标文件或者响应文件；</w:t>
      </w:r>
    </w:p>
    <w:p w14:paraId="069D25F4">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8.23.2供应商按照采购人或者采购机构的授意撤换、修改投标文件或者响应文件；</w:t>
      </w:r>
    </w:p>
    <w:p w14:paraId="74DF1A92">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8.23.3供应商之间协商报价、技术方案等投标文件或者响应文件的实质性内容；</w:t>
      </w:r>
    </w:p>
    <w:p w14:paraId="058CD4F5">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8.23.4属于同一集团、协会、商会等组织成员的供应商按照该组织要求协同参加政府采购活动；</w:t>
      </w:r>
    </w:p>
    <w:p w14:paraId="26F6327A">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8.23.5供应商之间事先约定由某一特定供应商中标、成交；</w:t>
      </w:r>
    </w:p>
    <w:p w14:paraId="322C5AE2">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8.23.6供应商之间商定部分供应商放弃参加政府采购活动或者放弃中标、成交；</w:t>
      </w:r>
    </w:p>
    <w:p w14:paraId="627F7F1D">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8.23.7供应商与采购人或者采购机构之间、供应商相互之间，为谋求特定供应商中标、成交或者排斥其他供应商的其他串通行为。</w:t>
      </w:r>
    </w:p>
    <w:p w14:paraId="69BB2FB7">
      <w:pPr>
        <w:autoSpaceDE/>
        <w:autoSpaceDN/>
        <w:snapToGrid w:val="0"/>
        <w:spacing w:line="44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8.24评标委员会认定有重大偏差或实质性不响应招标文件要求的；</w:t>
      </w:r>
    </w:p>
    <w:p w14:paraId="34947338">
      <w:pPr>
        <w:tabs>
          <w:tab w:val="left" w:pos="3870"/>
          <w:tab w:val="left" w:pos="4085"/>
        </w:tabs>
        <w:autoSpaceDE/>
        <w:autoSpaceDN/>
        <w:snapToGrid w:val="0"/>
        <w:spacing w:line="44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8.25投标文件出现不是唯一的、有选择性投标报价的；</w:t>
      </w:r>
    </w:p>
    <w:p w14:paraId="38B2260F">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8.26未按招标文件要求提供样品或提供样品不满足采购需求实质性条件的；</w:t>
      </w:r>
    </w:p>
    <w:p w14:paraId="6C2B889D">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8.27参与同一个采购包(标段)的供应商存在下列情形之一的其投标(响应)文件无效:</w:t>
      </w:r>
    </w:p>
    <w:p w14:paraId="23BE0F3F">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8.27.1不同供应商的电子投标(响应)文件上传计算机的网卡MAC地址、CPU序列号和硬盘序列号等硬件信息相同的；</w:t>
      </w:r>
    </w:p>
    <w:p w14:paraId="539FEBED">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8.27.2上传的电子投标(响应)文件若出现使用本项目其他投标(响应)供应商的数字证书加密的，或者加盖本项目其他投标(响应)供应商的电子印章的;</w:t>
      </w:r>
    </w:p>
    <w:p w14:paraId="42D65067">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8.27.3不同供应商的投标(响应)文件的内容存在三处(含)以上错误一致，且无法合理解释的;</w:t>
      </w:r>
    </w:p>
    <w:p w14:paraId="6D5D1ECB">
      <w:pPr>
        <w:tabs>
          <w:tab w:val="left" w:pos="3870"/>
          <w:tab w:val="left" w:pos="4085"/>
        </w:tabs>
        <w:autoSpaceDE/>
        <w:autoSpaceDN/>
        <w:snapToGrid w:val="0"/>
        <w:spacing w:line="44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8.27.4不同供应商联系人为同一人或不同联系人的联系电话一致，且无法合理解释的。</w:t>
      </w:r>
    </w:p>
    <w:p w14:paraId="40EB9507">
      <w:pPr>
        <w:autoSpaceDE/>
        <w:autoSpaceDN/>
        <w:snapToGrid w:val="0"/>
        <w:spacing w:line="440" w:lineRule="exact"/>
        <w:ind w:firstLine="422" w:firstLineChars="175"/>
        <w:jc w:val="left"/>
        <w:rPr>
          <w:rFonts w:hint="eastAsia" w:ascii="宋体" w:hAnsi="宋体" w:cs="宋体"/>
          <w:color w:val="auto"/>
          <w:highlight w:val="none"/>
        </w:rPr>
      </w:pPr>
      <w:r>
        <w:rPr>
          <w:rFonts w:hint="eastAsia" w:ascii="宋体" w:hAnsi="宋体" w:cs="宋体"/>
          <w:b/>
          <w:color w:val="auto"/>
          <w:sz w:val="24"/>
          <w:highlight w:val="none"/>
        </w:rPr>
        <w:t>8.28其他违反</w:t>
      </w:r>
      <w:r>
        <w:rPr>
          <w:rFonts w:hint="eastAsia" w:ascii="宋体" w:hAnsi="宋体" w:cs="宋体"/>
          <w:b/>
          <w:color w:val="auto"/>
          <w:sz w:val="24"/>
          <w:highlight w:val="none"/>
          <w:lang w:eastAsia="zh-CN"/>
        </w:rPr>
        <w:t>法律法规</w:t>
      </w:r>
      <w:r>
        <w:rPr>
          <w:rFonts w:hint="eastAsia" w:ascii="宋体" w:hAnsi="宋体" w:cs="宋体"/>
          <w:b/>
          <w:color w:val="auto"/>
          <w:sz w:val="24"/>
          <w:highlight w:val="none"/>
        </w:rPr>
        <w:t>的情形。</w:t>
      </w:r>
    </w:p>
    <w:p w14:paraId="2AFEA185">
      <w:pPr>
        <w:autoSpaceDE/>
        <w:autoSpaceDN/>
        <w:snapToGrid w:val="0"/>
        <w:spacing w:line="44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9.废标的情形</w:t>
      </w:r>
    </w:p>
    <w:p w14:paraId="206595D3">
      <w:pPr>
        <w:autoSpaceDE/>
        <w:autoSpaceDN/>
        <w:snapToGrid w:val="0"/>
        <w:spacing w:line="44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在招标采购中，出现下列情形之一的，应予废标：</w:t>
      </w:r>
    </w:p>
    <w:p w14:paraId="64A03295">
      <w:pPr>
        <w:autoSpaceDE/>
        <w:autoSpaceDN/>
        <w:snapToGrid w:val="0"/>
        <w:spacing w:line="44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9.1符合专业条件的投标人或者对招标文件作实质性响应的投标人不足三家的；</w:t>
      </w:r>
    </w:p>
    <w:p w14:paraId="258CB4B7">
      <w:pPr>
        <w:autoSpaceDE/>
        <w:autoSpaceDN/>
        <w:snapToGrid w:val="0"/>
        <w:spacing w:line="44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9.2出现影响采购公正的违法、违规行为的；</w:t>
      </w:r>
    </w:p>
    <w:p w14:paraId="31F613F4">
      <w:pPr>
        <w:autoSpaceDE/>
        <w:autoSpaceDN/>
        <w:snapToGrid w:val="0"/>
        <w:spacing w:line="44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9.3投标人的报价均超过了采购预算，采购人不能支付的；</w:t>
      </w:r>
    </w:p>
    <w:p w14:paraId="1483B93D">
      <w:pPr>
        <w:autoSpaceDE/>
        <w:autoSpaceDN/>
        <w:snapToGrid w:val="0"/>
        <w:spacing w:line="440" w:lineRule="exact"/>
        <w:ind w:firstLine="420" w:firstLineChars="175"/>
        <w:rPr>
          <w:rFonts w:hint="eastAsia" w:ascii="宋体" w:hAnsi="宋体" w:cs="宋体"/>
          <w:b/>
          <w:color w:val="auto"/>
          <w:sz w:val="24"/>
          <w:highlight w:val="none"/>
        </w:rPr>
      </w:pPr>
      <w:r>
        <w:rPr>
          <w:rFonts w:hint="eastAsia" w:ascii="宋体" w:hAnsi="宋体" w:cs="宋体"/>
          <w:bCs/>
          <w:color w:val="auto"/>
          <w:sz w:val="24"/>
          <w:highlight w:val="none"/>
        </w:rPr>
        <w:t>9.4因重大变故，采购任务取消的。</w:t>
      </w:r>
    </w:p>
    <w:p w14:paraId="15D83EC2">
      <w:pPr>
        <w:autoSpaceDE/>
        <w:autoSpaceDN/>
        <w:snapToGrid w:val="0"/>
        <w:spacing w:line="44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10.评标过程保密</w:t>
      </w:r>
    </w:p>
    <w:p w14:paraId="38788317">
      <w:pPr>
        <w:autoSpaceDE/>
        <w:autoSpaceDN/>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10.1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028175B">
      <w:pPr>
        <w:autoSpaceDE/>
        <w:autoSpaceDN/>
        <w:snapToGrid w:val="0"/>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10.2在评标期间，投标人企图影响招标人或评标委员会的任何活动，都将导致投标被拒绝，并由其承担相应的法律责任。</w:t>
      </w:r>
    </w:p>
    <w:p w14:paraId="616583C8">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（五）定标</w:t>
      </w:r>
    </w:p>
    <w:p w14:paraId="19EBF325">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1、中标结果公告</w:t>
      </w:r>
    </w:p>
    <w:p w14:paraId="52917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 </w:t>
      </w:r>
      <w:r>
        <w:rPr>
          <w:rFonts w:hint="eastAsia" w:ascii="宋体" w:hAnsi="宋体" w:cs="宋体"/>
          <w:bCs/>
          <w:color w:val="auto"/>
          <w:sz w:val="24"/>
          <w:highlight w:val="none"/>
        </w:rPr>
        <w:t>本项目由评标委员会推荐中标供应商，采购代理机构在评标结束后2个工作日内将评标报告交采购人确认，采购结果经采购人确认后，</w:t>
      </w:r>
      <w:r>
        <w:rPr>
          <w:rFonts w:hint="eastAsia" w:ascii="宋体" w:hAnsi="宋体" w:cs="宋体"/>
          <w:color w:val="auto"/>
          <w:sz w:val="24"/>
          <w:highlight w:val="none"/>
        </w:rPr>
        <w:t>在浙江政府采购网站及新昌县公共资源交易平台上发布中标结果。</w:t>
      </w:r>
    </w:p>
    <w:p w14:paraId="644E4D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2、中标通知书</w:t>
      </w:r>
    </w:p>
    <w:p w14:paraId="47C52C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结果公告1个工作日后，未发现中标人有废标情形的，招标人将向其发出中标通知书。</w:t>
      </w:r>
    </w:p>
    <w:p w14:paraId="4508A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投标人在投标过程中弄虚作假的，骗取中标的，中标无效。</w:t>
      </w:r>
    </w:p>
    <w:p w14:paraId="21750F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中标通知书作为签订合同的重要依据，作为合同的一个组成部分。</w:t>
      </w:r>
    </w:p>
    <w:p w14:paraId="2E1A22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中标人必须在中标结果公告后，在2个工作日内到代理机构处领取中标通知书。</w:t>
      </w:r>
    </w:p>
    <w:p w14:paraId="5B63074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3、招标人拒绝任何投标的权利</w:t>
      </w:r>
    </w:p>
    <w:p w14:paraId="09E7B7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3.1为维护国家利益，招标人有拒绝任何投标的权力。如招标人对全部投标均予以拒绝时，会将理由通知所有投标人。</w:t>
      </w:r>
    </w:p>
    <w:p w14:paraId="18E97153">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（六）授予合同</w:t>
      </w:r>
    </w:p>
    <w:p w14:paraId="01442131">
      <w:pPr>
        <w:snapToGrid w:val="0"/>
        <w:spacing w:line="360" w:lineRule="auto"/>
        <w:ind w:firstLine="482"/>
        <w:jc w:val="left"/>
        <w:outlineLvl w:val="2"/>
        <w:rPr>
          <w:rFonts w:ascii="宋体" w:hAnsi="宋体" w:cs="宋体"/>
          <w:b/>
          <w:color w:val="auto"/>
          <w:sz w:val="24"/>
          <w:highlight w:val="none"/>
        </w:rPr>
      </w:pPr>
      <w:bookmarkStart w:id="9" w:name="_Toc504504576"/>
      <w:r>
        <w:rPr>
          <w:rFonts w:hint="eastAsia" w:ascii="宋体" w:hAnsi="宋体" w:cs="宋体"/>
          <w:b/>
          <w:color w:val="auto"/>
          <w:sz w:val="24"/>
          <w:highlight w:val="none"/>
        </w:rPr>
        <w:t>1、签订合同</w:t>
      </w:r>
      <w:bookmarkEnd w:id="9"/>
    </w:p>
    <w:p w14:paraId="2118CDAC">
      <w:pPr>
        <w:pStyle w:val="29"/>
        <w:spacing w:before="24" w:line="360" w:lineRule="auto"/>
        <w:rPr>
          <w:rFonts w:cs="宋体"/>
          <w:color w:val="auto"/>
          <w:sz w:val="24"/>
          <w:szCs w:val="24"/>
          <w:highlight w:val="none"/>
        </w:rPr>
      </w:pPr>
      <w:r>
        <w:rPr>
          <w:rFonts w:hint="eastAsia" w:cs="宋体"/>
          <w:color w:val="auto"/>
          <w:sz w:val="24"/>
          <w:szCs w:val="24"/>
          <w:highlight w:val="none"/>
        </w:rPr>
        <w:t>1.1采购人与中标供应商应当在《中标通知书》发出之日起30日内签订政府采购合同。</w:t>
      </w:r>
    </w:p>
    <w:p w14:paraId="3DE3357C">
      <w:pPr>
        <w:snapToGrid w:val="0"/>
        <w:spacing w:line="360" w:lineRule="auto"/>
        <w:ind w:firstLine="482"/>
        <w:jc w:val="left"/>
        <w:outlineLvl w:val="2"/>
        <w:rPr>
          <w:rFonts w:ascii="宋体" w:hAnsi="宋体" w:cs="宋体"/>
          <w:color w:val="auto"/>
          <w:sz w:val="24"/>
          <w:highlight w:val="none"/>
        </w:rPr>
      </w:pPr>
      <w:bookmarkStart w:id="10" w:name="_Toc504504578"/>
      <w:r>
        <w:rPr>
          <w:rFonts w:hint="eastAsia" w:ascii="宋体" w:hAnsi="宋体" w:cs="宋体"/>
          <w:b/>
          <w:color w:val="auto"/>
          <w:sz w:val="24"/>
          <w:highlight w:val="none"/>
        </w:rPr>
        <w:t>2、履约保证金</w:t>
      </w:r>
      <w:bookmarkEnd w:id="10"/>
    </w:p>
    <w:p w14:paraId="4688FFFC">
      <w:pPr>
        <w:pStyle w:val="12"/>
        <w:snapToGrid w:val="0"/>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2.1.签订合同前，中标供应商按照招标文件规定递交履约保证金。</w:t>
      </w:r>
    </w:p>
    <w:p w14:paraId="707F9301">
      <w:pPr>
        <w:pStyle w:val="12"/>
        <w:snapToGrid w:val="0"/>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2.2.签订合同后，如中标供应商不按双方合同约定履约，则没收其全部履约保证金，履约保证金不足以赔偿损失的，按实际损失赔偿。</w:t>
      </w:r>
    </w:p>
    <w:p w14:paraId="1D773481">
      <w:pPr>
        <w:pStyle w:val="12"/>
        <w:snapToGrid w:val="0"/>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3、合同备案</w:t>
      </w:r>
    </w:p>
    <w:p w14:paraId="37370F50">
      <w:pPr>
        <w:pStyle w:val="12"/>
        <w:snapToGrid w:val="0"/>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3.1.中标人应当自采购合同签订之日起7个工作日内，将采购合同原件报建经投资咨询有限公司备案。</w:t>
      </w:r>
    </w:p>
    <w:p w14:paraId="7CF3E84B">
      <w:pPr>
        <w:pStyle w:val="12"/>
        <w:snapToGrid w:val="0"/>
        <w:spacing w:before="120" w:after="120" w:line="360" w:lineRule="auto"/>
        <w:ind w:firstLine="480" w:firstLineChars="200"/>
        <w:rPr>
          <w:rFonts w:ascii="宋体" w:hAnsi="宋体" w:cs="宋体"/>
          <w:color w:val="auto"/>
          <w:highlight w:val="none"/>
        </w:rPr>
      </w:pPr>
      <w:r>
        <w:rPr>
          <w:rFonts w:hint="eastAsia" w:ascii="宋体" w:hAnsi="宋体" w:cs="宋体"/>
          <w:color w:val="auto"/>
          <w:highlight w:val="none"/>
        </w:rPr>
        <w:t>3.2.未领取中标通知书，采购双方自行签订的合同不予备案。</w:t>
      </w:r>
    </w:p>
    <w:p w14:paraId="6DC70DFA">
      <w:pPr>
        <w:pStyle w:val="12"/>
        <w:snapToGrid w:val="0"/>
        <w:spacing w:before="120" w:after="120" w:line="360" w:lineRule="auto"/>
        <w:ind w:firstLine="477" w:firstLineChars="198"/>
        <w:outlineLvl w:val="1"/>
        <w:rPr>
          <w:rFonts w:ascii="宋体" w:hAnsi="宋体" w:cs="宋体"/>
          <w:b/>
          <w:color w:val="auto"/>
          <w:highlight w:val="none"/>
        </w:rPr>
      </w:pPr>
      <w:bookmarkStart w:id="11" w:name="_Toc504504579"/>
      <w:bookmarkStart w:id="12" w:name="_Toc520986892"/>
      <w:bookmarkStart w:id="13" w:name="_Toc510614928"/>
      <w:r>
        <w:rPr>
          <w:rFonts w:hint="eastAsia" w:ascii="宋体" w:hAnsi="宋体" w:cs="宋体"/>
          <w:b/>
          <w:color w:val="auto"/>
          <w:highlight w:val="none"/>
        </w:rPr>
        <w:t>3、货款的结算</w:t>
      </w:r>
      <w:bookmarkEnd w:id="11"/>
      <w:bookmarkEnd w:id="12"/>
      <w:bookmarkEnd w:id="13"/>
    </w:p>
    <w:p w14:paraId="7DD741CB">
      <w:pPr>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按照前</w:t>
      </w:r>
      <w:r>
        <w:rPr>
          <w:rFonts w:hint="eastAsia" w:ascii="宋体" w:hAnsi="宋体" w:cs="宋体"/>
          <w:color w:val="auto"/>
          <w:sz w:val="24"/>
          <w:highlight w:val="none"/>
          <w:lang w:eastAsia="zh-CN"/>
        </w:rPr>
        <w:t>面</w:t>
      </w:r>
      <w:r>
        <w:rPr>
          <w:rFonts w:hint="eastAsia" w:ascii="宋体" w:hAnsi="宋体" w:cs="宋体"/>
          <w:color w:val="auto"/>
          <w:sz w:val="24"/>
          <w:highlight w:val="none"/>
        </w:rPr>
        <w:t>附表的有关规定。</w:t>
      </w:r>
    </w:p>
    <w:p w14:paraId="3CF9E5FE">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（七）中标人履约的监督</w:t>
      </w:r>
    </w:p>
    <w:p w14:paraId="724F5D6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1、中标人履约的监督</w:t>
      </w:r>
    </w:p>
    <w:p w14:paraId="39DD67FB">
      <w:pPr>
        <w:snapToGrid w:val="0"/>
        <w:spacing w:line="520" w:lineRule="exact"/>
        <w:ind w:firstLine="480" w:firstLineChars="200"/>
        <w:rPr>
          <w:rFonts w:ascii="宋体" w:hAnsi="宋体" w:cs="宋体"/>
          <w:color w:val="auto"/>
          <w:sz w:val="44"/>
          <w:szCs w:val="44"/>
          <w:highlight w:val="none"/>
        </w:rPr>
      </w:pPr>
      <w:r>
        <w:rPr>
          <w:rFonts w:hint="eastAsia" w:ascii="宋体" w:hAnsi="宋体" w:cs="宋体"/>
          <w:color w:val="auto"/>
          <w:sz w:val="24"/>
          <w:highlight w:val="none"/>
        </w:rPr>
        <w:t>1.1中标人未能按规定履行合同的，按照相关规定处理。情节严重的，列入政府采购不良行为供应商名单。</w:t>
      </w:r>
    </w:p>
    <w:p w14:paraId="65F8A4CD">
      <w:pPr>
        <w:pStyle w:val="9"/>
        <w:rPr>
          <w:rFonts w:ascii="宋体" w:hAnsi="宋体" w:cs="宋体"/>
          <w:color w:val="auto"/>
          <w:highlight w:val="none"/>
        </w:rPr>
      </w:pPr>
    </w:p>
    <w:p w14:paraId="41043C02">
      <w:pPr>
        <w:pStyle w:val="30"/>
        <w:rPr>
          <w:color w:val="auto"/>
          <w:highlight w:val="none"/>
        </w:rPr>
      </w:pPr>
      <w:r>
        <w:rPr>
          <w:rFonts w:hint="eastAsia" w:ascii="宋体" w:hAnsi="宋体" w:cs="Tahoma"/>
          <w:b/>
          <w:bCs/>
          <w:color w:val="auto"/>
          <w:sz w:val="30"/>
          <w:szCs w:val="30"/>
          <w:highlight w:val="none"/>
        </w:rPr>
        <w:t>（八）</w:t>
      </w:r>
      <w:r>
        <w:rPr>
          <w:rFonts w:hint="eastAsia"/>
          <w:b/>
          <w:bCs/>
          <w:color w:val="auto"/>
          <w:sz w:val="28"/>
          <w:szCs w:val="28"/>
          <w:highlight w:val="none"/>
        </w:rPr>
        <w:t>有关中小企业声明、监狱企业、残疾人福利性单位的规定</w:t>
      </w:r>
    </w:p>
    <w:p w14:paraId="77FE5A27">
      <w:pPr>
        <w:tabs>
          <w:tab w:val="left" w:pos="0"/>
        </w:tabs>
        <w:autoSpaceDE/>
        <w:autoSpaceDN/>
        <w:adjustRightInd/>
        <w:spacing w:line="360" w:lineRule="auto"/>
        <w:rPr>
          <w:color w:val="auto"/>
          <w:sz w:val="24"/>
          <w:highlight w:val="none"/>
        </w:rPr>
      </w:pPr>
      <w:r>
        <w:rPr>
          <w:rFonts w:hint="eastAsia"/>
          <w:color w:val="auto"/>
          <w:sz w:val="24"/>
          <w:highlight w:val="none"/>
        </w:rPr>
        <w:t>1.</w:t>
      </w:r>
      <w:r>
        <w:rPr>
          <w:color w:val="auto"/>
          <w:sz w:val="24"/>
          <w:highlight w:val="none"/>
        </w:rPr>
        <w:t>根据《</w:t>
      </w:r>
      <w:r>
        <w:rPr>
          <w:rFonts w:hint="eastAsia"/>
          <w:color w:val="auto"/>
          <w:sz w:val="24"/>
          <w:highlight w:val="none"/>
        </w:rPr>
        <w:t>政府采购促进中小企业发展管理办法</w:t>
      </w:r>
      <w:r>
        <w:rPr>
          <w:color w:val="auto"/>
          <w:sz w:val="24"/>
          <w:highlight w:val="none"/>
        </w:rPr>
        <w:t>》</w:t>
      </w:r>
      <w:r>
        <w:rPr>
          <w:rFonts w:hint="eastAsia"/>
          <w:color w:val="auto"/>
          <w:sz w:val="24"/>
          <w:highlight w:val="none"/>
        </w:rPr>
        <w:t>（财库﹝</w:t>
      </w:r>
      <w:r>
        <w:rPr>
          <w:color w:val="auto"/>
          <w:sz w:val="24"/>
          <w:highlight w:val="none"/>
        </w:rPr>
        <w:t>2020﹞46号）的规定，中小企业的标准为：</w:t>
      </w:r>
    </w:p>
    <w:p w14:paraId="005FBA02">
      <w:pPr>
        <w:tabs>
          <w:tab w:val="left" w:pos="0"/>
        </w:tabs>
        <w:autoSpaceDE/>
        <w:autoSpaceDN/>
        <w:adjustRightInd/>
        <w:spacing w:line="360" w:lineRule="auto"/>
        <w:rPr>
          <w:color w:val="auto"/>
          <w:sz w:val="24"/>
          <w:highlight w:val="none"/>
        </w:rPr>
      </w:pPr>
      <w:r>
        <w:rPr>
          <w:rFonts w:hint="eastAsia"/>
          <w:color w:val="auto"/>
          <w:sz w:val="24"/>
          <w:highlight w:val="none"/>
        </w:rPr>
        <w:t>（1）</w:t>
      </w: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26850793">
      <w:pPr>
        <w:tabs>
          <w:tab w:val="left" w:pos="0"/>
        </w:tabs>
        <w:autoSpaceDE/>
        <w:autoSpaceDN/>
        <w:adjustRightInd/>
        <w:spacing w:line="360" w:lineRule="auto"/>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在政府采购活动中，供应商提供的货物、工程</w:t>
      </w:r>
      <w:r>
        <w:rPr>
          <w:color w:val="auto"/>
          <w:sz w:val="24"/>
          <w:highlight w:val="none"/>
        </w:rPr>
        <w:t>或者服务符合下列情形的，享受本办法规定的中小企业扶持政策：</w:t>
      </w:r>
    </w:p>
    <w:p w14:paraId="5D2DCED0">
      <w:pPr>
        <w:tabs>
          <w:tab w:val="left" w:pos="0"/>
        </w:tabs>
        <w:autoSpaceDE/>
        <w:autoSpaceDN/>
        <w:adjustRightInd/>
        <w:spacing w:line="360" w:lineRule="auto"/>
        <w:rPr>
          <w:color w:val="auto"/>
          <w:sz w:val="24"/>
          <w:highlight w:val="none"/>
        </w:rPr>
      </w:pPr>
      <w:r>
        <w:rPr>
          <w:rFonts w:hint="eastAsia"/>
          <w:color w:val="auto"/>
          <w:sz w:val="24"/>
          <w:highlight w:val="none"/>
        </w:rPr>
        <w:t>①.在货物采购项目中，货物由中小企业制造，即货</w:t>
      </w:r>
      <w:r>
        <w:rPr>
          <w:color w:val="auto"/>
          <w:sz w:val="24"/>
          <w:highlight w:val="none"/>
        </w:rPr>
        <w:t>物由中小企业生产且使用该中小企业商号或者注册商标；</w:t>
      </w:r>
    </w:p>
    <w:p w14:paraId="6AFD9ABB">
      <w:pPr>
        <w:tabs>
          <w:tab w:val="left" w:pos="0"/>
        </w:tabs>
        <w:autoSpaceDE/>
        <w:autoSpaceDN/>
        <w:adjustRightInd/>
        <w:spacing w:line="360" w:lineRule="auto"/>
        <w:ind w:firstLine="480" w:firstLineChars="200"/>
        <w:rPr>
          <w:color w:val="auto"/>
          <w:sz w:val="24"/>
          <w:highlight w:val="none"/>
        </w:rPr>
      </w:pPr>
      <w:r>
        <w:rPr>
          <w:rFonts w:hint="eastAsia"/>
          <w:color w:val="auto"/>
          <w:sz w:val="24"/>
          <w:highlight w:val="none"/>
        </w:rPr>
        <w:t>②.在工程采购项目中，工程由中小企业承建，即工</w:t>
      </w:r>
      <w:r>
        <w:rPr>
          <w:color w:val="auto"/>
          <w:sz w:val="24"/>
          <w:highlight w:val="none"/>
        </w:rPr>
        <w:t>程施工单位为中小企业；</w:t>
      </w:r>
    </w:p>
    <w:p w14:paraId="54D233D9">
      <w:pPr>
        <w:tabs>
          <w:tab w:val="left" w:pos="0"/>
        </w:tabs>
        <w:autoSpaceDE/>
        <w:autoSpaceDN/>
        <w:adjustRightInd/>
        <w:spacing w:line="360" w:lineRule="auto"/>
        <w:ind w:firstLine="480" w:firstLineChars="200"/>
        <w:rPr>
          <w:color w:val="auto"/>
          <w:sz w:val="24"/>
          <w:highlight w:val="none"/>
        </w:rPr>
      </w:pPr>
      <w:r>
        <w:rPr>
          <w:rFonts w:hint="eastAsia"/>
          <w:color w:val="auto"/>
          <w:sz w:val="24"/>
          <w:highlight w:val="none"/>
        </w:rPr>
        <w:t>③.在服务采购项目中，服务由中小企业承接，即提</w:t>
      </w:r>
      <w:r>
        <w:rPr>
          <w:color w:val="auto"/>
          <w:sz w:val="24"/>
          <w:highlight w:val="none"/>
        </w:rPr>
        <w:t>供服务的人员为中小企业依照《中华人民共和国劳动合同法》订立劳动合同的从业人员。</w:t>
      </w:r>
    </w:p>
    <w:p w14:paraId="4C57C91E">
      <w:pPr>
        <w:tabs>
          <w:tab w:val="left" w:pos="0"/>
        </w:tabs>
        <w:autoSpaceDE/>
        <w:autoSpaceDN/>
        <w:adjustRightInd/>
        <w:spacing w:line="360" w:lineRule="auto"/>
        <w:ind w:firstLine="480" w:firstLineChars="200"/>
        <w:rPr>
          <w:color w:val="auto"/>
          <w:sz w:val="24"/>
          <w:highlight w:val="none"/>
        </w:rPr>
      </w:pPr>
      <w:r>
        <w:rPr>
          <w:rFonts w:hint="eastAsia"/>
          <w:color w:val="auto"/>
          <w:sz w:val="24"/>
          <w:highlight w:val="none"/>
        </w:rPr>
        <w:t>④.在货物采购项目中，供应商提供的货物既有中小企业制</w:t>
      </w:r>
      <w:r>
        <w:rPr>
          <w:color w:val="auto"/>
          <w:sz w:val="24"/>
          <w:highlight w:val="none"/>
        </w:rPr>
        <w:t>造货物，也有大型企业制造货物的，不享受本办法规定的中小企业扶持政策。</w:t>
      </w:r>
    </w:p>
    <w:p w14:paraId="0741ED91">
      <w:pPr>
        <w:tabs>
          <w:tab w:val="left" w:pos="0"/>
        </w:tabs>
        <w:autoSpaceDE/>
        <w:autoSpaceDN/>
        <w:adjustRightInd/>
        <w:spacing w:line="360" w:lineRule="auto"/>
        <w:ind w:firstLine="480" w:firstLineChars="200"/>
        <w:rPr>
          <w:color w:val="auto"/>
          <w:sz w:val="24"/>
          <w:highlight w:val="none"/>
        </w:rPr>
      </w:pPr>
      <w:r>
        <w:rPr>
          <w:rFonts w:hint="eastAsia"/>
          <w:color w:val="auto"/>
          <w:sz w:val="24"/>
          <w:highlight w:val="none"/>
        </w:rPr>
        <w:t>⑤.以联合体形式参加政府采购活动，联合体各方均为中小</w:t>
      </w:r>
      <w:r>
        <w:rPr>
          <w:color w:val="auto"/>
          <w:sz w:val="24"/>
          <w:highlight w:val="none"/>
        </w:rPr>
        <w:t>企业的，联合体视同中小企业。其中，联合体各方均为小微企业的，联合体视同小微企业。</w:t>
      </w:r>
    </w:p>
    <w:p w14:paraId="7FD41BFE">
      <w:pPr>
        <w:tabs>
          <w:tab w:val="left" w:pos="0"/>
        </w:tabs>
        <w:autoSpaceDE/>
        <w:autoSpaceDN/>
        <w:adjustRightInd/>
        <w:spacing w:line="360" w:lineRule="auto"/>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中小企业参加政府采购活动，应当出具《中小企业声明函》，否则不享受相关中小企业扶持政策。供应商不用提供《中</w:t>
      </w:r>
      <w:r>
        <w:rPr>
          <w:color w:val="auto"/>
          <w:sz w:val="24"/>
          <w:highlight w:val="none"/>
        </w:rPr>
        <w:t>小企业声明函》之外的中小企业身份证明文件。</w:t>
      </w:r>
    </w:p>
    <w:p w14:paraId="5C160F9F">
      <w:pPr>
        <w:tabs>
          <w:tab w:val="left" w:pos="0"/>
        </w:tabs>
        <w:autoSpaceDE/>
        <w:autoSpaceDN/>
        <w:adjustRightInd/>
        <w:spacing w:line="360" w:lineRule="auto"/>
        <w:rPr>
          <w:color w:val="auto"/>
          <w:sz w:val="24"/>
          <w:highlight w:val="none"/>
        </w:rPr>
      </w:pPr>
      <w:r>
        <w:rPr>
          <w:rFonts w:hint="eastAsia"/>
          <w:color w:val="auto"/>
          <w:sz w:val="24"/>
          <w:highlight w:val="none"/>
        </w:rPr>
        <w:t>2</w:t>
      </w:r>
      <w:r>
        <w:rPr>
          <w:color w:val="auto"/>
          <w:sz w:val="24"/>
          <w:highlight w:val="none"/>
        </w:rPr>
        <w:t>.根据《财政部、司法部关于政府采购支持监狱企业发展有关问题的通知》（财库〔2014〕68号）规定，监狱企业应当符合以下条件：</w:t>
      </w:r>
    </w:p>
    <w:p w14:paraId="1A815B74">
      <w:pPr>
        <w:tabs>
          <w:tab w:val="left" w:pos="0"/>
        </w:tabs>
        <w:autoSpaceDE/>
        <w:autoSpaceDN/>
        <w:adjustRightInd/>
        <w:spacing w:line="360" w:lineRule="auto"/>
        <w:rPr>
          <w:color w:val="auto"/>
          <w:sz w:val="24"/>
          <w:highlight w:val="none"/>
        </w:rPr>
      </w:pPr>
      <w:r>
        <w:rPr>
          <w:rFonts w:hint="eastAsia"/>
          <w:color w:val="auto"/>
          <w:sz w:val="24"/>
          <w:highlight w:val="none"/>
        </w:rPr>
        <w:t>（</w:t>
      </w:r>
      <w:r>
        <w:rPr>
          <w:color w:val="auto"/>
          <w:sz w:val="24"/>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3B424E">
      <w:pPr>
        <w:tabs>
          <w:tab w:val="left" w:pos="0"/>
        </w:tabs>
        <w:autoSpaceDE/>
        <w:autoSpaceDN/>
        <w:adjustRightInd/>
        <w:spacing w:line="360" w:lineRule="auto"/>
        <w:rPr>
          <w:color w:val="auto"/>
          <w:sz w:val="24"/>
          <w:highlight w:val="none"/>
        </w:rPr>
      </w:pPr>
      <w:r>
        <w:rPr>
          <w:rFonts w:hint="eastAsia"/>
          <w:color w:val="auto"/>
          <w:sz w:val="24"/>
          <w:highlight w:val="none"/>
        </w:rPr>
        <w:t>（</w:t>
      </w:r>
      <w:r>
        <w:rPr>
          <w:color w:val="auto"/>
          <w:sz w:val="24"/>
          <w:highlight w:val="none"/>
        </w:rPr>
        <w:t>2）监狱企业参加政府采购活动时，视同小型、微型企业，应当提供由省级以上监狱管理局、戒毒管理局（含新疆生产建设兵团）出具的属于监狱企业的证明文件。</w:t>
      </w:r>
    </w:p>
    <w:p w14:paraId="323B65EE">
      <w:pPr>
        <w:tabs>
          <w:tab w:val="left" w:pos="0"/>
        </w:tabs>
        <w:autoSpaceDE/>
        <w:autoSpaceDN/>
        <w:adjustRightInd/>
        <w:spacing w:line="360" w:lineRule="auto"/>
        <w:rPr>
          <w:color w:val="auto"/>
          <w:sz w:val="24"/>
          <w:highlight w:val="none"/>
        </w:rPr>
      </w:pPr>
      <w:r>
        <w:rPr>
          <w:rFonts w:hint="eastAsia"/>
          <w:color w:val="auto"/>
          <w:sz w:val="24"/>
          <w:highlight w:val="none"/>
        </w:rPr>
        <w:t>3</w:t>
      </w:r>
      <w:r>
        <w:rPr>
          <w:color w:val="auto"/>
          <w:sz w:val="24"/>
          <w:highlight w:val="none"/>
        </w:rPr>
        <w:t>.根据《财政部 民政部 中国残疾人联合会关于促进残疾人就业政府采购政策的通知》（财库</w:t>
      </w:r>
      <w:r>
        <w:rPr>
          <w:rFonts w:hint="eastAsia"/>
          <w:color w:val="auto"/>
          <w:sz w:val="24"/>
          <w:highlight w:val="none"/>
          <w:lang w:eastAsia="zh-CN"/>
        </w:rPr>
        <w:t>〔2017〕141号</w:t>
      </w:r>
      <w:r>
        <w:rPr>
          <w:color w:val="auto"/>
          <w:sz w:val="24"/>
          <w:highlight w:val="none"/>
        </w:rPr>
        <w:t>）规定，在政府采购活动中，残疾人福利性单位视同小型、微型企业。残疾人福利性单位参加政府采购活动时，提供《残疾人福利性单位声明函》。</w:t>
      </w:r>
    </w:p>
    <w:p w14:paraId="79BD5CB8">
      <w:pPr>
        <w:tabs>
          <w:tab w:val="left" w:pos="0"/>
        </w:tabs>
        <w:autoSpaceDE/>
        <w:autoSpaceDN/>
        <w:adjustRightInd/>
        <w:spacing w:line="360" w:lineRule="auto"/>
        <w:rPr>
          <w:rFonts w:cs="宋体"/>
          <w:color w:val="auto"/>
          <w:highlight w:val="none"/>
        </w:rPr>
        <w:sectPr>
          <w:footerReference r:id="rId5" w:type="default"/>
          <w:pgSz w:w="11907" w:h="16840"/>
          <w:pgMar w:top="1440" w:right="1797" w:bottom="1440" w:left="1797" w:header="851" w:footer="992" w:gutter="0"/>
          <w:cols w:space="720" w:num="1"/>
          <w:docGrid w:linePitch="312" w:charSpace="0"/>
        </w:sectPr>
      </w:pPr>
      <w:r>
        <w:rPr>
          <w:rFonts w:hint="eastAsia"/>
          <w:color w:val="auto"/>
          <w:sz w:val="24"/>
          <w:highlight w:val="none"/>
        </w:rPr>
        <w:t>4</w:t>
      </w:r>
      <w:r>
        <w:rPr>
          <w:color w:val="auto"/>
          <w:sz w:val="24"/>
          <w:highlight w:val="none"/>
        </w:rPr>
        <w:t>.</w:t>
      </w:r>
      <w:r>
        <w:rPr>
          <w:rFonts w:hint="eastAsia"/>
          <w:color w:val="auto"/>
          <w:sz w:val="24"/>
          <w:highlight w:val="none"/>
        </w:rPr>
        <w:t>根据财政部发布的《政府采购促进中小企业发展管理办法》规定，对于非专门面向中小企业的项目，对小型和微型企业产品的价格给予一定的扣除，用扣除后的价格参与评审。</w:t>
      </w:r>
    </w:p>
    <w:p w14:paraId="20EFDB34">
      <w:pPr>
        <w:widowControl/>
        <w:jc w:val="center"/>
        <w:rPr>
          <w:rFonts w:hint="eastAsia" w:ascii="宋体" w:hAnsi="宋体" w:cs="宋体"/>
          <w:color w:val="auto"/>
          <w:sz w:val="24"/>
          <w:szCs w:val="24"/>
          <w:highlight w:val="none"/>
        </w:rPr>
      </w:pPr>
      <w:r>
        <w:rPr>
          <w:rStyle w:val="32"/>
          <w:rFonts w:hint="eastAsia" w:ascii="宋体" w:hAnsi="宋体" w:cs="宋体"/>
          <w:color w:val="auto"/>
          <w:spacing w:val="0"/>
          <w:sz w:val="36"/>
          <w:highlight w:val="none"/>
        </w:rPr>
        <w:t xml:space="preserve">第四章    </w:t>
      </w:r>
      <w:bookmarkEnd w:id="3"/>
      <w:bookmarkEnd w:id="4"/>
      <w:bookmarkStart w:id="14" w:name="_Toc454374923"/>
      <w:r>
        <w:rPr>
          <w:rFonts w:hint="eastAsia" w:ascii="宋体" w:hAnsi="宋体" w:cs="宋体"/>
          <w:b/>
          <w:bCs/>
          <w:color w:val="auto"/>
          <w:sz w:val="32"/>
          <w:szCs w:val="32"/>
          <w:highlight w:val="none"/>
        </w:rPr>
        <w:t>合同主要条款</w:t>
      </w:r>
    </w:p>
    <w:p w14:paraId="25F32B24">
      <w:pPr>
        <w:autoSpaceDE/>
        <w:autoSpaceDN/>
        <w:snapToGrid w:val="0"/>
        <w:spacing w:line="540" w:lineRule="exact"/>
        <w:ind w:firstLine="480" w:firstLineChars="200"/>
        <w:rPr>
          <w:rFonts w:hint="eastAsia" w:ascii="宋体" w:hAnsi="宋体" w:cs="宋体"/>
          <w:color w:val="auto"/>
          <w:sz w:val="24"/>
          <w:szCs w:val="24"/>
          <w:highlight w:val="none"/>
        </w:rPr>
      </w:pPr>
    </w:p>
    <w:p w14:paraId="3E071506">
      <w:pPr>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09000C1">
      <w:pPr>
        <w:pStyle w:val="37"/>
        <w:rPr>
          <w:rFonts w:hint="eastAsia" w:ascii="宋体" w:hAnsi="宋体" w:eastAsia="宋体" w:cs="宋体"/>
          <w:color w:val="auto"/>
          <w:sz w:val="24"/>
          <w:highlight w:val="none"/>
          <w:u w:val="single"/>
        </w:rPr>
      </w:pPr>
    </w:p>
    <w:p w14:paraId="4FF8D043">
      <w:pPr>
        <w:pStyle w:val="40"/>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（本合同为示范文本，具体以</w:t>
      </w:r>
      <w:r>
        <w:rPr>
          <w:rFonts w:hint="eastAsia" w:ascii="宋体" w:hAnsi="宋体" w:eastAsia="宋体" w:cs="宋体"/>
          <w:b/>
          <w:color w:val="auto"/>
          <w:sz w:val="24"/>
          <w:highlight w:val="none"/>
          <w:lang w:val="en-US" w:eastAsia="zh-CN"/>
        </w:rPr>
        <w:t>甲方与乙方</w:t>
      </w:r>
      <w:r>
        <w:rPr>
          <w:rFonts w:hint="eastAsia" w:ascii="宋体" w:hAnsi="宋体" w:eastAsia="宋体" w:cs="宋体"/>
          <w:b/>
          <w:color w:val="auto"/>
          <w:sz w:val="24"/>
          <w:highlight w:val="none"/>
        </w:rPr>
        <w:t>所</w:t>
      </w:r>
      <w:r>
        <w:rPr>
          <w:rFonts w:hint="eastAsia" w:ascii="宋体" w:hAnsi="宋体" w:eastAsia="宋体" w:cs="宋体"/>
          <w:b/>
          <w:color w:val="auto"/>
          <w:sz w:val="24"/>
          <w:highlight w:val="none"/>
          <w:lang w:eastAsia="zh-CN"/>
        </w:rPr>
        <w:t>签订</w:t>
      </w:r>
      <w:r>
        <w:rPr>
          <w:rFonts w:hint="eastAsia" w:ascii="宋体" w:hAnsi="宋体" w:eastAsia="宋体" w:cs="宋体"/>
          <w:b/>
          <w:color w:val="auto"/>
          <w:sz w:val="24"/>
          <w:highlight w:val="none"/>
        </w:rPr>
        <w:t>正式合同为准）</w:t>
      </w:r>
    </w:p>
    <w:p w14:paraId="00E03415">
      <w:pPr>
        <w:spacing w:line="336" w:lineRule="auto"/>
        <w:rPr>
          <w:rFonts w:hint="eastAsia" w:ascii="宋体" w:hAnsi="宋体" w:eastAsia="宋体" w:cs="宋体"/>
          <w:color w:val="auto"/>
          <w:sz w:val="24"/>
          <w:highlight w:val="none"/>
          <w:u w:val="single"/>
        </w:rPr>
      </w:pPr>
    </w:p>
    <w:p w14:paraId="732CBD05">
      <w:pPr>
        <w:pStyle w:val="41"/>
        <w:spacing w:after="0" w:line="336"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0F6EEF0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服务</w:t>
      </w:r>
      <w:r>
        <w:rPr>
          <w:rFonts w:hint="eastAsia" w:ascii="宋体" w:hAnsi="宋体" w:eastAsia="宋体" w:cs="宋体"/>
          <w:b/>
          <w:color w:val="auto"/>
          <w:sz w:val="36"/>
          <w:szCs w:val="36"/>
          <w:highlight w:val="none"/>
        </w:rPr>
        <w:t>类）</w:t>
      </w:r>
    </w:p>
    <w:p w14:paraId="03ADE653">
      <w:pPr>
        <w:pStyle w:val="41"/>
        <w:spacing w:after="0" w:line="336" w:lineRule="auto"/>
        <w:ind w:left="0" w:leftChars="0"/>
        <w:rPr>
          <w:rFonts w:hint="eastAsia" w:ascii="宋体" w:hAnsi="宋体" w:eastAsia="宋体" w:cs="宋体"/>
          <w:color w:val="auto"/>
          <w:szCs w:val="24"/>
          <w:highlight w:val="none"/>
        </w:rPr>
      </w:pPr>
    </w:p>
    <w:p w14:paraId="6D623FAD">
      <w:pPr>
        <w:pStyle w:val="4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006FE92">
      <w:pPr>
        <w:pStyle w:val="3"/>
        <w:rPr>
          <w:rFonts w:hint="eastAsia" w:ascii="宋体" w:hAnsi="宋体" w:eastAsia="宋体" w:cs="宋体"/>
          <w:color w:val="auto"/>
          <w:szCs w:val="24"/>
          <w:highlight w:val="none"/>
        </w:rPr>
      </w:pPr>
    </w:p>
    <w:p w14:paraId="0E64210C">
      <w:pPr>
        <w:pStyle w:val="3"/>
        <w:rPr>
          <w:rFonts w:hint="eastAsia" w:ascii="宋体" w:hAnsi="宋体" w:eastAsia="宋体" w:cs="宋体"/>
          <w:color w:val="auto"/>
          <w:szCs w:val="24"/>
          <w:highlight w:val="none"/>
        </w:rPr>
      </w:pPr>
    </w:p>
    <w:p w14:paraId="31C8A0B0">
      <w:pPr>
        <w:pStyle w:val="3"/>
        <w:ind w:left="0" w:leftChars="0" w:firstLine="0" w:firstLineChars="0"/>
        <w:rPr>
          <w:rFonts w:hint="eastAsia" w:ascii="宋体" w:hAnsi="宋体" w:eastAsia="宋体" w:cs="宋体"/>
          <w:color w:val="auto"/>
          <w:szCs w:val="24"/>
          <w:highlight w:val="none"/>
        </w:rPr>
      </w:pPr>
    </w:p>
    <w:p w14:paraId="0B01A172">
      <w:pPr>
        <w:spacing w:line="336" w:lineRule="auto"/>
        <w:rPr>
          <w:rFonts w:hint="eastAsia" w:ascii="宋体" w:hAnsi="宋体" w:eastAsia="宋体" w:cs="宋体"/>
          <w:color w:val="auto"/>
          <w:sz w:val="24"/>
          <w:highlight w:val="none"/>
        </w:rPr>
      </w:pPr>
    </w:p>
    <w:p w14:paraId="74AFEC0E">
      <w:pPr>
        <w:spacing w:line="336"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66E45942">
      <w:pPr>
        <w:pStyle w:val="42"/>
        <w:spacing w:line="336" w:lineRule="auto"/>
        <w:rPr>
          <w:rFonts w:hint="eastAsia" w:ascii="宋体" w:hAnsi="宋体" w:eastAsia="宋体" w:cs="宋体"/>
          <w:color w:val="auto"/>
          <w:szCs w:val="24"/>
          <w:highlight w:val="none"/>
        </w:rPr>
      </w:pPr>
    </w:p>
    <w:p w14:paraId="3FD3002B">
      <w:pPr>
        <w:spacing w:line="336" w:lineRule="auto"/>
        <w:rPr>
          <w:rFonts w:hint="eastAsia" w:ascii="宋体" w:hAnsi="宋体" w:eastAsia="宋体" w:cs="宋体"/>
          <w:color w:val="auto"/>
          <w:sz w:val="24"/>
          <w:highlight w:val="none"/>
        </w:rPr>
      </w:pPr>
    </w:p>
    <w:p w14:paraId="55E93655">
      <w:pPr>
        <w:spacing w:line="336"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E1B3448">
      <w:pPr>
        <w:spacing w:line="336" w:lineRule="auto"/>
        <w:rPr>
          <w:rFonts w:hint="eastAsia" w:ascii="宋体" w:hAnsi="宋体" w:eastAsia="宋体" w:cs="宋体"/>
          <w:color w:val="auto"/>
          <w:sz w:val="24"/>
          <w:highlight w:val="none"/>
        </w:rPr>
      </w:pPr>
    </w:p>
    <w:p w14:paraId="00398084">
      <w:pPr>
        <w:spacing w:line="336"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044B9E6">
      <w:pPr>
        <w:spacing w:line="336" w:lineRule="auto"/>
        <w:rPr>
          <w:rFonts w:hint="eastAsia" w:ascii="宋体" w:hAnsi="宋体" w:eastAsia="宋体" w:cs="宋体"/>
          <w:color w:val="auto"/>
          <w:sz w:val="24"/>
          <w:highlight w:val="none"/>
        </w:rPr>
      </w:pPr>
    </w:p>
    <w:p w14:paraId="21CA57A3">
      <w:pPr>
        <w:spacing w:line="336"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F7AA65F">
      <w:pPr>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A1611F6">
      <w:pPr>
        <w:spacing w:line="336" w:lineRule="auto"/>
        <w:ind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3D5DA47">
      <w:pPr>
        <w:widowControl/>
        <w:adjustRightInd/>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52147D7">
      <w:pPr>
        <w:spacing w:line="336" w:lineRule="auto"/>
        <w:rPr>
          <w:rFonts w:hint="eastAsia" w:ascii="宋体" w:hAnsi="宋体" w:eastAsia="宋体" w:cs="宋体"/>
          <w:b/>
          <w:color w:val="auto"/>
          <w:sz w:val="24"/>
          <w:szCs w:val="24"/>
          <w:highlight w:val="none"/>
        </w:rPr>
      </w:pPr>
    </w:p>
    <w:p w14:paraId="28BEBB2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（中标名称） </w:t>
      </w:r>
      <w:r>
        <w:rPr>
          <w:rFonts w:hint="eastAsia" w:ascii="宋体" w:hAnsi="宋体" w:eastAsia="宋体" w:cs="宋体"/>
          <w:color w:val="auto"/>
          <w:sz w:val="24"/>
          <w:szCs w:val="24"/>
          <w:highlight w:val="none"/>
        </w:rPr>
        <w:t>为该项目中标供应商。</w:t>
      </w:r>
    </w:p>
    <w:p w14:paraId="72415D5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w:t>
      </w:r>
      <w:r>
        <w:rPr>
          <w:rFonts w:hint="eastAsia" w:ascii="宋体" w:hAnsi="宋体" w:eastAsia="宋体" w:cs="宋体"/>
          <w:color w:val="auto"/>
          <w:sz w:val="24"/>
          <w:szCs w:val="24"/>
          <w:highlight w:val="none"/>
          <w:u w:val="single"/>
          <w:lang w:val="en-US" w:eastAsia="zh-CN"/>
        </w:rPr>
        <w:t>标</w:t>
      </w:r>
      <w:r>
        <w:rPr>
          <w:rFonts w:hint="eastAsia" w:ascii="宋体" w:hAnsi="宋体" w:eastAsia="宋体" w:cs="宋体"/>
          <w:color w:val="auto"/>
          <w:sz w:val="24"/>
          <w:szCs w:val="24"/>
          <w:highlight w:val="none"/>
          <w:u w:val="single"/>
        </w:rPr>
        <w:t xml:space="preserve">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170669D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color w:val="auto"/>
          <w:sz w:val="24"/>
          <w:szCs w:val="24"/>
          <w:highlight w:val="none"/>
        </w:rPr>
      </w:pPr>
      <w:bookmarkStart w:id="15" w:name="_Toc20421"/>
      <w:bookmarkStart w:id="16" w:name="_Toc19273"/>
      <w:bookmarkStart w:id="17" w:name="_Toc22967"/>
      <w:bookmarkStart w:id="18" w:name="_Toc28855"/>
      <w:bookmarkStart w:id="19" w:name="_Toc15367"/>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合同组成部分</w:t>
      </w:r>
      <w:bookmarkEnd w:id="15"/>
      <w:bookmarkEnd w:id="16"/>
      <w:bookmarkEnd w:id="17"/>
      <w:bookmarkEnd w:id="18"/>
      <w:bookmarkEnd w:id="19"/>
    </w:p>
    <w:p w14:paraId="784524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color w:val="auto"/>
          <w:sz w:val="24"/>
          <w:szCs w:val="24"/>
          <w:highlight w:val="none"/>
          <w:lang w:eastAsia="zh-CN"/>
        </w:rPr>
        <w:t>份文件</w:t>
      </w:r>
      <w:r>
        <w:rPr>
          <w:rFonts w:hint="eastAsia" w:ascii="宋体" w:hAnsi="宋体" w:eastAsia="宋体" w:cs="宋体"/>
          <w:color w:val="auto"/>
          <w:sz w:val="24"/>
          <w:szCs w:val="24"/>
          <w:highlight w:val="none"/>
        </w:rPr>
        <w:t>的优先适用顺序如下：</w:t>
      </w:r>
    </w:p>
    <w:p w14:paraId="302619A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本合同及其补充合同、变更协议；</w:t>
      </w:r>
    </w:p>
    <w:p w14:paraId="1281FE9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p>
    <w:p w14:paraId="173E1F6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文件（含澄清或者说明文件）；</w:t>
      </w:r>
    </w:p>
    <w:p w14:paraId="6A21B04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采购文件（含澄清或者修改文件）；</w:t>
      </w:r>
    </w:p>
    <w:p w14:paraId="13BD62E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其他相关采购文件。</w:t>
      </w:r>
    </w:p>
    <w:p w14:paraId="22266CE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二、服务内容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包括但不限于</w:t>
      </w:r>
      <w:r>
        <w:rPr>
          <w:rFonts w:hint="eastAsia" w:ascii="宋体" w:hAnsi="宋体" w:eastAsia="宋体" w:cs="宋体"/>
          <w:b/>
          <w:color w:val="auto"/>
          <w:sz w:val="24"/>
          <w:szCs w:val="24"/>
          <w:highlight w:val="none"/>
          <w:lang w:eastAsia="zh-CN"/>
        </w:rPr>
        <w:t>）</w:t>
      </w:r>
    </w:p>
    <w:p w14:paraId="4C7F9E29">
      <w:pPr>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检测指标</w:t>
      </w:r>
    </w:p>
    <w:p w14:paraId="1B7FB241">
      <w:pPr>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《农村生活污水处理设施水污染物排放标准》（DB33-973-2015）要求</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项指标</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：PH值、化学需氧量（CODcr）、氨氮（NH3-N）、总磷、动植物油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粪大肠菌</w:t>
      </w:r>
      <w:r>
        <w:rPr>
          <w:rFonts w:hint="eastAsia" w:ascii="宋体" w:hAnsi="宋体" w:eastAsia="宋体" w:cs="宋体"/>
          <w:color w:val="auto"/>
          <w:sz w:val="24"/>
          <w:szCs w:val="24"/>
          <w:highlight w:val="none"/>
          <w:lang w:val="en-US" w:eastAsia="zh-CN"/>
        </w:rPr>
        <w:t>群</w:t>
      </w:r>
      <w:r>
        <w:rPr>
          <w:rFonts w:hint="eastAsia" w:ascii="宋体" w:hAnsi="宋体" w:eastAsia="宋体" w:cs="宋体"/>
          <w:color w:val="auto"/>
          <w:sz w:val="24"/>
          <w:szCs w:val="24"/>
          <w:highlight w:val="none"/>
        </w:rPr>
        <w:t>、悬浮物（SS）</w:t>
      </w:r>
      <w:r>
        <w:rPr>
          <w:rFonts w:hint="eastAsia" w:ascii="宋体" w:hAnsi="宋体" w:eastAsia="宋体" w:cs="宋体"/>
          <w:color w:val="auto"/>
          <w:sz w:val="24"/>
          <w:szCs w:val="24"/>
          <w:highlight w:val="none"/>
          <w:lang w:eastAsia="zh-CN"/>
        </w:rPr>
        <w:t>、总氮（</w:t>
      </w:r>
      <w:r>
        <w:rPr>
          <w:rFonts w:hint="eastAsia" w:ascii="宋体" w:hAnsi="宋体" w:eastAsia="宋体" w:cs="宋体"/>
          <w:color w:val="auto"/>
          <w:sz w:val="24"/>
          <w:szCs w:val="24"/>
          <w:highlight w:val="none"/>
          <w:lang w:val="en-US" w:eastAsia="zh-CN"/>
        </w:rPr>
        <w:t>T</w:t>
      </w:r>
      <w:r>
        <w:rPr>
          <w:rFonts w:hint="eastAsia" w:ascii="宋体" w:hAnsi="宋体" w:cs="宋体"/>
          <w:color w:val="auto"/>
          <w:sz w:val="24"/>
          <w:szCs w:val="24"/>
          <w:highlight w:val="none"/>
          <w:lang w:val="en-US" w:eastAsia="zh-CN"/>
        </w:rPr>
        <w:t>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5项指标：</w:t>
      </w:r>
      <w:r>
        <w:rPr>
          <w:rFonts w:hint="eastAsia" w:ascii="宋体" w:hAnsi="宋体" w:eastAsia="宋体" w:cs="宋体"/>
          <w:color w:val="auto"/>
          <w:sz w:val="24"/>
          <w:szCs w:val="24"/>
          <w:highlight w:val="none"/>
        </w:rPr>
        <w:t>PH值、化学需氧量（CODcr）、氨氮（NH3-N）、总磷、悬浮物（SS）</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val="en-US" w:eastAsia="zh-CN"/>
        </w:rPr>
        <w:t>对位于水源保护地的终端设施出水进行8项指标检测，其他为5项指标检测。</w:t>
      </w:r>
    </w:p>
    <w:p w14:paraId="62B3BDEE">
      <w:pPr>
        <w:pStyle w:val="5"/>
        <w:keepNext/>
        <w:keepLines/>
        <w:pageBreakBefore w:val="0"/>
        <w:widowControl w:val="0"/>
        <w:numPr>
          <w:ilvl w:val="0"/>
          <w:numId w:val="0"/>
        </w:numPr>
        <w:kinsoku/>
        <w:wordWrap/>
        <w:overflowPunct/>
        <w:topLinePunct w:val="0"/>
        <w:autoSpaceDE/>
        <w:autoSpaceDN/>
        <w:bidi w:val="0"/>
        <w:adjustRightInd/>
        <w:snapToGrid/>
        <w:spacing w:before="157" w:beforeLines="50" w:line="480" w:lineRule="exact"/>
        <w:ind w:firstLine="482" w:firstLineChars="200"/>
        <w:textAlignment w:val="auto"/>
        <w:rPr>
          <w:rFonts w:hint="eastAsia" w:ascii="宋体" w:hAnsi="宋体" w:eastAsia="宋体" w:cs="宋体"/>
          <w:b/>
          <w:bCs/>
          <w:color w:val="auto"/>
          <w:kern w:val="1"/>
          <w:sz w:val="24"/>
          <w:szCs w:val="24"/>
          <w:highlight w:val="none"/>
          <w:lang w:val="en-US" w:eastAsia="zh-CN" w:bidi="ar-SA"/>
        </w:rPr>
      </w:pPr>
      <w:r>
        <w:rPr>
          <w:rFonts w:hint="eastAsia" w:ascii="宋体" w:hAnsi="宋体" w:eastAsia="宋体" w:cs="宋体"/>
          <w:b/>
          <w:bCs/>
          <w:color w:val="auto"/>
          <w:kern w:val="1"/>
          <w:sz w:val="24"/>
          <w:szCs w:val="24"/>
          <w:highlight w:val="none"/>
          <w:lang w:val="en-US" w:eastAsia="zh-CN" w:bidi="ar-SA"/>
        </w:rPr>
        <w:t>4.检测要求和评价依据</w:t>
      </w:r>
    </w:p>
    <w:p w14:paraId="2CB16EA0">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按浙江省住房和城乡建设厅及浙江省环境保护厅联合下发的《</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农村生活污水治理设施出水水质检测与结果评价导则（试行）》（建村发〔2017〕212号）文件和《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农村生活污水处理设施水污染物排放标准》（DB33/973）相关要求进行排放检测和结果评价。</w:t>
      </w:r>
    </w:p>
    <w:p w14:paraId="3EE849C6">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质控要求</w:t>
      </w:r>
    </w:p>
    <w:p w14:paraId="027A8556">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为保证实验室所提供数据的准确、真实、可靠，同时保证检测结果的公平、公正，中标单位需按照质控要求执行。</w:t>
      </w:r>
    </w:p>
    <w:p w14:paraId="6B62F0D2">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采样质控要求</w:t>
      </w:r>
    </w:p>
    <w:p w14:paraId="488E1E37">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 采样容器材质要求：采样容器严格按照《浙江省环境监测质量保证技术规定》附表1的相关要求执行。</w:t>
      </w:r>
    </w:p>
    <w:p w14:paraId="35F8D03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.1.2 样品保存要求：水样的保存严格参照《水质采样样品的保持和管理技术规定》（HJ493-2009）和《污水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）执行。</w:t>
      </w:r>
    </w:p>
    <w:p w14:paraId="774854E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.1.3 采样方法：水样的采集应按《水质采样技术指导》（HJ494-2009）和《污水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）执行。</w:t>
      </w:r>
    </w:p>
    <w:p w14:paraId="1E4A9374">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.1.4 质控样的采集：采集所需水样的同时需采集不少于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%的现场平行样，不足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0个样品的至少采1个平行样。</w:t>
      </w:r>
    </w:p>
    <w:p w14:paraId="0FFFD271">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.1.5 采样和分析时间：根据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安排采样，委托检测采样后10个工作日内，日常检测5个工作日内上报分析数据。</w:t>
      </w:r>
    </w:p>
    <w:p w14:paraId="19F94532">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.1.6 相片、视频：每个断面采样的同时须拍摄照片或视频，内容应包括采样时间、位置（GPS轨迹）、人员及周边的明显标志物等佐证资料</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须保证此数据的真实性，每份水质检测报告都须附佐证资料，若未提供或数据造假将扣除相应的检测费及履约保证金</w:t>
      </w:r>
      <w:r>
        <w:rPr>
          <w:rFonts w:hint="eastAsia" w:ascii="宋体" w:hAnsi="宋体" w:eastAsia="宋体" w:cs="宋体"/>
          <w:b/>
          <w:bCs/>
          <w:color w:val="auto"/>
          <w:sz w:val="24"/>
          <w:szCs w:val="24"/>
          <w:highlight w:val="none"/>
        </w:rPr>
        <w:t>。</w:t>
      </w:r>
    </w:p>
    <w:p w14:paraId="2AF06583">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.1.7 未尽事宜，严格按照《污水</w:t>
      </w:r>
      <w:r>
        <w:rPr>
          <w:rFonts w:hint="eastAsia" w:ascii="宋体" w:hAnsi="宋体" w:eastAsia="宋体" w:cs="宋体"/>
          <w:color w:val="auto"/>
          <w:sz w:val="24"/>
          <w:szCs w:val="24"/>
          <w:highlight w:val="none"/>
          <w:lang w:val="en-US" w:eastAsia="zh-CN"/>
        </w:rPr>
        <w:t>监</w:t>
      </w:r>
      <w:r>
        <w:rPr>
          <w:rFonts w:hint="eastAsia" w:ascii="宋体" w:hAnsi="宋体" w:eastAsia="宋体" w:cs="宋体"/>
          <w:color w:val="auto"/>
          <w:sz w:val="24"/>
          <w:szCs w:val="24"/>
          <w:highlight w:val="none"/>
        </w:rPr>
        <w:t>测技术规范》（HJ91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）、《水质采样技术指导》HJ494-2009、《水质采样样品的保存和管理技术规定》HJ493-2009中的相关规定执行。</w:t>
      </w:r>
    </w:p>
    <w:p w14:paraId="37659F78">
      <w:pPr>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.1.8 若农村生活污水处理终端运维异常、停运以及无明显出水等情况，不得采样，无法采样终端应同水质检查结果一同反馈</w:t>
      </w:r>
      <w:r>
        <w:rPr>
          <w:rFonts w:hint="eastAsia" w:ascii="宋体" w:hAnsi="宋体" w:eastAsia="宋体" w:cs="宋体"/>
          <w:b/>
          <w:color w:val="auto"/>
          <w:sz w:val="24"/>
          <w:szCs w:val="24"/>
          <w:highlight w:val="none"/>
          <w:lang w:val="en-US" w:eastAsia="zh-CN"/>
        </w:rPr>
        <w:t>甲方</w:t>
      </w:r>
      <w:r>
        <w:rPr>
          <w:rFonts w:hint="eastAsia" w:ascii="宋体" w:hAnsi="宋体" w:eastAsia="宋体" w:cs="宋体"/>
          <w:b/>
          <w:color w:val="auto"/>
          <w:sz w:val="24"/>
          <w:szCs w:val="24"/>
          <w:highlight w:val="none"/>
        </w:rPr>
        <w:t>，待终端设施恢复正常后重新采样。</w:t>
      </w:r>
    </w:p>
    <w:p w14:paraId="5CA0A021">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实验室质控要求</w:t>
      </w:r>
    </w:p>
    <w:p w14:paraId="10A59C80">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.2.1 校准曲线：应在每次分析样品的同时，同步制作校准曲线。工作确实有困难时，对校准曲线斜率较为稳定的分析方法，至少在分析样品的同时，测定两个适当浓度（高、低浓度）及空白两份，分别取均值，减去空白均值后，与原校准曲线的相同浓度点校核，相对偏差小于5%，原曲线可用。否则，应重新制作校准曲线。校准曲线回归方程的相关系数、截距和斜率应符合方法中规定的要求。校准曲线只能在其线性范围内使用，在使用中不得在两端随意外推。</w:t>
      </w:r>
    </w:p>
    <w:p w14:paraId="6E3B689C">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 实验室空白：每个批次、每个项目都应做现场空白和实验室空白。两种结果之间应无明显差异，如现场空白明显高于实验室空白，表明采样过程中可能有意外玷污，在查清原因后方能做出本次采样是否有效以及分析数据能否接受的决定。</w:t>
      </w:r>
    </w:p>
    <w:p w14:paraId="570A456B">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.2.3 精密度控制：每批样品随机抽取10%的实验室平行样，平行双样的偏差需在《浙江省环境监测质量保证技术规定》所规定的允许偏差内。</w:t>
      </w:r>
    </w:p>
    <w:p w14:paraId="799B1191">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.2.4 准确度控制：实验室内部自身对每批样品设置1-2个质控样，测定结果准确度合格率必须达到100%。</w:t>
      </w:r>
    </w:p>
    <w:p w14:paraId="0D7783D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.2.5 分析时间要求：所有样品必须按照《浙江省环境监测质量保证技术规定》的相关要求在有效期限内完成分析。</w:t>
      </w:r>
    </w:p>
    <w:p w14:paraId="4CC675C6">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比对考核</w:t>
      </w:r>
    </w:p>
    <w:p w14:paraId="718137B6">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甲方将从密封样品中抽取适当的样品进行比对检测、考核，并在完成检测后通知乙方上报相关比对样品的检测进行评价</w:t>
      </w:r>
    </w:p>
    <w:p w14:paraId="464C88D9">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.3.2 有效结果的评价：比对检测结果的误差符合《浙江省环境监测质量保证技术规定》的实验室间相对误差要求时（一般为+20%），</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提供的检测数据方为有效。</w:t>
      </w:r>
    </w:p>
    <w:p w14:paraId="0A52A6EB">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.3.3 无效结果处理：当比对结果误差超出范围的视为监测数据不合格，说明该批水样的检测数据存在可疑，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24小时内对该批次样品进行重新检测，若重新检测结果还未满足质控要求，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需在2天内重新到现场采样检测，重新采样检测过程中产生的一切费用由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承担。若重新现场采样检测后，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的检测数据还是达不到质控要求，</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有权单方面解除合同协议，并扣除该批样品的相关检测费用。</w:t>
      </w:r>
    </w:p>
    <w:p w14:paraId="0E4645D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.3.4 其他考核：</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有权不定期发放质控样对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进行考核，考核结果以“</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.3.3”条款执行。</w:t>
      </w:r>
    </w:p>
    <w:p w14:paraId="68285348">
      <w:pPr>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 责任追究</w:t>
      </w:r>
    </w:p>
    <w:p w14:paraId="5D589F60">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当上述工作任务未按时完成或质控要求中的任何一项达不到相关要求时，说明该批水样的检测数据存在可疑，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24小时内对该批次样品进行重新检测，若重新检测结果还未满足质控要求，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需在1天内重新到现场采样检测，重新采样检测过程中产生的一切费用由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承担。若重新现场采样检测后，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的检测数据还是达不到质控要求，则扣除该批样品的相关检测费用，同时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有权单方面解除合同协议。</w:t>
      </w:r>
    </w:p>
    <w:p w14:paraId="7BE68B1A">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 保密责任</w:t>
      </w:r>
    </w:p>
    <w:p w14:paraId="09A027D2">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对所有检测数据不得自私泄露给其他部门、机构、团体，否则业主有权单方面解除合同协议，并视其造成的影响程度追究责任。</w:t>
      </w:r>
    </w:p>
    <w:p w14:paraId="18BFF1F0">
      <w:p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三、服务要求</w:t>
      </w:r>
    </w:p>
    <w:p w14:paraId="5D9E1FDB">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1.项目完成要求：</w:t>
      </w:r>
      <w:r>
        <w:rPr>
          <w:rFonts w:hint="eastAsia" w:ascii="宋体" w:hAnsi="宋体" w:eastAsia="宋体" w:cs="宋体"/>
          <w:b/>
          <w:bCs/>
          <w:color w:val="auto"/>
          <w:sz w:val="24"/>
          <w:szCs w:val="24"/>
          <w:highlight w:val="none"/>
        </w:rPr>
        <w:t>自完成</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后开始采样之日起为期</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根据工作需要，安排指定时间由</w:t>
      </w: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履行检测工作。</w:t>
      </w:r>
    </w:p>
    <w:p w14:paraId="67F1D63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kern w:val="1"/>
          <w:sz w:val="24"/>
          <w:szCs w:val="24"/>
          <w:highlight w:val="none"/>
          <w:lang w:val="en-US" w:eastAsia="zh-CN"/>
        </w:rPr>
        <w:t>在服务期内，乙方根据要求于检测任务下达后10个工作日内完成委托检测的采样和分析工作，并将检测结果提供给甲方，除检测报告（3份）外，还需根据</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kern w:val="1"/>
          <w:sz w:val="24"/>
          <w:szCs w:val="24"/>
          <w:highlight w:val="none"/>
          <w:lang w:val="en-US" w:eastAsia="zh-CN"/>
        </w:rPr>
        <w:t>指定的格式提供检测数据文档、水质分析报告、相片及视频材料。</w:t>
      </w:r>
    </w:p>
    <w:p w14:paraId="004578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1.2 针对仍存在有异议的检测数据，应重新采样和分析，并在采样后3个工作日内完成新数据的上报。</w:t>
      </w:r>
    </w:p>
    <w:p w14:paraId="1089F5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1.3 乙方同意接受甲方对本项目的原始记录、仪器设备等档案进行调阅的检查。</w:t>
      </w:r>
    </w:p>
    <w:p w14:paraId="7DD8D2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1.4 如遇情况，要求突击抽样，需在24小时内拿出水质分析报告，如遇水样分析不合格，由乙方开展整改后，进行复测（费用由乙方支付）。</w:t>
      </w:r>
    </w:p>
    <w:p w14:paraId="3B23D7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2.数量调整</w:t>
      </w:r>
      <w:r>
        <w:rPr>
          <w:rFonts w:hint="eastAsia" w:ascii="宋体" w:hAnsi="宋体" w:eastAsia="宋体" w:cs="宋体"/>
          <w:b/>
          <w:color w:val="auto"/>
          <w:kern w:val="1"/>
          <w:sz w:val="24"/>
          <w:szCs w:val="24"/>
          <w:highlight w:val="none"/>
          <w:lang w:val="en-US"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kern w:val="1"/>
          <w:sz w:val="24"/>
          <w:szCs w:val="24"/>
          <w:highlight w:val="none"/>
        </w:rPr>
        <w:t>保留在签约时调整部分服务的权力，按</w:t>
      </w:r>
      <w:r>
        <w:rPr>
          <w:rFonts w:hint="eastAsia" w:ascii="宋体" w:hAnsi="宋体" w:eastAsia="宋体" w:cs="宋体"/>
          <w:color w:val="auto"/>
          <w:kern w:val="1"/>
          <w:sz w:val="24"/>
          <w:szCs w:val="24"/>
          <w:highlight w:val="none"/>
          <w:lang w:val="en-US" w:eastAsia="zh-CN"/>
        </w:rPr>
        <w:t>合同</w:t>
      </w:r>
      <w:r>
        <w:rPr>
          <w:rFonts w:hint="eastAsia" w:ascii="宋体" w:hAnsi="宋体" w:eastAsia="宋体" w:cs="宋体"/>
          <w:color w:val="auto"/>
          <w:kern w:val="1"/>
          <w:sz w:val="24"/>
          <w:szCs w:val="24"/>
          <w:highlight w:val="none"/>
        </w:rPr>
        <w:t>单价不变的前提下进行调整，双方不得拒绝。如遇本次</w:t>
      </w:r>
      <w:r>
        <w:rPr>
          <w:rFonts w:hint="eastAsia" w:ascii="宋体" w:hAnsi="宋体" w:eastAsia="宋体" w:cs="宋体"/>
          <w:color w:val="auto"/>
          <w:kern w:val="1"/>
          <w:sz w:val="24"/>
          <w:szCs w:val="24"/>
          <w:highlight w:val="none"/>
          <w:lang w:val="en-US" w:eastAsia="zh-CN"/>
        </w:rPr>
        <w:t>采购</w:t>
      </w:r>
      <w:r>
        <w:rPr>
          <w:rFonts w:hint="eastAsia" w:ascii="宋体" w:hAnsi="宋体" w:eastAsia="宋体" w:cs="宋体"/>
          <w:color w:val="auto"/>
          <w:kern w:val="1"/>
          <w:sz w:val="24"/>
          <w:szCs w:val="24"/>
          <w:highlight w:val="none"/>
        </w:rPr>
        <w:t>没有涉及的设备或服务时，由</w:t>
      </w:r>
      <w:r>
        <w:rPr>
          <w:rFonts w:hint="eastAsia" w:ascii="宋体" w:hAnsi="宋体" w:eastAsia="宋体" w:cs="宋体"/>
          <w:color w:val="auto"/>
          <w:kern w:val="1"/>
          <w:sz w:val="24"/>
          <w:szCs w:val="24"/>
          <w:highlight w:val="none"/>
          <w:lang w:val="en-US" w:eastAsia="zh-CN"/>
        </w:rPr>
        <w:t>供应商</w:t>
      </w:r>
      <w:r>
        <w:rPr>
          <w:rFonts w:hint="eastAsia" w:ascii="宋体" w:hAnsi="宋体" w:eastAsia="宋体" w:cs="宋体"/>
          <w:color w:val="auto"/>
          <w:kern w:val="1"/>
          <w:sz w:val="24"/>
          <w:szCs w:val="24"/>
          <w:highlight w:val="none"/>
        </w:rPr>
        <w:t>提供申请，</w:t>
      </w:r>
      <w:r>
        <w:rPr>
          <w:rFonts w:hint="eastAsia" w:ascii="宋体" w:hAnsi="宋体" w:eastAsia="宋体" w:cs="宋体"/>
          <w:color w:val="auto"/>
          <w:kern w:val="1"/>
          <w:sz w:val="24"/>
          <w:szCs w:val="24"/>
          <w:highlight w:val="none"/>
          <w:lang w:val="en-US" w:eastAsia="zh-CN"/>
        </w:rPr>
        <w:t>采购</w:t>
      </w:r>
      <w:r>
        <w:rPr>
          <w:rFonts w:hint="eastAsia" w:ascii="宋体" w:hAnsi="宋体" w:eastAsia="宋体" w:cs="宋体"/>
          <w:color w:val="auto"/>
          <w:kern w:val="1"/>
          <w:sz w:val="24"/>
          <w:szCs w:val="24"/>
          <w:highlight w:val="none"/>
        </w:rPr>
        <w:t>人确认后实施。政府采购合同履行中追加与合同标的相同的货物、工程或者服务的采购金额不得超过原合同采购金额</w:t>
      </w:r>
      <w:r>
        <w:rPr>
          <w:rFonts w:hint="eastAsia" w:ascii="宋体" w:hAnsi="宋体" w:eastAsia="宋体" w:cs="宋体"/>
          <w:color w:val="auto"/>
          <w:kern w:val="1"/>
          <w:sz w:val="24"/>
          <w:szCs w:val="24"/>
          <w:highlight w:val="none"/>
          <w:lang w:val="en-US" w:eastAsia="zh-CN"/>
        </w:rPr>
        <w:t>的</w:t>
      </w:r>
      <w:r>
        <w:rPr>
          <w:rFonts w:hint="eastAsia" w:ascii="宋体" w:hAnsi="宋体" w:eastAsia="宋体" w:cs="宋体"/>
          <w:color w:val="auto"/>
          <w:kern w:val="1"/>
          <w:sz w:val="24"/>
          <w:szCs w:val="24"/>
          <w:highlight w:val="none"/>
        </w:rPr>
        <w:t>10%。</w:t>
      </w:r>
    </w:p>
    <w:p w14:paraId="6EF295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1"/>
          <w:sz w:val="24"/>
          <w:szCs w:val="24"/>
          <w:highlight w:val="none"/>
          <w:lang w:val="en-US" w:eastAsia="zh-CN"/>
        </w:rPr>
        <w:t>3.乙方必须为全体作业人员购买人身意外保险，必须重视安全生产工作，确保全年不出安全生产责任事故。如发生安全生产责任事故或交通事故，由乙方承担一切责任及损失。</w:t>
      </w:r>
    </w:p>
    <w:p w14:paraId="53C9622F">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四、服务标准</w:t>
      </w:r>
    </w:p>
    <w:p w14:paraId="77FF0E6C">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1、自觉遵守有关规定，严格执行服务、廉政纪律和职业道德，保守工程资料数据的秘密。</w:t>
      </w:r>
    </w:p>
    <w:p w14:paraId="4A4A095E">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2、严格按照</w:t>
      </w:r>
      <w:r>
        <w:rPr>
          <w:rFonts w:hint="eastAsia" w:ascii="宋体" w:hAnsi="宋体" w:eastAsia="宋体" w:cs="宋体"/>
          <w:color w:val="auto"/>
          <w:sz w:val="24"/>
          <w:szCs w:val="21"/>
          <w:highlight w:val="none"/>
          <w:lang w:val="en-US" w:eastAsia="zh-CN"/>
        </w:rPr>
        <w:t>甲方</w:t>
      </w:r>
      <w:r>
        <w:rPr>
          <w:rFonts w:hint="eastAsia" w:ascii="宋体" w:hAnsi="宋体" w:eastAsia="宋体" w:cs="宋体"/>
          <w:color w:val="auto"/>
          <w:sz w:val="24"/>
          <w:szCs w:val="21"/>
          <w:highlight w:val="none"/>
        </w:rPr>
        <w:t>的有关规定和要求实施服务，接受</w:t>
      </w:r>
      <w:r>
        <w:rPr>
          <w:rFonts w:hint="eastAsia" w:ascii="宋体" w:hAnsi="宋体" w:eastAsia="宋体" w:cs="宋体"/>
          <w:color w:val="auto"/>
          <w:sz w:val="24"/>
          <w:szCs w:val="21"/>
          <w:highlight w:val="none"/>
          <w:lang w:val="en-US" w:eastAsia="zh-CN"/>
        </w:rPr>
        <w:t>甲方</w:t>
      </w:r>
      <w:r>
        <w:rPr>
          <w:rFonts w:hint="eastAsia" w:ascii="宋体" w:hAnsi="宋体" w:eastAsia="宋体" w:cs="宋体"/>
          <w:color w:val="auto"/>
          <w:sz w:val="24"/>
          <w:szCs w:val="21"/>
          <w:highlight w:val="none"/>
        </w:rPr>
        <w:t>的指导、监督和管理，同时按采购人的质量和进度要求及时提供结果以及与服务事项相关的资料。按采购人规定的格式、要求起草有关文书和其他材料。</w:t>
      </w:r>
    </w:p>
    <w:p w14:paraId="2434CC33">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4、愿意接受相关部门对项目质量的审查考核。</w:t>
      </w:r>
    </w:p>
    <w:p w14:paraId="628AD3BE">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乙方</w:t>
      </w:r>
      <w:r>
        <w:rPr>
          <w:rFonts w:hint="eastAsia" w:ascii="宋体" w:hAnsi="宋体" w:eastAsia="宋体" w:cs="宋体"/>
          <w:color w:val="auto"/>
          <w:sz w:val="24"/>
          <w:szCs w:val="21"/>
          <w:highlight w:val="none"/>
        </w:rPr>
        <w:t>需自行组织人员进行现场取样，进行检测。</w:t>
      </w:r>
    </w:p>
    <w:p w14:paraId="49306D1D">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、需无偿满足招标人正常检测需求之外的应急检测需求，并</w:t>
      </w:r>
      <w:r>
        <w:rPr>
          <w:rFonts w:hint="eastAsia" w:ascii="宋体" w:hAnsi="宋体" w:eastAsia="宋体" w:cs="宋体"/>
          <w:color w:val="auto"/>
          <w:sz w:val="24"/>
          <w:szCs w:val="21"/>
          <w:highlight w:val="none"/>
          <w:lang w:val="en-US" w:eastAsia="zh-CN"/>
        </w:rPr>
        <w:t>在甲方</w:t>
      </w:r>
      <w:r>
        <w:rPr>
          <w:rFonts w:hint="eastAsia" w:ascii="宋体" w:hAnsi="宋体" w:eastAsia="宋体" w:cs="宋体"/>
          <w:color w:val="auto"/>
          <w:sz w:val="24"/>
          <w:szCs w:val="21"/>
          <w:highlight w:val="none"/>
        </w:rPr>
        <w:t>规定的时间内完成取样及免费提供检测报告。</w:t>
      </w:r>
    </w:p>
    <w:p w14:paraId="273AE2B7">
      <w:pPr>
        <w:spacing w:line="400" w:lineRule="exact"/>
        <w:ind w:firstLine="240" w:firstLineChars="1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、如有终端出现无出水，无法取样的情况，需跟甲方提前联系，并在检测报告中</w:t>
      </w:r>
      <w:r>
        <w:rPr>
          <w:rFonts w:hint="eastAsia" w:ascii="宋体" w:hAnsi="宋体" w:eastAsia="宋体" w:cs="宋体"/>
          <w:bCs/>
          <w:color w:val="auto"/>
          <w:sz w:val="24"/>
          <w:szCs w:val="21"/>
          <w:highlight w:val="none"/>
          <w:lang w:eastAsia="zh-CN"/>
        </w:rPr>
        <w:t>作出</w:t>
      </w:r>
      <w:r>
        <w:rPr>
          <w:rFonts w:hint="eastAsia" w:ascii="宋体" w:hAnsi="宋体" w:eastAsia="宋体" w:cs="宋体"/>
          <w:bCs/>
          <w:color w:val="auto"/>
          <w:sz w:val="24"/>
          <w:szCs w:val="21"/>
          <w:highlight w:val="none"/>
        </w:rPr>
        <w:t>说明，并提交甲方确认，如终端可正常取样而未取样检测的，一经发现每次扣除5000元。</w:t>
      </w:r>
    </w:p>
    <w:p w14:paraId="13E888B8">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
          <w:color w:val="auto"/>
          <w:sz w:val="36"/>
          <w:szCs w:val="36"/>
          <w:highlight w:val="none"/>
        </w:rPr>
      </w:pPr>
      <w:r>
        <w:rPr>
          <w:rFonts w:hint="eastAsia" w:ascii="宋体" w:hAnsi="宋体" w:eastAsia="宋体" w:cs="宋体"/>
          <w:bCs/>
          <w:color w:val="auto"/>
          <w:sz w:val="24"/>
          <w:szCs w:val="21"/>
          <w:highlight w:val="none"/>
          <w:lang w:val="en-US" w:eastAsia="zh-CN"/>
        </w:rPr>
        <w:t>7、</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对所有检测数据不得自私泄露给其他部门、机构、团体，否则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有权单方面解除合同协议，并视其造成的影响程度追究责任。</w:t>
      </w:r>
    </w:p>
    <w:p w14:paraId="7D0C21D7">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五、合同金额</w:t>
      </w:r>
    </w:p>
    <w:p w14:paraId="1461369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五项指标检测合同单价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 八项指标检测合同单价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3D59286D">
      <w:pPr>
        <w:pStyle w:val="43"/>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履约保证金</w:t>
      </w:r>
    </w:p>
    <w:p w14:paraId="2EE408FD">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履约保证金为合同金额的1%（签订合同前交至</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），服务期满后无违约问题（5日内）无息退还。</w:t>
      </w:r>
    </w:p>
    <w:p w14:paraId="511673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七、转包或分包</w:t>
      </w:r>
    </w:p>
    <w:p w14:paraId="35A94570">
      <w:pPr>
        <w:pStyle w:val="12"/>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本合同范围的服务，应由乙方直接供应，不得转让他人供应，如有转让行为，甲方有权给予终止合同。</w:t>
      </w:r>
    </w:p>
    <w:p w14:paraId="2773FF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八、合同履行时间、履行方式及履行地点</w:t>
      </w:r>
    </w:p>
    <w:p w14:paraId="4AFF058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8.1履行时间：1年</w:t>
      </w:r>
    </w:p>
    <w:p w14:paraId="0FBD70A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8.2履行方式：成果材料直接交付。</w:t>
      </w:r>
    </w:p>
    <w:p w14:paraId="38641C3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8.3履行地点：甲方指定地点。</w:t>
      </w:r>
    </w:p>
    <w:p w14:paraId="0790D985">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九、款项支付</w:t>
      </w:r>
    </w:p>
    <w:p w14:paraId="1A0A853C">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合同签订后半年支付一次，按要求完成 2个季度的检测任务后且验收合格的一次性支付已完成检测量的100%。</w:t>
      </w:r>
    </w:p>
    <w:p w14:paraId="5A69E69D">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十、税费</w:t>
      </w:r>
    </w:p>
    <w:p w14:paraId="5262B74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color w:val="auto"/>
          <w:sz w:val="24"/>
          <w:szCs w:val="24"/>
          <w:highlight w:val="none"/>
          <w:lang w:val="en-US" w:eastAsia="zh-CN"/>
        </w:rPr>
      </w:pPr>
      <w:bookmarkStart w:id="20" w:name="_Toc16021"/>
      <w:bookmarkStart w:id="21" w:name="_Toc15583"/>
      <w:bookmarkStart w:id="22" w:name="_Toc28375"/>
      <w:r>
        <w:rPr>
          <w:rFonts w:hint="eastAsia" w:ascii="宋体" w:hAnsi="宋体" w:eastAsia="宋体" w:cs="宋体"/>
          <w:b w:val="0"/>
          <w:bCs/>
          <w:color w:val="auto"/>
          <w:sz w:val="24"/>
          <w:szCs w:val="24"/>
          <w:highlight w:val="none"/>
          <w:lang w:val="en-US" w:eastAsia="zh-CN"/>
        </w:rPr>
        <w:t>本合同执行中相关的一切税费均由乙方承担。</w:t>
      </w:r>
    </w:p>
    <w:p w14:paraId="6D1FD4E7">
      <w:pPr>
        <w:pStyle w:val="3"/>
        <w:adjustRightInd w:val="0"/>
        <w:spacing w:line="420" w:lineRule="exac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十一、违约责任</w:t>
      </w:r>
    </w:p>
    <w:p w14:paraId="15600767">
      <w:pPr>
        <w:pStyle w:val="3"/>
        <w:adjustRightInd w:val="0"/>
        <w:spacing w:line="4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11.1 甲方无正当理由拒收接受服务的，甲方向乙方支付合同款项百分之五作为违约金。</w:t>
      </w:r>
    </w:p>
    <w:p w14:paraId="7D0069B2">
      <w:pPr>
        <w:pStyle w:val="3"/>
        <w:adjustRightInd w:val="0"/>
        <w:spacing w:line="42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11.2 甲方无故逾期验收和办理款项支付手续的，甲方应按逾期付款总额向乙方支付每日万分之五违约金。</w:t>
      </w:r>
    </w:p>
    <w:p w14:paraId="72ADEB6E">
      <w:pPr>
        <w:pStyle w:val="3"/>
        <w:adjustRightInd w:val="0"/>
        <w:spacing w:line="420" w:lineRule="exac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 xml:space="preserve">11.3 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14:paraId="6667C77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十二、不可抗力事件处理</w:t>
      </w:r>
    </w:p>
    <w:p w14:paraId="1E435F9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14.1在合同有效期内，任何一方因不可抗力事件导致不能履行合同，则合同履行期可延长，其延长期与不可抗力影响期相同。</w:t>
      </w:r>
    </w:p>
    <w:p w14:paraId="5AD9E2F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14.2不可抗力事件发生后，应立即通知对方，并寄送有关权威机构出具的证明。</w:t>
      </w:r>
    </w:p>
    <w:p w14:paraId="71229EC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14.3不可抗力事件延续120天以上，双方应通过友好协商，确定是否继续履行合同。</w:t>
      </w:r>
    </w:p>
    <w:p w14:paraId="682EDB8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十三、诉讼</w:t>
      </w:r>
    </w:p>
    <w:p w14:paraId="45804D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双方在执行合同中所发生的一切争议，应通过协商解决。如协商不成，可向合同签订地法院起诉。</w:t>
      </w:r>
    </w:p>
    <w:p w14:paraId="0098F2D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十四、合同生效及其他</w:t>
      </w:r>
    </w:p>
    <w:p w14:paraId="0FB195A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1.合同经双方法定代表人或授权委托代理人签字并加盖单位公章后生效。</w:t>
      </w:r>
    </w:p>
    <w:p w14:paraId="5257AC9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2.本合同未尽事宜，遵照《合同法》有关条文执行。</w:t>
      </w:r>
    </w:p>
    <w:p w14:paraId="4AC8F5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3.本合同正本一式五份，具有同等法律效力，甲、乙双方各执两份，采购代理机构执一份。</w:t>
      </w:r>
      <w:bookmarkEnd w:id="20"/>
      <w:bookmarkEnd w:id="21"/>
      <w:bookmarkEnd w:id="22"/>
    </w:p>
    <w:p w14:paraId="0BF4EFB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甲</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zh-CN"/>
        </w:rPr>
        <w:t xml:space="preserve">方：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zh-CN"/>
        </w:rPr>
        <w:t>乙</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zh-CN"/>
        </w:rPr>
        <w:t>方：</w:t>
      </w:r>
    </w:p>
    <w:p w14:paraId="51E5058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法定代表人或                             法定代表人或</w:t>
      </w:r>
    </w:p>
    <w:p w14:paraId="160A35F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授权代表（签字）：                       授权代表（签字）:</w:t>
      </w:r>
    </w:p>
    <w:p w14:paraId="6D250B1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地　　址：</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地　　址：</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p>
    <w:p w14:paraId="6271127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邮政编码：</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邮政编码：</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p>
    <w:p w14:paraId="633B418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电　　话：</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电　　话：</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p>
    <w:p w14:paraId="7F0B01D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开户银行：</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开户银行：</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p>
    <w:p w14:paraId="2927C8D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zh-CN"/>
        </w:rPr>
        <w:t>账　　号：</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账　　号：</w:t>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ab/>
      </w:r>
      <w:r>
        <w:rPr>
          <w:rFonts w:hint="eastAsia" w:ascii="宋体" w:hAnsi="宋体" w:eastAsia="宋体" w:cs="宋体"/>
          <w:b w:val="0"/>
          <w:bCs/>
          <w:color w:val="auto"/>
          <w:sz w:val="24"/>
          <w:szCs w:val="24"/>
          <w:highlight w:val="none"/>
          <w:lang w:val="zh-CN"/>
        </w:rPr>
        <w:t xml:space="preserve">          </w:t>
      </w:r>
    </w:p>
    <w:p w14:paraId="61CC0ED3">
      <w:pPr>
        <w:spacing w:line="336" w:lineRule="auto"/>
        <w:jc w:val="center"/>
        <w:rPr>
          <w:rFonts w:hint="eastAsia" w:ascii="宋体" w:hAnsi="宋体" w:eastAsia="宋体" w:cs="宋体"/>
          <w:b/>
          <w:color w:val="auto"/>
          <w:sz w:val="24"/>
          <w:szCs w:val="24"/>
          <w:highlight w:val="none"/>
        </w:rPr>
      </w:pPr>
    </w:p>
    <w:p w14:paraId="64506270">
      <w:pPr>
        <w:spacing w:line="336" w:lineRule="auto"/>
        <w:jc w:val="center"/>
        <w:rPr>
          <w:rFonts w:hint="eastAsia" w:ascii="宋体" w:hAnsi="宋体" w:eastAsia="宋体" w:cs="宋体"/>
          <w:b/>
          <w:color w:val="auto"/>
          <w:sz w:val="24"/>
          <w:szCs w:val="24"/>
          <w:highlight w:val="none"/>
        </w:rPr>
      </w:pPr>
    </w:p>
    <w:p w14:paraId="561F42EE">
      <w:pPr>
        <w:spacing w:line="336" w:lineRule="auto"/>
        <w:jc w:val="center"/>
        <w:rPr>
          <w:rFonts w:hint="eastAsia" w:ascii="仿宋" w:hAnsi="仿宋" w:eastAsia="仿宋" w:cs="仿宋"/>
          <w:b/>
          <w:color w:val="auto"/>
          <w:sz w:val="36"/>
          <w:szCs w:val="20"/>
          <w:highlight w:val="none"/>
        </w:rPr>
      </w:pPr>
    </w:p>
    <w:p w14:paraId="59A33137">
      <w:pPr>
        <w:spacing w:line="360" w:lineRule="auto"/>
        <w:jc w:val="center"/>
        <w:rPr>
          <w:rFonts w:hint="eastAsia" w:ascii="宋体" w:hAnsi="宋体" w:cs="宋体"/>
          <w:b/>
          <w:bCs/>
          <w:color w:val="auto"/>
          <w:sz w:val="32"/>
          <w:szCs w:val="32"/>
          <w:highlight w:val="none"/>
        </w:rPr>
      </w:pPr>
    </w:p>
    <w:p w14:paraId="6EDE6B0D">
      <w:pPr>
        <w:spacing w:line="360" w:lineRule="auto"/>
        <w:rPr>
          <w:rFonts w:hint="eastAsia" w:ascii="宋体" w:hAnsi="宋体" w:cs="宋体"/>
          <w:bCs/>
          <w:color w:val="auto"/>
          <w:sz w:val="44"/>
          <w:szCs w:val="44"/>
          <w:highlight w:val="none"/>
        </w:rPr>
      </w:pPr>
    </w:p>
    <w:p w14:paraId="4E8674A4">
      <w:pPr>
        <w:spacing w:line="360" w:lineRule="auto"/>
        <w:jc w:val="center"/>
        <w:rPr>
          <w:rFonts w:hint="eastAsia" w:ascii="宋体" w:hAnsi="宋体" w:cs="宋体"/>
          <w:bCs/>
          <w:color w:val="auto"/>
          <w:sz w:val="44"/>
          <w:szCs w:val="44"/>
          <w:highlight w:val="none"/>
        </w:rPr>
      </w:pPr>
    </w:p>
    <w:p w14:paraId="6D7855A1">
      <w:pPr>
        <w:pStyle w:val="2"/>
        <w:rPr>
          <w:rFonts w:hint="eastAsia"/>
          <w:color w:val="auto"/>
          <w:highlight w:val="none"/>
        </w:rPr>
      </w:pPr>
    </w:p>
    <w:p w14:paraId="6E495736">
      <w:pPr>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40A1EFC5">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第四章　投标文件格式</w:t>
      </w:r>
    </w:p>
    <w:p w14:paraId="48D88EE3">
      <w:pPr>
        <w:widowControl/>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评分索引表</w:t>
      </w:r>
    </w:p>
    <w:p w14:paraId="5B4A5319">
      <w:pPr>
        <w:widowControl/>
        <w:spacing w:line="360" w:lineRule="auto"/>
        <w:rPr>
          <w:rFonts w:ascii="宋体" w:hAnsi="宋体" w:cs="宋体"/>
          <w:b/>
          <w:color w:val="auto"/>
          <w:sz w:val="36"/>
          <w:szCs w:val="36"/>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4110"/>
        <w:gridCol w:w="1276"/>
        <w:gridCol w:w="1251"/>
      </w:tblGrid>
      <w:tr w14:paraId="10FF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bottom w:val="single" w:color="auto" w:sz="4" w:space="0"/>
              <w:right w:val="single" w:color="auto" w:sz="4" w:space="0"/>
            </w:tcBorders>
            <w:noWrap/>
            <w:vAlign w:val="center"/>
          </w:tcPr>
          <w:p w14:paraId="20C4FE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w:t>
            </w:r>
          </w:p>
        </w:tc>
        <w:tc>
          <w:tcPr>
            <w:tcW w:w="4110" w:type="dxa"/>
            <w:tcBorders>
              <w:top w:val="single" w:color="auto" w:sz="4" w:space="0"/>
              <w:left w:val="single" w:color="auto" w:sz="4" w:space="0"/>
              <w:bottom w:val="single" w:color="auto" w:sz="4" w:space="0"/>
              <w:right w:val="single" w:color="auto" w:sz="4" w:space="0"/>
            </w:tcBorders>
            <w:noWrap/>
            <w:vAlign w:val="center"/>
          </w:tcPr>
          <w:p w14:paraId="6535D0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评议要点</w:t>
            </w:r>
          </w:p>
        </w:tc>
        <w:tc>
          <w:tcPr>
            <w:tcW w:w="1276" w:type="dxa"/>
            <w:tcBorders>
              <w:top w:val="single" w:color="auto" w:sz="4" w:space="0"/>
              <w:left w:val="single" w:color="auto" w:sz="4" w:space="0"/>
              <w:bottom w:val="single" w:color="auto" w:sz="4" w:space="0"/>
              <w:right w:val="single" w:color="auto" w:sz="4" w:space="0"/>
            </w:tcBorders>
            <w:noWrap/>
            <w:vAlign w:val="center"/>
          </w:tcPr>
          <w:p w14:paraId="48A0FC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自评分</w:t>
            </w:r>
          </w:p>
        </w:tc>
        <w:tc>
          <w:tcPr>
            <w:tcW w:w="1251" w:type="dxa"/>
            <w:tcBorders>
              <w:top w:val="single" w:color="auto" w:sz="4" w:space="0"/>
              <w:left w:val="single" w:color="auto" w:sz="4" w:space="0"/>
              <w:bottom w:val="single" w:color="auto" w:sz="4" w:space="0"/>
              <w:right w:val="single" w:color="auto" w:sz="4" w:space="0"/>
            </w:tcBorders>
            <w:noWrap/>
            <w:vAlign w:val="center"/>
          </w:tcPr>
          <w:p w14:paraId="27637E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索引</w:t>
            </w:r>
          </w:p>
        </w:tc>
      </w:tr>
      <w:tr w14:paraId="4636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right w:val="single" w:color="auto" w:sz="4" w:space="0"/>
            </w:tcBorders>
            <w:noWrap/>
            <w:vAlign w:val="center"/>
          </w:tcPr>
          <w:p w14:paraId="660CEEA2">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2B8E8CFC">
            <w:pPr>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9653D04">
            <w:pPr>
              <w:spacing w:line="360" w:lineRule="auto"/>
              <w:rPr>
                <w:rFonts w:ascii="宋体" w:hAnsi="宋体" w:cs="宋体"/>
                <w:color w:val="auto"/>
                <w:sz w:val="24"/>
                <w:highlight w:val="none"/>
              </w:rPr>
            </w:pPr>
          </w:p>
        </w:tc>
        <w:tc>
          <w:tcPr>
            <w:tcW w:w="1251" w:type="dxa"/>
            <w:tcBorders>
              <w:top w:val="single" w:color="auto" w:sz="4" w:space="0"/>
              <w:left w:val="single" w:color="auto" w:sz="4" w:space="0"/>
              <w:right w:val="single" w:color="auto" w:sz="4" w:space="0"/>
            </w:tcBorders>
            <w:noWrap/>
            <w:vAlign w:val="center"/>
          </w:tcPr>
          <w:p w14:paraId="5D7D4719">
            <w:pPr>
              <w:spacing w:line="360" w:lineRule="auto"/>
              <w:rPr>
                <w:rFonts w:ascii="宋体" w:hAnsi="宋体" w:cs="宋体"/>
                <w:color w:val="auto"/>
                <w:sz w:val="24"/>
                <w:highlight w:val="none"/>
              </w:rPr>
            </w:pPr>
          </w:p>
        </w:tc>
      </w:tr>
      <w:tr w14:paraId="6C94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right w:val="single" w:color="auto" w:sz="4" w:space="0"/>
            </w:tcBorders>
            <w:noWrap/>
            <w:vAlign w:val="center"/>
          </w:tcPr>
          <w:p w14:paraId="133546C2">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4091E45B">
            <w:pPr>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5C0D440">
            <w:pPr>
              <w:spacing w:line="360" w:lineRule="auto"/>
              <w:rPr>
                <w:rFonts w:ascii="宋体" w:hAnsi="宋体" w:cs="宋体"/>
                <w:color w:val="auto"/>
                <w:sz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1440CC70">
            <w:pPr>
              <w:spacing w:line="360" w:lineRule="auto"/>
              <w:rPr>
                <w:rFonts w:ascii="宋体" w:hAnsi="宋体" w:cs="宋体"/>
                <w:color w:val="auto"/>
                <w:sz w:val="24"/>
                <w:highlight w:val="none"/>
              </w:rPr>
            </w:pPr>
          </w:p>
        </w:tc>
      </w:tr>
      <w:tr w14:paraId="2FA1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bottom w:val="single" w:color="auto" w:sz="4" w:space="0"/>
              <w:right w:val="single" w:color="auto" w:sz="4" w:space="0"/>
            </w:tcBorders>
            <w:noWrap/>
            <w:vAlign w:val="center"/>
          </w:tcPr>
          <w:p w14:paraId="20ABE587">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7C3AA733">
            <w:pPr>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2AC30F1">
            <w:pPr>
              <w:spacing w:line="360" w:lineRule="auto"/>
              <w:rPr>
                <w:rFonts w:ascii="宋体" w:hAnsi="宋体" w:cs="宋体"/>
                <w:color w:val="auto"/>
                <w:sz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39078AC2">
            <w:pPr>
              <w:spacing w:line="360" w:lineRule="auto"/>
              <w:rPr>
                <w:rFonts w:ascii="宋体" w:hAnsi="宋体" w:cs="宋体"/>
                <w:color w:val="auto"/>
                <w:sz w:val="24"/>
                <w:highlight w:val="none"/>
              </w:rPr>
            </w:pPr>
          </w:p>
        </w:tc>
      </w:tr>
      <w:tr w14:paraId="72B9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right w:val="single" w:color="auto" w:sz="4" w:space="0"/>
            </w:tcBorders>
            <w:noWrap/>
            <w:vAlign w:val="center"/>
          </w:tcPr>
          <w:p w14:paraId="4EF4B700">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01D6DF56">
            <w:pPr>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ECFA31E">
            <w:pPr>
              <w:spacing w:line="360" w:lineRule="auto"/>
              <w:rPr>
                <w:rFonts w:ascii="宋体" w:hAnsi="宋体" w:cs="宋体"/>
                <w:color w:val="auto"/>
                <w:sz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3CBD478F">
            <w:pPr>
              <w:spacing w:line="360" w:lineRule="auto"/>
              <w:rPr>
                <w:rFonts w:ascii="宋体" w:hAnsi="宋体" w:cs="宋体"/>
                <w:color w:val="auto"/>
                <w:sz w:val="24"/>
                <w:highlight w:val="none"/>
              </w:rPr>
            </w:pPr>
          </w:p>
        </w:tc>
      </w:tr>
      <w:tr w14:paraId="539A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bottom w:val="single" w:color="auto" w:sz="4" w:space="0"/>
              <w:right w:val="single" w:color="auto" w:sz="4" w:space="0"/>
            </w:tcBorders>
            <w:noWrap/>
            <w:vAlign w:val="center"/>
          </w:tcPr>
          <w:p w14:paraId="03CA3DDD">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0AC882BF">
            <w:pPr>
              <w:spacing w:line="360" w:lineRule="auto"/>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9B72B26">
            <w:pPr>
              <w:spacing w:line="360" w:lineRule="auto"/>
              <w:jc w:val="left"/>
              <w:rPr>
                <w:rFonts w:ascii="宋体" w:hAnsi="宋体" w:cs="宋体"/>
                <w:color w:val="auto"/>
                <w:sz w:val="24"/>
                <w:highlight w:val="none"/>
              </w:rPr>
            </w:pPr>
          </w:p>
        </w:tc>
        <w:tc>
          <w:tcPr>
            <w:tcW w:w="1251" w:type="dxa"/>
            <w:tcBorders>
              <w:top w:val="single" w:color="auto" w:sz="4" w:space="0"/>
              <w:left w:val="single" w:color="auto" w:sz="4" w:space="0"/>
              <w:bottom w:val="single" w:color="auto" w:sz="4" w:space="0"/>
              <w:right w:val="single" w:color="auto" w:sz="4" w:space="0"/>
            </w:tcBorders>
            <w:noWrap/>
            <w:vAlign w:val="center"/>
          </w:tcPr>
          <w:p w14:paraId="329B0C32">
            <w:pPr>
              <w:spacing w:line="360" w:lineRule="auto"/>
              <w:rPr>
                <w:rFonts w:ascii="宋体" w:hAnsi="宋体" w:cs="宋体"/>
                <w:color w:val="auto"/>
                <w:sz w:val="24"/>
                <w:highlight w:val="none"/>
              </w:rPr>
            </w:pPr>
          </w:p>
        </w:tc>
      </w:tr>
      <w:tr w14:paraId="5FF5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right w:val="single" w:color="auto" w:sz="4" w:space="0"/>
            </w:tcBorders>
            <w:noWrap/>
            <w:vAlign w:val="center"/>
          </w:tcPr>
          <w:p w14:paraId="3CBC7342">
            <w:pPr>
              <w:spacing w:line="360" w:lineRule="auto"/>
              <w:rPr>
                <w:rFonts w:ascii="宋体" w:hAnsi="宋体" w:cs="宋体"/>
                <w:color w:val="auto"/>
                <w:sz w:val="24"/>
                <w:highlight w:val="none"/>
              </w:rPr>
            </w:pPr>
          </w:p>
        </w:tc>
        <w:tc>
          <w:tcPr>
            <w:tcW w:w="4110" w:type="dxa"/>
            <w:tcBorders>
              <w:top w:val="single" w:color="auto" w:sz="4" w:space="0"/>
              <w:left w:val="single" w:color="auto" w:sz="4" w:space="0"/>
              <w:right w:val="single" w:color="auto" w:sz="4" w:space="0"/>
            </w:tcBorders>
            <w:noWrap/>
            <w:vAlign w:val="center"/>
          </w:tcPr>
          <w:p w14:paraId="7A4CA184">
            <w:pPr>
              <w:spacing w:line="360" w:lineRule="auto"/>
              <w:jc w:val="left"/>
              <w:rPr>
                <w:rFonts w:ascii="宋体" w:hAnsi="宋体" w:cs="宋体"/>
                <w:color w:val="auto"/>
                <w:sz w:val="24"/>
                <w:highlight w:val="none"/>
              </w:rPr>
            </w:pPr>
          </w:p>
        </w:tc>
        <w:tc>
          <w:tcPr>
            <w:tcW w:w="1276" w:type="dxa"/>
            <w:tcBorders>
              <w:top w:val="single" w:color="auto" w:sz="4" w:space="0"/>
              <w:left w:val="single" w:color="auto" w:sz="4" w:space="0"/>
              <w:right w:val="single" w:color="auto" w:sz="4" w:space="0"/>
            </w:tcBorders>
            <w:noWrap/>
            <w:vAlign w:val="center"/>
          </w:tcPr>
          <w:p w14:paraId="503E041C">
            <w:pPr>
              <w:spacing w:line="360" w:lineRule="auto"/>
              <w:jc w:val="left"/>
              <w:rPr>
                <w:rFonts w:ascii="宋体" w:hAnsi="宋体" w:cs="宋体"/>
                <w:color w:val="auto"/>
                <w:sz w:val="24"/>
                <w:highlight w:val="none"/>
              </w:rPr>
            </w:pPr>
          </w:p>
        </w:tc>
        <w:tc>
          <w:tcPr>
            <w:tcW w:w="1251" w:type="dxa"/>
            <w:tcBorders>
              <w:top w:val="single" w:color="auto" w:sz="4" w:space="0"/>
              <w:left w:val="single" w:color="auto" w:sz="4" w:space="0"/>
              <w:right w:val="single" w:color="auto" w:sz="4" w:space="0"/>
            </w:tcBorders>
            <w:noWrap/>
            <w:vAlign w:val="center"/>
          </w:tcPr>
          <w:p w14:paraId="0F21C4D9">
            <w:pPr>
              <w:spacing w:line="360" w:lineRule="auto"/>
              <w:rPr>
                <w:rFonts w:ascii="宋体" w:hAnsi="宋体" w:cs="宋体"/>
                <w:color w:val="auto"/>
                <w:sz w:val="24"/>
                <w:highlight w:val="none"/>
              </w:rPr>
            </w:pPr>
          </w:p>
        </w:tc>
      </w:tr>
      <w:tr w14:paraId="5773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580" w:type="dxa"/>
            <w:tcBorders>
              <w:top w:val="single" w:color="auto" w:sz="4" w:space="0"/>
              <w:left w:val="single" w:color="auto" w:sz="4" w:space="0"/>
              <w:right w:val="single" w:color="auto" w:sz="4" w:space="0"/>
            </w:tcBorders>
            <w:noWrap/>
            <w:vAlign w:val="center"/>
          </w:tcPr>
          <w:p w14:paraId="2029DB23">
            <w:pPr>
              <w:spacing w:line="360" w:lineRule="auto"/>
              <w:rPr>
                <w:rFonts w:ascii="宋体" w:hAnsi="宋体" w:cs="宋体"/>
                <w:color w:val="auto"/>
                <w:sz w:val="24"/>
                <w:highlight w:val="none"/>
              </w:rPr>
            </w:pPr>
          </w:p>
        </w:tc>
        <w:tc>
          <w:tcPr>
            <w:tcW w:w="4110" w:type="dxa"/>
            <w:tcBorders>
              <w:top w:val="single" w:color="auto" w:sz="4" w:space="0"/>
              <w:left w:val="single" w:color="auto" w:sz="4" w:space="0"/>
              <w:bottom w:val="single" w:color="auto" w:sz="4" w:space="0"/>
              <w:right w:val="single" w:color="auto" w:sz="4" w:space="0"/>
            </w:tcBorders>
            <w:noWrap/>
            <w:vAlign w:val="center"/>
          </w:tcPr>
          <w:p w14:paraId="1619465F">
            <w:pPr>
              <w:spacing w:line="360" w:lineRule="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110803D">
            <w:pPr>
              <w:spacing w:line="360" w:lineRule="auto"/>
              <w:rPr>
                <w:rFonts w:ascii="宋体" w:hAnsi="宋体" w:cs="宋体"/>
                <w:color w:val="auto"/>
                <w:sz w:val="24"/>
                <w:highlight w:val="none"/>
              </w:rPr>
            </w:pPr>
          </w:p>
        </w:tc>
        <w:tc>
          <w:tcPr>
            <w:tcW w:w="1251" w:type="dxa"/>
            <w:tcBorders>
              <w:top w:val="single" w:color="auto" w:sz="4" w:space="0"/>
              <w:left w:val="single" w:color="auto" w:sz="4" w:space="0"/>
              <w:right w:val="single" w:color="auto" w:sz="4" w:space="0"/>
            </w:tcBorders>
            <w:noWrap/>
            <w:vAlign w:val="center"/>
          </w:tcPr>
          <w:p w14:paraId="66F35C6C">
            <w:pPr>
              <w:spacing w:line="360" w:lineRule="auto"/>
              <w:rPr>
                <w:rFonts w:ascii="宋体" w:hAnsi="宋体" w:cs="宋体"/>
                <w:color w:val="auto"/>
                <w:sz w:val="24"/>
                <w:highlight w:val="none"/>
              </w:rPr>
            </w:pPr>
          </w:p>
        </w:tc>
      </w:tr>
    </w:tbl>
    <w:p w14:paraId="467FDFCD">
      <w:pPr>
        <w:spacing w:line="500" w:lineRule="exact"/>
        <w:jc w:val="center"/>
        <w:rPr>
          <w:rFonts w:ascii="宋体" w:hAnsi="宋体" w:cs="宋体"/>
          <w:b/>
          <w:bCs/>
          <w:color w:val="auto"/>
          <w:sz w:val="44"/>
          <w:szCs w:val="44"/>
          <w:highlight w:val="none"/>
        </w:rPr>
      </w:pPr>
    </w:p>
    <w:p w14:paraId="3AF5DD84">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此表请根据投标须知及其前附表中的评标办法及标准商务技术部分得分表，每个得分项按顺序分行列出。自评表</w:t>
      </w:r>
      <w:r>
        <w:rPr>
          <w:rFonts w:hint="eastAsia" w:ascii="宋体" w:hAnsi="宋体" w:cs="宋体"/>
          <w:b/>
          <w:color w:val="auto"/>
          <w:sz w:val="30"/>
          <w:szCs w:val="30"/>
          <w:highlight w:val="none"/>
          <w:lang w:val="en-US" w:eastAsia="zh-CN"/>
        </w:rPr>
        <w:t>放</w:t>
      </w:r>
      <w:r>
        <w:rPr>
          <w:rFonts w:hint="eastAsia" w:ascii="宋体" w:hAnsi="宋体" w:cs="宋体"/>
          <w:b/>
          <w:color w:val="auto"/>
          <w:sz w:val="30"/>
          <w:szCs w:val="30"/>
          <w:highlight w:val="none"/>
        </w:rPr>
        <w:t>在投标文件商务技术文件第一章或商务技术文件目录前）</w:t>
      </w:r>
    </w:p>
    <w:p w14:paraId="345C2225">
      <w:pPr>
        <w:widowControl/>
        <w:spacing w:line="500" w:lineRule="atLeast"/>
        <w:jc w:val="center"/>
        <w:rPr>
          <w:rFonts w:ascii="宋体" w:hAnsi="宋体" w:cs="宋体"/>
          <w:b/>
          <w:bCs/>
          <w:color w:val="auto"/>
          <w:sz w:val="36"/>
          <w:szCs w:val="36"/>
          <w:highlight w:val="none"/>
        </w:rPr>
      </w:pPr>
    </w:p>
    <w:bookmarkEnd w:id="14"/>
    <w:p w14:paraId="18883093">
      <w:pPr>
        <w:spacing w:line="360" w:lineRule="auto"/>
        <w:rPr>
          <w:rFonts w:ascii="宋体" w:hAnsi="宋体" w:cs="宋体"/>
          <w:color w:val="auto"/>
          <w:sz w:val="24"/>
          <w:highlight w:val="none"/>
        </w:rPr>
      </w:pPr>
    </w:p>
    <w:p w14:paraId="779C1B7B">
      <w:pPr>
        <w:spacing w:line="360" w:lineRule="auto"/>
        <w:rPr>
          <w:rFonts w:ascii="宋体" w:hAnsi="宋体" w:cs="宋体"/>
          <w:color w:val="auto"/>
          <w:sz w:val="24"/>
          <w:highlight w:val="none"/>
        </w:rPr>
      </w:pPr>
    </w:p>
    <w:p w14:paraId="5031295A">
      <w:pPr>
        <w:spacing w:line="360" w:lineRule="auto"/>
        <w:rPr>
          <w:rFonts w:ascii="宋体" w:hAnsi="宋体" w:cs="宋体"/>
          <w:color w:val="auto"/>
          <w:sz w:val="24"/>
          <w:highlight w:val="none"/>
        </w:rPr>
      </w:pPr>
    </w:p>
    <w:p w14:paraId="71EDCCC3">
      <w:pPr>
        <w:spacing w:line="360" w:lineRule="auto"/>
        <w:rPr>
          <w:rFonts w:ascii="宋体" w:hAnsi="宋体" w:cs="宋体"/>
          <w:color w:val="auto"/>
          <w:sz w:val="24"/>
          <w:highlight w:val="none"/>
        </w:rPr>
      </w:pPr>
    </w:p>
    <w:p w14:paraId="462352EB">
      <w:pPr>
        <w:spacing w:line="360" w:lineRule="auto"/>
        <w:rPr>
          <w:rFonts w:ascii="宋体" w:hAnsi="宋体" w:cs="宋体"/>
          <w:color w:val="auto"/>
          <w:sz w:val="24"/>
          <w:highlight w:val="none"/>
        </w:rPr>
      </w:pPr>
    </w:p>
    <w:p w14:paraId="5F655497">
      <w:pPr>
        <w:spacing w:line="360" w:lineRule="auto"/>
        <w:rPr>
          <w:rFonts w:ascii="宋体" w:hAnsi="宋体" w:cs="宋体"/>
          <w:color w:val="auto"/>
          <w:sz w:val="24"/>
          <w:highlight w:val="none"/>
        </w:rPr>
      </w:pPr>
    </w:p>
    <w:p w14:paraId="162DE547">
      <w:pPr>
        <w:spacing w:line="360" w:lineRule="auto"/>
        <w:rPr>
          <w:rFonts w:ascii="宋体" w:hAnsi="宋体" w:cs="宋体"/>
          <w:color w:val="auto"/>
          <w:sz w:val="24"/>
          <w:highlight w:val="none"/>
        </w:rPr>
      </w:pPr>
    </w:p>
    <w:p w14:paraId="426D1C16">
      <w:pPr>
        <w:spacing w:line="360" w:lineRule="auto"/>
        <w:rPr>
          <w:rFonts w:ascii="宋体" w:hAnsi="宋体" w:cs="宋体"/>
          <w:color w:val="auto"/>
          <w:sz w:val="24"/>
          <w:highlight w:val="none"/>
        </w:rPr>
      </w:pPr>
    </w:p>
    <w:p w14:paraId="2CFEA843">
      <w:pPr>
        <w:spacing w:line="360" w:lineRule="auto"/>
        <w:rPr>
          <w:rFonts w:ascii="宋体" w:hAnsi="宋体" w:cs="宋体"/>
          <w:color w:val="auto"/>
          <w:sz w:val="24"/>
          <w:highlight w:val="none"/>
        </w:rPr>
      </w:pPr>
    </w:p>
    <w:p w14:paraId="7E50E4A2">
      <w:pPr>
        <w:spacing w:line="360" w:lineRule="auto"/>
        <w:rPr>
          <w:rFonts w:ascii="宋体" w:hAnsi="宋体" w:cs="宋体"/>
          <w:color w:val="auto"/>
          <w:sz w:val="24"/>
          <w:highlight w:val="none"/>
        </w:rPr>
      </w:pPr>
      <w:r>
        <w:rPr>
          <w:rFonts w:hint="eastAsia" w:ascii="宋体" w:hAnsi="宋体" w:cs="宋体"/>
          <w:color w:val="auto"/>
          <w:sz w:val="24"/>
          <w:highlight w:val="none"/>
        </w:rPr>
        <w:t>格式一</w:t>
      </w:r>
    </w:p>
    <w:p w14:paraId="43865B23">
      <w:pPr>
        <w:spacing w:line="500" w:lineRule="exact"/>
        <w:jc w:val="center"/>
        <w:rPr>
          <w:rFonts w:ascii="宋体" w:hAnsi="宋体" w:cs="宋体"/>
          <w:color w:val="auto"/>
          <w:sz w:val="36"/>
          <w:szCs w:val="36"/>
          <w:highlight w:val="none"/>
        </w:rPr>
      </w:pPr>
      <w:r>
        <w:rPr>
          <w:rFonts w:hint="eastAsia" w:ascii="宋体" w:hAnsi="宋体" w:cs="宋体"/>
          <w:b/>
          <w:bCs/>
          <w:color w:val="auto"/>
          <w:sz w:val="36"/>
          <w:szCs w:val="36"/>
          <w:highlight w:val="none"/>
        </w:rPr>
        <w:t>投标函</w:t>
      </w:r>
    </w:p>
    <w:p w14:paraId="6C9E3ACA">
      <w:pPr>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rPr>
        <w:t>致：</w:t>
      </w:r>
      <w:r>
        <w:rPr>
          <w:rFonts w:hint="eastAsia" w:ascii="宋体" w:hAnsi="宋体" w:cs="宋体"/>
          <w:color w:val="auto"/>
          <w:sz w:val="24"/>
          <w:highlight w:val="none"/>
          <w:u w:val="single"/>
          <w:lang w:eastAsia="zh-CN"/>
        </w:rPr>
        <w:t>新昌县住房和城乡建设局</w:t>
      </w:r>
      <w:r>
        <w:rPr>
          <w:rFonts w:hint="eastAsia" w:ascii="宋体" w:hAnsi="宋体" w:cs="宋体"/>
          <w:color w:val="auto"/>
          <w:sz w:val="24"/>
          <w:highlight w:val="none"/>
          <w:u w:val="single"/>
        </w:rPr>
        <w:t>：</w:t>
      </w:r>
    </w:p>
    <w:p w14:paraId="451A048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我方参加贵公司组织的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项目（项目编号为                      ）招标活动，并对此项目进行投标。为此：</w:t>
      </w:r>
    </w:p>
    <w:p w14:paraId="33C1E14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1、我方已详细阅读招标文件，包括招标文件补充文件（如有），完全理解并同意放弃对这方面有不明及误解的权利。</w:t>
      </w:r>
    </w:p>
    <w:p w14:paraId="14D0F98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2、我方承诺已经具备《中华人民共和国政府采购法》及招标文件中规定的参加政府采购活动的供应商应当具备的条件。</w:t>
      </w:r>
    </w:p>
    <w:p w14:paraId="3E7B844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3、针对该项目，我方的投标总报价见报价文件。</w:t>
      </w:r>
    </w:p>
    <w:p w14:paraId="3B83F76B">
      <w:pPr>
        <w:spacing w:line="440" w:lineRule="exact"/>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4、我方已提供投标须知规定的全部投标文件，包括中标后提供投标文件正本1份，副本</w:t>
      </w:r>
      <w:r>
        <w:rPr>
          <w:rFonts w:hint="eastAsia" w:ascii="宋体" w:hAnsi="宋体" w:cs="宋体"/>
          <w:color w:val="auto"/>
          <w:sz w:val="24"/>
          <w:highlight w:val="none"/>
          <w:u w:val="single"/>
        </w:rPr>
        <w:t>4</w:t>
      </w:r>
      <w:r>
        <w:rPr>
          <w:rFonts w:hint="eastAsia" w:ascii="宋体" w:hAnsi="宋体" w:cs="宋体"/>
          <w:color w:val="auto"/>
          <w:sz w:val="24"/>
          <w:highlight w:val="none"/>
        </w:rPr>
        <w:t>份。</w:t>
      </w:r>
    </w:p>
    <w:p w14:paraId="7A41D8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5、我方向贵方提供任何与该项投标有关的数据、情况和技术资料都属实。</w:t>
      </w:r>
    </w:p>
    <w:p w14:paraId="44FE18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6、我方在投标过程中将严格遵守《中华人民共和国政府采购法》及招标文件中的其他有关规定。</w:t>
      </w:r>
    </w:p>
    <w:p w14:paraId="5373021A">
      <w:pPr>
        <w:spacing w:line="440" w:lineRule="exact"/>
        <w:ind w:firstLine="3420" w:firstLineChars="1425"/>
        <w:rPr>
          <w:rFonts w:ascii="宋体" w:hAnsi="宋体" w:cs="宋体"/>
          <w:color w:val="auto"/>
          <w:sz w:val="24"/>
          <w:highlight w:val="none"/>
        </w:rPr>
      </w:pPr>
    </w:p>
    <w:p w14:paraId="24D4441A">
      <w:pPr>
        <w:spacing w:line="440" w:lineRule="exact"/>
        <w:ind w:firstLine="3420" w:firstLineChars="1425"/>
        <w:rPr>
          <w:rFonts w:ascii="宋体" w:hAnsi="宋体" w:cs="宋体"/>
          <w:color w:val="auto"/>
          <w:sz w:val="24"/>
          <w:highlight w:val="none"/>
        </w:rPr>
      </w:pPr>
    </w:p>
    <w:p w14:paraId="54F76511">
      <w:pPr>
        <w:spacing w:line="440" w:lineRule="exact"/>
        <w:ind w:firstLine="3420" w:firstLineChars="1425"/>
        <w:rPr>
          <w:rFonts w:ascii="宋体" w:hAnsi="宋体" w:cs="宋体"/>
          <w:color w:val="auto"/>
          <w:sz w:val="24"/>
          <w:highlight w:val="none"/>
        </w:rPr>
      </w:pPr>
    </w:p>
    <w:p w14:paraId="1F0B687E">
      <w:pPr>
        <w:spacing w:line="440" w:lineRule="exact"/>
        <w:rPr>
          <w:rFonts w:ascii="宋体" w:hAnsi="宋体" w:cs="宋体"/>
          <w:color w:val="auto"/>
          <w:sz w:val="24"/>
          <w:highlight w:val="none"/>
        </w:rPr>
      </w:pPr>
    </w:p>
    <w:p w14:paraId="50E410DA">
      <w:pPr>
        <w:spacing w:line="440" w:lineRule="exact"/>
        <w:ind w:firstLine="3420" w:firstLineChars="1425"/>
        <w:rPr>
          <w:rFonts w:ascii="宋体" w:hAnsi="宋体" w:cs="宋体"/>
          <w:color w:val="auto"/>
          <w:sz w:val="24"/>
          <w:highlight w:val="none"/>
        </w:rPr>
      </w:pPr>
      <w:r>
        <w:rPr>
          <w:rFonts w:hint="eastAsia" w:ascii="宋体" w:hAnsi="宋体" w:cs="宋体"/>
          <w:color w:val="auto"/>
          <w:sz w:val="24"/>
          <w:highlight w:val="none"/>
        </w:rPr>
        <w:t>投标人（盖章）：</w:t>
      </w:r>
    </w:p>
    <w:p w14:paraId="58CB38E3">
      <w:pPr>
        <w:spacing w:line="440" w:lineRule="exact"/>
        <w:ind w:firstLine="3420" w:firstLineChars="1425"/>
        <w:rPr>
          <w:rFonts w:ascii="宋体" w:hAnsi="宋体" w:cs="宋体"/>
          <w:color w:val="auto"/>
          <w:sz w:val="24"/>
          <w:highlight w:val="none"/>
        </w:rPr>
      </w:pPr>
    </w:p>
    <w:p w14:paraId="70B5DB19">
      <w:pPr>
        <w:spacing w:line="440" w:lineRule="exact"/>
        <w:ind w:firstLine="3420" w:firstLineChars="1425"/>
        <w:rPr>
          <w:rFonts w:ascii="宋体" w:hAnsi="宋体" w:cs="宋体"/>
          <w:color w:val="auto"/>
          <w:sz w:val="24"/>
          <w:highlight w:val="none"/>
        </w:rPr>
      </w:pPr>
      <w:r>
        <w:rPr>
          <w:rFonts w:hint="eastAsia" w:ascii="宋体" w:hAnsi="宋体" w:cs="宋体"/>
          <w:color w:val="auto"/>
          <w:sz w:val="24"/>
          <w:highlight w:val="none"/>
        </w:rPr>
        <w:t>法定代表人或其授权代表（签字或盖章）：</w:t>
      </w:r>
    </w:p>
    <w:p w14:paraId="3B10C638">
      <w:pPr>
        <w:spacing w:line="440" w:lineRule="exact"/>
        <w:ind w:firstLine="3420" w:firstLineChars="1425"/>
        <w:rPr>
          <w:rFonts w:ascii="宋体" w:hAnsi="宋体" w:cs="宋体"/>
          <w:color w:val="auto"/>
          <w:sz w:val="24"/>
          <w:highlight w:val="none"/>
        </w:rPr>
      </w:pPr>
    </w:p>
    <w:p w14:paraId="5F8C972D">
      <w:pPr>
        <w:spacing w:line="440" w:lineRule="exact"/>
        <w:ind w:firstLine="3420" w:firstLineChars="1425"/>
        <w:rPr>
          <w:rFonts w:ascii="宋体" w:hAnsi="宋体" w:cs="宋体"/>
          <w:color w:val="auto"/>
          <w:sz w:val="24"/>
          <w:highlight w:val="none"/>
        </w:rPr>
      </w:pPr>
      <w:r>
        <w:rPr>
          <w:rFonts w:hint="eastAsia" w:ascii="宋体" w:hAnsi="宋体" w:cs="宋体"/>
          <w:color w:val="auto"/>
          <w:sz w:val="24"/>
          <w:highlight w:val="none"/>
        </w:rPr>
        <w:t>日 期：   年 　月　 日</w:t>
      </w:r>
    </w:p>
    <w:p w14:paraId="146BE95B">
      <w:pPr>
        <w:rPr>
          <w:rFonts w:ascii="宋体" w:hAnsi="宋体" w:cs="宋体"/>
          <w:color w:val="auto"/>
          <w:sz w:val="24"/>
          <w:highlight w:val="none"/>
        </w:rPr>
      </w:pPr>
    </w:p>
    <w:p w14:paraId="4E2340F7">
      <w:pPr>
        <w:pStyle w:val="9"/>
        <w:rPr>
          <w:rFonts w:ascii="宋体" w:hAnsi="宋体" w:cs="宋体"/>
          <w:color w:val="auto"/>
          <w:highlight w:val="none"/>
        </w:rPr>
      </w:pPr>
    </w:p>
    <w:p w14:paraId="7668D82B">
      <w:pPr>
        <w:pStyle w:val="10"/>
        <w:ind w:firstLine="340"/>
        <w:rPr>
          <w:rFonts w:hAnsi="宋体" w:cs="宋体"/>
          <w:color w:val="auto"/>
          <w:highlight w:val="none"/>
        </w:rPr>
      </w:pPr>
    </w:p>
    <w:p w14:paraId="063EA99A">
      <w:pPr>
        <w:pStyle w:val="10"/>
        <w:ind w:firstLine="340"/>
        <w:rPr>
          <w:rFonts w:hAnsi="宋体" w:cs="宋体"/>
          <w:color w:val="auto"/>
          <w:highlight w:val="none"/>
        </w:rPr>
      </w:pPr>
    </w:p>
    <w:p w14:paraId="3AF39B65">
      <w:pPr>
        <w:pStyle w:val="10"/>
        <w:ind w:firstLine="340"/>
        <w:rPr>
          <w:rFonts w:hAnsi="宋体" w:cs="宋体"/>
          <w:color w:val="auto"/>
          <w:highlight w:val="none"/>
        </w:rPr>
      </w:pPr>
    </w:p>
    <w:p w14:paraId="2D4E2BCC">
      <w:pPr>
        <w:pStyle w:val="10"/>
        <w:ind w:firstLine="340"/>
        <w:rPr>
          <w:rFonts w:hAnsi="宋体" w:cs="宋体"/>
          <w:color w:val="auto"/>
          <w:highlight w:val="none"/>
        </w:rPr>
      </w:pPr>
    </w:p>
    <w:p w14:paraId="617CA2E2">
      <w:pPr>
        <w:rPr>
          <w:rFonts w:ascii="宋体" w:hAnsi="宋体" w:cs="宋体"/>
          <w:color w:val="auto"/>
          <w:sz w:val="28"/>
          <w:szCs w:val="28"/>
          <w:highlight w:val="none"/>
        </w:rPr>
      </w:pPr>
      <w:r>
        <w:rPr>
          <w:rFonts w:hint="eastAsia" w:ascii="宋体" w:hAnsi="宋体" w:cs="宋体"/>
          <w:color w:val="auto"/>
          <w:sz w:val="24"/>
          <w:highlight w:val="none"/>
        </w:rPr>
        <w:t>格式二</w:t>
      </w:r>
      <w:r>
        <w:rPr>
          <w:rFonts w:hint="eastAsia" w:ascii="宋体" w:hAnsi="宋体" w:cs="宋体"/>
          <w:b/>
          <w:bCs/>
          <w:color w:val="auto"/>
          <w:sz w:val="28"/>
          <w:szCs w:val="28"/>
          <w:highlight w:val="none"/>
        </w:rPr>
        <w:t>：</w:t>
      </w:r>
    </w:p>
    <w:p w14:paraId="051E7BBF">
      <w:pPr>
        <w:spacing w:line="360" w:lineRule="auto"/>
        <w:rPr>
          <w:rFonts w:ascii="宋体" w:hAnsi="宋体" w:cs="宋体"/>
          <w:b/>
          <w:color w:val="auto"/>
          <w:sz w:val="32"/>
          <w:szCs w:val="32"/>
          <w:highlight w:val="none"/>
        </w:rPr>
      </w:pPr>
      <w:r>
        <w:rPr>
          <w:rFonts w:hint="eastAsia" w:ascii="宋体" w:hAnsi="宋体" w:cs="宋体"/>
          <w:b/>
          <w:bCs/>
          <w:color w:val="auto"/>
          <w:sz w:val="36"/>
          <w:szCs w:val="36"/>
          <w:highlight w:val="none"/>
        </w:rPr>
        <w:t xml:space="preserve">                 二、声明书</w:t>
      </w:r>
    </w:p>
    <w:p w14:paraId="60DC1123">
      <w:pPr>
        <w:spacing w:line="44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新昌县住房和城乡建设局： </w:t>
      </w:r>
    </w:p>
    <w:p w14:paraId="62700254">
      <w:pPr>
        <w:snapToGrid w:val="0"/>
        <w:spacing w:line="360" w:lineRule="auto"/>
        <w:ind w:firstLine="480"/>
        <w:rPr>
          <w:rFonts w:hint="eastAsia" w:ascii="宋体" w:hAnsi="宋体" w:cs="宋体"/>
          <w:color w:val="auto"/>
          <w:sz w:val="24"/>
          <w:highlight w:val="none"/>
          <w:lang w:val="zh-CN"/>
        </w:rPr>
      </w:pPr>
    </w:p>
    <w:p w14:paraId="03690DDB">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我公司</w:t>
      </w:r>
      <w:r>
        <w:rPr>
          <w:rFonts w:hint="eastAsia" w:ascii="宋体" w:hAnsi="宋体" w:cs="宋体"/>
          <w:color w:val="auto"/>
          <w:sz w:val="24"/>
          <w:highlight w:val="none"/>
        </w:rPr>
        <w:t>声明截止投标时间近三年以来，在全国范围内政府采购领域中，在项目招标、投标和合同履约期间无任何不良行为记录和违法、违规行为</w:t>
      </w:r>
      <w:r>
        <w:rPr>
          <w:rFonts w:hint="eastAsia" w:ascii="宋体" w:hAnsi="宋体" w:cs="宋体"/>
          <w:color w:val="auto"/>
          <w:sz w:val="24"/>
          <w:highlight w:val="none"/>
          <w:lang w:val="zh-CN"/>
        </w:rPr>
        <w:t>。</w:t>
      </w:r>
    </w:p>
    <w:p w14:paraId="5431920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我公司自愿参加</w:t>
      </w:r>
      <w:r>
        <w:rPr>
          <w:rFonts w:hint="eastAsia" w:ascii="宋体" w:hAnsi="宋体" w:cs="宋体"/>
          <w:color w:val="auto"/>
          <w:sz w:val="24"/>
          <w:highlight w:val="none"/>
          <w:u w:val="single"/>
          <w:lang w:val="zh-CN"/>
        </w:rPr>
        <w:t xml:space="preserve">新昌县2025-2026年农村生活污水治理设施水质委托检测项目  </w:t>
      </w:r>
      <w:r>
        <w:rPr>
          <w:rFonts w:hint="eastAsia" w:ascii="宋体" w:hAnsi="宋体" w:cs="宋体"/>
          <w:color w:val="auto"/>
          <w:sz w:val="24"/>
          <w:highlight w:val="none"/>
          <w:lang w:val="zh-CN"/>
        </w:rPr>
        <w:t>的投标，并保证投标文件中所列举的投标报价文件及相关资料和公司基本情况资料是真实的、合法的。</w:t>
      </w:r>
    </w:p>
    <w:p w14:paraId="0C9898C1">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我公司已详细阅读全部“招标文件”，包括修改文件（如果有）以及全部招标资料和相关附件，并已了解我公司在招投标过程中的权利和义务。</w:t>
      </w:r>
    </w:p>
    <w:p w14:paraId="5F931109">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我公司理解并接受招标文件的各项规定和要求，同意此次招标文件中的各项内容，</w:t>
      </w:r>
      <w:r>
        <w:rPr>
          <w:rFonts w:hint="eastAsia" w:ascii="宋体" w:hAnsi="宋体" w:cs="宋体"/>
          <w:color w:val="auto"/>
          <w:sz w:val="24"/>
          <w:highlight w:val="none"/>
        </w:rPr>
        <w:t>并</w:t>
      </w:r>
      <w:r>
        <w:rPr>
          <w:rFonts w:hint="eastAsia" w:ascii="宋体" w:hAnsi="宋体" w:cs="宋体"/>
          <w:color w:val="auto"/>
          <w:sz w:val="24"/>
          <w:highlight w:val="none"/>
          <w:lang w:val="zh-CN"/>
        </w:rPr>
        <w:t>同意提供按照贵方可能要求的与投标有关的一切数据或资料等。</w:t>
      </w:r>
    </w:p>
    <w:p w14:paraId="5199386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本公司如中标，保证按照投标文件的承诺与贵方签订协议，保证履行协议、合同条款。</w:t>
      </w:r>
    </w:p>
    <w:p w14:paraId="3458B9E2">
      <w:pPr>
        <w:spacing w:line="360" w:lineRule="auto"/>
        <w:ind w:firstLine="480" w:firstLineChars="200"/>
        <w:rPr>
          <w:rFonts w:ascii="宋体" w:hAnsi="宋体" w:cs="宋体"/>
          <w:color w:val="auto"/>
          <w:sz w:val="24"/>
          <w:highlight w:val="none"/>
        </w:rPr>
      </w:pPr>
    </w:p>
    <w:p w14:paraId="13B1FBF1">
      <w:pPr>
        <w:spacing w:line="360" w:lineRule="auto"/>
        <w:ind w:firstLine="3840" w:firstLineChars="1600"/>
        <w:rPr>
          <w:rFonts w:hint="eastAsia" w:ascii="宋体" w:hAnsi="宋体" w:cs="宋体"/>
          <w:color w:val="auto"/>
          <w:sz w:val="24"/>
          <w:highlight w:val="none"/>
        </w:rPr>
      </w:pPr>
    </w:p>
    <w:p w14:paraId="1FB1F968">
      <w:pPr>
        <w:spacing w:line="360" w:lineRule="auto"/>
        <w:ind w:firstLine="3840" w:firstLineChars="1600"/>
        <w:rPr>
          <w:rFonts w:hint="eastAsia" w:ascii="宋体" w:hAnsi="宋体" w:cs="宋体"/>
          <w:color w:val="auto"/>
          <w:sz w:val="24"/>
          <w:highlight w:val="none"/>
        </w:rPr>
      </w:pPr>
    </w:p>
    <w:p w14:paraId="4CF34A2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投标人名称（公章）：                       </w:t>
      </w:r>
    </w:p>
    <w:p w14:paraId="20CDAB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法定代表人或其授权代表（签字或盖章）：                   </w:t>
      </w:r>
    </w:p>
    <w:p w14:paraId="25B531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  期：     年  月   日</w:t>
      </w:r>
    </w:p>
    <w:p w14:paraId="0E6D5816">
      <w:pPr>
        <w:spacing w:line="360" w:lineRule="auto"/>
        <w:jc w:val="center"/>
        <w:rPr>
          <w:rFonts w:ascii="宋体" w:hAnsi="宋体" w:cs="宋体"/>
          <w:color w:val="auto"/>
          <w:sz w:val="24"/>
          <w:highlight w:val="none"/>
        </w:rPr>
      </w:pPr>
    </w:p>
    <w:p w14:paraId="4CA6D6B8">
      <w:pPr>
        <w:widowControl/>
        <w:rPr>
          <w:rFonts w:ascii="宋体" w:hAnsi="宋体" w:cs="宋体"/>
          <w:b/>
          <w:bCs/>
          <w:color w:val="auto"/>
          <w:sz w:val="36"/>
          <w:szCs w:val="36"/>
          <w:highlight w:val="none"/>
        </w:rPr>
      </w:pPr>
    </w:p>
    <w:p w14:paraId="4FE970A4">
      <w:pPr>
        <w:widowControl/>
        <w:jc w:val="center"/>
        <w:rPr>
          <w:rFonts w:ascii="宋体" w:hAnsi="宋体" w:cs="宋体"/>
          <w:b/>
          <w:bCs/>
          <w:color w:val="auto"/>
          <w:sz w:val="36"/>
          <w:szCs w:val="36"/>
          <w:highlight w:val="none"/>
        </w:rPr>
      </w:pPr>
    </w:p>
    <w:p w14:paraId="43025CA9">
      <w:pPr>
        <w:widowControl/>
        <w:jc w:val="center"/>
        <w:rPr>
          <w:rFonts w:ascii="宋体" w:hAnsi="宋体" w:cs="宋体"/>
          <w:b/>
          <w:bCs/>
          <w:color w:val="auto"/>
          <w:sz w:val="36"/>
          <w:szCs w:val="36"/>
          <w:highlight w:val="none"/>
        </w:rPr>
      </w:pPr>
    </w:p>
    <w:p w14:paraId="40FC430D">
      <w:pPr>
        <w:rPr>
          <w:rFonts w:ascii="宋体" w:hAnsi="宋体" w:cs="宋体"/>
          <w:color w:val="auto"/>
          <w:sz w:val="24"/>
          <w:highlight w:val="none"/>
        </w:rPr>
      </w:pPr>
    </w:p>
    <w:p w14:paraId="498D10A1">
      <w:pPr>
        <w:ind w:firstLine="240" w:firstLineChars="100"/>
        <w:rPr>
          <w:rFonts w:ascii="宋体" w:hAnsi="宋体" w:cs="宋体"/>
          <w:color w:val="auto"/>
          <w:sz w:val="24"/>
          <w:highlight w:val="none"/>
        </w:rPr>
      </w:pPr>
    </w:p>
    <w:p w14:paraId="0C0D56E5">
      <w:pPr>
        <w:ind w:firstLine="240" w:firstLineChars="100"/>
        <w:rPr>
          <w:rFonts w:hint="eastAsia" w:ascii="宋体" w:hAnsi="宋体" w:cs="宋体"/>
          <w:color w:val="auto"/>
          <w:sz w:val="24"/>
          <w:highlight w:val="none"/>
        </w:rPr>
      </w:pPr>
    </w:p>
    <w:p w14:paraId="165A2571">
      <w:pPr>
        <w:ind w:firstLine="240" w:firstLineChars="100"/>
        <w:rPr>
          <w:rFonts w:hint="eastAsia" w:ascii="宋体" w:hAnsi="宋体" w:cs="宋体"/>
          <w:color w:val="auto"/>
          <w:sz w:val="24"/>
          <w:highlight w:val="none"/>
        </w:rPr>
      </w:pPr>
    </w:p>
    <w:p w14:paraId="7CDD21A8">
      <w:pPr>
        <w:rPr>
          <w:rFonts w:hint="eastAsia" w:ascii="宋体" w:hAnsi="宋体" w:cs="宋体"/>
          <w:color w:val="auto"/>
          <w:sz w:val="24"/>
          <w:highlight w:val="none"/>
        </w:rPr>
      </w:pPr>
    </w:p>
    <w:p w14:paraId="3568E3C8">
      <w:pPr>
        <w:ind w:firstLine="240" w:firstLineChars="100"/>
        <w:rPr>
          <w:rFonts w:ascii="宋体" w:hAnsi="宋体" w:cs="宋体"/>
          <w:color w:val="auto"/>
          <w:sz w:val="24"/>
          <w:highlight w:val="none"/>
        </w:rPr>
      </w:pPr>
      <w:r>
        <w:rPr>
          <w:rFonts w:hint="eastAsia" w:ascii="宋体" w:hAnsi="宋体" w:cs="宋体"/>
          <w:color w:val="auto"/>
          <w:sz w:val="24"/>
          <w:highlight w:val="none"/>
        </w:rPr>
        <w:t>格式三</w:t>
      </w:r>
    </w:p>
    <w:p w14:paraId="7F62C6AF">
      <w:pPr>
        <w:jc w:val="center"/>
        <w:rPr>
          <w:rFonts w:ascii="宋体" w:hAnsi="宋体" w:cs="宋体"/>
          <w:b/>
          <w:bCs/>
          <w:color w:val="auto"/>
          <w:sz w:val="36"/>
          <w:highlight w:val="none"/>
        </w:rPr>
      </w:pPr>
    </w:p>
    <w:p w14:paraId="43772D4A">
      <w:pPr>
        <w:jc w:val="center"/>
        <w:rPr>
          <w:rFonts w:ascii="宋体" w:hAnsi="宋体" w:cs="宋体"/>
          <w:b/>
          <w:bCs/>
          <w:color w:val="auto"/>
          <w:sz w:val="36"/>
          <w:highlight w:val="none"/>
        </w:rPr>
      </w:pPr>
      <w:r>
        <w:rPr>
          <w:rFonts w:hint="eastAsia" w:ascii="宋体" w:hAnsi="宋体" w:cs="宋体"/>
          <w:b/>
          <w:bCs/>
          <w:color w:val="auto"/>
          <w:sz w:val="36"/>
          <w:highlight w:val="none"/>
        </w:rPr>
        <w:t>法定代表人身份证明书</w:t>
      </w:r>
    </w:p>
    <w:p w14:paraId="5F1F3E02">
      <w:pPr>
        <w:spacing w:line="540" w:lineRule="exact"/>
        <w:jc w:val="center"/>
        <w:rPr>
          <w:rFonts w:ascii="宋体" w:hAnsi="宋体" w:cs="宋体"/>
          <w:color w:val="auto"/>
          <w:sz w:val="24"/>
          <w:highlight w:val="none"/>
        </w:rPr>
      </w:pPr>
    </w:p>
    <w:p w14:paraId="1FA65568">
      <w:pPr>
        <w:spacing w:line="540" w:lineRule="exact"/>
        <w:rPr>
          <w:rFonts w:ascii="宋体" w:hAnsi="宋体" w:cs="宋体"/>
          <w:color w:val="auto"/>
          <w:sz w:val="24"/>
          <w:highlight w:val="none"/>
        </w:rPr>
      </w:pPr>
    </w:p>
    <w:p w14:paraId="25205D1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｛姓名｝ 　</w:t>
      </w:r>
      <w:r>
        <w:rPr>
          <w:rFonts w:hint="eastAsia" w:ascii="宋体" w:hAnsi="宋体" w:cs="宋体"/>
          <w:color w:val="auto"/>
          <w:sz w:val="24"/>
          <w:highlight w:val="none"/>
        </w:rPr>
        <w:t>，</w:t>
      </w:r>
      <w:r>
        <w:rPr>
          <w:rFonts w:hint="eastAsia" w:ascii="宋体" w:hAnsi="宋体" w:cs="宋体"/>
          <w:color w:val="auto"/>
          <w:sz w:val="24"/>
          <w:highlight w:val="none"/>
          <w:u w:val="single"/>
        </w:rPr>
        <w:t>　｛性别｝　</w:t>
      </w:r>
      <w:r>
        <w:rPr>
          <w:rFonts w:hint="eastAsia" w:ascii="宋体" w:hAnsi="宋体" w:cs="宋体"/>
          <w:color w:val="auto"/>
          <w:sz w:val="24"/>
          <w:highlight w:val="none"/>
        </w:rPr>
        <w:t>，</w:t>
      </w:r>
      <w:r>
        <w:rPr>
          <w:rFonts w:hint="eastAsia" w:ascii="宋体" w:hAnsi="宋体" w:cs="宋体"/>
          <w:color w:val="auto"/>
          <w:sz w:val="24"/>
          <w:highlight w:val="none"/>
          <w:u w:val="single"/>
        </w:rPr>
        <w:t>　｛年龄｝　</w:t>
      </w:r>
      <w:r>
        <w:rPr>
          <w:rFonts w:hint="eastAsia" w:ascii="宋体" w:hAnsi="宋体" w:cs="宋体"/>
          <w:color w:val="auto"/>
          <w:sz w:val="24"/>
          <w:highlight w:val="none"/>
        </w:rPr>
        <w:t>，</w:t>
      </w:r>
      <w:r>
        <w:rPr>
          <w:rFonts w:hint="eastAsia" w:ascii="宋体" w:hAnsi="宋体" w:cs="宋体"/>
          <w:color w:val="auto"/>
          <w:sz w:val="24"/>
          <w:highlight w:val="none"/>
          <w:u w:val="single"/>
        </w:rPr>
        <w:t>　｛职务｝　</w:t>
      </w:r>
      <w:r>
        <w:rPr>
          <w:rFonts w:hint="eastAsia" w:ascii="宋体" w:hAnsi="宋体" w:cs="宋体"/>
          <w:color w:val="auto"/>
          <w:sz w:val="24"/>
          <w:highlight w:val="none"/>
        </w:rPr>
        <w:t>，身份证号码：，系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28BD33D5">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55BEFB42">
      <w:pPr>
        <w:spacing w:line="540" w:lineRule="exact"/>
        <w:rPr>
          <w:rFonts w:ascii="宋体" w:hAnsi="宋体" w:cs="宋体"/>
          <w:color w:val="auto"/>
          <w:sz w:val="24"/>
          <w:highlight w:val="none"/>
        </w:rPr>
      </w:pPr>
    </w:p>
    <w:p w14:paraId="5B825045">
      <w:pPr>
        <w:spacing w:line="540" w:lineRule="exact"/>
        <w:rPr>
          <w:rFonts w:ascii="宋体" w:hAnsi="宋体" w:cs="宋体"/>
          <w:color w:val="auto"/>
          <w:sz w:val="24"/>
          <w:highlight w:val="none"/>
        </w:rPr>
      </w:pPr>
    </w:p>
    <w:p w14:paraId="130DB6C8">
      <w:pPr>
        <w:spacing w:line="540" w:lineRule="exact"/>
        <w:ind w:firstLine="4200" w:firstLineChars="1750"/>
        <w:rPr>
          <w:rFonts w:ascii="宋体" w:hAnsi="宋体" w:cs="宋体"/>
          <w:color w:val="auto"/>
          <w:sz w:val="24"/>
          <w:highlight w:val="none"/>
        </w:rPr>
      </w:pPr>
      <w:r>
        <w:rPr>
          <w:rFonts w:hint="eastAsia" w:ascii="宋体" w:hAnsi="宋体" w:cs="宋体"/>
          <w:color w:val="auto"/>
          <w:sz w:val="24"/>
          <w:highlight w:val="none"/>
          <w:u w:val="single"/>
        </w:rPr>
        <w:t>　｛投标人名称｝　</w:t>
      </w:r>
      <w:r>
        <w:rPr>
          <w:rFonts w:hint="eastAsia" w:ascii="宋体" w:hAnsi="宋体" w:cs="宋体"/>
          <w:color w:val="auto"/>
          <w:sz w:val="24"/>
          <w:highlight w:val="none"/>
        </w:rPr>
        <w:t>（盖章）</w:t>
      </w:r>
    </w:p>
    <w:p w14:paraId="5E848E02">
      <w:pPr>
        <w:spacing w:line="540" w:lineRule="exact"/>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p>
    <w:p w14:paraId="1D550AC6">
      <w:pPr>
        <w:spacing w:line="540" w:lineRule="exact"/>
        <w:rPr>
          <w:rFonts w:ascii="宋体" w:hAnsi="宋体" w:cs="宋体"/>
          <w:color w:val="auto"/>
          <w:sz w:val="24"/>
          <w:highlight w:val="none"/>
        </w:rPr>
      </w:pPr>
    </w:p>
    <w:p w14:paraId="3FD33E48">
      <w:pPr>
        <w:spacing w:line="540" w:lineRule="exact"/>
        <w:rPr>
          <w:rFonts w:ascii="宋体" w:hAnsi="宋体" w:cs="宋体"/>
          <w:color w:val="auto"/>
          <w:sz w:val="24"/>
          <w:highlight w:val="none"/>
        </w:rPr>
      </w:pPr>
    </w:p>
    <w:tbl>
      <w:tblPr>
        <w:tblStyle w:val="20"/>
        <w:tblW w:w="0" w:type="auto"/>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36AAB8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ign w:val="center"/>
          </w:tcPr>
          <w:p w14:paraId="43C5557F">
            <w:pPr>
              <w:jc w:val="center"/>
              <w:rPr>
                <w:rFonts w:ascii="宋体" w:hAnsi="宋体" w:cs="宋体"/>
                <w:color w:val="auto"/>
                <w:sz w:val="24"/>
                <w:highlight w:val="none"/>
              </w:rPr>
            </w:pPr>
            <w:r>
              <w:rPr>
                <w:rFonts w:hint="eastAsia" w:ascii="宋体" w:hAnsi="宋体" w:cs="宋体"/>
                <w:color w:val="auto"/>
                <w:sz w:val="24"/>
                <w:highlight w:val="none"/>
              </w:rPr>
              <w:t>法定代表人身份证复印件（正反面）粘贴处</w:t>
            </w:r>
          </w:p>
        </w:tc>
      </w:tr>
    </w:tbl>
    <w:p w14:paraId="34E061B1">
      <w:pPr>
        <w:rPr>
          <w:rFonts w:ascii="宋体" w:hAnsi="宋体" w:cs="宋体"/>
          <w:color w:val="auto"/>
          <w:sz w:val="24"/>
          <w:highlight w:val="none"/>
        </w:rPr>
      </w:pPr>
    </w:p>
    <w:p w14:paraId="19FE6BC8">
      <w:pPr>
        <w:rPr>
          <w:rFonts w:ascii="宋体" w:hAnsi="宋体" w:cs="宋体"/>
          <w:color w:val="auto"/>
          <w:sz w:val="24"/>
          <w:highlight w:val="none"/>
        </w:rPr>
      </w:pPr>
    </w:p>
    <w:p w14:paraId="44E48460">
      <w:pPr>
        <w:rPr>
          <w:rFonts w:ascii="宋体" w:hAnsi="宋体" w:cs="宋体"/>
          <w:color w:val="auto"/>
          <w:sz w:val="24"/>
          <w:highlight w:val="none"/>
        </w:rPr>
      </w:pPr>
    </w:p>
    <w:p w14:paraId="49F9FFEE">
      <w:pPr>
        <w:rPr>
          <w:rFonts w:ascii="宋体" w:hAnsi="宋体" w:cs="宋体"/>
          <w:color w:val="auto"/>
          <w:sz w:val="24"/>
          <w:highlight w:val="none"/>
        </w:rPr>
      </w:pPr>
    </w:p>
    <w:p w14:paraId="13EDACCD">
      <w:pPr>
        <w:rPr>
          <w:rFonts w:ascii="宋体" w:hAnsi="宋体" w:cs="宋体"/>
          <w:color w:val="auto"/>
          <w:sz w:val="24"/>
          <w:highlight w:val="none"/>
        </w:rPr>
      </w:pPr>
    </w:p>
    <w:p w14:paraId="1167E956">
      <w:pPr>
        <w:spacing w:line="360" w:lineRule="auto"/>
        <w:outlineLvl w:val="1"/>
        <w:rPr>
          <w:rFonts w:ascii="宋体" w:hAnsi="宋体" w:cs="宋体"/>
          <w:color w:val="auto"/>
          <w:sz w:val="24"/>
          <w:szCs w:val="24"/>
          <w:highlight w:val="none"/>
        </w:rPr>
      </w:pPr>
    </w:p>
    <w:p w14:paraId="744D4050">
      <w:pPr>
        <w:spacing w:line="360" w:lineRule="auto"/>
        <w:outlineLvl w:val="1"/>
        <w:rPr>
          <w:rFonts w:ascii="宋体" w:hAnsi="宋体" w:cs="宋体"/>
          <w:color w:val="auto"/>
          <w:sz w:val="24"/>
          <w:szCs w:val="24"/>
          <w:highlight w:val="none"/>
        </w:rPr>
      </w:pPr>
    </w:p>
    <w:p w14:paraId="38B42E3E">
      <w:pPr>
        <w:spacing w:line="360" w:lineRule="auto"/>
        <w:outlineLvl w:val="1"/>
        <w:rPr>
          <w:rFonts w:ascii="宋体" w:hAnsi="宋体" w:cs="宋体"/>
          <w:color w:val="auto"/>
          <w:sz w:val="24"/>
          <w:szCs w:val="24"/>
          <w:highlight w:val="none"/>
        </w:rPr>
      </w:pPr>
    </w:p>
    <w:p w14:paraId="38906EB7">
      <w:pPr>
        <w:ind w:firstLine="240" w:firstLineChars="100"/>
        <w:rPr>
          <w:rFonts w:ascii="宋体" w:hAnsi="宋体" w:cs="宋体"/>
          <w:color w:val="auto"/>
          <w:highlight w:val="none"/>
        </w:rPr>
      </w:pPr>
      <w:r>
        <w:rPr>
          <w:rFonts w:hint="eastAsia" w:ascii="宋体" w:hAnsi="宋体" w:cs="宋体"/>
          <w:color w:val="auto"/>
          <w:sz w:val="24"/>
          <w:highlight w:val="none"/>
        </w:rPr>
        <w:t>格式四</w:t>
      </w:r>
    </w:p>
    <w:p w14:paraId="5F44632C">
      <w:pPr>
        <w:jc w:val="center"/>
        <w:rPr>
          <w:rFonts w:ascii="宋体" w:hAnsi="宋体" w:cs="宋体"/>
          <w:b/>
          <w:bCs/>
          <w:color w:val="auto"/>
          <w:sz w:val="36"/>
          <w:highlight w:val="none"/>
        </w:rPr>
      </w:pPr>
      <w:r>
        <w:rPr>
          <w:rFonts w:hint="eastAsia" w:ascii="宋体" w:hAnsi="宋体" w:cs="宋体"/>
          <w:b/>
          <w:bCs/>
          <w:color w:val="auto"/>
          <w:sz w:val="36"/>
          <w:highlight w:val="none"/>
        </w:rPr>
        <w:t>法定代表人授权书</w:t>
      </w:r>
    </w:p>
    <w:p w14:paraId="6813E0E2">
      <w:pPr>
        <w:rPr>
          <w:rFonts w:ascii="宋体" w:hAnsi="宋体" w:cs="宋体"/>
          <w:color w:val="auto"/>
          <w:sz w:val="24"/>
          <w:highlight w:val="none"/>
        </w:rPr>
      </w:pPr>
    </w:p>
    <w:p w14:paraId="36FAD6C7">
      <w:pPr>
        <w:spacing w:line="440" w:lineRule="exact"/>
        <w:rPr>
          <w:rFonts w:ascii="宋体" w:hAnsi="宋体" w:cs="宋体"/>
          <w:color w:val="auto"/>
          <w:sz w:val="24"/>
          <w:highlight w:val="none"/>
        </w:rPr>
      </w:pPr>
      <w:r>
        <w:rPr>
          <w:rFonts w:hint="eastAsia" w:ascii="宋体" w:hAnsi="宋体" w:cs="宋体"/>
          <w:color w:val="auto"/>
          <w:sz w:val="24"/>
          <w:highlight w:val="none"/>
          <w:u w:val="single"/>
        </w:rPr>
        <w:t>（招标人）</w:t>
      </w:r>
      <w:r>
        <w:rPr>
          <w:rFonts w:hint="eastAsia" w:ascii="宋体" w:hAnsi="宋体" w:cs="宋体"/>
          <w:color w:val="auto"/>
          <w:sz w:val="24"/>
          <w:highlight w:val="none"/>
        </w:rPr>
        <w:t>：</w:t>
      </w:r>
    </w:p>
    <w:p w14:paraId="78D6324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为我公司全权代理人，身份证号码：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，以本公司的名义参加贵方组织的</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项目</w:t>
      </w:r>
      <w:bookmarkStart w:id="23" w:name="_GoBack"/>
      <w:bookmarkEnd w:id="23"/>
      <w:r>
        <w:rPr>
          <w:rFonts w:hint="eastAsia" w:ascii="宋体" w:hAnsi="宋体" w:cs="宋体"/>
          <w:color w:val="auto"/>
          <w:sz w:val="24"/>
          <w:highlight w:val="none"/>
          <w:u w:val="single"/>
        </w:rPr>
        <w:t xml:space="preserve">编号｝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的投标活动。代理人在开标、评标、合同谈判过程中所签署的一切文件和处理与之有关的一切事务，我均予以承认。</w:t>
      </w:r>
    </w:p>
    <w:p w14:paraId="7E13AE4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代理人无转委权，特此委托。</w:t>
      </w:r>
    </w:p>
    <w:p w14:paraId="2A77BE42">
      <w:pPr>
        <w:spacing w:line="440" w:lineRule="exact"/>
        <w:rPr>
          <w:rFonts w:ascii="宋体" w:hAnsi="宋体" w:cs="宋体"/>
          <w:color w:val="auto"/>
          <w:sz w:val="24"/>
          <w:highlight w:val="none"/>
        </w:rPr>
      </w:pPr>
    </w:p>
    <w:p w14:paraId="512B073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4062F020">
      <w:pPr>
        <w:spacing w:line="440" w:lineRule="exact"/>
        <w:rPr>
          <w:rFonts w:ascii="宋体" w:hAnsi="宋体" w:cs="宋体"/>
          <w:color w:val="auto"/>
          <w:sz w:val="24"/>
          <w:highlight w:val="none"/>
        </w:rPr>
      </w:pPr>
    </w:p>
    <w:p w14:paraId="5F382D8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代理人（签字或盖章）：</w:t>
      </w:r>
    </w:p>
    <w:p w14:paraId="16FE726E">
      <w:pPr>
        <w:spacing w:line="440" w:lineRule="exact"/>
        <w:ind w:firstLine="480" w:firstLineChars="200"/>
        <w:rPr>
          <w:rFonts w:ascii="宋体" w:hAnsi="宋体" w:cs="宋体"/>
          <w:color w:val="auto"/>
          <w:sz w:val="24"/>
          <w:highlight w:val="none"/>
        </w:rPr>
      </w:pPr>
    </w:p>
    <w:p w14:paraId="5AB319E0">
      <w:pPr>
        <w:spacing w:line="440" w:lineRule="exact"/>
        <w:ind w:firstLine="4200" w:firstLineChars="1750"/>
        <w:rPr>
          <w:rFonts w:ascii="宋体" w:hAnsi="宋体" w:cs="宋体"/>
          <w:color w:val="auto"/>
          <w:sz w:val="24"/>
          <w:highlight w:val="none"/>
        </w:rPr>
      </w:pPr>
      <w:r>
        <w:rPr>
          <w:rFonts w:hint="eastAsia" w:ascii="宋体" w:hAnsi="宋体" w:cs="宋体"/>
          <w:color w:val="auto"/>
          <w:sz w:val="24"/>
          <w:highlight w:val="none"/>
          <w:u w:val="single"/>
        </w:rPr>
        <w:t>　｛投标人名称｝　</w:t>
      </w:r>
      <w:r>
        <w:rPr>
          <w:rFonts w:hint="eastAsia" w:ascii="宋体" w:hAnsi="宋体" w:cs="宋体"/>
          <w:color w:val="auto"/>
          <w:sz w:val="24"/>
          <w:highlight w:val="none"/>
        </w:rPr>
        <w:t>（盖章）</w:t>
      </w:r>
    </w:p>
    <w:p w14:paraId="27F7D94D">
      <w:pPr>
        <w:spacing w:line="440" w:lineRule="exact"/>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p>
    <w:p w14:paraId="39562802">
      <w:pPr>
        <w:spacing w:line="540" w:lineRule="exact"/>
        <w:rPr>
          <w:rFonts w:ascii="宋体" w:hAnsi="宋体" w:cs="宋体"/>
          <w:color w:val="auto"/>
          <w:sz w:val="24"/>
          <w:highlight w:val="none"/>
        </w:rPr>
      </w:pPr>
    </w:p>
    <w:tbl>
      <w:tblPr>
        <w:tblStyle w:val="20"/>
        <w:tblpPr w:leftFromText="180" w:rightFromText="180" w:vertAnchor="text" w:horzAnchor="margin" w:tblpXSpec="center" w:tblpY="18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4AD550B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ign w:val="center"/>
          </w:tcPr>
          <w:p w14:paraId="486FB11D">
            <w:pPr>
              <w:rPr>
                <w:rFonts w:ascii="宋体" w:hAnsi="宋体" w:cs="宋体"/>
                <w:color w:val="auto"/>
                <w:sz w:val="24"/>
                <w:highlight w:val="none"/>
              </w:rPr>
            </w:pPr>
            <w:r>
              <w:rPr>
                <w:rFonts w:hint="eastAsia" w:ascii="宋体" w:hAnsi="宋体" w:cs="宋体"/>
                <w:color w:val="auto"/>
                <w:sz w:val="24"/>
                <w:highlight w:val="none"/>
              </w:rPr>
              <w:t>代理人身份证复印件（正反面）粘贴处</w:t>
            </w:r>
          </w:p>
        </w:tc>
      </w:tr>
    </w:tbl>
    <w:p w14:paraId="3D9BFCF2">
      <w:pPr>
        <w:rPr>
          <w:rFonts w:ascii="宋体" w:hAnsi="宋体" w:cs="宋体"/>
          <w:color w:val="auto"/>
          <w:highlight w:val="none"/>
        </w:rPr>
      </w:pPr>
    </w:p>
    <w:p w14:paraId="18757D90">
      <w:pPr>
        <w:rPr>
          <w:rFonts w:ascii="宋体" w:hAnsi="宋体" w:cs="宋体"/>
          <w:color w:val="auto"/>
          <w:highlight w:val="none"/>
        </w:rPr>
      </w:pPr>
    </w:p>
    <w:p w14:paraId="5D1753E9">
      <w:pPr>
        <w:rPr>
          <w:rFonts w:ascii="宋体" w:hAnsi="宋体" w:cs="宋体"/>
          <w:color w:val="auto"/>
          <w:highlight w:val="none"/>
        </w:rPr>
      </w:pPr>
    </w:p>
    <w:p w14:paraId="25F824F7">
      <w:pPr>
        <w:rPr>
          <w:rFonts w:ascii="宋体" w:hAnsi="宋体" w:cs="宋体"/>
          <w:color w:val="auto"/>
          <w:highlight w:val="none"/>
        </w:rPr>
      </w:pPr>
    </w:p>
    <w:p w14:paraId="66A97C88">
      <w:pPr>
        <w:rPr>
          <w:rFonts w:ascii="宋体" w:hAnsi="宋体" w:cs="宋体"/>
          <w:color w:val="auto"/>
          <w:highlight w:val="none"/>
        </w:rPr>
      </w:pPr>
    </w:p>
    <w:p w14:paraId="45C73AD7">
      <w:pPr>
        <w:rPr>
          <w:rFonts w:ascii="宋体" w:hAnsi="宋体" w:cs="宋体"/>
          <w:color w:val="auto"/>
          <w:highlight w:val="none"/>
        </w:rPr>
      </w:pPr>
    </w:p>
    <w:p w14:paraId="0B9C0A11">
      <w:pPr>
        <w:rPr>
          <w:rFonts w:ascii="宋体" w:hAnsi="宋体" w:cs="宋体"/>
          <w:color w:val="auto"/>
          <w:highlight w:val="none"/>
        </w:rPr>
      </w:pPr>
    </w:p>
    <w:p w14:paraId="634F556F">
      <w:pPr>
        <w:rPr>
          <w:rFonts w:ascii="宋体" w:hAnsi="宋体" w:cs="宋体"/>
          <w:color w:val="auto"/>
          <w:highlight w:val="none"/>
        </w:rPr>
      </w:pPr>
    </w:p>
    <w:p w14:paraId="42A13382">
      <w:pPr>
        <w:rPr>
          <w:rFonts w:ascii="宋体" w:hAnsi="宋体" w:cs="宋体"/>
          <w:color w:val="auto"/>
          <w:highlight w:val="none"/>
        </w:rPr>
      </w:pPr>
    </w:p>
    <w:p w14:paraId="33971572">
      <w:pPr>
        <w:rPr>
          <w:rFonts w:ascii="宋体" w:hAnsi="宋体" w:cs="宋体"/>
          <w:color w:val="auto"/>
          <w:highlight w:val="none"/>
        </w:rPr>
      </w:pPr>
    </w:p>
    <w:p w14:paraId="613A2042">
      <w:pPr>
        <w:rPr>
          <w:rFonts w:ascii="宋体" w:hAnsi="宋体" w:cs="宋体"/>
          <w:color w:val="auto"/>
          <w:highlight w:val="none"/>
        </w:rPr>
      </w:pPr>
    </w:p>
    <w:p w14:paraId="67DCA907">
      <w:pPr>
        <w:rPr>
          <w:rFonts w:ascii="宋体" w:hAnsi="宋体" w:cs="宋体"/>
          <w:color w:val="auto"/>
          <w:highlight w:val="none"/>
        </w:rPr>
      </w:pPr>
    </w:p>
    <w:p w14:paraId="41529052">
      <w:pPr>
        <w:rPr>
          <w:rFonts w:hint="eastAsia" w:ascii="宋体" w:hAnsi="宋体" w:cs="宋体"/>
          <w:color w:val="auto"/>
          <w:sz w:val="24"/>
          <w:highlight w:val="none"/>
        </w:rPr>
      </w:pPr>
    </w:p>
    <w:p w14:paraId="402D12B0">
      <w:pPr>
        <w:ind w:firstLine="240" w:firstLineChars="100"/>
        <w:rPr>
          <w:rFonts w:hint="eastAsia" w:ascii="宋体" w:hAnsi="宋体" w:cs="宋体"/>
          <w:color w:val="auto"/>
          <w:sz w:val="24"/>
          <w:highlight w:val="none"/>
        </w:rPr>
      </w:pPr>
    </w:p>
    <w:p w14:paraId="21E867AC">
      <w:pPr>
        <w:ind w:firstLine="240" w:firstLineChars="100"/>
        <w:rPr>
          <w:rFonts w:hint="eastAsia" w:ascii="宋体" w:hAnsi="宋体" w:cs="宋体"/>
          <w:color w:val="auto"/>
          <w:sz w:val="24"/>
          <w:highlight w:val="none"/>
        </w:rPr>
      </w:pPr>
    </w:p>
    <w:p w14:paraId="73FFE540">
      <w:pPr>
        <w:ind w:firstLine="240" w:firstLineChars="100"/>
        <w:rPr>
          <w:rFonts w:hint="eastAsia" w:ascii="宋体" w:hAnsi="宋体" w:cs="宋体"/>
          <w:color w:val="auto"/>
          <w:sz w:val="24"/>
          <w:highlight w:val="none"/>
        </w:rPr>
      </w:pPr>
    </w:p>
    <w:p w14:paraId="654DDC22">
      <w:pPr>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格式五 </w:t>
      </w:r>
    </w:p>
    <w:p w14:paraId="310DB061">
      <w:pPr>
        <w:ind w:firstLine="2530" w:firstLineChars="700"/>
        <w:outlineLvl w:val="0"/>
        <w:rPr>
          <w:rFonts w:ascii="宋体" w:hAnsi="宋体" w:cs="宋体"/>
          <w:b/>
          <w:color w:val="auto"/>
          <w:sz w:val="36"/>
          <w:szCs w:val="36"/>
          <w:highlight w:val="none"/>
          <w:lang w:val="zh-CN"/>
        </w:rPr>
      </w:pPr>
      <w:r>
        <w:rPr>
          <w:rFonts w:hint="eastAsia" w:ascii="宋体" w:hAnsi="宋体" w:cs="宋体"/>
          <w:b/>
          <w:color w:val="auto"/>
          <w:sz w:val="36"/>
          <w:szCs w:val="36"/>
          <w:highlight w:val="none"/>
        </w:rPr>
        <w:t xml:space="preserve"> 五 、</w:t>
      </w:r>
      <w:r>
        <w:rPr>
          <w:rFonts w:hint="eastAsia" w:ascii="宋体" w:hAnsi="宋体" w:cs="宋体"/>
          <w:b/>
          <w:color w:val="auto"/>
          <w:sz w:val="36"/>
          <w:szCs w:val="36"/>
          <w:highlight w:val="none"/>
          <w:lang w:val="zh-CN"/>
        </w:rPr>
        <w:t>投标人基本情况表</w:t>
      </w:r>
    </w:p>
    <w:p w14:paraId="5CA85AE7">
      <w:pPr>
        <w:ind w:left="420"/>
        <w:jc w:val="center"/>
        <w:outlineLvl w:val="0"/>
        <w:rPr>
          <w:rFonts w:ascii="宋体" w:hAnsi="宋体" w:cs="宋体"/>
          <w:b/>
          <w:color w:val="auto"/>
          <w:sz w:val="24"/>
          <w:highlight w:val="none"/>
        </w:rPr>
      </w:pPr>
      <w:r>
        <w:rPr>
          <w:rFonts w:hint="eastAsia" w:ascii="宋体" w:hAnsi="宋体" w:cs="宋体"/>
          <w:color w:val="auto"/>
          <w:sz w:val="24"/>
          <w:highlight w:val="none"/>
        </w:rPr>
        <w:t>（由投标人自行编制）</w:t>
      </w:r>
    </w:p>
    <w:p w14:paraId="04189775">
      <w:pPr>
        <w:ind w:left="420"/>
        <w:outlineLvl w:val="0"/>
        <w:rPr>
          <w:rFonts w:ascii="宋体" w:hAnsi="宋体" w:cs="宋体"/>
          <w:b/>
          <w:color w:val="auto"/>
          <w:sz w:val="24"/>
          <w:highlight w:val="none"/>
        </w:rPr>
      </w:pPr>
      <w:r>
        <w:rPr>
          <w:rFonts w:hint="eastAsia" w:ascii="宋体" w:hAnsi="宋体" w:cs="宋体"/>
          <w:b/>
          <w:color w:val="auto"/>
          <w:sz w:val="24"/>
          <w:highlight w:val="none"/>
        </w:rPr>
        <w:t>附表: 投标人信息</w:t>
      </w:r>
    </w:p>
    <w:tbl>
      <w:tblPr>
        <w:tblStyle w:val="2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370"/>
        <w:gridCol w:w="610"/>
        <w:gridCol w:w="1372"/>
        <w:gridCol w:w="608"/>
        <w:gridCol w:w="1523"/>
        <w:gridCol w:w="153"/>
        <w:gridCol w:w="2285"/>
      </w:tblGrid>
      <w:tr w14:paraId="4899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77" w:type="dxa"/>
            <w:noWrap/>
            <w:vAlign w:val="center"/>
          </w:tcPr>
          <w:p w14:paraId="12482BC0">
            <w:pPr>
              <w:jc w:val="center"/>
              <w:rPr>
                <w:rFonts w:ascii="宋体" w:hAnsi="宋体" w:cs="宋体"/>
                <w:color w:val="auto"/>
                <w:sz w:val="24"/>
                <w:highlight w:val="none"/>
              </w:rPr>
            </w:pPr>
            <w:r>
              <w:rPr>
                <w:rFonts w:hint="eastAsia" w:ascii="宋体" w:hAnsi="宋体" w:cs="宋体"/>
                <w:color w:val="auto"/>
                <w:sz w:val="24"/>
                <w:highlight w:val="none"/>
              </w:rPr>
              <w:t>单位名称</w:t>
            </w:r>
          </w:p>
        </w:tc>
        <w:tc>
          <w:tcPr>
            <w:tcW w:w="3352" w:type="dxa"/>
            <w:gridSpan w:val="3"/>
            <w:noWrap/>
            <w:vAlign w:val="center"/>
          </w:tcPr>
          <w:p w14:paraId="3D9ECA32">
            <w:pPr>
              <w:jc w:val="center"/>
              <w:rPr>
                <w:rFonts w:ascii="宋体" w:hAnsi="宋体" w:cs="宋体"/>
                <w:color w:val="auto"/>
                <w:sz w:val="24"/>
                <w:highlight w:val="none"/>
              </w:rPr>
            </w:pPr>
          </w:p>
        </w:tc>
        <w:tc>
          <w:tcPr>
            <w:tcW w:w="2131" w:type="dxa"/>
            <w:gridSpan w:val="2"/>
            <w:noWrap/>
            <w:vAlign w:val="center"/>
          </w:tcPr>
          <w:p w14:paraId="4195F07C">
            <w:pPr>
              <w:jc w:val="center"/>
              <w:rPr>
                <w:rFonts w:ascii="宋体" w:hAnsi="宋体" w:cs="宋体"/>
                <w:color w:val="auto"/>
                <w:sz w:val="24"/>
                <w:highlight w:val="none"/>
              </w:rPr>
            </w:pPr>
            <w:r>
              <w:rPr>
                <w:rFonts w:hint="eastAsia" w:ascii="宋体" w:hAnsi="宋体" w:cs="宋体"/>
                <w:color w:val="auto"/>
                <w:sz w:val="24"/>
                <w:highlight w:val="none"/>
              </w:rPr>
              <w:t>法定代表人（负责人）</w:t>
            </w:r>
          </w:p>
        </w:tc>
        <w:tc>
          <w:tcPr>
            <w:tcW w:w="2438" w:type="dxa"/>
            <w:gridSpan w:val="2"/>
            <w:noWrap/>
            <w:vAlign w:val="center"/>
          </w:tcPr>
          <w:p w14:paraId="5D23128E">
            <w:pPr>
              <w:jc w:val="center"/>
              <w:rPr>
                <w:rFonts w:ascii="宋体" w:hAnsi="宋体" w:cs="宋体"/>
                <w:color w:val="auto"/>
                <w:sz w:val="24"/>
                <w:highlight w:val="none"/>
              </w:rPr>
            </w:pPr>
          </w:p>
        </w:tc>
      </w:tr>
      <w:tr w14:paraId="6EAC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noWrap/>
            <w:vAlign w:val="center"/>
          </w:tcPr>
          <w:p w14:paraId="006D7FBF">
            <w:pPr>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352" w:type="dxa"/>
            <w:gridSpan w:val="3"/>
            <w:noWrap/>
            <w:vAlign w:val="center"/>
          </w:tcPr>
          <w:p w14:paraId="7359DAC9">
            <w:pPr>
              <w:jc w:val="center"/>
              <w:rPr>
                <w:rFonts w:ascii="宋体" w:hAnsi="宋体" w:cs="宋体"/>
                <w:color w:val="auto"/>
                <w:sz w:val="24"/>
                <w:highlight w:val="none"/>
              </w:rPr>
            </w:pPr>
          </w:p>
        </w:tc>
        <w:tc>
          <w:tcPr>
            <w:tcW w:w="2131" w:type="dxa"/>
            <w:gridSpan w:val="2"/>
            <w:noWrap/>
            <w:vAlign w:val="center"/>
          </w:tcPr>
          <w:p w14:paraId="67900FB7">
            <w:pPr>
              <w:jc w:val="center"/>
              <w:rPr>
                <w:rFonts w:ascii="宋体" w:hAnsi="宋体" w:cs="宋体"/>
                <w:color w:val="auto"/>
                <w:sz w:val="24"/>
                <w:highlight w:val="none"/>
              </w:rPr>
            </w:pPr>
            <w:r>
              <w:rPr>
                <w:rFonts w:hint="eastAsia" w:ascii="宋体" w:hAnsi="宋体" w:cs="宋体"/>
                <w:color w:val="auto"/>
                <w:sz w:val="24"/>
                <w:highlight w:val="none"/>
              </w:rPr>
              <w:t>股东人数</w:t>
            </w:r>
          </w:p>
        </w:tc>
        <w:tc>
          <w:tcPr>
            <w:tcW w:w="2438" w:type="dxa"/>
            <w:gridSpan w:val="2"/>
            <w:noWrap/>
            <w:vAlign w:val="center"/>
          </w:tcPr>
          <w:p w14:paraId="51F57E44">
            <w:pPr>
              <w:jc w:val="center"/>
              <w:rPr>
                <w:rFonts w:ascii="宋体" w:hAnsi="宋体" w:cs="宋体"/>
                <w:color w:val="auto"/>
                <w:sz w:val="24"/>
                <w:highlight w:val="none"/>
              </w:rPr>
            </w:pPr>
          </w:p>
        </w:tc>
      </w:tr>
      <w:tr w14:paraId="14A7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noWrap/>
            <w:vAlign w:val="center"/>
          </w:tcPr>
          <w:p w14:paraId="45EB771B">
            <w:pPr>
              <w:jc w:val="center"/>
              <w:rPr>
                <w:rFonts w:ascii="宋体" w:hAnsi="宋体" w:cs="宋体"/>
                <w:color w:val="auto"/>
                <w:sz w:val="24"/>
                <w:highlight w:val="none"/>
              </w:rPr>
            </w:pPr>
            <w:r>
              <w:rPr>
                <w:rFonts w:hint="eastAsia" w:ascii="宋体" w:hAnsi="宋体" w:cs="宋体"/>
                <w:color w:val="auto"/>
                <w:sz w:val="24"/>
                <w:highlight w:val="none"/>
              </w:rPr>
              <w:t>注册时间</w:t>
            </w:r>
          </w:p>
        </w:tc>
        <w:tc>
          <w:tcPr>
            <w:tcW w:w="3352" w:type="dxa"/>
            <w:gridSpan w:val="3"/>
            <w:noWrap/>
            <w:vAlign w:val="center"/>
          </w:tcPr>
          <w:p w14:paraId="0459F305">
            <w:pPr>
              <w:jc w:val="center"/>
              <w:rPr>
                <w:rFonts w:ascii="宋体" w:hAnsi="宋体" w:cs="宋体"/>
                <w:color w:val="auto"/>
                <w:sz w:val="24"/>
                <w:highlight w:val="none"/>
              </w:rPr>
            </w:pPr>
          </w:p>
        </w:tc>
        <w:tc>
          <w:tcPr>
            <w:tcW w:w="2131" w:type="dxa"/>
            <w:gridSpan w:val="2"/>
            <w:noWrap/>
            <w:vAlign w:val="center"/>
          </w:tcPr>
          <w:p w14:paraId="2F718B92">
            <w:pPr>
              <w:jc w:val="center"/>
              <w:rPr>
                <w:rFonts w:ascii="宋体" w:hAnsi="宋体" w:cs="宋体"/>
                <w:color w:val="auto"/>
                <w:sz w:val="24"/>
                <w:highlight w:val="none"/>
              </w:rPr>
            </w:pPr>
            <w:r>
              <w:rPr>
                <w:rFonts w:hint="eastAsia" w:ascii="宋体" w:hAnsi="宋体" w:cs="宋体"/>
                <w:color w:val="auto"/>
                <w:sz w:val="24"/>
                <w:highlight w:val="none"/>
              </w:rPr>
              <w:t>办公地址</w:t>
            </w:r>
          </w:p>
        </w:tc>
        <w:tc>
          <w:tcPr>
            <w:tcW w:w="2438" w:type="dxa"/>
            <w:gridSpan w:val="2"/>
            <w:noWrap/>
            <w:vAlign w:val="center"/>
          </w:tcPr>
          <w:p w14:paraId="24E8EDC7">
            <w:pPr>
              <w:jc w:val="center"/>
              <w:rPr>
                <w:rFonts w:ascii="宋体" w:hAnsi="宋体" w:cs="宋体"/>
                <w:color w:val="auto"/>
                <w:sz w:val="24"/>
                <w:highlight w:val="none"/>
              </w:rPr>
            </w:pPr>
          </w:p>
        </w:tc>
      </w:tr>
      <w:tr w14:paraId="1E61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noWrap/>
            <w:vAlign w:val="center"/>
          </w:tcPr>
          <w:p w14:paraId="5BD18005">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3352" w:type="dxa"/>
            <w:gridSpan w:val="3"/>
            <w:noWrap/>
            <w:vAlign w:val="center"/>
          </w:tcPr>
          <w:p w14:paraId="1A47CFC3">
            <w:pPr>
              <w:jc w:val="center"/>
              <w:rPr>
                <w:rFonts w:ascii="宋体" w:hAnsi="宋体" w:cs="宋体"/>
                <w:color w:val="auto"/>
                <w:sz w:val="24"/>
                <w:highlight w:val="none"/>
              </w:rPr>
            </w:pPr>
          </w:p>
        </w:tc>
        <w:tc>
          <w:tcPr>
            <w:tcW w:w="2131" w:type="dxa"/>
            <w:gridSpan w:val="2"/>
            <w:noWrap/>
            <w:vAlign w:val="center"/>
          </w:tcPr>
          <w:p w14:paraId="4F3CDBF7">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438" w:type="dxa"/>
            <w:gridSpan w:val="2"/>
            <w:noWrap/>
            <w:vAlign w:val="center"/>
          </w:tcPr>
          <w:p w14:paraId="31F79BFF">
            <w:pPr>
              <w:jc w:val="center"/>
              <w:rPr>
                <w:rFonts w:ascii="宋体" w:hAnsi="宋体" w:cs="宋体"/>
                <w:color w:val="auto"/>
                <w:sz w:val="24"/>
                <w:highlight w:val="none"/>
              </w:rPr>
            </w:pPr>
          </w:p>
        </w:tc>
      </w:tr>
      <w:tr w14:paraId="0F26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77" w:type="dxa"/>
            <w:noWrap/>
            <w:vAlign w:val="center"/>
          </w:tcPr>
          <w:p w14:paraId="522276A2">
            <w:pPr>
              <w:jc w:val="center"/>
              <w:rPr>
                <w:rFonts w:ascii="宋体" w:hAnsi="宋体" w:cs="宋体"/>
                <w:color w:val="auto"/>
                <w:sz w:val="24"/>
                <w:highlight w:val="none"/>
              </w:rPr>
            </w:pPr>
            <w:r>
              <w:rPr>
                <w:rFonts w:hint="eastAsia" w:ascii="宋体" w:hAnsi="宋体" w:cs="宋体"/>
                <w:color w:val="auto"/>
                <w:sz w:val="24"/>
                <w:highlight w:val="none"/>
              </w:rPr>
              <w:t>开户银行名称</w:t>
            </w:r>
          </w:p>
        </w:tc>
        <w:tc>
          <w:tcPr>
            <w:tcW w:w="3352" w:type="dxa"/>
            <w:gridSpan w:val="3"/>
            <w:noWrap/>
            <w:vAlign w:val="center"/>
          </w:tcPr>
          <w:p w14:paraId="29EE72EC">
            <w:pPr>
              <w:jc w:val="center"/>
              <w:rPr>
                <w:rFonts w:ascii="宋体" w:hAnsi="宋体" w:cs="宋体"/>
                <w:color w:val="auto"/>
                <w:sz w:val="24"/>
                <w:highlight w:val="none"/>
              </w:rPr>
            </w:pPr>
          </w:p>
        </w:tc>
        <w:tc>
          <w:tcPr>
            <w:tcW w:w="2131" w:type="dxa"/>
            <w:gridSpan w:val="2"/>
            <w:noWrap/>
            <w:vAlign w:val="center"/>
          </w:tcPr>
          <w:p w14:paraId="2A8682DE">
            <w:pPr>
              <w:jc w:val="center"/>
              <w:rPr>
                <w:rFonts w:ascii="宋体" w:hAnsi="宋体" w:cs="宋体"/>
                <w:color w:val="auto"/>
                <w:sz w:val="24"/>
                <w:highlight w:val="none"/>
              </w:rPr>
            </w:pPr>
            <w:r>
              <w:rPr>
                <w:rFonts w:hint="eastAsia" w:ascii="宋体" w:hAnsi="宋体" w:cs="宋体"/>
                <w:color w:val="auto"/>
                <w:sz w:val="24"/>
                <w:highlight w:val="none"/>
              </w:rPr>
              <w:t>开户银行地址</w:t>
            </w:r>
          </w:p>
        </w:tc>
        <w:tc>
          <w:tcPr>
            <w:tcW w:w="2438" w:type="dxa"/>
            <w:gridSpan w:val="2"/>
            <w:noWrap/>
            <w:vAlign w:val="center"/>
          </w:tcPr>
          <w:p w14:paraId="408C4430">
            <w:pPr>
              <w:jc w:val="center"/>
              <w:rPr>
                <w:rFonts w:ascii="宋体" w:hAnsi="宋体" w:cs="宋体"/>
                <w:color w:val="auto"/>
                <w:sz w:val="24"/>
                <w:highlight w:val="none"/>
              </w:rPr>
            </w:pPr>
          </w:p>
        </w:tc>
      </w:tr>
      <w:tr w14:paraId="20BC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vMerge w:val="restart"/>
            <w:noWrap/>
            <w:vAlign w:val="center"/>
          </w:tcPr>
          <w:p w14:paraId="7D5FABC2">
            <w:pP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1980" w:type="dxa"/>
            <w:gridSpan w:val="2"/>
            <w:tcBorders>
              <w:right w:val="single" w:color="auto" w:sz="4" w:space="0"/>
            </w:tcBorders>
            <w:noWrap/>
            <w:vAlign w:val="center"/>
          </w:tcPr>
          <w:p w14:paraId="02660690">
            <w:pPr>
              <w:jc w:val="center"/>
              <w:rPr>
                <w:rFonts w:ascii="宋体" w:hAnsi="宋体" w:cs="宋体"/>
                <w:color w:val="auto"/>
                <w:sz w:val="24"/>
                <w:highlight w:val="none"/>
              </w:rPr>
            </w:pPr>
            <w:r>
              <w:rPr>
                <w:rFonts w:hint="eastAsia" w:ascii="宋体" w:hAnsi="宋体" w:cs="宋体"/>
                <w:color w:val="auto"/>
                <w:sz w:val="24"/>
                <w:highlight w:val="none"/>
              </w:rPr>
              <w:t>总人数</w:t>
            </w:r>
          </w:p>
        </w:tc>
        <w:tc>
          <w:tcPr>
            <w:tcW w:w="1372" w:type="dxa"/>
            <w:tcBorders>
              <w:left w:val="single" w:color="auto" w:sz="4" w:space="0"/>
            </w:tcBorders>
            <w:noWrap/>
            <w:vAlign w:val="center"/>
          </w:tcPr>
          <w:p w14:paraId="5149EF22">
            <w:pPr>
              <w:jc w:val="right"/>
              <w:rPr>
                <w:rFonts w:ascii="宋体" w:hAnsi="宋体" w:cs="宋体"/>
                <w:color w:val="auto"/>
                <w:sz w:val="24"/>
                <w:highlight w:val="none"/>
              </w:rPr>
            </w:pPr>
            <w:r>
              <w:rPr>
                <w:rFonts w:hint="eastAsia" w:ascii="宋体" w:hAnsi="宋体" w:cs="宋体"/>
                <w:color w:val="auto"/>
                <w:sz w:val="24"/>
                <w:highlight w:val="none"/>
              </w:rPr>
              <w:t>人</w:t>
            </w:r>
          </w:p>
        </w:tc>
        <w:tc>
          <w:tcPr>
            <w:tcW w:w="2131" w:type="dxa"/>
            <w:gridSpan w:val="2"/>
            <w:noWrap/>
            <w:vAlign w:val="center"/>
          </w:tcPr>
          <w:p w14:paraId="6E33E333">
            <w:pPr>
              <w:jc w:val="center"/>
              <w:rPr>
                <w:rFonts w:ascii="宋体" w:hAnsi="宋体" w:cs="宋体"/>
                <w:color w:val="auto"/>
                <w:sz w:val="24"/>
                <w:highlight w:val="none"/>
              </w:rPr>
            </w:pPr>
            <w:r>
              <w:rPr>
                <w:rFonts w:hint="eastAsia" w:ascii="宋体" w:hAnsi="宋体" w:cs="宋体"/>
                <w:color w:val="auto"/>
                <w:sz w:val="24"/>
                <w:highlight w:val="none"/>
              </w:rPr>
              <w:t>管理人员数量</w:t>
            </w:r>
          </w:p>
        </w:tc>
        <w:tc>
          <w:tcPr>
            <w:tcW w:w="2438" w:type="dxa"/>
            <w:gridSpan w:val="2"/>
            <w:noWrap/>
            <w:vAlign w:val="center"/>
          </w:tcPr>
          <w:p w14:paraId="2D4A2A07">
            <w:pPr>
              <w:jc w:val="right"/>
              <w:rPr>
                <w:rFonts w:ascii="宋体" w:hAnsi="宋体" w:cs="宋体"/>
                <w:color w:val="auto"/>
                <w:sz w:val="24"/>
                <w:highlight w:val="none"/>
              </w:rPr>
            </w:pPr>
            <w:r>
              <w:rPr>
                <w:rFonts w:hint="eastAsia" w:ascii="宋体" w:hAnsi="宋体" w:cs="宋体"/>
                <w:color w:val="auto"/>
                <w:sz w:val="24"/>
                <w:highlight w:val="none"/>
              </w:rPr>
              <w:t>人</w:t>
            </w:r>
          </w:p>
        </w:tc>
      </w:tr>
      <w:tr w14:paraId="56B3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77" w:type="dxa"/>
            <w:vMerge w:val="continue"/>
            <w:noWrap/>
            <w:vAlign w:val="center"/>
          </w:tcPr>
          <w:p w14:paraId="2499C819">
            <w:pPr>
              <w:jc w:val="center"/>
              <w:rPr>
                <w:rFonts w:ascii="宋体" w:hAnsi="宋体" w:cs="宋体"/>
                <w:color w:val="auto"/>
                <w:sz w:val="24"/>
                <w:highlight w:val="none"/>
              </w:rPr>
            </w:pPr>
          </w:p>
        </w:tc>
        <w:tc>
          <w:tcPr>
            <w:tcW w:w="1980" w:type="dxa"/>
            <w:gridSpan w:val="2"/>
            <w:tcBorders>
              <w:right w:val="single" w:color="auto" w:sz="4" w:space="0"/>
            </w:tcBorders>
            <w:noWrap/>
            <w:vAlign w:val="center"/>
          </w:tcPr>
          <w:p w14:paraId="023650C7">
            <w:pPr>
              <w:jc w:val="center"/>
              <w:rPr>
                <w:rFonts w:ascii="宋体" w:hAnsi="宋体" w:cs="宋体"/>
                <w:color w:val="auto"/>
                <w:sz w:val="24"/>
                <w:highlight w:val="none"/>
              </w:rPr>
            </w:pPr>
            <w:r>
              <w:rPr>
                <w:rFonts w:hint="eastAsia" w:ascii="宋体" w:hAnsi="宋体" w:cs="宋体"/>
                <w:color w:val="auto"/>
                <w:sz w:val="24"/>
                <w:highlight w:val="none"/>
              </w:rPr>
              <w:t>工程师人数</w:t>
            </w:r>
          </w:p>
        </w:tc>
        <w:tc>
          <w:tcPr>
            <w:tcW w:w="1372" w:type="dxa"/>
            <w:tcBorders>
              <w:left w:val="single" w:color="auto" w:sz="4" w:space="0"/>
            </w:tcBorders>
            <w:noWrap/>
            <w:vAlign w:val="center"/>
          </w:tcPr>
          <w:p w14:paraId="18A4057F">
            <w:pPr>
              <w:jc w:val="right"/>
              <w:rPr>
                <w:rFonts w:ascii="宋体" w:hAnsi="宋体" w:cs="宋体"/>
                <w:color w:val="auto"/>
                <w:sz w:val="24"/>
                <w:highlight w:val="none"/>
              </w:rPr>
            </w:pPr>
            <w:r>
              <w:rPr>
                <w:rFonts w:hint="eastAsia" w:ascii="宋体" w:hAnsi="宋体" w:cs="宋体"/>
                <w:color w:val="auto"/>
                <w:sz w:val="24"/>
                <w:highlight w:val="none"/>
              </w:rPr>
              <w:t>人</w:t>
            </w:r>
          </w:p>
        </w:tc>
        <w:tc>
          <w:tcPr>
            <w:tcW w:w="2131" w:type="dxa"/>
            <w:gridSpan w:val="2"/>
            <w:noWrap/>
            <w:vAlign w:val="center"/>
          </w:tcPr>
          <w:p w14:paraId="6798AE0B">
            <w:pPr>
              <w:jc w:val="center"/>
              <w:rPr>
                <w:rFonts w:ascii="宋体" w:hAnsi="宋体" w:cs="宋体"/>
                <w:color w:val="auto"/>
                <w:sz w:val="24"/>
                <w:highlight w:val="none"/>
              </w:rPr>
            </w:pPr>
            <w:r>
              <w:rPr>
                <w:rFonts w:hint="eastAsia" w:ascii="宋体" w:hAnsi="宋体" w:cs="宋体"/>
                <w:color w:val="auto"/>
                <w:sz w:val="24"/>
                <w:highlight w:val="none"/>
              </w:rPr>
              <w:t>其他专业人员数量</w:t>
            </w:r>
          </w:p>
        </w:tc>
        <w:tc>
          <w:tcPr>
            <w:tcW w:w="2438" w:type="dxa"/>
            <w:gridSpan w:val="2"/>
            <w:noWrap/>
            <w:vAlign w:val="center"/>
          </w:tcPr>
          <w:p w14:paraId="75EAA080">
            <w:pPr>
              <w:jc w:val="right"/>
              <w:rPr>
                <w:rFonts w:ascii="宋体" w:hAnsi="宋体" w:cs="宋体"/>
                <w:color w:val="auto"/>
                <w:sz w:val="24"/>
                <w:highlight w:val="none"/>
              </w:rPr>
            </w:pPr>
            <w:r>
              <w:rPr>
                <w:rFonts w:hint="eastAsia" w:ascii="宋体" w:hAnsi="宋体" w:cs="宋体"/>
                <w:color w:val="auto"/>
                <w:sz w:val="24"/>
                <w:highlight w:val="none"/>
              </w:rPr>
              <w:t>人</w:t>
            </w:r>
          </w:p>
        </w:tc>
      </w:tr>
      <w:tr w14:paraId="279C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77" w:type="dxa"/>
            <w:noWrap/>
            <w:vAlign w:val="center"/>
          </w:tcPr>
          <w:p w14:paraId="0B851677">
            <w:pPr>
              <w:jc w:val="center"/>
              <w:rPr>
                <w:rFonts w:ascii="宋体" w:hAnsi="宋体" w:cs="宋体"/>
                <w:color w:val="auto"/>
                <w:sz w:val="24"/>
                <w:highlight w:val="none"/>
              </w:rPr>
            </w:pPr>
            <w:r>
              <w:rPr>
                <w:rFonts w:hint="eastAsia" w:ascii="宋体" w:hAnsi="宋体" w:cs="宋体"/>
                <w:color w:val="auto"/>
                <w:sz w:val="24"/>
                <w:highlight w:val="none"/>
              </w:rPr>
              <w:t>业务范围</w:t>
            </w:r>
          </w:p>
        </w:tc>
        <w:tc>
          <w:tcPr>
            <w:tcW w:w="7921" w:type="dxa"/>
            <w:gridSpan w:val="7"/>
            <w:noWrap/>
            <w:vAlign w:val="top"/>
          </w:tcPr>
          <w:p w14:paraId="1D234722">
            <w:pPr>
              <w:rPr>
                <w:rFonts w:ascii="宋体" w:hAnsi="宋体" w:cs="宋体"/>
                <w:color w:val="auto"/>
                <w:sz w:val="24"/>
                <w:highlight w:val="none"/>
              </w:rPr>
            </w:pPr>
          </w:p>
        </w:tc>
      </w:tr>
      <w:tr w14:paraId="5F48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677" w:type="dxa"/>
            <w:noWrap/>
            <w:vAlign w:val="center"/>
          </w:tcPr>
          <w:p w14:paraId="2D6022F3">
            <w:pPr>
              <w:jc w:val="center"/>
              <w:rPr>
                <w:rFonts w:ascii="宋体" w:hAnsi="宋体" w:cs="宋体"/>
                <w:color w:val="auto"/>
                <w:sz w:val="24"/>
                <w:highlight w:val="none"/>
              </w:rPr>
            </w:pPr>
            <w:r>
              <w:rPr>
                <w:rFonts w:hint="eastAsia" w:ascii="宋体" w:hAnsi="宋体" w:cs="宋体"/>
                <w:color w:val="auto"/>
                <w:sz w:val="24"/>
                <w:highlight w:val="none"/>
              </w:rPr>
              <w:t>组织机构情况</w:t>
            </w:r>
          </w:p>
        </w:tc>
        <w:tc>
          <w:tcPr>
            <w:tcW w:w="7921" w:type="dxa"/>
            <w:gridSpan w:val="7"/>
            <w:noWrap/>
            <w:vAlign w:val="top"/>
          </w:tcPr>
          <w:p w14:paraId="3866CB4C">
            <w:pPr>
              <w:rPr>
                <w:rFonts w:ascii="宋体" w:hAnsi="宋体" w:cs="宋体"/>
                <w:color w:val="auto"/>
                <w:sz w:val="24"/>
                <w:highlight w:val="none"/>
              </w:rPr>
            </w:pPr>
            <w:r>
              <w:rPr>
                <w:rFonts w:hint="eastAsia" w:ascii="宋体" w:hAnsi="宋体" w:cs="宋体"/>
                <w:color w:val="auto"/>
                <w:sz w:val="24"/>
                <w:highlight w:val="none"/>
              </w:rPr>
              <w:t>（包括内部机构设置情况、分支机构情况、人员结构、内部管理制度情况等。）</w:t>
            </w:r>
          </w:p>
        </w:tc>
      </w:tr>
      <w:tr w14:paraId="407D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8" w:type="dxa"/>
            <w:gridSpan w:val="8"/>
            <w:noWrap/>
            <w:vAlign w:val="center"/>
          </w:tcPr>
          <w:p w14:paraId="1C2DDA49">
            <w:pPr>
              <w:jc w:val="center"/>
              <w:rPr>
                <w:rFonts w:ascii="宋体" w:hAnsi="宋体" w:cs="宋体"/>
                <w:b/>
                <w:color w:val="auto"/>
                <w:sz w:val="24"/>
                <w:highlight w:val="none"/>
              </w:rPr>
            </w:pPr>
            <w:r>
              <w:rPr>
                <w:rFonts w:hint="eastAsia" w:ascii="宋体" w:hAnsi="宋体" w:cs="宋体"/>
                <w:b/>
                <w:color w:val="auto"/>
                <w:sz w:val="24"/>
                <w:highlight w:val="none"/>
              </w:rPr>
              <w:t>工程师情况</w:t>
            </w:r>
          </w:p>
        </w:tc>
      </w:tr>
      <w:tr w14:paraId="3CF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77" w:type="dxa"/>
            <w:tcBorders>
              <w:right w:val="single" w:color="auto" w:sz="4" w:space="0"/>
            </w:tcBorders>
            <w:noWrap/>
            <w:vAlign w:val="center"/>
          </w:tcPr>
          <w:p w14:paraId="3CC7EA71">
            <w:pPr>
              <w:jc w:val="center"/>
              <w:rPr>
                <w:rFonts w:ascii="宋体" w:hAnsi="宋体" w:cs="宋体"/>
                <w:color w:val="auto"/>
                <w:sz w:val="24"/>
                <w:highlight w:val="none"/>
              </w:rPr>
            </w:pPr>
            <w:r>
              <w:rPr>
                <w:rFonts w:hint="eastAsia" w:ascii="宋体" w:hAnsi="宋体" w:cs="宋体"/>
                <w:color w:val="auto"/>
                <w:sz w:val="24"/>
                <w:highlight w:val="none"/>
              </w:rPr>
              <w:t>姓名</w:t>
            </w:r>
          </w:p>
        </w:tc>
        <w:tc>
          <w:tcPr>
            <w:tcW w:w="1370" w:type="dxa"/>
            <w:tcBorders>
              <w:left w:val="single" w:color="auto" w:sz="4" w:space="0"/>
            </w:tcBorders>
            <w:noWrap/>
            <w:vAlign w:val="center"/>
          </w:tcPr>
          <w:p w14:paraId="2FF2CD02">
            <w:pPr>
              <w:jc w:val="center"/>
              <w:rPr>
                <w:rFonts w:ascii="宋体" w:hAnsi="宋体" w:cs="宋体"/>
                <w:color w:val="auto"/>
                <w:sz w:val="24"/>
                <w:highlight w:val="none"/>
              </w:rPr>
            </w:pPr>
            <w:r>
              <w:rPr>
                <w:rFonts w:hint="eastAsia" w:ascii="宋体" w:hAnsi="宋体" w:cs="宋体"/>
                <w:color w:val="auto"/>
                <w:sz w:val="24"/>
                <w:highlight w:val="none"/>
              </w:rPr>
              <w:t>年龄</w:t>
            </w:r>
          </w:p>
        </w:tc>
        <w:tc>
          <w:tcPr>
            <w:tcW w:w="2590" w:type="dxa"/>
            <w:gridSpan w:val="3"/>
            <w:tcBorders>
              <w:right w:val="single" w:color="auto" w:sz="4" w:space="0"/>
            </w:tcBorders>
            <w:noWrap/>
            <w:vAlign w:val="center"/>
          </w:tcPr>
          <w:p w14:paraId="134B8B67">
            <w:pPr>
              <w:jc w:val="center"/>
              <w:rPr>
                <w:rFonts w:ascii="宋体" w:hAnsi="宋体" w:cs="宋体"/>
                <w:color w:val="auto"/>
                <w:sz w:val="24"/>
                <w:highlight w:val="none"/>
              </w:rPr>
            </w:pPr>
            <w:r>
              <w:rPr>
                <w:rFonts w:hint="eastAsia" w:ascii="宋体" w:hAnsi="宋体" w:cs="宋体"/>
                <w:color w:val="auto"/>
                <w:sz w:val="24"/>
                <w:highlight w:val="none"/>
              </w:rPr>
              <w:t>工程师证书编号</w:t>
            </w:r>
          </w:p>
        </w:tc>
        <w:tc>
          <w:tcPr>
            <w:tcW w:w="1676" w:type="dxa"/>
            <w:gridSpan w:val="2"/>
            <w:tcBorders>
              <w:left w:val="single" w:color="auto" w:sz="4" w:space="0"/>
            </w:tcBorders>
            <w:noWrap/>
            <w:vAlign w:val="center"/>
          </w:tcPr>
          <w:p w14:paraId="5B45B092">
            <w:pPr>
              <w:jc w:val="center"/>
              <w:rPr>
                <w:rFonts w:ascii="宋体" w:hAnsi="宋体" w:cs="宋体"/>
                <w:color w:val="auto"/>
                <w:sz w:val="24"/>
                <w:highlight w:val="none"/>
              </w:rPr>
            </w:pPr>
            <w:r>
              <w:rPr>
                <w:rFonts w:hint="eastAsia" w:ascii="宋体" w:hAnsi="宋体" w:cs="宋体"/>
                <w:color w:val="auto"/>
                <w:sz w:val="24"/>
                <w:highlight w:val="none"/>
              </w:rPr>
              <w:t>现从事的专业</w:t>
            </w:r>
          </w:p>
        </w:tc>
        <w:tc>
          <w:tcPr>
            <w:tcW w:w="2285" w:type="dxa"/>
            <w:noWrap/>
            <w:vAlign w:val="center"/>
          </w:tcPr>
          <w:p w14:paraId="12E807FE">
            <w:pPr>
              <w:jc w:val="center"/>
              <w:rPr>
                <w:rFonts w:ascii="宋体" w:hAnsi="宋体" w:cs="宋体"/>
                <w:color w:val="auto"/>
                <w:sz w:val="24"/>
                <w:highlight w:val="none"/>
              </w:rPr>
            </w:pPr>
            <w:r>
              <w:rPr>
                <w:rFonts w:hint="eastAsia" w:ascii="宋体" w:hAnsi="宋体" w:cs="宋体"/>
                <w:color w:val="auto"/>
                <w:sz w:val="24"/>
                <w:highlight w:val="none"/>
              </w:rPr>
              <w:t>从事本专业工作年限</w:t>
            </w:r>
          </w:p>
        </w:tc>
      </w:tr>
      <w:tr w14:paraId="3954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tcBorders>
              <w:right w:val="single" w:color="auto" w:sz="4" w:space="0"/>
            </w:tcBorders>
            <w:noWrap/>
            <w:vAlign w:val="center"/>
          </w:tcPr>
          <w:p w14:paraId="5281D683">
            <w:pPr>
              <w:jc w:val="center"/>
              <w:rPr>
                <w:rFonts w:ascii="宋体" w:hAnsi="宋体" w:cs="宋体"/>
                <w:color w:val="auto"/>
                <w:sz w:val="24"/>
                <w:highlight w:val="none"/>
              </w:rPr>
            </w:pPr>
          </w:p>
        </w:tc>
        <w:tc>
          <w:tcPr>
            <w:tcW w:w="1370" w:type="dxa"/>
            <w:tcBorders>
              <w:left w:val="single" w:color="auto" w:sz="4" w:space="0"/>
            </w:tcBorders>
            <w:noWrap/>
            <w:vAlign w:val="center"/>
          </w:tcPr>
          <w:p w14:paraId="1135ECAF">
            <w:pPr>
              <w:jc w:val="center"/>
              <w:rPr>
                <w:rFonts w:ascii="宋体" w:hAnsi="宋体" w:cs="宋体"/>
                <w:color w:val="auto"/>
                <w:sz w:val="24"/>
                <w:highlight w:val="none"/>
              </w:rPr>
            </w:pPr>
          </w:p>
        </w:tc>
        <w:tc>
          <w:tcPr>
            <w:tcW w:w="2590" w:type="dxa"/>
            <w:gridSpan w:val="3"/>
            <w:tcBorders>
              <w:right w:val="single" w:color="auto" w:sz="4" w:space="0"/>
            </w:tcBorders>
            <w:noWrap/>
            <w:vAlign w:val="center"/>
          </w:tcPr>
          <w:p w14:paraId="2DEF40E0">
            <w:pPr>
              <w:jc w:val="center"/>
              <w:rPr>
                <w:rFonts w:ascii="宋体" w:hAnsi="宋体" w:cs="宋体"/>
                <w:color w:val="auto"/>
                <w:sz w:val="24"/>
                <w:highlight w:val="none"/>
              </w:rPr>
            </w:pPr>
          </w:p>
        </w:tc>
        <w:tc>
          <w:tcPr>
            <w:tcW w:w="1676" w:type="dxa"/>
            <w:gridSpan w:val="2"/>
            <w:tcBorders>
              <w:left w:val="single" w:color="auto" w:sz="4" w:space="0"/>
            </w:tcBorders>
            <w:noWrap/>
            <w:vAlign w:val="center"/>
          </w:tcPr>
          <w:p w14:paraId="223E0212">
            <w:pPr>
              <w:jc w:val="center"/>
              <w:rPr>
                <w:rFonts w:ascii="宋体" w:hAnsi="宋体" w:cs="宋体"/>
                <w:color w:val="auto"/>
                <w:sz w:val="24"/>
                <w:highlight w:val="none"/>
              </w:rPr>
            </w:pPr>
          </w:p>
        </w:tc>
        <w:tc>
          <w:tcPr>
            <w:tcW w:w="2285" w:type="dxa"/>
            <w:noWrap/>
            <w:vAlign w:val="center"/>
          </w:tcPr>
          <w:p w14:paraId="694B49A1">
            <w:pPr>
              <w:jc w:val="center"/>
              <w:rPr>
                <w:rFonts w:ascii="宋体" w:hAnsi="宋体" w:cs="宋体"/>
                <w:color w:val="auto"/>
                <w:sz w:val="24"/>
                <w:highlight w:val="none"/>
              </w:rPr>
            </w:pPr>
          </w:p>
        </w:tc>
      </w:tr>
      <w:tr w14:paraId="21E4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7" w:type="dxa"/>
            <w:tcBorders>
              <w:right w:val="single" w:color="auto" w:sz="4" w:space="0"/>
            </w:tcBorders>
            <w:noWrap/>
            <w:vAlign w:val="center"/>
          </w:tcPr>
          <w:p w14:paraId="0547BAF5">
            <w:pPr>
              <w:jc w:val="center"/>
              <w:rPr>
                <w:rFonts w:ascii="宋体" w:hAnsi="宋体" w:cs="宋体"/>
                <w:color w:val="auto"/>
                <w:sz w:val="24"/>
                <w:highlight w:val="none"/>
              </w:rPr>
            </w:pPr>
          </w:p>
        </w:tc>
        <w:tc>
          <w:tcPr>
            <w:tcW w:w="1370" w:type="dxa"/>
            <w:tcBorders>
              <w:left w:val="single" w:color="auto" w:sz="4" w:space="0"/>
            </w:tcBorders>
            <w:noWrap/>
            <w:vAlign w:val="center"/>
          </w:tcPr>
          <w:p w14:paraId="1FB4AD4F">
            <w:pPr>
              <w:jc w:val="center"/>
              <w:rPr>
                <w:rFonts w:ascii="宋体" w:hAnsi="宋体" w:cs="宋体"/>
                <w:color w:val="auto"/>
                <w:sz w:val="24"/>
                <w:highlight w:val="none"/>
              </w:rPr>
            </w:pPr>
          </w:p>
        </w:tc>
        <w:tc>
          <w:tcPr>
            <w:tcW w:w="2590" w:type="dxa"/>
            <w:gridSpan w:val="3"/>
            <w:tcBorders>
              <w:right w:val="single" w:color="auto" w:sz="4" w:space="0"/>
            </w:tcBorders>
            <w:noWrap/>
            <w:vAlign w:val="center"/>
          </w:tcPr>
          <w:p w14:paraId="30111F66">
            <w:pPr>
              <w:jc w:val="center"/>
              <w:rPr>
                <w:rFonts w:ascii="宋体" w:hAnsi="宋体" w:cs="宋体"/>
                <w:color w:val="auto"/>
                <w:sz w:val="24"/>
                <w:highlight w:val="none"/>
              </w:rPr>
            </w:pPr>
          </w:p>
        </w:tc>
        <w:tc>
          <w:tcPr>
            <w:tcW w:w="1676" w:type="dxa"/>
            <w:gridSpan w:val="2"/>
            <w:tcBorders>
              <w:left w:val="single" w:color="auto" w:sz="4" w:space="0"/>
            </w:tcBorders>
            <w:noWrap/>
            <w:vAlign w:val="center"/>
          </w:tcPr>
          <w:p w14:paraId="1E9924E0">
            <w:pPr>
              <w:jc w:val="center"/>
              <w:rPr>
                <w:rFonts w:ascii="宋体" w:hAnsi="宋体" w:cs="宋体"/>
                <w:color w:val="auto"/>
                <w:sz w:val="24"/>
                <w:highlight w:val="none"/>
              </w:rPr>
            </w:pPr>
          </w:p>
        </w:tc>
        <w:tc>
          <w:tcPr>
            <w:tcW w:w="2285" w:type="dxa"/>
            <w:noWrap/>
            <w:vAlign w:val="center"/>
          </w:tcPr>
          <w:p w14:paraId="6072AAE6">
            <w:pPr>
              <w:jc w:val="center"/>
              <w:rPr>
                <w:rFonts w:ascii="宋体" w:hAnsi="宋体" w:cs="宋体"/>
                <w:color w:val="auto"/>
                <w:sz w:val="24"/>
                <w:highlight w:val="none"/>
              </w:rPr>
            </w:pPr>
          </w:p>
        </w:tc>
      </w:tr>
      <w:tr w14:paraId="3AC2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77" w:type="dxa"/>
            <w:tcBorders>
              <w:right w:val="single" w:color="auto" w:sz="4" w:space="0"/>
            </w:tcBorders>
            <w:noWrap/>
            <w:vAlign w:val="center"/>
          </w:tcPr>
          <w:p w14:paraId="45538B18">
            <w:pPr>
              <w:jc w:val="center"/>
              <w:rPr>
                <w:rFonts w:ascii="宋体" w:hAnsi="宋体" w:cs="宋体"/>
                <w:color w:val="auto"/>
                <w:sz w:val="24"/>
                <w:highlight w:val="none"/>
              </w:rPr>
            </w:pPr>
          </w:p>
        </w:tc>
        <w:tc>
          <w:tcPr>
            <w:tcW w:w="1370" w:type="dxa"/>
            <w:tcBorders>
              <w:left w:val="single" w:color="auto" w:sz="4" w:space="0"/>
            </w:tcBorders>
            <w:noWrap/>
            <w:vAlign w:val="center"/>
          </w:tcPr>
          <w:p w14:paraId="212CA3B5">
            <w:pPr>
              <w:jc w:val="center"/>
              <w:rPr>
                <w:rFonts w:ascii="宋体" w:hAnsi="宋体" w:cs="宋体"/>
                <w:color w:val="auto"/>
                <w:sz w:val="24"/>
                <w:highlight w:val="none"/>
              </w:rPr>
            </w:pPr>
          </w:p>
        </w:tc>
        <w:tc>
          <w:tcPr>
            <w:tcW w:w="2590" w:type="dxa"/>
            <w:gridSpan w:val="3"/>
            <w:tcBorders>
              <w:right w:val="single" w:color="auto" w:sz="4" w:space="0"/>
            </w:tcBorders>
            <w:noWrap/>
            <w:vAlign w:val="center"/>
          </w:tcPr>
          <w:p w14:paraId="41A2F517">
            <w:pPr>
              <w:jc w:val="center"/>
              <w:rPr>
                <w:rFonts w:ascii="宋体" w:hAnsi="宋体" w:cs="宋体"/>
                <w:color w:val="auto"/>
                <w:sz w:val="24"/>
                <w:highlight w:val="none"/>
              </w:rPr>
            </w:pPr>
          </w:p>
        </w:tc>
        <w:tc>
          <w:tcPr>
            <w:tcW w:w="1676" w:type="dxa"/>
            <w:gridSpan w:val="2"/>
            <w:tcBorders>
              <w:left w:val="single" w:color="auto" w:sz="4" w:space="0"/>
            </w:tcBorders>
            <w:noWrap/>
            <w:vAlign w:val="center"/>
          </w:tcPr>
          <w:p w14:paraId="33FF8AE5">
            <w:pPr>
              <w:jc w:val="center"/>
              <w:rPr>
                <w:rFonts w:ascii="宋体" w:hAnsi="宋体" w:cs="宋体"/>
                <w:color w:val="auto"/>
                <w:sz w:val="24"/>
                <w:highlight w:val="none"/>
              </w:rPr>
            </w:pPr>
          </w:p>
        </w:tc>
        <w:tc>
          <w:tcPr>
            <w:tcW w:w="2285" w:type="dxa"/>
            <w:noWrap/>
            <w:vAlign w:val="center"/>
          </w:tcPr>
          <w:p w14:paraId="11F3B987">
            <w:pPr>
              <w:jc w:val="center"/>
              <w:rPr>
                <w:rFonts w:ascii="宋体" w:hAnsi="宋体" w:cs="宋体"/>
                <w:color w:val="auto"/>
                <w:sz w:val="24"/>
                <w:highlight w:val="none"/>
              </w:rPr>
            </w:pPr>
          </w:p>
        </w:tc>
      </w:tr>
    </w:tbl>
    <w:p w14:paraId="7D27B0F6">
      <w:pPr>
        <w:ind w:firstLine="6840" w:firstLineChars="2850"/>
        <w:rPr>
          <w:rFonts w:ascii="宋体" w:hAnsi="宋体" w:cs="宋体"/>
          <w:color w:val="auto"/>
          <w:sz w:val="24"/>
          <w:highlight w:val="none"/>
        </w:rPr>
      </w:pPr>
    </w:p>
    <w:p w14:paraId="5FDE9BE8">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兹证明上述声明是真实、正确的，并提供了全部能提供的资料和数据，我们同意遵照贵方要求出示有关证明文件。</w:t>
      </w:r>
    </w:p>
    <w:p w14:paraId="35B2F52F">
      <w:pPr>
        <w:widowControl/>
        <w:spacing w:line="360" w:lineRule="auto"/>
        <w:jc w:val="center"/>
        <w:rPr>
          <w:rFonts w:ascii="宋体" w:hAnsi="宋体" w:cs="Arial"/>
          <w:b/>
          <w:bCs/>
          <w:color w:val="auto"/>
          <w:sz w:val="24"/>
          <w:szCs w:val="24"/>
          <w:highlight w:val="none"/>
        </w:rPr>
      </w:pPr>
    </w:p>
    <w:p w14:paraId="1C40DB8E">
      <w:pPr>
        <w:spacing w:line="440" w:lineRule="exact"/>
        <w:ind w:firstLine="4200" w:firstLineChars="1750"/>
        <w:rPr>
          <w:rFonts w:ascii="宋体" w:hAnsi="宋体" w:cs="Arial"/>
          <w:b/>
          <w:bCs/>
          <w:color w:val="auto"/>
          <w:sz w:val="24"/>
          <w:szCs w:val="24"/>
          <w:highlight w:val="none"/>
        </w:rPr>
      </w:pPr>
      <w:r>
        <w:rPr>
          <w:rFonts w:hint="eastAsia" w:ascii="宋体" w:hAnsi="宋体" w:cs="宋体"/>
          <w:color w:val="auto"/>
          <w:sz w:val="24"/>
          <w:highlight w:val="none"/>
          <w:u w:val="single"/>
        </w:rPr>
        <w:t>　｛投标人名称｝　</w:t>
      </w:r>
      <w:r>
        <w:rPr>
          <w:rFonts w:hint="eastAsia" w:ascii="宋体" w:hAnsi="宋体" w:cs="宋体"/>
          <w:color w:val="auto"/>
          <w:sz w:val="24"/>
          <w:highlight w:val="none"/>
        </w:rPr>
        <w:t>（盖章）</w:t>
      </w:r>
    </w:p>
    <w:p w14:paraId="5A78A8CC">
      <w:pPr>
        <w:widowControl/>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EEB7160">
      <w:pPr>
        <w:widowControl/>
        <w:rPr>
          <w:rFonts w:hint="eastAsia" w:ascii="宋体" w:hAnsi="宋体" w:cs="宋体"/>
          <w:color w:val="auto"/>
          <w:sz w:val="24"/>
          <w:highlight w:val="none"/>
        </w:rPr>
      </w:pPr>
    </w:p>
    <w:p w14:paraId="5831120F">
      <w:pPr>
        <w:widowControl/>
        <w:rPr>
          <w:rFonts w:hint="eastAsia" w:ascii="宋体" w:hAnsi="宋体" w:cs="宋体"/>
          <w:color w:val="auto"/>
          <w:sz w:val="24"/>
          <w:highlight w:val="none"/>
        </w:rPr>
      </w:pPr>
    </w:p>
    <w:p w14:paraId="3C128A28">
      <w:pPr>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9BE5A27">
      <w:pPr>
        <w:jc w:val="center"/>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六、供应商参与政府采购活动投标资格声明（格式）</w:t>
      </w:r>
    </w:p>
    <w:tbl>
      <w:tblPr>
        <w:tblStyle w:val="20"/>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2284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noWrap w:val="0"/>
            <w:vAlign w:val="top"/>
          </w:tcPr>
          <w:p w14:paraId="42F419E7">
            <w:pPr>
              <w:pStyle w:val="12"/>
              <w:snapToGrid w:val="0"/>
              <w:spacing w:line="400" w:lineRule="exact"/>
              <w:jc w:val="center"/>
              <w:rPr>
                <w:rFonts w:hAnsi="宋体" w:cs="宋体"/>
                <w:color w:val="auto"/>
                <w:kern w:val="1"/>
                <w:szCs w:val="24"/>
                <w:highlight w:val="none"/>
              </w:rPr>
            </w:pPr>
            <w:r>
              <w:rPr>
                <w:rFonts w:hint="eastAsia" w:hAnsi="宋体" w:cs="宋体"/>
                <w:color w:val="auto"/>
                <w:kern w:val="1"/>
                <w:szCs w:val="24"/>
                <w:highlight w:val="none"/>
              </w:rPr>
              <w:t>项目名称</w:t>
            </w:r>
          </w:p>
        </w:tc>
        <w:tc>
          <w:tcPr>
            <w:tcW w:w="8445" w:type="dxa"/>
            <w:noWrap w:val="0"/>
            <w:vAlign w:val="top"/>
          </w:tcPr>
          <w:p w14:paraId="1ED1AB49">
            <w:pPr>
              <w:pStyle w:val="12"/>
              <w:snapToGrid w:val="0"/>
              <w:spacing w:line="400" w:lineRule="exact"/>
              <w:ind w:left="422" w:firstLine="331"/>
              <w:rPr>
                <w:rFonts w:hAnsi="宋体" w:cs="宋体"/>
                <w:color w:val="auto"/>
                <w:kern w:val="1"/>
                <w:szCs w:val="24"/>
                <w:highlight w:val="none"/>
              </w:rPr>
            </w:pPr>
          </w:p>
        </w:tc>
      </w:tr>
      <w:tr w14:paraId="725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noWrap w:val="0"/>
            <w:vAlign w:val="top"/>
          </w:tcPr>
          <w:p w14:paraId="46D5987D">
            <w:pPr>
              <w:pStyle w:val="12"/>
              <w:snapToGrid w:val="0"/>
              <w:spacing w:line="400" w:lineRule="exact"/>
              <w:jc w:val="center"/>
              <w:rPr>
                <w:rFonts w:hAnsi="宋体" w:cs="宋体"/>
                <w:color w:val="auto"/>
                <w:kern w:val="1"/>
                <w:szCs w:val="24"/>
                <w:highlight w:val="none"/>
              </w:rPr>
            </w:pPr>
            <w:r>
              <w:rPr>
                <w:rFonts w:hint="eastAsia" w:hAnsi="宋体" w:cs="宋体"/>
                <w:color w:val="auto"/>
                <w:kern w:val="1"/>
                <w:szCs w:val="24"/>
                <w:highlight w:val="none"/>
              </w:rPr>
              <w:t>项目编号</w:t>
            </w:r>
          </w:p>
        </w:tc>
        <w:tc>
          <w:tcPr>
            <w:tcW w:w="8445" w:type="dxa"/>
            <w:noWrap w:val="0"/>
            <w:vAlign w:val="top"/>
          </w:tcPr>
          <w:p w14:paraId="7B3C5718">
            <w:pPr>
              <w:pStyle w:val="12"/>
              <w:snapToGrid w:val="0"/>
              <w:spacing w:line="400" w:lineRule="exact"/>
              <w:ind w:left="422" w:firstLine="361"/>
              <w:rPr>
                <w:rFonts w:hAnsi="宋体" w:cs="宋体"/>
                <w:color w:val="auto"/>
                <w:kern w:val="1"/>
                <w:szCs w:val="24"/>
                <w:highlight w:val="none"/>
              </w:rPr>
            </w:pPr>
          </w:p>
        </w:tc>
      </w:tr>
      <w:tr w14:paraId="3E1D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noWrap w:val="0"/>
            <w:vAlign w:val="top"/>
          </w:tcPr>
          <w:p w14:paraId="65E1EA5B">
            <w:pPr>
              <w:pStyle w:val="12"/>
              <w:snapToGrid w:val="0"/>
              <w:spacing w:line="400" w:lineRule="exact"/>
              <w:jc w:val="center"/>
              <w:rPr>
                <w:rFonts w:hAnsi="宋体" w:cs="宋体"/>
                <w:color w:val="auto"/>
                <w:kern w:val="1"/>
                <w:szCs w:val="24"/>
                <w:highlight w:val="none"/>
              </w:rPr>
            </w:pPr>
            <w:r>
              <w:rPr>
                <w:rFonts w:hint="eastAsia" w:hAnsi="宋体" w:cs="宋体"/>
                <w:color w:val="auto"/>
                <w:kern w:val="1"/>
                <w:szCs w:val="24"/>
                <w:highlight w:val="none"/>
              </w:rPr>
              <w:t>时    间</w:t>
            </w:r>
          </w:p>
        </w:tc>
        <w:tc>
          <w:tcPr>
            <w:tcW w:w="8445" w:type="dxa"/>
            <w:noWrap w:val="0"/>
            <w:vAlign w:val="top"/>
          </w:tcPr>
          <w:p w14:paraId="0DFE3DDB">
            <w:pPr>
              <w:pStyle w:val="12"/>
              <w:snapToGrid w:val="0"/>
              <w:spacing w:line="400" w:lineRule="exact"/>
              <w:rPr>
                <w:rFonts w:hAnsi="宋体" w:cs="宋体"/>
                <w:color w:val="auto"/>
                <w:kern w:val="1"/>
                <w:szCs w:val="24"/>
                <w:highlight w:val="none"/>
              </w:rPr>
            </w:pPr>
            <w:r>
              <w:rPr>
                <w:rFonts w:hint="eastAsia" w:hAnsi="宋体" w:cs="宋体"/>
                <w:color w:val="auto"/>
                <w:kern w:val="1"/>
                <w:szCs w:val="24"/>
                <w:highlight w:val="none"/>
              </w:rPr>
              <w:t>投标截止时间：</w:t>
            </w:r>
          </w:p>
        </w:tc>
      </w:tr>
      <w:tr w14:paraId="56E1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noWrap w:val="0"/>
            <w:vAlign w:val="top"/>
          </w:tcPr>
          <w:p w14:paraId="028050E5">
            <w:pPr>
              <w:pStyle w:val="12"/>
              <w:snapToGrid w:val="0"/>
              <w:spacing w:line="400" w:lineRule="exact"/>
              <w:ind w:firstLine="450"/>
              <w:rPr>
                <w:rFonts w:hAnsi="宋体" w:cs="宋体"/>
                <w:color w:val="auto"/>
                <w:kern w:val="1"/>
                <w:szCs w:val="24"/>
                <w:highlight w:val="none"/>
              </w:rPr>
            </w:pPr>
            <w:r>
              <w:rPr>
                <w:rFonts w:hint="eastAsia" w:hAnsi="宋体" w:cs="宋体"/>
                <w:color w:val="auto"/>
                <w:kern w:val="1"/>
                <w:szCs w:val="24"/>
                <w:highlight w:val="none"/>
              </w:rPr>
              <w:t>1、根据政府采购法第二十二条规定，我单位满足以下条件：</w:t>
            </w:r>
          </w:p>
          <w:p w14:paraId="1CFBB9C2">
            <w:pPr>
              <w:pStyle w:val="12"/>
              <w:snapToGrid w:val="0"/>
              <w:spacing w:line="400" w:lineRule="exact"/>
              <w:ind w:firstLine="450"/>
              <w:jc w:val="left"/>
              <w:rPr>
                <w:rFonts w:hint="eastAsia" w:hAnsi="宋体" w:cs="宋体"/>
                <w:color w:val="auto"/>
                <w:kern w:val="1"/>
                <w:szCs w:val="24"/>
                <w:highlight w:val="none"/>
              </w:rPr>
            </w:pPr>
            <w:r>
              <w:rPr>
                <w:rFonts w:hint="eastAsia" w:hAnsi="宋体" w:cs="宋体"/>
                <w:color w:val="auto"/>
                <w:kern w:val="1"/>
                <w:szCs w:val="24"/>
                <w:highlight w:val="none"/>
              </w:rPr>
              <w:t xml:space="preserve">（一）具有独立承担民事责任的能力； </w:t>
            </w:r>
          </w:p>
          <w:p w14:paraId="259FCDEA">
            <w:pPr>
              <w:pStyle w:val="12"/>
              <w:snapToGrid w:val="0"/>
              <w:spacing w:line="400" w:lineRule="exact"/>
              <w:ind w:firstLine="450"/>
              <w:jc w:val="left"/>
              <w:rPr>
                <w:rFonts w:hint="eastAsia" w:hAnsi="宋体" w:cs="宋体"/>
                <w:color w:val="auto"/>
                <w:kern w:val="1"/>
                <w:szCs w:val="24"/>
                <w:highlight w:val="none"/>
              </w:rPr>
            </w:pPr>
            <w:r>
              <w:rPr>
                <w:rFonts w:hint="eastAsia" w:hAnsi="宋体" w:cs="宋体"/>
                <w:color w:val="auto"/>
                <w:kern w:val="1"/>
                <w:szCs w:val="24"/>
                <w:highlight w:val="none"/>
              </w:rPr>
              <w:t xml:space="preserve">　　（二）具有良好的商业信誉和健全的财务会计制度； </w:t>
            </w:r>
          </w:p>
          <w:p w14:paraId="59D7DDE0">
            <w:pPr>
              <w:pStyle w:val="12"/>
              <w:snapToGrid w:val="0"/>
              <w:spacing w:line="400" w:lineRule="exact"/>
              <w:ind w:firstLine="450"/>
              <w:jc w:val="left"/>
              <w:rPr>
                <w:rFonts w:hint="eastAsia" w:hAnsi="宋体" w:cs="宋体"/>
                <w:color w:val="auto"/>
                <w:kern w:val="1"/>
                <w:szCs w:val="24"/>
                <w:highlight w:val="none"/>
              </w:rPr>
            </w:pPr>
            <w:r>
              <w:rPr>
                <w:rFonts w:hint="eastAsia" w:hAnsi="宋体" w:cs="宋体"/>
                <w:color w:val="auto"/>
                <w:kern w:val="1"/>
                <w:szCs w:val="24"/>
                <w:highlight w:val="none"/>
              </w:rPr>
              <w:t xml:space="preserve">　　（三）具有履行合同所必需的设备和专业技术能力； </w:t>
            </w:r>
          </w:p>
          <w:p w14:paraId="568C5BC6">
            <w:pPr>
              <w:pStyle w:val="12"/>
              <w:snapToGrid w:val="0"/>
              <w:spacing w:line="400" w:lineRule="exact"/>
              <w:ind w:firstLine="450"/>
              <w:jc w:val="left"/>
              <w:rPr>
                <w:rFonts w:hint="eastAsia" w:hAnsi="宋体" w:cs="宋体"/>
                <w:color w:val="auto"/>
                <w:kern w:val="1"/>
                <w:szCs w:val="24"/>
                <w:highlight w:val="none"/>
              </w:rPr>
            </w:pPr>
            <w:r>
              <w:rPr>
                <w:rFonts w:hint="eastAsia" w:hAnsi="宋体" w:cs="宋体"/>
                <w:color w:val="auto"/>
                <w:kern w:val="1"/>
                <w:szCs w:val="24"/>
                <w:highlight w:val="none"/>
              </w:rPr>
              <w:t xml:space="preserve">　　（四）有依法缴纳税收和社会保障资金的良好记录； </w:t>
            </w:r>
          </w:p>
          <w:p w14:paraId="0734FA4B">
            <w:pPr>
              <w:pStyle w:val="12"/>
              <w:snapToGrid w:val="0"/>
              <w:spacing w:line="400" w:lineRule="exact"/>
              <w:ind w:firstLine="450"/>
              <w:jc w:val="left"/>
              <w:rPr>
                <w:rFonts w:hint="eastAsia" w:hAnsi="宋体" w:cs="宋体"/>
                <w:color w:val="auto"/>
                <w:kern w:val="1"/>
                <w:szCs w:val="24"/>
                <w:highlight w:val="none"/>
              </w:rPr>
            </w:pPr>
            <w:r>
              <w:rPr>
                <w:rFonts w:hint="eastAsia" w:hAnsi="宋体" w:cs="宋体"/>
                <w:color w:val="auto"/>
                <w:kern w:val="1"/>
                <w:szCs w:val="24"/>
                <w:highlight w:val="none"/>
              </w:rPr>
              <w:t xml:space="preserve">　　（五）参加政府采购活动前三年内，在经营活动中没有重大违法记录； </w:t>
            </w:r>
          </w:p>
          <w:p w14:paraId="43BDFDF3">
            <w:pPr>
              <w:pStyle w:val="12"/>
              <w:snapToGrid w:val="0"/>
              <w:spacing w:line="400" w:lineRule="exact"/>
              <w:ind w:firstLine="450"/>
              <w:jc w:val="left"/>
              <w:rPr>
                <w:rFonts w:hAnsi="宋体" w:cs="宋体"/>
                <w:color w:val="auto"/>
                <w:kern w:val="1"/>
                <w:szCs w:val="24"/>
                <w:highlight w:val="none"/>
              </w:rPr>
            </w:pPr>
            <w:r>
              <w:rPr>
                <w:rFonts w:hint="eastAsia" w:hAnsi="宋体" w:cs="宋体"/>
                <w:color w:val="auto"/>
                <w:kern w:val="1"/>
                <w:szCs w:val="24"/>
                <w:highlight w:val="none"/>
              </w:rPr>
              <w:t xml:space="preserve">　　（六）法律、行政法规规定的其他条件。 </w:t>
            </w:r>
          </w:p>
          <w:p w14:paraId="5C3D4B51">
            <w:pPr>
              <w:pStyle w:val="12"/>
              <w:snapToGrid w:val="0"/>
              <w:spacing w:line="400" w:lineRule="exact"/>
              <w:ind w:firstLine="450"/>
              <w:rPr>
                <w:rFonts w:hAnsi="宋体" w:cs="宋体"/>
                <w:color w:val="auto"/>
                <w:kern w:val="1"/>
                <w:szCs w:val="24"/>
                <w:highlight w:val="none"/>
              </w:rPr>
            </w:pPr>
            <w:r>
              <w:rPr>
                <w:rFonts w:hint="eastAsia" w:hAnsi="宋体" w:cs="宋体"/>
                <w:color w:val="auto"/>
                <w:kern w:val="1"/>
                <w:szCs w:val="24"/>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65F450F1">
            <w:pPr>
              <w:pStyle w:val="12"/>
              <w:snapToGrid w:val="0"/>
              <w:spacing w:line="400" w:lineRule="exact"/>
              <w:ind w:firstLine="450"/>
              <w:rPr>
                <w:rFonts w:hAnsi="宋体" w:cs="宋体"/>
                <w:color w:val="auto"/>
                <w:kern w:val="1"/>
                <w:szCs w:val="24"/>
                <w:highlight w:val="none"/>
              </w:rPr>
            </w:pPr>
            <w:r>
              <w:rPr>
                <w:rFonts w:hint="eastAsia" w:hAnsi="宋体" w:cs="宋体"/>
                <w:color w:val="auto"/>
                <w:kern w:val="1"/>
                <w:szCs w:val="24"/>
                <w:highlight w:val="none"/>
              </w:rPr>
              <w:t>3、我单位承诺没有被各地、各级财政部门限制参加政府采购活动。</w:t>
            </w:r>
          </w:p>
          <w:p w14:paraId="318C307B">
            <w:pPr>
              <w:tabs>
                <w:tab w:val="center" w:pos="4483"/>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4、我单位承诺参与本项目政府采购活动3年内没有其它重大违法记录。</w:t>
            </w:r>
          </w:p>
          <w:p w14:paraId="5AED878E">
            <w:pPr>
              <w:tabs>
                <w:tab w:val="center" w:pos="4483"/>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DEE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65" w:type="dxa"/>
            <w:gridSpan w:val="2"/>
            <w:noWrap w:val="0"/>
            <w:vAlign w:val="center"/>
          </w:tcPr>
          <w:p w14:paraId="45EBA948">
            <w:pPr>
              <w:pStyle w:val="12"/>
              <w:snapToGrid w:val="0"/>
              <w:spacing w:line="400" w:lineRule="exact"/>
              <w:rPr>
                <w:rFonts w:hint="eastAsia" w:hAnsi="宋体" w:cs="宋体"/>
                <w:color w:val="auto"/>
                <w:kern w:val="1"/>
                <w:szCs w:val="24"/>
                <w:highlight w:val="none"/>
              </w:rPr>
            </w:pPr>
            <w:r>
              <w:rPr>
                <w:rFonts w:hint="eastAsia" w:hAnsi="宋体" w:cs="宋体"/>
                <w:color w:val="auto"/>
                <w:kern w:val="1"/>
                <w:szCs w:val="24"/>
                <w:highlight w:val="none"/>
              </w:rPr>
              <w:t>供应商名称（</w:t>
            </w:r>
            <w:r>
              <w:rPr>
                <w:rFonts w:hint="eastAsia" w:hAnsi="宋体" w:cs="宋体"/>
                <w:color w:val="auto"/>
                <w:kern w:val="1"/>
                <w:szCs w:val="24"/>
                <w:highlight w:val="none"/>
                <w:lang w:eastAsia="zh-CN"/>
              </w:rPr>
              <w:t>加盖CA签章</w:t>
            </w:r>
            <w:r>
              <w:rPr>
                <w:rFonts w:hint="eastAsia" w:hAnsi="宋体" w:cs="宋体"/>
                <w:color w:val="auto"/>
                <w:kern w:val="1"/>
                <w:szCs w:val="24"/>
                <w:highlight w:val="none"/>
              </w:rPr>
              <w:t>）：</w:t>
            </w:r>
          </w:p>
        </w:tc>
      </w:tr>
      <w:tr w14:paraId="4D17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065" w:type="dxa"/>
            <w:gridSpan w:val="2"/>
            <w:noWrap w:val="0"/>
            <w:vAlign w:val="center"/>
          </w:tcPr>
          <w:p w14:paraId="24A05AB7">
            <w:pPr>
              <w:pStyle w:val="12"/>
              <w:snapToGrid w:val="0"/>
              <w:spacing w:line="400" w:lineRule="exact"/>
              <w:rPr>
                <w:rFonts w:hint="eastAsia" w:hAnsi="宋体" w:cs="宋体"/>
                <w:color w:val="auto"/>
                <w:kern w:val="1"/>
                <w:szCs w:val="24"/>
                <w:highlight w:val="none"/>
              </w:rPr>
            </w:pPr>
            <w:r>
              <w:rPr>
                <w:rFonts w:hint="eastAsia" w:hAnsi="宋体" w:cs="宋体"/>
                <w:color w:val="auto"/>
                <w:kern w:val="1"/>
                <w:szCs w:val="24"/>
                <w:highlight w:val="none"/>
                <w:lang w:val="zh-CN"/>
              </w:rPr>
              <w:t>法定代表人或其授权代表（签字或盖章）</w:t>
            </w:r>
            <w:r>
              <w:rPr>
                <w:rFonts w:hint="eastAsia" w:hAnsi="宋体" w:cs="宋体"/>
                <w:color w:val="auto"/>
                <w:kern w:val="1"/>
                <w:szCs w:val="24"/>
                <w:highlight w:val="none"/>
              </w:rPr>
              <w:t>：</w:t>
            </w:r>
          </w:p>
        </w:tc>
      </w:tr>
      <w:tr w14:paraId="34C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65" w:type="dxa"/>
            <w:gridSpan w:val="2"/>
            <w:noWrap w:val="0"/>
            <w:vAlign w:val="center"/>
          </w:tcPr>
          <w:p w14:paraId="05E37109">
            <w:pPr>
              <w:pStyle w:val="12"/>
              <w:snapToGrid w:val="0"/>
              <w:spacing w:line="400" w:lineRule="exact"/>
              <w:rPr>
                <w:rFonts w:hint="eastAsia" w:hAnsi="宋体" w:cs="宋体"/>
                <w:color w:val="auto"/>
                <w:kern w:val="1"/>
                <w:szCs w:val="24"/>
                <w:highlight w:val="none"/>
              </w:rPr>
            </w:pPr>
            <w:r>
              <w:rPr>
                <w:rFonts w:hint="eastAsia" w:hAnsi="宋体" w:cs="宋体"/>
                <w:color w:val="auto"/>
                <w:kern w:val="1"/>
                <w:szCs w:val="24"/>
                <w:highlight w:val="none"/>
              </w:rPr>
              <w:t>签署日期：</w:t>
            </w:r>
          </w:p>
        </w:tc>
      </w:tr>
    </w:tbl>
    <w:p w14:paraId="13DDC578">
      <w:pPr>
        <w:spacing w:line="440" w:lineRule="exact"/>
        <w:rPr>
          <w:rFonts w:hAnsi="宋体" w:cs="宋体"/>
          <w:b/>
          <w:color w:val="auto"/>
          <w:sz w:val="24"/>
          <w:highlight w:val="none"/>
        </w:rPr>
      </w:pPr>
      <w:r>
        <w:rPr>
          <w:rFonts w:ascii="宋体" w:hAnsi="宋体" w:cs="宋体"/>
          <w:color w:val="auto"/>
          <w:sz w:val="24"/>
          <w:highlight w:val="none"/>
        </w:rPr>
        <w:br w:type="page"/>
      </w:r>
      <w:r>
        <w:rPr>
          <w:rFonts w:hint="eastAsia" w:ascii="宋体" w:hAnsi="宋体" w:cs="宋体"/>
          <w:b/>
          <w:color w:val="auto"/>
          <w:sz w:val="24"/>
          <w:highlight w:val="none"/>
          <w:lang w:bidi="ar"/>
        </w:rPr>
        <w:t xml:space="preserve">格式七   </w:t>
      </w:r>
    </w:p>
    <w:p w14:paraId="65EB3F0D">
      <w:pPr>
        <w:snapToGrid w:val="0"/>
        <w:spacing w:line="400" w:lineRule="exact"/>
        <w:jc w:val="center"/>
        <w:rPr>
          <w:b/>
          <w:color w:val="auto"/>
          <w:spacing w:val="40"/>
          <w:sz w:val="36"/>
          <w:szCs w:val="36"/>
          <w:highlight w:val="none"/>
        </w:rPr>
      </w:pPr>
    </w:p>
    <w:p w14:paraId="6CBAE732">
      <w:pPr>
        <w:spacing w:line="480" w:lineRule="exact"/>
        <w:jc w:val="center"/>
        <w:rPr>
          <w:rFonts w:hint="eastAsia" w:ascii="宋体"/>
          <w:b/>
          <w:bCs/>
          <w:color w:val="auto"/>
          <w:sz w:val="32"/>
          <w:szCs w:val="32"/>
          <w:highlight w:val="none"/>
        </w:rPr>
      </w:pPr>
      <w:r>
        <w:rPr>
          <w:rFonts w:hint="eastAsia" w:ascii="宋体" w:cs="仿宋_GB2312"/>
          <w:b/>
          <w:color w:val="auto"/>
          <w:sz w:val="32"/>
          <w:szCs w:val="32"/>
          <w:highlight w:val="none"/>
          <w:lang w:val="zh-CN"/>
        </w:rPr>
        <w:t>主要业绩证明</w:t>
      </w:r>
    </w:p>
    <w:p w14:paraId="2CF20D9C">
      <w:pPr>
        <w:spacing w:line="440" w:lineRule="exact"/>
        <w:ind w:firstLine="120"/>
        <w:rPr>
          <w:rFonts w:hint="eastAsia" w:ascii="宋体"/>
          <w:b/>
          <w:color w:val="auto"/>
          <w:sz w:val="24"/>
          <w:highlight w:val="none"/>
        </w:rPr>
      </w:pPr>
      <w:r>
        <w:rPr>
          <w:rFonts w:hint="eastAsia" w:ascii="宋体"/>
          <w:b/>
          <w:color w:val="auto"/>
          <w:sz w:val="24"/>
          <w:highlight w:val="none"/>
        </w:rPr>
        <w:t>附表 :相关项目建设业绩一览表</w:t>
      </w:r>
    </w:p>
    <w:tbl>
      <w:tblPr>
        <w:tblStyle w:val="2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73"/>
        <w:gridCol w:w="2009"/>
        <w:gridCol w:w="1738"/>
        <w:gridCol w:w="1277"/>
        <w:gridCol w:w="1263"/>
      </w:tblGrid>
      <w:tr w14:paraId="1676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7" w:type="dxa"/>
            <w:noWrap w:val="0"/>
            <w:vAlign w:val="center"/>
          </w:tcPr>
          <w:p w14:paraId="7A36FD32">
            <w:pPr>
              <w:pStyle w:val="12"/>
              <w:snapToGrid w:val="0"/>
              <w:spacing w:before="120" w:after="120"/>
              <w:jc w:val="center"/>
              <w:rPr>
                <w:rFonts w:hAnsi="宋体"/>
                <w:color w:val="auto"/>
                <w:highlight w:val="none"/>
              </w:rPr>
            </w:pPr>
            <w:r>
              <w:rPr>
                <w:rFonts w:hint="eastAsia" w:hAnsi="宋体"/>
                <w:color w:val="auto"/>
                <w:highlight w:val="none"/>
              </w:rPr>
              <w:t>序号</w:t>
            </w:r>
          </w:p>
        </w:tc>
        <w:tc>
          <w:tcPr>
            <w:tcW w:w="1873" w:type="dxa"/>
            <w:noWrap w:val="0"/>
            <w:vAlign w:val="center"/>
          </w:tcPr>
          <w:p w14:paraId="7D650AD4">
            <w:pPr>
              <w:pStyle w:val="12"/>
              <w:snapToGrid w:val="0"/>
              <w:spacing w:before="120" w:after="120"/>
              <w:jc w:val="center"/>
              <w:rPr>
                <w:rFonts w:hAnsi="宋体"/>
                <w:color w:val="auto"/>
                <w:highlight w:val="none"/>
              </w:rPr>
            </w:pPr>
            <w:r>
              <w:rPr>
                <w:rFonts w:hint="eastAsia" w:hAnsi="宋体"/>
                <w:color w:val="auto"/>
                <w:highlight w:val="none"/>
              </w:rPr>
              <w:t>项目名称</w:t>
            </w:r>
          </w:p>
        </w:tc>
        <w:tc>
          <w:tcPr>
            <w:tcW w:w="2009" w:type="dxa"/>
            <w:noWrap w:val="0"/>
            <w:vAlign w:val="center"/>
          </w:tcPr>
          <w:p w14:paraId="1E9F295D">
            <w:pPr>
              <w:pStyle w:val="12"/>
              <w:snapToGrid w:val="0"/>
              <w:spacing w:before="120" w:after="120"/>
              <w:jc w:val="center"/>
              <w:rPr>
                <w:rFonts w:hAnsi="宋体"/>
                <w:color w:val="auto"/>
                <w:highlight w:val="none"/>
              </w:rPr>
            </w:pPr>
            <w:r>
              <w:rPr>
                <w:rFonts w:hint="eastAsia" w:hAnsi="宋体"/>
                <w:color w:val="auto"/>
                <w:highlight w:val="none"/>
              </w:rPr>
              <w:t>用户单位</w:t>
            </w:r>
          </w:p>
        </w:tc>
        <w:tc>
          <w:tcPr>
            <w:tcW w:w="1738" w:type="dxa"/>
            <w:noWrap w:val="0"/>
            <w:vAlign w:val="center"/>
          </w:tcPr>
          <w:p w14:paraId="24798AC8">
            <w:pPr>
              <w:pStyle w:val="12"/>
              <w:snapToGrid w:val="0"/>
              <w:spacing w:before="120" w:after="120"/>
              <w:jc w:val="center"/>
              <w:rPr>
                <w:rFonts w:hAnsi="宋体"/>
                <w:color w:val="auto"/>
                <w:highlight w:val="none"/>
              </w:rPr>
            </w:pPr>
            <w:r>
              <w:rPr>
                <w:rFonts w:hint="eastAsia" w:hAnsi="宋体"/>
                <w:color w:val="auto"/>
                <w:highlight w:val="none"/>
              </w:rPr>
              <w:t>合同签订时间</w:t>
            </w:r>
          </w:p>
        </w:tc>
        <w:tc>
          <w:tcPr>
            <w:tcW w:w="1277" w:type="dxa"/>
            <w:noWrap w:val="0"/>
            <w:vAlign w:val="center"/>
          </w:tcPr>
          <w:p w14:paraId="3DA0DC14">
            <w:pPr>
              <w:pStyle w:val="12"/>
              <w:snapToGrid w:val="0"/>
              <w:spacing w:before="120" w:after="120"/>
              <w:jc w:val="center"/>
              <w:rPr>
                <w:rFonts w:hAnsi="宋体"/>
                <w:color w:val="auto"/>
                <w:highlight w:val="none"/>
              </w:rPr>
            </w:pPr>
            <w:r>
              <w:rPr>
                <w:rFonts w:hint="eastAsia" w:hAnsi="宋体"/>
                <w:color w:val="auto"/>
                <w:highlight w:val="none"/>
              </w:rPr>
              <w:t>联系人</w:t>
            </w:r>
          </w:p>
        </w:tc>
        <w:tc>
          <w:tcPr>
            <w:tcW w:w="1263" w:type="dxa"/>
            <w:noWrap w:val="0"/>
            <w:vAlign w:val="center"/>
          </w:tcPr>
          <w:p w14:paraId="6C804BBC">
            <w:pPr>
              <w:pStyle w:val="12"/>
              <w:snapToGrid w:val="0"/>
              <w:spacing w:before="120" w:after="120"/>
              <w:jc w:val="center"/>
              <w:rPr>
                <w:rFonts w:hAnsi="宋体"/>
                <w:color w:val="auto"/>
                <w:highlight w:val="none"/>
              </w:rPr>
            </w:pPr>
            <w:r>
              <w:rPr>
                <w:rFonts w:hint="eastAsia" w:hAnsi="宋体"/>
                <w:color w:val="auto"/>
                <w:highlight w:val="none"/>
              </w:rPr>
              <w:t>联系方式</w:t>
            </w:r>
          </w:p>
        </w:tc>
      </w:tr>
      <w:tr w14:paraId="5863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87" w:type="dxa"/>
            <w:noWrap w:val="0"/>
            <w:vAlign w:val="center"/>
          </w:tcPr>
          <w:p w14:paraId="2B5B04BD">
            <w:pPr>
              <w:pStyle w:val="12"/>
              <w:spacing w:before="120" w:after="120" w:line="460" w:lineRule="atLeast"/>
              <w:jc w:val="center"/>
              <w:rPr>
                <w:rFonts w:hAnsi="宋体"/>
                <w:color w:val="auto"/>
                <w:highlight w:val="none"/>
              </w:rPr>
            </w:pPr>
            <w:r>
              <w:rPr>
                <w:rFonts w:hint="eastAsia" w:hAnsi="宋体"/>
                <w:color w:val="auto"/>
                <w:highlight w:val="none"/>
              </w:rPr>
              <w:t>1</w:t>
            </w:r>
          </w:p>
        </w:tc>
        <w:tc>
          <w:tcPr>
            <w:tcW w:w="1873" w:type="dxa"/>
            <w:noWrap w:val="0"/>
            <w:vAlign w:val="center"/>
          </w:tcPr>
          <w:p w14:paraId="0460C07F">
            <w:pPr>
              <w:pStyle w:val="12"/>
              <w:spacing w:before="120" w:after="120" w:line="460" w:lineRule="atLeast"/>
              <w:jc w:val="center"/>
              <w:rPr>
                <w:rFonts w:hAnsi="宋体"/>
                <w:color w:val="auto"/>
                <w:highlight w:val="none"/>
              </w:rPr>
            </w:pPr>
          </w:p>
        </w:tc>
        <w:tc>
          <w:tcPr>
            <w:tcW w:w="2009" w:type="dxa"/>
            <w:noWrap w:val="0"/>
            <w:vAlign w:val="center"/>
          </w:tcPr>
          <w:p w14:paraId="354A6004">
            <w:pPr>
              <w:pStyle w:val="12"/>
              <w:spacing w:before="120" w:after="120" w:line="460" w:lineRule="atLeast"/>
              <w:jc w:val="center"/>
              <w:rPr>
                <w:rFonts w:hAnsi="宋体"/>
                <w:color w:val="auto"/>
                <w:highlight w:val="none"/>
              </w:rPr>
            </w:pPr>
          </w:p>
        </w:tc>
        <w:tc>
          <w:tcPr>
            <w:tcW w:w="1738" w:type="dxa"/>
            <w:noWrap w:val="0"/>
            <w:vAlign w:val="center"/>
          </w:tcPr>
          <w:p w14:paraId="1AA9F97B">
            <w:pPr>
              <w:pStyle w:val="12"/>
              <w:spacing w:before="120" w:after="120" w:line="460" w:lineRule="atLeast"/>
              <w:jc w:val="center"/>
              <w:rPr>
                <w:rFonts w:hAnsi="宋体"/>
                <w:color w:val="auto"/>
                <w:highlight w:val="none"/>
              </w:rPr>
            </w:pPr>
          </w:p>
        </w:tc>
        <w:tc>
          <w:tcPr>
            <w:tcW w:w="1277" w:type="dxa"/>
            <w:noWrap w:val="0"/>
            <w:vAlign w:val="center"/>
          </w:tcPr>
          <w:p w14:paraId="43E60DE2">
            <w:pPr>
              <w:pStyle w:val="12"/>
              <w:spacing w:before="120" w:after="120" w:line="460" w:lineRule="atLeast"/>
              <w:jc w:val="center"/>
              <w:rPr>
                <w:rFonts w:hAnsi="宋体"/>
                <w:color w:val="auto"/>
                <w:highlight w:val="none"/>
              </w:rPr>
            </w:pPr>
          </w:p>
        </w:tc>
        <w:tc>
          <w:tcPr>
            <w:tcW w:w="1263" w:type="dxa"/>
            <w:noWrap w:val="0"/>
            <w:vAlign w:val="center"/>
          </w:tcPr>
          <w:p w14:paraId="157329B6">
            <w:pPr>
              <w:pStyle w:val="12"/>
              <w:spacing w:before="120" w:after="120" w:line="460" w:lineRule="atLeast"/>
              <w:jc w:val="center"/>
              <w:rPr>
                <w:rFonts w:hAnsi="宋体"/>
                <w:color w:val="auto"/>
                <w:highlight w:val="none"/>
              </w:rPr>
            </w:pPr>
          </w:p>
        </w:tc>
      </w:tr>
      <w:tr w14:paraId="5CDB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87" w:type="dxa"/>
            <w:noWrap w:val="0"/>
            <w:vAlign w:val="center"/>
          </w:tcPr>
          <w:p w14:paraId="10BD6FB6">
            <w:pPr>
              <w:pStyle w:val="12"/>
              <w:spacing w:before="120" w:after="120" w:line="460" w:lineRule="atLeast"/>
              <w:jc w:val="center"/>
              <w:rPr>
                <w:rFonts w:hAnsi="宋体"/>
                <w:color w:val="auto"/>
                <w:highlight w:val="none"/>
              </w:rPr>
            </w:pPr>
            <w:r>
              <w:rPr>
                <w:rFonts w:hint="eastAsia" w:hAnsi="宋体"/>
                <w:color w:val="auto"/>
                <w:highlight w:val="none"/>
              </w:rPr>
              <w:t>2</w:t>
            </w:r>
          </w:p>
        </w:tc>
        <w:tc>
          <w:tcPr>
            <w:tcW w:w="1873" w:type="dxa"/>
            <w:noWrap w:val="0"/>
            <w:vAlign w:val="center"/>
          </w:tcPr>
          <w:p w14:paraId="082ABFAE">
            <w:pPr>
              <w:pStyle w:val="12"/>
              <w:spacing w:before="120" w:after="120" w:line="460" w:lineRule="atLeast"/>
              <w:jc w:val="center"/>
              <w:rPr>
                <w:rFonts w:hAnsi="宋体"/>
                <w:color w:val="auto"/>
                <w:highlight w:val="none"/>
              </w:rPr>
            </w:pPr>
          </w:p>
        </w:tc>
        <w:tc>
          <w:tcPr>
            <w:tcW w:w="2009" w:type="dxa"/>
            <w:noWrap w:val="0"/>
            <w:vAlign w:val="center"/>
          </w:tcPr>
          <w:p w14:paraId="7696CA6A">
            <w:pPr>
              <w:pStyle w:val="12"/>
              <w:spacing w:before="120" w:after="120" w:line="460" w:lineRule="atLeast"/>
              <w:jc w:val="center"/>
              <w:rPr>
                <w:rFonts w:hAnsi="宋体"/>
                <w:color w:val="auto"/>
                <w:highlight w:val="none"/>
              </w:rPr>
            </w:pPr>
          </w:p>
        </w:tc>
        <w:tc>
          <w:tcPr>
            <w:tcW w:w="1738" w:type="dxa"/>
            <w:noWrap w:val="0"/>
            <w:vAlign w:val="center"/>
          </w:tcPr>
          <w:p w14:paraId="6BB4383E">
            <w:pPr>
              <w:pStyle w:val="12"/>
              <w:spacing w:before="120" w:after="120" w:line="460" w:lineRule="atLeast"/>
              <w:jc w:val="center"/>
              <w:rPr>
                <w:rFonts w:hAnsi="宋体"/>
                <w:color w:val="auto"/>
                <w:highlight w:val="none"/>
              </w:rPr>
            </w:pPr>
          </w:p>
        </w:tc>
        <w:tc>
          <w:tcPr>
            <w:tcW w:w="1277" w:type="dxa"/>
            <w:noWrap w:val="0"/>
            <w:vAlign w:val="center"/>
          </w:tcPr>
          <w:p w14:paraId="713EF7CC">
            <w:pPr>
              <w:pStyle w:val="12"/>
              <w:spacing w:before="120" w:after="120" w:line="460" w:lineRule="atLeast"/>
              <w:jc w:val="center"/>
              <w:rPr>
                <w:rFonts w:hAnsi="宋体"/>
                <w:color w:val="auto"/>
                <w:highlight w:val="none"/>
              </w:rPr>
            </w:pPr>
          </w:p>
        </w:tc>
        <w:tc>
          <w:tcPr>
            <w:tcW w:w="1263" w:type="dxa"/>
            <w:noWrap w:val="0"/>
            <w:vAlign w:val="center"/>
          </w:tcPr>
          <w:p w14:paraId="66E72365">
            <w:pPr>
              <w:pStyle w:val="12"/>
              <w:spacing w:before="120" w:after="120" w:line="460" w:lineRule="atLeast"/>
              <w:jc w:val="center"/>
              <w:rPr>
                <w:rFonts w:hAnsi="宋体"/>
                <w:color w:val="auto"/>
                <w:highlight w:val="none"/>
              </w:rPr>
            </w:pPr>
          </w:p>
        </w:tc>
      </w:tr>
      <w:tr w14:paraId="2E32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87" w:type="dxa"/>
            <w:noWrap w:val="0"/>
            <w:vAlign w:val="center"/>
          </w:tcPr>
          <w:p w14:paraId="67AA93F1">
            <w:pPr>
              <w:pStyle w:val="12"/>
              <w:spacing w:before="120" w:after="120" w:line="460" w:lineRule="atLeast"/>
              <w:jc w:val="center"/>
              <w:rPr>
                <w:rFonts w:hAnsi="宋体"/>
                <w:color w:val="auto"/>
                <w:highlight w:val="none"/>
              </w:rPr>
            </w:pPr>
            <w:r>
              <w:rPr>
                <w:rFonts w:hint="eastAsia" w:hAnsi="宋体"/>
                <w:color w:val="auto"/>
                <w:highlight w:val="none"/>
              </w:rPr>
              <w:t>3</w:t>
            </w:r>
          </w:p>
        </w:tc>
        <w:tc>
          <w:tcPr>
            <w:tcW w:w="1873" w:type="dxa"/>
            <w:noWrap w:val="0"/>
            <w:vAlign w:val="center"/>
          </w:tcPr>
          <w:p w14:paraId="350DE34E">
            <w:pPr>
              <w:pStyle w:val="12"/>
              <w:spacing w:before="120" w:after="120" w:line="460" w:lineRule="atLeast"/>
              <w:jc w:val="center"/>
              <w:rPr>
                <w:rFonts w:hAnsi="宋体"/>
                <w:color w:val="auto"/>
                <w:highlight w:val="none"/>
              </w:rPr>
            </w:pPr>
          </w:p>
        </w:tc>
        <w:tc>
          <w:tcPr>
            <w:tcW w:w="2009" w:type="dxa"/>
            <w:noWrap w:val="0"/>
            <w:vAlign w:val="center"/>
          </w:tcPr>
          <w:p w14:paraId="1186EA55">
            <w:pPr>
              <w:pStyle w:val="12"/>
              <w:spacing w:before="120" w:after="120" w:line="460" w:lineRule="atLeast"/>
              <w:jc w:val="center"/>
              <w:rPr>
                <w:rFonts w:hAnsi="宋体"/>
                <w:color w:val="auto"/>
                <w:highlight w:val="none"/>
              </w:rPr>
            </w:pPr>
          </w:p>
        </w:tc>
        <w:tc>
          <w:tcPr>
            <w:tcW w:w="1738" w:type="dxa"/>
            <w:noWrap w:val="0"/>
            <w:vAlign w:val="center"/>
          </w:tcPr>
          <w:p w14:paraId="5FBFD3BA">
            <w:pPr>
              <w:pStyle w:val="12"/>
              <w:spacing w:before="120" w:after="120" w:line="460" w:lineRule="atLeast"/>
              <w:jc w:val="center"/>
              <w:rPr>
                <w:rFonts w:hAnsi="宋体"/>
                <w:color w:val="auto"/>
                <w:highlight w:val="none"/>
              </w:rPr>
            </w:pPr>
          </w:p>
        </w:tc>
        <w:tc>
          <w:tcPr>
            <w:tcW w:w="1277" w:type="dxa"/>
            <w:noWrap w:val="0"/>
            <w:vAlign w:val="center"/>
          </w:tcPr>
          <w:p w14:paraId="1ACFE280">
            <w:pPr>
              <w:pStyle w:val="12"/>
              <w:spacing w:before="120" w:after="120" w:line="460" w:lineRule="atLeast"/>
              <w:jc w:val="center"/>
              <w:rPr>
                <w:rFonts w:hAnsi="宋体"/>
                <w:color w:val="auto"/>
                <w:highlight w:val="none"/>
              </w:rPr>
            </w:pPr>
          </w:p>
        </w:tc>
        <w:tc>
          <w:tcPr>
            <w:tcW w:w="1263" w:type="dxa"/>
            <w:noWrap w:val="0"/>
            <w:vAlign w:val="center"/>
          </w:tcPr>
          <w:p w14:paraId="227CB899">
            <w:pPr>
              <w:pStyle w:val="12"/>
              <w:spacing w:before="120" w:after="120" w:line="460" w:lineRule="atLeast"/>
              <w:jc w:val="center"/>
              <w:rPr>
                <w:rFonts w:hAnsi="宋体"/>
                <w:color w:val="auto"/>
                <w:highlight w:val="none"/>
              </w:rPr>
            </w:pPr>
          </w:p>
        </w:tc>
      </w:tr>
      <w:tr w14:paraId="1608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87" w:type="dxa"/>
            <w:noWrap w:val="0"/>
            <w:vAlign w:val="center"/>
          </w:tcPr>
          <w:p w14:paraId="076498E5">
            <w:pPr>
              <w:pStyle w:val="12"/>
              <w:spacing w:before="120" w:after="120" w:line="460" w:lineRule="atLeast"/>
              <w:rPr>
                <w:rFonts w:hAnsi="宋体"/>
                <w:b/>
                <w:bCs/>
                <w:color w:val="auto"/>
                <w:highlight w:val="none"/>
              </w:rPr>
            </w:pPr>
            <w:r>
              <w:rPr>
                <w:rFonts w:hint="eastAsia" w:hAnsi="宋体"/>
                <w:b/>
                <w:bCs/>
                <w:color w:val="auto"/>
                <w:highlight w:val="none"/>
              </w:rPr>
              <w:t>...</w:t>
            </w:r>
          </w:p>
        </w:tc>
        <w:tc>
          <w:tcPr>
            <w:tcW w:w="1873" w:type="dxa"/>
            <w:noWrap w:val="0"/>
            <w:vAlign w:val="center"/>
          </w:tcPr>
          <w:p w14:paraId="7CD2BADC">
            <w:pPr>
              <w:pStyle w:val="12"/>
              <w:spacing w:before="120" w:after="120" w:line="460" w:lineRule="atLeast"/>
              <w:jc w:val="center"/>
              <w:rPr>
                <w:rFonts w:hAnsi="宋体"/>
                <w:color w:val="auto"/>
                <w:highlight w:val="none"/>
              </w:rPr>
            </w:pPr>
          </w:p>
        </w:tc>
        <w:tc>
          <w:tcPr>
            <w:tcW w:w="2009" w:type="dxa"/>
            <w:noWrap w:val="0"/>
            <w:vAlign w:val="center"/>
          </w:tcPr>
          <w:p w14:paraId="15F542A5">
            <w:pPr>
              <w:pStyle w:val="12"/>
              <w:spacing w:before="120" w:after="120" w:line="460" w:lineRule="atLeast"/>
              <w:jc w:val="center"/>
              <w:rPr>
                <w:rFonts w:hAnsi="宋体"/>
                <w:color w:val="auto"/>
                <w:highlight w:val="none"/>
              </w:rPr>
            </w:pPr>
          </w:p>
        </w:tc>
        <w:tc>
          <w:tcPr>
            <w:tcW w:w="1738" w:type="dxa"/>
            <w:noWrap w:val="0"/>
            <w:vAlign w:val="center"/>
          </w:tcPr>
          <w:p w14:paraId="22C660E8">
            <w:pPr>
              <w:pStyle w:val="12"/>
              <w:spacing w:before="120" w:after="120" w:line="460" w:lineRule="atLeast"/>
              <w:jc w:val="center"/>
              <w:rPr>
                <w:rFonts w:hAnsi="宋体"/>
                <w:color w:val="auto"/>
                <w:highlight w:val="none"/>
              </w:rPr>
            </w:pPr>
          </w:p>
        </w:tc>
        <w:tc>
          <w:tcPr>
            <w:tcW w:w="1277" w:type="dxa"/>
            <w:noWrap w:val="0"/>
            <w:vAlign w:val="center"/>
          </w:tcPr>
          <w:p w14:paraId="46DBEAC0">
            <w:pPr>
              <w:pStyle w:val="12"/>
              <w:spacing w:before="120" w:after="120" w:line="460" w:lineRule="atLeast"/>
              <w:jc w:val="center"/>
              <w:rPr>
                <w:rFonts w:hAnsi="宋体"/>
                <w:color w:val="auto"/>
                <w:highlight w:val="none"/>
              </w:rPr>
            </w:pPr>
          </w:p>
        </w:tc>
        <w:tc>
          <w:tcPr>
            <w:tcW w:w="1263" w:type="dxa"/>
            <w:noWrap w:val="0"/>
            <w:vAlign w:val="center"/>
          </w:tcPr>
          <w:p w14:paraId="643DA66A">
            <w:pPr>
              <w:pStyle w:val="12"/>
              <w:spacing w:before="120" w:after="120" w:line="460" w:lineRule="atLeast"/>
              <w:jc w:val="center"/>
              <w:rPr>
                <w:rFonts w:hAnsi="宋体"/>
                <w:color w:val="auto"/>
                <w:highlight w:val="none"/>
              </w:rPr>
            </w:pPr>
          </w:p>
        </w:tc>
      </w:tr>
      <w:tr w14:paraId="7D5C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87" w:type="dxa"/>
            <w:noWrap w:val="0"/>
            <w:vAlign w:val="center"/>
          </w:tcPr>
          <w:p w14:paraId="5EA4E907">
            <w:pPr>
              <w:pStyle w:val="12"/>
              <w:spacing w:before="120" w:after="120" w:line="460" w:lineRule="atLeast"/>
              <w:jc w:val="center"/>
              <w:rPr>
                <w:rFonts w:hAnsi="宋体"/>
                <w:color w:val="auto"/>
                <w:highlight w:val="none"/>
              </w:rPr>
            </w:pPr>
          </w:p>
        </w:tc>
        <w:tc>
          <w:tcPr>
            <w:tcW w:w="1873" w:type="dxa"/>
            <w:noWrap w:val="0"/>
            <w:vAlign w:val="center"/>
          </w:tcPr>
          <w:p w14:paraId="4D04B535">
            <w:pPr>
              <w:pStyle w:val="12"/>
              <w:spacing w:before="120" w:after="120" w:line="460" w:lineRule="atLeast"/>
              <w:jc w:val="center"/>
              <w:rPr>
                <w:rFonts w:hAnsi="宋体"/>
                <w:color w:val="auto"/>
                <w:highlight w:val="none"/>
              </w:rPr>
            </w:pPr>
          </w:p>
        </w:tc>
        <w:tc>
          <w:tcPr>
            <w:tcW w:w="2009" w:type="dxa"/>
            <w:noWrap w:val="0"/>
            <w:vAlign w:val="center"/>
          </w:tcPr>
          <w:p w14:paraId="33A6312B">
            <w:pPr>
              <w:pStyle w:val="12"/>
              <w:spacing w:before="120" w:after="120" w:line="460" w:lineRule="atLeast"/>
              <w:jc w:val="center"/>
              <w:rPr>
                <w:rFonts w:hAnsi="宋体"/>
                <w:color w:val="auto"/>
                <w:highlight w:val="none"/>
              </w:rPr>
            </w:pPr>
          </w:p>
        </w:tc>
        <w:tc>
          <w:tcPr>
            <w:tcW w:w="1738" w:type="dxa"/>
            <w:noWrap w:val="0"/>
            <w:vAlign w:val="center"/>
          </w:tcPr>
          <w:p w14:paraId="06E8F30D">
            <w:pPr>
              <w:pStyle w:val="12"/>
              <w:spacing w:before="120" w:after="120" w:line="460" w:lineRule="atLeast"/>
              <w:jc w:val="center"/>
              <w:rPr>
                <w:rFonts w:hAnsi="宋体"/>
                <w:color w:val="auto"/>
                <w:highlight w:val="none"/>
              </w:rPr>
            </w:pPr>
          </w:p>
        </w:tc>
        <w:tc>
          <w:tcPr>
            <w:tcW w:w="1277" w:type="dxa"/>
            <w:noWrap w:val="0"/>
            <w:vAlign w:val="center"/>
          </w:tcPr>
          <w:p w14:paraId="074D137A">
            <w:pPr>
              <w:pStyle w:val="12"/>
              <w:spacing w:before="120" w:after="120" w:line="460" w:lineRule="atLeast"/>
              <w:jc w:val="center"/>
              <w:rPr>
                <w:rFonts w:hAnsi="宋体"/>
                <w:color w:val="auto"/>
                <w:highlight w:val="none"/>
              </w:rPr>
            </w:pPr>
          </w:p>
        </w:tc>
        <w:tc>
          <w:tcPr>
            <w:tcW w:w="1263" w:type="dxa"/>
            <w:noWrap w:val="0"/>
            <w:vAlign w:val="center"/>
          </w:tcPr>
          <w:p w14:paraId="5FBABBB7">
            <w:pPr>
              <w:pStyle w:val="12"/>
              <w:spacing w:before="120" w:after="120" w:line="460" w:lineRule="atLeast"/>
              <w:jc w:val="center"/>
              <w:rPr>
                <w:rFonts w:hAnsi="宋体"/>
                <w:color w:val="auto"/>
                <w:highlight w:val="none"/>
              </w:rPr>
            </w:pPr>
          </w:p>
        </w:tc>
      </w:tr>
    </w:tbl>
    <w:p w14:paraId="175CE539">
      <w:pPr>
        <w:spacing w:line="440" w:lineRule="exact"/>
        <w:jc w:val="center"/>
        <w:rPr>
          <w:rFonts w:ascii="宋体" w:hAnsi="宋体"/>
          <w:b/>
          <w:color w:val="auto"/>
          <w:sz w:val="24"/>
          <w:highlight w:val="none"/>
        </w:rPr>
      </w:pPr>
      <w:r>
        <w:rPr>
          <w:rFonts w:hint="eastAsia" w:ascii="宋体"/>
          <w:b/>
          <w:color w:val="auto"/>
          <w:sz w:val="24"/>
          <w:highlight w:val="none"/>
        </w:rPr>
        <w:t>注：</w:t>
      </w:r>
      <w:r>
        <w:rPr>
          <w:rFonts w:hint="eastAsia" w:ascii="宋体" w:cs="Arial"/>
          <w:b/>
          <w:color w:val="auto"/>
          <w:sz w:val="24"/>
          <w:highlight w:val="none"/>
        </w:rPr>
        <w:t>投标人</w:t>
      </w:r>
      <w:r>
        <w:rPr>
          <w:rFonts w:hint="eastAsia" w:ascii="宋体"/>
          <w:b/>
          <w:color w:val="auto"/>
          <w:sz w:val="24"/>
          <w:highlight w:val="none"/>
        </w:rPr>
        <w:t>可按上述的格式自行编制，须随表提交相应的合同复印件或扫描件。</w:t>
      </w:r>
    </w:p>
    <w:p w14:paraId="6C273AF3">
      <w:pPr>
        <w:spacing w:line="440" w:lineRule="exact"/>
        <w:jc w:val="center"/>
        <w:rPr>
          <w:rFonts w:hint="eastAsia" w:ascii="宋体" w:hAnsi="宋体"/>
          <w:b/>
          <w:color w:val="auto"/>
          <w:sz w:val="24"/>
          <w:highlight w:val="none"/>
        </w:rPr>
      </w:pPr>
    </w:p>
    <w:p w14:paraId="273D1648">
      <w:pPr>
        <w:pStyle w:val="2"/>
        <w:ind w:firstLine="482"/>
        <w:rPr>
          <w:rFonts w:hint="eastAsia" w:ascii="宋体" w:hAnsi="宋体"/>
          <w:b/>
          <w:color w:val="auto"/>
          <w:highlight w:val="none"/>
        </w:rPr>
      </w:pPr>
    </w:p>
    <w:p w14:paraId="1DF37E2F">
      <w:pPr>
        <w:rPr>
          <w:color w:val="auto"/>
          <w:highlight w:val="none"/>
        </w:rPr>
        <w:sectPr>
          <w:footerReference r:id="rId6" w:type="default"/>
          <w:pgSz w:w="11906" w:h="16838"/>
          <w:pgMar w:top="1440" w:right="1800" w:bottom="1440" w:left="1800" w:header="851" w:footer="992" w:gutter="0"/>
          <w:cols w:space="720" w:num="1"/>
          <w:docGrid w:type="lines" w:linePitch="312" w:charSpace="0"/>
        </w:sectPr>
      </w:pPr>
    </w:p>
    <w:p w14:paraId="4F8414D6">
      <w:pPr>
        <w:rPr>
          <w:rFonts w:ascii="宋体" w:hAnsi="宋体" w:cs="宋体"/>
          <w:color w:val="auto"/>
          <w:sz w:val="24"/>
          <w:highlight w:val="none"/>
        </w:rPr>
      </w:pPr>
    </w:p>
    <w:p w14:paraId="4D0FA5D7">
      <w:pPr>
        <w:rPr>
          <w:rFonts w:hint="eastAsia" w:ascii="宋体" w:hAnsi="宋体" w:cs="宋体"/>
          <w:b/>
          <w:color w:val="auto"/>
          <w:sz w:val="24"/>
          <w:highlight w:val="none"/>
          <w:lang w:bidi="ar"/>
        </w:rPr>
      </w:pPr>
      <w:r>
        <w:rPr>
          <w:rFonts w:hint="eastAsia" w:ascii="宋体" w:hAnsi="宋体" w:cs="宋体"/>
          <w:b/>
          <w:color w:val="auto"/>
          <w:sz w:val="24"/>
          <w:highlight w:val="none"/>
          <w:lang w:bidi="ar"/>
        </w:rPr>
        <w:t xml:space="preserve">格式八   </w:t>
      </w:r>
    </w:p>
    <w:p w14:paraId="3E4604E0">
      <w:pPr>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rPr>
        <w:t>八、商务</w:t>
      </w:r>
      <w:r>
        <w:rPr>
          <w:rFonts w:hint="eastAsia" w:ascii="仿宋" w:hAnsi="仿宋" w:eastAsia="仿宋" w:cs="仿宋"/>
          <w:b/>
          <w:bCs/>
          <w:color w:val="auto"/>
          <w:sz w:val="30"/>
          <w:szCs w:val="30"/>
          <w:highlight w:val="none"/>
          <w:lang w:val="zh-CN"/>
        </w:rPr>
        <w:t>响应表</w:t>
      </w:r>
    </w:p>
    <w:p w14:paraId="332F9457">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tbl>
      <w:tblPr>
        <w:tblStyle w:val="20"/>
        <w:tblpPr w:leftFromText="180" w:rightFromText="180" w:vertAnchor="text" w:horzAnchor="page" w:tblpX="1632" w:tblpY="391"/>
        <w:tblOverlap w:val="never"/>
        <w:tblW w:w="91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6"/>
        <w:gridCol w:w="3267"/>
        <w:gridCol w:w="2402"/>
        <w:gridCol w:w="2593"/>
      </w:tblGrid>
      <w:tr w14:paraId="3AF2C7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42D7C56">
            <w:pPr>
              <w:autoSpaceDE/>
              <w:autoSpaceDN/>
              <w:adjustRightInd/>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43294DBD">
            <w:pPr>
              <w:autoSpaceDE/>
              <w:autoSpaceDN/>
              <w:adjustRightInd/>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采购文件要求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09B2277">
            <w:pPr>
              <w:autoSpaceDE/>
              <w:autoSpaceDN/>
              <w:adjustRightInd/>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是否响应</w:t>
            </w:r>
          </w:p>
        </w:tc>
        <w:tc>
          <w:tcPr>
            <w:tcW w:w="2593" w:type="dxa"/>
            <w:tcBorders>
              <w:top w:val="single" w:color="auto" w:sz="4" w:space="0"/>
              <w:left w:val="single" w:color="auto" w:sz="4" w:space="0"/>
              <w:bottom w:val="single" w:color="auto" w:sz="4" w:space="0"/>
              <w:right w:val="single" w:color="auto" w:sz="4" w:space="0"/>
            </w:tcBorders>
            <w:noWrap w:val="0"/>
            <w:vAlign w:val="center"/>
          </w:tcPr>
          <w:p w14:paraId="7E7B659C">
            <w:pPr>
              <w:autoSpaceDE/>
              <w:autoSpaceDN/>
              <w:adjustRightInd/>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供应商的承诺或说明</w:t>
            </w:r>
          </w:p>
        </w:tc>
      </w:tr>
      <w:tr w14:paraId="49AEFA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B3169A4">
            <w:pPr>
              <w:spacing w:line="340" w:lineRule="exact"/>
              <w:jc w:val="center"/>
              <w:rPr>
                <w:rFonts w:hint="eastAsia" w:ascii="宋体" w:hAnsi="宋体" w:eastAsia="宋体" w:cs="宋体"/>
                <w:color w:val="auto"/>
                <w:sz w:val="24"/>
                <w:szCs w:val="24"/>
                <w:highlight w:val="none"/>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05FDF015">
            <w:pPr>
              <w:snapToGrid w:val="0"/>
              <w:spacing w:before="156" w:beforeLines="50" w:line="360" w:lineRule="auto"/>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1102984">
            <w:pPr>
              <w:snapToGrid w:val="0"/>
              <w:spacing w:before="156" w:beforeLines="50" w:line="360" w:lineRule="auto"/>
              <w:ind w:left="43"/>
              <w:jc w:val="center"/>
              <w:rPr>
                <w:rFonts w:hint="eastAsia" w:ascii="宋体" w:hAnsi="宋体" w:eastAsia="宋体" w:cs="宋体"/>
                <w:color w:val="auto"/>
                <w:sz w:val="24"/>
                <w:szCs w:val="24"/>
                <w:highlight w:val="none"/>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52487E7F">
            <w:pPr>
              <w:snapToGrid w:val="0"/>
              <w:spacing w:before="156" w:beforeLines="50" w:line="360" w:lineRule="auto"/>
              <w:ind w:left="43"/>
              <w:jc w:val="center"/>
              <w:rPr>
                <w:rFonts w:hint="eastAsia" w:ascii="宋体" w:hAnsi="宋体" w:eastAsia="宋体" w:cs="宋体"/>
                <w:color w:val="auto"/>
                <w:sz w:val="24"/>
                <w:szCs w:val="24"/>
                <w:highlight w:val="none"/>
              </w:rPr>
            </w:pPr>
          </w:p>
        </w:tc>
      </w:tr>
      <w:tr w14:paraId="1F3618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09F5EC">
            <w:pPr>
              <w:spacing w:line="340" w:lineRule="exact"/>
              <w:jc w:val="center"/>
              <w:rPr>
                <w:rFonts w:hint="eastAsia" w:ascii="宋体" w:hAnsi="宋体" w:eastAsia="宋体" w:cs="宋体"/>
                <w:color w:val="auto"/>
                <w:sz w:val="24"/>
                <w:szCs w:val="24"/>
                <w:highlight w:val="none"/>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6376C23">
            <w:pPr>
              <w:snapToGrid w:val="0"/>
              <w:spacing w:before="156" w:beforeLines="50" w:line="360" w:lineRule="auto"/>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7DDC5A2C">
            <w:pPr>
              <w:snapToGrid w:val="0"/>
              <w:spacing w:before="156" w:beforeLines="50" w:line="360" w:lineRule="auto"/>
              <w:jc w:val="center"/>
              <w:rPr>
                <w:rFonts w:hint="eastAsia" w:ascii="宋体" w:hAnsi="宋体" w:eastAsia="宋体" w:cs="宋体"/>
                <w:color w:val="auto"/>
                <w:sz w:val="24"/>
                <w:szCs w:val="24"/>
                <w:highlight w:val="none"/>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62651C45">
            <w:pPr>
              <w:snapToGrid w:val="0"/>
              <w:spacing w:before="156" w:beforeLines="50" w:line="360" w:lineRule="auto"/>
              <w:jc w:val="center"/>
              <w:rPr>
                <w:rFonts w:hint="eastAsia" w:ascii="宋体" w:hAnsi="宋体" w:eastAsia="宋体" w:cs="宋体"/>
                <w:color w:val="auto"/>
                <w:sz w:val="24"/>
                <w:szCs w:val="24"/>
                <w:highlight w:val="none"/>
              </w:rPr>
            </w:pPr>
          </w:p>
        </w:tc>
      </w:tr>
      <w:tr w14:paraId="6644A6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6"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BDE94C7">
            <w:pPr>
              <w:spacing w:line="340" w:lineRule="exact"/>
              <w:jc w:val="center"/>
              <w:rPr>
                <w:rFonts w:hint="eastAsia" w:ascii="宋体" w:hAnsi="宋体" w:eastAsia="宋体" w:cs="宋体"/>
                <w:color w:val="auto"/>
                <w:sz w:val="24"/>
                <w:szCs w:val="24"/>
                <w:highlight w:val="none"/>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16D5DEA0">
            <w:pPr>
              <w:snapToGrid w:val="0"/>
              <w:spacing w:before="156" w:beforeLines="50" w:line="360" w:lineRule="auto"/>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5837194">
            <w:pPr>
              <w:snapToGrid w:val="0"/>
              <w:spacing w:before="156" w:beforeLines="50" w:line="360" w:lineRule="auto"/>
              <w:jc w:val="center"/>
              <w:rPr>
                <w:rFonts w:hint="eastAsia" w:ascii="宋体" w:hAnsi="宋体" w:eastAsia="宋体" w:cs="宋体"/>
                <w:color w:val="auto"/>
                <w:sz w:val="24"/>
                <w:szCs w:val="24"/>
                <w:highlight w:val="none"/>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673B53D3">
            <w:pPr>
              <w:snapToGrid w:val="0"/>
              <w:spacing w:before="156" w:beforeLines="50" w:line="360" w:lineRule="auto"/>
              <w:jc w:val="center"/>
              <w:rPr>
                <w:rFonts w:hint="eastAsia" w:ascii="宋体" w:hAnsi="宋体" w:eastAsia="宋体" w:cs="宋体"/>
                <w:color w:val="auto"/>
                <w:sz w:val="24"/>
                <w:szCs w:val="24"/>
                <w:highlight w:val="none"/>
              </w:rPr>
            </w:pPr>
          </w:p>
        </w:tc>
      </w:tr>
      <w:tr w14:paraId="7CAE9C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54785D9">
            <w:pPr>
              <w:snapToGrid w:val="0"/>
              <w:spacing w:before="156" w:beforeLines="50" w:line="360" w:lineRule="auto"/>
              <w:jc w:val="center"/>
              <w:rPr>
                <w:rFonts w:hint="eastAsia" w:ascii="宋体" w:hAnsi="宋体" w:eastAsia="宋体" w:cs="宋体"/>
                <w:color w:val="auto"/>
                <w:sz w:val="24"/>
                <w:szCs w:val="24"/>
                <w:highlight w:val="none"/>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55C9F2F5">
            <w:pPr>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31ABA97C">
            <w:pPr>
              <w:snapToGrid w:val="0"/>
              <w:spacing w:before="156" w:beforeLines="50" w:line="360" w:lineRule="auto"/>
              <w:jc w:val="center"/>
              <w:rPr>
                <w:rFonts w:hint="eastAsia" w:ascii="宋体" w:hAnsi="宋体" w:eastAsia="宋体" w:cs="宋体"/>
                <w:color w:val="auto"/>
                <w:sz w:val="24"/>
                <w:szCs w:val="24"/>
                <w:highlight w:val="none"/>
              </w:rPr>
            </w:pPr>
          </w:p>
        </w:tc>
        <w:tc>
          <w:tcPr>
            <w:tcW w:w="2593" w:type="dxa"/>
            <w:tcBorders>
              <w:top w:val="single" w:color="auto" w:sz="4" w:space="0"/>
              <w:left w:val="single" w:color="auto" w:sz="4" w:space="0"/>
              <w:bottom w:val="single" w:color="auto" w:sz="4" w:space="0"/>
              <w:right w:val="single" w:color="auto" w:sz="4" w:space="0"/>
            </w:tcBorders>
            <w:noWrap w:val="0"/>
            <w:vAlign w:val="center"/>
          </w:tcPr>
          <w:p w14:paraId="752A9755">
            <w:pPr>
              <w:snapToGrid w:val="0"/>
              <w:spacing w:before="156" w:beforeLines="50" w:line="360" w:lineRule="auto"/>
              <w:jc w:val="center"/>
              <w:rPr>
                <w:rFonts w:hint="eastAsia" w:ascii="宋体" w:hAnsi="宋体" w:eastAsia="宋体" w:cs="宋体"/>
                <w:color w:val="auto"/>
                <w:sz w:val="24"/>
                <w:szCs w:val="24"/>
                <w:highlight w:val="none"/>
              </w:rPr>
            </w:pPr>
          </w:p>
        </w:tc>
      </w:tr>
    </w:tbl>
    <w:p w14:paraId="3464C2A0">
      <w:pPr>
        <w:spacing w:line="440" w:lineRule="atLeast"/>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备注：</w:t>
      </w:r>
      <w:r>
        <w:rPr>
          <w:rFonts w:hint="eastAsia" w:ascii="宋体" w:hAnsi="宋体" w:eastAsia="宋体" w:cs="宋体"/>
          <w:color w:val="auto"/>
          <w:sz w:val="24"/>
          <w:szCs w:val="24"/>
          <w:highlight w:val="none"/>
        </w:rPr>
        <w:t>1.投标人若不填写，则视为完全响应招标文件要求。</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rPr>
        <w:t xml:space="preserve">                      </w:t>
      </w:r>
    </w:p>
    <w:p w14:paraId="397EA002">
      <w:pPr>
        <w:spacing w:line="440" w:lineRule="atLeast"/>
        <w:ind w:left="6000" w:hanging="6000" w:hangingChars="2500"/>
        <w:rPr>
          <w:rFonts w:hint="eastAsia" w:ascii="宋体" w:hAnsi="宋体" w:eastAsia="宋体" w:cs="宋体"/>
          <w:color w:val="auto"/>
          <w:sz w:val="24"/>
          <w:szCs w:val="24"/>
          <w:highlight w:val="none"/>
        </w:rPr>
      </w:pPr>
    </w:p>
    <w:p w14:paraId="0DB570A9">
      <w:pPr>
        <w:spacing w:line="440" w:lineRule="atLeast"/>
        <w:ind w:left="6000" w:hanging="6000" w:hangingChars="2500"/>
        <w:jc w:val="center"/>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kern w:val="1"/>
          <w:sz w:val="24"/>
          <w:szCs w:val="24"/>
          <w:highlight w:val="none"/>
          <w:lang w:val="zh-CN"/>
        </w:rPr>
        <w:t>供应商全称（盖章）：</w:t>
      </w:r>
    </w:p>
    <w:p w14:paraId="22715EAE">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日期：  年  月   日</w:t>
      </w:r>
    </w:p>
    <w:p w14:paraId="5A47D755">
      <w:pPr>
        <w:spacing w:line="360" w:lineRule="auto"/>
        <w:rPr>
          <w:rFonts w:hint="eastAsia" w:ascii="仿宋" w:hAnsi="仿宋" w:eastAsia="仿宋" w:cs="仿宋"/>
          <w:color w:val="auto"/>
          <w:sz w:val="24"/>
          <w:szCs w:val="24"/>
          <w:highlight w:val="none"/>
        </w:rPr>
      </w:pPr>
    </w:p>
    <w:p w14:paraId="07FB2F44">
      <w:pPr>
        <w:rPr>
          <w:rFonts w:hint="eastAsia" w:ascii="宋体" w:hAnsi="宋体" w:cs="宋体"/>
          <w:color w:val="auto"/>
          <w:sz w:val="24"/>
          <w:highlight w:val="none"/>
        </w:rPr>
      </w:pPr>
    </w:p>
    <w:p w14:paraId="01B4E27E">
      <w:pPr>
        <w:rPr>
          <w:rFonts w:hint="eastAsia" w:ascii="宋体" w:hAnsi="宋体" w:cs="宋体"/>
          <w:color w:val="auto"/>
          <w:sz w:val="24"/>
          <w:highlight w:val="none"/>
        </w:rPr>
      </w:pPr>
    </w:p>
    <w:p w14:paraId="012A3241">
      <w:pPr>
        <w:rPr>
          <w:rFonts w:hint="eastAsia" w:ascii="宋体" w:hAnsi="宋体" w:cs="宋体"/>
          <w:color w:val="auto"/>
          <w:sz w:val="24"/>
          <w:highlight w:val="none"/>
        </w:rPr>
      </w:pPr>
    </w:p>
    <w:p w14:paraId="3AED77BB">
      <w:pPr>
        <w:rPr>
          <w:rFonts w:hint="eastAsia" w:ascii="宋体" w:hAnsi="宋体" w:cs="宋体"/>
          <w:color w:val="auto"/>
          <w:sz w:val="24"/>
          <w:highlight w:val="none"/>
        </w:rPr>
      </w:pPr>
    </w:p>
    <w:p w14:paraId="2DC7F24C">
      <w:pPr>
        <w:rPr>
          <w:rFonts w:hint="eastAsia" w:ascii="宋体" w:hAnsi="宋体" w:cs="宋体"/>
          <w:color w:val="auto"/>
          <w:sz w:val="24"/>
          <w:highlight w:val="none"/>
        </w:rPr>
      </w:pPr>
    </w:p>
    <w:p w14:paraId="7E5B2430">
      <w:pPr>
        <w:rPr>
          <w:rFonts w:hint="eastAsia" w:ascii="宋体" w:hAnsi="宋体" w:cs="宋体"/>
          <w:color w:val="auto"/>
          <w:sz w:val="24"/>
          <w:highlight w:val="none"/>
        </w:rPr>
      </w:pPr>
    </w:p>
    <w:p w14:paraId="2A272E4B">
      <w:pPr>
        <w:rPr>
          <w:rFonts w:hint="eastAsia" w:ascii="宋体" w:hAnsi="宋体" w:cs="宋体"/>
          <w:color w:val="auto"/>
          <w:sz w:val="24"/>
          <w:highlight w:val="none"/>
        </w:rPr>
      </w:pPr>
    </w:p>
    <w:p w14:paraId="3E9F9F2C">
      <w:pPr>
        <w:rPr>
          <w:rFonts w:hint="eastAsia" w:ascii="宋体" w:hAnsi="宋体" w:cs="宋体"/>
          <w:color w:val="auto"/>
          <w:sz w:val="24"/>
          <w:highlight w:val="none"/>
        </w:rPr>
      </w:pPr>
    </w:p>
    <w:p w14:paraId="3F4B5639">
      <w:pPr>
        <w:rPr>
          <w:rFonts w:hint="eastAsia" w:ascii="宋体" w:hAnsi="宋体" w:cs="宋体"/>
          <w:color w:val="auto"/>
          <w:sz w:val="24"/>
          <w:highlight w:val="none"/>
        </w:rPr>
      </w:pPr>
    </w:p>
    <w:p w14:paraId="5FA036C2">
      <w:pPr>
        <w:rPr>
          <w:rFonts w:hint="eastAsia" w:ascii="宋体" w:hAnsi="宋体" w:cs="宋体"/>
          <w:color w:val="auto"/>
          <w:sz w:val="24"/>
          <w:highlight w:val="none"/>
        </w:rPr>
      </w:pPr>
    </w:p>
    <w:p w14:paraId="08E07A31">
      <w:pPr>
        <w:rPr>
          <w:rFonts w:hint="eastAsia" w:ascii="宋体" w:hAnsi="宋体" w:cs="宋体"/>
          <w:color w:val="auto"/>
          <w:sz w:val="24"/>
          <w:highlight w:val="none"/>
        </w:rPr>
      </w:pPr>
    </w:p>
    <w:p w14:paraId="731F286B">
      <w:pPr>
        <w:rPr>
          <w:rFonts w:hint="eastAsia" w:ascii="宋体" w:hAnsi="宋体" w:cs="宋体"/>
          <w:color w:val="auto"/>
          <w:sz w:val="24"/>
          <w:highlight w:val="none"/>
        </w:rPr>
      </w:pPr>
    </w:p>
    <w:p w14:paraId="2641E215">
      <w:pPr>
        <w:rPr>
          <w:rFonts w:hint="eastAsia" w:ascii="宋体" w:hAnsi="宋体" w:cs="宋体"/>
          <w:color w:val="auto"/>
          <w:sz w:val="24"/>
          <w:highlight w:val="none"/>
        </w:rPr>
      </w:pPr>
    </w:p>
    <w:p w14:paraId="29D2F07E">
      <w:pPr>
        <w:rPr>
          <w:rFonts w:hint="eastAsia" w:ascii="宋体" w:hAnsi="宋体" w:cs="宋体"/>
          <w:color w:val="auto"/>
          <w:sz w:val="24"/>
          <w:highlight w:val="none"/>
        </w:rPr>
      </w:pPr>
    </w:p>
    <w:p w14:paraId="49016796">
      <w:pPr>
        <w:rPr>
          <w:rFonts w:hint="eastAsia" w:ascii="宋体" w:hAnsi="宋体" w:cs="宋体"/>
          <w:color w:val="auto"/>
          <w:sz w:val="24"/>
          <w:highlight w:val="none"/>
        </w:rPr>
      </w:pPr>
    </w:p>
    <w:p w14:paraId="31BF1D4C">
      <w:pPr>
        <w:rPr>
          <w:rFonts w:hint="eastAsia" w:ascii="宋体" w:hAnsi="宋体" w:cs="宋体"/>
          <w:color w:val="auto"/>
          <w:sz w:val="24"/>
          <w:highlight w:val="none"/>
        </w:rPr>
      </w:pPr>
    </w:p>
    <w:p w14:paraId="2C1D3F17">
      <w:pPr>
        <w:rPr>
          <w:rFonts w:hint="eastAsia" w:ascii="宋体" w:hAnsi="宋体" w:cs="宋体"/>
          <w:color w:val="auto"/>
          <w:sz w:val="24"/>
          <w:highlight w:val="none"/>
        </w:rPr>
      </w:pPr>
    </w:p>
    <w:p w14:paraId="137344D1">
      <w:pPr>
        <w:rPr>
          <w:rFonts w:hint="eastAsia" w:ascii="宋体" w:hAnsi="宋体" w:cs="宋体"/>
          <w:color w:val="auto"/>
          <w:sz w:val="24"/>
          <w:highlight w:val="none"/>
        </w:rPr>
      </w:pPr>
    </w:p>
    <w:p w14:paraId="75864D8A">
      <w:pPr>
        <w:rPr>
          <w:rFonts w:hint="eastAsia" w:ascii="宋体" w:hAnsi="宋体" w:cs="宋体"/>
          <w:color w:val="auto"/>
          <w:sz w:val="24"/>
          <w:highlight w:val="none"/>
        </w:rPr>
      </w:pPr>
    </w:p>
    <w:p w14:paraId="0D3ED3AB">
      <w:pPr>
        <w:rPr>
          <w:rFonts w:hint="eastAsia" w:ascii="宋体" w:hAnsi="宋体" w:cs="宋体"/>
          <w:color w:val="auto"/>
          <w:sz w:val="24"/>
          <w:highlight w:val="none"/>
        </w:rPr>
      </w:pPr>
    </w:p>
    <w:p w14:paraId="0C99F6A3">
      <w:pPr>
        <w:rPr>
          <w:rFonts w:hint="eastAsia" w:ascii="宋体" w:hAnsi="宋体" w:cs="宋体"/>
          <w:color w:val="auto"/>
          <w:sz w:val="24"/>
          <w:highlight w:val="none"/>
        </w:rPr>
      </w:pPr>
    </w:p>
    <w:p w14:paraId="702C24FD">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九</w:t>
      </w:r>
    </w:p>
    <w:p w14:paraId="7736BE57">
      <w:pPr>
        <w:jc w:val="center"/>
        <w:rPr>
          <w:rFonts w:ascii="宋体" w:hAnsi="宋体" w:cs="宋体"/>
          <w:b/>
          <w:color w:val="auto"/>
          <w:sz w:val="32"/>
          <w:szCs w:val="32"/>
          <w:highlight w:val="none"/>
          <w:u w:val="single"/>
        </w:rPr>
      </w:pPr>
    </w:p>
    <w:p w14:paraId="0196A61A">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w:t>
      </w:r>
    </w:p>
    <w:p w14:paraId="364E131F">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开标一览表</w:t>
      </w:r>
    </w:p>
    <w:p w14:paraId="5A776442">
      <w:pPr>
        <w:widowControl/>
        <w:jc w:val="center"/>
        <w:rPr>
          <w:rFonts w:hint="eastAsia" w:ascii="宋体" w:hAnsi="宋体" w:cs="宋体"/>
          <w:b/>
          <w:bCs/>
          <w:color w:val="auto"/>
          <w:sz w:val="32"/>
          <w:szCs w:val="32"/>
          <w:highlight w:val="none"/>
        </w:rPr>
      </w:pPr>
    </w:p>
    <w:p w14:paraId="643BAFFC">
      <w:pPr>
        <w:widowControl/>
        <w:jc w:val="center"/>
        <w:rPr>
          <w:rFonts w:ascii="宋体"/>
          <w:color w:val="auto"/>
          <w:sz w:val="24"/>
          <w:highlight w:val="none"/>
        </w:rPr>
      </w:pPr>
      <w:r>
        <w:rPr>
          <w:rFonts w:hint="eastAsia" w:ascii="宋体" w:hAnsi="宋体" w:cs="宋体"/>
          <w:color w:val="auto"/>
          <w:sz w:val="24"/>
          <w:highlight w:val="none"/>
        </w:rPr>
        <w:t>项目编号：</w:t>
      </w:r>
    </w:p>
    <w:tbl>
      <w:tblPr>
        <w:tblStyle w:val="20"/>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5"/>
        <w:gridCol w:w="1690"/>
        <w:gridCol w:w="1878"/>
        <w:gridCol w:w="1438"/>
        <w:gridCol w:w="1459"/>
      </w:tblGrid>
      <w:tr w14:paraId="6A4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6" w:type="dxa"/>
            <w:vAlign w:val="center"/>
          </w:tcPr>
          <w:p w14:paraId="671EC49F">
            <w:pPr>
              <w:adjustRightInd/>
              <w:spacing w:line="38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75" w:type="dxa"/>
            <w:vAlign w:val="center"/>
          </w:tcPr>
          <w:p w14:paraId="7702CED9">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690" w:type="dxa"/>
            <w:vAlign w:val="center"/>
          </w:tcPr>
          <w:p w14:paraId="0216550D">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1878" w:type="dxa"/>
            <w:vAlign w:val="center"/>
          </w:tcPr>
          <w:p w14:paraId="6CE6CBDA">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数量/年</w:t>
            </w:r>
          </w:p>
        </w:tc>
        <w:tc>
          <w:tcPr>
            <w:tcW w:w="1438" w:type="dxa"/>
            <w:vAlign w:val="center"/>
          </w:tcPr>
          <w:p w14:paraId="785A15CC">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单价（元）</w:t>
            </w:r>
          </w:p>
        </w:tc>
        <w:tc>
          <w:tcPr>
            <w:tcW w:w="1459" w:type="dxa"/>
            <w:vAlign w:val="center"/>
          </w:tcPr>
          <w:p w14:paraId="7CBC80D7">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总价</w:t>
            </w:r>
          </w:p>
          <w:p w14:paraId="2F78284B">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（元）</w:t>
            </w:r>
          </w:p>
        </w:tc>
      </w:tr>
      <w:tr w14:paraId="7CF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76" w:type="dxa"/>
            <w:vAlign w:val="center"/>
          </w:tcPr>
          <w:p w14:paraId="4E6156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75" w:type="dxa"/>
            <w:vAlign w:val="center"/>
          </w:tcPr>
          <w:p w14:paraId="04F234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5项指标检测</w:t>
            </w:r>
          </w:p>
        </w:tc>
        <w:tc>
          <w:tcPr>
            <w:tcW w:w="1690" w:type="dxa"/>
            <w:vAlign w:val="center"/>
          </w:tcPr>
          <w:p w14:paraId="3031F4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次</w:t>
            </w:r>
          </w:p>
        </w:tc>
        <w:tc>
          <w:tcPr>
            <w:tcW w:w="1878" w:type="dxa"/>
            <w:vAlign w:val="center"/>
          </w:tcPr>
          <w:p w14:paraId="26B612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1784</w:t>
            </w:r>
          </w:p>
        </w:tc>
        <w:tc>
          <w:tcPr>
            <w:tcW w:w="1438" w:type="dxa"/>
            <w:vAlign w:val="center"/>
          </w:tcPr>
          <w:p w14:paraId="7ECB9C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c>
          <w:tcPr>
            <w:tcW w:w="1459" w:type="dxa"/>
            <w:vMerge w:val="restart"/>
            <w:vAlign w:val="center"/>
          </w:tcPr>
          <w:p w14:paraId="54179D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1BF4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76" w:type="dxa"/>
            <w:vAlign w:val="center"/>
          </w:tcPr>
          <w:p w14:paraId="18A099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75" w:type="dxa"/>
            <w:vAlign w:val="center"/>
          </w:tcPr>
          <w:p w14:paraId="0C7D99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8项指标检测</w:t>
            </w:r>
          </w:p>
        </w:tc>
        <w:tc>
          <w:tcPr>
            <w:tcW w:w="1690" w:type="dxa"/>
            <w:vAlign w:val="center"/>
          </w:tcPr>
          <w:p w14:paraId="5C6291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次</w:t>
            </w:r>
          </w:p>
        </w:tc>
        <w:tc>
          <w:tcPr>
            <w:tcW w:w="1878" w:type="dxa"/>
            <w:vAlign w:val="center"/>
          </w:tcPr>
          <w:p w14:paraId="64D978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171</w:t>
            </w:r>
          </w:p>
        </w:tc>
        <w:tc>
          <w:tcPr>
            <w:tcW w:w="1438" w:type="dxa"/>
            <w:vAlign w:val="center"/>
          </w:tcPr>
          <w:p w14:paraId="15BDAE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c>
          <w:tcPr>
            <w:tcW w:w="1459" w:type="dxa"/>
            <w:vMerge w:val="continue"/>
            <w:vAlign w:val="center"/>
          </w:tcPr>
          <w:p w14:paraId="570E1A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2D4A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051" w:type="dxa"/>
            <w:gridSpan w:val="2"/>
            <w:vAlign w:val="center"/>
          </w:tcPr>
          <w:p w14:paraId="0902C1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服务期总报价</w:t>
            </w:r>
            <w:r>
              <w:rPr>
                <w:rFonts w:hint="eastAsia" w:ascii="宋体" w:hAnsi="宋体" w:cs="宋体"/>
                <w:color w:val="auto"/>
                <w:sz w:val="24"/>
                <w:szCs w:val="24"/>
                <w:highlight w:val="none"/>
                <w:lang w:val="en-US" w:eastAsia="zh-CN"/>
              </w:rPr>
              <w:t>（元）</w:t>
            </w:r>
          </w:p>
        </w:tc>
        <w:tc>
          <w:tcPr>
            <w:tcW w:w="6465" w:type="dxa"/>
            <w:gridSpan w:val="4"/>
            <w:vAlign w:val="center"/>
          </w:tcPr>
          <w:p w14:paraId="0C14393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小写：     </w:t>
            </w:r>
          </w:p>
          <w:p w14:paraId="4CA1F2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tc>
      </w:tr>
    </w:tbl>
    <w:p w14:paraId="133C30A6">
      <w:pPr>
        <w:pStyle w:val="19"/>
        <w:jc w:val="both"/>
        <w:rPr>
          <w:rFonts w:hint="eastAsia" w:ascii="宋体" w:hAnsi="宋体" w:eastAsia="宋体" w:cs="宋体"/>
          <w:color w:val="auto"/>
          <w:highlight w:val="none"/>
          <w:lang w:val="zh-CN"/>
        </w:rPr>
      </w:pPr>
    </w:p>
    <w:p w14:paraId="1FE88DA5">
      <w:pPr>
        <w:pStyle w:val="44"/>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及合同包含的所有风险、责任、招标代理费等各项全部费用</w:t>
      </w:r>
      <w:r>
        <w:rPr>
          <w:rFonts w:hint="eastAsia" w:ascii="宋体" w:hAnsi="宋体" w:eastAsia="宋体" w:cs="宋体"/>
          <w:color w:val="auto"/>
          <w:sz w:val="24"/>
          <w:szCs w:val="24"/>
          <w:highlight w:val="none"/>
        </w:rPr>
        <w:t>。</w:t>
      </w:r>
    </w:p>
    <w:p w14:paraId="57276EE0">
      <w:pPr>
        <w:spacing w:line="440" w:lineRule="atLeast"/>
        <w:rPr>
          <w:rFonts w:cs="仿宋_GB2312"/>
          <w:color w:val="auto"/>
          <w:kern w:val="1"/>
          <w:sz w:val="24"/>
          <w:szCs w:val="20"/>
          <w:highlight w:val="none"/>
          <w:lang w:val="zh-CN"/>
        </w:rPr>
      </w:pPr>
    </w:p>
    <w:p w14:paraId="4933E7B1">
      <w:pPr>
        <w:spacing w:line="440" w:lineRule="atLeast"/>
        <w:rPr>
          <w:color w:val="auto"/>
          <w:kern w:val="1"/>
          <w:sz w:val="24"/>
          <w:szCs w:val="24"/>
          <w:highlight w:val="none"/>
          <w:lang w:val="zh-CN"/>
        </w:rPr>
      </w:pPr>
      <w:r>
        <w:rPr>
          <w:color w:val="auto"/>
          <w:kern w:val="1"/>
          <w:sz w:val="24"/>
          <w:szCs w:val="24"/>
          <w:highlight w:val="none"/>
          <w:lang w:val="zh-CN"/>
        </w:rPr>
        <w:t>供应商全称（盖章）：</w:t>
      </w:r>
    </w:p>
    <w:p w14:paraId="7F9B0252">
      <w:pPr>
        <w:spacing w:line="440" w:lineRule="atLeast"/>
        <w:rPr>
          <w:color w:val="auto"/>
          <w:kern w:val="1"/>
          <w:sz w:val="24"/>
          <w:szCs w:val="24"/>
          <w:highlight w:val="none"/>
          <w:lang w:val="zh-CN"/>
        </w:rPr>
      </w:pPr>
      <w:r>
        <w:rPr>
          <w:rFonts w:hint="eastAsia" w:ascii="宋体" w:hAnsi="宋体" w:cs="宋体"/>
          <w:color w:val="auto"/>
          <w:sz w:val="24"/>
          <w:highlight w:val="none"/>
          <w:lang w:val="zh-CN"/>
        </w:rPr>
        <w:t>法定代表人或其授权代表（签字或盖章）</w:t>
      </w:r>
      <w:r>
        <w:rPr>
          <w:rFonts w:hint="eastAsia" w:ascii="宋体" w:hAnsi="宋体" w:cs="宋体"/>
          <w:color w:val="auto"/>
          <w:sz w:val="24"/>
          <w:highlight w:val="none"/>
        </w:rPr>
        <w:t>：</w:t>
      </w:r>
    </w:p>
    <w:p w14:paraId="4F85F0C5">
      <w:pPr>
        <w:spacing w:line="440" w:lineRule="atLeast"/>
        <w:rPr>
          <w:color w:val="auto"/>
          <w:kern w:val="1"/>
          <w:sz w:val="24"/>
          <w:szCs w:val="24"/>
          <w:highlight w:val="none"/>
          <w:lang w:val="zh-CN"/>
        </w:rPr>
      </w:pPr>
      <w:r>
        <w:rPr>
          <w:color w:val="auto"/>
          <w:kern w:val="1"/>
          <w:sz w:val="24"/>
          <w:szCs w:val="24"/>
          <w:highlight w:val="none"/>
          <w:lang w:val="zh-CN"/>
        </w:rPr>
        <w:t>日</w:t>
      </w:r>
      <w:r>
        <w:rPr>
          <w:rFonts w:hint="eastAsia"/>
          <w:color w:val="auto"/>
          <w:kern w:val="1"/>
          <w:sz w:val="24"/>
          <w:szCs w:val="24"/>
          <w:highlight w:val="none"/>
        </w:rPr>
        <w:t xml:space="preserve">  </w:t>
      </w:r>
      <w:r>
        <w:rPr>
          <w:color w:val="auto"/>
          <w:kern w:val="1"/>
          <w:sz w:val="24"/>
          <w:szCs w:val="24"/>
          <w:highlight w:val="none"/>
          <w:lang w:val="zh-CN"/>
        </w:rPr>
        <w:t>期：</w:t>
      </w:r>
    </w:p>
    <w:p w14:paraId="232605C7">
      <w:pPr>
        <w:pStyle w:val="12"/>
        <w:adjustRightInd w:val="0"/>
        <w:snapToGrid w:val="0"/>
        <w:spacing w:line="440" w:lineRule="atLeast"/>
        <w:rPr>
          <w:rFonts w:hAnsi="宋体" w:cs="宋体"/>
          <w:color w:val="auto"/>
          <w:sz w:val="30"/>
          <w:highlight w:val="none"/>
        </w:rPr>
      </w:pPr>
    </w:p>
    <w:p w14:paraId="7B9E1710">
      <w:pPr>
        <w:rPr>
          <w:rFonts w:hint="eastAsia" w:ascii="宋体" w:hAnsi="宋体" w:cs="宋体"/>
          <w:color w:val="auto"/>
          <w:sz w:val="24"/>
          <w:highlight w:val="none"/>
        </w:rPr>
      </w:pPr>
    </w:p>
    <w:p w14:paraId="1AB90488">
      <w:pPr>
        <w:rPr>
          <w:rFonts w:hint="eastAsia" w:ascii="宋体" w:hAnsi="宋体" w:cs="宋体"/>
          <w:color w:val="auto"/>
          <w:sz w:val="24"/>
          <w:highlight w:val="none"/>
        </w:rPr>
      </w:pPr>
    </w:p>
    <w:p w14:paraId="272816B7">
      <w:pPr>
        <w:rPr>
          <w:rFonts w:hint="eastAsia" w:ascii="宋体" w:hAnsi="宋体" w:eastAsia="宋体" w:cs="宋体"/>
          <w:color w:val="auto"/>
          <w:highlight w:val="none"/>
          <w:lang w:val="en-US" w:eastAsia="zh-CN"/>
        </w:rPr>
      </w:pPr>
      <w:r>
        <w:rPr>
          <w:rFonts w:hint="eastAsia" w:ascii="宋体" w:hAnsi="宋体" w:cs="宋体"/>
          <w:color w:val="auto"/>
          <w:sz w:val="24"/>
          <w:highlight w:val="none"/>
        </w:rPr>
        <w:t>格式十</w:t>
      </w:r>
    </w:p>
    <w:p w14:paraId="76B57B63">
      <w:pPr>
        <w:jc w:val="center"/>
        <w:rPr>
          <w:rFonts w:hint="eastAsia" w:ascii="宋体" w:hAnsi="Courier New"/>
          <w:b/>
          <w:bCs/>
          <w:color w:val="auto"/>
          <w:sz w:val="32"/>
          <w:szCs w:val="22"/>
          <w:highlight w:val="none"/>
        </w:rPr>
      </w:pPr>
    </w:p>
    <w:p w14:paraId="32D4B8DF">
      <w:pPr>
        <w:jc w:val="center"/>
        <w:rPr>
          <w:rFonts w:hint="eastAsia" w:ascii="宋体" w:hAnsi="宋体" w:cs="宋体"/>
          <w:b/>
          <w:color w:val="auto"/>
          <w:sz w:val="40"/>
          <w:szCs w:val="40"/>
          <w:highlight w:val="none"/>
        </w:rPr>
      </w:pPr>
      <w:r>
        <w:rPr>
          <w:rFonts w:hint="eastAsia" w:ascii="宋体" w:hAnsi="Courier New"/>
          <w:b/>
          <w:bCs/>
          <w:color w:val="auto"/>
          <w:sz w:val="32"/>
          <w:szCs w:val="22"/>
          <w:highlight w:val="none"/>
        </w:rPr>
        <w:t>中小企业声明函（服务）</w:t>
      </w:r>
    </w:p>
    <w:p w14:paraId="6308CF05">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（非小微企业不用提供）</w:t>
      </w:r>
    </w:p>
    <w:p w14:paraId="68D961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本公司（联合体）郑重声明，根据《政府采购促进中小企业发展管理办法》 （财库﹝2020﹞46 号）的规定，本公司（联合体）参加</w:t>
      </w:r>
      <w:r>
        <w:rPr>
          <w:rFonts w:hint="eastAsia" w:ascii="宋体" w:hAnsi="宋体" w:cs="宋体"/>
          <w:color w:val="auto"/>
          <w:sz w:val="24"/>
          <w:highlight w:val="none"/>
          <w:u w:val="single"/>
        </w:rPr>
        <w:t xml:space="preserve"> （采购人名称   ）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采购活动，本企业的具体情况如下：</w:t>
      </w:r>
    </w:p>
    <w:p w14:paraId="568BAC3F">
      <w:pPr>
        <w:numPr>
          <w:ilvl w:val="0"/>
          <w:numId w:val="4"/>
        </w:num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C96E46">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27DA70">
      <w:pPr>
        <w:spacing w:line="360" w:lineRule="auto"/>
        <w:ind w:firstLine="484" w:firstLineChars="202"/>
        <w:rPr>
          <w:color w:val="auto"/>
          <w:highlight w:val="none"/>
        </w:rPr>
      </w:pPr>
      <w:r>
        <w:rPr>
          <w:rFonts w:hint="eastAsia" w:ascii="宋体" w:hAnsi="宋体"/>
          <w:color w:val="auto"/>
          <w:sz w:val="24"/>
          <w:highlight w:val="none"/>
        </w:rPr>
        <w:t>……</w:t>
      </w:r>
    </w:p>
    <w:p w14:paraId="52EC23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本企业，不属于大企业的分支机构，不存在控股股东为大企业的情形，也不存在与大企业的负责人为同一人的情形。</w:t>
      </w:r>
    </w:p>
    <w:p w14:paraId="74CE1D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17619F">
      <w:pPr>
        <w:spacing w:line="360" w:lineRule="auto"/>
        <w:ind w:right="420" w:firstLine="5880" w:firstLineChars="2450"/>
        <w:jc w:val="left"/>
        <w:rPr>
          <w:rFonts w:ascii="宋体" w:hAnsi="宋体" w:cs="宋体"/>
          <w:color w:val="auto"/>
          <w:sz w:val="24"/>
          <w:highlight w:val="none"/>
        </w:rPr>
      </w:pPr>
    </w:p>
    <w:p w14:paraId="16C72B2B">
      <w:pPr>
        <w:tabs>
          <w:tab w:val="left" w:pos="4410"/>
        </w:tabs>
        <w:spacing w:line="360" w:lineRule="auto"/>
        <w:ind w:right="420" w:firstLine="4320" w:firstLineChars="1800"/>
        <w:rPr>
          <w:rFonts w:ascii="宋体" w:hAnsi="宋体" w:cs="宋体"/>
          <w:color w:val="auto"/>
          <w:sz w:val="24"/>
          <w:highlight w:val="none"/>
        </w:rPr>
      </w:pPr>
      <w:r>
        <w:rPr>
          <w:rFonts w:hint="eastAsia" w:ascii="宋体" w:hAnsi="宋体" w:cs="宋体"/>
          <w:color w:val="auto"/>
          <w:sz w:val="24"/>
          <w:highlight w:val="none"/>
        </w:rPr>
        <w:t>企业名称（</w:t>
      </w:r>
      <w:r>
        <w:rPr>
          <w:rFonts w:hint="eastAsia" w:ascii="宋体" w:hAnsi="宋体" w:cs="宋体"/>
          <w:color w:val="auto"/>
          <w:sz w:val="24"/>
          <w:highlight w:val="none"/>
          <w:lang w:eastAsia="zh-CN"/>
        </w:rPr>
        <w:t>加盖CA签章</w:t>
      </w:r>
      <w:r>
        <w:rPr>
          <w:rFonts w:hint="eastAsia" w:ascii="宋体" w:hAnsi="宋体" w:cs="宋体"/>
          <w:color w:val="auto"/>
          <w:sz w:val="24"/>
          <w:highlight w:val="none"/>
        </w:rPr>
        <w:t xml:space="preserve">）： </w:t>
      </w:r>
    </w:p>
    <w:p w14:paraId="76422C94">
      <w:pPr>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2E8CBD6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2B7C3C83">
      <w:pPr>
        <w:rPr>
          <w:rFonts w:hint="eastAsia" w:hAnsi="宋体" w:eastAsia="宋体" w:cs="宋体"/>
          <w:b/>
          <w:bCs/>
          <w:color w:val="auto"/>
          <w:sz w:val="32"/>
          <w:szCs w:val="32"/>
          <w:highlight w:val="none"/>
          <w:lang w:eastAsia="zh-CN"/>
        </w:rPr>
      </w:pPr>
      <w:r>
        <w:rPr>
          <w:rFonts w:hint="eastAsia" w:ascii="宋体" w:hAnsi="宋体" w:cs="宋体"/>
          <w:color w:val="auto"/>
          <w:sz w:val="24"/>
          <w:highlight w:val="none"/>
        </w:rPr>
        <w:t>格式十</w:t>
      </w:r>
      <w:r>
        <w:rPr>
          <w:rFonts w:hint="eastAsia" w:ascii="宋体" w:hAnsi="宋体" w:cs="宋体"/>
          <w:color w:val="auto"/>
          <w:sz w:val="24"/>
          <w:highlight w:val="none"/>
          <w:lang w:val="en-US" w:eastAsia="zh-CN"/>
        </w:rPr>
        <w:t>一</w:t>
      </w:r>
    </w:p>
    <w:p w14:paraId="4AF4695F">
      <w:pPr>
        <w:spacing w:line="588" w:lineRule="exact"/>
        <w:jc w:val="center"/>
        <w:rPr>
          <w:rFonts w:ascii="宋体" w:hAnsi="宋体" w:cs="宋体"/>
          <w:b/>
          <w:color w:val="auto"/>
          <w:spacing w:val="6"/>
          <w:sz w:val="32"/>
          <w:szCs w:val="32"/>
          <w:highlight w:val="none"/>
        </w:rPr>
      </w:pPr>
    </w:p>
    <w:p w14:paraId="3F73D702">
      <w:pPr>
        <w:spacing w:line="588" w:lineRule="exact"/>
        <w:ind w:firstLine="2999" w:firstLineChars="90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0EFACEF0">
      <w:pPr>
        <w:spacing w:line="588" w:lineRule="exact"/>
        <w:rPr>
          <w:rFonts w:ascii="宋体" w:hAnsi="宋体" w:cs="宋体"/>
          <w:b/>
          <w:color w:val="auto"/>
          <w:spacing w:val="6"/>
          <w:sz w:val="30"/>
          <w:szCs w:val="30"/>
          <w:highlight w:val="none"/>
        </w:rPr>
      </w:pPr>
    </w:p>
    <w:p w14:paraId="11DF43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E1D5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8F1651">
      <w:pPr>
        <w:snapToGrid w:val="0"/>
        <w:spacing w:line="360" w:lineRule="auto"/>
        <w:ind w:firstLine="480" w:firstLineChars="200"/>
        <w:rPr>
          <w:rFonts w:ascii="宋体" w:hAnsi="宋体" w:cs="宋体"/>
          <w:color w:val="auto"/>
          <w:sz w:val="24"/>
          <w:highlight w:val="none"/>
        </w:rPr>
      </w:pPr>
    </w:p>
    <w:p w14:paraId="5E7BBEBF">
      <w:pPr>
        <w:spacing w:line="588" w:lineRule="exact"/>
        <w:ind w:firstLine="504" w:firstLineChars="200"/>
        <w:rPr>
          <w:rFonts w:ascii="宋体" w:hAnsi="宋体" w:cs="宋体"/>
          <w:color w:val="auto"/>
          <w:spacing w:val="6"/>
          <w:sz w:val="24"/>
          <w:highlight w:val="none"/>
        </w:rPr>
      </w:pPr>
    </w:p>
    <w:p w14:paraId="751C2393">
      <w:pPr>
        <w:snapToGrid w:val="0"/>
        <w:spacing w:line="360" w:lineRule="auto"/>
        <w:ind w:firstLine="480" w:firstLineChars="200"/>
        <w:jc w:val="center"/>
        <w:rPr>
          <w:rFonts w:ascii="宋体" w:hAnsi="宋体" w:cs="宋体"/>
          <w:color w:val="auto"/>
          <w:sz w:val="24"/>
          <w:highlight w:val="none"/>
        </w:rPr>
      </w:pPr>
    </w:p>
    <w:p w14:paraId="3566FFF9">
      <w:pPr>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27EED359">
      <w:pPr>
        <w:pStyle w:val="9"/>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30D8AF26">
      <w:pPr>
        <w:pStyle w:val="9"/>
        <w:rPr>
          <w:rFonts w:cs="宋体"/>
          <w:color w:val="auto"/>
          <w:sz w:val="24"/>
          <w:szCs w:val="24"/>
          <w:highlight w:val="none"/>
        </w:rPr>
      </w:pPr>
    </w:p>
    <w:p w14:paraId="3E8C98C8">
      <w:pPr>
        <w:pStyle w:val="9"/>
        <w:rPr>
          <w:rFonts w:cs="宋体"/>
          <w:color w:val="auto"/>
          <w:sz w:val="24"/>
          <w:szCs w:val="24"/>
          <w:highlight w:val="none"/>
        </w:rPr>
      </w:pPr>
    </w:p>
    <w:p w14:paraId="5F755738">
      <w:pPr>
        <w:spacing w:line="440" w:lineRule="exact"/>
        <w:rPr>
          <w:rFonts w:ascii="宋体" w:hAnsi="宋体"/>
          <w:color w:val="auto"/>
          <w:sz w:val="24"/>
          <w:highlight w:val="none"/>
        </w:rPr>
      </w:pPr>
    </w:p>
    <w:p w14:paraId="49CD1E8B">
      <w:pPr>
        <w:pStyle w:val="2"/>
        <w:ind w:firstLine="480"/>
        <w:rPr>
          <w:rFonts w:ascii="宋体" w:hAnsi="宋体"/>
          <w:color w:val="auto"/>
          <w:highlight w:val="none"/>
        </w:rPr>
      </w:pPr>
    </w:p>
    <w:p w14:paraId="589E274C">
      <w:pPr>
        <w:rPr>
          <w:color w:val="auto"/>
          <w:highlight w:val="none"/>
        </w:rPr>
      </w:pPr>
    </w:p>
    <w:p w14:paraId="74D261A4">
      <w:pPr>
        <w:rPr>
          <w:color w:val="auto"/>
          <w:highlight w:val="none"/>
        </w:rPr>
      </w:pPr>
    </w:p>
    <w:sectPr>
      <w:headerReference r:id="rId7" w:type="default"/>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4E10">
    <w:pPr>
      <w:pStyle w:val="13"/>
      <w:tabs>
        <w:tab w:val="left" w:pos="4049"/>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5899">
    <w:pPr>
      <w:pStyle w:val="13"/>
      <w:tabs>
        <w:tab w:val="left" w:pos="4049"/>
        <w:tab w:val="clear" w:pos="4153"/>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AD1C7B6">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14:paraId="0AD1C7B6">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2646">
    <w:pPr>
      <w:pStyle w:val="13"/>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41B5B8">
                          <w:pPr>
                            <w:pStyle w:val="13"/>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14:paraId="2B41B5B8">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1E5B">
    <w:pPr>
      <w:pStyle w:val="13"/>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478733">
                          <w:pPr>
                            <w:pStyle w:val="13"/>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14:paraId="75478733">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ABEC">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B7C7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6B7C7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B774">
    <w:pPr>
      <w:pStyle w:val="14"/>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196DE"/>
    <w:multiLevelType w:val="singleLevel"/>
    <w:tmpl w:val="838196DE"/>
    <w:lvl w:ilvl="0" w:tentative="0">
      <w:start w:val="3"/>
      <w:numFmt w:val="chineseCounting"/>
      <w:suff w:val="nothing"/>
      <w:lvlText w:val="（%1）"/>
      <w:lvlJc w:val="left"/>
      <w:rPr>
        <w:rFonts w:hint="eastAsia"/>
      </w:rPr>
    </w:lvl>
  </w:abstractNum>
  <w:abstractNum w:abstractNumId="1">
    <w:nsid w:val="9D4642CF"/>
    <w:multiLevelType w:val="singleLevel"/>
    <w:tmpl w:val="9D4642CF"/>
    <w:lvl w:ilvl="0" w:tentative="0">
      <w:start w:val="1"/>
      <w:numFmt w:val="decimal"/>
      <w:suff w:val="space"/>
      <w:lvlText w:val="%1."/>
      <w:lvlJc w:val="left"/>
    </w:lvl>
  </w:abstractNum>
  <w:abstractNum w:abstractNumId="2">
    <w:nsid w:val="F34A6465"/>
    <w:multiLevelType w:val="singleLevel"/>
    <w:tmpl w:val="F34A6465"/>
    <w:lvl w:ilvl="0" w:tentative="0">
      <w:start w:val="1"/>
      <w:numFmt w:val="decimal"/>
      <w:suff w:val="space"/>
      <w:lvlText w:val="%1."/>
      <w:lvlJc w:val="left"/>
    </w:lvl>
  </w:abstractNum>
  <w:abstractNum w:abstractNumId="3">
    <w:nsid w:val="6478CB27"/>
    <w:multiLevelType w:val="singleLevel"/>
    <w:tmpl w:val="6478CB27"/>
    <w:lvl w:ilvl="0" w:tentative="0">
      <w:start w:val="1"/>
      <w:numFmt w:val="decimal"/>
      <w:pStyle w:val="6"/>
      <w:lvlText w:val="%1."/>
      <w:lvlJc w:val="left"/>
      <w:pPr>
        <w:tabs>
          <w:tab w:val="left"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GZmMDgzYTFkM2E4ZTg1ZDljZjkyZDUyYTc4NDUifQ=="/>
  </w:docVars>
  <w:rsids>
    <w:rsidRoot w:val="4752394E"/>
    <w:rsid w:val="03E97F94"/>
    <w:rsid w:val="053F0D52"/>
    <w:rsid w:val="08BE7D3E"/>
    <w:rsid w:val="08C00949"/>
    <w:rsid w:val="0AE645D0"/>
    <w:rsid w:val="141F61C2"/>
    <w:rsid w:val="147049FA"/>
    <w:rsid w:val="158D7D69"/>
    <w:rsid w:val="19FD2C86"/>
    <w:rsid w:val="1A3C7780"/>
    <w:rsid w:val="2022365B"/>
    <w:rsid w:val="20767211"/>
    <w:rsid w:val="20B23CCB"/>
    <w:rsid w:val="223C0EC8"/>
    <w:rsid w:val="24DA18F5"/>
    <w:rsid w:val="2ABA3AEF"/>
    <w:rsid w:val="2B5207FA"/>
    <w:rsid w:val="2F297232"/>
    <w:rsid w:val="392635CF"/>
    <w:rsid w:val="3CFE2943"/>
    <w:rsid w:val="42115CC1"/>
    <w:rsid w:val="459040FF"/>
    <w:rsid w:val="45BE3E3B"/>
    <w:rsid w:val="46741639"/>
    <w:rsid w:val="4752394E"/>
    <w:rsid w:val="47D43CD1"/>
    <w:rsid w:val="50C4211C"/>
    <w:rsid w:val="53163CC7"/>
    <w:rsid w:val="58E579D9"/>
    <w:rsid w:val="5A852727"/>
    <w:rsid w:val="5C465241"/>
    <w:rsid w:val="5D8B17EF"/>
    <w:rsid w:val="5E2E48E2"/>
    <w:rsid w:val="62636276"/>
    <w:rsid w:val="62C63382"/>
    <w:rsid w:val="643C3F5A"/>
    <w:rsid w:val="65936F7E"/>
    <w:rsid w:val="67765CD0"/>
    <w:rsid w:val="6E6716A5"/>
    <w:rsid w:val="6E6C250F"/>
    <w:rsid w:val="711E4DBA"/>
    <w:rsid w:val="752575F9"/>
    <w:rsid w:val="77A95CE4"/>
    <w:rsid w:val="77BE0C05"/>
    <w:rsid w:val="7D98152E"/>
    <w:rsid w:val="7E125364"/>
    <w:rsid w:val="7EEB6625"/>
    <w:rsid w:val="DFAF5164"/>
    <w:rsid w:val="F72FC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autoSpaceDE/>
      <w:autoSpaceDN/>
      <w:adjustRightInd/>
      <w:spacing w:line="412" w:lineRule="auto"/>
      <w:outlineLvl w:val="1"/>
    </w:pPr>
    <w:rPr>
      <w:rFonts w:ascii="Arial" w:hAnsi="Arial" w:eastAsia="黑体"/>
      <w:b/>
      <w:bCs/>
      <w:color w:val="auto"/>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line="360" w:lineRule="auto"/>
      <w:ind w:firstLine="420" w:firstLineChars="200"/>
    </w:pPr>
    <w:rPr>
      <w:rFonts w:ascii="Calibri" w:hAnsi="Calibri"/>
      <w:sz w:val="24"/>
    </w:rPr>
  </w:style>
  <w:style w:type="paragraph" w:styleId="3">
    <w:name w:val="Body Text Indent"/>
    <w:basedOn w:val="1"/>
    <w:next w:val="1"/>
    <w:qFormat/>
    <w:uiPriority w:val="0"/>
    <w:pPr>
      <w:ind w:left="420" w:leftChars="200"/>
    </w:pPr>
    <w:rPr>
      <w:sz w:val="20"/>
    </w:rPr>
  </w:style>
  <w:style w:type="paragraph" w:styleId="6">
    <w:name w:val="List Number"/>
    <w:basedOn w:val="1"/>
    <w:qFormat/>
    <w:uiPriority w:val="0"/>
    <w:pPr>
      <w:numPr>
        <w:ilvl w:val="0"/>
        <w:numId w:val="1"/>
      </w:numPr>
    </w:pPr>
  </w:style>
  <w:style w:type="paragraph" w:styleId="7">
    <w:name w:val="Normal Indent"/>
    <w:basedOn w:val="1"/>
    <w:next w:val="3"/>
    <w:qFormat/>
    <w:uiPriority w:val="0"/>
    <w:pPr>
      <w:ind w:firstLine="420"/>
    </w:pPr>
  </w:style>
  <w:style w:type="paragraph" w:styleId="8">
    <w:name w:val="annotation text"/>
    <w:basedOn w:val="1"/>
    <w:qFormat/>
    <w:uiPriority w:val="0"/>
    <w:pPr>
      <w:jc w:val="left"/>
    </w:pPr>
  </w:style>
  <w:style w:type="paragraph" w:styleId="9">
    <w:name w:val="Body Text"/>
    <w:basedOn w:val="1"/>
    <w:next w:val="10"/>
    <w:qFormat/>
    <w:uiPriority w:val="0"/>
    <w:rPr>
      <w:sz w:val="20"/>
    </w:rPr>
  </w:style>
  <w:style w:type="paragraph" w:styleId="10">
    <w:name w:val="Body Text First Indent"/>
    <w:basedOn w:val="9"/>
    <w:semiHidden/>
    <w:qFormat/>
    <w:uiPriority w:val="99"/>
    <w:pPr>
      <w:ind w:firstLine="420" w:firstLineChars="100"/>
    </w:pPr>
    <w:rPr>
      <w:rFonts w:ascii="宋体"/>
      <w:sz w:val="34"/>
      <w:szCs w:val="22"/>
    </w:rPr>
  </w:style>
  <w:style w:type="paragraph" w:styleId="11">
    <w:name w:val="toc 3"/>
    <w:basedOn w:val="1"/>
    <w:next w:val="1"/>
    <w:qFormat/>
    <w:uiPriority w:val="0"/>
    <w:pPr>
      <w:ind w:left="400" w:leftChars="400"/>
    </w:pPr>
    <w:rPr>
      <w:rFonts w:ascii="Calibri" w:hAnsi="Calibri" w:cs="Calibri"/>
    </w:rPr>
  </w:style>
  <w:style w:type="paragraph" w:styleId="12">
    <w:name w:val="Plain Text"/>
    <w:basedOn w:val="1"/>
    <w:qFormat/>
    <w:uiPriority w:val="0"/>
    <w:pPr>
      <w:autoSpaceDE/>
      <w:autoSpaceDN/>
      <w:adjustRightInd/>
    </w:pPr>
    <w:rPr>
      <w:color w:val="auto"/>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jc w:val="left"/>
    </w:pPr>
    <w:rPr>
      <w:rFonts w:ascii="仿宋_GB2312" w:eastAsia="仿宋_GB2312"/>
      <w:sz w:val="18"/>
      <w:szCs w:val="18"/>
    </w:rPr>
  </w:style>
  <w:style w:type="paragraph" w:styleId="16">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7">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18">
    <w:name w:val="Normal (Web)"/>
    <w:basedOn w:val="1"/>
    <w:qFormat/>
    <w:uiPriority w:val="0"/>
    <w:pPr>
      <w:widowControl/>
      <w:autoSpaceDE/>
      <w:autoSpaceDN/>
      <w:adjustRightInd/>
      <w:spacing w:beforeAutospacing="1" w:afterAutospacing="1"/>
      <w:jc w:val="left"/>
    </w:pPr>
    <w:rPr>
      <w:rFonts w:ascii="宋体" w:hAnsi="宋体"/>
      <w:sz w:val="24"/>
      <w:szCs w:val="24"/>
    </w:rPr>
  </w:style>
  <w:style w:type="paragraph" w:styleId="19">
    <w:name w:val="Title"/>
    <w:basedOn w:val="1"/>
    <w:next w:val="1"/>
    <w:qFormat/>
    <w:uiPriority w:val="0"/>
    <w:pPr>
      <w:jc w:val="center"/>
      <w:outlineLvl w:val="0"/>
    </w:pPr>
    <w:rPr>
      <w:rFonts w:ascii="Cambria" w:hAnsi="Cambria"/>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0"/>
    <w:rPr>
      <w:color w:val="0000FF"/>
      <w:u w:val="single"/>
    </w:rPr>
  </w:style>
  <w:style w:type="paragraph" w:customStyle="1" w:styleId="24">
    <w:name w:val="正文首行缩进 21"/>
    <w:basedOn w:val="25"/>
    <w:qFormat/>
    <w:uiPriority w:val="0"/>
    <w:pPr>
      <w:spacing w:beforeAutospacing="0" w:after="120" w:afterAutospacing="0" w:line="240" w:lineRule="auto"/>
      <w:ind w:left="420" w:leftChars="200" w:firstLine="420"/>
    </w:pPr>
    <w:rPr>
      <w:szCs w:val="21"/>
    </w:rPr>
  </w:style>
  <w:style w:type="paragraph" w:customStyle="1" w:styleId="25">
    <w:name w:val="正文文本缩进1"/>
    <w:basedOn w:val="1"/>
    <w:next w:val="1"/>
    <w:qFormat/>
    <w:uiPriority w:val="0"/>
    <w:pPr>
      <w:spacing w:beforeAutospacing="0" w:afterAutospacing="0" w:line="400" w:lineRule="atLeast"/>
      <w:ind w:left="210" w:firstLine="210"/>
    </w:pPr>
    <w:rPr>
      <w:rFonts w:ascii="宋体" w:hAnsi="宋体"/>
      <w:szCs w:val="20"/>
    </w:rPr>
  </w:style>
  <w:style w:type="paragraph" w:customStyle="1" w:styleId="26">
    <w:name w:val="正文（首行缩进2字符）"/>
    <w:basedOn w:val="1"/>
    <w:qFormat/>
    <w:uiPriority w:val="0"/>
    <w:pPr>
      <w:ind w:firstLine="480" w:firstLineChars="200"/>
    </w:pPr>
    <w:rPr>
      <w:kern w:val="2"/>
    </w:rPr>
  </w:style>
  <w:style w:type="paragraph" w:customStyle="1" w:styleId="27">
    <w:name w:val="正文2"/>
    <w:basedOn w:val="1"/>
    <w:qFormat/>
    <w:uiPriority w:val="0"/>
    <w:pPr>
      <w:spacing w:line="360" w:lineRule="auto"/>
      <w:ind w:firstLine="510" w:firstLineChars="200"/>
    </w:pPr>
    <w:rPr>
      <w:sz w:val="24"/>
      <w:szCs w:val="20"/>
    </w:rPr>
  </w:style>
  <w:style w:type="paragraph" w:customStyle="1" w:styleId="28">
    <w:name w:val="保留正文"/>
    <w:basedOn w:val="9"/>
    <w:qFormat/>
    <w:uiPriority w:val="0"/>
    <w:pPr>
      <w:keepNext/>
    </w:pPr>
    <w:rPr>
      <w:rFonts w:ascii="Calibri" w:hAnsi="Calibri"/>
    </w:rPr>
  </w:style>
  <w:style w:type="paragraph" w:customStyle="1" w:styleId="29">
    <w:name w:val="正文 + 宋体"/>
    <w:basedOn w:val="1"/>
    <w:qFormat/>
    <w:uiPriority w:val="0"/>
    <w:pPr>
      <w:spacing w:beforeLines="10" w:line="400" w:lineRule="atLeast"/>
      <w:ind w:firstLine="420"/>
    </w:pPr>
    <w:rPr>
      <w:rFonts w:ascii="宋体" w:hAnsi="宋体"/>
      <w:szCs w:val="20"/>
    </w:rPr>
  </w:style>
  <w:style w:type="paragraph" w:customStyle="1" w:styleId="30">
    <w:name w:val="表格文字"/>
    <w:basedOn w:val="31"/>
    <w:next w:val="9"/>
    <w:qFormat/>
    <w:uiPriority w:val="0"/>
    <w:pPr>
      <w:spacing w:line="420" w:lineRule="atLeast"/>
      <w:textAlignment w:val="baseline"/>
    </w:pPr>
    <w:rPr>
      <w:szCs w:val="24"/>
    </w:rPr>
  </w:style>
  <w:style w:type="paragraph" w:customStyle="1" w:styleId="31">
    <w:name w:val="表格文字（两侧对齐）"/>
    <w:basedOn w:val="1"/>
    <w:qFormat/>
    <w:uiPriority w:val="0"/>
    <w:pPr>
      <w:autoSpaceDE/>
      <w:autoSpaceDN/>
      <w:adjustRightInd/>
      <w:snapToGrid w:val="0"/>
    </w:pPr>
    <w:rPr>
      <w:color w:val="auto"/>
      <w:sz w:val="20"/>
      <w:szCs w:val="24"/>
    </w:rPr>
  </w:style>
  <w:style w:type="character" w:customStyle="1" w:styleId="32">
    <w:name w:val="标题 1 Char Char"/>
    <w:qFormat/>
    <w:uiPriority w:val="0"/>
    <w:rPr>
      <w:rFonts w:eastAsia="宋体"/>
      <w:spacing w:val="-2"/>
      <w:sz w:val="24"/>
      <w:lang w:val="en-US" w:eastAsia="zh-CN" w:bidi="ar-SA"/>
    </w:rPr>
  </w:style>
  <w:style w:type="paragraph" w:customStyle="1" w:styleId="33">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34">
    <w:name w:val="Plain Text"/>
    <w:basedOn w:val="1"/>
    <w:qFormat/>
    <w:uiPriority w:val="0"/>
    <w:rPr>
      <w:rFonts w:ascii="宋体" w:hAnsi="Courier New"/>
    </w:rPr>
  </w:style>
  <w:style w:type="paragraph" w:customStyle="1" w:styleId="35">
    <w:name w:val="纯文本1"/>
    <w:basedOn w:val="1"/>
    <w:qFormat/>
    <w:uiPriority w:val="0"/>
    <w:rPr>
      <w:rFonts w:ascii="宋体" w:hAnsi="Courier New"/>
      <w:szCs w:val="20"/>
    </w:rPr>
  </w:style>
  <w:style w:type="paragraph" w:customStyle="1" w:styleId="36">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37">
    <w:name w:val="Default"/>
    <w:next w:val="38"/>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1"/>
    <w:basedOn w:val="11"/>
    <w:qFormat/>
    <w:uiPriority w:val="0"/>
    <w:pPr>
      <w:widowControl w:val="0"/>
      <w:adjustRightInd w:val="0"/>
      <w:spacing w:line="312" w:lineRule="atLeast"/>
      <w:jc w:val="both"/>
    </w:pPr>
    <w:rPr>
      <w:rFonts w:ascii="宋体" w:hAnsi="Times New Roman" w:eastAsia="宋体" w:cs="宋体"/>
      <w:kern w:val="0"/>
      <w:sz w:val="34"/>
      <w:szCs w:val="34"/>
      <w:lang w:val="en-US" w:eastAsia="zh-CN" w:bidi="ar-SA"/>
    </w:rPr>
  </w:style>
  <w:style w:type="paragraph" w:customStyle="1" w:styleId="40">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41">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
    <w:name w:val="索引 11"/>
    <w:basedOn w:val="1"/>
    <w:next w:val="1"/>
    <w:qFormat/>
    <w:uiPriority w:val="0"/>
    <w:pPr>
      <w:adjustRightInd/>
      <w:spacing w:line="360" w:lineRule="auto"/>
    </w:pPr>
    <w:rPr>
      <w:rFonts w:ascii="仿宋_GB2312" w:eastAsia="仿宋_GB2312"/>
      <w:sz w:val="24"/>
      <w:szCs w:val="20"/>
    </w:rPr>
  </w:style>
  <w:style w:type="paragraph" w:customStyle="1" w:styleId="4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
    <w:name w:val="样式 列表编号 + 段后: 0.5 行"/>
    <w:basedOn w:val="6"/>
    <w:autoRedefine/>
    <w:qFormat/>
    <w:uiPriority w:val="2"/>
    <w:pPr>
      <w:tabs>
        <w:tab w:val="left" w:pos="390"/>
        <w:tab w:val="left" w:pos="454"/>
      </w:tabs>
      <w:spacing w:after="0"/>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8986</Words>
  <Characters>11550</Characters>
  <Lines>0</Lines>
  <Paragraphs>0</Paragraphs>
  <TotalTime>56</TotalTime>
  <ScaleCrop>false</ScaleCrop>
  <LinksUpToDate>false</LinksUpToDate>
  <CharactersWithSpaces>11769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2024-12-05T12:33:00Z</dcterms:created>
  <dc:creator>苒染</dc:creator>
  <cp:lastModifiedBy>☞☜</cp:lastModifiedBy>
  <cp:lastPrinted>2025-07-18T01:48:00Z</cp:lastPrinted>
  <dcterms:modified xsi:type="dcterms:W3CDTF">2025-07-18T03:16:34Z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A660A0B6AD1F4B9BBB22F9DC2298E6AD_13</vt:lpwstr>
  </property>
  <property fmtid="{D5CDD505-2E9C-101B-9397-08002B2CF9AE}" pid="4" name="KSOTemplateDocerSaveRecord">
    <vt:lpwstr>eyJoZGlkIjoiMWQ2NzkxN2ZhYWUyZGU1NjBlZDJmNTI1YzBhODNmOGEiLCJ1c2VySWQiOiIyNTc4MzAyOTgifQ==</vt:lpwstr>
  </property>
</Properties>
</file>