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hint="eastAsia" w:ascii="隶书" w:hAnsi="Arial" w:eastAsia="隶书" w:cs="Arial"/>
          <w:b/>
          <w:spacing w:val="-12"/>
          <w:sz w:val="44"/>
          <w:szCs w:val="44"/>
        </w:rPr>
      </w:pPr>
      <w:bookmarkStart w:id="0" w:name="PO_14318_PM002"/>
    </w:p>
    <w:p>
      <w:pPr>
        <w:jc w:val="center"/>
        <w:outlineLvl w:val="0"/>
        <w:rPr>
          <w:rFonts w:ascii="隶书" w:hAnsi="Arial" w:eastAsia="隶书" w:cs="Arial"/>
          <w:b/>
          <w:spacing w:val="-12"/>
          <w:sz w:val="44"/>
          <w:szCs w:val="44"/>
        </w:rPr>
      </w:pPr>
      <w:r>
        <w:rPr>
          <w:rFonts w:hint="eastAsia" w:ascii="隶书" w:hAnsi="Arial" w:eastAsia="隶书" w:cs="Arial"/>
          <w:b/>
          <w:spacing w:val="-12"/>
          <w:sz w:val="44"/>
          <w:szCs w:val="44"/>
        </w:rPr>
        <w:t>新昌县公安局交通警察大队交通劝导服务项目</w:t>
      </w:r>
    </w:p>
    <w:p>
      <w:pPr>
        <w:jc w:val="center"/>
        <w:outlineLvl w:val="0"/>
        <w:rPr>
          <w:rFonts w:ascii="隶书" w:hAnsi="Arial" w:eastAsia="隶书" w:cs="Arial"/>
          <w:b/>
          <w:spacing w:val="-12"/>
          <w:sz w:val="44"/>
          <w:szCs w:val="44"/>
        </w:rPr>
      </w:pPr>
      <w:r>
        <w:rPr>
          <w:rFonts w:hint="eastAsia" w:ascii="隶书" w:hAnsi="Arial" w:eastAsia="隶书" w:cs="Arial"/>
          <w:b/>
          <w:spacing w:val="-12"/>
          <w:sz w:val="44"/>
          <w:szCs w:val="44"/>
        </w:rPr>
        <w:t>（电子招投标）</w:t>
      </w:r>
      <w:bookmarkEnd w:id="0"/>
    </w:p>
    <w:p>
      <w:pPr>
        <w:pStyle w:val="52"/>
      </w:pPr>
    </w:p>
    <w:p>
      <w:pPr>
        <w:ind w:firstLine="2518" w:firstLineChars="787"/>
        <w:rPr>
          <w:rFonts w:hint="default" w:ascii="宋体" w:hAnsi="宋体" w:eastAsia="宋体"/>
          <w:sz w:val="32"/>
          <w:szCs w:val="32"/>
          <w:lang w:val="en-US" w:eastAsia="zh-CN"/>
        </w:rPr>
      </w:pPr>
      <w:r>
        <w:rPr>
          <w:rFonts w:hint="eastAsia" w:ascii="宋体" w:hAnsi="宋体"/>
          <w:sz w:val="32"/>
          <w:szCs w:val="32"/>
        </w:rPr>
        <w:t>项目编号：XCZX2020004</w:t>
      </w:r>
      <w:r>
        <w:rPr>
          <w:rFonts w:hint="eastAsia" w:ascii="宋体" w:hAnsi="宋体"/>
          <w:sz w:val="32"/>
          <w:szCs w:val="32"/>
          <w:lang w:val="en-US" w:eastAsia="zh-CN"/>
        </w:rPr>
        <w:t>-2</w:t>
      </w:r>
    </w:p>
    <w:p>
      <w:pPr>
        <w:pStyle w:val="52"/>
      </w:pPr>
    </w:p>
    <w:p>
      <w:pPr>
        <w:jc w:val="center"/>
        <w:outlineLvl w:val="0"/>
        <w:rPr>
          <w:rFonts w:ascii="隶书" w:hAnsi="Arial" w:eastAsia="隶书" w:cs="Arial"/>
          <w:b/>
          <w:sz w:val="44"/>
          <w:szCs w:val="44"/>
        </w:rPr>
      </w:pPr>
      <w:r>
        <w:rPr>
          <w:rFonts w:hint="eastAsia" w:ascii="隶书" w:hAnsi="Arial" w:eastAsia="隶书" w:cs="Arial"/>
          <w:b/>
          <w:sz w:val="44"/>
          <w:szCs w:val="44"/>
        </w:rPr>
        <w:t>公</w:t>
      </w:r>
    </w:p>
    <w:p>
      <w:pPr>
        <w:jc w:val="center"/>
        <w:outlineLvl w:val="0"/>
        <w:rPr>
          <w:rFonts w:ascii="隶书" w:hAnsi="Arial" w:eastAsia="隶书" w:cs="Arial"/>
          <w:b/>
          <w:sz w:val="44"/>
          <w:szCs w:val="44"/>
        </w:rPr>
      </w:pPr>
      <w:r>
        <w:rPr>
          <w:rFonts w:hint="eastAsia" w:ascii="隶书" w:hAnsi="Arial" w:eastAsia="隶书" w:cs="Arial"/>
          <w:b/>
          <w:sz w:val="44"/>
          <w:szCs w:val="44"/>
        </w:rPr>
        <w:t>开</w:t>
      </w:r>
    </w:p>
    <w:p>
      <w:pPr>
        <w:jc w:val="center"/>
        <w:outlineLvl w:val="0"/>
        <w:rPr>
          <w:rFonts w:ascii="隶书" w:hAnsi="Arial" w:eastAsia="隶书" w:cs="Arial"/>
          <w:b/>
          <w:sz w:val="44"/>
          <w:szCs w:val="44"/>
        </w:rPr>
      </w:pPr>
      <w:r>
        <w:rPr>
          <w:rFonts w:hint="eastAsia" w:ascii="隶书" w:hAnsi="Arial" w:eastAsia="隶书" w:cs="Arial"/>
          <w:b/>
          <w:sz w:val="44"/>
          <w:szCs w:val="44"/>
        </w:rPr>
        <w:t>招</w:t>
      </w:r>
    </w:p>
    <w:p>
      <w:pPr>
        <w:jc w:val="center"/>
        <w:outlineLvl w:val="0"/>
        <w:rPr>
          <w:rFonts w:ascii="隶书" w:hAnsi="Arial" w:eastAsia="隶书" w:cs="Arial"/>
          <w:b/>
          <w:sz w:val="44"/>
          <w:szCs w:val="44"/>
        </w:rPr>
      </w:pPr>
      <w:r>
        <w:rPr>
          <w:rFonts w:hint="eastAsia" w:ascii="隶书" w:hAnsi="Arial" w:eastAsia="隶书" w:cs="Arial"/>
          <w:b/>
          <w:sz w:val="44"/>
          <w:szCs w:val="44"/>
        </w:rPr>
        <w:t>标</w:t>
      </w:r>
    </w:p>
    <w:p>
      <w:pPr>
        <w:jc w:val="center"/>
        <w:outlineLvl w:val="0"/>
        <w:rPr>
          <w:rFonts w:ascii="隶书" w:eastAsia="隶书"/>
          <w:b/>
          <w:sz w:val="44"/>
          <w:szCs w:val="44"/>
        </w:rPr>
      </w:pPr>
      <w:r>
        <w:rPr>
          <w:rFonts w:hint="eastAsia" w:ascii="隶书" w:eastAsia="隶书"/>
          <w:b/>
          <w:sz w:val="44"/>
          <w:szCs w:val="44"/>
        </w:rPr>
        <w:t>文</w:t>
      </w:r>
    </w:p>
    <w:p>
      <w:pPr>
        <w:jc w:val="center"/>
        <w:outlineLvl w:val="0"/>
        <w:rPr>
          <w:rFonts w:ascii="隶书" w:eastAsia="隶书"/>
          <w:sz w:val="44"/>
          <w:szCs w:val="44"/>
        </w:rPr>
      </w:pPr>
      <w:r>
        <w:rPr>
          <w:rFonts w:hint="eastAsia" w:ascii="隶书" w:eastAsia="隶书"/>
          <w:b/>
          <w:sz w:val="44"/>
          <w:szCs w:val="44"/>
        </w:rPr>
        <w:t>件</w:t>
      </w:r>
    </w:p>
    <w:p>
      <w:pPr>
        <w:jc w:val="center"/>
        <w:outlineLvl w:val="0"/>
        <w:rPr>
          <w:rFonts w:ascii="隶书" w:eastAsia="隶书"/>
          <w:sz w:val="44"/>
        </w:rPr>
      </w:pPr>
    </w:p>
    <w:p>
      <w:pPr>
        <w:pStyle w:val="22"/>
        <w:snapToGrid w:val="0"/>
        <w:spacing w:line="600" w:lineRule="exact"/>
        <w:ind w:firstLine="1121" w:firstLineChars="400"/>
        <w:rPr>
          <w:rFonts w:ascii="隶书" w:hAnsi="Times New Roman" w:eastAsia="隶书"/>
          <w:b/>
          <w:sz w:val="28"/>
          <w:szCs w:val="28"/>
          <w:u w:val="single"/>
        </w:rPr>
      </w:pPr>
      <w:r>
        <w:rPr>
          <w:rFonts w:hint="eastAsia" w:ascii="隶书" w:hAnsi="Times New Roman" w:eastAsia="隶书"/>
          <w:b/>
          <w:sz w:val="28"/>
          <w:szCs w:val="28"/>
        </w:rPr>
        <w:t>采购单位：</w:t>
      </w:r>
      <w:r>
        <w:rPr>
          <w:rFonts w:hint="eastAsia" w:ascii="隶书" w:hAnsi="Times New Roman" w:eastAsia="隶书"/>
          <w:b/>
          <w:sz w:val="28"/>
          <w:szCs w:val="28"/>
          <w:u w:val="single"/>
        </w:rPr>
        <w:t>新昌县公安局交通警察大队(盖章)</w:t>
      </w:r>
    </w:p>
    <w:p>
      <w:pPr>
        <w:pStyle w:val="22"/>
        <w:snapToGrid w:val="0"/>
        <w:spacing w:line="600" w:lineRule="exact"/>
        <w:ind w:firstLine="1121" w:firstLineChars="400"/>
        <w:rPr>
          <w:rFonts w:ascii="隶书" w:hAnsi="Times New Roman" w:eastAsia="隶书"/>
          <w:b/>
          <w:sz w:val="28"/>
          <w:szCs w:val="28"/>
        </w:rPr>
      </w:pPr>
      <w:r>
        <w:rPr>
          <w:rFonts w:hint="eastAsia" w:ascii="隶书" w:hAnsi="Times New Roman" w:eastAsia="隶书"/>
          <w:b/>
          <w:sz w:val="28"/>
          <w:szCs w:val="28"/>
        </w:rPr>
        <w:t>代理机构：</w:t>
      </w:r>
      <w:r>
        <w:rPr>
          <w:rFonts w:hint="eastAsia" w:ascii="隶书" w:hAnsi="Times New Roman" w:eastAsia="隶书"/>
          <w:b/>
          <w:sz w:val="28"/>
          <w:szCs w:val="28"/>
          <w:u w:val="single"/>
        </w:rPr>
        <w:t>新昌县致信工程咨询有限公司（盖章）</w:t>
      </w:r>
    </w:p>
    <w:p>
      <w:pPr>
        <w:pStyle w:val="22"/>
        <w:spacing w:line="600" w:lineRule="exact"/>
        <w:ind w:firstLine="1121" w:firstLineChars="400"/>
        <w:rPr>
          <w:rFonts w:ascii="隶书" w:hAnsi="Times New Roman" w:eastAsia="隶书"/>
          <w:b/>
          <w:sz w:val="28"/>
          <w:szCs w:val="28"/>
        </w:rPr>
      </w:pPr>
      <w:r>
        <w:rPr>
          <w:rFonts w:hint="eastAsia" w:ascii="隶书" w:hAnsi="Times New Roman" w:eastAsia="隶书"/>
          <w:b/>
          <w:sz w:val="28"/>
          <w:szCs w:val="28"/>
        </w:rPr>
        <w:t>日    期：2020年</w:t>
      </w:r>
      <w:r>
        <w:rPr>
          <w:rFonts w:hint="eastAsia" w:ascii="隶书" w:hAnsi="Times New Roman" w:eastAsia="隶书"/>
          <w:b/>
          <w:sz w:val="28"/>
          <w:szCs w:val="28"/>
          <w:lang w:val="en-US" w:eastAsia="zh-CN"/>
        </w:rPr>
        <w:t>4</w:t>
      </w:r>
      <w:r>
        <w:rPr>
          <w:rFonts w:hint="eastAsia" w:ascii="隶书" w:hAnsi="Times New Roman" w:eastAsia="隶书"/>
          <w:b/>
          <w:sz w:val="28"/>
          <w:szCs w:val="28"/>
        </w:rPr>
        <w:t>月</w:t>
      </w:r>
    </w:p>
    <w:p>
      <w:pPr>
        <w:jc w:val="center"/>
        <w:rPr>
          <w:rFonts w:ascii="隶书" w:eastAsia="隶书"/>
          <w:b/>
          <w:sz w:val="44"/>
          <w:szCs w:val="44"/>
        </w:rPr>
      </w:pPr>
    </w:p>
    <w:p>
      <w:pPr>
        <w:rPr>
          <w:rFonts w:ascii="隶书" w:eastAsia="隶书"/>
          <w:b/>
          <w:sz w:val="44"/>
          <w:szCs w:val="44"/>
        </w:rPr>
      </w:pPr>
    </w:p>
    <w:p>
      <w:pPr>
        <w:jc w:val="center"/>
        <w:rPr>
          <w:rFonts w:ascii="仿宋_GB2312" w:eastAsia="仿宋_GB2312"/>
          <w:b/>
          <w:sz w:val="44"/>
          <w:szCs w:val="44"/>
        </w:rPr>
      </w:pPr>
      <w:r>
        <w:rPr>
          <w:rFonts w:hint="eastAsia" w:ascii="仿宋_GB2312" w:eastAsia="仿宋_GB2312"/>
          <w:b/>
          <w:sz w:val="44"/>
          <w:szCs w:val="44"/>
        </w:rPr>
        <w:t>目录</w:t>
      </w:r>
    </w:p>
    <w:p>
      <w:pPr>
        <w:jc w:val="center"/>
        <w:rPr>
          <w:rFonts w:ascii="隶书" w:eastAsia="隶书"/>
          <w:b/>
          <w:sz w:val="44"/>
          <w:szCs w:val="44"/>
        </w:rPr>
      </w:pPr>
    </w:p>
    <w:p>
      <w:pPr>
        <w:jc w:val="center"/>
        <w:rPr>
          <w:rFonts w:ascii="隶书" w:eastAsia="隶书"/>
        </w:rPr>
      </w:pP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第一部分    招标公告</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第二部分    投标须知</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第三部分    招标项目范围及要求</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第四部分    合同文本</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第五部分    评标方法及标准</w:t>
      </w:r>
    </w:p>
    <w:p>
      <w:pPr>
        <w:snapToGrid w:val="0"/>
        <w:spacing w:line="480" w:lineRule="auto"/>
        <w:ind w:firstLine="1807" w:firstLineChars="500"/>
        <w:jc w:val="left"/>
        <w:rPr>
          <w:rFonts w:ascii="仿宋_GB2312" w:hAnsi="宋体" w:eastAsia="仿宋_GB2312"/>
          <w:b/>
          <w:sz w:val="36"/>
          <w:szCs w:val="36"/>
        </w:rPr>
      </w:pPr>
      <w:r>
        <w:rPr>
          <w:rFonts w:hint="eastAsia" w:ascii="仿宋_GB2312" w:hAnsi="宋体" w:eastAsia="仿宋_GB2312"/>
          <w:b/>
          <w:sz w:val="36"/>
          <w:szCs w:val="36"/>
        </w:rPr>
        <w:t>第六部分    投标文件及其附件格式</w:t>
      </w:r>
    </w:p>
    <w:p>
      <w:pPr>
        <w:snapToGrid w:val="0"/>
        <w:spacing w:line="480" w:lineRule="auto"/>
        <w:jc w:val="left"/>
        <w:rPr>
          <w:rFonts w:ascii="仿宋_GB2312" w:hAnsi="宋体" w:eastAsia="仿宋_GB2312"/>
          <w:sz w:val="36"/>
          <w:szCs w:val="36"/>
        </w:rPr>
      </w:pPr>
    </w:p>
    <w:p>
      <w:pPr>
        <w:snapToGrid w:val="0"/>
        <w:spacing w:line="480" w:lineRule="auto"/>
        <w:jc w:val="left"/>
        <w:rPr>
          <w:rFonts w:ascii="仿宋_GB2312" w:hAnsi="宋体" w:eastAsia="仿宋_GB2312"/>
          <w:sz w:val="36"/>
          <w:szCs w:val="36"/>
        </w:rPr>
      </w:pPr>
    </w:p>
    <w:p>
      <w:pPr>
        <w:snapToGrid w:val="0"/>
        <w:spacing w:line="480" w:lineRule="auto"/>
        <w:jc w:val="left"/>
        <w:rPr>
          <w:rFonts w:ascii="仿宋_GB2312" w:hAnsi="宋体" w:eastAsia="仿宋_GB2312"/>
          <w:sz w:val="36"/>
          <w:szCs w:val="36"/>
        </w:rPr>
      </w:pPr>
    </w:p>
    <w:p>
      <w:pPr>
        <w:snapToGrid w:val="0"/>
        <w:spacing w:line="480" w:lineRule="auto"/>
        <w:jc w:val="left"/>
        <w:rPr>
          <w:rFonts w:ascii="仿宋_GB2312" w:hAnsi="宋体" w:eastAsia="仿宋_GB2312"/>
          <w:sz w:val="36"/>
          <w:szCs w:val="36"/>
        </w:rPr>
      </w:pPr>
    </w:p>
    <w:p>
      <w:pPr>
        <w:snapToGrid w:val="0"/>
        <w:spacing w:line="480" w:lineRule="auto"/>
        <w:jc w:val="left"/>
        <w:rPr>
          <w:rFonts w:ascii="仿宋_GB2312" w:hAnsi="宋体" w:eastAsia="仿宋_GB2312"/>
          <w:sz w:val="36"/>
          <w:szCs w:val="36"/>
        </w:rPr>
      </w:pPr>
    </w:p>
    <w:p>
      <w:pPr>
        <w:pageBreakBefore/>
        <w:widowControl/>
        <w:jc w:val="center"/>
        <w:rPr>
          <w:rFonts w:hint="eastAsia" w:ascii="仿宋_GB2312" w:eastAsia="仿宋_GB2312"/>
          <w:b/>
          <w:sz w:val="36"/>
          <w:szCs w:val="36"/>
          <w:lang w:eastAsia="zh-CN"/>
        </w:rPr>
      </w:pPr>
      <w:r>
        <w:rPr>
          <w:rFonts w:hint="eastAsia" w:ascii="仿宋_GB2312" w:eastAsia="仿宋_GB2312"/>
          <w:b/>
          <w:sz w:val="36"/>
          <w:szCs w:val="36"/>
        </w:rPr>
        <w:t>第一部分 招标公告</w:t>
      </w:r>
      <w:r>
        <w:rPr>
          <w:rFonts w:hint="eastAsia" w:ascii="仿宋_GB2312" w:eastAsia="仿宋_GB2312"/>
          <w:b/>
          <w:sz w:val="36"/>
          <w:szCs w:val="36"/>
          <w:lang w:eastAsia="zh-CN"/>
        </w:rPr>
        <w:t>（</w:t>
      </w:r>
      <w:r>
        <w:rPr>
          <w:rFonts w:hint="eastAsia" w:ascii="仿宋_GB2312" w:eastAsia="仿宋_GB2312"/>
          <w:b/>
          <w:sz w:val="36"/>
          <w:szCs w:val="36"/>
          <w:lang w:val="en-US" w:eastAsia="zh-CN"/>
        </w:rPr>
        <w:t>第二次</w:t>
      </w:r>
      <w:r>
        <w:rPr>
          <w:rFonts w:hint="eastAsia" w:ascii="仿宋_GB2312" w:eastAsia="仿宋_GB2312"/>
          <w:b/>
          <w:sz w:val="36"/>
          <w:szCs w:val="36"/>
          <w:lang w:eastAsia="zh-CN"/>
        </w:rPr>
        <w:t>）</w:t>
      </w:r>
    </w:p>
    <w:p>
      <w:pPr>
        <w:pStyle w:val="71"/>
        <w:spacing w:afterLines="0" w:line="440" w:lineRule="exact"/>
        <w:ind w:firstLine="480"/>
        <w:rPr>
          <w:rFonts w:ascii="仿宋_GB2312" w:hAnsi="新宋体" w:eastAsia="仿宋_GB2312"/>
          <w:szCs w:val="24"/>
        </w:rPr>
      </w:pPr>
      <w:r>
        <w:rPr>
          <w:rFonts w:hint="eastAsia" w:ascii="仿宋_GB2312" w:hAnsi="新宋体" w:eastAsia="仿宋_GB2312"/>
          <w:szCs w:val="24"/>
        </w:rPr>
        <w:t>根据《中华人民共和国政府采购法》的有关法律规定，新昌县致信工程咨询有限公司受新昌县公安局交通警察大队委托，就下列项目进行</w:t>
      </w:r>
      <w:r>
        <w:rPr>
          <w:rFonts w:hint="eastAsia" w:ascii="仿宋_GB2312" w:hAnsi="新宋体" w:eastAsia="仿宋_GB2312"/>
          <w:b/>
          <w:szCs w:val="24"/>
        </w:rPr>
        <w:t>公开招标</w:t>
      </w:r>
      <w:r>
        <w:rPr>
          <w:rFonts w:hint="eastAsia" w:ascii="仿宋_GB2312" w:hAnsi="新宋体" w:eastAsia="仿宋_GB2312"/>
          <w:szCs w:val="24"/>
        </w:rPr>
        <w:t>，现将有关事项公告如下：</w:t>
      </w:r>
    </w:p>
    <w:p>
      <w:pPr>
        <w:spacing w:line="440" w:lineRule="exact"/>
        <w:ind w:firstLine="482" w:firstLineChars="200"/>
        <w:rPr>
          <w:rFonts w:hint="default" w:ascii="仿宋_GB2312" w:hAnsi="新宋体" w:eastAsia="仿宋_GB2312" w:cs="Arial"/>
          <w:sz w:val="24"/>
          <w:lang w:val="en-US" w:eastAsia="zh-CN"/>
        </w:rPr>
      </w:pPr>
      <w:r>
        <w:rPr>
          <w:rFonts w:hint="eastAsia" w:ascii="仿宋_GB2312" w:hAnsi="新宋体" w:eastAsia="仿宋_GB2312" w:cs="Arial"/>
          <w:b/>
          <w:bCs/>
          <w:sz w:val="24"/>
        </w:rPr>
        <w:t>一、项目编号：XCZX2020004</w:t>
      </w:r>
      <w:r>
        <w:rPr>
          <w:rFonts w:hint="eastAsia" w:ascii="仿宋_GB2312" w:hAnsi="新宋体" w:eastAsia="仿宋_GB2312" w:cs="Arial"/>
          <w:b/>
          <w:bCs/>
          <w:sz w:val="24"/>
          <w:lang w:val="en-US" w:eastAsia="zh-CN"/>
        </w:rPr>
        <w:t>-2</w:t>
      </w:r>
    </w:p>
    <w:p>
      <w:pPr>
        <w:spacing w:line="440" w:lineRule="exact"/>
        <w:ind w:firstLine="482" w:firstLineChars="200"/>
        <w:rPr>
          <w:rFonts w:ascii="仿宋_GB2312" w:hAnsi="新宋体" w:eastAsia="仿宋_GB2312" w:cs="Arial"/>
          <w:b/>
          <w:sz w:val="24"/>
        </w:rPr>
      </w:pPr>
      <w:r>
        <w:rPr>
          <w:rFonts w:hint="eastAsia" w:ascii="仿宋_GB2312" w:hAnsi="新宋体" w:eastAsia="仿宋_GB2312" w:cs="Arial"/>
          <w:b/>
          <w:bCs/>
          <w:sz w:val="24"/>
        </w:rPr>
        <w:t>二、</w:t>
      </w:r>
      <w:bookmarkStart w:id="1" w:name="PO_14318_PM003"/>
      <w:r>
        <w:rPr>
          <w:rFonts w:hint="eastAsia" w:ascii="仿宋_GB2312" w:hAnsi="新宋体" w:eastAsia="仿宋_GB2312" w:cs="Arial"/>
          <w:b/>
          <w:bCs/>
          <w:sz w:val="24"/>
        </w:rPr>
        <w:t>在线投标响应</w:t>
      </w:r>
      <w:bookmarkEnd w:id="1"/>
    </w:p>
    <w:p>
      <w:pPr>
        <w:spacing w:line="440" w:lineRule="exact"/>
        <w:ind w:firstLine="482" w:firstLineChars="200"/>
        <w:rPr>
          <w:rFonts w:ascii="仿宋_GB2312" w:hAnsi="新宋体" w:eastAsia="仿宋_GB2312" w:cs="Arial"/>
          <w:b/>
          <w:bCs/>
          <w:sz w:val="24"/>
        </w:rPr>
      </w:pPr>
      <w:r>
        <w:rPr>
          <w:rFonts w:hint="eastAsia" w:ascii="仿宋_GB2312" w:hAnsi="新宋体" w:eastAsia="仿宋_GB2312" w:cs="Arial"/>
          <w:b/>
          <w:bCs/>
          <w:sz w:val="24"/>
        </w:rPr>
        <w:t>三、项目名称及数量：详见招标文件</w:t>
      </w:r>
    </w:p>
    <w:tbl>
      <w:tblPr>
        <w:tblStyle w:val="41"/>
        <w:tblW w:w="8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2552"/>
        <w:gridCol w:w="1276"/>
        <w:gridCol w:w="2693"/>
        <w:gridCol w:w="1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818"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序号</w:t>
            </w:r>
          </w:p>
        </w:tc>
        <w:tc>
          <w:tcPr>
            <w:tcW w:w="2552"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项目名称</w:t>
            </w:r>
          </w:p>
        </w:tc>
        <w:tc>
          <w:tcPr>
            <w:tcW w:w="1276" w:type="dxa"/>
            <w:vAlign w:val="center"/>
          </w:tcPr>
          <w:p>
            <w:pPr>
              <w:tabs>
                <w:tab w:val="left" w:pos="489"/>
              </w:tabs>
              <w:spacing w:line="440" w:lineRule="exact"/>
              <w:jc w:val="center"/>
              <w:rPr>
                <w:rFonts w:hint="eastAsia" w:ascii="仿宋_GB2312" w:hAnsi="新宋体" w:eastAsia="仿宋_GB2312" w:cs="Arial"/>
                <w:b/>
                <w:bCs/>
                <w:sz w:val="24"/>
              </w:rPr>
            </w:pPr>
            <w:r>
              <w:rPr>
                <w:rFonts w:hint="eastAsia" w:ascii="仿宋_GB2312" w:hAnsi="新宋体" w:eastAsia="仿宋_GB2312" w:cs="Arial"/>
                <w:b/>
                <w:bCs/>
                <w:sz w:val="24"/>
              </w:rPr>
              <w:t>数量及</w:t>
            </w:r>
          </w:p>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单位</w:t>
            </w:r>
          </w:p>
        </w:tc>
        <w:tc>
          <w:tcPr>
            <w:tcW w:w="2693"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简要技术要求、用途</w:t>
            </w:r>
          </w:p>
        </w:tc>
        <w:tc>
          <w:tcPr>
            <w:tcW w:w="1515"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预算金额</w:t>
            </w:r>
          </w:p>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(最高限价)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818"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1</w:t>
            </w:r>
          </w:p>
        </w:tc>
        <w:tc>
          <w:tcPr>
            <w:tcW w:w="2552"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新昌县公安局交通警察大队交通劝导服务项目</w:t>
            </w:r>
          </w:p>
        </w:tc>
        <w:tc>
          <w:tcPr>
            <w:tcW w:w="1276"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1项</w:t>
            </w:r>
          </w:p>
        </w:tc>
        <w:tc>
          <w:tcPr>
            <w:tcW w:w="2693"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sz w:val="24"/>
              </w:rPr>
              <w:t>见采购需求</w:t>
            </w:r>
          </w:p>
        </w:tc>
        <w:tc>
          <w:tcPr>
            <w:tcW w:w="1515" w:type="dxa"/>
            <w:vAlign w:val="center"/>
          </w:tcPr>
          <w:p>
            <w:pPr>
              <w:tabs>
                <w:tab w:val="left" w:pos="489"/>
              </w:tabs>
              <w:spacing w:line="440" w:lineRule="exact"/>
              <w:jc w:val="center"/>
              <w:rPr>
                <w:rFonts w:ascii="仿宋_GB2312" w:hAnsi="新宋体" w:eastAsia="仿宋_GB2312" w:cs="Arial"/>
                <w:b/>
                <w:bCs/>
                <w:sz w:val="24"/>
              </w:rPr>
            </w:pPr>
            <w:r>
              <w:rPr>
                <w:rFonts w:hint="eastAsia" w:ascii="仿宋_GB2312" w:hAnsi="新宋体" w:eastAsia="仿宋_GB2312" w:cs="Arial"/>
                <w:b/>
                <w:bCs/>
                <w:color w:val="auto"/>
                <w:sz w:val="24"/>
              </w:rPr>
              <w:t>130万元</w:t>
            </w:r>
          </w:p>
        </w:tc>
      </w:tr>
    </w:tbl>
    <w:p>
      <w:pPr>
        <w:spacing w:line="440" w:lineRule="exact"/>
        <w:ind w:firstLine="424" w:firstLineChars="176"/>
        <w:rPr>
          <w:rFonts w:ascii="仿宋_GB2312" w:hAnsi="新宋体" w:eastAsia="仿宋_GB2312" w:cs="Arial"/>
          <w:sz w:val="24"/>
        </w:rPr>
      </w:pPr>
      <w:r>
        <w:rPr>
          <w:rFonts w:hint="eastAsia" w:ascii="仿宋_GB2312" w:hAnsi="新宋体" w:eastAsia="仿宋_GB2312" w:cs="Arial"/>
          <w:b/>
          <w:sz w:val="24"/>
        </w:rPr>
        <w:t>四、</w:t>
      </w:r>
      <w:r>
        <w:rPr>
          <w:rFonts w:hint="eastAsia" w:ascii="仿宋_GB2312" w:hAnsi="新宋体" w:eastAsia="仿宋_GB2312" w:cs="Arial"/>
          <w:b/>
          <w:bCs/>
          <w:sz w:val="24"/>
        </w:rPr>
        <w:t>供应商的资格要求：</w:t>
      </w:r>
    </w:p>
    <w:p>
      <w:pPr>
        <w:spacing w:line="440" w:lineRule="exact"/>
        <w:ind w:firstLine="540" w:firstLineChars="225"/>
        <w:rPr>
          <w:rFonts w:ascii="仿宋_GB2312" w:hAnsi="宋体" w:eastAsia="仿宋_GB2312" w:cs="宋体"/>
          <w:kern w:val="0"/>
          <w:sz w:val="24"/>
        </w:rPr>
      </w:pPr>
      <w:r>
        <w:rPr>
          <w:rFonts w:hint="eastAsia" w:ascii="仿宋_GB2312" w:hAnsi="宋体" w:eastAsia="仿宋_GB2312" w:cs="宋体"/>
          <w:kern w:val="0"/>
          <w:sz w:val="24"/>
        </w:rPr>
        <w:t>1.符合政府采购法第二十二条之供应商资格规定。</w:t>
      </w:r>
    </w:p>
    <w:p>
      <w:pPr>
        <w:spacing w:line="440" w:lineRule="exact"/>
        <w:ind w:firstLine="540" w:firstLineChars="225"/>
        <w:rPr>
          <w:rFonts w:ascii="仿宋_GB2312" w:hAnsi="宋体" w:eastAsia="仿宋_GB2312" w:cs="宋体"/>
          <w:kern w:val="0"/>
          <w:sz w:val="24"/>
        </w:rPr>
      </w:pPr>
      <w:r>
        <w:rPr>
          <w:rFonts w:hint="eastAsia" w:ascii="仿宋_GB2312" w:hAnsi="宋体" w:eastAsia="仿宋_GB2312" w:cs="宋体"/>
          <w:kern w:val="0"/>
          <w:sz w:val="24"/>
        </w:rPr>
        <w:t>2.未被“信用中国”、</w:t>
      </w:r>
      <w:r>
        <w:fldChar w:fldCharType="begin"/>
      </w:r>
      <w:r>
        <w:instrText xml:space="preserve"> HYPERLINK "http://www.creditchina.gov.cn）、中国政府采购网（www.ccgp.gov.cn）列入失信被执行人、重大税收违法案件当事人名单、政府采购严重违法失信行为记录名单；" </w:instrText>
      </w:r>
      <w:r>
        <w:fldChar w:fldCharType="separate"/>
      </w:r>
      <w:r>
        <w:rPr>
          <w:rStyle w:val="48"/>
          <w:rFonts w:hint="eastAsia" w:ascii="仿宋_GB2312" w:hAnsi="宋体" w:eastAsia="仿宋_GB2312" w:cs="宋体"/>
          <w:color w:val="auto"/>
          <w:kern w:val="0"/>
          <w:sz w:val="24"/>
          <w:u w:val="none"/>
        </w:rPr>
        <w:t>中国政府采购网列入失信被执行人、重大税收违法案件当事人名单、政府采购严重违法失信行为记录名单。</w:t>
      </w:r>
      <w:r>
        <w:rPr>
          <w:rStyle w:val="48"/>
          <w:rFonts w:hint="eastAsia" w:ascii="仿宋_GB2312" w:hAnsi="宋体" w:eastAsia="仿宋_GB2312" w:cs="宋体"/>
          <w:color w:val="auto"/>
          <w:kern w:val="0"/>
          <w:sz w:val="24"/>
          <w:u w:val="none"/>
        </w:rPr>
        <w:fldChar w:fldCharType="end"/>
      </w:r>
    </w:p>
    <w:p>
      <w:pPr>
        <w:spacing w:line="440" w:lineRule="exact"/>
        <w:ind w:firstLine="540" w:firstLineChars="225"/>
        <w:rPr>
          <w:rStyle w:val="48"/>
          <w:rFonts w:ascii="仿宋_GB2312" w:hAnsi="宋体" w:eastAsia="仿宋_GB2312" w:cs="宋体"/>
          <w:color w:val="auto"/>
          <w:kern w:val="0"/>
          <w:sz w:val="24"/>
          <w:szCs w:val="22"/>
          <w:u w:val="none"/>
        </w:rPr>
      </w:pPr>
      <w:r>
        <w:rPr>
          <w:rStyle w:val="48"/>
          <w:rFonts w:hint="eastAsia" w:ascii="仿宋_GB2312" w:hAnsi="宋体" w:eastAsia="仿宋_GB2312" w:cs="宋体"/>
          <w:color w:val="auto"/>
          <w:kern w:val="0"/>
          <w:sz w:val="24"/>
          <w:szCs w:val="22"/>
          <w:u w:val="none"/>
        </w:rPr>
        <w:t>3.具有保安服务行业许可证。</w:t>
      </w:r>
    </w:p>
    <w:p>
      <w:pPr>
        <w:spacing w:line="440" w:lineRule="exact"/>
        <w:ind w:firstLine="540" w:firstLineChars="225"/>
        <w:rPr>
          <w:rFonts w:ascii="仿宋_GB2312" w:hAnsi="宋体" w:eastAsia="仿宋_GB2312" w:cs="宋体"/>
          <w:kern w:val="0"/>
          <w:sz w:val="24"/>
        </w:rPr>
      </w:pPr>
      <w:r>
        <w:rPr>
          <w:rStyle w:val="48"/>
          <w:rFonts w:hint="eastAsia" w:ascii="仿宋_GB2312" w:hAnsi="宋体" w:eastAsia="仿宋_GB2312" w:cs="宋体"/>
          <w:color w:val="auto"/>
          <w:kern w:val="0"/>
          <w:sz w:val="24"/>
          <w:szCs w:val="22"/>
          <w:u w:val="none"/>
        </w:rPr>
        <w:t>4.</w:t>
      </w:r>
      <w:r>
        <w:rPr>
          <w:rFonts w:hint="eastAsia" w:ascii="仿宋_GB2312" w:hAnsi="宋体" w:eastAsia="仿宋_GB2312" w:cs="宋体"/>
          <w:kern w:val="0"/>
          <w:sz w:val="24"/>
        </w:rPr>
        <w:t>本项目不接受联合体投标。</w:t>
      </w:r>
    </w:p>
    <w:p>
      <w:pPr>
        <w:spacing w:line="440" w:lineRule="exact"/>
        <w:ind w:firstLine="542" w:firstLineChars="225"/>
        <w:rPr>
          <w:rFonts w:ascii="仿宋_GB2312" w:hAnsi="新宋体" w:eastAsia="仿宋_GB2312" w:cs="Arial"/>
          <w:bCs/>
          <w:sz w:val="24"/>
        </w:rPr>
      </w:pPr>
      <w:r>
        <w:rPr>
          <w:rFonts w:hint="eastAsia" w:ascii="仿宋_GB2312" w:hAnsi="新宋体" w:eastAsia="仿宋_GB2312" w:cs="Arial"/>
          <w:b/>
          <w:bCs/>
          <w:sz w:val="24"/>
        </w:rPr>
        <w:t>五、资格审查方式：</w:t>
      </w:r>
      <w:r>
        <w:rPr>
          <w:rFonts w:hint="eastAsia" w:ascii="仿宋_GB2312" w:hAnsi="新宋体" w:eastAsia="仿宋_GB2312" w:cs="Arial"/>
          <w:bCs/>
          <w:sz w:val="24"/>
        </w:rPr>
        <w:t>资格后审。</w:t>
      </w:r>
    </w:p>
    <w:p>
      <w:pPr>
        <w:spacing w:line="440" w:lineRule="exact"/>
        <w:ind w:firstLine="542" w:firstLineChars="225"/>
        <w:rPr>
          <w:rFonts w:ascii="仿宋_GB2312" w:hAnsi="新宋体" w:eastAsia="仿宋_GB2312" w:cs="Arial"/>
          <w:sz w:val="24"/>
        </w:rPr>
      </w:pPr>
      <w:r>
        <w:rPr>
          <w:rFonts w:hint="eastAsia" w:ascii="仿宋_GB2312" w:hAnsi="新宋体" w:eastAsia="仿宋_GB2312" w:cs="Arial"/>
          <w:b/>
          <w:bCs/>
          <w:sz w:val="24"/>
        </w:rPr>
        <w:t>六、招标文件提供方式</w:t>
      </w:r>
      <w:r>
        <w:rPr>
          <w:rFonts w:hint="eastAsia" w:ascii="仿宋_GB2312" w:hAnsi="新宋体" w:eastAsia="仿宋_GB2312" w:cs="Arial"/>
          <w:b/>
          <w:bCs/>
          <w:sz w:val="24"/>
          <w:lang w:val="en-US" w:eastAsia="zh-CN"/>
        </w:rPr>
        <w:t>及</w:t>
      </w:r>
      <w:r>
        <w:rPr>
          <w:rFonts w:hint="eastAsia" w:ascii="仿宋_GB2312" w:hAnsi="新宋体" w:eastAsia="仿宋_GB2312" w:cs="Arial"/>
          <w:b/>
          <w:bCs/>
          <w:sz w:val="24"/>
        </w:rPr>
        <w:t>地点等</w:t>
      </w:r>
      <w:r>
        <w:rPr>
          <w:rFonts w:hint="eastAsia" w:ascii="仿宋_GB2312" w:hAnsi="新宋体" w:eastAsia="仿宋_GB2312" w:cs="Arial"/>
          <w:sz w:val="24"/>
        </w:rPr>
        <w:t>：</w:t>
      </w:r>
    </w:p>
    <w:p>
      <w:pPr>
        <w:spacing w:line="440" w:lineRule="exact"/>
        <w:ind w:left="540" w:leftChars="257"/>
        <w:rPr>
          <w:rFonts w:ascii="仿宋_GB2312" w:hAnsi="新宋体" w:eastAsia="仿宋_GB2312" w:cs="Arial"/>
          <w:bCs/>
          <w:sz w:val="24"/>
        </w:rPr>
      </w:pPr>
      <w:r>
        <w:rPr>
          <w:rFonts w:hint="eastAsia" w:ascii="仿宋_GB2312" w:hAnsi="新宋体" w:eastAsia="仿宋_GB2312" w:cs="Arial"/>
          <w:bCs/>
          <w:sz w:val="24"/>
          <w:lang w:val="en-US" w:eastAsia="zh-CN"/>
        </w:rPr>
        <w:t>1</w:t>
      </w:r>
      <w:r>
        <w:rPr>
          <w:rFonts w:hint="eastAsia" w:ascii="仿宋_GB2312" w:hAnsi="新宋体" w:eastAsia="仿宋_GB2312" w:cs="Arial"/>
          <w:bCs/>
          <w:sz w:val="24"/>
        </w:rPr>
        <w:t>.招标文件获取方式：浙江政府采购云平台，网址</w:t>
      </w:r>
      <w:r>
        <w:fldChar w:fldCharType="begin"/>
      </w:r>
      <w:r>
        <w:instrText xml:space="preserve"> HYPERLINK "http://www.zcygov.cn/" </w:instrText>
      </w:r>
      <w:r>
        <w:fldChar w:fldCharType="separate"/>
      </w:r>
      <w:r>
        <w:rPr>
          <w:rStyle w:val="48"/>
          <w:rFonts w:hint="eastAsia" w:ascii="仿宋_GB2312" w:hAnsi="新宋体" w:eastAsia="仿宋_GB2312" w:cs="Arial"/>
          <w:bCs/>
          <w:color w:val="auto"/>
          <w:sz w:val="24"/>
        </w:rPr>
        <w:t>http://www.zcygov.cn/</w:t>
      </w:r>
      <w:r>
        <w:rPr>
          <w:rStyle w:val="48"/>
          <w:rFonts w:hint="eastAsia" w:ascii="仿宋_GB2312" w:hAnsi="新宋体" w:eastAsia="仿宋_GB2312" w:cs="Arial"/>
          <w:bCs/>
          <w:color w:val="auto"/>
          <w:sz w:val="24"/>
        </w:rPr>
        <w:fldChar w:fldCharType="end"/>
      </w:r>
      <w:r>
        <w:rPr>
          <w:rFonts w:hint="eastAsia" w:ascii="仿宋_GB2312" w:hAnsi="新宋体" w:eastAsia="仿宋_GB2312" w:cs="Arial"/>
          <w:bCs/>
          <w:sz w:val="24"/>
        </w:rPr>
        <w:t>。</w:t>
      </w:r>
    </w:p>
    <w:p>
      <w:pPr>
        <w:spacing w:line="440" w:lineRule="exact"/>
        <w:ind w:left="540" w:leftChars="257"/>
        <w:rPr>
          <w:rFonts w:ascii="仿宋_GB2312" w:hAnsi="新宋体" w:eastAsia="仿宋_GB2312" w:cs="Arial"/>
          <w:bCs/>
          <w:sz w:val="24"/>
        </w:rPr>
      </w:pPr>
      <w:r>
        <w:rPr>
          <w:rFonts w:hint="eastAsia" w:ascii="仿宋_GB2312" w:hAnsi="新宋体" w:eastAsia="仿宋_GB2312" w:cs="Arial"/>
          <w:bCs/>
          <w:sz w:val="24"/>
          <w:lang w:val="en-US" w:eastAsia="zh-CN"/>
        </w:rPr>
        <w:t>2</w:t>
      </w:r>
      <w:r>
        <w:rPr>
          <w:rFonts w:hint="eastAsia" w:ascii="仿宋_GB2312" w:hAnsi="新宋体" w:eastAsia="仿宋_GB2312" w:cs="Arial"/>
          <w:bCs/>
          <w:sz w:val="24"/>
        </w:rPr>
        <w:t>.招标文件售价：免费</w:t>
      </w:r>
      <w:r>
        <w:rPr>
          <w:rFonts w:ascii="仿宋_GB2312" w:hAnsi="新宋体" w:eastAsia="仿宋_GB2312" w:cs="Arial"/>
          <w:bCs/>
          <w:sz w:val="24"/>
        </w:rPr>
        <w:t>。</w:t>
      </w:r>
    </w:p>
    <w:p>
      <w:pPr>
        <w:spacing w:line="440" w:lineRule="exact"/>
        <w:ind w:firstLine="540" w:firstLineChars="225"/>
        <w:rPr>
          <w:rFonts w:ascii="仿宋_GB2312" w:hAnsi="新宋体" w:eastAsia="仿宋_GB2312" w:cs="Arial"/>
          <w:bCs/>
          <w:sz w:val="24"/>
        </w:rPr>
      </w:pPr>
      <w:r>
        <w:rPr>
          <w:rFonts w:hint="eastAsia" w:ascii="仿宋_GB2312" w:hAnsi="新宋体" w:eastAsia="仿宋_GB2312" w:cs="Arial"/>
          <w:bCs/>
          <w:sz w:val="24"/>
          <w:lang w:val="en-US" w:eastAsia="zh-CN"/>
        </w:rPr>
        <w:t>3</w:t>
      </w:r>
      <w:r>
        <w:rPr>
          <w:rFonts w:hint="eastAsia" w:ascii="仿宋_GB2312" w:hAnsi="新宋体" w:eastAsia="仿宋_GB2312" w:cs="Arial"/>
          <w:bCs/>
          <w:sz w:val="24"/>
        </w:rPr>
        <w:t>.</w:t>
      </w:r>
      <w:r>
        <w:rPr>
          <w:rFonts w:hint="eastAsia" w:ascii="仿宋_GB2312" w:eastAsia="仿宋_GB2312"/>
          <w:sz w:val="24"/>
        </w:rPr>
        <w:t>参与政府采购活动的供应商，必须注册并登记加入浙江省政府采购供应商库，接受采购单位的诚信管理和评价，并接受财政部门的监督管理。供应商可通过浙江政府采购网（http://www.zjzfcg.gov.cn）或浙江政采云平台（</w:t>
      </w:r>
      <w:r>
        <w:rPr>
          <w:rFonts w:ascii="仿宋_GB2312" w:eastAsia="仿宋_GB2312"/>
          <w:sz w:val="24"/>
        </w:rPr>
        <w:t>http://www.zcygov.cn/</w:t>
      </w:r>
      <w:r>
        <w:rPr>
          <w:rFonts w:hint="eastAsia" w:ascii="仿宋_GB2312" w:eastAsia="仿宋_GB2312"/>
          <w:sz w:val="24"/>
        </w:rPr>
        <w:t>）进行注册申请，按规定审核后，登记加入“浙江省政府采购供应商库”。</w:t>
      </w:r>
    </w:p>
    <w:p>
      <w:pPr>
        <w:spacing w:line="440" w:lineRule="exact"/>
        <w:ind w:firstLine="540" w:firstLineChars="225"/>
        <w:rPr>
          <w:rFonts w:hint="eastAsia" w:ascii="仿宋_GB2312" w:hAnsi="新宋体" w:eastAsia="仿宋_GB2312" w:cs="Arial"/>
          <w:bCs/>
          <w:sz w:val="24"/>
        </w:rPr>
      </w:pPr>
      <w:r>
        <w:rPr>
          <w:rFonts w:hint="eastAsia" w:ascii="仿宋_GB2312" w:hAnsi="新宋体" w:eastAsia="仿宋_GB2312" w:cs="Arial"/>
          <w:bCs/>
          <w:sz w:val="24"/>
          <w:lang w:val="en-US" w:eastAsia="zh-CN"/>
        </w:rPr>
        <w:t>4</w:t>
      </w:r>
      <w:r>
        <w:rPr>
          <w:rFonts w:hint="eastAsia" w:ascii="仿宋_GB2312" w:hAnsi="新宋体" w:eastAsia="仿宋_GB2312" w:cs="Arial"/>
          <w:bCs/>
          <w:sz w:val="24"/>
        </w:rPr>
        <w:t>.提示：</w:t>
      </w:r>
    </w:p>
    <w:p>
      <w:pPr>
        <w:spacing w:line="440" w:lineRule="exact"/>
        <w:ind w:firstLine="540" w:firstLineChars="225"/>
        <w:rPr>
          <w:rFonts w:hint="eastAsia" w:ascii="仿宋_GB2312" w:hAnsi="宋体" w:eastAsia="仿宋_GB2312"/>
          <w:sz w:val="24"/>
        </w:rPr>
      </w:pPr>
      <w:r>
        <w:rPr>
          <w:rFonts w:hint="eastAsia" w:ascii="仿宋_GB2312" w:hAnsi="宋体" w:eastAsia="仿宋_GB2312"/>
          <w:sz w:val="24"/>
          <w:lang w:val="en-US" w:eastAsia="zh-CN"/>
        </w:rPr>
        <w:t>4.1</w:t>
      </w:r>
      <w:r>
        <w:rPr>
          <w:rFonts w:hint="eastAsia" w:ascii="仿宋_GB2312" w:hAnsi="宋体" w:eastAsia="仿宋_GB2312"/>
          <w:sz w:val="24"/>
        </w:rPr>
        <w:t>采购机构将拒绝接受非报名供应商的投标文件；</w:t>
      </w:r>
    </w:p>
    <w:p>
      <w:pPr>
        <w:spacing w:line="440" w:lineRule="exact"/>
        <w:ind w:firstLine="540" w:firstLineChars="225"/>
        <w:rPr>
          <w:rFonts w:ascii="仿宋_GB2312" w:hAnsi="新宋体" w:eastAsia="仿宋_GB2312" w:cs="Arial"/>
          <w:bCs/>
          <w:sz w:val="24"/>
        </w:rPr>
      </w:pPr>
      <w:r>
        <w:rPr>
          <w:rFonts w:hint="eastAsia" w:ascii="仿宋_GB2312" w:hAnsi="新宋体" w:eastAsia="仿宋_GB2312" w:cs="Arial"/>
          <w:bCs/>
          <w:sz w:val="24"/>
          <w:lang w:val="en-US" w:eastAsia="zh-CN"/>
        </w:rPr>
        <w:t>4.2</w:t>
      </w:r>
      <w:r>
        <w:rPr>
          <w:rFonts w:hint="eastAsia" w:ascii="仿宋_GB2312" w:hAnsi="新宋体" w:eastAsia="仿宋_GB2312" w:cs="Arial"/>
          <w:bCs/>
          <w:sz w:val="24"/>
        </w:rPr>
        <w:t>招标文件及更正补充公告请自行登录浙江政府采购网或新昌县公共资源交易平台，在招标公告及更正公告页面中下载。</w:t>
      </w:r>
    </w:p>
    <w:p>
      <w:pPr>
        <w:spacing w:line="440" w:lineRule="exact"/>
        <w:ind w:firstLine="479" w:firstLineChars="199"/>
        <w:rPr>
          <w:rFonts w:ascii="仿宋_GB2312" w:hAnsi="新宋体" w:eastAsia="仿宋_GB2312" w:cs="Arial"/>
          <w:b/>
          <w:bCs/>
          <w:sz w:val="24"/>
        </w:rPr>
      </w:pPr>
      <w:r>
        <w:rPr>
          <w:rFonts w:hint="eastAsia" w:ascii="仿宋_GB2312" w:hAnsi="新宋体" w:eastAsia="仿宋_GB2312" w:cs="Arial"/>
          <w:b/>
          <w:bCs/>
          <w:sz w:val="24"/>
        </w:rPr>
        <w:t>七、投标与开标注意事项：</w:t>
      </w:r>
    </w:p>
    <w:p>
      <w:pPr>
        <w:pStyle w:val="22"/>
        <w:adjustRightInd w:val="0"/>
        <w:snapToGrid w:val="0"/>
        <w:spacing w:line="440" w:lineRule="exact"/>
        <w:ind w:firstLine="482" w:firstLineChars="201"/>
        <w:rPr>
          <w:rFonts w:ascii="仿宋_GB2312" w:hAnsi="新宋体" w:eastAsia="仿宋_GB2312" w:cs="Arial"/>
          <w:bCs/>
          <w:sz w:val="24"/>
        </w:rPr>
      </w:pPr>
      <w:r>
        <w:rPr>
          <w:rFonts w:hint="eastAsia" w:ascii="仿宋_GB2312" w:hAnsi="新宋体" w:eastAsia="仿宋_GB2312" w:cs="Arial"/>
          <w:bCs/>
          <w:sz w:val="24"/>
        </w:rPr>
        <w:t>1.本项目实行网上投标，采用电子投标文件。若供应商参与投标，自行承担投标一切费用。</w:t>
      </w:r>
    </w:p>
    <w:p>
      <w:pPr>
        <w:pStyle w:val="22"/>
        <w:adjustRightInd w:val="0"/>
        <w:snapToGrid w:val="0"/>
        <w:spacing w:line="440" w:lineRule="exact"/>
        <w:ind w:firstLine="482" w:firstLineChars="201"/>
        <w:rPr>
          <w:rFonts w:ascii="仿宋_GB2312" w:hAnsi="新宋体" w:eastAsia="仿宋_GB2312" w:cs="Arial"/>
          <w:bCs/>
          <w:sz w:val="24"/>
        </w:rPr>
      </w:pPr>
      <w:r>
        <w:rPr>
          <w:rFonts w:hint="eastAsia" w:ascii="仿宋_GB2312" w:hAnsi="新宋体" w:eastAsia="仿宋_GB2312" w:cs="Arial"/>
          <w:bCs/>
          <w:sz w:val="24"/>
        </w:rPr>
        <w:t>2.标前准备：各供应商应在开标前应确保成为浙江省政府采购网正式注册入库供应商，并完成CA数字证书办理。因未注册入库、未办理CA数字证书等原因造成无法投标或投标失败等后果由供应商自行承担。</w:t>
      </w:r>
    </w:p>
    <w:p>
      <w:pPr>
        <w:spacing w:line="440" w:lineRule="exact"/>
        <w:ind w:firstLine="360" w:firstLineChars="150"/>
        <w:rPr>
          <w:rFonts w:ascii="仿宋_GB2312" w:hAnsi="新宋体" w:eastAsia="仿宋_GB2312" w:cs="Arial"/>
          <w:bCs/>
          <w:sz w:val="24"/>
        </w:rPr>
      </w:pPr>
      <w:r>
        <w:rPr>
          <w:rFonts w:hint="eastAsia" w:ascii="仿宋_GB2312" w:hAnsi="新宋体" w:eastAsia="仿宋_GB2312" w:cs="Arial"/>
          <w:bCs/>
          <w:sz w:val="24"/>
        </w:rPr>
        <w:t>3.投标文件制作：</w:t>
      </w:r>
    </w:p>
    <w:p>
      <w:pPr>
        <w:spacing w:line="440" w:lineRule="exact"/>
        <w:ind w:firstLine="360" w:firstLineChars="150"/>
        <w:rPr>
          <w:rFonts w:ascii="仿宋_GB2312" w:hAnsi="新宋体" w:eastAsia="仿宋_GB2312" w:cs="Arial"/>
          <w:bCs/>
          <w:sz w:val="24"/>
        </w:rPr>
      </w:pPr>
      <w:r>
        <w:rPr>
          <w:rFonts w:hint="eastAsia" w:ascii="仿宋_GB2312" w:hAnsi="新宋体" w:eastAsia="仿宋_GB2312" w:cs="Arial"/>
          <w:bCs/>
          <w:sz w:val="24"/>
        </w:rPr>
        <w:t>3.1应按照本项目招标文件和政采云平台的要求编制、加密并递交投标文件。供应商在使用系统进行投标的过程中遇到涉及平台使用的任何问题，可致电政采云平台技术支持热线咨询，联系方式：400-881-7190。</w:t>
      </w:r>
    </w:p>
    <w:p>
      <w:pPr>
        <w:spacing w:line="440" w:lineRule="exact"/>
        <w:ind w:firstLine="360" w:firstLineChars="150"/>
        <w:rPr>
          <w:rFonts w:ascii="仿宋_GB2312" w:hAnsi="新宋体" w:eastAsia="仿宋_GB2312" w:cs="Arial"/>
          <w:bCs/>
          <w:sz w:val="24"/>
        </w:rPr>
      </w:pPr>
      <w:r>
        <w:rPr>
          <w:rFonts w:hint="eastAsia" w:ascii="仿宋_GB2312" w:hAnsi="新宋体" w:eastAsia="仿宋_GB2312" w:cs="Arial"/>
          <w:bCs/>
          <w:sz w:val="24"/>
        </w:rPr>
        <w:t>3.2投标人通过“政采云”平台电子投标工具制作投标文件，电子投标工具请供应商自行前往浙江省政府采购网下载并安装，（下载网址：http://www.zjzfcg.gov.cn/bidClientTemplate/2019-05-27/12946.html），投标文件制作具体流程详见：“政采云供应商项目采购-电子招投标操作指南.pdf”。</w:t>
      </w:r>
    </w:p>
    <w:p>
      <w:pPr>
        <w:snapToGrid w:val="0"/>
        <w:spacing w:line="440" w:lineRule="exact"/>
        <w:ind w:firstLine="480" w:firstLineChars="200"/>
        <w:jc w:val="left"/>
        <w:rPr>
          <w:rFonts w:ascii="仿宋_GB2312" w:hAnsi="宋体" w:eastAsia="仿宋_GB2312" w:cs="Arial"/>
          <w:sz w:val="24"/>
        </w:rPr>
      </w:pPr>
      <w:r>
        <w:rPr>
          <w:rFonts w:hint="eastAsia" w:ascii="仿宋_GB2312" w:hAnsi="新宋体" w:eastAsia="仿宋_GB2312" w:cs="Arial"/>
          <w:bCs/>
          <w:sz w:val="24"/>
        </w:rPr>
        <w:t>4.本项目投标人仍需准备纸质投标文件。当电子评标无法正常进行时，即转为线下评标。若在此种情况下，由于供应商未提供纸质文件而导致该供应商作为投标无</w:t>
      </w:r>
      <w:r>
        <w:rPr>
          <w:rFonts w:hint="eastAsia" w:ascii="仿宋_GB2312" w:hAnsi="宋体" w:eastAsia="仿宋_GB2312" w:cs="Arial"/>
          <w:sz w:val="24"/>
        </w:rPr>
        <w:t>效处理等后果由供应商自行承当。</w:t>
      </w:r>
    </w:p>
    <w:p>
      <w:pPr>
        <w:snapToGrid w:val="0"/>
        <w:spacing w:line="440" w:lineRule="exact"/>
        <w:ind w:firstLine="482" w:firstLineChars="200"/>
        <w:jc w:val="left"/>
        <w:rPr>
          <w:rFonts w:ascii="仿宋_GB2312" w:hAnsi="宋体" w:eastAsia="仿宋_GB2312" w:cs="Arial"/>
          <w:sz w:val="24"/>
        </w:rPr>
      </w:pPr>
      <w:r>
        <w:rPr>
          <w:rFonts w:hint="eastAsia" w:ascii="仿宋_GB2312" w:hAnsi="宋体" w:eastAsia="仿宋_GB2312" w:cs="Arial"/>
          <w:b/>
          <w:bCs/>
          <w:sz w:val="24"/>
        </w:rPr>
        <w:t>八、投标截止时间、地点及要求：</w:t>
      </w:r>
      <w:bookmarkStart w:id="2" w:name="PO_14318_PM015"/>
      <w:r>
        <w:rPr>
          <w:rFonts w:hint="eastAsia" w:ascii="仿宋_GB2312" w:hAnsi="宋体" w:eastAsia="仿宋_GB2312" w:cs="Arial"/>
          <w:color w:val="auto"/>
          <w:sz w:val="24"/>
        </w:rPr>
        <w:t>2020-04-</w:t>
      </w:r>
      <w:r>
        <w:rPr>
          <w:rFonts w:hint="eastAsia" w:ascii="仿宋_GB2312" w:hAnsi="宋体" w:eastAsia="仿宋_GB2312" w:cs="Arial"/>
          <w:color w:val="auto"/>
          <w:sz w:val="24"/>
          <w:lang w:val="en-US" w:eastAsia="zh-CN"/>
        </w:rPr>
        <w:t>27</w:t>
      </w:r>
      <w:r>
        <w:rPr>
          <w:rFonts w:hint="eastAsia" w:ascii="仿宋_GB2312" w:hAnsi="宋体" w:eastAsia="仿宋_GB2312" w:cs="Arial"/>
          <w:color w:val="auto"/>
          <w:sz w:val="24"/>
        </w:rPr>
        <w:t xml:space="preserve">  09:00:00</w:t>
      </w:r>
      <w:bookmarkEnd w:id="2"/>
      <w:r>
        <w:rPr>
          <w:rFonts w:hint="eastAsia" w:ascii="仿宋_GB2312" w:hAnsi="宋体" w:eastAsia="仿宋_GB2312" w:cs="Arial"/>
          <w:color w:val="auto"/>
          <w:sz w:val="24"/>
        </w:rPr>
        <w:t>时之前将电子投标文件上传到“政采云”平台，并</w:t>
      </w:r>
      <w:bookmarkStart w:id="3" w:name="PO_14318_PM015_1"/>
      <w:r>
        <w:rPr>
          <w:rFonts w:hint="eastAsia" w:ascii="仿宋_GB2312" w:hAnsi="宋体" w:eastAsia="仿宋_GB2312" w:cs="Arial"/>
          <w:color w:val="auto"/>
          <w:sz w:val="24"/>
        </w:rPr>
        <w:t>2020-04-</w:t>
      </w:r>
      <w:r>
        <w:rPr>
          <w:rFonts w:hint="eastAsia" w:ascii="仿宋_GB2312" w:hAnsi="宋体" w:eastAsia="仿宋_GB2312" w:cs="Arial"/>
          <w:color w:val="auto"/>
          <w:sz w:val="24"/>
          <w:lang w:val="en-US" w:eastAsia="zh-CN"/>
        </w:rPr>
        <w:t xml:space="preserve">27 </w:t>
      </w:r>
      <w:r>
        <w:rPr>
          <w:rFonts w:hint="eastAsia" w:ascii="仿宋_GB2312" w:hAnsi="宋体" w:eastAsia="仿宋_GB2312" w:cs="Arial"/>
          <w:color w:val="auto"/>
          <w:sz w:val="24"/>
        </w:rPr>
        <w:t xml:space="preserve"> 09:00:00</w:t>
      </w:r>
      <w:bookmarkEnd w:id="3"/>
      <w:r>
        <w:rPr>
          <w:rFonts w:hint="eastAsia" w:ascii="仿宋_GB2312" w:hAnsi="宋体" w:eastAsia="仿宋_GB2312" w:cs="Arial"/>
          <w:sz w:val="24"/>
        </w:rPr>
        <w:t>时前，将纸质备份投标文件密封，送交到</w:t>
      </w:r>
      <w:bookmarkStart w:id="4" w:name="PO_14318_PM017"/>
      <w:r>
        <w:rPr>
          <w:rFonts w:hint="eastAsia" w:ascii="仿宋_GB2312" w:hAnsi="宋体" w:eastAsia="仿宋_GB2312" w:cs="Arial"/>
          <w:sz w:val="24"/>
        </w:rPr>
        <w:t>新昌县</w:t>
      </w:r>
      <w:bookmarkEnd w:id="4"/>
      <w:r>
        <w:rPr>
          <w:rFonts w:hint="eastAsia" w:ascii="仿宋_GB2312" w:hAnsi="宋体" w:eastAsia="仿宋_GB2312" w:cs="Arial"/>
          <w:sz w:val="24"/>
        </w:rPr>
        <w:t>致信工程咨询有限公司接标室（和悦广场写字楼6楼602室）（允许采用邮寄递交）逾期送达不予接收。</w:t>
      </w:r>
    </w:p>
    <w:p>
      <w:pPr>
        <w:snapToGrid w:val="0"/>
        <w:spacing w:line="440" w:lineRule="exact"/>
        <w:ind w:firstLine="482" w:firstLineChars="200"/>
        <w:jc w:val="left"/>
        <w:rPr>
          <w:rFonts w:ascii="仿宋_GB2312" w:hAnsi="宋体" w:eastAsia="仿宋_GB2312" w:cs="Arial"/>
          <w:sz w:val="24"/>
        </w:rPr>
      </w:pPr>
      <w:r>
        <w:rPr>
          <w:rFonts w:hint="eastAsia" w:ascii="仿宋_GB2312" w:hAnsi="宋体" w:eastAsia="仿宋_GB2312" w:cs="Arial"/>
          <w:b/>
          <w:bCs/>
          <w:sz w:val="24"/>
        </w:rPr>
        <w:t>纸质备份投标文件现场提交的：</w:t>
      </w:r>
      <w:r>
        <w:rPr>
          <w:rFonts w:hint="eastAsia" w:ascii="仿宋_GB2312" w:hAnsi="宋体" w:eastAsia="仿宋_GB2312" w:cs="Arial"/>
          <w:sz w:val="24"/>
        </w:rPr>
        <w:t>每家投标人经办人人数不得超过1人，须佩戴好口罩，出示健康绿码，经体温测量正常和信息登记后方可进入；递交完成后，要做到即交即走，减少人员聚集程度及滞留时间；</w:t>
      </w:r>
    </w:p>
    <w:p>
      <w:pPr>
        <w:snapToGrid w:val="0"/>
        <w:spacing w:line="440" w:lineRule="exact"/>
        <w:ind w:firstLine="482" w:firstLineChars="200"/>
        <w:jc w:val="left"/>
        <w:rPr>
          <w:rFonts w:ascii="仿宋_GB2312" w:hAnsi="宋体" w:eastAsia="仿宋_GB2312" w:cs="Arial"/>
          <w:sz w:val="24"/>
        </w:rPr>
      </w:pPr>
      <w:r>
        <w:rPr>
          <w:rFonts w:hint="eastAsia" w:ascii="仿宋_GB2312" w:hAnsi="宋体" w:eastAsia="仿宋_GB2312" w:cs="Arial"/>
          <w:b/>
          <w:bCs/>
          <w:sz w:val="24"/>
        </w:rPr>
        <w:t>纸质备份投标文件邮寄递交的：</w:t>
      </w:r>
      <w:r>
        <w:rPr>
          <w:rFonts w:hint="eastAsia" w:ascii="仿宋_GB2312" w:hAnsi="宋体" w:eastAsia="仿宋_GB2312" w:cs="Arial"/>
          <w:sz w:val="24"/>
        </w:rPr>
        <w:t>原则上采用EMS邮寄，不接受到付邮件，以代理机构工作人员签收时间为准。收件人：新昌县致信工程咨询有限公司（梁先生）；联系方式：13858460780；邮寄地址：浙江省绍兴市新昌县和悦广场写字楼6楼602室。请各投标人合理安排时间，并考虑邮寄途中备份投标文件丢失、破损等情形，因上述原因引起的后果采购人概不负责。</w:t>
      </w:r>
    </w:p>
    <w:p>
      <w:pPr>
        <w:snapToGrid w:val="0"/>
        <w:spacing w:line="440" w:lineRule="exact"/>
        <w:ind w:firstLine="480" w:firstLineChars="200"/>
        <w:jc w:val="left"/>
        <w:rPr>
          <w:rFonts w:ascii="仿宋_GB2312" w:hAnsi="宋体" w:eastAsia="仿宋_GB2312" w:cs="Arial"/>
          <w:sz w:val="24"/>
        </w:rPr>
      </w:pPr>
      <w:r>
        <w:rPr>
          <w:rFonts w:hint="eastAsia" w:ascii="仿宋_GB2312" w:hAnsi="宋体" w:eastAsia="仿宋_GB2312" w:cs="Arial"/>
          <w:sz w:val="24"/>
        </w:rPr>
        <w:t>当终止电子化开标评标程序，而采用纸质投标文件线下评审程序时，投标人在递交投标文件截止时间前没有提交纸质投标文件的，</w:t>
      </w:r>
      <w:r>
        <w:rPr>
          <w:rFonts w:hint="eastAsia" w:ascii="仿宋_GB2312" w:hAnsi="新宋体" w:eastAsia="仿宋_GB2312" w:cs="Arial"/>
          <w:sz w:val="24"/>
        </w:rPr>
        <w:t>视为投标人放弃投标。</w:t>
      </w:r>
    </w:p>
    <w:p>
      <w:pPr>
        <w:spacing w:line="440" w:lineRule="exact"/>
        <w:ind w:firstLine="482" w:firstLineChars="200"/>
        <w:rPr>
          <w:rFonts w:ascii="仿宋_GB2312" w:hAnsi="新宋体" w:eastAsia="仿宋_GB2312" w:cs="Arial"/>
          <w:sz w:val="24"/>
        </w:rPr>
      </w:pPr>
      <w:r>
        <w:rPr>
          <w:rFonts w:hint="eastAsia" w:ascii="仿宋_GB2312" w:hAnsi="新宋体" w:eastAsia="仿宋_GB2312" w:cs="Arial"/>
          <w:b/>
          <w:bCs/>
          <w:sz w:val="24"/>
          <w:lang w:val="en-US" w:eastAsia="zh-CN"/>
        </w:rPr>
        <w:t>九</w:t>
      </w:r>
      <w:r>
        <w:rPr>
          <w:rFonts w:hint="eastAsia" w:ascii="仿宋_GB2312" w:hAnsi="新宋体" w:eastAsia="仿宋_GB2312" w:cs="Arial"/>
          <w:b/>
          <w:bCs/>
          <w:sz w:val="24"/>
        </w:rPr>
        <w:t>、开标时间及地点：</w:t>
      </w:r>
      <w:bookmarkStart w:id="5" w:name="PO_14318_PM015_3"/>
      <w:r>
        <w:rPr>
          <w:rFonts w:ascii="仿宋_GB2312" w:hAnsi="新宋体" w:eastAsia="仿宋_GB2312" w:cs="Arial"/>
          <w:b/>
          <w:bCs/>
          <w:color w:val="auto"/>
          <w:sz w:val="24"/>
        </w:rPr>
        <w:t>20</w:t>
      </w:r>
      <w:r>
        <w:rPr>
          <w:rFonts w:hint="eastAsia" w:ascii="仿宋_GB2312" w:hAnsi="新宋体" w:eastAsia="仿宋_GB2312" w:cs="Arial"/>
          <w:b/>
          <w:bCs/>
          <w:color w:val="auto"/>
          <w:sz w:val="24"/>
        </w:rPr>
        <w:t>20</w:t>
      </w:r>
      <w:r>
        <w:rPr>
          <w:rFonts w:ascii="仿宋_GB2312" w:hAnsi="新宋体" w:eastAsia="仿宋_GB2312" w:cs="Arial"/>
          <w:b/>
          <w:bCs/>
          <w:color w:val="auto"/>
          <w:sz w:val="24"/>
        </w:rPr>
        <w:t>-</w:t>
      </w:r>
      <w:r>
        <w:rPr>
          <w:rFonts w:hint="eastAsia" w:ascii="仿宋_GB2312" w:hAnsi="新宋体" w:eastAsia="仿宋_GB2312" w:cs="Arial"/>
          <w:b/>
          <w:bCs/>
          <w:color w:val="auto"/>
          <w:sz w:val="24"/>
        </w:rPr>
        <w:t>04</w:t>
      </w:r>
      <w:r>
        <w:rPr>
          <w:rFonts w:ascii="仿宋_GB2312" w:hAnsi="新宋体" w:eastAsia="仿宋_GB2312" w:cs="Arial"/>
          <w:b/>
          <w:bCs/>
          <w:color w:val="auto"/>
          <w:sz w:val="24"/>
        </w:rPr>
        <w:t>-</w:t>
      </w:r>
      <w:r>
        <w:rPr>
          <w:rFonts w:hint="eastAsia" w:ascii="仿宋_GB2312" w:hAnsi="新宋体" w:eastAsia="仿宋_GB2312" w:cs="Arial"/>
          <w:b/>
          <w:bCs/>
          <w:color w:val="auto"/>
          <w:sz w:val="24"/>
          <w:lang w:val="en-US" w:eastAsia="zh-CN"/>
        </w:rPr>
        <w:t>27</w:t>
      </w:r>
      <w:r>
        <w:rPr>
          <w:rFonts w:hint="eastAsia" w:ascii="仿宋_GB2312" w:hAnsi="新宋体" w:eastAsia="仿宋_GB2312" w:cs="Arial"/>
          <w:b/>
          <w:bCs/>
          <w:color w:val="auto"/>
          <w:sz w:val="24"/>
        </w:rPr>
        <w:t xml:space="preserve"> </w:t>
      </w:r>
      <w:r>
        <w:rPr>
          <w:rFonts w:ascii="仿宋_GB2312" w:hAnsi="新宋体" w:eastAsia="仿宋_GB2312" w:cs="Arial"/>
          <w:b/>
          <w:bCs/>
          <w:color w:val="auto"/>
          <w:sz w:val="24"/>
        </w:rPr>
        <w:t xml:space="preserve"> 09:00:00</w:t>
      </w:r>
      <w:bookmarkEnd w:id="5"/>
      <w:r>
        <w:rPr>
          <w:rFonts w:hint="eastAsia" w:ascii="仿宋_GB2312" w:hAnsi="新宋体" w:eastAsia="仿宋_GB2312" w:cs="Arial"/>
          <w:b/>
          <w:bCs/>
          <w:color w:val="auto"/>
          <w:sz w:val="24"/>
        </w:rPr>
        <w:t>时在</w:t>
      </w:r>
      <w:bookmarkStart w:id="6" w:name="PO_14318_PM016"/>
      <w:r>
        <w:rPr>
          <w:rFonts w:hint="eastAsia" w:ascii="仿宋_GB2312" w:hAnsi="新宋体" w:eastAsia="仿宋_GB2312" w:cs="Arial"/>
          <w:b/>
          <w:bCs/>
          <w:sz w:val="24"/>
        </w:rPr>
        <w:t>新昌县致信工程咨询有限公司开标室</w:t>
      </w:r>
      <w:r>
        <w:rPr>
          <w:rFonts w:ascii="仿宋_GB2312" w:hAnsi="新宋体" w:eastAsia="仿宋_GB2312" w:cs="Arial"/>
          <w:b/>
          <w:bCs/>
          <w:sz w:val="24"/>
        </w:rPr>
        <w:t>（</w:t>
      </w:r>
      <w:r>
        <w:rPr>
          <w:rFonts w:hint="eastAsia" w:ascii="仿宋_GB2312" w:hAnsi="新宋体" w:eastAsia="仿宋_GB2312" w:cs="Arial"/>
          <w:b/>
          <w:bCs/>
          <w:sz w:val="24"/>
        </w:rPr>
        <w:t>和悦广场写字楼6楼602室</w:t>
      </w:r>
      <w:r>
        <w:rPr>
          <w:rFonts w:ascii="仿宋_GB2312" w:hAnsi="新宋体" w:eastAsia="仿宋_GB2312" w:cs="Arial"/>
          <w:b/>
          <w:bCs/>
          <w:sz w:val="24"/>
        </w:rPr>
        <w:t>）</w:t>
      </w:r>
      <w:bookmarkEnd w:id="6"/>
      <w:r>
        <w:rPr>
          <w:rFonts w:hint="eastAsia" w:ascii="仿宋_GB2312" w:hAnsi="新宋体" w:eastAsia="仿宋_GB2312" w:cs="Arial"/>
          <w:sz w:val="24"/>
        </w:rPr>
        <w:t>开标。</w:t>
      </w:r>
    </w:p>
    <w:p>
      <w:pPr>
        <w:spacing w:line="440" w:lineRule="exact"/>
        <w:ind w:firstLine="482" w:firstLineChars="200"/>
        <w:rPr>
          <w:rFonts w:ascii="仿宋_GB2312" w:hAnsi="新宋体" w:eastAsia="仿宋_GB2312" w:cs="Arial"/>
          <w:sz w:val="24"/>
        </w:rPr>
      </w:pPr>
      <w:r>
        <w:rPr>
          <w:rFonts w:hint="eastAsia" w:ascii="仿宋_GB2312" w:hAnsi="新宋体" w:eastAsia="仿宋_GB2312" w:cs="Arial"/>
          <w:b/>
          <w:bCs/>
          <w:sz w:val="24"/>
        </w:rPr>
        <w:t>开标时间后30分钟内</w:t>
      </w:r>
      <w:r>
        <w:rPr>
          <w:rFonts w:hint="eastAsia" w:ascii="仿宋_GB2312" w:hAnsi="新宋体" w:eastAsia="仿宋_GB2312" w:cs="Arial"/>
          <w:sz w:val="24"/>
        </w:rPr>
        <w:t>供应商可以登录“政采云”平台，用“项目采购-开标评标”功能进行远程在线解密投标文件。若供应商在规定时间内无法解密或解密失败，可使用纸质备份投标文件进行线下评标。若供应商在规定时间内无法解密或解密失败且未在投标截止时间前提供纸质备份投标文件的，视为投标人放弃投标。</w:t>
      </w:r>
    </w:p>
    <w:p>
      <w:pPr>
        <w:spacing w:line="440" w:lineRule="exact"/>
        <w:ind w:firstLine="482" w:firstLineChars="200"/>
        <w:rPr>
          <w:rFonts w:ascii="仿宋_GB2312" w:hAnsi="新宋体" w:eastAsia="仿宋_GB2312" w:cs="Arial"/>
          <w:sz w:val="24"/>
        </w:rPr>
      </w:pPr>
      <w:r>
        <w:rPr>
          <w:rFonts w:hint="eastAsia" w:ascii="仿宋_GB2312" w:hAnsi="新宋体" w:eastAsia="仿宋_GB2312" w:cs="Arial"/>
          <w:b/>
          <w:bCs/>
          <w:sz w:val="24"/>
        </w:rPr>
        <w:t>十、投标保证金</w:t>
      </w:r>
      <w:r>
        <w:rPr>
          <w:rFonts w:hint="eastAsia" w:ascii="仿宋_GB2312" w:hAnsi="新宋体" w:eastAsia="仿宋_GB2312" w:cs="Arial"/>
          <w:sz w:val="24"/>
        </w:rPr>
        <w:t>：无。</w:t>
      </w:r>
    </w:p>
    <w:p>
      <w:pPr>
        <w:spacing w:line="440" w:lineRule="exact"/>
        <w:ind w:firstLine="482" w:firstLineChars="200"/>
        <w:rPr>
          <w:rFonts w:ascii="仿宋_GB2312" w:eastAsia="仿宋_GB2312"/>
          <w:sz w:val="24"/>
        </w:rPr>
      </w:pPr>
      <w:r>
        <w:rPr>
          <w:rFonts w:hint="eastAsia" w:ascii="仿宋_GB2312" w:hAnsi="新宋体" w:eastAsia="仿宋_GB2312" w:cs="Arial"/>
          <w:b/>
          <w:bCs/>
          <w:sz w:val="24"/>
        </w:rPr>
        <w:t>十</w:t>
      </w:r>
      <w:r>
        <w:rPr>
          <w:rFonts w:hint="eastAsia" w:ascii="仿宋_GB2312" w:hAnsi="新宋体" w:eastAsia="仿宋_GB2312" w:cs="Arial"/>
          <w:b/>
          <w:bCs/>
          <w:sz w:val="24"/>
          <w:lang w:val="en-US" w:eastAsia="zh-CN"/>
        </w:rPr>
        <w:t>一</w:t>
      </w:r>
      <w:r>
        <w:rPr>
          <w:rFonts w:hint="eastAsia" w:ascii="仿宋_GB2312" w:hAnsi="新宋体" w:eastAsia="仿宋_GB2312" w:cs="Arial"/>
          <w:b/>
          <w:bCs/>
          <w:sz w:val="24"/>
        </w:rPr>
        <w:t>、</w:t>
      </w:r>
      <w:r>
        <w:rPr>
          <w:rFonts w:hint="eastAsia" w:ascii="仿宋_GB2312" w:hAnsi="新宋体" w:eastAsia="仿宋_GB2312" w:cs="Arial"/>
          <w:b/>
          <w:sz w:val="24"/>
        </w:rPr>
        <w:t>招标公告发布：</w:t>
      </w:r>
      <w:r>
        <w:rPr>
          <w:rFonts w:hint="eastAsia" w:ascii="仿宋_GB2312" w:hAnsi="新宋体" w:eastAsia="仿宋_GB2312" w:cs="Arial"/>
          <w:bCs/>
          <w:sz w:val="24"/>
        </w:rPr>
        <w:t>浙江政府采购网</w:t>
      </w:r>
      <w:r>
        <w:rPr>
          <w:rFonts w:hint="eastAsia" w:ascii="仿宋_GB2312" w:eastAsia="仿宋_GB2312"/>
          <w:sz w:val="24"/>
        </w:rPr>
        <w:t>和新昌县公共资源交易平台。</w:t>
      </w:r>
    </w:p>
    <w:p>
      <w:pPr>
        <w:spacing w:line="440" w:lineRule="exact"/>
        <w:ind w:firstLine="482" w:firstLineChars="200"/>
        <w:rPr>
          <w:rFonts w:ascii="仿宋_GB2312" w:eastAsia="仿宋_GB2312"/>
          <w:sz w:val="24"/>
        </w:rPr>
      </w:pPr>
      <w:r>
        <w:rPr>
          <w:rFonts w:hint="eastAsia" w:ascii="仿宋_GB2312" w:eastAsia="仿宋_GB2312"/>
          <w:b/>
          <w:sz w:val="24"/>
        </w:rPr>
        <w:t>十</w:t>
      </w:r>
      <w:r>
        <w:rPr>
          <w:rFonts w:hint="eastAsia" w:ascii="仿宋_GB2312" w:eastAsia="仿宋_GB2312"/>
          <w:b/>
          <w:sz w:val="24"/>
          <w:lang w:val="en-US" w:eastAsia="zh-CN"/>
        </w:rPr>
        <w:t>二</w:t>
      </w:r>
      <w:r>
        <w:rPr>
          <w:rFonts w:hint="eastAsia" w:ascii="仿宋_GB2312" w:eastAsia="仿宋_GB2312"/>
          <w:b/>
          <w:sz w:val="24"/>
        </w:rPr>
        <w:t>、本项目公告期限：</w:t>
      </w:r>
      <w:r>
        <w:rPr>
          <w:rFonts w:hint="eastAsia" w:ascii="仿宋_GB2312" w:eastAsia="仿宋_GB2312"/>
          <w:sz w:val="24"/>
        </w:rPr>
        <w:t>本公告发布之日起五个工作日。</w:t>
      </w:r>
    </w:p>
    <w:p>
      <w:pPr>
        <w:spacing w:line="440" w:lineRule="exact"/>
        <w:ind w:firstLine="482" w:firstLineChars="200"/>
        <w:rPr>
          <w:rFonts w:ascii="仿宋_GB2312" w:eastAsia="仿宋_GB2312"/>
          <w:b/>
          <w:sz w:val="24"/>
        </w:rPr>
      </w:pPr>
      <w:r>
        <w:rPr>
          <w:rFonts w:hint="eastAsia" w:ascii="仿宋_GB2312" w:eastAsia="仿宋_GB2312"/>
          <w:b/>
          <w:sz w:val="24"/>
        </w:rPr>
        <w:t>十</w:t>
      </w:r>
      <w:r>
        <w:rPr>
          <w:rFonts w:hint="eastAsia" w:ascii="仿宋_GB2312" w:eastAsia="仿宋_GB2312"/>
          <w:b/>
          <w:sz w:val="24"/>
          <w:lang w:val="en-US" w:eastAsia="zh-CN"/>
        </w:rPr>
        <w:t>三</w:t>
      </w:r>
      <w:r>
        <w:rPr>
          <w:rFonts w:hint="eastAsia" w:ascii="仿宋_GB2312" w:eastAsia="仿宋_GB2312"/>
          <w:b/>
          <w:sz w:val="24"/>
        </w:rPr>
        <w:t>、质疑和投诉：</w:t>
      </w:r>
    </w:p>
    <w:p>
      <w:pPr>
        <w:spacing w:line="440" w:lineRule="exact"/>
        <w:ind w:firstLine="480" w:firstLineChars="200"/>
        <w:rPr>
          <w:rFonts w:ascii="仿宋_GB2312" w:eastAsia="仿宋_GB2312"/>
          <w:sz w:val="24"/>
        </w:rPr>
      </w:pPr>
      <w:r>
        <w:rPr>
          <w:rFonts w:hint="eastAsia" w:ascii="仿宋_GB2312" w:eastAsia="仿宋_GB2312"/>
          <w:sz w:val="24"/>
        </w:rPr>
        <w:t>供应商认为招标文件、采购过程和中标、成交结果使自己的权益受到损害的，可以在知道或者应知其权益受到损害之日起七个工作日内，以书面形式向采购机构提出质疑。供应商对采购机构的质疑答复不满意或者采购机构未在规定时间内作出答复的，可以在答复期满后十五个工作日内向同级政府采购监督管理部门投诉。</w:t>
      </w:r>
    </w:p>
    <w:p>
      <w:pPr>
        <w:spacing w:line="440" w:lineRule="exact"/>
        <w:ind w:firstLine="472" w:firstLineChars="196"/>
        <w:rPr>
          <w:rFonts w:ascii="仿宋_GB2312" w:eastAsia="仿宋_GB2312"/>
          <w:b/>
          <w:sz w:val="24"/>
        </w:rPr>
      </w:pPr>
      <w:r>
        <w:rPr>
          <w:rFonts w:hint="eastAsia" w:ascii="仿宋_GB2312" w:eastAsia="仿宋_GB2312"/>
          <w:b/>
          <w:sz w:val="24"/>
        </w:rPr>
        <w:t>十</w:t>
      </w:r>
      <w:r>
        <w:rPr>
          <w:rFonts w:hint="eastAsia" w:ascii="仿宋_GB2312" w:eastAsia="仿宋_GB2312"/>
          <w:b/>
          <w:sz w:val="24"/>
          <w:lang w:val="en-US" w:eastAsia="zh-CN"/>
        </w:rPr>
        <w:t>四</w:t>
      </w:r>
      <w:bookmarkStart w:id="23" w:name="_GoBack"/>
      <w:bookmarkEnd w:id="23"/>
      <w:r>
        <w:rPr>
          <w:rFonts w:hint="eastAsia" w:ascii="仿宋_GB2312" w:eastAsia="仿宋_GB2312"/>
          <w:b/>
          <w:sz w:val="24"/>
        </w:rPr>
        <w:t>、联系方式：</w:t>
      </w:r>
    </w:p>
    <w:p>
      <w:pPr>
        <w:spacing w:line="360" w:lineRule="auto"/>
        <w:ind w:firstLine="470" w:firstLineChars="196"/>
        <w:rPr>
          <w:rFonts w:ascii="仿宋_GB2312" w:eastAsia="仿宋_GB2312"/>
          <w:bCs/>
          <w:sz w:val="24"/>
        </w:rPr>
      </w:pPr>
      <w:r>
        <w:rPr>
          <w:rFonts w:hint="eastAsia" w:ascii="仿宋_GB2312" w:eastAsia="仿宋_GB2312"/>
          <w:bCs/>
          <w:sz w:val="24"/>
        </w:rPr>
        <w:t>1、采购方名称：新昌县公安局交通警察大队</w:t>
      </w:r>
    </w:p>
    <w:p>
      <w:pPr>
        <w:spacing w:line="360" w:lineRule="auto"/>
        <w:ind w:firstLine="470" w:firstLineChars="196"/>
        <w:rPr>
          <w:rFonts w:ascii="仿宋_GB2312" w:eastAsia="仿宋_GB2312"/>
          <w:bCs/>
          <w:sz w:val="24"/>
        </w:rPr>
      </w:pPr>
      <w:r>
        <w:rPr>
          <w:rFonts w:hint="eastAsia" w:ascii="仿宋_GB2312" w:eastAsia="仿宋_GB2312"/>
          <w:bCs/>
          <w:sz w:val="24"/>
        </w:rPr>
        <w:t>地址：新昌县南岩路189号</w:t>
      </w:r>
    </w:p>
    <w:p>
      <w:pPr>
        <w:spacing w:line="360" w:lineRule="auto"/>
        <w:ind w:firstLine="470" w:firstLineChars="196"/>
        <w:rPr>
          <w:rFonts w:ascii="仿宋_GB2312" w:eastAsia="仿宋_GB2312"/>
          <w:bCs/>
          <w:sz w:val="24"/>
        </w:rPr>
      </w:pPr>
      <w:r>
        <w:rPr>
          <w:rFonts w:hint="eastAsia" w:ascii="仿宋_GB2312" w:eastAsia="仿宋_GB2312"/>
          <w:bCs/>
          <w:sz w:val="24"/>
        </w:rPr>
        <w:t xml:space="preserve">联系人：裘先生           电话：0575-86624009 </w:t>
      </w:r>
    </w:p>
    <w:p>
      <w:pPr>
        <w:spacing w:line="360" w:lineRule="auto"/>
        <w:ind w:firstLine="470" w:firstLineChars="196"/>
        <w:rPr>
          <w:rFonts w:ascii="仿宋_GB2312" w:eastAsia="仿宋_GB2312"/>
          <w:bCs/>
          <w:sz w:val="24"/>
        </w:rPr>
      </w:pPr>
      <w:r>
        <w:rPr>
          <w:rFonts w:hint="eastAsia" w:ascii="仿宋_GB2312" w:eastAsia="仿宋_GB2312"/>
          <w:bCs/>
          <w:sz w:val="24"/>
        </w:rPr>
        <w:t>2、采购代理机构名称：新昌县致信工程咨询有限公司</w:t>
      </w:r>
    </w:p>
    <w:p>
      <w:pPr>
        <w:spacing w:line="360" w:lineRule="auto"/>
        <w:ind w:firstLine="470" w:firstLineChars="196"/>
        <w:rPr>
          <w:rFonts w:ascii="仿宋_GB2312" w:eastAsia="仿宋_GB2312"/>
          <w:bCs/>
          <w:sz w:val="24"/>
        </w:rPr>
      </w:pPr>
      <w:r>
        <w:rPr>
          <w:rFonts w:hint="eastAsia" w:ascii="仿宋_GB2312" w:eastAsia="仿宋_GB2312"/>
          <w:bCs/>
          <w:sz w:val="24"/>
        </w:rPr>
        <w:t>地址：新昌县和悦广场写字楼6楼</w:t>
      </w:r>
    </w:p>
    <w:p>
      <w:pPr>
        <w:spacing w:line="360" w:lineRule="auto"/>
        <w:ind w:firstLine="470" w:firstLineChars="196"/>
        <w:rPr>
          <w:rFonts w:ascii="仿宋_GB2312" w:eastAsia="仿宋_GB2312"/>
          <w:bCs/>
          <w:sz w:val="24"/>
        </w:rPr>
      </w:pPr>
      <w:r>
        <w:rPr>
          <w:rFonts w:hint="eastAsia" w:ascii="仿宋_GB2312" w:eastAsia="仿宋_GB2312"/>
          <w:bCs/>
          <w:sz w:val="24"/>
        </w:rPr>
        <w:t>联系人：韩女士    联系电话：0575-86761778</w:t>
      </w:r>
    </w:p>
    <w:p>
      <w:pPr>
        <w:spacing w:line="360" w:lineRule="auto"/>
        <w:ind w:firstLine="470" w:firstLineChars="196"/>
        <w:rPr>
          <w:rFonts w:ascii="仿宋_GB2312" w:eastAsia="仿宋_GB2312"/>
          <w:bCs/>
          <w:sz w:val="24"/>
        </w:rPr>
      </w:pPr>
      <w:r>
        <w:rPr>
          <w:rFonts w:hint="eastAsia" w:ascii="仿宋_GB2312" w:eastAsia="仿宋_GB2312"/>
          <w:bCs/>
          <w:sz w:val="24"/>
        </w:rPr>
        <w:t>3、同级政府采购监督管理部门名称：新昌县财政局</w:t>
      </w:r>
    </w:p>
    <w:p>
      <w:pPr>
        <w:spacing w:line="360" w:lineRule="auto"/>
        <w:ind w:firstLine="470" w:firstLineChars="196"/>
        <w:rPr>
          <w:rFonts w:ascii="仿宋_GB2312" w:eastAsia="仿宋_GB2312"/>
          <w:bCs/>
          <w:sz w:val="24"/>
        </w:rPr>
      </w:pPr>
      <w:r>
        <w:rPr>
          <w:rFonts w:hint="eastAsia" w:ascii="仿宋_GB2312" w:eastAsia="仿宋_GB2312"/>
          <w:bCs/>
          <w:sz w:val="24"/>
        </w:rPr>
        <w:t>地址：新昌县鼓山中路118号</w:t>
      </w:r>
    </w:p>
    <w:p>
      <w:pPr>
        <w:spacing w:line="360" w:lineRule="auto"/>
        <w:ind w:firstLine="470" w:firstLineChars="196"/>
        <w:rPr>
          <w:rFonts w:ascii="仿宋_GB2312" w:eastAsia="仿宋_GB2312"/>
          <w:sz w:val="24"/>
        </w:rPr>
      </w:pPr>
      <w:r>
        <w:rPr>
          <w:rFonts w:hint="eastAsia" w:ascii="仿宋_GB2312" w:eastAsia="仿宋_GB2312"/>
          <w:bCs/>
          <w:sz w:val="24"/>
        </w:rPr>
        <w:t>联系人：任先生     监督投诉电话：0575-86621309</w:t>
      </w:r>
    </w:p>
    <w:p>
      <w:pPr>
        <w:spacing w:line="360" w:lineRule="auto"/>
        <w:rPr>
          <w:rFonts w:ascii="仿宋_GB2312" w:eastAsia="仿宋_GB2312"/>
          <w:sz w:val="24"/>
        </w:rPr>
      </w:pPr>
      <w:r>
        <w:rPr>
          <w:rFonts w:hint="eastAsia" w:ascii="仿宋_GB2312" w:eastAsia="仿宋_GB2312"/>
        </w:rPr>
        <w:t xml:space="preserve">                                    　　　　　</w:t>
      </w:r>
      <w:r>
        <w:rPr>
          <w:rFonts w:hint="eastAsia" w:ascii="仿宋_GB2312" w:eastAsia="仿宋_GB2312"/>
          <w:sz w:val="24"/>
        </w:rPr>
        <w:t>　　　新昌县公安局交通警察大队</w:t>
      </w:r>
    </w:p>
    <w:p>
      <w:pPr>
        <w:pStyle w:val="52"/>
        <w:tabs>
          <w:tab w:val="left" w:pos="5449"/>
        </w:tabs>
        <w:spacing w:line="360" w:lineRule="auto"/>
        <w:rPr>
          <w:sz w:val="24"/>
          <w:szCs w:val="24"/>
        </w:rPr>
      </w:pPr>
      <w:r>
        <w:rPr>
          <w:rFonts w:hint="eastAsia" w:ascii="仿宋_GB2312" w:eastAsia="仿宋_GB2312"/>
          <w:sz w:val="24"/>
          <w:szCs w:val="24"/>
        </w:rPr>
        <w:tab/>
      </w:r>
      <w:r>
        <w:rPr>
          <w:rFonts w:hint="eastAsia" w:ascii="仿宋_GB2312" w:eastAsia="仿宋_GB2312"/>
          <w:sz w:val="24"/>
          <w:szCs w:val="24"/>
        </w:rPr>
        <w:t xml:space="preserve"> 新昌县致信工程咨询有限公司</w:t>
      </w:r>
    </w:p>
    <w:p>
      <w:pPr>
        <w:spacing w:line="360" w:lineRule="auto"/>
        <w:ind w:right="-78" w:rightChars="-37" w:firstLine="120" w:firstLineChars="50"/>
        <w:rPr>
          <w:rFonts w:ascii="仿宋_GB2312" w:eastAsia="仿宋_GB2312"/>
          <w:sz w:val="24"/>
        </w:rPr>
      </w:pPr>
      <w:r>
        <w:rPr>
          <w:rFonts w:hint="eastAsia" w:ascii="仿宋_GB2312" w:eastAsia="仿宋_GB2312"/>
          <w:sz w:val="24"/>
        </w:rPr>
        <w:t xml:space="preserve">                                 　　　　　　　 2020年</w:t>
      </w:r>
      <w:r>
        <w:rPr>
          <w:rFonts w:hint="eastAsia" w:ascii="仿宋_GB2312" w:eastAsia="仿宋_GB2312"/>
          <w:sz w:val="24"/>
          <w:lang w:val="en-US" w:eastAsia="zh-CN"/>
        </w:rPr>
        <w:t>4</w:t>
      </w:r>
      <w:r>
        <w:rPr>
          <w:rFonts w:hint="eastAsia" w:ascii="仿宋_GB2312" w:eastAsia="仿宋_GB2312"/>
          <w:sz w:val="24"/>
        </w:rPr>
        <w:t>月</w:t>
      </w:r>
      <w:r>
        <w:rPr>
          <w:rFonts w:hint="eastAsia" w:ascii="仿宋_GB2312" w:eastAsia="仿宋_GB2312"/>
          <w:sz w:val="24"/>
          <w:lang w:val="en-US" w:eastAsia="zh-CN"/>
        </w:rPr>
        <w:t>7</w:t>
      </w:r>
      <w:r>
        <w:rPr>
          <w:rFonts w:hint="eastAsia" w:ascii="仿宋_GB2312" w:eastAsia="仿宋_GB2312"/>
          <w:sz w:val="24"/>
        </w:rPr>
        <w:t>日</w:t>
      </w:r>
    </w:p>
    <w:p>
      <w:pPr>
        <w:pageBreakBefore/>
        <w:jc w:val="center"/>
        <w:rPr>
          <w:rFonts w:ascii="仿宋_GB2312" w:hAnsi="宋体" w:eastAsia="仿宋_GB2312"/>
          <w:b/>
          <w:sz w:val="36"/>
          <w:szCs w:val="36"/>
        </w:rPr>
      </w:pPr>
      <w:r>
        <w:rPr>
          <w:rFonts w:hint="eastAsia" w:ascii="仿宋_GB2312" w:hAnsi="宋体" w:eastAsia="仿宋_GB2312"/>
          <w:b/>
          <w:sz w:val="36"/>
          <w:szCs w:val="36"/>
        </w:rPr>
        <w:t>第二部分 投标须知</w:t>
      </w:r>
    </w:p>
    <w:p>
      <w:pPr>
        <w:ind w:left="238"/>
        <w:jc w:val="center"/>
        <w:rPr>
          <w:rFonts w:ascii="仿宋_GB2312" w:hAnsi="宋体" w:eastAsia="仿宋_GB2312"/>
          <w:b/>
          <w:sz w:val="30"/>
          <w:szCs w:val="36"/>
        </w:rPr>
      </w:pPr>
      <w:r>
        <w:rPr>
          <w:rFonts w:hint="eastAsia" w:ascii="仿宋_GB2312" w:hAnsi="宋体" w:eastAsia="仿宋_GB2312"/>
          <w:b/>
          <w:sz w:val="30"/>
          <w:szCs w:val="36"/>
        </w:rPr>
        <w:t>前附表</w:t>
      </w:r>
    </w:p>
    <w:tbl>
      <w:tblPr>
        <w:tblStyle w:val="41"/>
        <w:tblW w:w="9558"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
        <w:gridCol w:w="1190"/>
        <w:gridCol w:w="7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序号</w:t>
            </w:r>
          </w:p>
        </w:tc>
        <w:tc>
          <w:tcPr>
            <w:tcW w:w="8706" w:type="dxa"/>
            <w:gridSpan w:val="2"/>
            <w:vAlign w:val="center"/>
          </w:tcPr>
          <w:p>
            <w:pPr>
              <w:spacing w:line="440" w:lineRule="exact"/>
              <w:jc w:val="center"/>
              <w:rPr>
                <w:rFonts w:ascii="仿宋_GB2312" w:hAnsi="宋体" w:eastAsia="仿宋_GB2312"/>
                <w:sz w:val="24"/>
              </w:rPr>
            </w:pPr>
            <w:r>
              <w:rPr>
                <w:rFonts w:hint="eastAsia" w:ascii="仿宋_GB2312" w:hAnsi="宋体" w:eastAsia="仿宋_GB2312"/>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1</w:t>
            </w:r>
          </w:p>
        </w:tc>
        <w:tc>
          <w:tcPr>
            <w:tcW w:w="8706" w:type="dxa"/>
            <w:gridSpan w:val="2"/>
            <w:vAlign w:val="center"/>
          </w:tcPr>
          <w:p>
            <w:pPr>
              <w:snapToGrid w:val="0"/>
              <w:spacing w:line="420" w:lineRule="exact"/>
              <w:rPr>
                <w:rFonts w:ascii="仿宋_GB2312" w:hAnsi="仿宋_GB2312" w:eastAsia="仿宋_GB2312" w:cs="仿宋_GB2312"/>
                <w:sz w:val="24"/>
              </w:rPr>
            </w:pPr>
            <w:r>
              <w:rPr>
                <w:rFonts w:hint="eastAsia" w:ascii="仿宋_GB2312" w:hAnsi="仿宋_GB2312" w:eastAsia="仿宋_GB2312" w:cs="仿宋_GB2312"/>
                <w:b/>
                <w:sz w:val="24"/>
              </w:rPr>
              <w:t>投标人应当提交的资格、资信证明文件</w:t>
            </w:r>
            <w:r>
              <w:rPr>
                <w:rFonts w:hint="eastAsia" w:ascii="仿宋_GB2312" w:hAnsi="仿宋_GB2312" w:eastAsia="仿宋_GB2312" w:cs="仿宋_GB2312"/>
                <w:sz w:val="24"/>
              </w:rPr>
              <w:t>：</w:t>
            </w:r>
          </w:p>
          <w:p>
            <w:pPr>
              <w:widowControl/>
              <w:spacing w:line="460" w:lineRule="atLeast"/>
              <w:jc w:val="left"/>
              <w:rPr>
                <w:rFonts w:ascii="仿宋_GB2312" w:hAnsi="宋体" w:eastAsia="仿宋_GB2312"/>
                <w:b/>
                <w:sz w:val="24"/>
              </w:rPr>
            </w:pPr>
            <w:r>
              <w:rPr>
                <w:rFonts w:hint="eastAsia" w:ascii="仿宋_GB2312" w:hAnsi="仿宋_GB2312" w:eastAsia="仿宋_GB2312" w:cs="仿宋_GB2312"/>
                <w:sz w:val="24"/>
              </w:rPr>
              <w:t>营业执照副本复印件、最近一年度财务报告（新成立的公司提供情况说明）、法定代表人身份证明书、法定代表人授权委托书、供应商参与政府采购活动投标资格声明（详见格式范例）、安保服务行业许可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2</w:t>
            </w:r>
          </w:p>
        </w:tc>
        <w:tc>
          <w:tcPr>
            <w:tcW w:w="8706" w:type="dxa"/>
            <w:gridSpan w:val="2"/>
            <w:vAlign w:val="center"/>
          </w:tcPr>
          <w:p>
            <w:pPr>
              <w:autoSpaceDE w:val="0"/>
              <w:autoSpaceDN w:val="0"/>
              <w:spacing w:line="420" w:lineRule="exact"/>
              <w:textAlignment w:val="bottom"/>
              <w:rPr>
                <w:rFonts w:ascii="仿宋_GB2312" w:hAnsi="宋体" w:eastAsia="仿宋_GB2312"/>
                <w:sz w:val="24"/>
              </w:rPr>
            </w:pPr>
            <w:r>
              <w:rPr>
                <w:rFonts w:hint="eastAsia" w:ascii="仿宋_GB2312" w:hAnsi="宋体" w:eastAsia="仿宋_GB2312"/>
                <w:b/>
                <w:sz w:val="24"/>
              </w:rPr>
              <w:t>投标有效期：</w:t>
            </w:r>
            <w:r>
              <w:rPr>
                <w:rFonts w:hint="eastAsia" w:ascii="仿宋" w:hAnsi="仿宋" w:eastAsia="仿宋" w:cs="仿宋_GB2312"/>
                <w:sz w:val="24"/>
              </w:rPr>
              <w:t>投标有效期为从提交投标文件的截止之日起90天。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3</w:t>
            </w:r>
          </w:p>
        </w:tc>
        <w:tc>
          <w:tcPr>
            <w:tcW w:w="8706" w:type="dxa"/>
            <w:gridSpan w:val="2"/>
            <w:vAlign w:val="center"/>
          </w:tcPr>
          <w:p>
            <w:pPr>
              <w:spacing w:line="420" w:lineRule="exact"/>
              <w:rPr>
                <w:rFonts w:ascii="仿宋_GB2312" w:hAnsi="宋体" w:eastAsia="仿宋_GB2312"/>
                <w:sz w:val="24"/>
              </w:rPr>
            </w:pPr>
            <w:r>
              <w:rPr>
                <w:rFonts w:hint="eastAsia" w:ascii="仿宋" w:hAnsi="仿宋" w:eastAsia="仿宋" w:cs="仿宋_GB2312"/>
                <w:b/>
                <w:sz w:val="24"/>
              </w:rPr>
              <w:t>分包或转包：</w:t>
            </w:r>
            <w:r>
              <w:rPr>
                <w:rFonts w:hint="eastAsia" w:ascii="仿宋" w:hAnsi="仿宋" w:eastAsia="仿宋" w:cs="仿宋_GB2312"/>
                <w:sz w:val="24"/>
              </w:rPr>
              <w:t>（1）采购人不同意分包。（2）本项目不得转包。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4</w:t>
            </w:r>
          </w:p>
        </w:tc>
        <w:tc>
          <w:tcPr>
            <w:tcW w:w="8706" w:type="dxa"/>
            <w:gridSpan w:val="2"/>
            <w:vAlign w:val="center"/>
          </w:tcPr>
          <w:p>
            <w:pPr>
              <w:spacing w:line="420" w:lineRule="exact"/>
              <w:rPr>
                <w:rFonts w:ascii="仿宋_GB2312" w:hAnsi="宋体" w:eastAsia="仿宋_GB2312"/>
                <w:sz w:val="24"/>
              </w:rPr>
            </w:pPr>
            <w:r>
              <w:rPr>
                <w:rFonts w:hint="eastAsia" w:ascii="仿宋_GB2312" w:hAnsi="宋体" w:eastAsia="仿宋_GB2312"/>
                <w:b/>
                <w:sz w:val="24"/>
              </w:rPr>
              <w:t>投标文件份数：</w:t>
            </w:r>
            <w:r>
              <w:rPr>
                <w:rFonts w:hint="eastAsia" w:ascii="仿宋_GB2312" w:hAnsi="宋体" w:eastAsia="仿宋_GB2312"/>
                <w:sz w:val="24"/>
              </w:rPr>
              <w:t>本项目实行网上投标，供应商应准备以下投标文件：</w:t>
            </w:r>
          </w:p>
          <w:p>
            <w:pPr>
              <w:spacing w:line="420" w:lineRule="exact"/>
              <w:rPr>
                <w:rFonts w:ascii="仿宋_GB2312" w:hAnsi="宋体" w:eastAsia="仿宋_GB2312"/>
                <w:sz w:val="24"/>
              </w:rPr>
            </w:pPr>
            <w:r>
              <w:rPr>
                <w:rFonts w:hint="eastAsia" w:ascii="仿宋_GB2312" w:hAnsi="宋体" w:eastAsia="仿宋_GB2312"/>
                <w:sz w:val="24"/>
              </w:rPr>
              <w:t>（1）供应商于“政采云”上提供电子投标文件。</w:t>
            </w:r>
          </w:p>
          <w:p>
            <w:pPr>
              <w:spacing w:line="420" w:lineRule="exact"/>
              <w:rPr>
                <w:rFonts w:ascii="仿宋_GB2312" w:hAnsi="宋体" w:eastAsia="仿宋_GB2312"/>
                <w:sz w:val="24"/>
              </w:rPr>
            </w:pPr>
            <w:r>
              <w:rPr>
                <w:rFonts w:hint="eastAsia" w:ascii="仿宋_GB2312" w:hAnsi="宋体" w:eastAsia="仿宋_GB2312"/>
                <w:sz w:val="24"/>
              </w:rPr>
              <w:t>（2）纸质备份投标文件：商务资信技术文件正本一份，副本四份；报价文件正本一份，副本四份。</w:t>
            </w:r>
          </w:p>
          <w:p>
            <w:pPr>
              <w:spacing w:line="420" w:lineRule="exact"/>
              <w:rPr>
                <w:rFonts w:ascii="仿宋_GB2312" w:hAnsi="宋体" w:eastAsia="仿宋"/>
                <w:sz w:val="24"/>
              </w:rPr>
            </w:pPr>
            <w:r>
              <w:rPr>
                <w:rFonts w:hint="eastAsia" w:ascii="仿宋" w:hAnsi="仿宋" w:eastAsia="仿宋" w:cs="仿宋_GB2312"/>
                <w:b/>
                <w:sz w:val="24"/>
              </w:rPr>
              <w:t>投标文件正、副本份数不足，投标无效。投标人仅提供纸质备份投标文件，未提交电子投标文件的，投标无效。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5</w:t>
            </w:r>
          </w:p>
        </w:tc>
        <w:tc>
          <w:tcPr>
            <w:tcW w:w="8706" w:type="dxa"/>
            <w:gridSpan w:val="2"/>
            <w:vAlign w:val="center"/>
          </w:tcPr>
          <w:p>
            <w:pPr>
              <w:autoSpaceDE w:val="0"/>
              <w:autoSpaceDN w:val="0"/>
              <w:spacing w:line="420" w:lineRule="exact"/>
              <w:textAlignment w:val="bottom"/>
              <w:rPr>
                <w:rFonts w:ascii="仿宋_GB2312" w:hAnsi="宋体" w:eastAsia="仿宋_GB2312"/>
                <w:b/>
                <w:sz w:val="24"/>
              </w:rPr>
            </w:pPr>
            <w:r>
              <w:rPr>
                <w:rFonts w:hint="eastAsia" w:ascii="仿宋" w:hAnsi="仿宋" w:eastAsia="仿宋" w:cs="仿宋_GB2312"/>
                <w:b/>
                <w:sz w:val="24"/>
              </w:rPr>
              <w:t>开标前答疑会或现场考察：</w:t>
            </w:r>
            <w:r>
              <w:rPr>
                <w:rFonts w:hint="eastAsia" w:ascii="仿宋" w:hAnsi="仿宋" w:eastAsia="仿宋"/>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6</w:t>
            </w:r>
          </w:p>
        </w:tc>
        <w:tc>
          <w:tcPr>
            <w:tcW w:w="8706" w:type="dxa"/>
            <w:gridSpan w:val="2"/>
            <w:vAlign w:val="center"/>
          </w:tcPr>
          <w:p>
            <w:pPr>
              <w:autoSpaceDE w:val="0"/>
              <w:autoSpaceDN w:val="0"/>
              <w:adjustRightInd w:val="0"/>
              <w:spacing w:line="420" w:lineRule="exact"/>
              <w:jc w:val="left"/>
              <w:rPr>
                <w:rFonts w:ascii="仿宋_GB2312" w:hAnsi="宋体" w:eastAsia="仿宋_GB2312"/>
                <w:b/>
                <w:sz w:val="24"/>
              </w:rPr>
            </w:pPr>
            <w:bookmarkStart w:id="7" w:name="PO_14318_PM043"/>
            <w:r>
              <w:rPr>
                <w:rFonts w:hint="eastAsia" w:ascii="仿宋_GB2312" w:hAnsi="宋体" w:eastAsia="仿宋_GB2312"/>
                <w:b/>
                <w:sz w:val="24"/>
              </w:rPr>
              <w:t>样品</w:t>
            </w:r>
            <w:bookmarkEnd w:id="7"/>
            <w:r>
              <w:rPr>
                <w:rFonts w:hint="eastAsia" w:ascii="仿宋_GB2312" w:hAnsi="宋体" w:eastAsia="仿宋_GB2312"/>
                <w:b/>
                <w:sz w:val="24"/>
              </w:rPr>
              <w:t>提供：</w:t>
            </w:r>
            <w:r>
              <w:rPr>
                <w:rFonts w:hint="eastAsia" w:ascii="仿宋_GB2312" w:hAnsi="宋体" w:eastAsia="仿宋_GB2312"/>
                <w:bCs/>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7</w:t>
            </w:r>
          </w:p>
        </w:tc>
        <w:tc>
          <w:tcPr>
            <w:tcW w:w="8706" w:type="dxa"/>
            <w:gridSpan w:val="2"/>
            <w:vAlign w:val="center"/>
          </w:tcPr>
          <w:p>
            <w:pPr>
              <w:spacing w:line="420" w:lineRule="exact"/>
              <w:rPr>
                <w:rFonts w:ascii="仿宋_GB2312" w:hAnsi="宋体" w:eastAsia="仿宋_GB2312"/>
                <w:sz w:val="24"/>
              </w:rPr>
            </w:pPr>
            <w:bookmarkStart w:id="8" w:name="PO_14318_PM041"/>
            <w:r>
              <w:rPr>
                <w:rFonts w:hint="eastAsia" w:ascii="仿宋_GB2312" w:hAnsi="宋体" w:eastAsia="仿宋_GB2312"/>
                <w:b/>
                <w:sz w:val="24"/>
              </w:rPr>
              <w:t>现场演示</w:t>
            </w:r>
            <w:bookmarkEnd w:id="8"/>
            <w:r>
              <w:rPr>
                <w:rFonts w:hint="eastAsia" w:ascii="仿宋_GB2312" w:hAnsi="宋体" w:eastAsia="仿宋_GB2312"/>
                <w:b/>
                <w:sz w:val="24"/>
              </w:rPr>
              <w:t>：</w:t>
            </w:r>
            <w:r>
              <w:rPr>
                <w:rFonts w:hint="eastAsia" w:ascii="仿宋_GB2312" w:eastAsia="仿宋_GB2312"/>
                <w:kern w:val="0"/>
                <w:sz w:val="24"/>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52" w:type="dxa"/>
            <w:vAlign w:val="center"/>
          </w:tcPr>
          <w:p>
            <w:pPr>
              <w:spacing w:line="440" w:lineRule="exact"/>
              <w:jc w:val="center"/>
              <w:rPr>
                <w:rFonts w:ascii="仿宋_GB2312" w:hAnsi="宋体" w:eastAsia="仿宋_GB2312"/>
                <w:sz w:val="24"/>
              </w:rPr>
            </w:pPr>
            <w:bookmarkStart w:id="9" w:name="PO_14318_PM042" w:colFirst="1" w:colLast="1"/>
            <w:r>
              <w:rPr>
                <w:rFonts w:hint="eastAsia" w:ascii="仿宋_GB2312" w:hAnsi="宋体" w:eastAsia="仿宋_GB2312"/>
                <w:sz w:val="24"/>
              </w:rPr>
              <w:t>8</w:t>
            </w:r>
          </w:p>
        </w:tc>
        <w:tc>
          <w:tcPr>
            <w:tcW w:w="1190" w:type="dxa"/>
            <w:vAlign w:val="center"/>
          </w:tcPr>
          <w:p>
            <w:pPr>
              <w:snapToGrid w:val="0"/>
              <w:spacing w:line="420" w:lineRule="exact"/>
              <w:rPr>
                <w:rFonts w:ascii="仿宋_GB2312" w:hAnsi="仿宋_GB2312" w:eastAsia="仿宋_GB2312" w:cs="仿宋_GB2312"/>
                <w:b/>
                <w:sz w:val="24"/>
              </w:rPr>
            </w:pPr>
            <w:r>
              <w:rPr>
                <w:rFonts w:hint="eastAsia" w:ascii="仿宋_GB2312" w:hAnsi="仿宋_GB2312" w:eastAsia="仿宋_GB2312" w:cs="仿宋_GB2312"/>
                <w:b/>
                <w:sz w:val="24"/>
              </w:rPr>
              <w:t>进口产品</w:t>
            </w:r>
          </w:p>
        </w:tc>
        <w:tc>
          <w:tcPr>
            <w:tcW w:w="7516" w:type="dxa"/>
            <w:vAlign w:val="center"/>
          </w:tcPr>
          <w:p>
            <w:pPr>
              <w:snapToGrid w:val="0"/>
              <w:spacing w:line="420" w:lineRule="exact"/>
              <w:rPr>
                <w:rFonts w:ascii="仿宋_GB2312" w:hAnsi="仿宋_GB2312" w:eastAsia="仿宋_GB2312" w:cs="仿宋_GB2312"/>
                <w:b/>
                <w:sz w:val="24"/>
              </w:rPr>
            </w:pPr>
            <w:r>
              <w:rPr>
                <w:rFonts w:hint="eastAsia" w:ascii="仿宋_GB2312" w:hAnsi="仿宋_GB2312" w:eastAsia="仿宋_GB2312" w:cs="仿宋_GB2312"/>
                <w:sz w:val="24"/>
              </w:rPr>
              <w:t>本项目不采购进口产品，供应商所提供的货物和服务须在我国境内合法生产、销售。</w:t>
            </w:r>
          </w:p>
        </w:tc>
      </w:tr>
      <w:bookmarkEnd w:id="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9</w:t>
            </w:r>
          </w:p>
        </w:tc>
        <w:tc>
          <w:tcPr>
            <w:tcW w:w="1190" w:type="dxa"/>
            <w:vAlign w:val="center"/>
          </w:tcPr>
          <w:p>
            <w:pPr>
              <w:snapToGrid w:val="0"/>
              <w:spacing w:line="42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特别说明</w:t>
            </w:r>
          </w:p>
        </w:tc>
        <w:tc>
          <w:tcPr>
            <w:tcW w:w="7516" w:type="dxa"/>
            <w:vAlign w:val="center"/>
          </w:tcPr>
          <w:p>
            <w:pPr>
              <w:snapToGrid w:val="0"/>
              <w:spacing w:line="420" w:lineRule="exact"/>
              <w:rPr>
                <w:rFonts w:ascii="仿宋_GB2312" w:hAnsi="宋体" w:eastAsia="仿宋_GB2312"/>
                <w:b/>
                <w:sz w:val="24"/>
              </w:rPr>
            </w:pPr>
            <w:r>
              <w:rPr>
                <w:rFonts w:hint="eastAsia" w:ascii="仿宋" w:hAnsi="仿宋" w:eastAsia="仿宋" w:cs="仿宋"/>
                <w:sz w:val="24"/>
              </w:rPr>
              <w:t>本项目代理服务费人民币壹万陆仟元整由中标人支付，在领取中标通知书前付清。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52" w:type="dxa"/>
            <w:vAlign w:val="center"/>
          </w:tcPr>
          <w:p>
            <w:pPr>
              <w:spacing w:line="440" w:lineRule="exact"/>
              <w:jc w:val="center"/>
              <w:rPr>
                <w:rFonts w:ascii="仿宋_GB2312" w:hAnsi="宋体" w:eastAsia="仿宋_GB2312"/>
                <w:sz w:val="24"/>
              </w:rPr>
            </w:pPr>
            <w:r>
              <w:rPr>
                <w:rFonts w:hint="eastAsia" w:ascii="仿宋_GB2312" w:hAnsi="宋体" w:eastAsia="仿宋_GB2312"/>
                <w:sz w:val="24"/>
              </w:rPr>
              <w:t>10</w:t>
            </w:r>
          </w:p>
        </w:tc>
        <w:tc>
          <w:tcPr>
            <w:tcW w:w="1190" w:type="dxa"/>
            <w:vAlign w:val="center"/>
          </w:tcPr>
          <w:p>
            <w:pPr>
              <w:snapToGrid w:val="0"/>
              <w:spacing w:line="42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履约</w:t>
            </w:r>
          </w:p>
          <w:p>
            <w:pPr>
              <w:snapToGrid w:val="0"/>
              <w:spacing w:line="420" w:lineRule="exact"/>
              <w:jc w:val="center"/>
              <w:rPr>
                <w:rFonts w:ascii="仿宋_GB2312" w:hAnsi="仿宋_GB2312" w:eastAsia="仿宋_GB2312" w:cs="仿宋_GB2312"/>
                <w:b/>
                <w:sz w:val="24"/>
              </w:rPr>
            </w:pPr>
            <w:r>
              <w:rPr>
                <w:rFonts w:hint="eastAsia" w:ascii="仿宋_GB2312" w:hAnsi="仿宋_GB2312" w:eastAsia="仿宋_GB2312" w:cs="仿宋_GB2312"/>
                <w:b/>
                <w:sz w:val="24"/>
              </w:rPr>
              <w:t>保证金</w:t>
            </w:r>
          </w:p>
        </w:tc>
        <w:tc>
          <w:tcPr>
            <w:tcW w:w="7516" w:type="dxa"/>
            <w:vAlign w:val="center"/>
          </w:tcPr>
          <w:p>
            <w:pPr>
              <w:snapToGrid w:val="0"/>
              <w:spacing w:line="420" w:lineRule="exact"/>
              <w:rPr>
                <w:rFonts w:ascii="仿宋" w:hAnsi="仿宋" w:eastAsia="仿宋" w:cs="仿宋"/>
                <w:sz w:val="24"/>
              </w:rPr>
            </w:pPr>
            <w:r>
              <w:rPr>
                <w:rFonts w:hint="eastAsia" w:ascii="仿宋" w:hAnsi="仿宋" w:eastAsia="仿宋" w:cs="仿宋"/>
                <w:sz w:val="24"/>
              </w:rPr>
              <w:t>合同签订前由中标人向采购人支付人民币贰万元整作为履约保证金，履约期满后退还。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558" w:type="dxa"/>
            <w:gridSpan w:val="3"/>
            <w:vAlign w:val="center"/>
          </w:tcPr>
          <w:p>
            <w:pPr>
              <w:spacing w:line="420" w:lineRule="exact"/>
              <w:rPr>
                <w:rFonts w:ascii="仿宋_GB2312" w:hAnsi="宋体" w:eastAsia="仿宋_GB2312"/>
                <w:sz w:val="24"/>
              </w:rPr>
            </w:pPr>
            <w:r>
              <w:rPr>
                <w:rFonts w:hint="eastAsia" w:ascii="仿宋_GB2312" w:hAnsi="宋体" w:eastAsia="仿宋_GB2312"/>
                <w:sz w:val="24"/>
              </w:rPr>
              <w:t>解释：凡涉及本招标文件的解释权属于采购人和招标代理公司。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558" w:type="dxa"/>
            <w:gridSpan w:val="3"/>
            <w:vAlign w:val="center"/>
          </w:tcPr>
          <w:p>
            <w:pPr>
              <w:spacing w:line="420" w:lineRule="exact"/>
              <w:rPr>
                <w:rFonts w:ascii="仿宋_GB2312" w:eastAsia="仿宋_GB2312"/>
                <w:b/>
                <w:sz w:val="24"/>
              </w:rPr>
            </w:pPr>
            <w:r>
              <w:rPr>
                <w:rFonts w:hint="eastAsia" w:ascii="仿宋_GB2312" w:eastAsia="仿宋_GB2312"/>
                <w:b/>
                <w:sz w:val="24"/>
              </w:rPr>
              <w:t>注：中标人放弃中标资格或因质疑、投诉被取消中标资格或不能履行合同的，本项目重新组织采购。</w:t>
            </w:r>
          </w:p>
        </w:tc>
      </w:tr>
    </w:tbl>
    <w:p>
      <w:pPr>
        <w:pStyle w:val="32"/>
        <w:widowControl w:val="0"/>
        <w:spacing w:afterLines="0" w:line="560" w:lineRule="exact"/>
        <w:jc w:val="both"/>
        <w:rPr>
          <w:rFonts w:ascii="仿宋_GB2312" w:hAnsi="宋体" w:eastAsia="仿宋_GB2312"/>
          <w:b/>
          <w:bCs w:val="0"/>
          <w:sz w:val="32"/>
          <w:szCs w:val="32"/>
        </w:rPr>
      </w:pPr>
      <w:r>
        <w:rPr>
          <w:rFonts w:hint="eastAsia" w:ascii="仿宋_GB2312" w:hAnsi="宋体" w:eastAsia="仿宋_GB2312"/>
          <w:b/>
          <w:bCs w:val="0"/>
          <w:sz w:val="32"/>
          <w:szCs w:val="32"/>
        </w:rPr>
        <w:t>注：</w:t>
      </w:r>
    </w:p>
    <w:p>
      <w:pPr>
        <w:pStyle w:val="32"/>
        <w:tabs>
          <w:tab w:val="left" w:pos="993"/>
          <w:tab w:val="left" w:pos="1260"/>
        </w:tabs>
        <w:spacing w:afterLines="0" w:line="440" w:lineRule="exact"/>
        <w:ind w:left="-250" w:leftChars="-119" w:firstLine="482" w:firstLineChars="200"/>
        <w:jc w:val="left"/>
        <w:rPr>
          <w:rFonts w:ascii="仿宋_GB2312" w:hAnsi="宋体" w:eastAsia="仿宋_GB2312"/>
          <w:b/>
          <w:bCs w:val="0"/>
          <w:sz w:val="24"/>
          <w:szCs w:val="24"/>
        </w:rPr>
      </w:pPr>
      <w:r>
        <w:rPr>
          <w:rFonts w:hint="eastAsia" w:ascii="仿宋_GB2312" w:hAnsi="宋体" w:eastAsia="仿宋_GB2312"/>
          <w:b/>
          <w:bCs w:val="0"/>
          <w:sz w:val="24"/>
          <w:szCs w:val="24"/>
        </w:rPr>
        <w:t>为维护政府采购交易市场的正常秩序，进一步遏制串标、抬标行为，保护交易各方的合法权益，凡在同一招标项目的评标中，发现</w:t>
      </w:r>
      <w:r>
        <w:rPr>
          <w:rFonts w:hint="eastAsia" w:ascii="仿宋_GB2312" w:hAnsi="宋体" w:eastAsia="仿宋_GB2312"/>
          <w:b/>
          <w:bCs w:val="0"/>
          <w:i/>
          <w:sz w:val="24"/>
          <w:szCs w:val="24"/>
          <w:u w:val="double"/>
        </w:rPr>
        <w:t>①有二份及二份以上投标文件的相互之间有特别相同或相似之处②两家或两家以上投标人提供的投标文件出自同一终端设备的，或在相同Internet主机分配地址（相同IP地址）获取招标文件或网上投标的</w:t>
      </w:r>
      <w:r>
        <w:rPr>
          <w:rFonts w:hint="eastAsia" w:ascii="仿宋_GB2312" w:hAnsi="宋体" w:eastAsia="仿宋_GB2312"/>
          <w:b/>
          <w:bCs w:val="0"/>
          <w:sz w:val="24"/>
          <w:szCs w:val="24"/>
        </w:rPr>
        <w:t>，且经询标澄清投标人无令人信服的理由和可靠证据证明其合理性的，经评标委员会半数以上成员确认有</w:t>
      </w:r>
      <w:r>
        <w:rPr>
          <w:rFonts w:hint="eastAsia" w:ascii="仿宋_GB2312" w:hAnsi="宋体" w:eastAsia="仿宋_GB2312"/>
          <w:b/>
          <w:bCs w:val="0"/>
          <w:sz w:val="24"/>
          <w:szCs w:val="24"/>
          <w:u w:val="double"/>
        </w:rPr>
        <w:t>串通投标</w:t>
      </w:r>
      <w:r>
        <w:rPr>
          <w:rFonts w:hint="eastAsia" w:ascii="仿宋_GB2312" w:hAnsi="宋体" w:eastAsia="仿宋_GB2312"/>
          <w:b/>
          <w:bCs w:val="0"/>
          <w:sz w:val="24"/>
          <w:szCs w:val="24"/>
        </w:rPr>
        <w:t>嫌疑的，其投标文件按</w:t>
      </w:r>
      <w:r>
        <w:rPr>
          <w:rFonts w:hint="eastAsia" w:ascii="仿宋_GB2312" w:hAnsi="宋体" w:eastAsia="仿宋_GB2312"/>
          <w:b/>
          <w:bCs w:val="0"/>
          <w:sz w:val="24"/>
          <w:szCs w:val="24"/>
          <w:u w:val="double"/>
        </w:rPr>
        <w:t>无效投标处理</w:t>
      </w:r>
      <w:r>
        <w:rPr>
          <w:rFonts w:hint="eastAsia" w:ascii="仿宋_GB2312" w:hAnsi="宋体" w:eastAsia="仿宋_GB2312"/>
          <w:b/>
          <w:bCs w:val="0"/>
          <w:sz w:val="24"/>
          <w:szCs w:val="24"/>
        </w:rPr>
        <w:t>，不再对其进行评审，也不影响招标工作继续评标。</w:t>
      </w:r>
    </w:p>
    <w:p>
      <w:pPr>
        <w:pageBreakBefore/>
        <w:snapToGrid w:val="0"/>
        <w:spacing w:line="300" w:lineRule="auto"/>
        <w:jc w:val="center"/>
        <w:rPr>
          <w:rFonts w:ascii="仿宋_GB2312" w:hAnsi="宋体" w:eastAsia="仿宋_GB2312"/>
          <w:b/>
          <w:sz w:val="36"/>
          <w:szCs w:val="36"/>
        </w:rPr>
      </w:pPr>
      <w:r>
        <w:rPr>
          <w:rFonts w:hint="eastAsia" w:ascii="仿宋_GB2312" w:hAnsi="宋体" w:eastAsia="仿宋_GB2312"/>
          <w:b/>
          <w:sz w:val="36"/>
          <w:szCs w:val="36"/>
        </w:rPr>
        <w:t>一、总则</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 项目说明</w:t>
      </w:r>
    </w:p>
    <w:p>
      <w:pPr>
        <w:snapToGrid w:val="0"/>
        <w:spacing w:line="440" w:lineRule="exact"/>
        <w:jc w:val="left"/>
        <w:rPr>
          <w:rFonts w:ascii="仿宋_GB2312" w:hAnsi="宋体" w:eastAsia="仿宋_GB2312"/>
          <w:sz w:val="24"/>
        </w:rPr>
      </w:pPr>
      <w:r>
        <w:rPr>
          <w:rFonts w:hint="eastAsia" w:ascii="仿宋_GB2312" w:hAnsi="宋体" w:eastAsia="仿宋_GB2312"/>
          <w:sz w:val="24"/>
        </w:rPr>
        <w:t>1.1本招标文件</w:t>
      </w:r>
      <w:r>
        <w:rPr>
          <w:rFonts w:hint="eastAsia" w:ascii="仿宋" w:hAnsi="仿宋" w:eastAsia="仿宋"/>
          <w:sz w:val="24"/>
        </w:rPr>
        <w:t>适用于该项目的招标、投标、开标、资格审查及信用信息查询、评标、定标、合同、验收等行为（法律、法规另有规定的，从其规定）。</w:t>
      </w:r>
    </w:p>
    <w:p>
      <w:pPr>
        <w:snapToGrid w:val="0"/>
        <w:spacing w:line="440" w:lineRule="exact"/>
        <w:jc w:val="left"/>
        <w:rPr>
          <w:rFonts w:ascii="仿宋_GB2312" w:hAnsi="宋体" w:eastAsia="仿宋_GB2312"/>
          <w:sz w:val="24"/>
        </w:rPr>
      </w:pPr>
      <w:r>
        <w:rPr>
          <w:rFonts w:hint="eastAsia" w:ascii="仿宋_GB2312" w:hAnsi="宋体" w:eastAsia="仿宋_GB2312"/>
          <w:sz w:val="24"/>
        </w:rPr>
        <w:t>1.2投标人一旦参与本次招标活动，即被视为接受了本招标文件的所有内容，如有任何异议，均应在法定时间内提出。</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2. 定义</w:t>
      </w:r>
    </w:p>
    <w:p>
      <w:pPr>
        <w:snapToGrid w:val="0"/>
        <w:spacing w:line="440" w:lineRule="exact"/>
        <w:jc w:val="left"/>
        <w:rPr>
          <w:rFonts w:ascii="仿宋_GB2312" w:hAnsi="宋体" w:eastAsia="仿宋_GB2312"/>
          <w:sz w:val="24"/>
        </w:rPr>
      </w:pPr>
      <w:r>
        <w:rPr>
          <w:rFonts w:hint="eastAsia" w:ascii="仿宋_GB2312" w:hAnsi="仿宋_GB2312" w:eastAsia="仿宋_GB2312" w:cs="仿宋_GB2312"/>
          <w:sz w:val="24"/>
        </w:rPr>
        <w:t>2.1政府采购当事人及监管部门：</w:t>
      </w:r>
      <w:r>
        <w:rPr>
          <w:rFonts w:hint="eastAsia" w:ascii="仿宋_GB2312" w:hAnsi="仿宋_GB2312" w:eastAsia="仿宋_GB2312" w:cs="仿宋_GB2312"/>
          <w:b/>
          <w:bCs/>
          <w:sz w:val="24"/>
        </w:rPr>
        <w:t>新昌县公安局交通警察大队</w:t>
      </w:r>
      <w:r>
        <w:rPr>
          <w:rFonts w:hint="eastAsia" w:ascii="仿宋_GB2312" w:hAnsi="仿宋_GB2312" w:eastAsia="仿宋_GB2312" w:cs="仿宋_GB2312"/>
          <w:sz w:val="24"/>
        </w:rPr>
        <w:t>为本项目的采购人（合同中的甲方），</w:t>
      </w:r>
      <w:r>
        <w:rPr>
          <w:rFonts w:hint="eastAsia" w:ascii="仿宋_GB2312" w:hAnsi="仿宋_GB2312" w:eastAsia="仿宋_GB2312" w:cs="仿宋_GB2312"/>
          <w:b/>
          <w:bCs/>
          <w:sz w:val="24"/>
        </w:rPr>
        <w:t>新昌县致信工程咨询有限公司</w:t>
      </w:r>
      <w:r>
        <w:rPr>
          <w:rFonts w:hint="eastAsia" w:ascii="仿宋_GB2312" w:hAnsi="仿宋_GB2312" w:eastAsia="仿宋_GB2312" w:cs="仿宋_GB2312"/>
          <w:sz w:val="24"/>
        </w:rPr>
        <w:t>为招标代理机构，响应招标、参加投标竞争的法人、其他组织或者自然人为投标人，经评审产生并经批准的投标人为中标候选人，经公告无异议，并签订合同后的中标人为供应商（合同中的乙方），</w:t>
      </w:r>
      <w:r>
        <w:rPr>
          <w:rFonts w:hint="eastAsia" w:ascii="仿宋_GB2312" w:hAnsi="仿宋_GB2312" w:eastAsia="仿宋_GB2312" w:cs="仿宋_GB2312"/>
          <w:b/>
          <w:bCs/>
          <w:sz w:val="24"/>
        </w:rPr>
        <w:t>新昌县财政局</w:t>
      </w:r>
      <w:r>
        <w:rPr>
          <w:rFonts w:hint="eastAsia" w:ascii="仿宋_GB2312" w:hAnsi="仿宋_GB2312" w:eastAsia="仿宋_GB2312" w:cs="仿宋_GB2312"/>
          <w:sz w:val="24"/>
        </w:rPr>
        <w:t>为政府采购监督管理部门。</w:t>
      </w:r>
    </w:p>
    <w:p>
      <w:pPr>
        <w:snapToGrid w:val="0"/>
        <w:spacing w:line="440" w:lineRule="exact"/>
        <w:jc w:val="left"/>
        <w:rPr>
          <w:rFonts w:ascii="仿宋_GB2312" w:hAnsi="宋体" w:eastAsia="仿宋_GB2312"/>
          <w:sz w:val="24"/>
        </w:rPr>
      </w:pPr>
      <w:r>
        <w:rPr>
          <w:rFonts w:hint="eastAsia" w:ascii="仿宋_GB2312" w:hAnsi="宋体" w:eastAsia="仿宋_GB2312"/>
          <w:sz w:val="24"/>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ascii="仿宋_GB2312" w:hAnsi="宋体" w:eastAsia="仿宋_GB2312"/>
          <w:sz w:val="24"/>
        </w:rPr>
      </w:pPr>
      <w:r>
        <w:rPr>
          <w:rFonts w:hint="eastAsia" w:ascii="仿宋_GB2312" w:hAnsi="宋体" w:eastAsia="仿宋_GB2312"/>
          <w:sz w:val="24"/>
        </w:rPr>
        <w:t>2.3“服务”系指招标文件规定投标人须承担的安装、调试、技术协助、校准、培训、技术指导以及其他类似的义务。</w:t>
      </w:r>
    </w:p>
    <w:p>
      <w:pPr>
        <w:snapToGrid w:val="0"/>
        <w:spacing w:line="440" w:lineRule="exact"/>
        <w:jc w:val="left"/>
        <w:rPr>
          <w:rFonts w:ascii="仿宋_GB2312" w:hAnsi="宋体" w:eastAsia="仿宋_GB2312"/>
          <w:sz w:val="24"/>
        </w:rPr>
      </w:pPr>
      <w:r>
        <w:rPr>
          <w:rFonts w:hint="eastAsia" w:ascii="仿宋_GB2312" w:hAnsi="宋体" w:eastAsia="仿宋_GB2312"/>
          <w:sz w:val="24"/>
        </w:rPr>
        <w:t>2.4“项目”系指投标人按招标文件规定向采购人提供的产品和服务。</w:t>
      </w:r>
    </w:p>
    <w:p>
      <w:pPr>
        <w:snapToGrid w:val="0"/>
        <w:spacing w:line="440" w:lineRule="exact"/>
        <w:jc w:val="left"/>
        <w:rPr>
          <w:rFonts w:ascii="仿宋_GB2312" w:hAnsi="宋体" w:eastAsia="仿宋_GB2312"/>
          <w:sz w:val="24"/>
        </w:rPr>
      </w:pPr>
      <w:r>
        <w:rPr>
          <w:rFonts w:hint="eastAsia" w:ascii="仿宋_GB2312" w:hAnsi="宋体" w:eastAsia="仿宋_GB2312"/>
          <w:sz w:val="24"/>
        </w:rPr>
        <w:t>2.5“授权代表”系指法定代表人的被授权委托人。</w:t>
      </w:r>
    </w:p>
    <w:p>
      <w:pPr>
        <w:spacing w:line="440" w:lineRule="exact"/>
        <w:rPr>
          <w:rFonts w:ascii="仿宋" w:hAnsi="仿宋" w:eastAsia="仿宋"/>
          <w:b/>
          <w:sz w:val="24"/>
        </w:rPr>
      </w:pPr>
      <w:r>
        <w:rPr>
          <w:rFonts w:hint="eastAsia" w:ascii="仿宋" w:hAnsi="仿宋" w:eastAsia="仿宋"/>
          <w:b/>
          <w:sz w:val="24"/>
        </w:rPr>
        <w:t>3.采购项目需要落实的政府采购政策</w:t>
      </w:r>
    </w:p>
    <w:p>
      <w:pPr>
        <w:spacing w:line="440" w:lineRule="exact"/>
        <w:rPr>
          <w:rFonts w:ascii="仿宋" w:hAnsi="仿宋" w:eastAsia="仿宋"/>
          <w:sz w:val="24"/>
        </w:rPr>
      </w:pPr>
      <w:r>
        <w:rPr>
          <w:rFonts w:hint="eastAsia" w:ascii="仿宋" w:hAnsi="仿宋" w:eastAsia="仿宋"/>
          <w:sz w:val="24"/>
        </w:rPr>
        <w:t>3.1 本项目原则上采购本国生产的货物、工程和服务，不允许采购进口产品。</w:t>
      </w:r>
    </w:p>
    <w:p>
      <w:pPr>
        <w:spacing w:line="440" w:lineRule="exact"/>
        <w:rPr>
          <w:rFonts w:ascii="仿宋" w:hAnsi="仿宋" w:eastAsia="仿宋"/>
          <w:sz w:val="24"/>
        </w:rPr>
      </w:pPr>
      <w:r>
        <w:rPr>
          <w:rFonts w:hint="eastAsia" w:ascii="仿宋" w:hAnsi="仿宋" w:eastAsia="仿宋"/>
          <w:sz w:val="24"/>
        </w:rPr>
        <w:t>3.2</w:t>
      </w:r>
      <w:r>
        <w:rPr>
          <w:rFonts w:hint="eastAsia" w:ascii="仿宋" w:hAnsi="仿宋" w:eastAsia="仿宋"/>
          <w:bCs/>
          <w:sz w:val="24"/>
        </w:rPr>
        <w:t>小型、微型</w:t>
      </w:r>
      <w:r>
        <w:rPr>
          <w:rFonts w:hint="eastAsia" w:ascii="仿宋" w:hAnsi="仿宋" w:eastAsia="仿宋"/>
          <w:sz w:val="24"/>
        </w:rPr>
        <w:t>企业价格扣除。</w:t>
      </w:r>
    </w:p>
    <w:p>
      <w:pPr>
        <w:spacing w:line="440" w:lineRule="exact"/>
        <w:rPr>
          <w:rFonts w:ascii="仿宋" w:hAnsi="仿宋" w:eastAsia="仿宋"/>
          <w:bCs/>
          <w:sz w:val="24"/>
        </w:rPr>
      </w:pPr>
      <w:r>
        <w:rPr>
          <w:rFonts w:hint="eastAsia" w:ascii="仿宋" w:hAnsi="仿宋" w:eastAsia="仿宋"/>
          <w:sz w:val="24"/>
        </w:rPr>
        <w:t>3.2.1</w:t>
      </w:r>
      <w:r>
        <w:rPr>
          <w:rFonts w:hint="eastAsia" w:ascii="仿宋" w:hAnsi="仿宋" w:eastAsia="仿宋"/>
          <w:bCs/>
          <w:sz w:val="24"/>
        </w:rPr>
        <w:t>小型、微型企业应当同时符合以下条件：</w:t>
      </w:r>
    </w:p>
    <w:p>
      <w:pPr>
        <w:spacing w:line="440" w:lineRule="exact"/>
        <w:rPr>
          <w:rFonts w:ascii="仿宋" w:hAnsi="仿宋" w:eastAsia="仿宋"/>
          <w:bCs/>
          <w:sz w:val="24"/>
        </w:rPr>
      </w:pPr>
      <w:r>
        <w:rPr>
          <w:rFonts w:hint="eastAsia" w:ascii="仿宋" w:hAnsi="仿宋" w:eastAsia="仿宋"/>
          <w:bCs/>
          <w:sz w:val="24"/>
        </w:rPr>
        <w:t>（1）符合中小企业划分标准；</w:t>
      </w:r>
    </w:p>
    <w:p>
      <w:pPr>
        <w:spacing w:line="440" w:lineRule="exact"/>
        <w:rPr>
          <w:rFonts w:ascii="仿宋" w:hAnsi="仿宋" w:eastAsia="仿宋"/>
          <w:bCs/>
          <w:sz w:val="24"/>
        </w:rPr>
      </w:pPr>
      <w:r>
        <w:rPr>
          <w:rFonts w:hint="eastAsia" w:ascii="仿宋" w:hAnsi="仿宋" w:eastAsia="仿宋"/>
          <w:bCs/>
          <w:sz w:val="24"/>
        </w:rPr>
        <w:t>（2）提供本企业制造的货物、承担的工程或者服务，或者提供其他小型、微型企业制造的货物。本项所称货物不包括使用大型企业注册商标的货物。小型、微型企业提供中型企业制造的货物的，视同为中型企业。</w:t>
      </w:r>
    </w:p>
    <w:p>
      <w:pPr>
        <w:spacing w:line="440" w:lineRule="exact"/>
        <w:rPr>
          <w:rFonts w:ascii="仿宋" w:hAnsi="仿宋" w:eastAsia="仿宋"/>
          <w:sz w:val="24"/>
        </w:rPr>
      </w:pPr>
      <w:r>
        <w:rPr>
          <w:rFonts w:hint="eastAsia" w:ascii="仿宋" w:hAnsi="仿宋" w:eastAsia="仿宋"/>
          <w:sz w:val="24"/>
        </w:rPr>
        <w:t>3.2.2小型、微型企业应按照招标文件格式要求提供《中小企业声明函》。</w:t>
      </w:r>
    </w:p>
    <w:p>
      <w:pPr>
        <w:spacing w:line="440" w:lineRule="exact"/>
        <w:rPr>
          <w:rFonts w:ascii="仿宋" w:hAnsi="仿宋" w:eastAsia="仿宋"/>
          <w:sz w:val="24"/>
        </w:rPr>
      </w:pPr>
      <w:r>
        <w:rPr>
          <w:rFonts w:hint="eastAsia" w:ascii="仿宋" w:hAnsi="仿宋" w:eastAsia="仿宋"/>
          <w:sz w:val="24"/>
        </w:rPr>
        <w:t>3.2.3对于非专门面向此类企业的项目，对小型和微型企业产品的投标价格给予6 %的扣除，用扣除后的价格参与评审。</w:t>
      </w:r>
    </w:p>
    <w:p>
      <w:pPr>
        <w:spacing w:line="440" w:lineRule="exact"/>
        <w:rPr>
          <w:rFonts w:ascii="仿宋" w:hAnsi="仿宋" w:eastAsia="仿宋"/>
          <w:sz w:val="24"/>
        </w:rPr>
      </w:pPr>
      <w:r>
        <w:rPr>
          <w:rFonts w:hint="eastAsia" w:ascii="仿宋" w:hAnsi="仿宋" w:eastAsia="仿宋"/>
          <w:sz w:val="24"/>
        </w:rPr>
        <w:t>3.2.4符合《关于促进残疾人就业政府采购政策的通知》（财库〔2017〕141号）规定的条件并提供《残疾人福利性单位声明函》（附件1）的残疾人福利性单位视同小型、微型企业；</w:t>
      </w:r>
    </w:p>
    <w:p>
      <w:pPr>
        <w:spacing w:line="440" w:lineRule="exact"/>
        <w:rPr>
          <w:rFonts w:ascii="仿宋_GB2312" w:hAnsi="宋体" w:eastAsia="仿宋_GB2312"/>
          <w:b/>
          <w:sz w:val="36"/>
          <w:szCs w:val="36"/>
        </w:rPr>
      </w:pPr>
      <w:r>
        <w:rPr>
          <w:rFonts w:hint="eastAsia" w:ascii="仿宋" w:hAnsi="仿宋" w:eastAsia="仿宋"/>
          <w:sz w:val="24"/>
        </w:rPr>
        <w:t>3.2.5符合《关于政府采购支持监狱企业发展有关问题的通知》（财库[2014]68号）规定的监狱企业并提供由省级以上监狱管理局、戒毒管理局（含新疆生产建设兵团）出具的属于监狱企业证明文件的，视同为小型、微型企业。</w:t>
      </w:r>
    </w:p>
    <w:p>
      <w:pPr>
        <w:snapToGrid w:val="0"/>
        <w:spacing w:beforeLines="50" w:afterLines="50"/>
        <w:jc w:val="center"/>
        <w:rPr>
          <w:rFonts w:ascii="仿宋_GB2312" w:hAnsi="宋体" w:eastAsia="仿宋_GB2312"/>
          <w:sz w:val="24"/>
        </w:rPr>
      </w:pPr>
      <w:r>
        <w:rPr>
          <w:rFonts w:hint="eastAsia" w:ascii="仿宋_GB2312" w:hAnsi="宋体" w:eastAsia="仿宋_GB2312"/>
          <w:b/>
          <w:sz w:val="36"/>
          <w:szCs w:val="36"/>
        </w:rPr>
        <w:t>二、招标文件</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w:t>
      </w:r>
      <w:bookmarkStart w:id="10" w:name="PO_14318_PM003_1"/>
      <w:r>
        <w:rPr>
          <w:rFonts w:hint="eastAsia" w:ascii="仿宋_GB2312" w:hAnsi="宋体" w:eastAsia="仿宋_GB2312"/>
          <w:b/>
          <w:sz w:val="24"/>
        </w:rPr>
        <w:t>在线投标响应</w:t>
      </w:r>
      <w:bookmarkEnd w:id="10"/>
    </w:p>
    <w:p>
      <w:pPr>
        <w:snapToGrid w:val="0"/>
        <w:spacing w:line="440" w:lineRule="exact"/>
        <w:jc w:val="left"/>
        <w:rPr>
          <w:rFonts w:ascii="仿宋_GB2312" w:hAnsi="宋体" w:eastAsia="仿宋_GB2312"/>
          <w:sz w:val="24"/>
        </w:rPr>
      </w:pPr>
      <w:r>
        <w:rPr>
          <w:rFonts w:hint="eastAsia" w:ascii="仿宋_GB2312" w:hAnsi="宋体" w:eastAsia="仿宋_GB2312"/>
          <w:sz w:val="24"/>
        </w:rPr>
        <w:t>1.1 本次招标采用</w:t>
      </w:r>
      <w:r>
        <w:rPr>
          <w:rFonts w:hint="eastAsia" w:ascii="仿宋_GB2312" w:hAnsi="宋体" w:eastAsia="仿宋_GB2312"/>
          <w:b/>
          <w:kern w:val="0"/>
          <w:sz w:val="24"/>
        </w:rPr>
        <w:t>公开招标</w:t>
      </w:r>
      <w:r>
        <w:rPr>
          <w:rFonts w:hint="eastAsia" w:ascii="仿宋_GB2312" w:hAnsi="宋体" w:eastAsia="仿宋_GB2312"/>
          <w:sz w:val="24"/>
        </w:rPr>
        <w:t>方式进行。</w:t>
      </w:r>
    </w:p>
    <w:p>
      <w:pPr>
        <w:snapToGrid w:val="0"/>
        <w:spacing w:line="440" w:lineRule="exact"/>
        <w:jc w:val="left"/>
        <w:rPr>
          <w:rFonts w:ascii="仿宋_GB2312" w:hAnsi="宋体" w:eastAsia="仿宋_GB2312"/>
          <w:b/>
          <w:sz w:val="24"/>
        </w:rPr>
      </w:pPr>
      <w:r>
        <w:rPr>
          <w:rFonts w:hint="eastAsia" w:ascii="仿宋_GB2312" w:hAnsi="宋体" w:eastAsia="仿宋_GB2312"/>
          <w:sz w:val="24"/>
        </w:rPr>
        <w:t>1.2 如某一标项投标人或实质性响应招标文件的投标人不足三家时，由采购人重新组织招标或按有关规定实施。</w:t>
      </w:r>
    </w:p>
    <w:p>
      <w:pPr>
        <w:snapToGrid w:val="0"/>
        <w:spacing w:line="440" w:lineRule="exact"/>
        <w:jc w:val="left"/>
        <w:rPr>
          <w:rFonts w:ascii="仿宋_GB2312" w:hAnsi="宋体" w:eastAsia="仿宋_GB2312"/>
          <w:sz w:val="24"/>
        </w:rPr>
      </w:pPr>
      <w:r>
        <w:rPr>
          <w:rFonts w:hint="eastAsia" w:ascii="仿宋_GB2312" w:hAnsi="宋体" w:eastAsia="仿宋_GB2312"/>
          <w:sz w:val="24"/>
        </w:rPr>
        <w:t>1.3 本次招标设定限价，即招标公告中公布的各标项预算金额或最高限价（各标项之间的预算金额不能互相调整）。</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2. 投标委托</w:t>
      </w:r>
    </w:p>
    <w:p>
      <w:pPr>
        <w:snapToGrid w:val="0"/>
        <w:spacing w:line="440" w:lineRule="exact"/>
        <w:ind w:firstLine="480" w:firstLineChars="200"/>
        <w:jc w:val="left"/>
      </w:pPr>
      <w:r>
        <w:rPr>
          <w:rFonts w:hint="eastAsia" w:ascii="仿宋_GB2312" w:hAnsi="宋体" w:eastAsia="仿宋_GB2312" w:cs="Arial"/>
          <w:sz w:val="24"/>
        </w:rPr>
        <w:t>供应商以现场提交纸质备份投标文件形式的，在提交纸质投标文件时需提供一份授权委托书和受托人联系电话（法定代表人提交的，提供一份法定代表人身份证明书和本人联系电话）；以邮寄快递形式的，除纸质备份投标文件以外，提供一份授权委托书或法定代表人身份证明书和联系电话。</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3. 投标费用</w:t>
      </w:r>
    </w:p>
    <w:p>
      <w:pPr>
        <w:pStyle w:val="13"/>
        <w:tabs>
          <w:tab w:val="clear" w:pos="454"/>
        </w:tabs>
        <w:spacing w:afterLines="0" w:line="440" w:lineRule="exact"/>
        <w:ind w:left="0" w:firstLine="480" w:firstLineChars="200"/>
        <w:rPr>
          <w:rFonts w:ascii="仿宋_GB2312" w:hAnsi="宋体" w:eastAsia="仿宋_GB2312"/>
        </w:rPr>
      </w:pPr>
      <w:r>
        <w:rPr>
          <w:rFonts w:hint="eastAsia" w:ascii="仿宋_GB2312" w:hAnsi="宋体" w:eastAsia="仿宋_GB2312"/>
        </w:rPr>
        <w:t>投标人应自行承担编制投标文件及参加本次投标所涉及的一切费用。不管投标结果如何，招标人对上述费用不负任何责任。</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4. 招标文件的修改</w:t>
      </w:r>
    </w:p>
    <w:p>
      <w:pPr>
        <w:spacing w:line="440" w:lineRule="exact"/>
        <w:jc w:val="left"/>
        <w:rPr>
          <w:rFonts w:ascii="仿宋_GB2312" w:hAnsi="宋体" w:eastAsia="仿宋_GB2312"/>
          <w:sz w:val="24"/>
        </w:rPr>
      </w:pPr>
      <w:r>
        <w:rPr>
          <w:rFonts w:hint="eastAsia" w:ascii="仿宋_GB2312" w:hAnsi="宋体" w:eastAsia="仿宋_GB2312"/>
          <w:sz w:val="24"/>
        </w:rPr>
        <w:t xml:space="preserve">4.1 </w:t>
      </w:r>
      <w:r>
        <w:rPr>
          <w:rFonts w:hint="eastAsia" w:ascii="仿宋_GB2312" w:hAnsi="宋体" w:eastAsia="仿宋_GB2312"/>
          <w:bCs/>
          <w:sz w:val="24"/>
        </w:rPr>
        <w:t>招标文件包括本招标文件及所有的招标答疑记录和发出的补充通知</w:t>
      </w:r>
      <w:r>
        <w:rPr>
          <w:rFonts w:hint="eastAsia" w:ascii="仿宋_GB2312" w:hAnsi="宋体" w:eastAsia="仿宋_GB2312"/>
          <w:sz w:val="24"/>
        </w:rPr>
        <w:t>组成。</w:t>
      </w:r>
    </w:p>
    <w:p>
      <w:pPr>
        <w:pStyle w:val="13"/>
        <w:widowControl w:val="0"/>
        <w:tabs>
          <w:tab w:val="clear" w:pos="454"/>
        </w:tabs>
        <w:spacing w:afterLines="0" w:line="440" w:lineRule="exact"/>
        <w:ind w:left="0" w:firstLine="0"/>
        <w:rPr>
          <w:rFonts w:ascii="仿宋_GB2312" w:hAnsi="宋体" w:eastAsia="仿宋_GB2312"/>
        </w:rPr>
      </w:pPr>
      <w:r>
        <w:rPr>
          <w:rFonts w:hint="eastAsia" w:ascii="仿宋_GB2312" w:hAnsi="宋体" w:eastAsia="仿宋_GB2312"/>
        </w:rPr>
        <w:t xml:space="preserve">4.2招标文件的澄清 </w:t>
      </w:r>
    </w:p>
    <w:p>
      <w:pPr>
        <w:pStyle w:val="13"/>
        <w:widowControl w:val="0"/>
        <w:tabs>
          <w:tab w:val="clear" w:pos="454"/>
        </w:tabs>
        <w:spacing w:afterLines="0" w:line="440" w:lineRule="exact"/>
        <w:ind w:left="0" w:firstLine="480" w:firstLineChars="200"/>
        <w:rPr>
          <w:rFonts w:ascii="仿宋_GB2312" w:hAnsi="宋体" w:eastAsia="仿宋_GB2312"/>
        </w:rPr>
      </w:pPr>
      <w:r>
        <w:rPr>
          <w:rFonts w:hint="eastAsia" w:ascii="仿宋_GB2312" w:hAnsi="宋体" w:eastAsia="仿宋_GB2312"/>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3"/>
        <w:tabs>
          <w:tab w:val="clear" w:pos="454"/>
        </w:tabs>
        <w:spacing w:afterLines="0" w:line="440" w:lineRule="exact"/>
        <w:ind w:left="0" w:firstLine="0"/>
        <w:rPr>
          <w:rFonts w:ascii="仿宋_GB2312" w:hAnsi="宋体" w:eastAsia="仿宋_GB2312"/>
        </w:rPr>
      </w:pPr>
      <w:r>
        <w:rPr>
          <w:rFonts w:hint="eastAsia" w:ascii="仿宋_GB2312" w:hAnsi="宋体" w:eastAsia="仿宋_GB2312"/>
        </w:rPr>
        <w:t>4.3招标文件的修改</w:t>
      </w:r>
    </w:p>
    <w:p>
      <w:pPr>
        <w:pStyle w:val="13"/>
        <w:tabs>
          <w:tab w:val="clear" w:pos="454"/>
        </w:tabs>
        <w:spacing w:afterLines="0" w:line="440" w:lineRule="exact"/>
        <w:ind w:left="0" w:firstLine="0"/>
        <w:rPr>
          <w:rFonts w:ascii="仿宋_GB2312" w:hAnsi="宋体" w:eastAsia="仿宋_GB2312"/>
        </w:rPr>
      </w:pPr>
      <w:r>
        <w:rPr>
          <w:rFonts w:hint="eastAsia" w:ascii="仿宋_GB2312" w:hAnsi="宋体" w:eastAsia="仿宋_GB2312"/>
        </w:rPr>
        <w:t>4.3.1在投标截止时间前规定时间内，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ascii="仿宋_GB2312" w:hAnsi="宋体" w:eastAsia="仿宋_GB2312"/>
          <w:sz w:val="24"/>
        </w:rPr>
      </w:pPr>
      <w:r>
        <w:rPr>
          <w:rFonts w:hint="eastAsia" w:ascii="仿宋_GB2312" w:hAnsi="宋体" w:eastAsia="仿宋_GB2312"/>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800" w:lineRule="exact"/>
        <w:jc w:val="center"/>
        <w:rPr>
          <w:rFonts w:ascii="仿宋_GB2312" w:hAnsi="宋体" w:eastAsia="仿宋_GB2312"/>
          <w:b/>
          <w:sz w:val="36"/>
          <w:szCs w:val="36"/>
        </w:rPr>
      </w:pPr>
      <w:r>
        <w:rPr>
          <w:rFonts w:hint="eastAsia" w:ascii="仿宋_GB2312" w:hAnsi="宋体" w:eastAsia="仿宋_GB2312"/>
          <w:b/>
          <w:sz w:val="36"/>
          <w:szCs w:val="36"/>
        </w:rPr>
        <w:t>三、投标文件</w:t>
      </w:r>
    </w:p>
    <w:p>
      <w:pPr>
        <w:numPr>
          <w:ilvl w:val="0"/>
          <w:numId w:val="5"/>
        </w:numPr>
        <w:snapToGrid w:val="0"/>
        <w:spacing w:line="440" w:lineRule="exact"/>
        <w:jc w:val="left"/>
        <w:rPr>
          <w:rFonts w:ascii="仿宋_GB2312" w:hAnsi="宋体" w:eastAsia="仿宋_GB2312"/>
          <w:b/>
          <w:sz w:val="24"/>
        </w:rPr>
      </w:pPr>
      <w:r>
        <w:rPr>
          <w:rFonts w:hint="eastAsia" w:ascii="仿宋_GB2312" w:hAnsi="宋体" w:eastAsia="仿宋_GB2312"/>
          <w:b/>
          <w:sz w:val="24"/>
        </w:rPr>
        <w:t>投标文件的语言、计量单位、形式及效力</w:t>
      </w:r>
    </w:p>
    <w:p>
      <w:pPr>
        <w:snapToGrid w:val="0"/>
        <w:spacing w:line="440" w:lineRule="exact"/>
        <w:jc w:val="left"/>
        <w:rPr>
          <w:rFonts w:ascii="仿宋_GB2312" w:hAnsi="宋体" w:eastAsia="仿宋_GB2312"/>
          <w:sz w:val="24"/>
        </w:rPr>
      </w:pPr>
      <w:r>
        <w:rPr>
          <w:rFonts w:hint="eastAsia" w:ascii="仿宋_GB2312" w:hAnsi="宋体" w:eastAsia="仿宋_GB2312"/>
          <w:sz w:val="24"/>
        </w:rPr>
        <w:t>1.1投标人应仔细阅读招标文件中的所有内容，按照招标文件要求，详细编制投标文件，并保证投标文件的正确性和真实性。</w:t>
      </w:r>
    </w:p>
    <w:p>
      <w:pPr>
        <w:snapToGrid w:val="0"/>
        <w:spacing w:line="440" w:lineRule="exact"/>
        <w:jc w:val="left"/>
        <w:rPr>
          <w:rFonts w:ascii="仿宋_GB2312" w:hAnsi="宋体" w:eastAsia="仿宋_GB2312"/>
          <w:sz w:val="24"/>
        </w:rPr>
      </w:pPr>
      <w:r>
        <w:rPr>
          <w:rFonts w:hint="eastAsia" w:ascii="仿宋_GB2312" w:hAnsi="宋体" w:eastAsia="仿宋_GB2312"/>
          <w:sz w:val="24"/>
        </w:rPr>
        <w:t>1.2 投标文件以及投标方与招标方就有关投标事宜的所有来往函电，均应以中文书写（技术术语除外）。</w:t>
      </w:r>
    </w:p>
    <w:p>
      <w:pPr>
        <w:snapToGrid w:val="0"/>
        <w:spacing w:line="440" w:lineRule="exact"/>
        <w:jc w:val="left"/>
        <w:rPr>
          <w:rFonts w:ascii="仿宋_GB2312" w:hAnsi="宋体" w:eastAsia="仿宋_GB2312"/>
          <w:sz w:val="24"/>
        </w:rPr>
      </w:pPr>
      <w:r>
        <w:rPr>
          <w:rFonts w:hint="eastAsia" w:ascii="仿宋_GB2312" w:hAnsi="宋体" w:eastAsia="仿宋_GB2312"/>
          <w:sz w:val="24"/>
        </w:rPr>
        <w:t>1.3 投标计量单位，除招标文件中有特殊要求外，应采用中华人民共和国法定计量单位，货币单位：人民币元。</w:t>
      </w:r>
    </w:p>
    <w:p>
      <w:pPr>
        <w:snapToGrid w:val="0"/>
        <w:spacing w:line="440" w:lineRule="exact"/>
        <w:jc w:val="left"/>
        <w:rPr>
          <w:rFonts w:ascii="仿宋_GB2312" w:hAnsi="宋体" w:eastAsia="仿宋_GB2312"/>
          <w:sz w:val="24"/>
        </w:rPr>
      </w:pPr>
      <w:r>
        <w:rPr>
          <w:rFonts w:hint="eastAsia" w:ascii="仿宋_GB2312" w:hAnsi="宋体" w:eastAsia="仿宋_GB2312"/>
          <w:sz w:val="24"/>
        </w:rPr>
        <w:t>1.4不按招标文件的要求提供的投标文件可能导致被拒绝。</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1.5投标文件的形式和效力</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1.5.1投标文件分为电子投标文件和纸质备份投标文件。</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1.5.2电子投标文件，按“政采云供应商项目采购-电子招投标操作指南”及本招标文件要求制作、加密并递交。</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1.5.3</w:t>
      </w:r>
      <w:r>
        <w:rPr>
          <w:rFonts w:ascii="仿宋_GB2312" w:hAnsi="宋体" w:eastAsia="仿宋_GB2312"/>
          <w:b/>
          <w:sz w:val="24"/>
        </w:rPr>
        <w:t>投标文件</w:t>
      </w:r>
      <w:r>
        <w:rPr>
          <w:rFonts w:hint="eastAsia" w:ascii="仿宋_GB2312" w:hAnsi="宋体" w:eastAsia="仿宋_GB2312"/>
          <w:b/>
          <w:sz w:val="24"/>
        </w:rPr>
        <w:t>按“投标文件的组成”编制。</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1.5.4投标文件的效力</w:t>
      </w:r>
    </w:p>
    <w:p>
      <w:pPr>
        <w:snapToGrid w:val="0"/>
        <w:spacing w:line="440" w:lineRule="exact"/>
        <w:ind w:firstLine="472" w:firstLineChars="196"/>
        <w:jc w:val="left"/>
        <w:rPr>
          <w:rFonts w:ascii="仿宋_GB2312" w:hAnsi="宋体" w:eastAsia="仿宋_GB2312"/>
          <w:b/>
          <w:sz w:val="24"/>
        </w:rPr>
      </w:pPr>
      <w:r>
        <w:rPr>
          <w:rFonts w:hint="eastAsia" w:ascii="仿宋_GB2312" w:hAnsi="宋体" w:eastAsia="仿宋_GB2312"/>
          <w:b/>
          <w:sz w:val="24"/>
        </w:rPr>
        <w:t>投标文件的启用，按先后顺位分别为电子投标文件、</w:t>
      </w:r>
      <w:r>
        <w:rPr>
          <w:rFonts w:ascii="仿宋_GB2312" w:hAnsi="宋体" w:eastAsia="仿宋_GB2312"/>
          <w:b/>
          <w:sz w:val="24"/>
        </w:rPr>
        <w:t>纸质</w:t>
      </w:r>
      <w:r>
        <w:rPr>
          <w:rFonts w:hint="eastAsia" w:ascii="仿宋_GB2312" w:hAnsi="宋体" w:eastAsia="仿宋_GB2312"/>
          <w:b/>
          <w:sz w:val="24"/>
        </w:rPr>
        <w:t>备份</w:t>
      </w:r>
      <w:r>
        <w:rPr>
          <w:rFonts w:ascii="仿宋_GB2312" w:hAnsi="宋体" w:eastAsia="仿宋_GB2312"/>
          <w:b/>
          <w:sz w:val="24"/>
        </w:rPr>
        <w:t>投标文件</w:t>
      </w:r>
      <w:r>
        <w:rPr>
          <w:rFonts w:hint="eastAsia" w:ascii="仿宋_GB2312" w:hAnsi="宋体" w:eastAsia="仿宋_GB2312"/>
          <w:b/>
          <w:sz w:val="24"/>
        </w:rPr>
        <w:t>。在下一顺位的投标文件启用时，前一顺位的投标文件自动失效。</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2. 投标文件的组成</w:t>
      </w:r>
    </w:p>
    <w:p>
      <w:pPr>
        <w:spacing w:line="440" w:lineRule="exact"/>
        <w:ind w:firstLine="480" w:firstLineChars="200"/>
        <w:jc w:val="left"/>
        <w:rPr>
          <w:rFonts w:ascii="仿宋_GB2312" w:hAnsi="宋体" w:eastAsia="仿宋_GB2312"/>
          <w:sz w:val="24"/>
        </w:rPr>
      </w:pPr>
      <w:r>
        <w:rPr>
          <w:rFonts w:hint="eastAsia" w:ascii="仿宋_GB2312" w:hAnsi="宋体" w:eastAsia="仿宋_GB2312"/>
          <w:sz w:val="24"/>
        </w:rPr>
        <w:t>投标文件由“报价文件”、“商务资信技术文件”  两部分组成，</w:t>
      </w:r>
      <w:r>
        <w:rPr>
          <w:rFonts w:hint="eastAsia" w:ascii="仿宋" w:hAnsi="仿宋" w:eastAsia="仿宋"/>
          <w:sz w:val="24"/>
        </w:rPr>
        <w:t>其中</w:t>
      </w:r>
      <w:r>
        <w:rPr>
          <w:rFonts w:hint="eastAsia" w:ascii="仿宋" w:hAnsi="仿宋" w:eastAsia="仿宋"/>
          <w:b/>
          <w:sz w:val="24"/>
        </w:rPr>
        <w:t>电子投标文件中所须加盖公章部分均采用CA签章。</w:t>
      </w:r>
    </w:p>
    <w:p>
      <w:pPr>
        <w:spacing w:line="440" w:lineRule="exact"/>
        <w:jc w:val="left"/>
        <w:rPr>
          <w:rFonts w:ascii="仿宋_GB2312" w:hAnsi="宋体" w:eastAsia="仿宋_GB2312"/>
          <w:sz w:val="24"/>
        </w:rPr>
      </w:pPr>
      <w:r>
        <w:rPr>
          <w:rFonts w:hint="eastAsia" w:ascii="仿宋_GB2312" w:hAnsi="宋体" w:eastAsia="仿宋_GB2312"/>
          <w:sz w:val="24"/>
        </w:rPr>
        <w:t>2.1 “报价文件”应至少包含以下内容：</w:t>
      </w:r>
    </w:p>
    <w:p>
      <w:pPr>
        <w:tabs>
          <w:tab w:val="left" w:pos="3870"/>
          <w:tab w:val="left" w:pos="4085"/>
        </w:tabs>
        <w:snapToGrid w:val="0"/>
        <w:spacing w:line="440" w:lineRule="exact"/>
        <w:jc w:val="left"/>
        <w:rPr>
          <w:rFonts w:ascii="仿宋_GB2312" w:hAnsi="宋体" w:eastAsia="仿宋_GB2312"/>
          <w:sz w:val="24"/>
        </w:rPr>
      </w:pPr>
      <w:r>
        <w:rPr>
          <w:rFonts w:hint="eastAsia" w:ascii="仿宋_GB2312" w:hAnsi="宋体" w:eastAsia="仿宋_GB2312"/>
          <w:sz w:val="24"/>
        </w:rPr>
        <w:t xml:space="preserve">2.1.1投标响应函（格式见第六部分附件）； </w:t>
      </w:r>
    </w:p>
    <w:p>
      <w:pPr>
        <w:snapToGrid w:val="0"/>
        <w:spacing w:line="440" w:lineRule="exact"/>
        <w:jc w:val="left"/>
        <w:rPr>
          <w:rFonts w:ascii="仿宋_GB2312" w:hAnsi="宋体" w:eastAsia="仿宋_GB2312"/>
          <w:b/>
          <w:sz w:val="24"/>
        </w:rPr>
      </w:pPr>
      <w:r>
        <w:rPr>
          <w:rFonts w:hint="eastAsia" w:ascii="仿宋_GB2312" w:hAnsi="宋体" w:eastAsia="仿宋_GB2312"/>
          <w:sz w:val="24"/>
        </w:rPr>
        <w:t>2.1.2开标一览表（格式见第六部分附件）；</w:t>
      </w:r>
    </w:p>
    <w:p>
      <w:pPr>
        <w:pStyle w:val="23"/>
        <w:spacing w:line="440" w:lineRule="exact"/>
        <w:rPr>
          <w:rFonts w:ascii="仿宋_GB2312" w:hAnsi="宋体" w:eastAsia="仿宋_GB2312"/>
          <w:b w:val="0"/>
          <w:sz w:val="24"/>
        </w:rPr>
      </w:pPr>
      <w:r>
        <w:rPr>
          <w:rFonts w:hint="eastAsia" w:ascii="仿宋_GB2312" w:hAnsi="宋体" w:eastAsia="仿宋_GB2312"/>
          <w:b w:val="0"/>
          <w:sz w:val="24"/>
        </w:rPr>
        <w:t>2.1.3小微企业声明函及证明资料（如有，格式见第六部分附件）；</w:t>
      </w:r>
    </w:p>
    <w:p>
      <w:pPr>
        <w:pStyle w:val="23"/>
        <w:spacing w:line="440" w:lineRule="exact"/>
        <w:rPr>
          <w:rFonts w:ascii="仿宋_GB2312" w:hAnsi="宋体" w:eastAsia="仿宋_GB2312"/>
          <w:b w:val="0"/>
          <w:sz w:val="24"/>
        </w:rPr>
      </w:pPr>
      <w:r>
        <w:rPr>
          <w:rFonts w:hint="eastAsia" w:ascii="仿宋_GB2312" w:hAnsi="宋体" w:eastAsia="仿宋_GB2312"/>
          <w:b w:val="0"/>
          <w:sz w:val="24"/>
        </w:rPr>
        <w:t>2.1.4残疾人福利性单位声明函（如有，格式见第六部分附件）。</w:t>
      </w:r>
    </w:p>
    <w:p>
      <w:pPr>
        <w:pStyle w:val="19"/>
        <w:tabs>
          <w:tab w:val="left" w:pos="1854"/>
          <w:tab w:val="clear" w:pos="482"/>
        </w:tabs>
        <w:spacing w:afterLines="0" w:line="360" w:lineRule="auto"/>
        <w:ind w:left="0" w:firstLine="0"/>
        <w:rPr>
          <w:rFonts w:ascii="仿宋_GB2312" w:hAnsi="宋体" w:eastAsia="仿宋_GB2312"/>
        </w:rPr>
      </w:pPr>
      <w:r>
        <w:rPr>
          <w:rFonts w:hint="eastAsia" w:ascii="仿宋_GB2312" w:hAnsi="宋体" w:eastAsia="仿宋_GB2312"/>
        </w:rPr>
        <w:t>2.2 “资信商务技术文件”至少应包括以下内容：</w:t>
      </w:r>
    </w:p>
    <w:p>
      <w:pPr>
        <w:widowControl/>
        <w:spacing w:line="460" w:lineRule="atLeast"/>
        <w:jc w:val="left"/>
        <w:rPr>
          <w:rFonts w:ascii="仿宋_GB2312" w:hAnsi="宋体" w:eastAsia="仿宋_GB2312"/>
          <w:sz w:val="24"/>
        </w:rPr>
      </w:pPr>
      <w:r>
        <w:rPr>
          <w:rFonts w:hint="eastAsia" w:ascii="仿宋_GB2312" w:hAnsi="宋体" w:eastAsia="仿宋_GB2312"/>
          <w:sz w:val="24"/>
        </w:rPr>
        <w:t>2.2.1资格证明文件</w:t>
      </w:r>
    </w:p>
    <w:p>
      <w:pPr>
        <w:widowControl/>
        <w:spacing w:line="460" w:lineRule="atLeast"/>
        <w:jc w:val="left"/>
        <w:rPr>
          <w:rFonts w:ascii="仿宋_GB2312" w:hAnsi="宋体" w:eastAsia="仿宋_GB2312"/>
          <w:sz w:val="24"/>
        </w:rPr>
      </w:pPr>
      <w:r>
        <w:rPr>
          <w:rFonts w:hint="eastAsia" w:ascii="仿宋_GB2312" w:hAnsi="宋体" w:eastAsia="仿宋_GB2312"/>
          <w:sz w:val="24"/>
        </w:rPr>
        <w:t>2.2.1.1营业执照副本复印件；</w:t>
      </w:r>
    </w:p>
    <w:p>
      <w:pPr>
        <w:widowControl/>
        <w:spacing w:line="460" w:lineRule="atLeast"/>
        <w:jc w:val="left"/>
        <w:rPr>
          <w:rFonts w:ascii="仿宋_GB2312" w:hAnsi="宋体" w:eastAsia="仿宋_GB2312"/>
          <w:sz w:val="24"/>
        </w:rPr>
      </w:pPr>
      <w:r>
        <w:rPr>
          <w:rFonts w:hint="eastAsia" w:ascii="仿宋_GB2312" w:hAnsi="宋体" w:eastAsia="仿宋_GB2312"/>
          <w:sz w:val="24"/>
        </w:rPr>
        <w:t>2.2.1.2 最近一年度财务报告（新成立的公司提供情况说明）；</w:t>
      </w:r>
    </w:p>
    <w:p>
      <w:pPr>
        <w:widowControl/>
        <w:spacing w:line="460" w:lineRule="atLeast"/>
        <w:jc w:val="left"/>
        <w:rPr>
          <w:rFonts w:ascii="仿宋_GB2312" w:hAnsi="宋体" w:eastAsia="仿宋_GB2312"/>
          <w:sz w:val="24"/>
        </w:rPr>
      </w:pPr>
      <w:r>
        <w:rPr>
          <w:rFonts w:hint="eastAsia" w:ascii="仿宋_GB2312" w:hAnsi="宋体" w:eastAsia="仿宋_GB2312"/>
          <w:sz w:val="24"/>
        </w:rPr>
        <w:t>2.2.1.3法定代表人身份证明书（格式见第六部分附件）；</w:t>
      </w:r>
    </w:p>
    <w:p>
      <w:pPr>
        <w:widowControl/>
        <w:spacing w:line="460" w:lineRule="atLeast"/>
        <w:jc w:val="left"/>
        <w:rPr>
          <w:rFonts w:ascii="仿宋_GB2312" w:hAnsi="宋体" w:eastAsia="仿宋_GB2312"/>
          <w:sz w:val="24"/>
        </w:rPr>
      </w:pPr>
      <w:r>
        <w:rPr>
          <w:rFonts w:hint="eastAsia" w:ascii="仿宋_GB2312" w:hAnsi="宋体" w:eastAsia="仿宋_GB2312"/>
          <w:sz w:val="24"/>
        </w:rPr>
        <w:t>2.2.1.4法定代表人授权委托书（格式见第六部分附件）；</w:t>
      </w:r>
    </w:p>
    <w:p>
      <w:pPr>
        <w:widowControl/>
        <w:spacing w:line="460" w:lineRule="atLeast"/>
        <w:jc w:val="left"/>
        <w:rPr>
          <w:rFonts w:ascii="仿宋_GB2312" w:hAnsi="宋体" w:eastAsia="仿宋_GB2312"/>
          <w:sz w:val="24"/>
        </w:rPr>
      </w:pPr>
      <w:r>
        <w:rPr>
          <w:rFonts w:hint="eastAsia" w:ascii="仿宋_GB2312" w:hAnsi="宋体" w:eastAsia="仿宋_GB2312"/>
          <w:sz w:val="24"/>
        </w:rPr>
        <w:t>2.2.1.5供应商参与政府采购活动投标资格声明（格式见第六部分附件）；</w:t>
      </w:r>
      <w:bookmarkStart w:id="11" w:name="_Hlt68072998"/>
      <w:bookmarkEnd w:id="11"/>
      <w:bookmarkStart w:id="12" w:name="_Hlt68403820"/>
      <w:bookmarkEnd w:id="12"/>
      <w:bookmarkStart w:id="13" w:name="_Hlt68073093"/>
      <w:bookmarkEnd w:id="13"/>
    </w:p>
    <w:p>
      <w:pPr>
        <w:widowControl/>
        <w:spacing w:line="460" w:lineRule="atLeast"/>
        <w:jc w:val="left"/>
        <w:rPr>
          <w:rFonts w:ascii="仿宋_GB2312" w:hAnsi="宋体" w:eastAsia="仿宋_GB2312"/>
          <w:sz w:val="24"/>
        </w:rPr>
      </w:pPr>
      <w:r>
        <w:rPr>
          <w:rFonts w:hint="eastAsia" w:ascii="仿宋_GB2312" w:hAnsi="宋体" w:eastAsia="仿宋_GB2312"/>
          <w:sz w:val="24"/>
        </w:rPr>
        <w:t>2.2.1.6安保服务行业许可证书复印件；</w:t>
      </w:r>
    </w:p>
    <w:p>
      <w:pPr>
        <w:widowControl/>
        <w:spacing w:line="460" w:lineRule="atLeast"/>
        <w:jc w:val="left"/>
        <w:rPr>
          <w:rFonts w:ascii="仿宋_GB2312" w:hAnsi="宋体" w:eastAsia="仿宋_GB2312"/>
          <w:sz w:val="24"/>
        </w:rPr>
      </w:pPr>
      <w:r>
        <w:rPr>
          <w:rFonts w:hint="eastAsia" w:ascii="仿宋_GB2312" w:hAnsi="宋体" w:eastAsia="仿宋_GB2312"/>
          <w:sz w:val="24"/>
        </w:rPr>
        <w:t>2.2.2商务技术文件</w:t>
      </w:r>
    </w:p>
    <w:p>
      <w:pPr>
        <w:spacing w:line="360" w:lineRule="auto"/>
        <w:rPr>
          <w:rFonts w:ascii="仿宋_GB2312" w:hAnsi="宋体" w:eastAsia="仿宋_GB2312"/>
          <w:sz w:val="24"/>
        </w:rPr>
      </w:pPr>
      <w:r>
        <w:rPr>
          <w:rFonts w:hint="eastAsia" w:ascii="仿宋_GB2312" w:hAnsi="仿宋_GB2312" w:eastAsia="仿宋_GB2312" w:cs="仿宋_GB2312"/>
          <w:sz w:val="24"/>
          <w:szCs w:val="20"/>
        </w:rPr>
        <w:t>2.2.2.1</w:t>
      </w:r>
      <w:r>
        <w:rPr>
          <w:rFonts w:hint="eastAsia" w:ascii="仿宋_GB2312" w:hAnsi="宋体" w:eastAsia="仿宋_GB2312"/>
          <w:sz w:val="24"/>
        </w:rPr>
        <w:t>技术响应表（格式见第六部分附件）；</w:t>
      </w:r>
    </w:p>
    <w:p>
      <w:pPr>
        <w:pStyle w:val="40"/>
        <w:spacing w:line="360" w:lineRule="auto"/>
        <w:ind w:left="0" w:leftChars="0" w:firstLine="0" w:firstLineChars="0"/>
        <w:rPr>
          <w:rFonts w:ascii="仿宋_GB2312" w:hAnsi="宋体" w:eastAsia="仿宋_GB2312"/>
          <w:sz w:val="24"/>
        </w:rPr>
      </w:pPr>
      <w:r>
        <w:rPr>
          <w:rFonts w:hint="eastAsia" w:ascii="仿宋_GB2312" w:hAnsi="宋体" w:eastAsia="仿宋_GB2312"/>
          <w:sz w:val="24"/>
        </w:rPr>
        <w:t>2.2.2.2商务响应表（格式见第六部分附件）；</w:t>
      </w:r>
    </w:p>
    <w:p>
      <w:pPr>
        <w:pStyle w:val="40"/>
        <w:spacing w:line="360" w:lineRule="auto"/>
        <w:ind w:left="0" w:leftChars="0" w:firstLine="0" w:firstLineChars="0"/>
        <w:rPr>
          <w:rFonts w:ascii="仿宋_GB2312" w:hAnsi="宋体" w:eastAsia="仿宋_GB2312"/>
          <w:sz w:val="24"/>
        </w:rPr>
      </w:pPr>
      <w:r>
        <w:rPr>
          <w:rFonts w:hint="eastAsia" w:ascii="仿宋_GB2312" w:hAnsi="宋体" w:eastAsia="仿宋_GB2312"/>
          <w:sz w:val="24"/>
        </w:rPr>
        <w:t>2.2.2.3根据评分标准需要提供的资料（格式自拟）；</w:t>
      </w:r>
    </w:p>
    <w:p>
      <w:pPr>
        <w:pStyle w:val="40"/>
        <w:spacing w:line="360" w:lineRule="auto"/>
        <w:ind w:left="0" w:leftChars="0" w:firstLine="0" w:firstLineChars="0"/>
        <w:rPr>
          <w:rFonts w:ascii="仿宋_GB2312" w:hAnsi="宋体" w:eastAsia="仿宋_GB2312"/>
          <w:sz w:val="24"/>
        </w:rPr>
      </w:pPr>
      <w:r>
        <w:rPr>
          <w:rFonts w:hint="eastAsia" w:ascii="仿宋_GB2312" w:hAnsi="宋体" w:eastAsia="仿宋_GB2312"/>
          <w:sz w:val="24"/>
        </w:rPr>
        <w:t>2.2.2.4投标人认为需要提供的其他资料（格式自拟）。</w:t>
      </w:r>
    </w:p>
    <w:p>
      <w:pPr>
        <w:spacing w:line="440" w:lineRule="exact"/>
        <w:jc w:val="left"/>
        <w:rPr>
          <w:rFonts w:ascii="仿宋_GB2312" w:hAnsi="宋体" w:eastAsia="仿宋_GB2312"/>
          <w:b/>
          <w:sz w:val="24"/>
        </w:rPr>
      </w:pPr>
      <w:r>
        <w:rPr>
          <w:rFonts w:hint="eastAsia" w:ascii="仿宋_GB2312" w:hAnsi="宋体" w:eastAsia="仿宋_GB2312"/>
          <w:b/>
          <w:sz w:val="24"/>
        </w:rPr>
        <w:t>3. 投标报价</w:t>
      </w:r>
    </w:p>
    <w:p>
      <w:pPr>
        <w:pStyle w:val="22"/>
        <w:spacing w:line="440" w:lineRule="exact"/>
        <w:jc w:val="left"/>
        <w:rPr>
          <w:rFonts w:ascii="仿宋_GB2312" w:hAnsi="宋体" w:eastAsia="仿宋_GB2312"/>
          <w:sz w:val="24"/>
        </w:rPr>
      </w:pPr>
      <w:r>
        <w:rPr>
          <w:rFonts w:hint="eastAsia" w:ascii="仿宋_GB2312" w:hAnsi="宋体" w:eastAsia="仿宋_GB2312"/>
          <w:sz w:val="24"/>
        </w:rPr>
        <w:t>3.1投标人应按招标文件中《开标一览表》等附表要求填写。</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3.2报价为采购人可以合格使用产品的价格，包括货款、包装、运输、保险、货到就位以及安装、调试、培训、保修及产品知识产权等一切费用。</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3.3招标文件未列明，而投标人认为必需的费用也需列入报价。</w:t>
      </w:r>
    </w:p>
    <w:p>
      <w:pPr>
        <w:tabs>
          <w:tab w:val="left" w:pos="525"/>
        </w:tabs>
        <w:spacing w:line="440" w:lineRule="exact"/>
        <w:jc w:val="left"/>
        <w:rPr>
          <w:rFonts w:ascii="仿宋_GB2312" w:hAnsi="宋体" w:eastAsia="仿宋_GB2312"/>
          <w:sz w:val="24"/>
        </w:rPr>
      </w:pPr>
      <w:r>
        <w:rPr>
          <w:rFonts w:hint="eastAsia" w:ascii="仿宋_GB2312" w:hAnsi="宋体" w:eastAsia="仿宋_GB2312"/>
          <w:sz w:val="24"/>
        </w:rPr>
        <w:t>3.4</w:t>
      </w:r>
      <w:r>
        <w:rPr>
          <w:rFonts w:hint="eastAsia" w:ascii="仿宋_GB2312" w:hAnsi="宋体" w:eastAsia="仿宋_GB2312"/>
          <w:b/>
          <w:i/>
          <w:sz w:val="24"/>
        </w:rPr>
        <w:t>投标报价只允许有一个报价，有选择的报价将不予接受（除指定外）。</w:t>
      </w:r>
    </w:p>
    <w:p>
      <w:pPr>
        <w:pStyle w:val="13"/>
        <w:tabs>
          <w:tab w:val="clear" w:pos="454"/>
        </w:tabs>
        <w:spacing w:afterLines="0" w:line="440" w:lineRule="atLeast"/>
        <w:ind w:left="0" w:firstLine="0"/>
        <w:rPr>
          <w:rFonts w:ascii="仿宋_GB2312" w:hAnsi="宋体" w:eastAsia="仿宋_GB2312"/>
          <w:b/>
          <w:szCs w:val="24"/>
        </w:rPr>
      </w:pPr>
      <w:r>
        <w:rPr>
          <w:rFonts w:hint="eastAsia" w:ascii="仿宋_GB2312" w:hAnsi="宋体" w:eastAsia="仿宋_GB2312"/>
          <w:b/>
          <w:szCs w:val="24"/>
        </w:rPr>
        <w:t>4.投标文件的有效期</w:t>
      </w:r>
    </w:p>
    <w:p>
      <w:pPr>
        <w:pStyle w:val="13"/>
        <w:tabs>
          <w:tab w:val="clear" w:pos="454"/>
        </w:tabs>
        <w:spacing w:afterLines="0" w:line="440" w:lineRule="atLeast"/>
        <w:ind w:left="0" w:firstLine="0"/>
        <w:rPr>
          <w:rFonts w:ascii="仿宋_GB2312" w:hAnsi="宋体" w:eastAsia="仿宋_GB2312"/>
          <w:szCs w:val="24"/>
        </w:rPr>
      </w:pPr>
      <w:r>
        <w:rPr>
          <w:rFonts w:hint="eastAsia" w:ascii="仿宋_GB2312" w:hAnsi="宋体" w:eastAsia="仿宋_GB2312"/>
          <w:szCs w:val="24"/>
        </w:rPr>
        <w:t>4.1</w:t>
      </w:r>
      <w:r>
        <w:rPr>
          <w:rFonts w:hint="eastAsia" w:ascii="仿宋" w:hAnsi="仿宋" w:eastAsia="仿宋" w:cs="仿宋_GB2312"/>
        </w:rPr>
        <w:t>投标有效期为从提交投标文件的截止之日起90天。</w:t>
      </w:r>
    </w:p>
    <w:p>
      <w:pPr>
        <w:pStyle w:val="13"/>
        <w:tabs>
          <w:tab w:val="clear" w:pos="454"/>
        </w:tabs>
        <w:spacing w:afterLines="0" w:line="440" w:lineRule="atLeast"/>
        <w:ind w:left="0" w:firstLine="0"/>
        <w:rPr>
          <w:rFonts w:ascii="仿宋_GB2312" w:hAnsi="宋体" w:eastAsia="仿宋_GB2312"/>
          <w:szCs w:val="24"/>
        </w:rPr>
      </w:pPr>
      <w:r>
        <w:rPr>
          <w:rFonts w:hint="eastAsia" w:ascii="仿宋_GB2312" w:hAnsi="宋体" w:eastAsia="仿宋_GB2312"/>
          <w:szCs w:val="24"/>
        </w:rPr>
        <w:t>4.2在特殊情况下，招标人可与投标人协商延长投标书的有效期，这种要求和答复均以书面形式进行。</w:t>
      </w:r>
    </w:p>
    <w:p>
      <w:pPr>
        <w:pStyle w:val="13"/>
        <w:tabs>
          <w:tab w:val="clear" w:pos="454"/>
        </w:tabs>
        <w:spacing w:afterLines="0" w:line="440" w:lineRule="atLeast"/>
        <w:ind w:left="0" w:firstLine="0"/>
        <w:rPr>
          <w:rFonts w:ascii="仿宋_GB2312" w:hAnsi="宋体" w:eastAsia="仿宋_GB2312"/>
          <w:szCs w:val="24"/>
        </w:rPr>
      </w:pPr>
      <w:r>
        <w:rPr>
          <w:rFonts w:hint="eastAsia" w:ascii="仿宋_GB2312" w:hAnsi="宋体" w:eastAsia="仿宋_GB2312"/>
          <w:szCs w:val="24"/>
        </w:rPr>
        <w:t>4.3投标人可拒绝接受延期要求而不会导致投标保证金被没收。同意延长有效期的投标人不能修改投标文件。</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5.投标文件的份数和规定</w:t>
      </w:r>
    </w:p>
    <w:p>
      <w:pPr>
        <w:snapToGrid w:val="0"/>
        <w:spacing w:line="440" w:lineRule="exact"/>
        <w:jc w:val="left"/>
        <w:rPr>
          <w:rFonts w:ascii="仿宋_GB2312" w:hAnsi="宋体" w:eastAsia="仿宋_GB2312"/>
          <w:sz w:val="24"/>
        </w:rPr>
      </w:pPr>
      <w:r>
        <w:rPr>
          <w:rFonts w:hint="eastAsia" w:ascii="仿宋_GB2312" w:hAnsi="宋体" w:eastAsia="仿宋_GB2312"/>
          <w:sz w:val="24"/>
        </w:rPr>
        <w:t>5.1投标文件的正本需打印或用不褪色的墨水填写，不允许行间插字，并注明“正本”字样，纸质备份投标文件正本除本招标须知中规定的可提供复印件外均须提供原件。副本为正本的复印件。</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5.2投标文件由“商务资信技术文件”和“报价文件”两部分文件组成，应按统一格式填写，装订成册。并在封面处明确注明“商务资信技术文件”或“报价文件”。</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5.3投标文件一式五份，其中正本一份，副本四份。</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 xml:space="preserve">5.4投标文件须由投标人在规定位置盖章并由法定代表人或其授权代表签署，投标人应写全称。 </w:t>
      </w:r>
    </w:p>
    <w:p>
      <w:pPr>
        <w:pStyle w:val="22"/>
        <w:spacing w:line="440" w:lineRule="exact"/>
        <w:jc w:val="left"/>
        <w:rPr>
          <w:rFonts w:ascii="仿宋_GB2312" w:hAnsi="宋体" w:eastAsia="仿宋_GB2312"/>
          <w:sz w:val="24"/>
          <w:szCs w:val="24"/>
        </w:rPr>
      </w:pPr>
      <w:r>
        <w:rPr>
          <w:rFonts w:hint="eastAsia" w:ascii="仿宋_GB2312" w:hAnsi="宋体" w:eastAsia="仿宋_GB2312"/>
          <w:sz w:val="24"/>
          <w:szCs w:val="24"/>
        </w:rPr>
        <w:t>5.5投标文件不得涂改，若有修改错漏处，须加盖单位公章或者法定代表人或其授权代表签字或盖章。</w:t>
      </w:r>
    </w:p>
    <w:p>
      <w:pPr>
        <w:snapToGrid w:val="0"/>
        <w:spacing w:line="440" w:lineRule="exact"/>
        <w:jc w:val="left"/>
        <w:rPr>
          <w:rFonts w:ascii="仿宋_GB2312" w:hAnsi="宋体" w:eastAsia="仿宋_GB2312"/>
          <w:sz w:val="24"/>
        </w:rPr>
      </w:pPr>
      <w:r>
        <w:rPr>
          <w:rFonts w:hint="eastAsia" w:ascii="仿宋_GB2312" w:hAnsi="宋体" w:eastAsia="仿宋_GB2312"/>
          <w:sz w:val="24"/>
        </w:rPr>
        <w:t>5.6投标文件因字迹潦草或表达不清所引起的后果由投标人负责。</w:t>
      </w:r>
    </w:p>
    <w:p>
      <w:pPr>
        <w:spacing w:line="440" w:lineRule="exact"/>
        <w:jc w:val="left"/>
        <w:rPr>
          <w:rFonts w:ascii="仿宋_GB2312" w:hAnsi="宋体" w:eastAsia="仿宋_GB2312"/>
          <w:sz w:val="24"/>
        </w:rPr>
      </w:pPr>
      <w:r>
        <w:rPr>
          <w:rFonts w:hint="eastAsia" w:ascii="仿宋_GB2312" w:hAnsi="宋体" w:eastAsia="仿宋_GB2312"/>
          <w:sz w:val="24"/>
        </w:rPr>
        <w:t>5.7投标人应认真阅读招标文件中所有的内容。如果投标人编制的投标文件实质上不响应招标文件的要求，其投标文件将被招标人拒绝。</w:t>
      </w:r>
    </w:p>
    <w:p>
      <w:pPr>
        <w:spacing w:line="440" w:lineRule="exact"/>
        <w:jc w:val="left"/>
        <w:rPr>
          <w:rFonts w:ascii="仿宋_GB2312" w:hAnsi="仿宋_GB2312" w:eastAsia="仿宋_GB2312" w:cs="仿宋_GB2312"/>
          <w:sz w:val="24"/>
        </w:rPr>
      </w:pPr>
      <w:r>
        <w:rPr>
          <w:rFonts w:hint="eastAsia" w:ascii="仿宋_GB2312" w:hAnsi="仿宋_GB2312" w:eastAsia="仿宋_GB2312" w:cs="仿宋_GB2312"/>
          <w:sz w:val="24"/>
        </w:rPr>
        <w:t>5.8纸质备份投标文件建议采用A4幅面，按顺序统一编目编码装订成册。</w:t>
      </w:r>
      <w:r>
        <w:rPr>
          <w:rFonts w:hint="eastAsia" w:ascii="仿宋_GB2312" w:hAnsi="仿宋_GB2312" w:eastAsia="仿宋_GB2312" w:cs="仿宋_GB2312"/>
          <w:b/>
          <w:sz w:val="24"/>
        </w:rPr>
        <w:t>提倡双面打印</w:t>
      </w:r>
      <w:r>
        <w:rPr>
          <w:rFonts w:hint="eastAsia" w:ascii="仿宋_GB2312" w:hAnsi="仿宋_GB2312" w:eastAsia="仿宋_GB2312" w:cs="仿宋_GB2312"/>
          <w:sz w:val="24"/>
        </w:rPr>
        <w:t>。</w:t>
      </w:r>
    </w:p>
    <w:p>
      <w:pPr>
        <w:spacing w:line="440" w:lineRule="exact"/>
        <w:jc w:val="left"/>
        <w:rPr>
          <w:rFonts w:ascii="仿宋_GB2312" w:hAnsi="仿宋_GB2312" w:eastAsia="仿宋_GB2312" w:cs="仿宋_GB2312"/>
          <w:b/>
          <w:sz w:val="24"/>
        </w:rPr>
      </w:pPr>
      <w:r>
        <w:rPr>
          <w:rFonts w:hint="eastAsia" w:ascii="仿宋_GB2312" w:hAnsi="仿宋_GB2312" w:eastAsia="仿宋_GB2312" w:cs="仿宋_GB2312"/>
          <w:b/>
          <w:sz w:val="24"/>
        </w:rPr>
        <w:t>5.9电子投标文件部分：投标人应根据“政采云供应商项目采购-电子招投标操作指南”及本招标文件规定的格式和顺序编制电子投标文件并进行关联定位。</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6. 投标文件的密封、盖章和签署</w:t>
      </w:r>
    </w:p>
    <w:p>
      <w:pPr>
        <w:snapToGrid w:val="0"/>
        <w:spacing w:line="440" w:lineRule="exact"/>
        <w:ind w:firstLine="480" w:firstLineChars="200"/>
        <w:rPr>
          <w:rFonts w:ascii="仿宋_GB2312" w:eastAsia="仿宋_GB2312"/>
          <w:kern w:val="0"/>
          <w:sz w:val="24"/>
        </w:rPr>
      </w:pPr>
      <w:r>
        <w:rPr>
          <w:rFonts w:hint="eastAsia" w:ascii="仿宋_GB2312" w:eastAsia="仿宋_GB2312"/>
          <w:sz w:val="24"/>
        </w:rPr>
        <w:t>“资信商务技术文件”、“报价文件”</w:t>
      </w:r>
      <w:r>
        <w:rPr>
          <w:rFonts w:hint="eastAsia" w:ascii="仿宋_GB2312" w:eastAsia="仿宋_GB2312"/>
          <w:b/>
          <w:sz w:val="24"/>
        </w:rPr>
        <w:t>应分两部份分别密封封装</w:t>
      </w:r>
      <w:r>
        <w:rPr>
          <w:rFonts w:hint="eastAsia" w:ascii="仿宋_GB2312" w:eastAsia="仿宋_GB2312"/>
          <w:sz w:val="24"/>
        </w:rPr>
        <w:t>，</w:t>
      </w:r>
      <w:r>
        <w:rPr>
          <w:rFonts w:hint="eastAsia" w:ascii="仿宋_GB2312" w:eastAsia="仿宋_GB2312"/>
          <w:b/>
          <w:bCs/>
          <w:sz w:val="24"/>
        </w:rPr>
        <w:t>纸质备份</w:t>
      </w:r>
      <w:r>
        <w:rPr>
          <w:rFonts w:hint="eastAsia" w:ascii="仿宋_GB2312" w:eastAsia="仿宋_GB2312"/>
          <w:b/>
          <w:sz w:val="24"/>
        </w:rPr>
        <w:t>投标文件的装订必须采用胶订。</w:t>
      </w:r>
      <w:r>
        <w:rPr>
          <w:rFonts w:hint="eastAsia" w:ascii="仿宋_GB2312" w:eastAsia="仿宋_GB2312"/>
          <w:sz w:val="24"/>
        </w:rPr>
        <w:t>各投标人在编制投标文件时请按照招标文件第六部分规定的格式进行，混乱的编排导致投标文件被误读或评标委员会查找不到有效文件是投标人的风险。并明确注明“</w:t>
      </w:r>
      <w:r>
        <w:rPr>
          <w:rFonts w:hint="eastAsia" w:ascii="仿宋_GB2312" w:eastAsia="仿宋_GB2312"/>
          <w:b/>
          <w:sz w:val="24"/>
        </w:rPr>
        <w:t>资信商务</w:t>
      </w:r>
      <w:r>
        <w:rPr>
          <w:rFonts w:hint="eastAsia" w:ascii="仿宋_GB2312" w:eastAsia="仿宋_GB2312"/>
          <w:b/>
          <w:bCs/>
          <w:sz w:val="24"/>
        </w:rPr>
        <w:t>技术文件或报价文件、项目名称、投标人名称</w:t>
      </w:r>
      <w:r>
        <w:rPr>
          <w:rFonts w:hint="eastAsia" w:ascii="仿宋_GB2312" w:eastAsia="仿宋_GB2312"/>
          <w:sz w:val="24"/>
        </w:rPr>
        <w:t>”字样，同时封口处加盖投标单位公章。</w:t>
      </w:r>
    </w:p>
    <w:p>
      <w:pPr>
        <w:widowControl/>
        <w:snapToGrid w:val="0"/>
        <w:spacing w:line="440" w:lineRule="exact"/>
        <w:rPr>
          <w:rFonts w:ascii="仿宋_GB2312" w:hAnsi="宋体" w:eastAsia="仿宋_GB2312"/>
          <w:b/>
          <w:kern w:val="0"/>
          <w:sz w:val="24"/>
        </w:rPr>
      </w:pPr>
      <w:r>
        <w:rPr>
          <w:rFonts w:hint="eastAsia" w:ascii="仿宋_GB2312" w:hAnsi="宋体" w:eastAsia="仿宋_GB2312"/>
          <w:b/>
          <w:sz w:val="24"/>
        </w:rPr>
        <w:t>7．</w:t>
      </w:r>
      <w:r>
        <w:rPr>
          <w:rFonts w:hint="eastAsia" w:ascii="仿宋_GB2312" w:hAnsi="宋体" w:eastAsia="仿宋_GB2312"/>
          <w:b/>
          <w:kern w:val="0"/>
          <w:sz w:val="24"/>
        </w:rPr>
        <w:t>投标文件的补充和修改</w:t>
      </w:r>
    </w:p>
    <w:p>
      <w:pPr>
        <w:widowControl/>
        <w:snapToGrid w:val="0"/>
        <w:spacing w:line="440" w:lineRule="exact"/>
        <w:ind w:firstLine="480" w:firstLineChars="200"/>
        <w:rPr>
          <w:rFonts w:ascii="仿宋_GB2312" w:hAnsi="宋体" w:eastAsia="仿宋_GB2312"/>
          <w:kern w:val="0"/>
          <w:sz w:val="24"/>
        </w:rPr>
      </w:pPr>
      <w:r>
        <w:rPr>
          <w:rFonts w:hint="eastAsia" w:ascii="仿宋_GB2312" w:hAnsi="宋体" w:eastAsia="仿宋_GB2312"/>
          <w:kern w:val="0"/>
          <w:sz w:val="24"/>
        </w:rPr>
        <w:t>投标截止时间前，投标人可以</w:t>
      </w:r>
      <w:r>
        <w:rPr>
          <w:rFonts w:hint="eastAsia" w:ascii="仿宋_GB2312" w:hAnsi="宋体" w:eastAsia="仿宋_GB2312"/>
          <w:b/>
          <w:bCs/>
          <w:kern w:val="0"/>
          <w:sz w:val="24"/>
        </w:rPr>
        <w:t>书面形式</w:t>
      </w:r>
      <w:r>
        <w:rPr>
          <w:rFonts w:hint="eastAsia" w:ascii="仿宋_GB2312" w:hAnsi="宋体" w:eastAsia="仿宋_GB2312"/>
          <w:kern w:val="0"/>
          <w:sz w:val="24"/>
        </w:rPr>
        <w:t>向招标人提出对投标文件进行补充和修改，相应部分以最后的补充和修改为准。该书面材料应密封，</w:t>
      </w:r>
      <w:r>
        <w:rPr>
          <w:rFonts w:hint="eastAsia" w:ascii="仿宋_GB2312" w:hAnsi="宋体" w:eastAsia="仿宋_GB2312"/>
          <w:sz w:val="24"/>
        </w:rPr>
        <w:t>并明确注明“</w:t>
      </w:r>
      <w:r>
        <w:rPr>
          <w:rFonts w:hint="eastAsia" w:ascii="仿宋_GB2312" w:hAnsi="宋体" w:eastAsia="仿宋_GB2312"/>
          <w:kern w:val="0"/>
          <w:sz w:val="24"/>
        </w:rPr>
        <w:t>修改（或补充）技术文件资料或商务文件资料、项目名称、投标人名称</w:t>
      </w:r>
      <w:r>
        <w:rPr>
          <w:rFonts w:hint="eastAsia" w:ascii="仿宋_GB2312" w:hAnsi="宋体" w:eastAsia="仿宋_GB2312"/>
          <w:sz w:val="24"/>
        </w:rPr>
        <w:t>”</w:t>
      </w:r>
      <w:r>
        <w:rPr>
          <w:rFonts w:hint="eastAsia" w:ascii="仿宋_GB2312" w:hAnsi="宋体" w:eastAsia="仿宋_GB2312"/>
          <w:kern w:val="0"/>
          <w:sz w:val="24"/>
        </w:rPr>
        <w:t>字样</w:t>
      </w:r>
      <w:r>
        <w:rPr>
          <w:rFonts w:hint="eastAsia" w:ascii="仿宋_GB2312" w:hAnsi="宋体" w:eastAsia="仿宋_GB2312"/>
          <w:sz w:val="24"/>
        </w:rPr>
        <w:t>，</w:t>
      </w:r>
      <w:r>
        <w:rPr>
          <w:rFonts w:hint="eastAsia" w:ascii="仿宋_GB2312" w:hAnsi="宋体" w:eastAsia="仿宋_GB2312"/>
          <w:kern w:val="0"/>
          <w:sz w:val="24"/>
        </w:rPr>
        <w:t>同时</w:t>
      </w:r>
      <w:r>
        <w:rPr>
          <w:rFonts w:hint="eastAsia" w:ascii="仿宋_GB2312" w:hAnsi="宋体" w:eastAsia="仿宋_GB2312"/>
          <w:sz w:val="24"/>
        </w:rPr>
        <w:t>封口处</w:t>
      </w:r>
      <w:r>
        <w:rPr>
          <w:rFonts w:hint="eastAsia" w:ascii="仿宋_GB2312" w:hAnsi="宋体" w:eastAsia="仿宋_GB2312"/>
          <w:kern w:val="0"/>
          <w:sz w:val="24"/>
        </w:rPr>
        <w:t>由</w:t>
      </w:r>
      <w:r>
        <w:rPr>
          <w:rFonts w:hint="eastAsia" w:ascii="仿宋_GB2312" w:hAnsi="宋体" w:eastAsia="仿宋_GB2312"/>
          <w:sz w:val="24"/>
        </w:rPr>
        <w:t>法定代表人或其授权代表签字或盖章</w:t>
      </w:r>
      <w:r>
        <w:rPr>
          <w:rFonts w:hint="eastAsia" w:ascii="仿宋_GB2312" w:hAnsi="宋体" w:eastAsia="仿宋_GB2312"/>
          <w:kern w:val="0"/>
          <w:sz w:val="24"/>
        </w:rPr>
        <w:t>。</w:t>
      </w:r>
    </w:p>
    <w:p>
      <w:pPr>
        <w:spacing w:line="440" w:lineRule="exact"/>
        <w:jc w:val="center"/>
        <w:rPr>
          <w:rFonts w:ascii="仿宋_GB2312" w:eastAsia="仿宋_GB2312"/>
          <w:b/>
          <w:sz w:val="32"/>
          <w:szCs w:val="32"/>
        </w:rPr>
      </w:pPr>
      <w:r>
        <w:rPr>
          <w:rFonts w:hint="eastAsia" w:ascii="仿宋_GB2312" w:eastAsia="仿宋_GB2312"/>
          <w:b/>
          <w:sz w:val="32"/>
          <w:szCs w:val="32"/>
        </w:rPr>
        <w:t>四、开标和评标</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1．开标</w:t>
      </w:r>
    </w:p>
    <w:p>
      <w:pPr>
        <w:snapToGrid w:val="0"/>
        <w:spacing w:line="480" w:lineRule="exact"/>
        <w:jc w:val="left"/>
        <w:rPr>
          <w:rFonts w:ascii="仿宋_GB2312" w:hAnsi="宋体" w:eastAsia="仿宋_GB2312"/>
          <w:sz w:val="24"/>
        </w:rPr>
      </w:pPr>
      <w:r>
        <w:rPr>
          <w:rFonts w:hint="eastAsia" w:ascii="仿宋_GB2312" w:hAnsi="宋体" w:eastAsia="仿宋_GB2312"/>
          <w:sz w:val="24"/>
        </w:rPr>
        <w:t>1.1 投标人的法定代表人或其授权代表不再参加现场开标会议。（招标代理机构将对本次招投标活动全程录音录像）</w:t>
      </w:r>
    </w:p>
    <w:p>
      <w:pPr>
        <w:snapToGrid w:val="0"/>
        <w:spacing w:line="480" w:lineRule="exact"/>
        <w:jc w:val="left"/>
        <w:rPr>
          <w:rFonts w:ascii="仿宋_GB2312" w:hAnsi="宋体" w:eastAsia="仿宋_GB2312"/>
          <w:sz w:val="24"/>
        </w:rPr>
      </w:pPr>
      <w:r>
        <w:rPr>
          <w:rFonts w:hint="eastAsia" w:ascii="仿宋_GB2312" w:hAnsi="宋体" w:eastAsia="仿宋_GB2312"/>
          <w:sz w:val="24"/>
        </w:rPr>
        <w:t>2.开标会由招标代理机构主持。</w:t>
      </w:r>
    </w:p>
    <w:p>
      <w:pPr>
        <w:snapToGrid w:val="0"/>
        <w:spacing w:line="480" w:lineRule="exact"/>
        <w:jc w:val="left"/>
        <w:rPr>
          <w:rFonts w:ascii="仿宋_GB2312" w:hAnsi="宋体" w:eastAsia="仿宋_GB2312"/>
          <w:sz w:val="24"/>
        </w:rPr>
      </w:pPr>
      <w:r>
        <w:rPr>
          <w:rFonts w:hint="eastAsia" w:ascii="仿宋_GB2312" w:hAnsi="宋体" w:eastAsia="仿宋_GB2312"/>
          <w:sz w:val="24"/>
        </w:rPr>
        <w:t>3.开标全过程由采购单位派遣监督人员现场监督。</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4.电子招投标开标及评审程序</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4.1投标截止时间后，投标人登录政采云平台，用“项目采购-开标评标”功能对电子投标文件进行远程在线解密。在线解密电子投标文件时间为开标时间起30分钟内。</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4.2评标委员会对资格证明文件进行评审；</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4.3评标委员会对通过资格证明的供应商投标文件符合性进行评审；</w:t>
      </w:r>
    </w:p>
    <w:p>
      <w:pPr>
        <w:snapToGrid w:val="0"/>
        <w:spacing w:line="480" w:lineRule="exact"/>
        <w:jc w:val="left"/>
        <w:rPr>
          <w:rFonts w:ascii="仿宋_GB2312" w:hAnsi="宋体" w:eastAsia="仿宋_GB2312"/>
          <w:b/>
          <w:color w:val="FF0000"/>
          <w:sz w:val="24"/>
        </w:rPr>
      </w:pPr>
      <w:r>
        <w:rPr>
          <w:rFonts w:hint="eastAsia" w:ascii="仿宋_GB2312" w:hAnsi="宋体" w:eastAsia="仿宋_GB2312"/>
          <w:b/>
          <w:sz w:val="24"/>
        </w:rPr>
        <w:t>4.4评标委员会对通过资格证明和投标文件符合性的供应商商务技术文件进行评审；</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4.5评标委员会对报价情况进行评审；</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4.6评标委员会出具评标报告，推荐中标候选人。</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特别说明：政采云公司如对电子化开标及评审程序有调整的，按调整后的程序操作。</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4．开标大会程序</w:t>
      </w:r>
    </w:p>
    <w:p>
      <w:pPr>
        <w:snapToGrid w:val="0"/>
        <w:spacing w:line="480" w:lineRule="exact"/>
        <w:jc w:val="left"/>
        <w:rPr>
          <w:rFonts w:ascii="仿宋_GB2312" w:hAnsi="宋体" w:eastAsia="仿宋_GB2312"/>
          <w:sz w:val="24"/>
        </w:rPr>
      </w:pPr>
      <w:r>
        <w:rPr>
          <w:rFonts w:hint="eastAsia" w:ascii="仿宋_GB2312" w:hAnsi="宋体" w:eastAsia="仿宋_GB2312"/>
          <w:sz w:val="24"/>
        </w:rPr>
        <w:t>4.1开标由招标代理机构主持。</w:t>
      </w:r>
    </w:p>
    <w:p>
      <w:pPr>
        <w:snapToGrid w:val="0"/>
        <w:spacing w:line="480" w:lineRule="exact"/>
        <w:jc w:val="left"/>
        <w:rPr>
          <w:rFonts w:ascii="仿宋_GB2312" w:hAnsi="宋体" w:eastAsia="仿宋_GB2312"/>
          <w:sz w:val="24"/>
        </w:rPr>
      </w:pPr>
      <w:r>
        <w:rPr>
          <w:rFonts w:hint="eastAsia" w:ascii="仿宋_GB2312" w:hAnsi="宋体" w:eastAsia="仿宋_GB2312"/>
          <w:sz w:val="24"/>
        </w:rPr>
        <w:t>4.2招标代理机构根据投标文件的接收情况，宣读参加本次开标会的投标人。</w:t>
      </w:r>
    </w:p>
    <w:p>
      <w:pPr>
        <w:snapToGrid w:val="0"/>
        <w:spacing w:line="480" w:lineRule="exact"/>
        <w:jc w:val="left"/>
        <w:rPr>
          <w:rFonts w:ascii="仿宋_GB2312" w:hAnsi="宋体" w:eastAsia="仿宋_GB2312"/>
          <w:sz w:val="24"/>
        </w:rPr>
      </w:pPr>
      <w:r>
        <w:rPr>
          <w:rFonts w:hint="eastAsia" w:ascii="仿宋_GB2312" w:hAnsi="宋体" w:eastAsia="仿宋_GB2312"/>
          <w:sz w:val="24"/>
        </w:rPr>
        <w:t>4.3由招标人现场监督人员检查纸质备份投标文件的密封情况。</w:t>
      </w:r>
    </w:p>
    <w:p>
      <w:pPr>
        <w:snapToGrid w:val="0"/>
        <w:spacing w:line="480" w:lineRule="exact"/>
        <w:jc w:val="left"/>
        <w:rPr>
          <w:rFonts w:ascii="仿宋_GB2312" w:hAnsi="宋体" w:eastAsia="仿宋_GB2312"/>
          <w:sz w:val="24"/>
        </w:rPr>
      </w:pPr>
      <w:r>
        <w:rPr>
          <w:rFonts w:hint="eastAsia" w:ascii="仿宋_GB2312" w:hAnsi="宋体" w:eastAsia="仿宋_GB2312"/>
          <w:sz w:val="24"/>
        </w:rPr>
        <w:t>4.4启封资信商务技术文件，评标委员会对该文件进行评审。</w:t>
      </w:r>
    </w:p>
    <w:p>
      <w:pPr>
        <w:snapToGrid w:val="0"/>
        <w:spacing w:line="480" w:lineRule="exact"/>
        <w:jc w:val="left"/>
        <w:rPr>
          <w:rFonts w:ascii="仿宋_GB2312" w:eastAsia="仿宋_GB2312"/>
          <w:sz w:val="24"/>
        </w:rPr>
      </w:pPr>
      <w:r>
        <w:rPr>
          <w:rFonts w:hint="eastAsia" w:ascii="仿宋_GB2312" w:hAnsi="宋体" w:eastAsia="仿宋_GB2312"/>
          <w:sz w:val="24"/>
        </w:rPr>
        <w:t>4.5主持人宣布技术得分（如有）及</w:t>
      </w:r>
      <w:r>
        <w:rPr>
          <w:rFonts w:hint="eastAsia" w:ascii="仿宋_GB2312" w:eastAsia="仿宋_GB2312"/>
          <w:sz w:val="24"/>
        </w:rPr>
        <w:t>无效（废）投标情形</w:t>
      </w:r>
      <w:r>
        <w:rPr>
          <w:rFonts w:hint="eastAsia" w:ascii="仿宋_GB2312" w:hAnsi="Arial" w:eastAsia="仿宋_GB2312" w:cs="Arial"/>
          <w:sz w:val="24"/>
        </w:rPr>
        <w:t>；公布经技术评审符合采购需求的投标人名单及其商务技术得分。</w:t>
      </w:r>
    </w:p>
    <w:p>
      <w:pPr>
        <w:snapToGrid w:val="0"/>
        <w:spacing w:line="480" w:lineRule="exact"/>
        <w:jc w:val="left"/>
        <w:rPr>
          <w:rFonts w:ascii="仿宋_GB2312" w:hAnsi="宋体" w:eastAsia="仿宋_GB2312"/>
          <w:sz w:val="24"/>
        </w:rPr>
      </w:pPr>
      <w:r>
        <w:rPr>
          <w:rFonts w:hint="eastAsia" w:ascii="仿宋_GB2312" w:eastAsia="仿宋_GB2312"/>
          <w:sz w:val="24"/>
        </w:rPr>
        <w:t>4.6</w:t>
      </w:r>
      <w:r>
        <w:rPr>
          <w:rFonts w:hint="eastAsia" w:ascii="仿宋_GB2312" w:hAnsi="宋体" w:eastAsia="仿宋_GB2312"/>
          <w:sz w:val="24"/>
        </w:rPr>
        <w:t>启封报价文件，由唱读人当众宣读投标人名称、投标价格和投标文件的其他内容。</w:t>
      </w:r>
    </w:p>
    <w:p>
      <w:pPr>
        <w:snapToGrid w:val="0"/>
        <w:spacing w:line="480" w:lineRule="exact"/>
        <w:jc w:val="left"/>
        <w:rPr>
          <w:rFonts w:ascii="仿宋_GB2312" w:hAnsi="宋体" w:eastAsia="仿宋_GB2312"/>
          <w:sz w:val="24"/>
        </w:rPr>
      </w:pPr>
      <w:r>
        <w:rPr>
          <w:rFonts w:hint="eastAsia" w:ascii="仿宋_GB2312" w:hAnsi="宋体" w:eastAsia="仿宋_GB2312"/>
          <w:sz w:val="24"/>
        </w:rPr>
        <w:t>4.7唱读结束后，招标人监督人员和招标代理机构工作人员对唱读的内容和记录结果进行校核和签字确认。</w:t>
      </w:r>
    </w:p>
    <w:p>
      <w:pPr>
        <w:snapToGrid w:val="0"/>
        <w:spacing w:line="480" w:lineRule="exact"/>
        <w:jc w:val="left"/>
        <w:rPr>
          <w:rFonts w:ascii="仿宋_GB2312" w:hAnsi="宋体" w:eastAsia="仿宋_GB2312"/>
          <w:sz w:val="24"/>
        </w:rPr>
      </w:pPr>
      <w:r>
        <w:rPr>
          <w:rFonts w:hint="eastAsia" w:ascii="仿宋_GB2312" w:hAnsi="宋体" w:eastAsia="仿宋_GB2312"/>
          <w:sz w:val="24"/>
        </w:rPr>
        <w:t>4.8评标委员会对报价文件进行评审，核准报价及计算报价得分，汇总技术得分、报价得分，根据总得分排序确定中标候选人。</w:t>
      </w:r>
    </w:p>
    <w:p>
      <w:pPr>
        <w:snapToGrid w:val="0"/>
        <w:spacing w:line="480" w:lineRule="exact"/>
        <w:jc w:val="left"/>
        <w:rPr>
          <w:rFonts w:ascii="仿宋_GB2312" w:hAnsi="宋体" w:eastAsia="仿宋_GB2312"/>
          <w:sz w:val="24"/>
        </w:rPr>
      </w:pPr>
      <w:r>
        <w:rPr>
          <w:rFonts w:hint="eastAsia" w:ascii="仿宋_GB2312" w:hAnsi="宋体" w:eastAsia="仿宋_GB2312"/>
          <w:sz w:val="24"/>
        </w:rPr>
        <w:t>4.9公布评标结果。</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4.10本项目原则上采用政采云电子招投标开标及评审程序，但有下情形之一的，按以下情况处理：</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4.10.1若因政采云平台原因无法读取或电子开评标无法正常进行，新昌县致信工程咨询有限公司将开启所有投标人递交的纸质备份投标文件，以完成开标，电子投标文件自动失效。</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4.10.3采购过程中出现以下情形，导致电子交易平台无法正常运行，或者无法保证电子交易的公平、公正和安全时，采购组织机构可中止电子交易活动：</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 xml:space="preserve">4.10.3.1电子交易平台发生故障而无法登录访问的； </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4.10.3.2电子交易平台应用或数据库出现错误，不能进行正常操作的；</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4.10.3.3电子交易平台发现严重安全漏洞，有潜在泄密危险的；</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 xml:space="preserve">4.10.3.4病毒发作导致不能进行正常操作的； </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4.10.3.5其他无法保证电子交易的公平、公正和安全的情况。</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 xml:space="preserve">    出现前款规定情形，不影响采购公平、公正性的，采购组织机构可以待上述情形消除后继续组织电子交易活动，也可以决定某些环节以纸质形式进行。</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5．评标</w:t>
      </w:r>
    </w:p>
    <w:p>
      <w:pPr>
        <w:spacing w:line="480" w:lineRule="exact"/>
        <w:jc w:val="left"/>
        <w:rPr>
          <w:rFonts w:ascii="仿宋_GB2312" w:hAnsi="宋体" w:eastAsia="仿宋_GB2312" w:cs="宋体"/>
          <w:sz w:val="24"/>
        </w:rPr>
      </w:pPr>
      <w:r>
        <w:rPr>
          <w:rFonts w:hint="eastAsia" w:ascii="仿宋_GB2312" w:hAnsi="宋体" w:eastAsia="仿宋_GB2312"/>
          <w:sz w:val="24"/>
        </w:rPr>
        <w:t>5.1</w:t>
      </w:r>
      <w:r>
        <w:rPr>
          <w:rFonts w:hint="eastAsia" w:ascii="仿宋_GB2312" w:hAnsi="宋体" w:eastAsia="仿宋_GB2312" w:cs="宋体"/>
          <w:sz w:val="24"/>
        </w:rPr>
        <w:t>评标委员会由招标采购单位依法组建，负责评标活动。评标委员会遵循公开、公平、公正、科学合理、竞争择优的原则。</w:t>
      </w:r>
    </w:p>
    <w:p>
      <w:pPr>
        <w:spacing w:line="480" w:lineRule="exact"/>
        <w:jc w:val="left"/>
        <w:rPr>
          <w:rFonts w:ascii="仿宋_GB2312" w:hAnsi="宋体" w:eastAsia="仿宋_GB2312" w:cs="宋体"/>
          <w:sz w:val="24"/>
        </w:rPr>
      </w:pPr>
      <w:r>
        <w:rPr>
          <w:rFonts w:hint="eastAsia" w:ascii="仿宋_GB2312" w:hAnsi="宋体" w:eastAsia="仿宋_GB2312" w:cs="宋体"/>
          <w:sz w:val="24"/>
        </w:rPr>
        <w:t>5.2评标委员会由采购人代表和有关方面的专家组成，成员人数为五人以上单数。</w:t>
      </w:r>
    </w:p>
    <w:p>
      <w:pPr>
        <w:spacing w:line="480" w:lineRule="exact"/>
        <w:jc w:val="left"/>
        <w:rPr>
          <w:rFonts w:ascii="仿宋_GB2312" w:hAnsi="宋体" w:eastAsia="仿宋_GB2312" w:cs="宋体"/>
          <w:sz w:val="24"/>
        </w:rPr>
      </w:pPr>
      <w:r>
        <w:rPr>
          <w:rFonts w:hint="eastAsia" w:ascii="仿宋_GB2312" w:hAnsi="宋体" w:eastAsia="仿宋_GB2312" w:cs="宋体"/>
          <w:sz w:val="24"/>
        </w:rPr>
        <w:t>5.3评标委员会负责对投标人资格的最终审定。</w:t>
      </w:r>
    </w:p>
    <w:p>
      <w:pPr>
        <w:spacing w:line="480" w:lineRule="exact"/>
        <w:jc w:val="left"/>
        <w:rPr>
          <w:rFonts w:ascii="仿宋_GB2312" w:hAnsi="宋体" w:eastAsia="仿宋_GB2312"/>
          <w:sz w:val="24"/>
        </w:rPr>
      </w:pPr>
      <w:r>
        <w:rPr>
          <w:rFonts w:hint="eastAsia" w:ascii="仿宋_GB2312" w:hAnsi="宋体" w:eastAsia="仿宋_GB2312"/>
          <w:sz w:val="24"/>
        </w:rPr>
        <w:t>5.4评标委员会可以要求投标人对其投标文件中含义不明确的内容作必要的澄清或者说明，但澄清或者说明不得超过投标文件的范围或者改变投标文件的实质性内容。</w:t>
      </w:r>
    </w:p>
    <w:p>
      <w:pPr>
        <w:spacing w:line="480" w:lineRule="exact"/>
        <w:ind w:firstLine="480" w:firstLineChars="200"/>
        <w:jc w:val="left"/>
        <w:rPr>
          <w:rFonts w:ascii="仿宋_GB2312" w:hAnsi="宋体" w:eastAsia="仿宋_GB2312"/>
          <w:sz w:val="24"/>
        </w:rPr>
      </w:pPr>
      <w:r>
        <w:rPr>
          <w:rFonts w:hint="eastAsia" w:ascii="仿宋_GB2312" w:hAnsi="宋体" w:eastAsia="仿宋_GB2312"/>
          <w:sz w:val="24"/>
        </w:rPr>
        <w:t>评审中需要供应商对投标、响应文件作出澄清、说明或者补正的，评标委员会和供应商应当通过电子交易平台交换数据电文。给予供应商提交澄清说明或补正的时间不少于半小时，供应商已经明确表示澄清说明或补正完毕的除外。</w:t>
      </w:r>
    </w:p>
    <w:p>
      <w:pPr>
        <w:pStyle w:val="17"/>
        <w:ind w:firstLine="482" w:firstLineChars="200"/>
        <w:rPr>
          <w:b/>
          <w:bCs/>
        </w:rPr>
      </w:pPr>
      <w:r>
        <w:rPr>
          <w:rFonts w:hint="eastAsia" w:ascii="仿宋_GB2312" w:hAnsi="宋体"/>
          <w:b/>
          <w:bCs/>
          <w:sz w:val="24"/>
        </w:rPr>
        <w:t>纸质备份投标文件评审过程中需要供应商对投标、响应文件作出澄清、说明或者补正的，评标委员会将通过电话询问方式进行，联系电话以纸质备份投标文件中法定代表人身份证明书或授权委托书中注明的联系方式为准，如询问时联系不上，由此产生的不利情况由供应商自行负责。</w:t>
      </w:r>
    </w:p>
    <w:p>
      <w:pPr>
        <w:widowControl/>
        <w:snapToGrid w:val="0"/>
        <w:spacing w:line="480" w:lineRule="exact"/>
        <w:rPr>
          <w:rFonts w:ascii="仿宋_GB2312" w:hAnsi="宋体" w:eastAsia="仿宋_GB2312"/>
          <w:kern w:val="0"/>
          <w:sz w:val="24"/>
        </w:rPr>
      </w:pPr>
      <w:r>
        <w:rPr>
          <w:rFonts w:hint="eastAsia" w:ascii="仿宋_GB2312" w:hAnsi="宋体" w:eastAsia="仿宋_GB2312"/>
          <w:kern w:val="0"/>
          <w:sz w:val="24"/>
        </w:rPr>
        <w:t>5.5</w:t>
      </w:r>
      <w:r>
        <w:rPr>
          <w:rFonts w:hint="eastAsia" w:ascii="仿宋_GB2312" w:hAnsi="宋体" w:eastAsia="仿宋_GB2312"/>
          <w:sz w:val="24"/>
        </w:rPr>
        <w:t>评标委员会</w:t>
      </w:r>
      <w:r>
        <w:rPr>
          <w:rFonts w:hint="eastAsia" w:ascii="仿宋_GB2312" w:hAnsi="宋体" w:eastAsia="仿宋_GB2312"/>
          <w:kern w:val="0"/>
          <w:sz w:val="24"/>
        </w:rPr>
        <w:t>对投标文件的判定，只依据投标文件和招标文件内容本身，不依据任何外来证明。</w:t>
      </w:r>
    </w:p>
    <w:p>
      <w:pPr>
        <w:widowControl/>
        <w:snapToGrid w:val="0"/>
        <w:spacing w:line="480" w:lineRule="exact"/>
        <w:rPr>
          <w:rFonts w:ascii="仿宋_GB2312" w:hAnsi="宋体" w:eastAsia="仿宋_GB2312"/>
          <w:kern w:val="0"/>
          <w:sz w:val="24"/>
        </w:rPr>
      </w:pPr>
      <w:r>
        <w:rPr>
          <w:rFonts w:hint="eastAsia" w:ascii="仿宋_GB2312" w:hAnsi="宋体" w:eastAsia="仿宋_GB2312" w:cs="宋体"/>
          <w:sz w:val="24"/>
        </w:rPr>
        <w:t>5.6评标委员会不向落标方解释落标的原因，不退还投标文件。</w:t>
      </w:r>
    </w:p>
    <w:p>
      <w:pPr>
        <w:snapToGrid w:val="0"/>
        <w:spacing w:line="480" w:lineRule="exact"/>
        <w:jc w:val="left"/>
        <w:rPr>
          <w:rFonts w:ascii="仿宋_GB2312" w:hAnsi="宋体" w:eastAsia="仿宋_GB2312"/>
          <w:b/>
          <w:sz w:val="24"/>
        </w:rPr>
      </w:pPr>
      <w:r>
        <w:rPr>
          <w:rFonts w:hint="eastAsia" w:ascii="仿宋_GB2312" w:hAnsi="宋体" w:eastAsia="仿宋_GB2312"/>
          <w:b/>
          <w:sz w:val="24"/>
        </w:rPr>
        <w:t>6．投标文件的初审鉴定</w:t>
      </w:r>
    </w:p>
    <w:p>
      <w:pPr>
        <w:snapToGrid w:val="0"/>
        <w:spacing w:line="480" w:lineRule="exact"/>
        <w:jc w:val="left"/>
        <w:rPr>
          <w:rFonts w:ascii="仿宋_GB2312" w:hAnsi="宋体" w:eastAsia="仿宋_GB2312"/>
          <w:sz w:val="24"/>
        </w:rPr>
      </w:pPr>
      <w:r>
        <w:rPr>
          <w:rFonts w:hint="eastAsia" w:ascii="仿宋_GB2312" w:hAnsi="宋体" w:eastAsia="仿宋_GB2312"/>
          <w:sz w:val="24"/>
        </w:rPr>
        <w:t>6.1资格性审查</w:t>
      </w:r>
    </w:p>
    <w:p>
      <w:pPr>
        <w:snapToGrid w:val="0"/>
        <w:spacing w:line="480" w:lineRule="exact"/>
        <w:jc w:val="left"/>
        <w:rPr>
          <w:rFonts w:ascii="仿宋_GB2312" w:hAnsi="宋体" w:eastAsia="仿宋_GB2312"/>
          <w:sz w:val="24"/>
        </w:rPr>
      </w:pPr>
      <w:r>
        <w:rPr>
          <w:rFonts w:hint="eastAsia" w:ascii="仿宋_GB2312" w:hAnsi="宋体" w:eastAsia="仿宋_GB2312"/>
          <w:sz w:val="24"/>
        </w:rPr>
        <w:t>6.1.1依据法律、法规和招标文件规定，评审小组对投标人进行资格审查，以确定投标人是否具备投标资格。</w:t>
      </w:r>
    </w:p>
    <w:p>
      <w:pPr>
        <w:spacing w:line="480" w:lineRule="exact"/>
        <w:jc w:val="left"/>
        <w:rPr>
          <w:rFonts w:ascii="仿宋_GB2312" w:hAnsi="宋体" w:eastAsia="仿宋_GB2312" w:cs="宋体"/>
          <w:sz w:val="24"/>
        </w:rPr>
      </w:pPr>
      <w:r>
        <w:rPr>
          <w:rFonts w:hint="eastAsia" w:ascii="仿宋_GB2312" w:hAnsi="宋体" w:eastAsia="仿宋_GB2312" w:cs="宋体"/>
          <w:sz w:val="24"/>
        </w:rPr>
        <w:t>6.2符合性审查</w:t>
      </w:r>
    </w:p>
    <w:p>
      <w:pPr>
        <w:spacing w:line="480" w:lineRule="exact"/>
        <w:jc w:val="left"/>
        <w:rPr>
          <w:rFonts w:ascii="仿宋_GB2312" w:hAnsi="宋体" w:eastAsia="仿宋_GB2312" w:cs="宋体"/>
          <w:sz w:val="24"/>
        </w:rPr>
      </w:pPr>
      <w:r>
        <w:rPr>
          <w:rFonts w:hint="eastAsia" w:ascii="仿宋_GB2312" w:hAnsi="宋体" w:eastAsia="仿宋_GB2312" w:cs="宋体"/>
          <w:sz w:val="24"/>
        </w:rPr>
        <w:t>6.2.1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w:t>
      </w:r>
      <w:r>
        <w:rPr>
          <w:rFonts w:hint="eastAsia" w:ascii="仿宋_GB2312" w:hAnsi="仿宋_GB2312" w:eastAsia="仿宋_GB2312" w:cs="仿宋_GB2312"/>
          <w:sz w:val="24"/>
        </w:rPr>
        <w:t>评标委员会决定投标文件的响应性只根据投标文件本身的内容，而不寻求外部证据。</w:t>
      </w:r>
    </w:p>
    <w:p>
      <w:pPr>
        <w:spacing w:line="480" w:lineRule="exact"/>
        <w:jc w:val="left"/>
        <w:rPr>
          <w:rFonts w:ascii="仿宋_GB2312" w:hAnsi="宋体" w:eastAsia="仿宋_GB2312" w:cs="宋体"/>
          <w:sz w:val="24"/>
        </w:rPr>
      </w:pPr>
      <w:r>
        <w:rPr>
          <w:rFonts w:hint="eastAsia" w:ascii="仿宋_GB2312" w:hAnsi="宋体" w:eastAsia="仿宋_GB2312" w:cs="宋体"/>
          <w:sz w:val="24"/>
        </w:rPr>
        <w:t>6.3如果投标文件实质不响应招标文件的各项要求，评标委员会将予以拒绝，并且不允许投标人通过修改或撤销其不符合要求的差异或保留，使之成为具有实质性响应的投标。</w:t>
      </w:r>
    </w:p>
    <w:p>
      <w:pPr>
        <w:spacing w:line="480" w:lineRule="exact"/>
        <w:jc w:val="left"/>
        <w:rPr>
          <w:rFonts w:ascii="仿宋_GB2312" w:hAnsi="宋体" w:eastAsia="仿宋_GB2312" w:cs="宋体"/>
          <w:b/>
          <w:sz w:val="24"/>
        </w:rPr>
      </w:pPr>
      <w:r>
        <w:rPr>
          <w:rFonts w:hint="eastAsia" w:ascii="仿宋_GB2312" w:hAnsi="宋体" w:eastAsia="仿宋_GB2312"/>
          <w:b/>
          <w:kern w:val="0"/>
          <w:sz w:val="24"/>
        </w:rPr>
        <w:t xml:space="preserve">7. </w:t>
      </w:r>
      <w:r>
        <w:rPr>
          <w:rFonts w:hint="eastAsia" w:ascii="仿宋_GB2312" w:hAnsi="宋体" w:eastAsia="仿宋_GB2312" w:cs="宋体"/>
          <w:b/>
          <w:sz w:val="24"/>
        </w:rPr>
        <w:t>投标文件报价出现前后不一致的，按照下列规定修正：</w:t>
      </w:r>
    </w:p>
    <w:p>
      <w:pPr>
        <w:spacing w:line="440" w:lineRule="exact"/>
        <w:jc w:val="left"/>
        <w:rPr>
          <w:rFonts w:ascii="仿宋_GB2312" w:hAnsi="宋体" w:eastAsia="仿宋_GB2312" w:cs="宋体"/>
          <w:sz w:val="24"/>
        </w:rPr>
      </w:pPr>
      <w:r>
        <w:rPr>
          <w:rFonts w:hint="eastAsia" w:ascii="仿宋_GB2312" w:hAnsi="宋体" w:eastAsia="仿宋_GB2312" w:cs="宋体"/>
          <w:sz w:val="24"/>
        </w:rPr>
        <w:t>7.1投标文件中开标一览表（报价表）内容与投标文件中相应内容不一致的，以开标一览表（报价表）为准；</w:t>
      </w:r>
    </w:p>
    <w:p>
      <w:pPr>
        <w:spacing w:line="440" w:lineRule="exact"/>
        <w:jc w:val="left"/>
        <w:rPr>
          <w:rFonts w:ascii="仿宋_GB2312" w:hAnsi="宋体" w:eastAsia="仿宋_GB2312" w:cs="宋体"/>
          <w:sz w:val="24"/>
        </w:rPr>
      </w:pPr>
      <w:r>
        <w:rPr>
          <w:rFonts w:hint="eastAsia" w:ascii="仿宋_GB2312" w:hAnsi="宋体" w:eastAsia="仿宋_GB2312" w:cs="宋体"/>
          <w:sz w:val="24"/>
        </w:rPr>
        <w:t>7.2大写金额和小写金额不一致的，以大写金额为准；</w:t>
      </w:r>
    </w:p>
    <w:p>
      <w:pPr>
        <w:spacing w:line="440" w:lineRule="exact"/>
        <w:jc w:val="left"/>
        <w:rPr>
          <w:rFonts w:ascii="仿宋_GB2312" w:hAnsi="宋体" w:eastAsia="仿宋_GB2312" w:cs="宋体"/>
          <w:sz w:val="24"/>
        </w:rPr>
      </w:pPr>
      <w:r>
        <w:rPr>
          <w:rFonts w:hint="eastAsia" w:ascii="仿宋_GB2312" w:hAnsi="宋体" w:eastAsia="仿宋_GB2312" w:cs="宋体"/>
          <w:sz w:val="24"/>
        </w:rPr>
        <w:t>7.3单价金额小数点或者百分比有明显错位的，以开标一览表的总价为准，并修改单价；</w:t>
      </w:r>
    </w:p>
    <w:p>
      <w:pPr>
        <w:spacing w:line="440" w:lineRule="exact"/>
        <w:jc w:val="left"/>
        <w:rPr>
          <w:rFonts w:ascii="仿宋_GB2312" w:hAnsi="宋体" w:eastAsia="仿宋_GB2312" w:cs="宋体"/>
          <w:sz w:val="24"/>
        </w:rPr>
      </w:pPr>
      <w:r>
        <w:rPr>
          <w:rFonts w:hint="eastAsia" w:ascii="仿宋_GB2312" w:hAnsi="宋体" w:eastAsia="仿宋_GB2312" w:cs="宋体"/>
          <w:sz w:val="24"/>
        </w:rPr>
        <w:t>7.4总价金额与按单价汇总金额不一致的，以单价金额计算结果为准。</w:t>
      </w:r>
    </w:p>
    <w:p>
      <w:pPr>
        <w:spacing w:line="440" w:lineRule="exact"/>
        <w:ind w:firstLine="480"/>
        <w:jc w:val="left"/>
        <w:rPr>
          <w:rFonts w:ascii="仿宋_GB2312" w:hAnsi="宋体" w:eastAsia="仿宋_GB2312" w:cs="宋体"/>
          <w:sz w:val="24"/>
        </w:rPr>
      </w:pPr>
      <w:r>
        <w:rPr>
          <w:rFonts w:hint="eastAsia" w:ascii="仿宋_GB2312" w:hAnsi="宋体" w:eastAsia="仿宋_GB2312" w:cs="宋体"/>
          <w:sz w:val="24"/>
        </w:rPr>
        <w:t>同时出现两种以上不一致的，按照前款规定的顺序修正。</w:t>
      </w:r>
      <w:r>
        <w:rPr>
          <w:rFonts w:hint="eastAsia" w:ascii="仿宋_GB2312" w:hAnsi="仿宋_GB2312" w:eastAsia="仿宋_GB2312" w:cs="仿宋_GB2312"/>
          <w:bCs/>
          <w:sz w:val="24"/>
        </w:rPr>
        <w:t>修正后的报价按照财政部公布第87号令 《政府采购货物和服务招标投标管理办法》</w:t>
      </w:r>
      <w:r>
        <w:rPr>
          <w:rFonts w:hint="eastAsia" w:ascii="仿宋_GB2312" w:hAnsi="宋体" w:eastAsia="仿宋_GB2312" w:cs="宋体"/>
          <w:sz w:val="24"/>
        </w:rPr>
        <w:t>第五十一条第二款的规定经投标人确认后产生约束力，投标人不确认的，其投标无效。</w:t>
      </w:r>
    </w:p>
    <w:p>
      <w:pPr>
        <w:spacing w:line="440" w:lineRule="exact"/>
        <w:jc w:val="left"/>
        <w:rPr>
          <w:rFonts w:ascii="仿宋_GB2312" w:hAnsi="宋体" w:eastAsia="仿宋_GB2312" w:cs="宋体"/>
          <w:b/>
          <w:sz w:val="24"/>
        </w:rPr>
      </w:pPr>
      <w:r>
        <w:rPr>
          <w:rFonts w:hint="eastAsia" w:ascii="仿宋_GB2312" w:hAnsi="宋体" w:eastAsia="仿宋_GB2312" w:cs="宋体"/>
          <w:b/>
          <w:sz w:val="24"/>
        </w:rPr>
        <w:t>8.投标文件的评审、比较和否决</w:t>
      </w:r>
    </w:p>
    <w:p>
      <w:pPr>
        <w:spacing w:line="480" w:lineRule="exact"/>
        <w:jc w:val="left"/>
        <w:rPr>
          <w:rFonts w:ascii="仿宋_GB2312" w:hAnsi="宋体" w:eastAsia="仿宋_GB2312" w:cs="宋体"/>
          <w:sz w:val="24"/>
        </w:rPr>
      </w:pPr>
      <w:r>
        <w:rPr>
          <w:rFonts w:hint="eastAsia" w:ascii="仿宋_GB2312" w:hAnsi="宋体" w:eastAsia="仿宋_GB2312" w:cs="宋体"/>
          <w:sz w:val="24"/>
        </w:rPr>
        <w:t>8.1评标委员会将对在实质上响应招标文件要求的投标文件进行评估和比较。</w:t>
      </w:r>
    </w:p>
    <w:p>
      <w:pPr>
        <w:spacing w:line="480" w:lineRule="exact"/>
        <w:jc w:val="left"/>
        <w:rPr>
          <w:rFonts w:ascii="仿宋_GB2312" w:hAnsi="宋体" w:eastAsia="仿宋_GB2312" w:cs="宋体"/>
          <w:sz w:val="24"/>
        </w:rPr>
      </w:pPr>
      <w:r>
        <w:rPr>
          <w:rFonts w:hint="eastAsia" w:ascii="仿宋_GB2312" w:hAnsi="宋体" w:eastAsia="仿宋_GB2312" w:cs="宋体"/>
          <w:sz w:val="24"/>
        </w:rPr>
        <w:t>8.2在评审过程中，评标委员会可以书面形式要求投标人就投标文件含义不明确的内容进行书面说明并提供相关材料，但</w:t>
      </w:r>
      <w:r>
        <w:rPr>
          <w:rFonts w:hint="eastAsia" w:ascii="仿宋_GB2312" w:hAnsi="宋体" w:eastAsia="仿宋_GB2312"/>
          <w:sz w:val="24"/>
        </w:rPr>
        <w:t>不得超过投标文件的范围或者改变投标文件的实质性内容。</w:t>
      </w:r>
    </w:p>
    <w:p>
      <w:pPr>
        <w:spacing w:line="480" w:lineRule="exact"/>
        <w:jc w:val="left"/>
        <w:rPr>
          <w:rFonts w:ascii="仿宋_GB2312" w:hAnsi="宋体" w:eastAsia="仿宋_GB2312" w:cs="宋体"/>
          <w:sz w:val="24"/>
        </w:rPr>
      </w:pPr>
      <w:r>
        <w:rPr>
          <w:rFonts w:hint="eastAsia" w:ascii="仿宋_GB2312" w:hAnsi="宋体" w:eastAsia="仿宋_GB2312" w:cs="宋体"/>
          <w:sz w:val="24"/>
        </w:rPr>
        <w:t>8.3在评标过程中，如发现与招标文件要求相偏离的，评标委员会可对其偏离情形进行必要的核实。</w:t>
      </w:r>
    </w:p>
    <w:p>
      <w:pPr>
        <w:spacing w:line="480" w:lineRule="exact"/>
        <w:jc w:val="left"/>
        <w:rPr>
          <w:rFonts w:ascii="仿宋_GB2312" w:hAnsi="宋体" w:eastAsia="仿宋_GB2312" w:cs="宋体"/>
          <w:sz w:val="24"/>
        </w:rPr>
      </w:pPr>
      <w:r>
        <w:rPr>
          <w:rFonts w:hint="eastAsia" w:ascii="仿宋_GB2312" w:hAnsi="宋体" w:eastAsia="仿宋_GB2312" w:cs="宋体"/>
          <w:sz w:val="24"/>
        </w:rPr>
        <w:t>8.4在评审过程中，如属于实质性偏离或符合无效响应条件的，应当询问相关投标人，并可对其进行书面确认，但不允许对偏离条款进行补充、修正或撤回。</w:t>
      </w:r>
    </w:p>
    <w:p>
      <w:pPr>
        <w:spacing w:line="480" w:lineRule="exact"/>
        <w:jc w:val="left"/>
        <w:rPr>
          <w:rFonts w:ascii="仿宋_GB2312" w:hAnsi="宋体" w:eastAsia="仿宋_GB2312" w:cs="宋体"/>
          <w:sz w:val="24"/>
        </w:rPr>
      </w:pPr>
      <w:r>
        <w:rPr>
          <w:rFonts w:hint="eastAsia" w:ascii="仿宋_GB2312" w:hAnsi="宋体" w:eastAsia="仿宋_GB2312" w:cs="宋体"/>
          <w:sz w:val="24"/>
        </w:rPr>
        <w:t>8.5</w:t>
      </w:r>
      <w:r>
        <w:rPr>
          <w:rFonts w:ascii="仿宋_GB2312" w:hAnsi="宋体" w:eastAsia="仿宋_GB2312" w:cs="宋体"/>
          <w:sz w:val="24"/>
        </w:rPr>
        <w:t>比较与评价</w:t>
      </w:r>
      <w:r>
        <w:rPr>
          <w:rFonts w:hint="eastAsia" w:ascii="仿宋_GB2312" w:hAnsi="宋体" w:eastAsia="仿宋_GB2312" w:cs="宋体"/>
          <w:sz w:val="24"/>
        </w:rPr>
        <w:t>。评</w:t>
      </w:r>
      <w:r>
        <w:rPr>
          <w:rFonts w:ascii="仿宋_GB2312" w:hAnsi="宋体" w:eastAsia="仿宋_GB2312" w:cs="宋体"/>
          <w:sz w:val="24"/>
        </w:rPr>
        <w:t>标委员会应当按照评标标准，对符合性审查合格的投标文件进行</w:t>
      </w:r>
      <w:r>
        <w:rPr>
          <w:rFonts w:hint="eastAsia" w:ascii="仿宋_GB2312" w:hAnsi="宋体" w:eastAsia="仿宋_GB2312" w:cs="宋体"/>
          <w:sz w:val="24"/>
        </w:rPr>
        <w:t>商务和技术</w:t>
      </w:r>
      <w:r>
        <w:rPr>
          <w:rFonts w:ascii="仿宋_GB2312" w:hAnsi="宋体" w:eastAsia="仿宋_GB2312" w:cs="宋体"/>
          <w:sz w:val="24"/>
        </w:rPr>
        <w:t>评估，综合比较与评价。</w:t>
      </w:r>
    </w:p>
    <w:p>
      <w:pPr>
        <w:spacing w:line="480" w:lineRule="exact"/>
        <w:jc w:val="left"/>
        <w:rPr>
          <w:rFonts w:ascii="仿宋_GB2312" w:hAnsi="宋体" w:eastAsia="仿宋_GB2312" w:cs="宋体"/>
          <w:sz w:val="24"/>
        </w:rPr>
      </w:pPr>
      <w:r>
        <w:rPr>
          <w:rFonts w:hint="eastAsia" w:ascii="仿宋_GB2312" w:hAnsi="宋体" w:eastAsia="仿宋_GB2312" w:cs="宋体"/>
          <w:sz w:val="24"/>
        </w:rPr>
        <w:t>8.6</w:t>
      </w:r>
      <w:r>
        <w:rPr>
          <w:rFonts w:ascii="仿宋_GB2312" w:hAnsi="宋体" w:eastAsia="仿宋_GB2312" w:cs="宋体"/>
          <w:sz w:val="24"/>
        </w:rPr>
        <w:t>汇总</w:t>
      </w:r>
      <w:r>
        <w:rPr>
          <w:rFonts w:hint="eastAsia" w:ascii="仿宋_GB2312" w:hAnsi="宋体" w:eastAsia="仿宋_GB2312" w:cs="宋体"/>
          <w:sz w:val="24"/>
        </w:rPr>
        <w:t>（商务技术得分情况）。</w:t>
      </w:r>
      <w:r>
        <w:rPr>
          <w:rFonts w:ascii="仿宋_GB2312" w:hAnsi="宋体" w:eastAsia="仿宋_GB2312" w:cs="宋体"/>
          <w:sz w:val="24"/>
        </w:rPr>
        <w:t>评标委员会各成员应当独立对每个投标人的</w:t>
      </w:r>
      <w:r>
        <w:rPr>
          <w:rFonts w:hint="eastAsia" w:ascii="仿宋_GB2312" w:hAnsi="宋体" w:eastAsia="仿宋_GB2312" w:cs="宋体"/>
          <w:sz w:val="24"/>
        </w:rPr>
        <w:t>商务和技术</w:t>
      </w:r>
      <w:r>
        <w:rPr>
          <w:rFonts w:ascii="仿宋_GB2312" w:hAnsi="宋体" w:eastAsia="仿宋_GB2312" w:cs="宋体"/>
          <w:sz w:val="24"/>
        </w:rPr>
        <w:t>文件进行评价，并汇总</w:t>
      </w:r>
      <w:r>
        <w:rPr>
          <w:rFonts w:hint="eastAsia" w:ascii="仿宋_GB2312" w:hAnsi="宋体" w:eastAsia="仿宋_GB2312" w:cs="宋体"/>
          <w:sz w:val="24"/>
        </w:rPr>
        <w:t>商务技术得分情况</w:t>
      </w:r>
      <w:r>
        <w:rPr>
          <w:rFonts w:ascii="仿宋_GB2312" w:hAnsi="宋体" w:eastAsia="仿宋_GB2312" w:cs="宋体"/>
          <w:sz w:val="24"/>
        </w:rPr>
        <w:t>。</w:t>
      </w:r>
    </w:p>
    <w:p>
      <w:pPr>
        <w:spacing w:line="480" w:lineRule="exact"/>
        <w:jc w:val="left"/>
        <w:rPr>
          <w:rFonts w:ascii="仿宋_GB2312" w:hAnsi="宋体" w:eastAsia="仿宋_GB2312" w:cs="宋体"/>
          <w:sz w:val="24"/>
        </w:rPr>
      </w:pPr>
      <w:r>
        <w:rPr>
          <w:rFonts w:hint="eastAsia" w:ascii="仿宋_GB2312" w:hAnsi="宋体" w:eastAsia="仿宋_GB2312" w:cs="宋体"/>
          <w:sz w:val="24"/>
        </w:rPr>
        <w:t>8.7 报价审核。对经商务和技术评审符合采购需求的投标人的报价的合理性、准确性等进行审查核实。</w:t>
      </w:r>
    </w:p>
    <w:p>
      <w:pPr>
        <w:spacing w:line="480" w:lineRule="exact"/>
        <w:jc w:val="left"/>
        <w:rPr>
          <w:rFonts w:ascii="仿宋_GB2312" w:hAnsi="宋体" w:eastAsia="仿宋_GB2312" w:cs="宋体"/>
          <w:sz w:val="24"/>
        </w:rPr>
      </w:pPr>
      <w:r>
        <w:rPr>
          <w:rFonts w:hint="eastAsia" w:ascii="仿宋_GB2312" w:hAnsi="宋体" w:eastAsia="仿宋_GB2312" w:cs="宋体"/>
          <w:sz w:val="24"/>
        </w:rPr>
        <w:t>8.7.1评标委员会认为投标人的报价明显低于其他通过符合性审查投标人的报价，有可能影响产品质量或者不能诚信履约的，应当要求其在合理的时间（30分钟内）内提供书面说明，必要时提交相关证明材料。</w:t>
      </w:r>
    </w:p>
    <w:p>
      <w:pPr>
        <w:spacing w:line="480" w:lineRule="exact"/>
        <w:jc w:val="left"/>
        <w:rPr>
          <w:rFonts w:ascii="仿宋_GB2312" w:hAnsi="宋体" w:eastAsia="仿宋_GB2312" w:cs="宋体"/>
          <w:sz w:val="24"/>
        </w:rPr>
      </w:pPr>
      <w:r>
        <w:rPr>
          <w:rFonts w:hint="eastAsia" w:ascii="仿宋_GB2312" w:hAnsi="宋体" w:eastAsia="仿宋_GB2312" w:cs="宋体"/>
          <w:sz w:val="24"/>
        </w:rPr>
        <w:t>8.7.2根据财政部发布的《政府采购促进中小企业发展暂行办法》规定，对于非专门面向中小企业的项目，对小型和微型企业产品的价格给予一定的扣除，用扣除后的价格参与评审。</w:t>
      </w:r>
    </w:p>
    <w:p>
      <w:pPr>
        <w:spacing w:line="480" w:lineRule="exact"/>
        <w:jc w:val="left"/>
        <w:rPr>
          <w:rFonts w:ascii="仿宋_GB2312" w:hAnsi="宋体" w:eastAsia="仿宋_GB2312" w:cs="宋体"/>
          <w:sz w:val="24"/>
        </w:rPr>
      </w:pPr>
      <w:r>
        <w:rPr>
          <w:rFonts w:hint="eastAsia" w:ascii="仿宋_GB2312" w:hAnsi="宋体" w:eastAsia="仿宋_GB2312" w:cs="宋体"/>
          <w:sz w:val="24"/>
        </w:rPr>
        <w:t>8.7.3如需投标价格修正，按财政部87号令第五十九条的规定对投标价格进行修正。</w:t>
      </w:r>
    </w:p>
    <w:p>
      <w:pPr>
        <w:spacing w:line="480" w:lineRule="exact"/>
        <w:jc w:val="left"/>
        <w:rPr>
          <w:rFonts w:ascii="仿宋_GB2312" w:hAnsi="宋体" w:eastAsia="仿宋_GB2312" w:cs="宋体"/>
          <w:sz w:val="24"/>
        </w:rPr>
      </w:pPr>
      <w:r>
        <w:rPr>
          <w:rFonts w:hint="eastAsia" w:ascii="仿宋_GB2312" w:hAnsi="宋体" w:eastAsia="仿宋_GB2312" w:cs="宋体"/>
          <w:sz w:val="24"/>
        </w:rPr>
        <w:t>8.8评标委员会依据招标文件规定的评标标准和方法，对投标文件进行评审和比较，提供书面评标报告，并按得分高低排序推荐中标候选供应商。</w:t>
      </w:r>
    </w:p>
    <w:p>
      <w:pPr>
        <w:pStyle w:val="13"/>
        <w:tabs>
          <w:tab w:val="clear" w:pos="454"/>
        </w:tabs>
        <w:spacing w:afterLines="0" w:line="440" w:lineRule="exact"/>
        <w:ind w:left="0" w:firstLine="0"/>
        <w:rPr>
          <w:rFonts w:ascii="仿宋_GB2312" w:hAnsi="宋体" w:eastAsia="仿宋_GB2312"/>
          <w:b/>
        </w:rPr>
      </w:pPr>
      <w:r>
        <w:rPr>
          <w:rFonts w:hint="eastAsia" w:ascii="仿宋_GB2312" w:hAnsi="宋体" w:eastAsia="仿宋_GB2312"/>
          <w:b/>
        </w:rPr>
        <w:t>9.投标文件的澄清</w:t>
      </w:r>
    </w:p>
    <w:p>
      <w:pPr>
        <w:pStyle w:val="13"/>
        <w:tabs>
          <w:tab w:val="clear" w:pos="454"/>
        </w:tabs>
        <w:spacing w:afterLines="0" w:line="440" w:lineRule="exact"/>
        <w:ind w:left="0" w:firstLine="480" w:firstLineChars="200"/>
        <w:rPr>
          <w:rFonts w:ascii="仿宋_GB2312" w:hAnsi="宋体" w:eastAsia="仿宋_GB2312"/>
        </w:rPr>
      </w:pPr>
      <w:r>
        <w:rPr>
          <w:rFonts w:hint="eastAsia" w:ascii="仿宋_GB2312" w:hAnsi="仿宋_GB2312" w:eastAsia="仿宋_GB2312" w:cs="仿宋_GB2312"/>
          <w:szCs w:val="24"/>
        </w:rPr>
        <w:t>对投标文件中含义不明、表述不一致或有明显计算错误等内容，评标委员会将对投标人进行询标，并要求投标人作书面澄清；投标人的书面澄清，应由法定代表人或授权代表签字，作为投标文件的补充部分，但澄清的内容不得改变投标文件的实质性内容。</w:t>
      </w:r>
    </w:p>
    <w:p>
      <w:pPr>
        <w:pStyle w:val="22"/>
        <w:snapToGrid w:val="0"/>
        <w:spacing w:line="440" w:lineRule="exact"/>
        <w:jc w:val="left"/>
        <w:rPr>
          <w:rFonts w:ascii="仿宋_GB2312" w:hAnsi="宋体" w:eastAsia="仿宋_GB2312"/>
          <w:b/>
          <w:sz w:val="24"/>
          <w:szCs w:val="24"/>
        </w:rPr>
      </w:pPr>
      <w:r>
        <w:rPr>
          <w:rFonts w:hint="eastAsia" w:ascii="仿宋_GB2312" w:hAnsi="宋体" w:eastAsia="仿宋_GB2312"/>
          <w:b/>
          <w:sz w:val="24"/>
          <w:szCs w:val="24"/>
        </w:rPr>
        <w:t>10．无效投标的情形</w:t>
      </w:r>
    </w:p>
    <w:p>
      <w:pPr>
        <w:tabs>
          <w:tab w:val="left" w:pos="4085"/>
        </w:tabs>
        <w:snapToGrid w:val="0"/>
        <w:spacing w:line="440" w:lineRule="exact"/>
        <w:ind w:firstLine="480" w:firstLineChars="200"/>
        <w:jc w:val="left"/>
        <w:rPr>
          <w:rFonts w:ascii="仿宋_GB2312" w:hAnsi="宋体" w:eastAsia="仿宋_GB2312"/>
          <w:sz w:val="24"/>
        </w:rPr>
      </w:pPr>
      <w:r>
        <w:rPr>
          <w:rFonts w:hint="eastAsia" w:ascii="仿宋_GB2312" w:hAnsi="宋体" w:eastAsia="仿宋_GB2312"/>
          <w:sz w:val="24"/>
        </w:rPr>
        <w:t>投标文件有下列情形之一的作无效投标处理：</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10.1未按照招标文件规定要求密封封装、签署、盖章、装订、份数不足的；</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10.2单位负责人为同一人或者存在直接控股、管理关系的不同供应商参加同一合同项下的政府采购活动的（均无效）；</w:t>
      </w:r>
    </w:p>
    <w:p>
      <w:pPr>
        <w:snapToGrid w:val="0"/>
        <w:spacing w:line="440" w:lineRule="exact"/>
        <w:jc w:val="left"/>
        <w:rPr>
          <w:rFonts w:ascii="仿宋_GB2312" w:hAnsi="宋体" w:eastAsia="仿宋_GB2312"/>
          <w:b/>
          <w:sz w:val="24"/>
        </w:rPr>
      </w:pPr>
      <w:r>
        <w:rPr>
          <w:rFonts w:hint="eastAsia" w:ascii="仿宋_GB2312" w:hAnsi="宋体" w:eastAsia="仿宋_GB2312"/>
          <w:b/>
          <w:sz w:val="24"/>
        </w:rPr>
        <w:t>10.3投标人不具备招标文件中规定的资格要求的（投标人未提供有效的资格证明文件的，视为投标人不具备招标文件中规定的资格要求）；</w:t>
      </w:r>
    </w:p>
    <w:p>
      <w:pPr>
        <w:snapToGrid w:val="0"/>
        <w:spacing w:line="440" w:lineRule="exact"/>
        <w:jc w:val="left"/>
        <w:rPr>
          <w:rFonts w:ascii="仿宋_GB2312" w:hAnsi="宋体" w:eastAsia="仿宋_GB2312"/>
          <w:b/>
          <w:color w:val="0000FF"/>
          <w:sz w:val="24"/>
        </w:rPr>
      </w:pPr>
      <w:r>
        <w:rPr>
          <w:rFonts w:hint="eastAsia" w:ascii="仿宋_GB2312" w:hAnsi="宋体" w:eastAsia="仿宋_GB2312"/>
          <w:b/>
          <w:kern w:val="0"/>
          <w:sz w:val="24"/>
        </w:rPr>
        <w:t>10.4《法定代表人授权委托书》或《法定代表人身份证明书》填写不全、错误、未加盖公章(《法定代表人授权委托书》要求公章和签字或盖章缺一不可）；</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10.5投标文件中的投标函未加盖投标人的企业公章或填写不全的；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kern w:val="0"/>
          <w:sz w:val="24"/>
        </w:rPr>
        <w:t>10.6</w:t>
      </w:r>
      <w:r>
        <w:rPr>
          <w:rFonts w:hint="eastAsia" w:ascii="仿宋_GB2312" w:hAnsi="宋体" w:eastAsia="仿宋_GB2312"/>
          <w:b/>
          <w:sz w:val="24"/>
        </w:rPr>
        <w:t>投标人递交两份或两份以上内容不同的投标书，且未声明哪一份有效的；投标人仅提供纸质备份投标文件，未提交电子投标文件的；</w:t>
      </w:r>
    </w:p>
    <w:p>
      <w:pPr>
        <w:tabs>
          <w:tab w:val="left" w:pos="3870"/>
          <w:tab w:val="left" w:pos="4085"/>
        </w:tabs>
        <w:snapToGrid w:val="0"/>
        <w:spacing w:line="440" w:lineRule="exact"/>
        <w:jc w:val="left"/>
        <w:rPr>
          <w:rFonts w:ascii="仿宋_GB2312" w:hAnsi="宋体" w:eastAsia="仿宋_GB2312"/>
          <w:b/>
          <w:kern w:val="0"/>
          <w:sz w:val="24"/>
        </w:rPr>
      </w:pPr>
      <w:r>
        <w:rPr>
          <w:rFonts w:hint="eastAsia" w:ascii="仿宋_GB2312" w:hAnsi="宋体" w:eastAsia="仿宋_GB2312"/>
          <w:b/>
          <w:kern w:val="0"/>
          <w:sz w:val="24"/>
        </w:rPr>
        <w:t>10.7</w:t>
      </w:r>
      <w:r>
        <w:rPr>
          <w:rFonts w:hint="eastAsia" w:ascii="仿宋_GB2312" w:hAnsi="宋体" w:eastAsia="仿宋_GB2312"/>
          <w:b/>
          <w:sz w:val="24"/>
        </w:rPr>
        <w:t>报价一经涂改，未在涂改处加盖投标单位公章或者未经法定代表人或其授权代表签字或盖章的；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kern w:val="0"/>
          <w:sz w:val="24"/>
        </w:rPr>
        <w:t>10.8</w:t>
      </w:r>
      <w:r>
        <w:rPr>
          <w:rFonts w:hint="eastAsia" w:ascii="仿宋_GB2312" w:hAnsi="宋体" w:eastAsia="仿宋_GB2312"/>
          <w:b/>
          <w:sz w:val="24"/>
        </w:rPr>
        <w:t>因未按招标文件规定的格式填写，或</w:t>
      </w:r>
      <w:r>
        <w:rPr>
          <w:rFonts w:hint="eastAsia" w:ascii="仿宋_GB2312" w:hAnsi="宋体" w:eastAsia="仿宋_GB2312"/>
          <w:b/>
          <w:sz w:val="24"/>
          <w:szCs w:val="20"/>
        </w:rPr>
        <w:t>对招标</w:t>
      </w:r>
      <w:r>
        <w:rPr>
          <w:rFonts w:hint="eastAsia" w:ascii="仿宋_GB2312" w:hAnsi="宋体" w:eastAsia="仿宋_GB2312"/>
          <w:b/>
          <w:sz w:val="24"/>
        </w:rPr>
        <w:t>服务或技术或产品等要求</w:t>
      </w:r>
      <w:r>
        <w:rPr>
          <w:rFonts w:hint="eastAsia" w:ascii="仿宋_GB2312" w:hAnsi="宋体" w:eastAsia="仿宋_GB2312"/>
          <w:b/>
          <w:sz w:val="24"/>
          <w:szCs w:val="20"/>
        </w:rPr>
        <w:t>未详细应答或应答</w:t>
      </w:r>
      <w:r>
        <w:rPr>
          <w:rFonts w:hint="eastAsia" w:ascii="仿宋_GB2312" w:hAnsi="宋体" w:eastAsia="仿宋_GB2312"/>
          <w:b/>
          <w:sz w:val="24"/>
        </w:rPr>
        <w:t>内容不全、有缺失的,经评标委员会认定为无法评审的；</w:t>
      </w:r>
    </w:p>
    <w:p>
      <w:pPr>
        <w:pStyle w:val="22"/>
        <w:snapToGrid w:val="0"/>
        <w:spacing w:line="440" w:lineRule="exact"/>
        <w:jc w:val="left"/>
        <w:rPr>
          <w:rFonts w:ascii="仿宋_GB2312" w:hAnsi="宋体" w:eastAsia="仿宋_GB2312"/>
          <w:b/>
          <w:sz w:val="24"/>
          <w:szCs w:val="24"/>
        </w:rPr>
      </w:pPr>
      <w:r>
        <w:rPr>
          <w:rFonts w:hint="eastAsia" w:ascii="仿宋_GB2312" w:hAnsi="宋体" w:eastAsia="仿宋_GB2312"/>
          <w:b/>
          <w:sz w:val="24"/>
          <w:szCs w:val="24"/>
        </w:rPr>
        <w:t>10.9出现同一标的物或本次招标产品(服务)内的主要产品(重要组成部分)出现技术、商务描述不一致或前后描述不一致，经评标委员会认定后为无法评审的；</w:t>
      </w:r>
    </w:p>
    <w:p>
      <w:pPr>
        <w:pStyle w:val="22"/>
        <w:snapToGrid w:val="0"/>
        <w:spacing w:line="440" w:lineRule="exact"/>
        <w:jc w:val="left"/>
        <w:rPr>
          <w:rFonts w:ascii="仿宋_GB2312" w:hAnsi="宋体" w:eastAsia="仿宋_GB2312"/>
          <w:b/>
          <w:sz w:val="24"/>
          <w:szCs w:val="24"/>
        </w:rPr>
      </w:pPr>
      <w:r>
        <w:rPr>
          <w:rFonts w:hint="eastAsia" w:ascii="仿宋_GB2312" w:hAnsi="宋体" w:eastAsia="仿宋_GB2312"/>
          <w:b/>
          <w:sz w:val="24"/>
          <w:szCs w:val="24"/>
        </w:rPr>
        <w:t>10.10</w:t>
      </w:r>
      <w:r>
        <w:rPr>
          <w:rFonts w:hint="eastAsia" w:ascii="仿宋_GB2312" w:hAnsi="宋体" w:eastAsia="仿宋_GB2312"/>
          <w:b/>
          <w:sz w:val="24"/>
        </w:rPr>
        <w:t>投标详细配置清单响应表不真实填写或弄虚作假的；</w:t>
      </w:r>
    </w:p>
    <w:p>
      <w:pPr>
        <w:tabs>
          <w:tab w:val="left" w:pos="3870"/>
          <w:tab w:val="left" w:pos="4085"/>
        </w:tabs>
        <w:snapToGrid w:val="0"/>
        <w:spacing w:line="440" w:lineRule="exact"/>
        <w:jc w:val="left"/>
        <w:rPr>
          <w:rFonts w:ascii="仿宋_GB2312" w:hAnsi="宋体" w:eastAsia="仿宋_GB2312"/>
          <w:b/>
          <w:kern w:val="0"/>
          <w:sz w:val="24"/>
        </w:rPr>
      </w:pPr>
      <w:r>
        <w:rPr>
          <w:rFonts w:hint="eastAsia" w:ascii="仿宋_GB2312" w:hAnsi="宋体" w:eastAsia="仿宋_GB2312"/>
          <w:b/>
          <w:sz w:val="24"/>
        </w:rPr>
        <w:t>10.11</w:t>
      </w:r>
      <w:r>
        <w:rPr>
          <w:rFonts w:hint="eastAsia" w:ascii="仿宋_GB2312" w:hAnsi="宋体" w:eastAsia="仿宋_GB2312"/>
          <w:b/>
          <w:kern w:val="0"/>
          <w:sz w:val="24"/>
        </w:rPr>
        <w:t>投标文件含有采购人不能接受的附加条件；</w:t>
      </w:r>
    </w:p>
    <w:p>
      <w:pPr>
        <w:tabs>
          <w:tab w:val="left" w:pos="3870"/>
          <w:tab w:val="left" w:pos="4085"/>
        </w:tabs>
        <w:snapToGrid w:val="0"/>
        <w:spacing w:line="440" w:lineRule="exact"/>
        <w:jc w:val="left"/>
        <w:rPr>
          <w:rFonts w:ascii="仿宋_GB2312" w:hAnsi="宋体" w:eastAsia="仿宋_GB2312"/>
          <w:b/>
          <w:kern w:val="0"/>
          <w:sz w:val="24"/>
        </w:rPr>
      </w:pPr>
      <w:r>
        <w:rPr>
          <w:rFonts w:hint="eastAsia" w:ascii="仿宋_GB2312" w:hAnsi="宋体" w:eastAsia="仿宋_GB2312"/>
          <w:b/>
          <w:kern w:val="0"/>
          <w:sz w:val="24"/>
        </w:rPr>
        <w:t>10.12</w:t>
      </w:r>
      <w:r>
        <w:rPr>
          <w:rFonts w:hint="eastAsia" w:ascii="仿宋_GB2312" w:hAnsi="宋体" w:eastAsia="仿宋_GB2312"/>
          <w:b/>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w:t>
      </w:r>
    </w:p>
    <w:p>
      <w:pPr>
        <w:tabs>
          <w:tab w:val="left" w:pos="3870"/>
          <w:tab w:val="left" w:pos="4085"/>
        </w:tabs>
        <w:snapToGrid w:val="0"/>
        <w:spacing w:line="440" w:lineRule="exact"/>
        <w:jc w:val="left"/>
        <w:rPr>
          <w:rFonts w:ascii="仿宋_GB2312" w:eastAsia="仿宋_GB2312"/>
          <w:b/>
          <w:sz w:val="24"/>
        </w:rPr>
      </w:pPr>
      <w:r>
        <w:rPr>
          <w:rFonts w:hint="eastAsia" w:ascii="仿宋_GB2312" w:hAnsi="宋体" w:eastAsia="仿宋_GB2312"/>
          <w:b/>
          <w:sz w:val="24"/>
        </w:rPr>
        <w:t>10.13</w:t>
      </w:r>
      <w:r>
        <w:rPr>
          <w:rFonts w:hint="eastAsia" w:ascii="仿宋_GB2312" w:eastAsia="仿宋_GB2312"/>
          <w:b/>
          <w:sz w:val="24"/>
        </w:rPr>
        <w:t>报价超过招标文件中规定的预算金额或最高限价的；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10.14投标文件“商务资信技术文件资料”部分中出现《开标一览表》或《报价明细表》相关内容的；</w:t>
      </w:r>
    </w:p>
    <w:p>
      <w:pPr>
        <w:tabs>
          <w:tab w:val="left" w:pos="3870"/>
          <w:tab w:val="left" w:pos="4085"/>
        </w:tabs>
        <w:snapToGrid w:val="0"/>
        <w:spacing w:line="440" w:lineRule="exact"/>
        <w:jc w:val="left"/>
        <w:rPr>
          <w:rFonts w:ascii="仿宋" w:hAnsi="仿宋" w:eastAsia="仿宋" w:cs="仿宋_GB2312"/>
          <w:b/>
          <w:sz w:val="24"/>
          <w:szCs w:val="21"/>
        </w:rPr>
      </w:pPr>
      <w:r>
        <w:rPr>
          <w:rFonts w:hint="eastAsia" w:ascii="仿宋_GB2312" w:hAnsi="仿宋" w:eastAsia="仿宋_GB2312" w:cs="仿宋_GB2312"/>
          <w:b/>
          <w:sz w:val="24"/>
          <w:szCs w:val="21"/>
        </w:rPr>
        <w:t>10.15</w:t>
      </w:r>
      <w:r>
        <w:rPr>
          <w:rFonts w:ascii="仿宋" w:hAnsi="仿宋" w:eastAsia="仿宋" w:cs="仿宋_GB2312"/>
          <w:b/>
          <w:sz w:val="24"/>
          <w:szCs w:val="21"/>
        </w:rPr>
        <w:t>采购人拟采购的产品属于</w:t>
      </w:r>
      <w:r>
        <w:rPr>
          <w:rFonts w:hint="eastAsia" w:ascii="仿宋" w:hAnsi="仿宋" w:eastAsia="仿宋" w:cs="仿宋_GB2312"/>
          <w:b/>
          <w:sz w:val="24"/>
          <w:szCs w:val="21"/>
        </w:rPr>
        <w:t>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10.16《开标一览表》填写不完整或字迹不能辨认或有漏项的；</w:t>
      </w:r>
    </w:p>
    <w:p>
      <w:pPr>
        <w:tabs>
          <w:tab w:val="left" w:pos="3870"/>
          <w:tab w:val="left" w:pos="4085"/>
        </w:tabs>
        <w:snapToGrid w:val="0"/>
        <w:spacing w:line="440" w:lineRule="exact"/>
        <w:jc w:val="left"/>
        <w:rPr>
          <w:rFonts w:ascii="仿宋_GB2312" w:hAnsi="宋体" w:eastAsia="仿宋_GB2312"/>
          <w:sz w:val="24"/>
        </w:rPr>
      </w:pPr>
      <w:r>
        <w:rPr>
          <w:rFonts w:hint="eastAsia" w:ascii="仿宋_GB2312" w:hAnsi="宋体" w:eastAsia="仿宋_GB2312"/>
          <w:b/>
          <w:sz w:val="24"/>
        </w:rPr>
        <w:t>10.17投标人对根据修正原则修正后的报价不确认的；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10.18有下列情形之一的，视为投标人串通投标，其投标无效：</w:t>
      </w:r>
    </w:p>
    <w:p>
      <w:pPr>
        <w:tabs>
          <w:tab w:val="left" w:pos="3870"/>
          <w:tab w:val="left" w:pos="4085"/>
        </w:tabs>
        <w:snapToGrid w:val="0"/>
        <w:spacing w:line="440" w:lineRule="exact"/>
        <w:ind w:firstLine="422" w:firstLineChars="176"/>
        <w:jc w:val="left"/>
        <w:rPr>
          <w:rFonts w:ascii="仿宋_GB2312" w:hAnsi="宋体" w:eastAsia="仿宋_GB2312"/>
          <w:sz w:val="24"/>
        </w:rPr>
      </w:pPr>
      <w:r>
        <w:rPr>
          <w:rFonts w:hint="eastAsia" w:ascii="仿宋_GB2312" w:hAnsi="宋体" w:eastAsia="仿宋_GB2312"/>
          <w:sz w:val="24"/>
        </w:rPr>
        <w:t>10.18.1不同投标人的投标文件由同一单位或者个人编制；</w:t>
      </w:r>
    </w:p>
    <w:p>
      <w:pPr>
        <w:tabs>
          <w:tab w:val="left" w:pos="3870"/>
          <w:tab w:val="left" w:pos="4085"/>
        </w:tabs>
        <w:snapToGrid w:val="0"/>
        <w:spacing w:line="440" w:lineRule="exact"/>
        <w:ind w:firstLine="422" w:firstLineChars="176"/>
        <w:jc w:val="left"/>
        <w:rPr>
          <w:rFonts w:ascii="仿宋_GB2312" w:hAnsi="宋体" w:eastAsia="仿宋_GB2312"/>
          <w:sz w:val="24"/>
        </w:rPr>
      </w:pPr>
      <w:r>
        <w:rPr>
          <w:rFonts w:hint="eastAsia" w:ascii="仿宋_GB2312" w:hAnsi="宋体" w:eastAsia="仿宋_GB2312"/>
          <w:sz w:val="24"/>
        </w:rPr>
        <w:t>10.18.2不同投标人委托同一单位或者个人办理投标事宜；</w:t>
      </w:r>
    </w:p>
    <w:p>
      <w:pPr>
        <w:tabs>
          <w:tab w:val="left" w:pos="3870"/>
          <w:tab w:val="left" w:pos="4085"/>
        </w:tabs>
        <w:snapToGrid w:val="0"/>
        <w:spacing w:line="440" w:lineRule="exact"/>
        <w:ind w:firstLine="422" w:firstLineChars="176"/>
        <w:jc w:val="left"/>
        <w:rPr>
          <w:rFonts w:ascii="仿宋_GB2312" w:hAnsi="宋体" w:eastAsia="仿宋_GB2312"/>
          <w:sz w:val="24"/>
        </w:rPr>
      </w:pPr>
      <w:r>
        <w:rPr>
          <w:rFonts w:hint="eastAsia" w:ascii="仿宋_GB2312" w:hAnsi="宋体" w:eastAsia="仿宋_GB2312"/>
          <w:sz w:val="24"/>
        </w:rPr>
        <w:t>10.18.3不同投标人的投标文件载明的项目管理成员或者联系人员为同一人；</w:t>
      </w:r>
    </w:p>
    <w:p>
      <w:pPr>
        <w:tabs>
          <w:tab w:val="left" w:pos="3870"/>
          <w:tab w:val="left" w:pos="4085"/>
        </w:tabs>
        <w:snapToGrid w:val="0"/>
        <w:spacing w:line="440" w:lineRule="exact"/>
        <w:ind w:firstLine="422" w:firstLineChars="176"/>
        <w:jc w:val="left"/>
        <w:rPr>
          <w:rFonts w:ascii="仿宋_GB2312" w:hAnsi="宋体" w:eastAsia="仿宋_GB2312"/>
          <w:sz w:val="24"/>
        </w:rPr>
      </w:pPr>
      <w:r>
        <w:rPr>
          <w:rFonts w:hint="eastAsia" w:ascii="仿宋_GB2312" w:hAnsi="宋体" w:eastAsia="仿宋_GB2312"/>
          <w:sz w:val="24"/>
        </w:rPr>
        <w:t>10.18.4不同投标人的投标文件异常一致或者投标报价呈规律性差异；</w:t>
      </w:r>
    </w:p>
    <w:p>
      <w:pPr>
        <w:tabs>
          <w:tab w:val="left" w:pos="3870"/>
          <w:tab w:val="left" w:pos="4085"/>
        </w:tabs>
        <w:snapToGrid w:val="0"/>
        <w:spacing w:line="440" w:lineRule="exact"/>
        <w:ind w:firstLine="422" w:firstLineChars="176"/>
        <w:jc w:val="left"/>
        <w:rPr>
          <w:rFonts w:ascii="仿宋_GB2312" w:hAnsi="宋体" w:eastAsia="仿宋_GB2312"/>
          <w:sz w:val="24"/>
        </w:rPr>
      </w:pPr>
      <w:r>
        <w:rPr>
          <w:rFonts w:hint="eastAsia" w:ascii="仿宋_GB2312" w:hAnsi="宋体" w:eastAsia="仿宋_GB2312"/>
          <w:sz w:val="24"/>
        </w:rPr>
        <w:t>10.18.5不同投标人的投标文件相互混装；</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10.19有下列情形之一的，属于恶意串通，其投标无效：</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10.19.1供应商直接或者间接从采购人或者采购机构处获得其他供应商的相关情况并修改其投标文件或者响应文件；</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10.19.2供应商按照采购人或者采购机构的授意撤换、修改投标文件或者响应文件；</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10.19.3供应商之间协商报价、技术方案等投标文件或者响应文件的实质性内容；</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10.19.4属于同一集团、协会、商会等组织成员的供应商按照该组织要求协同参加政府采购活动；</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10.19.5供应商之间事先约定由某一特定供应商中标、成交；</w:t>
      </w:r>
    </w:p>
    <w:p>
      <w:pPr>
        <w:spacing w:line="360" w:lineRule="auto"/>
        <w:ind w:firstLine="480" w:firstLineChars="200"/>
        <w:rPr>
          <w:rFonts w:ascii="仿宋_GB2312" w:hAnsi="仿宋" w:eastAsia="仿宋_GB2312" w:cs="仿宋_GB2312"/>
          <w:sz w:val="24"/>
          <w:szCs w:val="21"/>
        </w:rPr>
      </w:pPr>
      <w:r>
        <w:rPr>
          <w:rFonts w:hint="eastAsia" w:ascii="仿宋_GB2312" w:hAnsi="仿宋" w:eastAsia="仿宋_GB2312" w:cs="仿宋_GB2312"/>
          <w:sz w:val="24"/>
          <w:szCs w:val="21"/>
        </w:rPr>
        <w:t>10.19.6供应商之间商定部分供应商放弃参加政府采购活动或者放弃中标、成交；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_GB2312" w:hAnsi="仿宋" w:eastAsia="仿宋_GB2312" w:cs="仿宋_GB2312"/>
          <w:sz w:val="24"/>
          <w:szCs w:val="21"/>
        </w:rPr>
      </w:pPr>
      <w:r>
        <w:rPr>
          <w:rFonts w:hint="eastAsia" w:ascii="仿宋_GB2312" w:hAnsi="仿宋" w:eastAsia="仿宋_GB2312" w:cs="仿宋_GB2312"/>
          <w:sz w:val="24"/>
          <w:szCs w:val="21"/>
        </w:rPr>
        <w:t>10.19.7供应商与采购人或者采购机构之间、供应商相互之间，为谋求特定供应商中标、成交或者排斥其他供应商的其他串通行为。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宋体" w:eastAsia="仿宋_GB2312"/>
          <w:b/>
          <w:sz w:val="24"/>
        </w:rPr>
        <w:t>10.20电子投标文件解密失败的，且未在规定时间内提交备份投标文件的；</w:t>
      </w:r>
    </w:p>
    <w:p>
      <w:pPr>
        <w:tabs>
          <w:tab w:val="left" w:pos="3870"/>
          <w:tab w:val="left" w:pos="4085"/>
        </w:tabs>
        <w:snapToGrid w:val="0"/>
        <w:spacing w:line="440" w:lineRule="exact"/>
        <w:jc w:val="left"/>
        <w:rPr>
          <w:rFonts w:ascii="仿宋_GB2312" w:hAnsi="宋体" w:eastAsia="仿宋_GB2312"/>
          <w:b/>
          <w:sz w:val="24"/>
        </w:rPr>
      </w:pPr>
      <w:r>
        <w:rPr>
          <w:rFonts w:hint="eastAsia" w:ascii="仿宋_GB2312" w:hAnsi="仿宋_GB2312" w:eastAsia="仿宋_GB2312" w:cs="仿宋_GB2312"/>
          <w:b/>
          <w:sz w:val="24"/>
          <w:szCs w:val="21"/>
        </w:rPr>
        <w:t>10.21</w:t>
      </w:r>
      <w:r>
        <w:rPr>
          <w:rFonts w:hint="eastAsia" w:ascii="仿宋_GB2312" w:hAnsi="宋体" w:eastAsia="仿宋_GB2312"/>
          <w:b/>
          <w:sz w:val="24"/>
        </w:rPr>
        <w:t>评标委员会认定有重大偏差或实质性不响应招标文件要求的；</w:t>
      </w:r>
    </w:p>
    <w:p>
      <w:pPr>
        <w:spacing w:line="440" w:lineRule="exact"/>
      </w:pPr>
      <w:r>
        <w:rPr>
          <w:rFonts w:hint="eastAsia" w:ascii="仿宋_GB2312" w:eastAsia="仿宋_GB2312"/>
          <w:b/>
          <w:sz w:val="24"/>
        </w:rPr>
        <w:t>10.22</w:t>
      </w:r>
      <w:r>
        <w:rPr>
          <w:rFonts w:hint="eastAsia" w:ascii="仿宋_GB2312" w:hAnsi="宋体" w:eastAsia="仿宋_GB2312"/>
          <w:b/>
          <w:sz w:val="24"/>
        </w:rPr>
        <w:t>其他违反法律、法规的情形。</w:t>
      </w:r>
    </w:p>
    <w:p>
      <w:pPr>
        <w:snapToGrid w:val="0"/>
        <w:spacing w:line="440" w:lineRule="exact"/>
        <w:rPr>
          <w:rFonts w:ascii="仿宋_GB2312" w:hAnsi="宋体" w:eastAsia="仿宋_GB2312"/>
          <w:b/>
          <w:kern w:val="0"/>
          <w:sz w:val="24"/>
        </w:rPr>
      </w:pPr>
      <w:r>
        <w:rPr>
          <w:rFonts w:hint="eastAsia" w:ascii="仿宋_GB2312" w:hAnsi="宋体" w:eastAsia="仿宋_GB2312"/>
          <w:b/>
          <w:kern w:val="0"/>
          <w:sz w:val="24"/>
        </w:rPr>
        <w:t>11. 评标过程保密</w:t>
      </w:r>
    </w:p>
    <w:p>
      <w:pPr>
        <w:snapToGrid w:val="0"/>
        <w:spacing w:line="440" w:lineRule="exact"/>
        <w:rPr>
          <w:rFonts w:ascii="仿宋_GB2312" w:hAnsi="宋体" w:eastAsia="仿宋_GB2312"/>
          <w:kern w:val="0"/>
          <w:sz w:val="24"/>
        </w:rPr>
      </w:pPr>
      <w:r>
        <w:rPr>
          <w:rFonts w:hint="eastAsia" w:ascii="仿宋_GB2312" w:hAnsi="宋体" w:eastAsia="仿宋_GB2312"/>
          <w:kern w:val="0"/>
          <w:sz w:val="24"/>
        </w:rPr>
        <w:t>11.1 开标之后，直到授予投标人合同止，凡是属于审查、澄清、评价和比较投标的有关资料以及授标意向及投标人的投标文件等，均不得向投标人或其他无关的人员透露。</w:t>
      </w:r>
    </w:p>
    <w:p>
      <w:pPr>
        <w:snapToGrid w:val="0"/>
        <w:spacing w:line="440" w:lineRule="exact"/>
        <w:rPr>
          <w:rFonts w:ascii="仿宋_GB2312" w:hAnsi="宋体" w:eastAsia="仿宋_GB2312"/>
          <w:kern w:val="0"/>
          <w:sz w:val="24"/>
        </w:rPr>
      </w:pPr>
      <w:r>
        <w:rPr>
          <w:rFonts w:hint="eastAsia" w:ascii="仿宋_GB2312" w:hAnsi="宋体" w:eastAsia="仿宋_GB2312"/>
          <w:kern w:val="0"/>
          <w:sz w:val="24"/>
        </w:rPr>
        <w:t>11.2 在评标期间，投标人企图影响招标人或</w:t>
      </w:r>
      <w:r>
        <w:rPr>
          <w:rFonts w:hint="eastAsia" w:ascii="仿宋_GB2312" w:hAnsi="宋体" w:eastAsia="仿宋_GB2312"/>
          <w:sz w:val="24"/>
        </w:rPr>
        <w:t>评标委员会</w:t>
      </w:r>
      <w:r>
        <w:rPr>
          <w:rFonts w:hint="eastAsia" w:ascii="仿宋_GB2312" w:hAnsi="宋体" w:eastAsia="仿宋_GB2312"/>
          <w:kern w:val="0"/>
          <w:sz w:val="24"/>
        </w:rPr>
        <w:t>的任何活动，都将导致投标被拒绝，并由其承担相应的法律责任。</w:t>
      </w:r>
    </w:p>
    <w:p>
      <w:pPr>
        <w:pStyle w:val="22"/>
        <w:spacing w:line="800" w:lineRule="exact"/>
        <w:ind w:firstLine="726"/>
        <w:jc w:val="center"/>
        <w:rPr>
          <w:rFonts w:ascii="仿宋_GB2312" w:hAnsi="宋体" w:eastAsia="仿宋_GB2312"/>
          <w:b/>
          <w:sz w:val="36"/>
          <w:szCs w:val="36"/>
        </w:rPr>
      </w:pPr>
      <w:bookmarkStart w:id="14" w:name="_Toc84325929"/>
      <w:bookmarkStart w:id="15" w:name="_Toc81372776"/>
      <w:bookmarkStart w:id="16" w:name="_Toc81372953"/>
      <w:r>
        <w:rPr>
          <w:rFonts w:hint="eastAsia" w:ascii="仿宋_GB2312" w:hAnsi="宋体" w:eastAsia="仿宋_GB2312"/>
          <w:b/>
          <w:sz w:val="36"/>
          <w:szCs w:val="36"/>
        </w:rPr>
        <w:t>五、授予合同</w:t>
      </w:r>
    </w:p>
    <w:p>
      <w:pPr>
        <w:pStyle w:val="13"/>
        <w:tabs>
          <w:tab w:val="clear" w:pos="454"/>
        </w:tabs>
        <w:spacing w:afterLines="0" w:line="440" w:lineRule="exact"/>
        <w:ind w:left="0" w:firstLine="0"/>
        <w:rPr>
          <w:rFonts w:ascii="仿宋_GB2312" w:hAnsi="宋体" w:eastAsia="仿宋_GB2312"/>
          <w:b/>
          <w:szCs w:val="24"/>
        </w:rPr>
      </w:pPr>
      <w:r>
        <w:rPr>
          <w:rFonts w:hint="eastAsia" w:ascii="仿宋_GB2312" w:hAnsi="宋体" w:eastAsia="仿宋_GB2312"/>
          <w:b/>
          <w:szCs w:val="24"/>
        </w:rPr>
        <w:t>1.中标条件</w:t>
      </w:r>
    </w:p>
    <w:p>
      <w:pPr>
        <w:pStyle w:val="13"/>
        <w:tabs>
          <w:tab w:val="clear" w:pos="454"/>
        </w:tabs>
        <w:spacing w:afterLines="0" w:line="440" w:lineRule="exact"/>
        <w:ind w:left="0" w:firstLine="0"/>
        <w:rPr>
          <w:rFonts w:ascii="仿宋_GB2312" w:hAnsi="宋体" w:eastAsia="仿宋_GB2312"/>
          <w:szCs w:val="24"/>
        </w:rPr>
      </w:pPr>
      <w:r>
        <w:rPr>
          <w:rFonts w:hint="eastAsia" w:ascii="仿宋_GB2312" w:hAnsi="宋体" w:eastAsia="仿宋_GB2312"/>
          <w:szCs w:val="24"/>
        </w:rPr>
        <w:t>1.1投标文件基本符合招标文件要求；</w:t>
      </w:r>
    </w:p>
    <w:p>
      <w:pPr>
        <w:pStyle w:val="13"/>
        <w:tabs>
          <w:tab w:val="clear" w:pos="454"/>
        </w:tabs>
        <w:spacing w:afterLines="0" w:line="440" w:lineRule="exact"/>
        <w:ind w:left="0" w:firstLine="0"/>
        <w:rPr>
          <w:rFonts w:ascii="仿宋_GB2312" w:hAnsi="宋体" w:eastAsia="仿宋_GB2312"/>
          <w:szCs w:val="24"/>
        </w:rPr>
      </w:pPr>
      <w:r>
        <w:rPr>
          <w:rFonts w:hint="eastAsia" w:ascii="仿宋_GB2312" w:hAnsi="宋体" w:eastAsia="仿宋_GB2312"/>
          <w:szCs w:val="24"/>
        </w:rPr>
        <w:t>1.2投标人有很好的执行合同的能力；</w:t>
      </w:r>
    </w:p>
    <w:p>
      <w:pPr>
        <w:pStyle w:val="13"/>
        <w:tabs>
          <w:tab w:val="clear" w:pos="454"/>
        </w:tabs>
        <w:spacing w:afterLines="0" w:line="440" w:lineRule="exact"/>
        <w:ind w:left="0" w:firstLine="0"/>
        <w:rPr>
          <w:rFonts w:ascii="仿宋_GB2312" w:hAnsi="宋体" w:eastAsia="仿宋_GB2312"/>
          <w:szCs w:val="24"/>
        </w:rPr>
      </w:pPr>
      <w:r>
        <w:rPr>
          <w:rFonts w:hint="eastAsia" w:ascii="仿宋_GB2312" w:hAnsi="宋体" w:eastAsia="仿宋_GB2312"/>
          <w:szCs w:val="24"/>
        </w:rPr>
        <w:t>1.3实施方案最合理并对招标人最为有利，最大限度满足招标文件的要求；</w:t>
      </w:r>
    </w:p>
    <w:p>
      <w:pPr>
        <w:pStyle w:val="13"/>
        <w:tabs>
          <w:tab w:val="clear" w:pos="454"/>
        </w:tabs>
        <w:spacing w:afterLines="0" w:line="440" w:lineRule="exact"/>
        <w:ind w:left="0" w:firstLine="0"/>
        <w:rPr>
          <w:rFonts w:ascii="仿宋_GB2312" w:hAnsi="宋体" w:eastAsia="仿宋_GB2312"/>
          <w:szCs w:val="24"/>
        </w:rPr>
      </w:pPr>
      <w:r>
        <w:rPr>
          <w:rFonts w:hint="eastAsia" w:ascii="仿宋_GB2312" w:hAnsi="宋体" w:eastAsia="仿宋_GB2312"/>
          <w:szCs w:val="24"/>
        </w:rPr>
        <w:t>1.4投标人能够提供质量技术、商务经济占综合优势的系统及服务。</w:t>
      </w:r>
    </w:p>
    <w:p>
      <w:pPr>
        <w:spacing w:line="440" w:lineRule="exact"/>
        <w:jc w:val="left"/>
        <w:rPr>
          <w:rFonts w:ascii="仿宋_GB2312" w:hAnsi="宋体" w:eastAsia="仿宋_GB2312"/>
          <w:sz w:val="24"/>
        </w:rPr>
      </w:pPr>
      <w:r>
        <w:rPr>
          <w:rFonts w:hint="eastAsia" w:ascii="仿宋_GB2312" w:hAnsi="宋体" w:eastAsia="仿宋_GB2312"/>
          <w:sz w:val="24"/>
        </w:rPr>
        <w:t>1.5招标人将把中标通知书授予最佳投标者，但最低价不是中标的绝对保证。</w:t>
      </w:r>
    </w:p>
    <w:bookmarkEnd w:id="14"/>
    <w:bookmarkEnd w:id="15"/>
    <w:bookmarkEnd w:id="16"/>
    <w:p>
      <w:pPr>
        <w:spacing w:line="440" w:lineRule="exact"/>
        <w:jc w:val="left"/>
        <w:rPr>
          <w:rFonts w:ascii="仿宋_GB2312" w:hAnsi="宋体" w:eastAsia="仿宋_GB2312"/>
          <w:b/>
          <w:sz w:val="24"/>
        </w:rPr>
      </w:pPr>
      <w:r>
        <w:rPr>
          <w:rFonts w:hint="eastAsia" w:ascii="仿宋_GB2312" w:hAnsi="宋体" w:eastAsia="仿宋_GB2312"/>
          <w:b/>
          <w:sz w:val="24"/>
        </w:rPr>
        <w:t>2.中标确认</w:t>
      </w:r>
    </w:p>
    <w:p>
      <w:pPr>
        <w:spacing w:line="440" w:lineRule="exact"/>
        <w:jc w:val="left"/>
        <w:rPr>
          <w:rFonts w:ascii="仿宋_GB2312" w:hAnsi="宋体" w:eastAsia="仿宋_GB2312"/>
          <w:sz w:val="24"/>
        </w:rPr>
      </w:pPr>
      <w:r>
        <w:rPr>
          <w:rFonts w:hint="eastAsia" w:ascii="仿宋_GB2312" w:hAnsi="宋体" w:eastAsia="仿宋_GB2312"/>
          <w:sz w:val="24"/>
        </w:rPr>
        <w:t>2.1采购人应当自收到评标报告之日起５个工作日内，在评标报告确定的中标候选人名单中按顺序确定中标人。</w:t>
      </w:r>
    </w:p>
    <w:p>
      <w:pPr>
        <w:spacing w:line="440" w:lineRule="exact"/>
        <w:jc w:val="left"/>
        <w:rPr>
          <w:rFonts w:ascii="仿宋_GB2312" w:hAnsi="宋体" w:eastAsia="仿宋_GB2312"/>
          <w:sz w:val="24"/>
        </w:rPr>
      </w:pPr>
      <w:r>
        <w:rPr>
          <w:rFonts w:hint="eastAsia" w:ascii="仿宋_GB2312" w:hAnsi="宋体" w:eastAsia="仿宋_GB2312"/>
          <w:sz w:val="24"/>
        </w:rPr>
        <w:t>2.2采购人在收到评标报告5个工作日内未按评标报告推荐的中标候选人顺序确定中标人，视同按评标报告推荐的顺序确定的中标候选人为中标人。</w:t>
      </w:r>
    </w:p>
    <w:p>
      <w:pPr>
        <w:spacing w:line="440" w:lineRule="exact"/>
        <w:jc w:val="left"/>
        <w:rPr>
          <w:rFonts w:ascii="仿宋_GB2312" w:hAnsi="宋体" w:eastAsia="仿宋_GB2312"/>
          <w:b/>
          <w:sz w:val="24"/>
        </w:rPr>
      </w:pPr>
      <w:r>
        <w:rPr>
          <w:rFonts w:hint="eastAsia" w:ascii="仿宋_GB2312" w:hAnsi="宋体" w:eastAsia="仿宋_GB2312"/>
          <w:b/>
          <w:sz w:val="24"/>
        </w:rPr>
        <w:t>3．中标通知</w:t>
      </w:r>
    </w:p>
    <w:p>
      <w:pPr>
        <w:pStyle w:val="155"/>
        <w:tabs>
          <w:tab w:val="left" w:pos="0"/>
        </w:tabs>
        <w:spacing w:before="0" w:line="440" w:lineRule="exact"/>
        <w:ind w:firstLine="0" w:firstLineChars="0"/>
        <w:rPr>
          <w:rFonts w:ascii="仿宋_GB2312" w:hAnsi="宋体" w:eastAsia="仿宋_GB2312"/>
          <w:szCs w:val="24"/>
        </w:rPr>
      </w:pPr>
      <w:r>
        <w:rPr>
          <w:rFonts w:hint="eastAsia" w:ascii="仿宋_GB2312" w:hAnsi="宋体" w:eastAsia="仿宋_GB2312"/>
          <w:szCs w:val="24"/>
        </w:rPr>
        <w:t>3.1</w:t>
      </w:r>
      <w:r>
        <w:rPr>
          <w:rFonts w:hint="eastAsia" w:ascii="仿宋_GB2312" w:hAnsi="Helvetica" w:eastAsia="仿宋_GB2312" w:cs="Helvetica"/>
          <w:kern w:val="0"/>
        </w:rPr>
        <w:t>采购代理机构</w:t>
      </w:r>
      <w:r>
        <w:rPr>
          <w:rFonts w:hint="eastAsia" w:ascii="仿宋_GB2312" w:hAnsi="宋体" w:eastAsia="仿宋_GB2312"/>
        </w:rPr>
        <w:t>对中标结果在指定媒体</w:t>
      </w:r>
      <w:r>
        <w:rPr>
          <w:rFonts w:hint="eastAsia" w:ascii="仿宋_GB2312" w:hAnsi="Helvetica" w:eastAsia="仿宋_GB2312" w:cs="Helvetica"/>
          <w:kern w:val="0"/>
        </w:rPr>
        <w:t>（浙江政府采购网</w:t>
      </w:r>
      <w:r>
        <w:fldChar w:fldCharType="begin"/>
      </w:r>
      <w:r>
        <w:instrText xml:space="preserve"> HYPERLINK "http://www.zjzfcg.gov.cn" </w:instrText>
      </w:r>
      <w:r>
        <w:fldChar w:fldCharType="separate"/>
      </w:r>
      <w:r>
        <w:rPr>
          <w:rStyle w:val="48"/>
          <w:rFonts w:hint="eastAsia" w:ascii="仿宋_GB2312" w:hAnsi="Helvetica" w:eastAsia="仿宋_GB2312" w:cs="Helvetica"/>
          <w:color w:val="auto"/>
          <w:kern w:val="0"/>
        </w:rPr>
        <w:t>http://www.zjzfcg.gov.cn</w:t>
      </w:r>
      <w:r>
        <w:rPr>
          <w:rStyle w:val="48"/>
          <w:rFonts w:hint="eastAsia" w:ascii="仿宋_GB2312" w:hAnsi="Helvetica" w:eastAsia="仿宋_GB2312" w:cs="Helvetica"/>
          <w:color w:val="auto"/>
          <w:kern w:val="0"/>
        </w:rPr>
        <w:fldChar w:fldCharType="end"/>
      </w:r>
      <w:r>
        <w:rPr>
          <w:rFonts w:hint="eastAsia" w:ascii="仿宋_GB2312" w:hAnsi="Helvetica" w:eastAsia="仿宋_GB2312" w:cs="Helvetica"/>
          <w:kern w:val="0"/>
        </w:rPr>
        <w:t>、新昌县公共资源交易平台</w:t>
      </w:r>
      <w:r>
        <w:rPr>
          <w:rFonts w:hint="eastAsia" w:ascii="仿宋_GB2312" w:hAnsi="Helvetica" w:eastAsia="仿宋_GB2312" w:cs="Helvetica"/>
          <w:kern w:val="0"/>
          <w:u w:val="single"/>
        </w:rPr>
        <w:t>http://www.zjxc.gov.cn/col/col1634736/index.html</w:t>
      </w:r>
      <w:r>
        <w:rPr>
          <w:rFonts w:hint="eastAsia" w:ascii="仿宋_GB2312" w:hAnsi="Helvetica" w:eastAsia="仿宋_GB2312" w:cs="Helvetica"/>
          <w:kern w:val="0"/>
        </w:rPr>
        <w:t>）发布中标公告，中标公告期限为1个工作日。</w:t>
      </w:r>
    </w:p>
    <w:p>
      <w:pPr>
        <w:tabs>
          <w:tab w:val="left" w:pos="0"/>
        </w:tabs>
        <w:spacing w:line="440" w:lineRule="exact"/>
        <w:rPr>
          <w:rFonts w:ascii="仿宋_GB2312" w:eastAsia="仿宋_GB2312" w:cs="仿宋_GB2312"/>
          <w:kern w:val="0"/>
          <w:sz w:val="24"/>
          <w:lang w:val="zh-CN"/>
        </w:rPr>
      </w:pPr>
      <w:r>
        <w:rPr>
          <w:rFonts w:hint="eastAsia" w:ascii="仿宋_GB2312" w:hAnsi="宋体" w:eastAsia="仿宋_GB2312"/>
          <w:sz w:val="24"/>
        </w:rPr>
        <w:t>3.2采购机构通过线下方式向中标供应商签发中标通知书。在</w:t>
      </w:r>
      <w:r>
        <w:rPr>
          <w:rFonts w:hint="eastAsia" w:ascii="仿宋_GB2312" w:eastAsia="仿宋_GB2312"/>
          <w:sz w:val="24"/>
        </w:rPr>
        <w:t>采购机构</w:t>
      </w:r>
      <w:r>
        <w:rPr>
          <w:rFonts w:hint="eastAsia" w:ascii="仿宋_GB2312" w:hAnsi="宋体" w:eastAsia="仿宋_GB2312"/>
          <w:sz w:val="24"/>
        </w:rPr>
        <w:t>发出中标通知书前，中标供应商如有违反有关法律法规和本项目要求行为的，则取消该投标人的中标资格</w:t>
      </w:r>
      <w:r>
        <w:rPr>
          <w:rFonts w:hint="eastAsia" w:ascii="仿宋_GB2312" w:eastAsia="仿宋_GB2312" w:cs="仿宋_GB2312"/>
          <w:kern w:val="0"/>
          <w:sz w:val="24"/>
          <w:lang w:val="zh-CN"/>
        </w:rPr>
        <w:t>。</w:t>
      </w:r>
    </w:p>
    <w:p>
      <w:pPr>
        <w:numPr>
          <w:ilvl w:val="0"/>
          <w:numId w:val="6"/>
        </w:numPr>
        <w:spacing w:line="440" w:lineRule="exact"/>
        <w:jc w:val="left"/>
        <w:rPr>
          <w:rFonts w:ascii="仿宋_GB2312" w:hAnsi="宋体" w:eastAsia="仿宋_GB2312"/>
          <w:b/>
          <w:sz w:val="24"/>
        </w:rPr>
      </w:pPr>
      <w:r>
        <w:rPr>
          <w:rFonts w:hint="eastAsia" w:ascii="仿宋_GB2312" w:hAnsi="宋体" w:eastAsia="仿宋_GB2312"/>
          <w:b/>
          <w:sz w:val="24"/>
        </w:rPr>
        <w:t>合同签订</w:t>
      </w:r>
    </w:p>
    <w:p>
      <w:pPr>
        <w:spacing w:line="440" w:lineRule="exact"/>
        <w:jc w:val="left"/>
        <w:rPr>
          <w:rFonts w:ascii="仿宋_GB2312" w:hAnsi="宋体" w:eastAsia="仿宋_GB2312"/>
          <w:sz w:val="24"/>
        </w:rPr>
      </w:pPr>
      <w:r>
        <w:rPr>
          <w:rFonts w:hint="eastAsia" w:ascii="仿宋_GB2312" w:hAnsi="宋体" w:eastAsia="仿宋_GB2312"/>
          <w:sz w:val="24"/>
        </w:rPr>
        <w:t>4.1中标人应当在中标通知书发出之日起30天内与采购人签订合同。</w:t>
      </w:r>
    </w:p>
    <w:p>
      <w:pPr>
        <w:snapToGrid w:val="0"/>
        <w:spacing w:line="800" w:lineRule="exact"/>
        <w:jc w:val="center"/>
        <w:outlineLvl w:val="0"/>
        <w:rPr>
          <w:rFonts w:ascii="仿宋_GB2312" w:hAnsi="仿宋_GB2312" w:eastAsia="仿宋_GB2312" w:cs="仿宋_GB2312"/>
          <w:b/>
          <w:sz w:val="36"/>
          <w:szCs w:val="36"/>
        </w:rPr>
      </w:pPr>
      <w:r>
        <w:rPr>
          <w:rFonts w:hint="eastAsia" w:ascii="仿宋_GB2312" w:hAnsi="仿宋_GB2312" w:eastAsia="仿宋_GB2312" w:cs="仿宋_GB2312"/>
          <w:b/>
          <w:sz w:val="36"/>
          <w:szCs w:val="36"/>
        </w:rPr>
        <w:t>六、质疑与投诉</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ascii="仿宋_GB2312" w:eastAsia="仿宋_GB2312" w:cs="微软雅黑"/>
          <w:b/>
          <w:kern w:val="0"/>
          <w:sz w:val="24"/>
          <w:lang w:val="zh-CN"/>
        </w:rPr>
      </w:pPr>
      <w:r>
        <w:rPr>
          <w:rFonts w:hint="eastAsia" w:ascii="仿宋_GB2312" w:eastAsia="仿宋_GB2312" w:cs="微软雅黑"/>
          <w:b/>
          <w:kern w:val="0"/>
          <w:sz w:val="24"/>
          <w:lang w:val="zh-CN"/>
        </w:rPr>
        <w:t>1.供应商询问</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ascii="仿宋_GB2312" w:eastAsia="仿宋_GB2312" w:cs="微软雅黑"/>
          <w:b/>
          <w:kern w:val="0"/>
          <w:sz w:val="24"/>
          <w:lang w:val="zh-CN"/>
        </w:rPr>
      </w:pPr>
      <w:r>
        <w:rPr>
          <w:rFonts w:hint="eastAsia" w:ascii="仿宋_GB2312" w:eastAsia="仿宋_GB2312" w:cs="微软雅黑"/>
          <w:b/>
          <w:kern w:val="0"/>
          <w:sz w:val="24"/>
          <w:lang w:val="zh-CN"/>
        </w:rPr>
        <w:t>2.供应商质疑</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供应商认为采购文件、采购过程和成交结果使自己的权益受到损害的，可以在知道或者应知其权益受到损害之日起七个工作日内，以书面形式向采购机构提出质疑，否则，采购机构不予受理：</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（2）对采购过程提出质疑的，质疑期限为各采购程序环节结束之日起计算。</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（3）对采购结果提出质疑的，质疑期限自采购结果公告（包括公示、预公告、结果变更公告等）期限届满之日起计算。</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（4）供应商应在法定质疑期内一次性提出针对同一采购程序环节的质疑。</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3.供应商提交提出质疑应当提交质疑书和必要的证明材料，质疑书需一式三份，质疑书至少应包括下列主要内容：</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（1）质疑人的名称、地址、邮政编码、联系人、联系电话，以及被质疑人名称及联系方式；</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（2）被质疑采购项目名称、编号及采购内容；</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（3）具体、明确的质疑事项和与质疑事项相关的请求</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（4）事实依据；</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（5）必要的法律依据；</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（6）认为自己合法权益受到损害或可能受到损害的相关证据材料；</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（7）提出质疑的日期。</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（8） 质疑书应当署名。质疑人为自然人的，应当由本人签字并附有效身份证明；质疑人为法人或其他组织的，应当由法定代表人或主要负责人签字（或盖章）并加盖单位公章。</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（9） 质疑人因故不能自行办理质疑事项的，可以委托代理人办理质疑事宜，但应当向被质疑人提交授权委托书，并载明委托代理的具体权限和事项。</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（10）质疑人提供的相关材料中有外文资料的，应当将与质疑相关的外文资料完整、客观、真实地翻译为中文，并注明翻译人员姓名、工作单位、联系方式等信息。</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4.</w:t>
      </w:r>
      <w:r>
        <w:rPr>
          <w:rFonts w:hint="eastAsia" w:ascii="仿宋_GB2312" w:hAnsi="仿宋" w:eastAsia="仿宋_GB2312"/>
          <w:b/>
          <w:bCs/>
          <w:sz w:val="24"/>
        </w:rPr>
        <w:t>书面质疑受理地点：</w:t>
      </w:r>
      <w:r>
        <w:rPr>
          <w:rFonts w:hint="eastAsia" w:ascii="仿宋_GB2312" w:hAnsi="仿宋" w:eastAsia="仿宋_GB2312"/>
          <w:sz w:val="24"/>
        </w:rPr>
        <w:t>新昌县致信工程咨询有限公司招标代理部（浙江省绍兴市新昌县和悦广场写字楼6楼602室），代理机构联系人：梁先生，联系电话：0575-86761778；采购单位联系人：裘先生，联系电话：0575-86624009 。</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5.采购机构应当在收到供应商的书面质疑后七个工作日内作出答复，并以书面形式通知质疑供应商和其他与质疑处理结果有利害关系的政府采购当事人，但答复的内容不得涉及商业秘密。</w:t>
      </w:r>
    </w:p>
    <w:p>
      <w:pPr>
        <w:pStyle w:val="22"/>
        <w:spacing w:line="360" w:lineRule="auto"/>
        <w:ind w:firstLine="480" w:firstLineChars="200"/>
        <w:rPr>
          <w:rFonts w:ascii="仿宋_GB2312" w:hAnsi="仿宋" w:eastAsia="仿宋_GB2312"/>
          <w:sz w:val="24"/>
        </w:rPr>
      </w:pPr>
      <w:r>
        <w:rPr>
          <w:rFonts w:hint="eastAsia" w:ascii="仿宋_GB2312" w:hAnsi="仿宋" w:eastAsia="仿宋_GB2312"/>
          <w:sz w:val="24"/>
        </w:rPr>
        <w:t>6.询问或者质疑事项可能影响采购结果的，采购人应当暂停签订合同，已经签订合同的，应当中止履行合同。</w:t>
      </w:r>
    </w:p>
    <w:p>
      <w:pPr>
        <w:pStyle w:val="22"/>
        <w:spacing w:line="360" w:lineRule="auto"/>
        <w:ind w:firstLine="480" w:firstLineChars="200"/>
        <w:rPr>
          <w:rFonts w:ascii="仿宋_GB2312" w:hAnsi="仿宋" w:eastAsia="仿宋_GB2312"/>
          <w:sz w:val="24"/>
        </w:rPr>
      </w:pPr>
    </w:p>
    <w:p>
      <w:pPr>
        <w:pageBreakBefore/>
        <w:snapToGrid w:val="0"/>
        <w:spacing w:line="800" w:lineRule="exact"/>
        <w:jc w:val="center"/>
        <w:rPr>
          <w:rFonts w:ascii="仿宋_GB2312" w:hAnsi="宋体" w:eastAsia="仿宋_GB2312"/>
          <w:b/>
          <w:sz w:val="36"/>
          <w:szCs w:val="36"/>
        </w:rPr>
      </w:pPr>
      <w:r>
        <w:rPr>
          <w:rFonts w:hint="eastAsia" w:ascii="仿宋_GB2312" w:hAnsi="宋体" w:eastAsia="仿宋_GB2312"/>
          <w:b/>
          <w:sz w:val="36"/>
          <w:szCs w:val="36"/>
        </w:rPr>
        <w:t>第三部分 招标项目范围及要求</w:t>
      </w:r>
    </w:p>
    <w:p>
      <w:pPr>
        <w:pStyle w:val="22"/>
        <w:snapToGrid w:val="0"/>
        <w:spacing w:line="360" w:lineRule="auto"/>
        <w:ind w:firstLine="120" w:firstLineChars="50"/>
        <w:rPr>
          <w:rFonts w:ascii="仿宋" w:hAnsi="仿宋" w:eastAsia="仿宋" w:cs="仿宋"/>
          <w:color w:val="000000"/>
          <w:kern w:val="0"/>
          <w:sz w:val="24"/>
          <w:szCs w:val="24"/>
        </w:rPr>
      </w:pPr>
      <w:bookmarkStart w:id="17" w:name="PO_TDCUS_ITEM_P_REQ_FILE_1_1"/>
      <w:bookmarkStart w:id="18" w:name="_Toc81372964"/>
      <w:bookmarkStart w:id="19" w:name="_Toc80157775"/>
      <w:bookmarkStart w:id="20" w:name="_Toc84325981"/>
      <w:bookmarkStart w:id="21" w:name="_Toc81372787"/>
      <w:r>
        <w:rPr>
          <w:rFonts w:hint="eastAsia" w:ascii="仿宋" w:hAnsi="仿宋" w:eastAsia="仿宋" w:cs="仿宋"/>
          <w:color w:val="000000"/>
          <w:kern w:val="0"/>
          <w:sz w:val="24"/>
          <w:szCs w:val="24"/>
        </w:rPr>
        <w:t>一．项目概况：</w:t>
      </w:r>
    </w:p>
    <w:p>
      <w:pPr>
        <w:spacing w:line="360" w:lineRule="auto"/>
        <w:ind w:firstLine="504" w:firstLineChars="210"/>
        <w:rPr>
          <w:rFonts w:ascii="仿宋" w:hAnsi="仿宋" w:eastAsia="仿宋" w:cs="仿宋"/>
          <w:color w:val="000000"/>
          <w:kern w:val="0"/>
          <w:sz w:val="24"/>
        </w:rPr>
      </w:pPr>
      <w:r>
        <w:rPr>
          <w:rFonts w:hint="eastAsia" w:ascii="仿宋" w:hAnsi="仿宋" w:eastAsia="仿宋" w:cs="仿宋"/>
          <w:color w:val="000000"/>
          <w:kern w:val="0"/>
          <w:sz w:val="24"/>
        </w:rPr>
        <w:t>为维护城市、县乡道路交通秩序，创建新昌县文明城市，推动社会力量参与维护道路交通秩序，通过公开招标的方式从中选定城乡道路交通劝导服务外包供应商，签订新昌县公安局交通警察大队交通劝导服务项目合同。具体实施城乡道路交通劝导服务外包项目，由道路交通劝导外包服务供应商提供服务人员，为新昌县城乡道路交通文明相关工作提供服务。</w:t>
      </w:r>
    </w:p>
    <w:p>
      <w:pPr>
        <w:pStyle w:val="22"/>
        <w:snapToGrid w:val="0"/>
        <w:spacing w:line="360" w:lineRule="auto"/>
        <w:ind w:firstLine="120" w:firstLineChars="50"/>
        <w:rPr>
          <w:rFonts w:ascii="仿宋" w:hAnsi="仿宋" w:eastAsia="仿宋" w:cs="仿宋"/>
          <w:color w:val="000000"/>
          <w:kern w:val="0"/>
          <w:sz w:val="24"/>
          <w:szCs w:val="24"/>
        </w:rPr>
      </w:pPr>
      <w:r>
        <w:rPr>
          <w:rFonts w:hint="eastAsia" w:ascii="仿宋" w:hAnsi="仿宋" w:eastAsia="仿宋" w:cs="仿宋"/>
          <w:color w:val="000000"/>
          <w:kern w:val="0"/>
          <w:sz w:val="24"/>
          <w:szCs w:val="24"/>
        </w:rPr>
        <w:t>二、项目总体要求：</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1、服务内容：协助新昌县公安局交通警察大队做好道路交通管理工作，实现城乡道路畅通、文明、有序。</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2、服务需求：</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本项目为城乡道路交通劝导服务外包。主要内容是将交通劝导服务的相关工作外包给符合要求的服务供应商，由供应商招聘一定数量的交通劝导员。</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（1）符合公司设立条件，有完备的运行机制和组织构架。</w:t>
      </w:r>
    </w:p>
    <w:p>
      <w:pPr>
        <w:pStyle w:val="22"/>
        <w:spacing w:line="360" w:lineRule="auto"/>
        <w:ind w:firstLine="480" w:firstLineChars="200"/>
        <w:rPr>
          <w:rFonts w:ascii="仿宋" w:hAnsi="仿宋" w:eastAsia="仿宋" w:cs="仿宋"/>
          <w:color w:val="FF0000"/>
          <w:kern w:val="0"/>
          <w:sz w:val="24"/>
          <w:szCs w:val="24"/>
        </w:rPr>
      </w:pPr>
      <w:r>
        <w:rPr>
          <w:rFonts w:hint="eastAsia" w:ascii="仿宋" w:hAnsi="仿宋" w:eastAsia="仿宋" w:cs="仿宋"/>
          <w:color w:val="000000"/>
          <w:kern w:val="0"/>
          <w:sz w:val="24"/>
          <w:szCs w:val="24"/>
        </w:rPr>
        <w:t>（2）服务人员要求：</w:t>
      </w:r>
      <w:r>
        <w:rPr>
          <w:rFonts w:hint="eastAsia" w:ascii="仿宋" w:hAnsi="仿宋" w:eastAsia="仿宋" w:cs="仿宋"/>
          <w:kern w:val="0"/>
          <w:sz w:val="24"/>
          <w:szCs w:val="24"/>
        </w:rPr>
        <w:t>交通劝导员30人。</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（3）具有独立承担民事责任和履行合同能力，具有良好的商业信誉和健全的财务会计制度，依法纳税，近三年无不良行为记录。</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3、服务期限：1年。</w:t>
      </w:r>
    </w:p>
    <w:p>
      <w:pPr>
        <w:pStyle w:val="22"/>
        <w:spacing w:line="360" w:lineRule="auto"/>
        <w:rPr>
          <w:rFonts w:ascii="仿宋" w:hAnsi="仿宋" w:eastAsia="仿宋" w:cs="仿宋"/>
          <w:color w:val="000000"/>
          <w:kern w:val="0"/>
          <w:sz w:val="24"/>
          <w:szCs w:val="24"/>
        </w:rPr>
      </w:pPr>
      <w:r>
        <w:rPr>
          <w:rFonts w:hint="eastAsia" w:ascii="仿宋" w:hAnsi="仿宋" w:eastAsia="仿宋" w:cs="仿宋"/>
          <w:color w:val="000000"/>
          <w:kern w:val="0"/>
          <w:sz w:val="24"/>
          <w:szCs w:val="24"/>
        </w:rPr>
        <w:t>三、服务质量要求：</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1、人行横道文明行车及其他交通违法行为的劝导工作。</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2、早晚高峰时段交通秩序维护疏导工作。</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3、交通大队指派的其他与交通管理相关工作。</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4、路口非机动车车、行人守法率需达到85%以上。</w:t>
      </w:r>
    </w:p>
    <w:p>
      <w:pPr>
        <w:pStyle w:val="22"/>
        <w:spacing w:line="360" w:lineRule="auto"/>
        <w:rPr>
          <w:rFonts w:ascii="仿宋" w:hAnsi="仿宋" w:eastAsia="仿宋" w:cs="仿宋"/>
          <w:color w:val="000000"/>
          <w:kern w:val="0"/>
          <w:sz w:val="24"/>
          <w:szCs w:val="24"/>
        </w:rPr>
      </w:pPr>
      <w:r>
        <w:rPr>
          <w:rFonts w:hint="eastAsia" w:ascii="仿宋" w:hAnsi="仿宋" w:eastAsia="仿宋" w:cs="仿宋"/>
          <w:color w:val="000000"/>
          <w:kern w:val="0"/>
          <w:sz w:val="24"/>
          <w:szCs w:val="24"/>
        </w:rPr>
        <w:t>四、其他要求</w:t>
      </w:r>
    </w:p>
    <w:p>
      <w:pPr>
        <w:pStyle w:val="22"/>
        <w:spacing w:line="360" w:lineRule="auto"/>
        <w:ind w:firstLine="480" w:firstLineChars="200"/>
        <w:rPr>
          <w:rFonts w:ascii="仿宋" w:hAnsi="仿宋" w:eastAsia="仿宋" w:cs="仿宋"/>
          <w:color w:val="000000"/>
          <w:kern w:val="0"/>
          <w:sz w:val="24"/>
          <w:szCs w:val="24"/>
        </w:rPr>
      </w:pPr>
      <w:r>
        <w:rPr>
          <w:rFonts w:hint="eastAsia" w:ascii="仿宋" w:hAnsi="仿宋" w:eastAsia="仿宋" w:cs="仿宋"/>
          <w:color w:val="000000"/>
          <w:kern w:val="0"/>
          <w:sz w:val="24"/>
          <w:szCs w:val="24"/>
        </w:rPr>
        <w:t>经第三方测评路口非机动车、行人守法率未达85%以上的或上级部门考核排名全市末三位的，该测评路口扣除合同款2000元/次。</w:t>
      </w:r>
    </w:p>
    <w:p>
      <w:pPr>
        <w:pStyle w:val="22"/>
        <w:snapToGrid w:val="0"/>
        <w:spacing w:line="360" w:lineRule="auto"/>
        <w:ind w:firstLine="120" w:firstLineChars="50"/>
        <w:rPr>
          <w:rFonts w:ascii="仿宋" w:hAnsi="仿宋" w:eastAsia="仿宋" w:cs="仿宋"/>
          <w:color w:val="000000"/>
          <w:kern w:val="0"/>
          <w:sz w:val="24"/>
          <w:szCs w:val="24"/>
        </w:rPr>
      </w:pPr>
      <w:r>
        <w:rPr>
          <w:rFonts w:hint="eastAsia" w:ascii="仿宋" w:hAnsi="仿宋" w:eastAsia="仿宋" w:cs="仿宋"/>
          <w:color w:val="000000"/>
          <w:kern w:val="0"/>
          <w:sz w:val="24"/>
          <w:szCs w:val="24"/>
        </w:rPr>
        <w:t>五、付款方式：</w:t>
      </w:r>
    </w:p>
    <w:p>
      <w:pPr>
        <w:pStyle w:val="22"/>
        <w:spacing w:line="360" w:lineRule="auto"/>
        <w:ind w:firstLine="480" w:firstLineChars="200"/>
        <w:rPr>
          <w:rFonts w:ascii="仿宋_GB2312" w:hAnsi="仿宋" w:eastAsia="仿宋_GB2312"/>
          <w:sz w:val="24"/>
        </w:rPr>
      </w:pPr>
      <w:r>
        <w:rPr>
          <w:rFonts w:hint="eastAsia" w:ascii="仿宋" w:hAnsi="仿宋" w:eastAsia="仿宋" w:cs="仿宋"/>
          <w:kern w:val="0"/>
          <w:sz w:val="24"/>
          <w:szCs w:val="24"/>
        </w:rPr>
        <w:t>合同签订后支付合同金额的10%作为预付款，按季度付款，下一个季度的第一个月支付上一个季度的合同款。</w:t>
      </w:r>
      <w:r>
        <w:rPr>
          <w:rFonts w:hint="eastAsia" w:ascii="仿宋_GB2312" w:hAnsi="仿宋" w:eastAsia="仿宋_GB2312"/>
          <w:sz w:val="24"/>
        </w:rPr>
        <w:br w:type="page"/>
      </w:r>
    </w:p>
    <w:bookmarkEnd w:id="17"/>
    <w:p>
      <w:pPr>
        <w:pStyle w:val="22"/>
        <w:pageBreakBefore/>
        <w:spacing w:line="800" w:lineRule="exact"/>
        <w:jc w:val="center"/>
        <w:rPr>
          <w:rFonts w:ascii="仿宋_GB2312" w:hAnsi="宋体" w:eastAsia="仿宋_GB2312"/>
          <w:b/>
          <w:sz w:val="36"/>
          <w:szCs w:val="36"/>
        </w:rPr>
      </w:pPr>
      <w:r>
        <w:rPr>
          <w:rFonts w:hint="eastAsia" w:ascii="仿宋_GB2312" w:hAnsi="宋体" w:eastAsia="仿宋_GB2312"/>
          <w:b/>
          <w:sz w:val="36"/>
          <w:szCs w:val="36"/>
        </w:rPr>
        <w:t>第四部分 合同文本</w:t>
      </w:r>
    </w:p>
    <w:p>
      <w:pPr>
        <w:widowControl/>
        <w:spacing w:line="360" w:lineRule="auto"/>
        <w:rPr>
          <w:rFonts w:ascii="仿宋" w:hAnsi="仿宋" w:eastAsia="仿宋" w:cs="仿宋"/>
          <w:color w:val="000000"/>
          <w:kern w:val="0"/>
          <w:sz w:val="24"/>
        </w:rPr>
      </w:pPr>
      <w:r>
        <w:rPr>
          <w:rFonts w:hint="eastAsia" w:ascii="仿宋" w:hAnsi="仿宋" w:eastAsia="仿宋" w:cs="仿宋"/>
          <w:color w:val="000000"/>
          <w:kern w:val="0"/>
          <w:sz w:val="24"/>
        </w:rPr>
        <w:t>甲方：</w:t>
      </w:r>
    </w:p>
    <w:p>
      <w:pPr>
        <w:widowControl/>
        <w:spacing w:line="360" w:lineRule="auto"/>
        <w:rPr>
          <w:rFonts w:ascii="仿宋" w:hAnsi="仿宋" w:eastAsia="仿宋" w:cs="仿宋"/>
          <w:color w:val="000000"/>
          <w:kern w:val="0"/>
          <w:sz w:val="24"/>
        </w:rPr>
      </w:pPr>
      <w:r>
        <w:rPr>
          <w:rFonts w:hint="eastAsia" w:ascii="仿宋" w:hAnsi="仿宋" w:eastAsia="仿宋" w:cs="仿宋"/>
          <w:color w:val="000000"/>
          <w:kern w:val="0"/>
          <w:sz w:val="24"/>
        </w:rPr>
        <w:t>法定代表人（或负责人）：</w:t>
      </w:r>
    </w:p>
    <w:p>
      <w:pPr>
        <w:widowControl/>
        <w:spacing w:line="360" w:lineRule="auto"/>
        <w:rPr>
          <w:rFonts w:ascii="仿宋" w:hAnsi="仿宋" w:eastAsia="仿宋" w:cs="仿宋"/>
          <w:color w:val="000000"/>
          <w:kern w:val="0"/>
          <w:sz w:val="24"/>
        </w:rPr>
      </w:pPr>
      <w:r>
        <w:rPr>
          <w:rFonts w:hint="eastAsia" w:ascii="仿宋" w:hAnsi="仿宋" w:eastAsia="仿宋" w:cs="仿宋"/>
          <w:color w:val="000000"/>
          <w:kern w:val="0"/>
          <w:sz w:val="24"/>
        </w:rPr>
        <w:t>乙方：</w:t>
      </w:r>
    </w:p>
    <w:p>
      <w:pPr>
        <w:widowControl/>
        <w:spacing w:line="360" w:lineRule="auto"/>
        <w:rPr>
          <w:rFonts w:ascii="仿宋" w:hAnsi="仿宋" w:eastAsia="仿宋" w:cs="仿宋"/>
          <w:color w:val="000000"/>
          <w:kern w:val="0"/>
          <w:sz w:val="24"/>
        </w:rPr>
      </w:pPr>
      <w:r>
        <w:rPr>
          <w:rFonts w:hint="eastAsia" w:ascii="仿宋" w:hAnsi="仿宋" w:eastAsia="仿宋" w:cs="仿宋"/>
          <w:color w:val="000000"/>
          <w:kern w:val="0"/>
          <w:sz w:val="24"/>
        </w:rPr>
        <w:t>法定代表人（或负责人）：</w:t>
      </w:r>
    </w:p>
    <w:p>
      <w:pPr>
        <w:widowControl/>
        <w:spacing w:line="360" w:lineRule="auto"/>
        <w:ind w:firstLine="480"/>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rPr>
        <w:t>根据《中华人民共和国合同法》、项目编号为</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的招标文件和乙方的投标文件，经双方充分协商，特订立本合同，以便共同遵守。</w:t>
      </w:r>
      <w:r>
        <w:rPr>
          <w:rFonts w:hint="eastAsia" w:ascii="仿宋" w:hAnsi="仿宋" w:eastAsia="仿宋" w:cs="仿宋"/>
          <w:color w:val="000000"/>
          <w:kern w:val="0"/>
          <w:sz w:val="24"/>
          <w:lang w:val="en-US" w:eastAsia="zh-CN"/>
        </w:rPr>
        <w:t xml:space="preserve"> </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第一条项目名称、数量、金额和质量</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1、见采购需求</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2、采购项目的技术标准（包括质量要求），按下列第（</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）项执行：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（1）按国家标准执行；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（2）按部颁标准执行；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（3）按企业标准执行；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（4）按甲乙双方商定的要求执行。（对有特殊要求的技术条件、样品或补充的技术）</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3、采购项目的数量计量单位、计量方法按国家或主管部门的规定执行（国家或主管部门无规定的，由甲乙双方商定。对机电设备，必要时应当在合同中明确规定随主机的辅机、附件、配套的产品、易损耗备品、配件和安装修理工具等。对成套供应的产品，应当明确成套供应的范围，并提出成套供应清单）。</w:t>
      </w:r>
    </w:p>
    <w:p>
      <w:pPr>
        <w:widowControl/>
        <w:spacing w:line="360" w:lineRule="auto"/>
        <w:ind w:firstLine="480"/>
        <w:rPr>
          <w:rFonts w:ascii="仿宋" w:hAnsi="仿宋" w:eastAsia="仿宋" w:cs="仿宋"/>
          <w:color w:val="000000"/>
          <w:kern w:val="0"/>
          <w:sz w:val="24"/>
          <w:u w:val="single"/>
        </w:rPr>
      </w:pPr>
      <w:r>
        <w:rPr>
          <w:rFonts w:hint="eastAsia" w:ascii="仿宋" w:hAnsi="仿宋" w:eastAsia="仿宋" w:cs="仿宋"/>
          <w:color w:val="000000"/>
          <w:kern w:val="0"/>
          <w:sz w:val="24"/>
        </w:rPr>
        <w:t>第二条本项目为固定总价合同。合同总价：</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（人民币大写</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）。合同总价已包括乙方履行本合同所必须的所有成本费用和应承担的一切税费和拟获得的利润。</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第三条采购项目资金的结算按下列第（</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）项执行：</w:t>
      </w:r>
    </w:p>
    <w:p>
      <w:pPr>
        <w:widowControl/>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1.一次性支付；</w:t>
      </w:r>
    </w:p>
    <w:p>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2.分期支付，具体为：</w:t>
      </w:r>
    </w:p>
    <w:p>
      <w:pPr>
        <w:pStyle w:val="22"/>
        <w:spacing w:line="360" w:lineRule="auto"/>
        <w:ind w:firstLine="480" w:firstLineChars="200"/>
        <w:rPr>
          <w:rFonts w:ascii="仿宋" w:hAnsi="仿宋" w:eastAsia="仿宋" w:cs="仿宋"/>
          <w:kern w:val="0"/>
          <w:sz w:val="24"/>
          <w:szCs w:val="24"/>
        </w:rPr>
      </w:pPr>
      <w:r>
        <w:rPr>
          <w:rFonts w:hint="eastAsia" w:ascii="仿宋" w:hAnsi="仿宋" w:eastAsia="仿宋" w:cs="仿宋"/>
          <w:kern w:val="0"/>
          <w:sz w:val="24"/>
          <w:szCs w:val="24"/>
        </w:rPr>
        <w:t>合同签订后支付合同金额的10%作为预付款，按季度付款，下一个季度的第一个月支付上一个季度的合同款。</w:t>
      </w:r>
    </w:p>
    <w:p>
      <w:pPr>
        <w:widowControl/>
        <w:spacing w:line="360" w:lineRule="auto"/>
        <w:ind w:firstLine="480"/>
        <w:rPr>
          <w:rFonts w:ascii="仿宋" w:hAnsi="仿宋" w:eastAsia="仿宋" w:cs="仿宋"/>
          <w:kern w:val="0"/>
          <w:sz w:val="24"/>
        </w:rPr>
      </w:pPr>
      <w:r>
        <w:rPr>
          <w:rFonts w:hint="eastAsia" w:ascii="仿宋" w:hAnsi="仿宋" w:eastAsia="仿宋" w:cs="仿宋"/>
          <w:kern w:val="0"/>
          <w:sz w:val="24"/>
        </w:rPr>
        <w:t>第四条供应</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乙方应在本合同签订后</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日内按本合同第一条约定对采购项目进行服务。不再另外收取相关费用。</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第五条采购项目的验收</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甲方在使用过程中发现项目存在服务问题，甲方有权向乙方提出书面异议。乙方在接到甲方书面异议后，应在10天内负责处理，否则，即视为默认甲方提出的异议和处理意见。</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第六条售后服务按下列第（</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）项执行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1.由乙方按国家规定标准进行售后服务;</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2.按甲乙双方商定的要求执行：。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第七条履约保证金约定按下列第（</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）项执行：</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1.乙方不需缴纳履约保证金；</w:t>
      </w:r>
    </w:p>
    <w:p>
      <w:pPr>
        <w:widowControl/>
        <w:spacing w:line="360" w:lineRule="auto"/>
        <w:ind w:firstLine="480"/>
        <w:rPr>
          <w:rFonts w:ascii="仿宋" w:hAnsi="仿宋" w:eastAsia="仿宋" w:cs="仿宋"/>
          <w:kern w:val="0"/>
          <w:sz w:val="24"/>
        </w:rPr>
      </w:pPr>
      <w:r>
        <w:rPr>
          <w:rFonts w:hint="eastAsia" w:ascii="仿宋" w:hAnsi="仿宋" w:eastAsia="仿宋" w:cs="仿宋"/>
          <w:kern w:val="0"/>
          <w:sz w:val="24"/>
        </w:rPr>
        <w:t>2.乙方在签订合同前需缴纳履约保证金人民币贰万元整，履约期满后退还。</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第八条乙方的违约责任</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1.乙方不能按本合同约定完成采购项目的，乙方应向甲方偿付项目总价款的</w:t>
      </w:r>
      <w:r>
        <w:rPr>
          <w:rFonts w:hint="eastAsia" w:ascii="仿宋" w:hAnsi="仿宋" w:eastAsia="仿宋" w:cs="仿宋"/>
          <w:color w:val="000000"/>
          <w:kern w:val="0"/>
          <w:sz w:val="24"/>
          <w:u w:val="single"/>
        </w:rPr>
        <w:t>　　</w:t>
      </w:r>
      <w:r>
        <w:rPr>
          <w:rFonts w:hint="eastAsia" w:ascii="仿宋" w:hAnsi="仿宋" w:eastAsia="仿宋" w:cs="仿宋"/>
          <w:color w:val="000000"/>
          <w:kern w:val="0"/>
          <w:sz w:val="24"/>
        </w:rPr>
        <w:t>％的违约金。乙方完成部分采购项目的，除甲方同意外，按不能完成采购项目处理。甲方同意的，乙方应向甲方偿付不能完成部分项目价款的</w:t>
      </w:r>
      <w:r>
        <w:rPr>
          <w:rFonts w:hint="eastAsia" w:ascii="仿宋" w:hAnsi="仿宋" w:eastAsia="仿宋" w:cs="仿宋"/>
          <w:color w:val="000000"/>
          <w:kern w:val="0"/>
          <w:sz w:val="24"/>
          <w:u w:val="single"/>
        </w:rPr>
        <w:t>　　</w:t>
      </w:r>
      <w:r>
        <w:rPr>
          <w:rFonts w:hint="eastAsia" w:ascii="仿宋" w:hAnsi="仿宋" w:eastAsia="仿宋" w:cs="仿宋"/>
          <w:color w:val="000000"/>
          <w:kern w:val="0"/>
          <w:sz w:val="24"/>
        </w:rPr>
        <w:t>％的违约金。</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2.未按本合同第五条约定进行后续服务的，乙方应向甲方偿付采购项目总价款的</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％的违约金。</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第九条甲方的违约责任</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 甲方逾期付款的，应按照中国人民银行有关延期付款的规定向乙方偿付逾期付款的违约金。</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 甲方违反本合同规定拒绝接货或不履行本合同约定义务的，应当承担由此对乙方造成的损失。</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第十条不可抗力</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甲乙双方的任何一方由于不可抗力的原因不能履行合同时，应及时向对方通报不能履行或不能完全履行的理由，经双方确认后，允许延期履行、部分履行或者不履行合同，并免予承担违约责任。</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第十一条其他</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1.按本合同规定应该偿付的违约金、赔偿金和各种经济损失，应当在明确责任，否则按逾期付款处理。但任何一方不得自行处理。</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 乙方违反本合同约定和《中华人民共和国政府采购法》相关规定的，甲方可按《中华人民共和国政府采购法》予以处理。</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第十二条本合同如发生纠纷，当事人双方应当及时协商解决，协商不成时，任何一方均可请县公管办调解，调解不成，按以下第（</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）项方式处理：</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（1）申请当地仲裁委员会仲裁。</w:t>
      </w:r>
    </w:p>
    <w:p>
      <w:pPr>
        <w:widowControl/>
        <w:spacing w:line="360" w:lineRule="auto"/>
        <w:ind w:firstLine="480"/>
        <w:rPr>
          <w:rFonts w:ascii="仿宋" w:hAnsi="仿宋" w:eastAsia="仿宋" w:cs="仿宋"/>
          <w:color w:val="000000"/>
          <w:kern w:val="0"/>
          <w:sz w:val="24"/>
        </w:rPr>
      </w:pPr>
      <w:r>
        <w:rPr>
          <w:rFonts w:hint="eastAsia" w:ascii="仿宋" w:hAnsi="仿宋" w:eastAsia="仿宋" w:cs="仿宋"/>
          <w:color w:val="000000"/>
          <w:kern w:val="0"/>
          <w:sz w:val="24"/>
        </w:rPr>
        <w:t>（2）向新昌县人民法院起诉。</w:t>
      </w:r>
    </w:p>
    <w:p>
      <w:pPr>
        <w:widowControl/>
        <w:spacing w:line="360" w:lineRule="auto"/>
        <w:ind w:firstLine="480"/>
        <w:rPr>
          <w:rFonts w:ascii="仿宋" w:hAnsi="仿宋" w:eastAsia="仿宋" w:cs="仿宋"/>
          <w:kern w:val="0"/>
          <w:sz w:val="24"/>
        </w:rPr>
      </w:pPr>
      <w:r>
        <w:rPr>
          <w:rFonts w:hint="eastAsia" w:ascii="仿宋" w:hAnsi="仿宋" w:eastAsia="仿宋" w:cs="仿宋"/>
          <w:color w:val="000000"/>
          <w:kern w:val="0"/>
          <w:sz w:val="24"/>
        </w:rPr>
        <w:t>第十三条合同执行期内，甲乙双方均不得随意变更或解除合同。合同如有未尽事宜，须经双方共同协商，作出补充规定，补充规定与本合同具有同等效力。</w:t>
      </w:r>
      <w:r>
        <w:rPr>
          <w:rFonts w:hint="eastAsia" w:ascii="仿宋" w:hAnsi="仿宋" w:eastAsia="仿宋" w:cs="仿宋"/>
          <w:kern w:val="0"/>
          <w:sz w:val="24"/>
        </w:rPr>
        <w:t>本合同一式伍份，甲、乙双方各执贰份，代理机构执壹份备案。</w:t>
      </w:r>
    </w:p>
    <w:p>
      <w:pPr>
        <w:widowControl/>
        <w:spacing w:line="360" w:lineRule="auto"/>
        <w:ind w:firstLine="480"/>
        <w:rPr>
          <w:rFonts w:ascii="宋体"/>
          <w:color w:val="000000"/>
          <w:kern w:val="0"/>
          <w:sz w:val="24"/>
        </w:rPr>
      </w:pPr>
      <w:r>
        <w:rPr>
          <w:rFonts w:hint="eastAsia" w:ascii="仿宋" w:hAnsi="仿宋" w:eastAsia="仿宋" w:cs="仿宋"/>
          <w:color w:val="000000"/>
          <w:kern w:val="0"/>
          <w:sz w:val="24"/>
        </w:rPr>
        <w:t>第十四条本合同经甲乙双方签字、加盖公章后生效。</w:t>
      </w:r>
    </w:p>
    <w:tbl>
      <w:tblPr>
        <w:tblStyle w:val="41"/>
        <w:tblW w:w="9286" w:type="dxa"/>
        <w:jc w:val="center"/>
        <w:tblLayout w:type="fixed"/>
        <w:tblCellMar>
          <w:top w:w="0" w:type="dxa"/>
          <w:left w:w="108" w:type="dxa"/>
          <w:bottom w:w="0" w:type="dxa"/>
          <w:right w:w="108" w:type="dxa"/>
        </w:tblCellMar>
      </w:tblPr>
      <w:tblGrid>
        <w:gridCol w:w="2087"/>
        <w:gridCol w:w="3599"/>
        <w:gridCol w:w="3600"/>
      </w:tblGrid>
      <w:tr>
        <w:tblPrEx>
          <w:tblCellMar>
            <w:top w:w="0" w:type="dxa"/>
            <w:left w:w="108" w:type="dxa"/>
            <w:bottom w:w="0" w:type="dxa"/>
            <w:right w:w="108" w:type="dxa"/>
          </w:tblCellMar>
        </w:tblPrEx>
        <w:trPr>
          <w:trHeight w:val="1199" w:hRule="atLeast"/>
          <w:jc w:val="center"/>
        </w:trPr>
        <w:tc>
          <w:tcPr>
            <w:tcW w:w="2087" w:type="dxa"/>
            <w:tcBorders>
              <w:top w:val="single" w:color="auto" w:sz="4" w:space="0"/>
              <w:left w:val="single" w:color="auto" w:sz="4" w:space="0"/>
              <w:right w:val="single" w:color="auto" w:sz="4" w:space="0"/>
              <w:tl2br w:val="single" w:color="auto" w:sz="4" w:space="0"/>
            </w:tcBorders>
            <w:vAlign w:val="center"/>
          </w:tcPr>
          <w:p>
            <w:pPr>
              <w:pStyle w:val="22"/>
              <w:spacing w:before="120" w:after="120" w:line="329" w:lineRule="auto"/>
              <w:ind w:firstLine="367" w:firstLineChars="175"/>
              <w:jc w:val="right"/>
              <w:rPr>
                <w:rFonts w:ascii="仿宋" w:hAnsi="仿宋" w:eastAsia="仿宋" w:cs="仿宋"/>
              </w:rPr>
            </w:pPr>
            <w:r>
              <w:rPr>
                <w:rFonts w:hint="eastAsia" w:ascii="仿宋" w:hAnsi="仿宋" w:eastAsia="仿宋" w:cs="仿宋"/>
              </w:rPr>
              <w:t>单位名称</w:t>
            </w:r>
          </w:p>
          <w:p>
            <w:pPr>
              <w:pStyle w:val="22"/>
              <w:spacing w:before="120" w:after="120" w:line="329" w:lineRule="auto"/>
              <w:rPr>
                <w:rFonts w:ascii="仿宋" w:hAnsi="仿宋" w:eastAsia="仿宋" w:cs="仿宋"/>
              </w:rPr>
            </w:pPr>
            <w:r>
              <w:rPr>
                <w:rFonts w:hint="eastAsia" w:ascii="仿宋" w:hAnsi="仿宋" w:eastAsia="仿宋" w:cs="仿宋"/>
              </w:rPr>
              <w:t>类别名称</w:t>
            </w:r>
          </w:p>
        </w:tc>
        <w:tc>
          <w:tcPr>
            <w:tcW w:w="3599" w:type="dxa"/>
            <w:tcBorders>
              <w:top w:val="single" w:color="auto" w:sz="4" w:space="0"/>
              <w:left w:val="single" w:color="auto" w:sz="4" w:space="0"/>
              <w:right w:val="single" w:color="auto" w:sz="4" w:space="0"/>
            </w:tcBorders>
            <w:vAlign w:val="center"/>
          </w:tcPr>
          <w:p>
            <w:pPr>
              <w:pStyle w:val="22"/>
              <w:spacing w:before="120" w:after="120" w:line="329" w:lineRule="auto"/>
              <w:ind w:left="2" w:hanging="2" w:hangingChars="1"/>
              <w:jc w:val="center"/>
              <w:rPr>
                <w:rFonts w:ascii="仿宋" w:hAnsi="仿宋" w:eastAsia="仿宋" w:cs="仿宋"/>
              </w:rPr>
            </w:pPr>
            <w:r>
              <w:rPr>
                <w:rFonts w:hint="eastAsia" w:ascii="仿宋" w:hAnsi="仿宋" w:eastAsia="仿宋" w:cs="仿宋"/>
              </w:rPr>
              <w:t>甲方(盖章)</w:t>
            </w:r>
          </w:p>
        </w:tc>
        <w:tc>
          <w:tcPr>
            <w:tcW w:w="3600" w:type="dxa"/>
            <w:tcBorders>
              <w:top w:val="single" w:color="auto" w:sz="4" w:space="0"/>
              <w:left w:val="single" w:color="auto" w:sz="4" w:space="0"/>
              <w:right w:val="single" w:color="auto" w:sz="4" w:space="0"/>
            </w:tcBorders>
            <w:vAlign w:val="center"/>
          </w:tcPr>
          <w:p>
            <w:pPr>
              <w:pStyle w:val="22"/>
              <w:spacing w:before="120" w:after="120" w:line="329" w:lineRule="auto"/>
              <w:ind w:left="113" w:hanging="113" w:hangingChars="54"/>
              <w:jc w:val="center"/>
              <w:rPr>
                <w:rFonts w:ascii="仿宋" w:hAnsi="仿宋" w:eastAsia="仿宋" w:cs="仿宋"/>
              </w:rPr>
            </w:pPr>
            <w:r>
              <w:rPr>
                <w:rFonts w:hint="eastAsia" w:ascii="仿宋" w:hAnsi="仿宋" w:eastAsia="仿宋" w:cs="仿宋"/>
              </w:rPr>
              <w:t>乙方(盖章)</w:t>
            </w: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地    址</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法定代表人</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或委托代理人</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电话</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传真</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trHeight w:val="380" w:hRule="atLeast"/>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邮政编码</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开户名称</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开户银行</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帐号</w:t>
            </w:r>
          </w:p>
        </w:tc>
        <w:tc>
          <w:tcPr>
            <w:tcW w:w="3599"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c>
          <w:tcPr>
            <w:tcW w:w="3600"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600"/>
              <w:jc w:val="center"/>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签订地点</w:t>
            </w:r>
          </w:p>
        </w:tc>
        <w:tc>
          <w:tcPr>
            <w:tcW w:w="7199" w:type="dxa"/>
            <w:gridSpan w:val="2"/>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rPr>
                <w:rFonts w:ascii="仿宋" w:hAnsi="仿宋" w:eastAsia="仿宋" w:cs="仿宋"/>
              </w:rPr>
            </w:pPr>
          </w:p>
        </w:tc>
      </w:tr>
      <w:tr>
        <w:tblPrEx>
          <w:tblCellMar>
            <w:top w:w="0" w:type="dxa"/>
            <w:left w:w="108" w:type="dxa"/>
            <w:bottom w:w="0" w:type="dxa"/>
            <w:right w:w="108" w:type="dxa"/>
          </w:tblCellMar>
        </w:tblPrEx>
        <w:trPr>
          <w:jc w:val="center"/>
        </w:trPr>
        <w:tc>
          <w:tcPr>
            <w:tcW w:w="2087" w:type="dxa"/>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jc w:val="distribute"/>
              <w:rPr>
                <w:rFonts w:ascii="仿宋" w:hAnsi="仿宋" w:eastAsia="仿宋" w:cs="仿宋"/>
              </w:rPr>
            </w:pPr>
            <w:r>
              <w:rPr>
                <w:rFonts w:hint="eastAsia" w:ascii="仿宋" w:hAnsi="仿宋" w:eastAsia="仿宋" w:cs="仿宋"/>
              </w:rPr>
              <w:t>签订日期</w:t>
            </w:r>
          </w:p>
        </w:tc>
        <w:tc>
          <w:tcPr>
            <w:tcW w:w="7199" w:type="dxa"/>
            <w:gridSpan w:val="2"/>
            <w:tcBorders>
              <w:top w:val="single" w:color="auto" w:sz="4" w:space="0"/>
              <w:left w:val="single" w:color="auto" w:sz="4" w:space="0"/>
              <w:bottom w:val="single" w:color="auto" w:sz="4" w:space="0"/>
              <w:right w:val="single" w:color="auto" w:sz="4" w:space="0"/>
            </w:tcBorders>
            <w:vAlign w:val="center"/>
          </w:tcPr>
          <w:p>
            <w:pPr>
              <w:pStyle w:val="22"/>
              <w:spacing w:before="120" w:after="120" w:line="329" w:lineRule="auto"/>
              <w:ind w:firstLine="2625" w:firstLineChars="1250"/>
              <w:jc w:val="center"/>
              <w:rPr>
                <w:rFonts w:ascii="仿宋" w:hAnsi="仿宋" w:eastAsia="仿宋" w:cs="仿宋"/>
              </w:rPr>
            </w:pPr>
            <w:r>
              <w:rPr>
                <w:rFonts w:hint="eastAsia" w:ascii="仿宋" w:hAnsi="仿宋" w:eastAsia="仿宋" w:cs="仿宋"/>
              </w:rPr>
              <w:t xml:space="preserve">    年  月  日</w:t>
            </w:r>
          </w:p>
        </w:tc>
      </w:tr>
    </w:tbl>
    <w:p>
      <w:pPr>
        <w:tabs>
          <w:tab w:val="left" w:pos="720"/>
        </w:tabs>
        <w:spacing w:line="360" w:lineRule="auto"/>
        <w:ind w:right="964"/>
        <w:rPr>
          <w:rFonts w:eastAsia="黑体"/>
          <w:b/>
          <w:bCs/>
          <w:sz w:val="24"/>
        </w:rPr>
      </w:pPr>
      <w:r>
        <w:rPr>
          <w:rFonts w:hint="eastAsia" w:ascii="仿宋" w:hAnsi="仿宋" w:eastAsia="仿宋" w:cs="仿宋"/>
          <w:b/>
          <w:sz w:val="24"/>
          <w:u w:val="wave"/>
        </w:rPr>
        <w:t>注：本合同作为示范文本，具体以中标人与采购人所签定正式合同为准。</w:t>
      </w:r>
    </w:p>
    <w:p>
      <w:pPr>
        <w:pStyle w:val="22"/>
        <w:pageBreakBefore/>
        <w:spacing w:line="800" w:lineRule="exact"/>
        <w:jc w:val="center"/>
        <w:rPr>
          <w:rFonts w:ascii="仿宋_GB2312" w:hAnsi="宋体" w:eastAsia="仿宋_GB2312"/>
          <w:b/>
          <w:sz w:val="36"/>
          <w:szCs w:val="36"/>
        </w:rPr>
      </w:pPr>
      <w:r>
        <w:rPr>
          <w:rFonts w:hint="eastAsia" w:ascii="仿宋_GB2312" w:hAnsi="宋体" w:eastAsia="仿宋_GB2312"/>
          <w:b/>
          <w:sz w:val="36"/>
          <w:szCs w:val="36"/>
        </w:rPr>
        <w:t>第五部分  评标方法及标准</w:t>
      </w:r>
    </w:p>
    <w:p>
      <w:pPr>
        <w:spacing w:line="440" w:lineRule="exact"/>
        <w:jc w:val="left"/>
        <w:rPr>
          <w:rFonts w:ascii="仿宋_GB2312" w:hAnsi="宋体" w:eastAsia="仿宋_GB2312"/>
          <w:b/>
          <w:sz w:val="24"/>
        </w:rPr>
      </w:pPr>
      <w:r>
        <w:rPr>
          <w:rFonts w:hint="eastAsia" w:ascii="仿宋_GB2312" w:hAnsi="宋体" w:eastAsia="仿宋_GB2312"/>
          <w:b/>
          <w:sz w:val="24"/>
        </w:rPr>
        <w:t>1、评标方法：</w:t>
      </w:r>
    </w:p>
    <w:p>
      <w:pPr>
        <w:spacing w:line="440" w:lineRule="exact"/>
        <w:ind w:firstLine="480" w:firstLineChars="200"/>
        <w:jc w:val="left"/>
        <w:rPr>
          <w:rFonts w:ascii="仿宋_GB2312" w:hAnsi="宋体" w:eastAsia="仿宋_GB2312"/>
          <w:sz w:val="24"/>
        </w:rPr>
      </w:pPr>
      <w:r>
        <w:rPr>
          <w:rFonts w:hint="eastAsia" w:ascii="仿宋_GB2312" w:hAnsi="宋体" w:eastAsia="仿宋_GB2312"/>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排名第一的投标人为的中标候选人。中标候选人并列的，在采购人现场监督人员的监督下，由采购人代表根据投标人电子投标文件解密成功的时间先后顺序（评审纸质备份投标文件时以纸质备份投标文件签收先后顺序）随机抽取确定。</w:t>
      </w:r>
    </w:p>
    <w:p>
      <w:pPr>
        <w:pStyle w:val="91"/>
        <w:numPr>
          <w:ilvl w:val="0"/>
          <w:numId w:val="5"/>
        </w:numPr>
        <w:spacing w:line="440" w:lineRule="exact"/>
        <w:rPr>
          <w:rFonts w:ascii="仿宋_GB2312" w:hAnsi="宋体" w:eastAsia="仿宋_GB2312"/>
          <w:sz w:val="24"/>
        </w:rPr>
      </w:pPr>
      <w:r>
        <w:rPr>
          <w:rFonts w:hint="eastAsia" w:ascii="仿宋_GB2312" w:hAnsi="宋体" w:eastAsia="仿宋_GB2312"/>
          <w:b/>
          <w:sz w:val="24"/>
        </w:rPr>
        <w:t>评分标准：</w:t>
      </w:r>
      <w:r>
        <w:rPr>
          <w:rFonts w:hint="eastAsia" w:ascii="仿宋_GB2312" w:hAnsi="宋体" w:eastAsia="仿宋_GB2312"/>
          <w:sz w:val="24"/>
        </w:rPr>
        <w:t>共100分，其中资信商务技术分80分，报价分20分。评分依下述所列为评标打分依据，分值如下（计算分值时，按其算术平均值保留小数2位）。</w:t>
      </w:r>
    </w:p>
    <w:p>
      <w:pPr>
        <w:pStyle w:val="91"/>
        <w:numPr>
          <w:ilvl w:val="0"/>
          <w:numId w:val="5"/>
        </w:numPr>
        <w:spacing w:line="440" w:lineRule="exact"/>
        <w:rPr>
          <w:rFonts w:ascii="仿宋_GB2312" w:hAnsi="宋体" w:eastAsia="仿宋_GB2312"/>
          <w:sz w:val="24"/>
        </w:rPr>
      </w:pPr>
      <w:r>
        <w:rPr>
          <w:rFonts w:hint="eastAsia" w:ascii="仿宋_GB2312" w:hAnsi="宋体" w:eastAsia="仿宋_GB2312"/>
          <w:sz w:val="24"/>
        </w:rPr>
        <w:t>资信商务技术评分方法</w:t>
      </w:r>
    </w:p>
    <w:tbl>
      <w:tblPr>
        <w:tblStyle w:val="41"/>
        <w:tblpPr w:leftFromText="180" w:rightFromText="180" w:vertAnchor="text" w:horzAnchor="page" w:tblpX="1051" w:tblpY="444"/>
        <w:tblOverlap w:val="never"/>
        <w:tblW w:w="1028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38"/>
        <w:gridCol w:w="1313"/>
        <w:gridCol w:w="7589"/>
        <w:gridCol w:w="7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638" w:type="dxa"/>
            <w:vAlign w:val="center"/>
          </w:tcPr>
          <w:p>
            <w:pPr>
              <w:spacing w:before="100" w:beforeAutospacing="1" w:after="100" w:afterAutospacing="1"/>
              <w:jc w:val="center"/>
              <w:rPr>
                <w:rFonts w:ascii="仿宋" w:hAnsi="仿宋" w:eastAsia="仿宋" w:cs="仿宋"/>
                <w:sz w:val="24"/>
              </w:rPr>
            </w:pPr>
            <w:bookmarkStart w:id="22" w:name="PO_14318_PM051"/>
            <w:bookmarkEnd w:id="22"/>
            <w:r>
              <w:rPr>
                <w:rFonts w:hint="eastAsia" w:ascii="仿宋" w:hAnsi="仿宋" w:eastAsia="仿宋" w:cs="仿宋"/>
                <w:sz w:val="24"/>
              </w:rPr>
              <w:t>序号</w:t>
            </w:r>
          </w:p>
        </w:tc>
        <w:tc>
          <w:tcPr>
            <w:tcW w:w="1313"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评审项目</w:t>
            </w:r>
          </w:p>
        </w:tc>
        <w:tc>
          <w:tcPr>
            <w:tcW w:w="7589" w:type="dxa"/>
            <w:vAlign w:val="center"/>
          </w:tcPr>
          <w:p>
            <w:pPr>
              <w:spacing w:before="100" w:beforeAutospacing="1" w:after="100" w:afterAutospacing="1"/>
              <w:ind w:left="133" w:leftChars="-207" w:hanging="568" w:hangingChars="237"/>
              <w:jc w:val="center"/>
              <w:rPr>
                <w:rFonts w:ascii="仿宋" w:hAnsi="仿宋" w:eastAsia="仿宋" w:cs="仿宋"/>
                <w:sz w:val="24"/>
              </w:rPr>
            </w:pPr>
            <w:r>
              <w:rPr>
                <w:rFonts w:hint="eastAsia" w:ascii="仿宋" w:hAnsi="仿宋" w:eastAsia="仿宋" w:cs="仿宋"/>
                <w:sz w:val="24"/>
              </w:rPr>
              <w:t>评审细则</w:t>
            </w:r>
          </w:p>
        </w:tc>
        <w:tc>
          <w:tcPr>
            <w:tcW w:w="741"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638" w:type="dxa"/>
            <w:vAlign w:val="center"/>
          </w:tcPr>
          <w:p>
            <w:pPr>
              <w:spacing w:before="100" w:beforeAutospacing="1" w:after="100" w:afterAutospacing="1" w:line="360" w:lineRule="auto"/>
              <w:jc w:val="center"/>
              <w:rPr>
                <w:rFonts w:ascii="仿宋" w:hAnsi="仿宋" w:eastAsia="仿宋" w:cs="仿宋"/>
                <w:sz w:val="24"/>
              </w:rPr>
            </w:pPr>
            <w:r>
              <w:rPr>
                <w:rFonts w:hint="eastAsia" w:ascii="仿宋" w:hAnsi="仿宋" w:eastAsia="仿宋" w:cs="仿宋"/>
                <w:sz w:val="24"/>
              </w:rPr>
              <w:t>1</w:t>
            </w:r>
          </w:p>
        </w:tc>
        <w:tc>
          <w:tcPr>
            <w:tcW w:w="1313"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企业资质</w:t>
            </w:r>
          </w:p>
        </w:tc>
        <w:tc>
          <w:tcPr>
            <w:tcW w:w="7589" w:type="dxa"/>
            <w:vAlign w:val="center"/>
          </w:tcPr>
          <w:p>
            <w:pPr>
              <w:jc w:val="left"/>
              <w:rPr>
                <w:rFonts w:ascii="仿宋" w:hAnsi="仿宋" w:eastAsia="仿宋" w:cs="仿宋"/>
                <w:sz w:val="24"/>
              </w:rPr>
            </w:pPr>
            <w:r>
              <w:rPr>
                <w:rFonts w:hint="eastAsia" w:ascii="仿宋" w:hAnsi="仿宋" w:eastAsia="仿宋" w:cs="仿宋"/>
                <w:sz w:val="24"/>
              </w:rPr>
              <w:t>投标人具有有效的劳务派遣许可证、具有环境管理体系认证证书、具有质量管理体系认证证书、具有职业健康安全管理体系认证证书，每证得1.5分。（提供证书原件扫描件）</w:t>
            </w:r>
          </w:p>
        </w:tc>
        <w:tc>
          <w:tcPr>
            <w:tcW w:w="741"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0-6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2</w:t>
            </w:r>
          </w:p>
        </w:tc>
        <w:tc>
          <w:tcPr>
            <w:tcW w:w="1313" w:type="dxa"/>
            <w:vAlign w:val="center"/>
          </w:tcPr>
          <w:p>
            <w:pPr>
              <w:jc w:val="center"/>
              <w:rPr>
                <w:rFonts w:hint="eastAsia" w:ascii="仿宋" w:hAnsi="仿宋" w:eastAsia="仿宋" w:cs="仿宋"/>
                <w:sz w:val="24"/>
              </w:rPr>
            </w:pPr>
          </w:p>
          <w:p>
            <w:pPr>
              <w:jc w:val="center"/>
              <w:rPr>
                <w:rFonts w:ascii="仿宋" w:hAnsi="仿宋" w:eastAsia="仿宋" w:cs="仿宋"/>
                <w:sz w:val="24"/>
              </w:rPr>
            </w:pPr>
            <w:r>
              <w:rPr>
                <w:rFonts w:hint="eastAsia" w:ascii="仿宋" w:hAnsi="仿宋" w:eastAsia="仿宋" w:cs="仿宋"/>
                <w:sz w:val="24"/>
              </w:rPr>
              <w:t>项目组成人员</w:t>
            </w:r>
          </w:p>
          <w:p>
            <w:pPr>
              <w:jc w:val="center"/>
              <w:rPr>
                <w:rFonts w:ascii="仿宋" w:hAnsi="仿宋" w:eastAsia="仿宋" w:cs="仿宋"/>
                <w:sz w:val="24"/>
              </w:rPr>
            </w:pPr>
          </w:p>
        </w:tc>
        <w:tc>
          <w:tcPr>
            <w:tcW w:w="7589" w:type="dxa"/>
            <w:vAlign w:val="center"/>
          </w:tcPr>
          <w:p>
            <w:pPr>
              <w:rPr>
                <w:rFonts w:ascii="仿宋" w:hAnsi="仿宋" w:eastAsia="仿宋" w:cs="仿宋"/>
                <w:sz w:val="24"/>
              </w:rPr>
            </w:pPr>
            <w:r>
              <w:rPr>
                <w:rFonts w:hint="eastAsia" w:ascii="仿宋" w:hAnsi="仿宋" w:eastAsia="仿宋" w:cs="仿宋"/>
                <w:sz w:val="24"/>
              </w:rPr>
              <w:t>1、项目负责人：具有交通劝导管理工作经验的得6分。（提供客户单位证明原件）</w:t>
            </w:r>
          </w:p>
          <w:p>
            <w:pPr>
              <w:rPr>
                <w:rFonts w:ascii="仿宋" w:hAnsi="仿宋" w:eastAsia="仿宋" w:cs="仿宋"/>
                <w:sz w:val="24"/>
              </w:rPr>
            </w:pPr>
            <w:r>
              <w:rPr>
                <w:rFonts w:hint="eastAsia" w:ascii="仿宋" w:hAnsi="仿宋" w:eastAsia="仿宋" w:cs="仿宋"/>
                <w:sz w:val="24"/>
              </w:rPr>
              <w:t>2、项目组成人员具有保安师证的，每人得1分，最高得5分。</w:t>
            </w:r>
          </w:p>
          <w:p>
            <w:pPr>
              <w:rPr>
                <w:rFonts w:ascii="仿宋" w:hAnsi="仿宋" w:eastAsia="仿宋" w:cs="仿宋"/>
                <w:sz w:val="24"/>
              </w:rPr>
            </w:pPr>
            <w:r>
              <w:rPr>
                <w:rFonts w:hint="eastAsia" w:ascii="仿宋" w:hAnsi="仿宋" w:eastAsia="仿宋" w:cs="仿宋"/>
                <w:sz w:val="24"/>
              </w:rPr>
              <w:t>3、项目组成人员具有高级公共安全管理师证的，每人得2分，最高得6分（提供证书复印件及近三个月社保证明）</w:t>
            </w:r>
          </w:p>
        </w:tc>
        <w:tc>
          <w:tcPr>
            <w:tcW w:w="741" w:type="dxa"/>
            <w:vAlign w:val="center"/>
          </w:tcPr>
          <w:p>
            <w:pPr>
              <w:jc w:val="center"/>
              <w:rPr>
                <w:rFonts w:ascii="仿宋" w:hAnsi="仿宋" w:eastAsia="仿宋" w:cs="仿宋"/>
                <w:sz w:val="24"/>
              </w:rPr>
            </w:pPr>
            <w:r>
              <w:rPr>
                <w:rFonts w:hint="eastAsia" w:ascii="仿宋" w:hAnsi="仿宋" w:eastAsia="仿宋" w:cs="仿宋"/>
                <w:sz w:val="24"/>
              </w:rPr>
              <w:t>0-17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6" w:hRule="atLeast"/>
        </w:trPr>
        <w:tc>
          <w:tcPr>
            <w:tcW w:w="638" w:type="dxa"/>
            <w:vAlign w:val="center"/>
          </w:tcPr>
          <w:p>
            <w:pPr>
              <w:spacing w:before="100" w:beforeAutospacing="1" w:after="100" w:afterAutospacing="1"/>
              <w:jc w:val="center"/>
              <w:rPr>
                <w:rFonts w:hint="eastAsia" w:ascii="仿宋" w:hAnsi="仿宋" w:eastAsia="仿宋" w:cs="仿宋"/>
                <w:sz w:val="24"/>
              </w:rPr>
            </w:pPr>
          </w:p>
          <w:p>
            <w:pPr>
              <w:spacing w:before="100" w:beforeAutospacing="1" w:after="100" w:afterAutospacing="1"/>
              <w:jc w:val="center"/>
              <w:rPr>
                <w:rFonts w:ascii="仿宋" w:hAnsi="仿宋" w:eastAsia="仿宋" w:cs="仿宋"/>
                <w:sz w:val="24"/>
              </w:rPr>
            </w:pPr>
            <w:r>
              <w:rPr>
                <w:rFonts w:hint="eastAsia" w:ascii="仿宋" w:hAnsi="仿宋" w:eastAsia="仿宋" w:cs="仿宋"/>
                <w:sz w:val="24"/>
              </w:rPr>
              <w:t>3</w:t>
            </w:r>
          </w:p>
          <w:p>
            <w:pPr>
              <w:spacing w:before="100" w:beforeAutospacing="1" w:after="100" w:afterAutospacing="1"/>
              <w:jc w:val="center"/>
              <w:rPr>
                <w:rFonts w:ascii="仿宋" w:hAnsi="仿宋" w:eastAsia="仿宋" w:cs="仿宋"/>
                <w:sz w:val="24"/>
              </w:rPr>
            </w:pPr>
          </w:p>
        </w:tc>
        <w:tc>
          <w:tcPr>
            <w:tcW w:w="1313" w:type="dxa"/>
            <w:vAlign w:val="center"/>
          </w:tcPr>
          <w:p>
            <w:pPr>
              <w:jc w:val="center"/>
              <w:rPr>
                <w:rFonts w:ascii="仿宋" w:hAnsi="仿宋" w:eastAsia="仿宋" w:cs="仿宋"/>
                <w:sz w:val="24"/>
              </w:rPr>
            </w:pPr>
            <w:r>
              <w:rPr>
                <w:rFonts w:hint="eastAsia" w:ascii="仿宋" w:hAnsi="仿宋" w:eastAsia="仿宋" w:cs="仿宋"/>
                <w:sz w:val="24"/>
              </w:rPr>
              <w:t>服务经验</w:t>
            </w:r>
          </w:p>
        </w:tc>
        <w:tc>
          <w:tcPr>
            <w:tcW w:w="7589" w:type="dxa"/>
            <w:vAlign w:val="center"/>
          </w:tcPr>
          <w:p>
            <w:pPr>
              <w:spacing w:line="276" w:lineRule="auto"/>
              <w:rPr>
                <w:rFonts w:ascii="仿宋" w:hAnsi="仿宋" w:eastAsia="仿宋" w:cs="仿宋"/>
                <w:sz w:val="24"/>
              </w:rPr>
            </w:pPr>
            <w:r>
              <w:rPr>
                <w:rFonts w:hint="eastAsia" w:ascii="仿宋" w:hAnsi="仿宋" w:eastAsia="仿宋" w:cs="仿宋"/>
                <w:sz w:val="24"/>
              </w:rPr>
              <w:t>1、2017年以来公司承接交通劝导服务项目的一个得2分，最高得4分。（提供中标通知书及合同原件扫描件）</w:t>
            </w:r>
          </w:p>
          <w:p>
            <w:pPr>
              <w:spacing w:line="276" w:lineRule="auto"/>
              <w:rPr>
                <w:rFonts w:ascii="仿宋" w:hAnsi="仿宋" w:eastAsia="仿宋" w:cs="仿宋"/>
                <w:b/>
                <w:sz w:val="24"/>
              </w:rPr>
            </w:pPr>
            <w:r>
              <w:rPr>
                <w:rFonts w:hint="eastAsia" w:ascii="仿宋" w:hAnsi="仿宋" w:eastAsia="仿宋" w:cs="仿宋"/>
                <w:sz w:val="24"/>
              </w:rPr>
              <w:t>2、行政事业单位安保入围供应商：县级得1分；市级得2分；最高得3分。（提供中标通知书及合同原件扫描件）</w:t>
            </w:r>
          </w:p>
        </w:tc>
        <w:tc>
          <w:tcPr>
            <w:tcW w:w="741" w:type="dxa"/>
            <w:vAlign w:val="center"/>
          </w:tcPr>
          <w:p>
            <w:pPr>
              <w:jc w:val="center"/>
              <w:rPr>
                <w:rFonts w:ascii="仿宋" w:hAnsi="仿宋" w:eastAsia="仿宋" w:cs="仿宋"/>
                <w:sz w:val="24"/>
              </w:rPr>
            </w:pPr>
            <w:r>
              <w:rPr>
                <w:rFonts w:hint="eastAsia" w:ascii="仿宋" w:hAnsi="仿宋" w:eastAsia="仿宋" w:cs="仿宋"/>
                <w:sz w:val="24"/>
              </w:rPr>
              <w:t>0-7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4</w:t>
            </w:r>
          </w:p>
        </w:tc>
        <w:tc>
          <w:tcPr>
            <w:tcW w:w="1313" w:type="dxa"/>
            <w:vAlign w:val="center"/>
          </w:tcPr>
          <w:p>
            <w:pPr>
              <w:jc w:val="center"/>
              <w:rPr>
                <w:rFonts w:ascii="仿宋" w:hAnsi="仿宋" w:eastAsia="仿宋" w:cs="仿宋"/>
                <w:sz w:val="24"/>
              </w:rPr>
            </w:pPr>
            <w:r>
              <w:rPr>
                <w:rFonts w:hint="eastAsia" w:ascii="仿宋" w:hAnsi="仿宋" w:eastAsia="仿宋" w:cs="仿宋"/>
                <w:sz w:val="24"/>
              </w:rPr>
              <w:t>企业诚信</w:t>
            </w:r>
          </w:p>
        </w:tc>
        <w:tc>
          <w:tcPr>
            <w:tcW w:w="7589" w:type="dxa"/>
            <w:vAlign w:val="center"/>
          </w:tcPr>
          <w:p>
            <w:pPr>
              <w:rPr>
                <w:rFonts w:ascii="仿宋" w:hAnsi="仿宋" w:eastAsia="仿宋" w:cs="仿宋"/>
                <w:sz w:val="24"/>
              </w:rPr>
            </w:pPr>
            <w:r>
              <w:rPr>
                <w:rFonts w:hint="eastAsia" w:ascii="仿宋" w:hAnsi="仿宋" w:eastAsia="仿宋" w:cs="仿宋"/>
                <w:sz w:val="24"/>
              </w:rPr>
              <w:t>公司自成立以来无违法、违纪、违规行为的得2分，（提供证明原件）</w:t>
            </w:r>
          </w:p>
          <w:p>
            <w:pPr>
              <w:rPr>
                <w:rFonts w:ascii="仿宋" w:hAnsi="仿宋" w:eastAsia="仿宋" w:cs="仿宋"/>
                <w:sz w:val="24"/>
              </w:rPr>
            </w:pPr>
            <w:r>
              <w:rPr>
                <w:rFonts w:hint="eastAsia" w:ascii="仿宋" w:hAnsi="仿宋" w:eastAsia="仿宋" w:cs="仿宋"/>
                <w:sz w:val="24"/>
              </w:rPr>
              <w:t>公司自成立以来无劳资纠纷的得2分，（提供证明原件）</w:t>
            </w:r>
          </w:p>
        </w:tc>
        <w:tc>
          <w:tcPr>
            <w:tcW w:w="741" w:type="dxa"/>
            <w:vAlign w:val="center"/>
          </w:tcPr>
          <w:p>
            <w:pPr>
              <w:jc w:val="center"/>
              <w:rPr>
                <w:rFonts w:ascii="仿宋" w:hAnsi="仿宋" w:eastAsia="仿宋" w:cs="仿宋"/>
                <w:sz w:val="24"/>
              </w:rPr>
            </w:pPr>
            <w:r>
              <w:rPr>
                <w:rFonts w:hint="eastAsia" w:ascii="仿宋" w:hAnsi="仿宋" w:eastAsia="仿宋" w:cs="仿宋"/>
                <w:sz w:val="24"/>
              </w:rPr>
              <w:t>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638" w:type="dxa"/>
            <w:vAlign w:val="center"/>
          </w:tcPr>
          <w:p>
            <w:pPr>
              <w:jc w:val="center"/>
              <w:rPr>
                <w:rFonts w:ascii="仿宋" w:hAnsi="仿宋" w:eastAsia="仿宋" w:cs="仿宋"/>
                <w:sz w:val="24"/>
              </w:rPr>
            </w:pPr>
            <w:r>
              <w:rPr>
                <w:rFonts w:hint="eastAsia" w:ascii="仿宋" w:hAnsi="仿宋" w:eastAsia="仿宋" w:cs="仿宋"/>
                <w:sz w:val="24"/>
              </w:rPr>
              <w:t>5</w:t>
            </w:r>
          </w:p>
        </w:tc>
        <w:tc>
          <w:tcPr>
            <w:tcW w:w="1313" w:type="dxa"/>
          </w:tcPr>
          <w:p>
            <w:pPr>
              <w:jc w:val="center"/>
              <w:rPr>
                <w:rFonts w:ascii="仿宋" w:hAnsi="仿宋" w:eastAsia="仿宋" w:cs="仿宋"/>
                <w:sz w:val="24"/>
              </w:rPr>
            </w:pPr>
          </w:p>
          <w:p>
            <w:pPr>
              <w:jc w:val="center"/>
              <w:rPr>
                <w:rFonts w:ascii="仿宋" w:hAnsi="仿宋" w:eastAsia="仿宋" w:cs="仿宋"/>
                <w:sz w:val="24"/>
              </w:rPr>
            </w:pPr>
            <w:r>
              <w:rPr>
                <w:rFonts w:hint="eastAsia" w:ascii="仿宋" w:hAnsi="仿宋" w:eastAsia="仿宋" w:cs="仿宋"/>
                <w:sz w:val="24"/>
              </w:rPr>
              <w:t>项目方案</w:t>
            </w:r>
          </w:p>
        </w:tc>
        <w:tc>
          <w:tcPr>
            <w:tcW w:w="7589" w:type="dxa"/>
            <w:vAlign w:val="center"/>
          </w:tcPr>
          <w:p>
            <w:pPr>
              <w:jc w:val="left"/>
              <w:rPr>
                <w:rFonts w:ascii="仿宋" w:hAnsi="仿宋" w:eastAsia="仿宋" w:cs="仿宋"/>
                <w:sz w:val="24"/>
              </w:rPr>
            </w:pPr>
            <w:r>
              <w:rPr>
                <w:rFonts w:hint="eastAsia" w:ascii="仿宋" w:hAnsi="仿宋" w:eastAsia="仿宋" w:cs="仿宋"/>
                <w:sz w:val="24"/>
              </w:rPr>
              <w:t>对投标人根据本项目实际情况做出的交通劝导方案,从先进性、完整性、合理性、可操作性等方面综合比较酌情打分。优得10-15分、良得5-10分、一般得0-5分。</w:t>
            </w:r>
          </w:p>
        </w:tc>
        <w:tc>
          <w:tcPr>
            <w:tcW w:w="741" w:type="dxa"/>
            <w:vAlign w:val="center"/>
          </w:tcPr>
          <w:p>
            <w:pPr>
              <w:jc w:val="center"/>
              <w:rPr>
                <w:rFonts w:ascii="仿宋" w:hAnsi="仿宋" w:eastAsia="仿宋" w:cs="仿宋"/>
                <w:sz w:val="24"/>
              </w:rPr>
            </w:pPr>
            <w:r>
              <w:rPr>
                <w:rFonts w:hint="eastAsia" w:ascii="仿宋" w:hAnsi="仿宋" w:eastAsia="仿宋" w:cs="仿宋"/>
                <w:sz w:val="24"/>
              </w:rPr>
              <w:t>0-15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6</w:t>
            </w:r>
          </w:p>
        </w:tc>
        <w:tc>
          <w:tcPr>
            <w:tcW w:w="1313" w:type="dxa"/>
            <w:vAlign w:val="center"/>
          </w:tcPr>
          <w:p>
            <w:pPr>
              <w:jc w:val="center"/>
              <w:rPr>
                <w:rFonts w:ascii="仿宋" w:hAnsi="仿宋" w:eastAsia="仿宋" w:cs="仿宋"/>
                <w:sz w:val="24"/>
              </w:rPr>
            </w:pPr>
            <w:r>
              <w:rPr>
                <w:rFonts w:hint="eastAsia" w:ascii="仿宋" w:hAnsi="仿宋" w:eastAsia="仿宋" w:cs="仿宋"/>
                <w:sz w:val="24"/>
              </w:rPr>
              <w:t>考核巡查</w:t>
            </w:r>
          </w:p>
          <w:p>
            <w:pPr>
              <w:jc w:val="center"/>
              <w:rPr>
                <w:rFonts w:ascii="仿宋" w:hAnsi="仿宋" w:eastAsia="仿宋" w:cs="仿宋"/>
                <w:sz w:val="24"/>
              </w:rPr>
            </w:pPr>
            <w:r>
              <w:rPr>
                <w:rFonts w:hint="eastAsia" w:ascii="仿宋" w:hAnsi="仿宋" w:eastAsia="仿宋" w:cs="仿宋"/>
                <w:sz w:val="24"/>
              </w:rPr>
              <w:t>制度</w:t>
            </w:r>
          </w:p>
        </w:tc>
        <w:tc>
          <w:tcPr>
            <w:tcW w:w="7589" w:type="dxa"/>
            <w:vAlign w:val="center"/>
          </w:tcPr>
          <w:p>
            <w:pPr>
              <w:rPr>
                <w:rFonts w:ascii="仿宋" w:hAnsi="仿宋" w:eastAsia="仿宋" w:cs="仿宋"/>
                <w:sz w:val="24"/>
              </w:rPr>
            </w:pPr>
            <w:r>
              <w:rPr>
                <w:rFonts w:hint="eastAsia" w:ascii="仿宋" w:hAnsi="仿宋" w:eastAsia="仿宋" w:cs="仿宋"/>
                <w:sz w:val="24"/>
              </w:rPr>
              <w:t>根据各投标人的考核制度、岗位巡查制度，酌情打分，优得（6-8分]、良得（3-6分]、一般得（0-3分]。</w:t>
            </w:r>
          </w:p>
        </w:tc>
        <w:tc>
          <w:tcPr>
            <w:tcW w:w="741" w:type="dxa"/>
            <w:vAlign w:val="center"/>
          </w:tcPr>
          <w:p>
            <w:pPr>
              <w:jc w:val="center"/>
              <w:rPr>
                <w:rFonts w:ascii="仿宋" w:hAnsi="仿宋" w:eastAsia="仿宋" w:cs="仿宋"/>
                <w:sz w:val="24"/>
              </w:rPr>
            </w:pPr>
            <w:r>
              <w:rPr>
                <w:rFonts w:hint="eastAsia" w:ascii="仿宋" w:hAnsi="仿宋" w:eastAsia="仿宋" w:cs="仿宋"/>
                <w:sz w:val="24"/>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3"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7</w:t>
            </w:r>
          </w:p>
        </w:tc>
        <w:tc>
          <w:tcPr>
            <w:tcW w:w="1313" w:type="dxa"/>
            <w:vAlign w:val="center"/>
          </w:tcPr>
          <w:p>
            <w:pPr>
              <w:jc w:val="center"/>
              <w:rPr>
                <w:rFonts w:ascii="仿宋" w:hAnsi="仿宋" w:eastAsia="仿宋" w:cs="仿宋"/>
                <w:sz w:val="24"/>
              </w:rPr>
            </w:pPr>
            <w:r>
              <w:rPr>
                <w:rFonts w:hint="eastAsia" w:ascii="仿宋" w:hAnsi="仿宋" w:eastAsia="仿宋" w:cs="仿宋"/>
                <w:sz w:val="24"/>
              </w:rPr>
              <w:t>培训方案</w:t>
            </w:r>
          </w:p>
        </w:tc>
        <w:tc>
          <w:tcPr>
            <w:tcW w:w="7589" w:type="dxa"/>
            <w:vAlign w:val="center"/>
          </w:tcPr>
          <w:p>
            <w:pPr>
              <w:jc w:val="left"/>
              <w:rPr>
                <w:rFonts w:ascii="仿宋" w:hAnsi="仿宋" w:eastAsia="仿宋" w:cs="仿宋"/>
                <w:sz w:val="24"/>
              </w:rPr>
            </w:pPr>
            <w:r>
              <w:rPr>
                <w:rFonts w:hint="eastAsia" w:ascii="仿宋" w:hAnsi="仿宋" w:eastAsia="仿宋" w:cs="仿宋"/>
                <w:sz w:val="24"/>
              </w:rPr>
              <w:t>针对从业人员的培训方案切合采购人实际、培训内容及培训方式具有理论和实际结合的特点、以及培训的延续性和实效性等。根据投标文件描述酌情打分。优得（6-8分]、良得（3-6分]、一般得（0-3分]。</w:t>
            </w:r>
          </w:p>
        </w:tc>
        <w:tc>
          <w:tcPr>
            <w:tcW w:w="741" w:type="dxa"/>
            <w:vAlign w:val="center"/>
          </w:tcPr>
          <w:p>
            <w:pPr>
              <w:jc w:val="center"/>
              <w:rPr>
                <w:rFonts w:ascii="仿宋" w:hAnsi="仿宋" w:eastAsia="仿宋" w:cs="仿宋"/>
                <w:sz w:val="24"/>
              </w:rPr>
            </w:pPr>
            <w:r>
              <w:rPr>
                <w:rFonts w:hint="eastAsia" w:ascii="仿宋" w:hAnsi="仿宋" w:eastAsia="仿宋" w:cs="仿宋"/>
                <w:sz w:val="24"/>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51"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8</w:t>
            </w:r>
          </w:p>
        </w:tc>
        <w:tc>
          <w:tcPr>
            <w:tcW w:w="1313" w:type="dxa"/>
            <w:vAlign w:val="center"/>
          </w:tcPr>
          <w:p>
            <w:pPr>
              <w:jc w:val="center"/>
              <w:rPr>
                <w:rFonts w:ascii="仿宋" w:hAnsi="仿宋" w:eastAsia="仿宋" w:cs="仿宋"/>
                <w:sz w:val="24"/>
              </w:rPr>
            </w:pPr>
            <w:r>
              <w:rPr>
                <w:rFonts w:hint="eastAsia" w:ascii="仿宋" w:hAnsi="仿宋" w:eastAsia="仿宋" w:cs="仿宋"/>
                <w:sz w:val="24"/>
              </w:rPr>
              <w:t>售后服务</w:t>
            </w:r>
          </w:p>
        </w:tc>
        <w:tc>
          <w:tcPr>
            <w:tcW w:w="7589" w:type="dxa"/>
            <w:vAlign w:val="center"/>
          </w:tcPr>
          <w:p>
            <w:pPr>
              <w:rPr>
                <w:rFonts w:ascii="仿宋" w:hAnsi="仿宋" w:eastAsia="仿宋" w:cs="仿宋"/>
                <w:sz w:val="24"/>
              </w:rPr>
            </w:pPr>
            <w:r>
              <w:rPr>
                <w:rFonts w:hint="eastAsia" w:ascii="仿宋" w:hAnsi="仿宋" w:eastAsia="仿宋" w:cs="仿宋"/>
                <w:sz w:val="24"/>
              </w:rPr>
              <w:t>评委根据各投标人提供的优惠承诺、售后服务承诺，酌情打分，优得（7-10分]、良得（4-7分]、一般得（0-4分]，不承诺不得分。</w:t>
            </w:r>
          </w:p>
        </w:tc>
        <w:tc>
          <w:tcPr>
            <w:tcW w:w="741" w:type="dxa"/>
            <w:vAlign w:val="center"/>
          </w:tcPr>
          <w:p>
            <w:pPr>
              <w:jc w:val="center"/>
              <w:rPr>
                <w:rFonts w:ascii="仿宋" w:hAnsi="仿宋" w:eastAsia="仿宋" w:cs="仿宋"/>
                <w:sz w:val="24"/>
              </w:rPr>
            </w:pPr>
          </w:p>
          <w:p>
            <w:pPr>
              <w:jc w:val="center"/>
              <w:rPr>
                <w:rFonts w:ascii="仿宋" w:hAnsi="仿宋" w:eastAsia="仿宋" w:cs="仿宋"/>
                <w:sz w:val="24"/>
              </w:rPr>
            </w:pPr>
            <w:r>
              <w:rPr>
                <w:rFonts w:hint="eastAsia" w:ascii="仿宋" w:hAnsi="仿宋" w:eastAsia="仿宋" w:cs="仿宋"/>
                <w:sz w:val="24"/>
              </w:rPr>
              <w:t>0-10</w:t>
            </w:r>
          </w:p>
          <w:p>
            <w:pPr>
              <w:jc w:val="center"/>
              <w:rPr>
                <w:rFonts w:ascii="仿宋" w:hAnsi="仿宋" w:eastAsia="仿宋" w:cs="仿宋"/>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9</w:t>
            </w:r>
          </w:p>
        </w:tc>
        <w:tc>
          <w:tcPr>
            <w:tcW w:w="1313" w:type="dxa"/>
            <w:vAlign w:val="center"/>
          </w:tcPr>
          <w:p>
            <w:pPr>
              <w:rPr>
                <w:rFonts w:ascii="仿宋" w:hAnsi="仿宋" w:eastAsia="仿宋" w:cs="仿宋"/>
                <w:sz w:val="24"/>
              </w:rPr>
            </w:pPr>
            <w:r>
              <w:rPr>
                <w:rFonts w:hint="eastAsia" w:ascii="仿宋" w:hAnsi="仿宋" w:eastAsia="仿宋" w:cs="仿宋"/>
                <w:sz w:val="24"/>
              </w:rPr>
              <w:t>拟投入本项目设备工具</w:t>
            </w:r>
          </w:p>
        </w:tc>
        <w:tc>
          <w:tcPr>
            <w:tcW w:w="7589" w:type="dxa"/>
            <w:vAlign w:val="center"/>
          </w:tcPr>
          <w:p>
            <w:pPr>
              <w:rPr>
                <w:rFonts w:ascii="仿宋" w:hAnsi="仿宋" w:eastAsia="仿宋" w:cs="仿宋"/>
                <w:sz w:val="24"/>
              </w:rPr>
            </w:pPr>
            <w:r>
              <w:rPr>
                <w:rFonts w:hint="eastAsia" w:ascii="仿宋" w:hAnsi="仿宋" w:eastAsia="仿宋" w:cs="仿宋"/>
                <w:sz w:val="24"/>
              </w:rPr>
              <w:t>根据项目实际需求配置相关机械设备、器材、物资清单合理性酌情打分。</w:t>
            </w:r>
          </w:p>
        </w:tc>
        <w:tc>
          <w:tcPr>
            <w:tcW w:w="741" w:type="dxa"/>
            <w:vAlign w:val="center"/>
          </w:tcPr>
          <w:p>
            <w:pPr>
              <w:jc w:val="center"/>
              <w:rPr>
                <w:rFonts w:ascii="仿宋" w:hAnsi="仿宋" w:eastAsia="仿宋" w:cs="仿宋"/>
                <w:sz w:val="24"/>
              </w:rPr>
            </w:pPr>
            <w:r>
              <w:rPr>
                <w:rFonts w:hint="eastAsia" w:ascii="仿宋" w:hAnsi="仿宋" w:eastAsia="仿宋" w:cs="仿宋"/>
                <w:sz w:val="24"/>
              </w:rPr>
              <w:t>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10</w:t>
            </w:r>
          </w:p>
        </w:tc>
        <w:tc>
          <w:tcPr>
            <w:tcW w:w="1313" w:type="dxa"/>
            <w:vAlign w:val="center"/>
          </w:tcPr>
          <w:p>
            <w:pPr>
              <w:jc w:val="center"/>
              <w:rPr>
                <w:rFonts w:ascii="仿宋" w:hAnsi="仿宋" w:eastAsia="仿宋" w:cs="仿宋"/>
                <w:sz w:val="24"/>
              </w:rPr>
            </w:pPr>
            <w:r>
              <w:rPr>
                <w:rFonts w:hint="eastAsia" w:ascii="仿宋" w:hAnsi="仿宋" w:eastAsia="仿宋" w:cs="仿宋"/>
                <w:sz w:val="24"/>
              </w:rPr>
              <w:t>标书质量</w:t>
            </w:r>
          </w:p>
        </w:tc>
        <w:tc>
          <w:tcPr>
            <w:tcW w:w="7589" w:type="dxa"/>
            <w:vAlign w:val="center"/>
          </w:tcPr>
          <w:p>
            <w:pPr>
              <w:rPr>
                <w:rFonts w:ascii="仿宋" w:hAnsi="仿宋" w:eastAsia="仿宋" w:cs="仿宋"/>
                <w:sz w:val="24"/>
              </w:rPr>
            </w:pPr>
            <w:r>
              <w:rPr>
                <w:rFonts w:hint="eastAsia" w:ascii="仿宋" w:hAnsi="仿宋" w:eastAsia="仿宋" w:cs="仿宋"/>
                <w:sz w:val="24"/>
              </w:rPr>
              <w:t>投标文件编制完整、格式规范、内容齐全、目录结构清晰，符合招标文件要求，评委酌情打分。(0－1分]</w:t>
            </w:r>
          </w:p>
        </w:tc>
        <w:tc>
          <w:tcPr>
            <w:tcW w:w="741" w:type="dxa"/>
            <w:vAlign w:val="center"/>
          </w:tcPr>
          <w:p>
            <w:pPr>
              <w:jc w:val="center"/>
              <w:rPr>
                <w:rFonts w:ascii="仿宋" w:hAnsi="仿宋" w:eastAsia="仿宋" w:cs="仿宋"/>
                <w:sz w:val="24"/>
              </w:rPr>
            </w:pPr>
            <w:r>
              <w:rPr>
                <w:rFonts w:hint="eastAsia" w:ascii="仿宋" w:hAnsi="仿宋" w:eastAsia="仿宋" w:cs="仿宋"/>
                <w:sz w:val="24"/>
              </w:rPr>
              <w:t>0-1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5" w:hRule="atLeast"/>
        </w:trPr>
        <w:tc>
          <w:tcPr>
            <w:tcW w:w="638" w:type="dxa"/>
            <w:vAlign w:val="center"/>
          </w:tcPr>
          <w:p>
            <w:pPr>
              <w:spacing w:before="100" w:beforeAutospacing="1" w:after="100" w:afterAutospacing="1"/>
              <w:jc w:val="center"/>
              <w:rPr>
                <w:rFonts w:ascii="仿宋" w:hAnsi="仿宋" w:eastAsia="仿宋" w:cs="仿宋"/>
                <w:sz w:val="24"/>
              </w:rPr>
            </w:pPr>
            <w:r>
              <w:rPr>
                <w:rFonts w:hint="eastAsia" w:ascii="仿宋" w:hAnsi="仿宋" w:eastAsia="仿宋" w:cs="仿宋"/>
                <w:sz w:val="24"/>
              </w:rPr>
              <w:t>注</w:t>
            </w:r>
          </w:p>
        </w:tc>
        <w:tc>
          <w:tcPr>
            <w:tcW w:w="9643" w:type="dxa"/>
            <w:gridSpan w:val="3"/>
            <w:vAlign w:val="center"/>
          </w:tcPr>
          <w:p>
            <w:pPr>
              <w:rPr>
                <w:rFonts w:ascii="仿宋" w:hAnsi="仿宋" w:eastAsia="仿宋" w:cs="仿宋"/>
                <w:b/>
                <w:sz w:val="24"/>
              </w:rPr>
            </w:pPr>
            <w:r>
              <w:rPr>
                <w:rFonts w:hint="eastAsia" w:ascii="仿宋" w:hAnsi="仿宋" w:eastAsia="仿宋" w:cs="仿宋"/>
                <w:b/>
                <w:kern w:val="0"/>
                <w:sz w:val="24"/>
              </w:rPr>
              <w:t>上述评分标准中，没有明确规定提供复印件的为原件资料。</w:t>
            </w:r>
          </w:p>
        </w:tc>
      </w:tr>
    </w:tbl>
    <w:p>
      <w:pPr>
        <w:spacing w:line="360" w:lineRule="auto"/>
        <w:rPr>
          <w:rFonts w:ascii="仿宋_GB2312" w:hAnsi="宋体" w:eastAsia="仿宋_GB2312"/>
          <w:bCs/>
          <w:iCs/>
          <w:sz w:val="24"/>
        </w:rPr>
      </w:pPr>
      <w:r>
        <w:rPr>
          <w:rFonts w:hint="eastAsia" w:ascii="仿宋_GB2312" w:hAnsi="宋体" w:eastAsia="仿宋_GB2312"/>
          <w:bCs/>
          <w:iCs/>
          <w:sz w:val="24"/>
        </w:rPr>
        <w:t>评标基准价：即满足招标文件要求且投标价格最低的投标报价为评标基准价，其价格分为满分。</w:t>
      </w:r>
    </w:p>
    <w:p>
      <w:pPr>
        <w:spacing w:line="360" w:lineRule="auto"/>
        <w:rPr>
          <w:rFonts w:ascii="仿宋_GB2312" w:hAnsi="宋体" w:eastAsia="仿宋_GB2312"/>
          <w:bCs/>
          <w:iCs/>
          <w:sz w:val="24"/>
        </w:rPr>
      </w:pPr>
      <w:r>
        <w:rPr>
          <w:rFonts w:hint="eastAsia" w:ascii="仿宋_GB2312" w:hAnsi="宋体" w:eastAsia="仿宋_GB2312"/>
          <w:bCs/>
          <w:iCs/>
          <w:sz w:val="24"/>
        </w:rPr>
        <w:t>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Cs/>
          <w:iCs/>
          <w:sz w:val="24"/>
        </w:rPr>
      </w:pPr>
      <w:r>
        <w:rPr>
          <w:rFonts w:hint="eastAsia" w:ascii="仿宋_GB2312" w:hAnsi="宋体" w:eastAsia="仿宋_GB2312"/>
          <w:bCs/>
          <w:iCs/>
          <w:sz w:val="24"/>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Cs/>
          <w:iCs/>
          <w:sz w:val="24"/>
        </w:rPr>
      </w:pPr>
      <w:r>
        <w:rPr>
          <w:rFonts w:hint="eastAsia" w:ascii="仿宋_GB2312" w:hAnsi="宋体" w:eastAsia="仿宋_GB2312"/>
          <w:bCs/>
          <w:iCs/>
          <w:sz w:val="24"/>
        </w:rPr>
        <w:t>即：</w:t>
      </w:r>
      <w:r>
        <w:rPr>
          <w:rFonts w:hint="eastAsia" w:ascii="仿宋_GB2312" w:hAnsi="宋体" w:eastAsia="仿宋_GB2312"/>
          <w:b/>
          <w:iCs/>
          <w:sz w:val="24"/>
        </w:rPr>
        <w:t>投标报价得分=(评标基准价／投标报价)×20</w:t>
      </w:r>
    </w:p>
    <w:bookmarkEnd w:id="18"/>
    <w:bookmarkEnd w:id="19"/>
    <w:bookmarkEnd w:id="20"/>
    <w:bookmarkEnd w:id="21"/>
    <w:p>
      <w:pPr>
        <w:pageBreakBefore/>
        <w:snapToGrid w:val="0"/>
        <w:spacing w:line="360" w:lineRule="auto"/>
        <w:jc w:val="center"/>
        <w:rPr>
          <w:rFonts w:ascii="仿宋_GB2312" w:hAnsi="仿宋_GB2312" w:eastAsia="仿宋_GB2312" w:cs="仿宋_GB2312"/>
          <w:b/>
          <w:sz w:val="36"/>
          <w:szCs w:val="20"/>
        </w:rPr>
      </w:pPr>
      <w:r>
        <w:rPr>
          <w:rFonts w:hint="eastAsia" w:ascii="仿宋_GB2312" w:hAnsi="仿宋_GB2312" w:eastAsia="仿宋_GB2312" w:cs="仿宋_GB2312"/>
          <w:b/>
          <w:sz w:val="36"/>
          <w:szCs w:val="20"/>
        </w:rPr>
        <w:t>第六部分</w:t>
      </w:r>
      <w:r>
        <w:rPr>
          <w:rFonts w:hint="eastAsia" w:ascii="仿宋_GB2312" w:hAnsi="宋体" w:eastAsia="仿宋_GB2312"/>
          <w:b/>
          <w:sz w:val="36"/>
          <w:szCs w:val="36"/>
        </w:rPr>
        <w:t>投标文件</w:t>
      </w:r>
      <w:r>
        <w:rPr>
          <w:rFonts w:hint="eastAsia" w:ascii="仿宋_GB2312" w:hAnsi="仿宋_GB2312" w:eastAsia="仿宋_GB2312" w:cs="仿宋_GB2312"/>
          <w:b/>
          <w:sz w:val="36"/>
          <w:szCs w:val="20"/>
        </w:rPr>
        <w:t>应提交的有关格式范例</w:t>
      </w:r>
    </w:p>
    <w:p>
      <w:pPr>
        <w:spacing w:line="360" w:lineRule="auto"/>
        <w:ind w:firstLine="480" w:firstLineChars="200"/>
        <w:outlineLvl w:val="0"/>
        <w:rPr>
          <w:rFonts w:ascii="仿宋_GB2312" w:hAnsi="仿宋_GB2312" w:eastAsia="仿宋_GB2312" w:cs="仿宋_GB2312"/>
          <w:sz w:val="24"/>
        </w:rPr>
      </w:pPr>
      <w:r>
        <w:rPr>
          <w:rFonts w:hint="eastAsia" w:ascii="仿宋_GB2312" w:hAnsi="仿宋_GB2312" w:eastAsia="仿宋_GB2312" w:cs="仿宋_GB2312"/>
          <w:sz w:val="24"/>
        </w:rPr>
        <w:t>投标人按照以下格式编制投标文件，并将报价文件、资信商务技术文件分别装订成册。</w:t>
      </w:r>
    </w:p>
    <w:p>
      <w:pPr>
        <w:spacing w:line="500" w:lineRule="exact"/>
        <w:jc w:val="center"/>
        <w:rPr>
          <w:rFonts w:ascii="宋体" w:hAnsi="宋体" w:cs="宋体"/>
          <w:b/>
          <w:bCs/>
          <w:color w:val="000000"/>
          <w:kern w:val="0"/>
          <w:sz w:val="36"/>
          <w:szCs w:val="36"/>
        </w:rPr>
      </w:pPr>
    </w:p>
    <w:p>
      <w:pPr>
        <w:spacing w:line="500" w:lineRule="exact"/>
        <w:jc w:val="center"/>
        <w:rPr>
          <w:rFonts w:ascii="宋体" w:hAnsi="宋体" w:cs="宋体"/>
          <w:b/>
          <w:bCs/>
          <w:color w:val="000000"/>
          <w:kern w:val="0"/>
          <w:sz w:val="36"/>
          <w:szCs w:val="36"/>
        </w:rPr>
      </w:pPr>
    </w:p>
    <w:p>
      <w:pPr>
        <w:spacing w:line="500" w:lineRule="exact"/>
        <w:jc w:val="center"/>
        <w:rPr>
          <w:rFonts w:ascii="宋体" w:hAnsi="宋体" w:cs="宋体"/>
          <w:b/>
          <w:bCs/>
          <w:color w:val="000000"/>
          <w:kern w:val="0"/>
          <w:sz w:val="36"/>
          <w:szCs w:val="36"/>
        </w:rPr>
      </w:pPr>
    </w:p>
    <w:p>
      <w:pPr>
        <w:snapToGrid w:val="0"/>
        <w:spacing w:line="360" w:lineRule="auto"/>
        <w:jc w:val="center"/>
        <w:rPr>
          <w:rFonts w:ascii="仿宋_GB2312" w:hAnsi="仿宋_GB2312" w:eastAsia="仿宋_GB2312" w:cs="仿宋_GB2312"/>
          <w:b/>
          <w:kern w:val="0"/>
          <w:sz w:val="36"/>
          <w:szCs w:val="36"/>
        </w:rPr>
      </w:pPr>
    </w:p>
    <w:p>
      <w:pPr>
        <w:snapToGrid w:val="0"/>
        <w:spacing w:line="360" w:lineRule="auto"/>
        <w:jc w:val="center"/>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报价文件部分</w:t>
      </w:r>
    </w:p>
    <w:p>
      <w:pPr>
        <w:spacing w:line="360" w:lineRule="auto"/>
        <w:jc w:val="center"/>
        <w:outlineLvl w:val="0"/>
        <w:rPr>
          <w:rFonts w:ascii="仿宋_GB2312" w:hAnsi="仿宋_GB2312" w:eastAsia="仿宋_GB2312" w:cs="仿宋_GB2312"/>
          <w:b/>
          <w:kern w:val="0"/>
          <w:sz w:val="24"/>
        </w:rPr>
      </w:pPr>
    </w:p>
    <w:p>
      <w:pPr>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目录</w:t>
      </w:r>
    </w:p>
    <w:p>
      <w:pPr>
        <w:spacing w:line="360" w:lineRule="auto"/>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（1）投标响应函……………………………………………………（页码）</w:t>
      </w:r>
    </w:p>
    <w:p>
      <w:pPr>
        <w:spacing w:line="360" w:lineRule="auto"/>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（2）开标一览表……………………………………………………（页码）</w:t>
      </w:r>
    </w:p>
    <w:p>
      <w:pPr>
        <w:spacing w:line="360" w:lineRule="auto"/>
        <w:outlineLvl w:val="0"/>
        <w:rPr>
          <w:rFonts w:ascii="仿宋_GB2312" w:hAnsi="仿宋_GB2312" w:eastAsia="仿宋_GB2312" w:cs="仿宋_GB2312"/>
          <w:kern w:val="0"/>
          <w:sz w:val="24"/>
        </w:rPr>
      </w:pPr>
      <w:r>
        <w:rPr>
          <w:rFonts w:hint="eastAsia" w:ascii="仿宋_GB2312" w:hAnsi="仿宋_GB2312" w:eastAsia="仿宋_GB2312" w:cs="仿宋_GB2312"/>
          <w:kern w:val="0"/>
          <w:sz w:val="24"/>
        </w:rPr>
        <w:t>（3）</w:t>
      </w:r>
      <w:r>
        <w:rPr>
          <w:rFonts w:hint="eastAsia" w:ascii="仿宋" w:hAnsi="仿宋" w:eastAsia="仿宋" w:cs="仿宋_GB2312"/>
          <w:kern w:val="0"/>
          <w:sz w:val="24"/>
        </w:rPr>
        <w:t>中小企业声明函及证明材料</w:t>
      </w:r>
      <w:r>
        <w:rPr>
          <w:rFonts w:hint="eastAsia" w:ascii="仿宋_GB2312" w:hAnsi="仿宋_GB2312" w:eastAsia="仿宋_GB2312" w:cs="仿宋_GB2312"/>
          <w:kern w:val="0"/>
          <w:sz w:val="24"/>
        </w:rPr>
        <w:t>…………………………………（页码）</w:t>
      </w:r>
    </w:p>
    <w:p>
      <w:pPr>
        <w:spacing w:line="360" w:lineRule="auto"/>
        <w:outlineLvl w:val="0"/>
        <w:rPr>
          <w:rFonts w:ascii="仿宋_GB2312" w:hAnsi="宋体" w:eastAsia="仿宋_GB2312"/>
          <w:b/>
          <w:sz w:val="36"/>
          <w:szCs w:val="36"/>
        </w:rPr>
      </w:pPr>
      <w:r>
        <w:rPr>
          <w:rFonts w:hint="eastAsia" w:ascii="仿宋_GB2312" w:hAnsi="仿宋_GB2312" w:eastAsia="仿宋_GB2312" w:cs="仿宋_GB2312"/>
          <w:sz w:val="24"/>
        </w:rPr>
        <w:t>（4）残疾人福利性单位声明函</w:t>
      </w:r>
      <w:r>
        <w:rPr>
          <w:rFonts w:hint="eastAsia" w:ascii="仿宋_GB2312" w:hAnsi="仿宋_GB2312" w:eastAsia="仿宋_GB2312" w:cs="仿宋_GB2312"/>
          <w:kern w:val="0"/>
          <w:sz w:val="24"/>
        </w:rPr>
        <w:t>……………………………………（页码）</w:t>
      </w:r>
    </w:p>
    <w:p>
      <w:pPr>
        <w:spacing w:line="800" w:lineRule="atLeast"/>
        <w:rPr>
          <w:rFonts w:ascii="仿宋_GB2312" w:hAnsi="宋体" w:eastAsia="仿宋_GB2312"/>
          <w:b/>
          <w:sz w:val="36"/>
          <w:szCs w:val="36"/>
        </w:rPr>
      </w:pPr>
    </w:p>
    <w:p>
      <w:pPr>
        <w:spacing w:line="800" w:lineRule="atLeast"/>
        <w:rPr>
          <w:rFonts w:ascii="仿宋_GB2312" w:hAnsi="宋体" w:eastAsia="仿宋_GB2312"/>
          <w:b/>
          <w:sz w:val="36"/>
          <w:szCs w:val="36"/>
        </w:rPr>
      </w:pPr>
    </w:p>
    <w:p>
      <w:pPr>
        <w:spacing w:line="800" w:lineRule="atLeast"/>
        <w:rPr>
          <w:rFonts w:ascii="仿宋_GB2312" w:hAnsi="宋体" w:eastAsia="仿宋_GB2312"/>
          <w:b/>
          <w:sz w:val="36"/>
          <w:szCs w:val="36"/>
        </w:rPr>
      </w:pPr>
    </w:p>
    <w:p>
      <w:pPr>
        <w:rPr>
          <w:rFonts w:ascii="仿宋_GB2312" w:hAnsi="宋体" w:eastAsia="仿宋_GB2312"/>
          <w:b/>
          <w:sz w:val="30"/>
          <w:szCs w:val="30"/>
        </w:rPr>
      </w:pPr>
    </w:p>
    <w:p>
      <w:pPr>
        <w:rPr>
          <w:rFonts w:ascii="仿宋_GB2312" w:hAnsi="宋体" w:eastAsia="仿宋_GB2312"/>
          <w:b/>
          <w:sz w:val="30"/>
          <w:szCs w:val="30"/>
        </w:rPr>
      </w:pPr>
    </w:p>
    <w:p>
      <w:pPr>
        <w:pageBreakBefore/>
        <w:rPr>
          <w:rFonts w:ascii="仿宋" w:hAnsi="仿宋" w:eastAsia="仿宋" w:cs="仿宋"/>
          <w:color w:val="000000"/>
          <w:kern w:val="0"/>
          <w:sz w:val="36"/>
          <w:szCs w:val="36"/>
        </w:rPr>
      </w:pPr>
      <w:r>
        <w:rPr>
          <w:rFonts w:hint="eastAsia" w:ascii="仿宋_GB2312" w:hAnsi="宋体" w:eastAsia="仿宋_GB2312"/>
          <w:b/>
          <w:sz w:val="30"/>
          <w:szCs w:val="30"/>
        </w:rPr>
        <w:t>1、投标响应函（格式）</w:t>
      </w:r>
    </w:p>
    <w:p>
      <w:pPr>
        <w:widowControl/>
        <w:spacing w:line="440" w:lineRule="atLeast"/>
        <w:rPr>
          <w:rFonts w:ascii="仿宋" w:hAnsi="仿宋" w:eastAsia="仿宋" w:cs="仿宋"/>
          <w:kern w:val="0"/>
          <w:sz w:val="24"/>
        </w:rPr>
      </w:pPr>
      <w:r>
        <w:rPr>
          <w:rFonts w:hint="eastAsia" w:ascii="仿宋" w:hAnsi="仿宋" w:eastAsia="仿宋" w:cs="仿宋"/>
          <w:kern w:val="0"/>
          <w:sz w:val="24"/>
        </w:rPr>
        <w:t>新昌县公安局交通警察大队：</w:t>
      </w:r>
    </w:p>
    <w:p>
      <w:pPr>
        <w:widowControl/>
        <w:spacing w:line="440" w:lineRule="atLeast"/>
        <w:ind w:firstLine="480"/>
        <w:rPr>
          <w:rFonts w:ascii="仿宋" w:hAnsi="仿宋" w:eastAsia="仿宋" w:cs="仿宋"/>
          <w:color w:val="000000"/>
          <w:kern w:val="0"/>
          <w:sz w:val="24"/>
        </w:rPr>
      </w:pPr>
      <w:r>
        <w:rPr>
          <w:rFonts w:hint="eastAsia" w:ascii="仿宋" w:hAnsi="仿宋" w:eastAsia="仿宋" w:cs="仿宋"/>
          <w:kern w:val="0"/>
          <w:sz w:val="24"/>
        </w:rPr>
        <w:t>我方参加贵方</w:t>
      </w:r>
      <w:r>
        <w:rPr>
          <w:rFonts w:hint="eastAsia" w:ascii="仿宋" w:hAnsi="仿宋" w:eastAsia="仿宋" w:cs="仿宋"/>
          <w:color w:val="000000"/>
          <w:kern w:val="0"/>
          <w:sz w:val="24"/>
        </w:rPr>
        <w:t>组织的项目（项目编号为</w:t>
      </w:r>
      <w:r>
        <w:rPr>
          <w:rFonts w:hint="eastAsia" w:ascii="仿宋" w:hAnsi="仿宋" w:eastAsia="仿宋" w:cs="仿宋"/>
          <w:color w:val="000000"/>
          <w:kern w:val="0"/>
          <w:sz w:val="24"/>
          <w:u w:val="single"/>
          <w:lang w:val="en-US" w:eastAsia="zh-CN"/>
        </w:rPr>
        <w:t xml:space="preserve">     </w:t>
      </w:r>
      <w:r>
        <w:rPr>
          <w:rFonts w:hint="eastAsia" w:ascii="仿宋" w:hAnsi="仿宋" w:eastAsia="仿宋" w:cs="仿宋"/>
          <w:color w:val="000000"/>
          <w:kern w:val="0"/>
          <w:sz w:val="24"/>
        </w:rPr>
        <w:t>）招标活动，并对此项目进行投标。为此：</w:t>
      </w:r>
    </w:p>
    <w:p>
      <w:pPr>
        <w:widowControl/>
        <w:spacing w:line="440" w:lineRule="atLeast"/>
        <w:ind w:firstLine="480"/>
        <w:rPr>
          <w:rFonts w:ascii="仿宋" w:hAnsi="仿宋" w:eastAsia="仿宋" w:cs="仿宋"/>
          <w:color w:val="000000"/>
          <w:kern w:val="0"/>
          <w:sz w:val="24"/>
        </w:rPr>
      </w:pPr>
      <w:r>
        <w:rPr>
          <w:rFonts w:hint="eastAsia" w:ascii="仿宋" w:hAnsi="仿宋" w:eastAsia="仿宋" w:cs="仿宋"/>
          <w:color w:val="000000"/>
          <w:kern w:val="0"/>
          <w:sz w:val="24"/>
        </w:rPr>
        <w:t>1、我方已详细阅读招标文件，包括招标文件补充文件（如有），完全理解并同意放弃对这方面有不明及误解的权利。</w:t>
      </w:r>
    </w:p>
    <w:p>
      <w:pPr>
        <w:widowControl/>
        <w:spacing w:line="440" w:lineRule="atLeast"/>
        <w:ind w:firstLine="480"/>
        <w:rPr>
          <w:rFonts w:ascii="仿宋" w:hAnsi="仿宋" w:eastAsia="仿宋" w:cs="仿宋"/>
          <w:color w:val="000000"/>
          <w:kern w:val="0"/>
          <w:sz w:val="24"/>
        </w:rPr>
      </w:pPr>
      <w:r>
        <w:rPr>
          <w:rFonts w:hint="eastAsia" w:ascii="仿宋" w:hAnsi="仿宋" w:eastAsia="仿宋" w:cs="仿宋"/>
          <w:color w:val="000000"/>
          <w:kern w:val="0"/>
          <w:sz w:val="24"/>
        </w:rPr>
        <w:t>2、我方承诺已经具备《中华人民共和国政府采购法》及招标文件中规定的参加政府采购活动的供应商应当具备的条件。</w:t>
      </w:r>
    </w:p>
    <w:p>
      <w:pPr>
        <w:widowControl/>
        <w:spacing w:line="440" w:lineRule="atLeast"/>
        <w:ind w:firstLine="480"/>
        <w:rPr>
          <w:rFonts w:ascii="仿宋" w:hAnsi="仿宋" w:eastAsia="仿宋" w:cs="仿宋"/>
          <w:kern w:val="0"/>
          <w:sz w:val="24"/>
        </w:rPr>
      </w:pPr>
      <w:r>
        <w:rPr>
          <w:rFonts w:hint="eastAsia" w:ascii="仿宋" w:hAnsi="仿宋" w:eastAsia="仿宋" w:cs="仿宋"/>
          <w:kern w:val="0"/>
          <w:sz w:val="24"/>
        </w:rPr>
        <w:t>3、我方法定代表人或授权委托人不再参加现场开标会议，将以线上参与形式全程参加开标会议并接受评审过程的询标，对采购人现场监督人员监督下进行的开评标活动及产生的结果均予以认可。</w:t>
      </w:r>
    </w:p>
    <w:p>
      <w:pPr>
        <w:widowControl/>
        <w:spacing w:line="440" w:lineRule="atLeast"/>
        <w:ind w:firstLine="480"/>
        <w:rPr>
          <w:rFonts w:ascii="仿宋" w:hAnsi="仿宋" w:eastAsia="仿宋" w:cs="仿宋"/>
          <w:kern w:val="0"/>
          <w:sz w:val="24"/>
        </w:rPr>
      </w:pPr>
      <w:r>
        <w:rPr>
          <w:rFonts w:hint="eastAsia" w:ascii="仿宋" w:hAnsi="仿宋" w:eastAsia="仿宋" w:cs="仿宋"/>
          <w:kern w:val="0"/>
          <w:sz w:val="24"/>
        </w:rPr>
        <w:t>4、针对该项目，我方的投标总报价见报价文件。</w:t>
      </w:r>
    </w:p>
    <w:p>
      <w:pPr>
        <w:widowControl/>
        <w:spacing w:line="440" w:lineRule="atLeast"/>
        <w:ind w:left="239" w:firstLine="240"/>
        <w:rPr>
          <w:rFonts w:ascii="仿宋" w:hAnsi="仿宋" w:eastAsia="仿宋" w:cs="仿宋"/>
          <w:kern w:val="0"/>
          <w:sz w:val="24"/>
        </w:rPr>
      </w:pPr>
      <w:r>
        <w:rPr>
          <w:rFonts w:hint="eastAsia" w:ascii="仿宋" w:hAnsi="仿宋" w:eastAsia="仿宋" w:cs="仿宋"/>
          <w:kern w:val="0"/>
          <w:sz w:val="24"/>
        </w:rPr>
        <w:t>5、我方已提供采购文件规定的全部投标文件，包括电子投标文件1份；纸质备份投标文件正本1份，副本4份。</w:t>
      </w:r>
    </w:p>
    <w:p>
      <w:pPr>
        <w:widowControl/>
        <w:spacing w:line="440" w:lineRule="atLeast"/>
        <w:ind w:firstLine="480"/>
        <w:rPr>
          <w:rFonts w:ascii="仿宋" w:hAnsi="仿宋" w:eastAsia="仿宋" w:cs="仿宋"/>
          <w:kern w:val="0"/>
          <w:sz w:val="24"/>
        </w:rPr>
      </w:pPr>
      <w:r>
        <w:rPr>
          <w:rFonts w:hint="eastAsia" w:ascii="仿宋" w:hAnsi="仿宋" w:eastAsia="仿宋" w:cs="仿宋"/>
          <w:kern w:val="0"/>
          <w:sz w:val="24"/>
        </w:rPr>
        <w:t>6、我方保证在合同签订前向采购人提交履约保证金人民币贰万元整。</w:t>
      </w:r>
    </w:p>
    <w:p>
      <w:pPr>
        <w:widowControl/>
        <w:spacing w:line="440" w:lineRule="atLeast"/>
        <w:ind w:firstLine="480"/>
        <w:rPr>
          <w:rFonts w:ascii="仿宋" w:hAnsi="仿宋" w:eastAsia="仿宋" w:cs="仿宋"/>
          <w:kern w:val="0"/>
          <w:sz w:val="24"/>
        </w:rPr>
      </w:pPr>
      <w:r>
        <w:rPr>
          <w:rFonts w:hint="eastAsia" w:ascii="仿宋" w:hAnsi="仿宋" w:eastAsia="仿宋" w:cs="仿宋"/>
          <w:kern w:val="0"/>
          <w:sz w:val="24"/>
        </w:rPr>
        <w:t>7、我方向贵方提供任何与该项投标有关的数据、情况和技术资料都属实。</w:t>
      </w:r>
    </w:p>
    <w:p>
      <w:pPr>
        <w:widowControl/>
        <w:spacing w:line="440" w:lineRule="atLeast"/>
        <w:ind w:firstLine="480"/>
        <w:rPr>
          <w:rFonts w:ascii="仿宋" w:hAnsi="仿宋" w:eastAsia="仿宋" w:cs="仿宋"/>
          <w:color w:val="000000"/>
          <w:kern w:val="0"/>
          <w:sz w:val="24"/>
        </w:rPr>
      </w:pPr>
      <w:r>
        <w:rPr>
          <w:rFonts w:hint="eastAsia" w:ascii="仿宋" w:hAnsi="仿宋" w:eastAsia="仿宋" w:cs="仿宋"/>
          <w:color w:val="000000"/>
          <w:kern w:val="0"/>
          <w:sz w:val="24"/>
        </w:rPr>
        <w:t>8、我方在投标过程中将严格遵守《中华人民共和国政府采购法》及招标文件中的其他有关规定。</w:t>
      </w:r>
    </w:p>
    <w:p>
      <w:pPr>
        <w:widowControl/>
        <w:spacing w:line="440" w:lineRule="atLeast"/>
        <w:ind w:firstLine="3420"/>
        <w:rPr>
          <w:rFonts w:ascii="仿宋" w:hAnsi="仿宋" w:eastAsia="仿宋" w:cs="仿宋"/>
          <w:color w:val="000000"/>
          <w:kern w:val="0"/>
          <w:sz w:val="24"/>
        </w:rPr>
      </w:pPr>
    </w:p>
    <w:p>
      <w:pPr>
        <w:widowControl/>
        <w:spacing w:line="440" w:lineRule="atLeast"/>
        <w:ind w:firstLine="3420"/>
        <w:rPr>
          <w:rFonts w:ascii="仿宋" w:hAnsi="仿宋" w:eastAsia="仿宋" w:cs="仿宋"/>
          <w:color w:val="000000"/>
          <w:kern w:val="0"/>
          <w:sz w:val="24"/>
        </w:rPr>
      </w:pPr>
      <w:r>
        <w:rPr>
          <w:rFonts w:hint="eastAsia" w:ascii="仿宋" w:hAnsi="仿宋" w:eastAsia="仿宋" w:cs="仿宋"/>
          <w:color w:val="000000"/>
          <w:kern w:val="0"/>
          <w:sz w:val="24"/>
        </w:rPr>
        <w:t>投标人（盖章）：</w:t>
      </w:r>
    </w:p>
    <w:p>
      <w:pPr>
        <w:widowControl/>
        <w:spacing w:line="440" w:lineRule="atLeast"/>
        <w:ind w:firstLine="3420"/>
        <w:rPr>
          <w:rFonts w:ascii="仿宋" w:hAnsi="仿宋" w:eastAsia="仿宋" w:cs="仿宋"/>
          <w:color w:val="000000"/>
          <w:kern w:val="0"/>
          <w:sz w:val="24"/>
        </w:rPr>
      </w:pPr>
    </w:p>
    <w:p>
      <w:pPr>
        <w:widowControl/>
        <w:spacing w:line="440" w:lineRule="atLeast"/>
        <w:ind w:firstLine="3420"/>
        <w:rPr>
          <w:rFonts w:ascii="仿宋" w:hAnsi="仿宋" w:eastAsia="仿宋" w:cs="仿宋"/>
          <w:color w:val="000000"/>
          <w:kern w:val="0"/>
          <w:sz w:val="24"/>
        </w:rPr>
      </w:pPr>
      <w:r>
        <w:rPr>
          <w:rFonts w:hint="eastAsia" w:ascii="仿宋" w:hAnsi="仿宋" w:eastAsia="仿宋" w:cs="仿宋"/>
          <w:color w:val="000000"/>
          <w:kern w:val="0"/>
          <w:sz w:val="24"/>
        </w:rPr>
        <w:t>法定代表人或委托代理人（签字）：</w:t>
      </w:r>
    </w:p>
    <w:p>
      <w:pPr>
        <w:widowControl/>
        <w:spacing w:line="440" w:lineRule="atLeast"/>
        <w:ind w:firstLine="3420"/>
        <w:rPr>
          <w:rFonts w:ascii="仿宋" w:hAnsi="仿宋" w:eastAsia="仿宋" w:cs="仿宋"/>
          <w:color w:val="000000"/>
          <w:kern w:val="0"/>
          <w:sz w:val="24"/>
        </w:rPr>
      </w:pPr>
    </w:p>
    <w:p>
      <w:pPr>
        <w:widowControl/>
        <w:spacing w:line="440" w:lineRule="atLeast"/>
        <w:ind w:firstLine="3420"/>
        <w:rPr>
          <w:rFonts w:ascii="仿宋" w:hAnsi="仿宋" w:eastAsia="仿宋" w:cs="仿宋"/>
          <w:color w:val="000000"/>
          <w:kern w:val="0"/>
          <w:sz w:val="24"/>
        </w:rPr>
      </w:pPr>
      <w:r>
        <w:rPr>
          <w:rFonts w:hint="eastAsia" w:ascii="仿宋" w:hAnsi="仿宋" w:eastAsia="仿宋" w:cs="仿宋"/>
          <w:color w:val="000000"/>
          <w:kern w:val="0"/>
          <w:sz w:val="24"/>
        </w:rPr>
        <w:t>日期：</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年</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月</w:t>
      </w:r>
      <w:r>
        <w:rPr>
          <w:rFonts w:hint="eastAsia" w:ascii="仿宋" w:hAnsi="仿宋" w:eastAsia="仿宋" w:cs="仿宋"/>
          <w:color w:val="000000"/>
          <w:kern w:val="0"/>
          <w:sz w:val="24"/>
          <w:lang w:val="en-US" w:eastAsia="zh-CN"/>
        </w:rPr>
        <w:t xml:space="preserve">  </w:t>
      </w:r>
      <w:r>
        <w:rPr>
          <w:rFonts w:hint="eastAsia" w:ascii="仿宋" w:hAnsi="仿宋" w:eastAsia="仿宋" w:cs="仿宋"/>
          <w:color w:val="000000"/>
          <w:kern w:val="0"/>
          <w:sz w:val="24"/>
        </w:rPr>
        <w:t>日</w:t>
      </w:r>
    </w:p>
    <w:p>
      <w:pPr>
        <w:widowControl/>
        <w:rPr>
          <w:rFonts w:ascii="仿宋" w:hAnsi="仿宋" w:eastAsia="仿宋" w:cs="仿宋"/>
          <w:color w:val="000000"/>
          <w:kern w:val="0"/>
          <w:sz w:val="24"/>
        </w:rPr>
      </w:pPr>
    </w:p>
    <w:p>
      <w:pPr>
        <w:widowControl/>
        <w:rPr>
          <w:rFonts w:ascii="仿宋" w:hAnsi="仿宋" w:eastAsia="仿宋" w:cs="仿宋"/>
          <w:color w:val="000000"/>
          <w:kern w:val="0"/>
          <w:sz w:val="24"/>
        </w:rPr>
      </w:pPr>
    </w:p>
    <w:p>
      <w:pPr>
        <w:widowControl/>
        <w:rPr>
          <w:rFonts w:ascii="仿宋" w:hAnsi="仿宋" w:eastAsia="仿宋" w:cs="仿宋"/>
          <w:color w:val="000000"/>
          <w:kern w:val="0"/>
          <w:sz w:val="24"/>
        </w:rPr>
      </w:pPr>
    </w:p>
    <w:p>
      <w:pPr>
        <w:widowControl/>
        <w:rPr>
          <w:rFonts w:ascii="仿宋" w:hAnsi="仿宋" w:eastAsia="仿宋" w:cs="仿宋"/>
          <w:color w:val="000000"/>
          <w:kern w:val="0"/>
          <w:sz w:val="24"/>
        </w:rPr>
      </w:pPr>
    </w:p>
    <w:p>
      <w:pPr>
        <w:widowControl/>
        <w:rPr>
          <w:rFonts w:ascii="仿宋" w:hAnsi="仿宋" w:eastAsia="仿宋" w:cs="仿宋"/>
          <w:color w:val="000000"/>
          <w:kern w:val="0"/>
          <w:sz w:val="24"/>
        </w:rPr>
      </w:pPr>
    </w:p>
    <w:p>
      <w:pPr>
        <w:pageBreakBefore/>
        <w:spacing w:line="800" w:lineRule="exact"/>
        <w:rPr>
          <w:rFonts w:ascii="仿宋_GB2312" w:hAnsi="宋体" w:eastAsia="仿宋_GB2312"/>
          <w:b/>
          <w:sz w:val="30"/>
          <w:szCs w:val="30"/>
        </w:rPr>
      </w:pPr>
      <w:r>
        <w:rPr>
          <w:rFonts w:hint="eastAsia" w:ascii="仿宋_GB2312" w:hAnsi="宋体" w:eastAsia="仿宋_GB2312"/>
          <w:b/>
          <w:sz w:val="30"/>
          <w:szCs w:val="30"/>
        </w:rPr>
        <w:t>2、开标一览表（格式）</w:t>
      </w:r>
    </w:p>
    <w:p>
      <w:pPr>
        <w:spacing w:line="400" w:lineRule="exact"/>
        <w:rPr>
          <w:rFonts w:ascii="仿宋_GB2312" w:hAnsi="宋体" w:eastAsia="仿宋_GB2312"/>
          <w:sz w:val="24"/>
        </w:rPr>
      </w:pPr>
    </w:p>
    <w:p>
      <w:pPr>
        <w:spacing w:line="400" w:lineRule="exact"/>
        <w:rPr>
          <w:rFonts w:ascii="仿宋_GB2312" w:hAnsi="宋体" w:eastAsia="仿宋_GB2312"/>
          <w:sz w:val="24"/>
        </w:rPr>
      </w:pPr>
      <w:r>
        <w:rPr>
          <w:rFonts w:hint="eastAsia" w:ascii="仿宋_GB2312" w:hAnsi="宋体" w:eastAsia="仿宋_GB2312"/>
          <w:sz w:val="24"/>
        </w:rPr>
        <w:t>项目名称：</w:t>
      </w:r>
    </w:p>
    <w:p>
      <w:pPr>
        <w:snapToGrid w:val="0"/>
        <w:spacing w:line="400" w:lineRule="exact"/>
        <w:rPr>
          <w:rFonts w:ascii="仿宋_GB2312" w:hAnsi="宋体" w:eastAsia="仿宋_GB2312"/>
          <w:sz w:val="24"/>
          <w:u w:val="single"/>
        </w:rPr>
      </w:pPr>
      <w:r>
        <w:rPr>
          <w:rFonts w:hint="eastAsia" w:ascii="仿宋_GB2312" w:hAnsi="宋体" w:eastAsia="仿宋_GB2312"/>
          <w:sz w:val="24"/>
        </w:rPr>
        <w:t>项目编号：</w:t>
      </w:r>
    </w:p>
    <w:tbl>
      <w:tblPr>
        <w:tblStyle w:val="41"/>
        <w:tblW w:w="9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0"/>
        <w:gridCol w:w="3392"/>
        <w:gridCol w:w="5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87" w:hRule="exact"/>
          <w:jc w:val="center"/>
        </w:trPr>
        <w:tc>
          <w:tcPr>
            <w:tcW w:w="1020" w:type="dxa"/>
            <w:vAlign w:val="center"/>
          </w:tcPr>
          <w:p>
            <w:pPr>
              <w:jc w:val="center"/>
              <w:rPr>
                <w:rFonts w:ascii="仿宋" w:hAnsi="仿宋" w:eastAsia="仿宋" w:cs="仿宋"/>
                <w:sz w:val="24"/>
              </w:rPr>
            </w:pPr>
            <w:r>
              <w:rPr>
                <w:rFonts w:hint="eastAsia" w:ascii="仿宋" w:hAnsi="仿宋" w:eastAsia="仿宋" w:cs="仿宋"/>
                <w:sz w:val="24"/>
              </w:rPr>
              <w:t>序号</w:t>
            </w:r>
          </w:p>
        </w:tc>
        <w:tc>
          <w:tcPr>
            <w:tcW w:w="3392" w:type="dxa"/>
            <w:vAlign w:val="center"/>
          </w:tcPr>
          <w:p>
            <w:pPr>
              <w:jc w:val="center"/>
              <w:rPr>
                <w:rFonts w:ascii="仿宋" w:hAnsi="仿宋" w:eastAsia="仿宋" w:cs="仿宋"/>
                <w:sz w:val="24"/>
              </w:rPr>
            </w:pPr>
            <w:r>
              <w:rPr>
                <w:rFonts w:hint="eastAsia" w:ascii="仿宋" w:hAnsi="仿宋" w:eastAsia="仿宋" w:cs="仿宋"/>
                <w:sz w:val="24"/>
              </w:rPr>
              <w:t>项目名称</w:t>
            </w:r>
          </w:p>
        </w:tc>
        <w:tc>
          <w:tcPr>
            <w:tcW w:w="5387" w:type="dxa"/>
            <w:vAlign w:val="center"/>
          </w:tcPr>
          <w:p>
            <w:pPr>
              <w:jc w:val="center"/>
              <w:rPr>
                <w:rFonts w:ascii="仿宋" w:hAnsi="仿宋" w:eastAsia="仿宋" w:cs="仿宋"/>
                <w:sz w:val="24"/>
              </w:rPr>
            </w:pPr>
            <w:r>
              <w:rPr>
                <w:rFonts w:hint="eastAsia" w:ascii="仿宋" w:hAnsi="仿宋" w:eastAsia="仿宋" w:cs="仿宋"/>
                <w:sz w:val="24"/>
              </w:rPr>
              <w:t>投标总报价(元)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3" w:hRule="atLeast"/>
          <w:jc w:val="center"/>
        </w:trPr>
        <w:tc>
          <w:tcPr>
            <w:tcW w:w="1020" w:type="dxa"/>
            <w:vAlign w:val="center"/>
          </w:tcPr>
          <w:p>
            <w:pPr>
              <w:jc w:val="center"/>
              <w:rPr>
                <w:rFonts w:ascii="仿宋" w:hAnsi="仿宋" w:eastAsia="仿宋" w:cs="仿宋"/>
                <w:sz w:val="24"/>
              </w:rPr>
            </w:pPr>
            <w:r>
              <w:rPr>
                <w:rFonts w:hint="eastAsia" w:ascii="仿宋" w:hAnsi="仿宋" w:eastAsia="仿宋" w:cs="仿宋"/>
                <w:sz w:val="24"/>
              </w:rPr>
              <w:t>1</w:t>
            </w:r>
          </w:p>
        </w:tc>
        <w:tc>
          <w:tcPr>
            <w:tcW w:w="3392" w:type="dxa"/>
            <w:vAlign w:val="center"/>
          </w:tcPr>
          <w:p>
            <w:pPr>
              <w:jc w:val="center"/>
              <w:rPr>
                <w:rFonts w:ascii="仿宋" w:hAnsi="仿宋" w:eastAsia="仿宋" w:cs="仿宋"/>
                <w:sz w:val="24"/>
              </w:rPr>
            </w:pPr>
            <w:r>
              <w:rPr>
                <w:rFonts w:hint="eastAsia" w:ascii="仿宋" w:hAnsi="仿宋" w:eastAsia="仿宋" w:cs="仿宋"/>
                <w:sz w:val="24"/>
              </w:rPr>
              <w:t>新昌县公安局交通警察大队交通劝导服务项目</w:t>
            </w:r>
          </w:p>
        </w:tc>
        <w:tc>
          <w:tcPr>
            <w:tcW w:w="5387" w:type="dxa"/>
            <w:vAlign w:val="center"/>
          </w:tcPr>
          <w:p>
            <w:pPr>
              <w:rPr>
                <w:rFonts w:ascii="仿宋" w:hAnsi="仿宋" w:eastAsia="仿宋" w:cs="仿宋"/>
                <w:sz w:val="24"/>
              </w:rPr>
            </w:pPr>
            <w:r>
              <w:rPr>
                <w:rFonts w:hint="eastAsia" w:ascii="仿宋" w:hAnsi="仿宋" w:eastAsia="仿宋" w:cs="仿宋"/>
                <w:sz w:val="24"/>
              </w:rPr>
              <w:t>大写:</w:t>
            </w:r>
          </w:p>
          <w:p>
            <w:pPr>
              <w:rPr>
                <w:rFonts w:ascii="仿宋" w:hAnsi="仿宋" w:eastAsia="仿宋" w:cs="仿宋"/>
                <w:sz w:val="24"/>
              </w:rPr>
            </w:pPr>
          </w:p>
          <w:p>
            <w:pPr>
              <w:rPr>
                <w:rFonts w:ascii="仿宋" w:hAnsi="仿宋" w:eastAsia="仿宋" w:cs="仿宋"/>
                <w:sz w:val="24"/>
              </w:rPr>
            </w:pPr>
            <w:r>
              <w:rPr>
                <w:rFonts w:hint="eastAsia" w:ascii="仿宋" w:hAnsi="仿宋" w:eastAsia="仿宋" w:cs="仿宋"/>
                <w:sz w:val="24"/>
              </w:rPr>
              <w:t>小写:</w:t>
            </w:r>
          </w:p>
        </w:tc>
      </w:tr>
    </w:tbl>
    <w:p>
      <w:pPr>
        <w:spacing w:line="440" w:lineRule="exact"/>
        <w:jc w:val="left"/>
        <w:rPr>
          <w:rFonts w:ascii="仿宋_GB2312" w:hAnsi="宋体" w:eastAsia="仿宋_GB2312"/>
          <w:sz w:val="24"/>
        </w:rPr>
      </w:pPr>
    </w:p>
    <w:p>
      <w:pPr>
        <w:spacing w:line="360" w:lineRule="auto"/>
        <w:ind w:left="-3" w:leftChars="-72" w:right="-817" w:rightChars="-389" w:hanging="148" w:hangingChars="62"/>
        <w:rPr>
          <w:rFonts w:ascii="仿宋_GB2312" w:hAnsi="宋体" w:eastAsia="仿宋_GB2312"/>
          <w:sz w:val="24"/>
        </w:rPr>
      </w:pPr>
      <w:r>
        <w:rPr>
          <w:rFonts w:hint="eastAsia" w:ascii="仿宋_GB2312" w:hAnsi="宋体" w:eastAsia="仿宋_GB2312"/>
          <w:sz w:val="24"/>
        </w:rPr>
        <w:t>注: 投标总报价不得超过本项目预算价130万元,否则报价无效。</w:t>
      </w:r>
    </w:p>
    <w:p>
      <w:pPr>
        <w:spacing w:line="360" w:lineRule="auto"/>
        <w:ind w:left="-4" w:leftChars="-2" w:right="-817" w:rightChars="-389" w:firstLine="2"/>
        <w:rPr>
          <w:rFonts w:ascii="仿宋_GB2312" w:hAnsi="宋体" w:eastAsia="仿宋_GB2312"/>
          <w:sz w:val="24"/>
        </w:rPr>
      </w:pPr>
    </w:p>
    <w:p>
      <w:pPr>
        <w:spacing w:line="360" w:lineRule="auto"/>
        <w:ind w:left="-4" w:leftChars="-2" w:right="-817" w:rightChars="-389" w:firstLine="2"/>
        <w:rPr>
          <w:rFonts w:ascii="仿宋_GB2312" w:hAnsi="宋体" w:eastAsia="仿宋_GB2312"/>
          <w:sz w:val="24"/>
        </w:rPr>
      </w:pPr>
      <w:r>
        <w:rPr>
          <w:rFonts w:hint="eastAsia" w:ascii="仿宋_GB2312" w:hAnsi="宋体" w:eastAsia="仿宋_GB2312"/>
          <w:sz w:val="24"/>
        </w:rPr>
        <w:t>投标人名称（盖章）：</w:t>
      </w:r>
    </w:p>
    <w:p>
      <w:pPr>
        <w:spacing w:line="360" w:lineRule="auto"/>
        <w:outlineLvl w:val="0"/>
        <w:rPr>
          <w:rFonts w:ascii="仿宋_GB2312" w:hAnsi="宋体" w:eastAsia="仿宋_GB2312"/>
          <w:sz w:val="24"/>
        </w:rPr>
      </w:pPr>
      <w:r>
        <w:rPr>
          <w:rFonts w:hint="eastAsia" w:ascii="仿宋_GB2312" w:hAnsi="宋体" w:eastAsia="仿宋_GB2312"/>
          <w:sz w:val="24"/>
        </w:rPr>
        <w:t xml:space="preserve">法定代表人或其授权代表（签字或盖章）：          </w:t>
      </w:r>
    </w:p>
    <w:p>
      <w:pPr>
        <w:spacing w:line="360" w:lineRule="auto"/>
        <w:outlineLvl w:val="0"/>
        <w:rPr>
          <w:rFonts w:ascii="仿宋_GB2312" w:hAnsi="宋体" w:eastAsia="仿宋_GB2312"/>
          <w:sz w:val="24"/>
        </w:rPr>
      </w:pPr>
      <w:r>
        <w:rPr>
          <w:rFonts w:hint="eastAsia" w:ascii="仿宋_GB2312" w:hAnsi="宋体" w:eastAsia="仿宋_GB2312"/>
          <w:sz w:val="24"/>
        </w:rPr>
        <w:t>日期：    年   月   日</w:t>
      </w:r>
    </w:p>
    <w:p>
      <w:pPr>
        <w:widowControl/>
        <w:jc w:val="center"/>
        <w:rPr>
          <w:rFonts w:ascii="仿宋_GB2312" w:eastAsia="仿宋_GB2312"/>
          <w:b/>
          <w:sz w:val="32"/>
          <w:szCs w:val="32"/>
        </w:rPr>
      </w:pPr>
    </w:p>
    <w:p>
      <w:pPr>
        <w:widowControl/>
        <w:jc w:val="center"/>
        <w:rPr>
          <w:rFonts w:ascii="仿宋_GB2312" w:eastAsia="仿宋_GB2312"/>
          <w:b/>
          <w:sz w:val="32"/>
          <w:szCs w:val="32"/>
        </w:rPr>
      </w:pPr>
    </w:p>
    <w:p>
      <w:pPr>
        <w:widowControl/>
        <w:jc w:val="center"/>
        <w:rPr>
          <w:rFonts w:ascii="仿宋_GB2312" w:eastAsia="仿宋_GB2312"/>
          <w:b/>
          <w:sz w:val="32"/>
          <w:szCs w:val="32"/>
        </w:rPr>
      </w:pPr>
    </w:p>
    <w:p>
      <w:pPr>
        <w:widowControl/>
        <w:jc w:val="center"/>
        <w:rPr>
          <w:rFonts w:ascii="仿宋_GB2312" w:eastAsia="仿宋_GB2312"/>
          <w:b/>
          <w:sz w:val="32"/>
          <w:szCs w:val="32"/>
        </w:rPr>
      </w:pPr>
    </w:p>
    <w:p>
      <w:pPr>
        <w:widowControl/>
        <w:tabs>
          <w:tab w:val="left" w:pos="1324"/>
        </w:tabs>
        <w:jc w:val="left"/>
        <w:rPr>
          <w:rFonts w:ascii="仿宋_GB2312" w:eastAsia="仿宋_GB2312"/>
          <w:b/>
          <w:sz w:val="32"/>
          <w:szCs w:val="32"/>
        </w:rPr>
      </w:pPr>
      <w:r>
        <w:rPr>
          <w:rFonts w:hint="eastAsia" w:ascii="仿宋_GB2312" w:eastAsia="仿宋_GB2312"/>
          <w:b/>
          <w:sz w:val="32"/>
          <w:szCs w:val="32"/>
        </w:rPr>
        <w:tab/>
      </w:r>
    </w:p>
    <w:p>
      <w:pPr>
        <w:pStyle w:val="17"/>
        <w:rPr>
          <w:rFonts w:ascii="仿宋_GB2312"/>
          <w:b/>
          <w:sz w:val="32"/>
          <w:szCs w:val="32"/>
        </w:rPr>
      </w:pPr>
    </w:p>
    <w:p>
      <w:pPr>
        <w:pStyle w:val="17"/>
        <w:rPr>
          <w:rFonts w:ascii="仿宋_GB2312"/>
          <w:b/>
          <w:sz w:val="32"/>
          <w:szCs w:val="32"/>
        </w:rPr>
      </w:pPr>
    </w:p>
    <w:p>
      <w:pPr>
        <w:pStyle w:val="17"/>
        <w:rPr>
          <w:rFonts w:ascii="仿宋_GB2312"/>
          <w:b/>
          <w:sz w:val="32"/>
          <w:szCs w:val="32"/>
        </w:rPr>
      </w:pPr>
    </w:p>
    <w:p>
      <w:pPr>
        <w:pStyle w:val="17"/>
        <w:rPr>
          <w:rFonts w:ascii="仿宋_GB2312"/>
          <w:b/>
          <w:sz w:val="32"/>
          <w:szCs w:val="32"/>
        </w:rPr>
      </w:pPr>
    </w:p>
    <w:p>
      <w:pPr>
        <w:pageBreakBefore/>
        <w:rPr>
          <w:rFonts w:ascii="仿宋_GB2312" w:hAnsi="仿宋_GB2312" w:eastAsia="仿宋_GB2312" w:cs="仿宋_GB2312"/>
          <w:b/>
          <w:sz w:val="32"/>
          <w:szCs w:val="32"/>
        </w:rPr>
      </w:pPr>
      <w:r>
        <w:rPr>
          <w:rFonts w:hint="eastAsia" w:ascii="仿宋_GB2312" w:eastAsia="仿宋_GB2312"/>
          <w:b/>
          <w:sz w:val="32"/>
          <w:szCs w:val="32"/>
        </w:rPr>
        <w:t>3、中小企业声明函</w:t>
      </w:r>
    </w:p>
    <w:p>
      <w:pPr>
        <w:rPr>
          <w:rFonts w:ascii="仿宋_GB2312" w:eastAsia="仿宋_GB2312"/>
        </w:rPr>
      </w:pP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本公司郑重声明，根据《政府采购促进中小企业发展暂行办法》（财库[2011]181号）的规定，本公司为（请填写：中型、小型、微型）企业。即，本公司同时满足以下条件：</w:t>
      </w:r>
    </w:p>
    <w:p>
      <w:pPr>
        <w:pStyle w:val="183"/>
        <w:widowControl/>
        <w:numPr>
          <w:ilvl w:val="0"/>
          <w:numId w:val="7"/>
        </w:numPr>
        <w:adjustRightInd/>
        <w:ind w:firstLineChars="0"/>
        <w:rPr>
          <w:rFonts w:ascii="仿宋_GB2312" w:hAnsi="仿宋_GB2312" w:eastAsia="仿宋_GB2312" w:cs="仿宋_GB2312"/>
        </w:rPr>
      </w:pPr>
      <w:r>
        <w:rPr>
          <w:rFonts w:hint="eastAsia" w:ascii="仿宋_GB2312" w:hAnsi="仿宋_GB2312" w:eastAsia="仿宋_GB2312" w:cs="仿宋_GB2312"/>
        </w:rPr>
        <w:t>根据《工业和信息化部、国家统计局、国家发展和改革委员会、财政部关于印发中小企业划型标准规定的通知》（工信部联企业[2011]300号）规定的划分标准，本公司为（请填写：中型、小型、微型）企业。</w:t>
      </w:r>
    </w:p>
    <w:p>
      <w:pPr>
        <w:pStyle w:val="183"/>
        <w:widowControl/>
        <w:numPr>
          <w:ilvl w:val="0"/>
          <w:numId w:val="7"/>
        </w:numPr>
        <w:adjustRightInd/>
        <w:ind w:firstLineChars="0"/>
        <w:rPr>
          <w:rFonts w:ascii="仿宋_GB2312" w:hAnsi="仿宋_GB2312" w:eastAsia="仿宋_GB2312" w:cs="仿宋_GB2312"/>
        </w:rPr>
      </w:pPr>
      <w:r>
        <w:rPr>
          <w:rFonts w:hint="eastAsia" w:ascii="仿宋_GB2312" w:hAnsi="仿宋_GB2312" w:eastAsia="仿宋_GB2312" w:cs="仿宋_GB2312"/>
        </w:rPr>
        <w:t>本公司参加单位的项目采购活动提供本企业制造的货物，由本企业承担工程、提供服务，或者提供其他（请填写：中型、小型、微型）企业制造的货物。本条所称货物不包括使用大型企业注册商标的货物。</w:t>
      </w:r>
    </w:p>
    <w:p>
      <w:pPr>
        <w:spacing w:line="360"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本公司对上述声明的真实性负责。如有虚假，将依法承担相应责任。</w:t>
      </w:r>
    </w:p>
    <w:p>
      <w:pPr>
        <w:spacing w:line="360" w:lineRule="auto"/>
        <w:jc w:val="right"/>
        <w:rPr>
          <w:rFonts w:ascii="仿宋_GB2312" w:hAnsi="仿宋_GB2312" w:eastAsia="仿宋_GB2312" w:cs="仿宋_GB2312"/>
          <w:sz w:val="24"/>
        </w:rPr>
      </w:pPr>
    </w:p>
    <w:p>
      <w:pPr>
        <w:spacing w:line="360" w:lineRule="auto"/>
        <w:ind w:right="420" w:firstLine="5880" w:firstLineChars="2450"/>
        <w:rPr>
          <w:rFonts w:ascii="仿宋_GB2312" w:hAnsi="仿宋_GB2312" w:eastAsia="仿宋_GB2312" w:cs="仿宋_GB2312"/>
          <w:sz w:val="24"/>
        </w:rPr>
      </w:pPr>
    </w:p>
    <w:p>
      <w:pPr>
        <w:spacing w:line="360" w:lineRule="auto"/>
        <w:ind w:right="420" w:firstLine="5880" w:firstLineChars="2450"/>
        <w:rPr>
          <w:rFonts w:ascii="仿宋_GB2312" w:hAnsi="仿宋_GB2312" w:eastAsia="仿宋_GB2312" w:cs="仿宋_GB2312"/>
          <w:sz w:val="24"/>
        </w:rPr>
      </w:pPr>
    </w:p>
    <w:p>
      <w:pPr>
        <w:spacing w:line="360" w:lineRule="auto"/>
        <w:ind w:right="420" w:firstLine="5880" w:firstLineChars="2450"/>
        <w:rPr>
          <w:rFonts w:ascii="仿宋_GB2312" w:hAnsi="仿宋_GB2312" w:eastAsia="仿宋_GB2312" w:cs="仿宋_GB2312"/>
          <w:sz w:val="24"/>
        </w:rPr>
      </w:pPr>
      <w:r>
        <w:rPr>
          <w:rFonts w:hint="eastAsia" w:ascii="仿宋_GB2312" w:hAnsi="仿宋_GB2312" w:eastAsia="仿宋_GB2312" w:cs="仿宋_GB2312"/>
          <w:sz w:val="24"/>
        </w:rPr>
        <w:t xml:space="preserve">企业名称（盖章）： </w:t>
      </w:r>
    </w:p>
    <w:p>
      <w:pPr>
        <w:spacing w:line="360" w:lineRule="auto"/>
        <w:ind w:right="420" w:firstLine="5520" w:firstLineChars="2300"/>
        <w:rPr>
          <w:rFonts w:ascii="仿宋_GB2312" w:eastAsia="仿宋_GB2312"/>
        </w:rPr>
      </w:pPr>
      <w:r>
        <w:rPr>
          <w:rFonts w:hint="eastAsia" w:ascii="仿宋_GB2312" w:hAnsi="仿宋_GB2312" w:eastAsia="仿宋_GB2312" w:cs="仿宋_GB2312"/>
          <w:sz w:val="24"/>
        </w:rPr>
        <w:t xml:space="preserve">日期：   年     月 </w:t>
      </w:r>
      <w:r>
        <w:rPr>
          <w:rFonts w:hint="eastAsia" w:ascii="仿宋_GB2312" w:eastAsia="仿宋_GB2312"/>
        </w:rPr>
        <w:t xml:space="preserve">    日</w:t>
      </w:r>
    </w:p>
    <w:p>
      <w:pPr>
        <w:rPr>
          <w:rFonts w:ascii="仿宋_GB2312" w:hAnsi="仿宋_GB2312" w:eastAsia="仿宋_GB2312" w:cs="仿宋_GB2312"/>
          <w:sz w:val="24"/>
        </w:rPr>
      </w:pPr>
    </w:p>
    <w:p>
      <w:pPr>
        <w:rPr>
          <w:rFonts w:ascii="仿宋_GB2312" w:hAnsi="仿宋_GB2312" w:eastAsia="仿宋_GB2312" w:cs="仿宋_GB2312"/>
          <w:sz w:val="24"/>
        </w:rPr>
      </w:pPr>
    </w:p>
    <w:p>
      <w:pPr>
        <w:rPr>
          <w:rFonts w:ascii="仿宋_GB2312" w:hAnsi="仿宋_GB2312" w:eastAsia="仿宋_GB2312" w:cs="仿宋_GB2312"/>
          <w:sz w:val="24"/>
        </w:rPr>
      </w:pPr>
      <w:r>
        <w:rPr>
          <w:rFonts w:hint="eastAsia" w:ascii="仿宋_GB2312" w:hAnsi="仿宋_GB2312" w:eastAsia="仿宋_GB2312" w:cs="仿宋_GB2312"/>
          <w:sz w:val="24"/>
        </w:rPr>
        <w:t>注：</w:t>
      </w:r>
    </w:p>
    <w:p>
      <w:pPr>
        <w:rPr>
          <w:rFonts w:ascii="仿宋_GB2312" w:hAnsi="仿宋_GB2312" w:eastAsia="仿宋_GB2312" w:cs="仿宋_GB2312"/>
          <w:bCs/>
          <w:sz w:val="24"/>
        </w:rPr>
      </w:pPr>
      <w:r>
        <w:rPr>
          <w:rFonts w:hint="eastAsia" w:ascii="仿宋" w:hAnsi="仿宋" w:eastAsia="仿宋"/>
          <w:bCs/>
          <w:sz w:val="24"/>
        </w:rPr>
        <w:t>1、投标人提供的中小企业声明函与实际情况不符的，视为投标人提供虚假材料投标的，投标无效。</w:t>
      </w:r>
    </w:p>
    <w:p>
      <w:pPr>
        <w:rPr>
          <w:rFonts w:ascii="仿宋_GB2312" w:hAnsi="仿宋_GB2312" w:eastAsia="仿宋_GB2312" w:cs="仿宋_GB2312"/>
          <w:sz w:val="24"/>
        </w:rPr>
      </w:pPr>
      <w:r>
        <w:rPr>
          <w:rFonts w:hint="eastAsia" w:ascii="仿宋_GB2312" w:hAnsi="仿宋_GB2312" w:eastAsia="仿宋_GB2312" w:cs="仿宋_GB2312"/>
          <w:sz w:val="24"/>
        </w:rPr>
        <w:t>2、符合《关于促进残疾人就业政府采购政策的通知》（财库〔2017〕141号）规定的条件并提供提供《残疾人福利性单位声明函》（附件二）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17"/>
        <w:rPr>
          <w:b/>
          <w:bCs/>
        </w:rPr>
      </w:pPr>
      <w:r>
        <w:rPr>
          <w:rFonts w:hint="eastAsia" w:ascii="仿宋_GB2312" w:hAnsi="仿宋_GB2312" w:cs="仿宋_GB2312"/>
          <w:b/>
          <w:bCs/>
          <w:sz w:val="24"/>
        </w:rPr>
        <w:t>3、证明材料为本单位 在“国家企业信用信息公示系统——小微企业名录”页面查询结果截图并加盖本单位公章。</w:t>
      </w:r>
    </w:p>
    <w:p>
      <w:pPr>
        <w:ind w:firstLine="480" w:firstLineChars="200"/>
        <w:rPr>
          <w:rFonts w:ascii="仿宋_GB2312" w:hAnsi="仿宋_GB2312" w:eastAsia="仿宋_GB2312" w:cs="仿宋_GB2312"/>
          <w:sz w:val="24"/>
        </w:rPr>
      </w:pPr>
    </w:p>
    <w:p>
      <w:pPr>
        <w:ind w:firstLine="420" w:firstLineChars="200"/>
        <w:rPr>
          <w:rFonts w:ascii="仿宋_GB2312" w:eastAsia="仿宋_GB2312"/>
        </w:rPr>
      </w:pPr>
    </w:p>
    <w:p>
      <w:pPr>
        <w:ind w:firstLine="420" w:firstLineChars="200"/>
        <w:rPr>
          <w:rFonts w:ascii="仿宋_GB2312" w:eastAsia="仿宋_GB2312"/>
        </w:rPr>
      </w:pPr>
    </w:p>
    <w:p>
      <w:pPr>
        <w:pageBreakBefore/>
        <w:spacing w:line="588" w:lineRule="exact"/>
        <w:rPr>
          <w:rFonts w:ascii="仿宋_GB2312" w:eastAsia="仿宋_GB2312"/>
          <w:b/>
          <w:spacing w:val="6"/>
          <w:sz w:val="32"/>
          <w:szCs w:val="32"/>
        </w:rPr>
      </w:pPr>
      <w:r>
        <w:rPr>
          <w:rFonts w:hint="eastAsia" w:ascii="仿宋_GB2312" w:eastAsia="仿宋_GB2312"/>
          <w:b/>
          <w:spacing w:val="6"/>
          <w:sz w:val="32"/>
          <w:szCs w:val="32"/>
        </w:rPr>
        <w:t>4、残疾人福利性单位声明函</w:t>
      </w:r>
    </w:p>
    <w:p>
      <w:pPr>
        <w:spacing w:line="588" w:lineRule="exact"/>
        <w:rPr>
          <w:rFonts w:ascii="仿宋_GB2312" w:eastAsia="仿宋_GB2312"/>
          <w:b/>
          <w:spacing w:val="6"/>
          <w:sz w:val="30"/>
          <w:szCs w:val="30"/>
        </w:rPr>
      </w:pPr>
    </w:p>
    <w:p>
      <w:pPr>
        <w:spacing w:line="588"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本单位对上述声明的真实性负责。如有虚假，将依法承担相应责任。</w:t>
      </w:r>
    </w:p>
    <w:p>
      <w:pPr>
        <w:spacing w:line="588" w:lineRule="exact"/>
        <w:ind w:firstLine="480" w:firstLineChars="200"/>
        <w:rPr>
          <w:rFonts w:ascii="仿宋_GB2312" w:hAnsi="仿宋_GB2312" w:eastAsia="仿宋_GB2312" w:cs="仿宋_GB2312"/>
          <w:sz w:val="24"/>
        </w:rPr>
      </w:pPr>
    </w:p>
    <w:p>
      <w:pPr>
        <w:spacing w:line="588" w:lineRule="exact"/>
        <w:ind w:firstLine="480" w:firstLineChars="200"/>
        <w:rPr>
          <w:rFonts w:ascii="仿宋_GB2312" w:hAnsi="仿宋_GB2312" w:eastAsia="仿宋_GB2312" w:cs="仿宋_GB2312"/>
          <w:sz w:val="24"/>
        </w:rPr>
      </w:pPr>
    </w:p>
    <w:p>
      <w:pPr>
        <w:tabs>
          <w:tab w:val="left" w:pos="4860"/>
        </w:tabs>
        <w:spacing w:line="588" w:lineRule="exact"/>
        <w:ind w:right="1560" w:firstLine="480" w:firstLineChars="200"/>
        <w:jc w:val="center"/>
        <w:rPr>
          <w:rFonts w:ascii="仿宋_GB2312" w:hAnsi="仿宋_GB2312" w:eastAsia="仿宋_GB2312" w:cs="仿宋_GB2312"/>
          <w:sz w:val="24"/>
        </w:rPr>
      </w:pPr>
      <w:r>
        <w:rPr>
          <w:rFonts w:hint="eastAsia" w:ascii="仿宋_GB2312" w:hAnsi="仿宋_GB2312" w:eastAsia="仿宋_GB2312" w:cs="仿宋_GB2312"/>
          <w:sz w:val="24"/>
        </w:rPr>
        <w:t xml:space="preserve">               单位名称（盖章）：</w:t>
      </w:r>
    </w:p>
    <w:p>
      <w:pPr>
        <w:tabs>
          <w:tab w:val="left" w:pos="4860"/>
        </w:tabs>
        <w:spacing w:line="588" w:lineRule="exact"/>
        <w:ind w:right="1560" w:firstLine="480" w:firstLineChars="200"/>
        <w:jc w:val="center"/>
        <w:rPr>
          <w:rFonts w:ascii="仿宋_GB2312" w:hAnsi="仿宋_GB2312" w:eastAsia="仿宋_GB2312" w:cs="仿宋_GB2312"/>
          <w:sz w:val="24"/>
        </w:rPr>
      </w:pPr>
      <w:r>
        <w:rPr>
          <w:rFonts w:hint="eastAsia" w:ascii="仿宋_GB2312" w:hAnsi="仿宋_GB2312" w:eastAsia="仿宋_GB2312" w:cs="仿宋_GB2312"/>
          <w:sz w:val="24"/>
        </w:rPr>
        <w:t xml:space="preserve">       日  期：</w:t>
      </w:r>
    </w:p>
    <w:p>
      <w:pPr>
        <w:ind w:firstLine="480" w:firstLineChars="200"/>
        <w:rPr>
          <w:rFonts w:ascii="仿宋_GB2312" w:hAnsi="仿宋_GB2312" w:eastAsia="仿宋_GB2312" w:cs="仿宋_GB2312"/>
          <w:sz w:val="24"/>
        </w:rPr>
      </w:pPr>
    </w:p>
    <w:p>
      <w:pPr>
        <w:ind w:firstLine="420" w:firstLineChars="200"/>
        <w:rPr>
          <w:rFonts w:ascii="仿宋_GB2312" w:eastAsia="仿宋_GB2312"/>
        </w:rPr>
      </w:pPr>
    </w:p>
    <w:p>
      <w:pPr>
        <w:ind w:firstLine="420" w:firstLineChars="200"/>
        <w:rPr>
          <w:rFonts w:ascii="仿宋_GB2312" w:eastAsia="仿宋_GB2312"/>
        </w:rPr>
      </w:pPr>
    </w:p>
    <w:p>
      <w:pPr>
        <w:ind w:firstLine="420" w:firstLineChars="200"/>
        <w:rPr>
          <w:rFonts w:ascii="仿宋_GB2312" w:eastAsia="仿宋_GB2312"/>
        </w:rPr>
      </w:pPr>
    </w:p>
    <w:p>
      <w:pPr>
        <w:ind w:firstLine="420" w:firstLineChars="200"/>
        <w:rPr>
          <w:rFonts w:ascii="仿宋_GB2312" w:eastAsia="仿宋_GB2312"/>
        </w:rPr>
      </w:pPr>
    </w:p>
    <w:p>
      <w:pPr>
        <w:rPr>
          <w:rFonts w:ascii="仿宋_GB2312" w:hAnsi="仿宋_GB2312" w:eastAsia="仿宋_GB2312" w:cs="仿宋_GB2312"/>
          <w:b/>
          <w:sz w:val="24"/>
        </w:rPr>
      </w:pPr>
    </w:p>
    <w:p>
      <w:pPr>
        <w:spacing w:line="800" w:lineRule="exact"/>
        <w:rPr>
          <w:rFonts w:ascii="仿宋_GB2312" w:hAnsi="宋体" w:eastAsia="仿宋_GB2312"/>
          <w:b/>
          <w:sz w:val="24"/>
        </w:rPr>
      </w:pPr>
    </w:p>
    <w:p>
      <w:pPr>
        <w:pageBreakBefore/>
        <w:spacing w:line="360" w:lineRule="auto"/>
        <w:jc w:val="center"/>
        <w:outlineLvl w:val="0"/>
        <w:rPr>
          <w:rFonts w:ascii="仿宋_GB2312" w:hAnsi="仿宋_GB2312" w:eastAsia="仿宋_GB2312" w:cs="仿宋_GB2312"/>
          <w:b/>
          <w:kern w:val="0"/>
          <w:sz w:val="36"/>
          <w:szCs w:val="36"/>
        </w:rPr>
      </w:pPr>
      <w:r>
        <w:rPr>
          <w:rFonts w:hint="eastAsia" w:ascii="仿宋_GB2312" w:hAnsi="仿宋_GB2312" w:eastAsia="仿宋_GB2312" w:cs="仿宋_GB2312"/>
          <w:b/>
          <w:kern w:val="0"/>
          <w:sz w:val="36"/>
          <w:szCs w:val="36"/>
        </w:rPr>
        <w:t>资信商务技术文件部分目录</w:t>
      </w:r>
    </w:p>
    <w:p>
      <w:pPr>
        <w:spacing w:line="360" w:lineRule="auto"/>
        <w:jc w:val="center"/>
        <w:outlineLvl w:val="0"/>
        <w:rPr>
          <w:rFonts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资格证明文件</w:t>
      </w:r>
    </w:p>
    <w:p>
      <w:pPr>
        <w:pStyle w:val="194"/>
        <w:numPr>
          <w:ilvl w:val="0"/>
          <w:numId w:val="8"/>
        </w:numPr>
        <w:spacing w:line="360" w:lineRule="auto"/>
        <w:ind w:left="0" w:firstLine="0" w:firstLineChars="0"/>
        <w:rPr>
          <w:rFonts w:hAnsi="仿宋_GB2312" w:cs="仿宋_GB2312"/>
        </w:rPr>
      </w:pPr>
      <w:r>
        <w:rPr>
          <w:rFonts w:hint="eastAsia" w:hAnsi="仿宋_GB2312" w:cs="仿宋_GB2312"/>
        </w:rPr>
        <w:t>营业执照副本复印件 …………………………………………………………（页码）</w:t>
      </w:r>
    </w:p>
    <w:p>
      <w:pPr>
        <w:pStyle w:val="194"/>
        <w:numPr>
          <w:ilvl w:val="0"/>
          <w:numId w:val="8"/>
        </w:numPr>
        <w:spacing w:line="360" w:lineRule="auto"/>
        <w:ind w:left="0" w:firstLine="0" w:firstLineChars="0"/>
        <w:rPr>
          <w:rFonts w:hAnsi="仿宋_GB2312" w:cs="仿宋_GB2312"/>
        </w:rPr>
      </w:pPr>
      <w:r>
        <w:rPr>
          <w:rFonts w:hint="eastAsia" w:hAnsi="仿宋_GB2312" w:cs="仿宋_GB2312"/>
        </w:rPr>
        <w:t>最近一年度财务报告（新成立的公司提供情况说明）………………………（页码）</w:t>
      </w:r>
    </w:p>
    <w:p>
      <w:pPr>
        <w:pStyle w:val="194"/>
        <w:spacing w:line="360" w:lineRule="auto"/>
        <w:ind w:left="0" w:firstLine="0" w:firstLineChars="0"/>
        <w:rPr>
          <w:rFonts w:hAnsi="仿宋_GB2312" w:cs="仿宋_GB2312"/>
        </w:rPr>
      </w:pPr>
      <w:r>
        <w:rPr>
          <w:rFonts w:hint="eastAsia" w:hAnsi="仿宋_GB2312" w:cs="仿宋_GB2312"/>
        </w:rPr>
        <w:t>（3）法定代表人身份证明书…………………………………………………………（页码）</w:t>
      </w:r>
    </w:p>
    <w:p>
      <w:pPr>
        <w:spacing w:line="360" w:lineRule="auto"/>
        <w:outlineLvl w:val="0"/>
      </w:pPr>
      <w:r>
        <w:rPr>
          <w:rFonts w:hint="eastAsia" w:ascii="仿宋_GB2312" w:hAnsi="仿宋_GB2312" w:eastAsia="仿宋_GB2312" w:cs="仿宋_GB2312"/>
          <w:sz w:val="24"/>
        </w:rPr>
        <w:t>（4）法定代表人授权委托书</w:t>
      </w:r>
      <w:r>
        <w:rPr>
          <w:rFonts w:hint="eastAsia" w:hAnsi="仿宋_GB2312" w:cs="仿宋_GB2312"/>
        </w:rPr>
        <w:t>……………………………………………………………</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napToGrid w:val="0"/>
        <w:spacing w:line="360" w:lineRule="auto"/>
        <w:rPr>
          <w:rFonts w:ascii="仿宋_GB2312" w:hAnsi="仿宋_GB2312" w:eastAsia="仿宋_GB2312" w:cs="仿宋_GB2312"/>
          <w:kern w:val="0"/>
          <w:sz w:val="24"/>
        </w:rPr>
      </w:pPr>
      <w:r>
        <w:rPr>
          <w:rFonts w:hint="eastAsia" w:ascii="仿宋_GB2312" w:hAnsi="仿宋_GB2312" w:eastAsia="仿宋_GB2312" w:cs="仿宋_GB2312"/>
          <w:sz w:val="24"/>
        </w:rPr>
        <w:t>（5）供应商参与政府采购活动投标资格声明</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440" w:lineRule="exact"/>
        <w:rPr>
          <w:rFonts w:ascii="仿宋_GB2312" w:hAnsi="仿宋_GB2312" w:eastAsia="仿宋_GB2312" w:cs="仿宋_GB2312"/>
          <w:kern w:val="0"/>
          <w:sz w:val="24"/>
        </w:rPr>
      </w:pPr>
      <w:r>
        <w:rPr>
          <w:rFonts w:hint="eastAsia" w:ascii="仿宋_GB2312" w:hAnsi="仿宋_GB2312" w:eastAsia="仿宋_GB2312" w:cs="仿宋_GB2312"/>
          <w:sz w:val="24"/>
        </w:rPr>
        <w:t>（6）安保服务行业许可</w:t>
      </w:r>
      <w:r>
        <w:rPr>
          <w:rStyle w:val="48"/>
          <w:rFonts w:hint="eastAsia" w:ascii="仿宋_GB2312" w:hAnsi="宋体" w:eastAsia="仿宋_GB2312" w:cs="宋体"/>
          <w:color w:val="auto"/>
          <w:kern w:val="0"/>
          <w:sz w:val="24"/>
          <w:szCs w:val="22"/>
          <w:u w:val="none"/>
        </w:rPr>
        <w:t>证</w:t>
      </w:r>
      <w:r>
        <w:rPr>
          <w:rFonts w:hint="eastAsia" w:ascii="仿宋_GB2312" w:hAnsi="仿宋_GB2312" w:eastAsia="仿宋_GB2312" w:cs="仿宋_GB2312"/>
          <w:sz w:val="24"/>
        </w:rPr>
        <w:t>书复印件…</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jc w:val="center"/>
        <w:outlineLvl w:val="0"/>
        <w:rPr>
          <w:rFonts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商务技术文件</w:t>
      </w:r>
    </w:p>
    <w:p>
      <w:pPr>
        <w:pStyle w:val="194"/>
        <w:spacing w:line="360" w:lineRule="auto"/>
        <w:ind w:firstLine="0" w:firstLineChars="0"/>
        <w:rPr>
          <w:rFonts w:hAnsi="仿宋_GB2312" w:cs="仿宋_GB2312"/>
        </w:rPr>
      </w:pPr>
      <w:r>
        <w:rPr>
          <w:rFonts w:hint="eastAsia" w:hAnsi="仿宋_GB2312" w:cs="仿宋_GB2312"/>
        </w:rPr>
        <w:t>（1）</w:t>
      </w:r>
      <w:r>
        <w:rPr>
          <w:rFonts w:hint="eastAsia" w:hAnsi="仿宋_GB2312" w:cs="仿宋_GB2312"/>
          <w:kern w:val="0"/>
        </w:rPr>
        <w:t>技术响应表</w:t>
      </w:r>
      <w:r>
        <w:rPr>
          <w:rFonts w:hint="eastAsia" w:hAnsi="仿宋_GB2312" w:cs="仿宋_GB2312"/>
        </w:rPr>
        <w:t>……………………………………………………………………</w:t>
      </w:r>
      <w:r>
        <w:rPr>
          <w:rFonts w:hint="eastAsia" w:hAnsi="仿宋_GB2312" w:cs="仿宋_GB2312"/>
          <w:kern w:val="0"/>
        </w:rPr>
        <w:t>（页码）</w:t>
      </w:r>
    </w:p>
    <w:p>
      <w:pPr>
        <w:pStyle w:val="194"/>
        <w:spacing w:line="360" w:lineRule="auto"/>
        <w:ind w:left="0" w:firstLine="0" w:firstLineChars="0"/>
        <w:rPr>
          <w:rFonts w:hAnsi="仿宋_GB2312" w:cs="仿宋_GB2312"/>
        </w:rPr>
      </w:pPr>
      <w:r>
        <w:rPr>
          <w:rFonts w:hint="eastAsia" w:hAnsi="仿宋_GB2312" w:cs="仿宋_GB2312"/>
        </w:rPr>
        <w:t>（2）商务响应表</w:t>
      </w:r>
      <w:r>
        <w:rPr>
          <w:rFonts w:hint="eastAsia" w:hAnsi="仿宋_GB2312" w:cs="仿宋_GB2312"/>
          <w:lang w:val="zh-CN"/>
        </w:rPr>
        <w:t>…………………………………………</w:t>
      </w:r>
      <w:r>
        <w:rPr>
          <w:rFonts w:hint="eastAsia" w:hAnsi="仿宋_GB2312" w:cs="仿宋_GB2312"/>
        </w:rPr>
        <w:t>…………</w:t>
      </w:r>
      <w:r>
        <w:rPr>
          <w:rFonts w:hint="eastAsia" w:hAnsi="仿宋_GB2312" w:cs="仿宋_GB2312"/>
          <w:lang w:val="zh-CN"/>
        </w:rPr>
        <w:t>…</w:t>
      </w:r>
      <w:r>
        <w:rPr>
          <w:rFonts w:hint="eastAsia" w:hAnsi="仿宋_GB2312" w:cs="仿宋_GB2312"/>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（3）根据评分标准需要提供的资料………………</w:t>
      </w:r>
      <w:r>
        <w:rPr>
          <w:rFonts w:hint="eastAsia" w:hAnsi="仿宋_GB2312" w:cs="仿宋_GB2312"/>
        </w:rPr>
        <w:t>…………</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（3-1）企业资质………………………………………</w:t>
      </w:r>
      <w:r>
        <w:rPr>
          <w:rFonts w:hint="eastAsia" w:hAnsi="仿宋_GB2312" w:cs="仿宋_GB2312"/>
        </w:rPr>
        <w:t>………………………</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（3-2）项目组成人员………………………………………</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（3-3）服务经验………………………………</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（3-4）企业诚信………………………………</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（3-5）项目方案…………………………………</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（3-6）考核巡查制度…………………</w:t>
      </w:r>
      <w:r>
        <w:rPr>
          <w:rFonts w:hint="eastAsia" w:hAnsi="仿宋_GB2312" w:cs="仿宋_GB2312"/>
        </w:rPr>
        <w:t>…………</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（3-7）培训方案…………………</w:t>
      </w:r>
      <w:r>
        <w:rPr>
          <w:rFonts w:hint="eastAsia" w:hAnsi="仿宋_GB2312" w:cs="仿宋_GB2312"/>
        </w:rPr>
        <w:t>…………</w:t>
      </w:r>
      <w:r>
        <w:rPr>
          <w:rFonts w:hint="eastAsia" w:ascii="仿宋_GB2312" w:hAnsi="仿宋_GB2312" w:eastAsia="仿宋_GB2312" w:cs="仿宋_GB2312"/>
          <w:kern w:val="0"/>
          <w:sz w:val="24"/>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（3-8）售后服务………………………………</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pPr>
      <w:r>
        <w:rPr>
          <w:rFonts w:hint="eastAsia" w:ascii="仿宋_GB2312" w:hAnsi="仿宋_GB2312" w:eastAsia="仿宋_GB2312" w:cs="仿宋_GB2312"/>
          <w:kern w:val="0"/>
          <w:sz w:val="24"/>
        </w:rPr>
        <w:t>（3-9）拟投入本项目设备工具………………………………</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kern w:val="0"/>
          <w:sz w:val="24"/>
        </w:rPr>
      </w:pPr>
      <w:r>
        <w:rPr>
          <w:rFonts w:hint="eastAsia" w:ascii="仿宋_GB2312" w:hAnsi="仿宋_GB2312" w:eastAsia="仿宋_GB2312" w:cs="仿宋_GB2312"/>
          <w:kern w:val="0"/>
          <w:sz w:val="24"/>
        </w:rPr>
        <w:t>（4）投标人认为需要提供的其他资料</w:t>
      </w:r>
      <w:r>
        <w:rPr>
          <w:rFonts w:hint="eastAsia" w:ascii="仿宋_GB2312" w:hAnsi="仿宋_GB2312" w:eastAsia="仿宋_GB2312" w:cs="仿宋_GB2312"/>
          <w:kern w:val="0"/>
          <w:sz w:val="24"/>
          <w:lang w:val="zh-CN"/>
        </w:rPr>
        <w:t>……………………………………</w:t>
      </w:r>
      <w:r>
        <w:rPr>
          <w:rFonts w:hint="eastAsia" w:hAnsi="仿宋_GB2312" w:cs="仿宋_GB2312"/>
        </w:rPr>
        <w:t>…………</w:t>
      </w:r>
      <w:r>
        <w:rPr>
          <w:rFonts w:hint="eastAsia" w:ascii="仿宋_GB2312" w:hAnsi="仿宋_GB2312" w:eastAsia="仿宋_GB2312" w:cs="仿宋_GB2312"/>
          <w:kern w:val="0"/>
          <w:sz w:val="24"/>
        </w:rPr>
        <w:t>（页码）</w:t>
      </w:r>
    </w:p>
    <w:p>
      <w:pPr>
        <w:spacing w:line="360" w:lineRule="auto"/>
        <w:rPr>
          <w:rFonts w:ascii="仿宋_GB2312" w:hAnsi="仿宋_GB2312" w:eastAsia="仿宋_GB2312" w:cs="仿宋_GB2312"/>
          <w:b/>
          <w:bCs/>
          <w:sz w:val="24"/>
        </w:rPr>
      </w:pPr>
      <w:r>
        <w:rPr>
          <w:rFonts w:hint="eastAsia" w:ascii="仿宋_GB2312" w:hAnsi="仿宋_GB2312" w:eastAsia="仿宋_GB2312" w:cs="仿宋_GB2312"/>
          <w:b/>
          <w:bCs/>
          <w:sz w:val="24"/>
        </w:rPr>
        <w:t>注：以上目录是基本格式要求，各投标人可根据自身情况进一步细化。</w:t>
      </w:r>
    </w:p>
    <w:p>
      <w:pPr>
        <w:pStyle w:val="17"/>
        <w:rPr>
          <w:rFonts w:ascii="仿宋_GB2312" w:hAnsi="仿宋_GB2312" w:cs="仿宋_GB2312"/>
          <w:b/>
          <w:bCs/>
          <w:sz w:val="24"/>
        </w:rPr>
      </w:pPr>
    </w:p>
    <w:p>
      <w:pPr>
        <w:pStyle w:val="17"/>
        <w:rPr>
          <w:rFonts w:ascii="仿宋_GB2312" w:hAnsi="仿宋_GB2312" w:cs="仿宋_GB2312"/>
          <w:b/>
          <w:bCs/>
          <w:sz w:val="24"/>
        </w:rPr>
      </w:pPr>
    </w:p>
    <w:p>
      <w:pPr>
        <w:pStyle w:val="17"/>
        <w:rPr>
          <w:rFonts w:ascii="仿宋_GB2312" w:hAnsi="仿宋_GB2312" w:cs="仿宋_GB2312"/>
          <w:b/>
          <w:bCs/>
          <w:sz w:val="24"/>
        </w:rPr>
      </w:pPr>
    </w:p>
    <w:p>
      <w:pPr>
        <w:pageBreakBefore/>
        <w:numPr>
          <w:ilvl w:val="0"/>
          <w:numId w:val="9"/>
        </w:numPr>
        <w:spacing w:line="800" w:lineRule="exact"/>
        <w:rPr>
          <w:rFonts w:ascii="仿宋_GB2312" w:hAnsi="宋体" w:eastAsia="仿宋_GB2312"/>
          <w:b/>
          <w:sz w:val="30"/>
          <w:szCs w:val="30"/>
        </w:rPr>
      </w:pPr>
      <w:r>
        <w:rPr>
          <w:rFonts w:hint="eastAsia" w:ascii="仿宋_GB2312" w:hAnsi="宋体" w:eastAsia="仿宋_GB2312"/>
          <w:b/>
          <w:sz w:val="30"/>
          <w:szCs w:val="30"/>
        </w:rPr>
        <w:t>营业执照副本复印件</w:t>
      </w:r>
    </w:p>
    <w:p>
      <w:pPr>
        <w:spacing w:line="800" w:lineRule="exact"/>
        <w:rPr>
          <w:rFonts w:ascii="仿宋_GB2312" w:hAnsi="宋体" w:eastAsia="仿宋_GB2312"/>
          <w:b/>
          <w:sz w:val="30"/>
          <w:szCs w:val="30"/>
        </w:rPr>
      </w:pPr>
      <w:r>
        <w:rPr>
          <w:rFonts w:hint="eastAsia" w:ascii="仿宋_GB2312" w:hAnsi="宋体" w:eastAsia="仿宋_GB2312"/>
          <w:b/>
          <w:sz w:val="30"/>
          <w:szCs w:val="30"/>
        </w:rPr>
        <w:t>2、最近一年度财务报告（新成立的公司提供情况说明）</w:t>
      </w:r>
    </w:p>
    <w:p>
      <w:pPr>
        <w:spacing w:line="800" w:lineRule="exact"/>
        <w:rPr>
          <w:rFonts w:ascii="仿宋_GB2312" w:hAnsi="宋体" w:eastAsia="仿宋_GB2312"/>
          <w:b/>
          <w:sz w:val="30"/>
          <w:szCs w:val="30"/>
        </w:rPr>
      </w:pPr>
      <w:r>
        <w:rPr>
          <w:rFonts w:hint="eastAsia" w:ascii="仿宋_GB2312" w:hAnsi="宋体" w:eastAsia="仿宋_GB2312"/>
          <w:b/>
          <w:sz w:val="30"/>
          <w:szCs w:val="30"/>
        </w:rPr>
        <w:t>3、法定代表人身份证明书(格式)</w:t>
      </w:r>
    </w:p>
    <w:p>
      <w:pPr>
        <w:spacing w:line="440" w:lineRule="exact"/>
        <w:rPr>
          <w:rFonts w:ascii="仿宋_GB2312" w:hAnsi="宋体" w:eastAsia="仿宋_GB2312"/>
          <w:sz w:val="24"/>
        </w:rPr>
      </w:pPr>
      <w:r>
        <w:rPr>
          <w:rFonts w:hint="eastAsia" w:ascii="仿宋_GB2312" w:hAnsi="宋体" w:eastAsia="仿宋_GB2312"/>
          <w:sz w:val="24"/>
        </w:rPr>
        <w:t>投 标 人：</w:t>
      </w:r>
    </w:p>
    <w:p>
      <w:pPr>
        <w:spacing w:line="440" w:lineRule="exact"/>
        <w:rPr>
          <w:rFonts w:ascii="仿宋_GB2312" w:hAnsi="宋体" w:eastAsia="仿宋_GB2312"/>
          <w:sz w:val="24"/>
        </w:rPr>
      </w:pPr>
      <w:r>
        <w:rPr>
          <w:rFonts w:hint="eastAsia" w:ascii="仿宋_GB2312" w:hAnsi="宋体" w:eastAsia="仿宋_GB2312"/>
          <w:sz w:val="24"/>
        </w:rPr>
        <w:t>地    址：</w:t>
      </w:r>
    </w:p>
    <w:p>
      <w:pPr>
        <w:spacing w:line="440" w:lineRule="exact"/>
        <w:ind w:right="281" w:rightChars="134"/>
        <w:rPr>
          <w:rFonts w:ascii="仿宋_GB2312" w:hAnsi="宋体" w:eastAsia="仿宋_GB2312"/>
          <w:sz w:val="24"/>
          <w:u w:val="single"/>
        </w:rPr>
      </w:pPr>
      <w:r>
        <w:rPr>
          <w:rFonts w:hint="eastAsia" w:ascii="仿宋_GB2312" w:hAnsi="宋体" w:eastAsia="仿宋_GB2312"/>
          <w:sz w:val="24"/>
        </w:rPr>
        <w:t>姓    名：</w:t>
      </w:r>
    </w:p>
    <w:p>
      <w:pPr>
        <w:spacing w:line="440" w:lineRule="exact"/>
        <w:ind w:right="281" w:rightChars="134"/>
        <w:rPr>
          <w:rFonts w:ascii="仿宋_GB2312" w:hAnsi="宋体" w:eastAsia="仿宋_GB2312"/>
          <w:sz w:val="24"/>
          <w:u w:val="single"/>
        </w:rPr>
      </w:pPr>
      <w:r>
        <w:rPr>
          <w:rFonts w:hint="eastAsia" w:ascii="仿宋_GB2312" w:hAnsi="宋体" w:eastAsia="仿宋_GB2312"/>
          <w:sz w:val="24"/>
        </w:rPr>
        <w:t>身份证号码：</w:t>
      </w:r>
    </w:p>
    <w:p>
      <w:pPr>
        <w:spacing w:line="440" w:lineRule="exact"/>
        <w:ind w:right="281" w:rightChars="134"/>
        <w:rPr>
          <w:rFonts w:ascii="仿宋_GB2312" w:hAnsi="宋体" w:eastAsia="仿宋_GB2312"/>
          <w:sz w:val="24"/>
        </w:rPr>
      </w:pPr>
      <w:r>
        <w:rPr>
          <w:rFonts w:hint="eastAsia" w:ascii="仿宋_GB2312" w:hAnsi="宋体" w:eastAsia="仿宋_GB2312"/>
          <w:sz w:val="24"/>
        </w:rPr>
        <w:t>职   务：</w:t>
      </w:r>
    </w:p>
    <w:p>
      <w:pPr>
        <w:pStyle w:val="17"/>
      </w:pPr>
      <w:r>
        <w:rPr>
          <w:rFonts w:hint="eastAsia" w:ascii="仿宋_GB2312" w:hAnsi="宋体"/>
          <w:sz w:val="24"/>
        </w:rPr>
        <w:t>联系电话：</w:t>
      </w:r>
    </w:p>
    <w:p>
      <w:pPr>
        <w:spacing w:line="440" w:lineRule="exact"/>
        <w:rPr>
          <w:rFonts w:ascii="仿宋_GB2312" w:hAnsi="宋体" w:eastAsia="仿宋_GB2312"/>
          <w:sz w:val="24"/>
        </w:rPr>
      </w:pPr>
      <w:r>
        <w:rPr>
          <w:rFonts w:hint="eastAsia" w:ascii="仿宋_GB2312" w:hAnsi="宋体" w:eastAsia="仿宋_GB2312"/>
          <w:sz w:val="24"/>
        </w:rPr>
        <w:t>系（投标人名称）的法定代表人。</w:t>
      </w:r>
    </w:p>
    <w:p>
      <w:pPr>
        <w:spacing w:line="440" w:lineRule="exact"/>
        <w:rPr>
          <w:rFonts w:ascii="仿宋_GB2312" w:hAnsi="宋体" w:eastAsia="仿宋_GB2312"/>
          <w:sz w:val="24"/>
        </w:rPr>
      </w:pPr>
      <w:r>
        <w:rPr>
          <w:rFonts w:hint="eastAsia" w:ascii="仿宋_GB2312" w:hAnsi="宋体" w:eastAsia="仿宋_GB2312"/>
          <w:sz w:val="24"/>
        </w:rPr>
        <w:t>特此证明。</w:t>
      </w:r>
    </w:p>
    <w:p>
      <w:pPr>
        <w:pStyle w:val="40"/>
        <w:ind w:firstLine="560"/>
      </w:pPr>
    </w:p>
    <w:tbl>
      <w:tblPr>
        <w:tblStyle w:val="41"/>
        <w:tblW w:w="5413" w:type="dxa"/>
        <w:jc w:val="center"/>
        <w:tblLayout w:type="fixed"/>
        <w:tblCellMar>
          <w:top w:w="0" w:type="dxa"/>
          <w:left w:w="108" w:type="dxa"/>
          <w:bottom w:w="0" w:type="dxa"/>
          <w:right w:w="108" w:type="dxa"/>
        </w:tblCellMar>
      </w:tblPr>
      <w:tblGrid>
        <w:gridCol w:w="5413"/>
      </w:tblGrid>
      <w:tr>
        <w:tblPrEx>
          <w:tblCellMar>
            <w:top w:w="0" w:type="dxa"/>
            <w:left w:w="108" w:type="dxa"/>
            <w:bottom w:w="0" w:type="dxa"/>
            <w:right w:w="108" w:type="dxa"/>
          </w:tblCellMar>
        </w:tblPrEx>
        <w:trPr>
          <w:trHeight w:val="3361" w:hRule="atLeast"/>
          <w:jc w:val="center"/>
        </w:trPr>
        <w:tc>
          <w:tcPr>
            <w:tcW w:w="5413" w:type="dxa"/>
            <w:tcBorders>
              <w:top w:val="dashed" w:color="000000" w:sz="4" w:space="0"/>
              <w:left w:val="dashed" w:color="000000" w:sz="4" w:space="0"/>
              <w:bottom w:val="dashed" w:color="000000" w:sz="4" w:space="0"/>
              <w:right w:val="dashed" w:color="000000" w:sz="4" w:space="0"/>
            </w:tcBorders>
            <w:vAlign w:val="center"/>
          </w:tcPr>
          <w:p>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法定代表人身份证复印件（正反面）粘贴处</w:t>
            </w:r>
          </w:p>
        </w:tc>
      </w:tr>
    </w:tbl>
    <w:p>
      <w:pPr>
        <w:pStyle w:val="40"/>
        <w:ind w:firstLine="560"/>
      </w:pPr>
    </w:p>
    <w:p>
      <w:pPr>
        <w:spacing w:line="440" w:lineRule="exact"/>
        <w:rPr>
          <w:rFonts w:ascii="仿宋_GB2312" w:hAnsi="宋体" w:eastAsia="仿宋_GB2312"/>
          <w:sz w:val="24"/>
        </w:rPr>
      </w:pPr>
    </w:p>
    <w:p>
      <w:pPr>
        <w:spacing w:line="440" w:lineRule="exact"/>
        <w:rPr>
          <w:rFonts w:ascii="仿宋_GB2312" w:hAnsi="宋体" w:eastAsia="仿宋_GB2312"/>
          <w:sz w:val="24"/>
        </w:rPr>
      </w:pPr>
      <w:r>
        <w:rPr>
          <w:rFonts w:hint="eastAsia" w:ascii="仿宋_GB2312" w:hAnsi="宋体" w:eastAsia="仿宋_GB2312"/>
          <w:sz w:val="24"/>
        </w:rPr>
        <w:t>投标人： （盖章）</w:t>
      </w:r>
    </w:p>
    <w:p>
      <w:pPr>
        <w:spacing w:line="440" w:lineRule="exact"/>
        <w:ind w:right="480"/>
        <w:rPr>
          <w:rFonts w:ascii="仿宋_GB2312" w:hAnsi="宋体" w:eastAsia="仿宋_GB2312"/>
          <w:sz w:val="24"/>
        </w:rPr>
      </w:pPr>
    </w:p>
    <w:p>
      <w:pPr>
        <w:spacing w:line="440" w:lineRule="exact"/>
        <w:ind w:right="720"/>
        <w:jc w:val="right"/>
        <w:rPr>
          <w:rFonts w:ascii="仿宋_GB2312" w:hAnsi="宋体" w:eastAsia="仿宋_GB2312"/>
          <w:sz w:val="24"/>
        </w:rPr>
      </w:pPr>
      <w:r>
        <w:rPr>
          <w:rFonts w:hint="eastAsia" w:ascii="仿宋_GB2312" w:hAnsi="宋体" w:eastAsia="仿宋_GB2312"/>
          <w:sz w:val="24"/>
        </w:rPr>
        <w:t>年</w:t>
      </w:r>
      <w:r>
        <w:rPr>
          <w:rFonts w:hint="eastAsia" w:ascii="仿宋_GB2312" w:hAnsi="宋体" w:eastAsia="仿宋_GB2312"/>
          <w:sz w:val="24"/>
          <w:lang w:val="en-US" w:eastAsia="zh-CN"/>
        </w:rPr>
        <w:t xml:space="preserve">  </w:t>
      </w:r>
      <w:r>
        <w:rPr>
          <w:rFonts w:hint="eastAsia" w:ascii="仿宋_GB2312" w:hAnsi="宋体" w:eastAsia="仿宋_GB2312"/>
          <w:sz w:val="24"/>
        </w:rPr>
        <w:t>月</w:t>
      </w:r>
      <w:r>
        <w:rPr>
          <w:rFonts w:hint="eastAsia" w:ascii="仿宋_GB2312" w:hAnsi="宋体" w:eastAsia="仿宋_GB2312"/>
          <w:sz w:val="24"/>
          <w:lang w:val="en-US" w:eastAsia="zh-CN"/>
        </w:rPr>
        <w:t xml:space="preserve">  </w:t>
      </w:r>
      <w:r>
        <w:rPr>
          <w:rFonts w:hint="eastAsia" w:ascii="仿宋_GB2312" w:hAnsi="宋体" w:eastAsia="仿宋_GB2312"/>
          <w:sz w:val="24"/>
        </w:rPr>
        <w:t>日</w:t>
      </w:r>
    </w:p>
    <w:p>
      <w:pPr>
        <w:pStyle w:val="40"/>
        <w:ind w:left="0" w:leftChars="0" w:firstLine="0" w:firstLineChars="0"/>
      </w:pPr>
    </w:p>
    <w:p>
      <w:pPr>
        <w:pageBreakBefore/>
        <w:spacing w:line="800" w:lineRule="exact"/>
        <w:rPr>
          <w:rFonts w:ascii="仿宋_GB2312" w:hAnsi="宋体" w:eastAsia="仿宋_GB2312"/>
          <w:b/>
          <w:sz w:val="30"/>
          <w:szCs w:val="30"/>
        </w:rPr>
      </w:pPr>
      <w:r>
        <w:rPr>
          <w:rFonts w:hint="eastAsia" w:ascii="仿宋_GB2312" w:hAnsi="宋体" w:eastAsia="仿宋_GB2312"/>
          <w:b/>
          <w:sz w:val="30"/>
          <w:szCs w:val="30"/>
        </w:rPr>
        <w:t xml:space="preserve">4、法定代表人授权委托书（格式） </w:t>
      </w:r>
    </w:p>
    <w:p>
      <w:pPr>
        <w:jc w:val="center"/>
        <w:rPr>
          <w:rFonts w:ascii="仿宋_GB2312" w:hAnsi="宋体" w:eastAsia="仿宋_GB2312"/>
          <w:b/>
          <w:sz w:val="24"/>
        </w:rPr>
      </w:pPr>
    </w:p>
    <w:p>
      <w:pPr>
        <w:snapToGrid w:val="0"/>
        <w:spacing w:line="560" w:lineRule="exact"/>
        <w:ind w:firstLine="480" w:firstLineChars="200"/>
        <w:rPr>
          <w:rFonts w:ascii="仿宋_GB2312" w:hAnsi="宋体" w:eastAsia="仿宋_GB2312"/>
          <w:sz w:val="24"/>
        </w:rPr>
      </w:pPr>
      <w:r>
        <w:rPr>
          <w:rFonts w:hint="eastAsia" w:ascii="仿宋_GB2312" w:hAnsi="宋体" w:eastAsia="仿宋_GB2312"/>
          <w:sz w:val="24"/>
        </w:rPr>
        <w:t>本授权委托书声明：我(姓名)系（投标人名称）的法定代表人，现授权委托（单位名称）的（姓名）为我公司授权代表，</w:t>
      </w:r>
      <w:r>
        <w:rPr>
          <w:rFonts w:hint="eastAsia" w:ascii="仿宋_GB2312" w:hAnsi="宋体" w:eastAsia="仿宋_GB2312"/>
          <w:sz w:val="24"/>
          <w:u w:val="single"/>
        </w:rPr>
        <w:t>身份证号码</w:t>
      </w:r>
      <w:r>
        <w:rPr>
          <w:rFonts w:hint="eastAsia" w:ascii="仿宋_GB2312" w:hAnsi="宋体" w:eastAsia="仿宋_GB2312"/>
          <w:sz w:val="24"/>
        </w:rPr>
        <w:t>。以本公司的名义参加（招标人）组织的投标活动。授权代表在开标、评标、合同谈判过程中所签署的一切文件和处理与之有关的一切事务，我均予以承认。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_GB2312" w:hAnsi="宋体" w:eastAsia="仿宋_GB2312"/>
          <w:sz w:val="24"/>
        </w:rPr>
      </w:pPr>
      <w:r>
        <w:rPr>
          <w:rFonts w:hint="eastAsia" w:ascii="仿宋_GB2312" w:hAnsi="宋体" w:eastAsia="仿宋_GB2312"/>
          <w:sz w:val="24"/>
        </w:rPr>
        <w:t>在撤销授权的书面通知以前，本授权书一直有效。全权代表在授权书有效期内签署的所有文件不因授权的撤销而失效。</w:t>
      </w:r>
    </w:p>
    <w:p>
      <w:pPr>
        <w:spacing w:line="560" w:lineRule="exact"/>
        <w:ind w:firstLine="480" w:firstLineChars="200"/>
        <w:rPr>
          <w:rFonts w:ascii="仿宋_GB2312" w:hAnsi="宋体" w:eastAsia="仿宋_GB2312"/>
          <w:sz w:val="24"/>
        </w:rPr>
      </w:pPr>
      <w:r>
        <w:rPr>
          <w:rFonts w:hint="eastAsia" w:ascii="仿宋_GB2312" w:hAnsi="宋体" w:eastAsia="仿宋_GB2312"/>
          <w:sz w:val="24"/>
        </w:rPr>
        <w:t>授权代表无转委托权。特此委托。</w:t>
      </w:r>
    </w:p>
    <w:p>
      <w:pPr>
        <w:snapToGrid w:val="0"/>
        <w:spacing w:line="600" w:lineRule="exact"/>
        <w:jc w:val="lef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授权代表姓名：              性别：               年龄：</w:t>
      </w: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单位：                      部门：               职务：</w:t>
      </w:r>
    </w:p>
    <w:p>
      <w:pPr>
        <w:spacing w:line="360" w:lineRule="exact"/>
        <w:rPr>
          <w:rFonts w:ascii="仿宋_GB2312" w:hAnsi="宋体" w:eastAsia="仿宋_GB2312"/>
          <w:sz w:val="24"/>
        </w:rPr>
      </w:pPr>
    </w:p>
    <w:p>
      <w:pPr>
        <w:widowControl/>
        <w:snapToGrid w:val="0"/>
        <w:spacing w:line="440" w:lineRule="exact"/>
        <w:rPr>
          <w:rFonts w:ascii="仿宋_GB2312" w:hAnsi="宋体" w:eastAsia="仿宋_GB2312"/>
          <w:kern w:val="0"/>
          <w:sz w:val="24"/>
        </w:rPr>
      </w:pPr>
      <w:r>
        <w:rPr>
          <w:rFonts w:hint="eastAsia" w:ascii="仿宋_GB2312" w:hAnsi="宋体" w:eastAsia="仿宋_GB2312"/>
          <w:kern w:val="0"/>
          <w:sz w:val="24"/>
        </w:rPr>
        <w:t>办公地址：                  联系电话：           传真：</w:t>
      </w:r>
    </w:p>
    <w:p>
      <w:pPr>
        <w:pStyle w:val="40"/>
        <w:ind w:firstLine="560"/>
      </w:pPr>
    </w:p>
    <w:tbl>
      <w:tblPr>
        <w:tblStyle w:val="41"/>
        <w:tblW w:w="5413" w:type="dxa"/>
        <w:jc w:val="center"/>
        <w:tblLayout w:type="fixed"/>
        <w:tblCellMar>
          <w:top w:w="0" w:type="dxa"/>
          <w:left w:w="108" w:type="dxa"/>
          <w:bottom w:w="0" w:type="dxa"/>
          <w:right w:w="108" w:type="dxa"/>
        </w:tblCellMar>
      </w:tblPr>
      <w:tblGrid>
        <w:gridCol w:w="5413"/>
      </w:tblGrid>
      <w:tr>
        <w:tblPrEx>
          <w:tblCellMar>
            <w:top w:w="0" w:type="dxa"/>
            <w:left w:w="108" w:type="dxa"/>
            <w:bottom w:w="0" w:type="dxa"/>
            <w:right w:w="108" w:type="dxa"/>
          </w:tblCellMar>
        </w:tblPrEx>
        <w:trPr>
          <w:trHeight w:val="3361" w:hRule="atLeast"/>
          <w:jc w:val="center"/>
        </w:trPr>
        <w:tc>
          <w:tcPr>
            <w:tcW w:w="5413" w:type="dxa"/>
            <w:tcBorders>
              <w:top w:val="dashed" w:color="000000" w:sz="4" w:space="0"/>
              <w:left w:val="dashed" w:color="000000" w:sz="4" w:space="0"/>
              <w:bottom w:val="dashed" w:color="000000" w:sz="4" w:space="0"/>
              <w:right w:val="dashed" w:color="000000" w:sz="4" w:space="0"/>
            </w:tcBorders>
            <w:vAlign w:val="center"/>
          </w:tcPr>
          <w:p>
            <w:pPr>
              <w:widowControl/>
              <w:jc w:val="center"/>
              <w:rPr>
                <w:rFonts w:ascii="仿宋" w:hAnsi="仿宋" w:eastAsia="仿宋" w:cs="仿宋"/>
                <w:color w:val="000000"/>
                <w:kern w:val="0"/>
                <w:sz w:val="24"/>
              </w:rPr>
            </w:pPr>
            <w:r>
              <w:rPr>
                <w:rFonts w:hint="eastAsia" w:ascii="仿宋" w:hAnsi="仿宋" w:eastAsia="仿宋" w:cs="仿宋"/>
                <w:color w:val="000000"/>
                <w:kern w:val="0"/>
                <w:sz w:val="24"/>
              </w:rPr>
              <w:t>被授权人身份证复印件（正反面）粘贴处</w:t>
            </w:r>
          </w:p>
        </w:tc>
      </w:tr>
    </w:tbl>
    <w:p>
      <w:pPr>
        <w:spacing w:line="360" w:lineRule="exact"/>
        <w:rPr>
          <w:rFonts w:ascii="仿宋_GB2312" w:hAnsi="宋体" w:eastAsia="仿宋_GB2312"/>
          <w:sz w:val="24"/>
        </w:rPr>
      </w:pPr>
    </w:p>
    <w:p>
      <w:pPr>
        <w:spacing w:line="360" w:lineRule="exact"/>
        <w:rPr>
          <w:rFonts w:ascii="仿宋_GB2312" w:hAnsi="宋体" w:eastAsia="仿宋_GB2312"/>
          <w:sz w:val="24"/>
        </w:rPr>
      </w:pPr>
    </w:p>
    <w:p>
      <w:pPr>
        <w:spacing w:line="360" w:lineRule="exact"/>
        <w:rPr>
          <w:rFonts w:ascii="仿宋_GB2312" w:hAnsi="宋体" w:eastAsia="仿宋_GB2312"/>
          <w:sz w:val="24"/>
        </w:rPr>
      </w:pPr>
      <w:r>
        <w:rPr>
          <w:rFonts w:hint="eastAsia" w:ascii="仿宋_GB2312" w:hAnsi="宋体" w:eastAsia="仿宋_GB2312"/>
          <w:sz w:val="24"/>
        </w:rPr>
        <w:t>投标人名称（盖章）：</w:t>
      </w:r>
    </w:p>
    <w:p>
      <w:pPr>
        <w:spacing w:line="360" w:lineRule="exact"/>
        <w:rPr>
          <w:rFonts w:ascii="仿宋_GB2312" w:hAnsi="宋体" w:eastAsia="仿宋_GB2312"/>
          <w:sz w:val="24"/>
        </w:rPr>
      </w:pPr>
    </w:p>
    <w:p>
      <w:pPr>
        <w:spacing w:line="360" w:lineRule="exact"/>
      </w:pPr>
      <w:r>
        <w:rPr>
          <w:rFonts w:hint="eastAsia" w:ascii="仿宋_GB2312" w:hAnsi="宋体" w:eastAsia="仿宋_GB2312"/>
          <w:sz w:val="24"/>
        </w:rPr>
        <w:t>法定代表人（签字或盖章）：</w:t>
      </w:r>
    </w:p>
    <w:p>
      <w:pPr>
        <w:ind w:firstLine="5280" w:firstLineChars="2200"/>
        <w:jc w:val="left"/>
        <w:rPr>
          <w:rFonts w:ascii="仿宋_GB2312" w:hAnsi="宋体" w:eastAsia="仿宋_GB2312"/>
          <w:sz w:val="24"/>
        </w:rPr>
      </w:pPr>
      <w:r>
        <w:rPr>
          <w:rFonts w:hint="eastAsia" w:ascii="仿宋_GB2312" w:hAnsi="宋体" w:eastAsia="仿宋_GB2312"/>
          <w:sz w:val="24"/>
        </w:rPr>
        <w:t>日期：    年   月   日</w:t>
      </w:r>
    </w:p>
    <w:p>
      <w:pPr>
        <w:jc w:val="left"/>
        <w:rPr>
          <w:rFonts w:ascii="仿宋_GB2312" w:hAnsi="仿宋_GB2312" w:eastAsia="仿宋_GB2312" w:cs="仿宋_GB2312"/>
          <w:b/>
          <w:sz w:val="30"/>
          <w:szCs w:val="30"/>
        </w:rPr>
      </w:pPr>
      <w:r>
        <w:rPr>
          <w:rFonts w:hint="eastAsia" w:ascii="仿宋_GB2312" w:hAnsi="仿宋_GB2312" w:eastAsia="仿宋_GB2312" w:cs="仿宋_GB2312"/>
          <w:b/>
          <w:sz w:val="30"/>
          <w:szCs w:val="30"/>
        </w:rPr>
        <w:t>5、供应商参与政府采购活动投标资格声明（格式）</w:t>
      </w:r>
    </w:p>
    <w:tbl>
      <w:tblPr>
        <w:tblStyle w:val="41"/>
        <w:tblpPr w:leftFromText="180" w:rightFromText="180" w:vertAnchor="text" w:horzAnchor="page" w:tblpX="1261" w:tblpY="480"/>
        <w:tblOverlap w:val="never"/>
        <w:tblW w:w="100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0"/>
        <w:gridCol w:w="8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tcPr>
          <w:p>
            <w:pPr>
              <w:pStyle w:val="22"/>
              <w:snapToGrid w:val="0"/>
              <w:spacing w:before="120" w:after="120" w:line="400" w:lineRule="exact"/>
              <w:jc w:val="center"/>
              <w:rPr>
                <w:rFonts w:ascii="仿宋" w:hAnsi="仿宋" w:eastAsia="仿宋" w:cs="仿宋"/>
                <w:bCs/>
                <w:color w:val="000000"/>
                <w:sz w:val="22"/>
                <w:szCs w:val="22"/>
              </w:rPr>
            </w:pPr>
            <w:r>
              <w:rPr>
                <w:rFonts w:hint="eastAsia" w:ascii="仿宋" w:hAnsi="仿宋" w:eastAsia="仿宋" w:cs="仿宋"/>
                <w:bCs/>
                <w:color w:val="000000"/>
                <w:sz w:val="22"/>
                <w:szCs w:val="22"/>
              </w:rPr>
              <w:t>项目名称</w:t>
            </w:r>
          </w:p>
        </w:tc>
        <w:tc>
          <w:tcPr>
            <w:tcW w:w="8445" w:type="dxa"/>
          </w:tcPr>
          <w:p>
            <w:pPr>
              <w:pStyle w:val="22"/>
              <w:snapToGrid w:val="0"/>
              <w:spacing w:before="120" w:after="120" w:line="400" w:lineRule="exact"/>
              <w:ind w:left="422" w:firstLine="331"/>
              <w:rPr>
                <w:rFonts w:ascii="仿宋" w:hAnsi="仿宋" w:eastAsia="仿宋" w:cs="仿宋"/>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tcPr>
          <w:p>
            <w:pPr>
              <w:pStyle w:val="22"/>
              <w:snapToGrid w:val="0"/>
              <w:spacing w:before="120" w:after="120" w:line="400" w:lineRule="exact"/>
              <w:jc w:val="center"/>
              <w:rPr>
                <w:rFonts w:ascii="仿宋" w:hAnsi="仿宋" w:eastAsia="仿宋" w:cs="仿宋"/>
                <w:bCs/>
                <w:color w:val="000000"/>
                <w:sz w:val="22"/>
                <w:szCs w:val="22"/>
              </w:rPr>
            </w:pPr>
            <w:r>
              <w:rPr>
                <w:rFonts w:hint="eastAsia" w:ascii="仿宋" w:hAnsi="仿宋" w:eastAsia="仿宋" w:cs="仿宋"/>
                <w:bCs/>
                <w:color w:val="000000"/>
                <w:sz w:val="22"/>
                <w:szCs w:val="22"/>
              </w:rPr>
              <w:t>项目编号</w:t>
            </w:r>
          </w:p>
        </w:tc>
        <w:tc>
          <w:tcPr>
            <w:tcW w:w="8445" w:type="dxa"/>
          </w:tcPr>
          <w:p>
            <w:pPr>
              <w:pStyle w:val="22"/>
              <w:snapToGrid w:val="0"/>
              <w:spacing w:before="120" w:after="120" w:line="400" w:lineRule="exact"/>
              <w:ind w:left="422" w:firstLine="361"/>
              <w:rPr>
                <w:rFonts w:ascii="仿宋" w:hAnsi="仿宋" w:eastAsia="仿宋" w:cs="仿宋"/>
                <w:bCs/>
                <w:color w:val="000000"/>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1620" w:type="dxa"/>
          </w:tcPr>
          <w:p>
            <w:pPr>
              <w:pStyle w:val="22"/>
              <w:snapToGrid w:val="0"/>
              <w:spacing w:before="120" w:after="120" w:line="400" w:lineRule="exact"/>
              <w:jc w:val="center"/>
              <w:rPr>
                <w:rFonts w:ascii="仿宋" w:hAnsi="仿宋" w:eastAsia="仿宋" w:cs="仿宋"/>
                <w:bCs/>
                <w:color w:val="000000"/>
                <w:sz w:val="22"/>
                <w:szCs w:val="22"/>
              </w:rPr>
            </w:pPr>
            <w:r>
              <w:rPr>
                <w:rFonts w:hint="eastAsia" w:ascii="仿宋" w:hAnsi="仿宋" w:eastAsia="仿宋" w:cs="仿宋"/>
                <w:bCs/>
                <w:color w:val="000000"/>
                <w:sz w:val="22"/>
                <w:szCs w:val="22"/>
              </w:rPr>
              <w:t>时    间</w:t>
            </w:r>
          </w:p>
        </w:tc>
        <w:tc>
          <w:tcPr>
            <w:tcW w:w="8445" w:type="dxa"/>
          </w:tcPr>
          <w:p>
            <w:pPr>
              <w:pStyle w:val="22"/>
              <w:snapToGrid w:val="0"/>
              <w:spacing w:before="120" w:after="120" w:line="400" w:lineRule="exact"/>
              <w:rPr>
                <w:rFonts w:ascii="仿宋" w:hAnsi="仿宋" w:eastAsia="仿宋" w:cs="仿宋"/>
                <w:bCs/>
                <w:color w:val="000000"/>
                <w:sz w:val="22"/>
                <w:szCs w:val="22"/>
              </w:rPr>
            </w:pPr>
            <w:r>
              <w:rPr>
                <w:rFonts w:hint="eastAsia" w:ascii="仿宋" w:hAnsi="仿宋" w:eastAsia="仿宋" w:cs="仿宋"/>
                <w:bCs/>
                <w:color w:val="000000"/>
                <w:sz w:val="22"/>
                <w:szCs w:val="22"/>
              </w:rPr>
              <w:t>投标截止时间：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6" w:hRule="atLeast"/>
        </w:trPr>
        <w:tc>
          <w:tcPr>
            <w:tcW w:w="10065" w:type="dxa"/>
            <w:gridSpan w:val="2"/>
          </w:tcPr>
          <w:p>
            <w:pPr>
              <w:pStyle w:val="22"/>
              <w:snapToGrid w:val="0"/>
              <w:spacing w:before="120" w:after="120" w:line="400" w:lineRule="exact"/>
              <w:ind w:firstLine="450"/>
              <w:rPr>
                <w:rFonts w:ascii="仿宋" w:hAnsi="仿宋" w:eastAsia="仿宋" w:cs="仿宋"/>
                <w:color w:val="000000"/>
                <w:sz w:val="22"/>
                <w:szCs w:val="22"/>
              </w:rPr>
            </w:pPr>
            <w:r>
              <w:rPr>
                <w:rFonts w:hint="eastAsia" w:ascii="仿宋" w:hAnsi="仿宋" w:eastAsia="仿宋" w:cs="仿宋"/>
                <w:color w:val="000000"/>
                <w:sz w:val="22"/>
                <w:szCs w:val="22"/>
              </w:rPr>
              <w:t>1、根据政府采购法第二十二条规定，我单位满足以下条件：</w:t>
            </w:r>
          </w:p>
          <w:p>
            <w:pPr>
              <w:pStyle w:val="22"/>
              <w:snapToGrid w:val="0"/>
              <w:spacing w:before="120" w:after="120" w:line="400" w:lineRule="exact"/>
              <w:ind w:firstLine="450"/>
              <w:jc w:val="left"/>
              <w:rPr>
                <w:rFonts w:ascii="仿宋" w:hAnsi="仿宋" w:eastAsia="仿宋" w:cs="仿宋"/>
                <w:color w:val="000000"/>
                <w:sz w:val="22"/>
                <w:szCs w:val="22"/>
              </w:rPr>
            </w:pPr>
            <w:r>
              <w:rPr>
                <w:rFonts w:hint="eastAsia" w:ascii="仿宋" w:hAnsi="仿宋" w:eastAsia="仿宋" w:cs="仿宋"/>
                <w:color w:val="000000"/>
                <w:sz w:val="22"/>
                <w:szCs w:val="22"/>
              </w:rPr>
              <w:t xml:space="preserve">（一）具有独立承担民事责任的能力； </w:t>
            </w:r>
            <w:r>
              <w:rPr>
                <w:rFonts w:hint="eastAsia" w:ascii="仿宋" w:hAnsi="仿宋" w:eastAsia="仿宋" w:cs="仿宋"/>
                <w:color w:val="000000"/>
                <w:sz w:val="22"/>
                <w:szCs w:val="22"/>
              </w:rPr>
              <w:br w:type="textWrapping"/>
            </w:r>
            <w:r>
              <w:rPr>
                <w:rFonts w:hint="eastAsia" w:ascii="仿宋" w:hAnsi="仿宋" w:eastAsia="仿宋" w:cs="仿宋"/>
                <w:color w:val="000000"/>
                <w:sz w:val="22"/>
                <w:szCs w:val="22"/>
              </w:rPr>
              <w:t xml:space="preserve">　　（二）具有良好的商业信誉和健全的财务会计制度； </w:t>
            </w:r>
            <w:r>
              <w:rPr>
                <w:rFonts w:hint="eastAsia" w:ascii="仿宋" w:hAnsi="仿宋" w:eastAsia="仿宋" w:cs="仿宋"/>
                <w:color w:val="000000"/>
                <w:sz w:val="22"/>
                <w:szCs w:val="22"/>
              </w:rPr>
              <w:br w:type="textWrapping"/>
            </w:r>
            <w:r>
              <w:rPr>
                <w:rFonts w:hint="eastAsia" w:ascii="仿宋" w:hAnsi="仿宋" w:eastAsia="仿宋" w:cs="仿宋"/>
                <w:color w:val="000000"/>
                <w:sz w:val="22"/>
                <w:szCs w:val="22"/>
              </w:rPr>
              <w:t xml:space="preserve">　　（三）具有履行合同所必需的设备和专业技术能力； </w:t>
            </w:r>
            <w:r>
              <w:rPr>
                <w:rFonts w:hint="eastAsia" w:ascii="仿宋" w:hAnsi="仿宋" w:eastAsia="仿宋" w:cs="仿宋"/>
                <w:color w:val="000000"/>
                <w:sz w:val="22"/>
                <w:szCs w:val="22"/>
              </w:rPr>
              <w:br w:type="textWrapping"/>
            </w:r>
            <w:r>
              <w:rPr>
                <w:rFonts w:hint="eastAsia" w:ascii="仿宋" w:hAnsi="仿宋" w:eastAsia="仿宋" w:cs="仿宋"/>
                <w:color w:val="000000"/>
                <w:sz w:val="22"/>
                <w:szCs w:val="22"/>
              </w:rPr>
              <w:t xml:space="preserve">　　（四）有依法缴纳税收和社会保障资金的良好记录； </w:t>
            </w:r>
            <w:r>
              <w:rPr>
                <w:rFonts w:hint="eastAsia" w:ascii="仿宋" w:hAnsi="仿宋" w:eastAsia="仿宋" w:cs="仿宋"/>
                <w:color w:val="000000"/>
                <w:sz w:val="22"/>
                <w:szCs w:val="22"/>
              </w:rPr>
              <w:br w:type="textWrapping"/>
            </w:r>
            <w:r>
              <w:rPr>
                <w:rFonts w:hint="eastAsia" w:ascii="仿宋" w:hAnsi="仿宋" w:eastAsia="仿宋" w:cs="仿宋"/>
                <w:color w:val="000000"/>
                <w:sz w:val="22"/>
                <w:szCs w:val="22"/>
              </w:rPr>
              <w:t xml:space="preserve">　　（五）参加政府采购活动前三年内，在经营活动中没有重大违法记录； </w:t>
            </w:r>
            <w:r>
              <w:rPr>
                <w:rFonts w:hint="eastAsia" w:ascii="仿宋" w:hAnsi="仿宋" w:eastAsia="仿宋" w:cs="仿宋"/>
                <w:color w:val="000000"/>
                <w:sz w:val="22"/>
                <w:szCs w:val="22"/>
              </w:rPr>
              <w:br w:type="textWrapping"/>
            </w:r>
            <w:r>
              <w:rPr>
                <w:rFonts w:hint="eastAsia" w:ascii="仿宋" w:hAnsi="仿宋" w:eastAsia="仿宋" w:cs="仿宋"/>
                <w:color w:val="000000"/>
                <w:sz w:val="22"/>
                <w:szCs w:val="22"/>
              </w:rPr>
              <w:t xml:space="preserve">　　（六）法律、行政法规规定的其他条件。 </w:t>
            </w:r>
          </w:p>
          <w:p>
            <w:pPr>
              <w:pStyle w:val="22"/>
              <w:snapToGrid w:val="0"/>
              <w:spacing w:before="120" w:after="120" w:line="400" w:lineRule="exact"/>
              <w:ind w:firstLine="450"/>
              <w:rPr>
                <w:rFonts w:ascii="仿宋" w:hAnsi="仿宋" w:eastAsia="仿宋" w:cs="仿宋"/>
                <w:b/>
                <w:color w:val="000000"/>
                <w:sz w:val="22"/>
                <w:szCs w:val="22"/>
              </w:rPr>
            </w:pPr>
            <w:r>
              <w:rPr>
                <w:rFonts w:hint="eastAsia" w:ascii="仿宋" w:hAnsi="仿宋" w:eastAsia="仿宋" w:cs="仿宋"/>
                <w:color w:val="000000"/>
                <w:sz w:val="22"/>
                <w:szCs w:val="22"/>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rFonts w:hint="eastAsia" w:ascii="仿宋" w:hAnsi="仿宋" w:eastAsia="仿宋" w:cs="仿宋"/>
                <w:b/>
                <w:color w:val="000000"/>
                <w:sz w:val="22"/>
                <w:szCs w:val="22"/>
              </w:rPr>
              <w:t>我单位承诺不存在上述文件规定依法限制参与政府采购的情况。</w:t>
            </w:r>
          </w:p>
          <w:p>
            <w:pPr>
              <w:pStyle w:val="22"/>
              <w:snapToGrid w:val="0"/>
              <w:spacing w:before="120" w:after="120" w:line="400" w:lineRule="exact"/>
              <w:ind w:firstLine="450"/>
              <w:rPr>
                <w:rFonts w:ascii="仿宋" w:hAnsi="仿宋" w:eastAsia="仿宋" w:cs="仿宋"/>
                <w:color w:val="000000"/>
                <w:sz w:val="22"/>
                <w:szCs w:val="22"/>
              </w:rPr>
            </w:pPr>
            <w:r>
              <w:rPr>
                <w:rFonts w:hint="eastAsia" w:ascii="仿宋" w:hAnsi="仿宋" w:eastAsia="仿宋" w:cs="仿宋"/>
                <w:color w:val="000000"/>
                <w:sz w:val="22"/>
                <w:szCs w:val="22"/>
              </w:rPr>
              <w:t>3、我单位承诺没有被各地、各级财政部门限制参加政府采购活动。</w:t>
            </w:r>
          </w:p>
          <w:p>
            <w:pPr>
              <w:tabs>
                <w:tab w:val="center" w:pos="4483"/>
              </w:tabs>
              <w:adjustRightInd w:val="0"/>
              <w:spacing w:line="360" w:lineRule="auto"/>
              <w:ind w:firstLine="400"/>
              <w:rPr>
                <w:rFonts w:ascii="仿宋" w:hAnsi="仿宋" w:eastAsia="仿宋" w:cs="仿宋"/>
                <w:color w:val="000000"/>
                <w:sz w:val="22"/>
                <w:szCs w:val="22"/>
                <w:u w:val="single"/>
              </w:rPr>
            </w:pPr>
            <w:r>
              <w:rPr>
                <w:rFonts w:hint="eastAsia" w:ascii="仿宋" w:hAnsi="仿宋" w:eastAsia="仿宋" w:cs="仿宋"/>
                <w:color w:val="000000"/>
                <w:sz w:val="22"/>
                <w:szCs w:val="22"/>
              </w:rPr>
              <w:t>4、我单位承诺参与本项目政府采购活动3年内没有其它重大违法记录。</w:t>
            </w:r>
          </w:p>
          <w:p>
            <w:pPr>
              <w:tabs>
                <w:tab w:val="center" w:pos="4483"/>
              </w:tabs>
              <w:adjustRightInd w:val="0"/>
              <w:spacing w:line="360" w:lineRule="auto"/>
              <w:ind w:firstLine="440" w:firstLineChars="200"/>
              <w:rPr>
                <w:rFonts w:ascii="仿宋" w:hAnsi="仿宋" w:eastAsia="仿宋" w:cs="仿宋"/>
                <w:bCs/>
                <w:color w:val="000000"/>
                <w:sz w:val="22"/>
                <w:szCs w:val="22"/>
              </w:rPr>
            </w:pPr>
            <w:r>
              <w:rPr>
                <w:rFonts w:hint="eastAsia" w:ascii="仿宋" w:hAnsi="仿宋" w:eastAsia="仿宋" w:cs="仿宋"/>
                <w:bCs/>
                <w:color w:val="000000"/>
                <w:sz w:val="22"/>
                <w:szCs w:val="22"/>
              </w:rPr>
              <w:t>本公司所提交的本声明和陈述均是真实的、准确的。若与真实情况不符，本公司愿意承担由此而产生的一切后果。我方提供了全部能提供的资料和数据，我们同意遵照贵方要求出示有关证明文件。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10065" w:type="dxa"/>
            <w:gridSpan w:val="2"/>
            <w:vAlign w:val="center"/>
          </w:tcPr>
          <w:p>
            <w:pPr>
              <w:pStyle w:val="22"/>
              <w:snapToGrid w:val="0"/>
              <w:spacing w:before="120" w:after="120" w:line="400" w:lineRule="exact"/>
              <w:ind w:left="422" w:firstLine="331"/>
              <w:rPr>
                <w:rFonts w:ascii="仿宋" w:hAnsi="仿宋" w:eastAsia="仿宋" w:cs="仿宋"/>
                <w:bCs/>
                <w:color w:val="000000"/>
                <w:sz w:val="22"/>
                <w:szCs w:val="22"/>
              </w:rPr>
            </w:pPr>
            <w:r>
              <w:rPr>
                <w:rFonts w:hint="eastAsia" w:ascii="仿宋" w:hAnsi="仿宋" w:eastAsia="仿宋" w:cs="仿宋"/>
                <w:bCs/>
                <w:color w:val="000000"/>
                <w:sz w:val="22"/>
                <w:szCs w:val="22"/>
              </w:rPr>
              <w:t>供应商名称（加盖盖章）：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rPr>
        <w:tc>
          <w:tcPr>
            <w:tcW w:w="10065" w:type="dxa"/>
            <w:gridSpan w:val="2"/>
            <w:vAlign w:val="center"/>
          </w:tcPr>
          <w:p>
            <w:pPr>
              <w:pStyle w:val="22"/>
              <w:snapToGrid w:val="0"/>
              <w:spacing w:before="120" w:after="120" w:line="400" w:lineRule="exact"/>
              <w:ind w:left="422" w:firstLine="316"/>
              <w:rPr>
                <w:rFonts w:ascii="仿宋" w:hAnsi="仿宋" w:eastAsia="仿宋" w:cs="仿宋"/>
                <w:bCs/>
                <w:color w:val="000000"/>
                <w:sz w:val="22"/>
                <w:szCs w:val="22"/>
              </w:rPr>
            </w:pPr>
            <w:r>
              <w:rPr>
                <w:rFonts w:hint="eastAsia" w:ascii="仿宋" w:hAnsi="仿宋" w:eastAsia="仿宋" w:cs="仿宋"/>
                <w:bCs/>
                <w:color w:val="000000"/>
                <w:sz w:val="22"/>
                <w:szCs w:val="22"/>
              </w:rPr>
              <w:t>法定代表人或授权代表（签字或盖章）：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 w:hRule="atLeast"/>
        </w:trPr>
        <w:tc>
          <w:tcPr>
            <w:tcW w:w="10065" w:type="dxa"/>
            <w:gridSpan w:val="2"/>
            <w:vAlign w:val="center"/>
          </w:tcPr>
          <w:p>
            <w:pPr>
              <w:pStyle w:val="22"/>
              <w:snapToGrid w:val="0"/>
              <w:spacing w:before="120" w:after="120" w:line="400" w:lineRule="exact"/>
              <w:ind w:left="422" w:firstLine="331"/>
              <w:rPr>
                <w:rFonts w:ascii="仿宋" w:hAnsi="仿宋" w:eastAsia="仿宋" w:cs="仿宋"/>
                <w:bCs/>
                <w:color w:val="000000"/>
                <w:sz w:val="22"/>
                <w:szCs w:val="22"/>
              </w:rPr>
            </w:pPr>
            <w:r>
              <w:rPr>
                <w:rFonts w:hint="eastAsia" w:ascii="仿宋" w:hAnsi="仿宋" w:eastAsia="仿宋" w:cs="仿宋"/>
                <w:bCs/>
                <w:color w:val="000000"/>
                <w:sz w:val="22"/>
                <w:szCs w:val="22"/>
              </w:rPr>
              <w:t>签署日期：</w:t>
            </w:r>
          </w:p>
        </w:tc>
      </w:tr>
    </w:tbl>
    <w:p>
      <w:pPr>
        <w:pStyle w:val="40"/>
        <w:ind w:firstLine="560"/>
      </w:pP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6、安保服务行业许可证书复印件</w:t>
      </w: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1、技术响应表</w:t>
      </w: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sz w:val="24"/>
        </w:rPr>
        <w:t>（由投标人根据采购需求及招标文件要求编制）</w:t>
      </w:r>
    </w:p>
    <w:tbl>
      <w:tblPr>
        <w:tblStyle w:val="41"/>
        <w:tblW w:w="9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707"/>
        <w:gridCol w:w="3051"/>
        <w:gridCol w:w="3818"/>
        <w:gridCol w:w="1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序号</w:t>
            </w: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名称</w:t>
            </w: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投标响应</w:t>
            </w: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1</w:t>
            </w: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服务内容</w:t>
            </w: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2</w:t>
            </w: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服务需求</w:t>
            </w: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3</w:t>
            </w: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服务质量要求</w:t>
            </w: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可自行添加行</w:t>
            </w: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70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05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bl>
    <w:p>
      <w:pPr>
        <w:tabs>
          <w:tab w:val="left" w:pos="570"/>
        </w:tabs>
        <w:spacing w:line="440" w:lineRule="exact"/>
        <w:jc w:val="left"/>
        <w:rPr>
          <w:rFonts w:ascii="仿宋_GB2312" w:hAnsi="宋体" w:eastAsia="仿宋_GB2312"/>
          <w:sz w:val="24"/>
        </w:rPr>
      </w:pPr>
      <w:r>
        <w:rPr>
          <w:rFonts w:hint="eastAsia" w:ascii="仿宋_GB2312" w:hAnsi="宋体" w:eastAsia="仿宋_GB2312"/>
          <w:sz w:val="24"/>
        </w:rPr>
        <w:t>注：1.此表须与</w:t>
      </w:r>
      <w:r>
        <w:rPr>
          <w:rFonts w:hint="eastAsia" w:ascii="仿宋_GB2312" w:hAnsi="宋体" w:eastAsia="仿宋_GB2312"/>
          <w:kern w:val="0"/>
          <w:sz w:val="24"/>
        </w:rPr>
        <w:t>招标文件“</w:t>
      </w:r>
      <w:r>
        <w:rPr>
          <w:rFonts w:hint="eastAsia" w:ascii="仿宋_GB2312" w:hAnsi="宋体" w:eastAsia="仿宋_GB2312"/>
          <w:sz w:val="24"/>
        </w:rPr>
        <w:t>招标项目说明及要求</w:t>
      </w:r>
      <w:r>
        <w:rPr>
          <w:rFonts w:hint="eastAsia" w:ascii="仿宋_GB2312" w:hAnsi="宋体" w:eastAsia="仿宋_GB2312"/>
          <w:kern w:val="0"/>
          <w:sz w:val="24"/>
        </w:rPr>
        <w:t>”</w:t>
      </w:r>
      <w:r>
        <w:rPr>
          <w:rFonts w:hint="eastAsia" w:ascii="仿宋_GB2312" w:hAnsi="宋体" w:eastAsia="仿宋_GB2312"/>
          <w:sz w:val="24"/>
        </w:rPr>
        <w:t>相应标项内的所有要求相比较且一一对应</w:t>
      </w:r>
      <w:r>
        <w:rPr>
          <w:rFonts w:hint="eastAsia" w:ascii="仿宋_GB2312" w:hAnsi="宋体" w:eastAsia="仿宋_GB2312" w:cs="宋体"/>
          <w:sz w:val="24"/>
        </w:rPr>
        <w:t>真实逐条</w:t>
      </w:r>
      <w:r>
        <w:rPr>
          <w:rFonts w:hint="eastAsia" w:ascii="仿宋_GB2312" w:hAnsi="宋体" w:eastAsia="仿宋_GB2312"/>
          <w:sz w:val="24"/>
        </w:rPr>
        <w:t>填列。</w:t>
      </w:r>
    </w:p>
    <w:p>
      <w:pPr>
        <w:tabs>
          <w:tab w:val="left" w:pos="570"/>
        </w:tabs>
        <w:spacing w:line="440" w:lineRule="exact"/>
        <w:jc w:val="left"/>
        <w:rPr>
          <w:rFonts w:ascii="仿宋_GB2312" w:hAnsi="宋体" w:eastAsia="仿宋_GB2312"/>
          <w:sz w:val="24"/>
        </w:rPr>
      </w:pPr>
      <w:r>
        <w:rPr>
          <w:rFonts w:hint="eastAsia" w:ascii="仿宋_GB2312" w:hAnsi="宋体" w:eastAsia="仿宋_GB2312"/>
          <w:sz w:val="24"/>
        </w:rPr>
        <w:t>2、</w:t>
      </w:r>
      <w:r>
        <w:rPr>
          <w:rFonts w:hint="eastAsia" w:ascii="仿宋_GB2312" w:hAnsi="宋体" w:eastAsia="仿宋_GB2312" w:cs="宋体"/>
          <w:sz w:val="24"/>
        </w:rPr>
        <w:t>投标人递交的技术响应表中必须真实逐条列明，否则由投标人自行承担相关风险。</w:t>
      </w:r>
    </w:p>
    <w:p>
      <w:pPr>
        <w:autoSpaceDE w:val="0"/>
        <w:autoSpaceDN w:val="0"/>
        <w:spacing w:line="360" w:lineRule="auto"/>
        <w:ind w:firstLine="5040" w:firstLineChars="2100"/>
        <w:rPr>
          <w:rFonts w:ascii="仿宋_GB2312" w:hAnsi="仿宋_GB2312" w:eastAsia="仿宋_GB2312" w:cs="仿宋_GB2312"/>
          <w:kern w:val="0"/>
          <w:sz w:val="24"/>
          <w:lang w:val="zh-CN"/>
        </w:rPr>
      </w:pPr>
    </w:p>
    <w:p>
      <w:pPr>
        <w:autoSpaceDE w:val="0"/>
        <w:autoSpaceDN w:val="0"/>
        <w:spacing w:line="360" w:lineRule="auto"/>
        <w:ind w:firstLine="5040" w:firstLineChars="210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 xml:space="preserve">投标人名称（公章）：      </w:t>
      </w:r>
    </w:p>
    <w:p>
      <w:pPr>
        <w:autoSpaceDE w:val="0"/>
        <w:autoSpaceDN w:val="0"/>
        <w:spacing w:line="360" w:lineRule="auto"/>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法定代表人或其授权代表（签字）： </w:t>
      </w:r>
    </w:p>
    <w:p>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kern w:val="0"/>
          <w:sz w:val="24"/>
          <w:lang w:val="zh-CN"/>
        </w:rPr>
        <w:t xml:space="preserve">                            日期：  年  月   日</w:t>
      </w:r>
    </w:p>
    <w:p>
      <w:pPr>
        <w:spacing w:line="360" w:lineRule="auto"/>
        <w:rPr>
          <w:rFonts w:ascii="仿宋_GB2312" w:hAnsi="仿宋_GB2312" w:eastAsia="仿宋_GB2312" w:cs="仿宋_GB2312"/>
          <w:b/>
          <w:bCs/>
          <w:sz w:val="32"/>
          <w:szCs w:val="32"/>
        </w:rPr>
      </w:pPr>
    </w:p>
    <w:p>
      <w:pPr>
        <w:spacing w:line="360" w:lineRule="auto"/>
        <w:rPr>
          <w:rFonts w:ascii="仿宋_GB2312" w:hAnsi="仿宋_GB2312" w:eastAsia="仿宋_GB2312" w:cs="仿宋_GB2312"/>
          <w:b/>
          <w:bCs/>
          <w:sz w:val="32"/>
          <w:szCs w:val="32"/>
        </w:rPr>
      </w:pPr>
    </w:p>
    <w:p>
      <w:pPr>
        <w:spacing w:line="360" w:lineRule="auto"/>
        <w:rPr>
          <w:rFonts w:ascii="仿宋_GB2312" w:hAnsi="仿宋_GB2312" w:eastAsia="仿宋_GB2312" w:cs="仿宋_GB2312"/>
          <w:b/>
          <w:bCs/>
          <w:sz w:val="32"/>
          <w:szCs w:val="32"/>
        </w:rPr>
      </w:pP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2、商务响应表</w:t>
      </w: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sz w:val="24"/>
        </w:rPr>
        <w:t>（由投标人根据采购需求及招标文件要求编制）</w:t>
      </w:r>
    </w:p>
    <w:tbl>
      <w:tblPr>
        <w:tblStyle w:val="41"/>
        <w:tblW w:w="9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5"/>
        <w:gridCol w:w="990"/>
        <w:gridCol w:w="2768"/>
        <w:gridCol w:w="3818"/>
        <w:gridCol w:w="1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序号</w:t>
            </w: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名称</w:t>
            </w: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投标响应</w:t>
            </w: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1</w:t>
            </w: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服务</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期限</w:t>
            </w: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2</w:t>
            </w: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付款</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方式</w:t>
            </w: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3</w:t>
            </w: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其他</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要求</w:t>
            </w: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招标文件技术要求</w:t>
            </w:r>
          </w:p>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可自行添加行</w:t>
            </w: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615"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990"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c>
          <w:tcPr>
            <w:tcW w:w="276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r>
              <w:rPr>
                <w:rFonts w:hint="eastAsia" w:ascii="仿宋_GB2312" w:hAnsi="宋体" w:eastAsia="仿宋_GB2312"/>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_GB2312" w:hAnsi="宋体" w:eastAsia="仿宋_GB2312"/>
                <w:sz w:val="24"/>
              </w:rPr>
            </w:pPr>
          </w:p>
        </w:tc>
        <w:tc>
          <w:tcPr>
            <w:tcW w:w="149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_GB2312" w:hAnsi="宋体" w:eastAsia="仿宋_GB2312"/>
                <w:sz w:val="24"/>
              </w:rPr>
            </w:pPr>
          </w:p>
        </w:tc>
      </w:tr>
    </w:tbl>
    <w:p>
      <w:pPr>
        <w:tabs>
          <w:tab w:val="left" w:pos="570"/>
        </w:tabs>
        <w:spacing w:line="440" w:lineRule="exact"/>
        <w:jc w:val="left"/>
        <w:rPr>
          <w:rFonts w:ascii="仿宋_GB2312" w:hAnsi="宋体" w:eastAsia="仿宋_GB2312"/>
          <w:sz w:val="24"/>
        </w:rPr>
      </w:pPr>
      <w:r>
        <w:rPr>
          <w:rFonts w:hint="eastAsia" w:ascii="仿宋_GB2312" w:hAnsi="宋体" w:eastAsia="仿宋_GB2312"/>
          <w:sz w:val="24"/>
        </w:rPr>
        <w:t>注：1.此表须与</w:t>
      </w:r>
      <w:r>
        <w:rPr>
          <w:rFonts w:hint="eastAsia" w:ascii="仿宋_GB2312" w:hAnsi="宋体" w:eastAsia="仿宋_GB2312"/>
          <w:kern w:val="0"/>
          <w:sz w:val="24"/>
        </w:rPr>
        <w:t>招标文件“</w:t>
      </w:r>
      <w:r>
        <w:rPr>
          <w:rFonts w:hint="eastAsia" w:ascii="仿宋_GB2312" w:hAnsi="宋体" w:eastAsia="仿宋_GB2312"/>
          <w:sz w:val="24"/>
        </w:rPr>
        <w:t>招标项目说明及要求</w:t>
      </w:r>
      <w:r>
        <w:rPr>
          <w:rFonts w:hint="eastAsia" w:ascii="仿宋_GB2312" w:hAnsi="宋体" w:eastAsia="仿宋_GB2312"/>
          <w:kern w:val="0"/>
          <w:sz w:val="24"/>
        </w:rPr>
        <w:t>”</w:t>
      </w:r>
      <w:r>
        <w:rPr>
          <w:rFonts w:hint="eastAsia" w:ascii="仿宋_GB2312" w:hAnsi="宋体" w:eastAsia="仿宋_GB2312"/>
          <w:sz w:val="24"/>
        </w:rPr>
        <w:t>相应标项内的所有要求相比较且一一对应</w:t>
      </w:r>
      <w:r>
        <w:rPr>
          <w:rFonts w:hint="eastAsia" w:ascii="仿宋_GB2312" w:hAnsi="宋体" w:eastAsia="仿宋_GB2312" w:cs="宋体"/>
          <w:sz w:val="24"/>
        </w:rPr>
        <w:t>真实逐条</w:t>
      </w:r>
      <w:r>
        <w:rPr>
          <w:rFonts w:hint="eastAsia" w:ascii="仿宋_GB2312" w:hAnsi="宋体" w:eastAsia="仿宋_GB2312"/>
          <w:sz w:val="24"/>
        </w:rPr>
        <w:t>填列。</w:t>
      </w:r>
    </w:p>
    <w:p>
      <w:pPr>
        <w:tabs>
          <w:tab w:val="left" w:pos="570"/>
        </w:tabs>
        <w:spacing w:line="440" w:lineRule="exact"/>
        <w:jc w:val="left"/>
        <w:rPr>
          <w:rFonts w:ascii="仿宋_GB2312" w:hAnsi="宋体" w:eastAsia="仿宋_GB2312"/>
          <w:sz w:val="24"/>
        </w:rPr>
      </w:pPr>
      <w:r>
        <w:rPr>
          <w:rFonts w:hint="eastAsia" w:ascii="仿宋_GB2312" w:hAnsi="宋体" w:eastAsia="仿宋_GB2312"/>
          <w:sz w:val="24"/>
        </w:rPr>
        <w:t>2、</w:t>
      </w:r>
      <w:r>
        <w:rPr>
          <w:rFonts w:hint="eastAsia" w:ascii="仿宋_GB2312" w:hAnsi="宋体" w:eastAsia="仿宋_GB2312" w:cs="宋体"/>
          <w:sz w:val="24"/>
        </w:rPr>
        <w:t>投标人递交的商务响应表中必须真实逐条列明，否则由投标人自行承担相关风险。</w:t>
      </w:r>
    </w:p>
    <w:p>
      <w:pPr>
        <w:autoSpaceDE w:val="0"/>
        <w:autoSpaceDN w:val="0"/>
        <w:spacing w:line="360" w:lineRule="auto"/>
        <w:ind w:firstLine="5040" w:firstLineChars="2100"/>
        <w:rPr>
          <w:rFonts w:ascii="仿宋_GB2312" w:hAnsi="仿宋_GB2312" w:eastAsia="仿宋_GB2312" w:cs="仿宋_GB2312"/>
          <w:kern w:val="0"/>
          <w:sz w:val="24"/>
          <w:lang w:val="zh-CN"/>
        </w:rPr>
      </w:pPr>
    </w:p>
    <w:p>
      <w:pPr>
        <w:autoSpaceDE w:val="0"/>
        <w:autoSpaceDN w:val="0"/>
        <w:spacing w:line="360" w:lineRule="auto"/>
        <w:ind w:firstLine="5040" w:firstLineChars="2100"/>
        <w:rPr>
          <w:rFonts w:ascii="仿宋_GB2312" w:hAnsi="仿宋_GB2312" w:eastAsia="仿宋_GB2312" w:cs="仿宋_GB2312"/>
          <w:kern w:val="0"/>
          <w:sz w:val="24"/>
        </w:rPr>
      </w:pPr>
      <w:r>
        <w:rPr>
          <w:rFonts w:hint="eastAsia" w:ascii="仿宋_GB2312" w:hAnsi="仿宋_GB2312" w:eastAsia="仿宋_GB2312" w:cs="仿宋_GB2312"/>
          <w:kern w:val="0"/>
          <w:sz w:val="24"/>
          <w:lang w:val="zh-CN"/>
        </w:rPr>
        <w:t xml:space="preserve">投标人名称（公章）：      </w:t>
      </w:r>
    </w:p>
    <w:p>
      <w:pPr>
        <w:autoSpaceDE w:val="0"/>
        <w:autoSpaceDN w:val="0"/>
        <w:spacing w:line="360" w:lineRule="auto"/>
        <w:rPr>
          <w:rFonts w:ascii="仿宋_GB2312" w:hAnsi="仿宋_GB2312" w:eastAsia="仿宋_GB2312" w:cs="仿宋_GB2312"/>
          <w:kern w:val="0"/>
          <w:sz w:val="24"/>
          <w:lang w:val="zh-CN"/>
        </w:rPr>
      </w:pPr>
      <w:r>
        <w:rPr>
          <w:rFonts w:hint="eastAsia" w:ascii="仿宋_GB2312" w:hAnsi="仿宋_GB2312" w:eastAsia="仿宋_GB2312" w:cs="仿宋_GB2312"/>
          <w:kern w:val="0"/>
          <w:sz w:val="24"/>
          <w:lang w:val="zh-CN"/>
        </w:rPr>
        <w:t xml:space="preserve">                                        法定代表人或其授权代表（签字）： </w:t>
      </w:r>
    </w:p>
    <w:p>
      <w:pPr>
        <w:spacing w:line="360" w:lineRule="auto"/>
        <w:jc w:val="center"/>
        <w:rPr>
          <w:rFonts w:ascii="仿宋_GB2312" w:hAnsi="仿宋_GB2312" w:eastAsia="仿宋_GB2312" w:cs="仿宋_GB2312"/>
          <w:b/>
          <w:sz w:val="24"/>
        </w:rPr>
      </w:pPr>
      <w:r>
        <w:rPr>
          <w:rFonts w:hint="eastAsia" w:ascii="仿宋_GB2312" w:hAnsi="仿宋_GB2312" w:eastAsia="仿宋_GB2312" w:cs="仿宋_GB2312"/>
          <w:kern w:val="0"/>
          <w:sz w:val="24"/>
          <w:lang w:val="zh-CN"/>
        </w:rPr>
        <w:t xml:space="preserve">                            日期：  年  月   日</w:t>
      </w:r>
    </w:p>
    <w:p>
      <w:pPr>
        <w:spacing w:line="360" w:lineRule="auto"/>
        <w:rPr>
          <w:rFonts w:ascii="仿宋_GB2312" w:hAnsi="仿宋_GB2312" w:eastAsia="仿宋_GB2312" w:cs="仿宋_GB2312"/>
          <w:b/>
          <w:bCs/>
          <w:sz w:val="32"/>
          <w:szCs w:val="32"/>
        </w:rPr>
      </w:pPr>
    </w:p>
    <w:p>
      <w:pPr>
        <w:pStyle w:val="40"/>
        <w:ind w:firstLine="560"/>
      </w:pPr>
    </w:p>
    <w:p>
      <w:pPr>
        <w:pStyle w:val="40"/>
        <w:ind w:firstLine="560"/>
      </w:pPr>
    </w:p>
    <w:p>
      <w:pPr>
        <w:spacing w:line="360" w:lineRule="auto"/>
        <w:rPr>
          <w:rFonts w:ascii="仿宋_GB2312" w:hAnsi="仿宋_GB2312" w:eastAsia="仿宋_GB2312" w:cs="仿宋_GB2312"/>
          <w:b/>
          <w:kern w:val="0"/>
          <w:sz w:val="32"/>
          <w:szCs w:val="32"/>
        </w:rPr>
      </w:pPr>
      <w:r>
        <w:rPr>
          <w:rFonts w:hint="eastAsia" w:ascii="仿宋_GB2312" w:hAnsi="仿宋_GB2312" w:eastAsia="仿宋_GB2312" w:cs="仿宋_GB2312"/>
          <w:b/>
          <w:bCs/>
          <w:sz w:val="32"/>
          <w:szCs w:val="32"/>
        </w:rPr>
        <w:t>3、据评分标准需要提供的资料</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（由投标人根据评分要求自行编制）</w:t>
      </w:r>
    </w:p>
    <w:p>
      <w:pPr>
        <w:pStyle w:val="40"/>
        <w:ind w:left="0" w:leftChars="0" w:firstLine="0" w:firstLineChars="0"/>
        <w:jc w:val="center"/>
        <w:rPr>
          <w:rFonts w:ascii="仿宋_GB2312" w:hAnsi="仿宋_GB2312" w:eastAsia="仿宋_GB2312" w:cs="仿宋_GB2312"/>
          <w:szCs w:val="28"/>
        </w:rPr>
      </w:pPr>
      <w:r>
        <w:rPr>
          <w:rFonts w:hint="eastAsia" w:ascii="仿宋_GB2312" w:hAnsi="仿宋_GB2312" w:eastAsia="仿宋_GB2312" w:cs="仿宋_GB2312"/>
          <w:szCs w:val="28"/>
        </w:rPr>
        <w:t>评分索引表</w:t>
      </w:r>
    </w:p>
    <w:tbl>
      <w:tblPr>
        <w:tblStyle w:val="42"/>
        <w:tblW w:w="897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6"/>
        <w:gridCol w:w="1605"/>
        <w:gridCol w:w="2007"/>
        <w:gridCol w:w="1496"/>
        <w:gridCol w:w="1496"/>
        <w:gridCol w:w="14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序号</w:t>
            </w:r>
          </w:p>
        </w:tc>
        <w:tc>
          <w:tcPr>
            <w:tcW w:w="1605"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评审项目</w:t>
            </w:r>
          </w:p>
        </w:tc>
        <w:tc>
          <w:tcPr>
            <w:tcW w:w="2007"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评审细则</w:t>
            </w:r>
          </w:p>
        </w:tc>
        <w:tc>
          <w:tcPr>
            <w:tcW w:w="1496"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分值</w:t>
            </w:r>
          </w:p>
        </w:tc>
        <w:tc>
          <w:tcPr>
            <w:tcW w:w="1496"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对应页码</w:t>
            </w:r>
          </w:p>
        </w:tc>
        <w:tc>
          <w:tcPr>
            <w:tcW w:w="1496" w:type="dxa"/>
            <w:vAlign w:val="center"/>
          </w:tcPr>
          <w:p>
            <w:pPr>
              <w:pStyle w:val="40"/>
              <w:ind w:left="0" w:leftChars="0" w:firstLine="0" w:firstLineChars="0"/>
              <w:jc w:val="center"/>
              <w:rPr>
                <w:rFonts w:ascii="仿宋_GB2312" w:hAnsi="仿宋_GB2312" w:eastAsia="仿宋_GB2312" w:cs="仿宋_GB2312"/>
                <w:sz w:val="24"/>
              </w:rPr>
            </w:pPr>
            <w:r>
              <w:rPr>
                <w:rFonts w:hint="eastAsia" w:ascii="仿宋_GB2312" w:hAnsi="仿宋_GB2312" w:eastAsia="仿宋_GB2312" w:cs="仿宋_GB2312"/>
                <w:sz w:val="24"/>
              </w:rPr>
              <w:t>自评分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876" w:type="dxa"/>
            <w:vAlign w:val="center"/>
          </w:tcPr>
          <w:p>
            <w:pPr>
              <w:pStyle w:val="40"/>
              <w:ind w:firstLine="480"/>
              <w:jc w:val="center"/>
              <w:rPr>
                <w:rFonts w:ascii="仿宋_GB2312" w:hAnsi="仿宋_GB2312" w:eastAsia="仿宋_GB2312" w:cs="仿宋_GB2312"/>
                <w:sz w:val="24"/>
              </w:rPr>
            </w:pPr>
          </w:p>
        </w:tc>
        <w:tc>
          <w:tcPr>
            <w:tcW w:w="1605" w:type="dxa"/>
            <w:vAlign w:val="center"/>
          </w:tcPr>
          <w:p>
            <w:pPr>
              <w:pStyle w:val="40"/>
              <w:ind w:firstLine="480"/>
              <w:jc w:val="center"/>
              <w:rPr>
                <w:rFonts w:ascii="仿宋_GB2312" w:hAnsi="仿宋_GB2312" w:eastAsia="仿宋_GB2312" w:cs="仿宋_GB2312"/>
                <w:sz w:val="24"/>
              </w:rPr>
            </w:pPr>
          </w:p>
        </w:tc>
        <w:tc>
          <w:tcPr>
            <w:tcW w:w="2007"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c>
          <w:tcPr>
            <w:tcW w:w="1496" w:type="dxa"/>
            <w:vAlign w:val="center"/>
          </w:tcPr>
          <w:p>
            <w:pPr>
              <w:pStyle w:val="40"/>
              <w:ind w:firstLine="480"/>
              <w:jc w:val="center"/>
              <w:rPr>
                <w:rFonts w:ascii="仿宋_GB2312" w:hAnsi="仿宋_GB2312" w:eastAsia="仿宋_GB2312" w:cs="仿宋_GB2312"/>
                <w:sz w:val="24"/>
              </w:rPr>
            </w:pPr>
          </w:p>
        </w:tc>
      </w:tr>
    </w:tbl>
    <w:p>
      <w:pPr>
        <w:pStyle w:val="40"/>
        <w:ind w:left="0" w:leftChars="0" w:firstLine="0" w:firstLineChars="0"/>
        <w:rPr>
          <w:rFonts w:ascii="仿宋_GB2312" w:hAnsi="仿宋_GB2312" w:eastAsia="仿宋_GB2312" w:cs="仿宋_GB2312"/>
          <w:sz w:val="24"/>
        </w:rPr>
      </w:pPr>
      <w:r>
        <w:rPr>
          <w:rFonts w:hint="eastAsia" w:ascii="仿宋_GB2312" w:hAnsi="仿宋_GB2312" w:eastAsia="仿宋_GB2312" w:cs="仿宋_GB2312"/>
          <w:sz w:val="24"/>
        </w:rPr>
        <w:t>本表可根据实际需求自行添加</w:t>
      </w:r>
    </w:p>
    <w:p>
      <w:pPr>
        <w:pStyle w:val="40"/>
        <w:ind w:firstLine="480"/>
        <w:rPr>
          <w:rFonts w:ascii="仿宋_GB2312" w:hAnsi="仿宋_GB2312" w:eastAsia="仿宋_GB2312" w:cs="仿宋_GB2312"/>
          <w:sz w:val="24"/>
        </w:rPr>
      </w:pPr>
    </w:p>
    <w:p>
      <w:pPr>
        <w:pStyle w:val="40"/>
        <w:ind w:firstLine="480"/>
        <w:rPr>
          <w:rFonts w:ascii="仿宋_GB2312" w:hAnsi="仿宋_GB2312" w:eastAsia="仿宋_GB2312" w:cs="仿宋_GB2312"/>
          <w:sz w:val="24"/>
        </w:rPr>
      </w:pPr>
    </w:p>
    <w:p>
      <w:pPr>
        <w:pStyle w:val="40"/>
        <w:ind w:firstLine="480"/>
        <w:rPr>
          <w:rFonts w:ascii="仿宋_GB2312" w:hAnsi="仿宋_GB2312" w:eastAsia="仿宋_GB2312" w:cs="仿宋_GB2312"/>
          <w:sz w:val="24"/>
        </w:rPr>
      </w:pPr>
    </w:p>
    <w:p>
      <w:pPr>
        <w:pStyle w:val="40"/>
        <w:ind w:firstLine="480"/>
        <w:rPr>
          <w:rFonts w:ascii="仿宋_GB2312" w:hAnsi="仿宋_GB2312" w:eastAsia="仿宋_GB2312" w:cs="仿宋_GB2312"/>
          <w:sz w:val="24"/>
        </w:rPr>
      </w:pPr>
    </w:p>
    <w:p>
      <w:pPr>
        <w:pStyle w:val="40"/>
        <w:ind w:left="0" w:leftChars="0" w:firstLine="0" w:firstLineChars="0"/>
        <w:rPr>
          <w:rFonts w:ascii="仿宋_GB2312" w:hAnsi="仿宋_GB2312" w:eastAsia="仿宋_GB2312" w:cs="仿宋_GB2312"/>
          <w:sz w:val="24"/>
        </w:rPr>
      </w:pPr>
    </w:p>
    <w:p>
      <w:pPr>
        <w:pStyle w:val="40"/>
        <w:ind w:firstLine="480"/>
        <w:rPr>
          <w:rFonts w:ascii="仿宋_GB2312" w:hAnsi="仿宋_GB2312" w:eastAsia="仿宋_GB2312" w:cs="仿宋_GB2312"/>
          <w:sz w:val="24"/>
        </w:rPr>
      </w:pPr>
    </w:p>
    <w:p>
      <w:pPr>
        <w:spacing w:line="360" w:lineRule="auto"/>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4、投标人认为需要提供的其他资料</w:t>
      </w:r>
    </w:p>
    <w:p>
      <w:pPr>
        <w:spacing w:line="360" w:lineRule="auto"/>
        <w:rPr>
          <w:rFonts w:ascii="仿宋_GB2312" w:hAnsi="仿宋_GB2312" w:eastAsia="仿宋_GB2312" w:cs="仿宋_GB2312"/>
          <w:sz w:val="24"/>
        </w:rPr>
      </w:pPr>
      <w:r>
        <w:rPr>
          <w:rFonts w:hint="eastAsia" w:ascii="仿宋_GB2312" w:hAnsi="仿宋_GB2312" w:eastAsia="仿宋_GB2312" w:cs="仿宋_GB2312"/>
          <w:sz w:val="24"/>
        </w:rPr>
        <w:t>（由投标人自行编制）</w:t>
      </w:r>
    </w:p>
    <w:sectPr>
      <w:footerReference r:id="rId7" w:type="first"/>
      <w:headerReference r:id="rId3" w:type="default"/>
      <w:footerReference r:id="rId5" w:type="default"/>
      <w:headerReference r:id="rId4" w:type="even"/>
      <w:footerReference r:id="rId6" w:type="even"/>
      <w:pgSz w:w="11906" w:h="16838"/>
      <w:pgMar w:top="1440" w:right="1080" w:bottom="1440" w:left="1080" w:header="1021" w:footer="902" w:gutter="0"/>
      <w:pgNumType w:fmt="numberInDash"/>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隶书">
    <w:altName w:val="微软雅黑"/>
    <w:panose1 w:val="00000000000000000000"/>
    <w:charset w:val="86"/>
    <w:family w:val="modern"/>
    <w:pitch w:val="default"/>
    <w:sig w:usb0="00000000" w:usb1="00000000" w:usb2="0000000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Calibri Light">
    <w:panose1 w:val="020F0302020204030204"/>
    <w:charset w:val="00"/>
    <w:family w:val="swiss"/>
    <w:pitch w:val="default"/>
    <w:sig w:usb0="A00002EF" w:usb1="4000207B" w:usb2="00000000" w:usb3="00000000" w:csb0="2000019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Lucida Sans">
    <w:altName w:val="Lucida Sans Unicode"/>
    <w:panose1 w:val="00000000000000000000"/>
    <w:charset w:val="00"/>
    <w:family w:val="swiss"/>
    <w:pitch w:val="default"/>
    <w:sig w:usb0="00000000" w:usb1="00000000" w:usb2="00000000" w:usb3="00000000" w:csb0="20000001" w:csb1="00000000"/>
  </w:font>
  <w:font w:name="仿宋">
    <w:panose1 w:val="02010609060101010101"/>
    <w:charset w:val="86"/>
    <w:family w:val="modern"/>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微软雅黑">
    <w:panose1 w:val="020B0503020204020204"/>
    <w:charset w:val="86"/>
    <w:family w:val="swiss"/>
    <w:pitch w:val="default"/>
    <w:sig w:usb0="80000287" w:usb1="28CF3C52" w:usb2="00000016" w:usb3="00000000" w:csb0="0004001F" w:csb1="00000000"/>
  </w:font>
  <w:font w:name="Cambria">
    <w:panose1 w:val="02040503050406030204"/>
    <w:charset w:val="00"/>
    <w:family w:val="roman"/>
    <w:pitch w:val="default"/>
    <w:sig w:usb0="E00002FF" w:usb1="400004FF" w:usb2="00000000" w:usb3="00000000" w:csb0="2000019F"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pict>
        <v:shape id="_x0000_s4098" o:spid="_x0000_s4098" o:spt="202" type="#_x0000_t202" style="position:absolute;left:0pt;margin-top:0pt;height:144pt;width:144pt;mso-position-horizontal:center;mso-position-horizontal-relative:margin;mso-wrap-style:none;z-index:251658240;mso-width-relative:page;mso-height-relative:page;" filled="f" stroked="f" coordsize="21600,21600">
          <v:path/>
          <v:fill on="f" focussize="0,0"/>
          <v:stroke on="f" joinstyle="miter"/>
          <v:imagedata o:title=""/>
          <o:lock v:ext="edit"/>
          <v:textbox inset="0mm,0mm,0mm,0mm" style="mso-fit-shape-to-text:t;">
            <w:txbxContent>
              <w:p>
                <w:pPr>
                  <w:pStyle w:val="26"/>
                </w:pPr>
                <w:r>
                  <w:fldChar w:fldCharType="begin"/>
                </w:r>
                <w:r>
                  <w:instrText xml:space="preserve"> PAGE  \* MERGEFORMAT </w:instrText>
                </w:r>
                <w:r>
                  <w:fldChar w:fldCharType="separate"/>
                </w:r>
                <w:r>
                  <w:t>- 38 -</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framePr w:wrap="around" w:vAnchor="text" w:hAnchor="margin" w:xAlign="center" w:y="1"/>
      <w:rPr>
        <w:rStyle w:val="45"/>
      </w:rPr>
    </w:pPr>
    <w:r>
      <w:rPr>
        <w:rStyle w:val="45"/>
      </w:rPr>
      <w:fldChar w:fldCharType="begin"/>
    </w:r>
    <w:r>
      <w:rPr>
        <w:rStyle w:val="45"/>
      </w:rPr>
      <w:instrText xml:space="preserve">PAGE  </w:instrText>
    </w:r>
    <w:r>
      <w:rPr>
        <w:rStyle w:val="45"/>
      </w:rPr>
      <w:fldChar w:fldCharType="end"/>
    </w:r>
  </w:p>
  <w:p>
    <w:pPr>
      <w:pStyle w:val="26"/>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Pr>
    <w: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26"/>
                </w:pPr>
                <w:r>
                  <w:fldChar w:fldCharType="begin"/>
                </w:r>
                <w:r>
                  <w:instrText xml:space="preserve"> PAGE  \* MERGEFORMAT </w:instrText>
                </w:r>
                <w:r>
                  <w:fldChar w:fldCharType="separate"/>
                </w:r>
                <w:r>
                  <w:t>- 1 -</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7A295FD"/>
    <w:multiLevelType w:val="singleLevel"/>
    <w:tmpl w:val="D7A295FD"/>
    <w:lvl w:ilvl="0" w:tentative="0">
      <w:start w:val="1"/>
      <w:numFmt w:val="decimal"/>
      <w:suff w:val="nothing"/>
      <w:lvlText w:val="（%1）"/>
      <w:lvlJc w:val="left"/>
    </w:lvl>
  </w:abstractNum>
  <w:abstractNum w:abstractNumId="1">
    <w:nsid w:val="FFFFFF7E"/>
    <w:multiLevelType w:val="singleLevel"/>
    <w:tmpl w:val="FFFFFF7E"/>
    <w:lvl w:ilvl="0" w:tentative="0">
      <w:start w:val="1"/>
      <w:numFmt w:val="decimal"/>
      <w:pStyle w:val="5"/>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3"/>
      <w:lvlText w:val="%1."/>
      <w:lvlJc w:val="left"/>
      <w:pPr>
        <w:tabs>
          <w:tab w:val="left" w:pos="360"/>
        </w:tabs>
        <w:ind w:left="360" w:hanging="360" w:hangingChars="200"/>
      </w:pPr>
    </w:lvl>
  </w:abstractNum>
  <w:abstractNum w:abstractNumId="3">
    <w:nsid w:val="197B9361"/>
    <w:multiLevelType w:val="singleLevel"/>
    <w:tmpl w:val="197B9361"/>
    <w:lvl w:ilvl="0" w:tentative="0">
      <w:start w:val="1"/>
      <w:numFmt w:val="decimal"/>
      <w:suff w:val="nothing"/>
      <w:lvlText w:val="%1、"/>
      <w:lvlJc w:val="left"/>
    </w:lvl>
  </w:abstractNum>
  <w:abstractNum w:abstractNumId="4">
    <w:nsid w:val="3A010582"/>
    <w:multiLevelType w:val="multilevel"/>
    <w:tmpl w:val="3A010582"/>
    <w:lvl w:ilvl="0" w:tentative="0">
      <w:start w:val="1"/>
      <w:numFmt w:val="decimal"/>
      <w:lvlText w:val="%1、"/>
      <w:lvlJc w:val="left"/>
      <w:pPr>
        <w:ind w:left="840" w:hanging="420"/>
      </w:pPr>
      <w:rPr>
        <w:rFonts w:ascii="Cambria" w:hAnsi="Cambria" w:eastAsia="微软雅黑" w:cs="Times New Roman"/>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5">
    <w:nsid w:val="5CB017FC"/>
    <w:multiLevelType w:val="multilevel"/>
    <w:tmpl w:val="5CB017FC"/>
    <w:lvl w:ilvl="0" w:tentative="0">
      <w:start w:val="1"/>
      <w:numFmt w:val="decimal"/>
      <w:pStyle w:val="2"/>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6"/>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6A383B68"/>
    <w:multiLevelType w:val="singleLevel"/>
    <w:tmpl w:val="6A383B68"/>
    <w:lvl w:ilvl="0" w:tentative="0">
      <w:start w:val="1"/>
      <w:numFmt w:val="upperLetter"/>
      <w:pStyle w:val="7"/>
      <w:lvlText w:val="%1、"/>
      <w:lvlJc w:val="left"/>
      <w:pPr>
        <w:tabs>
          <w:tab w:val="left" w:pos="405"/>
        </w:tabs>
        <w:ind w:left="405" w:hanging="405"/>
      </w:pPr>
    </w:lvl>
  </w:abstractNum>
  <w:abstractNum w:abstractNumId="7">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79A13DFE"/>
    <w:multiLevelType w:val="singleLevel"/>
    <w:tmpl w:val="79A13DFE"/>
    <w:lvl w:ilvl="0" w:tentative="0">
      <w:start w:val="4"/>
      <w:numFmt w:val="decimal"/>
      <w:suff w:val="nothing"/>
      <w:lvlText w:val="%1．"/>
      <w:lvlJc w:val="left"/>
    </w:lvl>
  </w:abstractNum>
  <w:num w:numId="1">
    <w:abstractNumId w:val="5"/>
  </w:num>
  <w:num w:numId="2">
    <w:abstractNumId w:val="2"/>
  </w:num>
  <w:num w:numId="3">
    <w:abstractNumId w:val="1"/>
  </w:num>
  <w:num w:numId="4">
    <w:abstractNumId w:val="6"/>
  </w:num>
  <w:num w:numId="5">
    <w:abstractNumId w:val="7"/>
  </w:num>
  <w:num w:numId="6">
    <w:abstractNumId w:val="8"/>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417C8A"/>
    <w:rsid w:val="00005125"/>
    <w:rsid w:val="00010C9A"/>
    <w:rsid w:val="00010FC1"/>
    <w:rsid w:val="0001278F"/>
    <w:rsid w:val="0002045E"/>
    <w:rsid w:val="00021D87"/>
    <w:rsid w:val="0002203D"/>
    <w:rsid w:val="0002468D"/>
    <w:rsid w:val="00025A9F"/>
    <w:rsid w:val="00031F75"/>
    <w:rsid w:val="000329A7"/>
    <w:rsid w:val="00033B13"/>
    <w:rsid w:val="00036920"/>
    <w:rsid w:val="000402F5"/>
    <w:rsid w:val="00040A03"/>
    <w:rsid w:val="0005172F"/>
    <w:rsid w:val="000517D0"/>
    <w:rsid w:val="00051C47"/>
    <w:rsid w:val="00052509"/>
    <w:rsid w:val="000535F4"/>
    <w:rsid w:val="00056199"/>
    <w:rsid w:val="0005700A"/>
    <w:rsid w:val="0006049D"/>
    <w:rsid w:val="0006344A"/>
    <w:rsid w:val="000643A5"/>
    <w:rsid w:val="00065EFB"/>
    <w:rsid w:val="00067FB2"/>
    <w:rsid w:val="00074373"/>
    <w:rsid w:val="00075FF6"/>
    <w:rsid w:val="00082DC1"/>
    <w:rsid w:val="00083E93"/>
    <w:rsid w:val="00083EB1"/>
    <w:rsid w:val="0008635A"/>
    <w:rsid w:val="00087605"/>
    <w:rsid w:val="00090BE5"/>
    <w:rsid w:val="000933A2"/>
    <w:rsid w:val="0009629C"/>
    <w:rsid w:val="00097421"/>
    <w:rsid w:val="00097868"/>
    <w:rsid w:val="000A3FC5"/>
    <w:rsid w:val="000A5AC0"/>
    <w:rsid w:val="000B1744"/>
    <w:rsid w:val="000B1D0B"/>
    <w:rsid w:val="000B2A94"/>
    <w:rsid w:val="000B625B"/>
    <w:rsid w:val="000B672C"/>
    <w:rsid w:val="000C14CF"/>
    <w:rsid w:val="000C1F3C"/>
    <w:rsid w:val="000C3344"/>
    <w:rsid w:val="000C68FC"/>
    <w:rsid w:val="000D0E6C"/>
    <w:rsid w:val="000D110F"/>
    <w:rsid w:val="000D1267"/>
    <w:rsid w:val="000D1D59"/>
    <w:rsid w:val="000D4D0E"/>
    <w:rsid w:val="000D54DE"/>
    <w:rsid w:val="000E1C88"/>
    <w:rsid w:val="000E4A4F"/>
    <w:rsid w:val="000E4FD8"/>
    <w:rsid w:val="000E5C9B"/>
    <w:rsid w:val="000E6F8C"/>
    <w:rsid w:val="000E72A0"/>
    <w:rsid w:val="00103B47"/>
    <w:rsid w:val="00104327"/>
    <w:rsid w:val="00104663"/>
    <w:rsid w:val="00104A07"/>
    <w:rsid w:val="00104F31"/>
    <w:rsid w:val="0010763D"/>
    <w:rsid w:val="001108B3"/>
    <w:rsid w:val="00111E93"/>
    <w:rsid w:val="00112B08"/>
    <w:rsid w:val="00114BF9"/>
    <w:rsid w:val="00114C81"/>
    <w:rsid w:val="00115363"/>
    <w:rsid w:val="00116EDA"/>
    <w:rsid w:val="0012018C"/>
    <w:rsid w:val="00120D86"/>
    <w:rsid w:val="001259AD"/>
    <w:rsid w:val="00125D70"/>
    <w:rsid w:val="00132EE2"/>
    <w:rsid w:val="001345B3"/>
    <w:rsid w:val="0013527E"/>
    <w:rsid w:val="00137525"/>
    <w:rsid w:val="0014545F"/>
    <w:rsid w:val="00145D25"/>
    <w:rsid w:val="001515B6"/>
    <w:rsid w:val="0015196F"/>
    <w:rsid w:val="00154591"/>
    <w:rsid w:val="00154E3A"/>
    <w:rsid w:val="00156633"/>
    <w:rsid w:val="00157269"/>
    <w:rsid w:val="0015771E"/>
    <w:rsid w:val="00157914"/>
    <w:rsid w:val="00157FB7"/>
    <w:rsid w:val="00161F66"/>
    <w:rsid w:val="00162DD9"/>
    <w:rsid w:val="001637A2"/>
    <w:rsid w:val="00165068"/>
    <w:rsid w:val="0016695C"/>
    <w:rsid w:val="00171701"/>
    <w:rsid w:val="0017455C"/>
    <w:rsid w:val="00174F52"/>
    <w:rsid w:val="001751A8"/>
    <w:rsid w:val="0018130F"/>
    <w:rsid w:val="00181544"/>
    <w:rsid w:val="0018376B"/>
    <w:rsid w:val="001841D9"/>
    <w:rsid w:val="00184C15"/>
    <w:rsid w:val="0019064E"/>
    <w:rsid w:val="00190DB7"/>
    <w:rsid w:val="00191263"/>
    <w:rsid w:val="00191BE8"/>
    <w:rsid w:val="00191EE1"/>
    <w:rsid w:val="00193494"/>
    <w:rsid w:val="00194583"/>
    <w:rsid w:val="001965CC"/>
    <w:rsid w:val="001A0C24"/>
    <w:rsid w:val="001A15C0"/>
    <w:rsid w:val="001A4A9D"/>
    <w:rsid w:val="001A6712"/>
    <w:rsid w:val="001B2770"/>
    <w:rsid w:val="001B411C"/>
    <w:rsid w:val="001B485F"/>
    <w:rsid w:val="001B589D"/>
    <w:rsid w:val="001B6160"/>
    <w:rsid w:val="001B70E5"/>
    <w:rsid w:val="001C004A"/>
    <w:rsid w:val="001C07C7"/>
    <w:rsid w:val="001C14F1"/>
    <w:rsid w:val="001C28BC"/>
    <w:rsid w:val="001C57F3"/>
    <w:rsid w:val="001C6042"/>
    <w:rsid w:val="001D24BB"/>
    <w:rsid w:val="001D3CEA"/>
    <w:rsid w:val="001D6ED7"/>
    <w:rsid w:val="001D76A1"/>
    <w:rsid w:val="001E3B20"/>
    <w:rsid w:val="001E40B2"/>
    <w:rsid w:val="001E4A9F"/>
    <w:rsid w:val="001F14C4"/>
    <w:rsid w:val="001F2767"/>
    <w:rsid w:val="001F429B"/>
    <w:rsid w:val="001F43C6"/>
    <w:rsid w:val="001F4C63"/>
    <w:rsid w:val="001F502D"/>
    <w:rsid w:val="001F661E"/>
    <w:rsid w:val="001F7E31"/>
    <w:rsid w:val="0020236F"/>
    <w:rsid w:val="00204DA6"/>
    <w:rsid w:val="0020567D"/>
    <w:rsid w:val="002056F9"/>
    <w:rsid w:val="00205842"/>
    <w:rsid w:val="002059AC"/>
    <w:rsid w:val="002062F2"/>
    <w:rsid w:val="0020786F"/>
    <w:rsid w:val="002102AD"/>
    <w:rsid w:val="00210450"/>
    <w:rsid w:val="002105F0"/>
    <w:rsid w:val="0021287A"/>
    <w:rsid w:val="00214C2B"/>
    <w:rsid w:val="00221687"/>
    <w:rsid w:val="0022698F"/>
    <w:rsid w:val="00231CB7"/>
    <w:rsid w:val="00233356"/>
    <w:rsid w:val="00235AC1"/>
    <w:rsid w:val="0023638E"/>
    <w:rsid w:val="00244766"/>
    <w:rsid w:val="00247AB8"/>
    <w:rsid w:val="00251888"/>
    <w:rsid w:val="002519E3"/>
    <w:rsid w:val="0025276E"/>
    <w:rsid w:val="00254BD5"/>
    <w:rsid w:val="0025749B"/>
    <w:rsid w:val="00262E82"/>
    <w:rsid w:val="00263AC6"/>
    <w:rsid w:val="00264FFB"/>
    <w:rsid w:val="00266447"/>
    <w:rsid w:val="00267D7C"/>
    <w:rsid w:val="00270E20"/>
    <w:rsid w:val="00271324"/>
    <w:rsid w:val="00283EAF"/>
    <w:rsid w:val="002860D2"/>
    <w:rsid w:val="00286495"/>
    <w:rsid w:val="00291839"/>
    <w:rsid w:val="002945E5"/>
    <w:rsid w:val="00295DD9"/>
    <w:rsid w:val="002A0921"/>
    <w:rsid w:val="002A13E9"/>
    <w:rsid w:val="002A168D"/>
    <w:rsid w:val="002A2667"/>
    <w:rsid w:val="002A3119"/>
    <w:rsid w:val="002A4A75"/>
    <w:rsid w:val="002A683A"/>
    <w:rsid w:val="002B186A"/>
    <w:rsid w:val="002B1BA5"/>
    <w:rsid w:val="002B3711"/>
    <w:rsid w:val="002B4A4B"/>
    <w:rsid w:val="002B6B66"/>
    <w:rsid w:val="002C2C53"/>
    <w:rsid w:val="002D6DC6"/>
    <w:rsid w:val="002E34F4"/>
    <w:rsid w:val="002E35C4"/>
    <w:rsid w:val="002E4DCA"/>
    <w:rsid w:val="002E7ADA"/>
    <w:rsid w:val="002F2363"/>
    <w:rsid w:val="002F34ED"/>
    <w:rsid w:val="002F3755"/>
    <w:rsid w:val="002F3F13"/>
    <w:rsid w:val="002F4354"/>
    <w:rsid w:val="002F439D"/>
    <w:rsid w:val="002F5A63"/>
    <w:rsid w:val="002F7932"/>
    <w:rsid w:val="003006C3"/>
    <w:rsid w:val="00302514"/>
    <w:rsid w:val="00307917"/>
    <w:rsid w:val="00310479"/>
    <w:rsid w:val="0031167A"/>
    <w:rsid w:val="00316329"/>
    <w:rsid w:val="003214B7"/>
    <w:rsid w:val="00322583"/>
    <w:rsid w:val="00323E60"/>
    <w:rsid w:val="003250A1"/>
    <w:rsid w:val="0032789C"/>
    <w:rsid w:val="00332DA4"/>
    <w:rsid w:val="003371DD"/>
    <w:rsid w:val="0034305B"/>
    <w:rsid w:val="00347CAD"/>
    <w:rsid w:val="00351EEF"/>
    <w:rsid w:val="00352391"/>
    <w:rsid w:val="003618CE"/>
    <w:rsid w:val="00365766"/>
    <w:rsid w:val="00365F56"/>
    <w:rsid w:val="003670EB"/>
    <w:rsid w:val="00367EAB"/>
    <w:rsid w:val="0037368A"/>
    <w:rsid w:val="00375107"/>
    <w:rsid w:val="0037517D"/>
    <w:rsid w:val="003822F9"/>
    <w:rsid w:val="00384E3C"/>
    <w:rsid w:val="00385323"/>
    <w:rsid w:val="0039130B"/>
    <w:rsid w:val="00391E7C"/>
    <w:rsid w:val="00393589"/>
    <w:rsid w:val="00393A4C"/>
    <w:rsid w:val="003949AE"/>
    <w:rsid w:val="003A137B"/>
    <w:rsid w:val="003A19D2"/>
    <w:rsid w:val="003A546B"/>
    <w:rsid w:val="003A74F5"/>
    <w:rsid w:val="003B1CEB"/>
    <w:rsid w:val="003B24CA"/>
    <w:rsid w:val="003B2B02"/>
    <w:rsid w:val="003B2EFB"/>
    <w:rsid w:val="003B774D"/>
    <w:rsid w:val="003C4B74"/>
    <w:rsid w:val="003C637D"/>
    <w:rsid w:val="003D10C3"/>
    <w:rsid w:val="003D121F"/>
    <w:rsid w:val="003D1A22"/>
    <w:rsid w:val="003D7052"/>
    <w:rsid w:val="003E074D"/>
    <w:rsid w:val="003E0777"/>
    <w:rsid w:val="003E4007"/>
    <w:rsid w:val="003E6C02"/>
    <w:rsid w:val="003F3C69"/>
    <w:rsid w:val="003F4084"/>
    <w:rsid w:val="003F77E0"/>
    <w:rsid w:val="00400057"/>
    <w:rsid w:val="00400C6D"/>
    <w:rsid w:val="004014D1"/>
    <w:rsid w:val="004053D2"/>
    <w:rsid w:val="00407D88"/>
    <w:rsid w:val="004109FD"/>
    <w:rsid w:val="0041394C"/>
    <w:rsid w:val="004174D4"/>
    <w:rsid w:val="00417C8A"/>
    <w:rsid w:val="0042557D"/>
    <w:rsid w:val="00426003"/>
    <w:rsid w:val="004350B7"/>
    <w:rsid w:val="0043766D"/>
    <w:rsid w:val="00441896"/>
    <w:rsid w:val="00442935"/>
    <w:rsid w:val="0044422F"/>
    <w:rsid w:val="00445C1C"/>
    <w:rsid w:val="00447789"/>
    <w:rsid w:val="00457231"/>
    <w:rsid w:val="00460793"/>
    <w:rsid w:val="00461637"/>
    <w:rsid w:val="00463E5C"/>
    <w:rsid w:val="00464359"/>
    <w:rsid w:val="00465D0D"/>
    <w:rsid w:val="00467CFF"/>
    <w:rsid w:val="00471407"/>
    <w:rsid w:val="0047483C"/>
    <w:rsid w:val="00476C0B"/>
    <w:rsid w:val="00477EFE"/>
    <w:rsid w:val="00485E04"/>
    <w:rsid w:val="00492CBC"/>
    <w:rsid w:val="004939A7"/>
    <w:rsid w:val="00494081"/>
    <w:rsid w:val="00497699"/>
    <w:rsid w:val="00497DB2"/>
    <w:rsid w:val="004A0174"/>
    <w:rsid w:val="004A145F"/>
    <w:rsid w:val="004A236E"/>
    <w:rsid w:val="004A3418"/>
    <w:rsid w:val="004A51BA"/>
    <w:rsid w:val="004A5710"/>
    <w:rsid w:val="004A5DF1"/>
    <w:rsid w:val="004A6677"/>
    <w:rsid w:val="004A7A78"/>
    <w:rsid w:val="004B3B15"/>
    <w:rsid w:val="004B5136"/>
    <w:rsid w:val="004C0238"/>
    <w:rsid w:val="004C0EE6"/>
    <w:rsid w:val="004C5147"/>
    <w:rsid w:val="004C6D62"/>
    <w:rsid w:val="004D0304"/>
    <w:rsid w:val="004D0EA8"/>
    <w:rsid w:val="004D0F1F"/>
    <w:rsid w:val="004D2D24"/>
    <w:rsid w:val="004D314A"/>
    <w:rsid w:val="004D363B"/>
    <w:rsid w:val="004D4938"/>
    <w:rsid w:val="004D5FE6"/>
    <w:rsid w:val="004E05D9"/>
    <w:rsid w:val="004E1AB8"/>
    <w:rsid w:val="004E2D4B"/>
    <w:rsid w:val="004E4899"/>
    <w:rsid w:val="004E7CD7"/>
    <w:rsid w:val="004F3734"/>
    <w:rsid w:val="004F5D18"/>
    <w:rsid w:val="004F69CA"/>
    <w:rsid w:val="004F7507"/>
    <w:rsid w:val="004F7995"/>
    <w:rsid w:val="005041C0"/>
    <w:rsid w:val="0050629F"/>
    <w:rsid w:val="00513DE6"/>
    <w:rsid w:val="005144B2"/>
    <w:rsid w:val="00517733"/>
    <w:rsid w:val="005230CA"/>
    <w:rsid w:val="00524FD6"/>
    <w:rsid w:val="00527E1C"/>
    <w:rsid w:val="00532C8D"/>
    <w:rsid w:val="00536FBF"/>
    <w:rsid w:val="00537FBC"/>
    <w:rsid w:val="0054018C"/>
    <w:rsid w:val="0054223D"/>
    <w:rsid w:val="00544130"/>
    <w:rsid w:val="00545F40"/>
    <w:rsid w:val="00553FE7"/>
    <w:rsid w:val="0055544C"/>
    <w:rsid w:val="00555780"/>
    <w:rsid w:val="0056065C"/>
    <w:rsid w:val="00566FBC"/>
    <w:rsid w:val="00567646"/>
    <w:rsid w:val="0057066B"/>
    <w:rsid w:val="00572BAD"/>
    <w:rsid w:val="00573BCB"/>
    <w:rsid w:val="00576529"/>
    <w:rsid w:val="00576EFE"/>
    <w:rsid w:val="005770CA"/>
    <w:rsid w:val="00586C3A"/>
    <w:rsid w:val="005879E7"/>
    <w:rsid w:val="00591190"/>
    <w:rsid w:val="00591584"/>
    <w:rsid w:val="00594CDD"/>
    <w:rsid w:val="005A2B55"/>
    <w:rsid w:val="005A32FB"/>
    <w:rsid w:val="005A3E6E"/>
    <w:rsid w:val="005A492B"/>
    <w:rsid w:val="005A4BC1"/>
    <w:rsid w:val="005A7A4A"/>
    <w:rsid w:val="005B180C"/>
    <w:rsid w:val="005C0A15"/>
    <w:rsid w:val="005C1FAB"/>
    <w:rsid w:val="005C30CF"/>
    <w:rsid w:val="005C3154"/>
    <w:rsid w:val="005C3A22"/>
    <w:rsid w:val="005C54A7"/>
    <w:rsid w:val="005C63A7"/>
    <w:rsid w:val="005C6F10"/>
    <w:rsid w:val="005D2F62"/>
    <w:rsid w:val="005D6575"/>
    <w:rsid w:val="005E282B"/>
    <w:rsid w:val="005E68E7"/>
    <w:rsid w:val="005E729A"/>
    <w:rsid w:val="005F510E"/>
    <w:rsid w:val="005F5691"/>
    <w:rsid w:val="005F78A5"/>
    <w:rsid w:val="00606ED5"/>
    <w:rsid w:val="006073C6"/>
    <w:rsid w:val="00607E60"/>
    <w:rsid w:val="006107F3"/>
    <w:rsid w:val="006120C0"/>
    <w:rsid w:val="00615BAF"/>
    <w:rsid w:val="00622201"/>
    <w:rsid w:val="006225CB"/>
    <w:rsid w:val="00623460"/>
    <w:rsid w:val="00625BC2"/>
    <w:rsid w:val="00630CF7"/>
    <w:rsid w:val="006351A3"/>
    <w:rsid w:val="006378C9"/>
    <w:rsid w:val="0064613F"/>
    <w:rsid w:val="00646E44"/>
    <w:rsid w:val="00651F43"/>
    <w:rsid w:val="00665466"/>
    <w:rsid w:val="00665C19"/>
    <w:rsid w:val="00675C4B"/>
    <w:rsid w:val="00676F48"/>
    <w:rsid w:val="00680B4E"/>
    <w:rsid w:val="006839B6"/>
    <w:rsid w:val="006843E1"/>
    <w:rsid w:val="00686F48"/>
    <w:rsid w:val="00687DA3"/>
    <w:rsid w:val="006936A5"/>
    <w:rsid w:val="006948E4"/>
    <w:rsid w:val="00694B34"/>
    <w:rsid w:val="00694D00"/>
    <w:rsid w:val="006977A0"/>
    <w:rsid w:val="006A1906"/>
    <w:rsid w:val="006A3D9E"/>
    <w:rsid w:val="006A69A8"/>
    <w:rsid w:val="006B183A"/>
    <w:rsid w:val="006B4F54"/>
    <w:rsid w:val="006B6B67"/>
    <w:rsid w:val="006C002F"/>
    <w:rsid w:val="006C02F5"/>
    <w:rsid w:val="006C5FEF"/>
    <w:rsid w:val="006C7EB3"/>
    <w:rsid w:val="006E0D5C"/>
    <w:rsid w:val="006E51D3"/>
    <w:rsid w:val="006E64A5"/>
    <w:rsid w:val="006E6C77"/>
    <w:rsid w:val="006E797A"/>
    <w:rsid w:val="006F0A0C"/>
    <w:rsid w:val="006F2510"/>
    <w:rsid w:val="006F3A0F"/>
    <w:rsid w:val="006F489C"/>
    <w:rsid w:val="007014C0"/>
    <w:rsid w:val="00702458"/>
    <w:rsid w:val="00707395"/>
    <w:rsid w:val="007122EB"/>
    <w:rsid w:val="00721BF4"/>
    <w:rsid w:val="007235AC"/>
    <w:rsid w:val="0072764B"/>
    <w:rsid w:val="00727936"/>
    <w:rsid w:val="00727E2C"/>
    <w:rsid w:val="00727F6F"/>
    <w:rsid w:val="007311B6"/>
    <w:rsid w:val="007327FF"/>
    <w:rsid w:val="007402C2"/>
    <w:rsid w:val="007402D5"/>
    <w:rsid w:val="00740EED"/>
    <w:rsid w:val="007435B2"/>
    <w:rsid w:val="00743C5C"/>
    <w:rsid w:val="0075094E"/>
    <w:rsid w:val="00751DF3"/>
    <w:rsid w:val="00752F32"/>
    <w:rsid w:val="00757BAC"/>
    <w:rsid w:val="0076108E"/>
    <w:rsid w:val="00762B5C"/>
    <w:rsid w:val="007715B9"/>
    <w:rsid w:val="00771654"/>
    <w:rsid w:val="00772AC2"/>
    <w:rsid w:val="00773A2C"/>
    <w:rsid w:val="00775269"/>
    <w:rsid w:val="007774FA"/>
    <w:rsid w:val="00777C1A"/>
    <w:rsid w:val="00780272"/>
    <w:rsid w:val="007804F7"/>
    <w:rsid w:val="007814B9"/>
    <w:rsid w:val="007822C3"/>
    <w:rsid w:val="00783274"/>
    <w:rsid w:val="00784810"/>
    <w:rsid w:val="00787752"/>
    <w:rsid w:val="007910DD"/>
    <w:rsid w:val="0079412B"/>
    <w:rsid w:val="00794F1B"/>
    <w:rsid w:val="007A06F3"/>
    <w:rsid w:val="007A4FF4"/>
    <w:rsid w:val="007A5361"/>
    <w:rsid w:val="007A6CC8"/>
    <w:rsid w:val="007B0001"/>
    <w:rsid w:val="007B5124"/>
    <w:rsid w:val="007B58B1"/>
    <w:rsid w:val="007B6A7E"/>
    <w:rsid w:val="007C2503"/>
    <w:rsid w:val="007C2B7A"/>
    <w:rsid w:val="007C5716"/>
    <w:rsid w:val="007D3E95"/>
    <w:rsid w:val="007D4361"/>
    <w:rsid w:val="007D7005"/>
    <w:rsid w:val="007E3068"/>
    <w:rsid w:val="007E765C"/>
    <w:rsid w:val="007F0029"/>
    <w:rsid w:val="007F0976"/>
    <w:rsid w:val="007F09BB"/>
    <w:rsid w:val="007F168D"/>
    <w:rsid w:val="007F5965"/>
    <w:rsid w:val="007F5CEC"/>
    <w:rsid w:val="007F66F8"/>
    <w:rsid w:val="00802471"/>
    <w:rsid w:val="008030DC"/>
    <w:rsid w:val="0080418D"/>
    <w:rsid w:val="008125CD"/>
    <w:rsid w:val="00813057"/>
    <w:rsid w:val="00815230"/>
    <w:rsid w:val="00817564"/>
    <w:rsid w:val="00817EB6"/>
    <w:rsid w:val="0082016A"/>
    <w:rsid w:val="0082176B"/>
    <w:rsid w:val="00821954"/>
    <w:rsid w:val="008219AD"/>
    <w:rsid w:val="00822072"/>
    <w:rsid w:val="00822430"/>
    <w:rsid w:val="008231ED"/>
    <w:rsid w:val="0082403F"/>
    <w:rsid w:val="0082455A"/>
    <w:rsid w:val="008248BC"/>
    <w:rsid w:val="008249F4"/>
    <w:rsid w:val="00825C61"/>
    <w:rsid w:val="00830DD4"/>
    <w:rsid w:val="008325F0"/>
    <w:rsid w:val="00834788"/>
    <w:rsid w:val="008402E8"/>
    <w:rsid w:val="008424CD"/>
    <w:rsid w:val="00842C80"/>
    <w:rsid w:val="00843270"/>
    <w:rsid w:val="00845A50"/>
    <w:rsid w:val="0084613D"/>
    <w:rsid w:val="00850E6B"/>
    <w:rsid w:val="008557E8"/>
    <w:rsid w:val="00863478"/>
    <w:rsid w:val="0086365E"/>
    <w:rsid w:val="00863945"/>
    <w:rsid w:val="00875064"/>
    <w:rsid w:val="00877F0F"/>
    <w:rsid w:val="008800C8"/>
    <w:rsid w:val="0088347A"/>
    <w:rsid w:val="00886234"/>
    <w:rsid w:val="008863D4"/>
    <w:rsid w:val="00886634"/>
    <w:rsid w:val="00886E4B"/>
    <w:rsid w:val="00887B85"/>
    <w:rsid w:val="00890DCD"/>
    <w:rsid w:val="008A251A"/>
    <w:rsid w:val="008A5161"/>
    <w:rsid w:val="008A6135"/>
    <w:rsid w:val="008B43D4"/>
    <w:rsid w:val="008B6655"/>
    <w:rsid w:val="008C4226"/>
    <w:rsid w:val="008C4325"/>
    <w:rsid w:val="008C4B7C"/>
    <w:rsid w:val="008C4E5B"/>
    <w:rsid w:val="008C764A"/>
    <w:rsid w:val="008D0EDA"/>
    <w:rsid w:val="008D4A8A"/>
    <w:rsid w:val="008D4AB1"/>
    <w:rsid w:val="008D7471"/>
    <w:rsid w:val="008D7B31"/>
    <w:rsid w:val="008E19EE"/>
    <w:rsid w:val="008E316D"/>
    <w:rsid w:val="008E4B80"/>
    <w:rsid w:val="008F03D5"/>
    <w:rsid w:val="008F07DF"/>
    <w:rsid w:val="008F11D0"/>
    <w:rsid w:val="0090287D"/>
    <w:rsid w:val="00906681"/>
    <w:rsid w:val="00911FE1"/>
    <w:rsid w:val="00912BD2"/>
    <w:rsid w:val="0091435B"/>
    <w:rsid w:val="00914835"/>
    <w:rsid w:val="009175CE"/>
    <w:rsid w:val="0092030F"/>
    <w:rsid w:val="0092393D"/>
    <w:rsid w:val="00926541"/>
    <w:rsid w:val="009271D3"/>
    <w:rsid w:val="00927477"/>
    <w:rsid w:val="009309E4"/>
    <w:rsid w:val="00933465"/>
    <w:rsid w:val="00933FD9"/>
    <w:rsid w:val="00934ED5"/>
    <w:rsid w:val="0093527E"/>
    <w:rsid w:val="00935678"/>
    <w:rsid w:val="00936426"/>
    <w:rsid w:val="00936632"/>
    <w:rsid w:val="00936643"/>
    <w:rsid w:val="009415ED"/>
    <w:rsid w:val="00947BAD"/>
    <w:rsid w:val="00947FE6"/>
    <w:rsid w:val="00952269"/>
    <w:rsid w:val="00953507"/>
    <w:rsid w:val="009536CB"/>
    <w:rsid w:val="009557D2"/>
    <w:rsid w:val="009568DF"/>
    <w:rsid w:val="009639DC"/>
    <w:rsid w:val="00963B11"/>
    <w:rsid w:val="0096450C"/>
    <w:rsid w:val="009700D6"/>
    <w:rsid w:val="00970329"/>
    <w:rsid w:val="00970F9E"/>
    <w:rsid w:val="009712BD"/>
    <w:rsid w:val="00975C87"/>
    <w:rsid w:val="00976585"/>
    <w:rsid w:val="00977BAE"/>
    <w:rsid w:val="00990E05"/>
    <w:rsid w:val="009924D5"/>
    <w:rsid w:val="009931AC"/>
    <w:rsid w:val="009936A7"/>
    <w:rsid w:val="00995623"/>
    <w:rsid w:val="0099775A"/>
    <w:rsid w:val="00997ACE"/>
    <w:rsid w:val="009A085B"/>
    <w:rsid w:val="009A2940"/>
    <w:rsid w:val="009A373E"/>
    <w:rsid w:val="009A447B"/>
    <w:rsid w:val="009A5E9D"/>
    <w:rsid w:val="009A728E"/>
    <w:rsid w:val="009B206E"/>
    <w:rsid w:val="009B55F5"/>
    <w:rsid w:val="009C17E3"/>
    <w:rsid w:val="009C3B05"/>
    <w:rsid w:val="009C473A"/>
    <w:rsid w:val="009C4D5D"/>
    <w:rsid w:val="009C4F71"/>
    <w:rsid w:val="009C725B"/>
    <w:rsid w:val="009C76D3"/>
    <w:rsid w:val="009D13D6"/>
    <w:rsid w:val="009D1860"/>
    <w:rsid w:val="009D3E5A"/>
    <w:rsid w:val="009D5067"/>
    <w:rsid w:val="009D5C27"/>
    <w:rsid w:val="009D744F"/>
    <w:rsid w:val="009E3C73"/>
    <w:rsid w:val="009E3DE3"/>
    <w:rsid w:val="009E6D86"/>
    <w:rsid w:val="009E7112"/>
    <w:rsid w:val="009F3AC5"/>
    <w:rsid w:val="009F51CF"/>
    <w:rsid w:val="009F5CDD"/>
    <w:rsid w:val="009F7C75"/>
    <w:rsid w:val="00A0629A"/>
    <w:rsid w:val="00A10B9C"/>
    <w:rsid w:val="00A15C91"/>
    <w:rsid w:val="00A200B6"/>
    <w:rsid w:val="00A2031E"/>
    <w:rsid w:val="00A20F2A"/>
    <w:rsid w:val="00A216B1"/>
    <w:rsid w:val="00A22975"/>
    <w:rsid w:val="00A23D3B"/>
    <w:rsid w:val="00A26379"/>
    <w:rsid w:val="00A27EE2"/>
    <w:rsid w:val="00A30D6F"/>
    <w:rsid w:val="00A36348"/>
    <w:rsid w:val="00A36FB8"/>
    <w:rsid w:val="00A414F2"/>
    <w:rsid w:val="00A41EAC"/>
    <w:rsid w:val="00A428D5"/>
    <w:rsid w:val="00A42B9E"/>
    <w:rsid w:val="00A442AB"/>
    <w:rsid w:val="00A44F6D"/>
    <w:rsid w:val="00A4609C"/>
    <w:rsid w:val="00A53238"/>
    <w:rsid w:val="00A5358B"/>
    <w:rsid w:val="00A55F87"/>
    <w:rsid w:val="00A56E2E"/>
    <w:rsid w:val="00A65600"/>
    <w:rsid w:val="00A7154B"/>
    <w:rsid w:val="00A773A7"/>
    <w:rsid w:val="00A84FC6"/>
    <w:rsid w:val="00A86340"/>
    <w:rsid w:val="00A86ADE"/>
    <w:rsid w:val="00A9044C"/>
    <w:rsid w:val="00A90951"/>
    <w:rsid w:val="00A9106B"/>
    <w:rsid w:val="00A91DE3"/>
    <w:rsid w:val="00A91F9A"/>
    <w:rsid w:val="00A92BF4"/>
    <w:rsid w:val="00A938E7"/>
    <w:rsid w:val="00A94DF2"/>
    <w:rsid w:val="00A95DBC"/>
    <w:rsid w:val="00A95E12"/>
    <w:rsid w:val="00A96926"/>
    <w:rsid w:val="00AA17DC"/>
    <w:rsid w:val="00AA7A18"/>
    <w:rsid w:val="00AB29D3"/>
    <w:rsid w:val="00AB39F3"/>
    <w:rsid w:val="00AB454D"/>
    <w:rsid w:val="00AC1694"/>
    <w:rsid w:val="00AC2B19"/>
    <w:rsid w:val="00AC34D6"/>
    <w:rsid w:val="00AC3A1C"/>
    <w:rsid w:val="00AC4A89"/>
    <w:rsid w:val="00AC6CEC"/>
    <w:rsid w:val="00AD0DBF"/>
    <w:rsid w:val="00AD6ACB"/>
    <w:rsid w:val="00AE030B"/>
    <w:rsid w:val="00AE1B40"/>
    <w:rsid w:val="00AE2ED6"/>
    <w:rsid w:val="00AE6DB3"/>
    <w:rsid w:val="00AF039F"/>
    <w:rsid w:val="00AF4A99"/>
    <w:rsid w:val="00AF7721"/>
    <w:rsid w:val="00B00F7A"/>
    <w:rsid w:val="00B012D5"/>
    <w:rsid w:val="00B01B15"/>
    <w:rsid w:val="00B0332B"/>
    <w:rsid w:val="00B077EB"/>
    <w:rsid w:val="00B1230F"/>
    <w:rsid w:val="00B127DA"/>
    <w:rsid w:val="00B12ECD"/>
    <w:rsid w:val="00B14C0B"/>
    <w:rsid w:val="00B2146D"/>
    <w:rsid w:val="00B243CC"/>
    <w:rsid w:val="00B257CC"/>
    <w:rsid w:val="00B25D56"/>
    <w:rsid w:val="00B27632"/>
    <w:rsid w:val="00B31EAF"/>
    <w:rsid w:val="00B3313A"/>
    <w:rsid w:val="00B34302"/>
    <w:rsid w:val="00B36043"/>
    <w:rsid w:val="00B37734"/>
    <w:rsid w:val="00B37BCC"/>
    <w:rsid w:val="00B41870"/>
    <w:rsid w:val="00B420CF"/>
    <w:rsid w:val="00B43090"/>
    <w:rsid w:val="00B55791"/>
    <w:rsid w:val="00B63318"/>
    <w:rsid w:val="00B665B5"/>
    <w:rsid w:val="00B66DC1"/>
    <w:rsid w:val="00B67101"/>
    <w:rsid w:val="00B73A67"/>
    <w:rsid w:val="00B8043F"/>
    <w:rsid w:val="00B91124"/>
    <w:rsid w:val="00B9180C"/>
    <w:rsid w:val="00B9298C"/>
    <w:rsid w:val="00B94480"/>
    <w:rsid w:val="00BA18A9"/>
    <w:rsid w:val="00BA2C2D"/>
    <w:rsid w:val="00BB13B8"/>
    <w:rsid w:val="00BB1D3E"/>
    <w:rsid w:val="00BB3A32"/>
    <w:rsid w:val="00BC02D7"/>
    <w:rsid w:val="00BC3D6F"/>
    <w:rsid w:val="00BC61AC"/>
    <w:rsid w:val="00BD0EA0"/>
    <w:rsid w:val="00BD0EBD"/>
    <w:rsid w:val="00BD206F"/>
    <w:rsid w:val="00BD20CF"/>
    <w:rsid w:val="00BD4C35"/>
    <w:rsid w:val="00BE6FA5"/>
    <w:rsid w:val="00BF28ED"/>
    <w:rsid w:val="00C013D8"/>
    <w:rsid w:val="00C0150B"/>
    <w:rsid w:val="00C036EC"/>
    <w:rsid w:val="00C04372"/>
    <w:rsid w:val="00C0598F"/>
    <w:rsid w:val="00C05D83"/>
    <w:rsid w:val="00C06B27"/>
    <w:rsid w:val="00C1042C"/>
    <w:rsid w:val="00C13CEC"/>
    <w:rsid w:val="00C13CF5"/>
    <w:rsid w:val="00C14BD8"/>
    <w:rsid w:val="00C17776"/>
    <w:rsid w:val="00C1781A"/>
    <w:rsid w:val="00C2059D"/>
    <w:rsid w:val="00C20DC8"/>
    <w:rsid w:val="00C300F2"/>
    <w:rsid w:val="00C31EB2"/>
    <w:rsid w:val="00C320DF"/>
    <w:rsid w:val="00C329C3"/>
    <w:rsid w:val="00C34C64"/>
    <w:rsid w:val="00C35D54"/>
    <w:rsid w:val="00C4126C"/>
    <w:rsid w:val="00C42C40"/>
    <w:rsid w:val="00C44BAB"/>
    <w:rsid w:val="00C46922"/>
    <w:rsid w:val="00C55889"/>
    <w:rsid w:val="00C62563"/>
    <w:rsid w:val="00C6395F"/>
    <w:rsid w:val="00C649BC"/>
    <w:rsid w:val="00C66128"/>
    <w:rsid w:val="00C66EE6"/>
    <w:rsid w:val="00C66FCB"/>
    <w:rsid w:val="00C670AB"/>
    <w:rsid w:val="00C721C3"/>
    <w:rsid w:val="00C77667"/>
    <w:rsid w:val="00C83068"/>
    <w:rsid w:val="00C83429"/>
    <w:rsid w:val="00C8410F"/>
    <w:rsid w:val="00C8637A"/>
    <w:rsid w:val="00C87C97"/>
    <w:rsid w:val="00C90ECA"/>
    <w:rsid w:val="00C93022"/>
    <w:rsid w:val="00C946D2"/>
    <w:rsid w:val="00CA2063"/>
    <w:rsid w:val="00CA4195"/>
    <w:rsid w:val="00CA45AE"/>
    <w:rsid w:val="00CA535D"/>
    <w:rsid w:val="00CA6080"/>
    <w:rsid w:val="00CA61D7"/>
    <w:rsid w:val="00CA70BF"/>
    <w:rsid w:val="00CA7348"/>
    <w:rsid w:val="00CB16E8"/>
    <w:rsid w:val="00CB364F"/>
    <w:rsid w:val="00CB394A"/>
    <w:rsid w:val="00CB7229"/>
    <w:rsid w:val="00CC1D36"/>
    <w:rsid w:val="00CC2B0D"/>
    <w:rsid w:val="00CC56C0"/>
    <w:rsid w:val="00CC6070"/>
    <w:rsid w:val="00CD1CAB"/>
    <w:rsid w:val="00CD3770"/>
    <w:rsid w:val="00CD3E5C"/>
    <w:rsid w:val="00CD5E14"/>
    <w:rsid w:val="00CE2BA4"/>
    <w:rsid w:val="00CE3AD7"/>
    <w:rsid w:val="00CE50F5"/>
    <w:rsid w:val="00CF33C3"/>
    <w:rsid w:val="00CF33D2"/>
    <w:rsid w:val="00CF438E"/>
    <w:rsid w:val="00CF7F2A"/>
    <w:rsid w:val="00CF7F8F"/>
    <w:rsid w:val="00D019ED"/>
    <w:rsid w:val="00D0225D"/>
    <w:rsid w:val="00D026F7"/>
    <w:rsid w:val="00D05BBB"/>
    <w:rsid w:val="00D1373D"/>
    <w:rsid w:val="00D13ABF"/>
    <w:rsid w:val="00D1606C"/>
    <w:rsid w:val="00D200E4"/>
    <w:rsid w:val="00D2049A"/>
    <w:rsid w:val="00D213FC"/>
    <w:rsid w:val="00D24803"/>
    <w:rsid w:val="00D24ACD"/>
    <w:rsid w:val="00D252F3"/>
    <w:rsid w:val="00D25F92"/>
    <w:rsid w:val="00D268BA"/>
    <w:rsid w:val="00D26C43"/>
    <w:rsid w:val="00D311D4"/>
    <w:rsid w:val="00D322B6"/>
    <w:rsid w:val="00D32534"/>
    <w:rsid w:val="00D32C17"/>
    <w:rsid w:val="00D353FF"/>
    <w:rsid w:val="00D402F9"/>
    <w:rsid w:val="00D44839"/>
    <w:rsid w:val="00D47043"/>
    <w:rsid w:val="00D47915"/>
    <w:rsid w:val="00D51479"/>
    <w:rsid w:val="00D625F8"/>
    <w:rsid w:val="00D63060"/>
    <w:rsid w:val="00D63D29"/>
    <w:rsid w:val="00D649AA"/>
    <w:rsid w:val="00D669A5"/>
    <w:rsid w:val="00D73693"/>
    <w:rsid w:val="00D74A49"/>
    <w:rsid w:val="00D74BEC"/>
    <w:rsid w:val="00D75A07"/>
    <w:rsid w:val="00D80A4D"/>
    <w:rsid w:val="00D83294"/>
    <w:rsid w:val="00D832F2"/>
    <w:rsid w:val="00D83A4D"/>
    <w:rsid w:val="00D840D8"/>
    <w:rsid w:val="00D85827"/>
    <w:rsid w:val="00D92EA4"/>
    <w:rsid w:val="00D93A13"/>
    <w:rsid w:val="00D949A2"/>
    <w:rsid w:val="00DA0B33"/>
    <w:rsid w:val="00DA2036"/>
    <w:rsid w:val="00DA3F2A"/>
    <w:rsid w:val="00DA3FC7"/>
    <w:rsid w:val="00DA4EC4"/>
    <w:rsid w:val="00DA55DB"/>
    <w:rsid w:val="00DA5D11"/>
    <w:rsid w:val="00DA662A"/>
    <w:rsid w:val="00DA7361"/>
    <w:rsid w:val="00DA7B21"/>
    <w:rsid w:val="00DA7BFE"/>
    <w:rsid w:val="00DB2FD1"/>
    <w:rsid w:val="00DB3137"/>
    <w:rsid w:val="00DB663C"/>
    <w:rsid w:val="00DC10A7"/>
    <w:rsid w:val="00DC33B6"/>
    <w:rsid w:val="00DD29D3"/>
    <w:rsid w:val="00DD4B24"/>
    <w:rsid w:val="00DD725C"/>
    <w:rsid w:val="00DE0E2E"/>
    <w:rsid w:val="00DE12F4"/>
    <w:rsid w:val="00DE1DFC"/>
    <w:rsid w:val="00DE208C"/>
    <w:rsid w:val="00DE53B2"/>
    <w:rsid w:val="00DE7CBD"/>
    <w:rsid w:val="00DF1553"/>
    <w:rsid w:val="00DF4624"/>
    <w:rsid w:val="00DF46D3"/>
    <w:rsid w:val="00DF4743"/>
    <w:rsid w:val="00DF7B2B"/>
    <w:rsid w:val="00E01909"/>
    <w:rsid w:val="00E04FDF"/>
    <w:rsid w:val="00E05F15"/>
    <w:rsid w:val="00E07D2B"/>
    <w:rsid w:val="00E10531"/>
    <w:rsid w:val="00E10877"/>
    <w:rsid w:val="00E1304F"/>
    <w:rsid w:val="00E13BC1"/>
    <w:rsid w:val="00E1419F"/>
    <w:rsid w:val="00E17315"/>
    <w:rsid w:val="00E17D79"/>
    <w:rsid w:val="00E20A02"/>
    <w:rsid w:val="00E238C5"/>
    <w:rsid w:val="00E35D90"/>
    <w:rsid w:val="00E3742A"/>
    <w:rsid w:val="00E4175F"/>
    <w:rsid w:val="00E42DE4"/>
    <w:rsid w:val="00E45EE2"/>
    <w:rsid w:val="00E46623"/>
    <w:rsid w:val="00E51C1B"/>
    <w:rsid w:val="00E57296"/>
    <w:rsid w:val="00E60ED5"/>
    <w:rsid w:val="00E622B2"/>
    <w:rsid w:val="00E65A9B"/>
    <w:rsid w:val="00E715C6"/>
    <w:rsid w:val="00E720E4"/>
    <w:rsid w:val="00E7370C"/>
    <w:rsid w:val="00E8366D"/>
    <w:rsid w:val="00E85789"/>
    <w:rsid w:val="00E87E35"/>
    <w:rsid w:val="00E9005A"/>
    <w:rsid w:val="00E90688"/>
    <w:rsid w:val="00E91461"/>
    <w:rsid w:val="00E91B94"/>
    <w:rsid w:val="00E923BD"/>
    <w:rsid w:val="00E93356"/>
    <w:rsid w:val="00EA178E"/>
    <w:rsid w:val="00EA357D"/>
    <w:rsid w:val="00EA37AB"/>
    <w:rsid w:val="00EA3F1E"/>
    <w:rsid w:val="00EA4736"/>
    <w:rsid w:val="00EA62B8"/>
    <w:rsid w:val="00EA6B0D"/>
    <w:rsid w:val="00EB0AE3"/>
    <w:rsid w:val="00EB4FA7"/>
    <w:rsid w:val="00EB5222"/>
    <w:rsid w:val="00EB7174"/>
    <w:rsid w:val="00EB7E69"/>
    <w:rsid w:val="00EC155E"/>
    <w:rsid w:val="00EC3182"/>
    <w:rsid w:val="00EC35BE"/>
    <w:rsid w:val="00EC3F23"/>
    <w:rsid w:val="00EC57BD"/>
    <w:rsid w:val="00EC74CE"/>
    <w:rsid w:val="00EC7697"/>
    <w:rsid w:val="00EC77D6"/>
    <w:rsid w:val="00ED1F25"/>
    <w:rsid w:val="00ED3A71"/>
    <w:rsid w:val="00ED758C"/>
    <w:rsid w:val="00EE06ED"/>
    <w:rsid w:val="00EE54FE"/>
    <w:rsid w:val="00EE5E15"/>
    <w:rsid w:val="00EF20FA"/>
    <w:rsid w:val="00F01C96"/>
    <w:rsid w:val="00F037C1"/>
    <w:rsid w:val="00F0661F"/>
    <w:rsid w:val="00F12CBB"/>
    <w:rsid w:val="00F1355C"/>
    <w:rsid w:val="00F15520"/>
    <w:rsid w:val="00F15BAF"/>
    <w:rsid w:val="00F2566F"/>
    <w:rsid w:val="00F30E51"/>
    <w:rsid w:val="00F33527"/>
    <w:rsid w:val="00F35DF7"/>
    <w:rsid w:val="00F36259"/>
    <w:rsid w:val="00F37F36"/>
    <w:rsid w:val="00F40634"/>
    <w:rsid w:val="00F41632"/>
    <w:rsid w:val="00F42267"/>
    <w:rsid w:val="00F454C9"/>
    <w:rsid w:val="00F502E8"/>
    <w:rsid w:val="00F51AF2"/>
    <w:rsid w:val="00F520BF"/>
    <w:rsid w:val="00F5295B"/>
    <w:rsid w:val="00F55C7F"/>
    <w:rsid w:val="00F57CCC"/>
    <w:rsid w:val="00F6137E"/>
    <w:rsid w:val="00F63771"/>
    <w:rsid w:val="00F63922"/>
    <w:rsid w:val="00F64513"/>
    <w:rsid w:val="00F675E2"/>
    <w:rsid w:val="00F67AD3"/>
    <w:rsid w:val="00F70C83"/>
    <w:rsid w:val="00F76826"/>
    <w:rsid w:val="00F76A15"/>
    <w:rsid w:val="00F8143A"/>
    <w:rsid w:val="00F81EE1"/>
    <w:rsid w:val="00F82E38"/>
    <w:rsid w:val="00F83C52"/>
    <w:rsid w:val="00F83D25"/>
    <w:rsid w:val="00F84A1B"/>
    <w:rsid w:val="00F92229"/>
    <w:rsid w:val="00F942DD"/>
    <w:rsid w:val="00F948CB"/>
    <w:rsid w:val="00F97E58"/>
    <w:rsid w:val="00FA0AAD"/>
    <w:rsid w:val="00FB0E70"/>
    <w:rsid w:val="00FB1EB6"/>
    <w:rsid w:val="00FB23F7"/>
    <w:rsid w:val="00FB5FF6"/>
    <w:rsid w:val="00FB67DD"/>
    <w:rsid w:val="00FC02C4"/>
    <w:rsid w:val="00FC066F"/>
    <w:rsid w:val="00FC33BC"/>
    <w:rsid w:val="00FC5B79"/>
    <w:rsid w:val="00FD0273"/>
    <w:rsid w:val="00FD364A"/>
    <w:rsid w:val="00FE5E89"/>
    <w:rsid w:val="00FE7260"/>
    <w:rsid w:val="00FF0866"/>
    <w:rsid w:val="00FF0CA9"/>
    <w:rsid w:val="00FF724C"/>
    <w:rsid w:val="00FF7BD2"/>
    <w:rsid w:val="01A95E91"/>
    <w:rsid w:val="022D6804"/>
    <w:rsid w:val="027805A1"/>
    <w:rsid w:val="027F1431"/>
    <w:rsid w:val="03715EA6"/>
    <w:rsid w:val="03D42A4F"/>
    <w:rsid w:val="046B17BE"/>
    <w:rsid w:val="049D462B"/>
    <w:rsid w:val="04A635D5"/>
    <w:rsid w:val="04D318ED"/>
    <w:rsid w:val="06374E54"/>
    <w:rsid w:val="065720C4"/>
    <w:rsid w:val="06742212"/>
    <w:rsid w:val="06B12DF2"/>
    <w:rsid w:val="06CE7527"/>
    <w:rsid w:val="072A0E31"/>
    <w:rsid w:val="07612F1E"/>
    <w:rsid w:val="08DC02BF"/>
    <w:rsid w:val="09701389"/>
    <w:rsid w:val="09702DC7"/>
    <w:rsid w:val="09EA51C8"/>
    <w:rsid w:val="0A2A0AB8"/>
    <w:rsid w:val="0AA46B8F"/>
    <w:rsid w:val="0AD87B7C"/>
    <w:rsid w:val="0B562CE4"/>
    <w:rsid w:val="0BBA4410"/>
    <w:rsid w:val="0BBF6A99"/>
    <w:rsid w:val="0BEF5EFC"/>
    <w:rsid w:val="0C5C75FB"/>
    <w:rsid w:val="0C95442B"/>
    <w:rsid w:val="0D6840DA"/>
    <w:rsid w:val="0DB754A2"/>
    <w:rsid w:val="0DC5255F"/>
    <w:rsid w:val="0DE33ED1"/>
    <w:rsid w:val="0EFE4F5C"/>
    <w:rsid w:val="0FAC3B4B"/>
    <w:rsid w:val="11260257"/>
    <w:rsid w:val="114400E5"/>
    <w:rsid w:val="118F7F14"/>
    <w:rsid w:val="132A0B9B"/>
    <w:rsid w:val="13BF5763"/>
    <w:rsid w:val="13F62178"/>
    <w:rsid w:val="14093D3A"/>
    <w:rsid w:val="14245016"/>
    <w:rsid w:val="14312839"/>
    <w:rsid w:val="156233ED"/>
    <w:rsid w:val="15B14FDC"/>
    <w:rsid w:val="15B520B5"/>
    <w:rsid w:val="15E07DC8"/>
    <w:rsid w:val="15ED05B0"/>
    <w:rsid w:val="164B37C7"/>
    <w:rsid w:val="164C72CD"/>
    <w:rsid w:val="16E4036A"/>
    <w:rsid w:val="18074998"/>
    <w:rsid w:val="181821AB"/>
    <w:rsid w:val="191C3764"/>
    <w:rsid w:val="19AD0E5B"/>
    <w:rsid w:val="1B162AA6"/>
    <w:rsid w:val="1B6540BF"/>
    <w:rsid w:val="1B9E1015"/>
    <w:rsid w:val="1BD83E2C"/>
    <w:rsid w:val="1D851AB3"/>
    <w:rsid w:val="1D98488B"/>
    <w:rsid w:val="1DAE2079"/>
    <w:rsid w:val="1DF93988"/>
    <w:rsid w:val="1E5908B2"/>
    <w:rsid w:val="1EBA139D"/>
    <w:rsid w:val="1F544A18"/>
    <w:rsid w:val="1FA149AB"/>
    <w:rsid w:val="1FAD24A1"/>
    <w:rsid w:val="1FB12D5B"/>
    <w:rsid w:val="20B14469"/>
    <w:rsid w:val="211939A1"/>
    <w:rsid w:val="230D7FA8"/>
    <w:rsid w:val="23631A3C"/>
    <w:rsid w:val="248269AB"/>
    <w:rsid w:val="248D7D98"/>
    <w:rsid w:val="249365C5"/>
    <w:rsid w:val="25CE5CC8"/>
    <w:rsid w:val="26065EEC"/>
    <w:rsid w:val="26815E65"/>
    <w:rsid w:val="272F0E53"/>
    <w:rsid w:val="277D1DE5"/>
    <w:rsid w:val="28F45AAB"/>
    <w:rsid w:val="292A2748"/>
    <w:rsid w:val="2A794DF8"/>
    <w:rsid w:val="2B460EB3"/>
    <w:rsid w:val="2BB759CB"/>
    <w:rsid w:val="2C0543F2"/>
    <w:rsid w:val="2C91788A"/>
    <w:rsid w:val="2CAD7C98"/>
    <w:rsid w:val="2CDE42B7"/>
    <w:rsid w:val="2D39437F"/>
    <w:rsid w:val="2D3B1903"/>
    <w:rsid w:val="2E6A3BAE"/>
    <w:rsid w:val="2EEF14BE"/>
    <w:rsid w:val="2F3E1B9C"/>
    <w:rsid w:val="2FCC098E"/>
    <w:rsid w:val="2FD86630"/>
    <w:rsid w:val="303278E4"/>
    <w:rsid w:val="3081316F"/>
    <w:rsid w:val="30B26E4A"/>
    <w:rsid w:val="30C4635F"/>
    <w:rsid w:val="319D7E4A"/>
    <w:rsid w:val="323B25E5"/>
    <w:rsid w:val="323C493C"/>
    <w:rsid w:val="33542B6E"/>
    <w:rsid w:val="33810C3B"/>
    <w:rsid w:val="33AA4A1D"/>
    <w:rsid w:val="33E830CF"/>
    <w:rsid w:val="33F31CA5"/>
    <w:rsid w:val="345C7913"/>
    <w:rsid w:val="34A471B6"/>
    <w:rsid w:val="350F4EEB"/>
    <w:rsid w:val="355166C9"/>
    <w:rsid w:val="358310E0"/>
    <w:rsid w:val="35B40E3A"/>
    <w:rsid w:val="35B978FE"/>
    <w:rsid w:val="35FC3F21"/>
    <w:rsid w:val="363C2602"/>
    <w:rsid w:val="371D1DFE"/>
    <w:rsid w:val="37842994"/>
    <w:rsid w:val="378C5E45"/>
    <w:rsid w:val="388E3D0F"/>
    <w:rsid w:val="389C336A"/>
    <w:rsid w:val="38A95B64"/>
    <w:rsid w:val="39B8367A"/>
    <w:rsid w:val="39F756F2"/>
    <w:rsid w:val="3ABA1AA6"/>
    <w:rsid w:val="3C022A5D"/>
    <w:rsid w:val="3C49176D"/>
    <w:rsid w:val="3D6A0CC9"/>
    <w:rsid w:val="3E2B33F6"/>
    <w:rsid w:val="3EB61A18"/>
    <w:rsid w:val="3F3C287F"/>
    <w:rsid w:val="3F475536"/>
    <w:rsid w:val="3FF06AD8"/>
    <w:rsid w:val="40B61316"/>
    <w:rsid w:val="40E45E1F"/>
    <w:rsid w:val="41755A73"/>
    <w:rsid w:val="41C72061"/>
    <w:rsid w:val="430230F3"/>
    <w:rsid w:val="43460819"/>
    <w:rsid w:val="435810FF"/>
    <w:rsid w:val="43E562F9"/>
    <w:rsid w:val="44BC38C4"/>
    <w:rsid w:val="44BC578F"/>
    <w:rsid w:val="45172675"/>
    <w:rsid w:val="458F49FC"/>
    <w:rsid w:val="473F31E8"/>
    <w:rsid w:val="478D0F01"/>
    <w:rsid w:val="483957E1"/>
    <w:rsid w:val="495B383B"/>
    <w:rsid w:val="497876DB"/>
    <w:rsid w:val="49A30D10"/>
    <w:rsid w:val="49C57CC5"/>
    <w:rsid w:val="4A102D1F"/>
    <w:rsid w:val="4A254BF2"/>
    <w:rsid w:val="4B31156B"/>
    <w:rsid w:val="4B52452E"/>
    <w:rsid w:val="4C1611EF"/>
    <w:rsid w:val="4D9E16DB"/>
    <w:rsid w:val="4DD12071"/>
    <w:rsid w:val="4DFC6655"/>
    <w:rsid w:val="4DFD0CAD"/>
    <w:rsid w:val="4ECE5458"/>
    <w:rsid w:val="4F175CE0"/>
    <w:rsid w:val="4F9D03BD"/>
    <w:rsid w:val="50465B8A"/>
    <w:rsid w:val="50D76F92"/>
    <w:rsid w:val="51706881"/>
    <w:rsid w:val="51E81304"/>
    <w:rsid w:val="52744423"/>
    <w:rsid w:val="52EF0226"/>
    <w:rsid w:val="52FA083D"/>
    <w:rsid w:val="53483EFB"/>
    <w:rsid w:val="54AF08BC"/>
    <w:rsid w:val="55243764"/>
    <w:rsid w:val="55656827"/>
    <w:rsid w:val="560D1EE8"/>
    <w:rsid w:val="5642151E"/>
    <w:rsid w:val="56506351"/>
    <w:rsid w:val="56906F20"/>
    <w:rsid w:val="57591DDF"/>
    <w:rsid w:val="579C660A"/>
    <w:rsid w:val="57A64FF0"/>
    <w:rsid w:val="57B3156F"/>
    <w:rsid w:val="581156F0"/>
    <w:rsid w:val="582472D9"/>
    <w:rsid w:val="58391D3B"/>
    <w:rsid w:val="58722170"/>
    <w:rsid w:val="59566D22"/>
    <w:rsid w:val="597E1748"/>
    <w:rsid w:val="5A3C0E21"/>
    <w:rsid w:val="5B8B5DC4"/>
    <w:rsid w:val="5BD7363B"/>
    <w:rsid w:val="5BF11CC5"/>
    <w:rsid w:val="5CE23DBF"/>
    <w:rsid w:val="5D264F06"/>
    <w:rsid w:val="5D3B4E34"/>
    <w:rsid w:val="5D5053F0"/>
    <w:rsid w:val="5E1C3929"/>
    <w:rsid w:val="5F447899"/>
    <w:rsid w:val="6016308F"/>
    <w:rsid w:val="60DF1281"/>
    <w:rsid w:val="61744CC0"/>
    <w:rsid w:val="618E613A"/>
    <w:rsid w:val="61F16C8F"/>
    <w:rsid w:val="62157075"/>
    <w:rsid w:val="628521F6"/>
    <w:rsid w:val="63051CE2"/>
    <w:rsid w:val="631809C6"/>
    <w:rsid w:val="63B53BCF"/>
    <w:rsid w:val="643D2099"/>
    <w:rsid w:val="64920EFB"/>
    <w:rsid w:val="64E26C27"/>
    <w:rsid w:val="655B1CA0"/>
    <w:rsid w:val="660777AA"/>
    <w:rsid w:val="663939EC"/>
    <w:rsid w:val="66922509"/>
    <w:rsid w:val="67433B35"/>
    <w:rsid w:val="674F308E"/>
    <w:rsid w:val="675F666C"/>
    <w:rsid w:val="676471C7"/>
    <w:rsid w:val="67D043DE"/>
    <w:rsid w:val="67D564CE"/>
    <w:rsid w:val="68F976CE"/>
    <w:rsid w:val="69BB22DF"/>
    <w:rsid w:val="6D3872A7"/>
    <w:rsid w:val="6DA52947"/>
    <w:rsid w:val="6DF43C39"/>
    <w:rsid w:val="6E605718"/>
    <w:rsid w:val="6E6C3E5D"/>
    <w:rsid w:val="6E766926"/>
    <w:rsid w:val="6EE13DEC"/>
    <w:rsid w:val="6F995CCA"/>
    <w:rsid w:val="6FC20E94"/>
    <w:rsid w:val="71131324"/>
    <w:rsid w:val="714272C6"/>
    <w:rsid w:val="71771F5D"/>
    <w:rsid w:val="71EB5E05"/>
    <w:rsid w:val="72116C0A"/>
    <w:rsid w:val="72644DD6"/>
    <w:rsid w:val="728D2C55"/>
    <w:rsid w:val="72C43E00"/>
    <w:rsid w:val="72F250BF"/>
    <w:rsid w:val="72F64AB5"/>
    <w:rsid w:val="73DB10EF"/>
    <w:rsid w:val="74493D86"/>
    <w:rsid w:val="76570D8B"/>
    <w:rsid w:val="76785211"/>
    <w:rsid w:val="783F0F70"/>
    <w:rsid w:val="78960E69"/>
    <w:rsid w:val="7982323F"/>
    <w:rsid w:val="7A386250"/>
    <w:rsid w:val="7ACF1BE9"/>
    <w:rsid w:val="7B4F368B"/>
    <w:rsid w:val="7BA21F0F"/>
    <w:rsid w:val="7C501922"/>
    <w:rsid w:val="7D5B0537"/>
    <w:rsid w:val="7EA348BF"/>
    <w:rsid w:val="7EC549C8"/>
    <w:rsid w:val="7ED617C9"/>
    <w:rsid w:val="7EFE1AA2"/>
    <w:rsid w:val="7F123F64"/>
    <w:rsid w:val="7F3A1F62"/>
    <w:rsid w:val="7F4E48C6"/>
    <w:rsid w:val="7FE54C9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3">
    <w:name w:val="heading 2"/>
    <w:basedOn w:val="1"/>
    <w:next w:val="4"/>
    <w:link w:val="57"/>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5">
    <w:name w:val="heading 3"/>
    <w:basedOn w:val="1"/>
    <w:next w:val="1"/>
    <w:link w:val="58"/>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6">
    <w:name w:val="heading 4"/>
    <w:basedOn w:val="1"/>
    <w:next w:val="1"/>
    <w:link w:val="59"/>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7">
    <w:name w:val="heading 5"/>
    <w:basedOn w:val="1"/>
    <w:next w:val="4"/>
    <w:link w:val="60"/>
    <w:qFormat/>
    <w:uiPriority w:val="0"/>
    <w:pPr>
      <w:keepNext/>
      <w:widowControl/>
      <w:numPr>
        <w:ilvl w:val="0"/>
        <w:numId w:val="4"/>
      </w:numPr>
      <w:jc w:val="left"/>
      <w:outlineLvl w:val="4"/>
    </w:pPr>
    <w:rPr>
      <w:kern w:val="0"/>
      <w:sz w:val="24"/>
      <w:szCs w:val="20"/>
    </w:rPr>
  </w:style>
  <w:style w:type="paragraph" w:styleId="8">
    <w:name w:val="heading 6"/>
    <w:basedOn w:val="1"/>
    <w:next w:val="1"/>
    <w:link w:val="61"/>
    <w:qFormat/>
    <w:uiPriority w:val="0"/>
    <w:pPr>
      <w:widowControl/>
      <w:spacing w:before="60" w:after="60" w:line="440" w:lineRule="atLeast"/>
      <w:textAlignment w:val="baseline"/>
      <w:outlineLvl w:val="5"/>
    </w:pPr>
    <w:rPr>
      <w:rFonts w:ascii="宋体" w:hAnsi="Arial"/>
      <w:kern w:val="0"/>
      <w:sz w:val="24"/>
      <w:szCs w:val="20"/>
    </w:rPr>
  </w:style>
  <w:style w:type="paragraph" w:styleId="9">
    <w:name w:val="heading 7"/>
    <w:basedOn w:val="1"/>
    <w:next w:val="1"/>
    <w:link w:val="62"/>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0">
    <w:name w:val="heading 8"/>
    <w:basedOn w:val="1"/>
    <w:next w:val="1"/>
    <w:link w:val="6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1">
    <w:name w:val="heading 9"/>
    <w:basedOn w:val="1"/>
    <w:next w:val="1"/>
    <w:link w:val="64"/>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55"/>
    <w:qFormat/>
    <w:uiPriority w:val="0"/>
    <w:pPr>
      <w:ind w:firstLine="420" w:firstLineChars="200"/>
    </w:pPr>
  </w:style>
  <w:style w:type="paragraph" w:styleId="12">
    <w:name w:val="List Number 2"/>
    <w:basedOn w:val="1"/>
    <w:qFormat/>
    <w:uiPriority w:val="0"/>
    <w:pPr>
      <w:widowControl/>
      <w:tabs>
        <w:tab w:val="left" w:pos="1697"/>
      </w:tabs>
      <w:spacing w:afterLines="50"/>
      <w:ind w:left="1697" w:hanging="420"/>
      <w:jc w:val="left"/>
    </w:pPr>
    <w:rPr>
      <w:kern w:val="0"/>
      <w:sz w:val="24"/>
      <w:szCs w:val="20"/>
    </w:rPr>
  </w:style>
  <w:style w:type="paragraph" w:styleId="13">
    <w:name w:val="List Number"/>
    <w:basedOn w:val="1"/>
    <w:qFormat/>
    <w:uiPriority w:val="0"/>
    <w:pPr>
      <w:widowControl/>
      <w:tabs>
        <w:tab w:val="left" w:pos="454"/>
      </w:tabs>
      <w:spacing w:afterLines="50"/>
      <w:ind w:left="454" w:hanging="284"/>
      <w:jc w:val="left"/>
    </w:pPr>
    <w:rPr>
      <w:kern w:val="0"/>
      <w:sz w:val="24"/>
      <w:szCs w:val="20"/>
    </w:rPr>
  </w:style>
  <w:style w:type="paragraph" w:styleId="14">
    <w:name w:val="caption"/>
    <w:basedOn w:val="1"/>
    <w:next w:val="1"/>
    <w:qFormat/>
    <w:uiPriority w:val="0"/>
    <w:pPr>
      <w:spacing w:line="360" w:lineRule="auto"/>
      <w:jc w:val="center"/>
    </w:pPr>
    <w:rPr>
      <w:rFonts w:ascii="Calibri" w:hAnsi="Calibri"/>
      <w:sz w:val="20"/>
      <w:szCs w:val="20"/>
    </w:rPr>
  </w:style>
  <w:style w:type="paragraph" w:styleId="15">
    <w:name w:val="Document Map"/>
    <w:basedOn w:val="1"/>
    <w:link w:val="121"/>
    <w:semiHidden/>
    <w:qFormat/>
    <w:uiPriority w:val="0"/>
    <w:pPr>
      <w:shd w:val="clear" w:color="auto" w:fill="000080"/>
    </w:pPr>
  </w:style>
  <w:style w:type="paragraph" w:styleId="16">
    <w:name w:val="annotation text"/>
    <w:basedOn w:val="1"/>
    <w:link w:val="73"/>
    <w:semiHidden/>
    <w:qFormat/>
    <w:uiPriority w:val="0"/>
    <w:pPr>
      <w:jc w:val="left"/>
    </w:pPr>
  </w:style>
  <w:style w:type="paragraph" w:styleId="17">
    <w:name w:val="Body Text"/>
    <w:basedOn w:val="1"/>
    <w:link w:val="86"/>
    <w:qFormat/>
    <w:uiPriority w:val="0"/>
    <w:pPr>
      <w:spacing w:line="360" w:lineRule="auto"/>
    </w:pPr>
    <w:rPr>
      <w:rFonts w:eastAsia="仿宋_GB2312"/>
      <w:sz w:val="28"/>
    </w:rPr>
  </w:style>
  <w:style w:type="paragraph" w:styleId="18">
    <w:name w:val="Body Text Indent"/>
    <w:basedOn w:val="1"/>
    <w:qFormat/>
    <w:uiPriority w:val="0"/>
    <w:pPr>
      <w:spacing w:line="420" w:lineRule="exact"/>
      <w:ind w:firstLine="5880" w:firstLineChars="2100"/>
    </w:pPr>
    <w:rPr>
      <w:sz w:val="28"/>
    </w:rPr>
  </w:style>
  <w:style w:type="paragraph" w:styleId="19">
    <w:name w:val="List Number 3"/>
    <w:basedOn w:val="1"/>
    <w:qFormat/>
    <w:uiPriority w:val="0"/>
    <w:pPr>
      <w:widowControl/>
      <w:tabs>
        <w:tab w:val="left" w:pos="482"/>
      </w:tabs>
      <w:spacing w:afterLines="50"/>
      <w:ind w:left="482" w:hanging="340"/>
      <w:jc w:val="left"/>
    </w:pPr>
    <w:rPr>
      <w:kern w:val="0"/>
      <w:sz w:val="24"/>
      <w:szCs w:val="20"/>
    </w:rPr>
  </w:style>
  <w:style w:type="paragraph" w:styleId="20">
    <w:name w:val="Block Text"/>
    <w:basedOn w:val="1"/>
    <w:qFormat/>
    <w:uiPriority w:val="0"/>
    <w:pPr>
      <w:spacing w:before="120" w:line="360" w:lineRule="auto"/>
      <w:ind w:left="824" w:right="202"/>
    </w:pPr>
    <w:rPr>
      <w:rFonts w:ascii="宋体" w:hAnsi="宋体"/>
      <w:sz w:val="24"/>
      <w:szCs w:val="21"/>
    </w:rPr>
  </w:style>
  <w:style w:type="paragraph" w:styleId="21">
    <w:name w:val="toc 3"/>
    <w:basedOn w:val="1"/>
    <w:next w:val="1"/>
    <w:unhideWhenUsed/>
    <w:qFormat/>
    <w:uiPriority w:val="0"/>
    <w:pPr>
      <w:ind w:left="840" w:leftChars="400"/>
    </w:pPr>
    <w:rPr>
      <w:rFonts w:ascii="Calibri" w:hAnsi="Calibri"/>
      <w:szCs w:val="22"/>
    </w:rPr>
  </w:style>
  <w:style w:type="paragraph" w:styleId="22">
    <w:name w:val="Plain Text"/>
    <w:basedOn w:val="1"/>
    <w:link w:val="65"/>
    <w:qFormat/>
    <w:uiPriority w:val="0"/>
    <w:rPr>
      <w:rFonts w:ascii="宋体" w:hAnsi="Courier New"/>
      <w:szCs w:val="20"/>
    </w:rPr>
  </w:style>
  <w:style w:type="paragraph" w:styleId="23">
    <w:name w:val="Date"/>
    <w:basedOn w:val="1"/>
    <w:next w:val="1"/>
    <w:link w:val="68"/>
    <w:qFormat/>
    <w:uiPriority w:val="0"/>
    <w:rPr>
      <w:rFonts w:ascii="楷体_GB2312" w:eastAsia="楷体_GB2312"/>
      <w:b/>
      <w:sz w:val="28"/>
      <w:szCs w:val="20"/>
    </w:rPr>
  </w:style>
  <w:style w:type="paragraph" w:styleId="24">
    <w:name w:val="Body Text Indent 2"/>
    <w:basedOn w:val="1"/>
    <w:link w:val="82"/>
    <w:qFormat/>
    <w:uiPriority w:val="0"/>
    <w:pPr>
      <w:spacing w:after="120" w:line="480" w:lineRule="auto"/>
      <w:ind w:left="420" w:leftChars="200"/>
    </w:pPr>
  </w:style>
  <w:style w:type="paragraph" w:styleId="25">
    <w:name w:val="Balloon Text"/>
    <w:basedOn w:val="1"/>
    <w:semiHidden/>
    <w:qFormat/>
    <w:uiPriority w:val="0"/>
    <w:rPr>
      <w:sz w:val="18"/>
      <w:szCs w:val="18"/>
    </w:rPr>
  </w:style>
  <w:style w:type="paragraph" w:styleId="26">
    <w:name w:val="footer"/>
    <w:basedOn w:val="1"/>
    <w:link w:val="70"/>
    <w:qFormat/>
    <w:uiPriority w:val="0"/>
    <w:pPr>
      <w:tabs>
        <w:tab w:val="center" w:pos="4153"/>
        <w:tab w:val="right" w:pos="8306"/>
      </w:tabs>
      <w:snapToGrid w:val="0"/>
      <w:jc w:val="left"/>
    </w:pPr>
    <w:rPr>
      <w:sz w:val="18"/>
      <w:szCs w:val="18"/>
    </w:rPr>
  </w:style>
  <w:style w:type="paragraph" w:styleId="27">
    <w:name w:val="header"/>
    <w:basedOn w:val="1"/>
    <w:link w:val="69"/>
    <w:qFormat/>
    <w:uiPriority w:val="0"/>
    <w:pPr>
      <w:pBdr>
        <w:bottom w:val="single" w:color="auto" w:sz="6" w:space="1"/>
      </w:pBdr>
      <w:tabs>
        <w:tab w:val="center" w:pos="4153"/>
        <w:tab w:val="right" w:pos="8306"/>
      </w:tabs>
      <w:snapToGrid w:val="0"/>
      <w:jc w:val="center"/>
    </w:pPr>
    <w:rPr>
      <w:sz w:val="18"/>
      <w:szCs w:val="18"/>
    </w:rPr>
  </w:style>
  <w:style w:type="paragraph" w:styleId="28">
    <w:name w:val="toc 1"/>
    <w:basedOn w:val="1"/>
    <w:next w:val="1"/>
    <w:semiHidden/>
    <w:qFormat/>
    <w:uiPriority w:val="0"/>
  </w:style>
  <w:style w:type="paragraph" w:styleId="29">
    <w:name w:val="toc 4"/>
    <w:basedOn w:val="1"/>
    <w:next w:val="1"/>
    <w:semiHidden/>
    <w:qFormat/>
    <w:uiPriority w:val="0"/>
    <w:pPr>
      <w:tabs>
        <w:tab w:val="right" w:leader="dot" w:pos="8314"/>
      </w:tabs>
      <w:ind w:firstLine="588" w:firstLineChars="245"/>
    </w:pPr>
  </w:style>
  <w:style w:type="paragraph" w:styleId="30">
    <w:name w:val="Body Text Indent 3"/>
    <w:basedOn w:val="1"/>
    <w:qFormat/>
    <w:uiPriority w:val="0"/>
    <w:pPr>
      <w:spacing w:after="120"/>
      <w:ind w:left="420" w:leftChars="200"/>
    </w:pPr>
    <w:rPr>
      <w:sz w:val="16"/>
      <w:szCs w:val="16"/>
    </w:rPr>
  </w:style>
  <w:style w:type="paragraph" w:styleId="31">
    <w:name w:val="toc 2"/>
    <w:basedOn w:val="1"/>
    <w:next w:val="1"/>
    <w:semiHidden/>
    <w:qFormat/>
    <w:uiPriority w:val="0"/>
    <w:pPr>
      <w:ind w:left="420" w:leftChars="200"/>
    </w:pPr>
  </w:style>
  <w:style w:type="paragraph" w:styleId="32">
    <w:name w:val="Body Text 2"/>
    <w:basedOn w:val="1"/>
    <w:link w:val="74"/>
    <w:qFormat/>
    <w:uiPriority w:val="0"/>
    <w:pPr>
      <w:widowControl/>
      <w:spacing w:afterLines="50" w:line="216" w:lineRule="auto"/>
      <w:jc w:val="center"/>
    </w:pPr>
    <w:rPr>
      <w:rFonts w:ascii="隶书" w:eastAsia="隶书"/>
      <w:bCs/>
      <w:kern w:val="0"/>
      <w:sz w:val="72"/>
      <w:szCs w:val="84"/>
    </w:rPr>
  </w:style>
  <w:style w:type="paragraph" w:styleId="33">
    <w:name w:val="List Continue 2"/>
    <w:basedOn w:val="1"/>
    <w:qFormat/>
    <w:uiPriority w:val="0"/>
    <w:pPr>
      <w:spacing w:after="120"/>
      <w:ind w:left="840" w:leftChars="400"/>
    </w:pPr>
  </w:style>
  <w:style w:type="paragraph" w:styleId="34">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5">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36">
    <w:name w:val="index 1"/>
    <w:basedOn w:val="1"/>
    <w:next w:val="1"/>
    <w:semiHidden/>
    <w:qFormat/>
    <w:uiPriority w:val="0"/>
    <w:pPr>
      <w:spacing w:line="320" w:lineRule="exact"/>
    </w:pPr>
    <w:rPr>
      <w:b/>
      <w:snapToGrid w:val="0"/>
      <w:color w:val="FF6600"/>
      <w:kern w:val="0"/>
      <w:sz w:val="18"/>
      <w:szCs w:val="21"/>
    </w:rPr>
  </w:style>
  <w:style w:type="paragraph" w:styleId="37">
    <w:name w:val="Title"/>
    <w:basedOn w:val="1"/>
    <w:next w:val="1"/>
    <w:link w:val="176"/>
    <w:qFormat/>
    <w:uiPriority w:val="0"/>
    <w:pPr>
      <w:adjustRightInd w:val="0"/>
      <w:spacing w:before="240" w:after="60"/>
      <w:jc w:val="center"/>
      <w:outlineLvl w:val="0"/>
    </w:pPr>
    <w:rPr>
      <w:rFonts w:ascii="Calibri Light" w:hAnsi="Calibri Light"/>
      <w:b/>
      <w:bCs/>
      <w:sz w:val="32"/>
      <w:szCs w:val="32"/>
    </w:rPr>
  </w:style>
  <w:style w:type="paragraph" w:styleId="38">
    <w:name w:val="annotation subject"/>
    <w:basedOn w:val="16"/>
    <w:next w:val="16"/>
    <w:semiHidden/>
    <w:qFormat/>
    <w:uiPriority w:val="0"/>
    <w:pPr>
      <w:widowControl/>
      <w:spacing w:afterLines="50"/>
    </w:pPr>
    <w:rPr>
      <w:b/>
      <w:bCs/>
      <w:kern w:val="0"/>
      <w:sz w:val="24"/>
      <w:szCs w:val="20"/>
    </w:rPr>
  </w:style>
  <w:style w:type="paragraph" w:styleId="39">
    <w:name w:val="Body Text First Indent"/>
    <w:basedOn w:val="17"/>
    <w:qFormat/>
    <w:uiPriority w:val="0"/>
    <w:pPr>
      <w:spacing w:after="120" w:line="240" w:lineRule="auto"/>
      <w:ind w:firstLine="420" w:firstLineChars="100"/>
    </w:pPr>
    <w:rPr>
      <w:rFonts w:eastAsia="宋体"/>
      <w:sz w:val="21"/>
    </w:rPr>
  </w:style>
  <w:style w:type="paragraph" w:styleId="40">
    <w:name w:val="Body Text First Indent 2"/>
    <w:basedOn w:val="18"/>
    <w:qFormat/>
    <w:uiPriority w:val="0"/>
    <w:pPr>
      <w:spacing w:line="240" w:lineRule="auto"/>
      <w:ind w:left="420" w:leftChars="200" w:firstLine="420" w:firstLineChars="200"/>
    </w:p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qFormat/>
    <w:uiPriority w:val="0"/>
    <w:rPr>
      <w:b/>
      <w:bCs/>
    </w:rPr>
  </w:style>
  <w:style w:type="character" w:styleId="45">
    <w:name w:val="page number"/>
    <w:basedOn w:val="43"/>
    <w:qFormat/>
    <w:uiPriority w:val="0"/>
  </w:style>
  <w:style w:type="character" w:styleId="46">
    <w:name w:val="FollowedHyperlink"/>
    <w:qFormat/>
    <w:uiPriority w:val="0"/>
    <w:rPr>
      <w:color w:val="800080"/>
      <w:u w:val="single"/>
    </w:rPr>
  </w:style>
  <w:style w:type="character" w:styleId="47">
    <w:name w:val="Emphasis"/>
    <w:qFormat/>
    <w:uiPriority w:val="0"/>
    <w:rPr>
      <w:color w:val="CC0000"/>
    </w:rPr>
  </w:style>
  <w:style w:type="character" w:styleId="48">
    <w:name w:val="Hyperlink"/>
    <w:qFormat/>
    <w:uiPriority w:val="0"/>
    <w:rPr>
      <w:color w:val="0000FF"/>
      <w:u w:val="single"/>
    </w:rPr>
  </w:style>
  <w:style w:type="character" w:styleId="49">
    <w:name w:val="annotation reference"/>
    <w:semiHidden/>
    <w:qFormat/>
    <w:uiPriority w:val="0"/>
    <w:rPr>
      <w:sz w:val="21"/>
      <w:szCs w:val="21"/>
    </w:rPr>
  </w:style>
  <w:style w:type="paragraph" w:customStyle="1" w:styleId="50">
    <w:name w:val="正文首行缩进 21"/>
    <w:basedOn w:val="51"/>
    <w:qFormat/>
    <w:uiPriority w:val="0"/>
    <w:pPr>
      <w:ind w:firstLine="420"/>
    </w:pPr>
    <w:rPr>
      <w:rFonts w:cs="宋体"/>
    </w:rPr>
  </w:style>
  <w:style w:type="paragraph" w:customStyle="1" w:styleId="51">
    <w:name w:val="正文文本缩进1"/>
    <w:basedOn w:val="1"/>
    <w:next w:val="1"/>
    <w:qFormat/>
    <w:uiPriority w:val="0"/>
    <w:pPr>
      <w:ind w:left="420" w:leftChars="200"/>
    </w:pPr>
    <w:rPr>
      <w:color w:val="000000"/>
      <w:szCs w:val="21"/>
    </w:rPr>
  </w:style>
  <w:style w:type="paragraph" w:customStyle="1" w:styleId="52">
    <w:name w:val="Body Text First Indent 21"/>
    <w:basedOn w:val="53"/>
    <w:qFormat/>
    <w:uiPriority w:val="0"/>
    <w:pPr>
      <w:ind w:firstLine="420"/>
    </w:pPr>
    <w:rPr>
      <w:rFonts w:cs="宋体"/>
    </w:rPr>
  </w:style>
  <w:style w:type="paragraph" w:customStyle="1" w:styleId="53">
    <w:name w:val="Body Text Indent1"/>
    <w:basedOn w:val="1"/>
    <w:next w:val="1"/>
    <w:qFormat/>
    <w:uiPriority w:val="0"/>
    <w:pPr>
      <w:ind w:left="420" w:leftChars="200"/>
    </w:pPr>
    <w:rPr>
      <w:color w:val="000000"/>
      <w:szCs w:val="21"/>
    </w:rPr>
  </w:style>
  <w:style w:type="character" w:customStyle="1" w:styleId="54">
    <w:name w:val="标题 1 Char"/>
    <w:link w:val="2"/>
    <w:qFormat/>
    <w:uiPriority w:val="0"/>
    <w:rPr>
      <w:rFonts w:eastAsia="仿宋_GB2312"/>
      <w:b/>
      <w:kern w:val="44"/>
      <w:sz w:val="44"/>
      <w:lang w:val="en-US" w:eastAsia="zh-CN" w:bidi="ar-SA"/>
    </w:rPr>
  </w:style>
  <w:style w:type="character" w:customStyle="1" w:styleId="55">
    <w:name w:val="正文缩进 Char"/>
    <w:link w:val="4"/>
    <w:qFormat/>
    <w:uiPriority w:val="0"/>
    <w:rPr>
      <w:rFonts w:eastAsia="宋体"/>
      <w:kern w:val="2"/>
      <w:sz w:val="21"/>
      <w:szCs w:val="24"/>
      <w:lang w:val="en-US" w:eastAsia="zh-CN" w:bidi="ar-SA"/>
    </w:rPr>
  </w:style>
  <w:style w:type="paragraph" w:customStyle="1" w:styleId="56">
    <w:name w:val="_Style 15"/>
    <w:basedOn w:val="1"/>
    <w:qFormat/>
    <w:uiPriority w:val="0"/>
    <w:rPr>
      <w:rFonts w:ascii="Tahoma" w:hAnsi="Tahoma"/>
      <w:sz w:val="24"/>
      <w:szCs w:val="20"/>
    </w:rPr>
  </w:style>
  <w:style w:type="character" w:customStyle="1" w:styleId="57">
    <w:name w:val="标题 2 Char"/>
    <w:link w:val="3"/>
    <w:qFormat/>
    <w:uiPriority w:val="0"/>
    <w:rPr>
      <w:rFonts w:ascii="Arial" w:hAnsi="Arial" w:eastAsia="黑体"/>
      <w:b/>
      <w:kern w:val="2"/>
      <w:sz w:val="32"/>
      <w:lang w:val="en-US" w:eastAsia="zh-CN" w:bidi="ar-SA"/>
    </w:rPr>
  </w:style>
  <w:style w:type="character" w:customStyle="1" w:styleId="58">
    <w:name w:val="标题 3 Char"/>
    <w:link w:val="5"/>
    <w:qFormat/>
    <w:uiPriority w:val="0"/>
    <w:rPr>
      <w:rFonts w:eastAsia="仿宋_GB2312"/>
      <w:b/>
      <w:kern w:val="2"/>
      <w:sz w:val="32"/>
      <w:lang w:val="en-US" w:eastAsia="zh-CN" w:bidi="ar-SA"/>
    </w:rPr>
  </w:style>
  <w:style w:type="character" w:customStyle="1" w:styleId="59">
    <w:name w:val="标题 4 Char1"/>
    <w:link w:val="6"/>
    <w:qFormat/>
    <w:uiPriority w:val="0"/>
    <w:rPr>
      <w:rFonts w:ascii="Arial" w:hAnsi="Arial" w:eastAsia="黑体"/>
      <w:b/>
      <w:kern w:val="2"/>
      <w:sz w:val="28"/>
      <w:lang w:val="en-US" w:eastAsia="zh-CN" w:bidi="ar-SA"/>
    </w:rPr>
  </w:style>
  <w:style w:type="character" w:customStyle="1" w:styleId="60">
    <w:name w:val="标题 5 Char1"/>
    <w:link w:val="7"/>
    <w:qFormat/>
    <w:uiPriority w:val="0"/>
    <w:rPr>
      <w:rFonts w:eastAsia="宋体"/>
      <w:sz w:val="24"/>
      <w:lang w:val="en-US" w:eastAsia="zh-CN" w:bidi="ar-SA"/>
    </w:rPr>
  </w:style>
  <w:style w:type="character" w:customStyle="1" w:styleId="61">
    <w:name w:val="标题 6 Char1"/>
    <w:link w:val="8"/>
    <w:qFormat/>
    <w:uiPriority w:val="0"/>
    <w:rPr>
      <w:rFonts w:ascii="宋体" w:hAnsi="Arial" w:eastAsia="宋体"/>
      <w:sz w:val="24"/>
      <w:lang w:val="en-US" w:eastAsia="zh-CN" w:bidi="ar-SA"/>
    </w:rPr>
  </w:style>
  <w:style w:type="character" w:customStyle="1" w:styleId="62">
    <w:name w:val="标题 7 Char1"/>
    <w:link w:val="9"/>
    <w:qFormat/>
    <w:uiPriority w:val="0"/>
    <w:rPr>
      <w:rFonts w:ascii="宋体" w:hAnsi="Arial" w:eastAsia="宋体"/>
      <w:b/>
      <w:sz w:val="24"/>
      <w:lang w:val="en-US" w:eastAsia="zh-CN" w:bidi="ar-SA"/>
    </w:rPr>
  </w:style>
  <w:style w:type="character" w:customStyle="1" w:styleId="63">
    <w:name w:val="标题 8 Char1"/>
    <w:link w:val="10"/>
    <w:qFormat/>
    <w:uiPriority w:val="0"/>
    <w:rPr>
      <w:rFonts w:ascii="Arial" w:hAnsi="Arial" w:eastAsia="黑体"/>
      <w:sz w:val="24"/>
      <w:lang w:val="en-US" w:eastAsia="zh-CN" w:bidi="ar-SA"/>
    </w:rPr>
  </w:style>
  <w:style w:type="character" w:customStyle="1" w:styleId="64">
    <w:name w:val="标题 9 Char1"/>
    <w:link w:val="11"/>
    <w:qFormat/>
    <w:uiPriority w:val="0"/>
    <w:rPr>
      <w:rFonts w:ascii="Arial" w:hAnsi="Arial" w:eastAsia="黑体"/>
      <w:sz w:val="24"/>
      <w:lang w:val="en-US" w:eastAsia="zh-CN" w:bidi="ar-SA"/>
    </w:rPr>
  </w:style>
  <w:style w:type="character" w:customStyle="1" w:styleId="65">
    <w:name w:val="纯文本 Char"/>
    <w:link w:val="22"/>
    <w:qFormat/>
    <w:uiPriority w:val="0"/>
    <w:rPr>
      <w:rFonts w:ascii="宋体" w:hAnsi="Courier New" w:eastAsia="宋体"/>
      <w:kern w:val="2"/>
      <w:sz w:val="21"/>
      <w:lang w:val="en-US" w:eastAsia="zh-CN" w:bidi="ar-SA"/>
    </w:rPr>
  </w:style>
  <w:style w:type="paragraph" w:customStyle="1" w:styleId="66">
    <w:name w:val="表正文"/>
    <w:basedOn w:val="1"/>
    <w:next w:val="22"/>
    <w:qFormat/>
    <w:uiPriority w:val="0"/>
    <w:rPr>
      <w:rFonts w:ascii="宋体" w:hAnsi="Courier New"/>
      <w:szCs w:val="20"/>
    </w:rPr>
  </w:style>
  <w:style w:type="character" w:customStyle="1" w:styleId="67">
    <w:name w:val="正文文本缩进 Char"/>
    <w:qFormat/>
    <w:uiPriority w:val="0"/>
    <w:rPr>
      <w:rFonts w:eastAsia="宋体"/>
      <w:kern w:val="2"/>
      <w:sz w:val="21"/>
      <w:szCs w:val="24"/>
      <w:lang w:val="en-US" w:eastAsia="zh-CN" w:bidi="ar-SA"/>
    </w:rPr>
  </w:style>
  <w:style w:type="character" w:customStyle="1" w:styleId="68">
    <w:name w:val="日期 Char2"/>
    <w:link w:val="23"/>
    <w:qFormat/>
    <w:uiPriority w:val="0"/>
    <w:rPr>
      <w:rFonts w:ascii="楷体_GB2312" w:eastAsia="楷体_GB2312"/>
      <w:b/>
      <w:kern w:val="2"/>
      <w:sz w:val="28"/>
      <w:lang w:val="en-US" w:eastAsia="zh-CN" w:bidi="ar-SA"/>
    </w:rPr>
  </w:style>
  <w:style w:type="character" w:customStyle="1" w:styleId="69">
    <w:name w:val="页眉 Char1"/>
    <w:link w:val="27"/>
    <w:qFormat/>
    <w:uiPriority w:val="0"/>
    <w:rPr>
      <w:rFonts w:eastAsia="宋体"/>
      <w:kern w:val="2"/>
      <w:sz w:val="18"/>
      <w:szCs w:val="18"/>
      <w:lang w:val="en-US" w:eastAsia="zh-CN" w:bidi="ar-SA"/>
    </w:rPr>
  </w:style>
  <w:style w:type="character" w:customStyle="1" w:styleId="70">
    <w:name w:val="页脚 Char"/>
    <w:link w:val="26"/>
    <w:qFormat/>
    <w:locked/>
    <w:uiPriority w:val="0"/>
    <w:rPr>
      <w:rFonts w:eastAsia="宋体"/>
      <w:kern w:val="2"/>
      <w:sz w:val="18"/>
      <w:szCs w:val="18"/>
      <w:lang w:val="en-US" w:eastAsia="zh-CN" w:bidi="ar-SA"/>
    </w:rPr>
  </w:style>
  <w:style w:type="paragraph" w:customStyle="1" w:styleId="71">
    <w:name w:val="正文段"/>
    <w:basedOn w:val="1"/>
    <w:link w:val="72"/>
    <w:qFormat/>
    <w:uiPriority w:val="0"/>
    <w:pPr>
      <w:widowControl/>
      <w:snapToGrid w:val="0"/>
      <w:spacing w:afterLines="50"/>
      <w:ind w:firstLine="200" w:firstLineChars="200"/>
    </w:pPr>
    <w:rPr>
      <w:kern w:val="0"/>
      <w:sz w:val="24"/>
      <w:szCs w:val="20"/>
    </w:rPr>
  </w:style>
  <w:style w:type="character" w:customStyle="1" w:styleId="72">
    <w:name w:val="正文段 Char"/>
    <w:link w:val="71"/>
    <w:qFormat/>
    <w:uiPriority w:val="0"/>
    <w:rPr>
      <w:rFonts w:eastAsia="宋体"/>
      <w:sz w:val="24"/>
      <w:lang w:val="en-US" w:eastAsia="zh-CN" w:bidi="ar-SA"/>
    </w:rPr>
  </w:style>
  <w:style w:type="character" w:customStyle="1" w:styleId="73">
    <w:name w:val="批注文字 Char1"/>
    <w:link w:val="16"/>
    <w:semiHidden/>
    <w:qFormat/>
    <w:uiPriority w:val="0"/>
    <w:rPr>
      <w:rFonts w:eastAsia="宋体"/>
      <w:kern w:val="2"/>
      <w:sz w:val="21"/>
      <w:szCs w:val="24"/>
      <w:lang w:val="en-US" w:eastAsia="zh-CN" w:bidi="ar-SA"/>
    </w:rPr>
  </w:style>
  <w:style w:type="character" w:customStyle="1" w:styleId="74">
    <w:name w:val="正文文本 2 Char1"/>
    <w:link w:val="32"/>
    <w:qFormat/>
    <w:uiPriority w:val="0"/>
    <w:rPr>
      <w:rFonts w:ascii="隶书" w:eastAsia="隶书"/>
      <w:bCs/>
      <w:sz w:val="72"/>
      <w:szCs w:val="84"/>
      <w:lang w:val="en-US" w:eastAsia="zh-CN" w:bidi="ar-SA"/>
    </w:rPr>
  </w:style>
  <w:style w:type="paragraph" w:customStyle="1" w:styleId="75">
    <w:name w:val="Char"/>
    <w:basedOn w:val="1"/>
    <w:qFormat/>
    <w:uiPriority w:val="0"/>
    <w:rPr>
      <w:rFonts w:ascii="仿宋_GB2312" w:eastAsia="仿宋_GB2312"/>
      <w:b/>
      <w:sz w:val="32"/>
      <w:szCs w:val="32"/>
    </w:rPr>
  </w:style>
  <w:style w:type="paragraph" w:customStyle="1" w:styleId="76">
    <w:name w:val="Table Text"/>
    <w:link w:val="77"/>
    <w:qFormat/>
    <w:uiPriority w:val="0"/>
    <w:pPr>
      <w:snapToGrid w:val="0"/>
      <w:spacing w:before="80" w:after="80"/>
    </w:pPr>
    <w:rPr>
      <w:rFonts w:ascii="Arial" w:hAnsi="Arial" w:eastAsia="宋体" w:cs="Times New Roman"/>
      <w:sz w:val="18"/>
      <w:lang w:val="en-US" w:eastAsia="zh-CN" w:bidi="ar-SA"/>
    </w:rPr>
  </w:style>
  <w:style w:type="character" w:customStyle="1" w:styleId="77">
    <w:name w:val="Table Text Char1"/>
    <w:link w:val="76"/>
    <w:qFormat/>
    <w:uiPriority w:val="0"/>
    <w:rPr>
      <w:rFonts w:ascii="Arial" w:hAnsi="Arial"/>
      <w:sz w:val="18"/>
      <w:lang w:val="en-US" w:eastAsia="zh-CN" w:bidi="ar-SA"/>
    </w:rPr>
  </w:style>
  <w:style w:type="character" w:customStyle="1" w:styleId="78">
    <w:name w:val="正文（缩进2汉字） Char"/>
    <w:link w:val="79"/>
    <w:qFormat/>
    <w:uiPriority w:val="0"/>
    <w:rPr>
      <w:rFonts w:ascii="宋体"/>
      <w:kern w:val="2"/>
      <w:sz w:val="21"/>
      <w:lang w:bidi="ar-SA"/>
    </w:rPr>
  </w:style>
  <w:style w:type="paragraph" w:customStyle="1" w:styleId="79">
    <w:name w:val="正文（缩进2汉字）"/>
    <w:basedOn w:val="1"/>
    <w:link w:val="78"/>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80">
    <w:name w:val="Char11"/>
    <w:basedOn w:val="1"/>
    <w:qFormat/>
    <w:uiPriority w:val="0"/>
    <w:pPr>
      <w:tabs>
        <w:tab w:val="left" w:pos="432"/>
      </w:tabs>
      <w:spacing w:beforeLines="50" w:afterLines="50"/>
      <w:ind w:left="432" w:hanging="432"/>
      <w:jc w:val="center"/>
    </w:pPr>
    <w:rPr>
      <w:sz w:val="24"/>
    </w:rPr>
  </w:style>
  <w:style w:type="paragraph" w:customStyle="1" w:styleId="81">
    <w:name w:val="模板普通正文"/>
    <w:qFormat/>
    <w:uiPriority w:val="0"/>
    <w:pPr>
      <w:spacing w:beforeLines="50" w:after="10" w:line="360" w:lineRule="auto"/>
      <w:ind w:firstLine="175" w:firstLineChars="175"/>
    </w:pPr>
    <w:rPr>
      <w:rFonts w:ascii="Calibri" w:hAnsi="Calibri" w:eastAsia="宋体" w:cs="Times New Roman"/>
      <w:sz w:val="24"/>
      <w:lang w:val="en-US" w:eastAsia="zh-CN" w:bidi="ar-SA"/>
    </w:rPr>
  </w:style>
  <w:style w:type="character" w:customStyle="1" w:styleId="82">
    <w:name w:val="正文文本缩进 2 Char1"/>
    <w:link w:val="24"/>
    <w:qFormat/>
    <w:locked/>
    <w:uiPriority w:val="0"/>
    <w:rPr>
      <w:rFonts w:eastAsia="宋体"/>
      <w:kern w:val="2"/>
      <w:sz w:val="21"/>
      <w:szCs w:val="24"/>
      <w:lang w:val="en-US" w:eastAsia="zh-CN" w:bidi="ar-SA"/>
    </w:rPr>
  </w:style>
  <w:style w:type="paragraph" w:customStyle="1" w:styleId="83">
    <w:name w:val="缺省文本"/>
    <w:basedOn w:val="1"/>
    <w:qFormat/>
    <w:uiPriority w:val="0"/>
    <w:pPr>
      <w:autoSpaceDE w:val="0"/>
      <w:autoSpaceDN w:val="0"/>
      <w:adjustRightInd w:val="0"/>
      <w:jc w:val="left"/>
    </w:pPr>
    <w:rPr>
      <w:kern w:val="0"/>
      <w:sz w:val="24"/>
    </w:rPr>
  </w:style>
  <w:style w:type="paragraph" w:customStyle="1" w:styleId="84">
    <w:name w:val="WW-正文文字缩进 2"/>
    <w:basedOn w:val="1"/>
    <w:qFormat/>
    <w:uiPriority w:val="0"/>
    <w:pPr>
      <w:suppressAutoHyphens/>
      <w:ind w:firstLine="420"/>
    </w:pPr>
    <w:rPr>
      <w:kern w:val="1"/>
      <w:szCs w:val="20"/>
    </w:rPr>
  </w:style>
  <w:style w:type="paragraph" w:customStyle="1" w:styleId="85">
    <w:name w:val="默认段落字体 Para Char Char Char Char Char Char Char Char Char1 Char Char Char Char"/>
    <w:basedOn w:val="1"/>
    <w:qFormat/>
    <w:uiPriority w:val="0"/>
    <w:rPr>
      <w:rFonts w:ascii="Tahoma" w:hAnsi="Tahoma"/>
      <w:sz w:val="24"/>
      <w:szCs w:val="20"/>
    </w:rPr>
  </w:style>
  <w:style w:type="character" w:customStyle="1" w:styleId="86">
    <w:name w:val="正文文本 Char1"/>
    <w:link w:val="17"/>
    <w:qFormat/>
    <w:locked/>
    <w:uiPriority w:val="0"/>
    <w:rPr>
      <w:rFonts w:eastAsia="仿宋_GB2312"/>
      <w:kern w:val="2"/>
      <w:sz w:val="28"/>
      <w:szCs w:val="24"/>
      <w:lang w:val="en-US" w:eastAsia="zh-CN" w:bidi="ar-SA"/>
    </w:rPr>
  </w:style>
  <w:style w:type="paragraph" w:customStyle="1" w:styleId="87">
    <w:name w:val="项目排列"/>
    <w:basedOn w:val="1"/>
    <w:link w:val="88"/>
    <w:qFormat/>
    <w:uiPriority w:val="0"/>
    <w:pPr>
      <w:tabs>
        <w:tab w:val="left" w:pos="900"/>
      </w:tabs>
      <w:spacing w:beforeLines="50" w:afterLines="50" w:line="300" w:lineRule="auto"/>
      <w:ind w:left="900" w:hanging="420"/>
    </w:pPr>
    <w:rPr>
      <w:sz w:val="24"/>
    </w:rPr>
  </w:style>
  <w:style w:type="character" w:customStyle="1" w:styleId="88">
    <w:name w:val="项目排列 Char"/>
    <w:link w:val="87"/>
    <w:qFormat/>
    <w:uiPriority w:val="0"/>
    <w:rPr>
      <w:kern w:val="2"/>
      <w:sz w:val="24"/>
      <w:szCs w:val="24"/>
    </w:rPr>
  </w:style>
  <w:style w:type="character" w:customStyle="1" w:styleId="89">
    <w:name w:val="style21"/>
    <w:qFormat/>
    <w:uiPriority w:val="0"/>
    <w:rPr>
      <w:sz w:val="15"/>
      <w:szCs w:val="15"/>
    </w:rPr>
  </w:style>
  <w:style w:type="paragraph" w:customStyle="1" w:styleId="90">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91">
    <w:name w:val="List Paragraph"/>
    <w:basedOn w:val="1"/>
    <w:qFormat/>
    <w:uiPriority w:val="0"/>
    <w:pPr>
      <w:widowControl/>
      <w:spacing w:after="200" w:line="276" w:lineRule="auto"/>
      <w:ind w:left="720"/>
      <w:contextualSpacing/>
      <w:jc w:val="left"/>
    </w:pPr>
    <w:rPr>
      <w:rFonts w:ascii="Calibri" w:hAnsi="Calibri"/>
      <w:kern w:val="0"/>
      <w:sz w:val="22"/>
      <w:szCs w:val="22"/>
    </w:rPr>
  </w:style>
  <w:style w:type="paragraph" w:customStyle="1" w:styleId="92">
    <w:name w:val="Char1"/>
    <w:basedOn w:val="1"/>
    <w:qFormat/>
    <w:uiPriority w:val="0"/>
    <w:rPr>
      <w:szCs w:val="20"/>
    </w:rPr>
  </w:style>
  <w:style w:type="paragraph" w:customStyle="1" w:styleId="93">
    <w:name w:val="列出段落1"/>
    <w:basedOn w:val="1"/>
    <w:qFormat/>
    <w:uiPriority w:val="0"/>
    <w:pPr>
      <w:ind w:firstLine="420" w:firstLineChars="200"/>
    </w:pPr>
    <w:rPr>
      <w:rFonts w:ascii="Calibri" w:hAnsi="Calibri"/>
      <w:szCs w:val="22"/>
    </w:rPr>
  </w:style>
  <w:style w:type="paragraph" w:customStyle="1" w:styleId="94">
    <w:name w:val="默认段落字体 Para Char Char Char Char"/>
    <w:basedOn w:val="1"/>
    <w:qFormat/>
    <w:uiPriority w:val="0"/>
  </w:style>
  <w:style w:type="paragraph" w:customStyle="1" w:styleId="95">
    <w:name w:val="Char Char Char1 Char Char Char1 Char Char Char Char"/>
    <w:basedOn w:val="1"/>
    <w:qFormat/>
    <w:uiPriority w:val="0"/>
  </w:style>
  <w:style w:type="character" w:customStyle="1" w:styleId="96">
    <w:name w:val="font1"/>
    <w:qFormat/>
    <w:uiPriority w:val="0"/>
    <w:rPr>
      <w:color w:val="999999"/>
      <w:sz w:val="18"/>
      <w:szCs w:val="18"/>
      <w:u w:val="none"/>
    </w:rPr>
  </w:style>
  <w:style w:type="paragraph" w:customStyle="1" w:styleId="9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8">
    <w:name w:val="Char Char Char Char Char Char Char Char Char Char"/>
    <w:basedOn w:val="1"/>
    <w:qFormat/>
    <w:uiPriority w:val="0"/>
    <w:rPr>
      <w:rFonts w:ascii="Tahoma" w:hAnsi="Tahoma"/>
      <w:sz w:val="24"/>
      <w:szCs w:val="20"/>
    </w:rPr>
  </w:style>
  <w:style w:type="character" w:customStyle="1" w:styleId="99">
    <w:name w:val="apple-style-span"/>
    <w:basedOn w:val="43"/>
    <w:qFormat/>
    <w:uiPriority w:val="0"/>
  </w:style>
  <w:style w:type="paragraph" w:customStyle="1" w:styleId="100">
    <w:name w:val="正文无缩进"/>
    <w:basedOn w:val="1"/>
    <w:link w:val="101"/>
    <w:qFormat/>
    <w:uiPriority w:val="0"/>
    <w:pPr>
      <w:spacing w:line="360" w:lineRule="auto"/>
    </w:pPr>
    <w:rPr>
      <w:rFonts w:ascii="宋体"/>
      <w:color w:val="000000"/>
      <w:sz w:val="24"/>
    </w:rPr>
  </w:style>
  <w:style w:type="character" w:customStyle="1" w:styleId="101">
    <w:name w:val="正文无缩进 Char"/>
    <w:link w:val="100"/>
    <w:qFormat/>
    <w:uiPriority w:val="0"/>
    <w:rPr>
      <w:rFonts w:ascii="宋体" w:eastAsia="宋体"/>
      <w:color w:val="000000"/>
      <w:kern w:val="2"/>
      <w:sz w:val="24"/>
      <w:szCs w:val="24"/>
      <w:lang w:val="en-US" w:eastAsia="zh-CN" w:bidi="ar-SA"/>
    </w:rPr>
  </w:style>
  <w:style w:type="paragraph" w:customStyle="1" w:styleId="102">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03">
    <w:name w:val="ca-3"/>
    <w:basedOn w:val="43"/>
    <w:qFormat/>
    <w:uiPriority w:val="0"/>
  </w:style>
  <w:style w:type="paragraph" w:customStyle="1" w:styleId="104">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5">
    <w:name w:val="表格 Char Char"/>
    <w:link w:val="106"/>
    <w:qFormat/>
    <w:locked/>
    <w:uiPriority w:val="0"/>
    <w:rPr>
      <w:rFonts w:ascii="宋体" w:hAnsi="宋体" w:eastAsia="宋体"/>
      <w:lang w:val="en-US" w:eastAsia="zh-CN" w:bidi="ar-SA"/>
    </w:rPr>
  </w:style>
  <w:style w:type="paragraph" w:customStyle="1" w:styleId="106">
    <w:name w:val="表格"/>
    <w:basedOn w:val="1"/>
    <w:link w:val="105"/>
    <w:qFormat/>
    <w:uiPriority w:val="0"/>
    <w:pPr>
      <w:snapToGrid w:val="0"/>
      <w:ind w:firstLine="42" w:firstLineChars="21"/>
    </w:pPr>
    <w:rPr>
      <w:rFonts w:ascii="宋体" w:hAnsi="宋体"/>
      <w:kern w:val="0"/>
      <w:sz w:val="20"/>
      <w:szCs w:val="20"/>
    </w:rPr>
  </w:style>
  <w:style w:type="paragraph" w:customStyle="1" w:styleId="107">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8">
    <w:name w:val="Char Char1 Char Char Char Char Char Char"/>
    <w:basedOn w:val="1"/>
    <w:qFormat/>
    <w:uiPriority w:val="0"/>
    <w:pPr>
      <w:widowControl/>
      <w:spacing w:after="160" w:line="240" w:lineRule="exact"/>
      <w:jc w:val="left"/>
    </w:pPr>
  </w:style>
  <w:style w:type="character" w:customStyle="1" w:styleId="109">
    <w:name w:val="Char Char"/>
    <w:qFormat/>
    <w:uiPriority w:val="0"/>
    <w:rPr>
      <w:rFonts w:hint="eastAsia" w:ascii="宋体" w:hAnsi="Courier New" w:eastAsia="宋体"/>
      <w:kern w:val="2"/>
      <w:sz w:val="21"/>
      <w:lang w:val="en-US" w:eastAsia="zh-CN" w:bidi="ar-SA"/>
    </w:rPr>
  </w:style>
  <w:style w:type="character" w:customStyle="1" w:styleId="110">
    <w:name w:val="style51"/>
    <w:qFormat/>
    <w:uiPriority w:val="0"/>
    <w:rPr>
      <w:sz w:val="21"/>
      <w:szCs w:val="21"/>
    </w:rPr>
  </w:style>
  <w:style w:type="paragraph" w:customStyle="1" w:styleId="111">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12">
    <w:name w:val="标准文本"/>
    <w:basedOn w:val="1"/>
    <w:link w:val="113"/>
    <w:qFormat/>
    <w:uiPriority w:val="0"/>
    <w:pPr>
      <w:spacing w:line="360" w:lineRule="auto"/>
      <w:ind w:firstLine="480" w:firstLineChars="200"/>
    </w:pPr>
    <w:rPr>
      <w:rFonts w:cs="宋体"/>
      <w:sz w:val="24"/>
      <w:szCs w:val="20"/>
    </w:rPr>
  </w:style>
  <w:style w:type="character" w:customStyle="1" w:styleId="113">
    <w:name w:val="标准文本 Char"/>
    <w:link w:val="112"/>
    <w:qFormat/>
    <w:uiPriority w:val="0"/>
    <w:rPr>
      <w:rFonts w:eastAsia="宋体" w:cs="宋体"/>
      <w:kern w:val="2"/>
      <w:sz w:val="24"/>
      <w:lang w:val="en-US" w:eastAsia="zh-CN" w:bidi="ar-SA"/>
    </w:rPr>
  </w:style>
  <w:style w:type="paragraph" w:customStyle="1" w:styleId="11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5">
    <w:name w:val="自定义正文"/>
    <w:basedOn w:val="1"/>
    <w:link w:val="116"/>
    <w:qFormat/>
    <w:uiPriority w:val="0"/>
    <w:pPr>
      <w:spacing w:line="480" w:lineRule="exact"/>
      <w:ind w:firstLine="200" w:firstLineChars="200"/>
      <w:jc w:val="left"/>
    </w:pPr>
    <w:rPr>
      <w:rFonts w:ascii="仿宋_GB2312" w:eastAsia="仿宋_GB2312"/>
      <w:sz w:val="28"/>
    </w:rPr>
  </w:style>
  <w:style w:type="character" w:customStyle="1" w:styleId="116">
    <w:name w:val="自定义正文 Char"/>
    <w:link w:val="115"/>
    <w:qFormat/>
    <w:uiPriority w:val="0"/>
    <w:rPr>
      <w:rFonts w:ascii="仿宋_GB2312" w:eastAsia="仿宋_GB2312"/>
      <w:kern w:val="2"/>
      <w:sz w:val="28"/>
      <w:szCs w:val="24"/>
      <w:lang w:val="en-US" w:eastAsia="zh-CN" w:bidi="ar-SA"/>
    </w:rPr>
  </w:style>
  <w:style w:type="paragraph" w:customStyle="1" w:styleId="117">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8">
    <w:name w:val="自定义表格文字"/>
    <w:basedOn w:val="1"/>
    <w:qFormat/>
    <w:uiPriority w:val="0"/>
    <w:pPr>
      <w:spacing w:before="60" w:after="60" w:line="320" w:lineRule="exact"/>
      <w:jc w:val="left"/>
    </w:pPr>
    <w:rPr>
      <w:rFonts w:ascii="宋体" w:eastAsia="楷体_GB2312"/>
    </w:rPr>
  </w:style>
  <w:style w:type="paragraph" w:customStyle="1" w:styleId="119">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0">
    <w:name w:val="Char Char Char1 Char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21">
    <w:name w:val="文档结构图 Char"/>
    <w:link w:val="15"/>
    <w:semiHidden/>
    <w:qFormat/>
    <w:uiPriority w:val="0"/>
    <w:rPr>
      <w:rFonts w:eastAsia="宋体"/>
      <w:kern w:val="2"/>
      <w:sz w:val="21"/>
      <w:szCs w:val="24"/>
      <w:lang w:val="en-US" w:eastAsia="zh-CN" w:bidi="ar-SA"/>
    </w:rPr>
  </w:style>
  <w:style w:type="character" w:customStyle="1" w:styleId="122">
    <w:name w:val="Char Char1"/>
    <w:qFormat/>
    <w:uiPriority w:val="0"/>
    <w:rPr>
      <w:rFonts w:ascii="宋体" w:hAnsi="Courier New" w:eastAsia="宋体"/>
      <w:kern w:val="2"/>
      <w:sz w:val="21"/>
      <w:lang w:val="en-US" w:eastAsia="zh-CN" w:bidi="ar-SA"/>
    </w:rPr>
  </w:style>
  <w:style w:type="character" w:customStyle="1" w:styleId="123">
    <w:name w:val="H4 Char"/>
    <w:qFormat/>
    <w:uiPriority w:val="0"/>
    <w:rPr>
      <w:rFonts w:ascii="宋体" w:hAnsi="宋体" w:eastAsia="黑体"/>
      <w:b/>
      <w:bCs/>
      <w:color w:val="000000"/>
      <w:spacing w:val="-4"/>
      <w:kern w:val="2"/>
      <w:sz w:val="24"/>
      <w:szCs w:val="30"/>
      <w:lang w:val="en-US" w:eastAsia="zh-CN" w:bidi="ar-SA"/>
    </w:rPr>
  </w:style>
  <w:style w:type="character" w:customStyle="1" w:styleId="124">
    <w:name w:val="H5 Char"/>
    <w:qFormat/>
    <w:uiPriority w:val="0"/>
    <w:rPr>
      <w:rFonts w:ascii="Arial" w:hAnsi="Arial" w:eastAsia="宋体"/>
      <w:sz w:val="24"/>
      <w:lang w:val="en-US" w:eastAsia="zh-CN" w:bidi="ar-SA"/>
    </w:rPr>
  </w:style>
  <w:style w:type="character" w:customStyle="1" w:styleId="125">
    <w:name w:val="Char Char8"/>
    <w:qFormat/>
    <w:uiPriority w:val="0"/>
    <w:rPr>
      <w:rFonts w:ascii="宋体" w:eastAsia="宋体"/>
      <w:kern w:val="2"/>
      <w:sz w:val="28"/>
      <w:lang w:val="en-US" w:eastAsia="zh-CN" w:bidi="ar-SA"/>
    </w:rPr>
  </w:style>
  <w:style w:type="character" w:customStyle="1" w:styleId="126">
    <w:name w:val="Char Char7"/>
    <w:qFormat/>
    <w:uiPriority w:val="0"/>
    <w:rPr>
      <w:rFonts w:eastAsia="仿宋_GB2312"/>
      <w:kern w:val="2"/>
      <w:sz w:val="24"/>
      <w:szCs w:val="24"/>
      <w:lang w:val="en-US" w:eastAsia="zh-CN" w:bidi="ar-SA"/>
    </w:rPr>
  </w:style>
  <w:style w:type="paragraph" w:customStyle="1" w:styleId="127">
    <w:name w:val="表内文字"/>
    <w:basedOn w:val="1"/>
    <w:qFormat/>
    <w:uiPriority w:val="0"/>
    <w:pPr>
      <w:jc w:val="center"/>
    </w:pPr>
    <w:rPr>
      <w:color w:val="FF0000"/>
      <w:kern w:val="0"/>
      <w:sz w:val="24"/>
    </w:rPr>
  </w:style>
  <w:style w:type="character" w:customStyle="1" w:styleId="128">
    <w:name w:val="Char Char3"/>
    <w:qFormat/>
    <w:uiPriority w:val="0"/>
    <w:rPr>
      <w:rFonts w:eastAsia="仿宋_GB2312"/>
      <w:kern w:val="2"/>
      <w:sz w:val="28"/>
      <w:szCs w:val="24"/>
      <w:lang w:val="en-US" w:eastAsia="zh-CN" w:bidi="ar-SA"/>
    </w:rPr>
  </w:style>
  <w:style w:type="paragraph" w:customStyle="1" w:styleId="129">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30">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31">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32">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33">
    <w:name w:val="项目1"/>
    <w:basedOn w:val="1"/>
    <w:qFormat/>
    <w:uiPriority w:val="0"/>
    <w:pPr>
      <w:tabs>
        <w:tab w:val="left" w:pos="840"/>
      </w:tabs>
      <w:spacing w:after="60"/>
      <w:ind w:left="840" w:hanging="420"/>
    </w:pPr>
    <w:rPr>
      <w:rFonts w:ascii="宋体"/>
      <w:spacing w:val="4"/>
      <w:szCs w:val="20"/>
    </w:rPr>
  </w:style>
  <w:style w:type="paragraph" w:customStyle="1" w:styleId="134">
    <w:name w:val="编10号"/>
    <w:basedOn w:val="1"/>
    <w:qFormat/>
    <w:uiPriority w:val="0"/>
    <w:pPr>
      <w:tabs>
        <w:tab w:val="left" w:pos="1620"/>
      </w:tabs>
      <w:ind w:left="1620" w:hanging="360"/>
    </w:pPr>
  </w:style>
  <w:style w:type="paragraph" w:customStyle="1" w:styleId="135">
    <w:name w:val="段"/>
    <w:basedOn w:val="1"/>
    <w:qFormat/>
    <w:uiPriority w:val="0"/>
    <w:pPr>
      <w:ind w:firstLine="425"/>
    </w:pPr>
    <w:rPr>
      <w:rFonts w:ascii="宋体"/>
      <w:szCs w:val="20"/>
    </w:rPr>
  </w:style>
  <w:style w:type="paragraph" w:customStyle="1" w:styleId="136">
    <w:name w:val="Char Char Char Char"/>
    <w:basedOn w:val="1"/>
    <w:qFormat/>
    <w:uiPriority w:val="0"/>
    <w:pPr>
      <w:widowControl/>
      <w:spacing w:after="160" w:line="240" w:lineRule="exact"/>
      <w:jc w:val="left"/>
    </w:pPr>
    <w:rPr>
      <w:kern w:val="0"/>
      <w:sz w:val="24"/>
    </w:rPr>
  </w:style>
  <w:style w:type="paragraph" w:customStyle="1" w:styleId="137">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8">
    <w:name w:val="bulletintext1"/>
    <w:qFormat/>
    <w:uiPriority w:val="0"/>
    <w:rPr>
      <w:rFonts w:hint="eastAsia" w:ascii="宋体" w:hAnsi="宋体" w:eastAsia="宋体"/>
      <w:sz w:val="18"/>
      <w:szCs w:val="18"/>
    </w:rPr>
  </w:style>
  <w:style w:type="paragraph" w:customStyle="1" w:styleId="139">
    <w:name w:val="Char1 Char Char Char Char Char Char"/>
    <w:basedOn w:val="1"/>
    <w:qFormat/>
    <w:uiPriority w:val="0"/>
    <w:rPr>
      <w:rFonts w:ascii="Tahoma" w:hAnsi="Tahoma"/>
      <w:sz w:val="24"/>
      <w:szCs w:val="20"/>
    </w:rPr>
  </w:style>
  <w:style w:type="paragraph" w:customStyle="1" w:styleId="140">
    <w:name w:val="Char Char2 Char Char Char Char"/>
    <w:basedOn w:val="15"/>
    <w:qFormat/>
    <w:uiPriority w:val="0"/>
    <w:rPr>
      <w:rFonts w:ascii="Tahoma" w:hAnsi="Tahoma"/>
      <w:sz w:val="24"/>
    </w:rPr>
  </w:style>
  <w:style w:type="paragraph" w:customStyle="1" w:styleId="141">
    <w:name w:val="Char Char Char"/>
    <w:basedOn w:val="15"/>
    <w:qFormat/>
    <w:uiPriority w:val="0"/>
    <w:rPr>
      <w:rFonts w:ascii="Tahoma" w:hAnsi="Tahoma"/>
      <w:sz w:val="24"/>
    </w:rPr>
  </w:style>
  <w:style w:type="paragraph" w:customStyle="1" w:styleId="142">
    <w:name w:val="正文缩进 New"/>
    <w:basedOn w:val="1"/>
    <w:qFormat/>
    <w:uiPriority w:val="0"/>
    <w:pPr>
      <w:ind w:firstLine="420" w:firstLineChars="200"/>
    </w:pPr>
    <w:rPr>
      <w:szCs w:val="20"/>
    </w:rPr>
  </w:style>
  <w:style w:type="paragraph" w:customStyle="1" w:styleId="143">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4">
    <w:name w:val="tpc_content1"/>
    <w:qFormat/>
    <w:uiPriority w:val="0"/>
    <w:rPr>
      <w:sz w:val="20"/>
      <w:szCs w:val="20"/>
    </w:rPr>
  </w:style>
  <w:style w:type="character" w:customStyle="1" w:styleId="145">
    <w:name w:val="Char Char11"/>
    <w:qFormat/>
    <w:uiPriority w:val="0"/>
    <w:rPr>
      <w:b/>
      <w:kern w:val="44"/>
      <w:sz w:val="44"/>
    </w:rPr>
  </w:style>
  <w:style w:type="character" w:customStyle="1" w:styleId="146">
    <w:name w:val="Char Char10"/>
    <w:qFormat/>
    <w:uiPriority w:val="0"/>
    <w:rPr>
      <w:b/>
      <w:kern w:val="2"/>
      <w:sz w:val="28"/>
      <w:szCs w:val="28"/>
    </w:rPr>
  </w:style>
  <w:style w:type="character" w:customStyle="1" w:styleId="147">
    <w:name w:val="Char Char9"/>
    <w:qFormat/>
    <w:uiPriority w:val="0"/>
    <w:rPr>
      <w:b/>
      <w:kern w:val="2"/>
      <w:sz w:val="24"/>
      <w:szCs w:val="24"/>
    </w:rPr>
  </w:style>
  <w:style w:type="paragraph" w:customStyle="1" w:styleId="148">
    <w:name w:val="Char Char Char 字元 字元"/>
    <w:basedOn w:val="1"/>
    <w:qFormat/>
    <w:uiPriority w:val="0"/>
    <w:pPr>
      <w:spacing w:line="360" w:lineRule="auto"/>
      <w:ind w:firstLine="200" w:firstLineChars="200"/>
    </w:pPr>
    <w:rPr>
      <w:szCs w:val="20"/>
    </w:rPr>
  </w:style>
  <w:style w:type="paragraph" w:customStyle="1" w:styleId="149">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0">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51">
    <w:name w:val="style11"/>
    <w:qFormat/>
    <w:uiPriority w:val="0"/>
    <w:rPr>
      <w:b/>
      <w:bCs/>
      <w:color w:val="FF0000"/>
    </w:rPr>
  </w:style>
  <w:style w:type="character" w:customStyle="1" w:styleId="152">
    <w:name w:val="info"/>
    <w:basedOn w:val="43"/>
    <w:qFormat/>
    <w:uiPriority w:val="0"/>
  </w:style>
  <w:style w:type="paragraph" w:customStyle="1" w:styleId="153">
    <w:name w:val="样式 正文缩进 + 首行缩进:  2 字符"/>
    <w:basedOn w:val="4"/>
    <w:link w:val="154"/>
    <w:qFormat/>
    <w:uiPriority w:val="0"/>
    <w:pPr>
      <w:spacing w:line="360" w:lineRule="auto"/>
      <w:ind w:firstLine="480"/>
    </w:pPr>
    <w:rPr>
      <w:rFonts w:ascii="宋体" w:hAnsi="宋体"/>
      <w:color w:val="000000"/>
      <w:kern w:val="0"/>
      <w:sz w:val="24"/>
      <w:szCs w:val="20"/>
    </w:rPr>
  </w:style>
  <w:style w:type="character" w:customStyle="1" w:styleId="154">
    <w:name w:val="样式 正文缩进 + 首行缩进:  2 字符 Char"/>
    <w:link w:val="153"/>
    <w:qFormat/>
    <w:locked/>
    <w:uiPriority w:val="0"/>
    <w:rPr>
      <w:rFonts w:ascii="宋体" w:hAnsi="宋体" w:eastAsia="宋体"/>
      <w:color w:val="000000"/>
      <w:sz w:val="24"/>
      <w:lang w:bidi="ar-SA"/>
    </w:rPr>
  </w:style>
  <w:style w:type="paragraph" w:customStyle="1" w:styleId="155">
    <w:name w:val="正文2"/>
    <w:basedOn w:val="1"/>
    <w:link w:val="156"/>
    <w:qFormat/>
    <w:uiPriority w:val="0"/>
    <w:pPr>
      <w:spacing w:before="156" w:line="360" w:lineRule="auto"/>
      <w:ind w:firstLine="510" w:firstLineChars="200"/>
    </w:pPr>
    <w:rPr>
      <w:sz w:val="24"/>
      <w:szCs w:val="20"/>
    </w:rPr>
  </w:style>
  <w:style w:type="character" w:customStyle="1" w:styleId="156">
    <w:name w:val="正文2 Char"/>
    <w:link w:val="155"/>
    <w:qFormat/>
    <w:uiPriority w:val="0"/>
    <w:rPr>
      <w:rFonts w:eastAsia="宋体"/>
      <w:kern w:val="2"/>
      <w:sz w:val="24"/>
      <w:lang w:val="en-US" w:eastAsia="zh-CN" w:bidi="ar-SA"/>
    </w:rPr>
  </w:style>
  <w:style w:type="paragraph" w:customStyle="1" w:styleId="157">
    <w:name w:val="p0"/>
    <w:basedOn w:val="1"/>
    <w:qFormat/>
    <w:uiPriority w:val="99"/>
    <w:pPr>
      <w:widowControl/>
    </w:pPr>
    <w:rPr>
      <w:kern w:val="0"/>
      <w:szCs w:val="21"/>
    </w:rPr>
  </w:style>
  <w:style w:type="character" w:customStyle="1" w:styleId="158">
    <w:name w:val="param-name"/>
    <w:basedOn w:val="43"/>
    <w:qFormat/>
    <w:uiPriority w:val="0"/>
  </w:style>
  <w:style w:type="character" w:customStyle="1" w:styleId="159">
    <w:name w:val="日期 Char"/>
    <w:qFormat/>
    <w:uiPriority w:val="0"/>
    <w:rPr>
      <w:rFonts w:ascii="楷体_GB2312" w:eastAsia="楷体_GB2312"/>
      <w:b/>
      <w:kern w:val="2"/>
      <w:sz w:val="28"/>
      <w:lang w:val="en-US" w:eastAsia="zh-CN" w:bidi="ar-SA"/>
    </w:rPr>
  </w:style>
  <w:style w:type="character" w:customStyle="1" w:styleId="160">
    <w:name w:val="标题 4 Char"/>
    <w:qFormat/>
    <w:uiPriority w:val="0"/>
    <w:rPr>
      <w:rFonts w:ascii="Arial" w:hAnsi="Arial" w:eastAsia="黑体"/>
      <w:b/>
      <w:kern w:val="2"/>
      <w:sz w:val="28"/>
      <w:lang w:val="en-US" w:eastAsia="zh-CN" w:bidi="ar-SA"/>
    </w:rPr>
  </w:style>
  <w:style w:type="character" w:customStyle="1" w:styleId="161">
    <w:name w:val="标题 6 Char"/>
    <w:qFormat/>
    <w:uiPriority w:val="0"/>
    <w:rPr>
      <w:rFonts w:ascii="宋体" w:hAnsi="Arial" w:eastAsia="宋体"/>
      <w:sz w:val="24"/>
      <w:lang w:val="en-US" w:eastAsia="zh-CN" w:bidi="ar-SA"/>
    </w:rPr>
  </w:style>
  <w:style w:type="character" w:customStyle="1" w:styleId="162">
    <w:name w:val="标题 8 Char"/>
    <w:qFormat/>
    <w:uiPriority w:val="0"/>
    <w:rPr>
      <w:rFonts w:ascii="Arial" w:hAnsi="Arial" w:eastAsia="黑体"/>
      <w:sz w:val="24"/>
      <w:lang w:val="en-US" w:eastAsia="zh-CN" w:bidi="ar-SA"/>
    </w:rPr>
  </w:style>
  <w:style w:type="character" w:customStyle="1" w:styleId="163">
    <w:name w:val="标题 9 Char"/>
    <w:qFormat/>
    <w:uiPriority w:val="0"/>
    <w:rPr>
      <w:rFonts w:ascii="Arial" w:hAnsi="Arial" w:eastAsia="黑体"/>
      <w:sz w:val="24"/>
      <w:lang w:val="en-US" w:eastAsia="zh-CN" w:bidi="ar-SA"/>
    </w:rPr>
  </w:style>
  <w:style w:type="character" w:customStyle="1" w:styleId="164">
    <w:name w:val="标题 5 Char"/>
    <w:qFormat/>
    <w:uiPriority w:val="0"/>
    <w:rPr>
      <w:rFonts w:eastAsia="宋体"/>
      <w:sz w:val="24"/>
      <w:lang w:val="en-US" w:eastAsia="zh-CN" w:bidi="ar-SA"/>
    </w:rPr>
  </w:style>
  <w:style w:type="character" w:customStyle="1" w:styleId="165">
    <w:name w:val="正文文本 Char"/>
    <w:qFormat/>
    <w:locked/>
    <w:uiPriority w:val="0"/>
    <w:rPr>
      <w:rFonts w:eastAsia="仿宋_GB2312"/>
      <w:kern w:val="2"/>
      <w:sz w:val="28"/>
      <w:szCs w:val="24"/>
      <w:lang w:val="en-US" w:eastAsia="zh-CN" w:bidi="ar-SA"/>
    </w:rPr>
  </w:style>
  <w:style w:type="character" w:customStyle="1" w:styleId="166">
    <w:name w:val="正文文本缩进 2 Char"/>
    <w:qFormat/>
    <w:locked/>
    <w:uiPriority w:val="0"/>
    <w:rPr>
      <w:rFonts w:eastAsia="宋体"/>
      <w:kern w:val="2"/>
      <w:sz w:val="21"/>
      <w:szCs w:val="24"/>
      <w:lang w:val="en-US" w:eastAsia="zh-CN" w:bidi="ar-SA"/>
    </w:rPr>
  </w:style>
  <w:style w:type="character" w:customStyle="1" w:styleId="167">
    <w:name w:val="正文文本 2 Char"/>
    <w:qFormat/>
    <w:uiPriority w:val="0"/>
    <w:rPr>
      <w:rFonts w:ascii="隶书" w:eastAsia="隶书"/>
      <w:bCs/>
      <w:sz w:val="72"/>
      <w:szCs w:val="84"/>
      <w:lang w:val="en-US" w:eastAsia="zh-CN" w:bidi="ar-SA"/>
    </w:rPr>
  </w:style>
  <w:style w:type="character" w:customStyle="1" w:styleId="168">
    <w:name w:val="标题 7 Char"/>
    <w:qFormat/>
    <w:uiPriority w:val="0"/>
    <w:rPr>
      <w:rFonts w:ascii="宋体" w:hAnsi="Arial" w:eastAsia="宋体"/>
      <w:b/>
      <w:sz w:val="24"/>
      <w:lang w:val="en-US" w:eastAsia="zh-CN" w:bidi="ar-SA"/>
    </w:rPr>
  </w:style>
  <w:style w:type="character" w:customStyle="1" w:styleId="169">
    <w:name w:val="页眉 Char"/>
    <w:qFormat/>
    <w:uiPriority w:val="0"/>
    <w:rPr>
      <w:rFonts w:eastAsia="宋体"/>
      <w:kern w:val="2"/>
      <w:sz w:val="18"/>
      <w:szCs w:val="18"/>
      <w:lang w:val="en-US" w:eastAsia="zh-CN" w:bidi="ar-SA"/>
    </w:rPr>
  </w:style>
  <w:style w:type="character" w:customStyle="1" w:styleId="170">
    <w:name w:val="批注文字 Char"/>
    <w:semiHidden/>
    <w:qFormat/>
    <w:uiPriority w:val="0"/>
    <w:rPr>
      <w:rFonts w:eastAsia="宋体"/>
      <w:kern w:val="2"/>
      <w:sz w:val="21"/>
      <w:szCs w:val="24"/>
      <w:lang w:val="en-US" w:eastAsia="zh-CN" w:bidi="ar-SA"/>
    </w:rPr>
  </w:style>
  <w:style w:type="character" w:customStyle="1" w:styleId="171">
    <w:name w:val="汇视源正文 Char"/>
    <w:link w:val="172"/>
    <w:qFormat/>
    <w:uiPriority w:val="0"/>
    <w:rPr>
      <w:rFonts w:cs="宋体"/>
      <w:kern w:val="2"/>
      <w:sz w:val="24"/>
      <w:lang w:val="en-US" w:eastAsia="zh-CN" w:bidi="ar-SA"/>
    </w:rPr>
  </w:style>
  <w:style w:type="paragraph" w:customStyle="1" w:styleId="172">
    <w:name w:val="汇视源正文"/>
    <w:link w:val="171"/>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73">
    <w:name w:val="样式 列表编号 + 段后: 0.5 行"/>
    <w:basedOn w:val="13"/>
    <w:qFormat/>
    <w:uiPriority w:val="0"/>
    <w:pPr>
      <w:tabs>
        <w:tab w:val="left" w:pos="840"/>
      </w:tabs>
      <w:spacing w:afterLines="0"/>
      <w:ind w:left="425" w:hanging="425"/>
    </w:pPr>
    <w:rPr>
      <w:rFonts w:cs="宋体"/>
    </w:rPr>
  </w:style>
  <w:style w:type="paragraph" w:customStyle="1" w:styleId="174">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5">
    <w:name w:val="TOC 标题1"/>
    <w:basedOn w:val="2"/>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6">
    <w:name w:val="标题 Char"/>
    <w:link w:val="37"/>
    <w:qFormat/>
    <w:locked/>
    <w:uiPriority w:val="0"/>
    <w:rPr>
      <w:rFonts w:ascii="Calibri Light" w:hAnsi="Calibri Light" w:eastAsia="宋体"/>
      <w:b/>
      <w:bCs/>
      <w:kern w:val="2"/>
      <w:sz w:val="32"/>
      <w:szCs w:val="32"/>
      <w:lang w:val="en-US" w:eastAsia="zh-CN" w:bidi="ar-SA"/>
    </w:rPr>
  </w:style>
  <w:style w:type="character" w:customStyle="1" w:styleId="177">
    <w:name w:val="Date Char"/>
    <w:qFormat/>
    <w:locked/>
    <w:uiPriority w:val="0"/>
    <w:rPr>
      <w:rFonts w:ascii="宋体"/>
      <w:sz w:val="21"/>
      <w:lang w:val="zh-CN"/>
    </w:rPr>
  </w:style>
  <w:style w:type="character" w:customStyle="1" w:styleId="178">
    <w:name w:val="Normal Indent Char"/>
    <w:qFormat/>
    <w:locked/>
    <w:uiPriority w:val="0"/>
    <w:rPr>
      <w:rFonts w:ascii="宋体" w:eastAsia="宋体"/>
      <w:snapToGrid w:val="0"/>
      <w:color w:val="000000"/>
      <w:kern w:val="28"/>
      <w:sz w:val="28"/>
    </w:rPr>
  </w:style>
  <w:style w:type="character" w:customStyle="1" w:styleId="179">
    <w:name w:val="Plain Text Char"/>
    <w:qFormat/>
    <w:locked/>
    <w:uiPriority w:val="0"/>
    <w:rPr>
      <w:rFonts w:ascii="宋体" w:hAnsi="Courier New" w:eastAsia="宋体"/>
      <w:snapToGrid w:val="0"/>
      <w:sz w:val="21"/>
    </w:rPr>
  </w:style>
  <w:style w:type="character" w:customStyle="1" w:styleId="180">
    <w:name w:val="日期 Char1"/>
    <w:semiHidden/>
    <w:qFormat/>
    <w:uiPriority w:val="0"/>
    <w:rPr>
      <w:rFonts w:ascii="Times New Roman" w:hAnsi="Times New Roman" w:eastAsia="宋体" w:cs="Times New Roman"/>
      <w:sz w:val="24"/>
      <w:szCs w:val="24"/>
    </w:rPr>
  </w:style>
  <w:style w:type="character" w:customStyle="1" w:styleId="181">
    <w:name w:val="纯文本 Char1"/>
    <w:semiHidden/>
    <w:qFormat/>
    <w:uiPriority w:val="0"/>
    <w:rPr>
      <w:rFonts w:ascii="宋体" w:hAnsi="Courier New" w:eastAsia="宋体" w:cs="Courier New"/>
      <w:sz w:val="21"/>
      <w:szCs w:val="21"/>
    </w:rPr>
  </w:style>
  <w:style w:type="paragraph" w:customStyle="1" w:styleId="18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3">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184">
    <w:name w:val="标题2def"/>
    <w:basedOn w:val="37"/>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5">
    <w:name w:val="标题3def"/>
    <w:basedOn w:val="5"/>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6">
    <w:name w:val="Header Char"/>
    <w:qFormat/>
    <w:locked/>
    <w:uiPriority w:val="0"/>
    <w:rPr>
      <w:rFonts w:ascii="Times New Roman" w:hAnsi="Times New Roman" w:eastAsia="宋体" w:cs="Times New Roman"/>
      <w:sz w:val="18"/>
      <w:szCs w:val="18"/>
    </w:rPr>
  </w:style>
  <w:style w:type="paragraph" w:customStyle="1" w:styleId="18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8">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89">
    <w:name w:val="Comment Text Char"/>
    <w:qFormat/>
    <w:locked/>
    <w:uiPriority w:val="0"/>
    <w:rPr>
      <w:rFonts w:ascii="Times New Roman" w:hAnsi="Times New Roman" w:eastAsia="宋体" w:cs="Times New Roman"/>
      <w:kern w:val="0"/>
      <w:sz w:val="24"/>
      <w:szCs w:val="24"/>
      <w:lang w:val="zh-CN" w:eastAsia="zh-CN"/>
    </w:rPr>
  </w:style>
  <w:style w:type="paragraph" w:customStyle="1" w:styleId="190">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92">
    <w:name w:val="Char Char Char Char1"/>
    <w:basedOn w:val="1"/>
    <w:qFormat/>
    <w:uiPriority w:val="0"/>
    <w:rPr>
      <w:rFonts w:ascii="Tahoma" w:hAnsi="Tahoma"/>
      <w:sz w:val="24"/>
      <w:szCs w:val="20"/>
    </w:rPr>
  </w:style>
  <w:style w:type="paragraph" w:customStyle="1" w:styleId="193">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4">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5">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6">
    <w:name w:val="正文2 Char Char"/>
    <w:qFormat/>
    <w:uiPriority w:val="0"/>
    <w:rPr>
      <w:kern w:val="2"/>
      <w:sz w:val="24"/>
    </w:rPr>
  </w:style>
  <w:style w:type="character" w:customStyle="1" w:styleId="197">
    <w:name w:val="普通文字 Char Char3"/>
    <w:qFormat/>
    <w:uiPriority w:val="0"/>
    <w:rPr>
      <w:rFonts w:ascii="宋体" w:hAnsi="Courier New"/>
      <w:kern w:val="2"/>
      <w:sz w:val="24"/>
      <w:szCs w:val="24"/>
    </w:rPr>
  </w:style>
  <w:style w:type="paragraph" w:customStyle="1" w:styleId="198">
    <w:name w:val="a2"/>
    <w:basedOn w:val="1"/>
    <w:qFormat/>
    <w:uiPriority w:val="0"/>
    <w:pPr>
      <w:widowControl/>
      <w:spacing w:before="100" w:beforeAutospacing="1" w:after="100" w:afterAutospacing="1"/>
      <w:jc w:val="left"/>
    </w:pPr>
    <w:rPr>
      <w:rFonts w:ascii="宋体" w:hAnsi="宋体" w:cs="宋体"/>
      <w:kern w:val="0"/>
      <w:sz w:val="24"/>
    </w:rPr>
  </w:style>
  <w:style w:type="paragraph" w:customStyle="1" w:styleId="199">
    <w:name w:val="缩进正文"/>
    <w:basedOn w:val="1"/>
    <w:qFormat/>
    <w:uiPriority w:val="0"/>
    <w:pPr>
      <w:adjustRightInd w:val="0"/>
      <w:snapToGrid w:val="0"/>
      <w:spacing w:line="360" w:lineRule="auto"/>
      <w:ind w:firstLine="200" w:firstLineChars="200"/>
      <w:jc w:val="left"/>
    </w:pPr>
    <w:rPr>
      <w:rFonts w:ascii="宋体"/>
      <w:snapToGrid w:val="0"/>
      <w:sz w:val="24"/>
      <w:szCs w:val="21"/>
    </w:rPr>
  </w:style>
  <w:style w:type="paragraph" w:customStyle="1" w:styleId="200">
    <w:name w:val="正文首行缩进 22"/>
    <w:basedOn w:val="201"/>
    <w:qFormat/>
    <w:uiPriority w:val="0"/>
    <w:pPr>
      <w:ind w:firstLine="420"/>
    </w:pPr>
    <w:rPr>
      <w:rFonts w:cs="宋体"/>
    </w:rPr>
  </w:style>
  <w:style w:type="paragraph" w:customStyle="1" w:styleId="201">
    <w:name w:val="正文文本缩进2"/>
    <w:basedOn w:val="1"/>
    <w:next w:val="1"/>
    <w:qFormat/>
    <w:uiPriority w:val="0"/>
    <w:pPr>
      <w:ind w:left="420" w:leftChars="200"/>
    </w:pPr>
    <w:rPr>
      <w:color w:val="000000"/>
      <w:szCs w:val="21"/>
    </w:rPr>
  </w:style>
  <w:style w:type="paragraph" w:customStyle="1" w:styleId="202">
    <w:name w:val="*正文"/>
    <w:basedOn w:val="1"/>
    <w:qFormat/>
    <w:uiPriority w:val="0"/>
    <w:pPr>
      <w:spacing w:line="360" w:lineRule="auto"/>
      <w:ind w:firstLine="200" w:firstLineChars="200"/>
    </w:pPr>
    <w:rPr>
      <w:rFonts w:ascii="宋体" w:hAnsi="宋体"/>
      <w:sz w:val="24"/>
    </w:rPr>
  </w:style>
  <w:style w:type="paragraph" w:customStyle="1" w:styleId="203">
    <w:name w:val="标准正文"/>
    <w:basedOn w:val="1"/>
    <w:qFormat/>
    <w:uiPriority w:val="0"/>
    <w:pPr>
      <w:adjustRightInd w:val="0"/>
      <w:snapToGrid w:val="0"/>
      <w:spacing w:line="360" w:lineRule="auto"/>
      <w:jc w:val="left"/>
    </w:pPr>
    <w:rPr>
      <w:rFonts w:ascii="宋体"/>
      <w:snapToGrid w:val="0"/>
      <w:sz w:val="24"/>
      <w:szCs w:val="21"/>
    </w:rPr>
  </w:style>
  <w:style w:type="paragraph" w:customStyle="1" w:styleId="204">
    <w:name w:val="_正文段落"/>
    <w:basedOn w:val="1"/>
    <w:qFormat/>
    <w:uiPriority w:val="0"/>
    <w:pPr>
      <w:spacing w:beforeLines="15" w:afterLines="30" w:line="360" w:lineRule="auto"/>
      <w:ind w:firstLine="200" w:firstLineChars="200"/>
    </w:pPr>
    <w:rPr>
      <w:sz w:val="24"/>
    </w:rPr>
  </w:style>
  <w:style w:type="paragraph" w:customStyle="1" w:styleId="205">
    <w:name w:val="纯文本_0"/>
    <w:basedOn w:val="1"/>
    <w:unhideWhenUsed/>
    <w:qFormat/>
    <w:uiPriority w:val="0"/>
    <w:rPr>
      <w:rFonts w:ascii="宋体" w:hAnsi="Courier New"/>
      <w:kern w:val="0"/>
      <w:sz w:val="20"/>
      <w:szCs w:val="20"/>
    </w:rPr>
  </w:style>
  <w:style w:type="paragraph" w:customStyle="1" w:styleId="206">
    <w:name w:val="普通(网站)_0"/>
    <w:basedOn w:val="1"/>
    <w:unhideWhenUsed/>
    <w:qFormat/>
    <w:uiPriority w:val="0"/>
    <w:pPr>
      <w:widowControl/>
      <w:spacing w:before="100" w:beforeAutospacing="1" w:after="100" w:afterAutospacing="1"/>
      <w:jc w:val="left"/>
    </w:pPr>
    <w:rPr>
      <w:rFonts w:ascii="宋体" w:hAnsi="宋体"/>
      <w:kern w:val="0"/>
      <w:sz w:val="24"/>
      <w:szCs w:val="22"/>
    </w:rPr>
  </w:style>
  <w:style w:type="paragraph" w:customStyle="1" w:styleId="207">
    <w:name w:val="纯文本_1"/>
    <w:basedOn w:val="1"/>
    <w:qFormat/>
    <w:uiPriority w:val="0"/>
    <w:rPr>
      <w:rFonts w:ascii="宋体" w:hAnsi="Courier New"/>
      <w:szCs w:val="20"/>
    </w:rPr>
  </w:style>
  <w:style w:type="table" w:customStyle="1" w:styleId="208">
    <w:name w:val="Table Normal"/>
    <w:qFormat/>
    <w:uiPriority w:val="0"/>
    <w:tblPr>
      <w:tblCellMar>
        <w:top w:w="0" w:type="dxa"/>
        <w:left w:w="0" w:type="dxa"/>
        <w:bottom w:w="0" w:type="dxa"/>
        <w:right w:w="0" w:type="dxa"/>
      </w:tblCellMar>
    </w:tblPr>
  </w:style>
  <w:style w:type="paragraph" w:customStyle="1" w:styleId="209">
    <w:name w:val="p"/>
    <w:basedOn w:val="1"/>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F14A98F-803F-4F33-8E19-E434450C3FB4}">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Pages>
  <Words>3407</Words>
  <Characters>19423</Characters>
  <Lines>161</Lines>
  <Paragraphs>45</Paragraphs>
  <TotalTime>9</TotalTime>
  <ScaleCrop>false</ScaleCrop>
  <LinksUpToDate>false</LinksUpToDate>
  <CharactersWithSpaces>22785</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2019-03-28T02:49:00Z</dcterms:created>
  <dc:creator>USER</dc:creator>
  <cp:lastModifiedBy>恰同学少年1394715722</cp:lastModifiedBy>
  <cp:lastPrinted>2020-03-13T02:27:00Z</cp:lastPrinted>
  <dcterms:modified xsi:type="dcterms:W3CDTF">2020-04-07T01:54:11Z</dcterms:modified>
  <dc:title>绍兴文理学院计算机机房设备及录播系统供货项目</dc:title>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