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宋体" w:hAnsi="宋体"/>
          <w:kern w:val="28"/>
          <w:sz w:val="44"/>
          <w:szCs w:val="44"/>
        </w:rPr>
      </w:pPr>
      <w:bookmarkStart w:id="52" w:name="_GoBack"/>
      <w:bookmarkEnd w:id="52"/>
    </w:p>
    <w:p>
      <w:pPr>
        <w:spacing w:line="276" w:lineRule="auto"/>
        <w:jc w:val="center"/>
        <w:rPr>
          <w:rFonts w:hint="eastAsia" w:ascii="宋体" w:hAnsi="宋体"/>
          <w:kern w:val="28"/>
          <w:sz w:val="52"/>
          <w:szCs w:val="48"/>
        </w:rPr>
      </w:pPr>
      <w:r>
        <w:rPr>
          <w:rFonts w:hint="eastAsia" w:ascii="宋体" w:hAnsi="宋体"/>
          <w:kern w:val="28"/>
          <w:sz w:val="52"/>
          <w:szCs w:val="48"/>
        </w:rPr>
        <w:t>柯桥城区道路保洁服务项目</w:t>
      </w:r>
    </w:p>
    <w:p>
      <w:pPr>
        <w:spacing w:line="500" w:lineRule="exact"/>
        <w:rPr>
          <w:rFonts w:hint="eastAsia" w:ascii="宋体" w:hAnsi="宋体"/>
          <w:sz w:val="28"/>
          <w:szCs w:val="28"/>
        </w:rPr>
      </w:pPr>
    </w:p>
    <w:p>
      <w:pPr>
        <w:spacing w:line="500" w:lineRule="exact"/>
        <w:jc w:val="center"/>
        <w:rPr>
          <w:rFonts w:hint="eastAsia" w:ascii="宋体" w:hAnsi="宋体"/>
          <w:b/>
          <w:kern w:val="28"/>
          <w:sz w:val="28"/>
          <w:szCs w:val="28"/>
        </w:rPr>
      </w:pPr>
      <w:r>
        <w:rPr>
          <w:rFonts w:hint="eastAsia" w:ascii="宋体" w:hAnsi="宋体"/>
          <w:sz w:val="28"/>
          <w:szCs w:val="28"/>
        </w:rPr>
        <w:t>（采购编号：</w:t>
      </w:r>
      <w:r>
        <w:rPr>
          <w:rFonts w:hint="eastAsia" w:ascii="宋体" w:hAnsi="宋体"/>
          <w:sz w:val="28"/>
          <w:szCs w:val="28"/>
        </w:rPr>
        <w:fldChar w:fldCharType="begin"/>
      </w:r>
      <w:r>
        <w:rPr>
          <w:rFonts w:hint="eastAsia" w:ascii="宋体" w:hAnsi="宋体"/>
          <w:sz w:val="28"/>
          <w:szCs w:val="28"/>
        </w:rPr>
        <w:instrText xml:space="preserve"> HYPERLINK "https://pay.zcygov.cn/purchaseplan_front/" \l "/plan/apply/detail/1307823" </w:instrText>
      </w:r>
      <w:r>
        <w:rPr>
          <w:rFonts w:hint="eastAsia" w:ascii="宋体" w:hAnsi="宋体"/>
          <w:sz w:val="28"/>
          <w:szCs w:val="28"/>
        </w:rPr>
        <w:fldChar w:fldCharType="separate"/>
      </w:r>
      <w:r>
        <w:rPr>
          <w:rFonts w:hint="eastAsia" w:ascii="宋体" w:hAnsi="宋体"/>
          <w:sz w:val="28"/>
          <w:szCs w:val="28"/>
        </w:rPr>
        <w:t>绍柯采[2020]1172号</w:t>
      </w:r>
      <w:r>
        <w:rPr>
          <w:rFonts w:hint="eastAsia" w:ascii="宋体" w:hAnsi="宋体"/>
          <w:sz w:val="28"/>
          <w:szCs w:val="28"/>
        </w:rPr>
        <w:fldChar w:fldCharType="end"/>
      </w:r>
      <w:r>
        <w:rPr>
          <w:rFonts w:hint="eastAsia" w:ascii="宋体" w:hAnsi="宋体"/>
          <w:sz w:val="28"/>
          <w:szCs w:val="28"/>
        </w:rPr>
        <w:t xml:space="preserve"> ）</w:t>
      </w:r>
    </w:p>
    <w:p>
      <w:pPr>
        <w:spacing w:line="500" w:lineRule="exact"/>
        <w:jc w:val="center"/>
        <w:rPr>
          <w:rFonts w:hint="eastAsia" w:ascii="宋体" w:hAnsi="宋体"/>
          <w:b/>
          <w:kern w:val="28"/>
          <w:sz w:val="52"/>
          <w:szCs w:val="52"/>
        </w:rPr>
      </w:pPr>
    </w:p>
    <w:p>
      <w:pPr>
        <w:spacing w:line="500" w:lineRule="exact"/>
        <w:jc w:val="center"/>
        <w:rPr>
          <w:rFonts w:hint="eastAsia" w:ascii="宋体" w:hAnsi="宋体"/>
          <w:b/>
          <w:kern w:val="28"/>
          <w:sz w:val="52"/>
          <w:szCs w:val="52"/>
        </w:rPr>
      </w:pPr>
    </w:p>
    <w:p>
      <w:pPr>
        <w:pStyle w:val="16"/>
        <w:spacing w:line="360" w:lineRule="auto"/>
        <w:rPr>
          <w:rFonts w:hint="eastAsia" w:ascii="黑体" w:hAnsi="宋体" w:eastAsia="黑体"/>
          <w:b w:val="0"/>
          <w:sz w:val="72"/>
          <w:szCs w:val="72"/>
        </w:rPr>
      </w:pPr>
      <w:r>
        <w:rPr>
          <w:rFonts w:hint="eastAsia" w:ascii="黑体" w:hAnsi="宋体" w:eastAsia="黑体"/>
          <w:b w:val="0"/>
          <w:sz w:val="72"/>
          <w:szCs w:val="72"/>
        </w:rPr>
        <w:t>采</w:t>
      </w:r>
    </w:p>
    <w:p>
      <w:pPr>
        <w:pStyle w:val="16"/>
        <w:spacing w:line="360" w:lineRule="auto"/>
        <w:rPr>
          <w:rFonts w:hint="eastAsia" w:ascii="黑体" w:hAnsi="宋体" w:eastAsia="黑体"/>
          <w:b w:val="0"/>
          <w:sz w:val="72"/>
          <w:szCs w:val="72"/>
        </w:rPr>
      </w:pPr>
      <w:r>
        <w:rPr>
          <w:rFonts w:hint="eastAsia" w:ascii="黑体" w:hAnsi="宋体" w:eastAsia="黑体"/>
          <w:b w:val="0"/>
          <w:sz w:val="72"/>
          <w:szCs w:val="72"/>
        </w:rPr>
        <w:t>购</w:t>
      </w:r>
    </w:p>
    <w:p>
      <w:pPr>
        <w:pStyle w:val="16"/>
        <w:spacing w:line="360" w:lineRule="auto"/>
        <w:rPr>
          <w:rFonts w:hint="eastAsia" w:ascii="黑体" w:hAnsi="宋体" w:eastAsia="黑体"/>
          <w:b w:val="0"/>
          <w:sz w:val="72"/>
          <w:szCs w:val="72"/>
        </w:rPr>
      </w:pPr>
      <w:r>
        <w:rPr>
          <w:rFonts w:hint="eastAsia" w:ascii="黑体" w:hAnsi="宋体" w:eastAsia="黑体"/>
          <w:b w:val="0"/>
          <w:sz w:val="72"/>
          <w:szCs w:val="72"/>
        </w:rPr>
        <w:t>文</w:t>
      </w:r>
    </w:p>
    <w:p>
      <w:pPr>
        <w:pStyle w:val="16"/>
        <w:spacing w:line="360" w:lineRule="auto"/>
        <w:rPr>
          <w:rFonts w:hint="eastAsia" w:ascii="黑体" w:hAnsi="宋体" w:eastAsia="黑体"/>
          <w:b w:val="0"/>
          <w:sz w:val="72"/>
          <w:szCs w:val="72"/>
        </w:rPr>
      </w:pPr>
      <w:r>
        <w:rPr>
          <w:rFonts w:hint="eastAsia" w:ascii="黑体" w:hAnsi="宋体" w:eastAsia="黑体"/>
          <w:b w:val="0"/>
          <w:sz w:val="72"/>
          <w:szCs w:val="72"/>
        </w:rPr>
        <w:t>件</w:t>
      </w:r>
    </w:p>
    <w:p>
      <w:pPr>
        <w:snapToGrid w:val="0"/>
        <w:spacing w:line="500" w:lineRule="exact"/>
        <w:rPr>
          <w:rFonts w:hint="eastAsia" w:ascii="宋体" w:hAnsi="宋体"/>
          <w:b/>
          <w:sz w:val="32"/>
          <w:szCs w:val="32"/>
        </w:rPr>
      </w:pPr>
    </w:p>
    <w:p>
      <w:pPr>
        <w:snapToGrid w:val="0"/>
        <w:spacing w:line="500" w:lineRule="exact"/>
        <w:rPr>
          <w:rFonts w:hint="eastAsia" w:ascii="宋体" w:hAnsi="宋体"/>
          <w:b/>
          <w:sz w:val="32"/>
          <w:szCs w:val="32"/>
          <w:u w:val="single"/>
        </w:rPr>
      </w:pPr>
    </w:p>
    <w:p>
      <w:pPr>
        <w:snapToGrid w:val="0"/>
        <w:spacing w:line="360" w:lineRule="auto"/>
        <w:jc w:val="center"/>
        <w:rPr>
          <w:rFonts w:hint="eastAsia" w:ascii="宋体" w:hAnsi="宋体"/>
          <w:sz w:val="32"/>
          <w:szCs w:val="32"/>
        </w:rPr>
      </w:pPr>
      <w:r>
        <w:rPr>
          <w:rFonts w:hint="eastAsia" w:ascii="宋体" w:hAnsi="宋体"/>
          <w:sz w:val="32"/>
          <w:szCs w:val="32"/>
        </w:rPr>
        <w:t xml:space="preserve"> 采购人：</w:t>
      </w:r>
      <w:r>
        <w:rPr>
          <w:rFonts w:hint="eastAsia" w:ascii="宋体" w:hAnsi="宋体"/>
          <w:sz w:val="32"/>
          <w:szCs w:val="32"/>
          <w:u w:val="single"/>
        </w:rPr>
        <w:t>绍兴市柯桥区市容环境卫生管理中心</w:t>
      </w:r>
      <w:r>
        <w:rPr>
          <w:rFonts w:hint="eastAsia" w:ascii="宋体" w:hAnsi="宋体"/>
          <w:sz w:val="32"/>
          <w:szCs w:val="32"/>
        </w:rPr>
        <w:t>（盖章）</w:t>
      </w:r>
    </w:p>
    <w:p>
      <w:pPr>
        <w:snapToGrid w:val="0"/>
        <w:spacing w:line="360" w:lineRule="auto"/>
        <w:rPr>
          <w:rFonts w:hint="eastAsia" w:ascii="宋体" w:hAnsi="宋体"/>
          <w:sz w:val="32"/>
          <w:szCs w:val="32"/>
        </w:rPr>
      </w:pPr>
      <w:r>
        <w:rPr>
          <w:rFonts w:hint="eastAsia" w:ascii="宋体" w:hAnsi="宋体"/>
          <w:sz w:val="32"/>
          <w:szCs w:val="32"/>
        </w:rPr>
        <w:t>采购代理机构：</w:t>
      </w:r>
      <w:r>
        <w:rPr>
          <w:rFonts w:hint="eastAsia" w:ascii="宋体" w:hAnsi="宋体"/>
          <w:sz w:val="32"/>
          <w:szCs w:val="32"/>
          <w:u w:val="single"/>
        </w:rPr>
        <w:t>绍兴市柯桥区公共资源交易中心</w:t>
      </w:r>
    </w:p>
    <w:p>
      <w:pPr>
        <w:snapToGrid w:val="0"/>
        <w:spacing w:line="360" w:lineRule="auto"/>
        <w:ind w:firstLine="2240" w:firstLineChars="700"/>
        <w:rPr>
          <w:rFonts w:hint="eastAsia" w:ascii="宋体" w:hAnsi="宋体"/>
          <w:sz w:val="32"/>
          <w:szCs w:val="32"/>
        </w:rPr>
      </w:pPr>
      <w:r>
        <w:rPr>
          <w:rFonts w:hint="eastAsia" w:ascii="宋体" w:hAnsi="宋体"/>
          <w:sz w:val="32"/>
          <w:szCs w:val="32"/>
          <w:u w:val="single"/>
        </w:rPr>
        <w:t xml:space="preserve">绍兴市鼎正建设工程咨询有限公司 </w:t>
      </w:r>
      <w:r>
        <w:rPr>
          <w:rFonts w:hint="eastAsia" w:ascii="宋体" w:hAnsi="宋体"/>
          <w:sz w:val="32"/>
          <w:szCs w:val="32"/>
        </w:rPr>
        <w:t>（盖章）</w:t>
      </w:r>
    </w:p>
    <w:p>
      <w:pPr>
        <w:snapToGrid w:val="0"/>
        <w:spacing w:line="360" w:lineRule="auto"/>
        <w:jc w:val="center"/>
        <w:rPr>
          <w:rFonts w:hint="eastAsia" w:ascii="宋体" w:hAnsi="宋体"/>
          <w:sz w:val="36"/>
        </w:rPr>
      </w:pPr>
      <w:r>
        <w:rPr>
          <w:rFonts w:hint="eastAsia" w:ascii="宋体" w:hAnsi="宋体"/>
          <w:sz w:val="36"/>
        </w:rPr>
        <w:t>2020年6月</w:t>
      </w:r>
    </w:p>
    <w:p>
      <w:pPr>
        <w:tabs>
          <w:tab w:val="left" w:pos="7165"/>
        </w:tabs>
        <w:snapToGrid w:val="0"/>
        <w:spacing w:line="500" w:lineRule="exact"/>
        <w:rPr>
          <w:rFonts w:ascii="宋体" w:hAnsi="宋体"/>
          <w:sz w:val="44"/>
        </w:rPr>
        <w:sectPr>
          <w:headerReference r:id="rId5" w:type="first"/>
          <w:footerReference r:id="rId8" w:type="first"/>
          <w:headerReference r:id="rId3" w:type="default"/>
          <w:footerReference r:id="rId6" w:type="default"/>
          <w:headerReference r:id="rId4" w:type="even"/>
          <w:footerReference r:id="rId7" w:type="even"/>
          <w:pgSz w:w="11907" w:h="16840"/>
          <w:pgMar w:top="1134" w:right="1275" w:bottom="1134" w:left="1701" w:header="567" w:footer="567" w:gutter="0"/>
          <w:cols w:space="720" w:num="1"/>
          <w:titlePg/>
          <w:docGrid w:linePitch="286" w:charSpace="0"/>
        </w:sectPr>
      </w:pPr>
    </w:p>
    <w:p>
      <w:pPr>
        <w:tabs>
          <w:tab w:val="left" w:pos="7165"/>
        </w:tabs>
        <w:snapToGrid w:val="0"/>
        <w:spacing w:line="500" w:lineRule="exact"/>
        <w:jc w:val="center"/>
        <w:rPr>
          <w:rFonts w:hint="eastAsia" w:ascii="宋体" w:hAnsi="宋体"/>
          <w:sz w:val="44"/>
        </w:rPr>
      </w:pPr>
    </w:p>
    <w:p>
      <w:pPr>
        <w:tabs>
          <w:tab w:val="left" w:pos="7165"/>
        </w:tabs>
        <w:snapToGrid w:val="0"/>
        <w:spacing w:line="500" w:lineRule="exact"/>
        <w:jc w:val="center"/>
        <w:rPr>
          <w:rFonts w:ascii="宋体" w:hAnsi="宋体"/>
          <w:sz w:val="44"/>
        </w:rPr>
      </w:pPr>
      <w:r>
        <w:rPr>
          <w:rFonts w:ascii="宋体" w:hAnsi="宋体"/>
          <w:sz w:val="44"/>
        </w:rPr>
        <w:t>目  录</w:t>
      </w:r>
    </w:p>
    <w:p>
      <w:pPr>
        <w:tabs>
          <w:tab w:val="left" w:pos="7165"/>
        </w:tabs>
        <w:snapToGrid w:val="0"/>
        <w:spacing w:line="500" w:lineRule="exact"/>
        <w:jc w:val="center"/>
        <w:rPr>
          <w:rFonts w:ascii="宋体" w:hAnsi="宋体"/>
          <w:sz w:val="44"/>
        </w:rPr>
      </w:pPr>
    </w:p>
    <w:p>
      <w:pPr>
        <w:pStyle w:val="29"/>
        <w:tabs>
          <w:tab w:val="right" w:leader="dot" w:pos="9345"/>
        </w:tabs>
        <w:spacing w:line="500" w:lineRule="exact"/>
        <w:rPr>
          <w:rFonts w:ascii="Calibri" w:hAnsi="Calibri"/>
          <w:color w:val="auto"/>
          <w:kern w:val="2"/>
          <w:szCs w:val="22"/>
          <w:u w:val="none" w:color="auto"/>
          <w:lang/>
        </w:rPr>
      </w:pPr>
      <w:r>
        <w:rPr>
          <w:rFonts w:ascii="宋体" w:hAnsi="宋体"/>
          <w:color w:val="auto"/>
          <w:szCs w:val="21"/>
        </w:rPr>
        <w:fldChar w:fldCharType="begin"/>
      </w:r>
      <w:r>
        <w:rPr>
          <w:rFonts w:ascii="宋体" w:hAnsi="宋体"/>
          <w:color w:val="auto"/>
          <w:szCs w:val="21"/>
        </w:rPr>
        <w:instrText xml:space="preserve"> </w:instrText>
      </w:r>
      <w:r>
        <w:rPr>
          <w:rFonts w:hint="eastAsia" w:ascii="宋体" w:hAnsi="宋体"/>
          <w:color w:val="auto"/>
          <w:szCs w:val="21"/>
        </w:rPr>
        <w:instrText xml:space="preserve">TOC \o "1-1" \h \z \u</w:instrText>
      </w:r>
      <w:r>
        <w:rPr>
          <w:rFonts w:ascii="宋体" w:hAnsi="宋体"/>
          <w:color w:val="auto"/>
          <w:szCs w:val="21"/>
        </w:rPr>
        <w:instrText xml:space="preserve"> </w:instrText>
      </w:r>
      <w:r>
        <w:rPr>
          <w:rFonts w:ascii="宋体" w:hAnsi="宋体"/>
          <w:color w:val="auto"/>
          <w:szCs w:val="21"/>
        </w:rPr>
        <w:fldChar w:fldCharType="separate"/>
      </w:r>
      <w:r>
        <w:rPr>
          <w:color w:val="auto"/>
          <w:lang/>
        </w:rPr>
        <w:fldChar w:fldCharType="begin"/>
      </w:r>
      <w:r>
        <w:rPr>
          <w:rStyle w:val="47"/>
          <w:rFonts w:hint="default"/>
          <w:color w:val="auto"/>
          <w:lang/>
        </w:rPr>
        <w:instrText xml:space="preserve"> </w:instrText>
      </w:r>
      <w:r>
        <w:rPr>
          <w:color w:val="auto"/>
          <w:lang/>
        </w:rPr>
        <w:instrText xml:space="preserve">HYPERLINK \l "_Toc25589248"</w:instrText>
      </w:r>
      <w:r>
        <w:rPr>
          <w:rStyle w:val="47"/>
          <w:rFonts w:hint="default"/>
          <w:color w:val="auto"/>
          <w:lang/>
        </w:rPr>
        <w:instrText xml:space="preserve"> </w:instrText>
      </w:r>
      <w:r>
        <w:rPr>
          <w:color w:val="auto"/>
          <w:lang/>
        </w:rPr>
        <w:fldChar w:fldCharType="separate"/>
      </w:r>
      <w:r>
        <w:rPr>
          <w:rStyle w:val="47"/>
          <w:rFonts w:hint="default"/>
          <w:color w:val="auto"/>
          <w:lang/>
        </w:rPr>
        <w:t>关于柯桥城区道路保洁服务项目</w:t>
      </w:r>
      <w:r>
        <w:rPr>
          <w:rStyle w:val="47"/>
          <w:rFonts w:hint="default" w:cs="Tahoma"/>
          <w:color w:val="auto"/>
          <w:spacing w:val="-9"/>
          <w:lang/>
        </w:rPr>
        <w:t>的采购</w:t>
      </w:r>
      <w:r>
        <w:rPr>
          <w:rStyle w:val="47"/>
          <w:rFonts w:hint="default"/>
          <w:color w:val="auto"/>
          <w:spacing w:val="-9"/>
          <w:lang/>
        </w:rPr>
        <w:t>公告</w:t>
      </w:r>
      <w:r>
        <w:rPr>
          <w:color w:val="auto"/>
          <w:lang/>
        </w:rPr>
        <w:tab/>
      </w:r>
      <w:r>
        <w:rPr>
          <w:rFonts w:hint="eastAsia"/>
          <w:color w:val="auto"/>
          <w:lang/>
        </w:rPr>
        <w:t>3</w:t>
      </w:r>
      <w:r>
        <w:rPr>
          <w:color w:val="auto"/>
          <w:lang/>
        </w:rPr>
        <w:fldChar w:fldCharType="end"/>
      </w:r>
    </w:p>
    <w:p>
      <w:pPr>
        <w:pStyle w:val="29"/>
        <w:tabs>
          <w:tab w:val="right" w:leader="dot" w:pos="9345"/>
        </w:tabs>
        <w:spacing w:line="500" w:lineRule="exact"/>
        <w:rPr>
          <w:rFonts w:ascii="Calibri" w:hAnsi="Calibri"/>
          <w:color w:val="auto"/>
          <w:kern w:val="2"/>
          <w:szCs w:val="22"/>
          <w:u w:val="none" w:color="auto"/>
          <w:lang/>
        </w:rPr>
      </w:pPr>
      <w:r>
        <w:rPr>
          <w:color w:val="auto"/>
          <w:lang/>
        </w:rPr>
        <w:fldChar w:fldCharType="begin"/>
      </w:r>
      <w:r>
        <w:rPr>
          <w:rStyle w:val="47"/>
          <w:rFonts w:hint="default"/>
          <w:color w:val="auto"/>
          <w:lang/>
        </w:rPr>
        <w:instrText xml:space="preserve"> </w:instrText>
      </w:r>
      <w:r>
        <w:rPr>
          <w:color w:val="auto"/>
          <w:lang/>
        </w:rPr>
        <w:instrText xml:space="preserve">HYPERLINK \l "_Toc25589249"</w:instrText>
      </w:r>
      <w:r>
        <w:rPr>
          <w:rStyle w:val="47"/>
          <w:rFonts w:hint="default"/>
          <w:color w:val="auto"/>
          <w:lang/>
        </w:rPr>
        <w:instrText xml:space="preserve"> </w:instrText>
      </w:r>
      <w:r>
        <w:rPr>
          <w:color w:val="auto"/>
          <w:lang/>
        </w:rPr>
        <w:fldChar w:fldCharType="separate"/>
      </w:r>
      <w:r>
        <w:rPr>
          <w:rStyle w:val="47"/>
          <w:rFonts w:hint="default"/>
          <w:color w:val="auto"/>
          <w:lang/>
        </w:rPr>
        <w:t>一、前附表</w:t>
      </w:r>
      <w:r>
        <w:rPr>
          <w:color w:val="auto"/>
          <w:lang/>
        </w:rPr>
        <w:tab/>
      </w:r>
      <w:r>
        <w:rPr>
          <w:rFonts w:hint="eastAsia"/>
          <w:color w:val="auto"/>
          <w:lang/>
        </w:rPr>
        <w:t>6</w:t>
      </w:r>
      <w:r>
        <w:rPr>
          <w:color w:val="auto"/>
          <w:lang/>
        </w:rPr>
        <w:fldChar w:fldCharType="end"/>
      </w:r>
    </w:p>
    <w:p>
      <w:pPr>
        <w:pStyle w:val="29"/>
        <w:tabs>
          <w:tab w:val="right" w:leader="dot" w:pos="9345"/>
        </w:tabs>
        <w:spacing w:line="500" w:lineRule="exact"/>
        <w:rPr>
          <w:rFonts w:ascii="Calibri" w:hAnsi="Calibri"/>
          <w:color w:val="auto"/>
          <w:kern w:val="2"/>
          <w:szCs w:val="22"/>
          <w:u w:val="none" w:color="auto"/>
          <w:lang/>
        </w:rPr>
      </w:pPr>
      <w:r>
        <w:rPr>
          <w:color w:val="auto"/>
          <w:lang/>
        </w:rPr>
        <w:fldChar w:fldCharType="begin"/>
      </w:r>
      <w:r>
        <w:rPr>
          <w:rStyle w:val="47"/>
          <w:rFonts w:hint="default"/>
          <w:color w:val="auto"/>
          <w:lang/>
        </w:rPr>
        <w:instrText xml:space="preserve"> </w:instrText>
      </w:r>
      <w:r>
        <w:rPr>
          <w:color w:val="auto"/>
          <w:lang/>
        </w:rPr>
        <w:instrText xml:space="preserve">HYPERLINK \l "_Toc25589250"</w:instrText>
      </w:r>
      <w:r>
        <w:rPr>
          <w:rStyle w:val="47"/>
          <w:rFonts w:hint="default"/>
          <w:color w:val="auto"/>
          <w:lang/>
        </w:rPr>
        <w:instrText xml:space="preserve"> </w:instrText>
      </w:r>
      <w:r>
        <w:rPr>
          <w:color w:val="auto"/>
          <w:lang/>
        </w:rPr>
        <w:fldChar w:fldCharType="separate"/>
      </w:r>
      <w:r>
        <w:rPr>
          <w:rStyle w:val="47"/>
          <w:rFonts w:hint="default"/>
          <w:color w:val="auto"/>
          <w:lang/>
        </w:rPr>
        <w:t>二、供应商须知</w:t>
      </w:r>
      <w:r>
        <w:rPr>
          <w:color w:val="auto"/>
          <w:lang/>
        </w:rPr>
        <w:tab/>
      </w:r>
      <w:r>
        <w:rPr>
          <w:rFonts w:hint="eastAsia"/>
          <w:color w:val="auto"/>
          <w:lang/>
        </w:rPr>
        <w:t>8</w:t>
      </w:r>
      <w:r>
        <w:rPr>
          <w:color w:val="auto"/>
          <w:lang/>
        </w:rPr>
        <w:fldChar w:fldCharType="end"/>
      </w:r>
    </w:p>
    <w:p>
      <w:pPr>
        <w:pStyle w:val="29"/>
        <w:tabs>
          <w:tab w:val="right" w:leader="dot" w:pos="9345"/>
        </w:tabs>
        <w:spacing w:line="500" w:lineRule="exact"/>
        <w:rPr>
          <w:rFonts w:ascii="Calibri" w:hAnsi="Calibri"/>
          <w:color w:val="auto"/>
          <w:kern w:val="2"/>
          <w:szCs w:val="22"/>
          <w:u w:val="none" w:color="auto"/>
          <w:lang/>
        </w:rPr>
      </w:pPr>
      <w:r>
        <w:rPr>
          <w:color w:val="auto"/>
          <w:lang/>
        </w:rPr>
        <w:fldChar w:fldCharType="begin"/>
      </w:r>
      <w:r>
        <w:rPr>
          <w:rStyle w:val="47"/>
          <w:rFonts w:hint="default"/>
          <w:color w:val="auto"/>
          <w:lang/>
        </w:rPr>
        <w:instrText xml:space="preserve"> </w:instrText>
      </w:r>
      <w:r>
        <w:rPr>
          <w:color w:val="auto"/>
          <w:lang/>
        </w:rPr>
        <w:instrText xml:space="preserve">HYPERLINK \l "_Toc25589251"</w:instrText>
      </w:r>
      <w:r>
        <w:rPr>
          <w:rStyle w:val="47"/>
          <w:rFonts w:hint="default"/>
          <w:color w:val="auto"/>
          <w:lang/>
        </w:rPr>
        <w:instrText xml:space="preserve"> </w:instrText>
      </w:r>
      <w:r>
        <w:rPr>
          <w:color w:val="auto"/>
          <w:lang/>
        </w:rPr>
        <w:fldChar w:fldCharType="separate"/>
      </w:r>
      <w:r>
        <w:rPr>
          <w:rStyle w:val="47"/>
          <w:rFonts w:hint="default"/>
          <w:color w:val="auto"/>
          <w:lang/>
        </w:rPr>
        <w:t>三、供应商应当提交的资格、资信证明文件</w:t>
      </w:r>
      <w:r>
        <w:rPr>
          <w:color w:val="auto"/>
          <w:lang/>
        </w:rPr>
        <w:tab/>
      </w:r>
      <w:r>
        <w:rPr>
          <w:rFonts w:hint="eastAsia"/>
          <w:color w:val="auto"/>
          <w:lang/>
        </w:rPr>
        <w:t>11</w:t>
      </w:r>
      <w:r>
        <w:rPr>
          <w:color w:val="auto"/>
          <w:lang/>
        </w:rPr>
        <w:fldChar w:fldCharType="end"/>
      </w:r>
    </w:p>
    <w:p>
      <w:pPr>
        <w:pStyle w:val="29"/>
        <w:tabs>
          <w:tab w:val="right" w:leader="dot" w:pos="9345"/>
        </w:tabs>
        <w:spacing w:line="500" w:lineRule="exact"/>
        <w:rPr>
          <w:rFonts w:ascii="Calibri" w:hAnsi="Calibri"/>
          <w:color w:val="auto"/>
          <w:kern w:val="2"/>
          <w:szCs w:val="22"/>
          <w:u w:val="none" w:color="auto"/>
          <w:lang/>
        </w:rPr>
      </w:pPr>
      <w:r>
        <w:rPr>
          <w:color w:val="auto"/>
          <w:lang/>
        </w:rPr>
        <w:fldChar w:fldCharType="begin"/>
      </w:r>
      <w:r>
        <w:rPr>
          <w:rStyle w:val="47"/>
          <w:rFonts w:hint="default"/>
          <w:color w:val="auto"/>
          <w:lang/>
        </w:rPr>
        <w:instrText xml:space="preserve"> </w:instrText>
      </w:r>
      <w:r>
        <w:rPr>
          <w:color w:val="auto"/>
          <w:lang/>
        </w:rPr>
        <w:instrText xml:space="preserve">HYPERLINK \l "_Toc25589252"</w:instrText>
      </w:r>
      <w:r>
        <w:rPr>
          <w:rStyle w:val="47"/>
          <w:rFonts w:hint="default"/>
          <w:color w:val="auto"/>
          <w:lang/>
        </w:rPr>
        <w:instrText xml:space="preserve"> </w:instrText>
      </w:r>
      <w:r>
        <w:rPr>
          <w:color w:val="auto"/>
          <w:lang/>
        </w:rPr>
        <w:fldChar w:fldCharType="separate"/>
      </w:r>
      <w:r>
        <w:rPr>
          <w:rStyle w:val="47"/>
          <w:rFonts w:hint="default"/>
          <w:color w:val="auto"/>
          <w:lang/>
        </w:rPr>
        <w:t>四、投标报价要求、投标文件编制要求和投标保证金交纳方式</w:t>
      </w:r>
      <w:r>
        <w:rPr>
          <w:color w:val="auto"/>
          <w:lang/>
        </w:rPr>
        <w:tab/>
      </w:r>
      <w:r>
        <w:rPr>
          <w:rFonts w:hint="eastAsia"/>
          <w:color w:val="auto"/>
          <w:lang/>
        </w:rPr>
        <w:t>11</w:t>
      </w:r>
      <w:r>
        <w:rPr>
          <w:color w:val="auto"/>
          <w:lang/>
        </w:rPr>
        <w:fldChar w:fldCharType="end"/>
      </w:r>
    </w:p>
    <w:p>
      <w:pPr>
        <w:pStyle w:val="29"/>
        <w:tabs>
          <w:tab w:val="right" w:leader="dot" w:pos="9345"/>
        </w:tabs>
        <w:spacing w:line="500" w:lineRule="exact"/>
        <w:rPr>
          <w:rFonts w:ascii="Calibri" w:hAnsi="Calibri"/>
          <w:color w:val="auto"/>
          <w:kern w:val="2"/>
          <w:szCs w:val="22"/>
          <w:u w:val="none" w:color="auto"/>
          <w:lang/>
        </w:rPr>
      </w:pPr>
      <w:r>
        <w:rPr>
          <w:color w:val="auto"/>
          <w:lang/>
        </w:rPr>
        <w:fldChar w:fldCharType="begin"/>
      </w:r>
      <w:r>
        <w:rPr>
          <w:rStyle w:val="47"/>
          <w:rFonts w:hint="default"/>
          <w:color w:val="auto"/>
          <w:lang/>
        </w:rPr>
        <w:instrText xml:space="preserve"> </w:instrText>
      </w:r>
      <w:r>
        <w:rPr>
          <w:color w:val="auto"/>
          <w:lang/>
        </w:rPr>
        <w:instrText xml:space="preserve">HYPERLINK \l "_Toc25589253"</w:instrText>
      </w:r>
      <w:r>
        <w:rPr>
          <w:rStyle w:val="47"/>
          <w:rFonts w:hint="default"/>
          <w:color w:val="auto"/>
          <w:lang/>
        </w:rPr>
        <w:instrText xml:space="preserve"> </w:instrText>
      </w:r>
      <w:r>
        <w:rPr>
          <w:color w:val="auto"/>
          <w:lang/>
        </w:rPr>
        <w:fldChar w:fldCharType="separate"/>
      </w:r>
      <w:r>
        <w:rPr>
          <w:rStyle w:val="47"/>
          <w:rFonts w:hint="default"/>
          <w:color w:val="auto"/>
          <w:lang/>
        </w:rPr>
        <w:t>五、招标项目的技术规格和要求</w:t>
      </w:r>
      <w:r>
        <w:rPr>
          <w:color w:val="auto"/>
          <w:lang/>
        </w:rPr>
        <w:tab/>
      </w:r>
      <w:r>
        <w:rPr>
          <w:rFonts w:hint="eastAsia"/>
          <w:color w:val="auto"/>
          <w:lang/>
        </w:rPr>
        <w:t>12</w:t>
      </w:r>
      <w:r>
        <w:rPr>
          <w:color w:val="auto"/>
          <w:lang/>
        </w:rPr>
        <w:fldChar w:fldCharType="end"/>
      </w:r>
    </w:p>
    <w:p>
      <w:pPr>
        <w:pStyle w:val="29"/>
        <w:tabs>
          <w:tab w:val="right" w:leader="dot" w:pos="9345"/>
        </w:tabs>
        <w:spacing w:line="500" w:lineRule="exact"/>
        <w:rPr>
          <w:rFonts w:ascii="Calibri" w:hAnsi="Calibri"/>
          <w:color w:val="auto"/>
          <w:kern w:val="2"/>
          <w:szCs w:val="22"/>
          <w:u w:val="none" w:color="auto"/>
          <w:lang/>
        </w:rPr>
      </w:pPr>
      <w:r>
        <w:rPr>
          <w:color w:val="auto"/>
          <w:lang/>
        </w:rPr>
        <w:fldChar w:fldCharType="begin"/>
      </w:r>
      <w:r>
        <w:rPr>
          <w:rStyle w:val="47"/>
          <w:rFonts w:hint="default"/>
          <w:color w:val="auto"/>
          <w:lang/>
        </w:rPr>
        <w:instrText xml:space="preserve"> </w:instrText>
      </w:r>
      <w:r>
        <w:rPr>
          <w:color w:val="auto"/>
          <w:lang/>
        </w:rPr>
        <w:instrText xml:space="preserve">HYPERLINK \l "_Toc25589254"</w:instrText>
      </w:r>
      <w:r>
        <w:rPr>
          <w:rStyle w:val="47"/>
          <w:rFonts w:hint="default"/>
          <w:color w:val="auto"/>
          <w:lang/>
        </w:rPr>
        <w:instrText xml:space="preserve"> </w:instrText>
      </w:r>
      <w:r>
        <w:rPr>
          <w:color w:val="auto"/>
          <w:lang/>
        </w:rPr>
        <w:fldChar w:fldCharType="separate"/>
      </w:r>
      <w:r>
        <w:rPr>
          <w:rStyle w:val="47"/>
          <w:rFonts w:hint="default"/>
          <w:color w:val="auto"/>
          <w:lang/>
        </w:rPr>
        <w:t>六、合同主要条款及合同签订方式</w:t>
      </w:r>
      <w:r>
        <w:rPr>
          <w:color w:val="auto"/>
          <w:lang/>
        </w:rPr>
        <w:tab/>
      </w:r>
      <w:r>
        <w:rPr>
          <w:rFonts w:hint="eastAsia"/>
          <w:color w:val="auto"/>
          <w:lang/>
        </w:rPr>
        <w:t>15</w:t>
      </w:r>
      <w:r>
        <w:rPr>
          <w:color w:val="auto"/>
          <w:lang/>
        </w:rPr>
        <w:fldChar w:fldCharType="end"/>
      </w:r>
    </w:p>
    <w:p>
      <w:pPr>
        <w:pStyle w:val="29"/>
        <w:tabs>
          <w:tab w:val="right" w:leader="dot" w:pos="9345"/>
        </w:tabs>
        <w:spacing w:line="500" w:lineRule="exact"/>
        <w:rPr>
          <w:rFonts w:ascii="Calibri" w:hAnsi="Calibri"/>
          <w:color w:val="auto"/>
          <w:kern w:val="2"/>
          <w:szCs w:val="22"/>
          <w:u w:val="none" w:color="auto"/>
          <w:lang/>
        </w:rPr>
      </w:pPr>
      <w:r>
        <w:rPr>
          <w:color w:val="auto"/>
          <w:lang/>
        </w:rPr>
        <w:fldChar w:fldCharType="begin"/>
      </w:r>
      <w:r>
        <w:rPr>
          <w:rStyle w:val="47"/>
          <w:rFonts w:hint="default"/>
          <w:color w:val="auto"/>
          <w:lang/>
        </w:rPr>
        <w:instrText xml:space="preserve"> </w:instrText>
      </w:r>
      <w:r>
        <w:rPr>
          <w:color w:val="auto"/>
          <w:lang/>
        </w:rPr>
        <w:instrText xml:space="preserve">HYPERLINK \l "_Toc25589255"</w:instrText>
      </w:r>
      <w:r>
        <w:rPr>
          <w:rStyle w:val="47"/>
          <w:rFonts w:hint="default"/>
          <w:color w:val="auto"/>
          <w:lang/>
        </w:rPr>
        <w:instrText xml:space="preserve"> </w:instrText>
      </w:r>
      <w:r>
        <w:rPr>
          <w:color w:val="auto"/>
          <w:lang/>
        </w:rPr>
        <w:fldChar w:fldCharType="separate"/>
      </w:r>
      <w:r>
        <w:rPr>
          <w:rStyle w:val="47"/>
          <w:rFonts w:hint="default"/>
          <w:color w:val="auto"/>
          <w:lang/>
        </w:rPr>
        <w:t>七、</w:t>
      </w:r>
      <w:r>
        <w:rPr>
          <w:rStyle w:val="47"/>
          <w:rFonts w:hint="default"/>
          <w:color w:val="auto"/>
          <w:kern w:val="44"/>
          <w:lang/>
        </w:rPr>
        <w:t>提供服务的时间和期限</w:t>
      </w:r>
      <w:r>
        <w:rPr>
          <w:color w:val="auto"/>
          <w:lang/>
        </w:rPr>
        <w:tab/>
      </w:r>
      <w:r>
        <w:rPr>
          <w:rFonts w:hint="eastAsia"/>
          <w:color w:val="auto"/>
          <w:lang/>
        </w:rPr>
        <w:t>17</w:t>
      </w:r>
      <w:r>
        <w:rPr>
          <w:color w:val="auto"/>
          <w:lang/>
        </w:rPr>
        <w:fldChar w:fldCharType="end"/>
      </w:r>
    </w:p>
    <w:p>
      <w:pPr>
        <w:pStyle w:val="29"/>
        <w:tabs>
          <w:tab w:val="right" w:leader="dot" w:pos="9345"/>
        </w:tabs>
        <w:spacing w:line="500" w:lineRule="exact"/>
        <w:rPr>
          <w:rFonts w:ascii="Calibri" w:hAnsi="Calibri"/>
          <w:color w:val="auto"/>
          <w:kern w:val="2"/>
          <w:szCs w:val="22"/>
          <w:u w:val="none" w:color="auto"/>
          <w:lang/>
        </w:rPr>
      </w:pPr>
      <w:r>
        <w:rPr>
          <w:color w:val="auto"/>
          <w:lang/>
        </w:rPr>
        <w:fldChar w:fldCharType="begin"/>
      </w:r>
      <w:r>
        <w:rPr>
          <w:rStyle w:val="47"/>
          <w:rFonts w:hint="default"/>
          <w:color w:val="auto"/>
          <w:lang/>
        </w:rPr>
        <w:instrText xml:space="preserve"> </w:instrText>
      </w:r>
      <w:r>
        <w:rPr>
          <w:color w:val="auto"/>
          <w:lang/>
        </w:rPr>
        <w:instrText xml:space="preserve">HYPERLINK \l "_Toc25589256"</w:instrText>
      </w:r>
      <w:r>
        <w:rPr>
          <w:rStyle w:val="47"/>
          <w:rFonts w:hint="default"/>
          <w:color w:val="auto"/>
          <w:lang/>
        </w:rPr>
        <w:instrText xml:space="preserve"> </w:instrText>
      </w:r>
      <w:r>
        <w:rPr>
          <w:color w:val="auto"/>
          <w:lang/>
        </w:rPr>
        <w:fldChar w:fldCharType="separate"/>
      </w:r>
      <w:r>
        <w:rPr>
          <w:rStyle w:val="47"/>
          <w:rFonts w:hint="default"/>
          <w:color w:val="auto"/>
          <w:lang/>
        </w:rPr>
        <w:t>八、评标方法、评标标准和废标条款</w:t>
      </w:r>
      <w:r>
        <w:rPr>
          <w:color w:val="auto"/>
          <w:lang/>
        </w:rPr>
        <w:tab/>
      </w:r>
      <w:r>
        <w:rPr>
          <w:rFonts w:hint="eastAsia"/>
          <w:color w:val="auto"/>
          <w:lang/>
        </w:rPr>
        <w:t>18</w:t>
      </w:r>
      <w:r>
        <w:rPr>
          <w:color w:val="auto"/>
          <w:lang/>
        </w:rPr>
        <w:fldChar w:fldCharType="end"/>
      </w:r>
    </w:p>
    <w:p>
      <w:pPr>
        <w:pStyle w:val="29"/>
        <w:tabs>
          <w:tab w:val="right" w:leader="dot" w:pos="9345"/>
        </w:tabs>
        <w:spacing w:line="500" w:lineRule="exact"/>
        <w:rPr>
          <w:rFonts w:ascii="Calibri" w:hAnsi="Calibri"/>
          <w:color w:val="auto"/>
          <w:kern w:val="2"/>
          <w:szCs w:val="22"/>
          <w:u w:val="none" w:color="auto"/>
          <w:lang/>
        </w:rPr>
      </w:pPr>
      <w:r>
        <w:rPr>
          <w:color w:val="auto"/>
          <w:lang/>
        </w:rPr>
        <w:fldChar w:fldCharType="begin"/>
      </w:r>
      <w:r>
        <w:rPr>
          <w:rStyle w:val="47"/>
          <w:rFonts w:hint="default"/>
          <w:color w:val="auto"/>
          <w:lang/>
        </w:rPr>
        <w:instrText xml:space="preserve"> </w:instrText>
      </w:r>
      <w:r>
        <w:rPr>
          <w:color w:val="auto"/>
          <w:lang/>
        </w:rPr>
        <w:instrText xml:space="preserve">HYPERLINK \l "_Toc25589257"</w:instrText>
      </w:r>
      <w:r>
        <w:rPr>
          <w:rStyle w:val="47"/>
          <w:rFonts w:hint="default"/>
          <w:color w:val="auto"/>
          <w:lang/>
        </w:rPr>
        <w:instrText xml:space="preserve"> </w:instrText>
      </w:r>
      <w:r>
        <w:rPr>
          <w:color w:val="auto"/>
          <w:lang/>
        </w:rPr>
        <w:fldChar w:fldCharType="separate"/>
      </w:r>
      <w:r>
        <w:rPr>
          <w:rStyle w:val="47"/>
          <w:rFonts w:hint="default"/>
          <w:color w:val="auto"/>
          <w:lang/>
        </w:rPr>
        <w:t>九、投标截止时间、开标时间及地点</w:t>
      </w:r>
      <w:r>
        <w:rPr>
          <w:color w:val="auto"/>
          <w:lang/>
        </w:rPr>
        <w:tab/>
      </w:r>
      <w:r>
        <w:rPr>
          <w:rFonts w:hint="eastAsia"/>
          <w:color w:val="auto"/>
          <w:lang/>
        </w:rPr>
        <w:t>20</w:t>
      </w:r>
      <w:r>
        <w:rPr>
          <w:color w:val="auto"/>
          <w:lang/>
        </w:rPr>
        <w:fldChar w:fldCharType="end"/>
      </w:r>
    </w:p>
    <w:p>
      <w:pPr>
        <w:pStyle w:val="29"/>
        <w:tabs>
          <w:tab w:val="right" w:leader="dot" w:pos="9345"/>
        </w:tabs>
        <w:spacing w:line="500" w:lineRule="exact"/>
        <w:rPr>
          <w:rFonts w:ascii="Calibri" w:hAnsi="Calibri"/>
          <w:color w:val="auto"/>
          <w:kern w:val="2"/>
          <w:szCs w:val="22"/>
          <w:u w:val="none" w:color="auto"/>
          <w:lang/>
        </w:rPr>
      </w:pPr>
      <w:r>
        <w:rPr>
          <w:color w:val="auto"/>
          <w:lang/>
        </w:rPr>
        <w:fldChar w:fldCharType="begin"/>
      </w:r>
      <w:r>
        <w:rPr>
          <w:rStyle w:val="47"/>
          <w:rFonts w:hint="default"/>
          <w:color w:val="auto"/>
          <w:lang/>
        </w:rPr>
        <w:instrText xml:space="preserve"> </w:instrText>
      </w:r>
      <w:r>
        <w:rPr>
          <w:color w:val="auto"/>
          <w:lang/>
        </w:rPr>
        <w:instrText xml:space="preserve">HYPERLINK \l "_Toc25589258"</w:instrText>
      </w:r>
      <w:r>
        <w:rPr>
          <w:rStyle w:val="47"/>
          <w:rFonts w:hint="default"/>
          <w:color w:val="auto"/>
          <w:lang/>
        </w:rPr>
        <w:instrText xml:space="preserve"> </w:instrText>
      </w:r>
      <w:r>
        <w:rPr>
          <w:color w:val="auto"/>
          <w:lang/>
        </w:rPr>
        <w:fldChar w:fldCharType="separate"/>
      </w:r>
      <w:r>
        <w:rPr>
          <w:rStyle w:val="47"/>
          <w:rFonts w:hint="default"/>
          <w:color w:val="auto"/>
          <w:kern w:val="44"/>
          <w:lang/>
        </w:rPr>
        <w:t>十、其他事项</w:t>
      </w:r>
      <w:r>
        <w:rPr>
          <w:color w:val="auto"/>
          <w:lang/>
        </w:rPr>
        <w:tab/>
      </w:r>
      <w:r>
        <w:rPr>
          <w:rFonts w:hint="eastAsia"/>
          <w:color w:val="auto"/>
          <w:lang/>
        </w:rPr>
        <w:t>20</w:t>
      </w:r>
      <w:r>
        <w:rPr>
          <w:color w:val="auto"/>
          <w:lang/>
        </w:rPr>
        <w:fldChar w:fldCharType="end"/>
      </w:r>
    </w:p>
    <w:p>
      <w:pPr>
        <w:pStyle w:val="29"/>
        <w:tabs>
          <w:tab w:val="right" w:leader="dot" w:pos="9345"/>
        </w:tabs>
        <w:spacing w:line="500" w:lineRule="exact"/>
        <w:rPr>
          <w:rFonts w:ascii="Calibri" w:hAnsi="Calibri"/>
          <w:color w:val="auto"/>
          <w:kern w:val="2"/>
          <w:szCs w:val="22"/>
          <w:u w:val="none" w:color="auto"/>
          <w:lang/>
        </w:rPr>
      </w:pPr>
      <w:r>
        <w:rPr>
          <w:color w:val="auto"/>
          <w:lang/>
        </w:rPr>
        <w:fldChar w:fldCharType="begin"/>
      </w:r>
      <w:r>
        <w:rPr>
          <w:rStyle w:val="47"/>
          <w:rFonts w:hint="default"/>
          <w:color w:val="auto"/>
          <w:lang/>
        </w:rPr>
        <w:instrText xml:space="preserve"> </w:instrText>
      </w:r>
      <w:r>
        <w:rPr>
          <w:color w:val="auto"/>
          <w:lang/>
        </w:rPr>
        <w:instrText xml:space="preserve">HYPERLINK \l "_Toc25589259"</w:instrText>
      </w:r>
      <w:r>
        <w:rPr>
          <w:rStyle w:val="47"/>
          <w:rFonts w:hint="default"/>
          <w:color w:val="auto"/>
          <w:lang/>
        </w:rPr>
        <w:instrText xml:space="preserve"> </w:instrText>
      </w:r>
      <w:r>
        <w:rPr>
          <w:color w:val="auto"/>
          <w:lang/>
        </w:rPr>
        <w:fldChar w:fldCharType="separate"/>
      </w:r>
      <w:r>
        <w:rPr>
          <w:rStyle w:val="47"/>
          <w:rFonts w:hint="default"/>
          <w:color w:val="auto"/>
          <w:kern w:val="44"/>
          <w:lang/>
        </w:rPr>
        <w:t>附件一：投标函</w:t>
      </w:r>
      <w:r>
        <w:rPr>
          <w:color w:val="auto"/>
          <w:lang/>
        </w:rPr>
        <w:tab/>
      </w:r>
      <w:r>
        <w:rPr>
          <w:rFonts w:hint="eastAsia"/>
          <w:color w:val="auto"/>
          <w:lang/>
        </w:rPr>
        <w:t>22</w:t>
      </w:r>
      <w:r>
        <w:rPr>
          <w:color w:val="auto"/>
          <w:lang/>
        </w:rPr>
        <w:fldChar w:fldCharType="end"/>
      </w:r>
    </w:p>
    <w:p>
      <w:pPr>
        <w:pStyle w:val="29"/>
        <w:tabs>
          <w:tab w:val="right" w:leader="dot" w:pos="9345"/>
        </w:tabs>
        <w:spacing w:line="500" w:lineRule="exact"/>
        <w:rPr>
          <w:rFonts w:ascii="Calibri" w:hAnsi="Calibri"/>
          <w:color w:val="auto"/>
          <w:kern w:val="2"/>
          <w:szCs w:val="22"/>
          <w:u w:val="none" w:color="auto"/>
          <w:lang/>
        </w:rPr>
      </w:pPr>
      <w:r>
        <w:rPr>
          <w:color w:val="auto"/>
          <w:lang/>
        </w:rPr>
        <w:fldChar w:fldCharType="begin"/>
      </w:r>
      <w:r>
        <w:rPr>
          <w:rStyle w:val="47"/>
          <w:rFonts w:hint="default"/>
          <w:color w:val="auto"/>
          <w:lang/>
        </w:rPr>
        <w:instrText xml:space="preserve"> </w:instrText>
      </w:r>
      <w:r>
        <w:rPr>
          <w:color w:val="auto"/>
          <w:lang/>
        </w:rPr>
        <w:instrText xml:space="preserve">HYPERLINK \l "_Toc25589260"</w:instrText>
      </w:r>
      <w:r>
        <w:rPr>
          <w:rStyle w:val="47"/>
          <w:rFonts w:hint="default"/>
          <w:color w:val="auto"/>
          <w:lang/>
        </w:rPr>
        <w:instrText xml:space="preserve"> </w:instrText>
      </w:r>
      <w:r>
        <w:rPr>
          <w:color w:val="auto"/>
          <w:lang/>
        </w:rPr>
        <w:fldChar w:fldCharType="separate"/>
      </w:r>
      <w:r>
        <w:rPr>
          <w:rStyle w:val="47"/>
          <w:rFonts w:hint="default"/>
          <w:color w:val="auto"/>
          <w:kern w:val="44"/>
          <w:lang/>
        </w:rPr>
        <w:t>附件二：法定代表人授权书</w:t>
      </w:r>
      <w:r>
        <w:rPr>
          <w:color w:val="auto"/>
          <w:lang/>
        </w:rPr>
        <w:tab/>
      </w:r>
      <w:r>
        <w:rPr>
          <w:rFonts w:hint="eastAsia"/>
          <w:color w:val="auto"/>
          <w:lang/>
        </w:rPr>
        <w:t>.23</w:t>
      </w:r>
      <w:r>
        <w:rPr>
          <w:color w:val="auto"/>
          <w:lang/>
        </w:rPr>
        <w:fldChar w:fldCharType="end"/>
      </w:r>
    </w:p>
    <w:p>
      <w:pPr>
        <w:pStyle w:val="29"/>
        <w:tabs>
          <w:tab w:val="right" w:leader="dot" w:pos="9345"/>
        </w:tabs>
        <w:spacing w:line="500" w:lineRule="exact"/>
        <w:rPr>
          <w:rFonts w:ascii="Calibri" w:hAnsi="Calibri"/>
          <w:color w:val="auto"/>
          <w:kern w:val="2"/>
          <w:szCs w:val="22"/>
          <w:u w:val="none" w:color="auto"/>
          <w:lang/>
        </w:rPr>
      </w:pPr>
      <w:r>
        <w:rPr>
          <w:color w:val="auto"/>
          <w:lang/>
        </w:rPr>
        <w:fldChar w:fldCharType="begin"/>
      </w:r>
      <w:r>
        <w:rPr>
          <w:rStyle w:val="47"/>
          <w:rFonts w:hint="default"/>
          <w:color w:val="auto"/>
          <w:lang/>
        </w:rPr>
        <w:instrText xml:space="preserve"> </w:instrText>
      </w:r>
      <w:r>
        <w:rPr>
          <w:color w:val="auto"/>
          <w:lang/>
        </w:rPr>
        <w:instrText xml:space="preserve">HYPERLINK \l "_Toc25589261"</w:instrText>
      </w:r>
      <w:r>
        <w:rPr>
          <w:rStyle w:val="47"/>
          <w:rFonts w:hint="default"/>
          <w:color w:val="auto"/>
          <w:lang/>
        </w:rPr>
        <w:instrText xml:space="preserve"> </w:instrText>
      </w:r>
      <w:r>
        <w:rPr>
          <w:color w:val="auto"/>
          <w:lang/>
        </w:rPr>
        <w:fldChar w:fldCharType="separate"/>
      </w:r>
      <w:r>
        <w:rPr>
          <w:rStyle w:val="47"/>
          <w:rFonts w:hint="default"/>
          <w:color w:val="auto"/>
          <w:lang/>
        </w:rPr>
        <w:t>附件三：开标一览表（报价表）</w:t>
      </w:r>
      <w:r>
        <w:rPr>
          <w:color w:val="auto"/>
          <w:lang/>
        </w:rPr>
        <w:tab/>
      </w:r>
      <w:r>
        <w:rPr>
          <w:rFonts w:hint="eastAsia"/>
          <w:color w:val="auto"/>
          <w:lang/>
        </w:rPr>
        <w:t>24</w:t>
      </w:r>
      <w:r>
        <w:rPr>
          <w:color w:val="auto"/>
          <w:lang/>
        </w:rPr>
        <w:fldChar w:fldCharType="end"/>
      </w:r>
    </w:p>
    <w:p>
      <w:pPr>
        <w:pStyle w:val="29"/>
        <w:tabs>
          <w:tab w:val="right" w:leader="dot" w:pos="9345"/>
        </w:tabs>
        <w:spacing w:line="500" w:lineRule="exact"/>
        <w:rPr>
          <w:rFonts w:ascii="Calibri" w:hAnsi="Calibri"/>
          <w:color w:val="auto"/>
          <w:kern w:val="2"/>
          <w:szCs w:val="22"/>
          <w:u w:val="none" w:color="auto"/>
          <w:lang/>
        </w:rPr>
      </w:pPr>
      <w:r>
        <w:rPr>
          <w:color w:val="auto"/>
          <w:lang/>
        </w:rPr>
        <w:fldChar w:fldCharType="begin"/>
      </w:r>
      <w:r>
        <w:rPr>
          <w:rStyle w:val="47"/>
          <w:rFonts w:hint="default"/>
          <w:color w:val="auto"/>
          <w:lang/>
        </w:rPr>
        <w:instrText xml:space="preserve"> </w:instrText>
      </w:r>
      <w:r>
        <w:rPr>
          <w:color w:val="auto"/>
          <w:lang/>
        </w:rPr>
        <w:instrText xml:space="preserve">HYPERLINK \l "_Toc25589262"</w:instrText>
      </w:r>
      <w:r>
        <w:rPr>
          <w:rStyle w:val="47"/>
          <w:rFonts w:hint="default"/>
          <w:color w:val="auto"/>
          <w:lang/>
        </w:rPr>
        <w:instrText xml:space="preserve"> </w:instrText>
      </w:r>
      <w:r>
        <w:rPr>
          <w:color w:val="auto"/>
          <w:lang/>
        </w:rPr>
        <w:fldChar w:fldCharType="separate"/>
      </w:r>
      <w:r>
        <w:rPr>
          <w:rStyle w:val="47"/>
          <w:rFonts w:hint="default"/>
          <w:color w:val="auto"/>
          <w:lang/>
        </w:rPr>
        <w:t>附件四：</w:t>
      </w:r>
      <w:r>
        <w:rPr>
          <w:rStyle w:val="47"/>
          <w:rFonts w:hint="default" w:cs="Arial Unicode MS"/>
          <w:color w:val="auto"/>
          <w:lang/>
        </w:rPr>
        <w:t>投标报价明细表</w:t>
      </w:r>
      <w:r>
        <w:rPr>
          <w:color w:val="auto"/>
          <w:lang/>
        </w:rPr>
        <w:tab/>
      </w:r>
      <w:r>
        <w:rPr>
          <w:rFonts w:hint="eastAsia"/>
          <w:color w:val="auto"/>
          <w:lang/>
        </w:rPr>
        <w:t>25</w:t>
      </w:r>
      <w:r>
        <w:rPr>
          <w:color w:val="auto"/>
          <w:lang/>
        </w:rPr>
        <w:fldChar w:fldCharType="end"/>
      </w:r>
    </w:p>
    <w:p>
      <w:pPr>
        <w:pStyle w:val="29"/>
        <w:tabs>
          <w:tab w:val="right" w:leader="dot" w:pos="9345"/>
        </w:tabs>
        <w:spacing w:line="500" w:lineRule="exact"/>
        <w:rPr>
          <w:rFonts w:hint="eastAsia"/>
          <w:color w:val="auto"/>
          <w:lang/>
        </w:rPr>
      </w:pPr>
      <w:r>
        <w:rPr>
          <w:rFonts w:hint="eastAsia"/>
          <w:color w:val="auto"/>
          <w:lang/>
        </w:rPr>
        <w:t>附件五：招标文件评审办法中涉及的其他资料、材料</w:t>
      </w:r>
      <w:r>
        <w:rPr>
          <w:color w:val="auto"/>
          <w:lang/>
        </w:rPr>
        <w:tab/>
      </w:r>
      <w:r>
        <w:rPr>
          <w:rFonts w:hint="eastAsia"/>
          <w:color w:val="auto"/>
          <w:lang/>
        </w:rPr>
        <w:t>28</w:t>
      </w:r>
    </w:p>
    <w:p>
      <w:pPr>
        <w:pStyle w:val="29"/>
        <w:tabs>
          <w:tab w:val="right" w:leader="dot" w:pos="9345"/>
        </w:tabs>
        <w:spacing w:line="500" w:lineRule="exact"/>
        <w:rPr>
          <w:rFonts w:ascii="Calibri" w:hAnsi="Calibri"/>
          <w:color w:val="auto"/>
          <w:kern w:val="2"/>
          <w:szCs w:val="22"/>
          <w:u w:val="none" w:color="auto"/>
          <w:lang/>
        </w:rPr>
      </w:pPr>
      <w:r>
        <w:rPr>
          <w:color w:val="auto"/>
          <w:lang/>
        </w:rPr>
        <w:fldChar w:fldCharType="begin"/>
      </w:r>
      <w:r>
        <w:rPr>
          <w:rStyle w:val="47"/>
          <w:rFonts w:hint="default"/>
          <w:color w:val="auto"/>
          <w:lang/>
        </w:rPr>
        <w:instrText xml:space="preserve"> </w:instrText>
      </w:r>
      <w:r>
        <w:rPr>
          <w:color w:val="auto"/>
          <w:lang/>
        </w:rPr>
        <w:instrText xml:space="preserve">HYPERLINK \l "_Toc25589263"</w:instrText>
      </w:r>
      <w:r>
        <w:rPr>
          <w:rStyle w:val="47"/>
          <w:rFonts w:hint="default"/>
          <w:color w:val="auto"/>
          <w:lang/>
        </w:rPr>
        <w:instrText xml:space="preserve"> </w:instrText>
      </w:r>
      <w:r>
        <w:rPr>
          <w:color w:val="auto"/>
          <w:lang/>
        </w:rPr>
        <w:fldChar w:fldCharType="separate"/>
      </w:r>
      <w:r>
        <w:rPr>
          <w:rStyle w:val="47"/>
          <w:rFonts w:hint="default"/>
          <w:color w:val="auto"/>
          <w:kern w:val="44"/>
          <w:lang/>
        </w:rPr>
        <w:t>附件六：投标承诺书</w:t>
      </w:r>
      <w:r>
        <w:rPr>
          <w:color w:val="auto"/>
          <w:lang/>
        </w:rPr>
        <w:tab/>
      </w:r>
      <w:r>
        <w:rPr>
          <w:rFonts w:hint="eastAsia"/>
          <w:color w:val="auto"/>
          <w:lang/>
        </w:rPr>
        <w:t>29</w:t>
      </w:r>
      <w:r>
        <w:rPr>
          <w:color w:val="auto"/>
          <w:lang/>
        </w:rPr>
        <w:fldChar w:fldCharType="end"/>
      </w:r>
    </w:p>
    <w:p>
      <w:pPr>
        <w:pStyle w:val="29"/>
        <w:tabs>
          <w:tab w:val="right" w:leader="dot" w:pos="9345"/>
        </w:tabs>
        <w:spacing w:line="500" w:lineRule="exact"/>
        <w:rPr>
          <w:rFonts w:ascii="Calibri" w:hAnsi="Calibri"/>
          <w:color w:val="auto"/>
          <w:kern w:val="2"/>
          <w:szCs w:val="22"/>
          <w:u w:val="none" w:color="auto"/>
          <w:lang/>
        </w:rPr>
      </w:pPr>
      <w:r>
        <w:rPr>
          <w:color w:val="auto"/>
          <w:lang/>
        </w:rPr>
        <w:fldChar w:fldCharType="begin"/>
      </w:r>
      <w:r>
        <w:rPr>
          <w:rStyle w:val="47"/>
          <w:rFonts w:hint="default"/>
          <w:color w:val="auto"/>
          <w:lang/>
        </w:rPr>
        <w:instrText xml:space="preserve"> </w:instrText>
      </w:r>
      <w:r>
        <w:rPr>
          <w:color w:val="auto"/>
          <w:lang/>
        </w:rPr>
        <w:instrText xml:space="preserve">HYPERLINK \l "_Toc25589264"</w:instrText>
      </w:r>
      <w:r>
        <w:rPr>
          <w:rStyle w:val="47"/>
          <w:rFonts w:hint="default"/>
          <w:color w:val="auto"/>
          <w:lang/>
        </w:rPr>
        <w:instrText xml:space="preserve"> </w:instrText>
      </w:r>
      <w:r>
        <w:rPr>
          <w:color w:val="auto"/>
          <w:lang/>
        </w:rPr>
        <w:fldChar w:fldCharType="separate"/>
      </w:r>
      <w:r>
        <w:rPr>
          <w:rStyle w:val="47"/>
          <w:rFonts w:hint="default"/>
          <w:color w:val="auto"/>
          <w:kern w:val="44"/>
          <w:lang/>
        </w:rPr>
        <w:t>附件七：投标提问书</w:t>
      </w:r>
      <w:r>
        <w:rPr>
          <w:color w:val="auto"/>
          <w:lang/>
        </w:rPr>
        <w:tab/>
      </w:r>
      <w:r>
        <w:rPr>
          <w:rFonts w:hint="eastAsia"/>
          <w:color w:val="auto"/>
          <w:lang/>
        </w:rPr>
        <w:t>30</w:t>
      </w:r>
      <w:r>
        <w:rPr>
          <w:color w:val="auto"/>
          <w:lang/>
        </w:rPr>
        <w:fldChar w:fldCharType="end"/>
      </w:r>
    </w:p>
    <w:p>
      <w:pPr>
        <w:pStyle w:val="29"/>
        <w:tabs>
          <w:tab w:val="right" w:leader="dot" w:pos="9345"/>
        </w:tabs>
        <w:spacing w:line="500" w:lineRule="exact"/>
        <w:rPr>
          <w:rFonts w:ascii="Calibri" w:hAnsi="Calibri"/>
          <w:color w:val="auto"/>
          <w:kern w:val="2"/>
          <w:szCs w:val="22"/>
          <w:u w:val="none" w:color="auto"/>
          <w:lang/>
        </w:rPr>
      </w:pPr>
      <w:r>
        <w:rPr>
          <w:color w:val="auto"/>
          <w:lang/>
        </w:rPr>
        <w:fldChar w:fldCharType="begin"/>
      </w:r>
      <w:r>
        <w:rPr>
          <w:rStyle w:val="47"/>
          <w:rFonts w:hint="default"/>
          <w:color w:val="auto"/>
          <w:lang/>
        </w:rPr>
        <w:instrText xml:space="preserve"> </w:instrText>
      </w:r>
      <w:r>
        <w:rPr>
          <w:color w:val="auto"/>
          <w:lang/>
        </w:rPr>
        <w:instrText xml:space="preserve">HYPERLINK \l "_Toc25589265"</w:instrText>
      </w:r>
      <w:r>
        <w:rPr>
          <w:rStyle w:val="47"/>
          <w:rFonts w:hint="default"/>
          <w:color w:val="auto"/>
          <w:lang/>
        </w:rPr>
        <w:instrText xml:space="preserve"> </w:instrText>
      </w:r>
      <w:r>
        <w:rPr>
          <w:color w:val="auto"/>
          <w:lang/>
        </w:rPr>
        <w:fldChar w:fldCharType="separate"/>
      </w:r>
      <w:r>
        <w:rPr>
          <w:rStyle w:val="47"/>
          <w:rFonts w:hint="default"/>
          <w:color w:val="auto"/>
          <w:kern w:val="44"/>
          <w:lang/>
        </w:rPr>
        <w:t>附件八：答疑纪要</w:t>
      </w:r>
      <w:r>
        <w:rPr>
          <w:color w:val="auto"/>
          <w:lang/>
        </w:rPr>
        <w:tab/>
      </w:r>
      <w:r>
        <w:rPr>
          <w:rFonts w:hint="eastAsia"/>
          <w:color w:val="auto"/>
          <w:lang/>
        </w:rPr>
        <w:t>31</w:t>
      </w:r>
      <w:r>
        <w:rPr>
          <w:color w:val="auto"/>
          <w:lang/>
        </w:rPr>
        <w:fldChar w:fldCharType="end"/>
      </w:r>
    </w:p>
    <w:p>
      <w:pPr>
        <w:pStyle w:val="29"/>
        <w:tabs>
          <w:tab w:val="right" w:leader="dot" w:pos="9345"/>
        </w:tabs>
        <w:spacing w:line="500" w:lineRule="exact"/>
        <w:rPr>
          <w:rFonts w:hint="eastAsia"/>
          <w:color w:val="auto"/>
          <w:lang/>
        </w:rPr>
      </w:pPr>
      <w:r>
        <w:rPr>
          <w:color w:val="auto"/>
          <w:lang/>
        </w:rPr>
        <w:t>附件</w:t>
      </w:r>
      <w:r>
        <w:rPr>
          <w:rFonts w:hint="eastAsia"/>
          <w:color w:val="auto"/>
          <w:lang/>
        </w:rPr>
        <w:t>九</w:t>
      </w:r>
      <w:r>
        <w:rPr>
          <w:color w:val="auto"/>
          <w:lang/>
        </w:rPr>
        <w:t>：</w:t>
      </w:r>
      <w:r>
        <w:rPr>
          <w:rFonts w:hint="eastAsia"/>
          <w:color w:val="auto"/>
          <w:lang/>
        </w:rPr>
        <w:t>道路</w:t>
      </w:r>
      <w:r>
        <w:rPr>
          <w:color w:val="auto"/>
          <w:lang/>
        </w:rPr>
        <w:t>面积及工作任务清单</w:t>
      </w:r>
      <w:r>
        <w:rPr>
          <w:rFonts w:hint="eastAsia"/>
          <w:color w:val="auto"/>
          <w:lang/>
        </w:rPr>
        <w:t>...........................................................................................................32</w:t>
      </w:r>
    </w:p>
    <w:p>
      <w:pPr>
        <w:pStyle w:val="29"/>
        <w:tabs>
          <w:tab w:val="right" w:leader="dot" w:pos="9345"/>
        </w:tabs>
        <w:spacing w:line="500" w:lineRule="exact"/>
        <w:rPr>
          <w:rFonts w:hint="eastAsia"/>
          <w:color w:val="auto"/>
          <w:lang/>
        </w:rPr>
      </w:pPr>
      <w:r>
        <w:rPr>
          <w:rFonts w:hint="eastAsia"/>
          <w:color w:val="auto"/>
          <w:lang/>
        </w:rPr>
        <w:t>附件十：柯桥城区道路保洁服务要求</w:t>
      </w:r>
      <w:r>
        <w:rPr>
          <w:color w:val="auto"/>
          <w:lang/>
        </w:rPr>
        <w:tab/>
      </w:r>
      <w:r>
        <w:rPr>
          <w:rFonts w:hint="eastAsia"/>
          <w:color w:val="auto"/>
          <w:lang/>
        </w:rPr>
        <w:t>33</w:t>
      </w:r>
    </w:p>
    <w:p>
      <w:pPr>
        <w:pStyle w:val="29"/>
        <w:tabs>
          <w:tab w:val="right" w:leader="dot" w:pos="9345"/>
        </w:tabs>
        <w:spacing w:line="500" w:lineRule="exact"/>
        <w:rPr>
          <w:rFonts w:hint="eastAsia"/>
          <w:color w:val="auto"/>
          <w:lang/>
        </w:rPr>
      </w:pPr>
      <w:r>
        <w:rPr>
          <w:color w:val="auto"/>
          <w:lang/>
        </w:rPr>
        <w:fldChar w:fldCharType="begin"/>
      </w:r>
      <w:r>
        <w:rPr>
          <w:rStyle w:val="47"/>
          <w:rFonts w:hint="default"/>
          <w:color w:val="auto"/>
          <w:lang/>
        </w:rPr>
        <w:instrText xml:space="preserve"> </w:instrText>
      </w:r>
      <w:r>
        <w:rPr>
          <w:color w:val="auto"/>
          <w:lang/>
        </w:rPr>
        <w:instrText xml:space="preserve">HYPERLINK \l "_Toc25589266"</w:instrText>
      </w:r>
      <w:r>
        <w:rPr>
          <w:rStyle w:val="47"/>
          <w:rFonts w:hint="default"/>
          <w:color w:val="auto"/>
          <w:lang/>
        </w:rPr>
        <w:instrText xml:space="preserve"> </w:instrText>
      </w:r>
      <w:r>
        <w:rPr>
          <w:color w:val="auto"/>
          <w:lang/>
        </w:rPr>
        <w:fldChar w:fldCharType="separate"/>
      </w:r>
      <w:r>
        <w:rPr>
          <w:rStyle w:val="47"/>
          <w:rFonts w:hint="default"/>
          <w:color w:val="auto"/>
          <w:kern w:val="44"/>
          <w:lang/>
        </w:rPr>
        <w:t>附件十一：绍兴市柯桥区市容环境卫生管理中心智慧环卫考核办法（试行）</w:t>
      </w:r>
      <w:r>
        <w:rPr>
          <w:color w:val="auto"/>
          <w:lang/>
        </w:rPr>
        <w:tab/>
      </w:r>
      <w:r>
        <w:rPr>
          <w:rFonts w:hint="eastAsia"/>
          <w:color w:val="auto"/>
          <w:lang/>
        </w:rPr>
        <w:t>48</w:t>
      </w:r>
      <w:r>
        <w:rPr>
          <w:color w:val="auto"/>
          <w:lang/>
        </w:rPr>
        <w:fldChar w:fldCharType="end"/>
      </w:r>
    </w:p>
    <w:p>
      <w:pPr>
        <w:pStyle w:val="29"/>
        <w:tabs>
          <w:tab w:val="right" w:leader="dot" w:pos="9345"/>
        </w:tabs>
        <w:spacing w:line="500" w:lineRule="exact"/>
        <w:rPr>
          <w:rFonts w:hint="eastAsia"/>
          <w:color w:val="auto"/>
          <w:lang/>
        </w:rPr>
      </w:pPr>
      <w:r>
        <w:rPr>
          <w:color w:val="auto"/>
          <w:lang/>
        </w:rPr>
        <w:t>附件</w:t>
      </w:r>
      <w:r>
        <w:rPr>
          <w:rFonts w:hint="eastAsia"/>
          <w:color w:val="auto"/>
          <w:lang/>
        </w:rPr>
        <w:t>十二</w:t>
      </w:r>
      <w:r>
        <w:rPr>
          <w:color w:val="auto"/>
          <w:lang/>
        </w:rPr>
        <w:t>：评标办法</w:t>
      </w:r>
      <w:r>
        <w:rPr>
          <w:color w:val="auto"/>
          <w:lang/>
        </w:rPr>
        <w:tab/>
      </w:r>
      <w:r>
        <w:rPr>
          <w:rFonts w:hint="eastAsia"/>
          <w:color w:val="auto"/>
          <w:lang/>
        </w:rPr>
        <w:t>63</w:t>
      </w:r>
    </w:p>
    <w:p>
      <w:pPr>
        <w:rPr>
          <w:lang/>
        </w:rPr>
      </w:pPr>
    </w:p>
    <w:p>
      <w:pPr>
        <w:pStyle w:val="2"/>
        <w:numPr>
          <w:ilvl w:val="0"/>
          <w:numId w:val="0"/>
        </w:numPr>
        <w:spacing w:before="0" w:after="0" w:line="500" w:lineRule="exact"/>
        <w:ind w:left="851"/>
        <w:rPr>
          <w:rFonts w:ascii="宋体" w:hAnsi="宋体"/>
          <w:sz w:val="24"/>
        </w:rPr>
        <w:sectPr>
          <w:footerReference r:id="rId10" w:type="first"/>
          <w:footerReference r:id="rId9" w:type="default"/>
          <w:pgSz w:w="11907" w:h="16840"/>
          <w:pgMar w:top="1134" w:right="1134" w:bottom="1134" w:left="1418" w:header="567" w:footer="567" w:gutter="0"/>
          <w:cols w:space="720" w:num="1"/>
          <w:docGrid w:linePitch="286" w:charSpace="0"/>
        </w:sectPr>
      </w:pPr>
      <w:r>
        <w:rPr>
          <w:rFonts w:ascii="宋体" w:hAnsi="宋体"/>
          <w:sz w:val="21"/>
          <w:szCs w:val="21"/>
        </w:rPr>
        <w:fldChar w:fldCharType="end"/>
      </w:r>
    </w:p>
    <w:p>
      <w:pPr>
        <w:pStyle w:val="2"/>
        <w:numPr>
          <w:ilvl w:val="0"/>
          <w:numId w:val="0"/>
        </w:numPr>
        <w:spacing w:before="0" w:after="0" w:line="500" w:lineRule="exact"/>
        <w:rPr>
          <w:rFonts w:hint="eastAsia" w:ascii="宋体" w:hAnsi="宋体"/>
          <w:b/>
          <w:sz w:val="28"/>
          <w:szCs w:val="28"/>
        </w:rPr>
      </w:pPr>
      <w:bookmarkStart w:id="0" w:name="_Toc25589248"/>
      <w:r>
        <w:rPr>
          <w:rFonts w:hint="eastAsia" w:ascii="宋体" w:hAnsi="宋体"/>
          <w:b/>
          <w:sz w:val="28"/>
          <w:szCs w:val="28"/>
        </w:rPr>
        <w:t>关于</w:t>
      </w:r>
      <w:bookmarkStart w:id="1" w:name="_Toc528842931"/>
      <w:r>
        <w:rPr>
          <w:rFonts w:hint="eastAsia" w:ascii="宋体" w:hAnsi="宋体"/>
          <w:b/>
          <w:sz w:val="28"/>
          <w:szCs w:val="28"/>
        </w:rPr>
        <w:t>柯桥城区道路保洁服务项目</w:t>
      </w:r>
      <w:r>
        <w:rPr>
          <w:rFonts w:ascii="宋体" w:hAnsi="宋体" w:cs="Tahoma"/>
          <w:b/>
          <w:spacing w:val="-9"/>
          <w:sz w:val="28"/>
          <w:szCs w:val="28"/>
        </w:rPr>
        <w:t>的</w:t>
      </w:r>
      <w:r>
        <w:rPr>
          <w:rFonts w:hint="eastAsia" w:ascii="宋体" w:hAnsi="宋体" w:cs="Tahoma"/>
          <w:b/>
          <w:spacing w:val="-9"/>
          <w:sz w:val="28"/>
          <w:szCs w:val="28"/>
        </w:rPr>
        <w:t>采购</w:t>
      </w:r>
      <w:r>
        <w:rPr>
          <w:rFonts w:hint="eastAsia" w:ascii="宋体" w:hAnsi="宋体" w:cs="宋体"/>
          <w:b/>
          <w:spacing w:val="-9"/>
          <w:sz w:val="28"/>
          <w:szCs w:val="28"/>
        </w:rPr>
        <w:t>公告</w:t>
      </w:r>
      <w:bookmarkEnd w:id="0"/>
      <w:bookmarkEnd w:id="1"/>
    </w:p>
    <w:p>
      <w:pPr>
        <w:pStyle w:val="36"/>
        <w:spacing w:before="0" w:beforeAutospacing="0" w:after="0" w:afterAutospacing="0" w:line="5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公告日期：2020年6月12日</w:t>
      </w:r>
    </w:p>
    <w:p>
      <w:pPr>
        <w:pStyle w:val="36"/>
        <w:spacing w:before="0" w:beforeAutospacing="0" w:after="0" w:afterAutospacing="0" w:line="360" w:lineRule="auto"/>
        <w:ind w:firstLine="414"/>
        <w:rPr>
          <w:rFonts w:hint="eastAsia" w:ascii="宋体" w:hAnsi="宋体" w:eastAsia="宋体" w:cs="宋体"/>
          <w:color w:val="auto"/>
          <w:sz w:val="21"/>
          <w:szCs w:val="21"/>
        </w:rPr>
      </w:pPr>
      <w:r>
        <w:rPr>
          <w:rFonts w:hint="eastAsia" w:ascii="宋体" w:hAnsi="宋体" w:eastAsia="宋体" w:cs="宋体"/>
          <w:color w:val="auto"/>
          <w:sz w:val="21"/>
          <w:szCs w:val="21"/>
        </w:rPr>
        <w:t>根据《中华人民共和国政府采购法》等有关规定，</w:t>
      </w:r>
      <w:r>
        <w:rPr>
          <w:rFonts w:hint="eastAsia" w:ascii="宋体" w:hAnsi="宋体" w:eastAsia="宋体" w:cs="宋体"/>
          <w:color w:val="auto"/>
          <w:sz w:val="21"/>
          <w:szCs w:val="21"/>
          <w:u w:val="single"/>
        </w:rPr>
        <w:t>绍兴市柯桥区市容环境卫生管理中心委托绍兴市柯桥区公共资源交易中心、绍兴市鼎正建设工程咨询有限公司</w:t>
      </w:r>
      <w:r>
        <w:rPr>
          <w:rFonts w:hint="eastAsia" w:ascii="宋体" w:hAnsi="宋体" w:eastAsia="宋体" w:cs="宋体"/>
          <w:color w:val="auto"/>
          <w:sz w:val="21"/>
          <w:szCs w:val="21"/>
        </w:rPr>
        <w:t>，就</w:t>
      </w:r>
      <w:r>
        <w:rPr>
          <w:rFonts w:hint="eastAsia" w:ascii="宋体" w:hAnsi="宋体" w:eastAsia="宋体" w:cs="宋体"/>
          <w:color w:val="auto"/>
          <w:sz w:val="21"/>
          <w:szCs w:val="21"/>
          <w:u w:val="single"/>
        </w:rPr>
        <w:t>柯桥城区道路保洁服务项目</w:t>
      </w:r>
      <w:r>
        <w:rPr>
          <w:rFonts w:hint="eastAsia" w:ascii="宋体" w:hAnsi="宋体" w:eastAsia="宋体" w:cs="宋体"/>
          <w:color w:val="auto"/>
          <w:sz w:val="21"/>
          <w:szCs w:val="21"/>
        </w:rPr>
        <w:t>进行公开招标，欢迎国内合格的投标供应商前来投标。</w:t>
      </w:r>
    </w:p>
    <w:p>
      <w:pPr>
        <w:tabs>
          <w:tab w:val="right" w:pos="8313"/>
        </w:tabs>
        <w:spacing w:line="360" w:lineRule="auto"/>
        <w:ind w:firstLine="413" w:firstLineChars="196"/>
        <w:rPr>
          <w:rFonts w:hint="eastAsia" w:ascii="宋体" w:hAnsi="宋体" w:cs="宋体"/>
          <w:szCs w:val="21"/>
          <w:u w:val="single"/>
        </w:rPr>
      </w:pPr>
      <w:r>
        <w:rPr>
          <w:rFonts w:hint="eastAsia" w:ascii="宋体" w:hAnsi="宋体" w:cs="宋体"/>
          <w:b/>
          <w:szCs w:val="21"/>
        </w:rPr>
        <w:t>一、采购项目编号</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u w:val="single"/>
        </w:rPr>
        <w:fldChar w:fldCharType="begin"/>
      </w:r>
      <w:r>
        <w:rPr>
          <w:rFonts w:hint="eastAsia" w:ascii="宋体" w:hAnsi="宋体" w:cs="宋体"/>
          <w:szCs w:val="21"/>
          <w:u w:val="single"/>
        </w:rPr>
        <w:instrText xml:space="preserve"> HYPERLINK "https://pay.zcygov.cn/purchaseplan_front/" \l "/plan/apply/detail/1307823" </w:instrText>
      </w:r>
      <w:r>
        <w:rPr>
          <w:rFonts w:hint="eastAsia" w:ascii="宋体" w:hAnsi="宋体" w:cs="宋体"/>
          <w:szCs w:val="21"/>
          <w:u w:val="single"/>
        </w:rPr>
        <w:fldChar w:fldCharType="separate"/>
      </w:r>
      <w:r>
        <w:rPr>
          <w:rFonts w:hint="eastAsia" w:ascii="宋体" w:hAnsi="宋体" w:cs="宋体"/>
          <w:szCs w:val="21"/>
          <w:u w:val="single"/>
        </w:rPr>
        <w:t>绍柯采[2020]1172号</w:t>
      </w:r>
      <w:r>
        <w:rPr>
          <w:rFonts w:hint="eastAsia" w:ascii="宋体" w:hAnsi="宋体" w:cs="宋体"/>
          <w:szCs w:val="21"/>
          <w:u w:val="single"/>
        </w:rPr>
        <w:fldChar w:fldCharType="end"/>
      </w:r>
    </w:p>
    <w:p>
      <w:pPr>
        <w:pStyle w:val="36"/>
        <w:spacing w:before="0" w:beforeAutospacing="0" w:after="0" w:afterAutospacing="0" w:line="360" w:lineRule="auto"/>
        <w:ind w:firstLine="420"/>
        <w:rPr>
          <w:rFonts w:hint="eastAsia" w:ascii="宋体" w:hAnsi="宋体" w:eastAsia="宋体" w:cs="宋体"/>
          <w:color w:val="auto"/>
          <w:sz w:val="21"/>
          <w:szCs w:val="21"/>
        </w:rPr>
      </w:pPr>
      <w:r>
        <w:rPr>
          <w:rFonts w:hint="eastAsia" w:ascii="宋体" w:hAnsi="宋体" w:eastAsia="宋体" w:cs="宋体"/>
          <w:b/>
          <w:color w:val="auto"/>
          <w:sz w:val="21"/>
          <w:szCs w:val="21"/>
        </w:rPr>
        <w:t>二、采购项目名称：</w:t>
      </w:r>
      <w:r>
        <w:rPr>
          <w:rFonts w:hint="eastAsia" w:ascii="宋体" w:hAnsi="宋体" w:eastAsia="宋体" w:cs="宋体"/>
          <w:color w:val="auto"/>
          <w:sz w:val="21"/>
          <w:szCs w:val="21"/>
          <w:u w:val="single"/>
        </w:rPr>
        <w:t>柯桥城区道路保洁服务项目</w:t>
      </w:r>
      <w:r>
        <w:rPr>
          <w:rFonts w:hint="eastAsia" w:ascii="宋体" w:hAnsi="宋体" w:eastAsia="宋体" w:cs="宋体"/>
          <w:color w:val="auto"/>
          <w:sz w:val="21"/>
          <w:szCs w:val="21"/>
        </w:rPr>
        <w:t xml:space="preserve"> </w:t>
      </w:r>
    </w:p>
    <w:p>
      <w:pPr>
        <w:pStyle w:val="36"/>
        <w:spacing w:before="0" w:beforeAutospacing="0" w:after="0" w:afterAutospacing="0" w:line="360" w:lineRule="auto"/>
        <w:ind w:firstLine="420"/>
        <w:rPr>
          <w:rFonts w:hint="eastAsia" w:ascii="宋体" w:hAnsi="宋体" w:eastAsia="宋体" w:cs="宋体"/>
          <w:b/>
          <w:color w:val="auto"/>
          <w:sz w:val="21"/>
          <w:szCs w:val="21"/>
        </w:rPr>
      </w:pPr>
      <w:r>
        <w:rPr>
          <w:rFonts w:hint="eastAsia" w:ascii="宋体" w:hAnsi="宋体" w:eastAsia="宋体" w:cs="宋体"/>
          <w:b/>
          <w:color w:val="auto"/>
          <w:sz w:val="21"/>
          <w:szCs w:val="21"/>
        </w:rPr>
        <w:t>三、采购项目组织类型：</w:t>
      </w:r>
      <w:r>
        <w:rPr>
          <w:rFonts w:hint="eastAsia" w:ascii="宋体" w:hAnsi="宋体" w:eastAsia="宋体" w:cs="宋体"/>
          <w:color w:val="auto"/>
          <w:sz w:val="21"/>
          <w:szCs w:val="21"/>
          <w:u w:val="single"/>
        </w:rPr>
        <w:t>政府集中采购-委托本级集采</w:t>
      </w:r>
    </w:p>
    <w:p>
      <w:pPr>
        <w:spacing w:line="360" w:lineRule="auto"/>
        <w:ind w:firstLine="422" w:firstLineChars="200"/>
        <w:rPr>
          <w:rFonts w:hint="eastAsia" w:ascii="宋体" w:hAnsi="宋体" w:cs="宋体"/>
          <w:szCs w:val="21"/>
        </w:rPr>
      </w:pPr>
      <w:r>
        <w:rPr>
          <w:rFonts w:hint="eastAsia" w:ascii="宋体" w:hAnsi="宋体" w:cs="宋体"/>
          <w:b/>
          <w:szCs w:val="21"/>
        </w:rPr>
        <w:t>四、采购项目概况</w:t>
      </w:r>
      <w:r>
        <w:rPr>
          <w:rFonts w:hint="eastAsia" w:ascii="宋体" w:hAnsi="宋体" w:cs="宋体"/>
          <w:szCs w:val="21"/>
        </w:rPr>
        <w:t>（包括内容、用途、数量、简要技术要求等）：</w:t>
      </w:r>
    </w:p>
    <w:p>
      <w:pPr>
        <w:pStyle w:val="36"/>
        <w:spacing w:before="0" w:beforeAutospacing="0" w:after="0" w:afterAutospacing="0"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柯桥城区道路保洁服务项目，分2个标段，具体如下：</w:t>
      </w:r>
    </w:p>
    <w:tbl>
      <w:tblPr>
        <w:tblStyle w:val="41"/>
        <w:tblW w:w="0" w:type="auto"/>
        <w:tblInd w:w="4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3915"/>
        <w:gridCol w:w="1410"/>
        <w:gridCol w:w="2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 w:hRule="atLeast"/>
        </w:trPr>
        <w:tc>
          <w:tcPr>
            <w:tcW w:w="1335" w:type="dxa"/>
            <w:noWrap w:val="0"/>
            <w:vAlign w:val="center"/>
          </w:tcPr>
          <w:p>
            <w:pPr>
              <w:spacing w:line="400" w:lineRule="exact"/>
              <w:jc w:val="center"/>
              <w:rPr>
                <w:rFonts w:hint="eastAsia" w:ascii="宋体" w:hAnsi="宋体" w:cs="宋体"/>
                <w:b/>
                <w:szCs w:val="21"/>
              </w:rPr>
            </w:pPr>
            <w:r>
              <w:rPr>
                <w:rFonts w:hint="eastAsia" w:ascii="宋体" w:hAnsi="宋体" w:cs="宋体"/>
                <w:b/>
                <w:szCs w:val="21"/>
              </w:rPr>
              <w:t>标项</w:t>
            </w:r>
          </w:p>
        </w:tc>
        <w:tc>
          <w:tcPr>
            <w:tcW w:w="3915" w:type="dxa"/>
            <w:noWrap w:val="0"/>
            <w:vAlign w:val="center"/>
          </w:tcPr>
          <w:p>
            <w:pPr>
              <w:spacing w:line="340" w:lineRule="exact"/>
              <w:jc w:val="center"/>
              <w:rPr>
                <w:rFonts w:hint="eastAsia" w:ascii="宋体" w:hAnsi="宋体" w:cs="宋体"/>
                <w:b/>
                <w:szCs w:val="21"/>
              </w:rPr>
            </w:pPr>
            <w:r>
              <w:rPr>
                <w:rFonts w:hint="eastAsia" w:ascii="宋体" w:hAnsi="宋体" w:cs="宋体"/>
                <w:b/>
                <w:szCs w:val="21"/>
              </w:rPr>
              <w:t>保洁范围及内容</w:t>
            </w:r>
          </w:p>
          <w:p>
            <w:pPr>
              <w:spacing w:line="340" w:lineRule="exact"/>
              <w:jc w:val="center"/>
              <w:rPr>
                <w:rFonts w:hint="eastAsia" w:ascii="宋体" w:hAnsi="宋体" w:cs="宋体"/>
                <w:b/>
                <w:szCs w:val="21"/>
              </w:rPr>
            </w:pPr>
            <w:r>
              <w:rPr>
                <w:rFonts w:hint="eastAsia" w:ascii="宋体" w:hAnsi="宋体" w:cs="宋体"/>
                <w:b/>
                <w:bCs/>
                <w:szCs w:val="21"/>
              </w:rPr>
              <w:t>（详见招标文件要求）</w:t>
            </w:r>
          </w:p>
        </w:tc>
        <w:tc>
          <w:tcPr>
            <w:tcW w:w="1410" w:type="dxa"/>
            <w:noWrap w:val="0"/>
            <w:vAlign w:val="center"/>
          </w:tcPr>
          <w:p>
            <w:pPr>
              <w:spacing w:line="400" w:lineRule="exact"/>
              <w:jc w:val="center"/>
              <w:rPr>
                <w:rFonts w:hint="eastAsia" w:ascii="宋体" w:hAnsi="宋体" w:cs="宋体"/>
                <w:b/>
                <w:bCs/>
                <w:szCs w:val="21"/>
              </w:rPr>
            </w:pPr>
            <w:r>
              <w:rPr>
                <w:rFonts w:hint="eastAsia" w:ascii="宋体" w:hAnsi="宋体" w:cs="宋体"/>
                <w:b/>
                <w:bCs/>
                <w:szCs w:val="21"/>
              </w:rPr>
              <w:t>预算金额</w:t>
            </w:r>
          </w:p>
        </w:tc>
        <w:tc>
          <w:tcPr>
            <w:tcW w:w="2310" w:type="dxa"/>
            <w:noWrap w:val="0"/>
            <w:vAlign w:val="center"/>
          </w:tcPr>
          <w:p>
            <w:pPr>
              <w:spacing w:line="400" w:lineRule="exact"/>
              <w:jc w:val="center"/>
              <w:rPr>
                <w:rFonts w:hint="eastAsia" w:ascii="宋体" w:hAnsi="宋体" w:cs="宋体"/>
                <w:b/>
                <w:bCs/>
                <w:szCs w:val="21"/>
              </w:rPr>
            </w:pPr>
            <w:r>
              <w:rPr>
                <w:rFonts w:hint="eastAsia" w:ascii="宋体" w:hAnsi="宋体" w:cs="宋体"/>
                <w:b/>
                <w:bCs/>
                <w:szCs w:val="21"/>
              </w:rPr>
              <w:t>管理保洁承包期限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64" w:hRule="atLeast"/>
        </w:trPr>
        <w:tc>
          <w:tcPr>
            <w:tcW w:w="1335" w:type="dxa"/>
            <w:noWrap w:val="0"/>
            <w:vAlign w:val="center"/>
          </w:tcPr>
          <w:p>
            <w:pPr>
              <w:spacing w:line="400" w:lineRule="exact"/>
              <w:jc w:val="center"/>
              <w:rPr>
                <w:rFonts w:hint="eastAsia" w:ascii="宋体" w:hAnsi="宋体" w:cs="宋体"/>
                <w:szCs w:val="21"/>
              </w:rPr>
            </w:pPr>
            <w:r>
              <w:rPr>
                <w:rFonts w:hint="eastAsia" w:ascii="宋体" w:hAnsi="宋体" w:cs="宋体"/>
                <w:szCs w:val="21"/>
              </w:rPr>
              <w:t>Ⅰ标：柯北标段</w:t>
            </w:r>
          </w:p>
        </w:tc>
        <w:tc>
          <w:tcPr>
            <w:tcW w:w="3915" w:type="dxa"/>
            <w:noWrap w:val="0"/>
            <w:vAlign w:val="center"/>
          </w:tcPr>
          <w:p>
            <w:pPr>
              <w:spacing w:line="340" w:lineRule="exact"/>
              <w:rPr>
                <w:rFonts w:hint="eastAsia" w:ascii="宋体" w:hAnsi="宋体" w:cs="宋体"/>
                <w:szCs w:val="21"/>
              </w:rPr>
            </w:pPr>
            <w:r>
              <w:rPr>
                <w:rFonts w:hint="eastAsia" w:ascii="宋体" w:hAnsi="宋体"/>
                <w:bCs/>
                <w:szCs w:val="21"/>
              </w:rPr>
              <w:t>群贤路(不含)以北，规划道路(不含)以南，越州大道(含)以东，镜水路(含)以西区域道路保洁。</w:t>
            </w:r>
          </w:p>
        </w:tc>
        <w:tc>
          <w:tcPr>
            <w:tcW w:w="1410" w:type="dxa"/>
            <w:noWrap w:val="0"/>
            <w:vAlign w:val="center"/>
          </w:tcPr>
          <w:p>
            <w:pPr>
              <w:spacing w:line="400" w:lineRule="exact"/>
              <w:jc w:val="center"/>
              <w:rPr>
                <w:rFonts w:hint="eastAsia" w:ascii="宋体" w:hAnsi="宋体" w:cs="宋体"/>
                <w:b/>
                <w:bCs/>
                <w:szCs w:val="21"/>
              </w:rPr>
            </w:pPr>
            <w:r>
              <w:rPr>
                <w:rFonts w:hint="eastAsia" w:ascii="宋体" w:hAnsi="宋体" w:cs="宋体"/>
                <w:b/>
                <w:bCs/>
                <w:szCs w:val="21"/>
              </w:rPr>
              <w:t>2576万/年</w:t>
            </w:r>
          </w:p>
        </w:tc>
        <w:tc>
          <w:tcPr>
            <w:tcW w:w="2310" w:type="dxa"/>
            <w:vMerge w:val="restart"/>
            <w:noWrap w:val="0"/>
            <w:vAlign w:val="center"/>
          </w:tcPr>
          <w:p>
            <w:pPr>
              <w:spacing w:line="400" w:lineRule="exact"/>
              <w:rPr>
                <w:rFonts w:hint="eastAsia" w:ascii="宋体" w:hAnsi="宋体" w:cs="宋体"/>
                <w:szCs w:val="21"/>
              </w:rPr>
            </w:pPr>
            <w:r>
              <w:rPr>
                <w:rFonts w:hint="eastAsia" w:ascii="宋体" w:hAnsi="宋体" w:cs="宋体"/>
                <w:szCs w:val="21"/>
              </w:rPr>
              <w:t xml:space="preserve">2+1年（具体以合同签订时间为准）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1" w:hRule="atLeast"/>
        </w:trPr>
        <w:tc>
          <w:tcPr>
            <w:tcW w:w="1335" w:type="dxa"/>
            <w:noWrap w:val="0"/>
            <w:vAlign w:val="center"/>
          </w:tcPr>
          <w:p>
            <w:pPr>
              <w:spacing w:line="400" w:lineRule="exact"/>
              <w:jc w:val="center"/>
              <w:rPr>
                <w:rFonts w:hint="eastAsia" w:ascii="宋体" w:hAnsi="宋体" w:cs="宋体"/>
                <w:szCs w:val="21"/>
              </w:rPr>
            </w:pPr>
            <w:r>
              <w:rPr>
                <w:rFonts w:hint="eastAsia" w:ascii="宋体" w:hAnsi="宋体"/>
                <w:bCs/>
                <w:szCs w:val="21"/>
              </w:rPr>
              <w:t>Ⅱ标：柯中标段</w:t>
            </w:r>
          </w:p>
        </w:tc>
        <w:tc>
          <w:tcPr>
            <w:tcW w:w="3915" w:type="dxa"/>
            <w:noWrap w:val="0"/>
            <w:vAlign w:val="center"/>
          </w:tcPr>
          <w:p>
            <w:pPr>
              <w:spacing w:line="340" w:lineRule="exact"/>
              <w:rPr>
                <w:rFonts w:hint="eastAsia" w:ascii="宋体" w:hAnsi="宋体" w:cs="宋体"/>
                <w:szCs w:val="21"/>
              </w:rPr>
            </w:pPr>
            <w:r>
              <w:rPr>
                <w:rFonts w:hint="eastAsia" w:ascii="宋体" w:hAnsi="宋体"/>
                <w:bCs/>
                <w:szCs w:val="21"/>
              </w:rPr>
              <w:t>104国道（不含）以北，群贤路（含）以南，金柯桥大道（含）以西，越州大道(含)以东区域道路及坂湖公园保洁。</w:t>
            </w:r>
          </w:p>
        </w:tc>
        <w:tc>
          <w:tcPr>
            <w:tcW w:w="1410" w:type="dxa"/>
            <w:noWrap w:val="0"/>
            <w:vAlign w:val="center"/>
          </w:tcPr>
          <w:p>
            <w:pPr>
              <w:spacing w:line="400" w:lineRule="exact"/>
              <w:jc w:val="center"/>
              <w:rPr>
                <w:rFonts w:hint="eastAsia" w:ascii="宋体" w:hAnsi="宋体" w:cs="宋体"/>
                <w:b/>
                <w:bCs/>
                <w:szCs w:val="21"/>
              </w:rPr>
            </w:pPr>
            <w:r>
              <w:rPr>
                <w:rFonts w:hint="eastAsia" w:ascii="宋体" w:hAnsi="宋体" w:cs="宋体"/>
                <w:b/>
                <w:bCs/>
                <w:szCs w:val="21"/>
              </w:rPr>
              <w:t>2184万/年</w:t>
            </w:r>
          </w:p>
        </w:tc>
        <w:tc>
          <w:tcPr>
            <w:tcW w:w="2310" w:type="dxa"/>
            <w:vMerge w:val="continue"/>
            <w:noWrap w:val="0"/>
            <w:vAlign w:val="center"/>
          </w:tcPr>
          <w:p>
            <w:pPr>
              <w:spacing w:line="400" w:lineRule="exact"/>
              <w:jc w:val="center"/>
              <w:rPr>
                <w:rFonts w:hint="eastAsia" w:ascii="宋体" w:hAnsi="宋体" w:cs="宋体"/>
                <w:szCs w:val="21"/>
              </w:rPr>
            </w:pPr>
          </w:p>
        </w:tc>
      </w:tr>
    </w:tbl>
    <w:p>
      <w:pPr>
        <w:pStyle w:val="36"/>
        <w:spacing w:before="0" w:beforeAutospacing="0" w:after="0" w:afterAutospacing="0" w:line="276" w:lineRule="auto"/>
        <w:ind w:firstLine="420"/>
        <w:rPr>
          <w:rFonts w:hint="eastAsia" w:ascii="宋体" w:hAnsi="宋体" w:eastAsia="宋体" w:cs="宋体"/>
          <w:b/>
          <w:color w:val="auto"/>
          <w:sz w:val="21"/>
          <w:szCs w:val="21"/>
        </w:rPr>
      </w:pPr>
      <w:r>
        <w:rPr>
          <w:rFonts w:hint="eastAsia" w:ascii="宋体" w:hAnsi="宋体" w:eastAsia="宋体" w:cs="宋体"/>
          <w:b/>
          <w:color w:val="auto"/>
          <w:sz w:val="21"/>
          <w:szCs w:val="21"/>
        </w:rPr>
        <w:t>注：符合要求的供应商可以同时报名二个标段，但只允许中一个标段。开标将按顺序（Ⅰ标：柯北标段、Ⅱ标：柯中标段）进行。</w:t>
      </w:r>
    </w:p>
    <w:p>
      <w:pPr>
        <w:pStyle w:val="36"/>
        <w:spacing w:before="0" w:beforeAutospacing="0" w:after="0" w:afterAutospacing="0" w:line="360" w:lineRule="auto"/>
        <w:ind w:firstLine="420"/>
        <w:rPr>
          <w:rFonts w:hint="eastAsia" w:ascii="宋体" w:hAnsi="宋体" w:eastAsia="宋体" w:cs="宋体"/>
          <w:color w:val="auto"/>
          <w:sz w:val="21"/>
          <w:szCs w:val="21"/>
        </w:rPr>
      </w:pPr>
      <w:r>
        <w:rPr>
          <w:rFonts w:hint="eastAsia" w:ascii="宋体" w:hAnsi="宋体" w:eastAsia="宋体" w:cs="宋体"/>
          <w:b/>
          <w:color w:val="auto"/>
          <w:sz w:val="21"/>
          <w:szCs w:val="21"/>
        </w:rPr>
        <w:t>五、投标供应商资格要求：</w:t>
      </w:r>
    </w:p>
    <w:p>
      <w:pPr>
        <w:pStyle w:val="36"/>
        <w:spacing w:before="0" w:beforeAutospacing="0" w:after="0" w:afterAutospacing="0"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 xml:space="preserve">①符合政府采购法第二十二条规定； </w:t>
      </w:r>
    </w:p>
    <w:p>
      <w:pPr>
        <w:pStyle w:val="36"/>
        <w:spacing w:before="0" w:beforeAutospacing="0" w:after="0" w:afterAutospacing="0"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②未被列入失信被执行人、重大税收违法案件当事人名单和政府采购严重违法失信行为记录名单的供应商；</w:t>
      </w:r>
    </w:p>
    <w:p>
      <w:pPr>
        <w:pStyle w:val="36"/>
        <w:spacing w:before="0" w:beforeAutospacing="0" w:after="0" w:afterAutospacing="0"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 xml:space="preserve">③经市场监督管理部门核准，允许从事环境卫生作业的独立法人； </w:t>
      </w:r>
    </w:p>
    <w:p>
      <w:pPr>
        <w:pStyle w:val="36"/>
        <w:spacing w:before="0" w:beforeAutospacing="0" w:after="0" w:afterAutospacing="0"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④本次招标</w:t>
      </w:r>
      <w:r>
        <w:rPr>
          <w:rFonts w:hint="eastAsia" w:ascii="宋体" w:hAnsi="宋体" w:eastAsia="宋体" w:cs="宋体"/>
          <w:color w:val="auto"/>
          <w:sz w:val="21"/>
          <w:szCs w:val="21"/>
          <w:u w:val="single"/>
        </w:rPr>
        <w:t>不接受</w:t>
      </w:r>
      <w:r>
        <w:rPr>
          <w:rFonts w:hint="eastAsia" w:ascii="宋体" w:hAnsi="宋体" w:eastAsia="宋体" w:cs="宋体"/>
          <w:color w:val="auto"/>
          <w:sz w:val="21"/>
          <w:szCs w:val="21"/>
        </w:rPr>
        <w:t>联合体投标。</w:t>
      </w:r>
    </w:p>
    <w:p>
      <w:pPr>
        <w:widowControl/>
        <w:spacing w:line="360" w:lineRule="auto"/>
        <w:ind w:firstLine="474" w:firstLineChars="225"/>
        <w:jc w:val="left"/>
        <w:rPr>
          <w:rFonts w:hint="eastAsia" w:ascii="宋体" w:hAnsi="宋体" w:cs="宋体"/>
          <w:szCs w:val="21"/>
        </w:rPr>
      </w:pPr>
      <w:r>
        <w:rPr>
          <w:rFonts w:hint="eastAsia" w:ascii="宋体" w:hAnsi="宋体" w:cs="宋体"/>
          <w:b/>
          <w:szCs w:val="21"/>
        </w:rPr>
        <w:t>六、采购文件的获取的时间和方式：</w:t>
      </w:r>
    </w:p>
    <w:p>
      <w:pPr>
        <w:spacing w:line="360" w:lineRule="auto"/>
        <w:ind w:firstLine="420" w:firstLineChars="200"/>
        <w:rPr>
          <w:rFonts w:hint="eastAsia" w:ascii="宋体" w:hAnsi="宋体" w:cs="宋体"/>
          <w:szCs w:val="21"/>
        </w:rPr>
      </w:pPr>
      <w:r>
        <w:rPr>
          <w:rFonts w:hint="eastAsia" w:ascii="宋体" w:hAnsi="宋体" w:cs="宋体"/>
          <w:szCs w:val="21"/>
        </w:rPr>
        <w:t>自公告之日起至</w:t>
      </w:r>
      <w:r>
        <w:rPr>
          <w:rFonts w:hint="eastAsia" w:ascii="宋体" w:hAnsi="宋体" w:cs="宋体"/>
          <w:szCs w:val="21"/>
          <w:u w:val="single"/>
        </w:rPr>
        <w:t>2020</w:t>
      </w:r>
      <w:r>
        <w:rPr>
          <w:rFonts w:hint="eastAsia" w:ascii="宋体" w:hAnsi="宋体" w:cs="宋体"/>
          <w:szCs w:val="21"/>
        </w:rPr>
        <w:t xml:space="preserve">年 </w:t>
      </w:r>
      <w:r>
        <w:rPr>
          <w:rFonts w:hint="eastAsia" w:ascii="宋体" w:hAnsi="宋体" w:cs="宋体"/>
          <w:szCs w:val="21"/>
          <w:u w:val="single"/>
        </w:rPr>
        <w:t>6</w:t>
      </w:r>
      <w:r>
        <w:rPr>
          <w:rFonts w:hint="eastAsia" w:ascii="宋体" w:hAnsi="宋体" w:cs="宋体"/>
          <w:szCs w:val="21"/>
        </w:rPr>
        <w:t>月</w:t>
      </w:r>
      <w:r>
        <w:rPr>
          <w:rFonts w:hint="eastAsia" w:ascii="宋体" w:hAnsi="宋体" w:cs="宋体"/>
          <w:szCs w:val="21"/>
          <w:u w:val="single"/>
        </w:rPr>
        <w:t>19</w:t>
      </w:r>
      <w:r>
        <w:rPr>
          <w:rFonts w:hint="eastAsia" w:ascii="宋体" w:hAnsi="宋体" w:cs="宋体"/>
          <w:szCs w:val="21"/>
        </w:rPr>
        <w:t>日下午16：00时截止，由供应商自行在浙江政府采购云平台下载，网址http://www.zcygov.cn/。</w:t>
      </w:r>
    </w:p>
    <w:p>
      <w:pPr>
        <w:spacing w:line="360" w:lineRule="auto"/>
        <w:ind w:firstLine="420" w:firstLineChars="200"/>
        <w:rPr>
          <w:rFonts w:hint="eastAsia" w:ascii="宋体" w:hAnsi="宋体" w:cs="宋体"/>
          <w:szCs w:val="21"/>
        </w:rPr>
      </w:pPr>
      <w:r>
        <w:rPr>
          <w:rFonts w:hint="eastAsia" w:ascii="宋体" w:hAnsi="宋体" w:cs="宋体"/>
          <w:szCs w:val="21"/>
        </w:rPr>
        <w:t>采购文件获取截止时间后至投标截止时间前，潜在投标供应商提出要求获取采购文件的，可允许其获取，但该供应商如对采购文件有疑问的，应在采购文件载明的投标提问截止时间前提出，逾期提出的，采购人有权不予受理、答复。</w:t>
      </w:r>
    </w:p>
    <w:p>
      <w:pPr>
        <w:spacing w:line="360" w:lineRule="auto"/>
        <w:ind w:firstLine="420"/>
        <w:rPr>
          <w:rFonts w:hint="eastAsia" w:ascii="宋体" w:hAnsi="宋体" w:cs="宋体"/>
          <w:b/>
          <w:szCs w:val="21"/>
        </w:rPr>
      </w:pPr>
      <w:r>
        <w:rPr>
          <w:rFonts w:hint="eastAsia" w:ascii="宋体" w:hAnsi="宋体" w:cs="宋体"/>
          <w:b/>
          <w:szCs w:val="21"/>
        </w:rPr>
        <w:t>七、报名的时间和方式：</w:t>
      </w:r>
    </w:p>
    <w:p>
      <w:pPr>
        <w:spacing w:line="360" w:lineRule="auto"/>
        <w:ind w:firstLine="420"/>
        <w:rPr>
          <w:rFonts w:hint="eastAsia" w:ascii="宋体" w:hAnsi="宋体" w:cs="宋体"/>
          <w:szCs w:val="21"/>
        </w:rPr>
      </w:pPr>
      <w:r>
        <w:rPr>
          <w:rFonts w:hint="eastAsia" w:ascii="宋体" w:hAnsi="宋体" w:cs="宋体"/>
          <w:szCs w:val="21"/>
        </w:rPr>
        <w:t>本项目实行网上报名，不接受现场报名。参加本项目投标的供应商应在投标截至时间之前完成网上在线报名 ，网上报名网站为浙江政府采购云平台，网址http://www.zcygov.cn/。未报名投标人的投标文件（如以联合体形式参加政府采购活动的，需联合体牵头人报名）将被拒绝。《供应商网上报名操作指南》网址：浙江政府采购网，位置：“首页-办事指南-省采中心-网上报名”</w:t>
      </w:r>
    </w:p>
    <w:p>
      <w:pPr>
        <w:pStyle w:val="36"/>
        <w:spacing w:before="120" w:beforeAutospacing="0" w:after="120" w:afterAutospacing="0" w:line="360" w:lineRule="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w:t>
      </w:r>
      <w:r>
        <w:rPr>
          <w:rFonts w:hint="eastAsia" w:ascii="宋体" w:hAnsi="宋体" w:eastAsia="宋体" w:cs="宋体"/>
          <w:color w:val="auto"/>
          <w:kern w:val="2"/>
          <w:sz w:val="21"/>
          <w:szCs w:val="21"/>
        </w:rPr>
        <w:fldChar w:fldCharType="begin"/>
      </w:r>
      <w:r>
        <w:rPr>
          <w:rFonts w:hint="eastAsia" w:ascii="宋体" w:hAnsi="宋体" w:eastAsia="宋体" w:cs="宋体"/>
          <w:color w:val="auto"/>
          <w:kern w:val="2"/>
          <w:sz w:val="21"/>
          <w:szCs w:val="21"/>
        </w:rPr>
        <w:instrText xml:space="preserve"> HYPERLINK "http://zfcg.czt.zj.gov.cn/quote/2017-05-25/6708.html?_=2020-02-17 03:02:20" </w:instrText>
      </w:r>
      <w:r>
        <w:rPr>
          <w:rFonts w:hint="eastAsia" w:ascii="宋体" w:hAnsi="宋体" w:eastAsia="宋体" w:cs="宋体"/>
          <w:color w:val="auto"/>
          <w:kern w:val="2"/>
          <w:sz w:val="21"/>
          <w:szCs w:val="21"/>
        </w:rPr>
        <w:fldChar w:fldCharType="separate"/>
      </w:r>
      <w:r>
        <w:rPr>
          <w:rFonts w:hint="eastAsia" w:ascii="宋体" w:hAnsi="宋体" w:eastAsia="宋体" w:cs="宋体"/>
          <w:color w:val="auto"/>
          <w:kern w:val="2"/>
          <w:sz w:val="21"/>
          <w:szCs w:val="21"/>
        </w:rPr>
        <w:t>http://zfcg.czt.zj.gov.cn/quote/2017-05-25/6708.html?_=2020-02-17%2003:02:20</w:t>
      </w:r>
      <w:r>
        <w:rPr>
          <w:rFonts w:hint="eastAsia" w:ascii="宋体" w:hAnsi="宋体" w:eastAsia="宋体" w:cs="宋体"/>
          <w:color w:val="auto"/>
          <w:kern w:val="2"/>
          <w:sz w:val="21"/>
          <w:szCs w:val="21"/>
        </w:rPr>
        <w:fldChar w:fldCharType="end"/>
      </w:r>
      <w:r>
        <w:rPr>
          <w:rFonts w:hint="eastAsia" w:ascii="宋体" w:hAnsi="宋体" w:eastAsia="宋体" w:cs="宋体"/>
          <w:color w:val="auto"/>
          <w:kern w:val="2"/>
          <w:sz w:val="21"/>
          <w:szCs w:val="21"/>
        </w:rPr>
        <w:t>)。</w:t>
      </w:r>
    </w:p>
    <w:p>
      <w:pPr>
        <w:pStyle w:val="36"/>
        <w:spacing w:before="0" w:beforeAutospacing="0" w:after="0" w:afterAutospacing="0" w:line="360" w:lineRule="auto"/>
        <w:ind w:firstLine="316" w:firstLineChars="150"/>
        <w:rPr>
          <w:rFonts w:hint="eastAsia" w:ascii="宋体" w:hAnsi="宋体" w:eastAsia="宋体" w:cs="宋体"/>
          <w:color w:val="auto"/>
          <w:kern w:val="2"/>
          <w:sz w:val="21"/>
          <w:szCs w:val="21"/>
        </w:rPr>
      </w:pPr>
      <w:r>
        <w:rPr>
          <w:rFonts w:hint="eastAsia" w:ascii="宋体" w:hAnsi="宋体" w:eastAsia="宋体" w:cs="宋体"/>
          <w:b/>
          <w:color w:val="auto"/>
          <w:kern w:val="2"/>
          <w:sz w:val="21"/>
          <w:szCs w:val="21"/>
        </w:rPr>
        <w:t>八、投标与开标注意事项：</w:t>
      </w:r>
    </w:p>
    <w:p>
      <w:pPr>
        <w:pStyle w:val="36"/>
        <w:spacing w:before="0" w:beforeAutospacing="0" w:after="0" w:afterAutospacing="0" w:line="360" w:lineRule="auto"/>
        <w:ind w:firstLine="315" w:firstLineChars="15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8.1.本项目实行</w:t>
      </w:r>
      <w:r>
        <w:rPr>
          <w:rFonts w:hint="eastAsia" w:ascii="宋体" w:hAnsi="宋体" w:eastAsia="宋体" w:cs="宋体"/>
          <w:b/>
          <w:color w:val="auto"/>
          <w:kern w:val="2"/>
          <w:sz w:val="21"/>
          <w:szCs w:val="21"/>
        </w:rPr>
        <w:t>网上投标</w:t>
      </w:r>
      <w:r>
        <w:rPr>
          <w:rFonts w:hint="eastAsia" w:ascii="宋体" w:hAnsi="宋体" w:eastAsia="宋体" w:cs="宋体"/>
          <w:color w:val="auto"/>
          <w:kern w:val="2"/>
          <w:sz w:val="21"/>
          <w:szCs w:val="21"/>
        </w:rPr>
        <w:t>，采用电子投标文件。</w:t>
      </w:r>
    </w:p>
    <w:p>
      <w:pPr>
        <w:pStyle w:val="36"/>
        <w:snapToGrid w:val="0"/>
        <w:spacing w:before="0" w:beforeAutospacing="0" w:after="0" w:afterAutospacing="0" w:line="360" w:lineRule="auto"/>
        <w:ind w:firstLine="336"/>
        <w:rPr>
          <w:rFonts w:hint="eastAsia" w:ascii="宋体" w:hAnsi="宋体" w:eastAsia="宋体" w:cs="宋体"/>
          <w:b/>
          <w:color w:val="auto"/>
          <w:kern w:val="2"/>
          <w:sz w:val="21"/>
          <w:szCs w:val="21"/>
        </w:rPr>
      </w:pPr>
      <w:r>
        <w:rPr>
          <w:rFonts w:hint="eastAsia" w:ascii="宋体" w:hAnsi="宋体" w:eastAsia="宋体" w:cs="宋体"/>
          <w:color w:val="auto"/>
          <w:kern w:val="2"/>
          <w:sz w:val="21"/>
          <w:szCs w:val="21"/>
        </w:rPr>
        <w:t>8.2.标前准备：各供应商应在开标前应确保成为浙江省政府采购网正式注册入库供应商，并完成CA数字证书办理。办理流程详见http://zfcg.czt.zj.gov.cn/bidClientTemplate/2019-05-27/12945.html）。完成CA数字证书办理预计半个月左右，建议各投标人抓紧时间办理。因未注册入库、未办理CA数字证书等原因造成无法投标或投标失败等后果由供应商自行承担。</w:t>
      </w:r>
    </w:p>
    <w:p>
      <w:pPr>
        <w:pStyle w:val="36"/>
        <w:snapToGrid w:val="0"/>
        <w:spacing w:before="0" w:beforeAutospacing="0" w:after="0" w:afterAutospacing="0" w:line="360" w:lineRule="auto"/>
        <w:ind w:firstLine="336"/>
        <w:rPr>
          <w:rFonts w:hint="eastAsia" w:ascii="宋体" w:hAnsi="宋体" w:eastAsia="宋体" w:cs="宋体"/>
          <w:b/>
          <w:color w:val="auto"/>
          <w:kern w:val="2"/>
          <w:sz w:val="21"/>
          <w:szCs w:val="21"/>
        </w:rPr>
      </w:pPr>
      <w:r>
        <w:rPr>
          <w:rFonts w:hint="eastAsia" w:ascii="宋体" w:hAnsi="宋体" w:eastAsia="宋体" w:cs="宋体"/>
          <w:color w:val="auto"/>
          <w:kern w:val="2"/>
          <w:sz w:val="21"/>
          <w:szCs w:val="21"/>
        </w:rPr>
        <w:t>8.3.投标文件制作：</w:t>
      </w:r>
    </w:p>
    <w:p>
      <w:pPr>
        <w:pStyle w:val="36"/>
        <w:snapToGrid w:val="0"/>
        <w:spacing w:before="0" w:beforeAutospacing="0" w:after="0" w:afterAutospacing="0" w:line="360" w:lineRule="auto"/>
        <w:ind w:firstLine="336"/>
        <w:rPr>
          <w:rFonts w:hint="eastAsia" w:ascii="宋体" w:hAnsi="宋体" w:eastAsia="宋体" w:cs="宋体"/>
          <w:b/>
          <w:color w:val="auto"/>
          <w:kern w:val="2"/>
          <w:sz w:val="21"/>
          <w:szCs w:val="21"/>
        </w:rPr>
      </w:pPr>
      <w:r>
        <w:rPr>
          <w:rFonts w:hint="eastAsia" w:ascii="宋体" w:hAnsi="宋体" w:eastAsia="宋体" w:cs="宋体"/>
          <w:color w:val="auto"/>
          <w:kern w:val="2"/>
          <w:sz w:val="21"/>
          <w:szCs w:val="21"/>
        </w:rPr>
        <w:t>8.3.1应按照本项目招标文件和政采云平台的要求编制、加密并递交投标文件。供应商在使用系统进行投标的过程中遇到涉及平台使用的任何问题，可致电政采云平台技术支持热线咨询，联系方式：400-881-7190。</w:t>
      </w:r>
    </w:p>
    <w:p>
      <w:pPr>
        <w:pStyle w:val="36"/>
        <w:snapToGrid w:val="0"/>
        <w:spacing w:before="0" w:beforeAutospacing="0" w:after="0" w:afterAutospacing="0" w:line="360" w:lineRule="auto"/>
        <w:ind w:firstLine="336"/>
        <w:rPr>
          <w:rFonts w:hint="eastAsia" w:ascii="宋体" w:hAnsi="宋体" w:eastAsia="宋体" w:cs="宋体"/>
          <w:b/>
          <w:color w:val="auto"/>
          <w:kern w:val="2"/>
          <w:sz w:val="21"/>
          <w:szCs w:val="21"/>
        </w:rPr>
      </w:pPr>
      <w:r>
        <w:rPr>
          <w:rFonts w:hint="eastAsia" w:ascii="宋体" w:hAnsi="宋体" w:eastAsia="宋体" w:cs="宋体"/>
          <w:color w:val="auto"/>
          <w:kern w:val="2"/>
          <w:sz w:val="21"/>
          <w:szCs w:val="21"/>
        </w:rPr>
        <w:t>8.3.2投标人通过“政采云”平台电子投标工具制作投标文件，电子投标工具请供应商自行前往浙江省政府采购网下载并安装，（下载网址：http://zfcg.czt.zj.gov.cn/bidClientTemplate/2019-05-27/12946.html），投标文件制作具体流程详见本招标公告附件：“政采云供应商项目采购-电子招投标操作指南.pdf”。</w:t>
      </w:r>
    </w:p>
    <w:p>
      <w:pPr>
        <w:spacing w:line="360" w:lineRule="auto"/>
        <w:ind w:firstLine="422" w:firstLineChars="200"/>
        <w:rPr>
          <w:rFonts w:hint="eastAsia" w:ascii="宋体" w:hAnsi="宋体" w:cs="宋体"/>
          <w:b/>
          <w:szCs w:val="21"/>
        </w:rPr>
      </w:pPr>
      <w:r>
        <w:rPr>
          <w:rFonts w:hint="eastAsia" w:ascii="宋体" w:hAnsi="宋体" w:cs="宋体"/>
          <w:b/>
          <w:szCs w:val="21"/>
        </w:rPr>
        <w:t>九、投标截止时间及要求：</w:t>
      </w:r>
      <w:r>
        <w:rPr>
          <w:rFonts w:hint="eastAsia" w:ascii="宋体" w:hAnsi="宋体" w:cs="宋体"/>
          <w:szCs w:val="21"/>
          <w:u w:val="single"/>
        </w:rPr>
        <w:t>2020</w:t>
      </w:r>
      <w:r>
        <w:rPr>
          <w:rFonts w:hint="eastAsia" w:ascii="宋体" w:hAnsi="宋体" w:cs="宋体"/>
          <w:szCs w:val="21"/>
        </w:rPr>
        <w:t>年</w:t>
      </w:r>
      <w:r>
        <w:rPr>
          <w:rFonts w:hint="eastAsia" w:ascii="宋体" w:hAnsi="宋体" w:cs="宋体"/>
          <w:szCs w:val="21"/>
          <w:u w:val="single"/>
        </w:rPr>
        <w:t>7</w:t>
      </w:r>
      <w:r>
        <w:rPr>
          <w:rFonts w:hint="eastAsia" w:ascii="宋体" w:hAnsi="宋体" w:cs="宋体"/>
          <w:szCs w:val="21"/>
        </w:rPr>
        <w:t>月</w:t>
      </w:r>
      <w:r>
        <w:rPr>
          <w:rFonts w:hint="eastAsia" w:ascii="宋体" w:hAnsi="宋体" w:cs="宋体"/>
          <w:szCs w:val="21"/>
          <w:u w:val="single"/>
        </w:rPr>
        <w:t>3</w:t>
      </w:r>
      <w:r>
        <w:rPr>
          <w:rFonts w:hint="eastAsia" w:ascii="宋体" w:hAnsi="宋体" w:cs="宋体"/>
          <w:szCs w:val="21"/>
        </w:rPr>
        <w:t>日上午9：30时整之前将电子投标文件上传到“政采云”平台。</w:t>
      </w:r>
    </w:p>
    <w:p>
      <w:pPr>
        <w:widowControl/>
        <w:spacing w:line="360" w:lineRule="auto"/>
        <w:ind w:firstLine="424" w:firstLineChars="201"/>
        <w:jc w:val="left"/>
        <w:rPr>
          <w:rFonts w:hint="eastAsia" w:ascii="宋体" w:hAnsi="宋体" w:cs="宋体"/>
          <w:szCs w:val="21"/>
        </w:rPr>
      </w:pPr>
      <w:r>
        <w:rPr>
          <w:rFonts w:hint="eastAsia" w:ascii="宋体" w:hAnsi="宋体" w:cs="宋体"/>
          <w:b/>
          <w:szCs w:val="21"/>
        </w:rPr>
        <w:t>十、开标时间及地点：</w:t>
      </w:r>
      <w:r>
        <w:rPr>
          <w:rFonts w:hint="eastAsia" w:ascii="宋体" w:hAnsi="宋体" w:cs="宋体"/>
          <w:szCs w:val="21"/>
          <w:u w:val="single"/>
        </w:rPr>
        <w:t>2020</w:t>
      </w:r>
      <w:r>
        <w:rPr>
          <w:rFonts w:hint="eastAsia" w:ascii="宋体" w:hAnsi="宋体" w:cs="宋体"/>
          <w:szCs w:val="21"/>
        </w:rPr>
        <w:t>年</w:t>
      </w:r>
      <w:r>
        <w:rPr>
          <w:rFonts w:hint="eastAsia" w:ascii="宋体" w:hAnsi="宋体" w:cs="宋体"/>
          <w:szCs w:val="21"/>
          <w:u w:val="single"/>
        </w:rPr>
        <w:t>7</w:t>
      </w:r>
      <w:r>
        <w:rPr>
          <w:rFonts w:hint="eastAsia" w:ascii="宋体" w:hAnsi="宋体" w:cs="宋体"/>
          <w:szCs w:val="21"/>
        </w:rPr>
        <w:t>月</w:t>
      </w:r>
      <w:r>
        <w:rPr>
          <w:rFonts w:hint="eastAsia" w:ascii="宋体" w:hAnsi="宋体" w:cs="宋体"/>
          <w:szCs w:val="21"/>
          <w:u w:val="single"/>
        </w:rPr>
        <w:t>3</w:t>
      </w:r>
      <w:r>
        <w:rPr>
          <w:rFonts w:hint="eastAsia" w:ascii="宋体" w:hAnsi="宋体" w:cs="宋体"/>
          <w:szCs w:val="21"/>
        </w:rPr>
        <w:t xml:space="preserve">日上午9：30时整在绍兴市柯桥区华齐路1066号绍兴市柯桥区公共资源交易中心三楼 2号交易室开标。 </w:t>
      </w:r>
    </w:p>
    <w:p>
      <w:pPr>
        <w:widowControl/>
        <w:spacing w:line="360" w:lineRule="auto"/>
        <w:ind w:firstLine="424" w:firstLineChars="201"/>
        <w:jc w:val="left"/>
        <w:rPr>
          <w:rFonts w:hint="eastAsia" w:ascii="宋体" w:hAnsi="宋体" w:cs="宋体"/>
          <w:b/>
          <w:szCs w:val="21"/>
        </w:rPr>
      </w:pPr>
      <w:r>
        <w:rPr>
          <w:rFonts w:hint="eastAsia" w:ascii="宋体" w:hAnsi="宋体" w:cs="宋体"/>
          <w:b/>
          <w:szCs w:val="21"/>
        </w:rPr>
        <w:t>开标时间后1小时内（2020年7月3日10:30整前）供应商可以登录“政采云”平台，用“项目采购-开标评标”功能进行解密投标文件。若供应商在规定时间内（2020年7月3日10:30整前）无法解密或解密失败，视为投标人放弃投标。</w:t>
      </w:r>
    </w:p>
    <w:p>
      <w:pPr>
        <w:widowControl/>
        <w:spacing w:line="360" w:lineRule="auto"/>
        <w:ind w:firstLine="424" w:firstLineChars="201"/>
        <w:jc w:val="left"/>
        <w:rPr>
          <w:rFonts w:hint="eastAsia" w:ascii="宋体" w:hAnsi="宋体" w:cs="宋体"/>
          <w:szCs w:val="21"/>
        </w:rPr>
      </w:pPr>
      <w:r>
        <w:rPr>
          <w:rFonts w:hint="eastAsia" w:ascii="宋体" w:hAnsi="宋体" w:cs="宋体"/>
          <w:b/>
          <w:szCs w:val="21"/>
        </w:rPr>
        <w:t>十一、投标保证金：</w:t>
      </w:r>
      <w:r>
        <w:rPr>
          <w:rFonts w:hint="eastAsia" w:ascii="宋体" w:hAnsi="宋体" w:cs="宋体"/>
          <w:szCs w:val="21"/>
        </w:rPr>
        <w:t>无</w:t>
      </w:r>
    </w:p>
    <w:p>
      <w:pPr>
        <w:widowControl/>
        <w:spacing w:line="360" w:lineRule="auto"/>
        <w:ind w:firstLine="424" w:firstLineChars="201"/>
        <w:jc w:val="left"/>
        <w:rPr>
          <w:rFonts w:hint="eastAsia" w:ascii="宋体" w:hAnsi="宋体" w:cs="宋体"/>
          <w:b/>
          <w:szCs w:val="21"/>
        </w:rPr>
      </w:pPr>
      <w:r>
        <w:rPr>
          <w:rFonts w:hint="eastAsia" w:ascii="宋体" w:hAnsi="宋体" w:cs="宋体"/>
          <w:b/>
          <w:szCs w:val="21"/>
        </w:rPr>
        <w:t>十二、采购公告发布：</w:t>
      </w:r>
      <w:r>
        <w:rPr>
          <w:rFonts w:hint="eastAsia" w:ascii="宋体" w:hAnsi="宋体" w:cs="宋体"/>
          <w:szCs w:val="21"/>
        </w:rPr>
        <w:fldChar w:fldCharType="begin"/>
      </w:r>
      <w:r>
        <w:rPr>
          <w:rFonts w:hint="eastAsia" w:ascii="宋体" w:hAnsi="宋体" w:cs="宋体"/>
          <w:szCs w:val="21"/>
        </w:rPr>
        <w:instrText xml:space="preserve"> HYPERLINK "http://zfcg.czt.zj.gov.cn/" </w:instrText>
      </w:r>
      <w:r>
        <w:rPr>
          <w:rFonts w:hint="eastAsia" w:ascii="宋体" w:hAnsi="宋体" w:cs="宋体"/>
          <w:szCs w:val="21"/>
        </w:rPr>
        <w:fldChar w:fldCharType="separate"/>
      </w:r>
      <w:r>
        <w:rPr>
          <w:rFonts w:hint="eastAsia" w:ascii="宋体" w:hAnsi="宋体" w:cs="宋体"/>
          <w:szCs w:val="21"/>
        </w:rPr>
        <w:t>http://zfcg.czt.zj.gov.cn</w:t>
      </w:r>
      <w:r>
        <w:rPr>
          <w:rFonts w:hint="eastAsia" w:ascii="宋体" w:hAnsi="宋体" w:cs="宋体"/>
          <w:szCs w:val="21"/>
        </w:rPr>
        <w:fldChar w:fldCharType="end"/>
      </w:r>
      <w:r>
        <w:rPr>
          <w:rFonts w:hint="eastAsia" w:ascii="宋体" w:hAnsi="宋体" w:cs="宋体"/>
          <w:szCs w:val="21"/>
        </w:rPr>
        <w:t>。</w:t>
      </w:r>
    </w:p>
    <w:p>
      <w:pPr>
        <w:widowControl/>
        <w:spacing w:line="360" w:lineRule="auto"/>
        <w:ind w:firstLine="424" w:firstLineChars="201"/>
        <w:jc w:val="left"/>
        <w:rPr>
          <w:rFonts w:hint="eastAsia" w:ascii="宋体" w:hAnsi="宋体" w:cs="宋体"/>
          <w:b/>
          <w:szCs w:val="21"/>
        </w:rPr>
      </w:pPr>
      <w:r>
        <w:rPr>
          <w:rFonts w:hint="eastAsia" w:ascii="宋体" w:hAnsi="宋体" w:cs="宋体"/>
          <w:b/>
          <w:szCs w:val="21"/>
        </w:rPr>
        <w:t>十三、本项目公告期限：</w:t>
      </w:r>
      <w:r>
        <w:rPr>
          <w:rFonts w:hint="eastAsia" w:ascii="宋体" w:hAnsi="宋体" w:cs="宋体"/>
          <w:szCs w:val="21"/>
        </w:rPr>
        <w:t>本公告发布之日起五个工作日。</w:t>
      </w:r>
    </w:p>
    <w:p>
      <w:pPr>
        <w:widowControl/>
        <w:spacing w:line="360" w:lineRule="auto"/>
        <w:ind w:firstLine="424" w:firstLineChars="201"/>
        <w:jc w:val="left"/>
        <w:rPr>
          <w:rFonts w:hint="eastAsia" w:ascii="宋体" w:hAnsi="宋体" w:cs="宋体"/>
          <w:b/>
          <w:szCs w:val="21"/>
        </w:rPr>
      </w:pPr>
      <w:r>
        <w:rPr>
          <w:rFonts w:hint="eastAsia" w:ascii="宋体" w:hAnsi="宋体" w:cs="宋体"/>
          <w:b/>
          <w:szCs w:val="21"/>
        </w:rPr>
        <w:t>十四、质疑和投诉：</w:t>
      </w:r>
      <w:r>
        <w:rPr>
          <w:rFonts w:hint="eastAsia" w:ascii="宋体" w:hAnsi="宋体" w:cs="宋体"/>
          <w:szCs w:val="21"/>
        </w:rPr>
        <w:t>供应商认为采购文件、采购过程和中标、成交结果使自己的权益受到损害的，可以在知道或者应知其权益受到损害之日起七个工作日内，以书面形式向采购人提出质疑。供应商对采购人的质疑答复不满意或者采购人未在规定时间内作出答复的，可以在答复期满后十五个工作日内向同级政府采购监督管理部门投诉。</w:t>
      </w:r>
    </w:p>
    <w:p>
      <w:pPr>
        <w:widowControl/>
        <w:spacing w:line="360" w:lineRule="auto"/>
        <w:ind w:firstLine="424" w:firstLineChars="201"/>
        <w:jc w:val="left"/>
        <w:rPr>
          <w:rFonts w:hint="eastAsia" w:ascii="宋体" w:hAnsi="宋体" w:cs="宋体"/>
          <w:b/>
          <w:szCs w:val="21"/>
        </w:rPr>
      </w:pPr>
      <w:r>
        <w:rPr>
          <w:rFonts w:hint="eastAsia" w:ascii="宋体" w:hAnsi="宋体" w:cs="宋体"/>
          <w:b/>
          <w:szCs w:val="21"/>
        </w:rPr>
        <w:t>十五、其他事项：</w:t>
      </w:r>
    </w:p>
    <w:p>
      <w:pPr>
        <w:widowControl/>
        <w:spacing w:line="360" w:lineRule="auto"/>
        <w:ind w:firstLine="424" w:firstLineChars="202"/>
        <w:jc w:val="left"/>
        <w:rPr>
          <w:rFonts w:hint="eastAsia" w:ascii="宋体" w:hAnsi="宋体" w:cs="宋体"/>
          <w:szCs w:val="21"/>
        </w:rPr>
      </w:pPr>
      <w:r>
        <w:rPr>
          <w:rFonts w:hint="eastAsia" w:ascii="宋体" w:hAnsi="宋体" w:cs="宋体"/>
          <w:szCs w:val="21"/>
        </w:rPr>
        <w:t>1、供应商注册：参与绍兴市柯桥区政府采购活动的供应商，必须注册并登记加入浙江省政府采购供应商库。供应商可通过浙江政府采购网（http://www.zjzfcg.gov.cn）或浙江政采云平台（http://www.zcy.gov.cn/）进行注册申请，按规定审核后，登记加入“浙江省政府采购供应商库”。</w:t>
      </w:r>
      <w:bookmarkStart w:id="2" w:name="_Toc25589249"/>
    </w:p>
    <w:p>
      <w:pPr>
        <w:widowControl/>
        <w:spacing w:line="360" w:lineRule="auto"/>
        <w:ind w:firstLine="422" w:firstLineChars="201"/>
        <w:jc w:val="left"/>
        <w:rPr>
          <w:rFonts w:hint="eastAsia" w:ascii="宋体" w:hAnsi="宋体" w:cs="宋体"/>
          <w:szCs w:val="21"/>
        </w:rPr>
      </w:pPr>
      <w:r>
        <w:rPr>
          <w:rFonts w:hint="eastAsia" w:ascii="宋体" w:hAnsi="宋体" w:cs="宋体"/>
          <w:szCs w:val="21"/>
        </w:rPr>
        <w:t>2、本招标文件所涉及的法定代表人或其委托代理人签字或盖章的内容，投标单位须盖法定代表人电子签章，如果投标单位没有法定代表人电子签章，涉及到法定代表人或其委托代理人签字或盖章的内容，投标单位可以线下签字或盖章后扫描上传。</w:t>
      </w:r>
    </w:p>
    <w:p>
      <w:pPr>
        <w:spacing w:line="360" w:lineRule="auto"/>
        <w:ind w:firstLine="472" w:firstLineChars="225"/>
        <w:rPr>
          <w:rFonts w:hint="eastAsia" w:ascii="宋体" w:hAnsi="宋体" w:cs="宋体"/>
          <w:szCs w:val="21"/>
        </w:rPr>
      </w:pPr>
      <w:r>
        <w:rPr>
          <w:rFonts w:hint="eastAsia" w:ascii="宋体" w:hAnsi="宋体" w:cs="宋体"/>
          <w:szCs w:val="21"/>
        </w:rPr>
        <w:t>联系方式</w:t>
      </w:r>
    </w:p>
    <w:p>
      <w:pPr>
        <w:spacing w:line="360" w:lineRule="auto"/>
        <w:ind w:firstLine="445" w:firstLineChars="225"/>
        <w:rPr>
          <w:rFonts w:hint="eastAsia" w:ascii="宋体" w:hAnsi="宋体" w:cs="宋体"/>
          <w:szCs w:val="21"/>
        </w:rPr>
      </w:pPr>
      <w:r>
        <w:rPr>
          <w:rFonts w:hint="eastAsia" w:ascii="宋体" w:hAnsi="宋体" w:cs="宋体"/>
          <w:spacing w:val="-6"/>
          <w:szCs w:val="21"/>
        </w:rPr>
        <w:t>采购人名称：</w:t>
      </w:r>
      <w:r>
        <w:rPr>
          <w:rFonts w:hint="eastAsia" w:ascii="宋体" w:hAnsi="宋体" w:cs="宋体"/>
          <w:spacing w:val="-6"/>
          <w:kern w:val="0"/>
          <w:szCs w:val="21"/>
          <w:u w:val="single"/>
        </w:rPr>
        <w:t xml:space="preserve">    绍兴市柯桥区市容环境卫生管理中心    </w:t>
      </w:r>
    </w:p>
    <w:p>
      <w:pPr>
        <w:spacing w:line="360" w:lineRule="auto"/>
        <w:ind w:firstLine="472" w:firstLineChars="225"/>
        <w:rPr>
          <w:rFonts w:hint="eastAsia" w:ascii="宋体" w:hAnsi="宋体" w:cs="宋体"/>
          <w:szCs w:val="21"/>
        </w:rPr>
      </w:pPr>
      <w:r>
        <w:rPr>
          <w:rFonts w:hint="eastAsia" w:ascii="宋体" w:hAnsi="宋体" w:cs="宋体"/>
          <w:szCs w:val="21"/>
        </w:rPr>
        <w:t>详细地点：</w:t>
      </w:r>
      <w:r>
        <w:rPr>
          <w:rFonts w:hint="eastAsia" w:ascii="宋体" w:hAnsi="宋体" w:cs="宋体"/>
          <w:szCs w:val="21"/>
          <w:u w:val="single"/>
        </w:rPr>
        <w:t xml:space="preserve">      绍兴市柯桥区柯华路156号</w:t>
      </w:r>
      <w:r>
        <w:rPr>
          <w:rFonts w:hint="eastAsia" w:ascii="宋体" w:hAnsi="宋体" w:cs="宋体"/>
          <w:spacing w:val="-6"/>
          <w:kern w:val="0"/>
          <w:szCs w:val="21"/>
          <w:u w:val="single"/>
        </w:rPr>
        <w:t xml:space="preserve">       </w:t>
      </w:r>
      <w:r>
        <w:rPr>
          <w:rFonts w:hint="eastAsia" w:ascii="宋体" w:hAnsi="宋体" w:cs="宋体"/>
          <w:szCs w:val="21"/>
          <w:u w:val="single"/>
        </w:rPr>
        <w:t xml:space="preserve"> </w:t>
      </w:r>
    </w:p>
    <w:p>
      <w:pPr>
        <w:spacing w:line="360" w:lineRule="auto"/>
        <w:ind w:firstLine="472" w:firstLineChars="225"/>
        <w:rPr>
          <w:rFonts w:hint="eastAsia" w:ascii="宋体" w:hAnsi="宋体" w:cs="宋体"/>
          <w:szCs w:val="21"/>
        </w:rPr>
      </w:pPr>
      <w:r>
        <w:rPr>
          <w:rFonts w:hint="eastAsia" w:ascii="宋体" w:hAnsi="宋体" w:cs="宋体"/>
          <w:szCs w:val="21"/>
        </w:rPr>
        <w:t>联 系 人：</w:t>
      </w:r>
      <w:r>
        <w:rPr>
          <w:rFonts w:hint="eastAsia" w:ascii="宋体" w:hAnsi="宋体" w:cs="宋体"/>
          <w:szCs w:val="21"/>
          <w:u w:val="single"/>
        </w:rPr>
        <w:t xml:space="preserve">          </w:t>
      </w:r>
      <w:r>
        <w:rPr>
          <w:rFonts w:hint="eastAsia" w:ascii="宋体" w:hAnsi="宋体" w:cs="宋体"/>
          <w:spacing w:val="-6"/>
          <w:kern w:val="0"/>
          <w:szCs w:val="21"/>
          <w:u w:val="single"/>
        </w:rPr>
        <w:t xml:space="preserve">    </w:t>
      </w:r>
      <w:r>
        <w:rPr>
          <w:rFonts w:hint="eastAsia" w:ascii="宋体" w:hAnsi="宋体"/>
          <w:szCs w:val="21"/>
          <w:u w:val="single"/>
        </w:rPr>
        <w:t>韩 鉴</w:t>
      </w:r>
      <w:r>
        <w:rPr>
          <w:rFonts w:hint="eastAsia" w:ascii="宋体" w:hAnsi="宋体" w:cs="宋体"/>
          <w:szCs w:val="21"/>
          <w:u w:val="single"/>
        </w:rPr>
        <w:t xml:space="preserve">                  </w:t>
      </w:r>
    </w:p>
    <w:p>
      <w:pPr>
        <w:widowControl/>
        <w:spacing w:line="360" w:lineRule="auto"/>
        <w:ind w:firstLine="472" w:firstLineChars="225"/>
        <w:jc w:val="left"/>
        <w:rPr>
          <w:rFonts w:hint="eastAsia" w:ascii="宋体" w:hAnsi="宋体" w:cs="宋体"/>
          <w:szCs w:val="21"/>
        </w:rPr>
      </w:pPr>
      <w:r>
        <w:rPr>
          <w:rFonts w:hint="eastAsia" w:ascii="宋体" w:hAnsi="宋体" w:cs="宋体"/>
          <w:szCs w:val="21"/>
        </w:rPr>
        <w:t>联系电话：</w:t>
      </w:r>
      <w:r>
        <w:rPr>
          <w:rFonts w:hint="eastAsia" w:ascii="宋体" w:hAnsi="宋体" w:cs="宋体"/>
          <w:szCs w:val="21"/>
          <w:u w:val="single"/>
        </w:rPr>
        <w:t xml:space="preserve">       </w:t>
      </w:r>
      <w:r>
        <w:rPr>
          <w:rFonts w:hint="eastAsia" w:ascii="宋体" w:hAnsi="宋体" w:cs="宋体"/>
          <w:spacing w:val="-6"/>
          <w:kern w:val="0"/>
          <w:szCs w:val="21"/>
          <w:u w:val="single"/>
        </w:rPr>
        <w:t xml:space="preserve"> 0575-</w:t>
      </w:r>
      <w:r>
        <w:rPr>
          <w:rFonts w:ascii="宋体" w:hAnsi="宋体" w:cs="宋体"/>
          <w:spacing w:val="-6"/>
          <w:kern w:val="0"/>
          <w:szCs w:val="21"/>
          <w:u w:val="single"/>
        </w:rPr>
        <w:t>84882393</w:t>
      </w:r>
      <w:r>
        <w:rPr>
          <w:rFonts w:hint="eastAsia" w:ascii="宋体" w:hAnsi="宋体" w:cs="宋体"/>
          <w:szCs w:val="21"/>
          <w:u w:val="single"/>
        </w:rPr>
        <w:t xml:space="preserve">          </w:t>
      </w:r>
    </w:p>
    <w:p>
      <w:pPr>
        <w:spacing w:line="360" w:lineRule="auto"/>
        <w:ind w:firstLine="472" w:firstLineChars="225"/>
        <w:rPr>
          <w:rFonts w:hint="eastAsia" w:ascii="宋体" w:hAnsi="宋体" w:cs="宋体"/>
          <w:szCs w:val="21"/>
        </w:rPr>
      </w:pPr>
      <w:r>
        <w:rPr>
          <w:rFonts w:hint="eastAsia" w:ascii="宋体" w:hAnsi="宋体" w:cs="宋体"/>
          <w:szCs w:val="21"/>
        </w:rPr>
        <w:t>传    真：</w:t>
      </w:r>
      <w:r>
        <w:rPr>
          <w:rFonts w:hint="eastAsia" w:ascii="宋体" w:hAnsi="宋体" w:cs="宋体"/>
          <w:szCs w:val="21"/>
          <w:u w:val="single"/>
        </w:rPr>
        <w:t xml:space="preserve">              </w:t>
      </w:r>
      <w:r>
        <w:rPr>
          <w:rFonts w:hint="eastAsia" w:ascii="宋体" w:hAnsi="宋体" w:cs="宋体"/>
          <w:spacing w:val="-6"/>
          <w:kern w:val="0"/>
          <w:szCs w:val="21"/>
          <w:u w:val="single"/>
        </w:rPr>
        <w:t>/</w:t>
      </w:r>
      <w:r>
        <w:rPr>
          <w:rFonts w:hint="eastAsia" w:ascii="宋体" w:hAnsi="宋体" w:cs="宋体"/>
          <w:szCs w:val="21"/>
          <w:u w:val="single"/>
        </w:rPr>
        <w:t xml:space="preserve">               </w:t>
      </w:r>
    </w:p>
    <w:p>
      <w:pPr>
        <w:spacing w:line="360" w:lineRule="auto"/>
        <w:ind w:firstLine="445" w:firstLineChars="225"/>
        <w:rPr>
          <w:rFonts w:hint="eastAsia" w:ascii="宋体" w:hAnsi="宋体" w:cs="宋体"/>
          <w:szCs w:val="21"/>
        </w:rPr>
      </w:pPr>
      <w:r>
        <w:rPr>
          <w:rFonts w:hint="eastAsia" w:ascii="宋体" w:hAnsi="宋体" w:cs="宋体"/>
          <w:spacing w:val="-6"/>
          <w:szCs w:val="21"/>
        </w:rPr>
        <w:t>采购代理机构名称：</w:t>
      </w:r>
      <w:r>
        <w:rPr>
          <w:rFonts w:hint="eastAsia" w:ascii="宋体" w:hAnsi="宋体" w:cs="宋体"/>
          <w:spacing w:val="-6"/>
          <w:szCs w:val="21"/>
          <w:u w:val="single"/>
        </w:rPr>
        <w:t xml:space="preserve">  绍兴市柯桥区公共资源交易中心、绍兴市鼎正建设工程咨询有限公司   </w:t>
      </w:r>
    </w:p>
    <w:p>
      <w:pPr>
        <w:spacing w:line="360" w:lineRule="auto"/>
        <w:ind w:firstLine="472" w:firstLineChars="225"/>
        <w:rPr>
          <w:rFonts w:hint="eastAsia" w:ascii="宋体" w:hAnsi="宋体" w:cs="宋体"/>
          <w:szCs w:val="21"/>
          <w:u w:val="single"/>
        </w:rPr>
      </w:pPr>
      <w:r>
        <w:rPr>
          <w:rFonts w:hint="eastAsia" w:ascii="宋体" w:hAnsi="宋体" w:cs="宋体"/>
          <w:szCs w:val="21"/>
        </w:rPr>
        <w:t>详细地点：</w:t>
      </w:r>
      <w:r>
        <w:rPr>
          <w:rFonts w:hint="eastAsia" w:ascii="宋体" w:hAnsi="宋体" w:cs="宋体"/>
          <w:spacing w:val="-6"/>
          <w:szCs w:val="21"/>
          <w:u w:val="single"/>
        </w:rPr>
        <w:t>绍兴市柯桥区华齐路1066号、</w:t>
      </w:r>
      <w:r>
        <w:rPr>
          <w:rFonts w:hint="eastAsia" w:ascii="宋体" w:hAnsi="宋体" w:cs="宋体"/>
          <w:szCs w:val="21"/>
          <w:u w:val="single"/>
        </w:rPr>
        <w:t>绍兴市二环北路135号（金德隆北区B座4楼）</w:t>
      </w:r>
    </w:p>
    <w:p>
      <w:pPr>
        <w:spacing w:line="360" w:lineRule="auto"/>
        <w:ind w:firstLine="472" w:firstLineChars="225"/>
        <w:rPr>
          <w:rFonts w:hint="eastAsia" w:ascii="宋体" w:hAnsi="宋体" w:cs="宋体"/>
          <w:szCs w:val="21"/>
          <w:u w:val="single"/>
        </w:rPr>
      </w:pPr>
      <w:r>
        <w:rPr>
          <w:rFonts w:hint="eastAsia" w:ascii="宋体" w:hAnsi="宋体" w:cs="宋体"/>
          <w:szCs w:val="21"/>
        </w:rPr>
        <w:t>联 系 人：</w:t>
      </w:r>
      <w:r>
        <w:rPr>
          <w:rFonts w:hint="eastAsia" w:ascii="宋体" w:hAnsi="宋体" w:cs="宋体"/>
          <w:szCs w:val="21"/>
          <w:u w:val="single"/>
        </w:rPr>
        <w:t xml:space="preserve">            张 峰</w:t>
      </w:r>
      <w:r>
        <w:rPr>
          <w:rFonts w:hint="eastAsia" w:ascii="宋体" w:hAnsi="宋体" w:cs="宋体"/>
          <w:spacing w:val="-6"/>
          <w:kern w:val="0"/>
          <w:szCs w:val="21"/>
          <w:u w:val="single"/>
        </w:rPr>
        <w:t xml:space="preserve">       </w:t>
      </w:r>
      <w:r>
        <w:rPr>
          <w:rFonts w:hint="eastAsia" w:ascii="宋体" w:hAnsi="宋体" w:cs="宋体"/>
          <w:szCs w:val="21"/>
          <w:u w:val="single"/>
        </w:rPr>
        <w:t xml:space="preserve">   </w:t>
      </w:r>
    </w:p>
    <w:p>
      <w:pPr>
        <w:widowControl/>
        <w:spacing w:line="360" w:lineRule="auto"/>
        <w:ind w:firstLine="472" w:firstLineChars="225"/>
        <w:jc w:val="left"/>
        <w:rPr>
          <w:rFonts w:hint="eastAsia" w:ascii="宋体" w:hAnsi="宋体" w:cs="宋体"/>
          <w:szCs w:val="21"/>
          <w:u w:val="single"/>
        </w:rPr>
      </w:pPr>
      <w:r>
        <w:rPr>
          <w:rFonts w:hint="eastAsia" w:ascii="宋体" w:hAnsi="宋体" w:cs="宋体"/>
          <w:szCs w:val="21"/>
        </w:rPr>
        <w:t>联系电话：</w:t>
      </w:r>
      <w:r>
        <w:rPr>
          <w:rFonts w:hint="eastAsia" w:ascii="宋体" w:hAnsi="宋体" w:cs="宋体"/>
          <w:szCs w:val="21"/>
          <w:u w:val="single"/>
        </w:rPr>
        <w:t xml:space="preserve">       0575-85176866      </w:t>
      </w:r>
    </w:p>
    <w:p>
      <w:pPr>
        <w:spacing w:line="360" w:lineRule="auto"/>
        <w:ind w:firstLine="472" w:firstLineChars="225"/>
        <w:rPr>
          <w:rFonts w:hint="eastAsia" w:ascii="宋体" w:hAnsi="宋体" w:cs="宋体"/>
          <w:szCs w:val="21"/>
          <w:u w:val="single"/>
        </w:rPr>
      </w:pPr>
      <w:r>
        <w:rPr>
          <w:rFonts w:hint="eastAsia" w:ascii="宋体" w:hAnsi="宋体" w:cs="宋体"/>
          <w:szCs w:val="21"/>
        </w:rPr>
        <w:t>传    真：</w:t>
      </w:r>
      <w:r>
        <w:rPr>
          <w:rFonts w:hint="eastAsia" w:ascii="宋体" w:hAnsi="宋体" w:cs="宋体"/>
          <w:szCs w:val="21"/>
          <w:u w:val="single"/>
        </w:rPr>
        <w:t xml:space="preserve">      0575-85155500       </w:t>
      </w:r>
    </w:p>
    <w:p>
      <w:pPr>
        <w:pStyle w:val="2"/>
        <w:numPr>
          <w:ilvl w:val="0"/>
          <w:numId w:val="0"/>
        </w:numPr>
        <w:spacing w:before="0" w:after="0" w:line="500" w:lineRule="exact"/>
        <w:ind w:left="851" w:hanging="851"/>
        <w:rPr>
          <w:rFonts w:hint="eastAsia" w:ascii="宋体" w:hAnsi="宋体"/>
          <w:b/>
          <w:bCs w:val="0"/>
          <w:sz w:val="28"/>
          <w:szCs w:val="28"/>
        </w:rPr>
      </w:pPr>
    </w:p>
    <w:p>
      <w:pPr>
        <w:rPr>
          <w:rFonts w:hint="eastAsia" w:ascii="宋体" w:hAnsi="宋体"/>
          <w:b/>
          <w:bCs/>
          <w:sz w:val="28"/>
          <w:szCs w:val="28"/>
        </w:rPr>
      </w:pPr>
    </w:p>
    <w:p>
      <w:pPr>
        <w:rPr>
          <w:rFonts w:hint="eastAsia" w:ascii="宋体" w:hAnsi="宋体"/>
          <w:b/>
          <w:bCs/>
          <w:sz w:val="28"/>
          <w:szCs w:val="28"/>
        </w:rPr>
      </w:pPr>
    </w:p>
    <w:p>
      <w:pPr>
        <w:rPr>
          <w:rFonts w:hint="eastAsia" w:ascii="宋体" w:hAnsi="宋体"/>
          <w:b/>
          <w:bCs/>
          <w:sz w:val="28"/>
          <w:szCs w:val="28"/>
        </w:rPr>
      </w:pPr>
    </w:p>
    <w:p>
      <w:pPr>
        <w:rPr>
          <w:rFonts w:hint="eastAsia" w:ascii="宋体" w:hAnsi="宋体"/>
          <w:b/>
          <w:bCs/>
          <w:sz w:val="28"/>
          <w:szCs w:val="28"/>
        </w:rPr>
      </w:pPr>
    </w:p>
    <w:p>
      <w:pPr>
        <w:rPr>
          <w:rFonts w:hint="eastAsia" w:ascii="宋体" w:hAnsi="宋体"/>
          <w:b/>
          <w:bCs/>
          <w:sz w:val="28"/>
          <w:szCs w:val="28"/>
        </w:rPr>
      </w:pPr>
    </w:p>
    <w:p>
      <w:pPr>
        <w:rPr>
          <w:rFonts w:hint="eastAsia" w:ascii="宋体" w:hAnsi="宋体"/>
          <w:b/>
          <w:bCs/>
          <w:sz w:val="28"/>
          <w:szCs w:val="28"/>
        </w:rPr>
      </w:pPr>
    </w:p>
    <w:p>
      <w:pPr>
        <w:rPr>
          <w:rFonts w:hint="eastAsia" w:ascii="宋体" w:hAnsi="宋体"/>
          <w:b/>
          <w:bCs/>
          <w:sz w:val="28"/>
          <w:szCs w:val="28"/>
        </w:rPr>
      </w:pPr>
    </w:p>
    <w:p>
      <w:pPr>
        <w:rPr>
          <w:rFonts w:hint="eastAsia" w:ascii="宋体" w:hAnsi="宋体"/>
          <w:b/>
          <w:bCs/>
          <w:sz w:val="28"/>
          <w:szCs w:val="28"/>
        </w:rPr>
      </w:pPr>
    </w:p>
    <w:p>
      <w:pPr>
        <w:rPr>
          <w:rFonts w:hint="eastAsia" w:ascii="宋体" w:hAnsi="宋体"/>
          <w:b/>
          <w:bCs/>
          <w:sz w:val="28"/>
          <w:szCs w:val="28"/>
        </w:rPr>
      </w:pPr>
    </w:p>
    <w:p>
      <w:pPr>
        <w:rPr>
          <w:rFonts w:hint="eastAsia" w:ascii="宋体" w:hAnsi="宋体"/>
          <w:b/>
          <w:bCs/>
          <w:sz w:val="28"/>
          <w:szCs w:val="28"/>
        </w:rPr>
      </w:pPr>
    </w:p>
    <w:p>
      <w:pPr>
        <w:rPr>
          <w:rFonts w:hint="eastAsia" w:ascii="宋体" w:hAnsi="宋体"/>
          <w:b/>
          <w:bCs/>
          <w:sz w:val="28"/>
          <w:szCs w:val="28"/>
        </w:rPr>
      </w:pPr>
    </w:p>
    <w:p>
      <w:pPr>
        <w:rPr>
          <w:rFonts w:hint="eastAsia" w:ascii="宋体" w:hAnsi="宋体"/>
          <w:b/>
          <w:bCs/>
          <w:sz w:val="28"/>
          <w:szCs w:val="28"/>
        </w:rPr>
      </w:pPr>
    </w:p>
    <w:p>
      <w:pPr>
        <w:rPr>
          <w:rFonts w:hint="eastAsia" w:ascii="宋体" w:hAnsi="宋体"/>
          <w:b/>
          <w:bCs/>
          <w:sz w:val="28"/>
          <w:szCs w:val="28"/>
        </w:rPr>
      </w:pPr>
    </w:p>
    <w:p>
      <w:pPr>
        <w:rPr>
          <w:rFonts w:hint="eastAsia" w:ascii="宋体" w:hAnsi="宋体"/>
          <w:b/>
          <w:bCs/>
          <w:sz w:val="28"/>
          <w:szCs w:val="28"/>
        </w:rPr>
      </w:pPr>
    </w:p>
    <w:p>
      <w:pPr>
        <w:rPr>
          <w:rFonts w:hint="eastAsia" w:ascii="宋体" w:hAnsi="宋体"/>
          <w:b/>
          <w:bCs/>
          <w:sz w:val="28"/>
          <w:szCs w:val="28"/>
        </w:rPr>
      </w:pPr>
    </w:p>
    <w:p>
      <w:pPr>
        <w:rPr>
          <w:rFonts w:hint="eastAsia" w:ascii="宋体" w:hAnsi="宋体"/>
          <w:b/>
          <w:bCs/>
          <w:sz w:val="28"/>
          <w:szCs w:val="28"/>
        </w:rPr>
      </w:pPr>
    </w:p>
    <w:p>
      <w:pPr>
        <w:rPr>
          <w:rFonts w:hint="eastAsia" w:ascii="宋体" w:hAnsi="宋体"/>
          <w:b/>
          <w:bCs/>
          <w:sz w:val="28"/>
          <w:szCs w:val="28"/>
        </w:rPr>
      </w:pPr>
    </w:p>
    <w:p>
      <w:pPr>
        <w:rPr>
          <w:rFonts w:hint="eastAsia" w:ascii="宋体" w:hAnsi="宋体"/>
          <w:b/>
          <w:bCs/>
          <w:sz w:val="28"/>
          <w:szCs w:val="28"/>
        </w:rPr>
      </w:pPr>
    </w:p>
    <w:p>
      <w:pPr>
        <w:rPr>
          <w:rFonts w:hint="eastAsia" w:ascii="宋体" w:hAnsi="宋体"/>
          <w:b/>
          <w:bCs/>
          <w:sz w:val="28"/>
          <w:szCs w:val="28"/>
        </w:rPr>
      </w:pPr>
    </w:p>
    <w:p>
      <w:pPr>
        <w:rPr>
          <w:rFonts w:hint="eastAsia" w:ascii="宋体" w:hAnsi="宋体"/>
          <w:b/>
          <w:bCs/>
          <w:sz w:val="28"/>
          <w:szCs w:val="28"/>
        </w:rPr>
      </w:pPr>
    </w:p>
    <w:p>
      <w:pPr>
        <w:rPr>
          <w:rFonts w:hint="eastAsia" w:ascii="宋体" w:hAnsi="宋体"/>
          <w:b/>
          <w:bCs/>
          <w:sz w:val="28"/>
          <w:szCs w:val="28"/>
        </w:rPr>
      </w:pPr>
    </w:p>
    <w:p>
      <w:pPr>
        <w:rPr>
          <w:rFonts w:hint="eastAsia" w:ascii="宋体" w:hAnsi="宋体"/>
          <w:b/>
          <w:bCs/>
          <w:sz w:val="28"/>
          <w:szCs w:val="28"/>
        </w:rPr>
      </w:pPr>
    </w:p>
    <w:p>
      <w:pPr>
        <w:rPr>
          <w:rFonts w:hint="eastAsia" w:ascii="宋体" w:hAnsi="宋体"/>
          <w:b/>
          <w:bCs/>
          <w:sz w:val="28"/>
          <w:szCs w:val="28"/>
        </w:rPr>
      </w:pPr>
    </w:p>
    <w:p>
      <w:pPr>
        <w:pStyle w:val="2"/>
        <w:numPr>
          <w:ilvl w:val="0"/>
          <w:numId w:val="0"/>
        </w:numPr>
        <w:spacing w:before="0" w:after="0" w:line="500" w:lineRule="exact"/>
        <w:rPr>
          <w:rFonts w:hint="eastAsia" w:ascii="宋体" w:hAnsi="宋体"/>
          <w:b/>
          <w:bCs w:val="0"/>
          <w:sz w:val="28"/>
          <w:szCs w:val="28"/>
        </w:rPr>
      </w:pPr>
      <w:r>
        <w:rPr>
          <w:rFonts w:hint="eastAsia" w:ascii="宋体" w:hAnsi="宋体"/>
          <w:b/>
          <w:bCs w:val="0"/>
          <w:sz w:val="28"/>
          <w:szCs w:val="28"/>
        </w:rPr>
        <w:t>一、</w:t>
      </w:r>
      <w:r>
        <w:rPr>
          <w:rFonts w:ascii="宋体" w:hAnsi="宋体"/>
          <w:b/>
          <w:bCs w:val="0"/>
          <w:sz w:val="28"/>
          <w:szCs w:val="28"/>
        </w:rPr>
        <w:t>前附表</w:t>
      </w:r>
      <w:bookmarkEnd w:id="2"/>
    </w:p>
    <w:tbl>
      <w:tblPr>
        <w:tblStyle w:val="41"/>
        <w:tblW w:w="9960" w:type="dxa"/>
        <w:tblInd w:w="-3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9"/>
        <w:gridCol w:w="968"/>
        <w:gridCol w:w="8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9" w:hRule="atLeast"/>
        </w:trPr>
        <w:tc>
          <w:tcPr>
            <w:tcW w:w="729" w:type="dxa"/>
            <w:tcBorders>
              <w:top w:val="single" w:color="000000" w:sz="2" w:space="0"/>
              <w:left w:val="single" w:color="000000" w:sz="2" w:space="0"/>
              <w:bottom w:val="single" w:color="000000" w:sz="2" w:space="0"/>
              <w:right w:val="single" w:color="000000" w:sz="2" w:space="0"/>
            </w:tcBorders>
            <w:noWrap w:val="0"/>
            <w:vAlign w:val="center"/>
          </w:tcPr>
          <w:p>
            <w:pPr>
              <w:spacing w:line="500" w:lineRule="exact"/>
              <w:jc w:val="center"/>
              <w:rPr>
                <w:rFonts w:ascii="宋体" w:hAnsi="宋体"/>
                <w:szCs w:val="21"/>
              </w:rPr>
            </w:pPr>
            <w:r>
              <w:rPr>
                <w:rFonts w:ascii="宋体" w:hAnsi="宋体"/>
                <w:szCs w:val="21"/>
              </w:rPr>
              <w:t>序号</w:t>
            </w:r>
          </w:p>
        </w:tc>
        <w:tc>
          <w:tcPr>
            <w:tcW w:w="9231" w:type="dxa"/>
            <w:gridSpan w:val="2"/>
            <w:tcBorders>
              <w:top w:val="single" w:color="000000" w:sz="2" w:space="0"/>
              <w:left w:val="single" w:color="auto" w:sz="4" w:space="0"/>
              <w:bottom w:val="single" w:color="000000" w:sz="2" w:space="0"/>
              <w:right w:val="single" w:color="000000" w:sz="2" w:space="0"/>
            </w:tcBorders>
            <w:noWrap w:val="0"/>
            <w:vAlign w:val="center"/>
          </w:tcPr>
          <w:p>
            <w:pPr>
              <w:spacing w:line="500" w:lineRule="exact"/>
              <w:jc w:val="center"/>
              <w:rPr>
                <w:rFonts w:ascii="宋体" w:hAnsi="宋体"/>
                <w:szCs w:val="21"/>
              </w:rPr>
            </w:pPr>
            <w:r>
              <w:rPr>
                <w:rFonts w:ascii="宋体" w:hAnsi="宋体"/>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9" w:hRule="atLeast"/>
        </w:trPr>
        <w:tc>
          <w:tcPr>
            <w:tcW w:w="729" w:type="dxa"/>
            <w:tcBorders>
              <w:top w:val="single" w:color="auto" w:sz="4" w:space="0"/>
              <w:left w:val="single" w:color="000000" w:sz="2" w:space="0"/>
              <w:bottom w:val="single" w:color="000000" w:sz="2" w:space="0"/>
              <w:right w:val="single" w:color="000000" w:sz="2" w:space="0"/>
            </w:tcBorders>
            <w:noWrap w:val="0"/>
            <w:vAlign w:val="center"/>
          </w:tcPr>
          <w:p>
            <w:pPr>
              <w:spacing w:line="500" w:lineRule="exact"/>
              <w:jc w:val="center"/>
              <w:rPr>
                <w:rFonts w:ascii="宋体" w:hAnsi="宋体"/>
                <w:szCs w:val="21"/>
              </w:rPr>
            </w:pPr>
            <w:r>
              <w:rPr>
                <w:rFonts w:ascii="宋体" w:hAnsi="宋体"/>
                <w:szCs w:val="21"/>
              </w:rPr>
              <w:t>1</w:t>
            </w:r>
          </w:p>
        </w:tc>
        <w:tc>
          <w:tcPr>
            <w:tcW w:w="968" w:type="dxa"/>
            <w:tcBorders>
              <w:top w:val="single" w:color="auto" w:sz="4" w:space="0"/>
              <w:left w:val="single" w:color="auto" w:sz="4" w:space="0"/>
              <w:bottom w:val="single" w:color="000000" w:sz="2" w:space="0"/>
              <w:right w:val="single" w:color="000000" w:sz="2" w:space="0"/>
            </w:tcBorders>
            <w:noWrap w:val="0"/>
            <w:vAlign w:val="center"/>
          </w:tcPr>
          <w:p>
            <w:pPr>
              <w:spacing w:line="500" w:lineRule="exact"/>
              <w:ind w:firstLine="105" w:firstLineChars="50"/>
              <w:jc w:val="left"/>
              <w:rPr>
                <w:rFonts w:ascii="宋体" w:hAnsi="宋体"/>
                <w:szCs w:val="21"/>
              </w:rPr>
            </w:pPr>
            <w:r>
              <w:rPr>
                <w:rFonts w:ascii="宋体" w:hAnsi="宋体"/>
                <w:szCs w:val="21"/>
              </w:rPr>
              <w:t>综合说明</w:t>
            </w:r>
          </w:p>
        </w:tc>
        <w:tc>
          <w:tcPr>
            <w:tcW w:w="8263" w:type="dxa"/>
            <w:tcBorders>
              <w:top w:val="single" w:color="auto" w:sz="4" w:space="0"/>
              <w:left w:val="single" w:color="auto" w:sz="4" w:space="0"/>
              <w:bottom w:val="single" w:color="000000" w:sz="2" w:space="0"/>
              <w:right w:val="single" w:color="000000" w:sz="2" w:space="0"/>
            </w:tcBorders>
            <w:noWrap w:val="0"/>
            <w:vAlign w:val="center"/>
          </w:tcPr>
          <w:p>
            <w:pPr>
              <w:pStyle w:val="66"/>
              <w:spacing w:line="280" w:lineRule="exact"/>
              <w:ind w:left="141" w:leftChars="67" w:right="141" w:rightChars="67" w:firstLine="1"/>
              <w:jc w:val="both"/>
              <w:rPr>
                <w:rFonts w:hint="eastAsia" w:hAnsi="宋体"/>
                <w:b w:val="0"/>
                <w:sz w:val="21"/>
                <w:szCs w:val="21"/>
                <w:u w:val="single"/>
                <w:lang w:val="en-US" w:eastAsia="zh-CN"/>
              </w:rPr>
            </w:pPr>
            <w:r>
              <w:rPr>
                <w:rFonts w:hint="eastAsia" w:hAnsi="宋体"/>
                <w:b w:val="0"/>
                <w:sz w:val="21"/>
                <w:szCs w:val="21"/>
                <w:lang w:val="en-US" w:eastAsia="zh-CN"/>
              </w:rPr>
              <w:t>1.采购项目名称：</w:t>
            </w:r>
            <w:r>
              <w:rPr>
                <w:rFonts w:hint="eastAsia" w:hAnsi="宋体"/>
                <w:b w:val="0"/>
                <w:sz w:val="21"/>
                <w:szCs w:val="21"/>
                <w:u w:val="single"/>
                <w:lang w:val="en-US" w:eastAsia="zh-CN"/>
              </w:rPr>
              <w:t>柯桥城区道路保洁服务项目</w:t>
            </w:r>
          </w:p>
          <w:p>
            <w:pPr>
              <w:pStyle w:val="66"/>
              <w:spacing w:line="280" w:lineRule="exact"/>
              <w:ind w:left="141" w:leftChars="67" w:firstLine="1"/>
              <w:jc w:val="both"/>
              <w:rPr>
                <w:rFonts w:hint="eastAsia" w:hAnsi="宋体"/>
                <w:b w:val="0"/>
                <w:sz w:val="21"/>
                <w:szCs w:val="21"/>
                <w:u w:val="single"/>
                <w:lang w:val="en-US" w:eastAsia="zh-CN"/>
              </w:rPr>
            </w:pPr>
            <w:r>
              <w:rPr>
                <w:rFonts w:hint="eastAsia" w:hAnsi="宋体"/>
                <w:b w:val="0"/>
                <w:sz w:val="21"/>
                <w:szCs w:val="21"/>
                <w:lang w:val="en-US" w:eastAsia="zh-CN"/>
              </w:rPr>
              <w:t>2.采购项目内容：</w:t>
            </w:r>
            <w:r>
              <w:rPr>
                <w:rFonts w:hint="eastAsia" w:hAnsi="宋体"/>
                <w:b w:val="0"/>
                <w:sz w:val="21"/>
                <w:szCs w:val="21"/>
                <w:u w:val="single"/>
                <w:lang w:val="en-US" w:eastAsia="zh-CN"/>
              </w:rPr>
              <w:t>柯桥城区道路保洁服务项目，分2个标段，具体详见招标文件。</w:t>
            </w:r>
          </w:p>
          <w:p>
            <w:pPr>
              <w:pStyle w:val="66"/>
              <w:spacing w:line="280" w:lineRule="exact"/>
              <w:ind w:left="141" w:leftChars="67" w:firstLine="1"/>
              <w:jc w:val="both"/>
              <w:rPr>
                <w:rFonts w:hint="eastAsia" w:hAnsi="宋体"/>
                <w:b w:val="0"/>
                <w:sz w:val="21"/>
                <w:szCs w:val="21"/>
                <w:u w:val="single"/>
                <w:lang w:val="en-US" w:eastAsia="zh-CN"/>
              </w:rPr>
            </w:pPr>
            <w:r>
              <w:rPr>
                <w:rFonts w:hint="eastAsia" w:hAnsi="宋体"/>
                <w:b w:val="0"/>
                <w:sz w:val="21"/>
                <w:szCs w:val="21"/>
                <w:lang w:val="en-US" w:eastAsia="zh-CN"/>
              </w:rPr>
              <w:t>3.采购预算价：</w:t>
            </w:r>
            <w:r>
              <w:rPr>
                <w:rFonts w:hint="eastAsia" w:hAnsi="宋体"/>
                <w:b w:val="0"/>
                <w:sz w:val="21"/>
                <w:szCs w:val="21"/>
                <w:u w:val="single"/>
                <w:lang w:val="en-US" w:eastAsia="zh-CN"/>
              </w:rPr>
              <w:t xml:space="preserve"> Ⅰ标：</w:t>
            </w:r>
            <w:r>
              <w:rPr>
                <w:rFonts w:hAnsi="宋体"/>
                <w:b w:val="0"/>
                <w:sz w:val="21"/>
                <w:szCs w:val="21"/>
                <w:u w:val="single"/>
                <w:lang w:val="en-US" w:eastAsia="zh-CN"/>
              </w:rPr>
              <w:t>2576</w:t>
            </w:r>
            <w:r>
              <w:rPr>
                <w:rFonts w:hint="eastAsia" w:hAnsi="宋体"/>
                <w:b w:val="0"/>
                <w:sz w:val="21"/>
                <w:szCs w:val="21"/>
                <w:u w:val="single"/>
                <w:lang w:val="en-US" w:eastAsia="zh-CN"/>
              </w:rPr>
              <w:t>万元/年；Ⅱ标：</w:t>
            </w:r>
            <w:r>
              <w:rPr>
                <w:rFonts w:hAnsi="宋体"/>
                <w:b w:val="0"/>
                <w:sz w:val="21"/>
                <w:szCs w:val="21"/>
                <w:u w:val="single"/>
                <w:lang w:val="en-US" w:eastAsia="zh-CN"/>
              </w:rPr>
              <w:t>2184</w:t>
            </w:r>
            <w:r>
              <w:rPr>
                <w:rFonts w:hint="eastAsia" w:hAnsi="宋体"/>
                <w:b w:val="0"/>
                <w:sz w:val="21"/>
                <w:szCs w:val="21"/>
                <w:u w:val="single"/>
                <w:lang w:val="en-US" w:eastAsia="zh-CN"/>
              </w:rPr>
              <w:t>万元/年。</w:t>
            </w:r>
          </w:p>
          <w:p>
            <w:pPr>
              <w:pStyle w:val="66"/>
              <w:spacing w:line="280" w:lineRule="exact"/>
              <w:ind w:left="141" w:leftChars="67" w:firstLine="1"/>
              <w:jc w:val="both"/>
              <w:rPr>
                <w:rFonts w:hint="eastAsia" w:hAnsi="宋体"/>
                <w:b w:val="0"/>
                <w:sz w:val="21"/>
                <w:szCs w:val="21"/>
                <w:lang w:val="en-US" w:eastAsia="zh-CN"/>
              </w:rPr>
            </w:pPr>
            <w:r>
              <w:rPr>
                <w:rFonts w:hint="eastAsia" w:hAnsi="宋体"/>
                <w:b w:val="0"/>
                <w:sz w:val="21"/>
                <w:szCs w:val="21"/>
                <w:lang w:val="en-US" w:eastAsia="zh-CN"/>
              </w:rPr>
              <w:t>4.采购项目交货地点：</w:t>
            </w:r>
            <w:r>
              <w:rPr>
                <w:rFonts w:hint="eastAsia" w:hAnsi="宋体"/>
                <w:b w:val="0"/>
                <w:sz w:val="21"/>
                <w:szCs w:val="21"/>
                <w:u w:val="single"/>
                <w:lang w:val="en-US" w:eastAsia="zh-CN"/>
              </w:rPr>
              <w:t>绍兴市柯桥区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9" w:hRule="atLeast"/>
        </w:trPr>
        <w:tc>
          <w:tcPr>
            <w:tcW w:w="729" w:type="dxa"/>
            <w:tcBorders>
              <w:top w:val="single" w:color="auto" w:sz="4" w:space="0"/>
              <w:left w:val="single" w:color="000000" w:sz="2" w:space="0"/>
              <w:bottom w:val="single" w:color="000000" w:sz="2" w:space="0"/>
              <w:right w:val="single" w:color="000000" w:sz="2" w:space="0"/>
            </w:tcBorders>
            <w:noWrap w:val="0"/>
            <w:vAlign w:val="center"/>
          </w:tcPr>
          <w:p>
            <w:pPr>
              <w:spacing w:line="500" w:lineRule="exact"/>
              <w:jc w:val="center"/>
              <w:rPr>
                <w:rFonts w:ascii="宋体" w:hAnsi="宋体"/>
                <w:szCs w:val="21"/>
              </w:rPr>
            </w:pPr>
            <w:r>
              <w:rPr>
                <w:rFonts w:ascii="宋体" w:hAnsi="宋体"/>
                <w:szCs w:val="21"/>
              </w:rPr>
              <w:t>2</w:t>
            </w:r>
          </w:p>
        </w:tc>
        <w:tc>
          <w:tcPr>
            <w:tcW w:w="9231" w:type="dxa"/>
            <w:gridSpan w:val="2"/>
            <w:tcBorders>
              <w:top w:val="single" w:color="auto" w:sz="4" w:space="0"/>
              <w:left w:val="single" w:color="auto" w:sz="4" w:space="0"/>
              <w:bottom w:val="single" w:color="000000" w:sz="2" w:space="0"/>
              <w:right w:val="single" w:color="000000" w:sz="2" w:space="0"/>
            </w:tcBorders>
            <w:noWrap w:val="0"/>
            <w:vAlign w:val="top"/>
          </w:tcPr>
          <w:p>
            <w:pPr>
              <w:spacing w:line="500" w:lineRule="exact"/>
              <w:ind w:firstLine="105" w:firstLineChars="50"/>
              <w:rPr>
                <w:rFonts w:hint="eastAsia" w:ascii="宋体" w:hAnsi="宋体"/>
                <w:szCs w:val="21"/>
              </w:rPr>
            </w:pPr>
            <w:r>
              <w:rPr>
                <w:rFonts w:ascii="宋体" w:hAnsi="宋体"/>
                <w:szCs w:val="21"/>
              </w:rPr>
              <w:t>资金来源</w:t>
            </w:r>
            <w:r>
              <w:rPr>
                <w:rFonts w:hint="eastAsia" w:ascii="宋体" w:hAnsi="宋体"/>
                <w:szCs w:val="21"/>
              </w:rPr>
              <w:t>：</w:t>
            </w:r>
            <w:r>
              <w:rPr>
                <w:rFonts w:hint="eastAsia" w:ascii="宋体" w:hAnsi="宋体"/>
                <w:szCs w:val="21"/>
                <w:u w:val="single"/>
              </w:rPr>
              <w:t xml:space="preserve">  财 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895" w:hRule="atLeast"/>
        </w:trPr>
        <w:tc>
          <w:tcPr>
            <w:tcW w:w="729" w:type="dxa"/>
            <w:tcBorders>
              <w:top w:val="single" w:color="auto" w:sz="4" w:space="0"/>
              <w:left w:val="single" w:color="000000" w:sz="2" w:space="0"/>
              <w:bottom w:val="single" w:color="000000" w:sz="2" w:space="0"/>
              <w:right w:val="single" w:color="000000" w:sz="2" w:space="0"/>
            </w:tcBorders>
            <w:noWrap w:val="0"/>
            <w:vAlign w:val="center"/>
          </w:tcPr>
          <w:p>
            <w:pPr>
              <w:spacing w:line="500" w:lineRule="exact"/>
              <w:jc w:val="center"/>
              <w:rPr>
                <w:rFonts w:ascii="宋体" w:hAnsi="宋体"/>
                <w:szCs w:val="21"/>
              </w:rPr>
            </w:pPr>
            <w:r>
              <w:rPr>
                <w:rFonts w:ascii="宋体" w:hAnsi="宋体"/>
                <w:szCs w:val="21"/>
              </w:rPr>
              <w:t>3</w:t>
            </w:r>
          </w:p>
        </w:tc>
        <w:tc>
          <w:tcPr>
            <w:tcW w:w="9231" w:type="dxa"/>
            <w:gridSpan w:val="2"/>
            <w:tcBorders>
              <w:top w:val="single" w:color="auto" w:sz="4" w:space="0"/>
              <w:left w:val="single" w:color="auto" w:sz="4" w:space="0"/>
              <w:bottom w:val="single" w:color="000000" w:sz="2" w:space="0"/>
              <w:right w:val="single" w:color="000000" w:sz="2" w:space="0"/>
            </w:tcBorders>
            <w:noWrap w:val="0"/>
            <w:vAlign w:val="top"/>
          </w:tcPr>
          <w:p>
            <w:pPr>
              <w:pStyle w:val="66"/>
              <w:spacing w:line="276" w:lineRule="auto"/>
              <w:ind w:left="141" w:right="141" w:rightChars="67"/>
              <w:jc w:val="left"/>
              <w:rPr>
                <w:rFonts w:hint="eastAsia" w:hAnsi="宋体"/>
                <w:b w:val="0"/>
                <w:sz w:val="21"/>
                <w:szCs w:val="21"/>
                <w:lang w:val="en-US" w:eastAsia="zh-CN"/>
              </w:rPr>
            </w:pPr>
            <w:r>
              <w:rPr>
                <w:rFonts w:hAnsi="宋体"/>
                <w:b w:val="0"/>
                <w:sz w:val="21"/>
                <w:szCs w:val="21"/>
                <w:lang w:val="en-US" w:eastAsia="zh-CN"/>
              </w:rPr>
              <w:t>投标资格</w:t>
            </w:r>
            <w:r>
              <w:rPr>
                <w:rFonts w:hint="eastAsia" w:hAnsi="宋体"/>
                <w:b w:val="0"/>
                <w:sz w:val="21"/>
                <w:szCs w:val="21"/>
                <w:lang w:val="en-US" w:eastAsia="zh-CN"/>
              </w:rPr>
              <w:t>：①符合政府采购法第二十二条规定；②未被列入失信被执行人、重大税收违法案件当事人名单和政府采购严重违法失信行为记录名单的供应商；③经市场监督管理部门核准，允许从事环境卫生作业的独立法人； ④本次招标不接受联合体投标。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22" w:hRule="atLeast"/>
        </w:trPr>
        <w:tc>
          <w:tcPr>
            <w:tcW w:w="729" w:type="dxa"/>
            <w:tcBorders>
              <w:top w:val="single" w:color="auto" w:sz="4" w:space="0"/>
              <w:left w:val="single" w:color="000000" w:sz="2" w:space="0"/>
              <w:bottom w:val="single" w:color="000000" w:sz="2" w:space="0"/>
              <w:right w:val="single" w:color="000000" w:sz="2" w:space="0"/>
            </w:tcBorders>
            <w:noWrap w:val="0"/>
            <w:vAlign w:val="center"/>
          </w:tcPr>
          <w:p>
            <w:pPr>
              <w:spacing w:line="500" w:lineRule="exact"/>
              <w:jc w:val="center"/>
              <w:rPr>
                <w:rFonts w:ascii="宋体" w:hAnsi="宋体"/>
                <w:szCs w:val="21"/>
              </w:rPr>
            </w:pPr>
            <w:r>
              <w:rPr>
                <w:rFonts w:ascii="宋体" w:hAnsi="宋体"/>
                <w:szCs w:val="21"/>
              </w:rPr>
              <w:t>4</w:t>
            </w:r>
          </w:p>
        </w:tc>
        <w:tc>
          <w:tcPr>
            <w:tcW w:w="9231" w:type="dxa"/>
            <w:gridSpan w:val="2"/>
            <w:tcBorders>
              <w:top w:val="single" w:color="auto" w:sz="4" w:space="0"/>
              <w:left w:val="single" w:color="auto" w:sz="4" w:space="0"/>
              <w:bottom w:val="single" w:color="000000" w:sz="2" w:space="0"/>
              <w:right w:val="single" w:color="000000" w:sz="2" w:space="0"/>
            </w:tcBorders>
            <w:noWrap w:val="0"/>
            <w:vAlign w:val="center"/>
          </w:tcPr>
          <w:p>
            <w:pPr>
              <w:spacing w:line="500" w:lineRule="exact"/>
              <w:ind w:firstLine="105" w:firstLineChars="50"/>
              <w:jc w:val="left"/>
              <w:rPr>
                <w:rFonts w:ascii="宋体" w:hAnsi="宋体"/>
                <w:szCs w:val="21"/>
              </w:rPr>
            </w:pPr>
            <w:r>
              <w:rPr>
                <w:rFonts w:ascii="宋体" w:hAnsi="宋体"/>
                <w:szCs w:val="21"/>
              </w:rPr>
              <w:t>投标有效期：</w:t>
            </w:r>
            <w:r>
              <w:rPr>
                <w:rFonts w:hint="eastAsia" w:ascii="宋体" w:hAnsi="宋体"/>
                <w:szCs w:val="21"/>
                <w:u w:val="single"/>
              </w:rPr>
              <w:t>90天（日历天数）（从投标截止之日算起）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77" w:hRule="atLeast"/>
        </w:trPr>
        <w:tc>
          <w:tcPr>
            <w:tcW w:w="729" w:type="dxa"/>
            <w:tcBorders>
              <w:top w:val="single" w:color="auto" w:sz="4" w:space="0"/>
              <w:left w:val="single" w:color="000000" w:sz="2" w:space="0"/>
              <w:bottom w:val="single" w:color="000000" w:sz="2" w:space="0"/>
              <w:right w:val="single" w:color="000000" w:sz="2" w:space="0"/>
            </w:tcBorders>
            <w:noWrap w:val="0"/>
            <w:vAlign w:val="center"/>
          </w:tcPr>
          <w:p>
            <w:pPr>
              <w:spacing w:line="500" w:lineRule="exact"/>
              <w:jc w:val="center"/>
              <w:rPr>
                <w:rFonts w:ascii="宋体" w:hAnsi="宋体"/>
                <w:szCs w:val="21"/>
              </w:rPr>
            </w:pPr>
            <w:r>
              <w:rPr>
                <w:rFonts w:ascii="宋体" w:hAnsi="宋体"/>
                <w:szCs w:val="21"/>
              </w:rPr>
              <w:t>5</w:t>
            </w:r>
          </w:p>
        </w:tc>
        <w:tc>
          <w:tcPr>
            <w:tcW w:w="9231" w:type="dxa"/>
            <w:gridSpan w:val="2"/>
            <w:tcBorders>
              <w:top w:val="single" w:color="auto" w:sz="4" w:space="0"/>
              <w:left w:val="single" w:color="auto" w:sz="4" w:space="0"/>
              <w:bottom w:val="single" w:color="000000" w:sz="2" w:space="0"/>
              <w:right w:val="single" w:color="000000" w:sz="2" w:space="0"/>
            </w:tcBorders>
            <w:noWrap w:val="0"/>
            <w:vAlign w:val="center"/>
          </w:tcPr>
          <w:p>
            <w:pPr>
              <w:widowControl/>
              <w:spacing w:line="500" w:lineRule="exact"/>
              <w:ind w:firstLine="105" w:firstLineChars="50"/>
              <w:rPr>
                <w:rFonts w:hint="eastAsia" w:ascii="宋体" w:hAnsi="宋体"/>
                <w:szCs w:val="21"/>
              </w:rPr>
            </w:pPr>
            <w:r>
              <w:rPr>
                <w:rFonts w:hint="eastAsia" w:ascii="宋体" w:hAnsi="宋体" w:cs="宋体"/>
                <w:kern w:val="0"/>
                <w:szCs w:val="21"/>
              </w:rPr>
              <w:t>投标保证金：</w:t>
            </w:r>
            <w:r>
              <w:rPr>
                <w:rFonts w:hint="eastAsia" w:ascii="宋体" w:hAnsi="宋体" w:cs="宋体"/>
                <w:kern w:val="0"/>
                <w:szCs w:val="21"/>
                <w:u w:val="single"/>
              </w:rPr>
              <w:t xml:space="preserve">无  </w:t>
            </w:r>
            <w:r>
              <w:rPr>
                <w:rFonts w:hint="eastAsia" w:ascii="宋体" w:hAnsi="宋体" w:cs="宋体"/>
                <w:b/>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9" w:hRule="atLeast"/>
        </w:trPr>
        <w:tc>
          <w:tcPr>
            <w:tcW w:w="729" w:type="dxa"/>
            <w:tcBorders>
              <w:top w:val="single" w:color="auto" w:sz="4" w:space="0"/>
              <w:left w:val="single" w:color="000000" w:sz="2" w:space="0"/>
              <w:bottom w:val="single" w:color="000000" w:sz="2" w:space="0"/>
              <w:right w:val="single" w:color="000000" w:sz="2" w:space="0"/>
            </w:tcBorders>
            <w:noWrap w:val="0"/>
            <w:vAlign w:val="center"/>
          </w:tcPr>
          <w:p>
            <w:pPr>
              <w:spacing w:line="500" w:lineRule="exact"/>
              <w:jc w:val="center"/>
              <w:rPr>
                <w:rFonts w:ascii="宋体" w:hAnsi="宋体"/>
                <w:szCs w:val="21"/>
              </w:rPr>
            </w:pPr>
            <w:r>
              <w:rPr>
                <w:rFonts w:ascii="宋体" w:hAnsi="宋体"/>
                <w:szCs w:val="21"/>
              </w:rPr>
              <w:t>6</w:t>
            </w:r>
          </w:p>
        </w:tc>
        <w:tc>
          <w:tcPr>
            <w:tcW w:w="9231" w:type="dxa"/>
            <w:gridSpan w:val="2"/>
            <w:tcBorders>
              <w:top w:val="single" w:color="auto" w:sz="4" w:space="0"/>
              <w:left w:val="single" w:color="auto" w:sz="4" w:space="0"/>
              <w:bottom w:val="single" w:color="000000" w:sz="2" w:space="0"/>
              <w:right w:val="single" w:color="000000" w:sz="2" w:space="0"/>
            </w:tcBorders>
            <w:noWrap w:val="0"/>
            <w:vAlign w:val="center"/>
          </w:tcPr>
          <w:p>
            <w:pPr>
              <w:spacing w:line="500" w:lineRule="exact"/>
              <w:ind w:firstLine="105" w:firstLineChars="50"/>
              <w:jc w:val="left"/>
              <w:rPr>
                <w:rFonts w:ascii="宋体" w:hAnsi="宋体"/>
                <w:szCs w:val="21"/>
              </w:rPr>
            </w:pPr>
            <w:r>
              <w:rPr>
                <w:rFonts w:ascii="宋体" w:hAnsi="宋体"/>
                <w:szCs w:val="21"/>
              </w:rPr>
              <w:t>合同履约保证金金额为：</w:t>
            </w:r>
            <w:r>
              <w:rPr>
                <w:rFonts w:ascii="宋体" w:hAnsi="宋体"/>
                <w:szCs w:val="21"/>
                <w:u w:val="single"/>
              </w:rPr>
              <w:t>各标段</w:t>
            </w:r>
            <w:r>
              <w:rPr>
                <w:rFonts w:hint="eastAsia" w:ascii="宋体" w:hAnsi="宋体"/>
                <w:szCs w:val="21"/>
                <w:u w:val="single"/>
              </w:rPr>
              <w:t xml:space="preserve">合同价的5%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73" w:hRule="atLeast"/>
        </w:trPr>
        <w:tc>
          <w:tcPr>
            <w:tcW w:w="729" w:type="dxa"/>
            <w:tcBorders>
              <w:top w:val="single" w:color="auto" w:sz="4" w:space="0"/>
              <w:left w:val="single" w:color="000000" w:sz="2" w:space="0"/>
              <w:bottom w:val="single" w:color="000000" w:sz="2" w:space="0"/>
              <w:right w:val="single" w:color="000000" w:sz="2" w:space="0"/>
            </w:tcBorders>
            <w:noWrap w:val="0"/>
            <w:vAlign w:val="center"/>
          </w:tcPr>
          <w:p>
            <w:pPr>
              <w:spacing w:line="500" w:lineRule="exact"/>
              <w:jc w:val="center"/>
              <w:rPr>
                <w:rFonts w:hint="eastAsia" w:ascii="宋体" w:hAnsi="宋体"/>
                <w:szCs w:val="21"/>
              </w:rPr>
            </w:pPr>
            <w:r>
              <w:rPr>
                <w:rFonts w:hint="eastAsia" w:ascii="宋体" w:hAnsi="宋体"/>
                <w:szCs w:val="21"/>
              </w:rPr>
              <w:t>7</w:t>
            </w:r>
          </w:p>
        </w:tc>
        <w:tc>
          <w:tcPr>
            <w:tcW w:w="9231" w:type="dxa"/>
            <w:gridSpan w:val="2"/>
            <w:tcBorders>
              <w:top w:val="single" w:color="auto" w:sz="4" w:space="0"/>
              <w:left w:val="single" w:color="auto" w:sz="4" w:space="0"/>
              <w:bottom w:val="single" w:color="000000" w:sz="2" w:space="0"/>
              <w:right w:val="single" w:color="000000" w:sz="2" w:space="0"/>
            </w:tcBorders>
            <w:noWrap w:val="0"/>
            <w:vAlign w:val="center"/>
          </w:tcPr>
          <w:p>
            <w:pPr>
              <w:spacing w:line="500" w:lineRule="exact"/>
              <w:ind w:firstLine="105" w:firstLineChars="50"/>
              <w:jc w:val="left"/>
              <w:rPr>
                <w:rFonts w:hint="eastAsia" w:ascii="宋体" w:hAnsi="宋体"/>
                <w:szCs w:val="21"/>
              </w:rPr>
            </w:pPr>
            <w:r>
              <w:rPr>
                <w:rFonts w:hint="eastAsia" w:ascii="宋体" w:hAnsi="宋体"/>
                <w:szCs w:val="21"/>
              </w:rPr>
              <w:t>质量要求：</w:t>
            </w:r>
            <w:r>
              <w:rPr>
                <w:rFonts w:hint="eastAsia" w:ascii="宋体" w:hAnsi="宋体"/>
                <w:szCs w:val="21"/>
                <w:u w:val="single"/>
              </w:rPr>
              <w:t>优质服务。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603" w:hRule="atLeast"/>
        </w:trPr>
        <w:tc>
          <w:tcPr>
            <w:tcW w:w="729" w:type="dxa"/>
            <w:tcBorders>
              <w:top w:val="single" w:color="auto" w:sz="4" w:space="0"/>
              <w:left w:val="single" w:color="000000" w:sz="2" w:space="0"/>
              <w:bottom w:val="single" w:color="000000" w:sz="2" w:space="0"/>
              <w:right w:val="single" w:color="000000" w:sz="2" w:space="0"/>
            </w:tcBorders>
            <w:noWrap w:val="0"/>
            <w:vAlign w:val="center"/>
          </w:tcPr>
          <w:p>
            <w:pPr>
              <w:spacing w:line="500" w:lineRule="exact"/>
              <w:jc w:val="center"/>
              <w:rPr>
                <w:rFonts w:hint="eastAsia" w:ascii="宋体" w:hAnsi="宋体"/>
                <w:szCs w:val="21"/>
              </w:rPr>
            </w:pPr>
            <w:r>
              <w:rPr>
                <w:rFonts w:hint="eastAsia" w:ascii="宋体" w:hAnsi="宋体"/>
                <w:szCs w:val="21"/>
              </w:rPr>
              <w:t>8</w:t>
            </w:r>
          </w:p>
        </w:tc>
        <w:tc>
          <w:tcPr>
            <w:tcW w:w="9231" w:type="dxa"/>
            <w:gridSpan w:val="2"/>
            <w:tcBorders>
              <w:top w:val="single" w:color="auto" w:sz="4" w:space="0"/>
              <w:left w:val="single" w:color="auto" w:sz="4" w:space="0"/>
              <w:bottom w:val="single" w:color="000000" w:sz="2" w:space="0"/>
              <w:right w:val="single" w:color="000000" w:sz="2" w:space="0"/>
            </w:tcBorders>
            <w:noWrap w:val="0"/>
            <w:vAlign w:val="center"/>
          </w:tcPr>
          <w:p>
            <w:pPr>
              <w:pStyle w:val="65"/>
              <w:spacing w:line="500" w:lineRule="exact"/>
              <w:ind w:firstLine="105" w:firstLineChars="50"/>
              <w:jc w:val="both"/>
              <w:rPr>
                <w:rFonts w:hint="eastAsia" w:ascii="宋体" w:hAnsi="宋体" w:cs="Courier New"/>
                <w:sz w:val="21"/>
                <w:lang w:val="en-US" w:eastAsia="zh-CN"/>
              </w:rPr>
            </w:pPr>
            <w:r>
              <w:rPr>
                <w:rFonts w:hint="eastAsia" w:ascii="宋体" w:hAnsi="宋体" w:cs="Courier New"/>
                <w:sz w:val="21"/>
                <w:lang w:val="en-US" w:eastAsia="zh-CN"/>
              </w:rPr>
              <w:t>现场踏勘：</w:t>
            </w:r>
            <w:r>
              <w:rPr>
                <w:rFonts w:hint="eastAsia" w:ascii="宋体" w:hAnsi="宋体" w:cs="Courier New"/>
                <w:sz w:val="21"/>
                <w:u w:val="single"/>
                <w:lang w:val="en-US" w:eastAsia="zh-CN"/>
              </w:rPr>
              <w:t>自行组织。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610" w:hRule="atLeast"/>
        </w:trPr>
        <w:tc>
          <w:tcPr>
            <w:tcW w:w="729" w:type="dxa"/>
            <w:tcBorders>
              <w:top w:val="single" w:color="auto" w:sz="4" w:space="0"/>
              <w:left w:val="single" w:color="000000" w:sz="2" w:space="0"/>
              <w:bottom w:val="single" w:color="000000" w:sz="2" w:space="0"/>
              <w:right w:val="single" w:color="000000" w:sz="2" w:space="0"/>
            </w:tcBorders>
            <w:noWrap w:val="0"/>
            <w:vAlign w:val="center"/>
          </w:tcPr>
          <w:p>
            <w:pPr>
              <w:spacing w:line="500" w:lineRule="exact"/>
              <w:jc w:val="center"/>
              <w:rPr>
                <w:rFonts w:hint="eastAsia" w:ascii="宋体" w:hAnsi="宋体"/>
                <w:szCs w:val="21"/>
              </w:rPr>
            </w:pPr>
            <w:r>
              <w:rPr>
                <w:rFonts w:hint="eastAsia" w:ascii="宋体" w:hAnsi="宋体"/>
                <w:szCs w:val="21"/>
              </w:rPr>
              <w:t>9</w:t>
            </w:r>
          </w:p>
        </w:tc>
        <w:tc>
          <w:tcPr>
            <w:tcW w:w="9231" w:type="dxa"/>
            <w:gridSpan w:val="2"/>
            <w:tcBorders>
              <w:top w:val="single" w:color="auto" w:sz="4" w:space="0"/>
              <w:left w:val="single" w:color="auto" w:sz="4" w:space="0"/>
              <w:bottom w:val="single" w:color="000000" w:sz="2" w:space="0"/>
              <w:right w:val="single" w:color="000000" w:sz="2" w:space="0"/>
            </w:tcBorders>
            <w:noWrap w:val="0"/>
            <w:vAlign w:val="center"/>
          </w:tcPr>
          <w:p>
            <w:pPr>
              <w:pStyle w:val="65"/>
              <w:spacing w:line="240" w:lineRule="auto"/>
              <w:ind w:firstLine="105" w:firstLineChars="50"/>
              <w:rPr>
                <w:rFonts w:ascii="宋体" w:hAnsi="宋体" w:cs="Courier New"/>
                <w:b/>
                <w:sz w:val="21"/>
                <w:lang w:val="en-US" w:eastAsia="zh-CN"/>
              </w:rPr>
            </w:pPr>
            <w:r>
              <w:rPr>
                <w:rFonts w:hint="eastAsia" w:ascii="宋体" w:hAnsi="宋体" w:cs="Courier New"/>
                <w:sz w:val="21"/>
              </w:rPr>
              <w:t>服务期限：2+1年（具体以合同签订时间为准，第一年履行合同符合采购人要求，可续签第二年合同，两年内均符合要求，在采购人及上级主管部门认可的情况下可酌情再顺延一年），合同一年一签。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95" w:hRule="atLeast"/>
        </w:trPr>
        <w:tc>
          <w:tcPr>
            <w:tcW w:w="729" w:type="dxa"/>
            <w:tcBorders>
              <w:top w:val="single" w:color="auto" w:sz="4" w:space="0"/>
              <w:left w:val="single" w:color="000000" w:sz="2" w:space="0"/>
              <w:bottom w:val="single" w:color="000000" w:sz="2" w:space="0"/>
              <w:right w:val="single" w:color="000000" w:sz="2" w:space="0"/>
            </w:tcBorders>
            <w:noWrap w:val="0"/>
            <w:vAlign w:val="center"/>
          </w:tcPr>
          <w:p>
            <w:pPr>
              <w:pStyle w:val="66"/>
              <w:spacing w:line="280" w:lineRule="exact"/>
              <w:ind w:left="141" w:right="141" w:rightChars="67"/>
              <w:rPr>
                <w:rFonts w:hint="eastAsia" w:hAnsi="宋体"/>
                <w:b w:val="0"/>
                <w:sz w:val="21"/>
                <w:szCs w:val="21"/>
                <w:lang w:val="en-US" w:eastAsia="zh-CN"/>
              </w:rPr>
            </w:pPr>
            <w:r>
              <w:rPr>
                <w:rFonts w:hint="eastAsia" w:hAnsi="宋体"/>
                <w:b w:val="0"/>
                <w:sz w:val="21"/>
                <w:szCs w:val="21"/>
                <w:lang w:val="en-US" w:eastAsia="zh-CN"/>
              </w:rPr>
              <w:t>10</w:t>
            </w:r>
          </w:p>
        </w:tc>
        <w:tc>
          <w:tcPr>
            <w:tcW w:w="9231" w:type="dxa"/>
            <w:gridSpan w:val="2"/>
            <w:tcBorders>
              <w:top w:val="single" w:color="auto" w:sz="4" w:space="0"/>
              <w:left w:val="single" w:color="auto" w:sz="4" w:space="0"/>
              <w:bottom w:val="single" w:color="000000" w:sz="2" w:space="0"/>
              <w:right w:val="single" w:color="000000" w:sz="2" w:space="0"/>
            </w:tcBorders>
            <w:noWrap w:val="0"/>
            <w:vAlign w:val="center"/>
          </w:tcPr>
          <w:p>
            <w:pPr>
              <w:pStyle w:val="66"/>
              <w:spacing w:line="280" w:lineRule="exact"/>
              <w:ind w:left="141" w:right="141" w:rightChars="67"/>
              <w:jc w:val="both"/>
              <w:rPr>
                <w:rFonts w:hint="eastAsia" w:hAnsi="宋体"/>
                <w:b w:val="0"/>
                <w:sz w:val="21"/>
                <w:szCs w:val="21"/>
                <w:lang w:val="en-US" w:eastAsia="zh-CN"/>
              </w:rPr>
            </w:pPr>
            <w:r>
              <w:rPr>
                <w:rFonts w:hint="eastAsia" w:hAnsi="宋体"/>
                <w:b w:val="0"/>
                <w:sz w:val="21"/>
                <w:szCs w:val="21"/>
                <w:lang w:val="en-US" w:eastAsia="zh-CN"/>
              </w:rPr>
              <w:t>采购文件的获取：自公告之日起至</w:t>
            </w:r>
            <w:r>
              <w:rPr>
                <w:rFonts w:hint="eastAsia" w:hAnsi="宋体"/>
                <w:b w:val="0"/>
                <w:bCs w:val="0"/>
                <w:sz w:val="21"/>
                <w:szCs w:val="21"/>
                <w:u w:val="single"/>
                <w:lang w:val="en-US" w:eastAsia="zh-CN"/>
              </w:rPr>
              <w:t>2020</w:t>
            </w:r>
            <w:r>
              <w:rPr>
                <w:rFonts w:hint="eastAsia" w:hAnsi="宋体"/>
                <w:b w:val="0"/>
                <w:bCs w:val="0"/>
                <w:sz w:val="21"/>
                <w:szCs w:val="21"/>
                <w:lang w:val="en-US" w:eastAsia="zh-CN"/>
              </w:rPr>
              <w:t>年</w:t>
            </w:r>
            <w:r>
              <w:rPr>
                <w:rFonts w:hint="eastAsia" w:hAnsi="宋体"/>
                <w:b w:val="0"/>
                <w:bCs w:val="0"/>
                <w:sz w:val="21"/>
                <w:szCs w:val="21"/>
                <w:u w:val="single"/>
                <w:lang w:val="en-US" w:eastAsia="zh-CN"/>
              </w:rPr>
              <w:t>6</w:t>
            </w:r>
            <w:r>
              <w:rPr>
                <w:rFonts w:hint="eastAsia" w:hAnsi="宋体"/>
                <w:b w:val="0"/>
                <w:bCs w:val="0"/>
                <w:sz w:val="21"/>
                <w:szCs w:val="21"/>
                <w:lang w:val="en-US" w:eastAsia="zh-CN"/>
              </w:rPr>
              <w:t>月</w:t>
            </w:r>
            <w:r>
              <w:rPr>
                <w:rFonts w:hint="eastAsia" w:hAnsi="宋体"/>
                <w:b w:val="0"/>
                <w:bCs w:val="0"/>
                <w:sz w:val="21"/>
                <w:szCs w:val="21"/>
                <w:u w:val="single"/>
                <w:lang w:val="en-US" w:eastAsia="zh-CN"/>
              </w:rPr>
              <w:t>19</w:t>
            </w:r>
            <w:r>
              <w:rPr>
                <w:rFonts w:hint="eastAsia" w:hAnsi="宋体"/>
                <w:b w:val="0"/>
                <w:bCs w:val="0"/>
                <w:sz w:val="21"/>
                <w:szCs w:val="21"/>
                <w:lang w:val="en-US" w:eastAsia="zh-CN"/>
              </w:rPr>
              <w:t>日下午16：00时整截止，由供应商自行在网上下载。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22" w:hRule="atLeast"/>
        </w:trPr>
        <w:tc>
          <w:tcPr>
            <w:tcW w:w="729" w:type="dxa"/>
            <w:tcBorders>
              <w:top w:val="single" w:color="auto" w:sz="4" w:space="0"/>
              <w:left w:val="single" w:color="000000" w:sz="2" w:space="0"/>
              <w:bottom w:val="single" w:color="000000" w:sz="2" w:space="0"/>
              <w:right w:val="single" w:color="000000" w:sz="2" w:space="0"/>
            </w:tcBorders>
            <w:noWrap w:val="0"/>
            <w:vAlign w:val="center"/>
          </w:tcPr>
          <w:p>
            <w:pPr>
              <w:spacing w:line="500" w:lineRule="exact"/>
              <w:jc w:val="center"/>
              <w:rPr>
                <w:rFonts w:hint="eastAsia" w:ascii="宋体" w:hAnsi="宋体"/>
                <w:szCs w:val="21"/>
              </w:rPr>
            </w:pPr>
            <w:r>
              <w:rPr>
                <w:rFonts w:hint="eastAsia" w:ascii="宋体" w:hAnsi="宋体"/>
                <w:szCs w:val="21"/>
              </w:rPr>
              <w:t>11</w:t>
            </w:r>
          </w:p>
        </w:tc>
        <w:tc>
          <w:tcPr>
            <w:tcW w:w="9231" w:type="dxa"/>
            <w:gridSpan w:val="2"/>
            <w:tcBorders>
              <w:top w:val="single" w:color="auto" w:sz="4" w:space="0"/>
              <w:left w:val="single" w:color="auto" w:sz="4" w:space="0"/>
              <w:bottom w:val="single" w:color="000000" w:sz="2" w:space="0"/>
              <w:right w:val="single" w:color="000000" w:sz="2" w:space="0"/>
            </w:tcBorders>
            <w:noWrap w:val="0"/>
            <w:vAlign w:val="center"/>
          </w:tcPr>
          <w:p>
            <w:pPr>
              <w:pStyle w:val="66"/>
              <w:spacing w:line="280" w:lineRule="exact"/>
              <w:ind w:left="141" w:right="141" w:rightChars="67"/>
              <w:jc w:val="both"/>
              <w:rPr>
                <w:rFonts w:hint="eastAsia" w:hAnsi="宋体" w:cs="Courier New"/>
                <w:sz w:val="21"/>
                <w:lang w:val="en-US" w:eastAsia="zh-CN"/>
              </w:rPr>
            </w:pPr>
            <w:r>
              <w:rPr>
                <w:rFonts w:hint="eastAsia" w:hAnsi="宋体"/>
                <w:b w:val="0"/>
                <w:sz w:val="21"/>
                <w:szCs w:val="21"/>
                <w:lang w:val="en-US" w:eastAsia="zh-CN"/>
              </w:rPr>
              <w:t>投标供应商提出问题的截止时间：</w:t>
            </w:r>
            <w:r>
              <w:rPr>
                <w:rFonts w:hint="eastAsia" w:hAnsi="宋体"/>
                <w:b w:val="0"/>
                <w:bCs w:val="0"/>
                <w:sz w:val="21"/>
                <w:szCs w:val="21"/>
                <w:u w:val="single"/>
                <w:lang w:val="en-US" w:eastAsia="zh-CN"/>
              </w:rPr>
              <w:t>2020</w:t>
            </w:r>
            <w:r>
              <w:rPr>
                <w:rFonts w:hint="eastAsia" w:hAnsi="宋体"/>
                <w:b w:val="0"/>
                <w:bCs w:val="0"/>
                <w:sz w:val="21"/>
                <w:szCs w:val="21"/>
                <w:lang w:val="en-US" w:eastAsia="zh-CN"/>
              </w:rPr>
              <w:t>年</w:t>
            </w:r>
            <w:r>
              <w:rPr>
                <w:rFonts w:hint="eastAsia" w:hAnsi="宋体"/>
                <w:b w:val="0"/>
                <w:bCs w:val="0"/>
                <w:sz w:val="21"/>
                <w:szCs w:val="21"/>
                <w:u w:val="single"/>
                <w:lang w:val="en-US" w:eastAsia="zh-CN"/>
              </w:rPr>
              <w:t>6</w:t>
            </w:r>
            <w:r>
              <w:rPr>
                <w:rFonts w:hint="eastAsia" w:hAnsi="宋体"/>
                <w:b w:val="0"/>
                <w:bCs w:val="0"/>
                <w:sz w:val="21"/>
                <w:szCs w:val="21"/>
                <w:lang w:val="en-US" w:eastAsia="zh-CN"/>
              </w:rPr>
              <w:t>月</w:t>
            </w:r>
            <w:r>
              <w:rPr>
                <w:rFonts w:hint="eastAsia" w:hAnsi="宋体"/>
                <w:b w:val="0"/>
                <w:bCs w:val="0"/>
                <w:sz w:val="21"/>
                <w:szCs w:val="21"/>
                <w:u w:val="single"/>
                <w:lang w:val="en-US" w:eastAsia="zh-CN"/>
              </w:rPr>
              <w:t>22</w:t>
            </w:r>
            <w:r>
              <w:rPr>
                <w:rFonts w:hint="eastAsia" w:hAnsi="宋体"/>
                <w:b w:val="0"/>
                <w:bCs w:val="0"/>
                <w:sz w:val="21"/>
                <w:szCs w:val="21"/>
                <w:lang w:val="en-US" w:eastAsia="zh-CN"/>
              </w:rPr>
              <w:t>日下午16：00时</w:t>
            </w:r>
            <w:r>
              <w:rPr>
                <w:rFonts w:hint="eastAsia" w:hAnsi="宋体"/>
                <w:b w:val="0"/>
                <w:sz w:val="21"/>
                <w:szCs w:val="21"/>
                <w:lang w:val="en-US" w:eastAsia="zh-CN"/>
              </w:rPr>
              <w:t xml:space="preserve">前按《采购公告》中的地址以传真、电子邮件等形式通知采购代理机构。注明：投标提问书中需写明投标供应商名称（盖公章）、联系人、联系电话。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28" w:hRule="atLeast"/>
        </w:trPr>
        <w:tc>
          <w:tcPr>
            <w:tcW w:w="729" w:type="dxa"/>
            <w:tcBorders>
              <w:top w:val="single" w:color="auto" w:sz="4" w:space="0"/>
              <w:left w:val="single" w:color="000000" w:sz="2" w:space="0"/>
              <w:bottom w:val="single" w:color="000000" w:sz="2" w:space="0"/>
              <w:right w:val="single" w:color="000000" w:sz="2" w:space="0"/>
            </w:tcBorders>
            <w:noWrap w:val="0"/>
            <w:vAlign w:val="center"/>
          </w:tcPr>
          <w:p>
            <w:pPr>
              <w:spacing w:line="500" w:lineRule="exact"/>
              <w:jc w:val="center"/>
              <w:rPr>
                <w:rFonts w:hint="eastAsia" w:ascii="宋体" w:hAnsi="宋体"/>
                <w:szCs w:val="21"/>
              </w:rPr>
            </w:pPr>
            <w:r>
              <w:rPr>
                <w:rFonts w:hint="eastAsia" w:ascii="宋体" w:hAnsi="宋体"/>
                <w:szCs w:val="21"/>
              </w:rPr>
              <w:t>12</w:t>
            </w:r>
          </w:p>
        </w:tc>
        <w:tc>
          <w:tcPr>
            <w:tcW w:w="9231" w:type="dxa"/>
            <w:gridSpan w:val="2"/>
            <w:tcBorders>
              <w:top w:val="single" w:color="auto" w:sz="4" w:space="0"/>
              <w:left w:val="single" w:color="auto" w:sz="4" w:space="0"/>
              <w:bottom w:val="single" w:color="000000" w:sz="2" w:space="0"/>
              <w:right w:val="single" w:color="000000" w:sz="2" w:space="0"/>
            </w:tcBorders>
            <w:noWrap w:val="0"/>
            <w:vAlign w:val="center"/>
          </w:tcPr>
          <w:p>
            <w:pPr>
              <w:pStyle w:val="65"/>
              <w:spacing w:line="280" w:lineRule="exact"/>
              <w:ind w:left="158" w:leftChars="75" w:right="141" w:rightChars="67" w:firstLine="1"/>
              <w:jc w:val="both"/>
              <w:rPr>
                <w:rFonts w:hint="eastAsia" w:hAnsi="宋体" w:cs="Courier New"/>
                <w:sz w:val="21"/>
                <w:lang w:val="en-US" w:eastAsia="zh-CN"/>
              </w:rPr>
            </w:pPr>
            <w:r>
              <w:rPr>
                <w:rFonts w:hint="eastAsia" w:ascii="宋体" w:hAnsi="宋体"/>
                <w:sz w:val="21"/>
                <w:lang w:val="en-US" w:eastAsia="zh-CN"/>
              </w:rPr>
              <w:t>采购人澄清（答疑）和修改的时间：</w:t>
            </w:r>
            <w:r>
              <w:rPr>
                <w:rFonts w:hint="eastAsia" w:hAnsi="宋体"/>
                <w:sz w:val="21"/>
                <w:u w:val="single"/>
                <w:lang w:val="en-US" w:eastAsia="zh-CN"/>
              </w:rPr>
              <w:t>2020</w:t>
            </w:r>
            <w:r>
              <w:rPr>
                <w:rFonts w:hint="eastAsia" w:hAnsi="宋体"/>
                <w:sz w:val="21"/>
                <w:lang w:val="en-US" w:eastAsia="zh-CN"/>
              </w:rPr>
              <w:t>年</w:t>
            </w:r>
            <w:r>
              <w:rPr>
                <w:rFonts w:hint="eastAsia" w:hAnsi="宋体"/>
                <w:sz w:val="21"/>
                <w:u w:val="single"/>
                <w:lang w:val="en-US" w:eastAsia="zh-CN"/>
              </w:rPr>
              <w:t>6</w:t>
            </w:r>
            <w:r>
              <w:rPr>
                <w:rFonts w:hint="eastAsia" w:hAnsi="宋体"/>
                <w:sz w:val="21"/>
                <w:lang w:val="en-US" w:eastAsia="zh-CN"/>
              </w:rPr>
              <w:t>月</w:t>
            </w:r>
            <w:r>
              <w:rPr>
                <w:rFonts w:hint="eastAsia" w:hAnsi="宋体"/>
                <w:sz w:val="21"/>
                <w:u w:val="single"/>
                <w:lang w:val="en-US" w:eastAsia="zh-CN"/>
              </w:rPr>
              <w:t>24</w:t>
            </w:r>
            <w:r>
              <w:rPr>
                <w:rFonts w:hint="eastAsia" w:hAnsi="宋体"/>
                <w:sz w:val="21"/>
                <w:lang w:val="en-US" w:eastAsia="zh-CN"/>
              </w:rPr>
              <w:t>日下午16：00时时</w:t>
            </w:r>
            <w:r>
              <w:rPr>
                <w:rFonts w:hint="eastAsia" w:ascii="宋体" w:hAnsi="宋体"/>
                <w:sz w:val="21"/>
                <w:lang w:val="en-US" w:eastAsia="zh-CN"/>
              </w:rPr>
              <w:t>前在浙江省政府采购网网上回复。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662" w:hRule="atLeast"/>
        </w:trPr>
        <w:tc>
          <w:tcPr>
            <w:tcW w:w="729" w:type="dxa"/>
            <w:tcBorders>
              <w:top w:val="single" w:color="auto" w:sz="4" w:space="0"/>
              <w:left w:val="single" w:color="000000" w:sz="2" w:space="0"/>
              <w:bottom w:val="single" w:color="000000" w:sz="2" w:space="0"/>
              <w:right w:val="single" w:color="000000" w:sz="2" w:space="0"/>
            </w:tcBorders>
            <w:noWrap w:val="0"/>
            <w:vAlign w:val="center"/>
          </w:tcPr>
          <w:p>
            <w:pPr>
              <w:spacing w:line="500" w:lineRule="exact"/>
              <w:jc w:val="center"/>
              <w:rPr>
                <w:rFonts w:hint="eastAsia" w:ascii="宋体" w:hAnsi="宋体"/>
                <w:szCs w:val="21"/>
              </w:rPr>
            </w:pPr>
            <w:r>
              <w:rPr>
                <w:rFonts w:hint="eastAsia" w:ascii="宋体" w:hAnsi="宋体"/>
                <w:szCs w:val="21"/>
              </w:rPr>
              <w:t>13</w:t>
            </w:r>
          </w:p>
        </w:tc>
        <w:tc>
          <w:tcPr>
            <w:tcW w:w="9231" w:type="dxa"/>
            <w:gridSpan w:val="2"/>
            <w:tcBorders>
              <w:top w:val="single" w:color="auto" w:sz="4" w:space="0"/>
              <w:left w:val="single" w:color="auto" w:sz="4" w:space="0"/>
              <w:bottom w:val="single" w:color="000000" w:sz="2" w:space="0"/>
              <w:right w:val="single" w:color="000000" w:sz="2" w:space="0"/>
            </w:tcBorders>
            <w:noWrap w:val="0"/>
            <w:vAlign w:val="center"/>
          </w:tcPr>
          <w:p>
            <w:pPr>
              <w:pStyle w:val="65"/>
              <w:spacing w:line="280" w:lineRule="exact"/>
              <w:rPr>
                <w:rFonts w:hint="eastAsia" w:ascii="宋体" w:hAnsi="宋体"/>
                <w:sz w:val="21"/>
                <w:lang w:val="en-US" w:eastAsia="zh-CN"/>
              </w:rPr>
            </w:pPr>
            <w:r>
              <w:rPr>
                <w:rFonts w:hint="eastAsia" w:ascii="宋体" w:hAnsi="宋体"/>
                <w:sz w:val="21"/>
                <w:lang w:val="en-US" w:eastAsia="zh-CN"/>
              </w:rPr>
              <w:t>投标文件份数：本项目实行网上投标，供应商应准备电子投标文件，按政采云平台项目采购-电子招投标操作指南及本招标文件要求递交。</w:t>
            </w:r>
          </w:p>
          <w:p>
            <w:pPr>
              <w:pStyle w:val="65"/>
              <w:spacing w:line="280" w:lineRule="exact"/>
              <w:jc w:val="both"/>
              <w:rPr>
                <w:rFonts w:hAnsi="宋体" w:cs="Courier New"/>
                <w:b/>
                <w:bCs/>
                <w:sz w:val="21"/>
                <w:u w:val="single"/>
                <w:lang w:val="en-US" w:eastAsia="zh-CN"/>
              </w:rPr>
            </w:pPr>
            <w:r>
              <w:rPr>
                <w:rFonts w:hint="eastAsia" w:ascii="宋体" w:hAnsi="宋体"/>
                <w:b/>
                <w:sz w:val="21"/>
                <w:lang w:val="en-US" w:eastAsia="zh-CN"/>
              </w:rPr>
              <w:t>注明：供应商需自行准备电脑和制作标书的CA锁。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9" w:hRule="atLeast"/>
        </w:trPr>
        <w:tc>
          <w:tcPr>
            <w:tcW w:w="729" w:type="dxa"/>
            <w:tcBorders>
              <w:top w:val="single" w:color="auto" w:sz="4" w:space="0"/>
              <w:left w:val="single" w:color="000000" w:sz="2" w:space="0"/>
              <w:bottom w:val="single" w:color="000000" w:sz="2" w:space="0"/>
              <w:right w:val="single" w:color="000000" w:sz="2" w:space="0"/>
            </w:tcBorders>
            <w:noWrap w:val="0"/>
            <w:vAlign w:val="center"/>
          </w:tcPr>
          <w:p>
            <w:pPr>
              <w:pStyle w:val="65"/>
              <w:spacing w:line="280" w:lineRule="exact"/>
              <w:jc w:val="center"/>
              <w:rPr>
                <w:rFonts w:hint="eastAsia" w:ascii="宋体" w:hAnsi="宋体"/>
                <w:sz w:val="21"/>
                <w:lang w:val="en-US" w:eastAsia="zh-CN"/>
              </w:rPr>
            </w:pPr>
            <w:r>
              <w:rPr>
                <w:rFonts w:ascii="宋体" w:hAnsi="宋体"/>
                <w:sz w:val="21"/>
                <w:lang w:val="en-US" w:eastAsia="zh-CN"/>
              </w:rPr>
              <w:t>1</w:t>
            </w:r>
            <w:r>
              <w:rPr>
                <w:rFonts w:hint="eastAsia" w:ascii="宋体" w:hAnsi="宋体"/>
                <w:sz w:val="21"/>
                <w:lang w:val="en-US" w:eastAsia="zh-CN"/>
              </w:rPr>
              <w:t>4</w:t>
            </w:r>
          </w:p>
        </w:tc>
        <w:tc>
          <w:tcPr>
            <w:tcW w:w="9231" w:type="dxa"/>
            <w:gridSpan w:val="2"/>
            <w:tcBorders>
              <w:top w:val="single" w:color="auto" w:sz="4" w:space="0"/>
              <w:left w:val="single" w:color="auto" w:sz="4" w:space="0"/>
              <w:bottom w:val="single" w:color="000000" w:sz="2" w:space="0"/>
              <w:right w:val="single" w:color="000000" w:sz="2" w:space="0"/>
            </w:tcBorders>
            <w:noWrap w:val="0"/>
            <w:vAlign w:val="center"/>
          </w:tcPr>
          <w:p>
            <w:pPr>
              <w:pStyle w:val="65"/>
              <w:spacing w:line="280" w:lineRule="exact"/>
              <w:ind w:firstLine="105" w:firstLineChars="50"/>
              <w:jc w:val="both"/>
              <w:rPr>
                <w:rFonts w:ascii="宋体" w:hAnsi="宋体"/>
                <w:sz w:val="21"/>
                <w:lang w:val="en-US" w:eastAsia="zh-CN"/>
              </w:rPr>
            </w:pPr>
            <w:r>
              <w:rPr>
                <w:rFonts w:ascii="宋体" w:hAnsi="宋体"/>
                <w:sz w:val="21"/>
                <w:lang w:val="en-US" w:eastAsia="zh-CN"/>
              </w:rPr>
              <w:t>投标截止时间：</w:t>
            </w:r>
            <w:r>
              <w:rPr>
                <w:rFonts w:hint="eastAsia" w:ascii="宋体" w:hAnsi="宋体"/>
                <w:sz w:val="21"/>
                <w:u w:val="single"/>
                <w:lang w:val="en-US" w:eastAsia="zh-CN"/>
              </w:rPr>
              <w:t>2020</w:t>
            </w:r>
            <w:r>
              <w:rPr>
                <w:rFonts w:hint="eastAsia" w:ascii="宋体" w:hAnsi="宋体"/>
                <w:sz w:val="21"/>
                <w:lang w:val="en-US" w:eastAsia="zh-CN"/>
              </w:rPr>
              <w:t>年</w:t>
            </w:r>
            <w:r>
              <w:rPr>
                <w:rFonts w:hint="eastAsia" w:ascii="宋体" w:hAnsi="宋体"/>
                <w:sz w:val="21"/>
                <w:u w:val="single"/>
                <w:lang w:val="en-US" w:eastAsia="zh-CN"/>
              </w:rPr>
              <w:t>7</w:t>
            </w:r>
            <w:r>
              <w:rPr>
                <w:rFonts w:hint="eastAsia" w:ascii="宋体" w:hAnsi="宋体"/>
                <w:sz w:val="21"/>
                <w:lang w:val="en-US" w:eastAsia="zh-CN"/>
              </w:rPr>
              <w:t>月</w:t>
            </w:r>
            <w:r>
              <w:rPr>
                <w:rFonts w:hint="eastAsia" w:ascii="宋体" w:hAnsi="宋体"/>
                <w:sz w:val="21"/>
                <w:u w:val="single"/>
                <w:lang w:val="en-US" w:eastAsia="zh-CN"/>
              </w:rPr>
              <w:t>3</w:t>
            </w:r>
            <w:r>
              <w:rPr>
                <w:rFonts w:hint="eastAsia" w:ascii="宋体" w:hAnsi="宋体"/>
                <w:sz w:val="21"/>
                <w:lang w:val="en-US" w:eastAsia="zh-CN"/>
              </w:rPr>
              <w:t>日上午9：30时整 ，将电子投标文件上传到“政采云”平台。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9" w:hRule="atLeast"/>
        </w:trPr>
        <w:tc>
          <w:tcPr>
            <w:tcW w:w="729" w:type="dxa"/>
            <w:tcBorders>
              <w:top w:val="single" w:color="auto" w:sz="4" w:space="0"/>
              <w:left w:val="single" w:color="000000" w:sz="2" w:space="0"/>
              <w:bottom w:val="single" w:color="000000" w:sz="2" w:space="0"/>
              <w:right w:val="single" w:color="000000" w:sz="2" w:space="0"/>
            </w:tcBorders>
            <w:noWrap w:val="0"/>
            <w:vAlign w:val="center"/>
          </w:tcPr>
          <w:p>
            <w:pPr>
              <w:pStyle w:val="65"/>
              <w:spacing w:line="280" w:lineRule="exact"/>
              <w:jc w:val="center"/>
              <w:rPr>
                <w:rFonts w:ascii="宋体" w:hAnsi="宋体"/>
                <w:sz w:val="21"/>
                <w:lang w:val="en-US" w:eastAsia="zh-CN"/>
              </w:rPr>
            </w:pPr>
            <w:r>
              <w:rPr>
                <w:rFonts w:ascii="宋体" w:hAnsi="宋体"/>
                <w:sz w:val="21"/>
                <w:lang w:val="en-US" w:eastAsia="zh-CN"/>
              </w:rPr>
              <w:t>1</w:t>
            </w:r>
            <w:r>
              <w:rPr>
                <w:rFonts w:hint="eastAsia" w:ascii="宋体" w:hAnsi="宋体"/>
                <w:sz w:val="21"/>
                <w:lang w:val="en-US" w:eastAsia="zh-CN"/>
              </w:rPr>
              <w:t>5</w:t>
            </w:r>
          </w:p>
        </w:tc>
        <w:tc>
          <w:tcPr>
            <w:tcW w:w="9231" w:type="dxa"/>
            <w:gridSpan w:val="2"/>
            <w:tcBorders>
              <w:top w:val="single" w:color="auto" w:sz="4" w:space="0"/>
              <w:left w:val="single" w:color="auto" w:sz="4" w:space="0"/>
              <w:bottom w:val="single" w:color="000000" w:sz="2" w:space="0"/>
              <w:right w:val="single" w:color="000000" w:sz="2" w:space="0"/>
            </w:tcBorders>
            <w:noWrap w:val="0"/>
            <w:vAlign w:val="top"/>
          </w:tcPr>
          <w:p>
            <w:pPr>
              <w:pStyle w:val="65"/>
              <w:spacing w:line="280" w:lineRule="exact"/>
              <w:ind w:firstLine="105" w:firstLineChars="50"/>
              <w:jc w:val="both"/>
              <w:rPr>
                <w:rFonts w:ascii="宋体" w:hAnsi="宋体"/>
                <w:sz w:val="21"/>
                <w:lang w:val="en-US" w:eastAsia="zh-CN"/>
              </w:rPr>
            </w:pPr>
            <w:r>
              <w:rPr>
                <w:rFonts w:hint="eastAsia" w:ascii="宋体" w:hAnsi="宋体"/>
                <w:b/>
                <w:sz w:val="21"/>
                <w:lang w:val="en-US" w:eastAsia="zh-CN"/>
              </w:rPr>
              <w:t>开标时间及地点：</w:t>
            </w:r>
            <w:r>
              <w:rPr>
                <w:rFonts w:hint="eastAsia" w:ascii="宋体" w:hAnsi="宋体"/>
                <w:sz w:val="21"/>
                <w:u w:val="single"/>
                <w:lang w:val="en-US" w:eastAsia="zh-CN"/>
              </w:rPr>
              <w:t>2020</w:t>
            </w:r>
            <w:r>
              <w:rPr>
                <w:rFonts w:hint="eastAsia" w:ascii="宋体" w:hAnsi="宋体"/>
                <w:sz w:val="21"/>
                <w:lang w:val="en-US" w:eastAsia="zh-CN"/>
              </w:rPr>
              <w:t>年</w:t>
            </w:r>
            <w:r>
              <w:rPr>
                <w:rFonts w:hint="eastAsia" w:ascii="宋体" w:hAnsi="宋体"/>
                <w:sz w:val="21"/>
                <w:u w:val="single"/>
                <w:lang w:val="en-US" w:eastAsia="zh-CN"/>
              </w:rPr>
              <w:t>7</w:t>
            </w:r>
            <w:r>
              <w:rPr>
                <w:rFonts w:hint="eastAsia" w:ascii="宋体" w:hAnsi="宋体"/>
                <w:sz w:val="21"/>
                <w:lang w:val="en-US" w:eastAsia="zh-CN"/>
              </w:rPr>
              <w:t>月</w:t>
            </w:r>
            <w:r>
              <w:rPr>
                <w:rFonts w:hint="eastAsia" w:ascii="宋体" w:hAnsi="宋体"/>
                <w:sz w:val="21"/>
                <w:u w:val="single"/>
                <w:lang w:val="en-US" w:eastAsia="zh-CN"/>
              </w:rPr>
              <w:t>3</w:t>
            </w:r>
            <w:r>
              <w:rPr>
                <w:rFonts w:hint="eastAsia" w:ascii="宋体" w:hAnsi="宋体"/>
                <w:sz w:val="21"/>
                <w:lang w:val="en-US" w:eastAsia="zh-CN"/>
              </w:rPr>
              <w:t xml:space="preserve">日上午9：30时整在绍兴市柯桥区华齐路1066号绍兴市柯桥区公共资源交易中心三楼 2 号交易室开标。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9" w:hRule="atLeast"/>
        </w:trPr>
        <w:tc>
          <w:tcPr>
            <w:tcW w:w="729" w:type="dxa"/>
            <w:tcBorders>
              <w:top w:val="single" w:color="auto" w:sz="4" w:space="0"/>
              <w:left w:val="single" w:color="000000" w:sz="2" w:space="0"/>
              <w:bottom w:val="single" w:color="000000" w:sz="2" w:space="0"/>
              <w:right w:val="single" w:color="000000" w:sz="2" w:space="0"/>
            </w:tcBorders>
            <w:noWrap w:val="0"/>
            <w:vAlign w:val="center"/>
          </w:tcPr>
          <w:p>
            <w:pPr>
              <w:spacing w:line="500" w:lineRule="exact"/>
              <w:jc w:val="center"/>
              <w:rPr>
                <w:rFonts w:hint="eastAsia" w:ascii="宋体" w:hAnsi="宋体"/>
                <w:szCs w:val="21"/>
              </w:rPr>
            </w:pPr>
            <w:r>
              <w:rPr>
                <w:rFonts w:hint="eastAsia" w:ascii="宋体" w:hAnsi="宋体"/>
                <w:szCs w:val="21"/>
              </w:rPr>
              <w:t>16</w:t>
            </w:r>
          </w:p>
        </w:tc>
        <w:tc>
          <w:tcPr>
            <w:tcW w:w="9231" w:type="dxa"/>
            <w:gridSpan w:val="2"/>
            <w:tcBorders>
              <w:top w:val="single" w:color="auto" w:sz="4" w:space="0"/>
              <w:left w:val="single" w:color="auto" w:sz="4" w:space="0"/>
              <w:bottom w:val="single" w:color="000000" w:sz="2" w:space="0"/>
              <w:right w:val="single" w:color="000000" w:sz="2" w:space="0"/>
            </w:tcBorders>
            <w:noWrap w:val="0"/>
            <w:vAlign w:val="center"/>
          </w:tcPr>
          <w:p>
            <w:pPr>
              <w:pStyle w:val="65"/>
              <w:spacing w:line="276" w:lineRule="auto"/>
              <w:jc w:val="both"/>
              <w:rPr>
                <w:rFonts w:hint="eastAsia" w:hAnsi="宋体"/>
                <w:sz w:val="21"/>
                <w:lang w:val="en-US" w:eastAsia="zh-CN"/>
              </w:rPr>
            </w:pPr>
            <w:r>
              <w:rPr>
                <w:rFonts w:hAnsi="宋体"/>
                <w:sz w:val="21"/>
                <w:lang w:val="en-US" w:eastAsia="zh-CN"/>
              </w:rPr>
              <w:t>其他需说明的内容：</w:t>
            </w:r>
          </w:p>
          <w:p>
            <w:pPr>
              <w:snapToGrid w:val="0"/>
              <w:spacing w:line="276" w:lineRule="auto"/>
              <w:rPr>
                <w:rFonts w:hint="eastAsia" w:hAnsi="宋体"/>
                <w:szCs w:val="21"/>
              </w:rPr>
            </w:pPr>
            <w:r>
              <w:rPr>
                <w:rFonts w:hint="eastAsia" w:hAnsi="宋体"/>
                <w:szCs w:val="21"/>
              </w:rPr>
              <w:t>1、</w:t>
            </w:r>
            <w:r>
              <w:rPr>
                <w:rFonts w:hAnsi="宋体"/>
                <w:szCs w:val="21"/>
              </w:rPr>
              <w:t>开标时间后</w:t>
            </w:r>
            <w:r>
              <w:rPr>
                <w:rFonts w:hint="eastAsia" w:hAnsi="宋体"/>
                <w:szCs w:val="21"/>
              </w:rPr>
              <w:t>1</w:t>
            </w:r>
            <w:r>
              <w:rPr>
                <w:rFonts w:hAnsi="宋体"/>
                <w:szCs w:val="21"/>
              </w:rPr>
              <w:t>小时内（2020年</w:t>
            </w:r>
            <w:r>
              <w:rPr>
                <w:rFonts w:hint="eastAsia" w:hAnsi="宋体"/>
                <w:szCs w:val="21"/>
              </w:rPr>
              <w:t>7</w:t>
            </w:r>
            <w:r>
              <w:rPr>
                <w:rFonts w:hAnsi="宋体"/>
                <w:szCs w:val="21"/>
              </w:rPr>
              <w:t>月</w:t>
            </w:r>
            <w:r>
              <w:rPr>
                <w:rFonts w:hint="eastAsia" w:hAnsi="宋体"/>
                <w:szCs w:val="21"/>
              </w:rPr>
              <w:t>3</w:t>
            </w:r>
            <w:r>
              <w:rPr>
                <w:rFonts w:hAnsi="宋体"/>
                <w:szCs w:val="21"/>
              </w:rPr>
              <w:t>日</w:t>
            </w:r>
            <w:r>
              <w:rPr>
                <w:rFonts w:hint="eastAsia" w:hAnsi="宋体"/>
                <w:szCs w:val="21"/>
              </w:rPr>
              <w:t>10:30整</w:t>
            </w:r>
            <w:r>
              <w:rPr>
                <w:rFonts w:hAnsi="宋体"/>
                <w:szCs w:val="21"/>
              </w:rPr>
              <w:t>前）供应商可以登录“政采云”平台，用“项目采购-开标评标”功能进行解密投标文件。若供应商在规定时间内（2020年</w:t>
            </w:r>
            <w:r>
              <w:rPr>
                <w:rFonts w:hint="eastAsia" w:hAnsi="宋体"/>
                <w:szCs w:val="21"/>
              </w:rPr>
              <w:t>7</w:t>
            </w:r>
            <w:r>
              <w:rPr>
                <w:rFonts w:hAnsi="宋体"/>
                <w:szCs w:val="21"/>
              </w:rPr>
              <w:t>月</w:t>
            </w:r>
            <w:r>
              <w:rPr>
                <w:rFonts w:hint="eastAsia" w:hAnsi="宋体"/>
                <w:szCs w:val="21"/>
              </w:rPr>
              <w:t>3</w:t>
            </w:r>
            <w:r>
              <w:rPr>
                <w:rFonts w:hAnsi="宋体"/>
                <w:szCs w:val="21"/>
              </w:rPr>
              <w:t>日</w:t>
            </w:r>
            <w:r>
              <w:rPr>
                <w:rFonts w:hint="eastAsia" w:hAnsi="宋体"/>
                <w:szCs w:val="21"/>
              </w:rPr>
              <w:t>10:30整</w:t>
            </w:r>
            <w:r>
              <w:rPr>
                <w:rFonts w:hAnsi="宋体"/>
                <w:szCs w:val="21"/>
              </w:rPr>
              <w:t>前）无法解密或解密失败，视为投标人放弃投标</w:t>
            </w:r>
            <w:r>
              <w:rPr>
                <w:rFonts w:hint="eastAsia" w:hAnsi="宋体"/>
                <w:szCs w:val="21"/>
              </w:rPr>
              <w:t>。</w:t>
            </w:r>
          </w:p>
          <w:p>
            <w:pPr>
              <w:spacing w:line="276" w:lineRule="auto"/>
              <w:rPr>
                <w:rFonts w:ascii="宋体" w:hAnsi="宋体"/>
                <w:szCs w:val="21"/>
              </w:rPr>
            </w:pPr>
            <w:r>
              <w:rPr>
                <w:rFonts w:hint="eastAsia" w:ascii="宋体" w:hAnsi="宋体"/>
                <w:szCs w:val="21"/>
              </w:rPr>
              <w:t>2、本招标文件所涉及的法定代表人或其委托代理人签字或盖章的内容，投标单位须盖法定代表人电子签章，如果投标单位没有法定代表人电子签章，涉及到法定代表人或其委托代理人的签字或盖章的内容，投标单位可以线下签字或盖章后扫描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9" w:hRule="atLeast"/>
        </w:trPr>
        <w:tc>
          <w:tcPr>
            <w:tcW w:w="729" w:type="dxa"/>
            <w:tcBorders>
              <w:top w:val="single" w:color="auto" w:sz="4" w:space="0"/>
              <w:left w:val="single" w:color="000000" w:sz="2" w:space="0"/>
              <w:bottom w:val="single" w:color="000000" w:sz="2" w:space="0"/>
              <w:right w:val="single" w:color="000000" w:sz="2" w:space="0"/>
            </w:tcBorders>
            <w:noWrap w:val="0"/>
            <w:vAlign w:val="center"/>
          </w:tcPr>
          <w:p>
            <w:pPr>
              <w:spacing w:line="500" w:lineRule="exact"/>
              <w:jc w:val="center"/>
              <w:rPr>
                <w:rFonts w:hint="eastAsia" w:ascii="宋体" w:hAnsi="宋体"/>
                <w:szCs w:val="21"/>
              </w:rPr>
            </w:pPr>
            <w:r>
              <w:rPr>
                <w:rFonts w:hint="eastAsia" w:ascii="宋体" w:hAnsi="宋体"/>
                <w:szCs w:val="21"/>
              </w:rPr>
              <w:t>17</w:t>
            </w:r>
          </w:p>
        </w:tc>
        <w:tc>
          <w:tcPr>
            <w:tcW w:w="9231" w:type="dxa"/>
            <w:gridSpan w:val="2"/>
            <w:tcBorders>
              <w:top w:val="single" w:color="auto" w:sz="4" w:space="0"/>
              <w:left w:val="single" w:color="auto" w:sz="4" w:space="0"/>
              <w:bottom w:val="single" w:color="000000" w:sz="2" w:space="0"/>
              <w:right w:val="single" w:color="000000" w:sz="2" w:space="0"/>
            </w:tcBorders>
            <w:noWrap w:val="0"/>
            <w:vAlign w:val="center"/>
          </w:tcPr>
          <w:p>
            <w:pPr>
              <w:spacing w:line="500" w:lineRule="exact"/>
              <w:ind w:firstLine="105" w:firstLineChars="50"/>
              <w:rPr>
                <w:rFonts w:ascii="宋体" w:hAnsi="宋体"/>
                <w:szCs w:val="21"/>
              </w:rPr>
            </w:pPr>
            <w:r>
              <w:rPr>
                <w:rFonts w:hint="eastAsia" w:ascii="宋体" w:hAnsi="宋体"/>
                <w:szCs w:val="21"/>
              </w:rPr>
              <w:t>样品要求提供：无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9" w:hRule="atLeast"/>
        </w:trPr>
        <w:tc>
          <w:tcPr>
            <w:tcW w:w="729" w:type="dxa"/>
            <w:tcBorders>
              <w:top w:val="single" w:color="auto" w:sz="4" w:space="0"/>
              <w:left w:val="single" w:color="000000" w:sz="2" w:space="0"/>
              <w:bottom w:val="single" w:color="000000" w:sz="2" w:space="0"/>
              <w:right w:val="single" w:color="000000" w:sz="2" w:space="0"/>
            </w:tcBorders>
            <w:noWrap w:val="0"/>
            <w:vAlign w:val="center"/>
          </w:tcPr>
          <w:p>
            <w:pPr>
              <w:spacing w:line="500" w:lineRule="exact"/>
              <w:jc w:val="center"/>
              <w:rPr>
                <w:rFonts w:hint="eastAsia" w:ascii="宋体" w:hAnsi="宋体"/>
                <w:szCs w:val="21"/>
              </w:rPr>
            </w:pPr>
            <w:r>
              <w:rPr>
                <w:rFonts w:hint="eastAsia" w:ascii="宋体" w:hAnsi="宋体"/>
                <w:szCs w:val="21"/>
              </w:rPr>
              <w:t>18</w:t>
            </w:r>
          </w:p>
        </w:tc>
        <w:tc>
          <w:tcPr>
            <w:tcW w:w="9231" w:type="dxa"/>
            <w:gridSpan w:val="2"/>
            <w:tcBorders>
              <w:top w:val="single" w:color="auto" w:sz="4" w:space="0"/>
              <w:left w:val="single" w:color="auto" w:sz="4" w:space="0"/>
              <w:bottom w:val="single" w:color="000000" w:sz="2" w:space="0"/>
              <w:right w:val="single" w:color="000000" w:sz="2" w:space="0"/>
            </w:tcBorders>
            <w:noWrap w:val="0"/>
            <w:vAlign w:val="center"/>
          </w:tcPr>
          <w:p>
            <w:pPr>
              <w:spacing w:line="500" w:lineRule="exact"/>
              <w:ind w:firstLine="105" w:firstLineChars="50"/>
              <w:rPr>
                <w:rFonts w:ascii="宋体" w:hAnsi="宋体"/>
                <w:szCs w:val="21"/>
              </w:rPr>
            </w:pPr>
            <w:r>
              <w:rPr>
                <w:rFonts w:hint="eastAsia" w:ascii="宋体" w:hAnsi="宋体"/>
                <w:szCs w:val="21"/>
              </w:rPr>
              <w:t>现场演示：无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89" w:hRule="atLeast"/>
        </w:trPr>
        <w:tc>
          <w:tcPr>
            <w:tcW w:w="729" w:type="dxa"/>
            <w:tcBorders>
              <w:top w:val="single" w:color="auto" w:sz="4" w:space="0"/>
              <w:left w:val="single" w:color="000000" w:sz="2" w:space="0"/>
              <w:bottom w:val="single" w:color="000000" w:sz="2" w:space="0"/>
              <w:right w:val="single" w:color="000000" w:sz="2" w:space="0"/>
            </w:tcBorders>
            <w:noWrap w:val="0"/>
            <w:vAlign w:val="center"/>
          </w:tcPr>
          <w:p>
            <w:pPr>
              <w:spacing w:line="500" w:lineRule="exact"/>
              <w:jc w:val="center"/>
              <w:rPr>
                <w:rFonts w:ascii="宋体" w:hAnsi="宋体"/>
                <w:szCs w:val="21"/>
              </w:rPr>
            </w:pPr>
            <w:r>
              <w:rPr>
                <w:rFonts w:hint="eastAsia" w:ascii="宋体" w:hAnsi="宋体"/>
                <w:szCs w:val="21"/>
              </w:rPr>
              <w:t>19</w:t>
            </w:r>
          </w:p>
        </w:tc>
        <w:tc>
          <w:tcPr>
            <w:tcW w:w="9231" w:type="dxa"/>
            <w:gridSpan w:val="2"/>
            <w:tcBorders>
              <w:top w:val="single" w:color="auto" w:sz="4" w:space="0"/>
              <w:left w:val="single" w:color="auto" w:sz="4" w:space="0"/>
              <w:bottom w:val="single" w:color="000000" w:sz="2" w:space="0"/>
              <w:right w:val="single" w:color="000000" w:sz="2" w:space="0"/>
            </w:tcBorders>
            <w:noWrap w:val="0"/>
            <w:vAlign w:val="center"/>
          </w:tcPr>
          <w:p>
            <w:pPr>
              <w:spacing w:line="500" w:lineRule="exact"/>
              <w:ind w:firstLine="105" w:firstLineChars="50"/>
              <w:rPr>
                <w:rFonts w:hint="eastAsia" w:ascii="宋体" w:hAnsi="宋体"/>
                <w:szCs w:val="21"/>
              </w:rPr>
            </w:pPr>
            <w:r>
              <w:rPr>
                <w:rFonts w:ascii="宋体" w:hAnsi="宋体"/>
                <w:szCs w:val="21"/>
              </w:rPr>
              <w:t>解释：凡涉及本次</w:t>
            </w:r>
            <w:r>
              <w:rPr>
                <w:rFonts w:hint="eastAsia" w:ascii="宋体" w:hAnsi="宋体"/>
                <w:szCs w:val="21"/>
              </w:rPr>
              <w:t>项目采购</w:t>
            </w:r>
            <w:r>
              <w:rPr>
                <w:rFonts w:ascii="宋体" w:hAnsi="宋体"/>
                <w:szCs w:val="21"/>
              </w:rPr>
              <w:t>文件的解释权属于</w:t>
            </w:r>
            <w:r>
              <w:rPr>
                <w:rFonts w:hint="eastAsia" w:ascii="宋体" w:hAnsi="宋体"/>
                <w:szCs w:val="21"/>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58" w:hRule="atLeast"/>
        </w:trPr>
        <w:tc>
          <w:tcPr>
            <w:tcW w:w="729" w:type="dxa"/>
            <w:tcBorders>
              <w:top w:val="single" w:color="auto" w:sz="4" w:space="0"/>
              <w:left w:val="single" w:color="000000" w:sz="2" w:space="0"/>
              <w:bottom w:val="single" w:color="auto" w:sz="4" w:space="0"/>
              <w:right w:val="single" w:color="000000" w:sz="2" w:space="0"/>
            </w:tcBorders>
            <w:noWrap w:val="0"/>
            <w:vAlign w:val="center"/>
          </w:tcPr>
          <w:p>
            <w:pPr>
              <w:spacing w:line="500" w:lineRule="exact"/>
              <w:jc w:val="center"/>
              <w:rPr>
                <w:rFonts w:hint="eastAsia" w:ascii="宋体" w:hAnsi="宋体"/>
                <w:szCs w:val="21"/>
              </w:rPr>
            </w:pPr>
            <w:r>
              <w:rPr>
                <w:rFonts w:hint="eastAsia" w:ascii="宋体" w:hAnsi="宋体"/>
                <w:szCs w:val="21"/>
              </w:rPr>
              <w:t>20</w:t>
            </w:r>
          </w:p>
        </w:tc>
        <w:tc>
          <w:tcPr>
            <w:tcW w:w="9231" w:type="dxa"/>
            <w:gridSpan w:val="2"/>
            <w:tcBorders>
              <w:top w:val="single" w:color="auto" w:sz="4" w:space="0"/>
              <w:left w:val="single" w:color="auto" w:sz="4" w:space="0"/>
              <w:bottom w:val="single" w:color="auto" w:sz="4" w:space="0"/>
              <w:right w:val="single" w:color="000000" w:sz="2" w:space="0"/>
            </w:tcBorders>
            <w:noWrap w:val="0"/>
            <w:vAlign w:val="center"/>
          </w:tcPr>
          <w:p>
            <w:pPr>
              <w:pStyle w:val="65"/>
              <w:spacing w:line="280" w:lineRule="exact"/>
              <w:ind w:firstLine="105" w:firstLineChars="50"/>
              <w:rPr>
                <w:rFonts w:ascii="宋体" w:hAnsi="宋体" w:cs="Courier New"/>
                <w:bCs/>
                <w:sz w:val="21"/>
                <w:lang w:val="en-US" w:eastAsia="zh-CN"/>
              </w:rPr>
            </w:pPr>
            <w:r>
              <w:rPr>
                <w:rFonts w:ascii="宋体" w:hAnsi="宋体"/>
                <w:sz w:val="21"/>
                <w:lang w:val="en-US" w:eastAsia="zh-CN"/>
              </w:rPr>
              <w:t>监管机构：</w:t>
            </w:r>
            <w:r>
              <w:rPr>
                <w:rFonts w:hAnsi="宋体"/>
                <w:bCs/>
                <w:sz w:val="21"/>
                <w:lang w:val="en-US" w:eastAsia="zh-CN"/>
              </w:rPr>
              <w:t>绍兴市柯桥区公共资源交易管理委员会办公室，联系电话：0575-84130780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97" w:hRule="atLeast"/>
        </w:trPr>
        <w:tc>
          <w:tcPr>
            <w:tcW w:w="729" w:type="dxa"/>
            <w:tcBorders>
              <w:top w:val="single" w:color="auto" w:sz="4" w:space="0"/>
              <w:left w:val="single" w:color="000000" w:sz="2" w:space="0"/>
              <w:bottom w:val="single" w:color="auto" w:sz="4" w:space="0"/>
              <w:right w:val="single" w:color="000000" w:sz="2" w:space="0"/>
            </w:tcBorders>
            <w:noWrap w:val="0"/>
            <w:vAlign w:val="center"/>
          </w:tcPr>
          <w:p>
            <w:pPr>
              <w:spacing w:line="500" w:lineRule="exact"/>
              <w:jc w:val="center"/>
              <w:rPr>
                <w:rFonts w:hint="eastAsia" w:ascii="宋体" w:hAnsi="宋体"/>
                <w:szCs w:val="21"/>
              </w:rPr>
            </w:pPr>
            <w:r>
              <w:rPr>
                <w:rFonts w:hint="eastAsia" w:ascii="宋体" w:hAnsi="宋体"/>
                <w:szCs w:val="21"/>
              </w:rPr>
              <w:t>21</w:t>
            </w:r>
          </w:p>
        </w:tc>
        <w:tc>
          <w:tcPr>
            <w:tcW w:w="9231" w:type="dxa"/>
            <w:gridSpan w:val="2"/>
            <w:tcBorders>
              <w:top w:val="single" w:color="auto" w:sz="4" w:space="0"/>
              <w:left w:val="single" w:color="auto" w:sz="4" w:space="0"/>
              <w:bottom w:val="single" w:color="auto" w:sz="4" w:space="0"/>
              <w:right w:val="single" w:color="000000" w:sz="2" w:space="0"/>
            </w:tcBorders>
            <w:noWrap w:val="0"/>
            <w:vAlign w:val="center"/>
          </w:tcPr>
          <w:p>
            <w:pPr>
              <w:rPr>
                <w:rFonts w:hint="eastAsia"/>
              </w:rPr>
            </w:pPr>
            <w:r>
              <w:rPr>
                <w:rFonts w:hint="eastAsia" w:hAnsi="宋体"/>
                <w:b/>
                <w:szCs w:val="21"/>
              </w:rPr>
              <w:t>本项目设上限价，本次上限</w:t>
            </w:r>
            <w:r>
              <w:rPr>
                <w:rFonts w:hint="eastAsia" w:ascii="宋体" w:hAnsi="宋体"/>
                <w:b/>
                <w:szCs w:val="21"/>
              </w:rPr>
              <w:t>价为</w:t>
            </w:r>
            <w:r>
              <w:rPr>
                <w:rFonts w:hint="eastAsia" w:ascii="宋体" w:hAnsi="宋体"/>
                <w:b/>
                <w:szCs w:val="21"/>
                <w:u w:val="single"/>
              </w:rPr>
              <w:t>Ⅰ标：2576万元/年；Ⅱ标：2184万元/年</w:t>
            </w:r>
            <w:r>
              <w:rPr>
                <w:rFonts w:hint="eastAsia" w:ascii="宋体" w:hAnsi="宋体"/>
                <w:b/>
                <w:szCs w:val="21"/>
              </w:rPr>
              <w:t>。超过上限价的，作无效标处理。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97" w:hRule="atLeast"/>
        </w:trPr>
        <w:tc>
          <w:tcPr>
            <w:tcW w:w="729" w:type="dxa"/>
            <w:tcBorders>
              <w:top w:val="single" w:color="auto" w:sz="4" w:space="0"/>
              <w:left w:val="single" w:color="000000" w:sz="2" w:space="0"/>
              <w:bottom w:val="single" w:color="auto" w:sz="4" w:space="0"/>
              <w:right w:val="single" w:color="000000" w:sz="2" w:space="0"/>
            </w:tcBorders>
            <w:noWrap w:val="0"/>
            <w:vAlign w:val="center"/>
          </w:tcPr>
          <w:p>
            <w:pPr>
              <w:spacing w:line="500" w:lineRule="exact"/>
              <w:jc w:val="center"/>
              <w:rPr>
                <w:rFonts w:hint="eastAsia" w:ascii="宋体" w:hAnsi="宋体"/>
                <w:szCs w:val="21"/>
              </w:rPr>
            </w:pPr>
            <w:r>
              <w:rPr>
                <w:rFonts w:hint="eastAsia" w:ascii="宋体" w:hAnsi="宋体"/>
                <w:szCs w:val="21"/>
              </w:rPr>
              <w:t>22</w:t>
            </w:r>
          </w:p>
        </w:tc>
        <w:tc>
          <w:tcPr>
            <w:tcW w:w="9231" w:type="dxa"/>
            <w:gridSpan w:val="2"/>
            <w:tcBorders>
              <w:top w:val="single" w:color="auto" w:sz="4" w:space="0"/>
              <w:left w:val="single" w:color="auto" w:sz="4" w:space="0"/>
              <w:bottom w:val="single" w:color="auto" w:sz="4" w:space="0"/>
              <w:right w:val="single" w:color="000000" w:sz="2" w:space="0"/>
            </w:tcBorders>
            <w:noWrap w:val="0"/>
            <w:vAlign w:val="center"/>
          </w:tcPr>
          <w:p>
            <w:pPr>
              <w:rPr>
                <w:rFonts w:hint="eastAsia" w:hAnsi="宋体"/>
                <w:b/>
                <w:szCs w:val="21"/>
              </w:rPr>
            </w:pPr>
            <w:r>
              <w:rPr>
                <w:rFonts w:hint="eastAsia" w:hAnsi="宋体"/>
                <w:b/>
                <w:szCs w:val="21"/>
              </w:rPr>
              <w:t>符合要求的供应商可以同时报名二个标段，但只允许中一个标段。开标将按顺序（Ⅰ标：柯北标段、Ⅱ标：柯中标段）进行。</w:t>
            </w:r>
          </w:p>
        </w:tc>
      </w:tr>
    </w:tbl>
    <w:p>
      <w:pPr>
        <w:pStyle w:val="2"/>
        <w:spacing w:before="0" w:after="0" w:line="500" w:lineRule="exact"/>
        <w:rPr>
          <w:rFonts w:ascii="宋体" w:hAnsi="宋体"/>
          <w:b/>
          <w:bCs w:val="0"/>
          <w:sz w:val="28"/>
          <w:szCs w:val="28"/>
        </w:rPr>
        <w:sectPr>
          <w:pgSz w:w="11907" w:h="16840"/>
          <w:pgMar w:top="1134" w:right="1134" w:bottom="1134" w:left="1418" w:header="567" w:footer="567" w:gutter="0"/>
          <w:cols w:space="720" w:num="1"/>
          <w:docGrid w:linePitch="286" w:charSpace="0"/>
        </w:sectPr>
      </w:pPr>
    </w:p>
    <w:p>
      <w:pPr>
        <w:pStyle w:val="2"/>
        <w:numPr>
          <w:ilvl w:val="0"/>
          <w:numId w:val="0"/>
        </w:numPr>
        <w:spacing w:before="0" w:after="0" w:line="500" w:lineRule="exact"/>
        <w:ind w:left="851" w:hanging="851"/>
        <w:rPr>
          <w:rFonts w:hint="eastAsia" w:ascii="宋体" w:hAnsi="宋体"/>
          <w:b/>
          <w:bCs w:val="0"/>
          <w:sz w:val="28"/>
          <w:szCs w:val="28"/>
        </w:rPr>
      </w:pPr>
      <w:bookmarkStart w:id="3" w:name="_Toc25589250"/>
      <w:r>
        <w:rPr>
          <w:rFonts w:ascii="宋体" w:hAnsi="宋体"/>
          <w:b/>
          <w:bCs w:val="0"/>
          <w:sz w:val="28"/>
          <w:szCs w:val="28"/>
        </w:rPr>
        <w:t>二、</w:t>
      </w:r>
      <w:r>
        <w:rPr>
          <w:rFonts w:hint="eastAsia" w:ascii="宋体" w:hAnsi="宋体"/>
          <w:b/>
          <w:bCs w:val="0"/>
          <w:sz w:val="28"/>
          <w:szCs w:val="28"/>
        </w:rPr>
        <w:t>供应商</w:t>
      </w:r>
      <w:r>
        <w:rPr>
          <w:rFonts w:ascii="宋体" w:hAnsi="宋体"/>
          <w:b/>
          <w:bCs w:val="0"/>
          <w:sz w:val="28"/>
          <w:szCs w:val="28"/>
        </w:rPr>
        <w:t>须知</w:t>
      </w:r>
      <w:bookmarkEnd w:id="3"/>
    </w:p>
    <w:p>
      <w:pPr>
        <w:spacing w:line="500" w:lineRule="exact"/>
        <w:ind w:firstLine="424" w:firstLineChars="176"/>
        <w:rPr>
          <w:rFonts w:hint="eastAsia" w:ascii="宋体" w:hAnsi="宋体"/>
          <w:b/>
          <w:sz w:val="24"/>
        </w:rPr>
      </w:pPr>
      <w:r>
        <w:rPr>
          <w:rFonts w:hint="eastAsia" w:ascii="宋体" w:hAnsi="宋体"/>
          <w:b/>
          <w:sz w:val="24"/>
        </w:rPr>
        <w:t>2.1采购方式：公开招标。</w:t>
      </w:r>
    </w:p>
    <w:p>
      <w:pPr>
        <w:spacing w:line="500" w:lineRule="exact"/>
        <w:ind w:firstLine="424" w:firstLineChars="176"/>
        <w:rPr>
          <w:rFonts w:hint="eastAsia" w:ascii="宋体" w:hAnsi="宋体"/>
          <w:b/>
          <w:sz w:val="24"/>
        </w:rPr>
      </w:pPr>
      <w:r>
        <w:rPr>
          <w:rFonts w:hint="eastAsia" w:ascii="宋体" w:hAnsi="宋体"/>
          <w:b/>
          <w:sz w:val="24"/>
        </w:rPr>
        <w:t>2.2合格的供应商</w:t>
      </w:r>
    </w:p>
    <w:p>
      <w:pPr>
        <w:spacing w:line="500" w:lineRule="exact"/>
        <w:ind w:firstLine="426"/>
        <w:rPr>
          <w:rFonts w:hint="eastAsia" w:ascii="宋体" w:hAnsi="宋体"/>
          <w:sz w:val="24"/>
        </w:rPr>
      </w:pPr>
      <w:r>
        <w:rPr>
          <w:rFonts w:hint="eastAsia" w:ascii="宋体" w:hAnsi="宋体"/>
          <w:sz w:val="24"/>
        </w:rPr>
        <w:t>凡符合前附表第3项要求，有生产（或供应）、服务能力的国内企业，在国内注册的外国独资或中外合资、合作企业，符合并承认和履行采购文件中的各项规定者，均可参加投标。</w:t>
      </w:r>
    </w:p>
    <w:p>
      <w:pPr>
        <w:spacing w:line="500" w:lineRule="exact"/>
        <w:ind w:firstLine="424" w:firstLineChars="176"/>
        <w:rPr>
          <w:rFonts w:hint="eastAsia" w:ascii="宋体" w:hAnsi="宋体"/>
          <w:b/>
          <w:sz w:val="24"/>
        </w:rPr>
      </w:pPr>
      <w:r>
        <w:rPr>
          <w:rFonts w:hint="eastAsia" w:ascii="宋体" w:hAnsi="宋体"/>
          <w:b/>
          <w:sz w:val="24"/>
        </w:rPr>
        <w:t>2.3联合投标</w:t>
      </w:r>
    </w:p>
    <w:p>
      <w:pPr>
        <w:pStyle w:val="17"/>
        <w:spacing w:after="0" w:line="500" w:lineRule="exact"/>
        <w:rPr>
          <w:rFonts w:hint="eastAsia" w:ascii="宋体" w:hAnsi="宋体"/>
          <w:sz w:val="24"/>
        </w:rPr>
      </w:pPr>
      <w:r>
        <w:rPr>
          <w:rFonts w:hint="eastAsia" w:ascii="宋体" w:hAnsi="宋体"/>
          <w:sz w:val="24"/>
        </w:rPr>
        <w:t>不接受联合体投标。</w:t>
      </w:r>
    </w:p>
    <w:p>
      <w:pPr>
        <w:spacing w:line="500" w:lineRule="exact"/>
        <w:ind w:firstLine="424" w:firstLineChars="176"/>
        <w:rPr>
          <w:rFonts w:hint="eastAsia" w:ascii="宋体" w:hAnsi="宋体"/>
          <w:b/>
          <w:sz w:val="24"/>
        </w:rPr>
      </w:pPr>
      <w:r>
        <w:rPr>
          <w:rFonts w:hint="eastAsia" w:ascii="宋体" w:hAnsi="宋体"/>
          <w:b/>
          <w:sz w:val="24"/>
        </w:rPr>
        <w:t>2.4采购文件的澄清（答疑）和修改</w:t>
      </w:r>
    </w:p>
    <w:p>
      <w:pPr>
        <w:spacing w:line="500" w:lineRule="exact"/>
        <w:ind w:firstLine="424" w:firstLineChars="177"/>
        <w:rPr>
          <w:rFonts w:hint="eastAsia" w:ascii="宋体" w:hAnsi="宋体"/>
          <w:sz w:val="24"/>
        </w:rPr>
      </w:pPr>
      <w:r>
        <w:rPr>
          <w:rFonts w:hint="eastAsia" w:ascii="宋体" w:hAnsi="宋体"/>
          <w:sz w:val="24"/>
        </w:rPr>
        <w:t>2.4.1供应商在获得采购文件后，如有疑问，须按前附表的时间要求，以传真、电子邮件等形式通知采购人，除非采购人认为确有必要澄清、答复，否则，采购人有权拒绝回复投标人在规定的时间后的任何澄清要求。</w:t>
      </w:r>
    </w:p>
    <w:p>
      <w:pPr>
        <w:spacing w:line="500" w:lineRule="exact"/>
        <w:ind w:firstLine="424" w:firstLineChars="177"/>
        <w:rPr>
          <w:rFonts w:hint="eastAsia" w:ascii="宋体" w:hAnsi="宋体"/>
          <w:sz w:val="24"/>
        </w:rPr>
      </w:pPr>
      <w:r>
        <w:rPr>
          <w:rFonts w:hint="eastAsia" w:ascii="宋体" w:hAnsi="宋体"/>
          <w:sz w:val="24"/>
        </w:rPr>
        <w:t>2.4.2对在前附表规定时间前收到的疑问，采购人应在答疑回复截止时间之前，对供应商提出的问题予以澄清、答复；或者在投标截止前的任何时候，采购人需要对采购文件进行补充或修改的，采购人将会通过“浙江省政府采购网”以澄清或修改公告形式发布。为使供应商在编制投标文件时把修改或补充通知内容考虑进去，采购人可以酌情延长递交投标文件的截止时间，通知中没有注明更改投标截止时间的视为截止时间不变。</w:t>
      </w:r>
    </w:p>
    <w:p>
      <w:pPr>
        <w:spacing w:line="500" w:lineRule="exact"/>
        <w:ind w:firstLine="480" w:firstLineChars="200"/>
        <w:rPr>
          <w:rFonts w:hint="eastAsia" w:ascii="宋体" w:hAnsi="宋体"/>
          <w:sz w:val="24"/>
        </w:rPr>
      </w:pPr>
      <w:r>
        <w:rPr>
          <w:rFonts w:hint="eastAsia" w:ascii="宋体" w:hAnsi="宋体"/>
          <w:sz w:val="24"/>
        </w:rPr>
        <w:t>2.4.3澄清或修改公告的内容为采购文件的组成部分。当招标文件与澄清或修改公告就同一内容的表述不一致时，以最后发出的文件内容为准。</w:t>
      </w:r>
    </w:p>
    <w:p>
      <w:pPr>
        <w:pStyle w:val="21"/>
        <w:spacing w:line="500" w:lineRule="exact"/>
        <w:ind w:firstLine="480"/>
        <w:rPr>
          <w:rFonts w:hint="eastAsia" w:hAnsi="宋体"/>
          <w:b/>
          <w:sz w:val="24"/>
          <w:szCs w:val="24"/>
        </w:rPr>
      </w:pPr>
      <w:r>
        <w:rPr>
          <w:rFonts w:hint="eastAsia" w:hAnsi="宋体"/>
          <w:b/>
          <w:sz w:val="24"/>
          <w:szCs w:val="24"/>
        </w:rPr>
        <w:t>2.5现场勘察</w:t>
      </w:r>
    </w:p>
    <w:p>
      <w:pPr>
        <w:spacing w:line="500" w:lineRule="exact"/>
        <w:ind w:firstLine="470" w:firstLineChars="196"/>
        <w:rPr>
          <w:rFonts w:hint="eastAsia" w:ascii="宋体" w:hAnsi="宋体"/>
          <w:sz w:val="24"/>
        </w:rPr>
      </w:pPr>
      <w:r>
        <w:rPr>
          <w:rFonts w:hint="eastAsia" w:ascii="宋体" w:hAnsi="宋体"/>
          <w:sz w:val="24"/>
        </w:rPr>
        <w:t>2.5.1为使投标供应商对</w:t>
      </w:r>
      <w:r>
        <w:rPr>
          <w:rFonts w:hint="eastAsia" w:ascii="宋体" w:hAnsi="宋体"/>
          <w:bCs/>
          <w:sz w:val="24"/>
        </w:rPr>
        <w:t>本采购项目</w:t>
      </w:r>
      <w:r>
        <w:rPr>
          <w:rFonts w:hint="eastAsia" w:ascii="宋体" w:hAnsi="宋体"/>
          <w:sz w:val="24"/>
        </w:rPr>
        <w:t>情况有所了解，投标供应商自行组织对项目所在场地及周围环境进行现场勘察，以便获取由投标供应商自行负责编制投标文件和签订合同所需的一切资料。现场勘察所发生的费用由投标供应商自行承担。</w:t>
      </w:r>
    </w:p>
    <w:p>
      <w:pPr>
        <w:pStyle w:val="21"/>
        <w:spacing w:line="500" w:lineRule="exact"/>
        <w:ind w:firstLine="480"/>
        <w:rPr>
          <w:rFonts w:hint="eastAsia" w:hAnsi="宋体"/>
          <w:sz w:val="24"/>
          <w:szCs w:val="24"/>
        </w:rPr>
      </w:pPr>
      <w:r>
        <w:rPr>
          <w:rFonts w:hint="eastAsia" w:hAnsi="宋体"/>
          <w:sz w:val="24"/>
          <w:szCs w:val="24"/>
        </w:rPr>
        <w:t>2.5.2现场勘察完毕，将认为供应商已了解现场情况，并充分理解了为之所承担的风险、义务和责任。</w:t>
      </w:r>
    </w:p>
    <w:p>
      <w:pPr>
        <w:pStyle w:val="21"/>
        <w:spacing w:line="500" w:lineRule="exact"/>
        <w:ind w:firstLine="480"/>
        <w:rPr>
          <w:rFonts w:hint="eastAsia" w:hAnsi="宋体"/>
          <w:sz w:val="24"/>
          <w:szCs w:val="24"/>
        </w:rPr>
      </w:pPr>
      <w:r>
        <w:rPr>
          <w:rFonts w:hint="eastAsia" w:hAnsi="宋体"/>
          <w:sz w:val="24"/>
          <w:szCs w:val="24"/>
        </w:rPr>
        <w:t>2.5.3在现场勘察过程中，投标供应商应承担在此期间所造成的人身伤害、财产损失或损坏的责任，无论何种原因所造成，采购人均不负责，如由此导致采购人承担责任的，采购人有权向该供应商行使追偿权。</w:t>
      </w:r>
    </w:p>
    <w:p>
      <w:pPr>
        <w:spacing w:line="500" w:lineRule="exact"/>
        <w:ind w:firstLine="470" w:firstLineChars="196"/>
        <w:rPr>
          <w:rFonts w:hint="eastAsia" w:ascii="宋体" w:hAnsi="宋体"/>
          <w:sz w:val="24"/>
        </w:rPr>
      </w:pPr>
      <w:r>
        <w:rPr>
          <w:rFonts w:hint="eastAsia" w:ascii="宋体" w:hAnsi="宋体"/>
          <w:sz w:val="24"/>
        </w:rPr>
        <w:t>2.6采购文件作为报价、评标、定标、签订供货（含安装调试）合同的依据。如有异议，应在采购答疑时提出。否则，将视作认同。</w:t>
      </w:r>
    </w:p>
    <w:p>
      <w:pPr>
        <w:spacing w:line="500" w:lineRule="exact"/>
        <w:ind w:firstLine="480" w:firstLineChars="200"/>
        <w:rPr>
          <w:rFonts w:hint="eastAsia" w:ascii="宋体" w:hAnsi="宋体"/>
          <w:sz w:val="24"/>
        </w:rPr>
      </w:pPr>
      <w:r>
        <w:rPr>
          <w:rFonts w:hint="eastAsia" w:ascii="宋体" w:hAnsi="宋体"/>
          <w:sz w:val="24"/>
        </w:rPr>
        <w:t>2.7供应商应认真阅读采购文件中所有的事项、格式、条款和规范等要求。如果没有按照采购文件要求提交全部资料或者投标文件，没有对采购文件作出实质性响应，该投标有可能被拒绝，其风险应由供应商自行承担。</w:t>
      </w:r>
    </w:p>
    <w:p>
      <w:pPr>
        <w:autoSpaceDE w:val="0"/>
        <w:autoSpaceDN w:val="0"/>
        <w:adjustRightInd w:val="0"/>
        <w:spacing w:line="500" w:lineRule="exact"/>
        <w:ind w:firstLine="472" w:firstLineChars="196"/>
        <w:rPr>
          <w:rFonts w:hint="eastAsia" w:ascii="宋体" w:hAnsi="宋体"/>
          <w:b/>
          <w:sz w:val="24"/>
        </w:rPr>
      </w:pPr>
      <w:r>
        <w:rPr>
          <w:rFonts w:hint="eastAsia" w:ascii="宋体" w:hAnsi="宋体"/>
          <w:b/>
          <w:sz w:val="24"/>
        </w:rPr>
        <w:t>2.8投标文件的组成与编制</w:t>
      </w:r>
    </w:p>
    <w:p>
      <w:pPr>
        <w:autoSpaceDE w:val="0"/>
        <w:autoSpaceDN w:val="0"/>
        <w:adjustRightInd w:val="0"/>
        <w:spacing w:line="500" w:lineRule="exact"/>
        <w:ind w:firstLine="470" w:firstLineChars="196"/>
        <w:rPr>
          <w:rFonts w:hint="eastAsia" w:ascii="宋体" w:hAnsi="宋体"/>
          <w:sz w:val="24"/>
        </w:rPr>
      </w:pPr>
      <w:r>
        <w:rPr>
          <w:rFonts w:hint="eastAsia" w:ascii="宋体" w:hAnsi="宋体"/>
          <w:sz w:val="24"/>
          <w:u w:val="single"/>
        </w:rPr>
        <w:t>投标文件由资格（资信）证明文件、商务技术标、价格标共三部分组成。</w:t>
      </w:r>
      <w:r>
        <w:rPr>
          <w:rFonts w:hint="eastAsia" w:ascii="宋体" w:hAnsi="宋体"/>
          <w:sz w:val="24"/>
        </w:rPr>
        <w:t>资格（资信）证明文件按第三章节顺序编制，其他应包括下列内容并按以下顺序编制：</w:t>
      </w:r>
    </w:p>
    <w:p>
      <w:pPr>
        <w:autoSpaceDE w:val="0"/>
        <w:autoSpaceDN w:val="0"/>
        <w:adjustRightInd w:val="0"/>
        <w:spacing w:line="500" w:lineRule="exact"/>
        <w:ind w:firstLine="472" w:firstLineChars="196"/>
        <w:rPr>
          <w:rFonts w:hint="eastAsia" w:ascii="宋体" w:hAnsi="宋体"/>
          <w:b/>
          <w:sz w:val="24"/>
        </w:rPr>
      </w:pPr>
      <w:r>
        <w:rPr>
          <w:rFonts w:hint="eastAsia" w:ascii="宋体" w:hAnsi="宋体"/>
          <w:b/>
          <w:sz w:val="24"/>
        </w:rPr>
        <w:t>2.8.1商务技术标：</w:t>
      </w:r>
    </w:p>
    <w:p>
      <w:pPr>
        <w:spacing w:line="500" w:lineRule="exact"/>
        <w:ind w:firstLine="480" w:firstLineChars="200"/>
        <w:rPr>
          <w:rFonts w:hint="eastAsia" w:ascii="宋体" w:hAnsi="宋体"/>
          <w:sz w:val="24"/>
        </w:rPr>
      </w:pPr>
      <w:r>
        <w:rPr>
          <w:rFonts w:ascii="宋体" w:hAnsi="宋体"/>
          <w:sz w:val="24"/>
        </w:rPr>
        <w:t>2.</w:t>
      </w:r>
      <w:r>
        <w:rPr>
          <w:rFonts w:hint="eastAsia" w:ascii="宋体" w:hAnsi="宋体"/>
          <w:sz w:val="24"/>
        </w:rPr>
        <w:t>8</w:t>
      </w:r>
      <w:r>
        <w:rPr>
          <w:rFonts w:ascii="宋体" w:hAnsi="宋体"/>
          <w:sz w:val="24"/>
        </w:rPr>
        <w:t>.1.1</w:t>
      </w:r>
      <w:r>
        <w:rPr>
          <w:rFonts w:hint="eastAsia" w:ascii="宋体" w:hAnsi="宋体"/>
          <w:sz w:val="24"/>
        </w:rPr>
        <w:t>投标函（附件一）；</w:t>
      </w:r>
    </w:p>
    <w:p>
      <w:pPr>
        <w:spacing w:line="500" w:lineRule="exact"/>
        <w:ind w:firstLine="480" w:firstLineChars="200"/>
        <w:rPr>
          <w:rFonts w:hint="eastAsia" w:ascii="宋体" w:hAnsi="宋体"/>
          <w:bCs/>
          <w:sz w:val="24"/>
        </w:rPr>
      </w:pPr>
      <w:r>
        <w:rPr>
          <w:rFonts w:hint="eastAsia" w:ascii="宋体" w:hAnsi="宋体"/>
          <w:bCs/>
          <w:sz w:val="24"/>
        </w:rPr>
        <w:t>2.8.1.2</w:t>
      </w:r>
      <w:r>
        <w:rPr>
          <w:rFonts w:hint="eastAsia" w:ascii="宋体" w:hAnsi="宋体"/>
          <w:sz w:val="24"/>
        </w:rPr>
        <w:t>招标文件评审办法中涉及的其他资料、材料</w:t>
      </w:r>
      <w:r>
        <w:rPr>
          <w:rFonts w:hint="eastAsia" w:ascii="宋体" w:hAnsi="宋体"/>
          <w:bCs/>
          <w:sz w:val="24"/>
        </w:rPr>
        <w:t xml:space="preserve">（附件五）； </w:t>
      </w:r>
    </w:p>
    <w:p>
      <w:pPr>
        <w:spacing w:line="500" w:lineRule="exact"/>
        <w:ind w:firstLine="480" w:firstLineChars="200"/>
        <w:rPr>
          <w:rFonts w:hint="eastAsia" w:ascii="宋体" w:hAnsi="宋体"/>
          <w:bCs/>
          <w:sz w:val="24"/>
        </w:rPr>
      </w:pPr>
      <w:r>
        <w:rPr>
          <w:rFonts w:hint="eastAsia" w:ascii="宋体" w:hAnsi="宋体"/>
          <w:bCs/>
          <w:sz w:val="24"/>
        </w:rPr>
        <w:t>2.8.1.3投标承诺书（附件</w:t>
      </w:r>
      <w:r>
        <w:rPr>
          <w:rFonts w:hint="eastAsia" w:ascii="宋体" w:hAnsi="宋体"/>
          <w:sz w:val="24"/>
        </w:rPr>
        <w:t>六</w:t>
      </w:r>
      <w:r>
        <w:rPr>
          <w:rFonts w:hint="eastAsia" w:ascii="宋体" w:hAnsi="宋体"/>
          <w:bCs/>
          <w:sz w:val="24"/>
        </w:rPr>
        <w:t>）；</w:t>
      </w:r>
    </w:p>
    <w:p>
      <w:pPr>
        <w:snapToGrid w:val="0"/>
        <w:spacing w:line="500" w:lineRule="exact"/>
        <w:ind w:firstLine="481"/>
        <w:rPr>
          <w:rFonts w:hint="eastAsia" w:ascii="宋体" w:hAnsi="宋体"/>
          <w:sz w:val="24"/>
        </w:rPr>
      </w:pPr>
      <w:r>
        <w:rPr>
          <w:rFonts w:ascii="宋体" w:hAnsi="宋体"/>
          <w:sz w:val="24"/>
        </w:rPr>
        <w:t>2.</w:t>
      </w:r>
      <w:r>
        <w:rPr>
          <w:rFonts w:hint="eastAsia" w:ascii="宋体" w:hAnsi="宋体"/>
          <w:sz w:val="24"/>
        </w:rPr>
        <w:t>8</w:t>
      </w:r>
      <w:r>
        <w:rPr>
          <w:rFonts w:ascii="宋体" w:hAnsi="宋体"/>
          <w:sz w:val="24"/>
        </w:rPr>
        <w:t>.1.</w:t>
      </w:r>
      <w:r>
        <w:rPr>
          <w:rFonts w:hint="eastAsia" w:ascii="宋体" w:hAnsi="宋体"/>
          <w:sz w:val="24"/>
        </w:rPr>
        <w:t>4供应商认为需要提供的其它文件，包括优惠条件等；当优惠条件涉及“报价单”中的各项费用时，必须与投标价格相统一，商务技术标中不得出现投标报价。</w:t>
      </w:r>
    </w:p>
    <w:p>
      <w:pPr>
        <w:spacing w:line="500" w:lineRule="exact"/>
        <w:ind w:firstLine="480"/>
        <w:rPr>
          <w:rFonts w:hint="eastAsia" w:ascii="宋体" w:hAnsi="宋体"/>
          <w:sz w:val="24"/>
        </w:rPr>
      </w:pPr>
      <w:r>
        <w:rPr>
          <w:rFonts w:hint="eastAsia" w:ascii="宋体" w:hAnsi="宋体"/>
          <w:b/>
          <w:sz w:val="24"/>
        </w:rPr>
        <w:t>2.8.2价格标：</w:t>
      </w:r>
    </w:p>
    <w:p>
      <w:pPr>
        <w:autoSpaceDE w:val="0"/>
        <w:autoSpaceDN w:val="0"/>
        <w:spacing w:line="500" w:lineRule="exact"/>
        <w:ind w:firstLine="480" w:firstLineChars="200"/>
        <w:textAlignment w:val="bottom"/>
        <w:rPr>
          <w:rFonts w:hint="eastAsia" w:ascii="宋体" w:hAnsi="宋体"/>
          <w:sz w:val="24"/>
        </w:rPr>
      </w:pPr>
      <w:r>
        <w:rPr>
          <w:rFonts w:hint="eastAsia" w:ascii="宋体" w:hAnsi="宋体"/>
          <w:sz w:val="24"/>
        </w:rPr>
        <w:t>2.8.2.1开标一览表（报价表）（附件三）；</w:t>
      </w:r>
    </w:p>
    <w:p>
      <w:pPr>
        <w:autoSpaceDE w:val="0"/>
        <w:autoSpaceDN w:val="0"/>
        <w:spacing w:line="500" w:lineRule="exact"/>
        <w:ind w:firstLine="480" w:firstLineChars="200"/>
        <w:textAlignment w:val="bottom"/>
        <w:rPr>
          <w:rFonts w:hint="eastAsia" w:ascii="宋体" w:hAnsi="宋体"/>
          <w:sz w:val="24"/>
        </w:rPr>
      </w:pPr>
      <w:r>
        <w:rPr>
          <w:rFonts w:hint="eastAsia" w:ascii="宋体" w:hAnsi="宋体"/>
          <w:sz w:val="24"/>
        </w:rPr>
        <w:t>2.8.2.2投标报价明细表（附件四）。</w:t>
      </w:r>
    </w:p>
    <w:p>
      <w:pPr>
        <w:autoSpaceDE w:val="0"/>
        <w:autoSpaceDN w:val="0"/>
        <w:spacing w:line="500" w:lineRule="exact"/>
        <w:ind w:firstLine="480" w:firstLineChars="200"/>
        <w:textAlignment w:val="bottom"/>
        <w:rPr>
          <w:rFonts w:hint="eastAsia" w:ascii="宋体" w:hAnsi="宋体"/>
          <w:sz w:val="24"/>
        </w:rPr>
      </w:pPr>
      <w:r>
        <w:rPr>
          <w:rFonts w:hint="eastAsia" w:ascii="宋体" w:hAnsi="宋体"/>
          <w:sz w:val="24"/>
        </w:rPr>
        <w:t>2.8.3 投标文件的形式：投标文件分为电子投标文件。</w:t>
      </w:r>
    </w:p>
    <w:p>
      <w:pPr>
        <w:autoSpaceDE w:val="0"/>
        <w:autoSpaceDN w:val="0"/>
        <w:adjustRightInd w:val="0"/>
        <w:spacing w:line="440" w:lineRule="exact"/>
        <w:ind w:firstLine="472" w:firstLineChars="196"/>
        <w:rPr>
          <w:rFonts w:hint="eastAsia" w:ascii="宋体" w:hAnsi="宋体" w:cs="宋体"/>
          <w:b/>
          <w:sz w:val="24"/>
        </w:rPr>
      </w:pPr>
      <w:r>
        <w:rPr>
          <w:rFonts w:hint="eastAsia" w:ascii="宋体" w:hAnsi="宋体" w:cs="宋体"/>
          <w:b/>
          <w:sz w:val="24"/>
        </w:rPr>
        <w:t>电子投标文件投标人应根据“政采云供应商项目采购-电子招投标操作指南”及本招标文件规定的格式和顺序编制电子投标文件并进行关联定位。电子投标文件中所须加盖公章部分均采用CA签章。</w:t>
      </w:r>
    </w:p>
    <w:p>
      <w:pPr>
        <w:autoSpaceDE w:val="0"/>
        <w:autoSpaceDN w:val="0"/>
        <w:adjustRightInd w:val="0"/>
        <w:spacing w:line="440" w:lineRule="exact"/>
        <w:ind w:firstLine="472" w:firstLineChars="196"/>
        <w:rPr>
          <w:rFonts w:hint="eastAsia" w:ascii="宋体" w:hAnsi="宋体" w:cs="宋体"/>
          <w:b/>
          <w:sz w:val="24"/>
        </w:rPr>
      </w:pPr>
      <w:r>
        <w:rPr>
          <w:rFonts w:hint="eastAsia" w:ascii="宋体" w:hAnsi="宋体" w:cs="宋体"/>
          <w:b/>
          <w:sz w:val="24"/>
        </w:rPr>
        <w:t>本招标文件所涉及的法定代表人或其委托代理人签字或盖章的内容，投标单位须盖法定代表人电子签章，如果投标单位没有法定代表人电子签章，涉及到法定代表人或其委托代理人的签字或盖章的内容，投标单位可以线下签字或盖章后扫描上传。</w:t>
      </w:r>
    </w:p>
    <w:p>
      <w:pPr>
        <w:spacing w:line="440" w:lineRule="exact"/>
        <w:ind w:firstLine="470" w:firstLineChars="196"/>
        <w:rPr>
          <w:rFonts w:hint="eastAsia" w:ascii="宋体" w:hAnsi="宋体" w:cs="宋体"/>
          <w:sz w:val="24"/>
        </w:rPr>
      </w:pPr>
      <w:r>
        <w:rPr>
          <w:rFonts w:hint="eastAsia" w:ascii="宋体" w:hAnsi="宋体" w:cs="宋体"/>
          <w:sz w:val="24"/>
        </w:rPr>
        <w:t>2.9供应商必须使用采购文件提供的表格格式，但表格可以按同样格式扩展（见附件及附表）。采购文件中未提供的表格格式，供应商可以自拟。</w:t>
      </w:r>
    </w:p>
    <w:p>
      <w:pPr>
        <w:pStyle w:val="21"/>
        <w:spacing w:line="440" w:lineRule="exact"/>
        <w:ind w:firstLine="480"/>
        <w:rPr>
          <w:rFonts w:hint="eastAsia" w:hAnsi="宋体" w:cs="宋体"/>
          <w:b/>
          <w:sz w:val="24"/>
          <w:szCs w:val="24"/>
        </w:rPr>
      </w:pPr>
      <w:bookmarkStart w:id="4" w:name="_Toc25589251"/>
      <w:r>
        <w:rPr>
          <w:rFonts w:hint="eastAsia" w:hAnsi="宋体" w:cs="宋体"/>
          <w:b/>
          <w:sz w:val="24"/>
          <w:szCs w:val="24"/>
        </w:rPr>
        <w:t>2.10 投标有效期</w:t>
      </w:r>
    </w:p>
    <w:p>
      <w:pPr>
        <w:pStyle w:val="21"/>
        <w:spacing w:line="440" w:lineRule="exact"/>
        <w:ind w:firstLine="480"/>
        <w:rPr>
          <w:rFonts w:hint="eastAsia" w:hAnsi="宋体" w:cs="宋体"/>
          <w:sz w:val="24"/>
          <w:szCs w:val="24"/>
        </w:rPr>
      </w:pPr>
      <w:r>
        <w:rPr>
          <w:rFonts w:hint="eastAsia" w:hAnsi="宋体" w:cs="宋体"/>
          <w:sz w:val="24"/>
          <w:szCs w:val="24"/>
        </w:rPr>
        <w:t>2.10.1投标有效期详见前附表第4项。</w:t>
      </w:r>
    </w:p>
    <w:p>
      <w:pPr>
        <w:spacing w:line="440" w:lineRule="exact"/>
        <w:rPr>
          <w:rFonts w:hint="eastAsia" w:ascii="宋体" w:hAnsi="宋体" w:cs="宋体"/>
          <w:sz w:val="24"/>
        </w:rPr>
      </w:pPr>
      <w:r>
        <w:rPr>
          <w:rFonts w:hint="eastAsia" w:ascii="宋体" w:hAnsi="宋体" w:cs="宋体"/>
          <w:sz w:val="24"/>
        </w:rPr>
        <w:t xml:space="preserve">    2.10.2在原定投标有效期满之前，如果出现特殊情况，经采购管理机构核准，采购人可以用在浙江省政府采购网上发布形式向供应商提出延长有效期的要求。供应商需以书面形式予以答复，供应商可以拒绝这种要求而不失去他的投标保证金。同意延长投标有效期的供应商，不需要也不允许修改他的标书，但需要相应地延长投标保证金的有效期，在延长期内，本标书关于投标保证金的退还与否的规定仍然适用。</w:t>
      </w:r>
    </w:p>
    <w:p>
      <w:pPr>
        <w:pStyle w:val="21"/>
        <w:spacing w:line="440" w:lineRule="exact"/>
        <w:ind w:firstLine="480"/>
        <w:rPr>
          <w:rFonts w:hint="eastAsia" w:hAnsi="宋体" w:cs="宋体"/>
          <w:b/>
          <w:sz w:val="24"/>
          <w:szCs w:val="24"/>
        </w:rPr>
      </w:pPr>
      <w:r>
        <w:rPr>
          <w:rFonts w:hint="eastAsia" w:hAnsi="宋体" w:cs="宋体"/>
          <w:b/>
          <w:sz w:val="24"/>
          <w:szCs w:val="24"/>
        </w:rPr>
        <w:t>2.11投标文件的修改与撤回</w:t>
      </w:r>
    </w:p>
    <w:p>
      <w:pPr>
        <w:pStyle w:val="21"/>
        <w:spacing w:line="440" w:lineRule="exact"/>
        <w:rPr>
          <w:rFonts w:hint="eastAsia" w:hAnsi="宋体"/>
          <w:sz w:val="24"/>
          <w:szCs w:val="24"/>
          <w:lang w:val="en-US" w:eastAsia="zh-CN"/>
        </w:rPr>
      </w:pPr>
      <w:r>
        <w:rPr>
          <w:rFonts w:hint="eastAsia" w:hAnsi="宋体" w:cs="宋体"/>
          <w:sz w:val="22"/>
          <w:szCs w:val="22"/>
        </w:rPr>
        <w:t xml:space="preserve">   </w:t>
      </w:r>
      <w:r>
        <w:rPr>
          <w:rFonts w:hint="eastAsia" w:hAnsi="宋体"/>
          <w:sz w:val="24"/>
          <w:szCs w:val="24"/>
          <w:lang w:val="en-US" w:eastAsia="zh-CN"/>
        </w:rPr>
        <w:t xml:space="preserve"> 2.11.1供应商递交投标文件以后，可以在投标文件递交截止时间前，修改或撤回其投标文件。</w:t>
      </w:r>
    </w:p>
    <w:p>
      <w:pPr>
        <w:pStyle w:val="21"/>
        <w:spacing w:line="440" w:lineRule="exact"/>
        <w:ind w:firstLine="465"/>
        <w:rPr>
          <w:rFonts w:hint="eastAsia" w:hAnsi="宋体"/>
          <w:sz w:val="24"/>
          <w:szCs w:val="24"/>
          <w:lang w:val="en-US" w:eastAsia="zh-CN"/>
        </w:rPr>
      </w:pPr>
      <w:r>
        <w:rPr>
          <w:rFonts w:hint="eastAsia" w:hAnsi="宋体"/>
          <w:sz w:val="24"/>
          <w:szCs w:val="24"/>
          <w:lang w:val="en-US" w:eastAsia="zh-CN"/>
        </w:rPr>
        <w:t>2.11.2在投标文件递交截止时间后，不能更改投标文件。</w:t>
      </w:r>
    </w:p>
    <w:p>
      <w:pPr>
        <w:pStyle w:val="21"/>
        <w:spacing w:line="440" w:lineRule="exact"/>
        <w:ind w:firstLine="465"/>
        <w:rPr>
          <w:rFonts w:hint="eastAsia" w:hAnsi="宋体"/>
          <w:sz w:val="24"/>
          <w:szCs w:val="24"/>
          <w:lang w:val="en-US" w:eastAsia="zh-CN"/>
        </w:rPr>
      </w:pPr>
      <w:r>
        <w:rPr>
          <w:rFonts w:hint="eastAsia" w:hAnsi="宋体"/>
          <w:sz w:val="24"/>
          <w:szCs w:val="24"/>
          <w:lang w:val="en-US" w:eastAsia="zh-CN"/>
        </w:rPr>
        <w:t>2.11.3在投标文件递交截止时间起至标书中规定的投标有效日期终止日之间的这段时间内，供应商不能撤回投标文件，否则其投标保证金将不予以退还。</w:t>
      </w:r>
    </w:p>
    <w:p>
      <w:pPr>
        <w:pStyle w:val="21"/>
        <w:spacing w:line="440" w:lineRule="exact"/>
        <w:ind w:firstLine="480"/>
        <w:rPr>
          <w:rFonts w:hint="eastAsia" w:hAnsi="宋体"/>
          <w:sz w:val="24"/>
          <w:szCs w:val="24"/>
          <w:lang w:val="en-US" w:eastAsia="zh-CN"/>
        </w:rPr>
      </w:pPr>
      <w:r>
        <w:rPr>
          <w:rFonts w:hint="eastAsia" w:hAnsi="宋体"/>
          <w:sz w:val="24"/>
          <w:szCs w:val="24"/>
          <w:lang w:val="en-US" w:eastAsia="zh-CN"/>
        </w:rPr>
        <w:t>2.12投标文件的澄清</w:t>
      </w:r>
    </w:p>
    <w:p>
      <w:pPr>
        <w:pStyle w:val="21"/>
        <w:spacing w:line="440" w:lineRule="exact"/>
        <w:rPr>
          <w:rFonts w:hint="eastAsia" w:hAnsi="宋体"/>
          <w:sz w:val="24"/>
          <w:szCs w:val="24"/>
          <w:lang w:val="en-US" w:eastAsia="zh-CN"/>
        </w:rPr>
      </w:pPr>
      <w:r>
        <w:rPr>
          <w:rFonts w:hint="eastAsia" w:hAnsi="宋体"/>
          <w:sz w:val="24"/>
          <w:szCs w:val="24"/>
          <w:lang w:val="en-US" w:eastAsia="zh-CN"/>
        </w:rPr>
        <w:t xml:space="preserve">    2.12.1为了有助于投标文件的审查、评价和比较，评标委员会可以个别地要求供应商澄清其投标文件，包括单价分析表，但不接受供应商任何主动的澄清、说明或辩解。有关澄清的答复，应在（1小时内）发送至邮箱（303736433@qq.com）并应有法定代表人或其委托代理人的签字或盖章，但不允许更改投标文件中的价格或实质性内容。</w:t>
      </w:r>
    </w:p>
    <w:p>
      <w:pPr>
        <w:pStyle w:val="21"/>
        <w:spacing w:line="440" w:lineRule="exact"/>
        <w:ind w:firstLine="480"/>
        <w:rPr>
          <w:rFonts w:hint="eastAsia" w:hAnsi="宋体"/>
          <w:sz w:val="24"/>
          <w:szCs w:val="24"/>
          <w:lang w:val="en-US" w:eastAsia="zh-CN"/>
        </w:rPr>
      </w:pPr>
      <w:r>
        <w:rPr>
          <w:rFonts w:hint="eastAsia" w:hAnsi="宋体"/>
          <w:sz w:val="24"/>
          <w:szCs w:val="24"/>
          <w:lang w:val="en-US" w:eastAsia="zh-CN"/>
        </w:rPr>
        <w:t>2.12.2供应商的澄清文件是投标文件的组成部分，并替代投标文件中被澄清的部分。</w:t>
      </w:r>
    </w:p>
    <w:p>
      <w:pPr>
        <w:pStyle w:val="21"/>
        <w:spacing w:line="440" w:lineRule="exact"/>
        <w:ind w:firstLine="480"/>
        <w:rPr>
          <w:rFonts w:hint="eastAsia" w:hAnsi="宋体"/>
          <w:sz w:val="24"/>
          <w:szCs w:val="24"/>
          <w:lang w:val="en-US" w:eastAsia="zh-CN"/>
        </w:rPr>
      </w:pPr>
      <w:r>
        <w:rPr>
          <w:rFonts w:hint="eastAsia" w:hAnsi="宋体"/>
          <w:sz w:val="24"/>
          <w:szCs w:val="24"/>
          <w:lang w:val="en-US" w:eastAsia="zh-CN"/>
        </w:rPr>
        <w:t>2.13 投标文件符合性的确定</w:t>
      </w:r>
    </w:p>
    <w:p>
      <w:pPr>
        <w:pStyle w:val="21"/>
        <w:spacing w:line="440" w:lineRule="exact"/>
        <w:rPr>
          <w:rFonts w:hint="eastAsia" w:hAnsi="宋体"/>
          <w:sz w:val="24"/>
          <w:szCs w:val="24"/>
          <w:lang w:val="en-US" w:eastAsia="zh-CN"/>
        </w:rPr>
      </w:pPr>
      <w:r>
        <w:rPr>
          <w:rFonts w:hint="eastAsia" w:hAnsi="宋体"/>
          <w:sz w:val="24"/>
          <w:szCs w:val="24"/>
          <w:lang w:val="en-US" w:eastAsia="zh-CN"/>
        </w:rPr>
        <w:t xml:space="preserve">    2.13.1实质上符合要求的投标文件，应该与采购文件的全部条款、条件和规范相符，无重大差异或保留。所谓重大差异或保留是指对采购项目的范围、质量、项目的实施与运用产生重大的影响，并对其他按合理价格提交了实质上符合要求的投标文件的供应商的竞争地位，产生不公正的影响。</w:t>
      </w:r>
    </w:p>
    <w:p>
      <w:pPr>
        <w:pStyle w:val="21"/>
        <w:spacing w:line="440" w:lineRule="exact"/>
        <w:ind w:firstLine="480"/>
        <w:rPr>
          <w:rFonts w:hint="eastAsia" w:hAnsi="宋体"/>
          <w:sz w:val="24"/>
          <w:szCs w:val="24"/>
          <w:lang w:val="en-US" w:eastAsia="zh-CN"/>
        </w:rPr>
      </w:pPr>
      <w:r>
        <w:rPr>
          <w:rFonts w:hint="eastAsia" w:hAnsi="宋体"/>
          <w:sz w:val="24"/>
          <w:szCs w:val="24"/>
          <w:lang w:val="en-US" w:eastAsia="zh-CN"/>
        </w:rPr>
        <w:t>2.13.2如果投标文件实质上不符合采购文件的要求，其投标文件将被予以拒绝，并且不允许供应商通过修正或撤消其重大差异或保留使之符合要求。</w:t>
      </w:r>
    </w:p>
    <w:p>
      <w:pPr>
        <w:pStyle w:val="21"/>
        <w:spacing w:line="440" w:lineRule="exact"/>
        <w:ind w:firstLine="480" w:firstLineChars="200"/>
        <w:rPr>
          <w:rFonts w:hint="eastAsia" w:hAnsi="宋体"/>
          <w:sz w:val="24"/>
          <w:szCs w:val="24"/>
          <w:lang w:val="en-US" w:eastAsia="zh-CN"/>
        </w:rPr>
      </w:pPr>
      <w:r>
        <w:rPr>
          <w:rFonts w:hint="eastAsia" w:hAnsi="宋体"/>
          <w:sz w:val="24"/>
          <w:szCs w:val="24"/>
          <w:lang w:val="en-US" w:eastAsia="zh-CN"/>
        </w:rPr>
        <w:t>2.14错误的修正</w:t>
      </w:r>
    </w:p>
    <w:p>
      <w:pPr>
        <w:pStyle w:val="21"/>
        <w:spacing w:line="440" w:lineRule="exact"/>
        <w:ind w:firstLine="480" w:firstLineChars="200"/>
        <w:rPr>
          <w:rFonts w:hint="eastAsia" w:hAnsi="宋体"/>
          <w:sz w:val="24"/>
          <w:szCs w:val="24"/>
          <w:lang w:val="en-US" w:eastAsia="zh-CN"/>
        </w:rPr>
      </w:pPr>
      <w:r>
        <w:rPr>
          <w:rFonts w:hint="eastAsia" w:hAnsi="宋体"/>
          <w:sz w:val="24"/>
          <w:szCs w:val="24"/>
          <w:lang w:val="en-US" w:eastAsia="zh-CN"/>
        </w:rPr>
        <w:t>2.14.1确定中标候选人前（评标过程中）的修正方法：</w:t>
      </w:r>
    </w:p>
    <w:p>
      <w:pPr>
        <w:pStyle w:val="21"/>
        <w:spacing w:line="440" w:lineRule="exact"/>
        <w:ind w:firstLine="480" w:firstLineChars="200"/>
        <w:rPr>
          <w:rFonts w:hint="eastAsia" w:hAnsi="宋体"/>
          <w:sz w:val="24"/>
          <w:szCs w:val="24"/>
          <w:lang w:val="en-US" w:eastAsia="zh-CN"/>
        </w:rPr>
      </w:pPr>
      <w:r>
        <w:rPr>
          <w:rFonts w:hint="eastAsia" w:hAnsi="宋体"/>
          <w:sz w:val="24"/>
          <w:szCs w:val="24"/>
          <w:lang w:val="en-US" w:eastAsia="zh-CN"/>
        </w:rPr>
        <w:t>评标委员会应对确定为实质上符合要求的投标文件进行校核，看其是否有计算上或累计上的算术错误，修正此类错误的原则如下：</w:t>
      </w:r>
    </w:p>
    <w:p>
      <w:pPr>
        <w:pStyle w:val="21"/>
        <w:spacing w:line="440" w:lineRule="exact"/>
        <w:ind w:firstLine="480" w:firstLineChars="200"/>
        <w:rPr>
          <w:rFonts w:hint="eastAsia" w:hAnsi="宋体"/>
          <w:sz w:val="24"/>
          <w:szCs w:val="24"/>
          <w:lang w:val="en-US" w:eastAsia="zh-CN"/>
        </w:rPr>
      </w:pPr>
      <w:r>
        <w:rPr>
          <w:rFonts w:hint="eastAsia" w:hAnsi="宋体"/>
          <w:sz w:val="24"/>
          <w:szCs w:val="24"/>
          <w:lang w:val="en-US" w:eastAsia="zh-CN"/>
        </w:rPr>
        <w:t>2.14.1.1同一产品出现两种以上不同价格时，取其低的报价核算；</w:t>
      </w:r>
    </w:p>
    <w:p>
      <w:pPr>
        <w:pStyle w:val="21"/>
        <w:spacing w:line="440" w:lineRule="exact"/>
        <w:ind w:firstLine="480" w:firstLineChars="200"/>
        <w:rPr>
          <w:rFonts w:hint="eastAsia" w:hAnsi="宋体"/>
          <w:sz w:val="24"/>
          <w:szCs w:val="24"/>
          <w:lang w:val="en-US" w:eastAsia="zh-CN"/>
        </w:rPr>
      </w:pPr>
      <w:r>
        <w:rPr>
          <w:rFonts w:hint="eastAsia" w:hAnsi="宋体"/>
          <w:sz w:val="24"/>
          <w:szCs w:val="24"/>
          <w:lang w:val="en-US" w:eastAsia="zh-CN"/>
        </w:rPr>
        <w:t>2.14.1.2如果用数字表示的数额与用文字表示的数额不一致时，以文字数额为准。</w:t>
      </w:r>
    </w:p>
    <w:p>
      <w:pPr>
        <w:pStyle w:val="21"/>
        <w:spacing w:line="440" w:lineRule="exact"/>
        <w:ind w:firstLine="480" w:firstLineChars="200"/>
        <w:rPr>
          <w:rFonts w:hint="eastAsia" w:hAnsi="宋体"/>
          <w:sz w:val="24"/>
          <w:szCs w:val="24"/>
          <w:lang w:val="en-US" w:eastAsia="zh-CN"/>
        </w:rPr>
      </w:pPr>
      <w:r>
        <w:rPr>
          <w:rFonts w:hint="eastAsia" w:hAnsi="宋体"/>
          <w:sz w:val="24"/>
          <w:szCs w:val="24"/>
          <w:lang w:val="en-US" w:eastAsia="zh-CN"/>
        </w:rPr>
        <w:t>2.14.1.3当单价与数量的乘积之总和同总额之间不一致时，应以标出的单价为准，除非评标委员会认为单价有明显的小数点错误，此时应以标出的总额为准，并修改单价。</w:t>
      </w:r>
    </w:p>
    <w:p>
      <w:pPr>
        <w:pStyle w:val="21"/>
        <w:spacing w:line="440" w:lineRule="exact"/>
        <w:ind w:firstLine="480" w:firstLineChars="200"/>
        <w:rPr>
          <w:rFonts w:hint="eastAsia" w:hAnsi="宋体"/>
          <w:sz w:val="24"/>
          <w:szCs w:val="24"/>
          <w:lang w:val="en-US" w:eastAsia="zh-CN"/>
        </w:rPr>
      </w:pPr>
      <w:r>
        <w:rPr>
          <w:rFonts w:hint="eastAsia" w:hAnsi="宋体"/>
          <w:sz w:val="24"/>
          <w:szCs w:val="24"/>
          <w:lang w:val="en-US" w:eastAsia="zh-CN"/>
        </w:rPr>
        <w:t>2.14.2确定中标候选人后的修正方法：</w:t>
      </w:r>
    </w:p>
    <w:p>
      <w:pPr>
        <w:pStyle w:val="21"/>
        <w:spacing w:line="440" w:lineRule="exact"/>
        <w:ind w:firstLine="480" w:firstLineChars="200"/>
        <w:rPr>
          <w:rFonts w:hint="eastAsia" w:hAnsi="宋体"/>
          <w:sz w:val="24"/>
          <w:szCs w:val="24"/>
          <w:lang w:val="en-US" w:eastAsia="zh-CN"/>
        </w:rPr>
      </w:pPr>
      <w:r>
        <w:rPr>
          <w:rFonts w:hint="eastAsia" w:hAnsi="宋体"/>
          <w:sz w:val="24"/>
          <w:szCs w:val="24"/>
          <w:lang w:val="en-US" w:eastAsia="zh-CN"/>
        </w:rPr>
        <w:t>2.14.2.1同一产品出现两种以上不同价格时，取其低的报价核算；</w:t>
      </w:r>
    </w:p>
    <w:p>
      <w:pPr>
        <w:pStyle w:val="21"/>
        <w:spacing w:line="440" w:lineRule="exact"/>
        <w:ind w:firstLine="480" w:firstLineChars="200"/>
        <w:rPr>
          <w:rFonts w:hint="eastAsia" w:hAnsi="宋体"/>
          <w:sz w:val="24"/>
          <w:szCs w:val="24"/>
          <w:lang w:val="en-US" w:eastAsia="zh-CN"/>
        </w:rPr>
      </w:pPr>
      <w:r>
        <w:rPr>
          <w:rFonts w:hint="eastAsia" w:hAnsi="宋体"/>
          <w:sz w:val="24"/>
          <w:szCs w:val="24"/>
          <w:lang w:val="en-US" w:eastAsia="zh-CN"/>
        </w:rPr>
        <w:t>2.14.2.2如果用数字表示的数额与用文字表示的数额不一致时，以文字数额为准。</w:t>
      </w:r>
    </w:p>
    <w:p>
      <w:pPr>
        <w:pStyle w:val="21"/>
        <w:spacing w:line="440" w:lineRule="exact"/>
        <w:ind w:firstLine="480" w:firstLineChars="200"/>
        <w:rPr>
          <w:rFonts w:hint="eastAsia" w:hAnsi="宋体"/>
          <w:sz w:val="24"/>
          <w:szCs w:val="24"/>
          <w:lang w:val="en-US" w:eastAsia="zh-CN"/>
        </w:rPr>
      </w:pPr>
      <w:r>
        <w:rPr>
          <w:rFonts w:hint="eastAsia" w:hAnsi="宋体"/>
          <w:sz w:val="24"/>
          <w:szCs w:val="24"/>
          <w:lang w:val="en-US" w:eastAsia="zh-CN"/>
        </w:rPr>
        <w:t>2.14.2.3合价之和与总报价不一致时，以总报价为准，按总报价占调整前的合价之和的比例调整合价，并修改单价；</w:t>
      </w:r>
    </w:p>
    <w:p>
      <w:pPr>
        <w:pStyle w:val="21"/>
        <w:spacing w:line="440" w:lineRule="exact"/>
        <w:ind w:firstLine="480" w:firstLineChars="200"/>
        <w:rPr>
          <w:rFonts w:hint="eastAsia" w:hAnsi="宋体"/>
          <w:sz w:val="24"/>
          <w:szCs w:val="24"/>
          <w:lang w:val="en-US" w:eastAsia="zh-CN"/>
        </w:rPr>
      </w:pPr>
      <w:r>
        <w:rPr>
          <w:rFonts w:hint="eastAsia" w:hAnsi="宋体"/>
          <w:sz w:val="24"/>
          <w:szCs w:val="24"/>
          <w:lang w:val="en-US" w:eastAsia="zh-CN"/>
        </w:rPr>
        <w:t>2.14.2.4当单价与数量的乘积与合价不一致时，以合价为准，并修改单价。</w:t>
      </w:r>
    </w:p>
    <w:p>
      <w:pPr>
        <w:pStyle w:val="21"/>
        <w:spacing w:line="440" w:lineRule="exact"/>
        <w:ind w:firstLine="480" w:firstLineChars="200"/>
        <w:rPr>
          <w:rFonts w:hint="eastAsia" w:hAnsi="宋体"/>
          <w:sz w:val="24"/>
          <w:szCs w:val="24"/>
          <w:lang w:val="en-US" w:eastAsia="zh-CN"/>
        </w:rPr>
      </w:pPr>
      <w:r>
        <w:rPr>
          <w:rFonts w:hint="eastAsia" w:hAnsi="宋体"/>
          <w:sz w:val="24"/>
          <w:szCs w:val="24"/>
          <w:lang w:val="en-US" w:eastAsia="zh-CN"/>
        </w:rPr>
        <w:t>2.14.3评标期间，评标委员会不接受任何投标供应商主动提出的对投标报价及单价、合价的调整。</w:t>
      </w:r>
    </w:p>
    <w:p>
      <w:pPr>
        <w:pStyle w:val="21"/>
        <w:spacing w:line="440" w:lineRule="exact"/>
        <w:ind w:firstLine="480" w:firstLineChars="200"/>
        <w:rPr>
          <w:rFonts w:hint="eastAsia" w:hAnsi="宋体"/>
          <w:sz w:val="24"/>
          <w:szCs w:val="24"/>
          <w:lang w:val="en-US" w:eastAsia="zh-CN"/>
        </w:rPr>
      </w:pPr>
      <w:r>
        <w:rPr>
          <w:rFonts w:hint="eastAsia" w:hAnsi="宋体"/>
          <w:sz w:val="24"/>
          <w:szCs w:val="24"/>
          <w:lang w:val="en-US" w:eastAsia="zh-CN"/>
        </w:rPr>
        <w:t>2.14.4投标文件报价，正本与副本不符不一致的以正本为准；开标时，开标一览表（报价表）的总价与投标报价明细表的总价不一致时，以开标一览表（报价表）的总价为准；大写与小写不一致的以大写为准。</w:t>
      </w:r>
    </w:p>
    <w:p>
      <w:pPr>
        <w:pStyle w:val="21"/>
        <w:spacing w:line="440" w:lineRule="exact"/>
        <w:ind w:firstLine="480" w:firstLineChars="200"/>
        <w:rPr>
          <w:rFonts w:hint="eastAsia" w:hAnsi="宋体"/>
          <w:sz w:val="24"/>
          <w:szCs w:val="24"/>
          <w:lang w:val="en-US" w:eastAsia="zh-CN"/>
        </w:rPr>
      </w:pPr>
      <w:r>
        <w:rPr>
          <w:rFonts w:hint="eastAsia" w:hAnsi="宋体"/>
          <w:sz w:val="24"/>
          <w:szCs w:val="24"/>
          <w:lang w:val="en-US" w:eastAsia="zh-CN"/>
        </w:rPr>
        <w:t>2.14.5按以上原则进行错误修正，调整投标文件的投标报价，经供应商确认后，调整后的投标报价对供应商起约束作用。若投标供应商不接受修正后的投标报价则其投标将被拒绝且其投标保证金不予以退还。</w:t>
      </w:r>
    </w:p>
    <w:p>
      <w:pPr>
        <w:spacing w:line="440" w:lineRule="exact"/>
        <w:ind w:firstLine="480" w:firstLineChars="200"/>
        <w:rPr>
          <w:rFonts w:hint="eastAsia" w:ascii="宋体" w:hAnsi="宋体"/>
          <w:sz w:val="24"/>
        </w:rPr>
      </w:pPr>
      <w:r>
        <w:rPr>
          <w:rFonts w:hint="eastAsia" w:ascii="宋体" w:hAnsi="宋体"/>
          <w:sz w:val="24"/>
        </w:rPr>
        <w:t>2.15 投标费用</w:t>
      </w:r>
    </w:p>
    <w:p>
      <w:pPr>
        <w:spacing w:line="440" w:lineRule="exact"/>
        <w:ind w:firstLine="480"/>
        <w:rPr>
          <w:rFonts w:hint="eastAsia" w:ascii="宋体" w:hAnsi="宋体"/>
          <w:sz w:val="24"/>
        </w:rPr>
      </w:pPr>
      <w:r>
        <w:rPr>
          <w:rFonts w:hint="eastAsia" w:ascii="宋体" w:hAnsi="宋体"/>
          <w:sz w:val="24"/>
        </w:rPr>
        <w:t>供应商应自行承担所有与编写和提交投标文件有关的费用，不论投标的结果如何，采购人在任何情况下均无义务和责任承担这些费用。</w:t>
      </w:r>
    </w:p>
    <w:p>
      <w:pPr>
        <w:spacing w:line="440" w:lineRule="exact"/>
        <w:ind w:firstLine="480"/>
        <w:rPr>
          <w:rFonts w:hint="eastAsia" w:ascii="宋体" w:hAnsi="宋体"/>
          <w:sz w:val="24"/>
        </w:rPr>
      </w:pPr>
    </w:p>
    <w:p>
      <w:pPr>
        <w:pStyle w:val="2"/>
        <w:numPr>
          <w:ilvl w:val="0"/>
          <w:numId w:val="0"/>
        </w:numPr>
        <w:spacing w:before="0" w:after="0" w:line="500" w:lineRule="exact"/>
        <w:rPr>
          <w:rFonts w:hint="eastAsia" w:ascii="宋体" w:hAnsi="宋体"/>
          <w:b/>
          <w:bCs w:val="0"/>
          <w:sz w:val="28"/>
          <w:szCs w:val="28"/>
        </w:rPr>
      </w:pPr>
      <w:r>
        <w:rPr>
          <w:rFonts w:ascii="宋体" w:hAnsi="宋体"/>
          <w:b/>
          <w:bCs w:val="0"/>
          <w:sz w:val="28"/>
          <w:szCs w:val="28"/>
        </w:rPr>
        <w:t>三、</w:t>
      </w:r>
      <w:r>
        <w:rPr>
          <w:rFonts w:hint="eastAsia" w:ascii="宋体" w:hAnsi="宋体"/>
          <w:b/>
          <w:bCs w:val="0"/>
          <w:sz w:val="28"/>
          <w:szCs w:val="28"/>
        </w:rPr>
        <w:t>供应商</w:t>
      </w:r>
      <w:r>
        <w:rPr>
          <w:rFonts w:ascii="宋体" w:hAnsi="宋体"/>
          <w:b/>
          <w:bCs w:val="0"/>
          <w:sz w:val="28"/>
          <w:szCs w:val="28"/>
        </w:rPr>
        <w:t>应当提交的资格、资信证明文件</w:t>
      </w:r>
      <w:bookmarkEnd w:id="4"/>
    </w:p>
    <w:p/>
    <w:p>
      <w:pPr>
        <w:spacing w:line="440" w:lineRule="exact"/>
        <w:ind w:firstLine="480"/>
        <w:rPr>
          <w:rFonts w:hint="eastAsia" w:ascii="宋体" w:hAnsi="宋体"/>
          <w:sz w:val="24"/>
        </w:rPr>
      </w:pPr>
      <w:bookmarkStart w:id="5" w:name="_Toc25589252"/>
      <w:r>
        <w:rPr>
          <w:rFonts w:hint="eastAsia" w:ascii="宋体" w:hAnsi="宋体"/>
          <w:sz w:val="24"/>
        </w:rPr>
        <w:t>开标时，由采购人或采购代理机构依法对投标人的资格进行审查。</w:t>
      </w:r>
    </w:p>
    <w:p>
      <w:pPr>
        <w:spacing w:line="440" w:lineRule="exact"/>
        <w:ind w:firstLine="480"/>
        <w:rPr>
          <w:rFonts w:hint="eastAsia" w:ascii="宋体" w:hAnsi="宋体"/>
          <w:sz w:val="24"/>
        </w:rPr>
      </w:pPr>
      <w:r>
        <w:rPr>
          <w:rFonts w:hint="eastAsia" w:ascii="宋体" w:hAnsi="宋体"/>
          <w:b/>
          <w:sz w:val="24"/>
        </w:rPr>
        <w:t>3.1资格、资信证明文件包括下列内容：</w:t>
      </w:r>
    </w:p>
    <w:p>
      <w:pPr>
        <w:spacing w:line="440" w:lineRule="exact"/>
        <w:ind w:firstLine="480"/>
        <w:rPr>
          <w:rFonts w:hint="eastAsia" w:ascii="宋体" w:hAnsi="宋体"/>
          <w:sz w:val="24"/>
        </w:rPr>
      </w:pPr>
      <w:r>
        <w:rPr>
          <w:rFonts w:hint="eastAsia" w:ascii="宋体" w:hAnsi="宋体"/>
          <w:sz w:val="24"/>
        </w:rPr>
        <w:t>3.1.1营业执照副本复印件(需盖投标供应商公章)；</w:t>
      </w:r>
    </w:p>
    <w:p>
      <w:pPr>
        <w:spacing w:line="440" w:lineRule="exact"/>
        <w:ind w:firstLine="480"/>
        <w:rPr>
          <w:rFonts w:hint="eastAsia" w:ascii="宋体" w:hAnsi="宋体"/>
          <w:sz w:val="24"/>
        </w:rPr>
      </w:pPr>
      <w:r>
        <w:rPr>
          <w:rFonts w:hint="eastAsia" w:ascii="宋体" w:hAnsi="宋体"/>
          <w:sz w:val="24"/>
        </w:rPr>
        <w:t xml:space="preserve">3.1.2法定代表人的身份证复印件(需盖投标供应商公章)； </w:t>
      </w:r>
    </w:p>
    <w:p>
      <w:pPr>
        <w:spacing w:line="440" w:lineRule="exact"/>
        <w:ind w:firstLine="480"/>
        <w:rPr>
          <w:rFonts w:hint="eastAsia" w:ascii="宋体" w:hAnsi="宋体"/>
          <w:sz w:val="24"/>
        </w:rPr>
      </w:pPr>
      <w:r>
        <w:rPr>
          <w:rFonts w:hint="eastAsia" w:ascii="宋体" w:hAnsi="宋体"/>
          <w:sz w:val="24"/>
        </w:rPr>
        <w:t>3.1.3法定代表人授权书（附件二）；</w:t>
      </w:r>
    </w:p>
    <w:p>
      <w:pPr>
        <w:spacing w:line="440" w:lineRule="exact"/>
        <w:ind w:firstLine="480"/>
        <w:rPr>
          <w:rFonts w:hint="eastAsia" w:ascii="宋体" w:hAnsi="宋体"/>
          <w:sz w:val="24"/>
        </w:rPr>
      </w:pPr>
      <w:r>
        <w:rPr>
          <w:rFonts w:hint="eastAsia" w:ascii="宋体" w:hAnsi="宋体"/>
          <w:sz w:val="24"/>
        </w:rPr>
        <w:t>3.1.4全权代表身份证复印件(需盖投标供应商公章)；</w:t>
      </w:r>
    </w:p>
    <w:p>
      <w:pPr>
        <w:spacing w:line="440" w:lineRule="exact"/>
        <w:ind w:firstLine="480"/>
        <w:rPr>
          <w:rFonts w:hint="eastAsia" w:ascii="宋体" w:hAnsi="宋体"/>
          <w:sz w:val="24"/>
        </w:rPr>
      </w:pPr>
    </w:p>
    <w:p>
      <w:pPr>
        <w:pStyle w:val="2"/>
        <w:numPr>
          <w:ilvl w:val="0"/>
          <w:numId w:val="0"/>
        </w:numPr>
        <w:spacing w:before="0" w:after="0" w:line="500" w:lineRule="exact"/>
        <w:rPr>
          <w:rFonts w:ascii="宋体" w:hAnsi="宋体"/>
          <w:b/>
          <w:bCs w:val="0"/>
          <w:sz w:val="28"/>
          <w:szCs w:val="28"/>
        </w:rPr>
      </w:pPr>
      <w:r>
        <w:rPr>
          <w:rFonts w:ascii="宋体" w:hAnsi="宋体"/>
          <w:b/>
          <w:bCs w:val="0"/>
          <w:sz w:val="28"/>
          <w:szCs w:val="28"/>
        </w:rPr>
        <w:t>四、投标报价要求、投标文件编制要求和投标保证金交纳方式</w:t>
      </w:r>
      <w:bookmarkEnd w:id="5"/>
    </w:p>
    <w:p>
      <w:pPr>
        <w:spacing w:line="500" w:lineRule="exact"/>
        <w:ind w:firstLine="480" w:firstLineChars="200"/>
        <w:rPr>
          <w:rFonts w:hint="eastAsia" w:ascii="宋体" w:hAnsi="宋体"/>
          <w:sz w:val="24"/>
        </w:rPr>
      </w:pPr>
      <w:r>
        <w:rPr>
          <w:rFonts w:hint="eastAsia" w:ascii="宋体" w:hAnsi="宋体"/>
          <w:sz w:val="24"/>
        </w:rPr>
        <w:t>4.1投标报价及相关要求：</w:t>
      </w:r>
    </w:p>
    <w:p>
      <w:pPr>
        <w:spacing w:line="500" w:lineRule="exact"/>
        <w:ind w:firstLine="480" w:firstLineChars="200"/>
        <w:rPr>
          <w:rFonts w:hint="eastAsia" w:ascii="宋体" w:hAnsi="宋体"/>
          <w:sz w:val="24"/>
        </w:rPr>
      </w:pPr>
      <w:r>
        <w:rPr>
          <w:rFonts w:hint="eastAsia" w:ascii="宋体" w:hAnsi="宋体"/>
          <w:sz w:val="24"/>
        </w:rPr>
        <w:t>4.1.1本次采购以人民币报价，</w:t>
      </w:r>
      <w:r>
        <w:rPr>
          <w:rFonts w:hint="eastAsia" w:ascii="宋体" w:hAnsi="宋体"/>
          <w:b/>
          <w:sz w:val="24"/>
          <w:u w:val="single"/>
        </w:rPr>
        <w:t>供应商的报价（合价）应包括因承包本次采购项目所需的人员工资、福利、劳保用品、工具、运输车辆、车辆维修、养护、油料、利润、税金、保险、季检、年检及不可预见费用（如突击工作费，防台、抗旱、抗雪、抗暴风雨等措施费，综合抗灾抢救费，抗旱设施、人工增加费，设施维护费及其它等）等一切费用。</w:t>
      </w:r>
    </w:p>
    <w:p>
      <w:pPr>
        <w:autoSpaceDE w:val="0"/>
        <w:autoSpaceDN w:val="0"/>
        <w:adjustRightInd w:val="0"/>
        <w:spacing w:line="500" w:lineRule="exact"/>
        <w:ind w:firstLine="480" w:firstLineChars="200"/>
        <w:rPr>
          <w:rFonts w:hint="eastAsia" w:ascii="宋体" w:hAnsi="宋体"/>
          <w:sz w:val="24"/>
        </w:rPr>
      </w:pPr>
      <w:r>
        <w:rPr>
          <w:rFonts w:hint="eastAsia" w:ascii="宋体" w:hAnsi="宋体"/>
          <w:sz w:val="24"/>
        </w:rPr>
        <w:t>4.1.2供应商的报价必须是本标书所要求的全部项目投标价的总和，并以供应商在投标报价清单中提供的单价及总额价为依据。</w:t>
      </w:r>
    </w:p>
    <w:p>
      <w:pPr>
        <w:autoSpaceDE w:val="0"/>
        <w:autoSpaceDN w:val="0"/>
        <w:adjustRightInd w:val="0"/>
        <w:spacing w:line="500" w:lineRule="exact"/>
        <w:ind w:firstLine="480" w:firstLineChars="200"/>
        <w:rPr>
          <w:rFonts w:hint="eastAsia" w:ascii="宋体" w:hAnsi="宋体"/>
          <w:sz w:val="24"/>
        </w:rPr>
      </w:pPr>
      <w:r>
        <w:rPr>
          <w:rFonts w:hint="eastAsia" w:ascii="宋体" w:hAnsi="宋体"/>
          <w:sz w:val="24"/>
        </w:rPr>
        <w:t>4.1.3各细目单价应报综合单价，包括一切与供货、安装相关的费用。</w:t>
      </w:r>
    </w:p>
    <w:p>
      <w:pPr>
        <w:snapToGrid w:val="0"/>
        <w:spacing w:line="500" w:lineRule="exact"/>
        <w:ind w:firstLine="481"/>
        <w:rPr>
          <w:rFonts w:ascii="宋体" w:hAnsi="宋体"/>
          <w:sz w:val="24"/>
        </w:rPr>
      </w:pPr>
      <w:r>
        <w:rPr>
          <w:rFonts w:hint="eastAsia" w:ascii="宋体" w:hAnsi="宋体"/>
          <w:sz w:val="24"/>
        </w:rPr>
        <w:t>4.1.4供应商必须填报各项目单项的价款，今后采购量如有增减，其总价款则按实以综合单项价款调整。</w:t>
      </w:r>
    </w:p>
    <w:p>
      <w:pPr>
        <w:autoSpaceDE w:val="0"/>
        <w:autoSpaceDN w:val="0"/>
        <w:adjustRightInd w:val="0"/>
        <w:spacing w:line="500" w:lineRule="exact"/>
        <w:ind w:firstLine="480" w:firstLineChars="200"/>
        <w:rPr>
          <w:rFonts w:hint="eastAsia" w:ascii="宋体" w:hAnsi="宋体"/>
          <w:sz w:val="24"/>
        </w:rPr>
      </w:pPr>
      <w:r>
        <w:rPr>
          <w:rFonts w:hint="eastAsia" w:ascii="宋体" w:hAnsi="宋体"/>
          <w:sz w:val="24"/>
        </w:rPr>
        <w:t>4.1.5开标一览表（报价表）中标明的价格在合同执行过程中是固定不变的，不得以任何理由予以变更。每个投标供应商只允许有一个报价，任何有选择的报价将不予接受。</w:t>
      </w:r>
    </w:p>
    <w:p>
      <w:pPr>
        <w:autoSpaceDE w:val="0"/>
        <w:autoSpaceDN w:val="0"/>
        <w:adjustRightInd w:val="0"/>
        <w:spacing w:line="500" w:lineRule="exact"/>
        <w:ind w:firstLine="480" w:firstLineChars="200"/>
        <w:rPr>
          <w:rFonts w:hint="eastAsia" w:ascii="宋体" w:hAnsi="宋体"/>
          <w:sz w:val="24"/>
        </w:rPr>
      </w:pPr>
      <w:r>
        <w:rPr>
          <w:rFonts w:hint="eastAsia" w:ascii="宋体" w:hAnsi="宋体"/>
          <w:sz w:val="24"/>
        </w:rPr>
        <w:t>4.1.6 开标一览表（报价表）中不得漏填项目，否则当实施合同时供应商没有填入单价与金额的项目，将不予支付，并认为此项目费用已包括在价格表的其他项目的单价和金额之中。</w:t>
      </w:r>
    </w:p>
    <w:p>
      <w:pPr>
        <w:autoSpaceDE w:val="0"/>
        <w:autoSpaceDN w:val="0"/>
        <w:adjustRightInd w:val="0"/>
        <w:spacing w:line="500" w:lineRule="exact"/>
        <w:ind w:firstLine="480" w:firstLineChars="200"/>
        <w:rPr>
          <w:rFonts w:hint="eastAsia" w:ascii="宋体" w:hAnsi="宋体"/>
          <w:sz w:val="24"/>
        </w:rPr>
      </w:pPr>
      <w:r>
        <w:rPr>
          <w:rFonts w:hint="eastAsia" w:ascii="宋体" w:hAnsi="宋体"/>
          <w:sz w:val="24"/>
        </w:rPr>
        <w:t>4.1.7 开标一览表（报价表）需加盖投标供应商公章并由法定代表人或其委托代理人签字或盖章。</w:t>
      </w:r>
    </w:p>
    <w:p>
      <w:pPr>
        <w:autoSpaceDE w:val="0"/>
        <w:autoSpaceDN w:val="0"/>
        <w:adjustRightInd w:val="0"/>
        <w:spacing w:line="500" w:lineRule="exact"/>
        <w:ind w:firstLine="480" w:firstLineChars="200"/>
        <w:rPr>
          <w:rFonts w:hint="eastAsia" w:ascii="宋体" w:hAnsi="宋体"/>
          <w:sz w:val="24"/>
        </w:rPr>
      </w:pPr>
      <w:r>
        <w:rPr>
          <w:rFonts w:hint="eastAsia" w:ascii="宋体" w:hAnsi="宋体"/>
          <w:sz w:val="24"/>
        </w:rPr>
        <w:t>4.2开标一览表（报价表）按采购人提供的格式要求填写（格式附后，格式不得随意变动，变动者为无效）。</w:t>
      </w:r>
    </w:p>
    <w:p>
      <w:pPr>
        <w:autoSpaceDE w:val="0"/>
        <w:autoSpaceDN w:val="0"/>
        <w:adjustRightInd w:val="0"/>
        <w:spacing w:line="500" w:lineRule="exact"/>
        <w:ind w:firstLine="480" w:firstLineChars="200"/>
        <w:rPr>
          <w:rFonts w:hint="eastAsia" w:ascii="宋体" w:hAnsi="宋体"/>
          <w:sz w:val="24"/>
        </w:rPr>
      </w:pPr>
      <w:r>
        <w:rPr>
          <w:rFonts w:hint="eastAsia" w:ascii="宋体" w:hAnsi="宋体"/>
          <w:sz w:val="24"/>
        </w:rPr>
        <w:t>4.3 投标文件的编写</w:t>
      </w:r>
    </w:p>
    <w:p>
      <w:pPr>
        <w:spacing w:line="500" w:lineRule="exact"/>
        <w:ind w:firstLine="480" w:firstLineChars="200"/>
        <w:rPr>
          <w:rFonts w:hint="eastAsia" w:ascii="宋体" w:hAnsi="宋体"/>
          <w:sz w:val="24"/>
        </w:rPr>
      </w:pPr>
      <w:r>
        <w:rPr>
          <w:rFonts w:hint="eastAsia" w:ascii="宋体" w:hAnsi="宋体"/>
          <w:sz w:val="24"/>
        </w:rPr>
        <w:t>供应商应仔细阅读采购文件，了解采购文件的要求。在完全了解采购服务的内容和要求以及商务条件后，编制投标文件。</w:t>
      </w:r>
    </w:p>
    <w:p>
      <w:pPr>
        <w:spacing w:line="500" w:lineRule="exact"/>
        <w:ind w:firstLine="480" w:firstLineChars="200"/>
        <w:rPr>
          <w:rFonts w:hint="eastAsia" w:ascii="宋体" w:hAnsi="宋体" w:cs="宋体"/>
          <w:sz w:val="24"/>
        </w:rPr>
      </w:pPr>
      <w:r>
        <w:rPr>
          <w:rFonts w:ascii="宋体" w:hAnsi="宋体" w:cs="宋体"/>
          <w:sz w:val="24"/>
        </w:rPr>
        <w:t>4.4</w:t>
      </w:r>
      <w:r>
        <w:rPr>
          <w:rFonts w:hint="eastAsia" w:ascii="宋体" w:hAnsi="宋体" w:cs="宋体"/>
          <w:sz w:val="24"/>
        </w:rPr>
        <w:t>投标保证金：</w:t>
      </w:r>
    </w:p>
    <w:p>
      <w:pPr>
        <w:spacing w:line="440" w:lineRule="exact"/>
        <w:ind w:firstLine="480" w:firstLineChars="200"/>
        <w:rPr>
          <w:rFonts w:ascii="宋体" w:hAnsi="宋体"/>
          <w:sz w:val="24"/>
        </w:rPr>
      </w:pPr>
      <w:r>
        <w:rPr>
          <w:rFonts w:ascii="宋体" w:hAnsi="宋体" w:cs="宋体"/>
          <w:sz w:val="24"/>
        </w:rPr>
        <w:t>4.4.1</w:t>
      </w:r>
      <w:r>
        <w:rPr>
          <w:rFonts w:hint="eastAsia" w:ascii="宋体" w:hAnsi="宋体" w:cs="宋体"/>
          <w:sz w:val="24"/>
        </w:rPr>
        <w:t>参加投标的供应商投标保证金</w:t>
      </w:r>
      <w:r>
        <w:rPr>
          <w:rFonts w:hint="eastAsia" w:ascii="宋体" w:hAnsi="宋体"/>
          <w:sz w:val="24"/>
        </w:rPr>
        <w:t>金额及交纳时间详见招标公告及前附表第5项</w:t>
      </w:r>
      <w:r>
        <w:rPr>
          <w:rFonts w:hint="eastAsia" w:ascii="宋体" w:hAnsi="宋体" w:cs="宋体"/>
          <w:sz w:val="24"/>
        </w:rPr>
        <w:t>。</w:t>
      </w:r>
    </w:p>
    <w:p>
      <w:pPr>
        <w:spacing w:line="440" w:lineRule="exact"/>
        <w:ind w:firstLine="480" w:firstLineChars="200"/>
        <w:rPr>
          <w:rFonts w:ascii="宋体" w:hAnsi="宋体"/>
          <w:sz w:val="24"/>
        </w:rPr>
      </w:pPr>
      <w:r>
        <w:rPr>
          <w:rFonts w:ascii="宋体" w:hAnsi="宋体" w:cs="宋体"/>
          <w:sz w:val="24"/>
        </w:rPr>
        <w:t>4.4.2</w:t>
      </w:r>
      <w:r>
        <w:rPr>
          <w:rFonts w:hint="eastAsia" w:ascii="宋体" w:hAnsi="宋体"/>
          <w:sz w:val="24"/>
        </w:rPr>
        <w:t>履约保证金金额详见前附表第6项</w:t>
      </w:r>
      <w:r>
        <w:rPr>
          <w:rFonts w:hint="eastAsia" w:ascii="宋体" w:hAnsi="宋体" w:cs="宋体"/>
          <w:sz w:val="24"/>
        </w:rPr>
        <w:t>。</w:t>
      </w:r>
    </w:p>
    <w:p>
      <w:pPr>
        <w:spacing w:line="500" w:lineRule="exact"/>
        <w:ind w:firstLine="480" w:firstLineChars="200"/>
        <w:rPr>
          <w:rFonts w:hint="eastAsia" w:hAnsi="宋体"/>
          <w:sz w:val="24"/>
        </w:rPr>
      </w:pPr>
      <w:r>
        <w:rPr>
          <w:rFonts w:hint="eastAsia" w:ascii="宋体" w:hAnsi="宋体"/>
          <w:sz w:val="24"/>
        </w:rPr>
        <w:t>4.4.3 履约保证金待履行合同完毕后7个工作日内予以退还（不计息）</w:t>
      </w:r>
      <w:r>
        <w:rPr>
          <w:rFonts w:hint="eastAsia" w:hAnsi="宋体"/>
          <w:sz w:val="24"/>
        </w:rPr>
        <w:t>。</w:t>
      </w:r>
    </w:p>
    <w:p>
      <w:pPr>
        <w:spacing w:line="500" w:lineRule="exact"/>
        <w:ind w:firstLine="480" w:firstLineChars="200"/>
        <w:rPr>
          <w:rFonts w:hint="eastAsia" w:hAnsi="宋体"/>
          <w:sz w:val="24"/>
        </w:rPr>
      </w:pPr>
    </w:p>
    <w:p>
      <w:pPr>
        <w:pStyle w:val="2"/>
        <w:numPr>
          <w:ilvl w:val="0"/>
          <w:numId w:val="0"/>
        </w:numPr>
        <w:spacing w:before="0" w:after="0" w:line="500" w:lineRule="exact"/>
        <w:ind w:left="851" w:hanging="851"/>
        <w:rPr>
          <w:rFonts w:hint="eastAsia" w:ascii="宋体" w:hAnsi="宋体"/>
          <w:b/>
          <w:bCs w:val="0"/>
          <w:sz w:val="28"/>
          <w:szCs w:val="28"/>
        </w:rPr>
      </w:pPr>
      <w:bookmarkStart w:id="6" w:name="_Toc25589253"/>
      <w:r>
        <w:rPr>
          <w:rFonts w:ascii="宋体" w:hAnsi="宋体"/>
          <w:b/>
          <w:bCs w:val="0"/>
          <w:sz w:val="28"/>
          <w:szCs w:val="28"/>
        </w:rPr>
        <w:t>五、招标项目的技术规格</w:t>
      </w:r>
      <w:r>
        <w:rPr>
          <w:rFonts w:hint="eastAsia" w:ascii="宋体" w:hAnsi="宋体"/>
          <w:b/>
          <w:bCs w:val="0"/>
          <w:sz w:val="28"/>
          <w:szCs w:val="28"/>
        </w:rPr>
        <w:t>和</w:t>
      </w:r>
      <w:r>
        <w:rPr>
          <w:rFonts w:ascii="宋体" w:hAnsi="宋体"/>
          <w:b/>
          <w:bCs w:val="0"/>
          <w:sz w:val="28"/>
          <w:szCs w:val="28"/>
        </w:rPr>
        <w:t>要求</w:t>
      </w:r>
      <w:bookmarkEnd w:id="6"/>
      <w:bookmarkStart w:id="7" w:name="_Toc528763376"/>
      <w:bookmarkStart w:id="8" w:name="_Toc528842937"/>
    </w:p>
    <w:p>
      <w:pPr>
        <w:spacing w:line="500" w:lineRule="exact"/>
        <w:ind w:firstLine="480" w:firstLineChars="200"/>
        <w:rPr>
          <w:rFonts w:hint="eastAsia" w:ascii="宋体" w:hAnsi="宋体" w:cs="宋体"/>
          <w:sz w:val="24"/>
        </w:rPr>
      </w:pPr>
      <w:r>
        <w:rPr>
          <w:rFonts w:ascii="宋体" w:hAnsi="宋体" w:cs="宋体"/>
          <w:sz w:val="24"/>
        </w:rPr>
        <w:t>5.</w:t>
      </w:r>
      <w:r>
        <w:rPr>
          <w:rFonts w:hint="eastAsia" w:ascii="宋体" w:hAnsi="宋体" w:cs="宋体"/>
          <w:sz w:val="24"/>
        </w:rPr>
        <w:t>1项目概况：</w:t>
      </w:r>
      <w:bookmarkEnd w:id="7"/>
      <w:bookmarkEnd w:id="8"/>
    </w:p>
    <w:p>
      <w:pPr>
        <w:pStyle w:val="36"/>
        <w:spacing w:before="0" w:beforeAutospacing="0" w:after="0" w:afterAutospacing="0"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柯桥城区道路保洁服务项目，分2个标段，具体如下：</w:t>
      </w:r>
    </w:p>
    <w:tbl>
      <w:tblPr>
        <w:tblStyle w:val="41"/>
        <w:tblW w:w="8970" w:type="dxa"/>
        <w:tblInd w:w="4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1"/>
        <w:gridCol w:w="7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 w:hRule="atLeast"/>
        </w:trPr>
        <w:tc>
          <w:tcPr>
            <w:tcW w:w="1761" w:type="dxa"/>
            <w:noWrap w:val="0"/>
            <w:vAlign w:val="center"/>
          </w:tcPr>
          <w:p>
            <w:pPr>
              <w:spacing w:line="400" w:lineRule="exact"/>
              <w:jc w:val="center"/>
              <w:rPr>
                <w:rFonts w:hint="eastAsia" w:ascii="宋体" w:hAnsi="宋体" w:cs="宋体"/>
                <w:b/>
                <w:szCs w:val="21"/>
              </w:rPr>
            </w:pPr>
            <w:r>
              <w:rPr>
                <w:rFonts w:hint="eastAsia" w:ascii="宋体" w:hAnsi="宋体" w:cs="宋体"/>
                <w:b/>
                <w:szCs w:val="21"/>
              </w:rPr>
              <w:t>标项</w:t>
            </w:r>
          </w:p>
        </w:tc>
        <w:tc>
          <w:tcPr>
            <w:tcW w:w="7209" w:type="dxa"/>
            <w:noWrap w:val="0"/>
            <w:vAlign w:val="center"/>
          </w:tcPr>
          <w:p>
            <w:pPr>
              <w:spacing w:line="340" w:lineRule="exact"/>
              <w:jc w:val="center"/>
              <w:rPr>
                <w:rFonts w:hint="eastAsia" w:ascii="宋体" w:hAnsi="宋体" w:cs="宋体"/>
                <w:b/>
                <w:szCs w:val="21"/>
              </w:rPr>
            </w:pPr>
            <w:r>
              <w:rPr>
                <w:rFonts w:hint="eastAsia" w:ascii="宋体" w:hAnsi="宋体" w:cs="宋体"/>
                <w:b/>
                <w:szCs w:val="21"/>
              </w:rPr>
              <w:t>保洁范围及内容</w:t>
            </w:r>
          </w:p>
          <w:p>
            <w:pPr>
              <w:spacing w:line="400" w:lineRule="exact"/>
              <w:jc w:val="center"/>
              <w:rPr>
                <w:rFonts w:hint="eastAsia" w:ascii="宋体" w:hAnsi="宋体" w:cs="宋体"/>
                <w:b/>
                <w:bCs/>
                <w:szCs w:val="21"/>
              </w:rPr>
            </w:pPr>
            <w:r>
              <w:rPr>
                <w:rFonts w:hint="eastAsia" w:ascii="宋体" w:hAnsi="宋体" w:cs="宋体"/>
                <w:b/>
                <w:bCs/>
                <w:szCs w:val="21"/>
              </w:rPr>
              <w:t>（详见招标文件要求）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1" w:hRule="atLeast"/>
        </w:trPr>
        <w:tc>
          <w:tcPr>
            <w:tcW w:w="1761" w:type="dxa"/>
            <w:noWrap w:val="0"/>
            <w:vAlign w:val="center"/>
          </w:tcPr>
          <w:p>
            <w:pPr>
              <w:spacing w:line="400" w:lineRule="exact"/>
              <w:jc w:val="center"/>
              <w:rPr>
                <w:rFonts w:hint="eastAsia" w:ascii="宋体" w:hAnsi="宋体" w:cs="宋体"/>
                <w:szCs w:val="21"/>
              </w:rPr>
            </w:pPr>
            <w:r>
              <w:rPr>
                <w:rFonts w:hint="eastAsia" w:ascii="宋体" w:hAnsi="宋体" w:cs="宋体"/>
                <w:szCs w:val="21"/>
              </w:rPr>
              <w:t>Ⅰ标：柯北标段</w:t>
            </w:r>
          </w:p>
        </w:tc>
        <w:tc>
          <w:tcPr>
            <w:tcW w:w="7209" w:type="dxa"/>
            <w:noWrap w:val="0"/>
            <w:vAlign w:val="center"/>
          </w:tcPr>
          <w:p>
            <w:pPr>
              <w:spacing w:line="400" w:lineRule="exact"/>
              <w:rPr>
                <w:rFonts w:hint="eastAsia" w:ascii="宋体" w:hAnsi="宋体" w:cs="宋体"/>
                <w:szCs w:val="21"/>
              </w:rPr>
            </w:pPr>
            <w:r>
              <w:rPr>
                <w:rFonts w:hint="eastAsia" w:ascii="宋体" w:hAnsi="宋体"/>
                <w:bCs/>
                <w:szCs w:val="21"/>
              </w:rPr>
              <w:t>群贤路(不含)以北，规划道路(不含)以南，越州大道(含)以东，镜水路(含)以西区域道路保洁。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1" w:hRule="atLeast"/>
        </w:trPr>
        <w:tc>
          <w:tcPr>
            <w:tcW w:w="1761" w:type="dxa"/>
            <w:noWrap w:val="0"/>
            <w:vAlign w:val="center"/>
          </w:tcPr>
          <w:p>
            <w:pPr>
              <w:spacing w:line="400" w:lineRule="exact"/>
              <w:jc w:val="center"/>
              <w:rPr>
                <w:rFonts w:hint="eastAsia" w:ascii="宋体" w:hAnsi="宋体" w:cs="宋体"/>
                <w:szCs w:val="21"/>
              </w:rPr>
            </w:pPr>
            <w:r>
              <w:rPr>
                <w:rFonts w:hint="eastAsia" w:ascii="宋体" w:hAnsi="宋体"/>
                <w:bCs/>
                <w:szCs w:val="21"/>
              </w:rPr>
              <w:t>Ⅱ标：柯中标段</w:t>
            </w:r>
          </w:p>
        </w:tc>
        <w:tc>
          <w:tcPr>
            <w:tcW w:w="7209" w:type="dxa"/>
            <w:noWrap w:val="0"/>
            <w:vAlign w:val="center"/>
          </w:tcPr>
          <w:p>
            <w:pPr>
              <w:spacing w:line="400" w:lineRule="exact"/>
              <w:rPr>
                <w:rFonts w:hint="eastAsia" w:ascii="宋体" w:hAnsi="宋体" w:cs="宋体"/>
                <w:szCs w:val="21"/>
              </w:rPr>
            </w:pPr>
            <w:r>
              <w:rPr>
                <w:rFonts w:hint="eastAsia" w:ascii="宋体" w:hAnsi="宋体"/>
                <w:bCs/>
                <w:szCs w:val="21"/>
              </w:rPr>
              <w:t>104国道（不含）以北，群贤路（含）以南，金柯桥大道（含）以西，越州大道(含)以东区域道路及坂湖公园保洁。</w:t>
            </w:r>
          </w:p>
        </w:tc>
      </w:tr>
    </w:tbl>
    <w:p>
      <w:pPr>
        <w:autoSpaceDN w:val="0"/>
        <w:spacing w:line="500" w:lineRule="exact"/>
        <w:ind w:firstLine="360" w:firstLineChars="150"/>
        <w:rPr>
          <w:rFonts w:hint="eastAsia" w:ascii="宋体" w:hAnsi="宋体"/>
          <w:sz w:val="24"/>
        </w:rPr>
      </w:pPr>
      <w:r>
        <w:rPr>
          <w:rFonts w:hint="eastAsia" w:ascii="宋体" w:hAnsi="宋体"/>
          <w:sz w:val="24"/>
        </w:rPr>
        <w:t>具体工作范围和工作量详见附件九。</w:t>
      </w:r>
    </w:p>
    <w:p>
      <w:pPr>
        <w:autoSpaceDN w:val="0"/>
        <w:spacing w:line="500" w:lineRule="exact"/>
        <w:ind w:firstLine="480" w:firstLineChars="200"/>
        <w:rPr>
          <w:rFonts w:hint="eastAsia" w:hAnsi="宋体"/>
          <w:sz w:val="24"/>
        </w:rPr>
      </w:pPr>
      <w:r>
        <w:rPr>
          <w:rFonts w:hint="eastAsia" w:ascii="宋体" w:hAnsi="宋体"/>
          <w:sz w:val="24"/>
        </w:rPr>
        <w:t xml:space="preserve">5.2 </w:t>
      </w:r>
      <w:r>
        <w:rPr>
          <w:rFonts w:hint="eastAsia" w:hAnsi="宋体"/>
          <w:sz w:val="24"/>
        </w:rPr>
        <w:t>服务要求：</w:t>
      </w:r>
    </w:p>
    <w:p>
      <w:pPr>
        <w:autoSpaceDN w:val="0"/>
        <w:spacing w:line="500" w:lineRule="exact"/>
        <w:ind w:firstLine="480" w:firstLineChars="200"/>
        <w:rPr>
          <w:rFonts w:hint="eastAsia" w:ascii="宋体" w:hAnsi="宋体"/>
          <w:sz w:val="24"/>
        </w:rPr>
      </w:pPr>
      <w:r>
        <w:rPr>
          <w:rFonts w:ascii="宋体" w:hAnsi="宋体"/>
          <w:sz w:val="24"/>
        </w:rPr>
        <w:t>5.2.1</w:t>
      </w:r>
      <w:r>
        <w:rPr>
          <w:rFonts w:hint="eastAsia" w:ascii="宋体" w:hAnsi="宋体"/>
          <w:sz w:val="24"/>
        </w:rPr>
        <w:t xml:space="preserve"> </w:t>
      </w:r>
      <w:r>
        <w:rPr>
          <w:rFonts w:ascii="宋体" w:hAnsi="宋体"/>
          <w:sz w:val="24"/>
        </w:rPr>
        <w:t>质量要求：达到《城市环境卫生质量标准》，符合本标文附件</w:t>
      </w:r>
      <w:r>
        <w:rPr>
          <w:rFonts w:hint="eastAsia" w:ascii="宋体" w:hAnsi="宋体"/>
          <w:sz w:val="24"/>
        </w:rPr>
        <w:t>十、</w:t>
      </w:r>
      <w:r>
        <w:rPr>
          <w:rFonts w:ascii="宋体" w:hAnsi="宋体"/>
          <w:sz w:val="24"/>
        </w:rPr>
        <w:t>附件十一</w:t>
      </w:r>
      <w:r>
        <w:rPr>
          <w:rFonts w:hint="eastAsia" w:ascii="宋体" w:hAnsi="宋体"/>
          <w:sz w:val="24"/>
        </w:rPr>
        <w:t>中的</w:t>
      </w:r>
      <w:r>
        <w:rPr>
          <w:rFonts w:ascii="宋体" w:hAnsi="宋体"/>
          <w:sz w:val="24"/>
        </w:rPr>
        <w:t>所有条款要求。</w:t>
      </w:r>
    </w:p>
    <w:p>
      <w:pPr>
        <w:autoSpaceDN w:val="0"/>
        <w:spacing w:line="500" w:lineRule="exact"/>
        <w:ind w:firstLine="480" w:firstLineChars="200"/>
        <w:rPr>
          <w:rFonts w:hint="eastAsia" w:ascii="宋体" w:hAnsi="宋体"/>
          <w:sz w:val="24"/>
        </w:rPr>
      </w:pPr>
      <w:r>
        <w:rPr>
          <w:rFonts w:ascii="宋体" w:hAnsi="宋体"/>
          <w:sz w:val="24"/>
        </w:rPr>
        <w:t>5.2.2</w:t>
      </w:r>
      <w:r>
        <w:rPr>
          <w:rFonts w:hint="eastAsia" w:ascii="宋体" w:hAnsi="宋体"/>
          <w:sz w:val="24"/>
        </w:rPr>
        <w:t xml:space="preserve"> </w:t>
      </w:r>
      <w:r>
        <w:rPr>
          <w:rFonts w:ascii="宋体" w:hAnsi="宋体"/>
          <w:sz w:val="24"/>
        </w:rPr>
        <w:t>时间要求：</w:t>
      </w:r>
    </w:p>
    <w:p>
      <w:pPr>
        <w:autoSpaceDN w:val="0"/>
        <w:spacing w:line="500" w:lineRule="exact"/>
        <w:ind w:firstLine="480" w:firstLineChars="200"/>
        <w:rPr>
          <w:rFonts w:hint="eastAsia" w:ascii="宋体" w:hAnsi="宋体"/>
          <w:sz w:val="24"/>
        </w:rPr>
      </w:pPr>
      <w:r>
        <w:rPr>
          <w:rFonts w:hint="eastAsia" w:ascii="宋体" w:hAnsi="宋体"/>
          <w:sz w:val="24"/>
        </w:rPr>
        <w:t>5.2.2.1</w:t>
      </w:r>
      <w:r>
        <w:rPr>
          <w:rFonts w:ascii="宋体" w:hAnsi="宋体"/>
          <w:sz w:val="24"/>
        </w:rPr>
        <w:t>中标</w:t>
      </w:r>
      <w:r>
        <w:rPr>
          <w:rFonts w:hint="eastAsia" w:ascii="宋体" w:hAnsi="宋体"/>
          <w:sz w:val="24"/>
        </w:rPr>
        <w:t>单位</w:t>
      </w:r>
      <w:r>
        <w:rPr>
          <w:rFonts w:ascii="宋体" w:hAnsi="宋体"/>
          <w:sz w:val="24"/>
        </w:rPr>
        <w:t>对道路清扫保洁及沿路两侧环卫设施的日常养护和沿路单位垃圾清运保洁工作，要按照柯桥区</w:t>
      </w:r>
      <w:r>
        <w:rPr>
          <w:rFonts w:hint="eastAsia" w:ascii="宋体" w:hAnsi="宋体"/>
          <w:sz w:val="24"/>
        </w:rPr>
        <w:t>市容环境卫生管理中心</w:t>
      </w:r>
      <w:r>
        <w:rPr>
          <w:rFonts w:ascii="宋体" w:hAnsi="宋体"/>
          <w:sz w:val="24"/>
        </w:rPr>
        <w:t>制订的作业时间完成。</w:t>
      </w:r>
    </w:p>
    <w:p>
      <w:pPr>
        <w:autoSpaceDN w:val="0"/>
        <w:spacing w:line="500" w:lineRule="exact"/>
        <w:ind w:firstLine="480" w:firstLineChars="200"/>
        <w:rPr>
          <w:rFonts w:hint="eastAsia" w:ascii="宋体" w:hAnsi="宋体"/>
          <w:sz w:val="24"/>
        </w:rPr>
      </w:pPr>
      <w:r>
        <w:rPr>
          <w:rFonts w:hint="eastAsia" w:ascii="宋体" w:hAnsi="宋体"/>
          <w:sz w:val="24"/>
        </w:rPr>
        <w:t>5.2.2.2</w:t>
      </w:r>
      <w:r>
        <w:rPr>
          <w:rFonts w:ascii="宋体" w:hAnsi="宋体"/>
          <w:sz w:val="24"/>
        </w:rPr>
        <w:t>凡涉及柯桥区市容环境卫生管理</w:t>
      </w:r>
      <w:r>
        <w:rPr>
          <w:rFonts w:hint="eastAsia" w:ascii="宋体" w:hAnsi="宋体"/>
          <w:sz w:val="24"/>
        </w:rPr>
        <w:t>中心</w:t>
      </w:r>
      <w:r>
        <w:rPr>
          <w:rFonts w:ascii="宋体" w:hAnsi="宋体"/>
          <w:sz w:val="24"/>
        </w:rPr>
        <w:t>社会服务承诺内容的，要按照承诺服务时限完成。</w:t>
      </w:r>
      <w:r>
        <w:rPr>
          <w:rFonts w:hint="eastAsia" w:ascii="宋体" w:hAnsi="宋体"/>
          <w:sz w:val="24"/>
        </w:rPr>
        <w:t xml:space="preserve"> </w:t>
      </w:r>
    </w:p>
    <w:p>
      <w:pPr>
        <w:autoSpaceDN w:val="0"/>
        <w:spacing w:line="500" w:lineRule="exact"/>
        <w:ind w:firstLine="480" w:firstLineChars="200"/>
        <w:rPr>
          <w:rFonts w:hint="eastAsia" w:ascii="宋体" w:hAnsi="宋体"/>
          <w:sz w:val="24"/>
        </w:rPr>
      </w:pPr>
      <w:r>
        <w:rPr>
          <w:rFonts w:hint="eastAsia" w:ascii="宋体" w:hAnsi="宋体"/>
          <w:sz w:val="24"/>
        </w:rPr>
        <w:t>5.2.2.3服务</w:t>
      </w:r>
      <w:r>
        <w:rPr>
          <w:rFonts w:ascii="宋体" w:hAnsi="宋体"/>
          <w:sz w:val="24"/>
        </w:rPr>
        <w:t>期限：</w:t>
      </w:r>
      <w:r>
        <w:rPr>
          <w:rFonts w:hint="eastAsia" w:ascii="宋体" w:hAnsi="宋体"/>
          <w:sz w:val="24"/>
        </w:rPr>
        <w:t>2+1年</w:t>
      </w:r>
      <w:r>
        <w:rPr>
          <w:rFonts w:hint="eastAsia" w:ascii="宋体" w:hAnsi="宋体" w:cs="宋体"/>
          <w:sz w:val="24"/>
        </w:rPr>
        <w:t>（具体以合同签订时间为准，第一年履行合同符合采购人要求，可续签第二年合同，两年内均符合要求，在采购人及上级主管部门认可的情况下可酌情再顺延一年）</w:t>
      </w:r>
      <w:r>
        <w:rPr>
          <w:rFonts w:hint="eastAsia" w:ascii="宋体" w:hAnsi="宋体"/>
          <w:sz w:val="24"/>
        </w:rPr>
        <w:t>，合同一年一签。</w:t>
      </w:r>
    </w:p>
    <w:p>
      <w:pPr>
        <w:autoSpaceDN w:val="0"/>
        <w:spacing w:line="500" w:lineRule="exact"/>
        <w:ind w:firstLine="480" w:firstLineChars="200"/>
        <w:rPr>
          <w:rFonts w:hint="eastAsia" w:ascii="宋体" w:hAnsi="宋体"/>
          <w:sz w:val="24"/>
        </w:rPr>
      </w:pPr>
      <w:r>
        <w:rPr>
          <w:rFonts w:hint="eastAsia" w:ascii="宋体" w:hAnsi="宋体"/>
          <w:sz w:val="24"/>
        </w:rPr>
        <w:t>5.2.3 具体工作要求：</w:t>
      </w:r>
    </w:p>
    <w:p>
      <w:pPr>
        <w:autoSpaceDN w:val="0"/>
        <w:spacing w:line="500" w:lineRule="exact"/>
        <w:ind w:firstLine="480" w:firstLineChars="200"/>
        <w:rPr>
          <w:rFonts w:hint="eastAsia" w:ascii="宋体" w:hAnsi="宋体"/>
          <w:sz w:val="24"/>
        </w:rPr>
      </w:pPr>
      <w:r>
        <w:rPr>
          <w:rFonts w:hint="eastAsia" w:ascii="宋体" w:hAnsi="宋体"/>
          <w:sz w:val="24"/>
        </w:rPr>
        <w:t>5.2.3.1道路标段保洁详见附件九各标段对应的《道路面积及工作任务清单》。</w:t>
      </w:r>
    </w:p>
    <w:p>
      <w:pPr>
        <w:autoSpaceDN w:val="0"/>
        <w:spacing w:line="500" w:lineRule="exact"/>
        <w:ind w:firstLine="480" w:firstLineChars="200"/>
        <w:rPr>
          <w:rFonts w:hint="eastAsia" w:ascii="宋体" w:hAnsi="宋体"/>
          <w:sz w:val="24"/>
        </w:rPr>
      </w:pPr>
      <w:r>
        <w:rPr>
          <w:rFonts w:hint="eastAsia" w:ascii="宋体" w:hAnsi="宋体"/>
          <w:sz w:val="24"/>
        </w:rPr>
        <w:t>5.2.3.2 考核要求：详见《柯桥城区道路保洁服务要求》与《绍兴市柯桥区市容环境卫生管理中心智慧环卫考核办法（试行）》。白班保洁考核采取 “两个五”标准，夜间保洁和小区保洁对“两个五”标准暂不作要求。</w:t>
      </w:r>
    </w:p>
    <w:p>
      <w:pPr>
        <w:autoSpaceDN w:val="0"/>
        <w:spacing w:line="500" w:lineRule="exact"/>
        <w:ind w:firstLine="482" w:firstLineChars="200"/>
        <w:rPr>
          <w:rFonts w:hint="eastAsia" w:ascii="宋体" w:hAnsi="宋体"/>
          <w:sz w:val="24"/>
        </w:rPr>
      </w:pPr>
      <w:r>
        <w:rPr>
          <w:rFonts w:hint="eastAsia" w:ascii="宋体" w:hAnsi="宋体"/>
          <w:b/>
          <w:bCs/>
          <w:sz w:val="24"/>
        </w:rPr>
        <w:t>“两个五”标准：城市道路及公共区域责任区地面垃圾停留不超过</w:t>
      </w:r>
      <w:r>
        <w:rPr>
          <w:rFonts w:ascii="宋体" w:hAnsi="宋体"/>
          <w:b/>
          <w:bCs/>
          <w:sz w:val="24"/>
        </w:rPr>
        <w:t>5</w:t>
      </w:r>
      <w:r>
        <w:rPr>
          <w:rFonts w:hint="eastAsia" w:ascii="宋体" w:hAnsi="宋体"/>
          <w:b/>
          <w:bCs/>
          <w:sz w:val="24"/>
        </w:rPr>
        <w:t>分钟，机械洗扫责任区地面每平方米尘土不超过</w:t>
      </w:r>
      <w:r>
        <w:rPr>
          <w:rFonts w:ascii="宋体" w:hAnsi="宋体"/>
          <w:b/>
          <w:bCs/>
          <w:sz w:val="24"/>
        </w:rPr>
        <w:t>5</w:t>
      </w:r>
      <w:r>
        <w:rPr>
          <w:rFonts w:hint="eastAsia" w:ascii="宋体" w:hAnsi="宋体"/>
          <w:b/>
          <w:bCs/>
          <w:sz w:val="24"/>
        </w:rPr>
        <w:t>克。</w:t>
      </w:r>
    </w:p>
    <w:p>
      <w:pPr>
        <w:autoSpaceDN w:val="0"/>
        <w:spacing w:line="500" w:lineRule="exact"/>
        <w:ind w:firstLine="480" w:firstLineChars="200"/>
        <w:rPr>
          <w:rFonts w:hint="eastAsia" w:ascii="宋体" w:hAnsi="宋体"/>
          <w:sz w:val="24"/>
        </w:rPr>
      </w:pPr>
      <w:r>
        <w:rPr>
          <w:rFonts w:hint="eastAsia" w:ascii="宋体" w:hAnsi="宋体"/>
          <w:sz w:val="24"/>
        </w:rPr>
        <w:t>5.2.4 设备要求：</w:t>
      </w:r>
    </w:p>
    <w:p>
      <w:pPr>
        <w:autoSpaceDN w:val="0"/>
        <w:spacing w:line="500" w:lineRule="exact"/>
        <w:ind w:firstLine="480" w:firstLineChars="200"/>
        <w:rPr>
          <w:rFonts w:hint="eastAsia" w:ascii="宋体" w:hAnsi="宋体"/>
          <w:sz w:val="24"/>
        </w:rPr>
      </w:pPr>
      <w:r>
        <w:rPr>
          <w:rFonts w:hint="eastAsia" w:ascii="宋体" w:hAnsi="宋体"/>
          <w:sz w:val="24"/>
        </w:rPr>
        <w:t>5.2.4.1中标人需在中标公示结束之日起15日内按标文配置要求购置设备。柯北标段需购置小型冲洗车辆10辆，四轮八桶驳运车8辆，上门收集清运车8辆。柯中标段需购置小型冲洗车辆7辆，四轮八桶驳运车6辆，上门收集清运车6辆。按采购人要求自行采购配置，并按采购人要求进行外观喷涂，费用由中标人承担。保洁人员用保洁车、快速保洁人员用电动快速保洁车按标文配置要求人手一辆。各标项主要机械化作业车辆最低配置要求如下：</w:t>
      </w:r>
    </w:p>
    <w:p>
      <w:pPr>
        <w:autoSpaceDN w:val="0"/>
        <w:spacing w:line="500" w:lineRule="exact"/>
        <w:ind w:firstLine="480" w:firstLineChars="200"/>
        <w:rPr>
          <w:rFonts w:hint="eastAsia" w:ascii="宋体" w:hAnsi="宋体"/>
          <w:sz w:val="24"/>
        </w:rPr>
      </w:pPr>
    </w:p>
    <w:p>
      <w:pPr>
        <w:autoSpaceDN w:val="0"/>
        <w:spacing w:line="500" w:lineRule="exact"/>
        <w:ind w:firstLine="480" w:firstLineChars="200"/>
        <w:rPr>
          <w:rFonts w:hint="eastAsia" w:ascii="宋体" w:hAnsi="宋体"/>
          <w:sz w:val="24"/>
        </w:rPr>
      </w:pPr>
    </w:p>
    <w:p>
      <w:pPr>
        <w:autoSpaceDN w:val="0"/>
        <w:spacing w:line="500" w:lineRule="exact"/>
        <w:ind w:firstLine="480" w:firstLineChars="200"/>
        <w:rPr>
          <w:rFonts w:hint="eastAsia" w:ascii="宋体" w:hAnsi="宋体"/>
          <w:sz w:val="24"/>
        </w:rPr>
      </w:pPr>
    </w:p>
    <w:p>
      <w:pPr>
        <w:autoSpaceDN w:val="0"/>
        <w:spacing w:line="500" w:lineRule="exact"/>
        <w:ind w:firstLine="480" w:firstLineChars="200"/>
        <w:rPr>
          <w:rFonts w:hint="eastAsia" w:ascii="宋体" w:hAnsi="宋体"/>
          <w:sz w:val="24"/>
        </w:rPr>
      </w:pPr>
    </w:p>
    <w:p>
      <w:pPr>
        <w:autoSpaceDN w:val="0"/>
        <w:spacing w:line="500" w:lineRule="exact"/>
        <w:ind w:firstLine="482" w:firstLineChars="200"/>
        <w:jc w:val="center"/>
        <w:rPr>
          <w:rFonts w:hint="eastAsia" w:ascii="宋体" w:hAnsi="宋体"/>
          <w:b/>
          <w:bCs/>
          <w:sz w:val="24"/>
        </w:rPr>
      </w:pPr>
      <w:r>
        <w:rPr>
          <w:rFonts w:hint="eastAsia" w:ascii="宋体" w:hAnsi="宋体"/>
          <w:b/>
          <w:sz w:val="24"/>
        </w:rPr>
        <w:t>各标项主要机械化作业</w:t>
      </w:r>
      <w:r>
        <w:rPr>
          <w:rFonts w:hint="eastAsia" w:ascii="宋体" w:hAnsi="宋体"/>
          <w:b/>
          <w:bCs/>
          <w:sz w:val="24"/>
        </w:rPr>
        <w:t>车辆最低配置要求</w:t>
      </w:r>
    </w:p>
    <w:tbl>
      <w:tblPr>
        <w:tblStyle w:val="41"/>
        <w:tblW w:w="9631" w:type="dxa"/>
        <w:tblInd w:w="-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945"/>
        <w:gridCol w:w="945"/>
        <w:gridCol w:w="945"/>
        <w:gridCol w:w="946"/>
        <w:gridCol w:w="945"/>
        <w:gridCol w:w="945"/>
        <w:gridCol w:w="946"/>
        <w:gridCol w:w="945"/>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86" w:hRule="atLeast"/>
        </w:trPr>
        <w:tc>
          <w:tcPr>
            <w:tcW w:w="1124" w:type="dxa"/>
            <w:noWrap w:val="0"/>
            <w:vAlign w:val="center"/>
          </w:tcPr>
          <w:p>
            <w:pPr>
              <w:spacing w:line="276" w:lineRule="auto"/>
              <w:jc w:val="center"/>
              <w:rPr>
                <w:rFonts w:hint="eastAsia" w:ascii="宋体" w:hAnsi="宋体"/>
                <w:sz w:val="20"/>
              </w:rPr>
            </w:pPr>
            <w:r>
              <w:rPr>
                <w:rFonts w:hint="eastAsia" w:ascii="宋体" w:hAnsi="宋体"/>
                <w:sz w:val="20"/>
              </w:rPr>
              <w:t>标项</w:t>
            </w:r>
          </w:p>
        </w:tc>
        <w:tc>
          <w:tcPr>
            <w:tcW w:w="945" w:type="dxa"/>
            <w:noWrap w:val="0"/>
            <w:vAlign w:val="center"/>
          </w:tcPr>
          <w:p>
            <w:pPr>
              <w:spacing w:line="276" w:lineRule="auto"/>
              <w:jc w:val="center"/>
              <w:rPr>
                <w:rFonts w:hint="eastAsia" w:ascii="宋体" w:hAnsi="宋体"/>
                <w:sz w:val="20"/>
              </w:rPr>
            </w:pPr>
            <w:r>
              <w:rPr>
                <w:rFonts w:hint="eastAsia" w:ascii="宋体" w:hAnsi="宋体"/>
                <w:sz w:val="20"/>
              </w:rPr>
              <w:t>3吨底盘洗扫车</w:t>
            </w:r>
          </w:p>
          <w:p>
            <w:pPr>
              <w:spacing w:line="276" w:lineRule="auto"/>
              <w:jc w:val="center"/>
              <w:rPr>
                <w:rFonts w:hint="eastAsia" w:ascii="宋体" w:hAnsi="宋体"/>
                <w:sz w:val="20"/>
              </w:rPr>
            </w:pPr>
            <w:r>
              <w:rPr>
                <w:rFonts w:hint="eastAsia" w:ascii="宋体" w:hAnsi="宋体"/>
                <w:sz w:val="20"/>
              </w:rPr>
              <w:t>(辆)</w:t>
            </w:r>
          </w:p>
        </w:tc>
        <w:tc>
          <w:tcPr>
            <w:tcW w:w="945" w:type="dxa"/>
            <w:noWrap w:val="0"/>
            <w:vAlign w:val="center"/>
          </w:tcPr>
          <w:p>
            <w:pPr>
              <w:spacing w:line="360" w:lineRule="auto"/>
              <w:jc w:val="center"/>
              <w:rPr>
                <w:rFonts w:hint="eastAsia" w:ascii="宋体" w:hAnsi="宋体"/>
                <w:sz w:val="20"/>
              </w:rPr>
            </w:pPr>
            <w:r>
              <w:rPr>
                <w:rFonts w:hint="eastAsia" w:ascii="宋体" w:hAnsi="宋体"/>
                <w:sz w:val="20"/>
              </w:rPr>
              <w:t>8吨底盘洗扫车</w:t>
            </w:r>
          </w:p>
          <w:p>
            <w:pPr>
              <w:spacing w:line="360" w:lineRule="auto"/>
              <w:jc w:val="center"/>
              <w:rPr>
                <w:rFonts w:hint="eastAsia" w:ascii="宋体" w:hAnsi="宋体"/>
                <w:sz w:val="20"/>
              </w:rPr>
            </w:pPr>
            <w:r>
              <w:rPr>
                <w:rFonts w:hint="eastAsia" w:ascii="宋体" w:hAnsi="宋体"/>
                <w:sz w:val="20"/>
              </w:rPr>
              <w:t>(辆)</w:t>
            </w:r>
          </w:p>
        </w:tc>
        <w:tc>
          <w:tcPr>
            <w:tcW w:w="945" w:type="dxa"/>
            <w:noWrap w:val="0"/>
            <w:vAlign w:val="center"/>
          </w:tcPr>
          <w:p>
            <w:pPr>
              <w:spacing w:line="276" w:lineRule="auto"/>
              <w:jc w:val="center"/>
              <w:rPr>
                <w:rFonts w:hint="eastAsia" w:ascii="宋体" w:hAnsi="宋体"/>
                <w:bCs/>
                <w:sz w:val="20"/>
              </w:rPr>
            </w:pPr>
            <w:r>
              <w:rPr>
                <w:rFonts w:hint="eastAsia" w:ascii="宋体" w:hAnsi="宋体"/>
                <w:bCs/>
                <w:sz w:val="20"/>
              </w:rPr>
              <w:t>8吨底盘高压清洗车(带后洒)</w:t>
            </w:r>
          </w:p>
          <w:p>
            <w:pPr>
              <w:spacing w:line="276" w:lineRule="auto"/>
              <w:jc w:val="center"/>
              <w:rPr>
                <w:rFonts w:hint="eastAsia" w:ascii="宋体" w:hAnsi="宋体"/>
                <w:bCs/>
                <w:sz w:val="20"/>
              </w:rPr>
            </w:pPr>
            <w:r>
              <w:rPr>
                <w:rFonts w:hint="eastAsia" w:ascii="宋体" w:hAnsi="宋体"/>
                <w:bCs/>
                <w:sz w:val="20"/>
              </w:rPr>
              <w:t>(辆)</w:t>
            </w:r>
          </w:p>
        </w:tc>
        <w:tc>
          <w:tcPr>
            <w:tcW w:w="946" w:type="dxa"/>
            <w:noWrap w:val="0"/>
            <w:vAlign w:val="center"/>
          </w:tcPr>
          <w:p>
            <w:pPr>
              <w:spacing w:line="276" w:lineRule="auto"/>
              <w:jc w:val="center"/>
              <w:rPr>
                <w:rFonts w:hint="eastAsia" w:ascii="宋体" w:hAnsi="宋体"/>
                <w:bCs/>
                <w:sz w:val="20"/>
              </w:rPr>
            </w:pPr>
            <w:r>
              <w:rPr>
                <w:rFonts w:hint="eastAsia" w:ascii="宋体" w:hAnsi="宋体"/>
                <w:bCs/>
                <w:sz w:val="20"/>
              </w:rPr>
              <w:t>12吨底盘高压清洗车（带后洒）（辆）</w:t>
            </w:r>
          </w:p>
        </w:tc>
        <w:tc>
          <w:tcPr>
            <w:tcW w:w="945" w:type="dxa"/>
            <w:noWrap w:val="0"/>
            <w:vAlign w:val="center"/>
          </w:tcPr>
          <w:p>
            <w:pPr>
              <w:spacing w:line="360" w:lineRule="auto"/>
              <w:jc w:val="center"/>
              <w:rPr>
                <w:rFonts w:hint="eastAsia" w:ascii="宋体" w:hAnsi="宋体"/>
                <w:bCs/>
                <w:sz w:val="20"/>
              </w:rPr>
            </w:pPr>
            <w:r>
              <w:rPr>
                <w:rFonts w:hint="eastAsia" w:ascii="宋体" w:hAnsi="宋体"/>
                <w:bCs/>
                <w:sz w:val="20"/>
              </w:rPr>
              <w:t>8吨底盘多功能抑尘车</w:t>
            </w:r>
          </w:p>
          <w:p>
            <w:pPr>
              <w:spacing w:line="360" w:lineRule="auto"/>
              <w:jc w:val="center"/>
              <w:rPr>
                <w:rFonts w:hint="eastAsia" w:ascii="宋体" w:hAnsi="宋体"/>
                <w:bCs/>
                <w:sz w:val="20"/>
              </w:rPr>
            </w:pPr>
            <w:r>
              <w:rPr>
                <w:rFonts w:hint="eastAsia" w:ascii="宋体" w:hAnsi="宋体"/>
                <w:bCs/>
                <w:sz w:val="20"/>
              </w:rPr>
              <w:t>(辆)</w:t>
            </w:r>
          </w:p>
        </w:tc>
        <w:tc>
          <w:tcPr>
            <w:tcW w:w="945" w:type="dxa"/>
            <w:noWrap w:val="0"/>
            <w:vAlign w:val="center"/>
          </w:tcPr>
          <w:p>
            <w:pPr>
              <w:spacing w:line="360" w:lineRule="auto"/>
              <w:jc w:val="center"/>
              <w:rPr>
                <w:rFonts w:hint="eastAsia" w:ascii="宋体" w:hAnsi="宋体"/>
                <w:bCs/>
                <w:sz w:val="20"/>
              </w:rPr>
            </w:pPr>
            <w:r>
              <w:rPr>
                <w:rFonts w:hint="eastAsia" w:ascii="宋体" w:hAnsi="宋体"/>
                <w:bCs/>
                <w:sz w:val="20"/>
              </w:rPr>
              <w:t>8吨底盘压缩车</w:t>
            </w:r>
          </w:p>
          <w:p>
            <w:pPr>
              <w:spacing w:line="360" w:lineRule="auto"/>
              <w:jc w:val="center"/>
              <w:rPr>
                <w:rFonts w:ascii="宋体" w:hAnsi="宋体"/>
                <w:bCs/>
                <w:sz w:val="20"/>
              </w:rPr>
            </w:pPr>
            <w:r>
              <w:rPr>
                <w:rFonts w:hint="eastAsia" w:ascii="宋体" w:hAnsi="宋体"/>
                <w:bCs/>
                <w:sz w:val="20"/>
              </w:rPr>
              <w:t>(辆)</w:t>
            </w:r>
          </w:p>
        </w:tc>
        <w:tc>
          <w:tcPr>
            <w:tcW w:w="946" w:type="dxa"/>
            <w:noWrap w:val="0"/>
            <w:vAlign w:val="center"/>
          </w:tcPr>
          <w:p>
            <w:pPr>
              <w:spacing w:line="360" w:lineRule="auto"/>
              <w:jc w:val="center"/>
              <w:rPr>
                <w:rFonts w:hint="eastAsia" w:ascii="宋体" w:hAnsi="宋体"/>
                <w:bCs/>
                <w:sz w:val="20"/>
              </w:rPr>
            </w:pPr>
            <w:r>
              <w:rPr>
                <w:rFonts w:hint="eastAsia" w:ascii="宋体" w:hAnsi="宋体"/>
                <w:bCs/>
                <w:sz w:val="20"/>
              </w:rPr>
              <w:t>12吨底盘压缩车</w:t>
            </w:r>
          </w:p>
        </w:tc>
        <w:tc>
          <w:tcPr>
            <w:tcW w:w="945" w:type="dxa"/>
            <w:noWrap w:val="0"/>
            <w:vAlign w:val="center"/>
          </w:tcPr>
          <w:p>
            <w:pPr>
              <w:spacing w:line="360" w:lineRule="auto"/>
              <w:jc w:val="center"/>
              <w:rPr>
                <w:rFonts w:hint="eastAsia" w:ascii="宋体" w:hAnsi="宋体"/>
                <w:bCs/>
                <w:sz w:val="20"/>
              </w:rPr>
            </w:pPr>
            <w:r>
              <w:rPr>
                <w:rFonts w:hint="eastAsia" w:ascii="宋体" w:hAnsi="宋体"/>
                <w:bCs/>
                <w:sz w:val="20"/>
              </w:rPr>
              <w:t>燃油型</w:t>
            </w:r>
          </w:p>
          <w:p>
            <w:pPr>
              <w:spacing w:line="360" w:lineRule="auto"/>
              <w:jc w:val="center"/>
              <w:rPr>
                <w:rFonts w:hint="eastAsia" w:ascii="宋体" w:hAnsi="宋体"/>
                <w:bCs/>
                <w:sz w:val="20"/>
              </w:rPr>
            </w:pPr>
            <w:r>
              <w:rPr>
                <w:rFonts w:hint="eastAsia" w:ascii="宋体" w:hAnsi="宋体"/>
                <w:bCs/>
                <w:sz w:val="20"/>
              </w:rPr>
              <w:t>多功能</w:t>
            </w:r>
          </w:p>
          <w:p>
            <w:pPr>
              <w:spacing w:line="360" w:lineRule="auto"/>
              <w:jc w:val="center"/>
              <w:rPr>
                <w:rFonts w:hint="eastAsia" w:ascii="宋体" w:hAnsi="宋体"/>
                <w:bCs/>
                <w:sz w:val="20"/>
              </w:rPr>
            </w:pPr>
            <w:r>
              <w:rPr>
                <w:rFonts w:hint="eastAsia" w:ascii="宋体" w:hAnsi="宋体"/>
                <w:bCs/>
                <w:sz w:val="20"/>
              </w:rPr>
              <w:t>扫路机</w:t>
            </w:r>
          </w:p>
          <w:p>
            <w:pPr>
              <w:spacing w:line="360" w:lineRule="auto"/>
              <w:jc w:val="center"/>
              <w:rPr>
                <w:rFonts w:hint="eastAsia" w:ascii="宋体" w:hAnsi="宋体"/>
                <w:bCs/>
                <w:sz w:val="20"/>
              </w:rPr>
            </w:pPr>
            <w:r>
              <w:rPr>
                <w:rFonts w:hint="eastAsia" w:ascii="宋体" w:hAnsi="宋体"/>
                <w:bCs/>
                <w:sz w:val="20"/>
              </w:rPr>
              <w:t>(辆)</w:t>
            </w:r>
          </w:p>
        </w:tc>
        <w:tc>
          <w:tcPr>
            <w:tcW w:w="945" w:type="dxa"/>
            <w:noWrap w:val="0"/>
            <w:vAlign w:val="center"/>
          </w:tcPr>
          <w:p>
            <w:pPr>
              <w:spacing w:line="360" w:lineRule="auto"/>
              <w:jc w:val="center"/>
              <w:rPr>
                <w:rFonts w:hint="eastAsia" w:ascii="宋体" w:hAnsi="宋体"/>
                <w:bCs/>
                <w:sz w:val="20"/>
              </w:rPr>
            </w:pPr>
            <w:r>
              <w:rPr>
                <w:rFonts w:hint="eastAsia" w:ascii="宋体" w:hAnsi="宋体"/>
                <w:bCs/>
                <w:sz w:val="20"/>
              </w:rPr>
              <w:t>路面养护车</w:t>
            </w:r>
          </w:p>
          <w:p>
            <w:pPr>
              <w:spacing w:line="360" w:lineRule="auto"/>
              <w:jc w:val="center"/>
              <w:rPr>
                <w:rFonts w:hint="eastAsia" w:ascii="宋体" w:hAnsi="宋体"/>
                <w:bCs/>
                <w:sz w:val="20"/>
              </w:rPr>
            </w:pPr>
            <w:r>
              <w:rPr>
                <w:rFonts w:hint="eastAsia" w:ascii="宋体" w:hAnsi="宋体"/>
                <w:bCs/>
                <w:sz w:val="20"/>
              </w:rPr>
              <w:t>(辆)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1" w:hRule="atLeast"/>
        </w:trPr>
        <w:tc>
          <w:tcPr>
            <w:tcW w:w="1124" w:type="dxa"/>
            <w:noWrap w:val="0"/>
            <w:vAlign w:val="center"/>
          </w:tcPr>
          <w:p>
            <w:pPr>
              <w:spacing w:line="360" w:lineRule="auto"/>
              <w:jc w:val="center"/>
              <w:rPr>
                <w:rFonts w:hint="eastAsia" w:ascii="宋体" w:hAnsi="宋体"/>
                <w:bCs/>
                <w:sz w:val="20"/>
              </w:rPr>
            </w:pPr>
            <w:r>
              <w:rPr>
                <w:rFonts w:hint="eastAsia" w:ascii="宋体" w:hAnsi="宋体"/>
                <w:bCs/>
                <w:sz w:val="20"/>
              </w:rPr>
              <w:t>柯北标段</w:t>
            </w:r>
          </w:p>
        </w:tc>
        <w:tc>
          <w:tcPr>
            <w:tcW w:w="945" w:type="dxa"/>
            <w:noWrap w:val="0"/>
            <w:vAlign w:val="center"/>
          </w:tcPr>
          <w:p>
            <w:pPr>
              <w:spacing w:line="360" w:lineRule="auto"/>
              <w:jc w:val="center"/>
              <w:rPr>
                <w:rFonts w:hint="eastAsia" w:ascii="宋体" w:hAnsi="宋体"/>
                <w:sz w:val="20"/>
              </w:rPr>
            </w:pPr>
            <w:r>
              <w:rPr>
                <w:rFonts w:hint="eastAsia" w:ascii="宋体" w:hAnsi="宋体"/>
                <w:sz w:val="20"/>
              </w:rPr>
              <w:t>2</w:t>
            </w:r>
          </w:p>
        </w:tc>
        <w:tc>
          <w:tcPr>
            <w:tcW w:w="945" w:type="dxa"/>
            <w:noWrap w:val="0"/>
            <w:vAlign w:val="center"/>
          </w:tcPr>
          <w:p>
            <w:pPr>
              <w:spacing w:line="360" w:lineRule="auto"/>
              <w:jc w:val="center"/>
              <w:rPr>
                <w:rFonts w:hint="eastAsia" w:ascii="宋体" w:hAnsi="宋体"/>
                <w:sz w:val="20"/>
              </w:rPr>
            </w:pPr>
            <w:r>
              <w:rPr>
                <w:rFonts w:hint="eastAsia" w:ascii="宋体" w:hAnsi="宋体"/>
                <w:sz w:val="20"/>
              </w:rPr>
              <w:t>7</w:t>
            </w:r>
          </w:p>
        </w:tc>
        <w:tc>
          <w:tcPr>
            <w:tcW w:w="945" w:type="dxa"/>
            <w:noWrap w:val="0"/>
            <w:vAlign w:val="center"/>
          </w:tcPr>
          <w:p>
            <w:pPr>
              <w:spacing w:line="360" w:lineRule="auto"/>
              <w:jc w:val="center"/>
              <w:rPr>
                <w:rFonts w:hint="eastAsia" w:ascii="宋体" w:hAnsi="宋体"/>
                <w:sz w:val="20"/>
              </w:rPr>
            </w:pPr>
            <w:r>
              <w:rPr>
                <w:rFonts w:hint="eastAsia" w:ascii="宋体" w:hAnsi="宋体"/>
                <w:sz w:val="20"/>
              </w:rPr>
              <w:t>8</w:t>
            </w:r>
          </w:p>
        </w:tc>
        <w:tc>
          <w:tcPr>
            <w:tcW w:w="946" w:type="dxa"/>
            <w:noWrap w:val="0"/>
            <w:vAlign w:val="center"/>
          </w:tcPr>
          <w:p>
            <w:pPr>
              <w:spacing w:line="360" w:lineRule="auto"/>
              <w:jc w:val="center"/>
              <w:rPr>
                <w:rFonts w:hint="eastAsia" w:ascii="宋体" w:hAnsi="宋体"/>
                <w:sz w:val="24"/>
              </w:rPr>
            </w:pPr>
            <w:r>
              <w:rPr>
                <w:rFonts w:hint="eastAsia" w:ascii="宋体" w:hAnsi="宋体"/>
                <w:sz w:val="24"/>
              </w:rPr>
              <w:t>2</w:t>
            </w:r>
          </w:p>
        </w:tc>
        <w:tc>
          <w:tcPr>
            <w:tcW w:w="945" w:type="dxa"/>
            <w:noWrap w:val="0"/>
            <w:vAlign w:val="center"/>
          </w:tcPr>
          <w:p>
            <w:pPr>
              <w:spacing w:line="360" w:lineRule="auto"/>
              <w:jc w:val="center"/>
              <w:rPr>
                <w:rFonts w:hint="eastAsia" w:ascii="宋体" w:hAnsi="宋体"/>
                <w:sz w:val="24"/>
              </w:rPr>
            </w:pPr>
            <w:r>
              <w:rPr>
                <w:rFonts w:hint="eastAsia" w:ascii="宋体" w:hAnsi="宋体"/>
                <w:sz w:val="24"/>
              </w:rPr>
              <w:t>2</w:t>
            </w:r>
          </w:p>
        </w:tc>
        <w:tc>
          <w:tcPr>
            <w:tcW w:w="945" w:type="dxa"/>
            <w:noWrap w:val="0"/>
            <w:vAlign w:val="center"/>
          </w:tcPr>
          <w:p>
            <w:pPr>
              <w:spacing w:line="360" w:lineRule="auto"/>
              <w:jc w:val="center"/>
              <w:rPr>
                <w:rFonts w:hint="eastAsia" w:ascii="宋体" w:hAnsi="宋体"/>
                <w:sz w:val="24"/>
              </w:rPr>
            </w:pPr>
            <w:r>
              <w:rPr>
                <w:rFonts w:hint="eastAsia" w:ascii="宋体" w:hAnsi="宋体"/>
                <w:sz w:val="24"/>
              </w:rPr>
              <w:t>1</w:t>
            </w:r>
          </w:p>
        </w:tc>
        <w:tc>
          <w:tcPr>
            <w:tcW w:w="946" w:type="dxa"/>
            <w:noWrap w:val="0"/>
            <w:vAlign w:val="center"/>
          </w:tcPr>
          <w:p>
            <w:pPr>
              <w:spacing w:line="360" w:lineRule="auto"/>
              <w:jc w:val="center"/>
              <w:rPr>
                <w:rFonts w:hint="eastAsia" w:ascii="宋体" w:hAnsi="宋体"/>
                <w:sz w:val="24"/>
              </w:rPr>
            </w:pPr>
            <w:r>
              <w:rPr>
                <w:rFonts w:hint="eastAsia" w:ascii="宋体" w:hAnsi="宋体"/>
                <w:sz w:val="24"/>
              </w:rPr>
              <w:t>1</w:t>
            </w:r>
          </w:p>
        </w:tc>
        <w:tc>
          <w:tcPr>
            <w:tcW w:w="945" w:type="dxa"/>
            <w:noWrap w:val="0"/>
            <w:vAlign w:val="center"/>
          </w:tcPr>
          <w:p>
            <w:pPr>
              <w:spacing w:line="360" w:lineRule="auto"/>
              <w:jc w:val="center"/>
              <w:rPr>
                <w:rFonts w:hint="eastAsia" w:ascii="宋体" w:hAnsi="宋体"/>
                <w:sz w:val="24"/>
              </w:rPr>
            </w:pPr>
            <w:r>
              <w:rPr>
                <w:rFonts w:hint="eastAsia" w:ascii="宋体" w:hAnsi="宋体"/>
                <w:sz w:val="24"/>
              </w:rPr>
              <w:t>2</w:t>
            </w:r>
          </w:p>
        </w:tc>
        <w:tc>
          <w:tcPr>
            <w:tcW w:w="945" w:type="dxa"/>
            <w:noWrap w:val="0"/>
            <w:vAlign w:val="center"/>
          </w:tcPr>
          <w:p>
            <w:pPr>
              <w:spacing w:line="360" w:lineRule="auto"/>
              <w:jc w:val="center"/>
              <w:rPr>
                <w:rFonts w:hint="eastAsia" w:ascii="宋体" w:hAnsi="宋体"/>
                <w:sz w:val="24"/>
              </w:rPr>
            </w:pPr>
            <w:r>
              <w:rPr>
                <w:rFonts w:hint="eastAsia" w:ascii="宋体" w:hAnsi="宋体"/>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3" w:hRule="atLeast"/>
        </w:trPr>
        <w:tc>
          <w:tcPr>
            <w:tcW w:w="1124" w:type="dxa"/>
            <w:noWrap w:val="0"/>
            <w:vAlign w:val="center"/>
          </w:tcPr>
          <w:p>
            <w:pPr>
              <w:spacing w:line="360" w:lineRule="auto"/>
              <w:jc w:val="center"/>
              <w:rPr>
                <w:rFonts w:hint="eastAsia" w:ascii="宋体" w:hAnsi="宋体"/>
                <w:bCs/>
                <w:sz w:val="20"/>
              </w:rPr>
            </w:pPr>
            <w:r>
              <w:rPr>
                <w:rFonts w:hint="eastAsia" w:ascii="宋体" w:hAnsi="宋体"/>
                <w:bCs/>
                <w:sz w:val="20"/>
              </w:rPr>
              <w:t>柯中标段</w:t>
            </w:r>
          </w:p>
        </w:tc>
        <w:tc>
          <w:tcPr>
            <w:tcW w:w="945" w:type="dxa"/>
            <w:noWrap w:val="0"/>
            <w:vAlign w:val="center"/>
          </w:tcPr>
          <w:p>
            <w:pPr>
              <w:spacing w:line="360" w:lineRule="auto"/>
              <w:jc w:val="center"/>
              <w:rPr>
                <w:rFonts w:hint="eastAsia" w:ascii="宋体" w:hAnsi="宋体"/>
                <w:sz w:val="20"/>
              </w:rPr>
            </w:pPr>
            <w:r>
              <w:rPr>
                <w:rFonts w:hint="eastAsia" w:ascii="宋体" w:hAnsi="宋体"/>
                <w:sz w:val="20"/>
              </w:rPr>
              <w:t>2</w:t>
            </w:r>
          </w:p>
        </w:tc>
        <w:tc>
          <w:tcPr>
            <w:tcW w:w="945" w:type="dxa"/>
            <w:noWrap w:val="0"/>
            <w:vAlign w:val="center"/>
          </w:tcPr>
          <w:p>
            <w:pPr>
              <w:spacing w:line="360" w:lineRule="auto"/>
              <w:jc w:val="center"/>
              <w:rPr>
                <w:rFonts w:hint="eastAsia" w:ascii="宋体" w:hAnsi="宋体"/>
                <w:sz w:val="20"/>
              </w:rPr>
            </w:pPr>
            <w:r>
              <w:rPr>
                <w:rFonts w:hint="eastAsia" w:ascii="宋体" w:hAnsi="宋体"/>
                <w:sz w:val="20"/>
              </w:rPr>
              <w:t>4</w:t>
            </w:r>
          </w:p>
        </w:tc>
        <w:tc>
          <w:tcPr>
            <w:tcW w:w="945" w:type="dxa"/>
            <w:noWrap w:val="0"/>
            <w:vAlign w:val="center"/>
          </w:tcPr>
          <w:p>
            <w:pPr>
              <w:spacing w:line="360" w:lineRule="auto"/>
              <w:jc w:val="center"/>
              <w:rPr>
                <w:rFonts w:hint="eastAsia" w:ascii="宋体" w:hAnsi="宋体"/>
                <w:sz w:val="20"/>
              </w:rPr>
            </w:pPr>
            <w:r>
              <w:rPr>
                <w:rFonts w:hint="eastAsia" w:ascii="宋体" w:hAnsi="宋体"/>
                <w:sz w:val="20"/>
              </w:rPr>
              <w:t>4</w:t>
            </w:r>
          </w:p>
        </w:tc>
        <w:tc>
          <w:tcPr>
            <w:tcW w:w="946" w:type="dxa"/>
            <w:noWrap w:val="0"/>
            <w:vAlign w:val="center"/>
          </w:tcPr>
          <w:p>
            <w:pPr>
              <w:spacing w:line="360" w:lineRule="auto"/>
              <w:jc w:val="center"/>
              <w:rPr>
                <w:rFonts w:hint="eastAsia" w:ascii="宋体" w:hAnsi="宋体"/>
                <w:sz w:val="24"/>
              </w:rPr>
            </w:pPr>
            <w:r>
              <w:rPr>
                <w:rFonts w:hint="eastAsia" w:ascii="宋体" w:hAnsi="宋体"/>
                <w:sz w:val="24"/>
              </w:rPr>
              <w:t>1</w:t>
            </w:r>
          </w:p>
        </w:tc>
        <w:tc>
          <w:tcPr>
            <w:tcW w:w="945" w:type="dxa"/>
            <w:noWrap w:val="0"/>
            <w:vAlign w:val="center"/>
          </w:tcPr>
          <w:p>
            <w:pPr>
              <w:spacing w:line="360" w:lineRule="auto"/>
              <w:jc w:val="center"/>
              <w:rPr>
                <w:rFonts w:hint="eastAsia" w:ascii="宋体" w:hAnsi="宋体"/>
                <w:sz w:val="24"/>
              </w:rPr>
            </w:pPr>
            <w:r>
              <w:rPr>
                <w:rFonts w:hint="eastAsia" w:ascii="宋体" w:hAnsi="宋体"/>
                <w:sz w:val="24"/>
              </w:rPr>
              <w:t>2</w:t>
            </w:r>
          </w:p>
        </w:tc>
        <w:tc>
          <w:tcPr>
            <w:tcW w:w="1891" w:type="dxa"/>
            <w:gridSpan w:val="2"/>
            <w:noWrap w:val="0"/>
            <w:vAlign w:val="center"/>
          </w:tcPr>
          <w:p>
            <w:pPr>
              <w:spacing w:line="360" w:lineRule="auto"/>
              <w:jc w:val="center"/>
              <w:rPr>
                <w:rFonts w:hint="eastAsia" w:ascii="宋体" w:hAnsi="宋体"/>
                <w:sz w:val="24"/>
              </w:rPr>
            </w:pPr>
            <w:r>
              <w:rPr>
                <w:rFonts w:hint="eastAsia" w:ascii="宋体" w:hAnsi="宋体"/>
                <w:sz w:val="24"/>
              </w:rPr>
              <w:t>2（</w:t>
            </w:r>
            <w:r>
              <w:rPr>
                <w:rFonts w:hint="eastAsia" w:ascii="宋体" w:hAnsi="宋体"/>
                <w:sz w:val="20"/>
                <w:szCs w:val="18"/>
              </w:rPr>
              <w:t>8吨及12吨底盘压缩车总数量不少于2辆即可</w:t>
            </w:r>
            <w:r>
              <w:rPr>
                <w:rFonts w:hint="eastAsia" w:ascii="宋体" w:hAnsi="宋体"/>
                <w:sz w:val="24"/>
              </w:rPr>
              <w:t>）</w:t>
            </w:r>
          </w:p>
        </w:tc>
        <w:tc>
          <w:tcPr>
            <w:tcW w:w="945" w:type="dxa"/>
            <w:noWrap w:val="0"/>
            <w:vAlign w:val="center"/>
          </w:tcPr>
          <w:p>
            <w:pPr>
              <w:spacing w:line="360" w:lineRule="auto"/>
              <w:jc w:val="center"/>
              <w:rPr>
                <w:rFonts w:hint="eastAsia" w:ascii="宋体" w:hAnsi="宋体"/>
                <w:sz w:val="24"/>
              </w:rPr>
            </w:pPr>
            <w:r>
              <w:rPr>
                <w:rFonts w:hint="eastAsia" w:ascii="宋体" w:hAnsi="宋体"/>
                <w:sz w:val="24"/>
              </w:rPr>
              <w:t>2</w:t>
            </w:r>
          </w:p>
        </w:tc>
        <w:tc>
          <w:tcPr>
            <w:tcW w:w="945" w:type="dxa"/>
            <w:noWrap w:val="0"/>
            <w:vAlign w:val="center"/>
          </w:tcPr>
          <w:p>
            <w:pPr>
              <w:spacing w:line="360" w:lineRule="auto"/>
              <w:jc w:val="center"/>
              <w:rPr>
                <w:rFonts w:hint="eastAsia" w:ascii="宋体" w:hAnsi="宋体"/>
                <w:sz w:val="24"/>
              </w:rPr>
            </w:pPr>
            <w:r>
              <w:rPr>
                <w:rFonts w:hint="eastAsia" w:ascii="宋体" w:hAnsi="宋体"/>
                <w:sz w:val="24"/>
              </w:rPr>
              <w:t>3</w:t>
            </w:r>
          </w:p>
        </w:tc>
      </w:tr>
    </w:tbl>
    <w:p>
      <w:pPr>
        <w:autoSpaceDN w:val="0"/>
        <w:spacing w:line="500" w:lineRule="exact"/>
        <w:rPr>
          <w:rFonts w:hint="eastAsia" w:hAnsi="宋体"/>
          <w:bCs/>
          <w:sz w:val="24"/>
        </w:rPr>
      </w:pPr>
      <w:r>
        <w:rPr>
          <w:rFonts w:hint="eastAsia" w:hAnsi="宋体"/>
          <w:bCs/>
          <w:sz w:val="24"/>
        </w:rPr>
        <w:t>注：1、燃油型多功能扫路机的主要参考参数要求详见附表。2、8吨底盘多功能抑尘车的风炮射程≥100米。</w:t>
      </w:r>
    </w:p>
    <w:p>
      <w:pPr>
        <w:autoSpaceDN w:val="0"/>
        <w:spacing w:line="500" w:lineRule="exact"/>
        <w:ind w:firstLine="480" w:firstLineChars="200"/>
        <w:rPr>
          <w:rFonts w:hint="eastAsia" w:hAnsi="宋体"/>
          <w:bCs/>
          <w:sz w:val="24"/>
        </w:rPr>
      </w:pPr>
      <w:r>
        <w:rPr>
          <w:rFonts w:hint="eastAsia" w:hAnsi="宋体"/>
          <w:bCs/>
          <w:sz w:val="24"/>
        </w:rPr>
        <w:t>2、上述车辆（除采购人提供的相关车辆以外）均须为自购，不得租赁,并按采购人要求进行涂装、安装数字城管GPS系统，费用由中标供应商承担。</w:t>
      </w:r>
    </w:p>
    <w:p>
      <w:pPr>
        <w:autoSpaceDN w:val="0"/>
        <w:spacing w:line="500" w:lineRule="exact"/>
        <w:ind w:firstLine="480" w:firstLineChars="200"/>
        <w:rPr>
          <w:rFonts w:hint="eastAsia" w:hAnsi="宋体"/>
          <w:bCs/>
          <w:sz w:val="24"/>
        </w:rPr>
      </w:pPr>
      <w:r>
        <w:rPr>
          <w:rFonts w:hint="eastAsia" w:hAnsi="宋体"/>
          <w:bCs/>
          <w:sz w:val="24"/>
        </w:rPr>
        <w:t>3</w:t>
      </w:r>
      <w:r>
        <w:rPr>
          <w:rFonts w:hint="eastAsia"/>
        </w:rPr>
        <w:t>、</w:t>
      </w:r>
      <w:r>
        <w:rPr>
          <w:rFonts w:hint="eastAsia" w:hAnsi="宋体"/>
          <w:bCs/>
          <w:sz w:val="24"/>
        </w:rPr>
        <w:t>采购人将为柯北标段中标单位提供2辆3吨底盘洗扫车、2辆8吨底盘洗扫车、2辆8吨底盘高压清洗车、4辆路面养护车、4辆四轮八桶驳运车及34辆快速保洁车；为柯中标段中标单位提供1辆3吨底盘洗扫车，所提供车辆仅限中标人在服务期间用于本标段区域使用（备注：采购人提供的车辆包含在各标项作业车辆最低配置要求），采购人提供车辆的所有费用（驾驶员工资、车辆保养、维修费、燃油、保险、意外险等）由中标人负责，并承担一切安全责任。</w:t>
      </w:r>
      <w:bookmarkStart w:id="9" w:name="OLE_LINK1"/>
      <w:bookmarkStart w:id="10" w:name="OLE_LINK2"/>
      <w:r>
        <w:rPr>
          <w:rFonts w:hint="eastAsia" w:hAnsi="宋体"/>
          <w:bCs/>
          <w:sz w:val="24"/>
        </w:rPr>
        <w:t>中标供应商归还时须保证车辆正常使用</w:t>
      </w:r>
      <w:bookmarkEnd w:id="9"/>
      <w:bookmarkEnd w:id="10"/>
      <w:r>
        <w:rPr>
          <w:rFonts w:hint="eastAsia" w:hAnsi="宋体"/>
          <w:bCs/>
          <w:sz w:val="24"/>
        </w:rPr>
        <w:t>，</w:t>
      </w:r>
      <w:r>
        <w:rPr>
          <w:rFonts w:hAnsi="宋体"/>
          <w:bCs/>
          <w:sz w:val="24"/>
        </w:rPr>
        <w:t>否则</w:t>
      </w:r>
      <w:r>
        <w:rPr>
          <w:rFonts w:hint="eastAsia" w:hAnsi="宋体"/>
          <w:bCs/>
          <w:sz w:val="24"/>
        </w:rPr>
        <w:t>使车辆恢复至正常使用所产生的费用从履约</w:t>
      </w:r>
      <w:r>
        <w:rPr>
          <w:rFonts w:hAnsi="宋体"/>
          <w:bCs/>
          <w:sz w:val="24"/>
        </w:rPr>
        <w:t>保证金</w:t>
      </w:r>
      <w:r>
        <w:rPr>
          <w:rFonts w:hint="eastAsia" w:hAnsi="宋体"/>
          <w:bCs/>
          <w:sz w:val="24"/>
        </w:rPr>
        <w:t>中扣除。</w:t>
      </w:r>
    </w:p>
    <w:p>
      <w:pPr>
        <w:autoSpaceDN w:val="0"/>
        <w:spacing w:line="500" w:lineRule="exact"/>
        <w:ind w:firstLine="480" w:firstLineChars="200"/>
        <w:rPr>
          <w:rFonts w:hint="eastAsia" w:ascii="宋体" w:hAnsi="宋体"/>
          <w:sz w:val="24"/>
        </w:rPr>
      </w:pPr>
      <w:r>
        <w:rPr>
          <w:rFonts w:hint="eastAsia" w:ascii="宋体" w:hAnsi="宋体"/>
          <w:sz w:val="24"/>
        </w:rPr>
        <w:t>4、若中标人配置其他的先进机械设备，经采购人核实允许后可适当调整人数。</w:t>
      </w:r>
    </w:p>
    <w:p>
      <w:pPr>
        <w:autoSpaceDN w:val="0"/>
        <w:spacing w:line="500" w:lineRule="exact"/>
        <w:ind w:firstLine="480" w:firstLineChars="200"/>
        <w:rPr>
          <w:rFonts w:hint="eastAsia" w:ascii="宋体" w:hAnsi="宋体"/>
          <w:sz w:val="24"/>
        </w:rPr>
      </w:pPr>
      <w:r>
        <w:rPr>
          <w:rFonts w:hint="eastAsia" w:ascii="宋体" w:hAnsi="宋体"/>
          <w:sz w:val="24"/>
        </w:rPr>
        <w:t>5.2.4.2未在规定时间内</w:t>
      </w:r>
      <w:r>
        <w:rPr>
          <w:rFonts w:hint="eastAsia" w:ascii="宋体" w:hAnsi="宋体"/>
          <w:bCs/>
          <w:sz w:val="24"/>
        </w:rPr>
        <w:t>按标文要求交齐设备的，</w:t>
      </w:r>
      <w:r>
        <w:rPr>
          <w:rFonts w:hint="eastAsia" w:ascii="宋体" w:hAnsi="宋体"/>
          <w:sz w:val="24"/>
        </w:rPr>
        <w:t>采购人将不与其签订合同，中标人视为自动退出承包，履约保证金</w:t>
      </w:r>
      <w:r>
        <w:rPr>
          <w:rFonts w:ascii="宋体" w:hAnsi="宋体"/>
          <w:sz w:val="24"/>
        </w:rPr>
        <w:t>不予退还</w:t>
      </w:r>
      <w:r>
        <w:rPr>
          <w:rFonts w:hint="eastAsia" w:ascii="宋体" w:hAnsi="宋体"/>
          <w:sz w:val="24"/>
        </w:rPr>
        <w:t>。</w:t>
      </w:r>
    </w:p>
    <w:p>
      <w:pPr>
        <w:autoSpaceDN w:val="0"/>
        <w:spacing w:line="500" w:lineRule="exact"/>
        <w:ind w:firstLine="480" w:firstLineChars="200"/>
        <w:rPr>
          <w:rFonts w:hint="eastAsia" w:ascii="宋体" w:hAnsi="宋体"/>
          <w:sz w:val="24"/>
        </w:rPr>
      </w:pPr>
      <w:r>
        <w:rPr>
          <w:rFonts w:hint="eastAsia" w:ascii="宋体" w:hAnsi="宋体"/>
          <w:sz w:val="24"/>
        </w:rPr>
        <w:t>5.2.4.3中标人须在中标公示结束之日起15天内在中标区域附近设置办公及管理场所，按照要求安装数字城管接收反馈系统，并承担费用。</w:t>
      </w:r>
    </w:p>
    <w:p>
      <w:pPr>
        <w:autoSpaceDN w:val="0"/>
        <w:spacing w:line="440" w:lineRule="exact"/>
        <w:ind w:firstLine="480"/>
        <w:rPr>
          <w:rFonts w:hint="eastAsia" w:ascii="宋体" w:hAnsi="宋体"/>
          <w:sz w:val="24"/>
        </w:rPr>
      </w:pPr>
      <w:r>
        <w:rPr>
          <w:rFonts w:ascii="宋体" w:hAnsi="宋体"/>
          <w:sz w:val="24"/>
        </w:rPr>
        <w:t>5.3.</w:t>
      </w:r>
      <w:r>
        <w:rPr>
          <w:rFonts w:hint="eastAsia" w:ascii="宋体" w:hAnsi="宋体"/>
          <w:sz w:val="24"/>
        </w:rPr>
        <w:t>其他要求：</w:t>
      </w:r>
    </w:p>
    <w:p>
      <w:pPr>
        <w:autoSpaceDN w:val="0"/>
        <w:spacing w:line="440" w:lineRule="exact"/>
        <w:ind w:firstLine="480"/>
        <w:rPr>
          <w:rFonts w:hint="eastAsia" w:ascii="宋体" w:hAnsi="宋体"/>
          <w:sz w:val="24"/>
        </w:rPr>
      </w:pPr>
      <w:r>
        <w:rPr>
          <w:rFonts w:hint="eastAsia" w:ascii="宋体" w:hAnsi="宋体"/>
          <w:sz w:val="24"/>
        </w:rPr>
        <w:t>5.3.1中标人对该项目配备的项目经理须与投标文件中上报的项目经理一致，未经业主方许可，不得更换。中标人所招收的保洁人员须符合国家有关法律规定，身体健康，年龄不得大于65周岁。全员签订劳动合同或劳务协议，符合条件的须参加基本社会保险，为其缴纳五险一金，按月按时发放保洁人员工资、不发生拖欠，保洁人员工资最低不得低于绍兴市最低工资标准110%。并按规定发放过节福利、高温费等各种补贴。在中标后15个工作日内给保洁人员办理好意外保险手续，并将保险人员原件名单报执法局和环卫中心。</w:t>
      </w:r>
    </w:p>
    <w:p>
      <w:pPr>
        <w:autoSpaceDN w:val="0"/>
        <w:spacing w:line="440" w:lineRule="exact"/>
        <w:ind w:firstLine="480"/>
        <w:rPr>
          <w:rFonts w:hint="eastAsia" w:ascii="宋体" w:hAnsi="宋体"/>
          <w:sz w:val="24"/>
        </w:rPr>
      </w:pPr>
      <w:r>
        <w:rPr>
          <w:rFonts w:hint="eastAsia" w:ascii="宋体" w:hAnsi="宋体"/>
          <w:sz w:val="24"/>
        </w:rPr>
        <w:t>5.3.2 中标人开展本项目前应向采购人提供按投标文件要求安排的管理人员、清扫人员、冲洗人员、清运人员等身份证复印件，并提供所有岗位工作时间安排，人员姓名、保洁路段，清运冲洗人员姓名，每月底提供下月初所有岗位工作安排情况，采购人有权进行调整，中途变动的立即按上述要求上报采购人。</w:t>
      </w:r>
    </w:p>
    <w:p>
      <w:pPr>
        <w:autoSpaceDN w:val="0"/>
        <w:spacing w:line="440" w:lineRule="exact"/>
        <w:ind w:firstLine="480"/>
        <w:rPr>
          <w:rFonts w:hint="eastAsia" w:ascii="宋体" w:hAnsi="宋体"/>
          <w:sz w:val="24"/>
        </w:rPr>
      </w:pPr>
      <w:r>
        <w:rPr>
          <w:rFonts w:hint="eastAsia" w:ascii="宋体" w:hAnsi="宋体"/>
          <w:sz w:val="24"/>
        </w:rPr>
        <w:t>5.3.3 因采购人车辆使用权转移，中标人需优先接收环卫中心所提供车辆驾驶员，与其签订合同，无正当理由不得辞退。</w:t>
      </w:r>
    </w:p>
    <w:p>
      <w:pPr>
        <w:autoSpaceDN w:val="0"/>
        <w:spacing w:line="440" w:lineRule="exact"/>
        <w:ind w:firstLine="480"/>
        <w:rPr>
          <w:rFonts w:hint="eastAsia" w:ascii="宋体" w:hAnsi="宋体"/>
          <w:sz w:val="24"/>
        </w:rPr>
      </w:pPr>
      <w:r>
        <w:rPr>
          <w:rFonts w:hint="eastAsia" w:hAnsi="宋体"/>
          <w:sz w:val="24"/>
        </w:rPr>
        <w:t xml:space="preserve">5.3.4 </w:t>
      </w:r>
      <w:r>
        <w:rPr>
          <w:rFonts w:hAnsi="宋体"/>
          <w:sz w:val="24"/>
        </w:rPr>
        <w:t>确保在各类创建、评比活动中不失分。</w:t>
      </w:r>
    </w:p>
    <w:p>
      <w:pPr>
        <w:autoSpaceDN w:val="0"/>
        <w:spacing w:line="500" w:lineRule="exact"/>
        <w:ind w:firstLine="480" w:firstLineChars="200"/>
        <w:rPr>
          <w:rFonts w:hint="eastAsia" w:ascii="宋体" w:hAnsi="宋体"/>
          <w:sz w:val="24"/>
        </w:rPr>
      </w:pPr>
    </w:p>
    <w:p>
      <w:pPr>
        <w:pStyle w:val="2"/>
        <w:numPr>
          <w:ilvl w:val="0"/>
          <w:numId w:val="0"/>
        </w:numPr>
        <w:tabs>
          <w:tab w:val="left" w:pos="1935"/>
          <w:tab w:val="center" w:pos="4156"/>
        </w:tabs>
        <w:spacing w:before="0" w:after="0" w:line="500" w:lineRule="exact"/>
        <w:rPr>
          <w:rFonts w:ascii="宋体" w:hAnsi="宋体"/>
          <w:b/>
          <w:bCs w:val="0"/>
          <w:sz w:val="28"/>
        </w:rPr>
      </w:pPr>
      <w:bookmarkStart w:id="11" w:name="_Toc25589254"/>
      <w:r>
        <w:rPr>
          <w:rFonts w:ascii="宋体" w:hAnsi="宋体"/>
          <w:b/>
          <w:bCs w:val="0"/>
          <w:sz w:val="28"/>
        </w:rPr>
        <w:t>六、合同主要条款及合同签订方式</w:t>
      </w:r>
      <w:bookmarkEnd w:id="11"/>
    </w:p>
    <w:p>
      <w:pPr>
        <w:snapToGrid w:val="0"/>
        <w:spacing w:line="500" w:lineRule="exact"/>
        <w:ind w:firstLine="481"/>
        <w:rPr>
          <w:rFonts w:hint="eastAsia" w:ascii="宋体" w:hAnsi="宋体"/>
          <w:sz w:val="24"/>
        </w:rPr>
      </w:pPr>
    </w:p>
    <w:p>
      <w:pPr>
        <w:snapToGrid w:val="0"/>
        <w:spacing w:line="500" w:lineRule="exact"/>
        <w:ind w:firstLine="481"/>
        <w:rPr>
          <w:rFonts w:hint="eastAsia" w:ascii="宋体" w:hAnsi="宋体"/>
          <w:b/>
          <w:sz w:val="24"/>
        </w:rPr>
      </w:pPr>
      <w:r>
        <w:rPr>
          <w:rFonts w:ascii="宋体" w:hAnsi="宋体"/>
          <w:b/>
          <w:sz w:val="24"/>
        </w:rPr>
        <w:t>6.1签订合同：</w:t>
      </w:r>
    </w:p>
    <w:p>
      <w:pPr>
        <w:spacing w:line="500" w:lineRule="exact"/>
        <w:ind w:firstLine="480" w:firstLineChars="200"/>
        <w:rPr>
          <w:rFonts w:hint="eastAsia" w:ascii="宋体" w:hAnsi="宋体"/>
          <w:sz w:val="24"/>
        </w:rPr>
      </w:pPr>
      <w:r>
        <w:rPr>
          <w:rFonts w:hint="eastAsia" w:ascii="宋体" w:hAnsi="宋体"/>
          <w:sz w:val="24"/>
        </w:rPr>
        <w:t>中标供应商以浙江省政府采购网中标公示为依据，按《中标通知书》规定的时间、地点与采购人签订合同并交纳履约保证金(不计息)。服务期限为2年，合同一年一签。在合同履行期间，未达到采购人标准要求时，采购人有权中止合同或不续签合同。连续两年在考核中符合标文要求，经采购人及上级主管部门认可，可酌情再延续一年。</w:t>
      </w:r>
    </w:p>
    <w:p>
      <w:pPr>
        <w:spacing w:line="500" w:lineRule="exact"/>
        <w:ind w:firstLine="482" w:firstLineChars="200"/>
        <w:rPr>
          <w:rFonts w:hint="eastAsia" w:ascii="宋体" w:hAnsi="宋体"/>
          <w:b/>
          <w:sz w:val="24"/>
        </w:rPr>
      </w:pPr>
      <w:r>
        <w:rPr>
          <w:rFonts w:hint="eastAsia" w:ascii="宋体" w:hAnsi="宋体"/>
          <w:b/>
          <w:sz w:val="24"/>
        </w:rPr>
        <w:t>6.2合同组成：</w:t>
      </w:r>
    </w:p>
    <w:p>
      <w:pPr>
        <w:spacing w:line="500" w:lineRule="exact"/>
        <w:ind w:firstLine="480" w:firstLineChars="200"/>
        <w:jc w:val="left"/>
        <w:rPr>
          <w:rFonts w:hint="eastAsia" w:ascii="宋体" w:hAnsi="宋体"/>
          <w:sz w:val="24"/>
        </w:rPr>
      </w:pPr>
      <w:r>
        <w:rPr>
          <w:rFonts w:hint="eastAsia" w:ascii="宋体" w:hAnsi="宋体"/>
          <w:sz w:val="24"/>
        </w:rPr>
        <w:t>6.2.1 本项目的合同文件包括下列附件：采购文件（包括采购补充文件），投标文件（包括投标补充文件），答疑纪要，询标纪要，中标通知书，合同履行中双方就有关问题协商达成的纪要或补充协议，项目技术文件（包括安装图纸、会议纪要、变更联系单等其他技术资料）等。</w:t>
      </w:r>
    </w:p>
    <w:p>
      <w:pPr>
        <w:spacing w:line="500" w:lineRule="exact"/>
        <w:ind w:firstLine="480" w:firstLineChars="200"/>
        <w:jc w:val="left"/>
        <w:rPr>
          <w:rFonts w:hint="eastAsia" w:ascii="宋体" w:hAnsi="宋体"/>
          <w:sz w:val="24"/>
        </w:rPr>
      </w:pPr>
      <w:r>
        <w:rPr>
          <w:rFonts w:hint="eastAsia" w:ascii="宋体" w:hAnsi="宋体"/>
          <w:sz w:val="24"/>
        </w:rPr>
        <w:t>6.2.2 所有附件与合同正本具有同等法律效力。</w:t>
      </w:r>
    </w:p>
    <w:p>
      <w:pPr>
        <w:spacing w:line="500" w:lineRule="exact"/>
        <w:ind w:firstLine="482" w:firstLineChars="200"/>
        <w:jc w:val="left"/>
        <w:rPr>
          <w:rFonts w:hint="eastAsia" w:ascii="宋体" w:hAnsi="宋体"/>
          <w:b/>
          <w:sz w:val="24"/>
        </w:rPr>
      </w:pPr>
      <w:r>
        <w:rPr>
          <w:rFonts w:hint="eastAsia" w:ascii="宋体" w:hAnsi="宋体"/>
          <w:b/>
          <w:sz w:val="24"/>
        </w:rPr>
        <w:t>6.3 合同主要条款：</w:t>
      </w:r>
    </w:p>
    <w:p>
      <w:pPr>
        <w:snapToGrid w:val="0"/>
        <w:spacing w:line="500" w:lineRule="exact"/>
        <w:ind w:firstLine="481"/>
        <w:jc w:val="left"/>
        <w:rPr>
          <w:rFonts w:hint="eastAsia" w:ascii="宋体" w:hAnsi="宋体"/>
          <w:bCs/>
          <w:sz w:val="24"/>
          <w:u w:val="single"/>
        </w:rPr>
      </w:pPr>
      <w:r>
        <w:rPr>
          <w:rFonts w:hint="eastAsia" w:ascii="宋体" w:hAnsi="宋体"/>
          <w:b/>
          <w:bCs/>
          <w:sz w:val="24"/>
        </w:rPr>
        <w:t>6.3.1</w:t>
      </w:r>
      <w:r>
        <w:rPr>
          <w:rFonts w:hint="eastAsia" w:ascii="宋体" w:hAnsi="宋体"/>
          <w:b/>
          <w:sz w:val="24"/>
        </w:rPr>
        <w:t>质量要求：</w:t>
      </w:r>
    </w:p>
    <w:p>
      <w:pPr>
        <w:snapToGrid w:val="0"/>
        <w:spacing w:line="500" w:lineRule="exact"/>
        <w:ind w:firstLine="481"/>
        <w:jc w:val="left"/>
        <w:rPr>
          <w:rFonts w:hint="eastAsia" w:ascii="宋体" w:hAnsi="宋体"/>
          <w:sz w:val="24"/>
        </w:rPr>
      </w:pPr>
      <w:r>
        <w:rPr>
          <w:rFonts w:hint="eastAsia" w:ascii="宋体" w:hAnsi="宋体"/>
          <w:sz w:val="24"/>
          <w:u w:val="single"/>
        </w:rPr>
        <w:t xml:space="preserve">优质服务 </w:t>
      </w:r>
      <w:r>
        <w:rPr>
          <w:rFonts w:hint="eastAsia" w:ascii="宋体" w:hAnsi="宋体"/>
          <w:sz w:val="24"/>
        </w:rPr>
        <w:t xml:space="preserve">且必须符合国家法律法规、行业标准及本表文所有条款要求。 </w:t>
      </w:r>
    </w:p>
    <w:p>
      <w:pPr>
        <w:spacing w:line="440" w:lineRule="exact"/>
        <w:ind w:firstLine="482" w:firstLineChars="200"/>
        <w:rPr>
          <w:rFonts w:hint="eastAsia" w:ascii="宋体" w:hAnsi="宋体"/>
          <w:b/>
          <w:bCs/>
          <w:sz w:val="24"/>
        </w:rPr>
      </w:pPr>
      <w:r>
        <w:rPr>
          <w:rFonts w:hint="eastAsia" w:ascii="宋体" w:hAnsi="宋体"/>
          <w:b/>
          <w:bCs/>
          <w:sz w:val="24"/>
        </w:rPr>
        <w:t>6.3.2 服务期限：</w:t>
      </w:r>
    </w:p>
    <w:p>
      <w:pPr>
        <w:spacing w:line="440" w:lineRule="exact"/>
        <w:ind w:firstLine="480" w:firstLineChars="200"/>
        <w:rPr>
          <w:rFonts w:hint="eastAsia" w:ascii="宋体" w:hAnsi="宋体"/>
          <w:sz w:val="24"/>
        </w:rPr>
      </w:pPr>
      <w:r>
        <w:rPr>
          <w:rFonts w:hint="eastAsia" w:ascii="宋体" w:hAnsi="宋体"/>
          <w:sz w:val="24"/>
        </w:rPr>
        <w:t>2+1年（具体以合同签订时间为准，第一年履行合同符合采购人要求，可续签第二年合同，两年内均符合要求，在采购人及上级主管部门认可的情况下可酌情再顺延一年），合同一年一签。</w:t>
      </w:r>
    </w:p>
    <w:p>
      <w:pPr>
        <w:spacing w:line="440" w:lineRule="exact"/>
        <w:ind w:firstLine="482" w:firstLineChars="200"/>
        <w:jc w:val="left"/>
        <w:rPr>
          <w:rFonts w:hint="eastAsia" w:ascii="宋体" w:hAnsi="宋体"/>
          <w:b/>
          <w:sz w:val="24"/>
        </w:rPr>
      </w:pPr>
      <w:r>
        <w:rPr>
          <w:rFonts w:hint="eastAsia" w:ascii="宋体" w:hAnsi="宋体"/>
          <w:b/>
          <w:sz w:val="24"/>
        </w:rPr>
        <w:t>6.3.3 检查、考核：</w:t>
      </w:r>
    </w:p>
    <w:p>
      <w:pPr>
        <w:snapToGrid w:val="0"/>
        <w:spacing w:line="440" w:lineRule="exact"/>
        <w:ind w:firstLine="481"/>
        <w:rPr>
          <w:rFonts w:hint="eastAsia" w:ascii="宋体" w:hAnsi="宋体"/>
        </w:rPr>
      </w:pPr>
      <w:r>
        <w:rPr>
          <w:rFonts w:ascii="宋体" w:hAnsi="宋体"/>
          <w:sz w:val="24"/>
        </w:rPr>
        <w:t>6.</w:t>
      </w:r>
      <w:r>
        <w:rPr>
          <w:rFonts w:hint="eastAsia" w:ascii="宋体" w:hAnsi="宋体"/>
          <w:sz w:val="24"/>
        </w:rPr>
        <w:t>3</w:t>
      </w:r>
      <w:r>
        <w:rPr>
          <w:rFonts w:ascii="宋体" w:hAnsi="宋体"/>
          <w:sz w:val="24"/>
        </w:rPr>
        <w:t>.</w:t>
      </w:r>
      <w:r>
        <w:rPr>
          <w:rFonts w:hint="eastAsia" w:ascii="宋体" w:hAnsi="宋体"/>
          <w:sz w:val="24"/>
        </w:rPr>
        <w:t>3.</w:t>
      </w:r>
      <w:r>
        <w:rPr>
          <w:rFonts w:ascii="宋体" w:hAnsi="宋体"/>
          <w:sz w:val="24"/>
        </w:rPr>
        <w:t>1按</w:t>
      </w:r>
      <w:r>
        <w:rPr>
          <w:rFonts w:hint="eastAsia" w:ascii="宋体" w:hAnsi="宋体"/>
          <w:sz w:val="24"/>
        </w:rPr>
        <w:t>附件十《柯桥城区道路保洁服务要求》与附件十一《绍兴市柯桥区市容环境卫生管理中心智慧环卫考核办法（试行）》</w:t>
      </w:r>
      <w:r>
        <w:rPr>
          <w:rFonts w:ascii="宋体" w:hAnsi="宋体"/>
          <w:sz w:val="24"/>
        </w:rPr>
        <w:t>检查、考核</w:t>
      </w:r>
      <w:r>
        <w:rPr>
          <w:rFonts w:hint="eastAsia" w:ascii="宋体" w:hAnsi="宋体"/>
          <w:sz w:val="24"/>
        </w:rPr>
        <w:t>。</w:t>
      </w:r>
    </w:p>
    <w:p>
      <w:pPr>
        <w:autoSpaceDE w:val="0"/>
        <w:autoSpaceDN w:val="0"/>
        <w:adjustRightInd w:val="0"/>
        <w:spacing w:line="440" w:lineRule="exact"/>
        <w:ind w:firstLine="480" w:firstLineChars="200"/>
        <w:rPr>
          <w:rFonts w:hint="eastAsia" w:ascii="宋体" w:hAnsi="宋体"/>
          <w:sz w:val="24"/>
        </w:rPr>
      </w:pPr>
      <w:r>
        <w:rPr>
          <w:rFonts w:ascii="宋体" w:hAnsi="宋体"/>
          <w:sz w:val="24"/>
        </w:rPr>
        <w:t>6.</w:t>
      </w:r>
      <w:r>
        <w:rPr>
          <w:rFonts w:hint="eastAsia" w:ascii="宋体" w:hAnsi="宋体"/>
          <w:sz w:val="24"/>
        </w:rPr>
        <w:t>3</w:t>
      </w:r>
      <w:r>
        <w:rPr>
          <w:rFonts w:ascii="宋体" w:hAnsi="宋体"/>
          <w:sz w:val="24"/>
        </w:rPr>
        <w:t>.</w:t>
      </w:r>
      <w:r>
        <w:rPr>
          <w:rFonts w:hint="eastAsia" w:ascii="宋体" w:hAnsi="宋体"/>
          <w:sz w:val="24"/>
        </w:rPr>
        <w:t>3.</w:t>
      </w:r>
      <w:r>
        <w:rPr>
          <w:rFonts w:ascii="宋体" w:hAnsi="宋体"/>
          <w:sz w:val="24"/>
        </w:rPr>
        <w:t>2</w:t>
      </w:r>
      <w:r>
        <w:rPr>
          <w:rFonts w:hint="eastAsia" w:ascii="宋体" w:hAnsi="宋体"/>
          <w:sz w:val="24"/>
        </w:rPr>
        <w:t>执法局、数字城管、环卫中心组织对道路保洁质量进行检查、考核，该考核分数相加即为年度（每月）各中标供应商的考核得分。</w:t>
      </w:r>
    </w:p>
    <w:p>
      <w:pPr>
        <w:autoSpaceDE w:val="0"/>
        <w:autoSpaceDN w:val="0"/>
        <w:adjustRightInd w:val="0"/>
        <w:spacing w:line="440" w:lineRule="exact"/>
        <w:ind w:firstLine="480" w:firstLineChars="200"/>
        <w:rPr>
          <w:rFonts w:hint="eastAsia" w:ascii="宋体" w:hAnsi="宋体"/>
          <w:sz w:val="24"/>
        </w:rPr>
      </w:pPr>
      <w:r>
        <w:rPr>
          <w:rFonts w:hint="eastAsia" w:ascii="宋体" w:hAnsi="宋体"/>
          <w:sz w:val="24"/>
        </w:rPr>
        <w:t>6.3.3.3如发现中标供应商将所中标标段转包，采购人有权单方面终止合同，并扣没保证金和风险抵押金。</w:t>
      </w:r>
    </w:p>
    <w:p>
      <w:pPr>
        <w:autoSpaceDE w:val="0"/>
        <w:autoSpaceDN w:val="0"/>
        <w:adjustRightInd w:val="0"/>
        <w:spacing w:line="440" w:lineRule="exact"/>
        <w:ind w:firstLine="480" w:firstLineChars="200"/>
        <w:rPr>
          <w:rFonts w:hint="eastAsia" w:ascii="宋体" w:hAnsi="宋体"/>
          <w:b/>
          <w:bCs/>
          <w:sz w:val="24"/>
        </w:rPr>
      </w:pPr>
      <w:r>
        <w:rPr>
          <w:rFonts w:ascii="宋体" w:hAnsi="宋体"/>
          <w:sz w:val="24"/>
        </w:rPr>
        <w:t>6.</w:t>
      </w:r>
      <w:r>
        <w:rPr>
          <w:rFonts w:hint="eastAsia" w:ascii="宋体" w:hAnsi="宋体"/>
          <w:sz w:val="24"/>
        </w:rPr>
        <w:t>3</w:t>
      </w:r>
      <w:r>
        <w:rPr>
          <w:rFonts w:ascii="宋体" w:hAnsi="宋体"/>
          <w:sz w:val="24"/>
        </w:rPr>
        <w:t>.</w:t>
      </w:r>
      <w:r>
        <w:rPr>
          <w:rFonts w:hint="eastAsia" w:ascii="宋体" w:hAnsi="宋体"/>
          <w:sz w:val="24"/>
        </w:rPr>
        <w:t>3.4</w:t>
      </w:r>
      <w:r>
        <w:rPr>
          <w:rFonts w:hint="eastAsia" w:ascii="宋体" w:hAnsi="宋体"/>
          <w:b/>
          <w:bCs/>
          <w:sz w:val="24"/>
        </w:rPr>
        <w:t>若中标供应商在连续两个月考核中扣分大于120分，或在一年考核中有3个月月考核中扣分大于120分的，采购人有权中止或解除合同，履约保证金不予退还。</w:t>
      </w:r>
    </w:p>
    <w:p>
      <w:pPr>
        <w:autoSpaceDE w:val="0"/>
        <w:autoSpaceDN w:val="0"/>
        <w:adjustRightInd w:val="0"/>
        <w:spacing w:line="440" w:lineRule="exact"/>
        <w:ind w:firstLine="480" w:firstLineChars="200"/>
        <w:rPr>
          <w:rFonts w:hint="eastAsia" w:ascii="宋体" w:hAnsi="宋体"/>
          <w:bCs/>
          <w:sz w:val="24"/>
        </w:rPr>
      </w:pPr>
      <w:r>
        <w:rPr>
          <w:rFonts w:hint="eastAsia" w:ascii="宋体" w:hAnsi="宋体"/>
          <w:bCs/>
          <w:sz w:val="24"/>
        </w:rPr>
        <w:t>6.3.3.5 采购人将定期或不定期对中标人的保洁人员到岗情况进行抽查（包括后期采用数字智能化应用）。若保洁人员到岗比例在90%（含）-95%以内的，缺员部分扣款1分/人•次。若保洁人员到岗比例在85%（含）-90%的，缺员部分扣款1.6分/人•次。85%以下的，缺员部分扣款2分/人•次。（到岗比例=实到人数/应到人数，缺员部分=应到人数-实到人数）</w:t>
      </w:r>
    </w:p>
    <w:p>
      <w:pPr>
        <w:snapToGrid w:val="0"/>
        <w:spacing w:line="500" w:lineRule="exact"/>
        <w:ind w:firstLine="481"/>
        <w:rPr>
          <w:rFonts w:hint="eastAsia" w:ascii="宋体" w:hAnsi="宋体"/>
          <w:bCs/>
          <w:sz w:val="24"/>
        </w:rPr>
      </w:pPr>
      <w:r>
        <w:rPr>
          <w:rFonts w:hint="eastAsia" w:ascii="宋体" w:hAnsi="宋体"/>
          <w:bCs/>
          <w:sz w:val="24"/>
        </w:rPr>
        <w:t>6.3.3.6根据环卫监督管理手段的变化，环卫中心将引入智能化管理体系，采用多种类、多方式的考核监管模式，提升环卫监管水平，中标供应商需接受监管模式及考核办法的调整。</w:t>
      </w:r>
    </w:p>
    <w:p>
      <w:pPr>
        <w:snapToGrid w:val="0"/>
        <w:spacing w:line="500" w:lineRule="exact"/>
        <w:ind w:firstLine="481"/>
        <w:rPr>
          <w:rFonts w:ascii="宋体" w:hAnsi="宋体"/>
          <w:b/>
          <w:sz w:val="24"/>
        </w:rPr>
      </w:pPr>
      <w:r>
        <w:rPr>
          <w:rFonts w:ascii="宋体" w:hAnsi="宋体"/>
          <w:b/>
          <w:sz w:val="24"/>
        </w:rPr>
        <w:t>6.4其他要求：</w:t>
      </w:r>
    </w:p>
    <w:p>
      <w:pPr>
        <w:autoSpaceDE w:val="0"/>
        <w:autoSpaceDN w:val="0"/>
        <w:adjustRightInd w:val="0"/>
        <w:spacing w:line="500" w:lineRule="exact"/>
        <w:ind w:firstLine="480" w:firstLineChars="200"/>
        <w:rPr>
          <w:rFonts w:hint="eastAsia" w:ascii="宋体" w:hAnsi="宋体"/>
          <w:sz w:val="24"/>
        </w:rPr>
      </w:pPr>
      <w:r>
        <w:rPr>
          <w:rFonts w:hint="eastAsia" w:ascii="宋体" w:hAnsi="宋体"/>
          <w:sz w:val="24"/>
        </w:rPr>
        <w:t>6.4.1</w:t>
      </w:r>
      <w:r>
        <w:rPr>
          <w:rFonts w:ascii="宋体" w:hAnsi="宋体"/>
          <w:sz w:val="24"/>
        </w:rPr>
        <w:t>中标</w:t>
      </w:r>
      <w:r>
        <w:rPr>
          <w:rFonts w:hint="eastAsia" w:ascii="宋体" w:hAnsi="宋体"/>
          <w:sz w:val="24"/>
        </w:rPr>
        <w:t>供应商</w:t>
      </w:r>
      <w:r>
        <w:rPr>
          <w:rFonts w:ascii="宋体" w:hAnsi="宋体"/>
          <w:sz w:val="24"/>
        </w:rPr>
        <w:t>必须</w:t>
      </w:r>
      <w:r>
        <w:rPr>
          <w:rFonts w:hint="eastAsia" w:ascii="宋体" w:hAnsi="宋体"/>
          <w:sz w:val="24"/>
        </w:rPr>
        <w:t>遵守国家相应法律法规，</w:t>
      </w:r>
      <w:r>
        <w:rPr>
          <w:rFonts w:ascii="宋体" w:hAnsi="宋体"/>
          <w:sz w:val="24"/>
        </w:rPr>
        <w:t>按规定程序和安全文明服务有关要求进行实施，</w:t>
      </w:r>
      <w:r>
        <w:rPr>
          <w:rFonts w:hint="eastAsia" w:ascii="宋体" w:hAnsi="宋体"/>
          <w:sz w:val="24"/>
        </w:rPr>
        <w:t>人员招聘、录用，劳资福利待遇、清扫、机扫、冲洗及</w:t>
      </w:r>
      <w:r>
        <w:rPr>
          <w:rFonts w:ascii="宋体" w:hAnsi="宋体"/>
          <w:sz w:val="24"/>
        </w:rPr>
        <w:t>垃圾清运</w:t>
      </w:r>
      <w:r>
        <w:rPr>
          <w:rFonts w:hint="eastAsia" w:ascii="宋体" w:hAnsi="宋体"/>
          <w:sz w:val="24"/>
        </w:rPr>
        <w:t>管理等</w:t>
      </w:r>
      <w:r>
        <w:rPr>
          <w:rFonts w:ascii="宋体" w:hAnsi="宋体"/>
          <w:sz w:val="24"/>
        </w:rPr>
        <w:t>过程中的各种意外</w:t>
      </w:r>
      <w:r>
        <w:rPr>
          <w:rFonts w:hint="eastAsia" w:ascii="宋体" w:hAnsi="宋体"/>
          <w:sz w:val="24"/>
        </w:rPr>
        <w:t>及纠纷</w:t>
      </w:r>
      <w:r>
        <w:rPr>
          <w:rFonts w:ascii="宋体" w:hAnsi="宋体"/>
          <w:sz w:val="24"/>
        </w:rPr>
        <w:t>，其责任由中标</w:t>
      </w:r>
      <w:r>
        <w:rPr>
          <w:rFonts w:hint="eastAsia" w:ascii="宋体" w:hAnsi="宋体"/>
          <w:sz w:val="24"/>
        </w:rPr>
        <w:t>供应商</w:t>
      </w:r>
      <w:r>
        <w:rPr>
          <w:rFonts w:ascii="宋体" w:hAnsi="宋体"/>
          <w:sz w:val="24"/>
        </w:rPr>
        <w:t>承担，采购人不承担任何责任。</w:t>
      </w:r>
    </w:p>
    <w:p>
      <w:pPr>
        <w:autoSpaceDE w:val="0"/>
        <w:autoSpaceDN w:val="0"/>
        <w:adjustRightInd w:val="0"/>
        <w:spacing w:line="500" w:lineRule="exact"/>
        <w:ind w:firstLine="480" w:firstLineChars="200"/>
        <w:rPr>
          <w:rFonts w:hint="eastAsia" w:ascii="宋体" w:hAnsi="宋体"/>
          <w:sz w:val="24"/>
        </w:rPr>
      </w:pPr>
      <w:r>
        <w:rPr>
          <w:rFonts w:hint="eastAsia" w:ascii="宋体" w:hAnsi="宋体"/>
          <w:sz w:val="24"/>
        </w:rPr>
        <w:t>6.4.2 中标人的各类车辆每天晚上的停放地点由中标供应商自行解决</w:t>
      </w:r>
      <w:r>
        <w:rPr>
          <w:rFonts w:ascii="宋体" w:hAnsi="宋体"/>
          <w:sz w:val="24"/>
        </w:rPr>
        <w:t>。</w:t>
      </w:r>
    </w:p>
    <w:p>
      <w:pPr>
        <w:autoSpaceDE w:val="0"/>
        <w:autoSpaceDN w:val="0"/>
        <w:adjustRightInd w:val="0"/>
        <w:spacing w:line="500" w:lineRule="exact"/>
        <w:ind w:firstLine="480" w:firstLineChars="200"/>
        <w:rPr>
          <w:rFonts w:hint="eastAsia" w:ascii="宋体" w:hAnsi="宋体"/>
          <w:sz w:val="24"/>
        </w:rPr>
      </w:pPr>
      <w:r>
        <w:rPr>
          <w:rFonts w:hint="eastAsia" w:ascii="宋体" w:hAnsi="宋体"/>
          <w:sz w:val="24"/>
        </w:rPr>
        <w:t>6.4.3 合同期内，中标人必须无条件地接受采购人的新增垃圾清运点的收集清运。</w:t>
      </w:r>
    </w:p>
    <w:p>
      <w:pPr>
        <w:autoSpaceDE w:val="0"/>
        <w:autoSpaceDN w:val="0"/>
        <w:adjustRightInd w:val="0"/>
        <w:spacing w:line="500" w:lineRule="exact"/>
        <w:ind w:firstLine="480" w:firstLineChars="200"/>
        <w:rPr>
          <w:rFonts w:hint="eastAsia" w:ascii="宋体" w:hAnsi="宋体"/>
          <w:sz w:val="24"/>
        </w:rPr>
      </w:pPr>
      <w:r>
        <w:rPr>
          <w:rFonts w:hint="eastAsia" w:ascii="宋体" w:hAnsi="宋体"/>
          <w:sz w:val="24"/>
        </w:rPr>
        <w:t>6.4.4 合同期内，实施“墙到墙”保洁的市政道路商业区域的保洁标准与道路保洁标准一致。</w:t>
      </w:r>
    </w:p>
    <w:p>
      <w:pPr>
        <w:snapToGrid w:val="0"/>
        <w:spacing w:line="500" w:lineRule="exact"/>
        <w:ind w:firstLine="481"/>
        <w:rPr>
          <w:rFonts w:ascii="宋体" w:hAnsi="宋体"/>
          <w:b/>
          <w:sz w:val="24"/>
        </w:rPr>
      </w:pPr>
      <w:r>
        <w:rPr>
          <w:rFonts w:ascii="宋体" w:hAnsi="宋体"/>
          <w:b/>
          <w:sz w:val="24"/>
        </w:rPr>
        <w:t>6.5变更：</w:t>
      </w:r>
    </w:p>
    <w:p>
      <w:pPr>
        <w:snapToGrid w:val="0"/>
        <w:spacing w:line="500" w:lineRule="exact"/>
        <w:ind w:firstLine="481"/>
        <w:rPr>
          <w:rFonts w:ascii="宋体" w:hAnsi="宋体"/>
          <w:sz w:val="24"/>
        </w:rPr>
      </w:pPr>
      <w:r>
        <w:rPr>
          <w:rFonts w:ascii="宋体" w:hAnsi="宋体"/>
          <w:sz w:val="24"/>
        </w:rPr>
        <w:t>6.5.1</w:t>
      </w:r>
      <w:r>
        <w:rPr>
          <w:rFonts w:hint="eastAsia" w:ascii="宋体" w:hAnsi="宋体"/>
          <w:sz w:val="24"/>
        </w:rPr>
        <w:t>采购合同履行中，采购人需追加与合同标的相同的货物、工程或者服务的，在不改变合同其他条款的前提下，可以与供应商协商签订补充合同，但所有补充合同的采购金额不得超过原合同采购金额的百分之十。</w:t>
      </w:r>
    </w:p>
    <w:p>
      <w:pPr>
        <w:snapToGrid w:val="0"/>
        <w:spacing w:line="500" w:lineRule="exact"/>
        <w:ind w:firstLine="481"/>
        <w:rPr>
          <w:rFonts w:hint="eastAsia" w:ascii="宋体" w:hAnsi="宋体"/>
          <w:sz w:val="24"/>
        </w:rPr>
      </w:pPr>
      <w:r>
        <w:rPr>
          <w:rFonts w:ascii="宋体" w:hAnsi="宋体"/>
          <w:sz w:val="24"/>
        </w:rPr>
        <w:t>6.5.2 当变更只是采购量增减时，按投标所报的单价进行结算。</w:t>
      </w:r>
    </w:p>
    <w:p>
      <w:pPr>
        <w:snapToGrid w:val="0"/>
        <w:spacing w:line="500" w:lineRule="exact"/>
        <w:ind w:firstLine="481"/>
        <w:rPr>
          <w:rFonts w:hint="eastAsia" w:ascii="宋体" w:hAnsi="宋体"/>
          <w:sz w:val="24"/>
        </w:rPr>
      </w:pPr>
      <w:r>
        <w:rPr>
          <w:rFonts w:hint="eastAsia" w:ascii="宋体" w:hAnsi="宋体"/>
          <w:sz w:val="24"/>
        </w:rPr>
        <w:t>6.5.3合同履行期间，如遇最低工资标准调整，采购人可与供应商签订补充协议调整合同，按最低保洁人数按实补差。</w:t>
      </w:r>
    </w:p>
    <w:p>
      <w:pPr>
        <w:spacing w:line="440" w:lineRule="exact"/>
        <w:ind w:firstLine="482" w:firstLineChars="200"/>
        <w:jc w:val="left"/>
        <w:rPr>
          <w:rFonts w:hint="eastAsia" w:ascii="宋体" w:hAnsi="宋体"/>
          <w:b/>
          <w:sz w:val="24"/>
        </w:rPr>
      </w:pPr>
      <w:r>
        <w:rPr>
          <w:rFonts w:hint="eastAsia" w:ascii="宋体" w:hAnsi="宋体"/>
          <w:b/>
          <w:sz w:val="24"/>
        </w:rPr>
        <w:t>6.6 结算原则：</w:t>
      </w:r>
    </w:p>
    <w:p>
      <w:pPr>
        <w:spacing w:line="440" w:lineRule="exact"/>
        <w:ind w:firstLine="480" w:firstLineChars="200"/>
        <w:jc w:val="left"/>
        <w:rPr>
          <w:rFonts w:hint="eastAsia" w:ascii="宋体" w:hAnsi="宋体"/>
          <w:sz w:val="24"/>
        </w:rPr>
      </w:pPr>
      <w:r>
        <w:rPr>
          <w:rFonts w:hint="eastAsia" w:ascii="宋体" w:hAnsi="宋体"/>
          <w:sz w:val="24"/>
        </w:rPr>
        <w:t>6.6.1采购文件、招标答疑会纪要、中标供应商的中标报价等作为结算依据；</w:t>
      </w:r>
    </w:p>
    <w:p>
      <w:pPr>
        <w:snapToGrid w:val="0"/>
        <w:spacing w:line="500" w:lineRule="exact"/>
        <w:ind w:firstLine="481"/>
        <w:rPr>
          <w:rFonts w:hint="eastAsia" w:ascii="宋体" w:hAnsi="宋体"/>
          <w:sz w:val="24"/>
        </w:rPr>
      </w:pPr>
      <w:r>
        <w:rPr>
          <w:rFonts w:hint="eastAsia" w:ascii="宋体" w:hAnsi="宋体"/>
          <w:sz w:val="24"/>
        </w:rPr>
        <w:t>6.6.2中标价一次性包死，不再调整。</w:t>
      </w:r>
    </w:p>
    <w:p>
      <w:pPr>
        <w:spacing w:line="440" w:lineRule="exact"/>
        <w:ind w:firstLine="482" w:firstLineChars="200"/>
        <w:jc w:val="left"/>
        <w:rPr>
          <w:rFonts w:hint="eastAsia" w:ascii="宋体" w:hAnsi="宋体"/>
          <w:b/>
          <w:sz w:val="24"/>
        </w:rPr>
      </w:pPr>
      <w:r>
        <w:rPr>
          <w:rFonts w:hint="eastAsia" w:ascii="宋体" w:hAnsi="宋体"/>
          <w:b/>
          <w:sz w:val="24"/>
        </w:rPr>
        <w:t>6.7 付款方式：</w:t>
      </w:r>
    </w:p>
    <w:p>
      <w:pPr>
        <w:snapToGrid w:val="0"/>
        <w:spacing w:line="440" w:lineRule="exact"/>
        <w:ind w:firstLine="481"/>
        <w:rPr>
          <w:rFonts w:ascii="宋体" w:hAnsi="宋体"/>
        </w:rPr>
      </w:pPr>
      <w:r>
        <w:rPr>
          <w:rFonts w:ascii="宋体" w:hAnsi="宋体"/>
          <w:sz w:val="24"/>
        </w:rPr>
        <w:t>6.</w:t>
      </w:r>
      <w:r>
        <w:rPr>
          <w:rFonts w:hint="eastAsia" w:ascii="宋体" w:hAnsi="宋体"/>
          <w:sz w:val="24"/>
        </w:rPr>
        <w:t>7</w:t>
      </w:r>
      <w:r>
        <w:rPr>
          <w:rFonts w:ascii="宋体" w:hAnsi="宋体"/>
          <w:sz w:val="24"/>
        </w:rPr>
        <w:t>.1</w:t>
      </w:r>
      <w:r>
        <w:rPr>
          <w:rFonts w:hint="eastAsia" w:ascii="宋体" w:hAnsi="宋体"/>
          <w:sz w:val="24"/>
        </w:rPr>
        <w:t>道路</w:t>
      </w:r>
      <w:r>
        <w:rPr>
          <w:rFonts w:ascii="宋体" w:hAnsi="宋体"/>
          <w:sz w:val="24"/>
        </w:rPr>
        <w:t>保洁工作一律不付预付款。</w:t>
      </w:r>
    </w:p>
    <w:p>
      <w:pPr>
        <w:snapToGrid w:val="0"/>
        <w:spacing w:line="500" w:lineRule="exact"/>
        <w:ind w:firstLine="481"/>
        <w:rPr>
          <w:rFonts w:hint="eastAsia" w:hAnsi="宋体"/>
          <w:sz w:val="24"/>
        </w:rPr>
      </w:pPr>
      <w:r>
        <w:rPr>
          <w:rFonts w:hAnsi="宋体"/>
          <w:sz w:val="24"/>
        </w:rPr>
        <w:t>6.</w:t>
      </w:r>
      <w:r>
        <w:rPr>
          <w:rFonts w:hint="eastAsia" w:hAnsi="宋体"/>
          <w:sz w:val="24"/>
        </w:rPr>
        <w:t>7</w:t>
      </w:r>
      <w:r>
        <w:rPr>
          <w:rFonts w:hAnsi="宋体"/>
          <w:sz w:val="24"/>
        </w:rPr>
        <w:t>.2</w:t>
      </w:r>
      <w:bookmarkStart w:id="12" w:name="OLE_LINK5"/>
      <w:bookmarkStart w:id="13" w:name="OLE_LINK6"/>
      <w:r>
        <w:rPr>
          <w:rFonts w:hAnsi="宋体"/>
          <w:sz w:val="24"/>
        </w:rPr>
        <w:t>承包款按月考核后（扣除考核扣款）</w:t>
      </w:r>
      <w:r>
        <w:rPr>
          <w:rFonts w:hint="eastAsia" w:hAnsi="宋体"/>
          <w:sz w:val="24"/>
        </w:rPr>
        <w:t>按环卫中心资金支付计划表</w:t>
      </w:r>
      <w:r>
        <w:rPr>
          <w:rFonts w:hAnsi="宋体"/>
          <w:sz w:val="24"/>
        </w:rPr>
        <w:t>付款</w:t>
      </w:r>
      <w:r>
        <w:rPr>
          <w:rFonts w:hint="eastAsia" w:hAnsi="宋体"/>
          <w:sz w:val="24"/>
        </w:rPr>
        <w:t>，</w:t>
      </w:r>
      <w:bookmarkEnd w:id="12"/>
      <w:bookmarkEnd w:id="13"/>
      <w:r>
        <w:rPr>
          <w:rFonts w:hint="eastAsia" w:hAnsi="宋体"/>
          <w:b/>
          <w:bCs/>
          <w:sz w:val="24"/>
        </w:rPr>
        <w:t>中标人需同时提供上月职工五险一金缴纳凭证，未按要求数量缴纳(不交部分)及未按标文中绍兴市柯桥区最低缴费数缴纳(不足额部分)将在当月承包款中按投标报价中明确的缴费数按实扣除。</w:t>
      </w:r>
    </w:p>
    <w:p>
      <w:pPr>
        <w:snapToGrid w:val="0"/>
        <w:spacing w:line="500" w:lineRule="exact"/>
        <w:ind w:firstLine="481"/>
        <w:rPr>
          <w:rFonts w:hint="eastAsia" w:ascii="宋体" w:hAnsi="宋体"/>
          <w:bCs/>
          <w:sz w:val="24"/>
          <w:u w:val="single"/>
        </w:rPr>
      </w:pPr>
      <w:r>
        <w:rPr>
          <w:rFonts w:hint="eastAsia" w:ascii="宋体" w:hAnsi="宋体"/>
          <w:b/>
          <w:sz w:val="24"/>
        </w:rPr>
        <w:t>6.8签订合同时间：</w:t>
      </w:r>
      <w:r>
        <w:rPr>
          <w:rFonts w:hint="eastAsia" w:ascii="宋体" w:hAnsi="宋体"/>
          <w:sz w:val="24"/>
          <w:u w:val="single"/>
        </w:rPr>
        <w:t xml:space="preserve">   </w:t>
      </w:r>
      <w:r>
        <w:rPr>
          <w:rFonts w:hint="eastAsia" w:ascii="宋体" w:hAnsi="宋体"/>
          <w:bCs/>
          <w:sz w:val="24"/>
          <w:u w:val="single"/>
        </w:rPr>
        <w:t>按《中标通知书》规定的时间、地点与采购人签订合同。</w:t>
      </w:r>
    </w:p>
    <w:p>
      <w:pPr>
        <w:snapToGrid w:val="0"/>
        <w:spacing w:line="500" w:lineRule="exact"/>
        <w:ind w:firstLine="481"/>
        <w:rPr>
          <w:rFonts w:hint="eastAsia" w:ascii="宋体" w:hAnsi="宋体"/>
          <w:sz w:val="24"/>
        </w:rPr>
      </w:pPr>
      <w:r>
        <w:rPr>
          <w:rFonts w:hint="eastAsia" w:ascii="宋体" w:hAnsi="宋体"/>
          <w:sz w:val="24"/>
        </w:rPr>
        <w:t>6.9采购人应当自采购合同签订之日起七个工作日内，按照有关规定将采购合同副本报绍兴市柯桥区公共资源交易管理委员会办公室备案。</w:t>
      </w:r>
    </w:p>
    <w:p>
      <w:pPr>
        <w:spacing w:line="500" w:lineRule="exact"/>
        <w:ind w:firstLine="482" w:firstLineChars="200"/>
        <w:rPr>
          <w:rFonts w:hint="eastAsia" w:ascii="宋体" w:hAnsi="宋体"/>
          <w:b/>
          <w:sz w:val="24"/>
        </w:rPr>
      </w:pPr>
      <w:r>
        <w:rPr>
          <w:rFonts w:hint="eastAsia" w:ascii="宋体" w:hAnsi="宋体"/>
          <w:b/>
          <w:sz w:val="24"/>
        </w:rPr>
        <w:t>6.10 其他</w:t>
      </w:r>
    </w:p>
    <w:p>
      <w:pPr>
        <w:spacing w:line="500" w:lineRule="exact"/>
        <w:ind w:firstLine="480" w:firstLineChars="200"/>
        <w:rPr>
          <w:rFonts w:hint="eastAsia" w:ascii="宋体" w:hAnsi="宋体"/>
          <w:sz w:val="24"/>
        </w:rPr>
      </w:pPr>
      <w:r>
        <w:rPr>
          <w:rFonts w:hint="eastAsia" w:ascii="宋体" w:hAnsi="宋体"/>
          <w:sz w:val="24"/>
        </w:rPr>
        <w:t>6.10.1合同双方确认，本合同及本合同约定的其它文件组成部分中的各项约定都是通过法定采购过程形成的合法成果，不存在与采购文件和中标人投标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pPr>
        <w:snapToGrid w:val="0"/>
        <w:spacing w:line="440" w:lineRule="exact"/>
        <w:ind w:firstLine="481"/>
        <w:rPr>
          <w:rFonts w:ascii="宋体" w:hAnsi="宋体"/>
        </w:rPr>
      </w:pPr>
      <w:r>
        <w:rPr>
          <w:rFonts w:ascii="宋体" w:hAnsi="宋体"/>
          <w:sz w:val="24"/>
        </w:rPr>
        <w:t>6.</w:t>
      </w:r>
      <w:r>
        <w:rPr>
          <w:rFonts w:hint="eastAsia" w:ascii="宋体" w:hAnsi="宋体"/>
          <w:sz w:val="24"/>
        </w:rPr>
        <w:t>10</w:t>
      </w:r>
      <w:r>
        <w:rPr>
          <w:rFonts w:ascii="宋体" w:hAnsi="宋体"/>
          <w:sz w:val="24"/>
        </w:rPr>
        <w:t>.</w:t>
      </w:r>
      <w:r>
        <w:rPr>
          <w:rFonts w:hint="eastAsia" w:ascii="宋体" w:hAnsi="宋体"/>
          <w:sz w:val="24"/>
        </w:rPr>
        <w:t>2供应商</w:t>
      </w:r>
      <w:r>
        <w:rPr>
          <w:rFonts w:ascii="宋体" w:hAnsi="宋体"/>
          <w:sz w:val="24"/>
        </w:rPr>
        <w:t>若有其他服务承诺，也将一并执行。</w:t>
      </w:r>
    </w:p>
    <w:p>
      <w:pPr>
        <w:spacing w:line="500" w:lineRule="exact"/>
        <w:ind w:firstLine="480" w:firstLineChars="200"/>
        <w:rPr>
          <w:rFonts w:hint="eastAsia" w:ascii="宋体" w:hAnsi="宋体"/>
          <w:sz w:val="24"/>
        </w:rPr>
      </w:pPr>
      <w:r>
        <w:rPr>
          <w:rFonts w:ascii="宋体" w:hAnsi="宋体"/>
          <w:sz w:val="24"/>
        </w:rPr>
        <w:t>6.</w:t>
      </w:r>
      <w:r>
        <w:rPr>
          <w:rFonts w:hint="eastAsia" w:ascii="宋体" w:hAnsi="宋体"/>
          <w:sz w:val="24"/>
        </w:rPr>
        <w:t>10.3</w:t>
      </w:r>
      <w:r>
        <w:rPr>
          <w:rFonts w:ascii="宋体" w:hAnsi="宋体"/>
          <w:sz w:val="24"/>
        </w:rPr>
        <w:t>中标</w:t>
      </w:r>
      <w:r>
        <w:rPr>
          <w:rFonts w:hint="eastAsia" w:ascii="宋体" w:hAnsi="宋体"/>
          <w:sz w:val="24"/>
        </w:rPr>
        <w:t>供应商</w:t>
      </w:r>
      <w:r>
        <w:rPr>
          <w:rFonts w:ascii="宋体" w:hAnsi="宋体"/>
          <w:sz w:val="24"/>
        </w:rPr>
        <w:t>必须将公司的服务热线明确告知采购人。</w:t>
      </w:r>
    </w:p>
    <w:p>
      <w:pPr>
        <w:spacing w:line="500" w:lineRule="exact"/>
        <w:ind w:firstLine="482" w:firstLineChars="200"/>
        <w:rPr>
          <w:rFonts w:hint="eastAsia" w:ascii="宋体" w:hAnsi="宋体"/>
          <w:b/>
          <w:sz w:val="24"/>
        </w:rPr>
      </w:pPr>
    </w:p>
    <w:p>
      <w:pPr>
        <w:pStyle w:val="2"/>
        <w:numPr>
          <w:ilvl w:val="0"/>
          <w:numId w:val="0"/>
        </w:numPr>
        <w:tabs>
          <w:tab w:val="left" w:pos="851"/>
        </w:tabs>
        <w:spacing w:before="0" w:after="0" w:line="500" w:lineRule="exact"/>
        <w:rPr>
          <w:rFonts w:hint="eastAsia" w:ascii="宋体" w:hAnsi="宋体"/>
          <w:b/>
          <w:kern w:val="44"/>
          <w:sz w:val="28"/>
          <w:szCs w:val="28"/>
        </w:rPr>
      </w:pPr>
      <w:bookmarkStart w:id="14" w:name="_Toc597"/>
      <w:bookmarkStart w:id="15" w:name="_Toc25589255"/>
      <w:r>
        <w:rPr>
          <w:rFonts w:ascii="宋体" w:hAnsi="宋体"/>
          <w:b/>
          <w:bCs w:val="0"/>
          <w:sz w:val="28"/>
          <w:szCs w:val="28"/>
        </w:rPr>
        <w:t>七、</w:t>
      </w:r>
      <w:bookmarkEnd w:id="14"/>
      <w:r>
        <w:rPr>
          <w:rFonts w:hint="eastAsia" w:ascii="宋体" w:hAnsi="宋体"/>
          <w:b/>
          <w:kern w:val="44"/>
          <w:sz w:val="28"/>
          <w:szCs w:val="28"/>
        </w:rPr>
        <w:t>提供服务的时间和期限</w:t>
      </w:r>
      <w:bookmarkEnd w:id="15"/>
      <w:bookmarkStart w:id="16" w:name="_Toc528763382"/>
      <w:bookmarkEnd w:id="16"/>
    </w:p>
    <w:p>
      <w:pPr>
        <w:spacing w:line="500" w:lineRule="exact"/>
        <w:ind w:firstLine="480" w:firstLineChars="200"/>
        <w:rPr>
          <w:rFonts w:hint="eastAsia" w:ascii="宋体" w:hAnsi="宋体"/>
          <w:sz w:val="24"/>
        </w:rPr>
      </w:pPr>
    </w:p>
    <w:p>
      <w:pPr>
        <w:spacing w:line="360" w:lineRule="auto"/>
        <w:ind w:firstLine="480" w:firstLineChars="200"/>
        <w:rPr>
          <w:rFonts w:hint="eastAsia" w:ascii="宋体" w:hAnsi="宋体" w:cs="宋体"/>
          <w:sz w:val="24"/>
          <w:u w:val="single"/>
        </w:rPr>
      </w:pPr>
      <w:r>
        <w:rPr>
          <w:rFonts w:hint="eastAsia" w:ascii="宋体" w:hAnsi="宋体"/>
          <w:sz w:val="24"/>
        </w:rPr>
        <w:t>7.1提供服务的时间：</w:t>
      </w:r>
      <w:r>
        <w:rPr>
          <w:rFonts w:ascii="宋体" w:hAnsi="宋体"/>
          <w:b/>
          <w:bCs/>
          <w:sz w:val="24"/>
        </w:rPr>
        <w:t>本项目服务期为</w:t>
      </w:r>
      <w:r>
        <w:rPr>
          <w:rFonts w:hint="eastAsia" w:ascii="宋体" w:hAnsi="宋体"/>
          <w:b/>
          <w:bCs/>
          <w:sz w:val="24"/>
        </w:rPr>
        <w:t>2+1年，合同一年一签，中标供应商首年考核扣分月平均小于120分的可续签第二年合同。中标供应商两年考核中月平均扣分小于80分的，经采购人上级主管部门认可同意的情况下可酌情再延续一年。</w:t>
      </w:r>
    </w:p>
    <w:p>
      <w:pPr>
        <w:spacing w:line="360" w:lineRule="auto"/>
        <w:ind w:firstLine="480" w:firstLineChars="200"/>
        <w:rPr>
          <w:rFonts w:hint="eastAsia" w:ascii="宋体" w:hAnsi="宋体"/>
          <w:sz w:val="24"/>
        </w:rPr>
      </w:pPr>
      <w:r>
        <w:rPr>
          <w:rFonts w:hint="eastAsia" w:ascii="宋体" w:hAnsi="宋体"/>
          <w:sz w:val="24"/>
        </w:rPr>
        <w:t>7.2 供应商应明确说明具体的交货和提供服务的时间。供应商所提供的必须是合法生产的货物和服务，并能确保在中标合同有效期内按照合同中规定的要求及时交付。</w:t>
      </w:r>
    </w:p>
    <w:p>
      <w:pPr>
        <w:spacing w:line="360" w:lineRule="auto"/>
        <w:ind w:firstLine="480" w:firstLineChars="200"/>
        <w:rPr>
          <w:rFonts w:hint="eastAsia" w:ascii="宋体" w:hAnsi="宋体" w:cs="宋体"/>
          <w:sz w:val="24"/>
        </w:rPr>
      </w:pPr>
    </w:p>
    <w:p>
      <w:pPr>
        <w:pStyle w:val="2"/>
        <w:numPr>
          <w:ilvl w:val="0"/>
          <w:numId w:val="0"/>
        </w:numPr>
        <w:spacing w:before="0" w:after="0" w:line="500" w:lineRule="exact"/>
        <w:ind w:left="2269"/>
        <w:jc w:val="both"/>
        <w:rPr>
          <w:rFonts w:ascii="宋体" w:hAnsi="宋体"/>
          <w:b/>
          <w:bCs w:val="0"/>
          <w:sz w:val="28"/>
          <w:szCs w:val="28"/>
        </w:rPr>
      </w:pPr>
      <w:bookmarkStart w:id="17" w:name="_Toc25589256"/>
      <w:r>
        <w:rPr>
          <w:rFonts w:ascii="宋体" w:hAnsi="宋体"/>
          <w:b/>
          <w:bCs w:val="0"/>
          <w:sz w:val="28"/>
          <w:szCs w:val="28"/>
        </w:rPr>
        <w:t>八、评标方法、评标标准和废标条款</w:t>
      </w:r>
      <w:bookmarkEnd w:id="17"/>
    </w:p>
    <w:p>
      <w:pPr>
        <w:snapToGrid w:val="0"/>
        <w:spacing w:line="500" w:lineRule="exact"/>
        <w:ind w:firstLine="481"/>
        <w:rPr>
          <w:rFonts w:hint="eastAsia" w:ascii="宋体" w:hAnsi="宋体"/>
          <w:sz w:val="24"/>
        </w:rPr>
      </w:pPr>
    </w:p>
    <w:p>
      <w:pPr>
        <w:spacing w:line="360" w:lineRule="auto"/>
        <w:ind w:firstLine="480" w:firstLineChars="200"/>
        <w:rPr>
          <w:rFonts w:hint="eastAsia" w:ascii="宋体" w:hAnsi="宋体" w:cs="宋体"/>
          <w:sz w:val="24"/>
        </w:rPr>
      </w:pPr>
      <w:r>
        <w:rPr>
          <w:rFonts w:hint="eastAsia" w:ascii="宋体" w:hAnsi="宋体" w:cs="宋体"/>
          <w:sz w:val="24"/>
        </w:rPr>
        <w:t>8.1开标：</w:t>
      </w:r>
    </w:p>
    <w:p>
      <w:pPr>
        <w:spacing w:line="360" w:lineRule="auto"/>
        <w:ind w:firstLine="480" w:firstLineChars="200"/>
        <w:rPr>
          <w:rFonts w:hint="eastAsia" w:ascii="宋体" w:hAnsi="宋体" w:cs="宋体"/>
          <w:sz w:val="24"/>
        </w:rPr>
      </w:pPr>
      <w:r>
        <w:rPr>
          <w:rFonts w:hint="eastAsia" w:ascii="宋体" w:hAnsi="宋体" w:cs="宋体"/>
          <w:sz w:val="24"/>
        </w:rPr>
        <w:t>8.1.1</w:t>
      </w:r>
      <w:r>
        <w:rPr>
          <w:rFonts w:hint="eastAsia" w:ascii="宋体" w:hAnsi="宋体" w:cs="宋体"/>
          <w:b/>
          <w:sz w:val="24"/>
        </w:rPr>
        <w:t>在投标截止时间前按规定提交投标文件的供应商在</w:t>
      </w:r>
      <w:r>
        <w:rPr>
          <w:rFonts w:hint="eastAsia" w:ascii="宋体" w:hAnsi="宋体" w:cs="宋体"/>
          <w:b/>
          <w:sz w:val="24"/>
          <w:u w:val="single"/>
        </w:rPr>
        <w:t>三</w:t>
      </w:r>
      <w:r>
        <w:rPr>
          <w:rFonts w:hint="eastAsia" w:ascii="宋体" w:hAnsi="宋体" w:cs="宋体"/>
          <w:b/>
          <w:sz w:val="24"/>
        </w:rPr>
        <w:t>家及以上的</w:t>
      </w:r>
      <w:r>
        <w:rPr>
          <w:rFonts w:hint="eastAsia" w:ascii="宋体" w:hAnsi="宋体" w:cs="宋体"/>
          <w:sz w:val="24"/>
        </w:rPr>
        <w:t>，由采购人组织进行开标。</w:t>
      </w:r>
    </w:p>
    <w:p>
      <w:pPr>
        <w:snapToGrid w:val="0"/>
        <w:spacing w:line="360" w:lineRule="auto"/>
        <w:ind w:firstLine="480" w:firstLineChars="200"/>
        <w:jc w:val="left"/>
        <w:rPr>
          <w:rFonts w:hint="eastAsia" w:ascii="宋体" w:hAnsi="宋体" w:cs="宋体"/>
          <w:sz w:val="24"/>
        </w:rPr>
      </w:pPr>
      <w:r>
        <w:rPr>
          <w:rFonts w:hint="eastAsia" w:ascii="宋体" w:hAnsi="宋体" w:cs="宋体"/>
          <w:sz w:val="24"/>
        </w:rPr>
        <w:t xml:space="preserve">8.1.2 </w:t>
      </w:r>
      <w:r>
        <w:rPr>
          <w:rFonts w:hint="eastAsia" w:ascii="宋体" w:hAnsi="宋体" w:cs="宋体"/>
          <w:b/>
          <w:bCs/>
          <w:sz w:val="24"/>
        </w:rPr>
        <w:t>电子招投标开标及评审程序</w:t>
      </w:r>
    </w:p>
    <w:p>
      <w:pPr>
        <w:snapToGrid w:val="0"/>
        <w:spacing w:line="360" w:lineRule="auto"/>
        <w:ind w:firstLine="482"/>
        <w:jc w:val="left"/>
        <w:rPr>
          <w:rFonts w:hint="eastAsia" w:ascii="宋体" w:hAnsi="宋体"/>
          <w:sz w:val="24"/>
        </w:rPr>
      </w:pPr>
      <w:r>
        <w:rPr>
          <w:rFonts w:hint="eastAsia" w:ascii="宋体" w:hAnsi="宋体"/>
          <w:sz w:val="24"/>
        </w:rPr>
        <w:t>（1）投标截止时间后，投标人登录政采云平台，用“项目采购-开标评标”功能对电子投标文件进行在线解密。在线解密电子投标文件时间为开标时间起1个小时内。</w:t>
      </w:r>
    </w:p>
    <w:p>
      <w:pPr>
        <w:snapToGrid w:val="0"/>
        <w:spacing w:line="360" w:lineRule="auto"/>
        <w:ind w:firstLine="482"/>
        <w:jc w:val="left"/>
        <w:rPr>
          <w:rFonts w:hint="eastAsia" w:ascii="宋体" w:hAnsi="宋体"/>
          <w:sz w:val="24"/>
        </w:rPr>
      </w:pPr>
      <w:r>
        <w:rPr>
          <w:rFonts w:hint="eastAsia" w:ascii="宋体" w:hAnsi="宋体"/>
          <w:sz w:val="24"/>
        </w:rPr>
        <w:t>（2）评标委员会依照本招标文件规定进行审查、评议；</w:t>
      </w:r>
    </w:p>
    <w:p>
      <w:pPr>
        <w:snapToGrid w:val="0"/>
        <w:spacing w:line="360" w:lineRule="auto"/>
        <w:ind w:firstLine="482"/>
        <w:jc w:val="left"/>
        <w:rPr>
          <w:rFonts w:hint="eastAsia" w:ascii="宋体" w:hAnsi="宋体"/>
          <w:sz w:val="24"/>
        </w:rPr>
      </w:pPr>
      <w:r>
        <w:rPr>
          <w:rFonts w:hint="eastAsia" w:ascii="宋体" w:hAnsi="宋体"/>
          <w:sz w:val="24"/>
        </w:rPr>
        <w:t>（3）在系统上公开资格和资信技术评审结果；</w:t>
      </w:r>
    </w:p>
    <w:p>
      <w:pPr>
        <w:snapToGrid w:val="0"/>
        <w:spacing w:line="360" w:lineRule="auto"/>
        <w:ind w:firstLine="482"/>
        <w:jc w:val="left"/>
        <w:rPr>
          <w:rFonts w:hint="eastAsia" w:ascii="宋体" w:hAnsi="宋体"/>
          <w:sz w:val="24"/>
        </w:rPr>
      </w:pPr>
      <w:r>
        <w:rPr>
          <w:rFonts w:hint="eastAsia" w:ascii="宋体" w:hAnsi="宋体"/>
          <w:sz w:val="24"/>
        </w:rPr>
        <w:t>（4）在系统上公开报价开标情况；</w:t>
      </w:r>
    </w:p>
    <w:p>
      <w:pPr>
        <w:snapToGrid w:val="0"/>
        <w:spacing w:line="360" w:lineRule="auto"/>
        <w:ind w:firstLine="482"/>
        <w:jc w:val="left"/>
        <w:rPr>
          <w:rFonts w:hint="eastAsia" w:ascii="宋体" w:hAnsi="宋体"/>
          <w:sz w:val="24"/>
        </w:rPr>
      </w:pPr>
      <w:r>
        <w:rPr>
          <w:rFonts w:hint="eastAsia" w:ascii="宋体" w:hAnsi="宋体"/>
          <w:sz w:val="24"/>
        </w:rPr>
        <w:t>（5）评标委员会对报价情况进行评审；</w:t>
      </w:r>
    </w:p>
    <w:p>
      <w:pPr>
        <w:snapToGrid w:val="0"/>
        <w:spacing w:line="360" w:lineRule="auto"/>
        <w:ind w:firstLine="482"/>
        <w:jc w:val="left"/>
        <w:rPr>
          <w:rFonts w:hint="eastAsia" w:ascii="宋体" w:hAnsi="宋体"/>
          <w:sz w:val="24"/>
        </w:rPr>
      </w:pPr>
      <w:r>
        <w:rPr>
          <w:rFonts w:hint="eastAsia" w:ascii="宋体" w:hAnsi="宋体"/>
          <w:sz w:val="24"/>
        </w:rPr>
        <w:t>（6）在系统上公布评审结果。</w:t>
      </w:r>
    </w:p>
    <w:p>
      <w:pPr>
        <w:snapToGrid w:val="0"/>
        <w:spacing w:line="360" w:lineRule="auto"/>
        <w:ind w:firstLine="482"/>
        <w:jc w:val="left"/>
        <w:rPr>
          <w:rFonts w:hint="eastAsia" w:ascii="宋体" w:hAnsi="宋体"/>
          <w:b/>
          <w:sz w:val="24"/>
        </w:rPr>
      </w:pPr>
      <w:r>
        <w:rPr>
          <w:rFonts w:hint="eastAsia" w:ascii="宋体" w:hAnsi="宋体"/>
          <w:b/>
          <w:sz w:val="24"/>
        </w:rPr>
        <w:t>特别说明：政采云公司如对电子化开标及评审程序有调整的，按调整后的程序操作。</w:t>
      </w:r>
    </w:p>
    <w:p>
      <w:pPr>
        <w:snapToGrid w:val="0"/>
        <w:spacing w:line="360" w:lineRule="auto"/>
        <w:ind w:firstLine="482"/>
        <w:jc w:val="left"/>
        <w:rPr>
          <w:rFonts w:hint="eastAsia" w:ascii="宋体" w:hAnsi="宋体"/>
          <w:sz w:val="24"/>
        </w:rPr>
      </w:pPr>
      <w:r>
        <w:rPr>
          <w:rFonts w:hint="eastAsia" w:ascii="宋体" w:hAnsi="宋体"/>
          <w:sz w:val="24"/>
        </w:rPr>
        <w:t>8.1.3采购人在招标文件要求提交投标文件的截止时间前收到的投标文件，开标时都应当众予以拆封、宣读。</w:t>
      </w:r>
    </w:p>
    <w:p>
      <w:pPr>
        <w:snapToGrid w:val="0"/>
        <w:spacing w:line="360" w:lineRule="auto"/>
        <w:ind w:firstLine="482"/>
        <w:jc w:val="left"/>
        <w:rPr>
          <w:rFonts w:hint="eastAsia" w:ascii="宋体" w:hAnsi="宋体"/>
          <w:sz w:val="24"/>
        </w:rPr>
      </w:pPr>
      <w:r>
        <w:rPr>
          <w:rFonts w:hint="eastAsia" w:ascii="宋体" w:hAnsi="宋体"/>
          <w:sz w:val="24"/>
        </w:rPr>
        <w:t>8.1.4采购人对开标过程进行记录，并存档备查。</w:t>
      </w:r>
    </w:p>
    <w:p>
      <w:pPr>
        <w:snapToGrid w:val="0"/>
        <w:spacing w:line="360" w:lineRule="auto"/>
        <w:ind w:firstLine="482"/>
        <w:jc w:val="left"/>
        <w:rPr>
          <w:rFonts w:hint="eastAsia" w:ascii="宋体" w:hAnsi="宋体"/>
          <w:sz w:val="24"/>
        </w:rPr>
      </w:pPr>
      <w:r>
        <w:rPr>
          <w:rFonts w:hint="eastAsia" w:ascii="宋体" w:hAnsi="宋体"/>
          <w:sz w:val="24"/>
        </w:rPr>
        <w:t>8.1.5本项目原则上采用政采云电子招投标开标及评审程序，但有下情形之一的，按以下情况处理：</w:t>
      </w:r>
    </w:p>
    <w:p>
      <w:pPr>
        <w:snapToGrid w:val="0"/>
        <w:spacing w:line="360" w:lineRule="auto"/>
        <w:ind w:firstLine="482"/>
        <w:jc w:val="left"/>
        <w:rPr>
          <w:rFonts w:hint="eastAsia" w:ascii="宋体" w:hAnsi="宋体"/>
          <w:sz w:val="24"/>
        </w:rPr>
      </w:pPr>
      <w:r>
        <w:rPr>
          <w:rFonts w:hint="eastAsia" w:ascii="宋体" w:hAnsi="宋体"/>
          <w:sz w:val="24"/>
        </w:rPr>
        <w:t>8.1.6若采购人在规定时间内无法解密或解密失败，视为投标人放弃投标。</w:t>
      </w:r>
    </w:p>
    <w:p>
      <w:pPr>
        <w:snapToGrid w:val="0"/>
        <w:spacing w:line="360" w:lineRule="auto"/>
        <w:ind w:firstLine="482"/>
        <w:jc w:val="left"/>
        <w:rPr>
          <w:rFonts w:hint="eastAsia" w:ascii="宋体" w:hAnsi="宋体"/>
          <w:sz w:val="24"/>
        </w:rPr>
      </w:pPr>
      <w:r>
        <w:rPr>
          <w:rFonts w:hint="eastAsia" w:ascii="宋体" w:hAnsi="宋体"/>
          <w:sz w:val="24"/>
        </w:rPr>
        <w:t>8.1.7采购过程中出现以下情形，导致电子交易平台无法正常运行，或者无法保证电子交易的公平、公正和安全时，采购组织机构可中止电子交易活动：</w:t>
      </w:r>
    </w:p>
    <w:p>
      <w:pPr>
        <w:snapToGrid w:val="0"/>
        <w:spacing w:line="360" w:lineRule="auto"/>
        <w:ind w:firstLine="482"/>
        <w:jc w:val="left"/>
        <w:rPr>
          <w:rFonts w:hint="eastAsia" w:ascii="宋体" w:hAnsi="宋体"/>
          <w:sz w:val="24"/>
        </w:rPr>
      </w:pPr>
      <w:r>
        <w:rPr>
          <w:rFonts w:hint="eastAsia" w:ascii="宋体" w:hAnsi="宋体"/>
          <w:sz w:val="24"/>
        </w:rPr>
        <w:t xml:space="preserve">8.1.7.1电子交易平台发生故障而无法登录访问的； </w:t>
      </w:r>
    </w:p>
    <w:p>
      <w:pPr>
        <w:snapToGrid w:val="0"/>
        <w:spacing w:line="360" w:lineRule="auto"/>
        <w:ind w:firstLine="482"/>
        <w:jc w:val="left"/>
        <w:rPr>
          <w:rFonts w:hint="eastAsia" w:ascii="宋体" w:hAnsi="宋体"/>
          <w:sz w:val="24"/>
        </w:rPr>
      </w:pPr>
      <w:r>
        <w:rPr>
          <w:rFonts w:hint="eastAsia" w:ascii="宋体" w:hAnsi="宋体"/>
          <w:sz w:val="24"/>
        </w:rPr>
        <w:t>8.1.7.2电子交易平台应用或数据库出现错误，不能进行正常操作的；</w:t>
      </w:r>
    </w:p>
    <w:p>
      <w:pPr>
        <w:snapToGrid w:val="0"/>
        <w:spacing w:line="360" w:lineRule="auto"/>
        <w:ind w:firstLine="482"/>
        <w:jc w:val="left"/>
        <w:rPr>
          <w:rFonts w:hint="eastAsia" w:ascii="宋体" w:hAnsi="宋体"/>
          <w:sz w:val="24"/>
        </w:rPr>
      </w:pPr>
      <w:r>
        <w:rPr>
          <w:rFonts w:hint="eastAsia" w:ascii="宋体" w:hAnsi="宋体"/>
          <w:sz w:val="24"/>
        </w:rPr>
        <w:t>8.1.7.3电子交易平台发现严重安全漏洞，有潜在泄密危险的；</w:t>
      </w:r>
    </w:p>
    <w:p>
      <w:pPr>
        <w:snapToGrid w:val="0"/>
        <w:spacing w:line="360" w:lineRule="auto"/>
        <w:ind w:firstLine="482"/>
        <w:jc w:val="left"/>
        <w:rPr>
          <w:rFonts w:hint="eastAsia" w:ascii="宋体" w:hAnsi="宋体"/>
          <w:sz w:val="24"/>
        </w:rPr>
      </w:pPr>
      <w:r>
        <w:rPr>
          <w:rFonts w:hint="eastAsia" w:ascii="宋体" w:hAnsi="宋体"/>
          <w:sz w:val="24"/>
        </w:rPr>
        <w:t xml:space="preserve">8.1.7.4病毒发作导致不能进行正常操作的； </w:t>
      </w:r>
    </w:p>
    <w:p>
      <w:pPr>
        <w:snapToGrid w:val="0"/>
        <w:spacing w:line="360" w:lineRule="auto"/>
        <w:ind w:firstLine="482"/>
        <w:jc w:val="left"/>
        <w:rPr>
          <w:rFonts w:hint="eastAsia" w:ascii="宋体" w:hAnsi="宋体"/>
          <w:sz w:val="24"/>
        </w:rPr>
      </w:pPr>
      <w:r>
        <w:rPr>
          <w:rFonts w:hint="eastAsia" w:ascii="宋体" w:hAnsi="宋体"/>
          <w:sz w:val="24"/>
        </w:rPr>
        <w:t>8.1.7.5其他无法保证电子交易的公平、公正和安全的情况。</w:t>
      </w:r>
    </w:p>
    <w:p>
      <w:pPr>
        <w:snapToGrid w:val="0"/>
        <w:spacing w:line="360" w:lineRule="auto"/>
        <w:ind w:firstLine="482"/>
        <w:jc w:val="left"/>
        <w:rPr>
          <w:rFonts w:hint="eastAsia" w:ascii="宋体" w:hAnsi="宋体"/>
          <w:sz w:val="24"/>
        </w:rPr>
      </w:pPr>
      <w:r>
        <w:rPr>
          <w:rFonts w:hint="eastAsia" w:ascii="宋体" w:hAnsi="宋体"/>
          <w:sz w:val="24"/>
        </w:rPr>
        <w:t>出现前款规定情形，不影响采购公平、公正性的，采购组织机构可以待上述情形消除后继续组织电子交易活动。</w:t>
      </w:r>
    </w:p>
    <w:p>
      <w:pPr>
        <w:snapToGrid w:val="0"/>
        <w:spacing w:line="360" w:lineRule="auto"/>
        <w:ind w:firstLine="482"/>
        <w:jc w:val="left"/>
        <w:rPr>
          <w:rFonts w:hint="eastAsia" w:ascii="宋体" w:hAnsi="宋体"/>
          <w:sz w:val="24"/>
        </w:rPr>
      </w:pPr>
      <w:r>
        <w:rPr>
          <w:rFonts w:hint="eastAsia" w:ascii="宋体" w:hAnsi="宋体"/>
          <w:sz w:val="24"/>
        </w:rPr>
        <w:t>8.1.8 开标时，由采购人或者采购代理机构对供应商资格进行审查，并通过“信用中国”网站(www.creditchina.gov.cn)、中国政府采购网(www.ccgp.gov.cn)查询相关投标人信用记录，对供应商信用记录进行甄别。</w:t>
      </w:r>
    </w:p>
    <w:p>
      <w:pPr>
        <w:snapToGrid w:val="0"/>
        <w:spacing w:line="360" w:lineRule="auto"/>
        <w:ind w:firstLine="482" w:firstLineChars="200"/>
        <w:jc w:val="left"/>
        <w:rPr>
          <w:rFonts w:hint="eastAsia" w:ascii="宋体" w:hAnsi="宋体" w:cs="宋体"/>
          <w:b/>
          <w:sz w:val="24"/>
          <w:u w:val="single"/>
        </w:rPr>
      </w:pPr>
      <w:r>
        <w:rPr>
          <w:rFonts w:hint="eastAsia" w:ascii="宋体" w:hAnsi="宋体" w:cs="宋体"/>
          <w:b/>
          <w:sz w:val="24"/>
          <w:u w:val="single"/>
        </w:rPr>
        <w:t>8.1.9开标顺序为：先查验资信证明文件、其次开商务技术标、最后开价格标。资格（资信）证明文件或商务技术标经过评标委员会评审未获通过的，将不再开启价格标。</w:t>
      </w:r>
    </w:p>
    <w:p>
      <w:pPr>
        <w:snapToGrid w:val="0"/>
        <w:spacing w:line="360" w:lineRule="auto"/>
        <w:ind w:firstLine="482" w:firstLineChars="200"/>
        <w:jc w:val="left"/>
        <w:rPr>
          <w:rFonts w:hint="eastAsia" w:ascii="宋体" w:hAnsi="宋体" w:cs="宋体"/>
          <w:sz w:val="24"/>
        </w:rPr>
      </w:pPr>
      <w:r>
        <w:rPr>
          <w:rFonts w:hint="eastAsia" w:ascii="宋体" w:hAnsi="宋体" w:cs="宋体"/>
          <w:b/>
          <w:sz w:val="24"/>
          <w:u w:val="single"/>
        </w:rPr>
        <w:t>8.1.10</w:t>
      </w:r>
      <w:r>
        <w:rPr>
          <w:rFonts w:hint="eastAsia" w:ascii="宋体" w:hAnsi="宋体"/>
          <w:b/>
          <w:sz w:val="24"/>
          <w:u w:val="single"/>
        </w:rPr>
        <w:t>二个标段的开标顺序为按Ⅰ标、Ⅱ标顺序依次开启，只允许中一个标段，已中一个标段的供应商，下个标段的标书就不再开启。</w:t>
      </w:r>
    </w:p>
    <w:p>
      <w:pPr>
        <w:snapToGrid w:val="0"/>
        <w:spacing w:line="360" w:lineRule="auto"/>
        <w:ind w:firstLine="482"/>
        <w:jc w:val="left"/>
        <w:rPr>
          <w:rFonts w:hint="eastAsia" w:ascii="宋体" w:hAnsi="宋体"/>
          <w:sz w:val="24"/>
        </w:rPr>
      </w:pPr>
      <w:r>
        <w:rPr>
          <w:rFonts w:hint="eastAsia" w:ascii="宋体" w:hAnsi="宋体"/>
          <w:sz w:val="24"/>
        </w:rPr>
        <w:t>8.2 评标：</w:t>
      </w:r>
    </w:p>
    <w:p>
      <w:pPr>
        <w:snapToGrid w:val="0"/>
        <w:spacing w:line="360" w:lineRule="auto"/>
        <w:ind w:firstLine="482"/>
        <w:jc w:val="left"/>
        <w:rPr>
          <w:rFonts w:hint="eastAsia" w:ascii="宋体" w:hAnsi="宋体"/>
          <w:sz w:val="24"/>
        </w:rPr>
      </w:pPr>
      <w:r>
        <w:rPr>
          <w:rFonts w:hint="eastAsia" w:ascii="宋体" w:hAnsi="宋体"/>
          <w:sz w:val="24"/>
        </w:rPr>
        <w:t>8.2.1采购人将组织评标委员会对</w:t>
      </w:r>
      <w:r>
        <w:rPr>
          <w:rFonts w:hint="eastAsia" w:ascii="宋体" w:hAnsi="宋体"/>
          <w:b/>
          <w:sz w:val="24"/>
        </w:rPr>
        <w:t>Ⅰ标、Ⅱ标</w:t>
      </w:r>
      <w:r>
        <w:rPr>
          <w:rFonts w:hint="eastAsia" w:ascii="宋体" w:hAnsi="宋体"/>
          <w:sz w:val="24"/>
        </w:rPr>
        <w:t>进行评标，依照本采购文件规定进行审查、评议；</w:t>
      </w:r>
    </w:p>
    <w:p>
      <w:pPr>
        <w:snapToGrid w:val="0"/>
        <w:spacing w:line="360" w:lineRule="auto"/>
        <w:ind w:firstLine="482"/>
        <w:jc w:val="left"/>
        <w:rPr>
          <w:rFonts w:hint="eastAsia" w:ascii="宋体" w:hAnsi="宋体"/>
          <w:sz w:val="24"/>
        </w:rPr>
      </w:pPr>
      <w:r>
        <w:rPr>
          <w:rFonts w:hint="eastAsia" w:ascii="宋体" w:hAnsi="宋体"/>
          <w:sz w:val="24"/>
        </w:rPr>
        <w:t>8.2.2 将从以下几方面对有效的投标文件进行综合评判：</w:t>
      </w:r>
    </w:p>
    <w:p>
      <w:pPr>
        <w:snapToGrid w:val="0"/>
        <w:spacing w:line="360" w:lineRule="auto"/>
        <w:ind w:firstLine="482"/>
        <w:jc w:val="left"/>
        <w:rPr>
          <w:rFonts w:hint="eastAsia" w:ascii="宋体" w:hAnsi="宋体"/>
          <w:sz w:val="24"/>
        </w:rPr>
      </w:pPr>
      <w:r>
        <w:rPr>
          <w:rFonts w:hint="eastAsia" w:ascii="宋体" w:hAnsi="宋体"/>
          <w:sz w:val="24"/>
        </w:rPr>
        <w:t>8.2.2.1 供应商详细的安装实施方案和实施计划；</w:t>
      </w:r>
    </w:p>
    <w:p>
      <w:pPr>
        <w:snapToGrid w:val="0"/>
        <w:spacing w:line="360" w:lineRule="auto"/>
        <w:ind w:firstLine="482"/>
        <w:jc w:val="left"/>
        <w:rPr>
          <w:rFonts w:hint="eastAsia" w:ascii="宋体" w:hAnsi="宋体"/>
          <w:sz w:val="24"/>
        </w:rPr>
      </w:pPr>
      <w:r>
        <w:rPr>
          <w:rFonts w:hint="eastAsia" w:ascii="宋体" w:hAnsi="宋体"/>
          <w:sz w:val="24"/>
        </w:rPr>
        <w:t>8.2.2.2 投标价格是否具有优势；</w:t>
      </w:r>
    </w:p>
    <w:p>
      <w:pPr>
        <w:snapToGrid w:val="0"/>
        <w:spacing w:line="360" w:lineRule="auto"/>
        <w:ind w:firstLine="482"/>
        <w:jc w:val="left"/>
        <w:rPr>
          <w:rFonts w:hint="eastAsia" w:ascii="宋体" w:hAnsi="宋体"/>
          <w:sz w:val="24"/>
        </w:rPr>
      </w:pPr>
      <w:r>
        <w:rPr>
          <w:rFonts w:hint="eastAsia" w:ascii="宋体" w:hAnsi="宋体"/>
          <w:sz w:val="24"/>
        </w:rPr>
        <w:t>8.2.2.3 对采购文件中的付款方式是否响应，如不响应将被拒绝；</w:t>
      </w:r>
    </w:p>
    <w:p>
      <w:pPr>
        <w:snapToGrid w:val="0"/>
        <w:spacing w:line="360" w:lineRule="auto"/>
        <w:ind w:firstLine="482"/>
        <w:jc w:val="left"/>
        <w:rPr>
          <w:rFonts w:hint="eastAsia" w:ascii="宋体" w:hAnsi="宋体"/>
          <w:sz w:val="24"/>
        </w:rPr>
      </w:pPr>
      <w:r>
        <w:rPr>
          <w:rFonts w:hint="eastAsia" w:ascii="宋体" w:hAnsi="宋体"/>
          <w:sz w:val="24"/>
        </w:rPr>
        <w:t>8.2.2.4 供应商的综合实力、业绩及信誉等；</w:t>
      </w:r>
    </w:p>
    <w:p>
      <w:pPr>
        <w:snapToGrid w:val="0"/>
        <w:spacing w:line="360" w:lineRule="auto"/>
        <w:ind w:firstLine="482"/>
        <w:jc w:val="left"/>
        <w:rPr>
          <w:rFonts w:hint="eastAsia" w:ascii="宋体" w:hAnsi="宋体"/>
          <w:sz w:val="24"/>
        </w:rPr>
      </w:pPr>
      <w:r>
        <w:rPr>
          <w:rFonts w:hint="eastAsia" w:ascii="宋体" w:hAnsi="宋体"/>
          <w:sz w:val="24"/>
        </w:rPr>
        <w:t>8.2.2.5 售后服务承诺是否完整、真实、可行；</w:t>
      </w:r>
    </w:p>
    <w:p>
      <w:pPr>
        <w:snapToGrid w:val="0"/>
        <w:spacing w:line="360" w:lineRule="auto"/>
        <w:ind w:firstLine="482"/>
        <w:jc w:val="left"/>
        <w:rPr>
          <w:rFonts w:hint="eastAsia" w:ascii="宋体" w:hAnsi="宋体"/>
          <w:sz w:val="24"/>
        </w:rPr>
      </w:pPr>
      <w:r>
        <w:rPr>
          <w:rFonts w:hint="eastAsia" w:ascii="宋体" w:hAnsi="宋体"/>
          <w:sz w:val="24"/>
        </w:rPr>
        <w:t>8.2.2.6 投标文件是否完整、真实、整洁。</w:t>
      </w:r>
    </w:p>
    <w:p>
      <w:pPr>
        <w:snapToGrid w:val="0"/>
        <w:spacing w:line="360" w:lineRule="auto"/>
        <w:ind w:firstLine="482"/>
        <w:jc w:val="left"/>
        <w:rPr>
          <w:rFonts w:hint="eastAsia" w:ascii="宋体" w:hAnsi="宋体"/>
          <w:sz w:val="24"/>
        </w:rPr>
      </w:pPr>
      <w:r>
        <w:rPr>
          <w:rFonts w:hint="eastAsia" w:ascii="宋体" w:hAnsi="宋体"/>
          <w:sz w:val="24"/>
        </w:rPr>
        <w:t>8.2.2.7 投标货物的性能优劣。</w:t>
      </w:r>
    </w:p>
    <w:p>
      <w:pPr>
        <w:snapToGrid w:val="0"/>
        <w:spacing w:line="360" w:lineRule="auto"/>
        <w:ind w:firstLine="482"/>
        <w:jc w:val="left"/>
        <w:rPr>
          <w:rFonts w:hint="eastAsia" w:ascii="宋体" w:hAnsi="宋体"/>
          <w:sz w:val="24"/>
        </w:rPr>
      </w:pPr>
      <w:r>
        <w:rPr>
          <w:rFonts w:hint="eastAsia" w:ascii="宋体" w:hAnsi="宋体"/>
          <w:sz w:val="24"/>
        </w:rPr>
        <w:t>8.2.3 与采购文件有重大偏离的投标文件将被拒绝。</w:t>
      </w:r>
    </w:p>
    <w:p>
      <w:pPr>
        <w:snapToGrid w:val="0"/>
        <w:spacing w:line="360" w:lineRule="auto"/>
        <w:ind w:firstLine="482"/>
        <w:jc w:val="left"/>
        <w:rPr>
          <w:rFonts w:hint="eastAsia" w:ascii="宋体" w:hAnsi="宋体"/>
          <w:sz w:val="24"/>
        </w:rPr>
      </w:pPr>
      <w:r>
        <w:rPr>
          <w:rFonts w:hint="eastAsia" w:ascii="宋体" w:hAnsi="宋体"/>
          <w:sz w:val="24"/>
        </w:rPr>
        <w:t>8.3 定标方式：</w:t>
      </w:r>
      <w:r>
        <w:rPr>
          <w:rFonts w:hint="eastAsia" w:ascii="宋体" w:hAnsi="宋体"/>
          <w:sz w:val="24"/>
          <w:u w:val="single"/>
        </w:rPr>
        <w:t>采用综合评分法</w:t>
      </w:r>
    </w:p>
    <w:p>
      <w:pPr>
        <w:snapToGrid w:val="0"/>
        <w:spacing w:line="360" w:lineRule="auto"/>
        <w:ind w:firstLine="482"/>
        <w:jc w:val="left"/>
        <w:rPr>
          <w:rFonts w:hint="eastAsia" w:ascii="宋体" w:hAnsi="宋体"/>
          <w:sz w:val="24"/>
          <w:u w:val="single"/>
        </w:rPr>
      </w:pPr>
      <w:r>
        <w:rPr>
          <w:rFonts w:hint="eastAsia" w:ascii="宋体" w:hAnsi="宋体"/>
          <w:sz w:val="24"/>
          <w:u w:val="single"/>
        </w:rPr>
        <w:t>8.3.1 投标人根据采购人所需项目的服务内容、服务要求等进行标书制作和报价。</w:t>
      </w:r>
    </w:p>
    <w:p>
      <w:pPr>
        <w:snapToGrid w:val="0"/>
        <w:spacing w:line="360" w:lineRule="auto"/>
        <w:ind w:firstLine="482"/>
        <w:jc w:val="left"/>
        <w:rPr>
          <w:rFonts w:hint="eastAsia" w:ascii="宋体" w:hAnsi="宋体"/>
          <w:sz w:val="24"/>
        </w:rPr>
      </w:pPr>
      <w:r>
        <w:rPr>
          <w:rFonts w:hint="eastAsia" w:ascii="宋体" w:hAnsi="宋体"/>
          <w:sz w:val="24"/>
          <w:u w:val="single"/>
        </w:rPr>
        <w:t>8.3.2 经评标委员会综合评定后，以总得分最高者为第一中标候选人，若最高总得分出现并列时，以报价低者为第一中标候选人；若最高总得分与报价均相同时，由采购人当场随机抽签选定第一中标候选人。</w:t>
      </w:r>
    </w:p>
    <w:p>
      <w:pPr>
        <w:snapToGrid w:val="0"/>
        <w:spacing w:line="360" w:lineRule="auto"/>
        <w:ind w:firstLine="482"/>
        <w:jc w:val="left"/>
        <w:rPr>
          <w:rFonts w:hint="eastAsia" w:ascii="宋体" w:hAnsi="宋体"/>
          <w:sz w:val="24"/>
        </w:rPr>
      </w:pPr>
      <w:r>
        <w:rPr>
          <w:rFonts w:hint="eastAsia" w:ascii="宋体" w:hAnsi="宋体"/>
          <w:sz w:val="24"/>
        </w:rPr>
        <w:t>8.3.3具体评分方式详见“评标办法”。</w:t>
      </w:r>
    </w:p>
    <w:p>
      <w:pPr>
        <w:snapToGrid w:val="0"/>
        <w:spacing w:line="360" w:lineRule="auto"/>
        <w:ind w:firstLine="482"/>
        <w:jc w:val="left"/>
        <w:rPr>
          <w:rFonts w:hint="eastAsia" w:ascii="宋体" w:hAnsi="宋体"/>
          <w:sz w:val="24"/>
        </w:rPr>
      </w:pPr>
      <w:r>
        <w:rPr>
          <w:rFonts w:hint="eastAsia" w:ascii="宋体" w:hAnsi="宋体"/>
          <w:sz w:val="24"/>
        </w:rPr>
        <w:t>8.4 定标：按本采购文件“8.3定标方式”规定确定中标者。</w:t>
      </w:r>
    </w:p>
    <w:p>
      <w:pPr>
        <w:snapToGrid w:val="0"/>
        <w:spacing w:line="360" w:lineRule="auto"/>
        <w:ind w:firstLine="482"/>
        <w:jc w:val="left"/>
        <w:rPr>
          <w:rFonts w:hint="eastAsia" w:ascii="宋体" w:hAnsi="宋体"/>
          <w:sz w:val="24"/>
        </w:rPr>
      </w:pPr>
      <w:r>
        <w:rPr>
          <w:rFonts w:hint="eastAsia" w:ascii="宋体" w:hAnsi="宋体"/>
          <w:sz w:val="24"/>
        </w:rPr>
        <w:t>8.5 出现下列情形之一的，采购人将予以废标。</w:t>
      </w:r>
    </w:p>
    <w:p>
      <w:pPr>
        <w:snapToGrid w:val="0"/>
        <w:spacing w:line="360" w:lineRule="auto"/>
        <w:ind w:firstLine="482"/>
        <w:jc w:val="left"/>
        <w:rPr>
          <w:rFonts w:hint="eastAsia" w:ascii="宋体" w:hAnsi="宋体"/>
          <w:sz w:val="24"/>
          <w:u w:val="single"/>
        </w:rPr>
      </w:pPr>
      <w:r>
        <w:rPr>
          <w:rFonts w:hint="eastAsia" w:ascii="宋体" w:hAnsi="宋体"/>
          <w:sz w:val="24"/>
          <w:u w:val="single"/>
        </w:rPr>
        <w:t>8.5.1在投标截止时间前，按规定提交投标文件的供应商不足三家的；</w:t>
      </w:r>
    </w:p>
    <w:p>
      <w:pPr>
        <w:snapToGrid w:val="0"/>
        <w:spacing w:line="360" w:lineRule="auto"/>
        <w:ind w:firstLine="482"/>
        <w:jc w:val="left"/>
        <w:rPr>
          <w:rFonts w:hint="eastAsia" w:ascii="宋体" w:hAnsi="宋体"/>
          <w:sz w:val="24"/>
        </w:rPr>
      </w:pPr>
      <w:r>
        <w:rPr>
          <w:rFonts w:hint="eastAsia" w:ascii="宋体" w:hAnsi="宋体"/>
          <w:sz w:val="24"/>
        </w:rPr>
        <w:t>8.5.2供应商的报价均超过了采购人上限价或采购预算，采购人不能支付的；</w:t>
      </w:r>
    </w:p>
    <w:p>
      <w:pPr>
        <w:snapToGrid w:val="0"/>
        <w:spacing w:line="360" w:lineRule="auto"/>
        <w:ind w:firstLine="482"/>
        <w:jc w:val="left"/>
        <w:rPr>
          <w:rFonts w:hint="eastAsia" w:ascii="宋体" w:hAnsi="宋体"/>
          <w:sz w:val="24"/>
        </w:rPr>
      </w:pPr>
      <w:r>
        <w:rPr>
          <w:rFonts w:hint="eastAsia" w:ascii="宋体" w:hAnsi="宋体"/>
          <w:sz w:val="24"/>
        </w:rPr>
        <w:t>8.5.3出现影响采购公正的违法、违规行为的。</w:t>
      </w:r>
    </w:p>
    <w:p>
      <w:pPr>
        <w:snapToGrid w:val="0"/>
        <w:spacing w:line="360" w:lineRule="auto"/>
        <w:ind w:firstLine="482"/>
        <w:jc w:val="left"/>
        <w:rPr>
          <w:rFonts w:hint="eastAsia" w:ascii="宋体" w:hAnsi="宋体"/>
          <w:sz w:val="24"/>
        </w:rPr>
      </w:pPr>
      <w:r>
        <w:rPr>
          <w:rFonts w:hint="eastAsia" w:ascii="宋体" w:hAnsi="宋体"/>
          <w:sz w:val="24"/>
        </w:rPr>
        <w:t>8.6 采购人不向供应商解释未中标的原因，不退还投标文件。</w:t>
      </w:r>
    </w:p>
    <w:p>
      <w:pPr>
        <w:snapToGrid w:val="0"/>
        <w:spacing w:line="360" w:lineRule="auto"/>
        <w:ind w:firstLine="482"/>
        <w:jc w:val="left"/>
        <w:rPr>
          <w:rFonts w:hint="eastAsia" w:ascii="宋体" w:hAnsi="宋体"/>
          <w:sz w:val="24"/>
        </w:rPr>
      </w:pPr>
      <w:r>
        <w:rPr>
          <w:rFonts w:hint="eastAsia" w:ascii="宋体" w:hAnsi="宋体"/>
          <w:sz w:val="24"/>
        </w:rPr>
        <w:t>8.7投标文件有下列情况之一，经认定属未实质性响应采购文件的，将视为无效：</w:t>
      </w:r>
    </w:p>
    <w:p>
      <w:pPr>
        <w:snapToGrid w:val="0"/>
        <w:spacing w:line="360" w:lineRule="auto"/>
        <w:ind w:firstLine="482"/>
        <w:jc w:val="left"/>
        <w:rPr>
          <w:rFonts w:hint="eastAsia" w:ascii="宋体" w:hAnsi="宋体"/>
          <w:sz w:val="24"/>
        </w:rPr>
      </w:pPr>
      <w:r>
        <w:rPr>
          <w:rFonts w:hint="eastAsia" w:ascii="宋体" w:hAnsi="宋体"/>
          <w:sz w:val="24"/>
        </w:rPr>
        <w:t>8.7.1投标文件或投标文件的开标一览表（报价表）未加盖供应商公章的；</w:t>
      </w:r>
    </w:p>
    <w:p>
      <w:pPr>
        <w:snapToGrid w:val="0"/>
        <w:spacing w:line="360" w:lineRule="auto"/>
        <w:ind w:firstLine="482"/>
        <w:jc w:val="left"/>
        <w:rPr>
          <w:rFonts w:hint="eastAsia" w:ascii="宋体" w:hAnsi="宋体"/>
          <w:sz w:val="24"/>
        </w:rPr>
      </w:pPr>
      <w:r>
        <w:rPr>
          <w:rFonts w:hint="eastAsia" w:ascii="宋体" w:hAnsi="宋体"/>
          <w:sz w:val="24"/>
        </w:rPr>
        <w:t>8.7.2 未按采购文件规定填写，内容不全或关键字迹模糊、无法辨认的；</w:t>
      </w:r>
    </w:p>
    <w:p>
      <w:pPr>
        <w:snapToGrid w:val="0"/>
        <w:spacing w:line="360" w:lineRule="auto"/>
        <w:ind w:firstLine="482"/>
        <w:jc w:val="left"/>
        <w:rPr>
          <w:rFonts w:hint="eastAsia" w:ascii="宋体" w:hAnsi="宋体"/>
          <w:sz w:val="24"/>
        </w:rPr>
      </w:pPr>
      <w:r>
        <w:rPr>
          <w:rFonts w:hint="eastAsia" w:ascii="宋体" w:hAnsi="宋体"/>
          <w:sz w:val="24"/>
        </w:rPr>
        <w:t>8.7.3 供应商递交两份或多份内容不同的投标文件，或在一份投标文件中对同一采购项目报有两个或多个报价，且未声明哪一个有效；</w:t>
      </w:r>
    </w:p>
    <w:p>
      <w:pPr>
        <w:snapToGrid w:val="0"/>
        <w:spacing w:line="360" w:lineRule="auto"/>
        <w:ind w:firstLine="482"/>
        <w:jc w:val="left"/>
        <w:rPr>
          <w:rFonts w:hint="eastAsia" w:ascii="宋体" w:hAnsi="宋体"/>
          <w:sz w:val="24"/>
        </w:rPr>
      </w:pPr>
      <w:r>
        <w:rPr>
          <w:rFonts w:hint="eastAsia" w:ascii="宋体" w:hAnsi="宋体"/>
          <w:sz w:val="24"/>
        </w:rPr>
        <w:t>8.7.4 供应商名称或组织机构与资格预审时不一致的；</w:t>
      </w:r>
    </w:p>
    <w:p>
      <w:pPr>
        <w:snapToGrid w:val="0"/>
        <w:spacing w:line="360" w:lineRule="auto"/>
        <w:ind w:firstLine="482"/>
        <w:jc w:val="left"/>
        <w:rPr>
          <w:rFonts w:hint="eastAsia" w:ascii="宋体" w:hAnsi="宋体"/>
          <w:sz w:val="24"/>
        </w:rPr>
      </w:pPr>
      <w:r>
        <w:rPr>
          <w:rFonts w:hint="eastAsia" w:ascii="宋体" w:hAnsi="宋体"/>
          <w:sz w:val="24"/>
        </w:rPr>
        <w:t>8.7.5 未按采购文件要求提交投标保证金的；</w:t>
      </w:r>
    </w:p>
    <w:p>
      <w:pPr>
        <w:snapToGrid w:val="0"/>
        <w:spacing w:line="360" w:lineRule="auto"/>
        <w:ind w:firstLine="482"/>
        <w:jc w:val="left"/>
        <w:rPr>
          <w:rFonts w:hint="eastAsia" w:ascii="宋体" w:hAnsi="宋体"/>
          <w:sz w:val="24"/>
        </w:rPr>
      </w:pPr>
      <w:r>
        <w:rPr>
          <w:rFonts w:hint="eastAsia" w:ascii="宋体" w:hAnsi="宋体"/>
          <w:sz w:val="24"/>
        </w:rPr>
        <w:t>8.7.6 投标文件未按采购文件要求制作、提交的。</w:t>
      </w:r>
    </w:p>
    <w:p>
      <w:pPr>
        <w:snapToGrid w:val="0"/>
        <w:spacing w:line="360" w:lineRule="auto"/>
        <w:ind w:firstLine="482"/>
        <w:jc w:val="left"/>
        <w:rPr>
          <w:rFonts w:hint="eastAsia" w:ascii="宋体" w:hAnsi="宋体"/>
          <w:sz w:val="24"/>
        </w:rPr>
      </w:pPr>
      <w:r>
        <w:rPr>
          <w:rFonts w:hint="eastAsia" w:ascii="宋体" w:hAnsi="宋体"/>
          <w:sz w:val="24"/>
        </w:rPr>
        <w:t>8.7.7 不具备采购文件中规定资格要求或未按采购文件要求提供资格、资信证明文件的。</w:t>
      </w:r>
    </w:p>
    <w:p>
      <w:pPr>
        <w:snapToGrid w:val="0"/>
        <w:spacing w:line="360" w:lineRule="auto"/>
        <w:ind w:firstLine="482"/>
        <w:jc w:val="left"/>
        <w:rPr>
          <w:rFonts w:hint="eastAsia" w:ascii="宋体" w:hAnsi="宋体"/>
          <w:sz w:val="24"/>
        </w:rPr>
      </w:pPr>
      <w:r>
        <w:rPr>
          <w:rFonts w:hint="eastAsia" w:ascii="宋体" w:hAnsi="宋体"/>
          <w:sz w:val="24"/>
        </w:rPr>
        <w:t>8.7.8 不符合法律、法规和采购文件中规定的其他实质性要求的。</w:t>
      </w:r>
    </w:p>
    <w:p>
      <w:pPr>
        <w:snapToGrid w:val="0"/>
        <w:spacing w:line="360" w:lineRule="auto"/>
        <w:ind w:firstLine="482"/>
        <w:jc w:val="left"/>
        <w:rPr>
          <w:rFonts w:hint="eastAsia" w:ascii="宋体" w:hAnsi="宋体"/>
          <w:sz w:val="24"/>
        </w:rPr>
      </w:pPr>
      <w:r>
        <w:rPr>
          <w:rFonts w:hint="eastAsia" w:ascii="宋体" w:hAnsi="宋体"/>
          <w:sz w:val="24"/>
        </w:rPr>
        <w:t>8.8 采购代理机构应当在评标结束后两个工作日内将评标报告送采购人。</w:t>
      </w:r>
    </w:p>
    <w:p>
      <w:pPr>
        <w:snapToGrid w:val="0"/>
        <w:spacing w:line="360" w:lineRule="auto"/>
        <w:ind w:firstLine="482"/>
        <w:jc w:val="left"/>
        <w:rPr>
          <w:rFonts w:hint="eastAsia" w:ascii="宋体" w:hAnsi="宋体"/>
          <w:sz w:val="24"/>
        </w:rPr>
      </w:pPr>
      <w:r>
        <w:rPr>
          <w:rFonts w:hint="eastAsia" w:ascii="宋体" w:hAnsi="宋体"/>
          <w:sz w:val="24"/>
        </w:rPr>
        <w:t>8.9 采购人应当在收到评标报告后五个工作日内，在评标报告推荐的中标候选人中确定中标人。</w:t>
      </w:r>
    </w:p>
    <w:p>
      <w:pPr>
        <w:snapToGrid w:val="0"/>
        <w:spacing w:line="360" w:lineRule="auto"/>
        <w:ind w:firstLine="482"/>
        <w:jc w:val="left"/>
        <w:rPr>
          <w:rFonts w:hint="eastAsia" w:ascii="宋体" w:hAnsi="宋体"/>
          <w:sz w:val="24"/>
        </w:rPr>
      </w:pPr>
      <w:r>
        <w:rPr>
          <w:rFonts w:hint="eastAsia" w:ascii="宋体" w:hAnsi="宋体"/>
          <w:sz w:val="24"/>
        </w:rPr>
        <w:t>8.10</w:t>
      </w:r>
      <w:r>
        <w:rPr>
          <w:rFonts w:hint="eastAsia" w:ascii="宋体" w:hAnsi="宋体"/>
          <w:b/>
          <w:sz w:val="24"/>
        </w:rPr>
        <w:t>中标人</w:t>
      </w:r>
      <w:r>
        <w:rPr>
          <w:rFonts w:hint="eastAsia" w:ascii="宋体" w:hAnsi="宋体"/>
          <w:b/>
          <w:bCs/>
          <w:sz w:val="24"/>
        </w:rPr>
        <w:t>中标满一个月后，采购人将会同考核领导小组成员（执法局、监督中心、环卫中心等人员组成）对中标供应商自身承诺和招标的符合情况进行审查，若审查不合格，采购人有权单方面终止合同并不作赔偿，不予退还保证金。</w:t>
      </w:r>
    </w:p>
    <w:p>
      <w:pPr>
        <w:snapToGrid w:val="0"/>
        <w:spacing w:line="360" w:lineRule="auto"/>
        <w:ind w:firstLine="482"/>
        <w:jc w:val="left"/>
        <w:rPr>
          <w:rFonts w:hint="eastAsia" w:ascii="宋体" w:hAnsi="宋体"/>
          <w:bCs/>
          <w:sz w:val="28"/>
          <w:szCs w:val="28"/>
        </w:rPr>
      </w:pPr>
    </w:p>
    <w:p>
      <w:pPr>
        <w:pStyle w:val="2"/>
        <w:numPr>
          <w:ilvl w:val="0"/>
          <w:numId w:val="0"/>
        </w:numPr>
        <w:spacing w:before="0" w:after="0" w:line="500" w:lineRule="exact"/>
        <w:ind w:left="2269"/>
        <w:jc w:val="both"/>
        <w:rPr>
          <w:rFonts w:ascii="宋体" w:hAnsi="宋体"/>
          <w:b/>
          <w:bCs w:val="0"/>
          <w:sz w:val="28"/>
          <w:szCs w:val="28"/>
        </w:rPr>
      </w:pPr>
      <w:bookmarkStart w:id="18" w:name="_Toc25589257"/>
      <w:r>
        <w:rPr>
          <w:rFonts w:ascii="宋体" w:hAnsi="宋体"/>
          <w:b/>
          <w:bCs w:val="0"/>
          <w:sz w:val="28"/>
          <w:szCs w:val="28"/>
        </w:rPr>
        <w:t>九、投标截止时间、开标时间及地点</w:t>
      </w:r>
      <w:bookmarkEnd w:id="18"/>
    </w:p>
    <w:p>
      <w:pPr>
        <w:pStyle w:val="64"/>
        <w:widowControl w:val="0"/>
        <w:snapToGrid w:val="0"/>
        <w:spacing w:line="500" w:lineRule="exact"/>
        <w:ind w:firstLine="482"/>
        <w:rPr>
          <w:rFonts w:hint="eastAsia" w:hAnsi="宋体"/>
          <w:color w:val="auto"/>
          <w:sz w:val="28"/>
          <w:szCs w:val="28"/>
        </w:rPr>
      </w:pPr>
    </w:p>
    <w:p>
      <w:pPr>
        <w:pStyle w:val="21"/>
        <w:tabs>
          <w:tab w:val="left" w:pos="7020"/>
        </w:tabs>
        <w:spacing w:line="440" w:lineRule="exact"/>
        <w:ind w:firstLine="480" w:firstLineChars="200"/>
        <w:rPr>
          <w:rFonts w:hint="eastAsia" w:hAnsi="宋体"/>
          <w:sz w:val="24"/>
        </w:rPr>
      </w:pPr>
      <w:r>
        <w:rPr>
          <w:rFonts w:hint="eastAsia" w:hAnsi="宋体"/>
          <w:sz w:val="24"/>
        </w:rPr>
        <w:t>9.1投标文件递交截止时间：详见前附表第</w:t>
      </w:r>
      <w:r>
        <w:rPr>
          <w:rFonts w:hint="eastAsia" w:hAnsi="宋体"/>
          <w:sz w:val="24"/>
          <w:u w:val="single"/>
        </w:rPr>
        <w:t>14</w:t>
      </w:r>
      <w:r>
        <w:rPr>
          <w:rFonts w:hint="eastAsia" w:hAnsi="宋体"/>
          <w:sz w:val="24"/>
        </w:rPr>
        <w:t>项。</w:t>
      </w:r>
    </w:p>
    <w:p>
      <w:pPr>
        <w:pStyle w:val="21"/>
        <w:tabs>
          <w:tab w:val="left" w:pos="7020"/>
        </w:tabs>
        <w:spacing w:line="440" w:lineRule="exact"/>
        <w:ind w:firstLine="480" w:firstLineChars="200"/>
        <w:rPr>
          <w:rFonts w:hint="eastAsia" w:hAnsi="宋体"/>
          <w:sz w:val="24"/>
        </w:rPr>
      </w:pPr>
      <w:r>
        <w:rPr>
          <w:rFonts w:hint="eastAsia" w:hAnsi="宋体"/>
          <w:sz w:val="24"/>
        </w:rPr>
        <w:t>9.2开标时间：详见前附表第</w:t>
      </w:r>
      <w:r>
        <w:rPr>
          <w:rFonts w:hint="eastAsia" w:hAnsi="宋体"/>
          <w:sz w:val="24"/>
          <w:u w:val="single"/>
        </w:rPr>
        <w:t>15</w:t>
      </w:r>
      <w:r>
        <w:rPr>
          <w:rFonts w:hint="eastAsia" w:hAnsi="宋体"/>
          <w:sz w:val="24"/>
        </w:rPr>
        <w:t>项。</w:t>
      </w:r>
    </w:p>
    <w:p>
      <w:pPr>
        <w:pStyle w:val="21"/>
        <w:spacing w:line="500" w:lineRule="exact"/>
        <w:ind w:firstLine="480" w:firstLineChars="200"/>
        <w:rPr>
          <w:rFonts w:hint="eastAsia" w:hAnsi="宋体"/>
          <w:sz w:val="24"/>
          <w:lang w:eastAsia="zh-CN"/>
        </w:rPr>
      </w:pPr>
      <w:r>
        <w:rPr>
          <w:rFonts w:hint="eastAsia" w:hAnsi="宋体"/>
          <w:sz w:val="24"/>
        </w:rPr>
        <w:t>9.3开标地点：详见前附表第</w:t>
      </w:r>
      <w:r>
        <w:rPr>
          <w:rFonts w:hint="eastAsia" w:hAnsi="宋体"/>
          <w:sz w:val="24"/>
          <w:u w:val="single"/>
        </w:rPr>
        <w:t>15</w:t>
      </w:r>
      <w:r>
        <w:rPr>
          <w:rFonts w:hint="eastAsia" w:hAnsi="宋体"/>
          <w:sz w:val="24"/>
        </w:rPr>
        <w:t>项。</w:t>
      </w:r>
    </w:p>
    <w:p>
      <w:pPr>
        <w:pStyle w:val="21"/>
        <w:spacing w:line="500" w:lineRule="exact"/>
        <w:ind w:firstLine="480" w:firstLineChars="200"/>
        <w:rPr>
          <w:rFonts w:hint="eastAsia" w:hAnsi="宋体"/>
          <w:sz w:val="24"/>
          <w:lang w:eastAsia="zh-CN"/>
        </w:rPr>
      </w:pPr>
    </w:p>
    <w:p>
      <w:pPr>
        <w:pStyle w:val="2"/>
        <w:keepLines/>
        <w:widowControl w:val="0"/>
        <w:numPr>
          <w:ilvl w:val="0"/>
          <w:numId w:val="0"/>
        </w:numPr>
        <w:tabs>
          <w:tab w:val="left" w:pos="851"/>
        </w:tabs>
        <w:spacing w:before="0" w:after="0" w:line="500" w:lineRule="exact"/>
        <w:rPr>
          <w:rFonts w:hint="eastAsia" w:ascii="宋体" w:hAnsi="宋体"/>
          <w:sz w:val="28"/>
          <w:szCs w:val="28"/>
        </w:rPr>
      </w:pPr>
      <w:bookmarkStart w:id="19" w:name="_Toc264116920"/>
      <w:bookmarkStart w:id="20" w:name="_Toc518405407"/>
      <w:bookmarkStart w:id="21" w:name="_Toc25589258"/>
      <w:r>
        <w:rPr>
          <w:rFonts w:hint="eastAsia" w:ascii="宋体" w:hAnsi="宋体"/>
          <w:b/>
          <w:kern w:val="44"/>
          <w:sz w:val="28"/>
          <w:szCs w:val="28"/>
        </w:rPr>
        <w:t>十、其他事项</w:t>
      </w:r>
      <w:bookmarkEnd w:id="19"/>
      <w:bookmarkEnd w:id="20"/>
      <w:bookmarkEnd w:id="21"/>
    </w:p>
    <w:p>
      <w:pPr>
        <w:spacing w:line="500" w:lineRule="exact"/>
        <w:ind w:firstLine="472" w:firstLineChars="197"/>
        <w:rPr>
          <w:rFonts w:hint="eastAsia" w:ascii="宋体" w:hAnsi="宋体"/>
          <w:sz w:val="24"/>
        </w:rPr>
      </w:pPr>
      <w:r>
        <w:rPr>
          <w:rFonts w:hint="eastAsia" w:ascii="宋体" w:hAnsi="宋体"/>
          <w:sz w:val="24"/>
        </w:rPr>
        <w:t>10.1招标活动全过程由柯桥区公证处实施公证。</w:t>
      </w:r>
    </w:p>
    <w:p>
      <w:pPr>
        <w:spacing w:line="500" w:lineRule="exact"/>
        <w:ind w:firstLine="472" w:firstLineChars="197"/>
        <w:rPr>
          <w:rFonts w:hint="eastAsia" w:ascii="宋体" w:hAnsi="宋体"/>
          <w:sz w:val="24"/>
        </w:rPr>
      </w:pPr>
      <w:r>
        <w:rPr>
          <w:rFonts w:hint="eastAsia" w:ascii="宋体" w:hAnsi="宋体"/>
          <w:sz w:val="24"/>
        </w:rPr>
        <w:t>10.2本标文未尽事宜，另行以在浙江省政府采购网上发布形式补充说明，并按照《中华人民共和国政府采购法》、《中华人民共和国政府采购法实施条例》的基本原则和精神执行。</w:t>
      </w:r>
    </w:p>
    <w:p>
      <w:pPr>
        <w:widowControl/>
        <w:spacing w:line="500" w:lineRule="exact"/>
        <w:ind w:firstLine="465"/>
        <w:jc w:val="left"/>
        <w:rPr>
          <w:rFonts w:hint="eastAsia" w:ascii="宋体" w:hAnsi="宋体"/>
          <w:sz w:val="24"/>
        </w:rPr>
      </w:pPr>
      <w:r>
        <w:rPr>
          <w:rFonts w:hint="eastAsia" w:ascii="宋体" w:hAnsi="宋体"/>
          <w:sz w:val="24"/>
        </w:rPr>
        <w:t>10.3本次采购采购监督管理部门绍兴市柯桥区公共资源交易管理委员会办公室，监督电话：0575-84130780</w:t>
      </w:r>
    </w:p>
    <w:p>
      <w:pPr>
        <w:widowControl/>
        <w:spacing w:line="500" w:lineRule="exact"/>
        <w:ind w:firstLine="465"/>
        <w:jc w:val="left"/>
        <w:rPr>
          <w:rFonts w:hint="eastAsia" w:ascii="宋体" w:hAnsi="宋体"/>
          <w:sz w:val="24"/>
        </w:rPr>
      </w:pPr>
      <w:r>
        <w:rPr>
          <w:rFonts w:hint="eastAsia" w:ascii="宋体" w:hAnsi="宋体"/>
          <w:sz w:val="24"/>
        </w:rPr>
        <w:t>10.4凡参加开标会的供应商，均视同对本标文及评标办法的认可，无异议。</w:t>
      </w:r>
    </w:p>
    <w:p>
      <w:pPr>
        <w:spacing w:line="500" w:lineRule="exact"/>
        <w:ind w:firstLine="472" w:firstLineChars="197"/>
        <w:jc w:val="right"/>
        <w:rPr>
          <w:rFonts w:hint="eastAsia" w:ascii="宋体" w:hAnsi="宋体"/>
          <w:sz w:val="24"/>
        </w:rPr>
      </w:pPr>
      <w:r>
        <w:rPr>
          <w:rFonts w:hint="eastAsia" w:ascii="宋体" w:hAnsi="宋体"/>
          <w:sz w:val="24"/>
        </w:rPr>
        <w:t xml:space="preserve">                       </w:t>
      </w:r>
    </w:p>
    <w:p>
      <w:pPr>
        <w:spacing w:line="500" w:lineRule="exact"/>
        <w:ind w:firstLine="472" w:firstLineChars="197"/>
        <w:jc w:val="right"/>
        <w:rPr>
          <w:rFonts w:hint="eastAsia" w:ascii="宋体" w:hAnsi="宋体"/>
          <w:sz w:val="24"/>
        </w:rPr>
      </w:pPr>
      <w:r>
        <w:rPr>
          <w:rFonts w:hint="eastAsia" w:ascii="宋体" w:hAnsi="宋体"/>
          <w:sz w:val="24"/>
        </w:rPr>
        <w:t xml:space="preserve">采购人：绍兴市柯桥区市容环境卫生管理中心                      </w:t>
      </w:r>
    </w:p>
    <w:p>
      <w:pPr>
        <w:spacing w:line="500" w:lineRule="exact"/>
        <w:ind w:firstLine="472" w:firstLineChars="197"/>
        <w:jc w:val="right"/>
        <w:rPr>
          <w:rFonts w:hint="eastAsia" w:ascii="宋体" w:hAnsi="宋体"/>
          <w:sz w:val="24"/>
        </w:rPr>
      </w:pPr>
      <w:r>
        <w:rPr>
          <w:rFonts w:hint="eastAsia" w:ascii="宋体" w:hAnsi="宋体"/>
          <w:sz w:val="24"/>
        </w:rPr>
        <w:t>采购代理机构：绍兴市柯桥区公共资源交易中心</w:t>
      </w:r>
    </w:p>
    <w:p>
      <w:pPr>
        <w:spacing w:line="500" w:lineRule="exact"/>
        <w:ind w:firstLine="472" w:firstLineChars="197"/>
        <w:jc w:val="right"/>
        <w:rPr>
          <w:rFonts w:hint="eastAsia" w:ascii="宋体" w:hAnsi="宋体"/>
          <w:sz w:val="24"/>
        </w:rPr>
      </w:pPr>
      <w:r>
        <w:rPr>
          <w:rFonts w:hint="eastAsia" w:ascii="宋体" w:hAnsi="宋体"/>
          <w:sz w:val="24"/>
        </w:rPr>
        <w:t xml:space="preserve">绍兴市鼎正建设工程咨询有限公司                  </w:t>
      </w:r>
    </w:p>
    <w:p>
      <w:pPr>
        <w:spacing w:line="500" w:lineRule="exact"/>
        <w:ind w:firstLine="472" w:firstLineChars="197"/>
        <w:jc w:val="right"/>
        <w:rPr>
          <w:rFonts w:ascii="宋体" w:hAnsi="宋体"/>
          <w:sz w:val="28"/>
          <w:szCs w:val="28"/>
        </w:rPr>
        <w:sectPr>
          <w:pgSz w:w="11907" w:h="16840"/>
          <w:pgMar w:top="1134" w:right="1275" w:bottom="1134" w:left="1418" w:header="567" w:footer="567" w:gutter="0"/>
          <w:cols w:space="720" w:num="1"/>
          <w:docGrid w:linePitch="286" w:charSpace="0"/>
        </w:sectPr>
      </w:pPr>
      <w:r>
        <w:rPr>
          <w:rFonts w:hint="eastAsia" w:ascii="宋体" w:hAnsi="宋体"/>
          <w:sz w:val="24"/>
        </w:rPr>
        <w:t>2020年6月12 日</w:t>
      </w:r>
      <w:r>
        <w:rPr>
          <w:rFonts w:hint="eastAsia" w:ascii="宋体" w:hAnsi="宋体"/>
          <w:sz w:val="28"/>
          <w:szCs w:val="28"/>
        </w:rPr>
        <w:t xml:space="preserve">                                          </w:t>
      </w:r>
    </w:p>
    <w:p>
      <w:pPr>
        <w:pStyle w:val="2"/>
        <w:keepLines/>
        <w:widowControl w:val="0"/>
        <w:numPr>
          <w:ilvl w:val="0"/>
          <w:numId w:val="0"/>
        </w:numPr>
        <w:tabs>
          <w:tab w:val="left" w:pos="851"/>
        </w:tabs>
        <w:spacing w:before="340" w:after="0" w:line="500" w:lineRule="exact"/>
        <w:rPr>
          <w:rFonts w:hint="eastAsia" w:ascii="宋体" w:hAnsi="宋体"/>
          <w:kern w:val="44"/>
          <w:szCs w:val="44"/>
          <w:u w:val="single"/>
        </w:rPr>
      </w:pPr>
      <w:bookmarkStart w:id="22" w:name="_Toc25589259"/>
      <w:r>
        <w:rPr>
          <w:rFonts w:ascii="宋体" w:hAnsi="宋体"/>
          <w:kern w:val="44"/>
          <w:szCs w:val="44"/>
        </w:rPr>
        <w:t>附件一：投标函</w:t>
      </w:r>
      <w:bookmarkEnd w:id="22"/>
      <w:r>
        <w:rPr>
          <w:rFonts w:hint="eastAsia" w:ascii="宋体" w:hAnsi="宋体"/>
          <w:kern w:val="44"/>
          <w:szCs w:val="44"/>
          <w:u w:val="single"/>
        </w:rPr>
        <w:t xml:space="preserve">  </w:t>
      </w:r>
      <w:r>
        <w:rPr>
          <w:rFonts w:hint="eastAsia" w:ascii="宋体" w:hAnsi="宋体"/>
          <w:kern w:val="44"/>
          <w:szCs w:val="44"/>
        </w:rPr>
        <w:t>标</w:t>
      </w:r>
    </w:p>
    <w:p>
      <w:pPr>
        <w:spacing w:line="360" w:lineRule="auto"/>
        <w:rPr>
          <w:rFonts w:hint="eastAsia" w:ascii="宋体" w:hAnsi="宋体"/>
        </w:rPr>
      </w:pPr>
      <w:r>
        <w:rPr>
          <w:rFonts w:hint="eastAsia" w:ascii="宋体" w:hAnsi="宋体"/>
          <w:sz w:val="24"/>
          <w:u w:val="single"/>
        </w:rPr>
        <w:t xml:space="preserve">                  （采购人）</w:t>
      </w:r>
      <w:r>
        <w:rPr>
          <w:rFonts w:hint="eastAsia" w:ascii="宋体" w:hAnsi="宋体"/>
          <w:sz w:val="24"/>
        </w:rPr>
        <w:t>：</w:t>
      </w:r>
      <w:r>
        <w:rPr>
          <w:rFonts w:ascii="宋体" w:hAnsi="宋体"/>
        </w:rPr>
        <w:tab/>
      </w:r>
    </w:p>
    <w:p>
      <w:pPr>
        <w:spacing w:line="360" w:lineRule="auto"/>
        <w:ind w:firstLine="480" w:firstLineChars="200"/>
        <w:jc w:val="left"/>
        <w:rPr>
          <w:rFonts w:hint="eastAsia" w:ascii="宋体" w:hAnsi="宋体"/>
          <w:sz w:val="24"/>
        </w:rPr>
      </w:pPr>
      <w:r>
        <w:rPr>
          <w:rFonts w:hint="eastAsia" w:ascii="宋体" w:hAnsi="宋体"/>
          <w:sz w:val="24"/>
        </w:rPr>
        <w:t>我单位认真研究了编号为</w:t>
      </w:r>
      <w:r>
        <w:rPr>
          <w:rFonts w:hint="eastAsia" w:ascii="宋体" w:hAnsi="宋体"/>
          <w:szCs w:val="21"/>
          <w:u w:val="single"/>
        </w:rPr>
        <w:t xml:space="preserve">            </w:t>
      </w:r>
      <w:r>
        <w:rPr>
          <w:rFonts w:hint="eastAsia" w:ascii="宋体" w:hAnsi="宋体"/>
          <w:sz w:val="24"/>
        </w:rPr>
        <w:t>的关于</w:t>
      </w:r>
      <w:r>
        <w:rPr>
          <w:rFonts w:hint="eastAsia" w:ascii="宋体" w:hAnsi="宋体"/>
          <w:sz w:val="24"/>
          <w:u w:val="single"/>
        </w:rPr>
        <w:t xml:space="preserve">                       </w:t>
      </w:r>
      <w:r>
        <w:rPr>
          <w:rFonts w:hint="eastAsia" w:ascii="宋体" w:hAnsi="宋体"/>
          <w:sz w:val="24"/>
        </w:rPr>
        <w:t>的采购文件，愿意遵守采购文件的所有要求，承担采购文件规定的中标供应商的全部责任和义务。我单位承诺：</w:t>
      </w:r>
    </w:p>
    <w:p>
      <w:pPr>
        <w:spacing w:line="360" w:lineRule="auto"/>
        <w:ind w:firstLine="480" w:firstLineChars="200"/>
        <w:jc w:val="left"/>
        <w:rPr>
          <w:rFonts w:hint="eastAsia" w:ascii="宋体" w:hAnsi="宋体"/>
          <w:sz w:val="24"/>
        </w:rPr>
      </w:pPr>
      <w:r>
        <w:rPr>
          <w:rFonts w:hint="eastAsia" w:ascii="宋体" w:hAnsi="宋体"/>
          <w:sz w:val="24"/>
        </w:rPr>
        <w:t>1、我单位愿意以开标一览表（报价表）所填报的报价承接本采购项目的</w:t>
      </w:r>
      <w:r>
        <w:rPr>
          <w:rFonts w:hint="eastAsia" w:ascii="宋体" w:hAnsi="宋体"/>
          <w:sz w:val="24"/>
          <w:u w:val="single"/>
        </w:rPr>
        <w:t>柯桥城区道路保洁服务</w:t>
      </w:r>
      <w:r>
        <w:rPr>
          <w:rFonts w:hint="eastAsia" w:ascii="宋体" w:hAnsi="宋体"/>
          <w:sz w:val="24"/>
        </w:rPr>
        <w:t>的任务。</w:t>
      </w:r>
    </w:p>
    <w:p>
      <w:pPr>
        <w:spacing w:line="360" w:lineRule="auto"/>
        <w:rPr>
          <w:rFonts w:hint="eastAsia" w:ascii="宋体" w:hAnsi="宋体"/>
          <w:sz w:val="24"/>
        </w:rPr>
      </w:pPr>
      <w:r>
        <w:rPr>
          <w:rFonts w:hint="eastAsia" w:ascii="宋体" w:hAnsi="宋体"/>
          <w:sz w:val="24"/>
        </w:rPr>
        <w:t xml:space="preserve">    2、一旦我单位中标，</w:t>
      </w:r>
      <w:r>
        <w:rPr>
          <w:rFonts w:hint="eastAsia" w:ascii="宋体" w:hAnsi="宋体"/>
          <w:sz w:val="24"/>
          <w:u w:val="single"/>
        </w:rPr>
        <w:t>我们保证按照采购文件的要求，指定专人负责相关工作，力争使相关工作达到规定的要求。</w:t>
      </w:r>
    </w:p>
    <w:p>
      <w:pPr>
        <w:spacing w:line="360" w:lineRule="auto"/>
        <w:ind w:firstLine="480" w:firstLineChars="200"/>
        <w:rPr>
          <w:rFonts w:hint="eastAsia" w:ascii="宋体" w:hAnsi="宋体"/>
          <w:sz w:val="24"/>
        </w:rPr>
      </w:pPr>
      <w:r>
        <w:rPr>
          <w:rFonts w:hint="eastAsia" w:ascii="宋体" w:hAnsi="宋体"/>
          <w:sz w:val="24"/>
        </w:rPr>
        <w:t>3、我单位同意提供按照采购人可能要求的与其投标有关的一切数据或资料，完全理解和接受不一定按最低价中标。</w:t>
      </w:r>
    </w:p>
    <w:p>
      <w:pPr>
        <w:spacing w:line="360" w:lineRule="auto"/>
        <w:ind w:firstLine="480" w:firstLineChars="200"/>
        <w:rPr>
          <w:rFonts w:hint="eastAsia" w:ascii="宋体" w:hAnsi="宋体"/>
          <w:sz w:val="24"/>
        </w:rPr>
      </w:pPr>
      <w:r>
        <w:rPr>
          <w:rFonts w:hint="eastAsia" w:ascii="宋体" w:hAnsi="宋体"/>
          <w:sz w:val="24"/>
        </w:rPr>
        <w:t>4、如果我单位中标，我方将按照要求提交履约保证金，并严格履行合同义务。</w:t>
      </w:r>
    </w:p>
    <w:p>
      <w:pPr>
        <w:spacing w:line="360" w:lineRule="auto"/>
        <w:ind w:firstLine="455"/>
        <w:rPr>
          <w:rFonts w:hint="eastAsia" w:ascii="宋体" w:hAnsi="宋体"/>
          <w:sz w:val="24"/>
        </w:rPr>
      </w:pPr>
      <w:r>
        <w:rPr>
          <w:rFonts w:hint="eastAsia" w:ascii="宋体" w:hAnsi="宋体"/>
          <w:sz w:val="24"/>
        </w:rPr>
        <w:t>5、除非另行达成协议并生效，你方的中标通知书和本投标函将构成约束你我双方的合同。</w:t>
      </w:r>
    </w:p>
    <w:p>
      <w:pPr>
        <w:spacing w:line="360" w:lineRule="auto"/>
        <w:ind w:firstLine="455"/>
        <w:rPr>
          <w:rFonts w:hint="eastAsia" w:ascii="宋体" w:hAnsi="宋体"/>
          <w:sz w:val="24"/>
        </w:rPr>
      </w:pPr>
      <w:r>
        <w:rPr>
          <w:rFonts w:hint="eastAsia" w:ascii="宋体" w:hAnsi="宋体"/>
          <w:sz w:val="24"/>
        </w:rPr>
        <w:t>6、本供货质量承诺为</w:t>
      </w:r>
      <w:r>
        <w:rPr>
          <w:rFonts w:hint="eastAsia" w:ascii="宋体" w:hAnsi="宋体"/>
          <w:sz w:val="24"/>
          <w:u w:val="single"/>
        </w:rPr>
        <w:t xml:space="preserve">       </w:t>
      </w:r>
      <w:r>
        <w:rPr>
          <w:rFonts w:hint="eastAsia" w:ascii="宋体" w:hAnsi="宋体"/>
          <w:sz w:val="24"/>
        </w:rPr>
        <w:t>。</w:t>
      </w:r>
    </w:p>
    <w:p>
      <w:pPr>
        <w:spacing w:line="360" w:lineRule="auto"/>
        <w:ind w:firstLine="455"/>
        <w:rPr>
          <w:rFonts w:hint="eastAsia" w:ascii="宋体" w:hAnsi="宋体"/>
          <w:sz w:val="24"/>
        </w:rPr>
      </w:pPr>
      <w:r>
        <w:rPr>
          <w:rFonts w:hint="eastAsia" w:ascii="宋体" w:hAnsi="宋体"/>
          <w:sz w:val="24"/>
        </w:rPr>
        <w:t>7、我单位一旦发生下述行为，我单位（或公司）同意采购人取消我单位投（中）标资格。</w:t>
      </w:r>
    </w:p>
    <w:p>
      <w:pPr>
        <w:spacing w:line="360" w:lineRule="auto"/>
        <w:ind w:firstLine="476"/>
        <w:rPr>
          <w:rFonts w:hint="eastAsia" w:ascii="宋体" w:hAnsi="宋体"/>
          <w:sz w:val="24"/>
        </w:rPr>
      </w:pPr>
      <w:r>
        <w:rPr>
          <w:rFonts w:hint="eastAsia" w:ascii="宋体" w:hAnsi="宋体"/>
          <w:sz w:val="24"/>
        </w:rPr>
        <w:t>（一）从开标日起到投标有效期满撤回投标；</w:t>
      </w:r>
    </w:p>
    <w:p>
      <w:pPr>
        <w:spacing w:line="360" w:lineRule="auto"/>
        <w:ind w:firstLine="476"/>
        <w:rPr>
          <w:rFonts w:hint="eastAsia" w:ascii="宋体" w:hAnsi="宋体"/>
          <w:sz w:val="24"/>
        </w:rPr>
      </w:pPr>
      <w:r>
        <w:rPr>
          <w:rFonts w:hint="eastAsia" w:ascii="宋体" w:hAnsi="宋体"/>
          <w:sz w:val="24"/>
        </w:rPr>
        <w:t>（二）开标、评标到定标期间发生违反采购文件规定的行为；</w:t>
      </w:r>
    </w:p>
    <w:p>
      <w:pPr>
        <w:spacing w:line="360" w:lineRule="auto"/>
        <w:ind w:firstLine="476"/>
        <w:rPr>
          <w:rFonts w:hint="eastAsia" w:ascii="宋体" w:hAnsi="宋体"/>
          <w:sz w:val="24"/>
        </w:rPr>
      </w:pPr>
      <w:r>
        <w:rPr>
          <w:rFonts w:hint="eastAsia" w:ascii="宋体" w:hAnsi="宋体"/>
          <w:sz w:val="24"/>
        </w:rPr>
        <w:t>（三）在收到中标通知书后未按规定与采购人签订合同。</w:t>
      </w:r>
    </w:p>
    <w:p>
      <w:pPr>
        <w:spacing w:line="360" w:lineRule="auto"/>
        <w:ind w:firstLine="476"/>
        <w:rPr>
          <w:rFonts w:hint="eastAsia" w:ascii="宋体" w:hAnsi="宋体"/>
          <w:sz w:val="24"/>
        </w:rPr>
      </w:pPr>
      <w:r>
        <w:rPr>
          <w:rFonts w:hint="eastAsia" w:ascii="宋体" w:hAnsi="宋体"/>
          <w:sz w:val="24"/>
        </w:rPr>
        <w:t>8、我单位声明：参加政府采购活动前3年内在经营活动中没有重大违法记录。</w:t>
      </w:r>
    </w:p>
    <w:p>
      <w:pPr>
        <w:spacing w:line="360" w:lineRule="auto"/>
        <w:ind w:firstLine="476"/>
        <w:rPr>
          <w:rFonts w:hint="eastAsia" w:ascii="宋体" w:hAnsi="宋体"/>
          <w:sz w:val="24"/>
        </w:rPr>
      </w:pPr>
      <w:r>
        <w:rPr>
          <w:rFonts w:hint="eastAsia" w:ascii="宋体" w:hAnsi="宋体"/>
          <w:sz w:val="24"/>
        </w:rPr>
        <w:t>9、我方在此声明，我单位未被列入失信被执行人、重大税收违法案件当事人名单和政府采购严重违法失信行为记录名单。</w:t>
      </w:r>
    </w:p>
    <w:p>
      <w:pPr>
        <w:spacing w:line="360" w:lineRule="auto"/>
        <w:ind w:firstLine="476"/>
        <w:rPr>
          <w:rFonts w:hint="eastAsia" w:ascii="宋体" w:hAnsi="宋体"/>
          <w:sz w:val="24"/>
        </w:rPr>
      </w:pPr>
      <w:r>
        <w:rPr>
          <w:rFonts w:hint="eastAsia" w:ascii="宋体" w:hAnsi="宋体"/>
          <w:b/>
          <w:sz w:val="24"/>
        </w:rPr>
        <w:t>说明：附件中涉及的法定代表人或其委托代理人签字或盖章的内容，投标单位须盖法定代表人电子签章，如果投标单位没有法定代表人电子签章，涉及到法定代表人或其委托代理人签字或盖章的内容，投标单位可以线下签字或盖章后扫描上传。</w:t>
      </w:r>
    </w:p>
    <w:p>
      <w:pPr>
        <w:spacing w:line="360" w:lineRule="auto"/>
        <w:ind w:firstLine="3201"/>
        <w:rPr>
          <w:rFonts w:ascii="宋体" w:hAnsi="宋体"/>
          <w:sz w:val="24"/>
          <w:u w:val="single"/>
        </w:rPr>
      </w:pPr>
      <w:r>
        <w:rPr>
          <w:rFonts w:hint="eastAsia" w:ascii="宋体" w:hAnsi="宋体"/>
          <w:sz w:val="24"/>
        </w:rPr>
        <w:t>供应商：</w:t>
      </w:r>
      <w:r>
        <w:rPr>
          <w:rFonts w:hint="eastAsia" w:ascii="宋体" w:hAnsi="宋体"/>
          <w:sz w:val="24"/>
          <w:u w:val="single"/>
        </w:rPr>
        <w:t xml:space="preserve">（盖章）       </w:t>
      </w:r>
      <w:r>
        <w:rPr>
          <w:rFonts w:ascii="宋体" w:hAnsi="宋体"/>
          <w:sz w:val="24"/>
          <w:u w:val="single"/>
        </w:rPr>
        <w:t xml:space="preserve">     </w:t>
      </w:r>
    </w:p>
    <w:p>
      <w:pPr>
        <w:spacing w:line="360" w:lineRule="auto"/>
        <w:ind w:firstLine="3201"/>
        <w:rPr>
          <w:rFonts w:ascii="宋体" w:hAnsi="宋体"/>
          <w:sz w:val="24"/>
          <w:u w:val="single"/>
        </w:rPr>
      </w:pPr>
      <w:r>
        <w:rPr>
          <w:rFonts w:hint="eastAsia" w:ascii="宋体" w:hAnsi="宋体"/>
          <w:sz w:val="24"/>
        </w:rPr>
        <w:t>法定代表人或其委托代理人：</w:t>
      </w:r>
      <w:r>
        <w:rPr>
          <w:rFonts w:hint="eastAsia" w:ascii="宋体" w:hAnsi="宋体"/>
          <w:sz w:val="24"/>
          <w:u w:val="single"/>
        </w:rPr>
        <w:t xml:space="preserve">（签字或盖章） </w:t>
      </w:r>
      <w:r>
        <w:rPr>
          <w:rFonts w:ascii="宋体" w:hAnsi="宋体"/>
          <w:sz w:val="24"/>
          <w:u w:val="single"/>
        </w:rPr>
        <w:t xml:space="preserve">     </w:t>
      </w:r>
    </w:p>
    <w:p>
      <w:pPr>
        <w:spacing w:line="360" w:lineRule="auto"/>
        <w:ind w:firstLine="3201"/>
        <w:rPr>
          <w:rFonts w:hint="eastAsia" w:ascii="宋体" w:hAnsi="宋体"/>
          <w:sz w:val="24"/>
          <w:u w:val="single"/>
        </w:rPr>
      </w:pPr>
      <w:r>
        <w:rPr>
          <w:rFonts w:hint="eastAsia" w:ascii="宋体" w:hAnsi="宋体"/>
          <w:sz w:val="24"/>
        </w:rPr>
        <w:t>地址：</w:t>
      </w:r>
      <w:r>
        <w:rPr>
          <w:rFonts w:hint="eastAsia" w:ascii="宋体" w:hAnsi="宋体"/>
          <w:sz w:val="24"/>
          <w:u w:val="single"/>
        </w:rPr>
        <w:t xml:space="preserve">                    </w:t>
      </w:r>
      <w:r>
        <w:rPr>
          <w:rFonts w:ascii="宋体" w:hAnsi="宋体"/>
          <w:sz w:val="24"/>
          <w:u w:val="single"/>
        </w:rPr>
        <w:t xml:space="preserve">     </w:t>
      </w:r>
    </w:p>
    <w:p>
      <w:pPr>
        <w:spacing w:line="360" w:lineRule="auto"/>
        <w:ind w:firstLine="3201"/>
        <w:rPr>
          <w:rFonts w:hint="eastAsia"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pStyle w:val="2"/>
        <w:keepLines/>
        <w:widowControl w:val="0"/>
        <w:numPr>
          <w:ilvl w:val="0"/>
          <w:numId w:val="0"/>
        </w:numPr>
        <w:tabs>
          <w:tab w:val="left" w:pos="851"/>
        </w:tabs>
        <w:spacing w:before="340" w:after="0" w:line="500" w:lineRule="exact"/>
        <w:rPr>
          <w:rFonts w:ascii="宋体" w:hAnsi="宋体"/>
          <w:kern w:val="44"/>
          <w:szCs w:val="44"/>
        </w:rPr>
        <w:sectPr>
          <w:pgSz w:w="11907" w:h="16840"/>
          <w:pgMar w:top="1134" w:right="1134" w:bottom="1134" w:left="1418" w:header="567" w:footer="567" w:gutter="0"/>
          <w:cols w:space="720" w:num="1"/>
          <w:docGrid w:linePitch="286" w:charSpace="0"/>
        </w:sectPr>
      </w:pPr>
    </w:p>
    <w:p>
      <w:pPr>
        <w:pStyle w:val="2"/>
        <w:numPr>
          <w:ilvl w:val="0"/>
          <w:numId w:val="0"/>
        </w:numPr>
        <w:tabs>
          <w:tab w:val="left" w:pos="851"/>
        </w:tabs>
        <w:spacing w:after="0"/>
        <w:rPr>
          <w:rFonts w:hint="eastAsia" w:ascii="宋体" w:hAnsi="宋体"/>
          <w:b/>
        </w:rPr>
      </w:pPr>
      <w:bookmarkStart w:id="23" w:name="_Toc520290080"/>
      <w:bookmarkStart w:id="24" w:name="_Toc11855751"/>
      <w:r>
        <w:rPr>
          <w:rFonts w:hint="eastAsia" w:ascii="宋体" w:hAnsi="宋体"/>
          <w:b/>
        </w:rPr>
        <w:t>附件二：法定代表人授权书</w:t>
      </w:r>
      <w:bookmarkEnd w:id="23"/>
      <w:bookmarkEnd w:id="24"/>
    </w:p>
    <w:p>
      <w:pPr>
        <w:rPr>
          <w:rFonts w:hint="eastAsia" w:ascii="宋体" w:hAnsi="宋体"/>
          <w:sz w:val="28"/>
        </w:rPr>
      </w:pPr>
    </w:p>
    <w:p>
      <w:pPr>
        <w:spacing w:line="800" w:lineRule="exact"/>
        <w:jc w:val="left"/>
        <w:rPr>
          <w:rFonts w:hint="eastAsia" w:ascii="宋体" w:hAnsi="宋体"/>
          <w:sz w:val="24"/>
          <w:u w:val="single"/>
        </w:rPr>
      </w:pPr>
      <w:r>
        <w:rPr>
          <w:rFonts w:hint="eastAsia" w:ascii="宋体" w:hAnsi="宋体"/>
          <w:sz w:val="24"/>
          <w:u w:val="single"/>
        </w:rPr>
        <w:t xml:space="preserve">                      （采购人）</w:t>
      </w:r>
    </w:p>
    <w:p>
      <w:pPr>
        <w:spacing w:line="800" w:lineRule="exact"/>
        <w:ind w:firstLine="555"/>
        <w:rPr>
          <w:rFonts w:hint="eastAsia" w:ascii="宋体" w:hAnsi="宋体"/>
          <w:sz w:val="24"/>
        </w:rPr>
      </w:pPr>
      <w:r>
        <w:rPr>
          <w:rFonts w:hint="eastAsia" w:ascii="宋体" w:hAnsi="宋体"/>
          <w:sz w:val="24"/>
        </w:rPr>
        <w:t>本授权委托书声明：我</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（供应商名称）的法定代表人，现授权委托</w:t>
      </w:r>
      <w:r>
        <w:rPr>
          <w:rFonts w:hint="eastAsia" w:ascii="宋体" w:hAnsi="宋体"/>
          <w:sz w:val="24"/>
          <w:u w:val="single"/>
        </w:rPr>
        <w:t xml:space="preserve">         </w:t>
      </w:r>
      <w:r>
        <w:rPr>
          <w:rFonts w:hint="eastAsia" w:ascii="宋体" w:hAnsi="宋体"/>
          <w:sz w:val="24"/>
        </w:rPr>
        <w:t>（姓名）为我公司唯一代理人，以本公司的名义参加贵中心组织的</w:t>
      </w:r>
      <w:r>
        <w:rPr>
          <w:rFonts w:hint="eastAsia" w:ascii="宋体" w:hAnsi="宋体"/>
          <w:sz w:val="24"/>
          <w:u w:val="single"/>
        </w:rPr>
        <w:t xml:space="preserve">                    </w:t>
      </w:r>
      <w:r>
        <w:rPr>
          <w:rFonts w:hint="eastAsia" w:ascii="宋体" w:hAnsi="宋体"/>
          <w:sz w:val="24"/>
        </w:rPr>
        <w:t>采购的招标活动。代理人在投标、开标、评标、合同谈判过程中所签署的一切文件和处理与之有关的一切事务，我均予以承认。</w:t>
      </w:r>
    </w:p>
    <w:p>
      <w:pPr>
        <w:spacing w:line="800" w:lineRule="exact"/>
        <w:ind w:firstLine="555"/>
        <w:rPr>
          <w:rFonts w:hint="eastAsia" w:ascii="宋体" w:hAnsi="宋体"/>
          <w:sz w:val="24"/>
        </w:rPr>
      </w:pPr>
    </w:p>
    <w:p>
      <w:pPr>
        <w:spacing w:line="800" w:lineRule="exact"/>
        <w:ind w:firstLine="555"/>
        <w:rPr>
          <w:rFonts w:hint="eastAsia" w:ascii="宋体" w:hAnsi="宋体"/>
          <w:sz w:val="24"/>
        </w:rPr>
      </w:pPr>
      <w:r>
        <w:rPr>
          <w:rFonts w:hint="eastAsia" w:ascii="宋体" w:hAnsi="宋体"/>
          <w:sz w:val="24"/>
        </w:rPr>
        <w:t>代理人无转委权。特此委托。</w:t>
      </w:r>
    </w:p>
    <w:p>
      <w:pPr>
        <w:spacing w:line="800" w:lineRule="exact"/>
        <w:ind w:firstLine="555"/>
        <w:rPr>
          <w:rFonts w:hint="eastAsia" w:ascii="宋体" w:hAnsi="宋体"/>
          <w:sz w:val="24"/>
          <w:u w:val="single"/>
        </w:rPr>
      </w:pPr>
    </w:p>
    <w:p>
      <w:pPr>
        <w:spacing w:line="800" w:lineRule="exact"/>
        <w:ind w:firstLine="555"/>
        <w:rPr>
          <w:rFonts w:hint="eastAsia" w:ascii="宋体" w:hAnsi="宋体"/>
          <w:sz w:val="24"/>
          <w:u w:val="single"/>
        </w:rPr>
      </w:pPr>
    </w:p>
    <w:p>
      <w:pPr>
        <w:spacing w:line="600" w:lineRule="exact"/>
        <w:rPr>
          <w:rFonts w:hint="eastAsia" w:ascii="宋体" w:hAnsi="宋体"/>
          <w:b/>
          <w:sz w:val="24"/>
        </w:rPr>
      </w:pPr>
      <w:r>
        <w:rPr>
          <w:rFonts w:hint="eastAsia" w:ascii="宋体" w:hAnsi="宋体"/>
          <w:b/>
          <w:sz w:val="24"/>
        </w:rPr>
        <w:t>说明：附件中涉及的授权人（签字），被授权人的代理人（签字）的内容，</w:t>
      </w:r>
      <w:r>
        <w:rPr>
          <w:rFonts w:hint="eastAsia" w:ascii="宋体" w:hAnsi="宋体" w:cs="宋体"/>
          <w:b/>
          <w:bCs/>
          <w:kern w:val="0"/>
          <w:sz w:val="24"/>
        </w:rPr>
        <w:t>投标人可以线下签字后扫描上传。</w:t>
      </w:r>
    </w:p>
    <w:p>
      <w:pPr>
        <w:spacing w:line="800" w:lineRule="exact"/>
        <w:ind w:firstLine="555"/>
        <w:rPr>
          <w:rFonts w:hint="eastAsia" w:ascii="宋体" w:hAnsi="宋体"/>
          <w:sz w:val="24"/>
        </w:rPr>
      </w:pPr>
    </w:p>
    <w:p>
      <w:pPr>
        <w:spacing w:line="800" w:lineRule="exact"/>
        <w:ind w:firstLine="3402"/>
        <w:rPr>
          <w:rFonts w:hint="eastAsia" w:ascii="宋体" w:hAnsi="宋体"/>
          <w:sz w:val="24"/>
          <w:u w:val="single"/>
        </w:rPr>
      </w:pPr>
      <w:r>
        <w:rPr>
          <w:rFonts w:hint="eastAsia" w:ascii="宋体" w:hAnsi="宋体"/>
          <w:sz w:val="24"/>
        </w:rPr>
        <w:t>供应商：</w:t>
      </w:r>
      <w:r>
        <w:rPr>
          <w:rFonts w:hint="eastAsia" w:ascii="宋体" w:hAnsi="宋体"/>
          <w:sz w:val="24"/>
          <w:u w:val="single"/>
        </w:rPr>
        <w:t xml:space="preserve">（盖章）                   </w:t>
      </w:r>
    </w:p>
    <w:p>
      <w:pPr>
        <w:spacing w:line="800" w:lineRule="exact"/>
        <w:ind w:firstLine="3402"/>
        <w:rPr>
          <w:rFonts w:hint="eastAsia" w:ascii="宋体" w:hAnsi="宋体"/>
          <w:sz w:val="24"/>
        </w:rPr>
      </w:pPr>
      <w:r>
        <w:rPr>
          <w:rFonts w:hint="eastAsia" w:ascii="宋体" w:hAnsi="宋体"/>
          <w:sz w:val="24"/>
        </w:rPr>
        <w:t>授权人：</w:t>
      </w:r>
      <w:r>
        <w:rPr>
          <w:rFonts w:hint="eastAsia" w:ascii="宋体" w:hAnsi="宋体"/>
          <w:sz w:val="24"/>
          <w:u w:val="single"/>
        </w:rPr>
        <w:t xml:space="preserve">（签字或盖章）             </w:t>
      </w:r>
    </w:p>
    <w:p>
      <w:pPr>
        <w:spacing w:line="800" w:lineRule="exact"/>
        <w:ind w:firstLine="3402"/>
        <w:rPr>
          <w:rFonts w:hint="eastAsia" w:ascii="宋体" w:hAnsi="宋体"/>
          <w:sz w:val="24"/>
          <w:u w:val="single"/>
        </w:rPr>
      </w:pPr>
      <w:r>
        <w:rPr>
          <w:rFonts w:hint="eastAsia" w:ascii="宋体" w:hAnsi="宋体"/>
          <w:sz w:val="24"/>
        </w:rPr>
        <w:t>被授权的代理人：</w:t>
      </w:r>
      <w:r>
        <w:rPr>
          <w:rFonts w:hint="eastAsia" w:ascii="宋体" w:hAnsi="宋体"/>
          <w:sz w:val="24"/>
          <w:u w:val="single"/>
        </w:rPr>
        <w:t xml:space="preserve">（签字或盖章）           </w:t>
      </w:r>
    </w:p>
    <w:p>
      <w:pPr>
        <w:spacing w:line="600" w:lineRule="exact"/>
        <w:ind w:firstLine="3480" w:firstLineChars="1450"/>
        <w:rPr>
          <w:rFonts w:hint="eastAsia" w:ascii="宋体" w:hAnsi="宋体"/>
          <w:sz w:val="24"/>
        </w:rPr>
      </w:pPr>
      <w:r>
        <w:rPr>
          <w:rFonts w:hint="eastAsia" w:ascii="宋体" w:hAnsi="宋体"/>
          <w:sz w:val="24"/>
        </w:rPr>
        <w:t>日 期：     年     月    日</w:t>
      </w:r>
    </w:p>
    <w:p>
      <w:pPr>
        <w:spacing w:line="500" w:lineRule="exact"/>
        <w:ind w:firstLine="3771" w:firstLineChars="1347"/>
        <w:rPr>
          <w:rFonts w:hint="eastAsia" w:ascii="宋体" w:hAnsi="宋体"/>
          <w:sz w:val="28"/>
          <w:szCs w:val="28"/>
        </w:rPr>
      </w:pPr>
    </w:p>
    <w:p>
      <w:pPr>
        <w:spacing w:line="500" w:lineRule="exact"/>
        <w:ind w:firstLine="3771" w:firstLineChars="1347"/>
        <w:rPr>
          <w:rFonts w:hint="eastAsia" w:ascii="宋体" w:hAnsi="宋体"/>
          <w:sz w:val="28"/>
          <w:szCs w:val="28"/>
        </w:rPr>
      </w:pPr>
    </w:p>
    <w:p>
      <w:pPr>
        <w:pStyle w:val="2"/>
        <w:numPr>
          <w:ilvl w:val="0"/>
          <w:numId w:val="0"/>
        </w:numPr>
        <w:tabs>
          <w:tab w:val="left" w:pos="851"/>
        </w:tabs>
        <w:spacing w:after="0" w:line="500" w:lineRule="exact"/>
        <w:rPr>
          <w:rFonts w:ascii="宋体" w:hAnsi="宋体"/>
        </w:rPr>
        <w:sectPr>
          <w:pgSz w:w="11907" w:h="16840"/>
          <w:pgMar w:top="1134" w:right="1134" w:bottom="1134" w:left="1418" w:header="567" w:footer="567" w:gutter="0"/>
          <w:cols w:space="720" w:num="1"/>
          <w:docGrid w:linePitch="286" w:charSpace="0"/>
        </w:sectPr>
      </w:pPr>
      <w:bookmarkStart w:id="25" w:name="_Toc518405410"/>
    </w:p>
    <w:p>
      <w:pPr>
        <w:pStyle w:val="2"/>
        <w:numPr>
          <w:ilvl w:val="0"/>
          <w:numId w:val="0"/>
        </w:numPr>
        <w:tabs>
          <w:tab w:val="left" w:pos="851"/>
        </w:tabs>
        <w:spacing w:after="0" w:line="500" w:lineRule="exact"/>
        <w:rPr>
          <w:rFonts w:hint="eastAsia" w:ascii="宋体" w:hAnsi="宋体"/>
          <w:u w:val="single"/>
        </w:rPr>
      </w:pPr>
      <w:bookmarkStart w:id="26" w:name="_Toc25589261"/>
      <w:r>
        <w:rPr>
          <w:rFonts w:hint="eastAsia" w:ascii="宋体" w:hAnsi="宋体"/>
        </w:rPr>
        <w:t>附件三：开标一览表（报价表）</w:t>
      </w:r>
      <w:bookmarkEnd w:id="25"/>
      <w:bookmarkEnd w:id="26"/>
      <w:r>
        <w:rPr>
          <w:rFonts w:hint="eastAsia" w:ascii="宋体" w:hAnsi="宋体"/>
          <w:u w:val="single"/>
        </w:rPr>
        <w:t xml:space="preserve">  </w:t>
      </w:r>
      <w:r>
        <w:rPr>
          <w:rFonts w:hint="eastAsia" w:ascii="宋体" w:hAnsi="宋体"/>
        </w:rPr>
        <w:t>标</w:t>
      </w:r>
    </w:p>
    <w:p>
      <w:pPr>
        <w:spacing w:line="500" w:lineRule="exact"/>
        <w:rPr>
          <w:rFonts w:hint="eastAsia" w:ascii="宋体" w:hAnsi="宋体"/>
          <w:sz w:val="24"/>
          <w:u w:val="single"/>
        </w:rPr>
      </w:pPr>
      <w:r>
        <w:rPr>
          <w:rFonts w:hint="eastAsia" w:ascii="宋体" w:hAnsi="宋体"/>
          <w:sz w:val="24"/>
        </w:rPr>
        <w:t>项目名称：</w:t>
      </w:r>
      <w:r>
        <w:rPr>
          <w:rFonts w:hint="eastAsia" w:ascii="宋体" w:hAnsi="宋体"/>
          <w:sz w:val="24"/>
          <w:u w:val="single"/>
        </w:rPr>
        <w:t xml:space="preserve">                       </w:t>
      </w:r>
    </w:p>
    <w:p>
      <w:pPr>
        <w:spacing w:after="120" w:afterLines="50" w:line="500" w:lineRule="exact"/>
        <w:rPr>
          <w:rFonts w:hint="eastAsia" w:ascii="宋体" w:hAnsi="宋体"/>
          <w:sz w:val="24"/>
        </w:rPr>
      </w:pPr>
      <w:r>
        <w:rPr>
          <w:rFonts w:hint="eastAsia" w:ascii="宋体" w:hAnsi="宋体"/>
          <w:sz w:val="24"/>
        </w:rPr>
        <w:t>采购编号：</w:t>
      </w:r>
      <w:r>
        <w:rPr>
          <w:rFonts w:hint="eastAsia" w:ascii="宋体" w:hAnsi="宋体"/>
          <w:sz w:val="24"/>
          <w:u w:val="single"/>
        </w:rPr>
        <w:t xml:space="preserve">                       </w:t>
      </w:r>
      <w:r>
        <w:rPr>
          <w:rFonts w:hint="eastAsia" w:ascii="宋体" w:hAnsi="宋体"/>
          <w:sz w:val="24"/>
        </w:rPr>
        <w:t xml:space="preserve">  </w:t>
      </w:r>
    </w:p>
    <w:tbl>
      <w:tblPr>
        <w:tblStyle w:val="41"/>
        <w:tblW w:w="0" w:type="auto"/>
        <w:tblInd w:w="0" w:type="dxa"/>
        <w:tblLayout w:type="fixed"/>
        <w:tblCellMar>
          <w:top w:w="0" w:type="dxa"/>
          <w:left w:w="108" w:type="dxa"/>
          <w:bottom w:w="0" w:type="dxa"/>
          <w:right w:w="108" w:type="dxa"/>
        </w:tblCellMar>
      </w:tblPr>
      <w:tblGrid>
        <w:gridCol w:w="964"/>
        <w:gridCol w:w="1257"/>
        <w:gridCol w:w="1503"/>
        <w:gridCol w:w="1090"/>
        <w:gridCol w:w="1155"/>
        <w:gridCol w:w="1155"/>
        <w:gridCol w:w="2118"/>
      </w:tblGrid>
      <w:tr>
        <w:tblPrEx>
          <w:tblCellMar>
            <w:top w:w="0" w:type="dxa"/>
            <w:left w:w="108" w:type="dxa"/>
            <w:bottom w:w="0" w:type="dxa"/>
            <w:right w:w="108" w:type="dxa"/>
          </w:tblCellMar>
        </w:tblPrEx>
        <w:trPr>
          <w:wBefore w:w="0" w:type="dxa"/>
          <w:wAfter w:w="0" w:type="dxa"/>
          <w:trHeight w:val="873" w:hRule="atLeast"/>
        </w:trPr>
        <w:tc>
          <w:tcPr>
            <w:tcW w:w="96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ascii="Calibri" w:hAnsi="Calibri"/>
                <w:b/>
                <w:bCs/>
                <w:sz w:val="24"/>
              </w:rPr>
            </w:pPr>
            <w:r>
              <w:rPr>
                <w:rFonts w:hint="eastAsia" w:ascii="宋体" w:hAnsi="Calibri" w:cs="宋体"/>
                <w:b/>
                <w:bCs/>
                <w:sz w:val="24"/>
                <w:lang w:val="zh-CN"/>
              </w:rPr>
              <w:t>序号</w:t>
            </w:r>
          </w:p>
        </w:tc>
        <w:tc>
          <w:tcPr>
            <w:tcW w:w="2760" w:type="dxa"/>
            <w:gridSpan w:val="2"/>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360" w:lineRule="exact"/>
              <w:jc w:val="center"/>
              <w:rPr>
                <w:rFonts w:ascii="Calibri" w:hAnsi="Calibri"/>
                <w:b/>
                <w:bCs/>
                <w:sz w:val="24"/>
              </w:rPr>
            </w:pPr>
            <w:r>
              <w:rPr>
                <w:rFonts w:hint="eastAsia" w:ascii="宋体" w:hAnsi="Calibri" w:cs="宋体"/>
                <w:b/>
                <w:bCs/>
                <w:sz w:val="24"/>
                <w:lang w:val="zh-CN"/>
              </w:rPr>
              <w:t>项目内容</w:t>
            </w:r>
          </w:p>
        </w:tc>
        <w:tc>
          <w:tcPr>
            <w:tcW w:w="109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360" w:lineRule="exact"/>
              <w:jc w:val="center"/>
              <w:rPr>
                <w:rFonts w:ascii="Calibri" w:hAnsi="Calibri"/>
                <w:b/>
                <w:bCs/>
                <w:sz w:val="24"/>
              </w:rPr>
            </w:pPr>
            <w:r>
              <w:rPr>
                <w:rFonts w:hint="eastAsia" w:ascii="Calibri" w:hAnsi="Calibri"/>
                <w:b/>
                <w:bCs/>
                <w:sz w:val="24"/>
              </w:rPr>
              <w:t>面积</w:t>
            </w:r>
          </w:p>
        </w:tc>
        <w:tc>
          <w:tcPr>
            <w:tcW w:w="11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Calibri" w:hAnsi="Calibri"/>
                <w:b/>
                <w:bCs/>
                <w:sz w:val="24"/>
              </w:rPr>
            </w:pPr>
            <w:r>
              <w:rPr>
                <w:rFonts w:hint="eastAsia" w:ascii="Calibri" w:hAnsi="Calibri"/>
                <w:b/>
                <w:bCs/>
                <w:sz w:val="24"/>
              </w:rPr>
              <w:t>月综合</w:t>
            </w:r>
          </w:p>
          <w:p>
            <w:pPr>
              <w:autoSpaceDE w:val="0"/>
              <w:autoSpaceDN w:val="0"/>
              <w:adjustRightInd w:val="0"/>
              <w:spacing w:line="360" w:lineRule="exact"/>
              <w:jc w:val="center"/>
              <w:rPr>
                <w:rFonts w:ascii="Calibri" w:hAnsi="Calibri"/>
                <w:b/>
                <w:bCs/>
                <w:sz w:val="24"/>
              </w:rPr>
            </w:pPr>
            <w:r>
              <w:rPr>
                <w:rFonts w:hint="eastAsia" w:ascii="Calibri" w:hAnsi="Calibri"/>
                <w:b/>
                <w:bCs/>
                <w:sz w:val="24"/>
              </w:rPr>
              <w:t>单价</w:t>
            </w:r>
          </w:p>
        </w:tc>
        <w:tc>
          <w:tcPr>
            <w:tcW w:w="11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ascii="Calibri" w:hAnsi="Calibri"/>
                <w:b/>
                <w:bCs/>
                <w:sz w:val="24"/>
              </w:rPr>
            </w:pPr>
            <w:r>
              <w:rPr>
                <w:rFonts w:hint="eastAsia" w:ascii="宋体" w:hAnsi="Calibri" w:cs="宋体"/>
                <w:b/>
                <w:bCs/>
                <w:sz w:val="24"/>
                <w:lang w:val="zh-CN"/>
              </w:rPr>
              <w:t>1年合价</w:t>
            </w:r>
          </w:p>
        </w:tc>
        <w:tc>
          <w:tcPr>
            <w:tcW w:w="211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ascii="Calibri" w:hAnsi="Calibri"/>
                <w:b/>
                <w:bCs/>
                <w:sz w:val="24"/>
              </w:rPr>
            </w:pPr>
            <w:r>
              <w:rPr>
                <w:rFonts w:hint="eastAsia" w:ascii="宋体" w:hAnsi="Calibri" w:cs="宋体"/>
                <w:b/>
                <w:bCs/>
                <w:sz w:val="24"/>
                <w:lang w:val="zh-CN"/>
              </w:rPr>
              <w:t>备注</w:t>
            </w:r>
          </w:p>
        </w:tc>
      </w:tr>
      <w:tr>
        <w:tblPrEx>
          <w:tblCellMar>
            <w:top w:w="0" w:type="dxa"/>
            <w:left w:w="108" w:type="dxa"/>
            <w:bottom w:w="0" w:type="dxa"/>
            <w:right w:w="108" w:type="dxa"/>
          </w:tblCellMar>
        </w:tblPrEx>
        <w:trPr>
          <w:wBefore w:w="0" w:type="dxa"/>
          <w:wAfter w:w="0" w:type="dxa"/>
          <w:trHeight w:val="1014" w:hRule="atLeast"/>
        </w:trPr>
        <w:tc>
          <w:tcPr>
            <w:tcW w:w="96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ascii="宋体" w:hAnsi="宋体" w:cs="Arial Unicode MS"/>
                <w:sz w:val="24"/>
              </w:rPr>
            </w:pPr>
          </w:p>
        </w:tc>
        <w:tc>
          <w:tcPr>
            <w:tcW w:w="2760" w:type="dxa"/>
            <w:gridSpan w:val="2"/>
            <w:tcBorders>
              <w:top w:val="single" w:color="auto" w:sz="6" w:space="0"/>
              <w:left w:val="single" w:color="auto" w:sz="6" w:space="0"/>
              <w:bottom w:val="single" w:color="auto" w:sz="6" w:space="0"/>
              <w:right w:val="single" w:color="auto" w:sz="4" w:space="0"/>
            </w:tcBorders>
            <w:noWrap w:val="0"/>
            <w:vAlign w:val="center"/>
          </w:tcPr>
          <w:p>
            <w:pPr>
              <w:spacing w:line="360" w:lineRule="auto"/>
              <w:jc w:val="left"/>
              <w:rPr>
                <w:rFonts w:hint="eastAsia" w:ascii="宋体" w:hAnsi="宋体" w:cs="Arial Unicode MS"/>
                <w:sz w:val="24"/>
              </w:rPr>
            </w:pPr>
            <w:r>
              <w:rPr>
                <w:rFonts w:hint="eastAsia" w:ascii="宋体" w:hAnsi="宋体" w:cs="Arial Unicode MS"/>
                <w:sz w:val="24"/>
              </w:rPr>
              <w:t>道路、开放式小区等保洁</w:t>
            </w:r>
          </w:p>
        </w:tc>
        <w:tc>
          <w:tcPr>
            <w:tcW w:w="1090" w:type="dxa"/>
            <w:tcBorders>
              <w:top w:val="single" w:color="auto" w:sz="6" w:space="0"/>
              <w:left w:val="single" w:color="auto" w:sz="4" w:space="0"/>
              <w:bottom w:val="single" w:color="auto" w:sz="6" w:space="0"/>
              <w:right w:val="single" w:color="auto" w:sz="6" w:space="0"/>
            </w:tcBorders>
            <w:noWrap w:val="0"/>
            <w:vAlign w:val="center"/>
          </w:tcPr>
          <w:p>
            <w:pPr>
              <w:spacing w:line="360" w:lineRule="auto"/>
              <w:jc w:val="left"/>
              <w:rPr>
                <w:rFonts w:hint="eastAsia" w:ascii="宋体" w:hAnsi="宋体" w:cs="Arial Unicode MS"/>
                <w:sz w:val="24"/>
              </w:rPr>
            </w:pPr>
          </w:p>
        </w:tc>
        <w:tc>
          <w:tcPr>
            <w:tcW w:w="11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ascii="宋体" w:hAnsi="宋体" w:cs="Arial Unicode MS"/>
                <w:sz w:val="24"/>
              </w:rPr>
            </w:pPr>
          </w:p>
        </w:tc>
        <w:tc>
          <w:tcPr>
            <w:tcW w:w="11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ascii="宋体" w:hAnsi="宋体" w:cs="Arial Unicode MS"/>
                <w:sz w:val="24"/>
              </w:rPr>
            </w:pPr>
          </w:p>
        </w:tc>
        <w:tc>
          <w:tcPr>
            <w:tcW w:w="211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40" w:lineRule="exact"/>
              <w:rPr>
                <w:rFonts w:ascii="宋体" w:hAnsi="宋体" w:cs="Arial Unicode MS"/>
                <w:sz w:val="24"/>
              </w:rPr>
            </w:pPr>
            <w:r>
              <w:rPr>
                <w:rFonts w:hint="eastAsia" w:ascii="宋体" w:hAnsi="宋体" w:cs="Arial Unicode MS"/>
                <w:sz w:val="24"/>
              </w:rPr>
              <w:t>须附投标报价明细表</w:t>
            </w:r>
          </w:p>
        </w:tc>
      </w:tr>
      <w:tr>
        <w:tblPrEx>
          <w:tblCellMar>
            <w:top w:w="0" w:type="dxa"/>
            <w:left w:w="108" w:type="dxa"/>
            <w:bottom w:w="0" w:type="dxa"/>
            <w:right w:w="108" w:type="dxa"/>
          </w:tblCellMar>
        </w:tblPrEx>
        <w:trPr>
          <w:wBefore w:w="0" w:type="dxa"/>
          <w:wAfter w:w="0" w:type="dxa"/>
          <w:trHeight w:val="1014" w:hRule="atLeast"/>
        </w:trPr>
        <w:tc>
          <w:tcPr>
            <w:tcW w:w="96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ascii="宋体" w:hAnsi="宋体" w:cs="Arial Unicode MS"/>
                <w:sz w:val="24"/>
              </w:rPr>
            </w:pPr>
          </w:p>
        </w:tc>
        <w:tc>
          <w:tcPr>
            <w:tcW w:w="2760" w:type="dxa"/>
            <w:gridSpan w:val="2"/>
            <w:tcBorders>
              <w:top w:val="single" w:color="auto" w:sz="6" w:space="0"/>
              <w:left w:val="single" w:color="auto" w:sz="6" w:space="0"/>
              <w:bottom w:val="single" w:color="auto" w:sz="6" w:space="0"/>
              <w:right w:val="single" w:color="auto" w:sz="4" w:space="0"/>
            </w:tcBorders>
            <w:noWrap w:val="0"/>
            <w:vAlign w:val="center"/>
          </w:tcPr>
          <w:p>
            <w:pPr>
              <w:spacing w:line="360" w:lineRule="auto"/>
              <w:jc w:val="left"/>
              <w:rPr>
                <w:rFonts w:hint="eastAsia" w:ascii="宋体" w:hAnsi="宋体" w:cs="Arial Unicode MS"/>
                <w:sz w:val="24"/>
              </w:rPr>
            </w:pPr>
            <w:r>
              <w:rPr>
                <w:rFonts w:hint="eastAsia" w:ascii="宋体" w:hAnsi="宋体" w:cs="Arial Unicode MS"/>
                <w:sz w:val="24"/>
              </w:rPr>
              <w:t>公园、绿化带保洁</w:t>
            </w:r>
          </w:p>
        </w:tc>
        <w:tc>
          <w:tcPr>
            <w:tcW w:w="1090" w:type="dxa"/>
            <w:tcBorders>
              <w:top w:val="single" w:color="auto" w:sz="6" w:space="0"/>
              <w:left w:val="single" w:color="auto" w:sz="4" w:space="0"/>
              <w:bottom w:val="single" w:color="auto" w:sz="6" w:space="0"/>
              <w:right w:val="single" w:color="auto" w:sz="6" w:space="0"/>
            </w:tcBorders>
            <w:noWrap w:val="0"/>
            <w:vAlign w:val="center"/>
          </w:tcPr>
          <w:p>
            <w:pPr>
              <w:spacing w:line="360" w:lineRule="auto"/>
              <w:jc w:val="left"/>
              <w:rPr>
                <w:rFonts w:hint="eastAsia" w:ascii="宋体" w:hAnsi="宋体" w:cs="Arial Unicode MS"/>
                <w:sz w:val="24"/>
              </w:rPr>
            </w:pPr>
          </w:p>
        </w:tc>
        <w:tc>
          <w:tcPr>
            <w:tcW w:w="11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ascii="宋体" w:hAnsi="宋体" w:cs="Arial Unicode MS"/>
                <w:sz w:val="24"/>
              </w:rPr>
            </w:pPr>
          </w:p>
        </w:tc>
        <w:tc>
          <w:tcPr>
            <w:tcW w:w="11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ascii="宋体" w:hAnsi="宋体" w:cs="Arial Unicode MS"/>
                <w:sz w:val="24"/>
              </w:rPr>
            </w:pPr>
          </w:p>
        </w:tc>
        <w:tc>
          <w:tcPr>
            <w:tcW w:w="211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40" w:lineRule="exact"/>
              <w:rPr>
                <w:rFonts w:hint="eastAsia" w:ascii="宋体" w:hAnsi="宋体" w:cs="Arial Unicode MS"/>
                <w:sz w:val="24"/>
              </w:rPr>
            </w:pPr>
            <w:r>
              <w:rPr>
                <w:rFonts w:hint="eastAsia" w:ascii="宋体" w:hAnsi="宋体" w:cs="Arial Unicode MS"/>
                <w:sz w:val="24"/>
              </w:rPr>
              <w:t>须附投标报价明细表</w:t>
            </w:r>
          </w:p>
        </w:tc>
      </w:tr>
      <w:tr>
        <w:tblPrEx>
          <w:tblCellMar>
            <w:top w:w="0" w:type="dxa"/>
            <w:left w:w="108" w:type="dxa"/>
            <w:bottom w:w="0" w:type="dxa"/>
            <w:right w:w="108" w:type="dxa"/>
          </w:tblCellMar>
        </w:tblPrEx>
        <w:trPr>
          <w:wBefore w:w="0" w:type="dxa"/>
          <w:wAfter w:w="0" w:type="dxa"/>
          <w:trHeight w:val="1014" w:hRule="atLeast"/>
        </w:trPr>
        <w:tc>
          <w:tcPr>
            <w:tcW w:w="96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ascii="宋体" w:hAnsi="宋体" w:cs="Arial Unicode MS"/>
                <w:sz w:val="24"/>
              </w:rPr>
            </w:pPr>
          </w:p>
        </w:tc>
        <w:tc>
          <w:tcPr>
            <w:tcW w:w="2760" w:type="dxa"/>
            <w:gridSpan w:val="2"/>
            <w:tcBorders>
              <w:top w:val="single" w:color="auto" w:sz="6" w:space="0"/>
              <w:left w:val="single" w:color="auto" w:sz="6" w:space="0"/>
              <w:bottom w:val="single" w:color="auto" w:sz="6" w:space="0"/>
              <w:right w:val="single" w:color="auto" w:sz="4" w:space="0"/>
            </w:tcBorders>
            <w:noWrap w:val="0"/>
            <w:vAlign w:val="center"/>
          </w:tcPr>
          <w:p>
            <w:pPr>
              <w:spacing w:line="360" w:lineRule="auto"/>
              <w:jc w:val="left"/>
              <w:rPr>
                <w:rFonts w:hint="eastAsia" w:ascii="宋体" w:hAnsi="宋体" w:cs="Arial Unicode MS"/>
                <w:sz w:val="24"/>
              </w:rPr>
            </w:pPr>
          </w:p>
        </w:tc>
        <w:tc>
          <w:tcPr>
            <w:tcW w:w="1090" w:type="dxa"/>
            <w:tcBorders>
              <w:top w:val="single" w:color="auto" w:sz="6" w:space="0"/>
              <w:left w:val="single" w:color="auto" w:sz="4" w:space="0"/>
              <w:bottom w:val="single" w:color="auto" w:sz="6" w:space="0"/>
              <w:right w:val="single" w:color="auto" w:sz="6" w:space="0"/>
            </w:tcBorders>
            <w:noWrap w:val="0"/>
            <w:vAlign w:val="center"/>
          </w:tcPr>
          <w:p>
            <w:pPr>
              <w:spacing w:line="360" w:lineRule="auto"/>
              <w:jc w:val="left"/>
              <w:rPr>
                <w:rFonts w:hint="eastAsia" w:ascii="宋体" w:hAnsi="宋体" w:cs="Arial Unicode MS"/>
                <w:sz w:val="24"/>
              </w:rPr>
            </w:pPr>
          </w:p>
        </w:tc>
        <w:tc>
          <w:tcPr>
            <w:tcW w:w="11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ascii="宋体" w:hAnsi="宋体" w:cs="Arial Unicode MS"/>
                <w:sz w:val="24"/>
              </w:rPr>
            </w:pPr>
          </w:p>
        </w:tc>
        <w:tc>
          <w:tcPr>
            <w:tcW w:w="11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ascii="宋体" w:hAnsi="宋体" w:cs="Arial Unicode MS"/>
                <w:sz w:val="24"/>
              </w:rPr>
            </w:pPr>
          </w:p>
        </w:tc>
        <w:tc>
          <w:tcPr>
            <w:tcW w:w="211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40" w:lineRule="exact"/>
              <w:rPr>
                <w:rFonts w:hint="eastAsia" w:ascii="宋体" w:hAnsi="宋体" w:cs="Arial Unicode MS"/>
                <w:sz w:val="24"/>
              </w:rPr>
            </w:pPr>
          </w:p>
        </w:tc>
      </w:tr>
      <w:tr>
        <w:tblPrEx>
          <w:tblCellMar>
            <w:top w:w="0" w:type="dxa"/>
            <w:left w:w="108" w:type="dxa"/>
            <w:bottom w:w="0" w:type="dxa"/>
            <w:right w:w="108" w:type="dxa"/>
          </w:tblCellMar>
        </w:tblPrEx>
        <w:trPr>
          <w:wBefore w:w="0" w:type="dxa"/>
          <w:wAfter w:w="0" w:type="dxa"/>
          <w:trHeight w:val="765" w:hRule="atLeast"/>
        </w:trPr>
        <w:tc>
          <w:tcPr>
            <w:tcW w:w="2221" w:type="dxa"/>
            <w:gridSpan w:val="2"/>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360" w:lineRule="auto"/>
              <w:jc w:val="center"/>
              <w:rPr>
                <w:rFonts w:hint="eastAsia" w:ascii="宋体" w:hAnsi="Calibri" w:cs="宋体"/>
                <w:sz w:val="24"/>
                <w:lang w:val="zh-CN"/>
              </w:rPr>
            </w:pPr>
            <w:r>
              <w:rPr>
                <w:rFonts w:hint="eastAsia" w:ascii="宋体" w:hAnsi="宋体" w:cs="Arial Unicode MS"/>
                <w:sz w:val="24"/>
              </w:rPr>
              <w:t>总报价（小写）</w:t>
            </w:r>
          </w:p>
        </w:tc>
        <w:tc>
          <w:tcPr>
            <w:tcW w:w="7021" w:type="dxa"/>
            <w:gridSpan w:val="5"/>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360" w:lineRule="auto"/>
              <w:rPr>
                <w:rFonts w:hint="eastAsia" w:ascii="宋体" w:hAnsi="Calibri" w:cs="宋体"/>
                <w:sz w:val="24"/>
                <w:lang w:val="zh-CN"/>
              </w:rPr>
            </w:pPr>
          </w:p>
        </w:tc>
      </w:tr>
      <w:tr>
        <w:tblPrEx>
          <w:tblCellMar>
            <w:top w:w="0" w:type="dxa"/>
            <w:left w:w="108" w:type="dxa"/>
            <w:bottom w:w="0" w:type="dxa"/>
            <w:right w:w="108" w:type="dxa"/>
          </w:tblCellMar>
        </w:tblPrEx>
        <w:trPr>
          <w:wBefore w:w="0" w:type="dxa"/>
          <w:wAfter w:w="0" w:type="dxa"/>
          <w:trHeight w:val="765" w:hRule="atLeast"/>
        </w:trPr>
        <w:tc>
          <w:tcPr>
            <w:tcW w:w="2221" w:type="dxa"/>
            <w:gridSpan w:val="2"/>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360" w:lineRule="exact"/>
              <w:jc w:val="center"/>
              <w:rPr>
                <w:rFonts w:ascii="Calibri" w:hAnsi="Calibri"/>
                <w:sz w:val="24"/>
              </w:rPr>
            </w:pPr>
            <w:r>
              <w:rPr>
                <w:rFonts w:hint="eastAsia" w:ascii="Calibri" w:hAnsi="Calibri"/>
                <w:sz w:val="24"/>
                <w:szCs w:val="21"/>
              </w:rPr>
              <w:t>总报价（大写）</w:t>
            </w:r>
          </w:p>
        </w:tc>
        <w:tc>
          <w:tcPr>
            <w:tcW w:w="7021" w:type="dxa"/>
            <w:gridSpan w:val="5"/>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360" w:lineRule="exact"/>
              <w:rPr>
                <w:rFonts w:hint="eastAsia" w:ascii="Calibri" w:hAnsi="Calibri"/>
                <w:sz w:val="24"/>
              </w:rPr>
            </w:pPr>
          </w:p>
        </w:tc>
      </w:tr>
    </w:tbl>
    <w:p>
      <w:pPr>
        <w:snapToGrid w:val="0"/>
        <w:spacing w:line="360" w:lineRule="auto"/>
        <w:rPr>
          <w:rFonts w:hint="eastAsia" w:ascii="宋体" w:hAnsi="宋体"/>
          <w:sz w:val="24"/>
          <w:u w:val="single"/>
        </w:rPr>
      </w:pPr>
    </w:p>
    <w:p>
      <w:pPr>
        <w:snapToGrid w:val="0"/>
        <w:spacing w:line="360" w:lineRule="auto"/>
        <w:rPr>
          <w:rFonts w:hint="eastAsia" w:ascii="宋体" w:hAnsi="宋体"/>
          <w:sz w:val="24"/>
        </w:rPr>
      </w:pPr>
      <w:r>
        <w:rPr>
          <w:rFonts w:hint="eastAsia" w:ascii="宋体" w:hAnsi="宋体"/>
          <w:sz w:val="24"/>
        </w:rPr>
        <w:t>说明：1、综合单价为包含所有相关费用的单价。</w:t>
      </w:r>
    </w:p>
    <w:p>
      <w:pPr>
        <w:snapToGrid w:val="0"/>
        <w:spacing w:line="360" w:lineRule="auto"/>
        <w:ind w:firstLine="704" w:firstLineChars="292"/>
        <w:rPr>
          <w:rFonts w:hint="eastAsia" w:ascii="宋体" w:hAnsi="宋体"/>
          <w:sz w:val="24"/>
        </w:rPr>
      </w:pPr>
      <w:r>
        <w:rPr>
          <w:rFonts w:hint="eastAsia" w:ascii="宋体" w:hAnsi="宋体"/>
          <w:b/>
          <w:sz w:val="24"/>
        </w:rPr>
        <w:t>2、投标合价按服务期限1年进行报价。</w:t>
      </w:r>
    </w:p>
    <w:p>
      <w:pPr>
        <w:snapToGrid w:val="0"/>
        <w:spacing w:line="360" w:lineRule="auto"/>
        <w:ind w:firstLine="720" w:firstLineChars="300"/>
        <w:rPr>
          <w:rFonts w:hint="eastAsia" w:ascii="宋体" w:hAnsi="宋体"/>
          <w:sz w:val="24"/>
        </w:rPr>
      </w:pPr>
      <w:r>
        <w:rPr>
          <w:rFonts w:hint="eastAsia" w:ascii="宋体" w:hAnsi="宋体"/>
          <w:sz w:val="24"/>
        </w:rPr>
        <w:t>3、开标一览表总价与投标报价明细表总价须一致。</w:t>
      </w:r>
    </w:p>
    <w:p>
      <w:pPr>
        <w:snapToGrid w:val="0"/>
        <w:spacing w:line="360" w:lineRule="auto"/>
        <w:ind w:firstLine="720" w:firstLineChars="300"/>
        <w:rPr>
          <w:rFonts w:hint="eastAsia" w:ascii="宋体" w:hAnsi="宋体"/>
          <w:sz w:val="24"/>
        </w:rPr>
      </w:pPr>
      <w:r>
        <w:rPr>
          <w:rFonts w:hint="eastAsia" w:ascii="宋体" w:hAnsi="宋体"/>
          <w:sz w:val="24"/>
        </w:rPr>
        <w:t>4、必须附投标报价明细表，否则作无效标处理。</w:t>
      </w:r>
    </w:p>
    <w:p>
      <w:pPr>
        <w:spacing w:line="360" w:lineRule="auto"/>
        <w:ind w:firstLine="723" w:firstLineChars="300"/>
        <w:rPr>
          <w:rFonts w:hint="eastAsia" w:ascii="宋体" w:hAnsi="宋体"/>
          <w:b/>
          <w:sz w:val="24"/>
        </w:rPr>
      </w:pPr>
      <w:r>
        <w:rPr>
          <w:rFonts w:hint="eastAsia" w:ascii="宋体" w:hAnsi="宋体"/>
          <w:b/>
          <w:sz w:val="24"/>
        </w:rPr>
        <w:t>5、附件中涉及的法定代表人或其委托代理人签字或盖章的内容，投标单位须盖法定代表人电子签章，如果投标单位没有法定代表人电子签章，涉及到法定代表人或其委托代理人签字或盖章的内容，投标单位可以线下签字或盖章后扫描上传。</w:t>
      </w:r>
    </w:p>
    <w:p>
      <w:pPr>
        <w:snapToGrid w:val="0"/>
        <w:spacing w:line="500" w:lineRule="exact"/>
        <w:rPr>
          <w:rFonts w:hint="eastAsia" w:ascii="宋体" w:hAnsi="宋体"/>
          <w:sz w:val="24"/>
          <w:u w:val="single"/>
        </w:rPr>
      </w:pPr>
    </w:p>
    <w:p>
      <w:pPr>
        <w:snapToGrid w:val="0"/>
        <w:spacing w:line="500" w:lineRule="exact"/>
        <w:rPr>
          <w:rFonts w:hint="eastAsia" w:ascii="宋体" w:hAnsi="宋体"/>
          <w:sz w:val="24"/>
          <w:u w:val="single"/>
        </w:rPr>
      </w:pPr>
    </w:p>
    <w:p>
      <w:pPr>
        <w:snapToGrid w:val="0"/>
        <w:spacing w:line="500" w:lineRule="exact"/>
        <w:rPr>
          <w:rFonts w:hint="eastAsia" w:ascii="宋体" w:hAnsi="宋体"/>
          <w:sz w:val="28"/>
          <w:szCs w:val="28"/>
        </w:rPr>
      </w:pPr>
    </w:p>
    <w:p>
      <w:pPr>
        <w:snapToGrid w:val="0"/>
        <w:spacing w:line="500" w:lineRule="exact"/>
        <w:rPr>
          <w:rFonts w:ascii="宋体" w:hAnsi="宋体"/>
          <w:sz w:val="28"/>
          <w:szCs w:val="28"/>
        </w:rPr>
      </w:pPr>
      <w:r>
        <w:rPr>
          <w:rFonts w:ascii="宋体" w:hAnsi="宋体"/>
          <w:sz w:val="28"/>
          <w:szCs w:val="28"/>
        </w:rPr>
        <w:t>供应商（</w:t>
      </w:r>
      <w:r>
        <w:rPr>
          <w:rFonts w:hint="eastAsia" w:ascii="宋体" w:hAnsi="宋体"/>
          <w:sz w:val="28"/>
          <w:szCs w:val="28"/>
        </w:rPr>
        <w:t>盖章</w:t>
      </w:r>
      <w:r>
        <w:rPr>
          <w:rFonts w:ascii="宋体" w:hAnsi="宋体"/>
          <w:sz w:val="28"/>
          <w:szCs w:val="28"/>
        </w:rPr>
        <w:t xml:space="preserve">）：    </w:t>
      </w:r>
      <w:r>
        <w:rPr>
          <w:rFonts w:hint="eastAsia" w:ascii="宋体" w:hAnsi="宋体"/>
          <w:sz w:val="28"/>
          <w:szCs w:val="28"/>
        </w:rPr>
        <w:t xml:space="preserve">     </w:t>
      </w:r>
      <w:r>
        <w:rPr>
          <w:rFonts w:ascii="宋体" w:hAnsi="宋体"/>
          <w:sz w:val="28"/>
          <w:szCs w:val="28"/>
        </w:rPr>
        <w:t xml:space="preserve">  法人代表</w:t>
      </w:r>
      <w:r>
        <w:rPr>
          <w:rFonts w:hint="eastAsia" w:ascii="宋体" w:hAnsi="宋体"/>
          <w:sz w:val="28"/>
          <w:szCs w:val="28"/>
        </w:rPr>
        <w:t>人</w:t>
      </w:r>
      <w:r>
        <w:rPr>
          <w:rFonts w:ascii="宋体" w:hAnsi="宋体"/>
          <w:sz w:val="28"/>
          <w:szCs w:val="28"/>
        </w:rPr>
        <w:t>或授权代表</w:t>
      </w:r>
      <w:r>
        <w:rPr>
          <w:rFonts w:hint="eastAsia" w:ascii="宋体" w:hAnsi="宋体"/>
          <w:sz w:val="28"/>
          <w:szCs w:val="28"/>
        </w:rPr>
        <w:t>人</w:t>
      </w:r>
      <w:r>
        <w:rPr>
          <w:rFonts w:ascii="宋体" w:hAnsi="宋体"/>
          <w:sz w:val="28"/>
          <w:szCs w:val="28"/>
        </w:rPr>
        <w:t>（</w:t>
      </w:r>
      <w:r>
        <w:rPr>
          <w:rFonts w:hint="eastAsia" w:ascii="宋体" w:hAnsi="宋体"/>
          <w:sz w:val="28"/>
          <w:szCs w:val="28"/>
        </w:rPr>
        <w:t>盖章或签字</w:t>
      </w:r>
      <w:r>
        <w:rPr>
          <w:rFonts w:ascii="宋体" w:hAnsi="宋体"/>
          <w:sz w:val="28"/>
          <w:szCs w:val="28"/>
        </w:rPr>
        <w:t>）：</w:t>
      </w:r>
    </w:p>
    <w:p>
      <w:pPr>
        <w:snapToGrid w:val="0"/>
        <w:spacing w:line="500" w:lineRule="exact"/>
        <w:rPr>
          <w:rFonts w:ascii="宋体" w:hAnsi="宋体"/>
          <w:sz w:val="28"/>
          <w:szCs w:val="28"/>
        </w:rPr>
      </w:pPr>
    </w:p>
    <w:p>
      <w:pPr>
        <w:snapToGrid w:val="0"/>
        <w:spacing w:line="500" w:lineRule="exact"/>
        <w:ind w:firstLine="6571" w:firstLineChars="2347"/>
        <w:rPr>
          <w:rFonts w:hint="eastAsia" w:ascii="宋体" w:hAnsi="宋体"/>
          <w:sz w:val="28"/>
          <w:szCs w:val="28"/>
        </w:rPr>
      </w:pPr>
      <w:r>
        <w:rPr>
          <w:rFonts w:ascii="宋体" w:hAnsi="宋体"/>
          <w:sz w:val="28"/>
          <w:szCs w:val="28"/>
        </w:rPr>
        <w:t>年  月  日</w:t>
      </w:r>
    </w:p>
    <w:p>
      <w:pPr>
        <w:pStyle w:val="2"/>
        <w:numPr>
          <w:ilvl w:val="0"/>
          <w:numId w:val="0"/>
        </w:numPr>
        <w:tabs>
          <w:tab w:val="left" w:pos="851"/>
        </w:tabs>
        <w:spacing w:after="0" w:line="500" w:lineRule="exact"/>
        <w:rPr>
          <w:rFonts w:ascii="宋体" w:hAnsi="宋体"/>
        </w:rPr>
        <w:sectPr>
          <w:pgSz w:w="11907" w:h="16840"/>
          <w:pgMar w:top="1134" w:right="1134" w:bottom="1134" w:left="1418" w:header="567" w:footer="567" w:gutter="0"/>
          <w:cols w:space="720" w:num="1"/>
          <w:docGrid w:linePitch="286" w:charSpace="0"/>
        </w:sectPr>
      </w:pPr>
      <w:bookmarkStart w:id="27" w:name="_Toc518405411"/>
    </w:p>
    <w:p>
      <w:pPr>
        <w:pStyle w:val="2"/>
        <w:numPr>
          <w:ilvl w:val="0"/>
          <w:numId w:val="0"/>
        </w:numPr>
        <w:tabs>
          <w:tab w:val="left" w:pos="851"/>
        </w:tabs>
        <w:spacing w:after="0" w:line="500" w:lineRule="exact"/>
        <w:rPr>
          <w:rFonts w:hint="eastAsia" w:ascii="宋体" w:hAnsi="宋体"/>
          <w:u w:val="single"/>
        </w:rPr>
      </w:pPr>
      <w:bookmarkStart w:id="28" w:name="_Toc25589262"/>
      <w:r>
        <w:rPr>
          <w:rFonts w:hint="eastAsia" w:ascii="宋体" w:hAnsi="宋体"/>
        </w:rPr>
        <w:t>附件四：</w:t>
      </w:r>
      <w:bookmarkEnd w:id="27"/>
      <w:r>
        <w:rPr>
          <w:rFonts w:hint="eastAsia" w:ascii="宋体" w:hAnsi="宋体" w:cs="Arial Unicode MS"/>
          <w:szCs w:val="21"/>
        </w:rPr>
        <w:t>投标报价明细表</w:t>
      </w:r>
      <w:bookmarkEnd w:id="28"/>
      <w:r>
        <w:rPr>
          <w:rFonts w:hint="eastAsia" w:ascii="宋体" w:hAnsi="宋体" w:cs="Arial Unicode MS"/>
          <w:szCs w:val="21"/>
          <w:u w:val="single"/>
        </w:rPr>
        <w:t xml:space="preserve">  </w:t>
      </w:r>
      <w:r>
        <w:rPr>
          <w:rFonts w:hint="eastAsia" w:ascii="宋体" w:hAnsi="宋体" w:cs="Arial Unicode MS"/>
          <w:szCs w:val="21"/>
        </w:rPr>
        <w:t>标</w:t>
      </w:r>
    </w:p>
    <w:p>
      <w:pPr>
        <w:spacing w:line="500" w:lineRule="exact"/>
        <w:rPr>
          <w:rFonts w:hint="eastAsia" w:ascii="宋体" w:hAnsi="宋体"/>
          <w:sz w:val="24"/>
          <w:u w:val="single"/>
        </w:rPr>
      </w:pPr>
      <w:r>
        <w:rPr>
          <w:rFonts w:hint="eastAsia" w:ascii="宋体" w:hAnsi="宋体"/>
          <w:sz w:val="24"/>
        </w:rPr>
        <w:t>项目名称：</w:t>
      </w:r>
      <w:r>
        <w:rPr>
          <w:rFonts w:hint="eastAsia" w:ascii="宋体" w:hAnsi="宋体"/>
          <w:sz w:val="24"/>
          <w:u w:val="single"/>
        </w:rPr>
        <w:t xml:space="preserve">                       </w:t>
      </w:r>
      <w:r>
        <w:rPr>
          <w:rFonts w:hint="eastAsia" w:ascii="宋体" w:hAnsi="宋体"/>
          <w:sz w:val="24"/>
        </w:rPr>
        <w:t xml:space="preserve">         采购编号：</w:t>
      </w:r>
      <w:r>
        <w:rPr>
          <w:rFonts w:hint="eastAsia" w:ascii="宋体" w:hAnsi="宋体"/>
          <w:sz w:val="24"/>
          <w:u w:val="single"/>
        </w:rPr>
        <w:t xml:space="preserve">                       </w:t>
      </w:r>
      <w:r>
        <w:rPr>
          <w:rFonts w:hint="eastAsia" w:ascii="宋体" w:hAnsi="宋体"/>
          <w:sz w:val="24"/>
        </w:rPr>
        <w:t xml:space="preserve">  </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012"/>
        <w:gridCol w:w="1203"/>
        <w:gridCol w:w="2318"/>
        <w:gridCol w:w="2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3" w:hRule="atLeast"/>
        </w:trPr>
        <w:tc>
          <w:tcPr>
            <w:tcW w:w="2093" w:type="dxa"/>
            <w:noWrap w:val="0"/>
            <w:vAlign w:val="center"/>
          </w:tcPr>
          <w:p>
            <w:pPr>
              <w:jc w:val="center"/>
              <w:rPr>
                <w:rFonts w:hint="eastAsia" w:ascii="宋体" w:hAnsi="宋体"/>
                <w:szCs w:val="21"/>
              </w:rPr>
            </w:pPr>
            <w:r>
              <w:rPr>
                <w:rFonts w:hint="eastAsia" w:ascii="宋体" w:hAnsi="宋体"/>
                <w:szCs w:val="21"/>
              </w:rPr>
              <w:t>项目内容</w:t>
            </w:r>
          </w:p>
        </w:tc>
        <w:tc>
          <w:tcPr>
            <w:tcW w:w="1012" w:type="dxa"/>
            <w:noWrap w:val="0"/>
            <w:vAlign w:val="center"/>
          </w:tcPr>
          <w:p>
            <w:pPr>
              <w:jc w:val="center"/>
              <w:rPr>
                <w:rFonts w:hint="eastAsia" w:ascii="宋体" w:hAnsi="宋体"/>
                <w:szCs w:val="21"/>
              </w:rPr>
            </w:pPr>
            <w:r>
              <w:rPr>
                <w:rFonts w:hint="eastAsia" w:ascii="宋体" w:hAnsi="宋体"/>
                <w:szCs w:val="21"/>
              </w:rPr>
              <w:t>数量</w:t>
            </w:r>
          </w:p>
        </w:tc>
        <w:tc>
          <w:tcPr>
            <w:tcW w:w="1203" w:type="dxa"/>
            <w:noWrap w:val="0"/>
            <w:vAlign w:val="center"/>
          </w:tcPr>
          <w:p>
            <w:pPr>
              <w:jc w:val="center"/>
              <w:rPr>
                <w:rFonts w:hint="eastAsia" w:ascii="宋体" w:hAnsi="宋体"/>
                <w:szCs w:val="21"/>
              </w:rPr>
            </w:pPr>
            <w:r>
              <w:rPr>
                <w:rFonts w:hint="eastAsia" w:ascii="宋体" w:hAnsi="宋体"/>
                <w:szCs w:val="21"/>
              </w:rPr>
              <w:t>月报价/金额(元)</w:t>
            </w:r>
          </w:p>
        </w:tc>
        <w:tc>
          <w:tcPr>
            <w:tcW w:w="2318" w:type="dxa"/>
            <w:noWrap w:val="0"/>
            <w:vAlign w:val="center"/>
          </w:tcPr>
          <w:p>
            <w:pPr>
              <w:jc w:val="center"/>
              <w:rPr>
                <w:rFonts w:hint="eastAsia" w:ascii="宋体" w:hAnsi="宋体"/>
                <w:szCs w:val="21"/>
              </w:rPr>
            </w:pPr>
            <w:r>
              <w:rPr>
                <w:rFonts w:hint="eastAsia" w:ascii="宋体" w:hAnsi="宋体"/>
                <w:szCs w:val="21"/>
              </w:rPr>
              <w:t>计算依据数量</w:t>
            </w:r>
          </w:p>
          <w:p>
            <w:pPr>
              <w:jc w:val="center"/>
              <w:rPr>
                <w:rFonts w:hint="eastAsia" w:ascii="宋体" w:hAnsi="宋体"/>
                <w:szCs w:val="21"/>
              </w:rPr>
            </w:pPr>
            <w:r>
              <w:rPr>
                <w:rFonts w:hint="eastAsia" w:ascii="宋体" w:hAnsi="宋体"/>
                <w:szCs w:val="21"/>
              </w:rPr>
              <w:t>（公式及过程）</w:t>
            </w:r>
          </w:p>
        </w:tc>
        <w:tc>
          <w:tcPr>
            <w:tcW w:w="2911" w:type="dxa"/>
            <w:noWrap w:val="0"/>
            <w:vAlign w:val="center"/>
          </w:tcPr>
          <w:p>
            <w:pPr>
              <w:jc w:val="center"/>
              <w:rPr>
                <w:rFonts w:hint="eastAsia" w:ascii="宋体" w:hAnsi="宋体"/>
                <w:szCs w:val="21"/>
              </w:rPr>
            </w:pPr>
            <w:r>
              <w:rPr>
                <w:rFonts w:hint="eastAsia" w:ascii="宋体" w:hAnsi="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7" w:hRule="atLeast"/>
        </w:trPr>
        <w:tc>
          <w:tcPr>
            <w:tcW w:w="2093" w:type="dxa"/>
            <w:noWrap w:val="0"/>
            <w:vAlign w:val="center"/>
          </w:tcPr>
          <w:p>
            <w:pPr>
              <w:jc w:val="center"/>
              <w:rPr>
                <w:rFonts w:hint="eastAsia" w:ascii="宋体" w:hAnsi="宋体"/>
                <w:szCs w:val="21"/>
              </w:rPr>
            </w:pPr>
            <w:r>
              <w:rPr>
                <w:rFonts w:hint="eastAsia" w:ascii="宋体" w:hAnsi="宋体"/>
              </w:rPr>
              <w:t>一、人工费</w:t>
            </w:r>
          </w:p>
        </w:tc>
        <w:tc>
          <w:tcPr>
            <w:tcW w:w="1012" w:type="dxa"/>
            <w:noWrap w:val="0"/>
            <w:vAlign w:val="center"/>
          </w:tcPr>
          <w:p>
            <w:pPr>
              <w:jc w:val="center"/>
              <w:rPr>
                <w:rFonts w:hint="eastAsia" w:ascii="宋体" w:hAnsi="宋体"/>
                <w:szCs w:val="21"/>
              </w:rPr>
            </w:pPr>
            <w:r>
              <w:rPr>
                <w:rFonts w:hint="eastAsia" w:ascii="宋体" w:hAnsi="宋体"/>
                <w:szCs w:val="21"/>
              </w:rPr>
              <w:t>/</w:t>
            </w:r>
          </w:p>
        </w:tc>
        <w:tc>
          <w:tcPr>
            <w:tcW w:w="1203" w:type="dxa"/>
            <w:noWrap w:val="0"/>
            <w:vAlign w:val="center"/>
          </w:tcPr>
          <w:p>
            <w:pPr>
              <w:jc w:val="center"/>
              <w:rPr>
                <w:rFonts w:hint="eastAsia" w:ascii="宋体" w:hAnsi="宋体"/>
                <w:szCs w:val="21"/>
              </w:rPr>
            </w:pPr>
          </w:p>
        </w:tc>
        <w:tc>
          <w:tcPr>
            <w:tcW w:w="2318" w:type="dxa"/>
            <w:noWrap w:val="0"/>
            <w:vAlign w:val="center"/>
          </w:tcPr>
          <w:p>
            <w:pPr>
              <w:jc w:val="center"/>
              <w:rPr>
                <w:rFonts w:hint="eastAsia" w:ascii="宋体" w:hAnsi="宋体"/>
                <w:szCs w:val="21"/>
              </w:rPr>
            </w:pPr>
            <w:r>
              <w:rPr>
                <w:rFonts w:hint="eastAsia" w:ascii="宋体" w:hAnsi="宋体"/>
                <w:szCs w:val="21"/>
              </w:rPr>
              <w:t>1+2+3</w:t>
            </w:r>
          </w:p>
        </w:tc>
        <w:tc>
          <w:tcPr>
            <w:tcW w:w="2911"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1" w:hRule="atLeast"/>
        </w:trPr>
        <w:tc>
          <w:tcPr>
            <w:tcW w:w="2093" w:type="dxa"/>
            <w:noWrap w:val="0"/>
            <w:vAlign w:val="center"/>
          </w:tcPr>
          <w:p>
            <w:pPr>
              <w:jc w:val="center"/>
              <w:rPr>
                <w:rFonts w:hint="eastAsia" w:ascii="宋体" w:hAnsi="宋体"/>
                <w:b/>
                <w:szCs w:val="21"/>
              </w:rPr>
            </w:pPr>
            <w:r>
              <w:rPr>
                <w:rFonts w:hint="eastAsia" w:ascii="宋体" w:hAnsi="宋体"/>
                <w:b/>
              </w:rPr>
              <w:t>1、工人工资</w:t>
            </w:r>
          </w:p>
        </w:tc>
        <w:tc>
          <w:tcPr>
            <w:tcW w:w="1012" w:type="dxa"/>
            <w:noWrap w:val="0"/>
            <w:vAlign w:val="center"/>
          </w:tcPr>
          <w:p>
            <w:pPr>
              <w:jc w:val="center"/>
              <w:rPr>
                <w:rFonts w:hint="eastAsia" w:ascii="宋体" w:hAnsi="宋体"/>
                <w:szCs w:val="21"/>
              </w:rPr>
            </w:pPr>
          </w:p>
        </w:tc>
        <w:tc>
          <w:tcPr>
            <w:tcW w:w="1203" w:type="dxa"/>
            <w:noWrap w:val="0"/>
            <w:vAlign w:val="center"/>
          </w:tcPr>
          <w:p>
            <w:pPr>
              <w:jc w:val="center"/>
              <w:rPr>
                <w:rFonts w:hint="eastAsia" w:ascii="宋体" w:hAnsi="宋体"/>
                <w:szCs w:val="21"/>
              </w:rPr>
            </w:pPr>
          </w:p>
        </w:tc>
        <w:tc>
          <w:tcPr>
            <w:tcW w:w="2318" w:type="dxa"/>
            <w:noWrap w:val="0"/>
            <w:vAlign w:val="center"/>
          </w:tcPr>
          <w:p>
            <w:pPr>
              <w:jc w:val="center"/>
              <w:rPr>
                <w:rFonts w:hint="eastAsia" w:ascii="宋体" w:hAnsi="宋体"/>
                <w:szCs w:val="21"/>
              </w:rPr>
            </w:pPr>
            <w:r>
              <w:rPr>
                <w:rFonts w:hint="eastAsia" w:ascii="宋体" w:hAnsi="宋体"/>
                <w:szCs w:val="21"/>
              </w:rPr>
              <w:t>（1）+（2）+</w:t>
            </w:r>
            <w:r>
              <w:rPr>
                <w:rFonts w:ascii="宋体" w:hAnsi="宋体"/>
                <w:szCs w:val="21"/>
              </w:rPr>
              <w:t>…</w:t>
            </w:r>
            <w:r>
              <w:rPr>
                <w:rFonts w:hint="eastAsia" w:ascii="宋体" w:hAnsi="宋体"/>
                <w:szCs w:val="21"/>
              </w:rPr>
              <w:t>+(4)</w:t>
            </w:r>
          </w:p>
        </w:tc>
        <w:tc>
          <w:tcPr>
            <w:tcW w:w="2911"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3" w:hRule="atLeast"/>
        </w:trPr>
        <w:tc>
          <w:tcPr>
            <w:tcW w:w="2093" w:type="dxa"/>
            <w:noWrap w:val="0"/>
            <w:vAlign w:val="center"/>
          </w:tcPr>
          <w:p>
            <w:pPr>
              <w:jc w:val="center"/>
              <w:rPr>
                <w:rFonts w:hint="eastAsia" w:ascii="宋体" w:hAnsi="宋体"/>
                <w:szCs w:val="21"/>
              </w:rPr>
            </w:pPr>
            <w:r>
              <w:rPr>
                <w:rFonts w:hint="eastAsia" w:ascii="宋体" w:hAnsi="宋体"/>
              </w:rPr>
              <w:t>（１）管理人员</w:t>
            </w:r>
          </w:p>
        </w:tc>
        <w:tc>
          <w:tcPr>
            <w:tcW w:w="1012" w:type="dxa"/>
            <w:noWrap w:val="0"/>
            <w:vAlign w:val="center"/>
          </w:tcPr>
          <w:p>
            <w:pPr>
              <w:jc w:val="center"/>
              <w:rPr>
                <w:rFonts w:hint="eastAsia" w:ascii="宋体" w:hAnsi="宋体"/>
                <w:szCs w:val="21"/>
              </w:rPr>
            </w:pPr>
          </w:p>
        </w:tc>
        <w:tc>
          <w:tcPr>
            <w:tcW w:w="1203" w:type="dxa"/>
            <w:noWrap w:val="0"/>
            <w:vAlign w:val="center"/>
          </w:tcPr>
          <w:p>
            <w:pPr>
              <w:jc w:val="center"/>
              <w:rPr>
                <w:rFonts w:hint="eastAsia" w:ascii="宋体" w:hAnsi="宋体"/>
                <w:szCs w:val="21"/>
              </w:rPr>
            </w:pPr>
          </w:p>
        </w:tc>
        <w:tc>
          <w:tcPr>
            <w:tcW w:w="2318" w:type="dxa"/>
            <w:noWrap w:val="0"/>
            <w:vAlign w:val="center"/>
          </w:tcPr>
          <w:p>
            <w:pPr>
              <w:jc w:val="center"/>
              <w:rPr>
                <w:rFonts w:hint="eastAsia" w:ascii="宋体" w:hAnsi="宋体"/>
                <w:szCs w:val="21"/>
              </w:rPr>
            </w:pPr>
          </w:p>
        </w:tc>
        <w:tc>
          <w:tcPr>
            <w:tcW w:w="2911"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3" w:hRule="atLeast"/>
        </w:trPr>
        <w:tc>
          <w:tcPr>
            <w:tcW w:w="2093" w:type="dxa"/>
            <w:noWrap w:val="0"/>
            <w:vAlign w:val="center"/>
          </w:tcPr>
          <w:p>
            <w:pPr>
              <w:jc w:val="center"/>
              <w:rPr>
                <w:rFonts w:hint="eastAsia" w:ascii="宋体" w:hAnsi="宋体"/>
                <w:szCs w:val="21"/>
              </w:rPr>
            </w:pPr>
            <w:r>
              <w:rPr>
                <w:rFonts w:hint="eastAsia" w:ascii="宋体" w:hAnsi="宋体"/>
              </w:rPr>
              <w:t>（２）清扫保洁员</w:t>
            </w:r>
          </w:p>
        </w:tc>
        <w:tc>
          <w:tcPr>
            <w:tcW w:w="1012" w:type="dxa"/>
            <w:noWrap w:val="0"/>
            <w:vAlign w:val="center"/>
          </w:tcPr>
          <w:p>
            <w:pPr>
              <w:jc w:val="center"/>
              <w:rPr>
                <w:rFonts w:hint="eastAsia" w:ascii="宋体" w:hAnsi="宋体"/>
                <w:szCs w:val="21"/>
              </w:rPr>
            </w:pPr>
          </w:p>
        </w:tc>
        <w:tc>
          <w:tcPr>
            <w:tcW w:w="1203" w:type="dxa"/>
            <w:noWrap w:val="0"/>
            <w:vAlign w:val="center"/>
          </w:tcPr>
          <w:p>
            <w:pPr>
              <w:jc w:val="center"/>
              <w:rPr>
                <w:rFonts w:hint="eastAsia" w:ascii="宋体" w:hAnsi="宋体"/>
                <w:szCs w:val="21"/>
              </w:rPr>
            </w:pPr>
          </w:p>
        </w:tc>
        <w:tc>
          <w:tcPr>
            <w:tcW w:w="2318" w:type="dxa"/>
            <w:noWrap w:val="0"/>
            <w:vAlign w:val="center"/>
          </w:tcPr>
          <w:p>
            <w:pPr>
              <w:jc w:val="center"/>
              <w:rPr>
                <w:rFonts w:hint="eastAsia" w:ascii="宋体" w:hAnsi="宋体"/>
                <w:szCs w:val="21"/>
              </w:rPr>
            </w:pPr>
          </w:p>
        </w:tc>
        <w:tc>
          <w:tcPr>
            <w:tcW w:w="2911"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3" w:hRule="atLeast"/>
        </w:trPr>
        <w:tc>
          <w:tcPr>
            <w:tcW w:w="2093" w:type="dxa"/>
            <w:noWrap w:val="0"/>
            <w:vAlign w:val="center"/>
          </w:tcPr>
          <w:p>
            <w:pPr>
              <w:jc w:val="center"/>
              <w:rPr>
                <w:rFonts w:hint="eastAsia" w:ascii="宋体" w:hAnsi="宋体"/>
              </w:rPr>
            </w:pPr>
            <w:r>
              <w:rPr>
                <w:rFonts w:hint="eastAsia" w:ascii="宋体" w:hAnsi="宋体"/>
              </w:rPr>
              <w:t>（３）清运冲洗人员</w:t>
            </w:r>
          </w:p>
        </w:tc>
        <w:tc>
          <w:tcPr>
            <w:tcW w:w="1012" w:type="dxa"/>
            <w:noWrap w:val="0"/>
            <w:vAlign w:val="center"/>
          </w:tcPr>
          <w:p>
            <w:pPr>
              <w:jc w:val="center"/>
              <w:rPr>
                <w:rFonts w:hint="eastAsia" w:ascii="宋体" w:hAnsi="宋体"/>
                <w:szCs w:val="21"/>
              </w:rPr>
            </w:pPr>
          </w:p>
        </w:tc>
        <w:tc>
          <w:tcPr>
            <w:tcW w:w="1203" w:type="dxa"/>
            <w:noWrap w:val="0"/>
            <w:vAlign w:val="center"/>
          </w:tcPr>
          <w:p>
            <w:pPr>
              <w:jc w:val="center"/>
              <w:rPr>
                <w:rFonts w:hint="eastAsia" w:ascii="宋体" w:hAnsi="宋体"/>
                <w:szCs w:val="21"/>
              </w:rPr>
            </w:pPr>
          </w:p>
        </w:tc>
        <w:tc>
          <w:tcPr>
            <w:tcW w:w="2318" w:type="dxa"/>
            <w:noWrap w:val="0"/>
            <w:vAlign w:val="center"/>
          </w:tcPr>
          <w:p>
            <w:pPr>
              <w:jc w:val="center"/>
              <w:rPr>
                <w:rFonts w:hint="eastAsia" w:ascii="宋体" w:hAnsi="宋体"/>
                <w:szCs w:val="21"/>
              </w:rPr>
            </w:pPr>
          </w:p>
        </w:tc>
        <w:tc>
          <w:tcPr>
            <w:tcW w:w="2911" w:type="dxa"/>
            <w:noWrap w:val="0"/>
            <w:vAlign w:val="center"/>
          </w:tcPr>
          <w:p>
            <w:pPr>
              <w:jc w:val="center"/>
              <w:rPr>
                <w:rFonts w:hint="eastAsia" w:ascii="宋体" w:hAnsi="宋体"/>
                <w:szCs w:val="21"/>
              </w:rPr>
            </w:pPr>
          </w:p>
        </w:tc>
      </w:tr>
      <w:tr>
        <w:tblPrEx>
          <w:tblCellMar>
            <w:top w:w="0" w:type="dxa"/>
            <w:left w:w="108" w:type="dxa"/>
            <w:bottom w:w="0" w:type="dxa"/>
            <w:right w:w="108" w:type="dxa"/>
          </w:tblCellMar>
        </w:tblPrEx>
        <w:trPr>
          <w:wBefore w:w="0" w:type="dxa"/>
          <w:wAfter w:w="0" w:type="dxa"/>
          <w:trHeight w:val="563" w:hRule="atLeast"/>
        </w:trPr>
        <w:tc>
          <w:tcPr>
            <w:tcW w:w="2093" w:type="dxa"/>
            <w:noWrap w:val="0"/>
            <w:vAlign w:val="center"/>
          </w:tcPr>
          <w:p>
            <w:pPr>
              <w:jc w:val="center"/>
              <w:rPr>
                <w:rFonts w:hint="eastAsia" w:ascii="宋体" w:hAnsi="宋体"/>
                <w:szCs w:val="21"/>
              </w:rPr>
            </w:pPr>
            <w:r>
              <w:rPr>
                <w:rFonts w:hint="eastAsia" w:ascii="宋体" w:hAnsi="宋体"/>
              </w:rPr>
              <w:t>（4）驾驶员</w:t>
            </w:r>
          </w:p>
        </w:tc>
        <w:tc>
          <w:tcPr>
            <w:tcW w:w="1012" w:type="dxa"/>
            <w:noWrap w:val="0"/>
            <w:vAlign w:val="center"/>
          </w:tcPr>
          <w:p>
            <w:pPr>
              <w:jc w:val="center"/>
              <w:rPr>
                <w:rFonts w:hint="eastAsia" w:ascii="宋体" w:hAnsi="宋体"/>
                <w:szCs w:val="21"/>
              </w:rPr>
            </w:pPr>
          </w:p>
        </w:tc>
        <w:tc>
          <w:tcPr>
            <w:tcW w:w="1203" w:type="dxa"/>
            <w:noWrap w:val="0"/>
            <w:vAlign w:val="center"/>
          </w:tcPr>
          <w:p>
            <w:pPr>
              <w:jc w:val="center"/>
              <w:rPr>
                <w:rFonts w:hint="eastAsia" w:ascii="宋体" w:hAnsi="宋体"/>
                <w:szCs w:val="21"/>
              </w:rPr>
            </w:pPr>
          </w:p>
        </w:tc>
        <w:tc>
          <w:tcPr>
            <w:tcW w:w="2318" w:type="dxa"/>
            <w:noWrap w:val="0"/>
            <w:vAlign w:val="center"/>
          </w:tcPr>
          <w:p>
            <w:pPr>
              <w:jc w:val="center"/>
              <w:rPr>
                <w:rFonts w:hint="eastAsia" w:ascii="宋体" w:hAnsi="宋体"/>
                <w:szCs w:val="21"/>
              </w:rPr>
            </w:pPr>
          </w:p>
        </w:tc>
        <w:tc>
          <w:tcPr>
            <w:tcW w:w="2911"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5" w:hRule="atLeast"/>
        </w:trPr>
        <w:tc>
          <w:tcPr>
            <w:tcW w:w="2093" w:type="dxa"/>
            <w:noWrap w:val="0"/>
            <w:vAlign w:val="center"/>
          </w:tcPr>
          <w:p>
            <w:pPr>
              <w:jc w:val="center"/>
              <w:rPr>
                <w:rFonts w:hint="eastAsia" w:ascii="宋体" w:hAnsi="宋体"/>
                <w:b/>
                <w:szCs w:val="21"/>
              </w:rPr>
            </w:pPr>
            <w:r>
              <w:rPr>
                <w:rFonts w:hint="eastAsia" w:ascii="宋体" w:hAnsi="宋体"/>
                <w:b/>
              </w:rPr>
              <w:t>２、社会保险</w:t>
            </w:r>
          </w:p>
        </w:tc>
        <w:tc>
          <w:tcPr>
            <w:tcW w:w="1012" w:type="dxa"/>
            <w:noWrap w:val="0"/>
            <w:vAlign w:val="center"/>
          </w:tcPr>
          <w:p>
            <w:pPr>
              <w:jc w:val="center"/>
              <w:rPr>
                <w:rFonts w:hint="eastAsia" w:ascii="宋体" w:hAnsi="宋体"/>
                <w:szCs w:val="21"/>
              </w:rPr>
            </w:pPr>
          </w:p>
        </w:tc>
        <w:tc>
          <w:tcPr>
            <w:tcW w:w="1203" w:type="dxa"/>
            <w:noWrap w:val="0"/>
            <w:vAlign w:val="center"/>
          </w:tcPr>
          <w:p>
            <w:pPr>
              <w:jc w:val="center"/>
              <w:rPr>
                <w:rFonts w:hint="eastAsia" w:ascii="宋体" w:hAnsi="宋体"/>
                <w:szCs w:val="21"/>
              </w:rPr>
            </w:pPr>
          </w:p>
        </w:tc>
        <w:tc>
          <w:tcPr>
            <w:tcW w:w="2318" w:type="dxa"/>
            <w:noWrap w:val="0"/>
            <w:vAlign w:val="center"/>
          </w:tcPr>
          <w:p>
            <w:pPr>
              <w:jc w:val="center"/>
              <w:rPr>
                <w:rFonts w:hint="eastAsia" w:ascii="宋体" w:hAnsi="宋体"/>
                <w:szCs w:val="21"/>
              </w:rPr>
            </w:pPr>
          </w:p>
        </w:tc>
        <w:tc>
          <w:tcPr>
            <w:tcW w:w="2911" w:type="dxa"/>
            <w:noWrap w:val="0"/>
            <w:vAlign w:val="center"/>
          </w:tcPr>
          <w:p>
            <w:pPr>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3" w:hRule="atLeast"/>
        </w:trPr>
        <w:tc>
          <w:tcPr>
            <w:tcW w:w="2093" w:type="dxa"/>
            <w:noWrap w:val="0"/>
            <w:vAlign w:val="center"/>
          </w:tcPr>
          <w:p>
            <w:pPr>
              <w:jc w:val="center"/>
              <w:rPr>
                <w:rFonts w:hint="eastAsia" w:ascii="宋体" w:hAnsi="宋体"/>
                <w:szCs w:val="21"/>
              </w:rPr>
            </w:pPr>
            <w:r>
              <w:rPr>
                <w:rFonts w:hint="eastAsia" w:ascii="宋体" w:hAnsi="宋体"/>
              </w:rPr>
              <w:t>（１）养老保险</w:t>
            </w:r>
          </w:p>
        </w:tc>
        <w:tc>
          <w:tcPr>
            <w:tcW w:w="1012" w:type="dxa"/>
            <w:noWrap w:val="0"/>
            <w:vAlign w:val="center"/>
          </w:tcPr>
          <w:p>
            <w:pPr>
              <w:jc w:val="center"/>
              <w:rPr>
                <w:rFonts w:hint="eastAsia" w:ascii="宋体" w:hAnsi="宋体"/>
                <w:szCs w:val="21"/>
              </w:rPr>
            </w:pPr>
          </w:p>
        </w:tc>
        <w:tc>
          <w:tcPr>
            <w:tcW w:w="1203" w:type="dxa"/>
            <w:noWrap w:val="0"/>
            <w:vAlign w:val="center"/>
          </w:tcPr>
          <w:p>
            <w:pPr>
              <w:jc w:val="center"/>
              <w:rPr>
                <w:rFonts w:hint="eastAsia" w:ascii="宋体" w:hAnsi="宋体"/>
                <w:szCs w:val="21"/>
              </w:rPr>
            </w:pPr>
          </w:p>
        </w:tc>
        <w:tc>
          <w:tcPr>
            <w:tcW w:w="2318" w:type="dxa"/>
            <w:noWrap w:val="0"/>
            <w:vAlign w:val="center"/>
          </w:tcPr>
          <w:p>
            <w:pPr>
              <w:jc w:val="center"/>
              <w:rPr>
                <w:rFonts w:hint="eastAsia" w:ascii="宋体" w:hAnsi="宋体"/>
                <w:szCs w:val="21"/>
              </w:rPr>
            </w:pPr>
          </w:p>
        </w:tc>
        <w:tc>
          <w:tcPr>
            <w:tcW w:w="2911"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3" w:hRule="atLeast"/>
        </w:trPr>
        <w:tc>
          <w:tcPr>
            <w:tcW w:w="2093" w:type="dxa"/>
            <w:noWrap w:val="0"/>
            <w:vAlign w:val="center"/>
          </w:tcPr>
          <w:p>
            <w:pPr>
              <w:jc w:val="center"/>
              <w:rPr>
                <w:rFonts w:hint="eastAsia" w:ascii="宋体" w:hAnsi="宋体"/>
                <w:szCs w:val="21"/>
              </w:rPr>
            </w:pPr>
            <w:r>
              <w:rPr>
                <w:rFonts w:hint="eastAsia" w:ascii="宋体" w:hAnsi="宋体"/>
              </w:rPr>
              <w:t>（２）医疗保险</w:t>
            </w:r>
          </w:p>
        </w:tc>
        <w:tc>
          <w:tcPr>
            <w:tcW w:w="1012" w:type="dxa"/>
            <w:noWrap w:val="0"/>
            <w:vAlign w:val="center"/>
          </w:tcPr>
          <w:p>
            <w:pPr>
              <w:jc w:val="center"/>
              <w:rPr>
                <w:rFonts w:hint="eastAsia" w:ascii="宋体" w:hAnsi="宋体"/>
                <w:szCs w:val="21"/>
              </w:rPr>
            </w:pPr>
          </w:p>
        </w:tc>
        <w:tc>
          <w:tcPr>
            <w:tcW w:w="1203" w:type="dxa"/>
            <w:noWrap w:val="0"/>
            <w:vAlign w:val="center"/>
          </w:tcPr>
          <w:p>
            <w:pPr>
              <w:jc w:val="center"/>
              <w:rPr>
                <w:rFonts w:hint="eastAsia" w:ascii="宋体" w:hAnsi="宋体"/>
                <w:szCs w:val="21"/>
              </w:rPr>
            </w:pPr>
          </w:p>
        </w:tc>
        <w:tc>
          <w:tcPr>
            <w:tcW w:w="2318" w:type="dxa"/>
            <w:noWrap w:val="0"/>
            <w:vAlign w:val="center"/>
          </w:tcPr>
          <w:p>
            <w:pPr>
              <w:jc w:val="center"/>
              <w:rPr>
                <w:rFonts w:hint="eastAsia" w:ascii="宋体" w:hAnsi="宋体"/>
                <w:szCs w:val="21"/>
              </w:rPr>
            </w:pPr>
          </w:p>
        </w:tc>
        <w:tc>
          <w:tcPr>
            <w:tcW w:w="2911"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3" w:hRule="atLeast"/>
        </w:trPr>
        <w:tc>
          <w:tcPr>
            <w:tcW w:w="2093" w:type="dxa"/>
            <w:noWrap w:val="0"/>
            <w:vAlign w:val="center"/>
          </w:tcPr>
          <w:p>
            <w:pPr>
              <w:jc w:val="center"/>
              <w:rPr>
                <w:rFonts w:hint="eastAsia" w:ascii="宋体" w:hAnsi="宋体"/>
                <w:szCs w:val="21"/>
              </w:rPr>
            </w:pPr>
            <w:r>
              <w:rPr>
                <w:rFonts w:hint="eastAsia" w:ascii="宋体" w:hAnsi="宋体"/>
              </w:rPr>
              <w:t>（３）工伤保险</w:t>
            </w:r>
          </w:p>
        </w:tc>
        <w:tc>
          <w:tcPr>
            <w:tcW w:w="1012" w:type="dxa"/>
            <w:noWrap w:val="0"/>
            <w:vAlign w:val="center"/>
          </w:tcPr>
          <w:p>
            <w:pPr>
              <w:jc w:val="center"/>
              <w:rPr>
                <w:rFonts w:hint="eastAsia" w:ascii="宋体" w:hAnsi="宋体"/>
                <w:szCs w:val="21"/>
              </w:rPr>
            </w:pPr>
          </w:p>
        </w:tc>
        <w:tc>
          <w:tcPr>
            <w:tcW w:w="1203" w:type="dxa"/>
            <w:noWrap w:val="0"/>
            <w:vAlign w:val="center"/>
          </w:tcPr>
          <w:p>
            <w:pPr>
              <w:jc w:val="center"/>
              <w:rPr>
                <w:rFonts w:hint="eastAsia" w:ascii="宋体" w:hAnsi="宋体"/>
                <w:szCs w:val="21"/>
              </w:rPr>
            </w:pPr>
          </w:p>
        </w:tc>
        <w:tc>
          <w:tcPr>
            <w:tcW w:w="2318" w:type="dxa"/>
            <w:noWrap w:val="0"/>
            <w:vAlign w:val="center"/>
          </w:tcPr>
          <w:p>
            <w:pPr>
              <w:jc w:val="center"/>
              <w:rPr>
                <w:rFonts w:hint="eastAsia" w:ascii="宋体" w:hAnsi="宋体"/>
                <w:szCs w:val="21"/>
              </w:rPr>
            </w:pPr>
          </w:p>
        </w:tc>
        <w:tc>
          <w:tcPr>
            <w:tcW w:w="2911"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3" w:hRule="atLeast"/>
        </w:trPr>
        <w:tc>
          <w:tcPr>
            <w:tcW w:w="2093" w:type="dxa"/>
            <w:noWrap w:val="0"/>
            <w:vAlign w:val="center"/>
          </w:tcPr>
          <w:p>
            <w:pPr>
              <w:jc w:val="center"/>
              <w:rPr>
                <w:rFonts w:hint="eastAsia" w:ascii="宋体" w:hAnsi="宋体"/>
                <w:szCs w:val="21"/>
              </w:rPr>
            </w:pPr>
            <w:r>
              <w:rPr>
                <w:rFonts w:hint="eastAsia" w:ascii="宋体" w:hAnsi="宋体"/>
              </w:rPr>
              <w:t>（４）失业保险</w:t>
            </w:r>
          </w:p>
        </w:tc>
        <w:tc>
          <w:tcPr>
            <w:tcW w:w="1012" w:type="dxa"/>
            <w:noWrap w:val="0"/>
            <w:vAlign w:val="center"/>
          </w:tcPr>
          <w:p>
            <w:pPr>
              <w:jc w:val="center"/>
              <w:rPr>
                <w:rFonts w:hint="eastAsia" w:ascii="宋体" w:hAnsi="宋体"/>
                <w:szCs w:val="21"/>
              </w:rPr>
            </w:pPr>
          </w:p>
        </w:tc>
        <w:tc>
          <w:tcPr>
            <w:tcW w:w="1203" w:type="dxa"/>
            <w:noWrap w:val="0"/>
            <w:vAlign w:val="center"/>
          </w:tcPr>
          <w:p>
            <w:pPr>
              <w:jc w:val="center"/>
              <w:rPr>
                <w:rFonts w:hint="eastAsia" w:ascii="宋体" w:hAnsi="宋体"/>
                <w:szCs w:val="21"/>
              </w:rPr>
            </w:pPr>
          </w:p>
        </w:tc>
        <w:tc>
          <w:tcPr>
            <w:tcW w:w="2318" w:type="dxa"/>
            <w:noWrap w:val="0"/>
            <w:vAlign w:val="center"/>
          </w:tcPr>
          <w:p>
            <w:pPr>
              <w:jc w:val="center"/>
              <w:rPr>
                <w:rFonts w:hint="eastAsia" w:ascii="宋体" w:hAnsi="宋体"/>
                <w:szCs w:val="21"/>
              </w:rPr>
            </w:pPr>
          </w:p>
        </w:tc>
        <w:tc>
          <w:tcPr>
            <w:tcW w:w="2911"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3" w:hRule="atLeast"/>
        </w:trPr>
        <w:tc>
          <w:tcPr>
            <w:tcW w:w="2093" w:type="dxa"/>
            <w:noWrap w:val="0"/>
            <w:vAlign w:val="center"/>
          </w:tcPr>
          <w:p>
            <w:pPr>
              <w:jc w:val="center"/>
              <w:rPr>
                <w:rFonts w:hint="eastAsia" w:ascii="宋体" w:hAnsi="宋体"/>
              </w:rPr>
            </w:pPr>
            <w:r>
              <w:rPr>
                <w:rFonts w:hint="eastAsia" w:ascii="宋体" w:hAnsi="宋体"/>
              </w:rPr>
              <w:t>（5）生育保险</w:t>
            </w:r>
          </w:p>
        </w:tc>
        <w:tc>
          <w:tcPr>
            <w:tcW w:w="1012" w:type="dxa"/>
            <w:noWrap w:val="0"/>
            <w:vAlign w:val="center"/>
          </w:tcPr>
          <w:p>
            <w:pPr>
              <w:jc w:val="center"/>
              <w:rPr>
                <w:rFonts w:hint="eastAsia" w:ascii="宋体" w:hAnsi="宋体"/>
                <w:szCs w:val="21"/>
              </w:rPr>
            </w:pPr>
          </w:p>
        </w:tc>
        <w:tc>
          <w:tcPr>
            <w:tcW w:w="1203" w:type="dxa"/>
            <w:noWrap w:val="0"/>
            <w:vAlign w:val="center"/>
          </w:tcPr>
          <w:p>
            <w:pPr>
              <w:jc w:val="center"/>
              <w:rPr>
                <w:rFonts w:hint="eastAsia" w:ascii="宋体" w:hAnsi="宋体"/>
                <w:szCs w:val="21"/>
              </w:rPr>
            </w:pPr>
          </w:p>
        </w:tc>
        <w:tc>
          <w:tcPr>
            <w:tcW w:w="2318" w:type="dxa"/>
            <w:noWrap w:val="0"/>
            <w:vAlign w:val="center"/>
          </w:tcPr>
          <w:p>
            <w:pPr>
              <w:jc w:val="center"/>
              <w:rPr>
                <w:rFonts w:hint="eastAsia" w:ascii="宋体" w:hAnsi="宋体"/>
                <w:szCs w:val="21"/>
              </w:rPr>
            </w:pPr>
          </w:p>
        </w:tc>
        <w:tc>
          <w:tcPr>
            <w:tcW w:w="2911"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3" w:hRule="atLeast"/>
        </w:trPr>
        <w:tc>
          <w:tcPr>
            <w:tcW w:w="2093" w:type="dxa"/>
            <w:noWrap w:val="0"/>
            <w:vAlign w:val="center"/>
          </w:tcPr>
          <w:p>
            <w:pPr>
              <w:jc w:val="center"/>
              <w:rPr>
                <w:rFonts w:hint="eastAsia" w:ascii="宋体" w:hAnsi="宋体"/>
              </w:rPr>
            </w:pPr>
            <w:r>
              <w:rPr>
                <w:rFonts w:hint="eastAsia" w:ascii="宋体" w:hAnsi="宋体"/>
              </w:rPr>
              <w:t>（6）住房公积金</w:t>
            </w:r>
          </w:p>
        </w:tc>
        <w:tc>
          <w:tcPr>
            <w:tcW w:w="1012" w:type="dxa"/>
            <w:noWrap w:val="0"/>
            <w:vAlign w:val="center"/>
          </w:tcPr>
          <w:p>
            <w:pPr>
              <w:jc w:val="center"/>
              <w:rPr>
                <w:rFonts w:hint="eastAsia" w:ascii="宋体" w:hAnsi="宋体"/>
                <w:szCs w:val="21"/>
              </w:rPr>
            </w:pPr>
          </w:p>
        </w:tc>
        <w:tc>
          <w:tcPr>
            <w:tcW w:w="1203" w:type="dxa"/>
            <w:noWrap w:val="0"/>
            <w:vAlign w:val="center"/>
          </w:tcPr>
          <w:p>
            <w:pPr>
              <w:jc w:val="center"/>
              <w:rPr>
                <w:rFonts w:hint="eastAsia" w:ascii="宋体" w:hAnsi="宋体"/>
                <w:szCs w:val="21"/>
              </w:rPr>
            </w:pPr>
          </w:p>
        </w:tc>
        <w:tc>
          <w:tcPr>
            <w:tcW w:w="2318" w:type="dxa"/>
            <w:noWrap w:val="0"/>
            <w:vAlign w:val="center"/>
          </w:tcPr>
          <w:p>
            <w:pPr>
              <w:jc w:val="center"/>
              <w:rPr>
                <w:rFonts w:hint="eastAsia" w:ascii="宋体" w:hAnsi="宋体"/>
                <w:szCs w:val="21"/>
              </w:rPr>
            </w:pPr>
          </w:p>
        </w:tc>
        <w:tc>
          <w:tcPr>
            <w:tcW w:w="2911"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3" w:hRule="atLeast"/>
        </w:trPr>
        <w:tc>
          <w:tcPr>
            <w:tcW w:w="2093" w:type="dxa"/>
            <w:noWrap w:val="0"/>
            <w:vAlign w:val="center"/>
          </w:tcPr>
          <w:p>
            <w:pPr>
              <w:jc w:val="center"/>
              <w:rPr>
                <w:rFonts w:hint="eastAsia" w:ascii="宋体" w:hAnsi="宋体"/>
                <w:szCs w:val="21"/>
              </w:rPr>
            </w:pPr>
            <w:r>
              <w:rPr>
                <w:rFonts w:hint="eastAsia" w:ascii="宋体" w:hAnsi="宋体"/>
              </w:rPr>
              <w:t>（7）人身意外保险</w:t>
            </w:r>
          </w:p>
        </w:tc>
        <w:tc>
          <w:tcPr>
            <w:tcW w:w="1012" w:type="dxa"/>
            <w:noWrap w:val="0"/>
            <w:vAlign w:val="center"/>
          </w:tcPr>
          <w:p>
            <w:pPr>
              <w:jc w:val="center"/>
              <w:rPr>
                <w:rFonts w:hint="eastAsia" w:ascii="宋体" w:hAnsi="宋体"/>
                <w:szCs w:val="21"/>
              </w:rPr>
            </w:pPr>
          </w:p>
        </w:tc>
        <w:tc>
          <w:tcPr>
            <w:tcW w:w="1203" w:type="dxa"/>
            <w:noWrap w:val="0"/>
            <w:vAlign w:val="center"/>
          </w:tcPr>
          <w:p>
            <w:pPr>
              <w:jc w:val="center"/>
              <w:rPr>
                <w:rFonts w:hint="eastAsia" w:ascii="宋体" w:hAnsi="宋体"/>
                <w:szCs w:val="21"/>
              </w:rPr>
            </w:pPr>
          </w:p>
        </w:tc>
        <w:tc>
          <w:tcPr>
            <w:tcW w:w="2318" w:type="dxa"/>
            <w:noWrap w:val="0"/>
            <w:vAlign w:val="center"/>
          </w:tcPr>
          <w:p>
            <w:pPr>
              <w:jc w:val="center"/>
              <w:rPr>
                <w:rFonts w:hint="eastAsia" w:ascii="宋体" w:hAnsi="宋体"/>
                <w:szCs w:val="21"/>
              </w:rPr>
            </w:pPr>
          </w:p>
        </w:tc>
        <w:tc>
          <w:tcPr>
            <w:tcW w:w="2911"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3" w:hRule="atLeast"/>
        </w:trPr>
        <w:tc>
          <w:tcPr>
            <w:tcW w:w="2093" w:type="dxa"/>
            <w:noWrap w:val="0"/>
            <w:vAlign w:val="center"/>
          </w:tcPr>
          <w:p>
            <w:pPr>
              <w:jc w:val="center"/>
              <w:rPr>
                <w:rFonts w:hint="eastAsia" w:ascii="宋体" w:hAnsi="宋体"/>
                <w:b/>
                <w:szCs w:val="21"/>
              </w:rPr>
            </w:pPr>
            <w:r>
              <w:rPr>
                <w:rFonts w:hint="eastAsia" w:ascii="宋体" w:hAnsi="宋体"/>
                <w:b/>
              </w:rPr>
              <w:t>３、其他</w:t>
            </w:r>
          </w:p>
        </w:tc>
        <w:tc>
          <w:tcPr>
            <w:tcW w:w="1012" w:type="dxa"/>
            <w:noWrap w:val="0"/>
            <w:vAlign w:val="center"/>
          </w:tcPr>
          <w:p>
            <w:pPr>
              <w:jc w:val="center"/>
              <w:rPr>
                <w:rFonts w:hint="eastAsia" w:ascii="宋体" w:hAnsi="宋体"/>
                <w:szCs w:val="21"/>
              </w:rPr>
            </w:pPr>
          </w:p>
        </w:tc>
        <w:tc>
          <w:tcPr>
            <w:tcW w:w="1203" w:type="dxa"/>
            <w:noWrap w:val="0"/>
            <w:vAlign w:val="center"/>
          </w:tcPr>
          <w:p>
            <w:pPr>
              <w:jc w:val="center"/>
              <w:rPr>
                <w:rFonts w:hint="eastAsia" w:ascii="宋体" w:hAnsi="宋体"/>
                <w:szCs w:val="21"/>
              </w:rPr>
            </w:pPr>
          </w:p>
        </w:tc>
        <w:tc>
          <w:tcPr>
            <w:tcW w:w="2318" w:type="dxa"/>
            <w:noWrap w:val="0"/>
            <w:vAlign w:val="center"/>
          </w:tcPr>
          <w:p>
            <w:pPr>
              <w:jc w:val="center"/>
              <w:rPr>
                <w:rFonts w:hint="eastAsia" w:ascii="宋体" w:hAnsi="宋体"/>
                <w:szCs w:val="21"/>
              </w:rPr>
            </w:pPr>
          </w:p>
        </w:tc>
        <w:tc>
          <w:tcPr>
            <w:tcW w:w="2911"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3" w:hRule="atLeast"/>
        </w:trPr>
        <w:tc>
          <w:tcPr>
            <w:tcW w:w="2093" w:type="dxa"/>
            <w:noWrap w:val="0"/>
            <w:vAlign w:val="center"/>
          </w:tcPr>
          <w:p>
            <w:pPr>
              <w:ind w:firstLine="210" w:firstLineChars="100"/>
              <w:rPr>
                <w:rFonts w:hint="eastAsia" w:ascii="宋体" w:hAnsi="宋体"/>
                <w:szCs w:val="21"/>
              </w:rPr>
            </w:pPr>
            <w:r>
              <w:rPr>
                <w:rFonts w:hint="eastAsia" w:ascii="宋体" w:hAnsi="宋体"/>
              </w:rPr>
              <w:t>（1）过节费</w:t>
            </w:r>
          </w:p>
        </w:tc>
        <w:tc>
          <w:tcPr>
            <w:tcW w:w="1012" w:type="dxa"/>
            <w:noWrap w:val="0"/>
            <w:vAlign w:val="center"/>
          </w:tcPr>
          <w:p>
            <w:pPr>
              <w:jc w:val="center"/>
              <w:rPr>
                <w:rFonts w:hint="eastAsia" w:ascii="宋体" w:hAnsi="宋体"/>
                <w:szCs w:val="21"/>
              </w:rPr>
            </w:pPr>
          </w:p>
        </w:tc>
        <w:tc>
          <w:tcPr>
            <w:tcW w:w="1203" w:type="dxa"/>
            <w:noWrap w:val="0"/>
            <w:vAlign w:val="center"/>
          </w:tcPr>
          <w:p>
            <w:pPr>
              <w:jc w:val="center"/>
              <w:rPr>
                <w:rFonts w:hint="eastAsia" w:ascii="宋体" w:hAnsi="宋体"/>
                <w:szCs w:val="21"/>
              </w:rPr>
            </w:pPr>
          </w:p>
        </w:tc>
        <w:tc>
          <w:tcPr>
            <w:tcW w:w="2318" w:type="dxa"/>
            <w:noWrap w:val="0"/>
            <w:vAlign w:val="center"/>
          </w:tcPr>
          <w:p>
            <w:pPr>
              <w:jc w:val="center"/>
              <w:rPr>
                <w:rFonts w:hint="eastAsia" w:ascii="宋体" w:hAnsi="宋体"/>
                <w:szCs w:val="21"/>
              </w:rPr>
            </w:pPr>
          </w:p>
        </w:tc>
        <w:tc>
          <w:tcPr>
            <w:tcW w:w="2911"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3" w:hRule="atLeast"/>
        </w:trPr>
        <w:tc>
          <w:tcPr>
            <w:tcW w:w="2093" w:type="dxa"/>
            <w:noWrap w:val="0"/>
            <w:vAlign w:val="center"/>
          </w:tcPr>
          <w:p>
            <w:pPr>
              <w:jc w:val="center"/>
              <w:rPr>
                <w:rFonts w:hint="eastAsia" w:ascii="宋体" w:hAnsi="宋体"/>
                <w:szCs w:val="21"/>
              </w:rPr>
            </w:pPr>
            <w:r>
              <w:rPr>
                <w:rFonts w:hint="eastAsia" w:ascii="宋体" w:hAnsi="宋体"/>
              </w:rPr>
              <w:t>（2）高温补贴</w:t>
            </w:r>
          </w:p>
        </w:tc>
        <w:tc>
          <w:tcPr>
            <w:tcW w:w="1012" w:type="dxa"/>
            <w:noWrap w:val="0"/>
            <w:vAlign w:val="center"/>
          </w:tcPr>
          <w:p>
            <w:pPr>
              <w:jc w:val="center"/>
              <w:rPr>
                <w:rFonts w:hint="eastAsia" w:ascii="宋体" w:hAnsi="宋体"/>
                <w:szCs w:val="21"/>
              </w:rPr>
            </w:pPr>
          </w:p>
        </w:tc>
        <w:tc>
          <w:tcPr>
            <w:tcW w:w="1203" w:type="dxa"/>
            <w:noWrap w:val="0"/>
            <w:vAlign w:val="center"/>
          </w:tcPr>
          <w:p>
            <w:pPr>
              <w:jc w:val="center"/>
              <w:rPr>
                <w:rFonts w:hint="eastAsia" w:ascii="宋体" w:hAnsi="宋体"/>
                <w:szCs w:val="21"/>
              </w:rPr>
            </w:pPr>
          </w:p>
        </w:tc>
        <w:tc>
          <w:tcPr>
            <w:tcW w:w="2318" w:type="dxa"/>
            <w:noWrap w:val="0"/>
            <w:vAlign w:val="center"/>
          </w:tcPr>
          <w:p>
            <w:pPr>
              <w:jc w:val="center"/>
              <w:rPr>
                <w:rFonts w:hint="eastAsia" w:ascii="宋体" w:hAnsi="宋体"/>
                <w:szCs w:val="21"/>
              </w:rPr>
            </w:pPr>
          </w:p>
        </w:tc>
        <w:tc>
          <w:tcPr>
            <w:tcW w:w="2911"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3" w:hRule="atLeast"/>
        </w:trPr>
        <w:tc>
          <w:tcPr>
            <w:tcW w:w="2093" w:type="dxa"/>
            <w:noWrap w:val="0"/>
            <w:vAlign w:val="center"/>
          </w:tcPr>
          <w:p>
            <w:pPr>
              <w:ind w:firstLine="210" w:firstLineChars="100"/>
              <w:rPr>
                <w:rFonts w:hint="eastAsia" w:ascii="宋体" w:hAnsi="宋体"/>
              </w:rPr>
            </w:pPr>
            <w:r>
              <w:rPr>
                <w:rFonts w:hint="eastAsia" w:ascii="宋体" w:hAnsi="宋体"/>
              </w:rPr>
              <w:t>（3）加班费</w:t>
            </w:r>
          </w:p>
        </w:tc>
        <w:tc>
          <w:tcPr>
            <w:tcW w:w="1012" w:type="dxa"/>
            <w:noWrap w:val="0"/>
            <w:vAlign w:val="center"/>
          </w:tcPr>
          <w:p>
            <w:pPr>
              <w:jc w:val="center"/>
              <w:rPr>
                <w:rFonts w:hint="eastAsia" w:ascii="宋体" w:hAnsi="宋体"/>
                <w:szCs w:val="21"/>
              </w:rPr>
            </w:pPr>
          </w:p>
        </w:tc>
        <w:tc>
          <w:tcPr>
            <w:tcW w:w="1203" w:type="dxa"/>
            <w:noWrap w:val="0"/>
            <w:vAlign w:val="center"/>
          </w:tcPr>
          <w:p>
            <w:pPr>
              <w:jc w:val="center"/>
              <w:rPr>
                <w:rFonts w:hint="eastAsia" w:ascii="宋体" w:hAnsi="宋体"/>
                <w:szCs w:val="21"/>
              </w:rPr>
            </w:pPr>
          </w:p>
        </w:tc>
        <w:tc>
          <w:tcPr>
            <w:tcW w:w="2318" w:type="dxa"/>
            <w:noWrap w:val="0"/>
            <w:vAlign w:val="center"/>
          </w:tcPr>
          <w:p>
            <w:pPr>
              <w:jc w:val="center"/>
              <w:rPr>
                <w:rFonts w:hint="eastAsia" w:ascii="宋体" w:hAnsi="宋体"/>
                <w:szCs w:val="21"/>
              </w:rPr>
            </w:pPr>
          </w:p>
        </w:tc>
        <w:tc>
          <w:tcPr>
            <w:tcW w:w="2911"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3" w:hRule="atLeast"/>
        </w:trPr>
        <w:tc>
          <w:tcPr>
            <w:tcW w:w="2093" w:type="dxa"/>
            <w:noWrap w:val="0"/>
            <w:vAlign w:val="center"/>
          </w:tcPr>
          <w:p>
            <w:pPr>
              <w:jc w:val="center"/>
              <w:rPr>
                <w:rFonts w:hint="eastAsia" w:ascii="宋体" w:hAnsi="宋体"/>
                <w:szCs w:val="21"/>
              </w:rPr>
            </w:pPr>
            <w:r>
              <w:rPr>
                <w:rFonts w:hint="eastAsia" w:ascii="宋体" w:hAnsi="宋体"/>
              </w:rPr>
              <w:t>二、设备耗损费</w:t>
            </w:r>
          </w:p>
        </w:tc>
        <w:tc>
          <w:tcPr>
            <w:tcW w:w="1012" w:type="dxa"/>
            <w:noWrap w:val="0"/>
            <w:vAlign w:val="center"/>
          </w:tcPr>
          <w:p>
            <w:pPr>
              <w:jc w:val="center"/>
              <w:rPr>
                <w:rFonts w:hint="eastAsia" w:ascii="宋体" w:hAnsi="宋体"/>
                <w:szCs w:val="21"/>
              </w:rPr>
            </w:pPr>
            <w:r>
              <w:rPr>
                <w:rFonts w:hint="eastAsia" w:ascii="宋体" w:hAnsi="宋体"/>
                <w:szCs w:val="21"/>
              </w:rPr>
              <w:t>/</w:t>
            </w:r>
          </w:p>
        </w:tc>
        <w:tc>
          <w:tcPr>
            <w:tcW w:w="1203" w:type="dxa"/>
            <w:noWrap w:val="0"/>
            <w:vAlign w:val="center"/>
          </w:tcPr>
          <w:p>
            <w:pPr>
              <w:jc w:val="center"/>
              <w:rPr>
                <w:rFonts w:hint="eastAsia" w:ascii="宋体" w:hAnsi="宋体"/>
                <w:szCs w:val="21"/>
              </w:rPr>
            </w:pPr>
          </w:p>
        </w:tc>
        <w:tc>
          <w:tcPr>
            <w:tcW w:w="2318" w:type="dxa"/>
            <w:noWrap w:val="0"/>
            <w:vAlign w:val="center"/>
          </w:tcPr>
          <w:p>
            <w:pPr>
              <w:jc w:val="center"/>
              <w:rPr>
                <w:rFonts w:hint="eastAsia" w:ascii="宋体" w:hAnsi="宋体"/>
                <w:szCs w:val="21"/>
              </w:rPr>
            </w:pPr>
          </w:p>
        </w:tc>
        <w:tc>
          <w:tcPr>
            <w:tcW w:w="2911"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3" w:hRule="atLeast"/>
        </w:trPr>
        <w:tc>
          <w:tcPr>
            <w:tcW w:w="2093" w:type="dxa"/>
            <w:noWrap w:val="0"/>
            <w:vAlign w:val="center"/>
          </w:tcPr>
          <w:p>
            <w:pPr>
              <w:jc w:val="center"/>
              <w:rPr>
                <w:rFonts w:hint="eastAsia" w:ascii="宋体" w:hAnsi="宋体"/>
                <w:szCs w:val="21"/>
              </w:rPr>
            </w:pPr>
            <w:r>
              <w:rPr>
                <w:rFonts w:hint="eastAsia" w:ascii="宋体" w:hAnsi="宋体"/>
              </w:rPr>
              <w:t>(1)</w:t>
            </w:r>
            <w:r>
              <w:rPr>
                <w:rFonts w:hint="eastAsia" w:ascii="宋体" w:hAnsi="宋体"/>
                <w:szCs w:val="21"/>
              </w:rPr>
              <w:t xml:space="preserve"> </w:t>
            </w:r>
            <w:r>
              <w:rPr>
                <w:rFonts w:hint="eastAsia" w:ascii="宋体" w:hAnsi="宋体"/>
              </w:rPr>
              <w:t>安全生产设备</w:t>
            </w:r>
          </w:p>
        </w:tc>
        <w:tc>
          <w:tcPr>
            <w:tcW w:w="1012" w:type="dxa"/>
            <w:noWrap w:val="0"/>
            <w:vAlign w:val="center"/>
          </w:tcPr>
          <w:p>
            <w:pPr>
              <w:jc w:val="center"/>
              <w:rPr>
                <w:rFonts w:hint="eastAsia" w:ascii="宋体" w:hAnsi="宋体"/>
                <w:szCs w:val="21"/>
              </w:rPr>
            </w:pPr>
            <w:r>
              <w:rPr>
                <w:rFonts w:hint="eastAsia" w:ascii="宋体" w:hAnsi="宋体"/>
                <w:szCs w:val="21"/>
              </w:rPr>
              <w:t>1批</w:t>
            </w:r>
          </w:p>
        </w:tc>
        <w:tc>
          <w:tcPr>
            <w:tcW w:w="1203" w:type="dxa"/>
            <w:noWrap w:val="0"/>
            <w:vAlign w:val="center"/>
          </w:tcPr>
          <w:p>
            <w:pPr>
              <w:jc w:val="center"/>
              <w:rPr>
                <w:rFonts w:hint="eastAsia" w:ascii="宋体" w:hAnsi="宋体"/>
                <w:szCs w:val="21"/>
              </w:rPr>
            </w:pPr>
          </w:p>
        </w:tc>
        <w:tc>
          <w:tcPr>
            <w:tcW w:w="2318" w:type="dxa"/>
            <w:noWrap w:val="0"/>
            <w:vAlign w:val="center"/>
          </w:tcPr>
          <w:p>
            <w:pPr>
              <w:jc w:val="center"/>
              <w:rPr>
                <w:rFonts w:hint="eastAsia" w:ascii="宋体" w:hAnsi="宋体"/>
                <w:szCs w:val="21"/>
              </w:rPr>
            </w:pPr>
          </w:p>
        </w:tc>
        <w:tc>
          <w:tcPr>
            <w:tcW w:w="2911"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55" w:hRule="atLeast"/>
        </w:trPr>
        <w:tc>
          <w:tcPr>
            <w:tcW w:w="2093" w:type="dxa"/>
            <w:noWrap w:val="0"/>
            <w:vAlign w:val="center"/>
          </w:tcPr>
          <w:p>
            <w:pPr>
              <w:jc w:val="center"/>
              <w:rPr>
                <w:rFonts w:hint="eastAsia" w:ascii="宋体" w:hAnsi="宋体"/>
              </w:rPr>
            </w:pPr>
            <w:r>
              <w:rPr>
                <w:rFonts w:hint="eastAsia" w:ascii="宋体" w:hAnsi="宋体"/>
              </w:rPr>
              <w:t>（2）反光衣、反光袖套反光袖套、工作服装、手套等</w:t>
            </w:r>
          </w:p>
        </w:tc>
        <w:tc>
          <w:tcPr>
            <w:tcW w:w="1012" w:type="dxa"/>
            <w:noWrap w:val="0"/>
            <w:vAlign w:val="center"/>
          </w:tcPr>
          <w:p>
            <w:pPr>
              <w:jc w:val="center"/>
              <w:rPr>
                <w:rFonts w:hint="eastAsia" w:ascii="宋体" w:hAnsi="宋体"/>
                <w:szCs w:val="21"/>
              </w:rPr>
            </w:pPr>
            <w:r>
              <w:rPr>
                <w:rFonts w:hint="eastAsia" w:ascii="宋体" w:hAnsi="宋体"/>
                <w:szCs w:val="21"/>
              </w:rPr>
              <w:t>1批</w:t>
            </w:r>
          </w:p>
        </w:tc>
        <w:tc>
          <w:tcPr>
            <w:tcW w:w="1203" w:type="dxa"/>
            <w:noWrap w:val="0"/>
            <w:vAlign w:val="center"/>
          </w:tcPr>
          <w:p>
            <w:pPr>
              <w:jc w:val="center"/>
              <w:rPr>
                <w:rFonts w:hint="eastAsia" w:ascii="宋体" w:hAnsi="宋体"/>
                <w:szCs w:val="21"/>
              </w:rPr>
            </w:pPr>
          </w:p>
        </w:tc>
        <w:tc>
          <w:tcPr>
            <w:tcW w:w="2318" w:type="dxa"/>
            <w:noWrap w:val="0"/>
            <w:vAlign w:val="center"/>
          </w:tcPr>
          <w:p>
            <w:pPr>
              <w:jc w:val="center"/>
              <w:rPr>
                <w:rFonts w:hint="eastAsia" w:ascii="宋体" w:hAnsi="宋体"/>
                <w:szCs w:val="21"/>
              </w:rPr>
            </w:pPr>
          </w:p>
        </w:tc>
        <w:tc>
          <w:tcPr>
            <w:tcW w:w="2911"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3" w:hRule="atLeast"/>
        </w:trPr>
        <w:tc>
          <w:tcPr>
            <w:tcW w:w="2093" w:type="dxa"/>
            <w:noWrap w:val="0"/>
            <w:vAlign w:val="center"/>
          </w:tcPr>
          <w:p>
            <w:pPr>
              <w:jc w:val="center"/>
              <w:rPr>
                <w:rFonts w:hint="eastAsia" w:ascii="宋体" w:hAnsi="宋体"/>
              </w:rPr>
            </w:pPr>
            <w:r>
              <w:rPr>
                <w:rFonts w:hint="eastAsia" w:ascii="宋体" w:hAnsi="宋体"/>
              </w:rPr>
              <w:t>（3）清扫工具（主要指大、小扫帚、方锹、畚箕等）</w:t>
            </w:r>
          </w:p>
        </w:tc>
        <w:tc>
          <w:tcPr>
            <w:tcW w:w="1012" w:type="dxa"/>
            <w:noWrap w:val="0"/>
            <w:vAlign w:val="center"/>
          </w:tcPr>
          <w:p>
            <w:pPr>
              <w:jc w:val="center"/>
              <w:rPr>
                <w:rFonts w:hint="eastAsia" w:ascii="宋体" w:hAnsi="宋体"/>
                <w:szCs w:val="21"/>
              </w:rPr>
            </w:pPr>
            <w:r>
              <w:rPr>
                <w:rFonts w:hint="eastAsia" w:ascii="宋体" w:hAnsi="宋体"/>
                <w:szCs w:val="21"/>
              </w:rPr>
              <w:t>1批</w:t>
            </w:r>
          </w:p>
        </w:tc>
        <w:tc>
          <w:tcPr>
            <w:tcW w:w="1203" w:type="dxa"/>
            <w:noWrap w:val="0"/>
            <w:vAlign w:val="center"/>
          </w:tcPr>
          <w:p>
            <w:pPr>
              <w:jc w:val="center"/>
              <w:rPr>
                <w:rFonts w:hint="eastAsia" w:ascii="宋体" w:hAnsi="宋体"/>
                <w:szCs w:val="21"/>
              </w:rPr>
            </w:pPr>
          </w:p>
        </w:tc>
        <w:tc>
          <w:tcPr>
            <w:tcW w:w="2318" w:type="dxa"/>
            <w:noWrap w:val="0"/>
            <w:vAlign w:val="center"/>
          </w:tcPr>
          <w:p>
            <w:pPr>
              <w:jc w:val="center"/>
              <w:rPr>
                <w:rFonts w:hint="eastAsia" w:ascii="宋体" w:hAnsi="宋体"/>
                <w:szCs w:val="21"/>
              </w:rPr>
            </w:pPr>
          </w:p>
        </w:tc>
        <w:tc>
          <w:tcPr>
            <w:tcW w:w="2911"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7" w:hRule="atLeast"/>
        </w:trPr>
        <w:tc>
          <w:tcPr>
            <w:tcW w:w="2093" w:type="dxa"/>
            <w:noWrap w:val="0"/>
            <w:vAlign w:val="center"/>
          </w:tcPr>
          <w:p>
            <w:pPr>
              <w:jc w:val="center"/>
              <w:rPr>
                <w:rFonts w:hint="eastAsia" w:ascii="宋体" w:hAnsi="宋体"/>
                <w:szCs w:val="21"/>
              </w:rPr>
            </w:pPr>
            <w:r>
              <w:rPr>
                <w:rFonts w:hint="eastAsia" w:ascii="宋体" w:hAnsi="宋体"/>
              </w:rPr>
              <w:t>（4）车辆折旧</w:t>
            </w:r>
          </w:p>
        </w:tc>
        <w:tc>
          <w:tcPr>
            <w:tcW w:w="1012" w:type="dxa"/>
            <w:noWrap w:val="0"/>
            <w:vAlign w:val="center"/>
          </w:tcPr>
          <w:p>
            <w:pPr>
              <w:jc w:val="center"/>
              <w:rPr>
                <w:rFonts w:hint="eastAsia" w:ascii="宋体" w:hAnsi="宋体"/>
                <w:szCs w:val="21"/>
              </w:rPr>
            </w:pPr>
            <w:r>
              <w:rPr>
                <w:rFonts w:hint="eastAsia" w:ascii="宋体" w:hAnsi="宋体"/>
                <w:szCs w:val="21"/>
              </w:rPr>
              <w:t>/</w:t>
            </w:r>
          </w:p>
        </w:tc>
        <w:tc>
          <w:tcPr>
            <w:tcW w:w="1203" w:type="dxa"/>
            <w:noWrap w:val="0"/>
            <w:vAlign w:val="center"/>
          </w:tcPr>
          <w:p>
            <w:pPr>
              <w:jc w:val="center"/>
              <w:rPr>
                <w:rFonts w:hint="eastAsia" w:ascii="宋体" w:hAnsi="宋体"/>
                <w:szCs w:val="21"/>
              </w:rPr>
            </w:pPr>
          </w:p>
        </w:tc>
        <w:tc>
          <w:tcPr>
            <w:tcW w:w="2318" w:type="dxa"/>
            <w:noWrap w:val="0"/>
            <w:vAlign w:val="center"/>
          </w:tcPr>
          <w:p>
            <w:pPr>
              <w:jc w:val="center"/>
              <w:rPr>
                <w:rFonts w:hint="eastAsia" w:ascii="宋体" w:hAnsi="宋体"/>
                <w:szCs w:val="21"/>
              </w:rPr>
            </w:pPr>
          </w:p>
        </w:tc>
        <w:tc>
          <w:tcPr>
            <w:tcW w:w="2911"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7" w:hRule="atLeast"/>
        </w:trPr>
        <w:tc>
          <w:tcPr>
            <w:tcW w:w="2093" w:type="dxa"/>
            <w:noWrap w:val="0"/>
            <w:vAlign w:val="center"/>
          </w:tcPr>
          <w:p>
            <w:pPr>
              <w:rPr>
                <w:rFonts w:hint="eastAsia" w:ascii="宋体" w:hAnsi="宋体"/>
              </w:rPr>
            </w:pPr>
            <w:r>
              <w:rPr>
                <w:rFonts w:hint="eastAsia" w:ascii="宋体" w:hAnsi="宋体"/>
              </w:rPr>
              <w:t>1.洗扫车</w:t>
            </w:r>
          </w:p>
        </w:tc>
        <w:tc>
          <w:tcPr>
            <w:tcW w:w="1012" w:type="dxa"/>
            <w:noWrap w:val="0"/>
            <w:vAlign w:val="center"/>
          </w:tcPr>
          <w:p>
            <w:pPr>
              <w:jc w:val="center"/>
              <w:rPr>
                <w:rFonts w:hint="eastAsia" w:ascii="宋体" w:hAnsi="宋体"/>
                <w:szCs w:val="21"/>
              </w:rPr>
            </w:pPr>
          </w:p>
        </w:tc>
        <w:tc>
          <w:tcPr>
            <w:tcW w:w="1203" w:type="dxa"/>
            <w:noWrap w:val="0"/>
            <w:vAlign w:val="center"/>
          </w:tcPr>
          <w:p>
            <w:pPr>
              <w:jc w:val="center"/>
              <w:rPr>
                <w:rFonts w:hint="eastAsia" w:ascii="宋体" w:hAnsi="宋体"/>
                <w:szCs w:val="21"/>
              </w:rPr>
            </w:pPr>
          </w:p>
        </w:tc>
        <w:tc>
          <w:tcPr>
            <w:tcW w:w="2318" w:type="dxa"/>
            <w:noWrap w:val="0"/>
            <w:vAlign w:val="center"/>
          </w:tcPr>
          <w:p>
            <w:pPr>
              <w:jc w:val="center"/>
              <w:rPr>
                <w:rFonts w:hint="eastAsia" w:ascii="宋体" w:hAnsi="宋体"/>
                <w:szCs w:val="21"/>
              </w:rPr>
            </w:pPr>
          </w:p>
        </w:tc>
        <w:tc>
          <w:tcPr>
            <w:tcW w:w="2911"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7" w:hRule="atLeast"/>
        </w:trPr>
        <w:tc>
          <w:tcPr>
            <w:tcW w:w="2093" w:type="dxa"/>
            <w:noWrap w:val="0"/>
            <w:vAlign w:val="center"/>
          </w:tcPr>
          <w:p>
            <w:pPr>
              <w:rPr>
                <w:rFonts w:hint="eastAsia" w:ascii="宋体" w:hAnsi="宋体"/>
              </w:rPr>
            </w:pPr>
            <w:r>
              <w:rPr>
                <w:rFonts w:hint="eastAsia" w:ascii="宋体" w:hAnsi="宋体"/>
              </w:rPr>
              <w:t>2.高压清洗车</w:t>
            </w:r>
          </w:p>
        </w:tc>
        <w:tc>
          <w:tcPr>
            <w:tcW w:w="1012" w:type="dxa"/>
            <w:noWrap w:val="0"/>
            <w:vAlign w:val="center"/>
          </w:tcPr>
          <w:p>
            <w:pPr>
              <w:jc w:val="center"/>
              <w:rPr>
                <w:rFonts w:hint="eastAsia" w:ascii="宋体" w:hAnsi="宋体"/>
                <w:szCs w:val="21"/>
              </w:rPr>
            </w:pPr>
          </w:p>
        </w:tc>
        <w:tc>
          <w:tcPr>
            <w:tcW w:w="1203" w:type="dxa"/>
            <w:noWrap w:val="0"/>
            <w:vAlign w:val="center"/>
          </w:tcPr>
          <w:p>
            <w:pPr>
              <w:jc w:val="center"/>
              <w:rPr>
                <w:rFonts w:hint="eastAsia" w:ascii="宋体" w:hAnsi="宋体"/>
                <w:szCs w:val="21"/>
              </w:rPr>
            </w:pPr>
          </w:p>
        </w:tc>
        <w:tc>
          <w:tcPr>
            <w:tcW w:w="2318" w:type="dxa"/>
            <w:noWrap w:val="0"/>
            <w:vAlign w:val="center"/>
          </w:tcPr>
          <w:p>
            <w:pPr>
              <w:jc w:val="center"/>
              <w:rPr>
                <w:rFonts w:hint="eastAsia" w:ascii="宋体" w:hAnsi="宋体"/>
                <w:szCs w:val="21"/>
              </w:rPr>
            </w:pPr>
          </w:p>
        </w:tc>
        <w:tc>
          <w:tcPr>
            <w:tcW w:w="2911"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7" w:hRule="atLeast"/>
        </w:trPr>
        <w:tc>
          <w:tcPr>
            <w:tcW w:w="2093" w:type="dxa"/>
            <w:noWrap w:val="0"/>
            <w:vAlign w:val="center"/>
          </w:tcPr>
          <w:p>
            <w:pPr>
              <w:rPr>
                <w:rFonts w:hint="eastAsia" w:ascii="宋体" w:hAnsi="宋体"/>
              </w:rPr>
            </w:pPr>
            <w:r>
              <w:rPr>
                <w:rFonts w:hint="eastAsia" w:ascii="宋体" w:hAnsi="宋体"/>
              </w:rPr>
              <w:t>3.多功能抑尘车</w:t>
            </w:r>
          </w:p>
        </w:tc>
        <w:tc>
          <w:tcPr>
            <w:tcW w:w="1012" w:type="dxa"/>
            <w:noWrap w:val="0"/>
            <w:vAlign w:val="center"/>
          </w:tcPr>
          <w:p>
            <w:pPr>
              <w:jc w:val="center"/>
              <w:rPr>
                <w:rFonts w:hint="eastAsia" w:ascii="宋体" w:hAnsi="宋体"/>
                <w:szCs w:val="21"/>
              </w:rPr>
            </w:pPr>
          </w:p>
        </w:tc>
        <w:tc>
          <w:tcPr>
            <w:tcW w:w="1203" w:type="dxa"/>
            <w:noWrap w:val="0"/>
            <w:vAlign w:val="center"/>
          </w:tcPr>
          <w:p>
            <w:pPr>
              <w:jc w:val="center"/>
              <w:rPr>
                <w:rFonts w:hint="eastAsia" w:ascii="宋体" w:hAnsi="宋体"/>
                <w:szCs w:val="21"/>
              </w:rPr>
            </w:pPr>
          </w:p>
        </w:tc>
        <w:tc>
          <w:tcPr>
            <w:tcW w:w="2318" w:type="dxa"/>
            <w:noWrap w:val="0"/>
            <w:vAlign w:val="center"/>
          </w:tcPr>
          <w:p>
            <w:pPr>
              <w:jc w:val="center"/>
              <w:rPr>
                <w:rFonts w:hint="eastAsia" w:ascii="宋体" w:hAnsi="宋体"/>
                <w:szCs w:val="21"/>
              </w:rPr>
            </w:pPr>
          </w:p>
        </w:tc>
        <w:tc>
          <w:tcPr>
            <w:tcW w:w="2911"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7" w:hRule="atLeast"/>
        </w:trPr>
        <w:tc>
          <w:tcPr>
            <w:tcW w:w="2093" w:type="dxa"/>
            <w:noWrap w:val="0"/>
            <w:vAlign w:val="center"/>
          </w:tcPr>
          <w:p>
            <w:pPr>
              <w:rPr>
                <w:rFonts w:hint="eastAsia" w:ascii="宋体" w:hAnsi="宋体"/>
              </w:rPr>
            </w:pPr>
            <w:r>
              <w:rPr>
                <w:rFonts w:hint="eastAsia" w:ascii="宋体" w:hAnsi="宋体"/>
              </w:rPr>
              <w:t>4.压缩车</w:t>
            </w:r>
          </w:p>
        </w:tc>
        <w:tc>
          <w:tcPr>
            <w:tcW w:w="1012" w:type="dxa"/>
            <w:noWrap w:val="0"/>
            <w:vAlign w:val="center"/>
          </w:tcPr>
          <w:p>
            <w:pPr>
              <w:jc w:val="center"/>
              <w:rPr>
                <w:rFonts w:hint="eastAsia" w:ascii="宋体" w:hAnsi="宋体"/>
                <w:szCs w:val="21"/>
              </w:rPr>
            </w:pPr>
          </w:p>
        </w:tc>
        <w:tc>
          <w:tcPr>
            <w:tcW w:w="1203" w:type="dxa"/>
            <w:noWrap w:val="0"/>
            <w:vAlign w:val="center"/>
          </w:tcPr>
          <w:p>
            <w:pPr>
              <w:jc w:val="center"/>
              <w:rPr>
                <w:rFonts w:hint="eastAsia" w:ascii="宋体" w:hAnsi="宋体"/>
                <w:szCs w:val="21"/>
              </w:rPr>
            </w:pPr>
          </w:p>
        </w:tc>
        <w:tc>
          <w:tcPr>
            <w:tcW w:w="2318" w:type="dxa"/>
            <w:noWrap w:val="0"/>
            <w:vAlign w:val="center"/>
          </w:tcPr>
          <w:p>
            <w:pPr>
              <w:jc w:val="center"/>
              <w:rPr>
                <w:rFonts w:hint="eastAsia" w:ascii="宋体" w:hAnsi="宋体"/>
                <w:szCs w:val="21"/>
              </w:rPr>
            </w:pPr>
          </w:p>
        </w:tc>
        <w:tc>
          <w:tcPr>
            <w:tcW w:w="2911"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7" w:hRule="atLeast"/>
        </w:trPr>
        <w:tc>
          <w:tcPr>
            <w:tcW w:w="2093" w:type="dxa"/>
            <w:noWrap w:val="0"/>
            <w:vAlign w:val="center"/>
          </w:tcPr>
          <w:p>
            <w:pPr>
              <w:rPr>
                <w:rFonts w:hint="eastAsia" w:ascii="宋体" w:hAnsi="宋体"/>
              </w:rPr>
            </w:pPr>
            <w:r>
              <w:rPr>
                <w:rFonts w:hint="eastAsia" w:ascii="宋体" w:hAnsi="宋体"/>
              </w:rPr>
              <w:t>5.燃油型多功能扫路机</w:t>
            </w:r>
          </w:p>
        </w:tc>
        <w:tc>
          <w:tcPr>
            <w:tcW w:w="1012" w:type="dxa"/>
            <w:noWrap w:val="0"/>
            <w:vAlign w:val="center"/>
          </w:tcPr>
          <w:p>
            <w:pPr>
              <w:jc w:val="center"/>
              <w:rPr>
                <w:rFonts w:hint="eastAsia" w:ascii="宋体" w:hAnsi="宋体"/>
                <w:szCs w:val="21"/>
              </w:rPr>
            </w:pPr>
          </w:p>
        </w:tc>
        <w:tc>
          <w:tcPr>
            <w:tcW w:w="1203" w:type="dxa"/>
            <w:noWrap w:val="0"/>
            <w:vAlign w:val="center"/>
          </w:tcPr>
          <w:p>
            <w:pPr>
              <w:jc w:val="center"/>
              <w:rPr>
                <w:rFonts w:hint="eastAsia" w:ascii="宋体" w:hAnsi="宋体"/>
                <w:szCs w:val="21"/>
              </w:rPr>
            </w:pPr>
          </w:p>
        </w:tc>
        <w:tc>
          <w:tcPr>
            <w:tcW w:w="2318" w:type="dxa"/>
            <w:noWrap w:val="0"/>
            <w:vAlign w:val="center"/>
          </w:tcPr>
          <w:p>
            <w:pPr>
              <w:jc w:val="center"/>
              <w:rPr>
                <w:rFonts w:hint="eastAsia" w:ascii="宋体" w:hAnsi="宋体"/>
                <w:szCs w:val="21"/>
              </w:rPr>
            </w:pPr>
          </w:p>
        </w:tc>
        <w:tc>
          <w:tcPr>
            <w:tcW w:w="2911"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7" w:hRule="atLeast"/>
        </w:trPr>
        <w:tc>
          <w:tcPr>
            <w:tcW w:w="2093" w:type="dxa"/>
            <w:noWrap w:val="0"/>
            <w:vAlign w:val="center"/>
          </w:tcPr>
          <w:p>
            <w:pPr>
              <w:rPr>
                <w:rFonts w:hint="eastAsia" w:ascii="宋体" w:hAnsi="宋体"/>
              </w:rPr>
            </w:pPr>
            <w:r>
              <w:rPr>
                <w:rFonts w:hint="eastAsia" w:ascii="宋体" w:hAnsi="宋体"/>
              </w:rPr>
              <w:t>6.路面养护车</w:t>
            </w:r>
          </w:p>
        </w:tc>
        <w:tc>
          <w:tcPr>
            <w:tcW w:w="1012" w:type="dxa"/>
            <w:noWrap w:val="0"/>
            <w:vAlign w:val="center"/>
          </w:tcPr>
          <w:p>
            <w:pPr>
              <w:jc w:val="center"/>
              <w:rPr>
                <w:rFonts w:hint="eastAsia" w:ascii="宋体" w:hAnsi="宋体"/>
                <w:szCs w:val="21"/>
              </w:rPr>
            </w:pPr>
          </w:p>
        </w:tc>
        <w:tc>
          <w:tcPr>
            <w:tcW w:w="1203" w:type="dxa"/>
            <w:noWrap w:val="0"/>
            <w:vAlign w:val="center"/>
          </w:tcPr>
          <w:p>
            <w:pPr>
              <w:jc w:val="center"/>
              <w:rPr>
                <w:rFonts w:hint="eastAsia" w:ascii="宋体" w:hAnsi="宋体"/>
                <w:szCs w:val="21"/>
              </w:rPr>
            </w:pPr>
          </w:p>
        </w:tc>
        <w:tc>
          <w:tcPr>
            <w:tcW w:w="2318" w:type="dxa"/>
            <w:noWrap w:val="0"/>
            <w:vAlign w:val="center"/>
          </w:tcPr>
          <w:p>
            <w:pPr>
              <w:jc w:val="center"/>
              <w:rPr>
                <w:rFonts w:hint="eastAsia" w:ascii="宋体" w:hAnsi="宋体"/>
                <w:szCs w:val="21"/>
              </w:rPr>
            </w:pPr>
          </w:p>
        </w:tc>
        <w:tc>
          <w:tcPr>
            <w:tcW w:w="2911"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7" w:hRule="atLeast"/>
        </w:trPr>
        <w:tc>
          <w:tcPr>
            <w:tcW w:w="2093" w:type="dxa"/>
            <w:noWrap w:val="0"/>
            <w:vAlign w:val="center"/>
          </w:tcPr>
          <w:p>
            <w:pPr>
              <w:rPr>
                <w:rFonts w:hint="eastAsia" w:ascii="宋体" w:hAnsi="宋体"/>
              </w:rPr>
            </w:pPr>
            <w:r>
              <w:rPr>
                <w:rFonts w:hint="eastAsia" w:ascii="宋体" w:hAnsi="宋体"/>
              </w:rPr>
              <w:t>7.小型冲洗机</w:t>
            </w:r>
          </w:p>
        </w:tc>
        <w:tc>
          <w:tcPr>
            <w:tcW w:w="1012" w:type="dxa"/>
            <w:noWrap w:val="0"/>
            <w:vAlign w:val="center"/>
          </w:tcPr>
          <w:p>
            <w:pPr>
              <w:jc w:val="center"/>
              <w:rPr>
                <w:rFonts w:hint="eastAsia" w:ascii="宋体" w:hAnsi="宋体"/>
                <w:szCs w:val="21"/>
              </w:rPr>
            </w:pPr>
          </w:p>
        </w:tc>
        <w:tc>
          <w:tcPr>
            <w:tcW w:w="1203" w:type="dxa"/>
            <w:noWrap w:val="0"/>
            <w:vAlign w:val="center"/>
          </w:tcPr>
          <w:p>
            <w:pPr>
              <w:jc w:val="center"/>
              <w:rPr>
                <w:rFonts w:hint="eastAsia" w:ascii="宋体" w:hAnsi="宋体"/>
                <w:szCs w:val="21"/>
              </w:rPr>
            </w:pPr>
          </w:p>
        </w:tc>
        <w:tc>
          <w:tcPr>
            <w:tcW w:w="2318" w:type="dxa"/>
            <w:noWrap w:val="0"/>
            <w:vAlign w:val="center"/>
          </w:tcPr>
          <w:p>
            <w:pPr>
              <w:jc w:val="center"/>
              <w:rPr>
                <w:rFonts w:hint="eastAsia" w:ascii="宋体" w:hAnsi="宋体"/>
                <w:szCs w:val="21"/>
              </w:rPr>
            </w:pPr>
          </w:p>
        </w:tc>
        <w:tc>
          <w:tcPr>
            <w:tcW w:w="2911"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7" w:hRule="atLeast"/>
        </w:trPr>
        <w:tc>
          <w:tcPr>
            <w:tcW w:w="2093" w:type="dxa"/>
            <w:noWrap w:val="0"/>
            <w:vAlign w:val="center"/>
          </w:tcPr>
          <w:p>
            <w:pPr>
              <w:rPr>
                <w:rFonts w:hint="eastAsia" w:ascii="宋体" w:hAnsi="宋体"/>
              </w:rPr>
            </w:pPr>
            <w:r>
              <w:rPr>
                <w:rFonts w:hint="eastAsia" w:ascii="宋体" w:hAnsi="宋体"/>
              </w:rPr>
              <w:t>8.四轮八桶驳运车</w:t>
            </w:r>
          </w:p>
        </w:tc>
        <w:tc>
          <w:tcPr>
            <w:tcW w:w="1012" w:type="dxa"/>
            <w:noWrap w:val="0"/>
            <w:vAlign w:val="center"/>
          </w:tcPr>
          <w:p>
            <w:pPr>
              <w:jc w:val="center"/>
              <w:rPr>
                <w:rFonts w:hint="eastAsia" w:ascii="宋体" w:hAnsi="宋体"/>
                <w:szCs w:val="21"/>
              </w:rPr>
            </w:pPr>
          </w:p>
        </w:tc>
        <w:tc>
          <w:tcPr>
            <w:tcW w:w="1203" w:type="dxa"/>
            <w:noWrap w:val="0"/>
            <w:vAlign w:val="center"/>
          </w:tcPr>
          <w:p>
            <w:pPr>
              <w:jc w:val="center"/>
              <w:rPr>
                <w:rFonts w:hint="eastAsia" w:ascii="宋体" w:hAnsi="宋体"/>
                <w:szCs w:val="21"/>
              </w:rPr>
            </w:pPr>
          </w:p>
        </w:tc>
        <w:tc>
          <w:tcPr>
            <w:tcW w:w="2318" w:type="dxa"/>
            <w:noWrap w:val="0"/>
            <w:vAlign w:val="center"/>
          </w:tcPr>
          <w:p>
            <w:pPr>
              <w:jc w:val="center"/>
              <w:rPr>
                <w:rFonts w:hint="eastAsia" w:ascii="宋体" w:hAnsi="宋体"/>
                <w:szCs w:val="21"/>
              </w:rPr>
            </w:pPr>
          </w:p>
        </w:tc>
        <w:tc>
          <w:tcPr>
            <w:tcW w:w="2911"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7" w:hRule="atLeast"/>
        </w:trPr>
        <w:tc>
          <w:tcPr>
            <w:tcW w:w="2093" w:type="dxa"/>
            <w:noWrap w:val="0"/>
            <w:vAlign w:val="center"/>
          </w:tcPr>
          <w:p>
            <w:pPr>
              <w:rPr>
                <w:rFonts w:hint="eastAsia" w:ascii="宋体" w:hAnsi="宋体"/>
              </w:rPr>
            </w:pPr>
            <w:r>
              <w:rPr>
                <w:rFonts w:hint="eastAsia" w:ascii="宋体" w:hAnsi="宋体"/>
              </w:rPr>
              <w:t>9.上门收集清运车</w:t>
            </w:r>
          </w:p>
        </w:tc>
        <w:tc>
          <w:tcPr>
            <w:tcW w:w="1012" w:type="dxa"/>
            <w:noWrap w:val="0"/>
            <w:vAlign w:val="center"/>
          </w:tcPr>
          <w:p>
            <w:pPr>
              <w:jc w:val="center"/>
              <w:rPr>
                <w:rFonts w:hint="eastAsia" w:ascii="宋体" w:hAnsi="宋体"/>
                <w:szCs w:val="21"/>
              </w:rPr>
            </w:pPr>
          </w:p>
        </w:tc>
        <w:tc>
          <w:tcPr>
            <w:tcW w:w="1203" w:type="dxa"/>
            <w:noWrap w:val="0"/>
            <w:vAlign w:val="center"/>
          </w:tcPr>
          <w:p>
            <w:pPr>
              <w:jc w:val="center"/>
              <w:rPr>
                <w:rFonts w:hint="eastAsia" w:ascii="宋体" w:hAnsi="宋体"/>
                <w:szCs w:val="21"/>
              </w:rPr>
            </w:pPr>
          </w:p>
        </w:tc>
        <w:tc>
          <w:tcPr>
            <w:tcW w:w="2318" w:type="dxa"/>
            <w:noWrap w:val="0"/>
            <w:vAlign w:val="center"/>
          </w:tcPr>
          <w:p>
            <w:pPr>
              <w:jc w:val="center"/>
              <w:rPr>
                <w:rFonts w:hint="eastAsia" w:ascii="宋体" w:hAnsi="宋体"/>
                <w:szCs w:val="21"/>
              </w:rPr>
            </w:pPr>
          </w:p>
        </w:tc>
        <w:tc>
          <w:tcPr>
            <w:tcW w:w="2911"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7" w:hRule="atLeast"/>
        </w:trPr>
        <w:tc>
          <w:tcPr>
            <w:tcW w:w="2093" w:type="dxa"/>
            <w:noWrap w:val="0"/>
            <w:vAlign w:val="center"/>
          </w:tcPr>
          <w:p>
            <w:pPr>
              <w:rPr>
                <w:rFonts w:hint="eastAsia" w:ascii="宋体" w:hAnsi="宋体"/>
              </w:rPr>
            </w:pPr>
            <w:r>
              <w:rPr>
                <w:rFonts w:hint="eastAsia" w:ascii="宋体" w:hAnsi="宋体"/>
              </w:rPr>
              <w:t>10.快速保洁车</w:t>
            </w:r>
          </w:p>
        </w:tc>
        <w:tc>
          <w:tcPr>
            <w:tcW w:w="1012" w:type="dxa"/>
            <w:noWrap w:val="0"/>
            <w:vAlign w:val="center"/>
          </w:tcPr>
          <w:p>
            <w:pPr>
              <w:jc w:val="center"/>
              <w:rPr>
                <w:rFonts w:hint="eastAsia" w:ascii="宋体" w:hAnsi="宋体"/>
                <w:szCs w:val="21"/>
              </w:rPr>
            </w:pPr>
          </w:p>
        </w:tc>
        <w:tc>
          <w:tcPr>
            <w:tcW w:w="1203" w:type="dxa"/>
            <w:noWrap w:val="0"/>
            <w:vAlign w:val="center"/>
          </w:tcPr>
          <w:p>
            <w:pPr>
              <w:jc w:val="center"/>
              <w:rPr>
                <w:rFonts w:hint="eastAsia" w:ascii="宋体" w:hAnsi="宋体"/>
                <w:szCs w:val="21"/>
              </w:rPr>
            </w:pPr>
          </w:p>
        </w:tc>
        <w:tc>
          <w:tcPr>
            <w:tcW w:w="2318" w:type="dxa"/>
            <w:noWrap w:val="0"/>
            <w:vAlign w:val="center"/>
          </w:tcPr>
          <w:p>
            <w:pPr>
              <w:jc w:val="center"/>
              <w:rPr>
                <w:rFonts w:hint="eastAsia" w:ascii="宋体" w:hAnsi="宋体"/>
                <w:szCs w:val="21"/>
              </w:rPr>
            </w:pPr>
          </w:p>
        </w:tc>
        <w:tc>
          <w:tcPr>
            <w:tcW w:w="2911"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7" w:hRule="atLeast"/>
        </w:trPr>
        <w:tc>
          <w:tcPr>
            <w:tcW w:w="2093" w:type="dxa"/>
            <w:noWrap w:val="0"/>
            <w:vAlign w:val="center"/>
          </w:tcPr>
          <w:p>
            <w:pPr>
              <w:rPr>
                <w:rFonts w:ascii="宋体" w:hAnsi="宋体"/>
              </w:rPr>
            </w:pPr>
            <w:r>
              <w:rPr>
                <w:rFonts w:hint="eastAsia" w:ascii="宋体" w:hAnsi="宋体"/>
              </w:rPr>
              <w:t>11.三轮清扫车</w:t>
            </w:r>
          </w:p>
        </w:tc>
        <w:tc>
          <w:tcPr>
            <w:tcW w:w="1012" w:type="dxa"/>
            <w:noWrap w:val="0"/>
            <w:vAlign w:val="center"/>
          </w:tcPr>
          <w:p>
            <w:pPr>
              <w:jc w:val="center"/>
              <w:rPr>
                <w:rFonts w:hint="eastAsia" w:ascii="宋体" w:hAnsi="宋体"/>
                <w:szCs w:val="21"/>
              </w:rPr>
            </w:pPr>
          </w:p>
        </w:tc>
        <w:tc>
          <w:tcPr>
            <w:tcW w:w="1203" w:type="dxa"/>
            <w:noWrap w:val="0"/>
            <w:vAlign w:val="center"/>
          </w:tcPr>
          <w:p>
            <w:pPr>
              <w:jc w:val="center"/>
              <w:rPr>
                <w:rFonts w:hint="eastAsia" w:ascii="宋体" w:hAnsi="宋体"/>
                <w:szCs w:val="21"/>
              </w:rPr>
            </w:pPr>
          </w:p>
        </w:tc>
        <w:tc>
          <w:tcPr>
            <w:tcW w:w="2318" w:type="dxa"/>
            <w:noWrap w:val="0"/>
            <w:vAlign w:val="center"/>
          </w:tcPr>
          <w:p>
            <w:pPr>
              <w:jc w:val="center"/>
              <w:rPr>
                <w:rFonts w:hint="eastAsia" w:ascii="宋体" w:hAnsi="宋体"/>
                <w:szCs w:val="21"/>
              </w:rPr>
            </w:pPr>
          </w:p>
        </w:tc>
        <w:tc>
          <w:tcPr>
            <w:tcW w:w="2911"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7" w:hRule="atLeast"/>
        </w:trPr>
        <w:tc>
          <w:tcPr>
            <w:tcW w:w="2093" w:type="dxa"/>
            <w:noWrap w:val="0"/>
            <w:vAlign w:val="center"/>
          </w:tcPr>
          <w:p>
            <w:pPr>
              <w:jc w:val="center"/>
              <w:rPr>
                <w:rFonts w:hint="eastAsia" w:ascii="宋体" w:hAnsi="宋体"/>
              </w:rPr>
            </w:pPr>
            <w:r>
              <w:rPr>
                <w:rFonts w:hint="eastAsia" w:ascii="宋体" w:hAnsi="宋体"/>
              </w:rPr>
              <w:t>......</w:t>
            </w:r>
          </w:p>
        </w:tc>
        <w:tc>
          <w:tcPr>
            <w:tcW w:w="1012" w:type="dxa"/>
            <w:noWrap w:val="0"/>
            <w:vAlign w:val="center"/>
          </w:tcPr>
          <w:p>
            <w:pPr>
              <w:jc w:val="center"/>
              <w:rPr>
                <w:rFonts w:hint="eastAsia" w:ascii="宋体" w:hAnsi="宋体"/>
                <w:szCs w:val="21"/>
              </w:rPr>
            </w:pPr>
          </w:p>
        </w:tc>
        <w:tc>
          <w:tcPr>
            <w:tcW w:w="1203" w:type="dxa"/>
            <w:noWrap w:val="0"/>
            <w:vAlign w:val="center"/>
          </w:tcPr>
          <w:p>
            <w:pPr>
              <w:jc w:val="center"/>
              <w:rPr>
                <w:rFonts w:hint="eastAsia" w:ascii="宋体" w:hAnsi="宋体"/>
                <w:szCs w:val="21"/>
              </w:rPr>
            </w:pPr>
          </w:p>
        </w:tc>
        <w:tc>
          <w:tcPr>
            <w:tcW w:w="2318" w:type="dxa"/>
            <w:noWrap w:val="0"/>
            <w:vAlign w:val="center"/>
          </w:tcPr>
          <w:p>
            <w:pPr>
              <w:jc w:val="center"/>
              <w:rPr>
                <w:rFonts w:hint="eastAsia" w:ascii="宋体" w:hAnsi="宋体"/>
                <w:szCs w:val="21"/>
              </w:rPr>
            </w:pPr>
          </w:p>
        </w:tc>
        <w:tc>
          <w:tcPr>
            <w:tcW w:w="2911"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7" w:hRule="atLeast"/>
        </w:trPr>
        <w:tc>
          <w:tcPr>
            <w:tcW w:w="2093" w:type="dxa"/>
            <w:noWrap w:val="0"/>
            <w:vAlign w:val="center"/>
          </w:tcPr>
          <w:p>
            <w:pPr>
              <w:jc w:val="center"/>
              <w:rPr>
                <w:rFonts w:hint="eastAsia" w:ascii="宋体" w:hAnsi="宋体"/>
                <w:szCs w:val="21"/>
              </w:rPr>
            </w:pPr>
            <w:r>
              <w:rPr>
                <w:rFonts w:hint="eastAsia" w:ascii="宋体" w:hAnsi="宋体"/>
              </w:rPr>
              <w:t>三、车辆维修费</w:t>
            </w:r>
          </w:p>
        </w:tc>
        <w:tc>
          <w:tcPr>
            <w:tcW w:w="1012" w:type="dxa"/>
            <w:noWrap w:val="0"/>
            <w:vAlign w:val="center"/>
          </w:tcPr>
          <w:p>
            <w:pPr>
              <w:jc w:val="center"/>
              <w:rPr>
                <w:rFonts w:hint="eastAsia" w:ascii="宋体" w:hAnsi="宋体"/>
                <w:szCs w:val="21"/>
              </w:rPr>
            </w:pPr>
          </w:p>
        </w:tc>
        <w:tc>
          <w:tcPr>
            <w:tcW w:w="1203" w:type="dxa"/>
            <w:noWrap w:val="0"/>
            <w:vAlign w:val="center"/>
          </w:tcPr>
          <w:p>
            <w:pPr>
              <w:jc w:val="center"/>
              <w:rPr>
                <w:rFonts w:hint="eastAsia" w:ascii="宋体" w:hAnsi="宋体"/>
                <w:szCs w:val="21"/>
              </w:rPr>
            </w:pPr>
          </w:p>
        </w:tc>
        <w:tc>
          <w:tcPr>
            <w:tcW w:w="2318" w:type="dxa"/>
            <w:noWrap w:val="0"/>
            <w:vAlign w:val="center"/>
          </w:tcPr>
          <w:p>
            <w:pPr>
              <w:jc w:val="center"/>
              <w:rPr>
                <w:rFonts w:hint="eastAsia" w:ascii="宋体" w:hAnsi="宋体"/>
                <w:szCs w:val="21"/>
              </w:rPr>
            </w:pPr>
          </w:p>
        </w:tc>
        <w:tc>
          <w:tcPr>
            <w:tcW w:w="2911"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2093" w:type="dxa"/>
            <w:noWrap w:val="0"/>
            <w:vAlign w:val="center"/>
          </w:tcPr>
          <w:p>
            <w:pPr>
              <w:jc w:val="center"/>
              <w:rPr>
                <w:rFonts w:hint="eastAsia" w:ascii="宋体" w:hAnsi="宋体"/>
                <w:szCs w:val="21"/>
              </w:rPr>
            </w:pPr>
            <w:r>
              <w:rPr>
                <w:rFonts w:hint="eastAsia" w:ascii="宋体" w:hAnsi="宋体"/>
              </w:rPr>
              <w:t>四、油料费</w:t>
            </w:r>
          </w:p>
        </w:tc>
        <w:tc>
          <w:tcPr>
            <w:tcW w:w="1012" w:type="dxa"/>
            <w:noWrap w:val="0"/>
            <w:vAlign w:val="center"/>
          </w:tcPr>
          <w:p>
            <w:pPr>
              <w:jc w:val="center"/>
              <w:rPr>
                <w:rFonts w:hint="eastAsia" w:ascii="宋体" w:hAnsi="宋体"/>
                <w:szCs w:val="21"/>
              </w:rPr>
            </w:pPr>
          </w:p>
        </w:tc>
        <w:tc>
          <w:tcPr>
            <w:tcW w:w="1203" w:type="dxa"/>
            <w:noWrap w:val="0"/>
            <w:vAlign w:val="center"/>
          </w:tcPr>
          <w:p>
            <w:pPr>
              <w:jc w:val="center"/>
              <w:rPr>
                <w:rFonts w:hint="eastAsia" w:ascii="宋体" w:hAnsi="宋体"/>
                <w:szCs w:val="21"/>
              </w:rPr>
            </w:pPr>
          </w:p>
        </w:tc>
        <w:tc>
          <w:tcPr>
            <w:tcW w:w="2318" w:type="dxa"/>
            <w:noWrap w:val="0"/>
            <w:vAlign w:val="center"/>
          </w:tcPr>
          <w:p>
            <w:pPr>
              <w:jc w:val="center"/>
              <w:rPr>
                <w:rFonts w:hint="eastAsia" w:ascii="宋体" w:hAnsi="宋体"/>
                <w:szCs w:val="21"/>
              </w:rPr>
            </w:pPr>
            <w:r>
              <w:rPr>
                <w:rFonts w:hint="eastAsia" w:ascii="宋体" w:hAnsi="宋体"/>
                <w:szCs w:val="21"/>
              </w:rPr>
              <w:t>提供测算依据</w:t>
            </w:r>
          </w:p>
        </w:tc>
        <w:tc>
          <w:tcPr>
            <w:tcW w:w="2911"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12" w:hRule="atLeast"/>
        </w:trPr>
        <w:tc>
          <w:tcPr>
            <w:tcW w:w="2093" w:type="dxa"/>
            <w:noWrap w:val="0"/>
            <w:vAlign w:val="center"/>
          </w:tcPr>
          <w:p>
            <w:pPr>
              <w:jc w:val="center"/>
              <w:rPr>
                <w:rFonts w:hint="eastAsia" w:ascii="宋体" w:hAnsi="宋体"/>
                <w:szCs w:val="21"/>
              </w:rPr>
            </w:pPr>
            <w:r>
              <w:rPr>
                <w:rFonts w:hint="eastAsia" w:ascii="宋体" w:hAnsi="宋体"/>
              </w:rPr>
              <w:t>五、车辆规费</w:t>
            </w:r>
          </w:p>
        </w:tc>
        <w:tc>
          <w:tcPr>
            <w:tcW w:w="1012" w:type="dxa"/>
            <w:noWrap w:val="0"/>
            <w:vAlign w:val="center"/>
          </w:tcPr>
          <w:p>
            <w:pPr>
              <w:jc w:val="center"/>
              <w:rPr>
                <w:rFonts w:hint="eastAsia" w:ascii="宋体" w:hAnsi="宋体"/>
                <w:szCs w:val="21"/>
              </w:rPr>
            </w:pPr>
          </w:p>
        </w:tc>
        <w:tc>
          <w:tcPr>
            <w:tcW w:w="1203" w:type="dxa"/>
            <w:noWrap w:val="0"/>
            <w:vAlign w:val="center"/>
          </w:tcPr>
          <w:p>
            <w:pPr>
              <w:jc w:val="center"/>
              <w:rPr>
                <w:rFonts w:hint="eastAsia" w:ascii="宋体" w:hAnsi="宋体"/>
                <w:szCs w:val="21"/>
              </w:rPr>
            </w:pPr>
          </w:p>
        </w:tc>
        <w:tc>
          <w:tcPr>
            <w:tcW w:w="2318" w:type="dxa"/>
            <w:noWrap w:val="0"/>
            <w:vAlign w:val="center"/>
          </w:tcPr>
          <w:p>
            <w:pPr>
              <w:jc w:val="center"/>
              <w:rPr>
                <w:rFonts w:hint="eastAsia" w:ascii="宋体" w:hAnsi="宋体"/>
                <w:szCs w:val="21"/>
              </w:rPr>
            </w:pPr>
            <w:r>
              <w:rPr>
                <w:rFonts w:hint="eastAsia" w:ascii="宋体" w:hAnsi="宋体"/>
                <w:szCs w:val="21"/>
              </w:rPr>
              <w:t>提供测算依据</w:t>
            </w:r>
          </w:p>
        </w:tc>
        <w:tc>
          <w:tcPr>
            <w:tcW w:w="2911"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19" w:hRule="atLeast"/>
        </w:trPr>
        <w:tc>
          <w:tcPr>
            <w:tcW w:w="2093" w:type="dxa"/>
            <w:noWrap w:val="0"/>
            <w:vAlign w:val="center"/>
          </w:tcPr>
          <w:p>
            <w:pPr>
              <w:jc w:val="center"/>
              <w:rPr>
                <w:rFonts w:hint="eastAsia" w:ascii="宋体" w:hAnsi="宋体"/>
                <w:szCs w:val="21"/>
              </w:rPr>
            </w:pPr>
            <w:r>
              <w:rPr>
                <w:rFonts w:hint="eastAsia" w:ascii="宋体" w:hAnsi="宋体"/>
              </w:rPr>
              <w:t>六、办公月费</w:t>
            </w:r>
          </w:p>
        </w:tc>
        <w:tc>
          <w:tcPr>
            <w:tcW w:w="1012" w:type="dxa"/>
            <w:noWrap w:val="0"/>
            <w:vAlign w:val="center"/>
          </w:tcPr>
          <w:p>
            <w:pPr>
              <w:jc w:val="center"/>
              <w:rPr>
                <w:rFonts w:hint="eastAsia" w:ascii="宋体" w:hAnsi="宋体"/>
                <w:szCs w:val="21"/>
              </w:rPr>
            </w:pPr>
          </w:p>
        </w:tc>
        <w:tc>
          <w:tcPr>
            <w:tcW w:w="1203" w:type="dxa"/>
            <w:noWrap w:val="0"/>
            <w:vAlign w:val="center"/>
          </w:tcPr>
          <w:p>
            <w:pPr>
              <w:jc w:val="center"/>
              <w:rPr>
                <w:rFonts w:hint="eastAsia" w:ascii="宋体" w:hAnsi="宋体"/>
                <w:szCs w:val="21"/>
              </w:rPr>
            </w:pPr>
          </w:p>
        </w:tc>
        <w:tc>
          <w:tcPr>
            <w:tcW w:w="2318" w:type="dxa"/>
            <w:noWrap w:val="0"/>
            <w:vAlign w:val="center"/>
          </w:tcPr>
          <w:p>
            <w:pPr>
              <w:jc w:val="center"/>
              <w:rPr>
                <w:rFonts w:hint="eastAsia" w:ascii="宋体" w:hAnsi="宋体"/>
                <w:szCs w:val="21"/>
              </w:rPr>
            </w:pPr>
          </w:p>
        </w:tc>
        <w:tc>
          <w:tcPr>
            <w:tcW w:w="2911"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3" w:hRule="atLeast"/>
        </w:trPr>
        <w:tc>
          <w:tcPr>
            <w:tcW w:w="2093" w:type="dxa"/>
            <w:noWrap w:val="0"/>
            <w:vAlign w:val="center"/>
          </w:tcPr>
          <w:p>
            <w:pPr>
              <w:jc w:val="center"/>
              <w:rPr>
                <w:rFonts w:hint="eastAsia" w:ascii="宋体" w:hAnsi="宋体"/>
                <w:szCs w:val="21"/>
              </w:rPr>
            </w:pPr>
            <w:r>
              <w:rPr>
                <w:rFonts w:hint="eastAsia" w:ascii="宋体" w:hAnsi="宋体"/>
              </w:rPr>
              <w:t>七、不可预见费或其他经费</w:t>
            </w:r>
          </w:p>
        </w:tc>
        <w:tc>
          <w:tcPr>
            <w:tcW w:w="1012" w:type="dxa"/>
            <w:noWrap w:val="0"/>
            <w:vAlign w:val="center"/>
          </w:tcPr>
          <w:p>
            <w:pPr>
              <w:jc w:val="center"/>
              <w:rPr>
                <w:rFonts w:hint="eastAsia" w:ascii="宋体" w:hAnsi="宋体"/>
                <w:szCs w:val="21"/>
              </w:rPr>
            </w:pPr>
          </w:p>
        </w:tc>
        <w:tc>
          <w:tcPr>
            <w:tcW w:w="1203" w:type="dxa"/>
            <w:noWrap w:val="0"/>
            <w:vAlign w:val="center"/>
          </w:tcPr>
          <w:p>
            <w:pPr>
              <w:jc w:val="center"/>
              <w:rPr>
                <w:rFonts w:hint="eastAsia" w:ascii="宋体" w:hAnsi="宋体"/>
                <w:szCs w:val="21"/>
              </w:rPr>
            </w:pPr>
          </w:p>
        </w:tc>
        <w:tc>
          <w:tcPr>
            <w:tcW w:w="2318" w:type="dxa"/>
            <w:noWrap w:val="0"/>
            <w:vAlign w:val="center"/>
          </w:tcPr>
          <w:p>
            <w:pPr>
              <w:jc w:val="center"/>
              <w:rPr>
                <w:rFonts w:hint="eastAsia" w:ascii="宋体" w:hAnsi="宋体"/>
                <w:szCs w:val="21"/>
              </w:rPr>
            </w:pPr>
          </w:p>
        </w:tc>
        <w:tc>
          <w:tcPr>
            <w:tcW w:w="2911"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3" w:hRule="atLeast"/>
        </w:trPr>
        <w:tc>
          <w:tcPr>
            <w:tcW w:w="2093" w:type="dxa"/>
            <w:noWrap w:val="0"/>
            <w:vAlign w:val="center"/>
          </w:tcPr>
          <w:p>
            <w:pPr>
              <w:jc w:val="center"/>
              <w:rPr>
                <w:rFonts w:hint="eastAsia" w:ascii="宋体" w:hAnsi="宋体"/>
                <w:szCs w:val="21"/>
              </w:rPr>
            </w:pPr>
            <w:r>
              <w:rPr>
                <w:rFonts w:hint="eastAsia" w:ascii="宋体" w:hAnsi="宋体"/>
              </w:rPr>
              <w:t>八、管理费</w:t>
            </w:r>
          </w:p>
        </w:tc>
        <w:tc>
          <w:tcPr>
            <w:tcW w:w="1012" w:type="dxa"/>
            <w:noWrap w:val="0"/>
            <w:vAlign w:val="center"/>
          </w:tcPr>
          <w:p>
            <w:pPr>
              <w:jc w:val="center"/>
              <w:rPr>
                <w:rFonts w:hint="eastAsia" w:ascii="宋体" w:hAnsi="宋体"/>
                <w:szCs w:val="21"/>
              </w:rPr>
            </w:pPr>
          </w:p>
        </w:tc>
        <w:tc>
          <w:tcPr>
            <w:tcW w:w="1203" w:type="dxa"/>
            <w:noWrap w:val="0"/>
            <w:vAlign w:val="center"/>
          </w:tcPr>
          <w:p>
            <w:pPr>
              <w:jc w:val="center"/>
              <w:rPr>
                <w:rFonts w:hint="eastAsia" w:ascii="宋体" w:hAnsi="宋体"/>
                <w:szCs w:val="21"/>
              </w:rPr>
            </w:pPr>
          </w:p>
        </w:tc>
        <w:tc>
          <w:tcPr>
            <w:tcW w:w="2318" w:type="dxa"/>
            <w:noWrap w:val="0"/>
            <w:vAlign w:val="center"/>
          </w:tcPr>
          <w:p>
            <w:pPr>
              <w:jc w:val="center"/>
              <w:rPr>
                <w:rFonts w:hint="eastAsia" w:ascii="宋体" w:hAnsi="宋体"/>
                <w:szCs w:val="21"/>
              </w:rPr>
            </w:pPr>
          </w:p>
        </w:tc>
        <w:tc>
          <w:tcPr>
            <w:tcW w:w="2911"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3" w:hRule="atLeast"/>
        </w:trPr>
        <w:tc>
          <w:tcPr>
            <w:tcW w:w="2093" w:type="dxa"/>
            <w:noWrap w:val="0"/>
            <w:vAlign w:val="center"/>
          </w:tcPr>
          <w:p>
            <w:pPr>
              <w:jc w:val="center"/>
              <w:rPr>
                <w:rFonts w:hint="eastAsia" w:ascii="宋体" w:hAnsi="宋体"/>
                <w:szCs w:val="21"/>
              </w:rPr>
            </w:pPr>
            <w:r>
              <w:rPr>
                <w:rFonts w:hint="eastAsia" w:ascii="宋体" w:hAnsi="宋体"/>
                <w:szCs w:val="21"/>
              </w:rPr>
              <w:t>九</w:t>
            </w:r>
            <w:r>
              <w:rPr>
                <w:rFonts w:hint="eastAsia" w:ascii="宋体" w:hAnsi="宋体"/>
              </w:rPr>
              <w:t>、税金</w:t>
            </w:r>
          </w:p>
        </w:tc>
        <w:tc>
          <w:tcPr>
            <w:tcW w:w="1012" w:type="dxa"/>
            <w:noWrap w:val="0"/>
            <w:vAlign w:val="center"/>
          </w:tcPr>
          <w:p>
            <w:pPr>
              <w:jc w:val="center"/>
              <w:rPr>
                <w:rFonts w:hint="eastAsia" w:ascii="宋体" w:hAnsi="宋体"/>
                <w:szCs w:val="21"/>
              </w:rPr>
            </w:pPr>
          </w:p>
        </w:tc>
        <w:tc>
          <w:tcPr>
            <w:tcW w:w="1203" w:type="dxa"/>
            <w:noWrap w:val="0"/>
            <w:vAlign w:val="center"/>
          </w:tcPr>
          <w:p>
            <w:pPr>
              <w:jc w:val="center"/>
              <w:rPr>
                <w:rFonts w:hint="eastAsia" w:ascii="宋体" w:hAnsi="宋体"/>
                <w:szCs w:val="21"/>
              </w:rPr>
            </w:pPr>
          </w:p>
        </w:tc>
        <w:tc>
          <w:tcPr>
            <w:tcW w:w="2318" w:type="dxa"/>
            <w:noWrap w:val="0"/>
            <w:vAlign w:val="center"/>
          </w:tcPr>
          <w:p>
            <w:pPr>
              <w:jc w:val="center"/>
              <w:rPr>
                <w:rFonts w:hint="eastAsia" w:ascii="宋体" w:hAnsi="宋体"/>
                <w:szCs w:val="21"/>
              </w:rPr>
            </w:pPr>
          </w:p>
        </w:tc>
        <w:tc>
          <w:tcPr>
            <w:tcW w:w="2911"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3" w:hRule="atLeast"/>
        </w:trPr>
        <w:tc>
          <w:tcPr>
            <w:tcW w:w="2093" w:type="dxa"/>
            <w:noWrap w:val="0"/>
            <w:vAlign w:val="center"/>
          </w:tcPr>
          <w:p>
            <w:pPr>
              <w:jc w:val="center"/>
              <w:rPr>
                <w:rFonts w:hint="eastAsia" w:ascii="宋体" w:hAnsi="宋体"/>
                <w:szCs w:val="21"/>
              </w:rPr>
            </w:pPr>
            <w:r>
              <w:rPr>
                <w:rFonts w:hint="eastAsia" w:ascii="宋体" w:hAnsi="宋体"/>
                <w:szCs w:val="21"/>
              </w:rPr>
              <w:t>月报价合计</w:t>
            </w:r>
            <w:r>
              <w:rPr>
                <w:rFonts w:hint="eastAsia" w:ascii="宋体" w:hAnsi="宋体"/>
              </w:rPr>
              <w:t>(元)：</w:t>
            </w:r>
          </w:p>
        </w:tc>
        <w:tc>
          <w:tcPr>
            <w:tcW w:w="1012" w:type="dxa"/>
            <w:noWrap w:val="0"/>
            <w:vAlign w:val="center"/>
          </w:tcPr>
          <w:p>
            <w:pPr>
              <w:jc w:val="center"/>
              <w:rPr>
                <w:rFonts w:hint="eastAsia" w:ascii="宋体" w:hAnsi="宋体"/>
                <w:szCs w:val="21"/>
              </w:rPr>
            </w:pPr>
          </w:p>
        </w:tc>
        <w:tc>
          <w:tcPr>
            <w:tcW w:w="3521" w:type="dxa"/>
            <w:gridSpan w:val="2"/>
            <w:noWrap w:val="0"/>
            <w:vAlign w:val="center"/>
          </w:tcPr>
          <w:p>
            <w:pPr>
              <w:jc w:val="left"/>
              <w:rPr>
                <w:rFonts w:hint="eastAsia" w:ascii="宋体" w:hAnsi="宋体"/>
                <w:szCs w:val="21"/>
              </w:rPr>
            </w:pPr>
            <w:r>
              <w:rPr>
                <w:rFonts w:hint="eastAsia" w:ascii="宋体" w:hAnsi="宋体"/>
                <w:szCs w:val="21"/>
              </w:rPr>
              <w:t>人民币:</w:t>
            </w:r>
          </w:p>
        </w:tc>
        <w:tc>
          <w:tcPr>
            <w:tcW w:w="2911" w:type="dxa"/>
            <w:noWrap w:val="0"/>
            <w:vAlign w:val="center"/>
          </w:tcPr>
          <w:p>
            <w:pPr>
              <w:jc w:val="left"/>
              <w:rPr>
                <w:rFonts w:hint="eastAsia" w:ascii="宋体" w:hAnsi="宋体"/>
                <w:szCs w:val="21"/>
              </w:rPr>
            </w:pPr>
            <w:r>
              <w:rPr>
                <w:rFonts w:hint="eastAsia" w:ascii="宋体" w:hAnsi="宋体"/>
                <w:szCs w:val="21"/>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6" w:hRule="atLeast"/>
        </w:trPr>
        <w:tc>
          <w:tcPr>
            <w:tcW w:w="2093" w:type="dxa"/>
            <w:noWrap w:val="0"/>
            <w:vAlign w:val="center"/>
          </w:tcPr>
          <w:p>
            <w:pPr>
              <w:jc w:val="center"/>
              <w:rPr>
                <w:rFonts w:hint="eastAsia" w:ascii="宋体" w:hAnsi="宋体"/>
              </w:rPr>
            </w:pPr>
            <w:r>
              <w:rPr>
                <w:rFonts w:hint="eastAsia" w:ascii="宋体" w:hAnsi="宋体"/>
              </w:rPr>
              <w:t>年度总价 (元)：</w:t>
            </w:r>
          </w:p>
          <w:p>
            <w:pPr>
              <w:jc w:val="center"/>
              <w:rPr>
                <w:rFonts w:hint="eastAsia" w:ascii="宋体" w:hAnsi="宋体"/>
                <w:szCs w:val="21"/>
              </w:rPr>
            </w:pPr>
            <w:r>
              <w:rPr>
                <w:rFonts w:hint="eastAsia" w:ascii="宋体" w:hAnsi="宋体"/>
              </w:rPr>
              <w:t>以上月报价×12个月</w:t>
            </w:r>
          </w:p>
        </w:tc>
        <w:tc>
          <w:tcPr>
            <w:tcW w:w="1012" w:type="dxa"/>
            <w:noWrap w:val="0"/>
            <w:vAlign w:val="center"/>
          </w:tcPr>
          <w:p>
            <w:pPr>
              <w:jc w:val="center"/>
              <w:rPr>
                <w:rFonts w:hint="eastAsia" w:ascii="宋体" w:hAnsi="宋体"/>
                <w:szCs w:val="21"/>
              </w:rPr>
            </w:pPr>
          </w:p>
        </w:tc>
        <w:tc>
          <w:tcPr>
            <w:tcW w:w="3521" w:type="dxa"/>
            <w:gridSpan w:val="2"/>
            <w:noWrap w:val="0"/>
            <w:vAlign w:val="center"/>
          </w:tcPr>
          <w:p>
            <w:pPr>
              <w:jc w:val="left"/>
              <w:rPr>
                <w:rFonts w:hint="eastAsia" w:ascii="宋体" w:hAnsi="宋体"/>
                <w:szCs w:val="21"/>
              </w:rPr>
            </w:pPr>
            <w:r>
              <w:rPr>
                <w:rFonts w:hint="eastAsia" w:ascii="宋体" w:hAnsi="宋体"/>
                <w:szCs w:val="21"/>
              </w:rPr>
              <w:t>人民币:</w:t>
            </w:r>
          </w:p>
        </w:tc>
        <w:tc>
          <w:tcPr>
            <w:tcW w:w="2911" w:type="dxa"/>
            <w:noWrap w:val="0"/>
            <w:vAlign w:val="center"/>
          </w:tcPr>
          <w:p>
            <w:pPr>
              <w:jc w:val="left"/>
              <w:rPr>
                <w:rFonts w:hint="eastAsia" w:ascii="宋体" w:hAnsi="宋体"/>
                <w:szCs w:val="21"/>
              </w:rPr>
            </w:pPr>
            <w:r>
              <w:rPr>
                <w:rFonts w:hint="eastAsia" w:ascii="宋体" w:hAnsi="宋体"/>
                <w:szCs w:val="21"/>
              </w:rPr>
              <w:t>大写:</w:t>
            </w:r>
          </w:p>
        </w:tc>
      </w:tr>
    </w:tbl>
    <w:p>
      <w:pPr>
        <w:spacing w:line="600" w:lineRule="exact"/>
        <w:rPr>
          <w:rFonts w:hint="eastAsia" w:ascii="宋体" w:hAnsi="宋体"/>
          <w:sz w:val="24"/>
        </w:rPr>
      </w:pPr>
    </w:p>
    <w:tbl>
      <w:tblPr>
        <w:tblStyle w:val="41"/>
        <w:tblW w:w="0" w:type="auto"/>
        <w:jc w:val="center"/>
        <w:tblLayout w:type="fixed"/>
        <w:tblCellMar>
          <w:top w:w="0" w:type="dxa"/>
          <w:left w:w="108" w:type="dxa"/>
          <w:bottom w:w="0" w:type="dxa"/>
          <w:right w:w="108" w:type="dxa"/>
        </w:tblCellMar>
      </w:tblPr>
      <w:tblGrid>
        <w:gridCol w:w="867"/>
        <w:gridCol w:w="8519"/>
      </w:tblGrid>
      <w:tr>
        <w:tblPrEx>
          <w:tblCellMar>
            <w:top w:w="0" w:type="dxa"/>
            <w:left w:w="108" w:type="dxa"/>
            <w:bottom w:w="0" w:type="dxa"/>
            <w:right w:w="108" w:type="dxa"/>
          </w:tblCellMar>
        </w:tblPrEx>
        <w:trPr>
          <w:wBefore w:w="0" w:type="dxa"/>
          <w:wAfter w:w="0" w:type="dxa"/>
          <w:trHeight w:val="718" w:hRule="atLeast"/>
          <w:jc w:val="center"/>
        </w:trPr>
        <w:tc>
          <w:tcPr>
            <w:tcW w:w="867"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pacing w:line="400" w:lineRule="exact"/>
              <w:jc w:val="center"/>
              <w:textAlignment w:val="bottom"/>
              <w:rPr>
                <w:rFonts w:ascii="宋体" w:hAnsi="宋体" w:cs="Arial"/>
                <w:sz w:val="22"/>
                <w:szCs w:val="22"/>
              </w:rPr>
            </w:pPr>
            <w:r>
              <w:rPr>
                <w:rFonts w:ascii="宋体" w:hAnsi="宋体"/>
                <w:b/>
                <w:sz w:val="24"/>
                <w:u w:val="single"/>
              </w:rPr>
              <w:br w:type="page"/>
            </w:r>
            <w:r>
              <w:rPr>
                <w:rFonts w:hint="eastAsia" w:ascii="宋体" w:hAnsi="宋体" w:cs="Arial"/>
                <w:sz w:val="22"/>
                <w:szCs w:val="22"/>
              </w:rPr>
              <w:t>序号</w:t>
            </w:r>
          </w:p>
        </w:tc>
        <w:tc>
          <w:tcPr>
            <w:tcW w:w="8519"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400" w:lineRule="exact"/>
              <w:jc w:val="center"/>
              <w:textAlignment w:val="bottom"/>
              <w:rPr>
                <w:rFonts w:ascii="宋体" w:hAnsi="宋体" w:cs="Arial"/>
                <w:sz w:val="22"/>
                <w:szCs w:val="22"/>
              </w:rPr>
            </w:pPr>
            <w:r>
              <w:rPr>
                <w:rFonts w:hint="eastAsia" w:ascii="宋体" w:hAnsi="宋体" w:cs="Arial"/>
                <w:sz w:val="22"/>
                <w:szCs w:val="22"/>
              </w:rPr>
              <w:t>报价要求</w:t>
            </w:r>
          </w:p>
        </w:tc>
      </w:tr>
      <w:tr>
        <w:tblPrEx>
          <w:tblCellMar>
            <w:top w:w="0" w:type="dxa"/>
            <w:left w:w="108" w:type="dxa"/>
            <w:bottom w:w="0" w:type="dxa"/>
            <w:right w:w="108" w:type="dxa"/>
          </w:tblCellMar>
        </w:tblPrEx>
        <w:trPr>
          <w:wBefore w:w="0" w:type="dxa"/>
          <w:wAfter w:w="0" w:type="dxa"/>
          <w:trHeight w:val="448" w:hRule="atLeast"/>
          <w:jc w:val="center"/>
        </w:trPr>
        <w:tc>
          <w:tcPr>
            <w:tcW w:w="867"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pacing w:line="400" w:lineRule="exact"/>
              <w:jc w:val="center"/>
              <w:textAlignment w:val="bottom"/>
              <w:rPr>
                <w:rFonts w:hint="eastAsia" w:ascii="宋体" w:hAnsi="宋体" w:cs="Arial"/>
                <w:sz w:val="22"/>
                <w:szCs w:val="22"/>
              </w:rPr>
            </w:pPr>
            <w:r>
              <w:rPr>
                <w:rFonts w:hint="eastAsia" w:ascii="宋体" w:hAnsi="宋体" w:cs="Arial"/>
                <w:sz w:val="22"/>
                <w:szCs w:val="22"/>
              </w:rPr>
              <w:t>1</w:t>
            </w:r>
          </w:p>
        </w:tc>
        <w:tc>
          <w:tcPr>
            <w:tcW w:w="8519" w:type="dxa"/>
            <w:tcBorders>
              <w:top w:val="single" w:color="auto" w:sz="4" w:space="0"/>
              <w:left w:val="nil"/>
              <w:bottom w:val="single" w:color="auto" w:sz="4" w:space="0"/>
              <w:right w:val="single" w:color="auto" w:sz="4" w:space="0"/>
            </w:tcBorders>
            <w:noWrap w:val="0"/>
            <w:vAlign w:val="top"/>
          </w:tcPr>
          <w:p>
            <w:pPr>
              <w:widowControl/>
              <w:autoSpaceDE w:val="0"/>
              <w:autoSpaceDN w:val="0"/>
              <w:adjustRightInd w:val="0"/>
              <w:spacing w:line="400" w:lineRule="exact"/>
              <w:textAlignment w:val="bottom"/>
              <w:rPr>
                <w:rFonts w:ascii="宋体" w:hAnsi="宋体" w:cs="Arial"/>
                <w:sz w:val="22"/>
                <w:szCs w:val="22"/>
              </w:rPr>
            </w:pPr>
            <w:r>
              <w:rPr>
                <w:rFonts w:hint="eastAsia" w:ascii="宋体" w:hAnsi="宋体" w:cs="Arial"/>
                <w:sz w:val="22"/>
                <w:szCs w:val="22"/>
              </w:rPr>
              <w:t>结合本项目具体情况，要求本次供应商员工基本工资最低不得低于绍兴市本年度最低工资标准的110%（浙政办发[2009]190号）（最低月工资标准1800元/月绍政发[2017]29号）（最低工资不包括下列四项收入：延长工作时间的工资；高温、低温、有毒有害等特殊工作环境、条件下的津贴；贴补伙食、住房等支付给劳动者的非货币性收入；法律、法规和国家规定的劳动者应当享受的福利待遇等）。本项目最低工资标准为每人每月1800*110%=1980元人民币.</w:t>
            </w:r>
          </w:p>
        </w:tc>
      </w:tr>
      <w:tr>
        <w:tblPrEx>
          <w:tblCellMar>
            <w:top w:w="0" w:type="dxa"/>
            <w:left w:w="108" w:type="dxa"/>
            <w:bottom w:w="0" w:type="dxa"/>
            <w:right w:w="108" w:type="dxa"/>
          </w:tblCellMar>
        </w:tblPrEx>
        <w:trPr>
          <w:wBefore w:w="0" w:type="dxa"/>
          <w:wAfter w:w="0" w:type="dxa"/>
          <w:trHeight w:val="448" w:hRule="atLeast"/>
          <w:jc w:val="center"/>
        </w:trPr>
        <w:tc>
          <w:tcPr>
            <w:tcW w:w="867"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pacing w:line="400" w:lineRule="exact"/>
              <w:jc w:val="center"/>
              <w:textAlignment w:val="bottom"/>
              <w:rPr>
                <w:rFonts w:hint="eastAsia" w:ascii="宋体" w:hAnsi="宋体" w:cs="Arial"/>
                <w:sz w:val="22"/>
                <w:szCs w:val="22"/>
              </w:rPr>
            </w:pPr>
            <w:r>
              <w:rPr>
                <w:rFonts w:hint="eastAsia" w:ascii="宋体" w:hAnsi="宋体" w:cs="Arial"/>
                <w:sz w:val="22"/>
                <w:szCs w:val="22"/>
              </w:rPr>
              <w:t>2</w:t>
            </w:r>
          </w:p>
        </w:tc>
        <w:tc>
          <w:tcPr>
            <w:tcW w:w="8519" w:type="dxa"/>
            <w:tcBorders>
              <w:top w:val="single" w:color="auto" w:sz="4" w:space="0"/>
              <w:left w:val="nil"/>
              <w:bottom w:val="single" w:color="auto" w:sz="4" w:space="0"/>
              <w:right w:val="single" w:color="auto" w:sz="4" w:space="0"/>
            </w:tcBorders>
            <w:noWrap w:val="0"/>
            <w:vAlign w:val="top"/>
          </w:tcPr>
          <w:p>
            <w:pPr>
              <w:widowControl/>
              <w:autoSpaceDE w:val="0"/>
              <w:autoSpaceDN w:val="0"/>
              <w:adjustRightInd w:val="0"/>
              <w:spacing w:line="400" w:lineRule="exact"/>
              <w:textAlignment w:val="bottom"/>
              <w:rPr>
                <w:rFonts w:hint="eastAsia" w:ascii="宋体" w:hAnsi="宋体" w:cs="Arial"/>
                <w:sz w:val="22"/>
                <w:szCs w:val="22"/>
              </w:rPr>
            </w:pPr>
            <w:r>
              <w:rPr>
                <w:rFonts w:hint="eastAsia" w:ascii="宋体" w:hAnsi="宋体" w:cs="Arial"/>
                <w:sz w:val="22"/>
                <w:szCs w:val="22"/>
              </w:rPr>
              <w:t>节假日福利按年度不低于1900元计取，高温费按（浙人社发〔2014〕94号)高温津贴标准发放。</w:t>
            </w:r>
          </w:p>
        </w:tc>
      </w:tr>
      <w:tr>
        <w:tblPrEx>
          <w:tblCellMar>
            <w:top w:w="0" w:type="dxa"/>
            <w:left w:w="108" w:type="dxa"/>
            <w:bottom w:w="0" w:type="dxa"/>
            <w:right w:w="108" w:type="dxa"/>
          </w:tblCellMar>
        </w:tblPrEx>
        <w:trPr>
          <w:wBefore w:w="0" w:type="dxa"/>
          <w:wAfter w:w="0" w:type="dxa"/>
          <w:trHeight w:val="448" w:hRule="atLeast"/>
          <w:jc w:val="center"/>
        </w:trPr>
        <w:tc>
          <w:tcPr>
            <w:tcW w:w="867"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pacing w:line="400" w:lineRule="exact"/>
              <w:jc w:val="center"/>
              <w:textAlignment w:val="bottom"/>
              <w:rPr>
                <w:rFonts w:hint="eastAsia" w:ascii="宋体" w:hAnsi="宋体" w:cs="Arial"/>
                <w:sz w:val="22"/>
                <w:szCs w:val="22"/>
              </w:rPr>
            </w:pPr>
            <w:r>
              <w:rPr>
                <w:rFonts w:hint="eastAsia" w:ascii="宋体" w:hAnsi="宋体" w:cs="Arial"/>
                <w:sz w:val="22"/>
                <w:szCs w:val="22"/>
              </w:rPr>
              <w:t>3</w:t>
            </w:r>
          </w:p>
        </w:tc>
        <w:tc>
          <w:tcPr>
            <w:tcW w:w="8519" w:type="dxa"/>
            <w:tcBorders>
              <w:top w:val="single" w:color="auto" w:sz="4" w:space="0"/>
              <w:left w:val="nil"/>
              <w:bottom w:val="single" w:color="auto" w:sz="4" w:space="0"/>
              <w:right w:val="single" w:color="auto" w:sz="4" w:space="0"/>
            </w:tcBorders>
            <w:noWrap w:val="0"/>
            <w:vAlign w:val="top"/>
          </w:tcPr>
          <w:p>
            <w:pPr>
              <w:widowControl/>
              <w:autoSpaceDE w:val="0"/>
              <w:autoSpaceDN w:val="0"/>
              <w:adjustRightInd w:val="0"/>
              <w:spacing w:line="400" w:lineRule="exact"/>
              <w:textAlignment w:val="bottom"/>
              <w:rPr>
                <w:rFonts w:ascii="宋体" w:hAnsi="宋体" w:cs="Arial"/>
                <w:sz w:val="22"/>
                <w:szCs w:val="22"/>
              </w:rPr>
            </w:pPr>
            <w:r>
              <w:rPr>
                <w:rFonts w:hint="eastAsia" w:ascii="宋体" w:hAnsi="宋体" w:cs="Arial"/>
                <w:sz w:val="22"/>
                <w:szCs w:val="22"/>
              </w:rPr>
              <w:t>中标人须为职工办理职工意外伤害保险，实现100%全覆盖。职工意外伤害保险费用每人每年不少于500元。</w:t>
            </w:r>
          </w:p>
        </w:tc>
      </w:tr>
      <w:tr>
        <w:tblPrEx>
          <w:tblCellMar>
            <w:top w:w="0" w:type="dxa"/>
            <w:left w:w="108" w:type="dxa"/>
            <w:bottom w:w="0" w:type="dxa"/>
            <w:right w:w="108" w:type="dxa"/>
          </w:tblCellMar>
        </w:tblPrEx>
        <w:trPr>
          <w:wBefore w:w="0" w:type="dxa"/>
          <w:wAfter w:w="0" w:type="dxa"/>
          <w:trHeight w:val="448" w:hRule="atLeast"/>
          <w:jc w:val="center"/>
        </w:trPr>
        <w:tc>
          <w:tcPr>
            <w:tcW w:w="867"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pacing w:line="400" w:lineRule="exact"/>
              <w:jc w:val="center"/>
              <w:textAlignment w:val="bottom"/>
              <w:rPr>
                <w:rFonts w:hint="eastAsia" w:ascii="宋体" w:hAnsi="宋体" w:cs="Arial"/>
                <w:sz w:val="22"/>
                <w:szCs w:val="22"/>
              </w:rPr>
            </w:pPr>
            <w:r>
              <w:rPr>
                <w:rFonts w:hint="eastAsia" w:ascii="宋体" w:hAnsi="宋体" w:cs="Arial"/>
                <w:sz w:val="22"/>
                <w:szCs w:val="22"/>
              </w:rPr>
              <w:t>4</w:t>
            </w:r>
          </w:p>
        </w:tc>
        <w:tc>
          <w:tcPr>
            <w:tcW w:w="8519" w:type="dxa"/>
            <w:tcBorders>
              <w:top w:val="single" w:color="auto" w:sz="4" w:space="0"/>
              <w:left w:val="nil"/>
              <w:bottom w:val="single" w:color="auto" w:sz="4" w:space="0"/>
              <w:right w:val="single" w:color="auto" w:sz="4" w:space="0"/>
            </w:tcBorders>
            <w:noWrap w:val="0"/>
            <w:vAlign w:val="top"/>
          </w:tcPr>
          <w:p>
            <w:pPr>
              <w:spacing w:line="400" w:lineRule="exact"/>
              <w:rPr>
                <w:rFonts w:hint="eastAsia" w:ascii="宋体" w:hAnsi="宋体" w:cs="Arial"/>
                <w:sz w:val="22"/>
                <w:szCs w:val="22"/>
              </w:rPr>
            </w:pPr>
            <w:r>
              <w:rPr>
                <w:rFonts w:hint="eastAsia" w:ascii="宋体" w:hAnsi="宋体" w:cs="Arial"/>
                <w:sz w:val="22"/>
                <w:szCs w:val="22"/>
              </w:rPr>
              <w:t>供应商员工五险一金须按最低保洁人员数量报价，报价必须包括养老保险、医疗保险、失业保险、工伤保险、生育保险、住房公积金，且不得低于绍兴市柯桥区最低缴费基数。注：最低缴费基数</w:t>
            </w:r>
          </w:p>
          <w:p>
            <w:pPr>
              <w:spacing w:line="400" w:lineRule="exact"/>
              <w:rPr>
                <w:rFonts w:hint="eastAsia" w:ascii="宋体" w:hAnsi="宋体" w:cs="Arial"/>
                <w:sz w:val="22"/>
                <w:szCs w:val="22"/>
              </w:rPr>
            </w:pPr>
            <w:r>
              <w:rPr>
                <w:rFonts w:hint="eastAsia" w:ascii="宋体" w:hAnsi="宋体" w:cs="Arial"/>
                <w:sz w:val="22"/>
                <w:szCs w:val="22"/>
              </w:rPr>
              <w:t>养老保险基数为3322，单位须缴纳的比例为14%，即465.08元；</w:t>
            </w:r>
          </w:p>
          <w:p>
            <w:pPr>
              <w:spacing w:line="400" w:lineRule="exact"/>
              <w:rPr>
                <w:rFonts w:hint="eastAsia" w:ascii="宋体" w:hAnsi="宋体" w:cs="Arial"/>
                <w:sz w:val="22"/>
                <w:szCs w:val="22"/>
              </w:rPr>
            </w:pPr>
            <w:r>
              <w:rPr>
                <w:rFonts w:hint="eastAsia" w:ascii="宋体" w:hAnsi="宋体" w:cs="Arial"/>
                <w:sz w:val="22"/>
                <w:szCs w:val="22"/>
              </w:rPr>
              <w:t>医疗保险基数为5536，单位须缴纳的比例为5%，即276.8元；</w:t>
            </w:r>
          </w:p>
          <w:p>
            <w:pPr>
              <w:spacing w:line="400" w:lineRule="exact"/>
              <w:rPr>
                <w:rFonts w:hint="eastAsia" w:ascii="宋体" w:hAnsi="宋体" w:cs="Arial"/>
                <w:sz w:val="22"/>
                <w:szCs w:val="22"/>
              </w:rPr>
            </w:pPr>
            <w:r>
              <w:rPr>
                <w:rFonts w:hint="eastAsia" w:ascii="宋体" w:hAnsi="宋体" w:cs="Arial"/>
                <w:sz w:val="22"/>
                <w:szCs w:val="22"/>
              </w:rPr>
              <w:t>工伤保险基数为3322，单位须缴纳的比例为0.2%，即6.64元；</w:t>
            </w:r>
          </w:p>
          <w:p>
            <w:pPr>
              <w:spacing w:line="400" w:lineRule="exact"/>
              <w:rPr>
                <w:rFonts w:hint="eastAsia" w:ascii="宋体" w:hAnsi="宋体" w:cs="Arial"/>
                <w:sz w:val="22"/>
                <w:szCs w:val="22"/>
              </w:rPr>
            </w:pPr>
            <w:r>
              <w:rPr>
                <w:rFonts w:hint="eastAsia" w:ascii="宋体" w:hAnsi="宋体" w:cs="Arial"/>
                <w:sz w:val="22"/>
                <w:szCs w:val="22"/>
              </w:rPr>
              <w:t>生育保险基数为5536，单位须缴纳的比例为0.6%，即33.2元；</w:t>
            </w:r>
          </w:p>
          <w:p>
            <w:pPr>
              <w:spacing w:line="400" w:lineRule="exact"/>
              <w:rPr>
                <w:rFonts w:hint="eastAsia" w:ascii="宋体" w:hAnsi="宋体" w:cs="Arial"/>
                <w:sz w:val="22"/>
                <w:szCs w:val="22"/>
              </w:rPr>
            </w:pPr>
            <w:r>
              <w:rPr>
                <w:rFonts w:hint="eastAsia" w:ascii="宋体" w:hAnsi="宋体" w:cs="Arial"/>
                <w:sz w:val="22"/>
                <w:szCs w:val="22"/>
              </w:rPr>
              <w:t>失业保险基数为3322，单位须缴纳的比例为0.5%，即16.6元。</w:t>
            </w:r>
          </w:p>
          <w:p>
            <w:pPr>
              <w:spacing w:line="440" w:lineRule="exact"/>
              <w:rPr>
                <w:rFonts w:hint="eastAsia" w:ascii="宋体" w:hAnsi="宋体" w:cs="Arial"/>
                <w:sz w:val="22"/>
                <w:szCs w:val="22"/>
              </w:rPr>
            </w:pPr>
            <w:r>
              <w:rPr>
                <w:rFonts w:ascii="宋体" w:hAnsi="宋体" w:cs="Arial"/>
                <w:sz w:val="22"/>
                <w:szCs w:val="22"/>
              </w:rPr>
              <w:t>住房公积金基数为</w:t>
            </w:r>
            <w:r>
              <w:rPr>
                <w:rFonts w:hint="eastAsia" w:ascii="宋体" w:hAnsi="宋体" w:cs="Arial"/>
                <w:sz w:val="22"/>
                <w:szCs w:val="22"/>
              </w:rPr>
              <w:t>4</w:t>
            </w:r>
            <w:r>
              <w:rPr>
                <w:rFonts w:ascii="宋体" w:hAnsi="宋体" w:cs="Arial"/>
                <w:sz w:val="22"/>
                <w:szCs w:val="22"/>
              </w:rPr>
              <w:t>180，单位须缴纳的比例为5%，即</w:t>
            </w:r>
            <w:r>
              <w:rPr>
                <w:rFonts w:hint="eastAsia" w:ascii="宋体" w:hAnsi="宋体" w:cs="Arial"/>
                <w:sz w:val="22"/>
                <w:szCs w:val="22"/>
              </w:rPr>
              <w:t>209</w:t>
            </w:r>
            <w:r>
              <w:rPr>
                <w:rFonts w:ascii="宋体" w:hAnsi="宋体" w:cs="Arial"/>
                <w:sz w:val="22"/>
                <w:szCs w:val="22"/>
              </w:rPr>
              <w:t>元；</w:t>
            </w:r>
          </w:p>
        </w:tc>
      </w:tr>
      <w:tr>
        <w:tblPrEx>
          <w:tblCellMar>
            <w:top w:w="0" w:type="dxa"/>
            <w:left w:w="108" w:type="dxa"/>
            <w:bottom w:w="0" w:type="dxa"/>
            <w:right w:w="108" w:type="dxa"/>
          </w:tblCellMar>
        </w:tblPrEx>
        <w:trPr>
          <w:wBefore w:w="0" w:type="dxa"/>
          <w:wAfter w:w="0" w:type="dxa"/>
          <w:trHeight w:val="527" w:hRule="atLeast"/>
          <w:jc w:val="center"/>
        </w:trPr>
        <w:tc>
          <w:tcPr>
            <w:tcW w:w="867"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pacing w:line="400" w:lineRule="exact"/>
              <w:jc w:val="center"/>
              <w:textAlignment w:val="bottom"/>
              <w:rPr>
                <w:rFonts w:hint="eastAsia" w:ascii="宋体" w:hAnsi="宋体" w:cs="Arial"/>
                <w:sz w:val="22"/>
                <w:szCs w:val="22"/>
              </w:rPr>
            </w:pPr>
            <w:r>
              <w:rPr>
                <w:rFonts w:hint="eastAsia" w:ascii="宋体" w:hAnsi="宋体" w:cs="Arial"/>
                <w:sz w:val="22"/>
                <w:szCs w:val="22"/>
              </w:rPr>
              <w:t>5</w:t>
            </w:r>
          </w:p>
        </w:tc>
        <w:tc>
          <w:tcPr>
            <w:tcW w:w="8519"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400" w:lineRule="exact"/>
              <w:textAlignment w:val="bottom"/>
              <w:rPr>
                <w:rFonts w:hint="eastAsia" w:ascii="宋体" w:hAnsi="宋体" w:cs="Arial"/>
                <w:sz w:val="22"/>
                <w:szCs w:val="22"/>
              </w:rPr>
            </w:pPr>
            <w:r>
              <w:rPr>
                <w:rFonts w:hint="eastAsia" w:ascii="宋体" w:hAnsi="宋体" w:cs="Arial"/>
                <w:sz w:val="22"/>
                <w:szCs w:val="22"/>
              </w:rPr>
              <w:t>车辆折旧按法规计算。</w:t>
            </w:r>
          </w:p>
        </w:tc>
      </w:tr>
      <w:tr>
        <w:tblPrEx>
          <w:tblCellMar>
            <w:top w:w="0" w:type="dxa"/>
            <w:left w:w="108" w:type="dxa"/>
            <w:bottom w:w="0" w:type="dxa"/>
            <w:right w:w="108" w:type="dxa"/>
          </w:tblCellMar>
        </w:tblPrEx>
        <w:trPr>
          <w:wBefore w:w="0" w:type="dxa"/>
          <w:wAfter w:w="0" w:type="dxa"/>
          <w:trHeight w:val="448" w:hRule="atLeast"/>
          <w:jc w:val="center"/>
        </w:trPr>
        <w:tc>
          <w:tcPr>
            <w:tcW w:w="867"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pacing w:line="400" w:lineRule="exact"/>
              <w:jc w:val="center"/>
              <w:textAlignment w:val="bottom"/>
              <w:rPr>
                <w:rFonts w:hint="eastAsia" w:ascii="宋体" w:hAnsi="宋体" w:cs="Arial"/>
                <w:sz w:val="22"/>
                <w:szCs w:val="22"/>
              </w:rPr>
            </w:pPr>
            <w:r>
              <w:rPr>
                <w:rFonts w:hint="eastAsia" w:ascii="宋体" w:hAnsi="宋体" w:cs="Arial"/>
                <w:sz w:val="22"/>
                <w:szCs w:val="22"/>
              </w:rPr>
              <w:t>6</w:t>
            </w:r>
          </w:p>
        </w:tc>
        <w:tc>
          <w:tcPr>
            <w:tcW w:w="8519"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400" w:lineRule="exact"/>
              <w:textAlignment w:val="bottom"/>
              <w:rPr>
                <w:rFonts w:hint="eastAsia" w:ascii="宋体" w:hAnsi="宋体" w:cs="Arial"/>
                <w:sz w:val="22"/>
                <w:szCs w:val="22"/>
              </w:rPr>
            </w:pPr>
            <w:r>
              <w:rPr>
                <w:rFonts w:hint="eastAsia" w:ascii="宋体" w:hAnsi="宋体" w:cs="Arial"/>
                <w:sz w:val="22"/>
                <w:szCs w:val="22"/>
              </w:rPr>
              <w:t>车辆运行费用包含保险、维修、油耗等所有费用，提供测算依据，不合理的作无效标处理。</w:t>
            </w:r>
          </w:p>
        </w:tc>
      </w:tr>
      <w:tr>
        <w:tblPrEx>
          <w:tblCellMar>
            <w:top w:w="0" w:type="dxa"/>
            <w:left w:w="108" w:type="dxa"/>
            <w:bottom w:w="0" w:type="dxa"/>
            <w:right w:w="108" w:type="dxa"/>
          </w:tblCellMar>
        </w:tblPrEx>
        <w:trPr>
          <w:wBefore w:w="0" w:type="dxa"/>
          <w:wAfter w:w="0" w:type="dxa"/>
          <w:trHeight w:val="485" w:hRule="atLeast"/>
          <w:jc w:val="center"/>
        </w:trPr>
        <w:tc>
          <w:tcPr>
            <w:tcW w:w="867"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pacing w:line="400" w:lineRule="exact"/>
              <w:jc w:val="center"/>
              <w:textAlignment w:val="bottom"/>
              <w:rPr>
                <w:rFonts w:hint="eastAsia" w:ascii="宋体" w:hAnsi="宋体" w:cs="Arial"/>
                <w:sz w:val="22"/>
                <w:szCs w:val="22"/>
              </w:rPr>
            </w:pPr>
            <w:r>
              <w:rPr>
                <w:rFonts w:hint="eastAsia" w:ascii="宋体" w:hAnsi="宋体" w:cs="Arial"/>
                <w:sz w:val="22"/>
                <w:szCs w:val="22"/>
              </w:rPr>
              <w:t>7</w:t>
            </w:r>
          </w:p>
        </w:tc>
        <w:tc>
          <w:tcPr>
            <w:tcW w:w="8519"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400" w:lineRule="exact"/>
              <w:textAlignment w:val="bottom"/>
              <w:rPr>
                <w:rFonts w:ascii="宋体" w:hAnsi="宋体" w:cs="Arial"/>
                <w:sz w:val="22"/>
                <w:szCs w:val="22"/>
              </w:rPr>
            </w:pPr>
            <w:r>
              <w:rPr>
                <w:rFonts w:hint="eastAsia" w:ascii="宋体" w:hAnsi="宋体" w:cs="Arial"/>
                <w:sz w:val="22"/>
                <w:szCs w:val="22"/>
              </w:rPr>
              <w:t>低于上述任何一项测算标准报价的，按无效标处理。</w:t>
            </w:r>
          </w:p>
        </w:tc>
      </w:tr>
      <w:tr>
        <w:tblPrEx>
          <w:tblCellMar>
            <w:top w:w="0" w:type="dxa"/>
            <w:left w:w="108" w:type="dxa"/>
            <w:bottom w:w="0" w:type="dxa"/>
            <w:right w:w="108" w:type="dxa"/>
          </w:tblCellMar>
        </w:tblPrEx>
        <w:trPr>
          <w:wBefore w:w="0" w:type="dxa"/>
          <w:wAfter w:w="0" w:type="dxa"/>
          <w:trHeight w:val="407" w:hRule="atLeast"/>
          <w:jc w:val="center"/>
        </w:trPr>
        <w:tc>
          <w:tcPr>
            <w:tcW w:w="867"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pacing w:line="400" w:lineRule="exact"/>
              <w:jc w:val="center"/>
              <w:textAlignment w:val="bottom"/>
              <w:rPr>
                <w:rFonts w:hint="eastAsia" w:ascii="宋体" w:hAnsi="宋体" w:cs="Arial"/>
                <w:sz w:val="22"/>
                <w:szCs w:val="22"/>
              </w:rPr>
            </w:pPr>
            <w:r>
              <w:rPr>
                <w:rFonts w:hint="eastAsia" w:ascii="宋体" w:hAnsi="宋体" w:cs="Arial"/>
                <w:sz w:val="22"/>
                <w:szCs w:val="22"/>
              </w:rPr>
              <w:t>8</w:t>
            </w:r>
          </w:p>
        </w:tc>
        <w:tc>
          <w:tcPr>
            <w:tcW w:w="8519"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400" w:lineRule="exact"/>
              <w:textAlignment w:val="bottom"/>
              <w:rPr>
                <w:rFonts w:hint="eastAsia" w:ascii="宋体" w:hAnsi="宋体" w:cs="Arial"/>
                <w:sz w:val="22"/>
                <w:szCs w:val="22"/>
              </w:rPr>
            </w:pPr>
            <w:r>
              <w:rPr>
                <w:rFonts w:hint="eastAsia" w:ascii="宋体" w:hAnsi="宋体" w:cs="Arial"/>
                <w:sz w:val="22"/>
                <w:szCs w:val="22"/>
              </w:rPr>
              <w:t>本表所列月报价每一栏都必须填报数据，否则作无效标处理。总报价四舍五入到元。</w:t>
            </w:r>
          </w:p>
        </w:tc>
      </w:tr>
      <w:tr>
        <w:tblPrEx>
          <w:tblCellMar>
            <w:top w:w="0" w:type="dxa"/>
            <w:left w:w="108" w:type="dxa"/>
            <w:bottom w:w="0" w:type="dxa"/>
            <w:right w:w="108" w:type="dxa"/>
          </w:tblCellMar>
        </w:tblPrEx>
        <w:trPr>
          <w:wBefore w:w="0" w:type="dxa"/>
          <w:wAfter w:w="0" w:type="dxa"/>
          <w:trHeight w:val="413" w:hRule="atLeast"/>
          <w:jc w:val="center"/>
        </w:trPr>
        <w:tc>
          <w:tcPr>
            <w:tcW w:w="867"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pacing w:line="400" w:lineRule="exact"/>
              <w:jc w:val="center"/>
              <w:textAlignment w:val="bottom"/>
              <w:rPr>
                <w:rFonts w:hint="eastAsia" w:ascii="宋体" w:hAnsi="宋体" w:cs="Arial"/>
                <w:sz w:val="22"/>
                <w:szCs w:val="22"/>
              </w:rPr>
            </w:pPr>
            <w:r>
              <w:rPr>
                <w:rFonts w:hint="eastAsia" w:ascii="宋体" w:hAnsi="宋体" w:cs="Arial"/>
                <w:sz w:val="22"/>
                <w:szCs w:val="22"/>
              </w:rPr>
              <w:t>9</w:t>
            </w:r>
          </w:p>
        </w:tc>
        <w:tc>
          <w:tcPr>
            <w:tcW w:w="8519"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400" w:lineRule="exact"/>
              <w:textAlignment w:val="bottom"/>
              <w:rPr>
                <w:rFonts w:hint="eastAsia" w:ascii="宋体" w:hAnsi="宋体" w:cs="Arial"/>
                <w:sz w:val="22"/>
                <w:szCs w:val="22"/>
              </w:rPr>
            </w:pPr>
            <w:r>
              <w:rPr>
                <w:rFonts w:hint="eastAsia" w:ascii="宋体" w:hAnsi="宋体" w:cs="Arial"/>
                <w:sz w:val="22"/>
                <w:szCs w:val="22"/>
              </w:rPr>
              <w:t>按采购人提供的格式要求填写，格式不得随意变动，否则有可能导致投标无效。</w:t>
            </w:r>
          </w:p>
        </w:tc>
      </w:tr>
    </w:tbl>
    <w:p>
      <w:pPr>
        <w:spacing w:line="600" w:lineRule="exact"/>
        <w:rPr>
          <w:rFonts w:hint="eastAsia" w:ascii="宋体" w:hAnsi="宋体"/>
          <w:b/>
          <w:sz w:val="24"/>
        </w:rPr>
      </w:pPr>
      <w:r>
        <w:rPr>
          <w:rFonts w:hint="eastAsia" w:ascii="宋体" w:hAnsi="宋体"/>
          <w:b/>
          <w:sz w:val="24"/>
        </w:rPr>
        <w:t>注：附件中涉及的法定代表人或其委托代理人签字或盖章的内容，投标单位须盖法定代表人电子签章，如果投标单位没有法定代表人电子签章，涉及到法定代表人或其委托代理人签字或盖章的内容，投标单位可以线下签字或盖章后扫描上传。</w:t>
      </w:r>
    </w:p>
    <w:p>
      <w:pPr>
        <w:spacing w:line="500" w:lineRule="exact"/>
        <w:rPr>
          <w:rFonts w:hint="eastAsia" w:ascii="宋体" w:hAnsi="宋体"/>
          <w:sz w:val="24"/>
        </w:rPr>
      </w:pPr>
    </w:p>
    <w:p>
      <w:pPr>
        <w:spacing w:line="500" w:lineRule="exact"/>
        <w:rPr>
          <w:rFonts w:hint="eastAsia" w:ascii="宋体" w:hAnsi="宋体"/>
          <w:sz w:val="24"/>
        </w:rPr>
      </w:pPr>
      <w:r>
        <w:rPr>
          <w:rFonts w:hint="eastAsia" w:ascii="宋体" w:hAnsi="宋体"/>
          <w:sz w:val="24"/>
        </w:rPr>
        <w:t>供应商（盖章）：              法定代表人或其委托代理人（签字或盖章）：</w:t>
      </w:r>
    </w:p>
    <w:p>
      <w:pPr>
        <w:spacing w:line="500" w:lineRule="exact"/>
        <w:jc w:val="right"/>
        <w:rPr>
          <w:rFonts w:ascii="宋体" w:hAnsi="宋体"/>
          <w:sz w:val="24"/>
        </w:rPr>
        <w:sectPr>
          <w:pgSz w:w="11907" w:h="16840"/>
          <w:pgMar w:top="1134" w:right="1134" w:bottom="1134" w:left="1418" w:header="567" w:footer="567" w:gutter="0"/>
          <w:cols w:space="720" w:num="1"/>
          <w:docGrid w:linePitch="286" w:charSpace="0"/>
        </w:sectPr>
      </w:pPr>
      <w:r>
        <w:rPr>
          <w:rFonts w:hint="eastAsia" w:ascii="宋体" w:hAnsi="宋体"/>
          <w:sz w:val="24"/>
        </w:rPr>
        <w:t>年   月   日</w:t>
      </w:r>
    </w:p>
    <w:p>
      <w:pPr>
        <w:pStyle w:val="2"/>
        <w:numPr>
          <w:ilvl w:val="0"/>
          <w:numId w:val="0"/>
        </w:numPr>
        <w:tabs>
          <w:tab w:val="left" w:pos="851"/>
        </w:tabs>
        <w:spacing w:after="0"/>
        <w:rPr>
          <w:rFonts w:hint="eastAsia" w:ascii="宋体" w:hAnsi="宋体"/>
          <w:b/>
          <w:sz w:val="36"/>
          <w:szCs w:val="36"/>
        </w:rPr>
      </w:pPr>
      <w:bookmarkStart w:id="29" w:name="_Toc520290083"/>
      <w:bookmarkStart w:id="30" w:name="_Toc11855754"/>
      <w:bookmarkStart w:id="31" w:name="_Toc390673262"/>
      <w:bookmarkStart w:id="32" w:name="_Toc25589263"/>
      <w:r>
        <w:rPr>
          <w:rFonts w:hint="eastAsia" w:ascii="宋体" w:hAnsi="宋体"/>
          <w:b/>
          <w:sz w:val="36"/>
          <w:szCs w:val="36"/>
        </w:rPr>
        <w:t>附件五：</w:t>
      </w:r>
      <w:bookmarkEnd w:id="29"/>
      <w:bookmarkEnd w:id="30"/>
      <w:bookmarkEnd w:id="31"/>
      <w:r>
        <w:rPr>
          <w:rFonts w:hint="eastAsia" w:ascii="宋体" w:hAnsi="宋体"/>
          <w:b/>
          <w:sz w:val="36"/>
          <w:szCs w:val="36"/>
        </w:rPr>
        <w:t>招标文件评审办法中涉及的其他资料、材料</w:t>
      </w:r>
    </w:p>
    <w:p>
      <w:pPr>
        <w:spacing w:line="600" w:lineRule="exact"/>
        <w:jc w:val="center"/>
        <w:rPr>
          <w:rFonts w:hint="eastAsia" w:ascii="宋体" w:hAnsi="宋体"/>
          <w:bCs/>
          <w:sz w:val="28"/>
        </w:rPr>
      </w:pPr>
      <w:r>
        <w:rPr>
          <w:rFonts w:hint="eastAsia" w:ascii="宋体" w:hAnsi="宋体"/>
          <w:sz w:val="28"/>
        </w:rPr>
        <w:t>（</w:t>
      </w:r>
      <w:r>
        <w:rPr>
          <w:rFonts w:hint="eastAsia" w:hAnsi="宋体"/>
          <w:sz w:val="24"/>
        </w:rPr>
        <w:t>由投标供应商根据采购文件的要求编制，格式自拟</w:t>
      </w:r>
      <w:r>
        <w:rPr>
          <w:rFonts w:hint="eastAsia" w:ascii="宋体" w:hAnsi="宋体"/>
          <w:sz w:val="28"/>
        </w:rPr>
        <w:t>）</w:t>
      </w:r>
      <w:bookmarkStart w:id="33" w:name="_Toc170177920"/>
    </w:p>
    <w:p>
      <w:pPr>
        <w:spacing w:line="600" w:lineRule="exact"/>
        <w:ind w:firstLine="560" w:firstLineChars="200"/>
        <w:jc w:val="left"/>
        <w:rPr>
          <w:rFonts w:hint="eastAsia" w:ascii="宋体" w:hAnsi="宋体"/>
          <w:sz w:val="28"/>
        </w:rPr>
      </w:pPr>
    </w:p>
    <w:p>
      <w:pPr>
        <w:spacing w:line="600" w:lineRule="exact"/>
        <w:ind w:firstLine="3360" w:firstLineChars="1200"/>
        <w:rPr>
          <w:rFonts w:hint="eastAsia" w:ascii="宋体" w:hAnsi="宋体"/>
          <w:sz w:val="28"/>
        </w:rPr>
      </w:pPr>
    </w:p>
    <w:p>
      <w:pPr>
        <w:spacing w:line="600" w:lineRule="exact"/>
        <w:ind w:firstLine="3360" w:firstLineChars="1200"/>
        <w:rPr>
          <w:rFonts w:hint="eastAsia" w:ascii="宋体" w:hAnsi="宋体"/>
          <w:sz w:val="28"/>
        </w:rPr>
      </w:pPr>
    </w:p>
    <w:p>
      <w:pPr>
        <w:spacing w:line="600" w:lineRule="exact"/>
        <w:ind w:firstLine="3360" w:firstLineChars="1200"/>
        <w:rPr>
          <w:rFonts w:hint="eastAsia" w:ascii="宋体" w:hAnsi="宋体"/>
          <w:sz w:val="28"/>
        </w:rPr>
      </w:pPr>
    </w:p>
    <w:p>
      <w:pPr>
        <w:spacing w:line="600" w:lineRule="exact"/>
        <w:ind w:firstLine="3360" w:firstLineChars="1200"/>
        <w:rPr>
          <w:rFonts w:hint="eastAsia" w:ascii="宋体" w:hAnsi="宋体"/>
          <w:sz w:val="28"/>
        </w:rPr>
      </w:pPr>
    </w:p>
    <w:p>
      <w:pPr>
        <w:spacing w:line="600" w:lineRule="exact"/>
        <w:ind w:firstLine="3360" w:firstLineChars="1200"/>
        <w:rPr>
          <w:rFonts w:hint="eastAsia" w:ascii="宋体" w:hAnsi="宋体"/>
          <w:sz w:val="28"/>
        </w:rPr>
      </w:pPr>
    </w:p>
    <w:p>
      <w:pPr>
        <w:spacing w:line="600" w:lineRule="exact"/>
        <w:ind w:firstLine="3360" w:firstLineChars="1200"/>
        <w:rPr>
          <w:rFonts w:hint="eastAsia" w:ascii="宋体" w:hAnsi="宋体"/>
          <w:sz w:val="28"/>
        </w:rPr>
      </w:pPr>
    </w:p>
    <w:p>
      <w:pPr>
        <w:spacing w:line="600" w:lineRule="exact"/>
        <w:ind w:firstLine="3360" w:firstLineChars="1200"/>
        <w:rPr>
          <w:rFonts w:hint="eastAsia" w:ascii="宋体" w:hAnsi="宋体"/>
          <w:sz w:val="28"/>
        </w:rPr>
      </w:pPr>
    </w:p>
    <w:p>
      <w:pPr>
        <w:spacing w:line="600" w:lineRule="exact"/>
        <w:ind w:firstLine="3360" w:firstLineChars="1200"/>
        <w:rPr>
          <w:rFonts w:hint="eastAsia" w:ascii="宋体" w:hAnsi="宋体"/>
          <w:sz w:val="28"/>
        </w:rPr>
      </w:pPr>
    </w:p>
    <w:p>
      <w:pPr>
        <w:spacing w:line="600" w:lineRule="exact"/>
        <w:ind w:firstLine="3360" w:firstLineChars="1200"/>
        <w:rPr>
          <w:rFonts w:hint="eastAsia" w:ascii="宋体" w:hAnsi="宋体"/>
          <w:sz w:val="28"/>
        </w:rPr>
      </w:pPr>
    </w:p>
    <w:p>
      <w:pPr>
        <w:spacing w:line="600" w:lineRule="exact"/>
        <w:ind w:firstLine="3360" w:firstLineChars="1200"/>
        <w:rPr>
          <w:rFonts w:hint="eastAsia" w:ascii="宋体" w:hAnsi="宋体"/>
          <w:sz w:val="28"/>
        </w:rPr>
      </w:pPr>
    </w:p>
    <w:p>
      <w:pPr>
        <w:spacing w:line="600" w:lineRule="exact"/>
        <w:rPr>
          <w:rFonts w:hint="eastAsia" w:ascii="宋体" w:hAnsi="宋体"/>
          <w:sz w:val="28"/>
        </w:rPr>
      </w:pPr>
    </w:p>
    <w:p>
      <w:pPr>
        <w:spacing w:line="600" w:lineRule="exact"/>
        <w:rPr>
          <w:rFonts w:hint="eastAsia" w:ascii="宋体" w:hAnsi="宋体"/>
          <w:sz w:val="28"/>
        </w:rPr>
      </w:pPr>
    </w:p>
    <w:p>
      <w:pPr>
        <w:spacing w:line="600" w:lineRule="exact"/>
        <w:rPr>
          <w:rFonts w:hint="eastAsia" w:ascii="宋体" w:hAnsi="宋体"/>
          <w:b/>
          <w:sz w:val="24"/>
        </w:rPr>
      </w:pPr>
      <w:r>
        <w:rPr>
          <w:rFonts w:hint="eastAsia" w:ascii="宋体" w:hAnsi="宋体"/>
          <w:b/>
          <w:sz w:val="24"/>
        </w:rPr>
        <w:t>说明：附件中涉及的法定代表人或其委托代理人签字或盖章的内容，投标单位须盖法定代表人电子签章，如果投标单位没有法定代表人电子签章，涉及到法定代表人或其委托代理人签字或盖章的内容，投标单位可以线下签字或盖章后扫描上传。</w:t>
      </w:r>
    </w:p>
    <w:p>
      <w:pPr>
        <w:spacing w:line="600" w:lineRule="exact"/>
        <w:ind w:firstLine="3360" w:firstLineChars="1200"/>
        <w:rPr>
          <w:rFonts w:hint="eastAsia" w:ascii="宋体" w:hAnsi="宋体"/>
          <w:sz w:val="28"/>
        </w:rPr>
      </w:pPr>
    </w:p>
    <w:p>
      <w:pPr>
        <w:spacing w:line="600" w:lineRule="exact"/>
        <w:ind w:firstLine="3360" w:firstLineChars="1200"/>
        <w:rPr>
          <w:rFonts w:hint="eastAsia" w:ascii="宋体" w:hAnsi="宋体"/>
          <w:sz w:val="28"/>
        </w:rPr>
      </w:pPr>
    </w:p>
    <w:p>
      <w:pPr>
        <w:spacing w:line="600" w:lineRule="exact"/>
        <w:rPr>
          <w:rFonts w:hint="eastAsia" w:ascii="宋体" w:hAnsi="宋体"/>
          <w:sz w:val="28"/>
        </w:rPr>
      </w:pPr>
      <w:r>
        <w:rPr>
          <w:rFonts w:hint="eastAsia" w:ascii="宋体" w:hAnsi="宋体"/>
          <w:sz w:val="28"/>
        </w:rPr>
        <w:t>供应商（盖章）：       法定代表人或其委托代理人（签字或盖章）：</w:t>
      </w:r>
    </w:p>
    <w:p>
      <w:pPr>
        <w:spacing w:line="600" w:lineRule="exact"/>
        <w:ind w:right="560"/>
        <w:jc w:val="right"/>
        <w:rPr>
          <w:rFonts w:hint="eastAsia" w:ascii="宋体" w:hAnsi="宋体"/>
          <w:sz w:val="28"/>
        </w:rPr>
      </w:pPr>
      <w:r>
        <w:rPr>
          <w:rFonts w:hint="eastAsia" w:ascii="宋体" w:hAnsi="宋体"/>
          <w:sz w:val="28"/>
        </w:rPr>
        <w:t>年   月   日</w:t>
      </w:r>
      <w:bookmarkEnd w:id="33"/>
    </w:p>
    <w:p>
      <w:pPr>
        <w:spacing w:line="600" w:lineRule="exact"/>
        <w:ind w:right="560"/>
        <w:jc w:val="right"/>
        <w:rPr>
          <w:rFonts w:hint="eastAsia" w:ascii="宋体" w:hAnsi="宋体"/>
          <w:sz w:val="28"/>
        </w:rPr>
      </w:pPr>
    </w:p>
    <w:p>
      <w:pPr>
        <w:pStyle w:val="2"/>
        <w:keepLines/>
        <w:widowControl w:val="0"/>
        <w:numPr>
          <w:ilvl w:val="0"/>
          <w:numId w:val="0"/>
        </w:numPr>
        <w:tabs>
          <w:tab w:val="left" w:pos="851"/>
        </w:tabs>
        <w:spacing w:before="340" w:after="0" w:line="500" w:lineRule="exact"/>
        <w:rPr>
          <w:rFonts w:hint="eastAsia" w:ascii="宋体" w:hAnsi="宋体"/>
          <w:kern w:val="44"/>
          <w:szCs w:val="44"/>
        </w:rPr>
      </w:pPr>
      <w:r>
        <w:rPr>
          <w:rFonts w:hint="eastAsia" w:ascii="宋体" w:hAnsi="宋体"/>
          <w:kern w:val="44"/>
          <w:szCs w:val="44"/>
        </w:rPr>
        <w:t>附件六：</w:t>
      </w:r>
      <w:bookmarkStart w:id="34" w:name="_Toc388797087"/>
      <w:r>
        <w:rPr>
          <w:rFonts w:hint="eastAsia" w:ascii="宋体" w:hAnsi="宋体"/>
          <w:kern w:val="44"/>
          <w:szCs w:val="44"/>
        </w:rPr>
        <w:t>投标承诺书</w:t>
      </w:r>
      <w:bookmarkEnd w:id="32"/>
      <w:bookmarkEnd w:id="34"/>
    </w:p>
    <w:p>
      <w:pPr>
        <w:spacing w:line="500" w:lineRule="exact"/>
        <w:rPr>
          <w:rFonts w:hint="eastAsia" w:ascii="宋体" w:hAnsi="宋体"/>
          <w:bCs/>
          <w:sz w:val="28"/>
          <w:szCs w:val="28"/>
        </w:rPr>
      </w:pPr>
      <w:r>
        <w:rPr>
          <w:rFonts w:hint="eastAsia" w:ascii="宋体" w:hAnsi="宋体"/>
          <w:bCs/>
          <w:sz w:val="28"/>
          <w:szCs w:val="28"/>
          <w:u w:val="single"/>
        </w:rPr>
        <w:t xml:space="preserve">                     </w:t>
      </w:r>
      <w:r>
        <w:rPr>
          <w:rFonts w:hint="eastAsia" w:ascii="宋体" w:hAnsi="宋体"/>
          <w:bCs/>
          <w:sz w:val="28"/>
          <w:szCs w:val="28"/>
        </w:rPr>
        <w:t>：</w:t>
      </w:r>
    </w:p>
    <w:p>
      <w:pPr>
        <w:spacing w:line="360" w:lineRule="auto"/>
        <w:ind w:firstLine="705"/>
        <w:rPr>
          <w:rFonts w:hint="eastAsia" w:ascii="宋体" w:hAnsi="宋体"/>
          <w:sz w:val="24"/>
        </w:rPr>
      </w:pPr>
      <w:r>
        <w:rPr>
          <w:rFonts w:hint="eastAsia" w:ascii="宋体" w:hAnsi="宋体"/>
          <w:sz w:val="28"/>
          <w:szCs w:val="28"/>
        </w:rPr>
        <w:t>我公司自愿参加</w:t>
      </w:r>
      <w:r>
        <w:rPr>
          <w:rFonts w:hint="eastAsia" w:ascii="宋体" w:hAnsi="宋体"/>
          <w:sz w:val="28"/>
          <w:szCs w:val="28"/>
          <w:u w:val="single"/>
        </w:rPr>
        <w:t xml:space="preserve">          </w:t>
      </w:r>
      <w:r>
        <w:rPr>
          <w:rFonts w:hint="eastAsia" w:ascii="宋体" w:hAnsi="宋体"/>
          <w:sz w:val="28"/>
          <w:szCs w:val="28"/>
        </w:rPr>
        <w:t>项目</w:t>
      </w:r>
      <w:r>
        <w:rPr>
          <w:rFonts w:hint="eastAsia" w:ascii="宋体" w:hAnsi="宋体"/>
          <w:sz w:val="28"/>
          <w:szCs w:val="28"/>
          <w:u w:val="single"/>
        </w:rPr>
        <w:t xml:space="preserve">  </w:t>
      </w:r>
      <w:r>
        <w:rPr>
          <w:rFonts w:hint="eastAsia" w:ascii="宋体" w:hAnsi="宋体"/>
          <w:sz w:val="28"/>
          <w:szCs w:val="28"/>
        </w:rPr>
        <w:t>标段的采购</w:t>
      </w:r>
      <w:r>
        <w:rPr>
          <w:rFonts w:hint="eastAsia" w:ascii="宋体" w:hAnsi="宋体"/>
          <w:sz w:val="28"/>
        </w:rPr>
        <w:t>招标活动</w:t>
      </w:r>
      <w:r>
        <w:rPr>
          <w:rFonts w:hint="eastAsia" w:ascii="宋体" w:hAnsi="宋体"/>
          <w:sz w:val="28"/>
          <w:szCs w:val="28"/>
        </w:rPr>
        <w:t>，完全遵守采购文件的所有要求，并作如下承诺</w:t>
      </w:r>
      <w:r>
        <w:rPr>
          <w:rFonts w:hint="eastAsia" w:ascii="宋体" w:hAnsi="宋体"/>
          <w:sz w:val="24"/>
        </w:rPr>
        <w:t>：</w:t>
      </w:r>
    </w:p>
    <w:p>
      <w:pPr>
        <w:spacing w:line="360" w:lineRule="auto"/>
        <w:ind w:firstLine="600" w:firstLineChars="250"/>
        <w:rPr>
          <w:rFonts w:hint="eastAsia" w:ascii="宋体" w:hAnsi="宋体"/>
          <w:sz w:val="24"/>
          <w:u w:val="single"/>
        </w:rPr>
      </w:pPr>
      <w:r>
        <w:rPr>
          <w:rFonts w:hint="eastAsia" w:ascii="宋体" w:hAnsi="宋体"/>
          <w:sz w:val="24"/>
          <w:u w:val="single"/>
        </w:rPr>
        <w:t>1、本公司承诺按附件规定足额设置保洁管理人员，所招收的保洁人员符合国家有关法律规定，年龄不得大于65周岁。</w:t>
      </w:r>
      <w:r>
        <w:rPr>
          <w:rFonts w:ascii="宋体" w:hAnsi="宋体"/>
          <w:sz w:val="24"/>
          <w:u w:val="single"/>
        </w:rPr>
        <w:t>全员签订劳动合同或劳务协议，符合条件的须参加基本社会保险</w:t>
      </w:r>
      <w:r>
        <w:rPr>
          <w:rFonts w:hint="eastAsia" w:ascii="宋体" w:hAnsi="宋体"/>
          <w:sz w:val="24"/>
          <w:u w:val="single"/>
        </w:rPr>
        <w:t>，</w:t>
      </w:r>
      <w:r>
        <w:rPr>
          <w:rFonts w:ascii="宋体" w:hAnsi="宋体"/>
          <w:sz w:val="24"/>
          <w:u w:val="single"/>
        </w:rPr>
        <w:t>为其缴纳五险一金</w:t>
      </w:r>
      <w:r>
        <w:rPr>
          <w:rFonts w:hint="eastAsia" w:ascii="宋体" w:hAnsi="宋体"/>
          <w:sz w:val="24"/>
          <w:u w:val="single"/>
        </w:rPr>
        <w:t>。整个项目至少设置3名管理人员，并按时按月发放工资，不发生拖欠，保洁人员工资最低不得低于绍兴市最低工资标准110%。并按规定发放过节福利、高温费等各种补贴。如有未按规定缴纳五险一金，允许采购人按实扣除。</w:t>
      </w:r>
    </w:p>
    <w:p>
      <w:pPr>
        <w:spacing w:line="360" w:lineRule="auto"/>
        <w:ind w:firstLine="480"/>
        <w:rPr>
          <w:rFonts w:hint="eastAsia" w:ascii="宋体" w:hAnsi="宋体"/>
          <w:sz w:val="24"/>
          <w:u w:val="single"/>
        </w:rPr>
      </w:pPr>
      <w:r>
        <w:rPr>
          <w:rFonts w:hint="eastAsia" w:ascii="宋体" w:hAnsi="宋体"/>
          <w:sz w:val="24"/>
          <w:u w:val="single"/>
        </w:rPr>
        <w:t>2、本公司承诺优先接收环卫中心所提供车辆驾驶员，与其签订合同并保证其待遇不低于现有水平，无正当理由不得辞退。</w:t>
      </w:r>
    </w:p>
    <w:p>
      <w:pPr>
        <w:spacing w:line="360" w:lineRule="auto"/>
        <w:ind w:firstLine="480"/>
        <w:rPr>
          <w:rFonts w:hint="eastAsia" w:ascii="宋体" w:hAnsi="宋体"/>
          <w:sz w:val="24"/>
          <w:u w:val="single"/>
        </w:rPr>
      </w:pPr>
      <w:r>
        <w:rPr>
          <w:rFonts w:hint="eastAsia" w:ascii="宋体" w:hAnsi="宋体"/>
          <w:sz w:val="24"/>
          <w:u w:val="single"/>
        </w:rPr>
        <w:t>3. 本公司承诺在中标后15日内落实好管理用房及车辆工具，上报所雇用人员清单及照片，办理好意外保险手续，并将保险人员原件名单报执法局和环卫中心。如未按规定上报或上报的投保人员缺10%的，则取消中标资格，投标保证金不予退还。</w:t>
      </w:r>
    </w:p>
    <w:p>
      <w:pPr>
        <w:spacing w:line="360" w:lineRule="auto"/>
        <w:ind w:firstLine="480"/>
        <w:rPr>
          <w:rFonts w:hint="eastAsia" w:ascii="宋体" w:hAnsi="宋体"/>
          <w:sz w:val="24"/>
          <w:u w:val="single"/>
        </w:rPr>
      </w:pPr>
      <w:r>
        <w:rPr>
          <w:rFonts w:hint="eastAsia" w:ascii="宋体" w:hAnsi="宋体"/>
          <w:sz w:val="24"/>
          <w:u w:val="single"/>
        </w:rPr>
        <w:t>4、本公司承诺服从考核检查组、数字城管及区环卫中心督查人员对各中标公司道路保洁工作的考核及扣款。</w:t>
      </w:r>
    </w:p>
    <w:p>
      <w:pPr>
        <w:spacing w:line="360" w:lineRule="auto"/>
        <w:ind w:firstLine="480" w:firstLineChars="200"/>
        <w:rPr>
          <w:rFonts w:hint="eastAsia" w:ascii="宋体" w:hAnsi="宋体"/>
          <w:sz w:val="24"/>
          <w:u w:val="single"/>
        </w:rPr>
      </w:pPr>
      <w:r>
        <w:rPr>
          <w:rFonts w:hint="eastAsia" w:ascii="宋体" w:hAnsi="宋体"/>
          <w:sz w:val="24"/>
        </w:rPr>
        <w:t xml:space="preserve"> </w:t>
      </w:r>
      <w:r>
        <w:rPr>
          <w:rFonts w:hint="eastAsia" w:ascii="宋体" w:hAnsi="宋体"/>
          <w:sz w:val="24"/>
          <w:u w:val="single"/>
        </w:rPr>
        <w:t>5、本公司承诺如中标，对所发生的一切安全事故（包括由于天气（如台风）、作业受伤等引起的全部事故内容）与纠纷，全部责任由承包单位自行承担，自主负责处理解决并承担相关费用。承包单位如发生重大安全生产责任事故，区环卫中心有权无条件中止承包合同。</w:t>
      </w:r>
    </w:p>
    <w:p>
      <w:pPr>
        <w:spacing w:line="360" w:lineRule="auto"/>
        <w:ind w:firstLine="472" w:firstLineChars="196"/>
        <w:rPr>
          <w:rFonts w:hint="eastAsia" w:ascii="宋体"/>
          <w:b/>
          <w:bCs/>
          <w:sz w:val="24"/>
        </w:rPr>
      </w:pPr>
      <w:r>
        <w:rPr>
          <w:rFonts w:hint="eastAsia" w:ascii="宋体"/>
          <w:b/>
          <w:bCs/>
          <w:sz w:val="24"/>
        </w:rPr>
        <w:t>说明：附件中涉及的法定代表人或其委托代理人签字或盖章的内容，投标单位须盖法定代表人电子签章，如果投标单位没有法定代表人电子签章，涉及到法定代表人或其委托代理人签字或盖章的内容，投标单位可以线下签字或盖章后扫描上传。</w:t>
      </w:r>
    </w:p>
    <w:p>
      <w:pPr>
        <w:spacing w:line="500" w:lineRule="exact"/>
        <w:jc w:val="left"/>
        <w:rPr>
          <w:rFonts w:hint="eastAsia" w:ascii="宋体" w:hAnsi="宋体"/>
          <w:sz w:val="24"/>
        </w:rPr>
      </w:pPr>
    </w:p>
    <w:p>
      <w:pPr>
        <w:spacing w:line="500" w:lineRule="exact"/>
        <w:jc w:val="left"/>
        <w:rPr>
          <w:rFonts w:hint="eastAsia" w:ascii="宋体" w:hAnsi="宋体"/>
          <w:sz w:val="24"/>
        </w:rPr>
      </w:pPr>
      <w:r>
        <w:rPr>
          <w:rFonts w:hint="eastAsia" w:ascii="宋体" w:hAnsi="宋体"/>
          <w:sz w:val="24"/>
        </w:rPr>
        <w:t>供应商（盖章）：                   法定代表人或其委托代理人（签字或盖章）：</w:t>
      </w:r>
    </w:p>
    <w:p>
      <w:pPr>
        <w:spacing w:line="500" w:lineRule="exact"/>
        <w:ind w:right="480"/>
        <w:jc w:val="right"/>
        <w:rPr>
          <w:rFonts w:hint="eastAsia" w:ascii="宋体" w:hAnsi="宋体"/>
          <w:sz w:val="24"/>
        </w:rPr>
      </w:pPr>
      <w:r>
        <w:rPr>
          <w:rFonts w:hint="eastAsia" w:ascii="宋体" w:hAnsi="宋体"/>
          <w:sz w:val="24"/>
        </w:rPr>
        <w:t xml:space="preserve">   年   月   日</w:t>
      </w:r>
    </w:p>
    <w:p>
      <w:pPr>
        <w:spacing w:line="500" w:lineRule="exact"/>
        <w:ind w:right="560" w:firstLine="6160" w:firstLineChars="2200"/>
        <w:rPr>
          <w:rFonts w:ascii="宋体" w:hAnsi="宋体"/>
          <w:sz w:val="28"/>
          <w:szCs w:val="28"/>
        </w:rPr>
        <w:sectPr>
          <w:pgSz w:w="11907" w:h="16840"/>
          <w:pgMar w:top="1134" w:right="1134" w:bottom="1134" w:left="1418" w:header="567" w:footer="567" w:gutter="0"/>
          <w:cols w:space="720" w:num="1"/>
          <w:docGrid w:linePitch="286" w:charSpace="0"/>
        </w:sectPr>
      </w:pPr>
    </w:p>
    <w:p>
      <w:pPr>
        <w:pStyle w:val="2"/>
        <w:keepLines/>
        <w:widowControl w:val="0"/>
        <w:numPr>
          <w:ilvl w:val="0"/>
          <w:numId w:val="0"/>
        </w:numPr>
        <w:tabs>
          <w:tab w:val="left" w:pos="851"/>
        </w:tabs>
        <w:spacing w:before="340" w:after="0" w:line="500" w:lineRule="exact"/>
        <w:rPr>
          <w:rFonts w:hint="eastAsia" w:ascii="宋体" w:hAnsi="宋体"/>
          <w:kern w:val="44"/>
          <w:szCs w:val="44"/>
        </w:rPr>
      </w:pPr>
      <w:bookmarkStart w:id="35" w:name="_Toc387308402"/>
      <w:bookmarkStart w:id="36" w:name="_Toc518405413"/>
      <w:bookmarkStart w:id="37" w:name="_Toc25589264"/>
      <w:bookmarkStart w:id="38" w:name="_Toc264116928"/>
      <w:bookmarkStart w:id="39" w:name="_Toc328644410"/>
      <w:bookmarkStart w:id="40" w:name="_Toc479780524"/>
      <w:r>
        <w:rPr>
          <w:rFonts w:hint="eastAsia" w:ascii="宋体" w:hAnsi="宋体"/>
          <w:kern w:val="44"/>
          <w:szCs w:val="44"/>
        </w:rPr>
        <w:t>附件七：投标提问书</w:t>
      </w:r>
      <w:bookmarkEnd w:id="35"/>
      <w:bookmarkEnd w:id="36"/>
      <w:bookmarkEnd w:id="37"/>
    </w:p>
    <w:p>
      <w:pPr>
        <w:spacing w:line="500" w:lineRule="exact"/>
        <w:rPr>
          <w:rFonts w:hint="eastAsia" w:ascii="宋体" w:hAnsi="宋体"/>
        </w:rPr>
      </w:pPr>
    </w:p>
    <w:p>
      <w:pPr>
        <w:spacing w:line="500" w:lineRule="exact"/>
        <w:rPr>
          <w:rFonts w:hint="eastAsia" w:ascii="宋体" w:hAnsi="宋体"/>
        </w:rPr>
      </w:pPr>
      <w:r>
        <w:rPr>
          <w:rFonts w:hint="eastAsia" w:ascii="宋体" w:hAnsi="宋体"/>
        </w:rPr>
        <w:t xml:space="preserve"> </w:t>
      </w:r>
      <w:r>
        <w:rPr>
          <w:rFonts w:hint="eastAsia" w:ascii="宋体" w:hAnsi="宋体"/>
          <w:u w:val="single"/>
        </w:rPr>
        <w:t xml:space="preserve">                 </w:t>
      </w:r>
      <w:bookmarkStart w:id="41" w:name="_Toc19506"/>
      <w:r>
        <w:rPr>
          <w:rFonts w:hint="eastAsia" w:ascii="宋体" w:hAnsi="宋体"/>
        </w:rPr>
        <w:t>：</w:t>
      </w:r>
      <w:bookmarkEnd w:id="41"/>
    </w:p>
    <w:p>
      <w:pPr>
        <w:pStyle w:val="68"/>
        <w:spacing w:line="500" w:lineRule="exact"/>
        <w:ind w:firstLine="538"/>
        <w:rPr>
          <w:rFonts w:hint="eastAsia" w:ascii="宋体"/>
          <w:color w:val="auto"/>
        </w:rPr>
      </w:pPr>
      <w:bookmarkStart w:id="42" w:name="_Toc4000"/>
      <w:r>
        <w:rPr>
          <w:rFonts w:hint="eastAsia" w:ascii="宋体"/>
          <w:color w:val="auto"/>
        </w:rPr>
        <w:t xml:space="preserve"> 我们认真阅读了</w:t>
      </w:r>
      <w:r>
        <w:rPr>
          <w:rFonts w:hint="eastAsia" w:ascii="宋体"/>
          <w:color w:val="auto"/>
          <w:u w:val="single"/>
        </w:rPr>
        <w:t xml:space="preserve">                      </w:t>
      </w:r>
      <w:r>
        <w:rPr>
          <w:rFonts w:hint="eastAsia" w:ascii="宋体"/>
          <w:color w:val="auto"/>
        </w:rPr>
        <w:t>采购项目的采购文件等技术资料，并对投标的项目现场进行了踏勘，本公司愿意遵守和接受采购文件中所有的内容和条款，恪守信誉、严肃竞标规则，在不改变要求的条件下，对下列容易产生理解上歧义的条款和未明确事项，提请采购人予以澄清解答。</w:t>
      </w:r>
      <w:bookmarkEnd w:id="42"/>
    </w:p>
    <w:p>
      <w:pPr>
        <w:pStyle w:val="32"/>
        <w:spacing w:line="500" w:lineRule="exact"/>
        <w:ind w:firstLine="630"/>
        <w:rPr>
          <w:rFonts w:hint="eastAsia" w:ascii="宋体" w:hAnsi="宋体"/>
          <w:spacing w:val="20"/>
          <w:sz w:val="24"/>
        </w:rPr>
      </w:pPr>
      <w:r>
        <w:rPr>
          <w:rFonts w:hint="eastAsia" w:ascii="宋体" w:hAnsi="宋体"/>
          <w:spacing w:val="20"/>
          <w:sz w:val="24"/>
        </w:rPr>
        <w:t>需在投标中澄清、解答的问题：（可添页）</w:t>
      </w:r>
    </w:p>
    <w:p>
      <w:pPr>
        <w:pStyle w:val="32"/>
        <w:spacing w:line="500" w:lineRule="exact"/>
        <w:ind w:firstLine="630"/>
        <w:rPr>
          <w:rFonts w:hint="eastAsia" w:ascii="宋体" w:hAnsi="宋体"/>
          <w:spacing w:val="20"/>
          <w:sz w:val="24"/>
          <w:u w:val="single"/>
        </w:rPr>
      </w:pPr>
      <w:r>
        <w:rPr>
          <w:rFonts w:hint="eastAsia" w:ascii="宋体" w:hAnsi="宋体"/>
          <w:spacing w:val="20"/>
          <w:sz w:val="24"/>
        </w:rPr>
        <w:t>1、</w:t>
      </w:r>
      <w:r>
        <w:rPr>
          <w:rFonts w:hint="eastAsia" w:ascii="宋体" w:hAnsi="宋体"/>
          <w:spacing w:val="20"/>
          <w:sz w:val="24"/>
          <w:u w:val="single"/>
        </w:rPr>
        <w:t xml:space="preserve">                                             </w:t>
      </w:r>
    </w:p>
    <w:p>
      <w:pPr>
        <w:pStyle w:val="32"/>
        <w:spacing w:line="500" w:lineRule="exact"/>
        <w:ind w:firstLine="630"/>
        <w:rPr>
          <w:rFonts w:hint="eastAsia" w:ascii="宋体" w:hAnsi="宋体"/>
          <w:spacing w:val="20"/>
          <w:sz w:val="24"/>
          <w:u w:val="single"/>
        </w:rPr>
      </w:pPr>
      <w:r>
        <w:rPr>
          <w:rFonts w:hint="eastAsia" w:ascii="宋体" w:hAnsi="宋体"/>
          <w:spacing w:val="20"/>
          <w:sz w:val="24"/>
        </w:rPr>
        <w:t>2、</w:t>
      </w:r>
      <w:r>
        <w:rPr>
          <w:rFonts w:hint="eastAsia" w:ascii="宋体" w:hAnsi="宋体"/>
          <w:spacing w:val="20"/>
          <w:sz w:val="24"/>
          <w:u w:val="single"/>
        </w:rPr>
        <w:t xml:space="preserve">                                             </w:t>
      </w:r>
    </w:p>
    <w:p>
      <w:pPr>
        <w:pStyle w:val="32"/>
        <w:spacing w:line="500" w:lineRule="exact"/>
        <w:ind w:firstLine="630"/>
        <w:rPr>
          <w:rFonts w:hint="eastAsia" w:ascii="宋体" w:hAnsi="宋体"/>
          <w:spacing w:val="20"/>
          <w:sz w:val="24"/>
          <w:u w:val="single"/>
        </w:rPr>
      </w:pPr>
      <w:r>
        <w:rPr>
          <w:rFonts w:hint="eastAsia" w:ascii="宋体" w:hAnsi="宋体"/>
          <w:spacing w:val="20"/>
          <w:sz w:val="24"/>
        </w:rPr>
        <w:t>3、</w:t>
      </w:r>
      <w:r>
        <w:rPr>
          <w:rFonts w:hint="eastAsia" w:ascii="宋体" w:hAnsi="宋体"/>
          <w:spacing w:val="20"/>
          <w:sz w:val="24"/>
          <w:u w:val="single"/>
        </w:rPr>
        <w:t xml:space="preserve">                                             </w:t>
      </w:r>
    </w:p>
    <w:p>
      <w:pPr>
        <w:pStyle w:val="32"/>
        <w:spacing w:line="500" w:lineRule="exact"/>
        <w:ind w:firstLine="630"/>
        <w:rPr>
          <w:rFonts w:hint="eastAsia" w:ascii="宋体" w:hAnsi="宋体"/>
          <w:spacing w:val="20"/>
          <w:sz w:val="24"/>
          <w:u w:val="single"/>
        </w:rPr>
      </w:pPr>
      <w:r>
        <w:rPr>
          <w:rFonts w:hint="eastAsia" w:ascii="宋体" w:hAnsi="宋体"/>
          <w:spacing w:val="20"/>
          <w:sz w:val="24"/>
        </w:rPr>
        <w:t>4、</w:t>
      </w:r>
      <w:r>
        <w:rPr>
          <w:rFonts w:hint="eastAsia" w:ascii="宋体" w:hAnsi="宋体"/>
          <w:spacing w:val="20"/>
          <w:sz w:val="24"/>
          <w:u w:val="single"/>
        </w:rPr>
        <w:t xml:space="preserve">                                             </w:t>
      </w:r>
    </w:p>
    <w:p>
      <w:pPr>
        <w:pStyle w:val="32"/>
        <w:spacing w:line="500" w:lineRule="exact"/>
        <w:ind w:firstLine="630"/>
        <w:rPr>
          <w:rFonts w:hint="eastAsia" w:ascii="宋体" w:hAnsi="宋体"/>
          <w:spacing w:val="20"/>
          <w:sz w:val="24"/>
          <w:u w:val="single"/>
        </w:rPr>
      </w:pPr>
    </w:p>
    <w:p>
      <w:pPr>
        <w:pStyle w:val="32"/>
        <w:spacing w:line="500" w:lineRule="exact"/>
        <w:jc w:val="left"/>
        <w:rPr>
          <w:rFonts w:hint="eastAsia" w:ascii="宋体" w:hAnsi="宋体"/>
          <w:spacing w:val="20"/>
          <w:sz w:val="24"/>
        </w:rPr>
      </w:pPr>
      <w:r>
        <w:rPr>
          <w:rFonts w:hint="eastAsia" w:ascii="宋体"/>
          <w:b/>
          <w:bCs/>
          <w:sz w:val="24"/>
        </w:rPr>
        <w:t>说明：附件中涉及的经办人（签字）的内容，投标人可以线下签字后扫描上传。</w:t>
      </w:r>
    </w:p>
    <w:p>
      <w:pPr>
        <w:pStyle w:val="32"/>
        <w:spacing w:line="500" w:lineRule="exact"/>
        <w:jc w:val="left"/>
        <w:rPr>
          <w:rFonts w:hint="eastAsia" w:ascii="宋体" w:hAnsi="宋体"/>
          <w:spacing w:val="20"/>
          <w:sz w:val="24"/>
        </w:rPr>
      </w:pPr>
    </w:p>
    <w:p>
      <w:pPr>
        <w:pStyle w:val="32"/>
        <w:spacing w:line="500" w:lineRule="exact"/>
        <w:jc w:val="left"/>
        <w:rPr>
          <w:rFonts w:hint="eastAsia" w:ascii="宋体" w:hAnsi="宋体"/>
          <w:spacing w:val="20"/>
          <w:sz w:val="24"/>
        </w:rPr>
      </w:pPr>
    </w:p>
    <w:p>
      <w:pPr>
        <w:pStyle w:val="32"/>
        <w:spacing w:line="500" w:lineRule="exact"/>
        <w:jc w:val="left"/>
        <w:rPr>
          <w:rFonts w:hint="eastAsia" w:ascii="宋体" w:hAnsi="宋体"/>
          <w:spacing w:val="20"/>
          <w:sz w:val="24"/>
          <w:u w:val="single"/>
        </w:rPr>
      </w:pPr>
      <w:r>
        <w:rPr>
          <w:rFonts w:hint="eastAsia" w:ascii="宋体" w:hAnsi="宋体"/>
          <w:spacing w:val="20"/>
          <w:sz w:val="24"/>
        </w:rPr>
        <w:t>联系电话：</w:t>
      </w:r>
      <w:r>
        <w:rPr>
          <w:rFonts w:hint="eastAsia" w:ascii="宋体" w:hAnsi="宋体"/>
          <w:spacing w:val="20"/>
          <w:sz w:val="24"/>
          <w:u w:val="single"/>
        </w:rPr>
        <w:t xml:space="preserve">            </w:t>
      </w:r>
      <w:r>
        <w:rPr>
          <w:rFonts w:hint="eastAsia" w:ascii="宋体" w:hAnsi="宋体"/>
          <w:spacing w:val="20"/>
          <w:sz w:val="24"/>
        </w:rPr>
        <w:t xml:space="preserve">     投标供应商：（盖章）</w:t>
      </w:r>
      <w:r>
        <w:rPr>
          <w:rFonts w:hint="eastAsia" w:ascii="宋体" w:hAnsi="宋体"/>
          <w:spacing w:val="20"/>
          <w:sz w:val="24"/>
          <w:u w:val="single"/>
        </w:rPr>
        <w:t xml:space="preserve">         </w:t>
      </w:r>
    </w:p>
    <w:p>
      <w:pPr>
        <w:pStyle w:val="32"/>
        <w:spacing w:line="500" w:lineRule="exact"/>
        <w:jc w:val="left"/>
        <w:rPr>
          <w:rFonts w:hint="eastAsia" w:ascii="宋体" w:hAnsi="宋体"/>
          <w:spacing w:val="20"/>
          <w:sz w:val="24"/>
          <w:u w:val="single"/>
        </w:rPr>
      </w:pPr>
      <w:r>
        <w:rPr>
          <w:rFonts w:hint="eastAsia" w:ascii="宋体" w:hAnsi="宋体"/>
          <w:spacing w:val="20"/>
          <w:sz w:val="24"/>
        </w:rPr>
        <w:t>传   真：</w:t>
      </w:r>
      <w:r>
        <w:rPr>
          <w:rFonts w:hint="eastAsia" w:ascii="宋体" w:hAnsi="宋体"/>
          <w:spacing w:val="20"/>
          <w:sz w:val="24"/>
          <w:u w:val="single"/>
        </w:rPr>
        <w:t xml:space="preserve">             </w:t>
      </w:r>
      <w:r>
        <w:rPr>
          <w:rFonts w:hint="eastAsia" w:ascii="宋体" w:hAnsi="宋体"/>
          <w:spacing w:val="20"/>
          <w:sz w:val="24"/>
        </w:rPr>
        <w:t xml:space="preserve">     经 办 人：（签字或盖章）</w:t>
      </w:r>
      <w:r>
        <w:rPr>
          <w:rFonts w:hint="eastAsia" w:ascii="宋体" w:hAnsi="宋体"/>
          <w:spacing w:val="20"/>
          <w:sz w:val="24"/>
          <w:u w:val="single"/>
        </w:rPr>
        <w:t xml:space="preserve">         </w:t>
      </w:r>
    </w:p>
    <w:p>
      <w:pPr>
        <w:pStyle w:val="32"/>
        <w:spacing w:line="500" w:lineRule="exact"/>
        <w:jc w:val="left"/>
        <w:rPr>
          <w:rFonts w:hint="eastAsia" w:ascii="宋体" w:hAnsi="宋体"/>
          <w:spacing w:val="20"/>
          <w:sz w:val="24"/>
          <w:u w:val="single"/>
        </w:rPr>
      </w:pPr>
    </w:p>
    <w:p>
      <w:pPr>
        <w:pStyle w:val="32"/>
        <w:spacing w:line="500" w:lineRule="exact"/>
        <w:jc w:val="left"/>
        <w:rPr>
          <w:rFonts w:hint="eastAsia" w:ascii="宋体" w:hAnsi="宋体"/>
          <w:spacing w:val="20"/>
          <w:sz w:val="24"/>
          <w:u w:val="single"/>
        </w:rPr>
      </w:pPr>
    </w:p>
    <w:p>
      <w:pPr>
        <w:spacing w:line="500" w:lineRule="exact"/>
        <w:ind w:firstLine="5880" w:firstLineChars="2100"/>
        <w:rPr>
          <w:rFonts w:hint="eastAsia" w:ascii="宋体" w:hAnsi="宋体"/>
          <w:spacing w:val="20"/>
          <w:sz w:val="24"/>
        </w:rPr>
      </w:pPr>
      <w:r>
        <w:rPr>
          <w:rFonts w:hint="eastAsia" w:ascii="宋体" w:hAnsi="宋体"/>
          <w:spacing w:val="20"/>
          <w:sz w:val="24"/>
        </w:rPr>
        <w:t>年    月    日</w:t>
      </w:r>
      <w:bookmarkEnd w:id="38"/>
      <w:bookmarkEnd w:id="39"/>
    </w:p>
    <w:p>
      <w:pPr>
        <w:spacing w:line="500" w:lineRule="exact"/>
        <w:ind w:firstLine="5880" w:firstLineChars="2100"/>
        <w:rPr>
          <w:rFonts w:hint="eastAsia" w:ascii="宋体" w:hAnsi="宋体"/>
          <w:spacing w:val="20"/>
          <w:sz w:val="24"/>
        </w:rPr>
      </w:pPr>
    </w:p>
    <w:p>
      <w:pPr>
        <w:spacing w:line="600" w:lineRule="exact"/>
        <w:ind w:firstLine="472" w:firstLineChars="196"/>
        <w:rPr>
          <w:rFonts w:hint="eastAsia" w:ascii="宋体"/>
          <w:b/>
          <w:bCs/>
          <w:sz w:val="24"/>
        </w:rPr>
      </w:pPr>
    </w:p>
    <w:p>
      <w:pPr>
        <w:spacing w:line="500" w:lineRule="exact"/>
        <w:ind w:firstLine="5880" w:firstLineChars="2100"/>
        <w:rPr>
          <w:rFonts w:hint="eastAsia" w:ascii="宋体" w:hAnsi="宋体"/>
          <w:spacing w:val="20"/>
          <w:sz w:val="24"/>
        </w:rPr>
      </w:pPr>
    </w:p>
    <w:p>
      <w:pPr>
        <w:spacing w:line="500" w:lineRule="exact"/>
        <w:ind w:firstLine="5880" w:firstLineChars="2100"/>
        <w:rPr>
          <w:rFonts w:ascii="宋体" w:hAnsi="宋体"/>
          <w:spacing w:val="20"/>
          <w:sz w:val="24"/>
        </w:rPr>
        <w:sectPr>
          <w:pgSz w:w="11907" w:h="16840"/>
          <w:pgMar w:top="1134" w:right="1134" w:bottom="1134" w:left="1418" w:header="567" w:footer="567" w:gutter="0"/>
          <w:cols w:space="720" w:num="1"/>
          <w:docGrid w:linePitch="286" w:charSpace="0"/>
        </w:sectPr>
      </w:pPr>
    </w:p>
    <w:p>
      <w:pPr>
        <w:pStyle w:val="2"/>
        <w:keepLines/>
        <w:widowControl w:val="0"/>
        <w:numPr>
          <w:ilvl w:val="0"/>
          <w:numId w:val="0"/>
        </w:numPr>
        <w:tabs>
          <w:tab w:val="left" w:pos="851"/>
        </w:tabs>
        <w:spacing w:before="340" w:after="0" w:line="500" w:lineRule="exact"/>
        <w:rPr>
          <w:rFonts w:hint="eastAsia" w:ascii="宋体" w:hAnsi="宋体"/>
          <w:kern w:val="44"/>
          <w:szCs w:val="44"/>
        </w:rPr>
      </w:pPr>
      <w:bookmarkStart w:id="43" w:name="_Toc518405414"/>
      <w:bookmarkStart w:id="44" w:name="_Toc25589265"/>
      <w:r>
        <w:rPr>
          <w:rFonts w:hint="eastAsia" w:ascii="宋体" w:hAnsi="宋体"/>
          <w:kern w:val="44"/>
          <w:szCs w:val="44"/>
        </w:rPr>
        <w:t>附件八：答疑纪要</w:t>
      </w:r>
      <w:bookmarkEnd w:id="43"/>
      <w:bookmarkEnd w:id="44"/>
    </w:p>
    <w:p>
      <w:pPr>
        <w:adjustRightInd w:val="0"/>
        <w:snapToGrid w:val="0"/>
        <w:spacing w:line="500" w:lineRule="exact"/>
        <w:jc w:val="center"/>
        <w:rPr>
          <w:rFonts w:hint="eastAsia" w:ascii="宋体" w:hAnsi="宋体"/>
          <w:b/>
          <w:szCs w:val="21"/>
          <w14:shadow w14:blurRad="50800" w14:dist="38100" w14:dir="2700000" w14:sx="100000" w14:sy="100000" w14:kx="0" w14:ky="0" w14:algn="tl">
            <w14:srgbClr w14:val="000000">
              <w14:alpha w14:val="60000"/>
            </w14:srgbClr>
          </w14:shadow>
        </w:rPr>
      </w:pPr>
    </w:p>
    <w:p>
      <w:pPr>
        <w:adjustRightInd w:val="0"/>
        <w:snapToGrid w:val="0"/>
        <w:spacing w:line="500" w:lineRule="exact"/>
        <w:jc w:val="center"/>
        <w:rPr>
          <w:rFonts w:hint="eastAsia" w:ascii="宋体" w:hAnsi="宋体"/>
          <w:b/>
          <w:szCs w:val="21"/>
          <w14:shadow w14:blurRad="50800" w14:dist="38100" w14:dir="2700000" w14:sx="100000" w14:sy="100000" w14:kx="0" w14:ky="0" w14:algn="tl">
            <w14:srgbClr w14:val="000000">
              <w14:alpha w14:val="60000"/>
            </w14:srgbClr>
          </w14:shadow>
        </w:rPr>
      </w:pPr>
    </w:p>
    <w:p>
      <w:pPr>
        <w:adjustRightInd w:val="0"/>
        <w:snapToGrid w:val="0"/>
        <w:spacing w:line="500" w:lineRule="exact"/>
        <w:ind w:firstLine="482"/>
        <w:rPr>
          <w:rFonts w:hint="eastAsia" w:ascii="宋体" w:hAnsi="宋体"/>
          <w:sz w:val="24"/>
        </w:rPr>
      </w:pPr>
      <w:r>
        <w:rPr>
          <w:rFonts w:hint="eastAsia" w:ascii="宋体" w:hAnsi="宋体"/>
          <w:sz w:val="24"/>
        </w:rPr>
        <w:t>各投标供应商在研究了</w:t>
      </w:r>
      <w:r>
        <w:rPr>
          <w:rFonts w:hint="eastAsia" w:ascii="宋体" w:hAnsi="宋体"/>
          <w:sz w:val="24"/>
          <w:u w:val="single"/>
        </w:rPr>
        <w:t xml:space="preserve">                        采购</w:t>
      </w:r>
      <w:r>
        <w:rPr>
          <w:rFonts w:hint="eastAsia" w:ascii="宋体" w:hAnsi="宋体"/>
          <w:sz w:val="24"/>
        </w:rPr>
        <w:t>项目的采购文件等有关资料后，各投标供应商于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r>
        <w:rPr>
          <w:rFonts w:hint="eastAsia" w:ascii="宋体" w:hAnsi="宋体"/>
          <w:sz w:val="24"/>
          <w:u w:val="single"/>
        </w:rPr>
        <w:t>16</w:t>
      </w:r>
      <w:r>
        <w:rPr>
          <w:rFonts w:hint="eastAsia" w:ascii="宋体" w:hAnsi="宋体"/>
          <w:sz w:val="24"/>
        </w:rPr>
        <w:t>时前提交了投标提问书，现采购人对各投标供应商的提问和采购文件作如下说明：</w:t>
      </w:r>
    </w:p>
    <w:p>
      <w:pPr>
        <w:adjustRightInd w:val="0"/>
        <w:snapToGrid w:val="0"/>
        <w:spacing w:line="500" w:lineRule="exact"/>
        <w:ind w:firstLine="482"/>
        <w:rPr>
          <w:rFonts w:hint="eastAsia" w:ascii="宋体" w:hAnsi="宋体"/>
          <w:sz w:val="24"/>
        </w:rPr>
      </w:pPr>
      <w:r>
        <w:rPr>
          <w:rFonts w:hint="eastAsia" w:ascii="宋体" w:hAnsi="宋体"/>
          <w:sz w:val="24"/>
        </w:rPr>
        <w:t>一、对各投标供应商提问的回复：</w:t>
      </w:r>
    </w:p>
    <w:p>
      <w:pPr>
        <w:adjustRightInd w:val="0"/>
        <w:snapToGrid w:val="0"/>
        <w:spacing w:line="500" w:lineRule="exact"/>
        <w:ind w:firstLine="480" w:firstLineChars="200"/>
        <w:rPr>
          <w:rFonts w:hint="eastAsia" w:ascii="宋体" w:hAnsi="宋体"/>
          <w:sz w:val="24"/>
        </w:rPr>
      </w:pPr>
      <w:r>
        <w:rPr>
          <w:rFonts w:hint="eastAsia" w:ascii="宋体" w:hAnsi="宋体"/>
          <w:sz w:val="24"/>
        </w:rPr>
        <w:t xml:space="preserve">1、 </w:t>
      </w:r>
      <w:r>
        <w:rPr>
          <w:rFonts w:hint="eastAsia" w:ascii="宋体" w:hAnsi="宋体"/>
          <w:sz w:val="24"/>
          <w:u w:val="single"/>
        </w:rPr>
        <w:t xml:space="preserve">                                                </w:t>
      </w:r>
    </w:p>
    <w:p>
      <w:pPr>
        <w:adjustRightInd w:val="0"/>
        <w:snapToGrid w:val="0"/>
        <w:spacing w:line="500" w:lineRule="exact"/>
        <w:ind w:firstLine="472" w:firstLineChars="196"/>
        <w:rPr>
          <w:rFonts w:hint="eastAsia" w:ascii="宋体" w:hAnsi="宋体"/>
          <w:b/>
          <w:kern w:val="16"/>
          <w:sz w:val="24"/>
        </w:rPr>
      </w:pPr>
      <w:r>
        <w:rPr>
          <w:rFonts w:hint="eastAsia" w:ascii="宋体" w:hAnsi="宋体"/>
          <w:b/>
          <w:kern w:val="16"/>
          <w:sz w:val="24"/>
        </w:rPr>
        <w:t>答：</w:t>
      </w:r>
      <w:r>
        <w:rPr>
          <w:rFonts w:hint="eastAsia" w:ascii="宋体" w:hAnsi="宋体"/>
          <w:b/>
          <w:kern w:val="16"/>
          <w:sz w:val="24"/>
          <w:u w:val="single"/>
        </w:rPr>
        <w:t xml:space="preserve">                                                </w:t>
      </w:r>
    </w:p>
    <w:p>
      <w:pPr>
        <w:adjustRightInd w:val="0"/>
        <w:snapToGrid w:val="0"/>
        <w:spacing w:line="500" w:lineRule="exact"/>
        <w:ind w:firstLine="470" w:firstLineChars="196"/>
        <w:rPr>
          <w:rFonts w:hint="eastAsia" w:ascii="宋体" w:hAnsi="宋体"/>
          <w:sz w:val="24"/>
        </w:rPr>
      </w:pPr>
      <w:r>
        <w:rPr>
          <w:rFonts w:hint="eastAsia" w:ascii="宋体" w:hAnsi="宋体"/>
          <w:sz w:val="24"/>
        </w:rPr>
        <w:t xml:space="preserve">2、 </w:t>
      </w:r>
      <w:r>
        <w:rPr>
          <w:rFonts w:hint="eastAsia" w:ascii="宋体" w:hAnsi="宋体"/>
          <w:sz w:val="24"/>
          <w:u w:val="single"/>
        </w:rPr>
        <w:t xml:space="preserve">                                                </w:t>
      </w:r>
    </w:p>
    <w:p>
      <w:pPr>
        <w:adjustRightInd w:val="0"/>
        <w:snapToGrid w:val="0"/>
        <w:spacing w:line="500" w:lineRule="exact"/>
        <w:ind w:firstLine="472" w:firstLineChars="196"/>
        <w:rPr>
          <w:rFonts w:hint="eastAsia" w:ascii="宋体" w:hAnsi="宋体"/>
          <w:b/>
          <w:sz w:val="24"/>
        </w:rPr>
      </w:pPr>
      <w:r>
        <w:rPr>
          <w:rFonts w:hint="eastAsia" w:ascii="宋体" w:hAnsi="宋体"/>
          <w:b/>
          <w:sz w:val="24"/>
        </w:rPr>
        <w:t>答：</w:t>
      </w:r>
      <w:r>
        <w:rPr>
          <w:rFonts w:hint="eastAsia" w:ascii="宋体" w:hAnsi="宋体"/>
          <w:b/>
          <w:sz w:val="24"/>
          <w:u w:val="single"/>
        </w:rPr>
        <w:t xml:space="preserve">                                                </w:t>
      </w:r>
    </w:p>
    <w:p>
      <w:pPr>
        <w:adjustRightInd w:val="0"/>
        <w:snapToGrid w:val="0"/>
        <w:spacing w:line="500" w:lineRule="exact"/>
        <w:ind w:firstLine="472" w:firstLineChars="196"/>
        <w:rPr>
          <w:rFonts w:hint="eastAsia" w:ascii="宋体" w:hAnsi="宋体"/>
          <w:b/>
          <w:sz w:val="24"/>
        </w:rPr>
      </w:pPr>
    </w:p>
    <w:p>
      <w:pPr>
        <w:adjustRightInd w:val="0"/>
        <w:snapToGrid w:val="0"/>
        <w:spacing w:line="500" w:lineRule="exact"/>
        <w:ind w:firstLine="472" w:firstLineChars="196"/>
        <w:rPr>
          <w:rFonts w:hint="eastAsia" w:ascii="宋体" w:hAnsi="宋体"/>
          <w:b/>
          <w:sz w:val="24"/>
        </w:rPr>
      </w:pPr>
    </w:p>
    <w:p>
      <w:pPr>
        <w:adjustRightInd w:val="0"/>
        <w:snapToGrid w:val="0"/>
        <w:spacing w:line="500" w:lineRule="exact"/>
        <w:ind w:firstLine="472" w:firstLineChars="196"/>
        <w:rPr>
          <w:rFonts w:hint="eastAsia" w:ascii="宋体" w:hAnsi="宋体"/>
          <w:b/>
          <w:sz w:val="24"/>
        </w:rPr>
      </w:pPr>
    </w:p>
    <w:p>
      <w:pPr>
        <w:adjustRightInd w:val="0"/>
        <w:snapToGrid w:val="0"/>
        <w:spacing w:line="500" w:lineRule="exact"/>
        <w:ind w:firstLine="470" w:firstLineChars="196"/>
        <w:rPr>
          <w:rFonts w:hint="eastAsia" w:ascii="宋体" w:hAnsi="宋体"/>
          <w:sz w:val="24"/>
        </w:rPr>
      </w:pPr>
      <w:r>
        <w:rPr>
          <w:rFonts w:hint="eastAsia" w:ascii="宋体" w:hAnsi="宋体"/>
          <w:sz w:val="24"/>
        </w:rPr>
        <w:t>二、对采购文件补充说明如下：</w:t>
      </w:r>
    </w:p>
    <w:p>
      <w:pPr>
        <w:adjustRightInd w:val="0"/>
        <w:snapToGrid w:val="0"/>
        <w:spacing w:line="500" w:lineRule="exact"/>
        <w:ind w:firstLine="470" w:firstLineChars="196"/>
        <w:rPr>
          <w:rFonts w:hint="eastAsia" w:ascii="宋体" w:hAnsi="宋体"/>
          <w:sz w:val="24"/>
        </w:rPr>
      </w:pPr>
      <w:r>
        <w:rPr>
          <w:rFonts w:hint="eastAsia" w:ascii="宋体" w:hAnsi="宋体"/>
          <w:sz w:val="24"/>
        </w:rPr>
        <w:t>1、</w:t>
      </w:r>
      <w:r>
        <w:rPr>
          <w:rFonts w:hint="eastAsia" w:ascii="宋体" w:hAnsi="宋体"/>
          <w:sz w:val="24"/>
          <w:u w:val="single"/>
        </w:rPr>
        <w:t xml:space="preserve">                                                 </w:t>
      </w:r>
    </w:p>
    <w:p>
      <w:pPr>
        <w:adjustRightInd w:val="0"/>
        <w:snapToGrid w:val="0"/>
        <w:spacing w:line="500" w:lineRule="exact"/>
        <w:ind w:firstLine="470" w:firstLineChars="196"/>
        <w:rPr>
          <w:rFonts w:hint="eastAsia" w:ascii="宋体" w:hAnsi="宋体"/>
          <w:sz w:val="24"/>
          <w:u w:val="single"/>
        </w:rPr>
      </w:pPr>
      <w:r>
        <w:rPr>
          <w:rFonts w:hint="eastAsia" w:ascii="宋体" w:hAnsi="宋体"/>
          <w:sz w:val="24"/>
        </w:rPr>
        <w:t>2、</w:t>
      </w:r>
      <w:r>
        <w:rPr>
          <w:rFonts w:hint="eastAsia" w:ascii="宋体" w:hAnsi="宋体"/>
          <w:sz w:val="24"/>
          <w:u w:val="single"/>
        </w:rPr>
        <w:t xml:space="preserve">                                                 </w:t>
      </w:r>
    </w:p>
    <w:p>
      <w:pPr>
        <w:adjustRightInd w:val="0"/>
        <w:snapToGrid w:val="0"/>
        <w:spacing w:line="500" w:lineRule="exact"/>
        <w:ind w:firstLine="470" w:firstLineChars="196"/>
        <w:rPr>
          <w:rFonts w:hint="eastAsia" w:ascii="宋体" w:hAnsi="宋体"/>
          <w:sz w:val="24"/>
        </w:rPr>
      </w:pPr>
    </w:p>
    <w:p>
      <w:pPr>
        <w:adjustRightInd w:val="0"/>
        <w:snapToGrid w:val="0"/>
        <w:spacing w:line="500" w:lineRule="exact"/>
        <w:ind w:firstLine="470" w:firstLineChars="196"/>
        <w:rPr>
          <w:rFonts w:hint="eastAsia" w:ascii="宋体" w:hAnsi="宋体"/>
          <w:sz w:val="24"/>
        </w:rPr>
      </w:pPr>
    </w:p>
    <w:p>
      <w:pPr>
        <w:adjustRightInd w:val="0"/>
        <w:snapToGrid w:val="0"/>
        <w:spacing w:line="500" w:lineRule="exact"/>
        <w:ind w:firstLine="470" w:firstLineChars="196"/>
        <w:rPr>
          <w:rFonts w:hint="eastAsia" w:ascii="宋体" w:hAnsi="宋体"/>
          <w:sz w:val="24"/>
        </w:rPr>
      </w:pPr>
    </w:p>
    <w:p>
      <w:pPr>
        <w:adjustRightInd w:val="0"/>
        <w:snapToGrid w:val="0"/>
        <w:spacing w:line="500" w:lineRule="exact"/>
        <w:ind w:firstLine="470" w:firstLineChars="196"/>
        <w:rPr>
          <w:rFonts w:hint="eastAsia" w:ascii="宋体" w:hAnsi="宋体"/>
          <w:sz w:val="24"/>
        </w:rPr>
      </w:pPr>
    </w:p>
    <w:p>
      <w:pPr>
        <w:adjustRightInd w:val="0"/>
        <w:snapToGrid w:val="0"/>
        <w:spacing w:line="500" w:lineRule="exact"/>
        <w:ind w:right="480" w:firstLine="470" w:firstLineChars="196"/>
        <w:jc w:val="center"/>
        <w:rPr>
          <w:rFonts w:hint="eastAsia" w:ascii="宋体" w:hAnsi="宋体"/>
          <w:sz w:val="24"/>
        </w:rPr>
      </w:pPr>
      <w:r>
        <w:rPr>
          <w:rFonts w:hint="eastAsia" w:ascii="宋体" w:hAnsi="宋体"/>
          <w:sz w:val="24"/>
        </w:rPr>
        <w:t xml:space="preserve">                          采购人：</w:t>
      </w:r>
      <w:r>
        <w:rPr>
          <w:rFonts w:hint="eastAsia" w:ascii="宋体" w:hAnsi="宋体"/>
          <w:sz w:val="24"/>
          <w:u w:val="single"/>
        </w:rPr>
        <w:t xml:space="preserve">                   </w:t>
      </w:r>
      <w:r>
        <w:rPr>
          <w:rFonts w:ascii="宋体" w:hAnsi="宋体"/>
          <w:szCs w:val="21"/>
        </w:rPr>
        <w:t>（盖单位章）</w:t>
      </w:r>
    </w:p>
    <w:p>
      <w:pPr>
        <w:spacing w:line="500" w:lineRule="exact"/>
        <w:jc w:val="center"/>
        <w:rPr>
          <w:rFonts w:hint="eastAsia" w:ascii="宋体" w:hAnsi="宋体"/>
          <w:sz w:val="24"/>
        </w:rPr>
      </w:pPr>
      <w:r>
        <w:rPr>
          <w:rFonts w:hint="eastAsia" w:ascii="宋体" w:hAnsi="宋体"/>
          <w:sz w:val="24"/>
        </w:rPr>
        <w:t xml:space="preserve">                            采购代理：</w:t>
      </w:r>
      <w:r>
        <w:rPr>
          <w:rFonts w:hint="eastAsia" w:ascii="宋体" w:hAnsi="宋体"/>
          <w:sz w:val="24"/>
          <w:u w:val="single"/>
        </w:rPr>
        <w:t xml:space="preserve">                 </w:t>
      </w:r>
      <w:r>
        <w:rPr>
          <w:rFonts w:ascii="宋体" w:hAnsi="宋体"/>
          <w:szCs w:val="21"/>
        </w:rPr>
        <w:t>（盖单位章）</w:t>
      </w:r>
    </w:p>
    <w:p>
      <w:pPr>
        <w:pStyle w:val="24"/>
        <w:spacing w:line="500" w:lineRule="exact"/>
        <w:ind w:left="5250"/>
        <w:rPr>
          <w:rFonts w:hint="eastAsia" w:ascii="宋体" w:hAnsi="宋体"/>
          <w:color w:val="auto"/>
        </w:rPr>
      </w:pPr>
      <w:r>
        <w:rPr>
          <w:rFonts w:hint="eastAsia" w:ascii="宋体" w:hAnsi="宋体"/>
          <w:color w:val="auto"/>
          <w:u w:val="single"/>
        </w:rPr>
        <w:t xml:space="preserve">  </w:t>
      </w:r>
      <w:r>
        <w:rPr>
          <w:rFonts w:hint="eastAsia" w:ascii="宋体" w:hAnsi="宋体"/>
          <w:color w:val="auto"/>
        </w:rPr>
        <w:t>年</w:t>
      </w:r>
      <w:r>
        <w:rPr>
          <w:rFonts w:hint="eastAsia" w:ascii="宋体" w:hAnsi="宋体"/>
          <w:color w:val="auto"/>
          <w:u w:val="single"/>
        </w:rPr>
        <w:t xml:space="preserve">  </w:t>
      </w:r>
      <w:r>
        <w:rPr>
          <w:rFonts w:hint="eastAsia" w:ascii="宋体" w:hAnsi="宋体"/>
          <w:color w:val="auto"/>
        </w:rPr>
        <w:t>月</w:t>
      </w:r>
      <w:r>
        <w:rPr>
          <w:rFonts w:hint="eastAsia" w:ascii="宋体" w:hAnsi="宋体"/>
          <w:color w:val="auto"/>
          <w:u w:val="single"/>
        </w:rPr>
        <w:t xml:space="preserve">  </w:t>
      </w:r>
      <w:r>
        <w:rPr>
          <w:rFonts w:hint="eastAsia" w:ascii="宋体" w:hAnsi="宋体"/>
          <w:color w:val="auto"/>
        </w:rPr>
        <w:t>日</w:t>
      </w:r>
    </w:p>
    <w:p>
      <w:pPr>
        <w:spacing w:line="500" w:lineRule="exact"/>
        <w:rPr>
          <w:rFonts w:hint="eastAsia" w:ascii="宋体" w:hAnsi="宋体"/>
        </w:rPr>
      </w:pPr>
    </w:p>
    <w:p>
      <w:pPr>
        <w:spacing w:line="500" w:lineRule="exact"/>
        <w:rPr>
          <w:rFonts w:hint="eastAsia" w:ascii="宋体" w:hAnsi="宋体"/>
        </w:rPr>
      </w:pPr>
    </w:p>
    <w:p>
      <w:pPr>
        <w:spacing w:line="500" w:lineRule="exact"/>
        <w:rPr>
          <w:rFonts w:hint="eastAsia" w:ascii="宋体" w:hAnsi="宋体"/>
        </w:rPr>
      </w:pPr>
    </w:p>
    <w:p>
      <w:pPr>
        <w:pStyle w:val="2"/>
        <w:numPr>
          <w:ilvl w:val="0"/>
          <w:numId w:val="0"/>
        </w:numPr>
        <w:spacing w:after="0" w:line="500" w:lineRule="exact"/>
        <w:rPr>
          <w:rFonts w:hint="eastAsia" w:ascii="宋体" w:hAnsi="宋体"/>
          <w:kern w:val="44"/>
          <w:szCs w:val="44"/>
        </w:rPr>
      </w:pPr>
      <w:bookmarkStart w:id="45" w:name="_Toc25589266"/>
      <w:r>
        <w:rPr>
          <w:rFonts w:hint="eastAsia" w:ascii="宋体" w:hAnsi="宋体"/>
          <w:kern w:val="44"/>
          <w:szCs w:val="44"/>
        </w:rPr>
        <w:t>附件九：</w:t>
      </w:r>
      <w:r>
        <w:rPr>
          <w:rFonts w:hint="eastAsia" w:ascii="宋体" w:hAnsi="宋体"/>
        </w:rPr>
        <w:t>道路面积及工作任务清单</w:t>
      </w:r>
    </w:p>
    <w:p>
      <w:pPr>
        <w:rPr>
          <w:rFonts w:hint="eastAsia"/>
          <w:b/>
          <w:bCs/>
          <w:sz w:val="30"/>
        </w:rPr>
      </w:pPr>
    </w:p>
    <w:p>
      <w:pPr>
        <w:jc w:val="center"/>
        <w:rPr>
          <w:rFonts w:hint="eastAsia"/>
          <w:b/>
          <w:sz w:val="28"/>
        </w:rPr>
      </w:pPr>
      <w:r>
        <w:rPr>
          <w:rFonts w:hint="eastAsia"/>
          <w:b/>
          <w:bCs/>
          <w:sz w:val="30"/>
        </w:rPr>
        <w:t>Ⅰ标：柯北标段</w:t>
      </w:r>
      <w:r>
        <w:rPr>
          <w:rFonts w:hint="eastAsia" w:ascii="宋体" w:hAnsi="宋体"/>
          <w:b/>
          <w:bCs/>
          <w:sz w:val="30"/>
          <w:szCs w:val="30"/>
        </w:rPr>
        <w:t>道路面积及工作任务清单</w:t>
      </w:r>
    </w:p>
    <w:tbl>
      <w:tblPr>
        <w:tblStyle w:val="41"/>
        <w:tblW w:w="4944" w:type="pct"/>
        <w:tblInd w:w="0" w:type="dxa"/>
        <w:tblLayout w:type="fixed"/>
        <w:tblCellMar>
          <w:top w:w="0" w:type="dxa"/>
          <w:left w:w="108" w:type="dxa"/>
          <w:bottom w:w="0" w:type="dxa"/>
          <w:right w:w="108" w:type="dxa"/>
        </w:tblCellMar>
      </w:tblPr>
      <w:tblGrid>
        <w:gridCol w:w="815"/>
        <w:gridCol w:w="1277"/>
        <w:gridCol w:w="1418"/>
        <w:gridCol w:w="1136"/>
        <w:gridCol w:w="1136"/>
        <w:gridCol w:w="992"/>
        <w:gridCol w:w="846"/>
        <w:gridCol w:w="854"/>
        <w:gridCol w:w="990"/>
      </w:tblGrid>
      <w:tr>
        <w:tblPrEx>
          <w:tblCellMar>
            <w:top w:w="0" w:type="dxa"/>
            <w:left w:w="108" w:type="dxa"/>
            <w:bottom w:w="0" w:type="dxa"/>
            <w:right w:w="108" w:type="dxa"/>
          </w:tblCellMar>
        </w:tblPrEx>
        <w:trPr>
          <w:wBefore w:w="0" w:type="dxa"/>
          <w:wAfter w:w="0" w:type="dxa"/>
          <w:trHeight w:val="624" w:hRule="atLeast"/>
        </w:trPr>
        <w:tc>
          <w:tcPr>
            <w:tcW w:w="43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道路等级</w:t>
            </w:r>
          </w:p>
        </w:tc>
        <w:tc>
          <w:tcPr>
            <w:tcW w:w="675"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名称</w:t>
            </w:r>
          </w:p>
        </w:tc>
        <w:tc>
          <w:tcPr>
            <w:tcW w:w="749"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起止点</w:t>
            </w:r>
          </w:p>
        </w:tc>
        <w:tc>
          <w:tcPr>
            <w:tcW w:w="600"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长度（m）</w:t>
            </w:r>
          </w:p>
        </w:tc>
        <w:tc>
          <w:tcPr>
            <w:tcW w:w="600"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机动车道面积</w:t>
            </w:r>
          </w:p>
        </w:tc>
        <w:tc>
          <w:tcPr>
            <w:tcW w:w="524"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人行道面积</w:t>
            </w:r>
          </w:p>
        </w:tc>
        <w:tc>
          <w:tcPr>
            <w:tcW w:w="447"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退让</w:t>
            </w:r>
          </w:p>
        </w:tc>
        <w:tc>
          <w:tcPr>
            <w:tcW w:w="451"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绿化带面积</w:t>
            </w:r>
          </w:p>
        </w:tc>
        <w:tc>
          <w:tcPr>
            <w:tcW w:w="523"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总面积（m</w:t>
            </w:r>
            <w:r>
              <w:rPr>
                <w:rFonts w:hint="eastAsia" w:ascii="宋体" w:hAnsi="宋体" w:cs="宋体"/>
                <w:kern w:val="0"/>
                <w:sz w:val="22"/>
                <w:vertAlign w:val="superscript"/>
              </w:rPr>
              <w:t>2</w:t>
            </w:r>
            <w:r>
              <w:rPr>
                <w:rFonts w:hint="eastAsia" w:ascii="宋体" w:hAnsi="宋体" w:cs="宋体"/>
                <w:kern w:val="0"/>
                <w:sz w:val="22"/>
              </w:rPr>
              <w:t>）</w:t>
            </w:r>
          </w:p>
        </w:tc>
      </w:tr>
      <w:tr>
        <w:tblPrEx>
          <w:tblCellMar>
            <w:top w:w="0" w:type="dxa"/>
            <w:left w:w="108" w:type="dxa"/>
            <w:bottom w:w="0" w:type="dxa"/>
            <w:right w:w="108" w:type="dxa"/>
          </w:tblCellMar>
        </w:tblPrEx>
        <w:trPr>
          <w:wBefore w:w="0" w:type="dxa"/>
          <w:wAfter w:w="0" w:type="dxa"/>
          <w:trHeight w:val="624" w:hRule="atLeast"/>
        </w:trPr>
        <w:tc>
          <w:tcPr>
            <w:tcW w:w="431"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一级</w:t>
            </w:r>
          </w:p>
        </w:tc>
        <w:tc>
          <w:tcPr>
            <w:tcW w:w="675"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兴越路</w:t>
            </w:r>
          </w:p>
        </w:tc>
        <w:tc>
          <w:tcPr>
            <w:tcW w:w="749"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越州大道-镜水路</w:t>
            </w:r>
          </w:p>
        </w:tc>
        <w:tc>
          <w:tcPr>
            <w:tcW w:w="600"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3901</w:t>
            </w:r>
          </w:p>
        </w:tc>
        <w:tc>
          <w:tcPr>
            <w:tcW w:w="600"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102454</w:t>
            </w:r>
          </w:p>
        </w:tc>
        <w:tc>
          <w:tcPr>
            <w:tcW w:w="524"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30890</w:t>
            </w:r>
          </w:p>
        </w:tc>
        <w:tc>
          <w:tcPr>
            <w:tcW w:w="447"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41923</w:t>
            </w:r>
          </w:p>
        </w:tc>
        <w:tc>
          <w:tcPr>
            <w:tcW w:w="451"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23"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175267</w:t>
            </w:r>
          </w:p>
        </w:tc>
      </w:tr>
      <w:tr>
        <w:tblPrEx>
          <w:tblCellMar>
            <w:top w:w="0" w:type="dxa"/>
            <w:left w:w="108" w:type="dxa"/>
            <w:bottom w:w="0" w:type="dxa"/>
            <w:right w:w="108" w:type="dxa"/>
          </w:tblCellMar>
        </w:tblPrEx>
        <w:trPr>
          <w:wBefore w:w="0" w:type="dxa"/>
          <w:wAfter w:w="0" w:type="dxa"/>
          <w:trHeight w:val="624" w:hRule="atLeast"/>
        </w:trPr>
        <w:tc>
          <w:tcPr>
            <w:tcW w:w="431"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一级</w:t>
            </w:r>
          </w:p>
        </w:tc>
        <w:tc>
          <w:tcPr>
            <w:tcW w:w="675"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裕民路</w:t>
            </w:r>
          </w:p>
        </w:tc>
        <w:tc>
          <w:tcPr>
            <w:tcW w:w="749"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越州大道-镜水路</w:t>
            </w:r>
          </w:p>
        </w:tc>
        <w:tc>
          <w:tcPr>
            <w:tcW w:w="600"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3630</w:t>
            </w:r>
          </w:p>
        </w:tc>
        <w:tc>
          <w:tcPr>
            <w:tcW w:w="600"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95978</w:t>
            </w:r>
          </w:p>
        </w:tc>
        <w:tc>
          <w:tcPr>
            <w:tcW w:w="524"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19517</w:t>
            </w:r>
          </w:p>
        </w:tc>
        <w:tc>
          <w:tcPr>
            <w:tcW w:w="447"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33646</w:t>
            </w:r>
          </w:p>
        </w:tc>
        <w:tc>
          <w:tcPr>
            <w:tcW w:w="451"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23"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149140</w:t>
            </w:r>
          </w:p>
        </w:tc>
      </w:tr>
      <w:tr>
        <w:tblPrEx>
          <w:tblCellMar>
            <w:top w:w="0" w:type="dxa"/>
            <w:left w:w="108" w:type="dxa"/>
            <w:bottom w:w="0" w:type="dxa"/>
            <w:right w:w="108" w:type="dxa"/>
          </w:tblCellMar>
        </w:tblPrEx>
        <w:trPr>
          <w:wBefore w:w="0" w:type="dxa"/>
          <w:wAfter w:w="0" w:type="dxa"/>
          <w:trHeight w:val="624" w:hRule="atLeast"/>
        </w:trPr>
        <w:tc>
          <w:tcPr>
            <w:tcW w:w="431"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一级</w:t>
            </w:r>
          </w:p>
        </w:tc>
        <w:tc>
          <w:tcPr>
            <w:tcW w:w="675"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纺都路</w:t>
            </w:r>
          </w:p>
        </w:tc>
        <w:tc>
          <w:tcPr>
            <w:tcW w:w="749"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越州大道-镜水路</w:t>
            </w:r>
          </w:p>
        </w:tc>
        <w:tc>
          <w:tcPr>
            <w:tcW w:w="600"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3127</w:t>
            </w:r>
          </w:p>
        </w:tc>
        <w:tc>
          <w:tcPr>
            <w:tcW w:w="600"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81526</w:t>
            </w:r>
          </w:p>
        </w:tc>
        <w:tc>
          <w:tcPr>
            <w:tcW w:w="524"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24675</w:t>
            </w:r>
          </w:p>
        </w:tc>
        <w:tc>
          <w:tcPr>
            <w:tcW w:w="447"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35183</w:t>
            </w:r>
          </w:p>
        </w:tc>
        <w:tc>
          <w:tcPr>
            <w:tcW w:w="451"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23"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141384</w:t>
            </w:r>
          </w:p>
        </w:tc>
      </w:tr>
      <w:tr>
        <w:tblPrEx>
          <w:tblCellMar>
            <w:top w:w="0" w:type="dxa"/>
            <w:left w:w="108" w:type="dxa"/>
            <w:bottom w:w="0" w:type="dxa"/>
            <w:right w:w="108" w:type="dxa"/>
          </w:tblCellMar>
        </w:tblPrEx>
        <w:trPr>
          <w:wBefore w:w="0" w:type="dxa"/>
          <w:wAfter w:w="0" w:type="dxa"/>
          <w:trHeight w:val="624" w:hRule="atLeast"/>
        </w:trPr>
        <w:tc>
          <w:tcPr>
            <w:tcW w:w="431"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一级</w:t>
            </w:r>
          </w:p>
        </w:tc>
        <w:tc>
          <w:tcPr>
            <w:tcW w:w="675"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迎驾桥路</w:t>
            </w:r>
          </w:p>
        </w:tc>
        <w:tc>
          <w:tcPr>
            <w:tcW w:w="749"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金柯桥大道-双渎路</w:t>
            </w:r>
          </w:p>
        </w:tc>
        <w:tc>
          <w:tcPr>
            <w:tcW w:w="600"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1232</w:t>
            </w:r>
          </w:p>
        </w:tc>
        <w:tc>
          <w:tcPr>
            <w:tcW w:w="600"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20834</w:t>
            </w:r>
          </w:p>
        </w:tc>
        <w:tc>
          <w:tcPr>
            <w:tcW w:w="524"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9724</w:t>
            </w:r>
          </w:p>
        </w:tc>
        <w:tc>
          <w:tcPr>
            <w:tcW w:w="447"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8069</w:t>
            </w:r>
          </w:p>
        </w:tc>
        <w:tc>
          <w:tcPr>
            <w:tcW w:w="451"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23"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38627</w:t>
            </w:r>
          </w:p>
        </w:tc>
      </w:tr>
      <w:tr>
        <w:tblPrEx>
          <w:tblCellMar>
            <w:top w:w="0" w:type="dxa"/>
            <w:left w:w="108" w:type="dxa"/>
            <w:bottom w:w="0" w:type="dxa"/>
            <w:right w:w="108" w:type="dxa"/>
          </w:tblCellMar>
        </w:tblPrEx>
        <w:trPr>
          <w:wBefore w:w="0" w:type="dxa"/>
          <w:wAfter w:w="0" w:type="dxa"/>
          <w:trHeight w:val="624" w:hRule="atLeast"/>
        </w:trPr>
        <w:tc>
          <w:tcPr>
            <w:tcW w:w="431"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一级</w:t>
            </w:r>
          </w:p>
        </w:tc>
        <w:tc>
          <w:tcPr>
            <w:tcW w:w="675"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绸缎路</w:t>
            </w:r>
          </w:p>
        </w:tc>
        <w:tc>
          <w:tcPr>
            <w:tcW w:w="749"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民生路-金柯桥大道</w:t>
            </w:r>
          </w:p>
        </w:tc>
        <w:tc>
          <w:tcPr>
            <w:tcW w:w="600"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703</w:t>
            </w:r>
          </w:p>
        </w:tc>
        <w:tc>
          <w:tcPr>
            <w:tcW w:w="600"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18180</w:t>
            </w:r>
          </w:p>
        </w:tc>
        <w:tc>
          <w:tcPr>
            <w:tcW w:w="524"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5549</w:t>
            </w:r>
          </w:p>
        </w:tc>
        <w:tc>
          <w:tcPr>
            <w:tcW w:w="447"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1557</w:t>
            </w:r>
          </w:p>
        </w:tc>
        <w:tc>
          <w:tcPr>
            <w:tcW w:w="451"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23"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25286</w:t>
            </w:r>
          </w:p>
        </w:tc>
      </w:tr>
      <w:tr>
        <w:tblPrEx>
          <w:tblCellMar>
            <w:top w:w="0" w:type="dxa"/>
            <w:left w:w="108" w:type="dxa"/>
            <w:bottom w:w="0" w:type="dxa"/>
            <w:right w:w="108" w:type="dxa"/>
          </w:tblCellMar>
        </w:tblPrEx>
        <w:trPr>
          <w:wBefore w:w="0" w:type="dxa"/>
          <w:wAfter w:w="0" w:type="dxa"/>
          <w:trHeight w:val="624" w:hRule="atLeast"/>
        </w:trPr>
        <w:tc>
          <w:tcPr>
            <w:tcW w:w="431"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一级</w:t>
            </w:r>
          </w:p>
        </w:tc>
        <w:tc>
          <w:tcPr>
            <w:tcW w:w="675"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绸缎路</w:t>
            </w:r>
          </w:p>
        </w:tc>
        <w:tc>
          <w:tcPr>
            <w:tcW w:w="749"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湖东路-双渎路</w:t>
            </w:r>
          </w:p>
        </w:tc>
        <w:tc>
          <w:tcPr>
            <w:tcW w:w="600"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500</w:t>
            </w:r>
          </w:p>
        </w:tc>
        <w:tc>
          <w:tcPr>
            <w:tcW w:w="600"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14724</w:t>
            </w:r>
          </w:p>
        </w:tc>
        <w:tc>
          <w:tcPr>
            <w:tcW w:w="524"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3685</w:t>
            </w:r>
          </w:p>
        </w:tc>
        <w:tc>
          <w:tcPr>
            <w:tcW w:w="447"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2719</w:t>
            </w:r>
          </w:p>
        </w:tc>
        <w:tc>
          <w:tcPr>
            <w:tcW w:w="451"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23"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21128</w:t>
            </w:r>
          </w:p>
        </w:tc>
      </w:tr>
      <w:tr>
        <w:tblPrEx>
          <w:tblCellMar>
            <w:top w:w="0" w:type="dxa"/>
            <w:left w:w="108" w:type="dxa"/>
            <w:bottom w:w="0" w:type="dxa"/>
            <w:right w:w="108" w:type="dxa"/>
          </w:tblCellMar>
        </w:tblPrEx>
        <w:trPr>
          <w:wBefore w:w="0" w:type="dxa"/>
          <w:wAfter w:w="0" w:type="dxa"/>
          <w:trHeight w:val="624" w:hRule="atLeast"/>
        </w:trPr>
        <w:tc>
          <w:tcPr>
            <w:tcW w:w="431"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一级</w:t>
            </w:r>
          </w:p>
        </w:tc>
        <w:tc>
          <w:tcPr>
            <w:tcW w:w="675"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兴华路</w:t>
            </w:r>
          </w:p>
        </w:tc>
        <w:tc>
          <w:tcPr>
            <w:tcW w:w="749"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金柯桥大道-民生路</w:t>
            </w:r>
          </w:p>
        </w:tc>
        <w:tc>
          <w:tcPr>
            <w:tcW w:w="600"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640</w:t>
            </w:r>
          </w:p>
        </w:tc>
        <w:tc>
          <w:tcPr>
            <w:tcW w:w="600"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14927</w:t>
            </w:r>
          </w:p>
        </w:tc>
        <w:tc>
          <w:tcPr>
            <w:tcW w:w="524"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5106</w:t>
            </w:r>
          </w:p>
        </w:tc>
        <w:tc>
          <w:tcPr>
            <w:tcW w:w="447"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2079</w:t>
            </w:r>
          </w:p>
        </w:tc>
        <w:tc>
          <w:tcPr>
            <w:tcW w:w="451"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23"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22112</w:t>
            </w:r>
          </w:p>
        </w:tc>
      </w:tr>
      <w:tr>
        <w:tblPrEx>
          <w:tblCellMar>
            <w:top w:w="0" w:type="dxa"/>
            <w:left w:w="108" w:type="dxa"/>
            <w:bottom w:w="0" w:type="dxa"/>
            <w:right w:w="108" w:type="dxa"/>
          </w:tblCellMar>
        </w:tblPrEx>
        <w:trPr>
          <w:wBefore w:w="0" w:type="dxa"/>
          <w:wAfter w:w="0" w:type="dxa"/>
          <w:trHeight w:val="624" w:hRule="atLeast"/>
        </w:trPr>
        <w:tc>
          <w:tcPr>
            <w:tcW w:w="431"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一级</w:t>
            </w:r>
          </w:p>
        </w:tc>
        <w:tc>
          <w:tcPr>
            <w:tcW w:w="675"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兴华路</w:t>
            </w:r>
          </w:p>
        </w:tc>
        <w:tc>
          <w:tcPr>
            <w:tcW w:w="749"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金柯桥大道-镜水路</w:t>
            </w:r>
          </w:p>
        </w:tc>
        <w:tc>
          <w:tcPr>
            <w:tcW w:w="600"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1755</w:t>
            </w:r>
          </w:p>
        </w:tc>
        <w:tc>
          <w:tcPr>
            <w:tcW w:w="600"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46113</w:t>
            </w:r>
          </w:p>
        </w:tc>
        <w:tc>
          <w:tcPr>
            <w:tcW w:w="524"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16682</w:t>
            </w:r>
          </w:p>
        </w:tc>
        <w:tc>
          <w:tcPr>
            <w:tcW w:w="447"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451"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23"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62796</w:t>
            </w:r>
          </w:p>
        </w:tc>
      </w:tr>
      <w:tr>
        <w:tblPrEx>
          <w:tblCellMar>
            <w:top w:w="0" w:type="dxa"/>
            <w:left w:w="108" w:type="dxa"/>
            <w:bottom w:w="0" w:type="dxa"/>
            <w:right w:w="108" w:type="dxa"/>
          </w:tblCellMar>
        </w:tblPrEx>
        <w:trPr>
          <w:wBefore w:w="0" w:type="dxa"/>
          <w:wAfter w:w="0" w:type="dxa"/>
          <w:trHeight w:val="624" w:hRule="atLeast"/>
        </w:trPr>
        <w:tc>
          <w:tcPr>
            <w:tcW w:w="431"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一级</w:t>
            </w:r>
          </w:p>
        </w:tc>
        <w:tc>
          <w:tcPr>
            <w:tcW w:w="675"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育才路</w:t>
            </w:r>
          </w:p>
        </w:tc>
        <w:tc>
          <w:tcPr>
            <w:tcW w:w="749"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群贤路-绸缎路</w:t>
            </w:r>
          </w:p>
        </w:tc>
        <w:tc>
          <w:tcPr>
            <w:tcW w:w="600"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2539</w:t>
            </w:r>
          </w:p>
        </w:tc>
        <w:tc>
          <w:tcPr>
            <w:tcW w:w="600"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63323</w:t>
            </w:r>
          </w:p>
        </w:tc>
        <w:tc>
          <w:tcPr>
            <w:tcW w:w="524"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16993</w:t>
            </w:r>
          </w:p>
        </w:tc>
        <w:tc>
          <w:tcPr>
            <w:tcW w:w="447"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2964</w:t>
            </w:r>
          </w:p>
        </w:tc>
        <w:tc>
          <w:tcPr>
            <w:tcW w:w="451"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23"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83280</w:t>
            </w:r>
          </w:p>
        </w:tc>
      </w:tr>
      <w:tr>
        <w:tblPrEx>
          <w:tblCellMar>
            <w:top w:w="0" w:type="dxa"/>
            <w:left w:w="108" w:type="dxa"/>
            <w:bottom w:w="0" w:type="dxa"/>
            <w:right w:w="108" w:type="dxa"/>
          </w:tblCellMar>
        </w:tblPrEx>
        <w:trPr>
          <w:wBefore w:w="0" w:type="dxa"/>
          <w:wAfter w:w="0" w:type="dxa"/>
          <w:trHeight w:val="624" w:hRule="atLeast"/>
        </w:trPr>
        <w:tc>
          <w:tcPr>
            <w:tcW w:w="431"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一级</w:t>
            </w:r>
          </w:p>
        </w:tc>
        <w:tc>
          <w:tcPr>
            <w:tcW w:w="675"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笛扬路</w:t>
            </w:r>
          </w:p>
        </w:tc>
        <w:tc>
          <w:tcPr>
            <w:tcW w:w="749"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群贤路-规划道路</w:t>
            </w:r>
          </w:p>
        </w:tc>
        <w:tc>
          <w:tcPr>
            <w:tcW w:w="600"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3475</w:t>
            </w:r>
          </w:p>
        </w:tc>
        <w:tc>
          <w:tcPr>
            <w:tcW w:w="600"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96287</w:t>
            </w:r>
          </w:p>
        </w:tc>
        <w:tc>
          <w:tcPr>
            <w:tcW w:w="524"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25025</w:t>
            </w:r>
          </w:p>
        </w:tc>
        <w:tc>
          <w:tcPr>
            <w:tcW w:w="447"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30424</w:t>
            </w:r>
          </w:p>
        </w:tc>
        <w:tc>
          <w:tcPr>
            <w:tcW w:w="451"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23"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151736</w:t>
            </w:r>
          </w:p>
        </w:tc>
      </w:tr>
      <w:tr>
        <w:tblPrEx>
          <w:tblCellMar>
            <w:top w:w="0" w:type="dxa"/>
            <w:left w:w="108" w:type="dxa"/>
            <w:bottom w:w="0" w:type="dxa"/>
            <w:right w:w="108" w:type="dxa"/>
          </w:tblCellMar>
        </w:tblPrEx>
        <w:trPr>
          <w:wBefore w:w="0" w:type="dxa"/>
          <w:wAfter w:w="0" w:type="dxa"/>
          <w:trHeight w:val="624" w:hRule="atLeast"/>
        </w:trPr>
        <w:tc>
          <w:tcPr>
            <w:tcW w:w="43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一级</w:t>
            </w:r>
          </w:p>
        </w:tc>
        <w:tc>
          <w:tcPr>
            <w:tcW w:w="675"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金柯桥大道</w:t>
            </w:r>
          </w:p>
        </w:tc>
        <w:tc>
          <w:tcPr>
            <w:tcW w:w="749"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群贤路-高速出口</w:t>
            </w:r>
          </w:p>
        </w:tc>
        <w:tc>
          <w:tcPr>
            <w:tcW w:w="600"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8190</w:t>
            </w:r>
          </w:p>
        </w:tc>
        <w:tc>
          <w:tcPr>
            <w:tcW w:w="600"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556077</w:t>
            </w:r>
          </w:p>
        </w:tc>
        <w:tc>
          <w:tcPr>
            <w:tcW w:w="524"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43162</w:t>
            </w:r>
          </w:p>
        </w:tc>
        <w:tc>
          <w:tcPr>
            <w:tcW w:w="447"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451"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23"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599239</w:t>
            </w:r>
          </w:p>
        </w:tc>
      </w:tr>
      <w:tr>
        <w:tblPrEx>
          <w:tblCellMar>
            <w:top w:w="0" w:type="dxa"/>
            <w:left w:w="108" w:type="dxa"/>
            <w:bottom w:w="0" w:type="dxa"/>
            <w:right w:w="108" w:type="dxa"/>
          </w:tblCellMar>
        </w:tblPrEx>
        <w:trPr>
          <w:wBefore w:w="0" w:type="dxa"/>
          <w:wAfter w:w="0" w:type="dxa"/>
          <w:trHeight w:val="624" w:hRule="atLeast"/>
        </w:trPr>
        <w:tc>
          <w:tcPr>
            <w:tcW w:w="43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一级</w:t>
            </w:r>
          </w:p>
        </w:tc>
        <w:tc>
          <w:tcPr>
            <w:tcW w:w="675"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湖中路</w:t>
            </w:r>
          </w:p>
        </w:tc>
        <w:tc>
          <w:tcPr>
            <w:tcW w:w="749"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群贤路-迎驾桥路</w:t>
            </w:r>
          </w:p>
        </w:tc>
        <w:tc>
          <w:tcPr>
            <w:tcW w:w="600"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1334</w:t>
            </w:r>
          </w:p>
        </w:tc>
        <w:tc>
          <w:tcPr>
            <w:tcW w:w="600"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24872</w:t>
            </w:r>
          </w:p>
        </w:tc>
        <w:tc>
          <w:tcPr>
            <w:tcW w:w="524"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9893</w:t>
            </w:r>
          </w:p>
        </w:tc>
        <w:tc>
          <w:tcPr>
            <w:tcW w:w="447"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15349</w:t>
            </w:r>
          </w:p>
        </w:tc>
        <w:tc>
          <w:tcPr>
            <w:tcW w:w="451"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23"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50115</w:t>
            </w:r>
          </w:p>
        </w:tc>
      </w:tr>
      <w:tr>
        <w:tblPrEx>
          <w:tblCellMar>
            <w:top w:w="0" w:type="dxa"/>
            <w:left w:w="108" w:type="dxa"/>
            <w:bottom w:w="0" w:type="dxa"/>
            <w:right w:w="108" w:type="dxa"/>
          </w:tblCellMar>
        </w:tblPrEx>
        <w:trPr>
          <w:wBefore w:w="0" w:type="dxa"/>
          <w:wAfter w:w="0" w:type="dxa"/>
          <w:trHeight w:val="624" w:hRule="atLeast"/>
        </w:trPr>
        <w:tc>
          <w:tcPr>
            <w:tcW w:w="431"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二级</w:t>
            </w:r>
          </w:p>
        </w:tc>
        <w:tc>
          <w:tcPr>
            <w:tcW w:w="675"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湖中路(高铁段)</w:t>
            </w:r>
          </w:p>
        </w:tc>
        <w:tc>
          <w:tcPr>
            <w:tcW w:w="749"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兴华路—规划道路</w:t>
            </w:r>
          </w:p>
        </w:tc>
        <w:tc>
          <w:tcPr>
            <w:tcW w:w="600"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255</w:t>
            </w:r>
          </w:p>
        </w:tc>
        <w:tc>
          <w:tcPr>
            <w:tcW w:w="600"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24"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447"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451"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23"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2760</w:t>
            </w:r>
          </w:p>
        </w:tc>
      </w:tr>
      <w:tr>
        <w:tblPrEx>
          <w:tblCellMar>
            <w:top w:w="0" w:type="dxa"/>
            <w:left w:w="108" w:type="dxa"/>
            <w:bottom w:w="0" w:type="dxa"/>
            <w:right w:w="108" w:type="dxa"/>
          </w:tblCellMar>
        </w:tblPrEx>
        <w:trPr>
          <w:wBefore w:w="0" w:type="dxa"/>
          <w:wAfter w:w="0" w:type="dxa"/>
          <w:trHeight w:val="624" w:hRule="atLeast"/>
        </w:trPr>
        <w:tc>
          <w:tcPr>
            <w:tcW w:w="431"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一级</w:t>
            </w:r>
          </w:p>
        </w:tc>
        <w:tc>
          <w:tcPr>
            <w:tcW w:w="675"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湖西路</w:t>
            </w:r>
          </w:p>
        </w:tc>
        <w:tc>
          <w:tcPr>
            <w:tcW w:w="749"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群贤路-裕民路</w:t>
            </w:r>
          </w:p>
        </w:tc>
        <w:tc>
          <w:tcPr>
            <w:tcW w:w="600"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1249</w:t>
            </w:r>
          </w:p>
        </w:tc>
        <w:tc>
          <w:tcPr>
            <w:tcW w:w="600"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23786</w:t>
            </w:r>
          </w:p>
        </w:tc>
        <w:tc>
          <w:tcPr>
            <w:tcW w:w="524"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9431</w:t>
            </w:r>
          </w:p>
        </w:tc>
        <w:tc>
          <w:tcPr>
            <w:tcW w:w="447"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20028</w:t>
            </w:r>
          </w:p>
        </w:tc>
        <w:tc>
          <w:tcPr>
            <w:tcW w:w="451"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23"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53244</w:t>
            </w:r>
          </w:p>
        </w:tc>
      </w:tr>
      <w:tr>
        <w:tblPrEx>
          <w:tblCellMar>
            <w:top w:w="0" w:type="dxa"/>
            <w:left w:w="108" w:type="dxa"/>
            <w:bottom w:w="0" w:type="dxa"/>
            <w:right w:w="108" w:type="dxa"/>
          </w:tblCellMar>
        </w:tblPrEx>
        <w:trPr>
          <w:wBefore w:w="0" w:type="dxa"/>
          <w:wAfter w:w="0" w:type="dxa"/>
          <w:trHeight w:val="624" w:hRule="atLeast"/>
        </w:trPr>
        <w:tc>
          <w:tcPr>
            <w:tcW w:w="431"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二级</w:t>
            </w:r>
          </w:p>
        </w:tc>
        <w:tc>
          <w:tcPr>
            <w:tcW w:w="675"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湖西路(高铁段)</w:t>
            </w:r>
          </w:p>
        </w:tc>
        <w:tc>
          <w:tcPr>
            <w:tcW w:w="749"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兴华路—规划道路</w:t>
            </w:r>
          </w:p>
        </w:tc>
        <w:tc>
          <w:tcPr>
            <w:tcW w:w="600"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265</w:t>
            </w:r>
          </w:p>
        </w:tc>
        <w:tc>
          <w:tcPr>
            <w:tcW w:w="600"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24"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447"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451"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23"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3072</w:t>
            </w:r>
          </w:p>
        </w:tc>
      </w:tr>
      <w:tr>
        <w:tblPrEx>
          <w:tblCellMar>
            <w:top w:w="0" w:type="dxa"/>
            <w:left w:w="108" w:type="dxa"/>
            <w:bottom w:w="0" w:type="dxa"/>
            <w:right w:w="108" w:type="dxa"/>
          </w:tblCellMar>
        </w:tblPrEx>
        <w:trPr>
          <w:wBefore w:w="0" w:type="dxa"/>
          <w:wAfter w:w="0" w:type="dxa"/>
          <w:trHeight w:val="624" w:hRule="atLeast"/>
        </w:trPr>
        <w:tc>
          <w:tcPr>
            <w:tcW w:w="431"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一级</w:t>
            </w:r>
          </w:p>
        </w:tc>
        <w:tc>
          <w:tcPr>
            <w:tcW w:w="675"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湖东路</w:t>
            </w:r>
          </w:p>
        </w:tc>
        <w:tc>
          <w:tcPr>
            <w:tcW w:w="749"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群贤路-迎驾桥路</w:t>
            </w:r>
          </w:p>
        </w:tc>
        <w:tc>
          <w:tcPr>
            <w:tcW w:w="600"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1413</w:t>
            </w:r>
          </w:p>
        </w:tc>
        <w:tc>
          <w:tcPr>
            <w:tcW w:w="600"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25483</w:t>
            </w:r>
          </w:p>
        </w:tc>
        <w:tc>
          <w:tcPr>
            <w:tcW w:w="524"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10219</w:t>
            </w:r>
          </w:p>
        </w:tc>
        <w:tc>
          <w:tcPr>
            <w:tcW w:w="447"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451"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23"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35702</w:t>
            </w:r>
          </w:p>
        </w:tc>
      </w:tr>
      <w:tr>
        <w:tblPrEx>
          <w:tblCellMar>
            <w:top w:w="0" w:type="dxa"/>
            <w:left w:w="108" w:type="dxa"/>
            <w:bottom w:w="0" w:type="dxa"/>
            <w:right w:w="108" w:type="dxa"/>
          </w:tblCellMar>
        </w:tblPrEx>
        <w:trPr>
          <w:wBefore w:w="0" w:type="dxa"/>
          <w:wAfter w:w="0" w:type="dxa"/>
          <w:trHeight w:val="624" w:hRule="atLeast"/>
        </w:trPr>
        <w:tc>
          <w:tcPr>
            <w:tcW w:w="431"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二级</w:t>
            </w:r>
          </w:p>
        </w:tc>
        <w:tc>
          <w:tcPr>
            <w:tcW w:w="675"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湖东路(高铁段)</w:t>
            </w:r>
          </w:p>
        </w:tc>
        <w:tc>
          <w:tcPr>
            <w:tcW w:w="749"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兴华路—规划道路</w:t>
            </w:r>
          </w:p>
        </w:tc>
        <w:tc>
          <w:tcPr>
            <w:tcW w:w="600"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255</w:t>
            </w:r>
          </w:p>
        </w:tc>
        <w:tc>
          <w:tcPr>
            <w:tcW w:w="600"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24"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447"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451"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23"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2760</w:t>
            </w:r>
          </w:p>
        </w:tc>
      </w:tr>
      <w:tr>
        <w:tblPrEx>
          <w:tblCellMar>
            <w:top w:w="0" w:type="dxa"/>
            <w:left w:w="108" w:type="dxa"/>
            <w:bottom w:w="0" w:type="dxa"/>
            <w:right w:w="108" w:type="dxa"/>
          </w:tblCellMar>
        </w:tblPrEx>
        <w:trPr>
          <w:wBefore w:w="0" w:type="dxa"/>
          <w:wAfter w:w="0" w:type="dxa"/>
          <w:trHeight w:val="624" w:hRule="atLeast"/>
        </w:trPr>
        <w:tc>
          <w:tcPr>
            <w:tcW w:w="431"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一级</w:t>
            </w:r>
          </w:p>
        </w:tc>
        <w:tc>
          <w:tcPr>
            <w:tcW w:w="675"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越州大道</w:t>
            </w:r>
          </w:p>
        </w:tc>
        <w:tc>
          <w:tcPr>
            <w:tcW w:w="749"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群贤路-钱陶公路</w:t>
            </w:r>
          </w:p>
        </w:tc>
        <w:tc>
          <w:tcPr>
            <w:tcW w:w="600"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1088</w:t>
            </w:r>
          </w:p>
        </w:tc>
        <w:tc>
          <w:tcPr>
            <w:tcW w:w="600"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33393</w:t>
            </w:r>
          </w:p>
        </w:tc>
        <w:tc>
          <w:tcPr>
            <w:tcW w:w="524"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7812</w:t>
            </w:r>
          </w:p>
        </w:tc>
        <w:tc>
          <w:tcPr>
            <w:tcW w:w="447"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5229</w:t>
            </w:r>
          </w:p>
        </w:tc>
        <w:tc>
          <w:tcPr>
            <w:tcW w:w="451"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23"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46433</w:t>
            </w:r>
          </w:p>
        </w:tc>
      </w:tr>
      <w:tr>
        <w:tblPrEx>
          <w:tblCellMar>
            <w:top w:w="0" w:type="dxa"/>
            <w:left w:w="108" w:type="dxa"/>
            <w:bottom w:w="0" w:type="dxa"/>
            <w:right w:w="108" w:type="dxa"/>
          </w:tblCellMar>
        </w:tblPrEx>
        <w:trPr>
          <w:wBefore w:w="0" w:type="dxa"/>
          <w:wAfter w:w="0" w:type="dxa"/>
          <w:trHeight w:val="624" w:hRule="atLeast"/>
        </w:trPr>
        <w:tc>
          <w:tcPr>
            <w:tcW w:w="431"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二级</w:t>
            </w:r>
          </w:p>
        </w:tc>
        <w:tc>
          <w:tcPr>
            <w:tcW w:w="675"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镜水路</w:t>
            </w:r>
          </w:p>
        </w:tc>
        <w:tc>
          <w:tcPr>
            <w:tcW w:w="749"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群贤路-柯海线</w:t>
            </w:r>
          </w:p>
        </w:tc>
        <w:tc>
          <w:tcPr>
            <w:tcW w:w="600"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6644</w:t>
            </w:r>
          </w:p>
        </w:tc>
        <w:tc>
          <w:tcPr>
            <w:tcW w:w="600"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251399</w:t>
            </w:r>
          </w:p>
        </w:tc>
        <w:tc>
          <w:tcPr>
            <w:tcW w:w="524"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16853</w:t>
            </w:r>
          </w:p>
        </w:tc>
        <w:tc>
          <w:tcPr>
            <w:tcW w:w="447"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451"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23"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268252</w:t>
            </w:r>
          </w:p>
        </w:tc>
      </w:tr>
      <w:tr>
        <w:tblPrEx>
          <w:tblCellMar>
            <w:top w:w="0" w:type="dxa"/>
            <w:left w:w="108" w:type="dxa"/>
            <w:bottom w:w="0" w:type="dxa"/>
            <w:right w:w="108" w:type="dxa"/>
          </w:tblCellMar>
        </w:tblPrEx>
        <w:trPr>
          <w:wBefore w:w="0" w:type="dxa"/>
          <w:wAfter w:w="0" w:type="dxa"/>
          <w:trHeight w:val="624" w:hRule="atLeast"/>
        </w:trPr>
        <w:tc>
          <w:tcPr>
            <w:tcW w:w="431"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二级</w:t>
            </w:r>
          </w:p>
        </w:tc>
        <w:tc>
          <w:tcPr>
            <w:tcW w:w="675"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黄社娄路</w:t>
            </w:r>
          </w:p>
        </w:tc>
        <w:tc>
          <w:tcPr>
            <w:tcW w:w="749"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越仕路-河边</w:t>
            </w:r>
          </w:p>
        </w:tc>
        <w:tc>
          <w:tcPr>
            <w:tcW w:w="600"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1046</w:t>
            </w:r>
          </w:p>
        </w:tc>
        <w:tc>
          <w:tcPr>
            <w:tcW w:w="600"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13403</w:t>
            </w:r>
          </w:p>
        </w:tc>
        <w:tc>
          <w:tcPr>
            <w:tcW w:w="524"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5186</w:t>
            </w:r>
          </w:p>
        </w:tc>
        <w:tc>
          <w:tcPr>
            <w:tcW w:w="447"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168</w:t>
            </w:r>
          </w:p>
        </w:tc>
        <w:tc>
          <w:tcPr>
            <w:tcW w:w="451"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23"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18757</w:t>
            </w:r>
          </w:p>
        </w:tc>
      </w:tr>
      <w:tr>
        <w:tblPrEx>
          <w:tblCellMar>
            <w:top w:w="0" w:type="dxa"/>
            <w:left w:w="108" w:type="dxa"/>
            <w:bottom w:w="0" w:type="dxa"/>
            <w:right w:w="108" w:type="dxa"/>
          </w:tblCellMar>
        </w:tblPrEx>
        <w:trPr>
          <w:wBefore w:w="0" w:type="dxa"/>
          <w:wAfter w:w="0" w:type="dxa"/>
          <w:trHeight w:val="624" w:hRule="atLeast"/>
        </w:trPr>
        <w:tc>
          <w:tcPr>
            <w:tcW w:w="431"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二级</w:t>
            </w:r>
          </w:p>
        </w:tc>
        <w:tc>
          <w:tcPr>
            <w:tcW w:w="675"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双渎路</w:t>
            </w:r>
          </w:p>
        </w:tc>
        <w:tc>
          <w:tcPr>
            <w:tcW w:w="749"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兴越路-柯袍公路</w:t>
            </w:r>
          </w:p>
        </w:tc>
        <w:tc>
          <w:tcPr>
            <w:tcW w:w="600"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2870</w:t>
            </w:r>
          </w:p>
        </w:tc>
        <w:tc>
          <w:tcPr>
            <w:tcW w:w="600"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60513</w:t>
            </w:r>
          </w:p>
        </w:tc>
        <w:tc>
          <w:tcPr>
            <w:tcW w:w="524"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17167</w:t>
            </w:r>
          </w:p>
        </w:tc>
        <w:tc>
          <w:tcPr>
            <w:tcW w:w="447"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43191</w:t>
            </w:r>
          </w:p>
        </w:tc>
        <w:tc>
          <w:tcPr>
            <w:tcW w:w="451"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23"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120871</w:t>
            </w:r>
          </w:p>
        </w:tc>
      </w:tr>
      <w:tr>
        <w:tblPrEx>
          <w:tblCellMar>
            <w:top w:w="0" w:type="dxa"/>
            <w:left w:w="108" w:type="dxa"/>
            <w:bottom w:w="0" w:type="dxa"/>
            <w:right w:w="108" w:type="dxa"/>
          </w:tblCellMar>
        </w:tblPrEx>
        <w:trPr>
          <w:wBefore w:w="0" w:type="dxa"/>
          <w:wAfter w:w="0" w:type="dxa"/>
          <w:trHeight w:val="624" w:hRule="atLeast"/>
        </w:trPr>
        <w:tc>
          <w:tcPr>
            <w:tcW w:w="431"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二级</w:t>
            </w:r>
          </w:p>
        </w:tc>
        <w:tc>
          <w:tcPr>
            <w:tcW w:w="675"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华宇路</w:t>
            </w:r>
          </w:p>
        </w:tc>
        <w:tc>
          <w:tcPr>
            <w:tcW w:w="749"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金柯桥大道-湖东路</w:t>
            </w:r>
          </w:p>
        </w:tc>
        <w:tc>
          <w:tcPr>
            <w:tcW w:w="600"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1370</w:t>
            </w:r>
          </w:p>
        </w:tc>
        <w:tc>
          <w:tcPr>
            <w:tcW w:w="600"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24694</w:t>
            </w:r>
          </w:p>
        </w:tc>
        <w:tc>
          <w:tcPr>
            <w:tcW w:w="524"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9123</w:t>
            </w:r>
          </w:p>
        </w:tc>
        <w:tc>
          <w:tcPr>
            <w:tcW w:w="447"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25641</w:t>
            </w:r>
          </w:p>
        </w:tc>
        <w:tc>
          <w:tcPr>
            <w:tcW w:w="451"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23"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59458</w:t>
            </w:r>
          </w:p>
        </w:tc>
      </w:tr>
      <w:tr>
        <w:tblPrEx>
          <w:tblCellMar>
            <w:top w:w="0" w:type="dxa"/>
            <w:left w:w="108" w:type="dxa"/>
            <w:bottom w:w="0" w:type="dxa"/>
            <w:right w:w="108" w:type="dxa"/>
          </w:tblCellMar>
        </w:tblPrEx>
        <w:trPr>
          <w:wBefore w:w="0" w:type="dxa"/>
          <w:wAfter w:w="0" w:type="dxa"/>
          <w:trHeight w:val="624" w:hRule="atLeast"/>
        </w:trPr>
        <w:tc>
          <w:tcPr>
            <w:tcW w:w="431"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三级</w:t>
            </w:r>
          </w:p>
        </w:tc>
        <w:tc>
          <w:tcPr>
            <w:tcW w:w="675"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中广路</w:t>
            </w:r>
          </w:p>
        </w:tc>
        <w:tc>
          <w:tcPr>
            <w:tcW w:w="749"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群贤路-华宇路</w:t>
            </w:r>
          </w:p>
        </w:tc>
        <w:tc>
          <w:tcPr>
            <w:tcW w:w="600"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299</w:t>
            </w:r>
          </w:p>
        </w:tc>
        <w:tc>
          <w:tcPr>
            <w:tcW w:w="600"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2912</w:t>
            </w:r>
          </w:p>
        </w:tc>
        <w:tc>
          <w:tcPr>
            <w:tcW w:w="524"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1681</w:t>
            </w:r>
          </w:p>
        </w:tc>
        <w:tc>
          <w:tcPr>
            <w:tcW w:w="447"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2297</w:t>
            </w:r>
          </w:p>
        </w:tc>
        <w:tc>
          <w:tcPr>
            <w:tcW w:w="451"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23"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6890</w:t>
            </w:r>
          </w:p>
        </w:tc>
      </w:tr>
      <w:tr>
        <w:tblPrEx>
          <w:tblCellMar>
            <w:top w:w="0" w:type="dxa"/>
            <w:left w:w="108" w:type="dxa"/>
            <w:bottom w:w="0" w:type="dxa"/>
            <w:right w:w="108" w:type="dxa"/>
          </w:tblCellMar>
        </w:tblPrEx>
        <w:trPr>
          <w:wBefore w:w="0" w:type="dxa"/>
          <w:wAfter w:w="0" w:type="dxa"/>
          <w:trHeight w:val="624" w:hRule="atLeast"/>
        </w:trPr>
        <w:tc>
          <w:tcPr>
            <w:tcW w:w="43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三级</w:t>
            </w:r>
          </w:p>
        </w:tc>
        <w:tc>
          <w:tcPr>
            <w:tcW w:w="675"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邮电路</w:t>
            </w:r>
          </w:p>
        </w:tc>
        <w:tc>
          <w:tcPr>
            <w:tcW w:w="749"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中广路-湖东路</w:t>
            </w:r>
          </w:p>
        </w:tc>
        <w:tc>
          <w:tcPr>
            <w:tcW w:w="600"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265</w:t>
            </w:r>
          </w:p>
        </w:tc>
        <w:tc>
          <w:tcPr>
            <w:tcW w:w="600"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1651</w:t>
            </w:r>
          </w:p>
        </w:tc>
        <w:tc>
          <w:tcPr>
            <w:tcW w:w="524"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1118</w:t>
            </w:r>
          </w:p>
        </w:tc>
        <w:tc>
          <w:tcPr>
            <w:tcW w:w="447"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2394</w:t>
            </w:r>
          </w:p>
        </w:tc>
        <w:tc>
          <w:tcPr>
            <w:tcW w:w="451"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23"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5163</w:t>
            </w:r>
          </w:p>
        </w:tc>
      </w:tr>
      <w:tr>
        <w:tblPrEx>
          <w:tblCellMar>
            <w:top w:w="0" w:type="dxa"/>
            <w:left w:w="108" w:type="dxa"/>
            <w:bottom w:w="0" w:type="dxa"/>
            <w:right w:w="108" w:type="dxa"/>
          </w:tblCellMar>
        </w:tblPrEx>
        <w:trPr>
          <w:wBefore w:w="0" w:type="dxa"/>
          <w:wAfter w:w="0" w:type="dxa"/>
          <w:trHeight w:val="624" w:hRule="atLeast"/>
        </w:trPr>
        <w:tc>
          <w:tcPr>
            <w:tcW w:w="43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三级</w:t>
            </w:r>
          </w:p>
        </w:tc>
        <w:tc>
          <w:tcPr>
            <w:tcW w:w="675"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高迁路</w:t>
            </w:r>
          </w:p>
        </w:tc>
        <w:tc>
          <w:tcPr>
            <w:tcW w:w="749"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湖中路-湖东路</w:t>
            </w:r>
          </w:p>
        </w:tc>
        <w:tc>
          <w:tcPr>
            <w:tcW w:w="600"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468</w:t>
            </w:r>
          </w:p>
        </w:tc>
        <w:tc>
          <w:tcPr>
            <w:tcW w:w="600"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7318</w:t>
            </w:r>
          </w:p>
        </w:tc>
        <w:tc>
          <w:tcPr>
            <w:tcW w:w="524"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2862</w:t>
            </w:r>
          </w:p>
        </w:tc>
        <w:tc>
          <w:tcPr>
            <w:tcW w:w="447"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451"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23"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10180</w:t>
            </w:r>
          </w:p>
        </w:tc>
      </w:tr>
      <w:tr>
        <w:tblPrEx>
          <w:tblCellMar>
            <w:top w:w="0" w:type="dxa"/>
            <w:left w:w="108" w:type="dxa"/>
            <w:bottom w:w="0" w:type="dxa"/>
            <w:right w:w="108" w:type="dxa"/>
          </w:tblCellMar>
        </w:tblPrEx>
        <w:trPr>
          <w:wBefore w:w="0" w:type="dxa"/>
          <w:wAfter w:w="0" w:type="dxa"/>
          <w:trHeight w:val="624" w:hRule="atLeast"/>
        </w:trPr>
        <w:tc>
          <w:tcPr>
            <w:tcW w:w="43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三级</w:t>
            </w:r>
          </w:p>
        </w:tc>
        <w:tc>
          <w:tcPr>
            <w:tcW w:w="675"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金色水岸支路</w:t>
            </w:r>
          </w:p>
        </w:tc>
        <w:tc>
          <w:tcPr>
            <w:tcW w:w="749"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群贤路-河边</w:t>
            </w:r>
          </w:p>
        </w:tc>
        <w:tc>
          <w:tcPr>
            <w:tcW w:w="600"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337</w:t>
            </w:r>
          </w:p>
        </w:tc>
        <w:tc>
          <w:tcPr>
            <w:tcW w:w="600"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4009</w:t>
            </w:r>
          </w:p>
        </w:tc>
        <w:tc>
          <w:tcPr>
            <w:tcW w:w="524"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1893</w:t>
            </w:r>
          </w:p>
        </w:tc>
        <w:tc>
          <w:tcPr>
            <w:tcW w:w="447"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451"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23"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5903</w:t>
            </w:r>
          </w:p>
        </w:tc>
      </w:tr>
      <w:tr>
        <w:tblPrEx>
          <w:tblCellMar>
            <w:top w:w="0" w:type="dxa"/>
            <w:left w:w="108" w:type="dxa"/>
            <w:bottom w:w="0" w:type="dxa"/>
            <w:right w:w="108" w:type="dxa"/>
          </w:tblCellMar>
        </w:tblPrEx>
        <w:trPr>
          <w:wBefore w:w="0" w:type="dxa"/>
          <w:wAfter w:w="0" w:type="dxa"/>
          <w:trHeight w:val="624" w:hRule="atLeast"/>
        </w:trPr>
        <w:tc>
          <w:tcPr>
            <w:tcW w:w="431"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三级</w:t>
            </w:r>
          </w:p>
        </w:tc>
        <w:tc>
          <w:tcPr>
            <w:tcW w:w="675"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金柯桥大道东辅道</w:t>
            </w:r>
          </w:p>
        </w:tc>
        <w:tc>
          <w:tcPr>
            <w:tcW w:w="749"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兴越路-裕民路</w:t>
            </w:r>
          </w:p>
        </w:tc>
        <w:tc>
          <w:tcPr>
            <w:tcW w:w="600"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588</w:t>
            </w:r>
          </w:p>
        </w:tc>
        <w:tc>
          <w:tcPr>
            <w:tcW w:w="600"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4520</w:t>
            </w:r>
          </w:p>
        </w:tc>
        <w:tc>
          <w:tcPr>
            <w:tcW w:w="524"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447"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451"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23"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4520</w:t>
            </w:r>
          </w:p>
        </w:tc>
      </w:tr>
      <w:tr>
        <w:tblPrEx>
          <w:tblCellMar>
            <w:top w:w="0" w:type="dxa"/>
            <w:left w:w="108" w:type="dxa"/>
            <w:bottom w:w="0" w:type="dxa"/>
            <w:right w:w="108" w:type="dxa"/>
          </w:tblCellMar>
        </w:tblPrEx>
        <w:trPr>
          <w:wBefore w:w="0" w:type="dxa"/>
          <w:wAfter w:w="0" w:type="dxa"/>
          <w:trHeight w:val="624" w:hRule="atLeast"/>
        </w:trPr>
        <w:tc>
          <w:tcPr>
            <w:tcW w:w="431"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三级</w:t>
            </w:r>
          </w:p>
        </w:tc>
        <w:tc>
          <w:tcPr>
            <w:tcW w:w="675"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金柯桥大道西辅道</w:t>
            </w:r>
          </w:p>
        </w:tc>
        <w:tc>
          <w:tcPr>
            <w:tcW w:w="749"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兴越路-钱陶公路</w:t>
            </w:r>
          </w:p>
        </w:tc>
        <w:tc>
          <w:tcPr>
            <w:tcW w:w="600"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1022</w:t>
            </w:r>
          </w:p>
        </w:tc>
        <w:tc>
          <w:tcPr>
            <w:tcW w:w="600"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8853</w:t>
            </w:r>
          </w:p>
        </w:tc>
        <w:tc>
          <w:tcPr>
            <w:tcW w:w="524"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372</w:t>
            </w:r>
          </w:p>
        </w:tc>
        <w:tc>
          <w:tcPr>
            <w:tcW w:w="447"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2064</w:t>
            </w:r>
          </w:p>
        </w:tc>
        <w:tc>
          <w:tcPr>
            <w:tcW w:w="451"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23"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11289</w:t>
            </w:r>
          </w:p>
        </w:tc>
      </w:tr>
      <w:tr>
        <w:tblPrEx>
          <w:tblCellMar>
            <w:top w:w="0" w:type="dxa"/>
            <w:left w:w="108" w:type="dxa"/>
            <w:bottom w:w="0" w:type="dxa"/>
            <w:right w:w="108" w:type="dxa"/>
          </w:tblCellMar>
        </w:tblPrEx>
        <w:trPr>
          <w:wBefore w:w="0" w:type="dxa"/>
          <w:wAfter w:w="0" w:type="dxa"/>
          <w:trHeight w:val="624" w:hRule="atLeast"/>
        </w:trPr>
        <w:tc>
          <w:tcPr>
            <w:tcW w:w="431"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三级</w:t>
            </w:r>
          </w:p>
        </w:tc>
        <w:tc>
          <w:tcPr>
            <w:tcW w:w="675"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温渎路</w:t>
            </w:r>
          </w:p>
        </w:tc>
        <w:tc>
          <w:tcPr>
            <w:tcW w:w="749"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兴越路-人利路</w:t>
            </w:r>
          </w:p>
        </w:tc>
        <w:tc>
          <w:tcPr>
            <w:tcW w:w="600"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507</w:t>
            </w:r>
          </w:p>
        </w:tc>
        <w:tc>
          <w:tcPr>
            <w:tcW w:w="600"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5535</w:t>
            </w:r>
          </w:p>
        </w:tc>
        <w:tc>
          <w:tcPr>
            <w:tcW w:w="524"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2760</w:t>
            </w:r>
          </w:p>
        </w:tc>
        <w:tc>
          <w:tcPr>
            <w:tcW w:w="447"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451"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23"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8295</w:t>
            </w:r>
          </w:p>
        </w:tc>
      </w:tr>
      <w:tr>
        <w:tblPrEx>
          <w:tblCellMar>
            <w:top w:w="0" w:type="dxa"/>
            <w:left w:w="108" w:type="dxa"/>
            <w:bottom w:w="0" w:type="dxa"/>
            <w:right w:w="108" w:type="dxa"/>
          </w:tblCellMar>
        </w:tblPrEx>
        <w:trPr>
          <w:wBefore w:w="0" w:type="dxa"/>
          <w:wAfter w:w="0" w:type="dxa"/>
          <w:trHeight w:val="624" w:hRule="atLeast"/>
        </w:trPr>
        <w:tc>
          <w:tcPr>
            <w:tcW w:w="431"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三级</w:t>
            </w:r>
          </w:p>
        </w:tc>
        <w:tc>
          <w:tcPr>
            <w:tcW w:w="675"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人利路</w:t>
            </w:r>
          </w:p>
        </w:tc>
        <w:tc>
          <w:tcPr>
            <w:tcW w:w="749"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笛扬路-温渎路</w:t>
            </w:r>
          </w:p>
        </w:tc>
        <w:tc>
          <w:tcPr>
            <w:tcW w:w="600"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322</w:t>
            </w:r>
          </w:p>
        </w:tc>
        <w:tc>
          <w:tcPr>
            <w:tcW w:w="600"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3811</w:t>
            </w:r>
          </w:p>
        </w:tc>
        <w:tc>
          <w:tcPr>
            <w:tcW w:w="524"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1746</w:t>
            </w:r>
          </w:p>
        </w:tc>
        <w:tc>
          <w:tcPr>
            <w:tcW w:w="447"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451"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23"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5557</w:t>
            </w:r>
          </w:p>
        </w:tc>
      </w:tr>
      <w:tr>
        <w:tblPrEx>
          <w:tblCellMar>
            <w:top w:w="0" w:type="dxa"/>
            <w:left w:w="108" w:type="dxa"/>
            <w:bottom w:w="0" w:type="dxa"/>
            <w:right w:w="108" w:type="dxa"/>
          </w:tblCellMar>
        </w:tblPrEx>
        <w:trPr>
          <w:wBefore w:w="0" w:type="dxa"/>
          <w:wAfter w:w="0" w:type="dxa"/>
          <w:trHeight w:val="624" w:hRule="atLeast"/>
        </w:trPr>
        <w:tc>
          <w:tcPr>
            <w:tcW w:w="431"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三级</w:t>
            </w:r>
          </w:p>
        </w:tc>
        <w:tc>
          <w:tcPr>
            <w:tcW w:w="675"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人和路</w:t>
            </w:r>
          </w:p>
        </w:tc>
        <w:tc>
          <w:tcPr>
            <w:tcW w:w="749"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笛扬路-温渎路</w:t>
            </w:r>
          </w:p>
        </w:tc>
        <w:tc>
          <w:tcPr>
            <w:tcW w:w="600"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285</w:t>
            </w:r>
          </w:p>
        </w:tc>
        <w:tc>
          <w:tcPr>
            <w:tcW w:w="600"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3095</w:t>
            </w:r>
          </w:p>
        </w:tc>
        <w:tc>
          <w:tcPr>
            <w:tcW w:w="524"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447"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451"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23"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3095</w:t>
            </w:r>
          </w:p>
        </w:tc>
      </w:tr>
      <w:tr>
        <w:tblPrEx>
          <w:tblCellMar>
            <w:top w:w="0" w:type="dxa"/>
            <w:left w:w="108" w:type="dxa"/>
            <w:bottom w:w="0" w:type="dxa"/>
            <w:right w:w="108" w:type="dxa"/>
          </w:tblCellMar>
        </w:tblPrEx>
        <w:trPr>
          <w:wBefore w:w="0" w:type="dxa"/>
          <w:wAfter w:w="0" w:type="dxa"/>
          <w:trHeight w:val="624" w:hRule="atLeast"/>
        </w:trPr>
        <w:tc>
          <w:tcPr>
            <w:tcW w:w="431"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三级</w:t>
            </w:r>
          </w:p>
        </w:tc>
        <w:tc>
          <w:tcPr>
            <w:tcW w:w="675"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越仕路</w:t>
            </w:r>
          </w:p>
        </w:tc>
        <w:tc>
          <w:tcPr>
            <w:tcW w:w="749"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群贤路-兴越路</w:t>
            </w:r>
          </w:p>
        </w:tc>
        <w:tc>
          <w:tcPr>
            <w:tcW w:w="600"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473</w:t>
            </w:r>
          </w:p>
        </w:tc>
        <w:tc>
          <w:tcPr>
            <w:tcW w:w="600"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6320</w:t>
            </w:r>
          </w:p>
        </w:tc>
        <w:tc>
          <w:tcPr>
            <w:tcW w:w="524"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4504</w:t>
            </w:r>
          </w:p>
        </w:tc>
        <w:tc>
          <w:tcPr>
            <w:tcW w:w="447"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451"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23"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10824</w:t>
            </w:r>
          </w:p>
        </w:tc>
      </w:tr>
      <w:tr>
        <w:tblPrEx>
          <w:tblCellMar>
            <w:top w:w="0" w:type="dxa"/>
            <w:left w:w="108" w:type="dxa"/>
            <w:bottom w:w="0" w:type="dxa"/>
            <w:right w:w="108" w:type="dxa"/>
          </w:tblCellMar>
        </w:tblPrEx>
        <w:trPr>
          <w:wBefore w:w="0" w:type="dxa"/>
          <w:wAfter w:w="0" w:type="dxa"/>
          <w:trHeight w:val="624" w:hRule="atLeast"/>
        </w:trPr>
        <w:tc>
          <w:tcPr>
            <w:tcW w:w="431"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三级</w:t>
            </w:r>
          </w:p>
        </w:tc>
        <w:tc>
          <w:tcPr>
            <w:tcW w:w="675"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为民路</w:t>
            </w:r>
          </w:p>
        </w:tc>
        <w:tc>
          <w:tcPr>
            <w:tcW w:w="749"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黄社溇路-群贤路</w:t>
            </w:r>
          </w:p>
        </w:tc>
        <w:tc>
          <w:tcPr>
            <w:tcW w:w="600"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265</w:t>
            </w:r>
          </w:p>
        </w:tc>
        <w:tc>
          <w:tcPr>
            <w:tcW w:w="600"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3927</w:t>
            </w:r>
          </w:p>
        </w:tc>
        <w:tc>
          <w:tcPr>
            <w:tcW w:w="524"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447"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451"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23"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3927</w:t>
            </w:r>
          </w:p>
        </w:tc>
      </w:tr>
      <w:tr>
        <w:tblPrEx>
          <w:tblCellMar>
            <w:top w:w="0" w:type="dxa"/>
            <w:left w:w="108" w:type="dxa"/>
            <w:bottom w:w="0" w:type="dxa"/>
            <w:right w:w="108" w:type="dxa"/>
          </w:tblCellMar>
        </w:tblPrEx>
        <w:trPr>
          <w:wBefore w:w="0" w:type="dxa"/>
          <w:wAfter w:w="0" w:type="dxa"/>
          <w:trHeight w:val="624" w:hRule="atLeast"/>
        </w:trPr>
        <w:tc>
          <w:tcPr>
            <w:tcW w:w="431"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三级</w:t>
            </w:r>
          </w:p>
        </w:tc>
        <w:tc>
          <w:tcPr>
            <w:tcW w:w="675"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尚知巷</w:t>
            </w:r>
          </w:p>
        </w:tc>
        <w:tc>
          <w:tcPr>
            <w:tcW w:w="749"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越州大道-坂湖风情</w:t>
            </w:r>
          </w:p>
        </w:tc>
        <w:tc>
          <w:tcPr>
            <w:tcW w:w="600"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559</w:t>
            </w:r>
          </w:p>
        </w:tc>
        <w:tc>
          <w:tcPr>
            <w:tcW w:w="600"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5696</w:t>
            </w:r>
          </w:p>
        </w:tc>
        <w:tc>
          <w:tcPr>
            <w:tcW w:w="524"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1958</w:t>
            </w:r>
          </w:p>
        </w:tc>
        <w:tc>
          <w:tcPr>
            <w:tcW w:w="447"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451"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23"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7654</w:t>
            </w:r>
          </w:p>
        </w:tc>
      </w:tr>
      <w:tr>
        <w:tblPrEx>
          <w:tblCellMar>
            <w:top w:w="0" w:type="dxa"/>
            <w:left w:w="108" w:type="dxa"/>
            <w:bottom w:w="0" w:type="dxa"/>
            <w:right w:w="108" w:type="dxa"/>
          </w:tblCellMar>
        </w:tblPrEx>
        <w:trPr>
          <w:wBefore w:w="0" w:type="dxa"/>
          <w:wAfter w:w="0" w:type="dxa"/>
          <w:trHeight w:val="624" w:hRule="atLeast"/>
        </w:trPr>
        <w:tc>
          <w:tcPr>
            <w:tcW w:w="431"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三级</w:t>
            </w:r>
          </w:p>
        </w:tc>
        <w:tc>
          <w:tcPr>
            <w:tcW w:w="675"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万家巷</w:t>
            </w:r>
          </w:p>
        </w:tc>
        <w:tc>
          <w:tcPr>
            <w:tcW w:w="749"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建设局后支路</w:t>
            </w:r>
          </w:p>
        </w:tc>
        <w:tc>
          <w:tcPr>
            <w:tcW w:w="600"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320</w:t>
            </w:r>
          </w:p>
        </w:tc>
        <w:tc>
          <w:tcPr>
            <w:tcW w:w="600"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3135</w:t>
            </w:r>
          </w:p>
        </w:tc>
        <w:tc>
          <w:tcPr>
            <w:tcW w:w="524"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693</w:t>
            </w:r>
          </w:p>
        </w:tc>
        <w:tc>
          <w:tcPr>
            <w:tcW w:w="447"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1229</w:t>
            </w:r>
          </w:p>
        </w:tc>
        <w:tc>
          <w:tcPr>
            <w:tcW w:w="451"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23"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5057</w:t>
            </w:r>
          </w:p>
        </w:tc>
      </w:tr>
      <w:tr>
        <w:tblPrEx>
          <w:tblCellMar>
            <w:top w:w="0" w:type="dxa"/>
            <w:left w:w="108" w:type="dxa"/>
            <w:bottom w:w="0" w:type="dxa"/>
            <w:right w:w="108" w:type="dxa"/>
          </w:tblCellMar>
        </w:tblPrEx>
        <w:trPr>
          <w:wBefore w:w="0" w:type="dxa"/>
          <w:wAfter w:w="0" w:type="dxa"/>
          <w:trHeight w:val="624" w:hRule="atLeast"/>
        </w:trPr>
        <w:tc>
          <w:tcPr>
            <w:tcW w:w="431"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三级</w:t>
            </w:r>
          </w:p>
        </w:tc>
        <w:tc>
          <w:tcPr>
            <w:tcW w:w="675"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2"/>
              </w:rPr>
            </w:pPr>
            <w:r>
              <w:rPr>
                <w:rFonts w:hint="eastAsia" w:ascii="宋体" w:hAnsi="宋体" w:cs="宋体"/>
                <w:kern w:val="0"/>
                <w:sz w:val="22"/>
              </w:rPr>
              <w:t>银泰周边小路</w:t>
            </w:r>
          </w:p>
          <w:p>
            <w:pPr>
              <w:widowControl/>
              <w:jc w:val="center"/>
              <w:rPr>
                <w:rFonts w:ascii="宋体" w:hAnsi="宋体" w:cs="宋体"/>
                <w:kern w:val="0"/>
                <w:sz w:val="22"/>
              </w:rPr>
            </w:pPr>
            <w:r>
              <w:rPr>
                <w:rFonts w:hint="eastAsia" w:ascii="宋体" w:hAnsi="宋体" w:cs="宋体"/>
                <w:kern w:val="0"/>
                <w:sz w:val="22"/>
              </w:rPr>
              <w:t>（贤中路、银扬街、时兴街）</w:t>
            </w:r>
          </w:p>
        </w:tc>
        <w:tc>
          <w:tcPr>
            <w:tcW w:w="749"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笛扬路-兴越路</w:t>
            </w:r>
          </w:p>
        </w:tc>
        <w:tc>
          <w:tcPr>
            <w:tcW w:w="600"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990</w:t>
            </w:r>
          </w:p>
        </w:tc>
        <w:tc>
          <w:tcPr>
            <w:tcW w:w="600"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5974</w:t>
            </w:r>
          </w:p>
        </w:tc>
        <w:tc>
          <w:tcPr>
            <w:tcW w:w="524"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8365</w:t>
            </w:r>
          </w:p>
        </w:tc>
        <w:tc>
          <w:tcPr>
            <w:tcW w:w="447"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451"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23"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14338</w:t>
            </w:r>
          </w:p>
        </w:tc>
      </w:tr>
      <w:tr>
        <w:tblPrEx>
          <w:tblCellMar>
            <w:top w:w="0" w:type="dxa"/>
            <w:left w:w="108" w:type="dxa"/>
            <w:bottom w:w="0" w:type="dxa"/>
            <w:right w:w="108" w:type="dxa"/>
          </w:tblCellMar>
        </w:tblPrEx>
        <w:trPr>
          <w:wBefore w:w="0" w:type="dxa"/>
          <w:wAfter w:w="0" w:type="dxa"/>
          <w:trHeight w:val="624" w:hRule="atLeast"/>
        </w:trPr>
        <w:tc>
          <w:tcPr>
            <w:tcW w:w="43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三级</w:t>
            </w:r>
          </w:p>
        </w:tc>
        <w:tc>
          <w:tcPr>
            <w:tcW w:w="675"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其它道路</w:t>
            </w:r>
          </w:p>
        </w:tc>
        <w:tc>
          <w:tcPr>
            <w:tcW w:w="749"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GN-2地块支路(3条)+金色水岸道路</w:t>
            </w:r>
          </w:p>
        </w:tc>
        <w:tc>
          <w:tcPr>
            <w:tcW w:w="600"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2134</w:t>
            </w:r>
          </w:p>
        </w:tc>
        <w:tc>
          <w:tcPr>
            <w:tcW w:w="600"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18733</w:t>
            </w:r>
          </w:p>
        </w:tc>
        <w:tc>
          <w:tcPr>
            <w:tcW w:w="524"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11015</w:t>
            </w:r>
          </w:p>
        </w:tc>
        <w:tc>
          <w:tcPr>
            <w:tcW w:w="447"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1229</w:t>
            </w:r>
          </w:p>
        </w:tc>
        <w:tc>
          <w:tcPr>
            <w:tcW w:w="451"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23"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30977</w:t>
            </w:r>
          </w:p>
        </w:tc>
      </w:tr>
      <w:tr>
        <w:tblPrEx>
          <w:tblCellMar>
            <w:top w:w="0" w:type="dxa"/>
            <w:left w:w="108" w:type="dxa"/>
            <w:bottom w:w="0" w:type="dxa"/>
            <w:right w:w="108" w:type="dxa"/>
          </w:tblCellMar>
        </w:tblPrEx>
        <w:trPr>
          <w:wBefore w:w="0" w:type="dxa"/>
          <w:wAfter w:w="0" w:type="dxa"/>
          <w:trHeight w:val="624" w:hRule="atLeast"/>
        </w:trPr>
        <w:tc>
          <w:tcPr>
            <w:tcW w:w="43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三级</w:t>
            </w:r>
          </w:p>
        </w:tc>
        <w:tc>
          <w:tcPr>
            <w:tcW w:w="675"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纺都路支路</w:t>
            </w:r>
          </w:p>
        </w:tc>
        <w:tc>
          <w:tcPr>
            <w:tcW w:w="749"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钱陶公路-纺都路</w:t>
            </w:r>
          </w:p>
        </w:tc>
        <w:tc>
          <w:tcPr>
            <w:tcW w:w="600"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468</w:t>
            </w:r>
          </w:p>
        </w:tc>
        <w:tc>
          <w:tcPr>
            <w:tcW w:w="600"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4078</w:t>
            </w:r>
          </w:p>
        </w:tc>
        <w:tc>
          <w:tcPr>
            <w:tcW w:w="524" w:type="pct"/>
            <w:tcBorders>
              <w:top w:val="single" w:color="auto" w:sz="4" w:space="0"/>
              <w:left w:val="nil"/>
              <w:bottom w:val="nil"/>
              <w:right w:val="nil"/>
            </w:tcBorders>
            <w:noWrap/>
            <w:vAlign w:val="center"/>
          </w:tcPr>
          <w:p>
            <w:pPr>
              <w:widowControl/>
              <w:jc w:val="center"/>
              <w:rPr>
                <w:rFonts w:ascii="宋体" w:hAnsi="宋体" w:cs="宋体"/>
                <w:kern w:val="0"/>
                <w:sz w:val="22"/>
              </w:rPr>
            </w:pPr>
          </w:p>
        </w:tc>
        <w:tc>
          <w:tcPr>
            <w:tcW w:w="447"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p>
        </w:tc>
        <w:tc>
          <w:tcPr>
            <w:tcW w:w="451"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23"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4078</w:t>
            </w:r>
          </w:p>
        </w:tc>
      </w:tr>
      <w:tr>
        <w:tblPrEx>
          <w:tblCellMar>
            <w:top w:w="0" w:type="dxa"/>
            <w:left w:w="108" w:type="dxa"/>
            <w:bottom w:w="0" w:type="dxa"/>
            <w:right w:w="108" w:type="dxa"/>
          </w:tblCellMar>
        </w:tblPrEx>
        <w:trPr>
          <w:wBefore w:w="0" w:type="dxa"/>
          <w:wAfter w:w="0" w:type="dxa"/>
          <w:trHeight w:val="624" w:hRule="atLeast"/>
        </w:trPr>
        <w:tc>
          <w:tcPr>
            <w:tcW w:w="43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三级</w:t>
            </w:r>
          </w:p>
        </w:tc>
        <w:tc>
          <w:tcPr>
            <w:tcW w:w="675"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华舍路</w:t>
            </w:r>
          </w:p>
        </w:tc>
        <w:tc>
          <w:tcPr>
            <w:tcW w:w="749"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民生路-支六路</w:t>
            </w:r>
          </w:p>
        </w:tc>
        <w:tc>
          <w:tcPr>
            <w:tcW w:w="600"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494</w:t>
            </w:r>
          </w:p>
        </w:tc>
        <w:tc>
          <w:tcPr>
            <w:tcW w:w="600"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6526</w:t>
            </w:r>
          </w:p>
        </w:tc>
        <w:tc>
          <w:tcPr>
            <w:tcW w:w="524"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2585</w:t>
            </w:r>
          </w:p>
        </w:tc>
        <w:tc>
          <w:tcPr>
            <w:tcW w:w="447"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1128</w:t>
            </w:r>
          </w:p>
        </w:tc>
        <w:tc>
          <w:tcPr>
            <w:tcW w:w="451"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23"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10239</w:t>
            </w:r>
          </w:p>
        </w:tc>
      </w:tr>
      <w:tr>
        <w:tblPrEx>
          <w:tblCellMar>
            <w:top w:w="0" w:type="dxa"/>
            <w:left w:w="108" w:type="dxa"/>
            <w:bottom w:w="0" w:type="dxa"/>
            <w:right w:w="108" w:type="dxa"/>
          </w:tblCellMar>
        </w:tblPrEx>
        <w:trPr>
          <w:wBefore w:w="0" w:type="dxa"/>
          <w:wAfter w:w="0" w:type="dxa"/>
          <w:trHeight w:val="624" w:hRule="atLeast"/>
        </w:trPr>
        <w:tc>
          <w:tcPr>
            <w:tcW w:w="43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公园、绿化带</w:t>
            </w:r>
          </w:p>
        </w:tc>
        <w:tc>
          <w:tcPr>
            <w:tcW w:w="675"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金色水岸沿河绿化带</w:t>
            </w:r>
          </w:p>
        </w:tc>
        <w:tc>
          <w:tcPr>
            <w:tcW w:w="749"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600"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600"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24"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447"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451"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8435</w:t>
            </w:r>
          </w:p>
        </w:tc>
        <w:tc>
          <w:tcPr>
            <w:tcW w:w="523"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8435</w:t>
            </w:r>
          </w:p>
        </w:tc>
      </w:tr>
      <w:tr>
        <w:tblPrEx>
          <w:tblCellMar>
            <w:top w:w="0" w:type="dxa"/>
            <w:left w:w="108" w:type="dxa"/>
            <w:bottom w:w="0" w:type="dxa"/>
            <w:right w:w="108" w:type="dxa"/>
          </w:tblCellMar>
        </w:tblPrEx>
        <w:trPr>
          <w:wBefore w:w="0" w:type="dxa"/>
          <w:wAfter w:w="0" w:type="dxa"/>
          <w:trHeight w:val="624" w:hRule="atLeast"/>
        </w:trPr>
        <w:tc>
          <w:tcPr>
            <w:tcW w:w="431"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公园、绿化带</w:t>
            </w:r>
          </w:p>
        </w:tc>
        <w:tc>
          <w:tcPr>
            <w:tcW w:w="675"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湖东路东侧绿化带</w:t>
            </w:r>
          </w:p>
        </w:tc>
        <w:tc>
          <w:tcPr>
            <w:tcW w:w="749"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600"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600"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24"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447"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451"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11041</w:t>
            </w:r>
          </w:p>
        </w:tc>
        <w:tc>
          <w:tcPr>
            <w:tcW w:w="523"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11041</w:t>
            </w:r>
          </w:p>
        </w:tc>
      </w:tr>
      <w:tr>
        <w:tblPrEx>
          <w:tblCellMar>
            <w:top w:w="0" w:type="dxa"/>
            <w:left w:w="108" w:type="dxa"/>
            <w:bottom w:w="0" w:type="dxa"/>
            <w:right w:w="108" w:type="dxa"/>
          </w:tblCellMar>
        </w:tblPrEx>
        <w:trPr>
          <w:wBefore w:w="0" w:type="dxa"/>
          <w:wAfter w:w="0" w:type="dxa"/>
          <w:trHeight w:val="624" w:hRule="atLeast"/>
        </w:trPr>
        <w:tc>
          <w:tcPr>
            <w:tcW w:w="431"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公园、绿化带</w:t>
            </w:r>
          </w:p>
        </w:tc>
        <w:tc>
          <w:tcPr>
            <w:tcW w:w="675"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客运中心对面绿化带</w:t>
            </w:r>
          </w:p>
        </w:tc>
        <w:tc>
          <w:tcPr>
            <w:tcW w:w="749"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600"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600"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24"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447"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451"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17676</w:t>
            </w:r>
          </w:p>
        </w:tc>
        <w:tc>
          <w:tcPr>
            <w:tcW w:w="523"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17676</w:t>
            </w:r>
          </w:p>
        </w:tc>
      </w:tr>
      <w:tr>
        <w:tblPrEx>
          <w:tblCellMar>
            <w:top w:w="0" w:type="dxa"/>
            <w:left w:w="108" w:type="dxa"/>
            <w:bottom w:w="0" w:type="dxa"/>
            <w:right w:w="108" w:type="dxa"/>
          </w:tblCellMar>
        </w:tblPrEx>
        <w:trPr>
          <w:wBefore w:w="0" w:type="dxa"/>
          <w:wAfter w:w="0" w:type="dxa"/>
          <w:trHeight w:val="624" w:hRule="atLeast"/>
        </w:trPr>
        <w:tc>
          <w:tcPr>
            <w:tcW w:w="431"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公园、绿化带</w:t>
            </w:r>
          </w:p>
        </w:tc>
        <w:tc>
          <w:tcPr>
            <w:tcW w:w="675"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亲馨家园北侧沿河绿化带</w:t>
            </w:r>
          </w:p>
        </w:tc>
        <w:tc>
          <w:tcPr>
            <w:tcW w:w="749"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600"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600"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24"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447"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451"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17544</w:t>
            </w:r>
          </w:p>
        </w:tc>
        <w:tc>
          <w:tcPr>
            <w:tcW w:w="523"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17544</w:t>
            </w:r>
          </w:p>
        </w:tc>
      </w:tr>
      <w:tr>
        <w:tblPrEx>
          <w:tblCellMar>
            <w:top w:w="0" w:type="dxa"/>
            <w:left w:w="108" w:type="dxa"/>
            <w:bottom w:w="0" w:type="dxa"/>
            <w:right w:w="108" w:type="dxa"/>
          </w:tblCellMar>
        </w:tblPrEx>
        <w:trPr>
          <w:wBefore w:w="0" w:type="dxa"/>
          <w:wAfter w:w="0" w:type="dxa"/>
          <w:trHeight w:val="624" w:hRule="atLeast"/>
        </w:trPr>
        <w:tc>
          <w:tcPr>
            <w:tcW w:w="431"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公园、绿化带</w:t>
            </w:r>
          </w:p>
        </w:tc>
        <w:tc>
          <w:tcPr>
            <w:tcW w:w="675"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裕民路北侧绿化带</w:t>
            </w:r>
          </w:p>
        </w:tc>
        <w:tc>
          <w:tcPr>
            <w:tcW w:w="749"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600"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600"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24"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447"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451"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11452</w:t>
            </w:r>
          </w:p>
        </w:tc>
        <w:tc>
          <w:tcPr>
            <w:tcW w:w="523"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11452</w:t>
            </w:r>
          </w:p>
        </w:tc>
      </w:tr>
      <w:tr>
        <w:tblPrEx>
          <w:tblCellMar>
            <w:top w:w="0" w:type="dxa"/>
            <w:left w:w="108" w:type="dxa"/>
            <w:bottom w:w="0" w:type="dxa"/>
            <w:right w:w="108" w:type="dxa"/>
          </w:tblCellMar>
        </w:tblPrEx>
        <w:trPr>
          <w:wBefore w:w="0" w:type="dxa"/>
          <w:wAfter w:w="0" w:type="dxa"/>
          <w:trHeight w:val="624" w:hRule="atLeast"/>
        </w:trPr>
        <w:tc>
          <w:tcPr>
            <w:tcW w:w="431"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公园、绿化带</w:t>
            </w:r>
          </w:p>
        </w:tc>
        <w:tc>
          <w:tcPr>
            <w:tcW w:w="675"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纺都路南侧绿化带</w:t>
            </w:r>
          </w:p>
        </w:tc>
        <w:tc>
          <w:tcPr>
            <w:tcW w:w="749"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600"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600"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24"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447"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451"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13609</w:t>
            </w:r>
          </w:p>
        </w:tc>
        <w:tc>
          <w:tcPr>
            <w:tcW w:w="523"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13609</w:t>
            </w:r>
          </w:p>
        </w:tc>
      </w:tr>
      <w:tr>
        <w:tblPrEx>
          <w:tblCellMar>
            <w:top w:w="0" w:type="dxa"/>
            <w:left w:w="108" w:type="dxa"/>
            <w:bottom w:w="0" w:type="dxa"/>
            <w:right w:w="108" w:type="dxa"/>
          </w:tblCellMar>
        </w:tblPrEx>
        <w:trPr>
          <w:wBefore w:w="0" w:type="dxa"/>
          <w:wAfter w:w="0" w:type="dxa"/>
          <w:trHeight w:val="624" w:hRule="atLeast"/>
        </w:trPr>
        <w:tc>
          <w:tcPr>
            <w:tcW w:w="431"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公园、绿化带</w:t>
            </w:r>
          </w:p>
        </w:tc>
        <w:tc>
          <w:tcPr>
            <w:tcW w:w="675"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绸缎路中段绿化带</w:t>
            </w:r>
          </w:p>
        </w:tc>
        <w:tc>
          <w:tcPr>
            <w:tcW w:w="749"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600"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600"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24"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447"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451"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22000</w:t>
            </w:r>
          </w:p>
        </w:tc>
        <w:tc>
          <w:tcPr>
            <w:tcW w:w="523"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22000</w:t>
            </w:r>
          </w:p>
        </w:tc>
      </w:tr>
      <w:tr>
        <w:tblPrEx>
          <w:tblCellMar>
            <w:top w:w="0" w:type="dxa"/>
            <w:left w:w="108" w:type="dxa"/>
            <w:bottom w:w="0" w:type="dxa"/>
            <w:right w:w="108" w:type="dxa"/>
          </w:tblCellMar>
        </w:tblPrEx>
        <w:trPr>
          <w:wBefore w:w="0" w:type="dxa"/>
          <w:wAfter w:w="0" w:type="dxa"/>
          <w:trHeight w:val="624" w:hRule="atLeast"/>
        </w:trPr>
        <w:tc>
          <w:tcPr>
            <w:tcW w:w="431"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公园、绿化带</w:t>
            </w:r>
          </w:p>
        </w:tc>
        <w:tc>
          <w:tcPr>
            <w:tcW w:w="675"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高速出口绿化带</w:t>
            </w:r>
          </w:p>
        </w:tc>
        <w:tc>
          <w:tcPr>
            <w:tcW w:w="749"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600"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600"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24"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447"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451"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50000</w:t>
            </w:r>
          </w:p>
        </w:tc>
        <w:tc>
          <w:tcPr>
            <w:tcW w:w="523"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50000</w:t>
            </w:r>
          </w:p>
        </w:tc>
      </w:tr>
      <w:tr>
        <w:tblPrEx>
          <w:tblCellMar>
            <w:top w:w="0" w:type="dxa"/>
            <w:left w:w="108" w:type="dxa"/>
            <w:bottom w:w="0" w:type="dxa"/>
            <w:right w:w="108" w:type="dxa"/>
          </w:tblCellMar>
        </w:tblPrEx>
        <w:trPr>
          <w:wBefore w:w="0" w:type="dxa"/>
          <w:wAfter w:w="0" w:type="dxa"/>
          <w:trHeight w:val="624" w:hRule="atLeast"/>
        </w:trPr>
        <w:tc>
          <w:tcPr>
            <w:tcW w:w="4477" w:type="pct"/>
            <w:gridSpan w:val="8"/>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2"/>
              </w:rPr>
            </w:pPr>
            <w:r>
              <w:rPr>
                <w:rFonts w:hint="eastAsia" w:ascii="宋体" w:hAnsi="宋体" w:cs="宋体"/>
                <w:kern w:val="0"/>
                <w:sz w:val="22"/>
              </w:rPr>
              <w:t>合计</w:t>
            </w:r>
          </w:p>
        </w:tc>
        <w:tc>
          <w:tcPr>
            <w:tcW w:w="523" w:type="pct"/>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rPr>
            </w:pPr>
            <w:r>
              <w:rPr>
                <w:rFonts w:hint="eastAsia" w:ascii="宋体" w:hAnsi="宋体" w:cs="宋体"/>
                <w:kern w:val="0"/>
                <w:sz w:val="22"/>
              </w:rPr>
              <w:t>2431163</w:t>
            </w:r>
          </w:p>
        </w:tc>
      </w:tr>
      <w:tr>
        <w:tblPrEx>
          <w:tblCellMar>
            <w:top w:w="0" w:type="dxa"/>
            <w:left w:w="108" w:type="dxa"/>
            <w:bottom w:w="0" w:type="dxa"/>
            <w:right w:w="108" w:type="dxa"/>
          </w:tblCellMar>
        </w:tblPrEx>
        <w:trPr>
          <w:wBefore w:w="0" w:type="dxa"/>
          <w:wAfter w:w="0" w:type="dxa"/>
          <w:trHeight w:val="624" w:hRule="atLeast"/>
        </w:trPr>
        <w:tc>
          <w:tcPr>
            <w:tcW w:w="5000" w:type="pct"/>
            <w:gridSpan w:val="9"/>
            <w:tcBorders>
              <w:top w:val="single" w:color="auto" w:sz="4" w:space="0"/>
              <w:left w:val="single" w:color="auto" w:sz="4" w:space="0"/>
              <w:bottom w:val="single" w:color="auto" w:sz="4" w:space="0"/>
              <w:right w:val="single" w:color="auto" w:sz="4" w:space="0"/>
            </w:tcBorders>
            <w:noWrap/>
            <w:vAlign w:val="center"/>
          </w:tcPr>
          <w:p>
            <w:pPr>
              <w:rPr>
                <w:rFonts w:hint="eastAsia"/>
                <w:b/>
                <w:sz w:val="22"/>
                <w:szCs w:val="22"/>
              </w:rPr>
            </w:pPr>
            <w:r>
              <w:rPr>
                <w:rFonts w:hint="eastAsia"/>
                <w:b/>
                <w:sz w:val="22"/>
                <w:szCs w:val="22"/>
              </w:rPr>
              <w:t>1.最低保洁人员：白班125人，晚班60人，快速保洁47人，冲洗14人，清运18人，驾驶员43人，管理人员3人，合计310人。</w:t>
            </w:r>
          </w:p>
          <w:p>
            <w:pPr>
              <w:rPr>
                <w:rFonts w:hint="eastAsia"/>
                <w:sz w:val="22"/>
                <w:szCs w:val="22"/>
              </w:rPr>
            </w:pPr>
            <w:r>
              <w:rPr>
                <w:rFonts w:hint="eastAsia"/>
                <w:sz w:val="22"/>
                <w:szCs w:val="22"/>
              </w:rPr>
              <w:t>2.</w:t>
            </w:r>
            <w:r>
              <w:rPr>
                <w:rFonts w:hint="eastAsia" w:ascii="宋体" w:hAnsi="宋体"/>
                <w:sz w:val="24"/>
              </w:rPr>
              <w:t xml:space="preserve"> </w:t>
            </w:r>
            <w:r>
              <w:rPr>
                <w:rFonts w:hint="eastAsia"/>
                <w:sz w:val="22"/>
                <w:szCs w:val="22"/>
              </w:rPr>
              <w:t>定点单位垃圾直运，采用压缩车收集直运至垃圾处置终端(垃圾焚烧场、垃圾填埋场)，垃圾处置终端费用由环卫中心承担。</w:t>
            </w:r>
          </w:p>
          <w:p>
            <w:pPr>
              <w:rPr>
                <w:rFonts w:hint="eastAsia"/>
                <w:sz w:val="22"/>
                <w:szCs w:val="22"/>
              </w:rPr>
            </w:pPr>
            <w:r>
              <w:rPr>
                <w:rFonts w:hint="eastAsia"/>
                <w:sz w:val="22"/>
                <w:szCs w:val="22"/>
              </w:rPr>
              <w:t>3.</w:t>
            </w:r>
            <w:r>
              <w:rPr>
                <w:rFonts w:hint="eastAsia"/>
              </w:rPr>
              <w:t xml:space="preserve"> </w:t>
            </w:r>
            <w:r>
              <w:rPr>
                <w:rFonts w:hint="eastAsia"/>
                <w:sz w:val="22"/>
                <w:szCs w:val="22"/>
              </w:rPr>
              <w:t>垃圾收集清运小区及单位(其他垃圾分类桶)：双川小区、裕民西区、双梅小区、裕民小区、梅川小区、迎丰小区(安置)、瓜渚湖1号公馆、兴越西区、区财政局、区人民法院、区人民检察院、区税务局、区建设局、区执法局、区行政审批中心、柯桥交警中队；蓝天商业中心、国际商贸城、天虹百货、富丽华大酒店、市心广场、之江学院、排水公司、行政服务中心、沃德酒店、时代广场、万国中心、中心医院、永利地产、金汇大厦、实验中学（裕民路校区）、中广有线、传媒集团、三匠汽车（大众4S）、会展中心（新旧两处）、万达广场商贸区（地下车库）、万达金街、财智国际、海洲国际、宝汇大厦、众畴纺织(外贸大厦)、屹男中心（风仪大厦）、国贸大厦、环球商务大厦、公交公司之江学院、瑞丰银行（笛扬路）、交警大队、计生服务中心、区政府、水务集团、勤业广场、新华书店、华鑫大厦、人社局、信访局、活水工程、聚银商圈周边、虾路江河道垃圾上岸点。</w:t>
            </w:r>
          </w:p>
          <w:p>
            <w:pPr>
              <w:rPr>
                <w:rFonts w:hint="eastAsia"/>
                <w:b/>
                <w:sz w:val="22"/>
                <w:szCs w:val="22"/>
              </w:rPr>
            </w:pPr>
            <w:r>
              <w:rPr>
                <w:rFonts w:hint="eastAsia"/>
                <w:sz w:val="22"/>
                <w:szCs w:val="22"/>
              </w:rPr>
              <w:t>备注：道路面积已包含绿化隔离带及两侧绿化带（花坛）等小块绿化带面积。</w:t>
            </w:r>
          </w:p>
        </w:tc>
      </w:tr>
    </w:tbl>
    <w:p>
      <w:pPr>
        <w:jc w:val="left"/>
        <w:rPr>
          <w:rFonts w:hint="eastAsia"/>
          <w:sz w:val="24"/>
        </w:rPr>
      </w:pPr>
    </w:p>
    <w:p>
      <w:pPr>
        <w:jc w:val="center"/>
        <w:rPr>
          <w:rFonts w:hint="eastAsia"/>
          <w:b/>
          <w:sz w:val="28"/>
        </w:rPr>
      </w:pPr>
      <w:r>
        <w:rPr>
          <w:rFonts w:hint="eastAsia"/>
          <w:b/>
          <w:bCs/>
          <w:sz w:val="30"/>
        </w:rPr>
        <w:t>II标：柯中标段</w:t>
      </w:r>
      <w:r>
        <w:rPr>
          <w:rFonts w:hint="eastAsia" w:ascii="宋体" w:hAnsi="宋体"/>
          <w:b/>
          <w:bCs/>
          <w:sz w:val="30"/>
          <w:szCs w:val="30"/>
        </w:rPr>
        <w:t>道路面积及工作任务清单</w:t>
      </w:r>
    </w:p>
    <w:tbl>
      <w:tblPr>
        <w:tblStyle w:val="41"/>
        <w:tblW w:w="5092" w:type="pct"/>
        <w:tblInd w:w="0" w:type="dxa"/>
        <w:tblLayout w:type="fixed"/>
        <w:tblCellMar>
          <w:top w:w="0" w:type="dxa"/>
          <w:left w:w="108" w:type="dxa"/>
          <w:bottom w:w="0" w:type="dxa"/>
          <w:right w:w="108" w:type="dxa"/>
        </w:tblCellMar>
      </w:tblPr>
      <w:tblGrid>
        <w:gridCol w:w="995"/>
        <w:gridCol w:w="1756"/>
        <w:gridCol w:w="1472"/>
        <w:gridCol w:w="850"/>
        <w:gridCol w:w="990"/>
        <w:gridCol w:w="990"/>
        <w:gridCol w:w="710"/>
        <w:gridCol w:w="992"/>
        <w:gridCol w:w="992"/>
      </w:tblGrid>
      <w:tr>
        <w:tblPrEx>
          <w:tblCellMar>
            <w:top w:w="0" w:type="dxa"/>
            <w:left w:w="108" w:type="dxa"/>
            <w:bottom w:w="0" w:type="dxa"/>
            <w:right w:w="108" w:type="dxa"/>
          </w:tblCellMar>
        </w:tblPrEx>
        <w:trPr>
          <w:wBefore w:w="0" w:type="dxa"/>
          <w:wAfter w:w="0" w:type="dxa"/>
          <w:trHeight w:val="550" w:hRule="atLeast"/>
        </w:trPr>
        <w:tc>
          <w:tcPr>
            <w:tcW w:w="510"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道路等级</w:t>
            </w:r>
          </w:p>
        </w:tc>
        <w:tc>
          <w:tcPr>
            <w:tcW w:w="901"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名称</w:t>
            </w:r>
          </w:p>
        </w:tc>
        <w:tc>
          <w:tcPr>
            <w:tcW w:w="755"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起止地点</w:t>
            </w:r>
          </w:p>
        </w:tc>
        <w:tc>
          <w:tcPr>
            <w:tcW w:w="436"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长度（m）</w:t>
            </w:r>
          </w:p>
        </w:tc>
        <w:tc>
          <w:tcPr>
            <w:tcW w:w="508"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机动车道面积</w:t>
            </w:r>
          </w:p>
        </w:tc>
        <w:tc>
          <w:tcPr>
            <w:tcW w:w="508"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人行道面积</w:t>
            </w:r>
          </w:p>
        </w:tc>
        <w:tc>
          <w:tcPr>
            <w:tcW w:w="364"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退让</w:t>
            </w:r>
          </w:p>
        </w:tc>
        <w:tc>
          <w:tcPr>
            <w:tcW w:w="509"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绿化带面积</w:t>
            </w:r>
          </w:p>
        </w:tc>
        <w:tc>
          <w:tcPr>
            <w:tcW w:w="509"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总面积（m</w:t>
            </w:r>
            <w:r>
              <w:rPr>
                <w:rFonts w:hint="eastAsia" w:ascii="宋体" w:hAnsi="宋体" w:cs="宋体"/>
                <w:kern w:val="0"/>
                <w:sz w:val="22"/>
                <w:szCs w:val="22"/>
                <w:vertAlign w:val="superscript"/>
              </w:rPr>
              <w:t>2</w:t>
            </w:r>
            <w:r>
              <w:rPr>
                <w:rFonts w:hint="eastAsia" w:ascii="宋体" w:hAnsi="宋体" w:cs="宋体"/>
                <w:kern w:val="0"/>
                <w:sz w:val="22"/>
                <w:szCs w:val="22"/>
              </w:rPr>
              <w:t>）</w:t>
            </w:r>
          </w:p>
        </w:tc>
      </w:tr>
      <w:tr>
        <w:tblPrEx>
          <w:tblCellMar>
            <w:top w:w="0" w:type="dxa"/>
            <w:left w:w="108" w:type="dxa"/>
            <w:bottom w:w="0" w:type="dxa"/>
            <w:right w:w="108" w:type="dxa"/>
          </w:tblCellMar>
        </w:tblPrEx>
        <w:trPr>
          <w:wBefore w:w="0" w:type="dxa"/>
          <w:wAfter w:w="0" w:type="dxa"/>
          <w:trHeight w:val="680" w:hRule="atLeast"/>
        </w:trPr>
        <w:tc>
          <w:tcPr>
            <w:tcW w:w="510"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一级</w:t>
            </w:r>
          </w:p>
        </w:tc>
        <w:tc>
          <w:tcPr>
            <w:tcW w:w="901"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金柯桥大道</w:t>
            </w:r>
          </w:p>
        </w:tc>
        <w:tc>
          <w:tcPr>
            <w:tcW w:w="755"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鉴湖路-群贤路</w:t>
            </w:r>
          </w:p>
        </w:tc>
        <w:tc>
          <w:tcPr>
            <w:tcW w:w="436"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1325</w:t>
            </w:r>
          </w:p>
        </w:tc>
        <w:tc>
          <w:tcPr>
            <w:tcW w:w="508"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50045</w:t>
            </w:r>
          </w:p>
        </w:tc>
        <w:tc>
          <w:tcPr>
            <w:tcW w:w="508"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12343</w:t>
            </w:r>
          </w:p>
        </w:tc>
        <w:tc>
          <w:tcPr>
            <w:tcW w:w="364"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6002</w:t>
            </w:r>
          </w:p>
        </w:tc>
        <w:tc>
          <w:tcPr>
            <w:tcW w:w="509"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09"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68390</w:t>
            </w:r>
          </w:p>
        </w:tc>
      </w:tr>
      <w:tr>
        <w:tblPrEx>
          <w:tblCellMar>
            <w:top w:w="0" w:type="dxa"/>
            <w:left w:w="108" w:type="dxa"/>
            <w:bottom w:w="0" w:type="dxa"/>
            <w:right w:w="108" w:type="dxa"/>
          </w:tblCellMar>
        </w:tblPrEx>
        <w:trPr>
          <w:wBefore w:w="0" w:type="dxa"/>
          <w:wAfter w:w="0" w:type="dxa"/>
          <w:trHeight w:val="680" w:hRule="atLeast"/>
        </w:trPr>
        <w:tc>
          <w:tcPr>
            <w:tcW w:w="510"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一级</w:t>
            </w:r>
          </w:p>
        </w:tc>
        <w:tc>
          <w:tcPr>
            <w:tcW w:w="901"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笛扬路</w:t>
            </w:r>
          </w:p>
        </w:tc>
        <w:tc>
          <w:tcPr>
            <w:tcW w:w="755"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104国道-群贤路</w:t>
            </w:r>
          </w:p>
        </w:tc>
        <w:tc>
          <w:tcPr>
            <w:tcW w:w="436"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2275</w:t>
            </w:r>
          </w:p>
        </w:tc>
        <w:tc>
          <w:tcPr>
            <w:tcW w:w="508"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49643</w:t>
            </w:r>
          </w:p>
        </w:tc>
        <w:tc>
          <w:tcPr>
            <w:tcW w:w="508"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24895</w:t>
            </w:r>
          </w:p>
        </w:tc>
        <w:tc>
          <w:tcPr>
            <w:tcW w:w="364"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7796</w:t>
            </w:r>
          </w:p>
        </w:tc>
        <w:tc>
          <w:tcPr>
            <w:tcW w:w="509"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09"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82334</w:t>
            </w:r>
          </w:p>
        </w:tc>
      </w:tr>
      <w:tr>
        <w:tblPrEx>
          <w:tblCellMar>
            <w:top w:w="0" w:type="dxa"/>
            <w:left w:w="108" w:type="dxa"/>
            <w:bottom w:w="0" w:type="dxa"/>
            <w:right w:w="108" w:type="dxa"/>
          </w:tblCellMar>
        </w:tblPrEx>
        <w:trPr>
          <w:wBefore w:w="0" w:type="dxa"/>
          <w:wAfter w:w="0" w:type="dxa"/>
          <w:trHeight w:val="680" w:hRule="atLeast"/>
        </w:trPr>
        <w:tc>
          <w:tcPr>
            <w:tcW w:w="510"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一级</w:t>
            </w:r>
          </w:p>
        </w:tc>
        <w:tc>
          <w:tcPr>
            <w:tcW w:w="901"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育才路</w:t>
            </w:r>
          </w:p>
        </w:tc>
        <w:tc>
          <w:tcPr>
            <w:tcW w:w="755"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104国道-群贤路</w:t>
            </w:r>
          </w:p>
        </w:tc>
        <w:tc>
          <w:tcPr>
            <w:tcW w:w="436"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2152</w:t>
            </w:r>
          </w:p>
        </w:tc>
        <w:tc>
          <w:tcPr>
            <w:tcW w:w="508"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51735</w:t>
            </w:r>
          </w:p>
        </w:tc>
        <w:tc>
          <w:tcPr>
            <w:tcW w:w="508"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16026</w:t>
            </w:r>
          </w:p>
        </w:tc>
        <w:tc>
          <w:tcPr>
            <w:tcW w:w="364"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8512</w:t>
            </w:r>
          </w:p>
        </w:tc>
        <w:tc>
          <w:tcPr>
            <w:tcW w:w="509"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09"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76273</w:t>
            </w:r>
          </w:p>
        </w:tc>
      </w:tr>
      <w:tr>
        <w:tblPrEx>
          <w:tblCellMar>
            <w:top w:w="0" w:type="dxa"/>
            <w:left w:w="108" w:type="dxa"/>
            <w:bottom w:w="0" w:type="dxa"/>
            <w:right w:w="108" w:type="dxa"/>
          </w:tblCellMar>
        </w:tblPrEx>
        <w:trPr>
          <w:wBefore w:w="0" w:type="dxa"/>
          <w:wAfter w:w="0" w:type="dxa"/>
          <w:trHeight w:val="680" w:hRule="atLeast"/>
        </w:trPr>
        <w:tc>
          <w:tcPr>
            <w:tcW w:w="510"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一级</w:t>
            </w:r>
          </w:p>
        </w:tc>
        <w:tc>
          <w:tcPr>
            <w:tcW w:w="901"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鉴湖路</w:t>
            </w:r>
          </w:p>
        </w:tc>
        <w:tc>
          <w:tcPr>
            <w:tcW w:w="755"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越州大道-金柯桥大道</w:t>
            </w:r>
          </w:p>
        </w:tc>
        <w:tc>
          <w:tcPr>
            <w:tcW w:w="436"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2179</w:t>
            </w:r>
          </w:p>
        </w:tc>
        <w:tc>
          <w:tcPr>
            <w:tcW w:w="508"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56199</w:t>
            </w:r>
          </w:p>
        </w:tc>
        <w:tc>
          <w:tcPr>
            <w:tcW w:w="508"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20537</w:t>
            </w:r>
          </w:p>
        </w:tc>
        <w:tc>
          <w:tcPr>
            <w:tcW w:w="364"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13043</w:t>
            </w:r>
          </w:p>
        </w:tc>
        <w:tc>
          <w:tcPr>
            <w:tcW w:w="509"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09"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89778</w:t>
            </w:r>
          </w:p>
        </w:tc>
      </w:tr>
      <w:tr>
        <w:tblPrEx>
          <w:tblCellMar>
            <w:top w:w="0" w:type="dxa"/>
            <w:left w:w="108" w:type="dxa"/>
            <w:bottom w:w="0" w:type="dxa"/>
            <w:right w:w="108" w:type="dxa"/>
          </w:tblCellMar>
        </w:tblPrEx>
        <w:trPr>
          <w:wBefore w:w="0" w:type="dxa"/>
          <w:wAfter w:w="0" w:type="dxa"/>
          <w:trHeight w:val="680" w:hRule="atLeast"/>
        </w:trPr>
        <w:tc>
          <w:tcPr>
            <w:tcW w:w="510"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一级</w:t>
            </w:r>
          </w:p>
        </w:tc>
        <w:tc>
          <w:tcPr>
            <w:tcW w:w="901"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万商路</w:t>
            </w:r>
          </w:p>
        </w:tc>
        <w:tc>
          <w:tcPr>
            <w:tcW w:w="755"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越州大道-金柯桥大道</w:t>
            </w:r>
          </w:p>
        </w:tc>
        <w:tc>
          <w:tcPr>
            <w:tcW w:w="436"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2209</w:t>
            </w:r>
          </w:p>
        </w:tc>
        <w:tc>
          <w:tcPr>
            <w:tcW w:w="508"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37871</w:t>
            </w:r>
          </w:p>
        </w:tc>
        <w:tc>
          <w:tcPr>
            <w:tcW w:w="508"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19568</w:t>
            </w:r>
          </w:p>
        </w:tc>
        <w:tc>
          <w:tcPr>
            <w:tcW w:w="364"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16102</w:t>
            </w:r>
          </w:p>
        </w:tc>
        <w:tc>
          <w:tcPr>
            <w:tcW w:w="509"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09"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73540</w:t>
            </w:r>
          </w:p>
        </w:tc>
      </w:tr>
      <w:tr>
        <w:tblPrEx>
          <w:tblCellMar>
            <w:top w:w="0" w:type="dxa"/>
            <w:left w:w="108" w:type="dxa"/>
            <w:bottom w:w="0" w:type="dxa"/>
            <w:right w:w="108" w:type="dxa"/>
          </w:tblCellMar>
        </w:tblPrEx>
        <w:trPr>
          <w:wBefore w:w="0" w:type="dxa"/>
          <w:wAfter w:w="0" w:type="dxa"/>
          <w:trHeight w:val="680" w:hRule="atLeast"/>
        </w:trPr>
        <w:tc>
          <w:tcPr>
            <w:tcW w:w="51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2"/>
              </w:rPr>
            </w:pPr>
            <w:r>
              <w:rPr>
                <w:rFonts w:hint="eastAsia" w:ascii="宋体" w:hAnsi="宋体" w:cs="宋体"/>
                <w:kern w:val="0"/>
                <w:sz w:val="22"/>
              </w:rPr>
              <w:t>一级</w:t>
            </w:r>
          </w:p>
        </w:tc>
        <w:tc>
          <w:tcPr>
            <w:tcW w:w="901"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2"/>
              </w:rPr>
            </w:pPr>
            <w:r>
              <w:rPr>
                <w:rFonts w:hint="eastAsia" w:ascii="宋体" w:hAnsi="宋体" w:cs="宋体"/>
                <w:kern w:val="0"/>
                <w:sz w:val="22"/>
              </w:rPr>
              <w:t>万商路</w:t>
            </w:r>
          </w:p>
        </w:tc>
        <w:tc>
          <w:tcPr>
            <w:tcW w:w="755"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2"/>
              </w:rPr>
            </w:pPr>
            <w:r>
              <w:rPr>
                <w:rFonts w:hint="eastAsia" w:ascii="宋体" w:hAnsi="宋体" w:cs="宋体"/>
                <w:kern w:val="0"/>
                <w:sz w:val="22"/>
              </w:rPr>
              <w:t>越州大道-龙湾府大桥</w:t>
            </w:r>
          </w:p>
        </w:tc>
        <w:tc>
          <w:tcPr>
            <w:tcW w:w="436"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2"/>
              </w:rPr>
            </w:pPr>
            <w:r>
              <w:rPr>
                <w:rFonts w:hint="eastAsia" w:ascii="宋体" w:hAnsi="宋体" w:cs="宋体"/>
                <w:kern w:val="0"/>
                <w:sz w:val="22"/>
              </w:rPr>
              <w:t>165</w:t>
            </w:r>
          </w:p>
        </w:tc>
        <w:tc>
          <w:tcPr>
            <w:tcW w:w="50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2"/>
              </w:rPr>
            </w:pPr>
            <w:r>
              <w:rPr>
                <w:rFonts w:hint="eastAsia" w:ascii="宋体" w:hAnsi="宋体" w:cs="宋体"/>
                <w:kern w:val="0"/>
                <w:sz w:val="22"/>
              </w:rPr>
              <w:t>1975</w:t>
            </w:r>
          </w:p>
        </w:tc>
        <w:tc>
          <w:tcPr>
            <w:tcW w:w="50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2"/>
              </w:rPr>
            </w:pPr>
            <w:r>
              <w:rPr>
                <w:rFonts w:hint="eastAsia" w:ascii="宋体" w:hAnsi="宋体" w:cs="宋体"/>
                <w:kern w:val="0"/>
                <w:sz w:val="22"/>
              </w:rPr>
              <w:t>988</w:t>
            </w:r>
          </w:p>
        </w:tc>
        <w:tc>
          <w:tcPr>
            <w:tcW w:w="36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2"/>
              </w:rPr>
            </w:pPr>
          </w:p>
        </w:tc>
        <w:tc>
          <w:tcPr>
            <w:tcW w:w="509"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09"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2"/>
              </w:rPr>
            </w:pPr>
            <w:r>
              <w:rPr>
                <w:rFonts w:hint="eastAsia" w:ascii="宋体" w:hAnsi="宋体" w:cs="宋体"/>
                <w:kern w:val="0"/>
                <w:sz w:val="22"/>
              </w:rPr>
              <w:t>2963</w:t>
            </w:r>
          </w:p>
        </w:tc>
      </w:tr>
      <w:tr>
        <w:tblPrEx>
          <w:tblCellMar>
            <w:top w:w="0" w:type="dxa"/>
            <w:left w:w="108" w:type="dxa"/>
            <w:bottom w:w="0" w:type="dxa"/>
            <w:right w:w="108" w:type="dxa"/>
          </w:tblCellMar>
        </w:tblPrEx>
        <w:trPr>
          <w:wBefore w:w="0" w:type="dxa"/>
          <w:wAfter w:w="0" w:type="dxa"/>
          <w:trHeight w:val="680" w:hRule="atLeast"/>
        </w:trPr>
        <w:tc>
          <w:tcPr>
            <w:tcW w:w="510"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一级</w:t>
            </w:r>
          </w:p>
        </w:tc>
        <w:tc>
          <w:tcPr>
            <w:tcW w:w="901"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瓜渚路</w:t>
            </w:r>
          </w:p>
        </w:tc>
        <w:tc>
          <w:tcPr>
            <w:tcW w:w="755"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越州大道-金柯桥大道</w:t>
            </w:r>
          </w:p>
        </w:tc>
        <w:tc>
          <w:tcPr>
            <w:tcW w:w="436"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1913</w:t>
            </w:r>
          </w:p>
        </w:tc>
        <w:tc>
          <w:tcPr>
            <w:tcW w:w="508"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56872</w:t>
            </w:r>
          </w:p>
        </w:tc>
        <w:tc>
          <w:tcPr>
            <w:tcW w:w="508"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12885</w:t>
            </w:r>
          </w:p>
        </w:tc>
        <w:tc>
          <w:tcPr>
            <w:tcW w:w="364"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9374</w:t>
            </w:r>
          </w:p>
        </w:tc>
        <w:tc>
          <w:tcPr>
            <w:tcW w:w="509"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09"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79131</w:t>
            </w:r>
          </w:p>
        </w:tc>
      </w:tr>
      <w:tr>
        <w:tblPrEx>
          <w:tblCellMar>
            <w:top w:w="0" w:type="dxa"/>
            <w:left w:w="108" w:type="dxa"/>
            <w:bottom w:w="0" w:type="dxa"/>
            <w:right w:w="108" w:type="dxa"/>
          </w:tblCellMar>
        </w:tblPrEx>
        <w:trPr>
          <w:wBefore w:w="0" w:type="dxa"/>
          <w:wAfter w:w="0" w:type="dxa"/>
          <w:trHeight w:val="680" w:hRule="atLeast"/>
        </w:trPr>
        <w:tc>
          <w:tcPr>
            <w:tcW w:w="510"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一级</w:t>
            </w:r>
          </w:p>
        </w:tc>
        <w:tc>
          <w:tcPr>
            <w:tcW w:w="901"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越州大道</w:t>
            </w:r>
          </w:p>
        </w:tc>
        <w:tc>
          <w:tcPr>
            <w:tcW w:w="755"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104国道-群贤路</w:t>
            </w:r>
          </w:p>
        </w:tc>
        <w:tc>
          <w:tcPr>
            <w:tcW w:w="436"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2139</w:t>
            </w:r>
          </w:p>
        </w:tc>
        <w:tc>
          <w:tcPr>
            <w:tcW w:w="508"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59369</w:t>
            </w:r>
          </w:p>
        </w:tc>
        <w:tc>
          <w:tcPr>
            <w:tcW w:w="508"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17819</w:t>
            </w:r>
          </w:p>
        </w:tc>
        <w:tc>
          <w:tcPr>
            <w:tcW w:w="364"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18228</w:t>
            </w:r>
          </w:p>
        </w:tc>
        <w:tc>
          <w:tcPr>
            <w:tcW w:w="509"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09"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95415</w:t>
            </w:r>
          </w:p>
        </w:tc>
      </w:tr>
      <w:tr>
        <w:tblPrEx>
          <w:tblCellMar>
            <w:top w:w="0" w:type="dxa"/>
            <w:left w:w="108" w:type="dxa"/>
            <w:bottom w:w="0" w:type="dxa"/>
            <w:right w:w="108" w:type="dxa"/>
          </w:tblCellMar>
        </w:tblPrEx>
        <w:trPr>
          <w:wBefore w:w="0" w:type="dxa"/>
          <w:wAfter w:w="0" w:type="dxa"/>
          <w:trHeight w:val="680" w:hRule="atLeast"/>
        </w:trPr>
        <w:tc>
          <w:tcPr>
            <w:tcW w:w="510"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一级</w:t>
            </w:r>
          </w:p>
        </w:tc>
        <w:tc>
          <w:tcPr>
            <w:tcW w:w="901"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群贤路</w:t>
            </w:r>
          </w:p>
        </w:tc>
        <w:tc>
          <w:tcPr>
            <w:tcW w:w="755"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鉴水路-绍齐公路</w:t>
            </w:r>
          </w:p>
        </w:tc>
        <w:tc>
          <w:tcPr>
            <w:tcW w:w="436"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7333</w:t>
            </w:r>
          </w:p>
        </w:tc>
        <w:tc>
          <w:tcPr>
            <w:tcW w:w="508"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212802</w:t>
            </w:r>
          </w:p>
        </w:tc>
        <w:tc>
          <w:tcPr>
            <w:tcW w:w="508"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48975</w:t>
            </w:r>
          </w:p>
        </w:tc>
        <w:tc>
          <w:tcPr>
            <w:tcW w:w="364"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72380</w:t>
            </w:r>
          </w:p>
        </w:tc>
        <w:tc>
          <w:tcPr>
            <w:tcW w:w="509"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09"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334157</w:t>
            </w:r>
          </w:p>
        </w:tc>
      </w:tr>
      <w:tr>
        <w:tblPrEx>
          <w:tblCellMar>
            <w:top w:w="0" w:type="dxa"/>
            <w:left w:w="108" w:type="dxa"/>
            <w:bottom w:w="0" w:type="dxa"/>
            <w:right w:w="108" w:type="dxa"/>
          </w:tblCellMar>
        </w:tblPrEx>
        <w:trPr>
          <w:wBefore w:w="0" w:type="dxa"/>
          <w:wAfter w:w="0" w:type="dxa"/>
          <w:trHeight w:val="680" w:hRule="atLeast"/>
        </w:trPr>
        <w:tc>
          <w:tcPr>
            <w:tcW w:w="510"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二级</w:t>
            </w:r>
          </w:p>
        </w:tc>
        <w:tc>
          <w:tcPr>
            <w:tcW w:w="901"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中泽路</w:t>
            </w:r>
          </w:p>
        </w:tc>
        <w:tc>
          <w:tcPr>
            <w:tcW w:w="755"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鉴湖路-瓜渚路</w:t>
            </w:r>
          </w:p>
        </w:tc>
        <w:tc>
          <w:tcPr>
            <w:tcW w:w="436"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574</w:t>
            </w:r>
          </w:p>
        </w:tc>
        <w:tc>
          <w:tcPr>
            <w:tcW w:w="508"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6668</w:t>
            </w:r>
          </w:p>
        </w:tc>
        <w:tc>
          <w:tcPr>
            <w:tcW w:w="508"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451</w:t>
            </w:r>
          </w:p>
        </w:tc>
        <w:tc>
          <w:tcPr>
            <w:tcW w:w="364"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2739</w:t>
            </w:r>
          </w:p>
        </w:tc>
        <w:tc>
          <w:tcPr>
            <w:tcW w:w="509"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09"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9858</w:t>
            </w:r>
          </w:p>
        </w:tc>
      </w:tr>
      <w:tr>
        <w:tblPrEx>
          <w:tblCellMar>
            <w:top w:w="0" w:type="dxa"/>
            <w:left w:w="108" w:type="dxa"/>
            <w:bottom w:w="0" w:type="dxa"/>
            <w:right w:w="108" w:type="dxa"/>
          </w:tblCellMar>
        </w:tblPrEx>
        <w:trPr>
          <w:wBefore w:w="0" w:type="dxa"/>
          <w:wAfter w:w="0" w:type="dxa"/>
          <w:trHeight w:val="680" w:hRule="atLeast"/>
        </w:trPr>
        <w:tc>
          <w:tcPr>
            <w:tcW w:w="510"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二级</w:t>
            </w:r>
          </w:p>
        </w:tc>
        <w:tc>
          <w:tcPr>
            <w:tcW w:w="901"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金扬路</w:t>
            </w:r>
          </w:p>
        </w:tc>
        <w:tc>
          <w:tcPr>
            <w:tcW w:w="755"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笛扬路-金柯桥大道</w:t>
            </w:r>
          </w:p>
        </w:tc>
        <w:tc>
          <w:tcPr>
            <w:tcW w:w="436"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796</w:t>
            </w:r>
          </w:p>
        </w:tc>
        <w:tc>
          <w:tcPr>
            <w:tcW w:w="508"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6719</w:t>
            </w:r>
          </w:p>
        </w:tc>
        <w:tc>
          <w:tcPr>
            <w:tcW w:w="508"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6642</w:t>
            </w:r>
          </w:p>
        </w:tc>
        <w:tc>
          <w:tcPr>
            <w:tcW w:w="364"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09"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09"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13361</w:t>
            </w:r>
          </w:p>
        </w:tc>
      </w:tr>
      <w:tr>
        <w:tblPrEx>
          <w:tblCellMar>
            <w:top w:w="0" w:type="dxa"/>
            <w:left w:w="108" w:type="dxa"/>
            <w:bottom w:w="0" w:type="dxa"/>
            <w:right w:w="108" w:type="dxa"/>
          </w:tblCellMar>
        </w:tblPrEx>
        <w:trPr>
          <w:wBefore w:w="0" w:type="dxa"/>
          <w:wAfter w:w="0" w:type="dxa"/>
          <w:trHeight w:val="680" w:hRule="atLeast"/>
        </w:trPr>
        <w:tc>
          <w:tcPr>
            <w:tcW w:w="510"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二级</w:t>
            </w:r>
          </w:p>
        </w:tc>
        <w:tc>
          <w:tcPr>
            <w:tcW w:w="901"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明珠路</w:t>
            </w:r>
          </w:p>
        </w:tc>
        <w:tc>
          <w:tcPr>
            <w:tcW w:w="755"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鉴湖路-明珠桥</w:t>
            </w:r>
          </w:p>
        </w:tc>
        <w:tc>
          <w:tcPr>
            <w:tcW w:w="436"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886</w:t>
            </w:r>
          </w:p>
        </w:tc>
        <w:tc>
          <w:tcPr>
            <w:tcW w:w="508"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11372</w:t>
            </w:r>
          </w:p>
        </w:tc>
        <w:tc>
          <w:tcPr>
            <w:tcW w:w="508"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5068</w:t>
            </w:r>
          </w:p>
        </w:tc>
        <w:tc>
          <w:tcPr>
            <w:tcW w:w="364"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1353</w:t>
            </w:r>
          </w:p>
        </w:tc>
        <w:tc>
          <w:tcPr>
            <w:tcW w:w="509"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09"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17793</w:t>
            </w:r>
          </w:p>
        </w:tc>
      </w:tr>
      <w:tr>
        <w:tblPrEx>
          <w:tblCellMar>
            <w:top w:w="0" w:type="dxa"/>
            <w:left w:w="108" w:type="dxa"/>
            <w:bottom w:w="0" w:type="dxa"/>
            <w:right w:w="108" w:type="dxa"/>
          </w:tblCellMar>
        </w:tblPrEx>
        <w:trPr>
          <w:wBefore w:w="0" w:type="dxa"/>
          <w:wAfter w:w="0" w:type="dxa"/>
          <w:trHeight w:val="680" w:hRule="atLeast"/>
        </w:trPr>
        <w:tc>
          <w:tcPr>
            <w:tcW w:w="510"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二级</w:t>
            </w:r>
          </w:p>
        </w:tc>
        <w:tc>
          <w:tcPr>
            <w:tcW w:w="901"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港越路</w:t>
            </w:r>
          </w:p>
        </w:tc>
        <w:tc>
          <w:tcPr>
            <w:tcW w:w="755"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笛扬路-金柯桥大道</w:t>
            </w:r>
          </w:p>
        </w:tc>
        <w:tc>
          <w:tcPr>
            <w:tcW w:w="436"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795</w:t>
            </w:r>
          </w:p>
        </w:tc>
        <w:tc>
          <w:tcPr>
            <w:tcW w:w="508"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7643</w:t>
            </w:r>
          </w:p>
        </w:tc>
        <w:tc>
          <w:tcPr>
            <w:tcW w:w="508"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7399</w:t>
            </w:r>
          </w:p>
        </w:tc>
        <w:tc>
          <w:tcPr>
            <w:tcW w:w="364"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2619</w:t>
            </w:r>
          </w:p>
        </w:tc>
        <w:tc>
          <w:tcPr>
            <w:tcW w:w="509"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09"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17661</w:t>
            </w:r>
          </w:p>
        </w:tc>
      </w:tr>
      <w:tr>
        <w:tblPrEx>
          <w:tblCellMar>
            <w:top w:w="0" w:type="dxa"/>
            <w:left w:w="108" w:type="dxa"/>
            <w:bottom w:w="0" w:type="dxa"/>
            <w:right w:w="108" w:type="dxa"/>
          </w:tblCellMar>
        </w:tblPrEx>
        <w:trPr>
          <w:wBefore w:w="0" w:type="dxa"/>
          <w:wAfter w:w="0" w:type="dxa"/>
          <w:trHeight w:val="581" w:hRule="atLeast"/>
        </w:trPr>
        <w:tc>
          <w:tcPr>
            <w:tcW w:w="510"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二级</w:t>
            </w:r>
          </w:p>
        </w:tc>
        <w:tc>
          <w:tcPr>
            <w:tcW w:w="901"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柯福路</w:t>
            </w:r>
          </w:p>
        </w:tc>
        <w:tc>
          <w:tcPr>
            <w:tcW w:w="755"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万商路-鉴湖路</w:t>
            </w:r>
          </w:p>
        </w:tc>
        <w:tc>
          <w:tcPr>
            <w:tcW w:w="436"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418</w:t>
            </w:r>
          </w:p>
        </w:tc>
        <w:tc>
          <w:tcPr>
            <w:tcW w:w="508"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4445</w:t>
            </w:r>
          </w:p>
        </w:tc>
        <w:tc>
          <w:tcPr>
            <w:tcW w:w="508"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364"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09"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09"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4445</w:t>
            </w:r>
          </w:p>
        </w:tc>
      </w:tr>
      <w:tr>
        <w:tblPrEx>
          <w:tblCellMar>
            <w:top w:w="0" w:type="dxa"/>
            <w:left w:w="108" w:type="dxa"/>
            <w:bottom w:w="0" w:type="dxa"/>
            <w:right w:w="108" w:type="dxa"/>
          </w:tblCellMar>
        </w:tblPrEx>
        <w:trPr>
          <w:wBefore w:w="0" w:type="dxa"/>
          <w:wAfter w:w="0" w:type="dxa"/>
          <w:trHeight w:val="680" w:hRule="atLeast"/>
        </w:trPr>
        <w:tc>
          <w:tcPr>
            <w:tcW w:w="510"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二级</w:t>
            </w:r>
          </w:p>
        </w:tc>
        <w:tc>
          <w:tcPr>
            <w:tcW w:w="901"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浙纤路</w:t>
            </w:r>
          </w:p>
        </w:tc>
        <w:tc>
          <w:tcPr>
            <w:tcW w:w="755"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万商路-鉴湖路</w:t>
            </w:r>
          </w:p>
        </w:tc>
        <w:tc>
          <w:tcPr>
            <w:tcW w:w="436"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403</w:t>
            </w:r>
          </w:p>
        </w:tc>
        <w:tc>
          <w:tcPr>
            <w:tcW w:w="508"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6838</w:t>
            </w:r>
          </w:p>
        </w:tc>
        <w:tc>
          <w:tcPr>
            <w:tcW w:w="508"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919</w:t>
            </w:r>
          </w:p>
        </w:tc>
        <w:tc>
          <w:tcPr>
            <w:tcW w:w="364"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09"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09"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7757</w:t>
            </w:r>
          </w:p>
        </w:tc>
      </w:tr>
      <w:tr>
        <w:tblPrEx>
          <w:tblCellMar>
            <w:top w:w="0" w:type="dxa"/>
            <w:left w:w="108" w:type="dxa"/>
            <w:bottom w:w="0" w:type="dxa"/>
            <w:right w:w="108" w:type="dxa"/>
          </w:tblCellMar>
        </w:tblPrEx>
        <w:trPr>
          <w:wBefore w:w="0" w:type="dxa"/>
          <w:wAfter w:w="0" w:type="dxa"/>
          <w:trHeight w:val="680" w:hRule="atLeast"/>
        </w:trPr>
        <w:tc>
          <w:tcPr>
            <w:tcW w:w="510"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三级</w:t>
            </w:r>
          </w:p>
        </w:tc>
        <w:tc>
          <w:tcPr>
            <w:tcW w:w="901"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柯亭路</w:t>
            </w:r>
          </w:p>
        </w:tc>
        <w:tc>
          <w:tcPr>
            <w:tcW w:w="755"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rPr>
            </w:pPr>
            <w:r>
              <w:rPr>
                <w:rFonts w:hint="eastAsia" w:ascii="宋体" w:hAnsi="宋体" w:cs="宋体"/>
                <w:kern w:val="0"/>
                <w:sz w:val="22"/>
              </w:rPr>
              <w:t>万商路-笛扬路</w:t>
            </w:r>
          </w:p>
          <w:p>
            <w:pPr>
              <w:widowControl/>
              <w:jc w:val="center"/>
              <w:rPr>
                <w:rFonts w:ascii="宋体" w:hAnsi="宋体" w:cs="宋体"/>
                <w:kern w:val="0"/>
                <w:sz w:val="22"/>
              </w:rPr>
            </w:pPr>
            <w:r>
              <w:rPr>
                <w:rFonts w:hint="eastAsia" w:ascii="宋体" w:hAnsi="宋体" w:cs="宋体"/>
                <w:kern w:val="0"/>
                <w:sz w:val="22"/>
              </w:rPr>
              <w:t>廊桥-柯亭社区门口沿河</w:t>
            </w:r>
          </w:p>
        </w:tc>
        <w:tc>
          <w:tcPr>
            <w:tcW w:w="436"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255</w:t>
            </w:r>
          </w:p>
        </w:tc>
        <w:tc>
          <w:tcPr>
            <w:tcW w:w="508"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2208</w:t>
            </w:r>
          </w:p>
        </w:tc>
        <w:tc>
          <w:tcPr>
            <w:tcW w:w="508"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349</w:t>
            </w:r>
          </w:p>
        </w:tc>
        <w:tc>
          <w:tcPr>
            <w:tcW w:w="364"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1785</w:t>
            </w:r>
          </w:p>
        </w:tc>
        <w:tc>
          <w:tcPr>
            <w:tcW w:w="509"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09"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4342</w:t>
            </w:r>
          </w:p>
        </w:tc>
      </w:tr>
      <w:tr>
        <w:tblPrEx>
          <w:tblCellMar>
            <w:top w:w="0" w:type="dxa"/>
            <w:left w:w="108" w:type="dxa"/>
            <w:bottom w:w="0" w:type="dxa"/>
            <w:right w:w="108" w:type="dxa"/>
          </w:tblCellMar>
        </w:tblPrEx>
        <w:trPr>
          <w:wBefore w:w="0" w:type="dxa"/>
          <w:wAfter w:w="0" w:type="dxa"/>
          <w:trHeight w:val="680" w:hRule="atLeast"/>
        </w:trPr>
        <w:tc>
          <w:tcPr>
            <w:tcW w:w="510"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二级</w:t>
            </w:r>
          </w:p>
        </w:tc>
        <w:tc>
          <w:tcPr>
            <w:tcW w:w="901"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东升路</w:t>
            </w:r>
          </w:p>
        </w:tc>
        <w:tc>
          <w:tcPr>
            <w:tcW w:w="755"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西市场围墙-金柯桥大道</w:t>
            </w:r>
          </w:p>
        </w:tc>
        <w:tc>
          <w:tcPr>
            <w:tcW w:w="436"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677</w:t>
            </w:r>
          </w:p>
        </w:tc>
        <w:tc>
          <w:tcPr>
            <w:tcW w:w="508"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9701</w:t>
            </w:r>
          </w:p>
        </w:tc>
        <w:tc>
          <w:tcPr>
            <w:tcW w:w="508"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6388</w:t>
            </w:r>
          </w:p>
        </w:tc>
        <w:tc>
          <w:tcPr>
            <w:tcW w:w="364"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09"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09"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16088</w:t>
            </w:r>
          </w:p>
        </w:tc>
      </w:tr>
      <w:tr>
        <w:tblPrEx>
          <w:tblCellMar>
            <w:top w:w="0" w:type="dxa"/>
            <w:left w:w="108" w:type="dxa"/>
            <w:bottom w:w="0" w:type="dxa"/>
            <w:right w:w="108" w:type="dxa"/>
          </w:tblCellMar>
        </w:tblPrEx>
        <w:trPr>
          <w:wBefore w:w="0" w:type="dxa"/>
          <w:wAfter w:w="0" w:type="dxa"/>
          <w:trHeight w:val="680" w:hRule="atLeast"/>
        </w:trPr>
        <w:tc>
          <w:tcPr>
            <w:tcW w:w="510"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二级</w:t>
            </w:r>
          </w:p>
        </w:tc>
        <w:tc>
          <w:tcPr>
            <w:tcW w:w="901"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运河路</w:t>
            </w:r>
          </w:p>
        </w:tc>
        <w:tc>
          <w:tcPr>
            <w:tcW w:w="755"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西市场围墙-金柯桥大道</w:t>
            </w:r>
          </w:p>
        </w:tc>
        <w:tc>
          <w:tcPr>
            <w:tcW w:w="436"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951</w:t>
            </w:r>
          </w:p>
        </w:tc>
        <w:tc>
          <w:tcPr>
            <w:tcW w:w="508"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8283</w:t>
            </w:r>
          </w:p>
        </w:tc>
        <w:tc>
          <w:tcPr>
            <w:tcW w:w="508"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7001</w:t>
            </w:r>
          </w:p>
        </w:tc>
        <w:tc>
          <w:tcPr>
            <w:tcW w:w="364"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09"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09"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15284</w:t>
            </w:r>
          </w:p>
        </w:tc>
      </w:tr>
      <w:tr>
        <w:tblPrEx>
          <w:tblCellMar>
            <w:top w:w="0" w:type="dxa"/>
            <w:left w:w="108" w:type="dxa"/>
            <w:bottom w:w="0" w:type="dxa"/>
            <w:right w:w="108" w:type="dxa"/>
          </w:tblCellMar>
        </w:tblPrEx>
        <w:trPr>
          <w:wBefore w:w="0" w:type="dxa"/>
          <w:wAfter w:w="0" w:type="dxa"/>
          <w:trHeight w:val="680" w:hRule="atLeast"/>
        </w:trPr>
        <w:tc>
          <w:tcPr>
            <w:tcW w:w="510"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二级</w:t>
            </w:r>
          </w:p>
        </w:tc>
        <w:tc>
          <w:tcPr>
            <w:tcW w:w="901"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燃气公司支路</w:t>
            </w:r>
          </w:p>
        </w:tc>
        <w:tc>
          <w:tcPr>
            <w:tcW w:w="755"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越州大道-中泽路</w:t>
            </w:r>
          </w:p>
        </w:tc>
        <w:tc>
          <w:tcPr>
            <w:tcW w:w="436"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156</w:t>
            </w:r>
          </w:p>
        </w:tc>
        <w:tc>
          <w:tcPr>
            <w:tcW w:w="508"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2010</w:t>
            </w:r>
          </w:p>
        </w:tc>
        <w:tc>
          <w:tcPr>
            <w:tcW w:w="508"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1113</w:t>
            </w:r>
          </w:p>
        </w:tc>
        <w:tc>
          <w:tcPr>
            <w:tcW w:w="364"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2397</w:t>
            </w:r>
          </w:p>
        </w:tc>
        <w:tc>
          <w:tcPr>
            <w:tcW w:w="509"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09"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5520</w:t>
            </w:r>
          </w:p>
        </w:tc>
      </w:tr>
      <w:tr>
        <w:tblPrEx>
          <w:tblCellMar>
            <w:top w:w="0" w:type="dxa"/>
            <w:left w:w="108" w:type="dxa"/>
            <w:bottom w:w="0" w:type="dxa"/>
            <w:right w:w="108" w:type="dxa"/>
          </w:tblCellMar>
        </w:tblPrEx>
        <w:trPr>
          <w:wBefore w:w="0" w:type="dxa"/>
          <w:wAfter w:w="0" w:type="dxa"/>
          <w:trHeight w:val="680" w:hRule="atLeast"/>
        </w:trPr>
        <w:tc>
          <w:tcPr>
            <w:tcW w:w="510"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三级</w:t>
            </w:r>
          </w:p>
        </w:tc>
        <w:tc>
          <w:tcPr>
            <w:tcW w:w="901"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车站路</w:t>
            </w:r>
          </w:p>
        </w:tc>
        <w:tc>
          <w:tcPr>
            <w:tcW w:w="755"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104国道-万商路</w:t>
            </w:r>
          </w:p>
        </w:tc>
        <w:tc>
          <w:tcPr>
            <w:tcW w:w="436"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330</w:t>
            </w:r>
          </w:p>
        </w:tc>
        <w:tc>
          <w:tcPr>
            <w:tcW w:w="508"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4322</w:t>
            </w:r>
          </w:p>
        </w:tc>
        <w:tc>
          <w:tcPr>
            <w:tcW w:w="508"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1181</w:t>
            </w:r>
          </w:p>
        </w:tc>
        <w:tc>
          <w:tcPr>
            <w:tcW w:w="364"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809</w:t>
            </w:r>
          </w:p>
        </w:tc>
        <w:tc>
          <w:tcPr>
            <w:tcW w:w="509"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09"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6312</w:t>
            </w:r>
          </w:p>
        </w:tc>
      </w:tr>
      <w:tr>
        <w:tblPrEx>
          <w:tblCellMar>
            <w:top w:w="0" w:type="dxa"/>
            <w:left w:w="108" w:type="dxa"/>
            <w:bottom w:w="0" w:type="dxa"/>
            <w:right w:w="108" w:type="dxa"/>
          </w:tblCellMar>
        </w:tblPrEx>
        <w:trPr>
          <w:wBefore w:w="0" w:type="dxa"/>
          <w:wAfter w:w="0" w:type="dxa"/>
          <w:trHeight w:val="1346" w:hRule="atLeast"/>
        </w:trPr>
        <w:tc>
          <w:tcPr>
            <w:tcW w:w="510"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三级</w:t>
            </w:r>
          </w:p>
        </w:tc>
        <w:tc>
          <w:tcPr>
            <w:tcW w:w="901"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老街</w:t>
            </w:r>
          </w:p>
        </w:tc>
        <w:tc>
          <w:tcPr>
            <w:tcW w:w="755"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2"/>
              </w:rPr>
            </w:pPr>
            <w:r>
              <w:rPr>
                <w:rFonts w:hint="eastAsia" w:ascii="宋体" w:hAnsi="宋体" w:cs="宋体"/>
                <w:kern w:val="0"/>
                <w:sz w:val="22"/>
              </w:rPr>
              <w:t>廊桥下-融光桥</w:t>
            </w:r>
          </w:p>
          <w:p>
            <w:pPr>
              <w:widowControl/>
              <w:jc w:val="center"/>
              <w:rPr>
                <w:rFonts w:ascii="宋体" w:hAnsi="宋体" w:cs="宋体"/>
                <w:kern w:val="0"/>
                <w:sz w:val="22"/>
              </w:rPr>
            </w:pPr>
            <w:r>
              <w:rPr>
                <w:rFonts w:hint="eastAsia" w:ascii="宋体" w:hAnsi="宋体" w:cs="宋体"/>
                <w:kern w:val="0"/>
                <w:sz w:val="22"/>
              </w:rPr>
              <w:t>笛扬路步行街-锦绣园通道-新世界弄堂-104国道</w:t>
            </w:r>
          </w:p>
        </w:tc>
        <w:tc>
          <w:tcPr>
            <w:tcW w:w="436"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737</w:t>
            </w:r>
          </w:p>
        </w:tc>
        <w:tc>
          <w:tcPr>
            <w:tcW w:w="508"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3643</w:t>
            </w:r>
          </w:p>
        </w:tc>
        <w:tc>
          <w:tcPr>
            <w:tcW w:w="508"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364"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09"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09"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3643</w:t>
            </w:r>
          </w:p>
        </w:tc>
      </w:tr>
      <w:tr>
        <w:tblPrEx>
          <w:tblCellMar>
            <w:top w:w="0" w:type="dxa"/>
            <w:left w:w="108" w:type="dxa"/>
            <w:bottom w:w="0" w:type="dxa"/>
            <w:right w:w="108" w:type="dxa"/>
          </w:tblCellMar>
        </w:tblPrEx>
        <w:trPr>
          <w:wBefore w:w="0" w:type="dxa"/>
          <w:wAfter w:w="0" w:type="dxa"/>
          <w:trHeight w:val="680" w:hRule="atLeast"/>
        </w:trPr>
        <w:tc>
          <w:tcPr>
            <w:tcW w:w="510"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三级</w:t>
            </w:r>
          </w:p>
        </w:tc>
        <w:tc>
          <w:tcPr>
            <w:tcW w:w="901"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阳光绿园支路</w:t>
            </w:r>
          </w:p>
        </w:tc>
        <w:tc>
          <w:tcPr>
            <w:tcW w:w="755"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明珠路-金柯桥大道</w:t>
            </w:r>
          </w:p>
        </w:tc>
        <w:tc>
          <w:tcPr>
            <w:tcW w:w="436"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294</w:t>
            </w:r>
          </w:p>
        </w:tc>
        <w:tc>
          <w:tcPr>
            <w:tcW w:w="508"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2500</w:t>
            </w:r>
          </w:p>
        </w:tc>
        <w:tc>
          <w:tcPr>
            <w:tcW w:w="508"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364"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09"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09"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2500</w:t>
            </w:r>
          </w:p>
        </w:tc>
      </w:tr>
      <w:tr>
        <w:tblPrEx>
          <w:tblCellMar>
            <w:top w:w="0" w:type="dxa"/>
            <w:left w:w="108" w:type="dxa"/>
            <w:bottom w:w="0" w:type="dxa"/>
            <w:right w:w="108" w:type="dxa"/>
          </w:tblCellMar>
        </w:tblPrEx>
        <w:trPr>
          <w:wBefore w:w="0" w:type="dxa"/>
          <w:wAfter w:w="0" w:type="dxa"/>
          <w:trHeight w:val="680" w:hRule="atLeast"/>
        </w:trPr>
        <w:tc>
          <w:tcPr>
            <w:tcW w:w="510"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三级</w:t>
            </w:r>
          </w:p>
        </w:tc>
        <w:tc>
          <w:tcPr>
            <w:tcW w:w="901"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城隍庙支路</w:t>
            </w:r>
          </w:p>
        </w:tc>
        <w:tc>
          <w:tcPr>
            <w:tcW w:w="755"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廊桥下-融光桥</w:t>
            </w:r>
          </w:p>
        </w:tc>
        <w:tc>
          <w:tcPr>
            <w:tcW w:w="436"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202</w:t>
            </w:r>
          </w:p>
        </w:tc>
        <w:tc>
          <w:tcPr>
            <w:tcW w:w="508"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1708</w:t>
            </w:r>
          </w:p>
        </w:tc>
        <w:tc>
          <w:tcPr>
            <w:tcW w:w="508"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364"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09"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09"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1708</w:t>
            </w:r>
          </w:p>
        </w:tc>
      </w:tr>
      <w:tr>
        <w:tblPrEx>
          <w:tblCellMar>
            <w:top w:w="0" w:type="dxa"/>
            <w:left w:w="108" w:type="dxa"/>
            <w:bottom w:w="0" w:type="dxa"/>
            <w:right w:w="108" w:type="dxa"/>
          </w:tblCellMar>
        </w:tblPrEx>
        <w:trPr>
          <w:wBefore w:w="0" w:type="dxa"/>
          <w:wAfter w:w="0" w:type="dxa"/>
          <w:trHeight w:val="680" w:hRule="atLeast"/>
        </w:trPr>
        <w:tc>
          <w:tcPr>
            <w:tcW w:w="510"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三级</w:t>
            </w:r>
          </w:p>
        </w:tc>
        <w:tc>
          <w:tcPr>
            <w:tcW w:w="901"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柯亭西路</w:t>
            </w:r>
          </w:p>
        </w:tc>
        <w:tc>
          <w:tcPr>
            <w:tcW w:w="755"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笛扬路步行街-下市头直街</w:t>
            </w:r>
          </w:p>
        </w:tc>
        <w:tc>
          <w:tcPr>
            <w:tcW w:w="436"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183</w:t>
            </w:r>
          </w:p>
        </w:tc>
        <w:tc>
          <w:tcPr>
            <w:tcW w:w="508"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1911</w:t>
            </w:r>
          </w:p>
        </w:tc>
        <w:tc>
          <w:tcPr>
            <w:tcW w:w="508"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205</w:t>
            </w:r>
          </w:p>
        </w:tc>
        <w:tc>
          <w:tcPr>
            <w:tcW w:w="364"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09"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09"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2116</w:t>
            </w:r>
          </w:p>
        </w:tc>
      </w:tr>
      <w:tr>
        <w:tblPrEx>
          <w:tblCellMar>
            <w:top w:w="0" w:type="dxa"/>
            <w:left w:w="108" w:type="dxa"/>
            <w:bottom w:w="0" w:type="dxa"/>
            <w:right w:w="108" w:type="dxa"/>
          </w:tblCellMar>
        </w:tblPrEx>
        <w:trPr>
          <w:wBefore w:w="0" w:type="dxa"/>
          <w:wAfter w:w="0" w:type="dxa"/>
          <w:trHeight w:val="680" w:hRule="atLeast"/>
        </w:trPr>
        <w:tc>
          <w:tcPr>
            <w:tcW w:w="510"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三级</w:t>
            </w:r>
          </w:p>
        </w:tc>
        <w:tc>
          <w:tcPr>
            <w:tcW w:w="901"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下市头直街</w:t>
            </w:r>
          </w:p>
        </w:tc>
        <w:tc>
          <w:tcPr>
            <w:tcW w:w="755"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万商路-融光桥</w:t>
            </w:r>
          </w:p>
        </w:tc>
        <w:tc>
          <w:tcPr>
            <w:tcW w:w="436"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251</w:t>
            </w:r>
          </w:p>
        </w:tc>
        <w:tc>
          <w:tcPr>
            <w:tcW w:w="508"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08"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1179</w:t>
            </w:r>
          </w:p>
        </w:tc>
        <w:tc>
          <w:tcPr>
            <w:tcW w:w="364"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09"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09"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1179</w:t>
            </w:r>
          </w:p>
        </w:tc>
      </w:tr>
      <w:tr>
        <w:tblPrEx>
          <w:tblCellMar>
            <w:top w:w="0" w:type="dxa"/>
            <w:left w:w="108" w:type="dxa"/>
            <w:bottom w:w="0" w:type="dxa"/>
            <w:right w:w="108" w:type="dxa"/>
          </w:tblCellMar>
        </w:tblPrEx>
        <w:trPr>
          <w:wBefore w:w="0" w:type="dxa"/>
          <w:wAfter w:w="0" w:type="dxa"/>
          <w:trHeight w:val="680" w:hRule="atLeast"/>
        </w:trPr>
        <w:tc>
          <w:tcPr>
            <w:tcW w:w="510"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三级</w:t>
            </w:r>
          </w:p>
        </w:tc>
        <w:tc>
          <w:tcPr>
            <w:tcW w:w="901"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电脑城及周边支路</w:t>
            </w:r>
          </w:p>
        </w:tc>
        <w:tc>
          <w:tcPr>
            <w:tcW w:w="755"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rPr>
            </w:pPr>
            <w:r>
              <w:rPr>
                <w:rFonts w:hint="eastAsia" w:ascii="宋体" w:hAnsi="宋体" w:cs="宋体"/>
                <w:kern w:val="0"/>
                <w:sz w:val="22"/>
              </w:rPr>
              <w:t>笛扬路步行街-浙纤路</w:t>
            </w:r>
          </w:p>
          <w:p>
            <w:pPr>
              <w:widowControl/>
              <w:jc w:val="center"/>
              <w:rPr>
                <w:rFonts w:ascii="宋体" w:hAnsi="宋体" w:cs="宋体"/>
                <w:kern w:val="0"/>
                <w:sz w:val="22"/>
              </w:rPr>
            </w:pPr>
            <w:r>
              <w:rPr>
                <w:rFonts w:hint="eastAsia" w:ascii="宋体" w:hAnsi="宋体" w:cs="宋体"/>
                <w:kern w:val="0"/>
                <w:sz w:val="22"/>
              </w:rPr>
              <w:t>笛扬路步行街-锦麟天地小区</w:t>
            </w:r>
          </w:p>
        </w:tc>
        <w:tc>
          <w:tcPr>
            <w:tcW w:w="436"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377</w:t>
            </w:r>
          </w:p>
        </w:tc>
        <w:tc>
          <w:tcPr>
            <w:tcW w:w="508"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2041</w:t>
            </w:r>
          </w:p>
        </w:tc>
        <w:tc>
          <w:tcPr>
            <w:tcW w:w="508"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25</w:t>
            </w:r>
          </w:p>
        </w:tc>
        <w:tc>
          <w:tcPr>
            <w:tcW w:w="364"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09"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09"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2066</w:t>
            </w:r>
          </w:p>
        </w:tc>
      </w:tr>
      <w:tr>
        <w:tblPrEx>
          <w:tblCellMar>
            <w:top w:w="0" w:type="dxa"/>
            <w:left w:w="108" w:type="dxa"/>
            <w:bottom w:w="0" w:type="dxa"/>
            <w:right w:w="108" w:type="dxa"/>
          </w:tblCellMar>
        </w:tblPrEx>
        <w:trPr>
          <w:wBefore w:w="0" w:type="dxa"/>
          <w:wAfter w:w="0" w:type="dxa"/>
          <w:trHeight w:val="680" w:hRule="atLeast"/>
        </w:trPr>
        <w:tc>
          <w:tcPr>
            <w:tcW w:w="510"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三级</w:t>
            </w:r>
          </w:p>
        </w:tc>
        <w:tc>
          <w:tcPr>
            <w:tcW w:w="901"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综合市场北面支路</w:t>
            </w:r>
          </w:p>
        </w:tc>
        <w:tc>
          <w:tcPr>
            <w:tcW w:w="755"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笛扬路步行街-浙纤路两条支路</w:t>
            </w:r>
          </w:p>
        </w:tc>
        <w:tc>
          <w:tcPr>
            <w:tcW w:w="436"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152</w:t>
            </w:r>
          </w:p>
        </w:tc>
        <w:tc>
          <w:tcPr>
            <w:tcW w:w="508"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1750</w:t>
            </w:r>
          </w:p>
        </w:tc>
        <w:tc>
          <w:tcPr>
            <w:tcW w:w="508"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364"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09"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09"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1750</w:t>
            </w:r>
          </w:p>
        </w:tc>
      </w:tr>
      <w:tr>
        <w:tblPrEx>
          <w:tblCellMar>
            <w:top w:w="0" w:type="dxa"/>
            <w:left w:w="108" w:type="dxa"/>
            <w:bottom w:w="0" w:type="dxa"/>
            <w:right w:w="108" w:type="dxa"/>
          </w:tblCellMar>
        </w:tblPrEx>
        <w:trPr>
          <w:wBefore w:w="0" w:type="dxa"/>
          <w:wAfter w:w="0" w:type="dxa"/>
          <w:trHeight w:val="680" w:hRule="atLeast"/>
        </w:trPr>
        <w:tc>
          <w:tcPr>
            <w:tcW w:w="510"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三级</w:t>
            </w:r>
          </w:p>
        </w:tc>
        <w:tc>
          <w:tcPr>
            <w:tcW w:w="901"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乐清小区东侧沿河小路</w:t>
            </w:r>
          </w:p>
        </w:tc>
        <w:tc>
          <w:tcPr>
            <w:tcW w:w="755"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鉴湖路-铁门口</w:t>
            </w:r>
          </w:p>
        </w:tc>
        <w:tc>
          <w:tcPr>
            <w:tcW w:w="436"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115</w:t>
            </w:r>
          </w:p>
        </w:tc>
        <w:tc>
          <w:tcPr>
            <w:tcW w:w="508"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08"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918</w:t>
            </w:r>
          </w:p>
        </w:tc>
        <w:tc>
          <w:tcPr>
            <w:tcW w:w="364"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09"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09"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918</w:t>
            </w:r>
          </w:p>
        </w:tc>
      </w:tr>
      <w:tr>
        <w:tblPrEx>
          <w:tblCellMar>
            <w:top w:w="0" w:type="dxa"/>
            <w:left w:w="108" w:type="dxa"/>
            <w:bottom w:w="0" w:type="dxa"/>
            <w:right w:w="108" w:type="dxa"/>
          </w:tblCellMar>
        </w:tblPrEx>
        <w:trPr>
          <w:wBefore w:w="0" w:type="dxa"/>
          <w:wAfter w:w="0" w:type="dxa"/>
          <w:trHeight w:val="680" w:hRule="atLeast"/>
        </w:trPr>
        <w:tc>
          <w:tcPr>
            <w:tcW w:w="510"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三级</w:t>
            </w:r>
          </w:p>
        </w:tc>
        <w:tc>
          <w:tcPr>
            <w:tcW w:w="901"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4"/>
              </w:rPr>
              <w:t>瓜渚路***支路</w:t>
            </w:r>
          </w:p>
        </w:tc>
        <w:tc>
          <w:tcPr>
            <w:tcW w:w="755"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瓜渚路-管宁小区</w:t>
            </w:r>
          </w:p>
        </w:tc>
        <w:tc>
          <w:tcPr>
            <w:tcW w:w="436"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134</w:t>
            </w:r>
          </w:p>
        </w:tc>
        <w:tc>
          <w:tcPr>
            <w:tcW w:w="508"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1702</w:t>
            </w:r>
          </w:p>
        </w:tc>
        <w:tc>
          <w:tcPr>
            <w:tcW w:w="508"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386</w:t>
            </w:r>
          </w:p>
        </w:tc>
        <w:tc>
          <w:tcPr>
            <w:tcW w:w="364"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09"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09"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2088</w:t>
            </w:r>
          </w:p>
        </w:tc>
      </w:tr>
      <w:tr>
        <w:tblPrEx>
          <w:tblCellMar>
            <w:top w:w="0" w:type="dxa"/>
            <w:left w:w="108" w:type="dxa"/>
            <w:bottom w:w="0" w:type="dxa"/>
            <w:right w:w="108" w:type="dxa"/>
          </w:tblCellMar>
        </w:tblPrEx>
        <w:trPr>
          <w:wBefore w:w="0" w:type="dxa"/>
          <w:wAfter w:w="0" w:type="dxa"/>
          <w:trHeight w:val="680" w:hRule="atLeast"/>
        </w:trPr>
        <w:tc>
          <w:tcPr>
            <w:tcW w:w="510"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开放式小区</w:t>
            </w:r>
          </w:p>
        </w:tc>
        <w:tc>
          <w:tcPr>
            <w:tcW w:w="901"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柯桥夜市</w:t>
            </w:r>
          </w:p>
        </w:tc>
        <w:tc>
          <w:tcPr>
            <w:tcW w:w="755"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围墙内区域</w:t>
            </w:r>
          </w:p>
        </w:tc>
        <w:tc>
          <w:tcPr>
            <w:tcW w:w="436"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08"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08"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364"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09"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09"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12395</w:t>
            </w:r>
          </w:p>
        </w:tc>
      </w:tr>
      <w:tr>
        <w:tblPrEx>
          <w:tblCellMar>
            <w:top w:w="0" w:type="dxa"/>
            <w:left w:w="108" w:type="dxa"/>
            <w:bottom w:w="0" w:type="dxa"/>
            <w:right w:w="108" w:type="dxa"/>
          </w:tblCellMar>
        </w:tblPrEx>
        <w:trPr>
          <w:wBefore w:w="0" w:type="dxa"/>
          <w:wAfter w:w="0" w:type="dxa"/>
          <w:trHeight w:val="680" w:hRule="atLeast"/>
        </w:trPr>
        <w:tc>
          <w:tcPr>
            <w:tcW w:w="510"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开放式小区</w:t>
            </w:r>
          </w:p>
        </w:tc>
        <w:tc>
          <w:tcPr>
            <w:tcW w:w="901"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柯福社区</w:t>
            </w:r>
          </w:p>
        </w:tc>
        <w:tc>
          <w:tcPr>
            <w:tcW w:w="755"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福年楼 、柯福小区、越州商厦、中泽楼(滨港园)</w:t>
            </w:r>
          </w:p>
        </w:tc>
        <w:tc>
          <w:tcPr>
            <w:tcW w:w="436"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08"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08"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364"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09"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09"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49785</w:t>
            </w:r>
          </w:p>
        </w:tc>
      </w:tr>
      <w:tr>
        <w:tblPrEx>
          <w:tblCellMar>
            <w:top w:w="0" w:type="dxa"/>
            <w:left w:w="108" w:type="dxa"/>
            <w:bottom w:w="0" w:type="dxa"/>
            <w:right w:w="108" w:type="dxa"/>
          </w:tblCellMar>
        </w:tblPrEx>
        <w:trPr>
          <w:wBefore w:w="0" w:type="dxa"/>
          <w:wAfter w:w="0" w:type="dxa"/>
          <w:trHeight w:val="680" w:hRule="atLeast"/>
        </w:trPr>
        <w:tc>
          <w:tcPr>
            <w:tcW w:w="510"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开放式小区</w:t>
            </w:r>
          </w:p>
        </w:tc>
        <w:tc>
          <w:tcPr>
            <w:tcW w:w="901"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福东社区</w:t>
            </w:r>
          </w:p>
        </w:tc>
        <w:tc>
          <w:tcPr>
            <w:tcW w:w="755"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湖塘楼(明珠路138号)、金柯桥大道274号、金柯桥大道312号1幢、2幢</w:t>
            </w:r>
          </w:p>
        </w:tc>
        <w:tc>
          <w:tcPr>
            <w:tcW w:w="436"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08"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08"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364"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09"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09"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11927</w:t>
            </w:r>
          </w:p>
        </w:tc>
      </w:tr>
      <w:tr>
        <w:tblPrEx>
          <w:tblCellMar>
            <w:top w:w="0" w:type="dxa"/>
            <w:left w:w="108" w:type="dxa"/>
            <w:bottom w:w="0" w:type="dxa"/>
            <w:right w:w="108" w:type="dxa"/>
          </w:tblCellMar>
        </w:tblPrEx>
        <w:trPr>
          <w:wBefore w:w="0" w:type="dxa"/>
          <w:wAfter w:w="0" w:type="dxa"/>
          <w:trHeight w:val="680" w:hRule="atLeast"/>
        </w:trPr>
        <w:tc>
          <w:tcPr>
            <w:tcW w:w="510"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开放式小区</w:t>
            </w:r>
          </w:p>
        </w:tc>
        <w:tc>
          <w:tcPr>
            <w:tcW w:w="901"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港越社区</w:t>
            </w:r>
          </w:p>
        </w:tc>
        <w:tc>
          <w:tcPr>
            <w:tcW w:w="755"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港越路400号、笛东巷、柯笛巷</w:t>
            </w:r>
          </w:p>
        </w:tc>
        <w:tc>
          <w:tcPr>
            <w:tcW w:w="436"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08"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08"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364"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09"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09"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13499</w:t>
            </w:r>
          </w:p>
        </w:tc>
      </w:tr>
      <w:tr>
        <w:tblPrEx>
          <w:tblCellMar>
            <w:top w:w="0" w:type="dxa"/>
            <w:left w:w="108" w:type="dxa"/>
            <w:bottom w:w="0" w:type="dxa"/>
            <w:right w:w="108" w:type="dxa"/>
          </w:tblCellMar>
        </w:tblPrEx>
        <w:trPr>
          <w:wBefore w:w="0" w:type="dxa"/>
          <w:wAfter w:w="0" w:type="dxa"/>
          <w:trHeight w:val="680" w:hRule="atLeast"/>
        </w:trPr>
        <w:tc>
          <w:tcPr>
            <w:tcW w:w="510"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开放式小区</w:t>
            </w:r>
          </w:p>
        </w:tc>
        <w:tc>
          <w:tcPr>
            <w:tcW w:w="901"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立新社区</w:t>
            </w:r>
          </w:p>
        </w:tc>
        <w:tc>
          <w:tcPr>
            <w:tcW w:w="755"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滨河花园</w:t>
            </w:r>
          </w:p>
        </w:tc>
        <w:tc>
          <w:tcPr>
            <w:tcW w:w="436"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08"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08"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364"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09"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09"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29958</w:t>
            </w:r>
          </w:p>
        </w:tc>
      </w:tr>
      <w:tr>
        <w:tblPrEx>
          <w:tblCellMar>
            <w:top w:w="0" w:type="dxa"/>
            <w:left w:w="108" w:type="dxa"/>
            <w:bottom w:w="0" w:type="dxa"/>
            <w:right w:w="108" w:type="dxa"/>
          </w:tblCellMar>
        </w:tblPrEx>
        <w:trPr>
          <w:wBefore w:w="0" w:type="dxa"/>
          <w:wAfter w:w="0" w:type="dxa"/>
          <w:trHeight w:val="680" w:hRule="atLeast"/>
        </w:trPr>
        <w:tc>
          <w:tcPr>
            <w:tcW w:w="510"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开放式小区</w:t>
            </w:r>
          </w:p>
        </w:tc>
        <w:tc>
          <w:tcPr>
            <w:tcW w:w="901"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柯亭社区</w:t>
            </w:r>
          </w:p>
        </w:tc>
        <w:tc>
          <w:tcPr>
            <w:tcW w:w="755"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蓝天百货楼上、金桥住商楼(万商路758号)、柯桥村住商楼(万商路694号、656号)</w:t>
            </w:r>
          </w:p>
        </w:tc>
        <w:tc>
          <w:tcPr>
            <w:tcW w:w="436"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08"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08"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364"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09"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09"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18450</w:t>
            </w:r>
          </w:p>
        </w:tc>
      </w:tr>
      <w:tr>
        <w:tblPrEx>
          <w:tblCellMar>
            <w:top w:w="0" w:type="dxa"/>
            <w:left w:w="108" w:type="dxa"/>
            <w:bottom w:w="0" w:type="dxa"/>
            <w:right w:w="108" w:type="dxa"/>
          </w:tblCellMar>
        </w:tblPrEx>
        <w:trPr>
          <w:wBefore w:w="0" w:type="dxa"/>
          <w:wAfter w:w="0" w:type="dxa"/>
          <w:trHeight w:val="680" w:hRule="atLeast"/>
        </w:trPr>
        <w:tc>
          <w:tcPr>
            <w:tcW w:w="510"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开放式小区</w:t>
            </w:r>
          </w:p>
        </w:tc>
        <w:tc>
          <w:tcPr>
            <w:tcW w:w="901"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福年社区</w:t>
            </w:r>
          </w:p>
        </w:tc>
        <w:tc>
          <w:tcPr>
            <w:tcW w:w="755"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鉴湖新村华舍园、金桥新村、笛福新村、福年花园27幢、28幢、33幢、福年住商楼、管墅住商楼</w:t>
            </w:r>
          </w:p>
        </w:tc>
        <w:tc>
          <w:tcPr>
            <w:tcW w:w="436"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08"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08"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364"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09"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09"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43800</w:t>
            </w:r>
          </w:p>
        </w:tc>
      </w:tr>
      <w:tr>
        <w:tblPrEx>
          <w:tblCellMar>
            <w:top w:w="0" w:type="dxa"/>
            <w:left w:w="108" w:type="dxa"/>
            <w:bottom w:w="0" w:type="dxa"/>
            <w:right w:w="108" w:type="dxa"/>
          </w:tblCellMar>
        </w:tblPrEx>
        <w:trPr>
          <w:wBefore w:w="0" w:type="dxa"/>
          <w:wAfter w:w="0" w:type="dxa"/>
          <w:trHeight w:val="680" w:hRule="atLeast"/>
        </w:trPr>
        <w:tc>
          <w:tcPr>
            <w:tcW w:w="510"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开放式小区</w:t>
            </w:r>
          </w:p>
        </w:tc>
        <w:tc>
          <w:tcPr>
            <w:tcW w:w="901"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下市头社区</w:t>
            </w:r>
          </w:p>
        </w:tc>
        <w:tc>
          <w:tcPr>
            <w:tcW w:w="755"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综合市场楼上、金城小区、大寺小区、陆家岸头、永丰桥小区、方家汇小区</w:t>
            </w:r>
          </w:p>
        </w:tc>
        <w:tc>
          <w:tcPr>
            <w:tcW w:w="436"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08"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08"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364"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09"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09"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62000</w:t>
            </w:r>
          </w:p>
        </w:tc>
      </w:tr>
      <w:tr>
        <w:tblPrEx>
          <w:tblCellMar>
            <w:top w:w="0" w:type="dxa"/>
            <w:left w:w="108" w:type="dxa"/>
            <w:bottom w:w="0" w:type="dxa"/>
            <w:right w:w="108" w:type="dxa"/>
          </w:tblCellMar>
        </w:tblPrEx>
        <w:trPr>
          <w:wBefore w:w="0" w:type="dxa"/>
          <w:wAfter w:w="0" w:type="dxa"/>
          <w:trHeight w:val="444" w:hRule="atLeast"/>
        </w:trPr>
        <w:tc>
          <w:tcPr>
            <w:tcW w:w="510"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公园、绿化带</w:t>
            </w:r>
          </w:p>
        </w:tc>
        <w:tc>
          <w:tcPr>
            <w:tcW w:w="901"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直塘江沿河一带</w:t>
            </w:r>
          </w:p>
        </w:tc>
        <w:tc>
          <w:tcPr>
            <w:tcW w:w="755"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436"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08"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08"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364"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09"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4084</w:t>
            </w:r>
          </w:p>
        </w:tc>
        <w:tc>
          <w:tcPr>
            <w:tcW w:w="509"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4084</w:t>
            </w:r>
          </w:p>
        </w:tc>
      </w:tr>
      <w:tr>
        <w:tblPrEx>
          <w:tblCellMar>
            <w:top w:w="0" w:type="dxa"/>
            <w:left w:w="108" w:type="dxa"/>
            <w:bottom w:w="0" w:type="dxa"/>
            <w:right w:w="108" w:type="dxa"/>
          </w:tblCellMar>
        </w:tblPrEx>
        <w:trPr>
          <w:wBefore w:w="0" w:type="dxa"/>
          <w:wAfter w:w="0" w:type="dxa"/>
          <w:trHeight w:val="409" w:hRule="atLeast"/>
        </w:trPr>
        <w:tc>
          <w:tcPr>
            <w:tcW w:w="510"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公园、绿化带</w:t>
            </w:r>
          </w:p>
        </w:tc>
        <w:tc>
          <w:tcPr>
            <w:tcW w:w="901"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鉴湖大院沿河一带</w:t>
            </w:r>
          </w:p>
        </w:tc>
        <w:tc>
          <w:tcPr>
            <w:tcW w:w="755"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436"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08"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08"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364"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09"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10800</w:t>
            </w:r>
          </w:p>
        </w:tc>
        <w:tc>
          <w:tcPr>
            <w:tcW w:w="509"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10800</w:t>
            </w:r>
          </w:p>
        </w:tc>
      </w:tr>
      <w:tr>
        <w:tblPrEx>
          <w:tblCellMar>
            <w:top w:w="0" w:type="dxa"/>
            <w:left w:w="108" w:type="dxa"/>
            <w:bottom w:w="0" w:type="dxa"/>
            <w:right w:w="108" w:type="dxa"/>
          </w:tblCellMar>
        </w:tblPrEx>
        <w:trPr>
          <w:wBefore w:w="0" w:type="dxa"/>
          <w:wAfter w:w="0" w:type="dxa"/>
          <w:trHeight w:val="479" w:hRule="atLeast"/>
        </w:trPr>
        <w:tc>
          <w:tcPr>
            <w:tcW w:w="510"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2"/>
              </w:rPr>
            </w:pPr>
            <w:r>
              <w:rPr>
                <w:rFonts w:hint="eastAsia" w:ascii="宋体" w:hAnsi="宋体" w:cs="宋体"/>
                <w:kern w:val="0"/>
                <w:sz w:val="22"/>
              </w:rPr>
              <w:t>公园、绿化带</w:t>
            </w:r>
          </w:p>
        </w:tc>
        <w:tc>
          <w:tcPr>
            <w:tcW w:w="901" w:type="pct"/>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rPr>
            </w:pPr>
            <w:r>
              <w:rPr>
                <w:rFonts w:hint="eastAsia" w:ascii="宋体" w:hAnsi="宋体" w:cs="宋体"/>
                <w:kern w:val="0"/>
                <w:sz w:val="22"/>
              </w:rPr>
              <w:t>燃气公司周围绿化</w:t>
            </w:r>
          </w:p>
        </w:tc>
        <w:tc>
          <w:tcPr>
            <w:tcW w:w="755"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436"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08"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08"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364"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09" w:type="pct"/>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rPr>
            </w:pPr>
            <w:r>
              <w:rPr>
                <w:rFonts w:hint="eastAsia" w:ascii="宋体" w:hAnsi="宋体" w:cs="宋体"/>
                <w:kern w:val="0"/>
                <w:sz w:val="22"/>
              </w:rPr>
              <w:t>2500</w:t>
            </w:r>
          </w:p>
        </w:tc>
        <w:tc>
          <w:tcPr>
            <w:tcW w:w="509" w:type="pct"/>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rPr>
            </w:pPr>
            <w:r>
              <w:rPr>
                <w:rFonts w:hint="eastAsia" w:ascii="宋体" w:hAnsi="宋体" w:cs="宋体"/>
                <w:kern w:val="0"/>
                <w:sz w:val="22"/>
              </w:rPr>
              <w:t>2500</w:t>
            </w:r>
          </w:p>
        </w:tc>
      </w:tr>
      <w:tr>
        <w:tblPrEx>
          <w:tblCellMar>
            <w:top w:w="0" w:type="dxa"/>
            <w:left w:w="108" w:type="dxa"/>
            <w:bottom w:w="0" w:type="dxa"/>
            <w:right w:w="108" w:type="dxa"/>
          </w:tblCellMar>
        </w:tblPrEx>
        <w:trPr>
          <w:wBefore w:w="0" w:type="dxa"/>
          <w:wAfter w:w="0" w:type="dxa"/>
          <w:trHeight w:val="503" w:hRule="atLeast"/>
        </w:trPr>
        <w:tc>
          <w:tcPr>
            <w:tcW w:w="510"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公园、绿化带</w:t>
            </w:r>
          </w:p>
        </w:tc>
        <w:tc>
          <w:tcPr>
            <w:tcW w:w="901"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明珠广场</w:t>
            </w:r>
          </w:p>
        </w:tc>
        <w:tc>
          <w:tcPr>
            <w:tcW w:w="755"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436"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08"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08"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364"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09"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151331</w:t>
            </w:r>
          </w:p>
        </w:tc>
        <w:tc>
          <w:tcPr>
            <w:tcW w:w="509"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151331</w:t>
            </w:r>
          </w:p>
        </w:tc>
      </w:tr>
      <w:tr>
        <w:tblPrEx>
          <w:tblCellMar>
            <w:top w:w="0" w:type="dxa"/>
            <w:left w:w="108" w:type="dxa"/>
            <w:bottom w:w="0" w:type="dxa"/>
            <w:right w:w="108" w:type="dxa"/>
          </w:tblCellMar>
        </w:tblPrEx>
        <w:trPr>
          <w:wBefore w:w="0" w:type="dxa"/>
          <w:wAfter w:w="0" w:type="dxa"/>
          <w:trHeight w:val="414" w:hRule="atLeast"/>
        </w:trPr>
        <w:tc>
          <w:tcPr>
            <w:tcW w:w="510"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公园、绿化带</w:t>
            </w:r>
          </w:p>
        </w:tc>
        <w:tc>
          <w:tcPr>
            <w:tcW w:w="901"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北岸公园</w:t>
            </w:r>
          </w:p>
        </w:tc>
        <w:tc>
          <w:tcPr>
            <w:tcW w:w="755"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436"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08"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08"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364"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09"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15367</w:t>
            </w:r>
          </w:p>
        </w:tc>
        <w:tc>
          <w:tcPr>
            <w:tcW w:w="509"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15367</w:t>
            </w:r>
          </w:p>
        </w:tc>
      </w:tr>
      <w:tr>
        <w:tblPrEx>
          <w:tblCellMar>
            <w:top w:w="0" w:type="dxa"/>
            <w:left w:w="108" w:type="dxa"/>
            <w:bottom w:w="0" w:type="dxa"/>
            <w:right w:w="108" w:type="dxa"/>
          </w:tblCellMar>
        </w:tblPrEx>
        <w:trPr>
          <w:wBefore w:w="0" w:type="dxa"/>
          <w:wAfter w:w="0" w:type="dxa"/>
          <w:trHeight w:val="407" w:hRule="atLeast"/>
        </w:trPr>
        <w:tc>
          <w:tcPr>
            <w:tcW w:w="510"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公园、绿化带</w:t>
            </w:r>
          </w:p>
        </w:tc>
        <w:tc>
          <w:tcPr>
            <w:tcW w:w="901"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坂湖公园</w:t>
            </w:r>
          </w:p>
        </w:tc>
        <w:tc>
          <w:tcPr>
            <w:tcW w:w="755"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436"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08"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08"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364"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09"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09"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319953</w:t>
            </w:r>
          </w:p>
        </w:tc>
      </w:tr>
      <w:tr>
        <w:tblPrEx>
          <w:tblCellMar>
            <w:top w:w="0" w:type="dxa"/>
            <w:left w:w="108" w:type="dxa"/>
            <w:bottom w:w="0" w:type="dxa"/>
            <w:right w:w="108" w:type="dxa"/>
          </w:tblCellMar>
        </w:tblPrEx>
        <w:trPr>
          <w:wBefore w:w="0" w:type="dxa"/>
          <w:wAfter w:w="0" w:type="dxa"/>
          <w:trHeight w:val="427" w:hRule="atLeast"/>
        </w:trPr>
        <w:tc>
          <w:tcPr>
            <w:tcW w:w="510"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公园、绿化带</w:t>
            </w:r>
          </w:p>
        </w:tc>
        <w:tc>
          <w:tcPr>
            <w:tcW w:w="901"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气象科普公园</w:t>
            </w:r>
          </w:p>
        </w:tc>
        <w:tc>
          <w:tcPr>
            <w:tcW w:w="755"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436"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08"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08"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364"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09"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c>
          <w:tcPr>
            <w:tcW w:w="509"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r>
              <w:rPr>
                <w:rFonts w:hint="eastAsia" w:ascii="宋体" w:hAnsi="宋体" w:cs="宋体"/>
                <w:kern w:val="0"/>
                <w:sz w:val="22"/>
              </w:rPr>
              <w:t>6365</w:t>
            </w:r>
          </w:p>
        </w:tc>
      </w:tr>
      <w:tr>
        <w:tblPrEx>
          <w:tblCellMar>
            <w:top w:w="0" w:type="dxa"/>
            <w:left w:w="108" w:type="dxa"/>
            <w:bottom w:w="0" w:type="dxa"/>
            <w:right w:w="108" w:type="dxa"/>
          </w:tblCellMar>
        </w:tblPrEx>
        <w:trPr>
          <w:wBefore w:w="0" w:type="dxa"/>
          <w:wAfter w:w="0" w:type="dxa"/>
          <w:trHeight w:val="550" w:hRule="atLeast"/>
        </w:trPr>
        <w:tc>
          <w:tcPr>
            <w:tcW w:w="4491" w:type="pct"/>
            <w:gridSpan w:val="8"/>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合计</w:t>
            </w:r>
          </w:p>
        </w:tc>
        <w:tc>
          <w:tcPr>
            <w:tcW w:w="509" w:type="pct"/>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1790585</w:t>
            </w:r>
          </w:p>
        </w:tc>
      </w:tr>
      <w:tr>
        <w:tblPrEx>
          <w:tblCellMar>
            <w:top w:w="0" w:type="dxa"/>
            <w:left w:w="108" w:type="dxa"/>
            <w:bottom w:w="0" w:type="dxa"/>
            <w:right w:w="108" w:type="dxa"/>
          </w:tblCellMar>
        </w:tblPrEx>
        <w:trPr>
          <w:wBefore w:w="0" w:type="dxa"/>
          <w:wAfter w:w="0" w:type="dxa"/>
          <w:trHeight w:val="550" w:hRule="atLeast"/>
        </w:trPr>
        <w:tc>
          <w:tcPr>
            <w:tcW w:w="5000" w:type="pct"/>
            <w:gridSpan w:val="9"/>
            <w:tcBorders>
              <w:top w:val="single" w:color="auto" w:sz="4" w:space="0"/>
              <w:left w:val="single" w:color="auto" w:sz="4" w:space="0"/>
              <w:bottom w:val="single" w:color="auto" w:sz="4" w:space="0"/>
              <w:right w:val="single" w:color="auto" w:sz="4" w:space="0"/>
            </w:tcBorders>
            <w:noWrap/>
            <w:vAlign w:val="center"/>
          </w:tcPr>
          <w:p>
            <w:pPr>
              <w:widowControl/>
              <w:rPr>
                <w:rFonts w:hint="eastAsia" w:ascii="宋体" w:hAnsi="宋体" w:cs="宋体"/>
                <w:b/>
                <w:kern w:val="0"/>
                <w:sz w:val="22"/>
                <w:szCs w:val="22"/>
              </w:rPr>
            </w:pPr>
            <w:r>
              <w:rPr>
                <w:rFonts w:hint="eastAsia" w:ascii="宋体" w:hAnsi="宋体" w:cs="宋体"/>
                <w:b/>
                <w:kern w:val="0"/>
                <w:sz w:val="22"/>
                <w:szCs w:val="22"/>
              </w:rPr>
              <w:t>1.最低保洁人员：白班116人，晚班68人，快速保洁25人，开放式小区26人，冲洗10人，清运14人，驾驶员29人，管理人员3人，合计291人。</w:t>
            </w:r>
          </w:p>
          <w:p>
            <w:pPr>
              <w:widowControl/>
              <w:rPr>
                <w:rFonts w:hint="eastAsia" w:ascii="宋体" w:hAnsi="宋体" w:cs="宋体"/>
                <w:kern w:val="0"/>
                <w:sz w:val="22"/>
                <w:szCs w:val="22"/>
              </w:rPr>
            </w:pPr>
            <w:r>
              <w:rPr>
                <w:rFonts w:hint="eastAsia" w:ascii="宋体" w:hAnsi="宋体" w:cs="宋体"/>
                <w:kern w:val="0"/>
                <w:sz w:val="22"/>
                <w:szCs w:val="22"/>
              </w:rPr>
              <w:t>2.</w:t>
            </w:r>
            <w:r>
              <w:rPr>
                <w:rFonts w:hint="eastAsia"/>
              </w:rPr>
              <w:t xml:space="preserve"> </w:t>
            </w:r>
            <w:r>
              <w:rPr>
                <w:rFonts w:hint="eastAsia" w:ascii="宋体" w:hAnsi="宋体" w:cs="宋体"/>
                <w:kern w:val="0"/>
                <w:sz w:val="22"/>
                <w:szCs w:val="22"/>
              </w:rPr>
              <w:t>定点单位垃圾直运，采用压缩车收集直运至垃圾处置终端(垃圾焚烧场、垃圾填埋场)，垃圾处置终端费用由环卫中心承担。</w:t>
            </w:r>
          </w:p>
          <w:p>
            <w:pPr>
              <w:widowControl/>
              <w:rPr>
                <w:rFonts w:hint="eastAsia" w:ascii="宋体" w:hAnsi="宋体" w:cs="宋体"/>
                <w:kern w:val="0"/>
                <w:sz w:val="22"/>
                <w:szCs w:val="22"/>
              </w:rPr>
            </w:pPr>
            <w:r>
              <w:rPr>
                <w:rFonts w:hint="eastAsia" w:ascii="宋体" w:hAnsi="宋体" w:cs="宋体"/>
                <w:kern w:val="0"/>
                <w:sz w:val="22"/>
                <w:szCs w:val="22"/>
              </w:rPr>
              <w:t>3.</w:t>
            </w:r>
            <w:r>
              <w:rPr>
                <w:rFonts w:hint="eastAsia"/>
              </w:rPr>
              <w:t xml:space="preserve"> </w:t>
            </w:r>
            <w:r>
              <w:rPr>
                <w:rFonts w:hint="eastAsia" w:ascii="宋体" w:hAnsi="宋体" w:cs="宋体"/>
                <w:kern w:val="0"/>
                <w:sz w:val="22"/>
                <w:szCs w:val="22"/>
              </w:rPr>
              <w:t>垃圾收集清运小区及单位(其他垃圾分类桶、240L和660L垃圾桶)：福东社区：福东花园东西区、金色华庭北区、金柯桥大道274号、金柯桥大道312号；福年社区：福年花园、福年住商楼、金桥新村、鉴港园、华舍园、笛扬路746号、笛福新村、管墅住商楼、福立花园；港越社区：港越路400号；柯福社区：柯福小区(含福欣新村)、越州商厦、福年楼(含福欣新村)、中泽楼；柯亭社区：柯桥村住商楼(万商路694号)、柯桥村住商楼(万商路656号)、金柯桥住商楼(万商路758号)；立新社区：滨河花园、湖塘楼(明珠路138号)、立新南区、夏家花园、立新北区；其他：金城小区、大寺小区、陆家岸头、区政府干部楼、永丰桥小区、方家汇小区、综合市场楼上、宝业小区、柯亭路一带、新世界大酒店周边河边、电讯市场、电讯市场通道、综合市场北门、日月潭外围、夜市、大寺社区、万商路与浙纤路交叉口、城隍庙、城隍庙公厕、区教育局、柯桥街道办事处、柯桥人民医院、区市容环境卫生管理中心、公共自行车公司；柯桥***、市场监督局（万商路）、柯桥中医院、实验中学（山阴路）、柯桥中心幼儿园、瑞豪酒店、鱼得水大酒店、邮政集团、精功广场、鉴湖大院、交通局、生态环境分局、果蔬批发市场、电信公司、柯桥街道综合执法中队、明珠广场、步行街临时疏导点、综合市场及周边单位、实验小学（柯西新校区）、武警中队。</w:t>
            </w:r>
          </w:p>
          <w:p>
            <w:pPr>
              <w:widowControl/>
              <w:rPr>
                <w:rFonts w:hint="eastAsia" w:ascii="宋体" w:hAnsi="宋体" w:cs="宋体"/>
                <w:b/>
                <w:kern w:val="0"/>
                <w:sz w:val="22"/>
                <w:szCs w:val="22"/>
              </w:rPr>
            </w:pPr>
            <w:r>
              <w:rPr>
                <w:rFonts w:hint="eastAsia"/>
                <w:sz w:val="22"/>
                <w:szCs w:val="22"/>
              </w:rPr>
              <w:t>备注：道路面积已包含绿化隔离带及两侧绿化带（花坛）等小块绿化带面积。</w:t>
            </w:r>
          </w:p>
        </w:tc>
      </w:tr>
    </w:tbl>
    <w:p>
      <w:pPr>
        <w:spacing w:line="360" w:lineRule="auto"/>
        <w:rPr>
          <w:rFonts w:hint="eastAsia"/>
          <w:b/>
          <w:sz w:val="24"/>
        </w:rPr>
      </w:pPr>
    </w:p>
    <w:p>
      <w:pPr>
        <w:spacing w:line="360" w:lineRule="auto"/>
        <w:rPr>
          <w:rFonts w:hint="eastAsia"/>
          <w:b/>
          <w:sz w:val="24"/>
        </w:rPr>
      </w:pPr>
      <w:r>
        <w:rPr>
          <w:rFonts w:hint="eastAsia"/>
          <w:b/>
          <w:sz w:val="24"/>
        </w:rPr>
        <w:t>保洁内容及作业要求说明：</w:t>
      </w:r>
    </w:p>
    <w:p>
      <w:pPr>
        <w:spacing w:line="360" w:lineRule="auto"/>
        <w:ind w:firstLine="360" w:firstLineChars="150"/>
        <w:rPr>
          <w:rFonts w:hint="eastAsia"/>
          <w:sz w:val="24"/>
        </w:rPr>
      </w:pPr>
      <w:r>
        <w:rPr>
          <w:rFonts w:ascii="宋体" w:hAnsi="宋体" w:cs="宋体"/>
          <w:sz w:val="24"/>
        </w:rPr>
        <w:fldChar w:fldCharType="begin"/>
      </w:r>
      <w:r>
        <w:rPr>
          <w:rFonts w:ascii="宋体" w:hAnsi="宋体" w:cs="宋体"/>
          <w:sz w:val="24"/>
        </w:rPr>
        <w:instrText xml:space="preserve"> </w:instrText>
      </w:r>
      <w:r>
        <w:rPr>
          <w:rFonts w:hint="eastAsia" w:ascii="宋体" w:hAnsi="宋体" w:cs="宋体"/>
          <w:sz w:val="24"/>
        </w:rPr>
        <w:instrText xml:space="preserve">= 1 \* GB3</w:instrText>
      </w:r>
      <w:r>
        <w:rPr>
          <w:rFonts w:ascii="宋体" w:hAnsi="宋体" w:cs="宋体"/>
          <w:sz w:val="24"/>
        </w:rPr>
        <w:instrText xml:space="preserve"> </w:instrText>
      </w:r>
      <w:r>
        <w:rPr>
          <w:rFonts w:ascii="宋体" w:hAnsi="宋体" w:cs="宋体"/>
          <w:sz w:val="24"/>
        </w:rPr>
        <w:fldChar w:fldCharType="separate"/>
      </w:r>
      <w:r>
        <w:rPr>
          <w:rFonts w:hint="eastAsia" w:ascii="宋体" w:hAnsi="宋体" w:cs="宋体"/>
          <w:sz w:val="24"/>
          <w:lang/>
        </w:rPr>
        <w:t>①</w:t>
      </w:r>
      <w:r>
        <w:rPr>
          <w:rFonts w:ascii="宋体" w:hAnsi="宋体" w:cs="宋体"/>
          <w:sz w:val="24"/>
        </w:rPr>
        <w:fldChar w:fldCharType="end"/>
      </w:r>
      <w:r>
        <w:rPr>
          <w:rFonts w:hint="eastAsia" w:ascii="宋体" w:hAnsi="宋体" w:cs="宋体"/>
          <w:sz w:val="24"/>
        </w:rPr>
        <w:t>洁范围及内容：墙到墙，含道路、绿化隔离带、人行道（横向为建筑物门面或围墙至路边侧石）、两侧绿化带（花坛）的清扫保洁，指定小区的保洁清运、沿街商铺垃圾上门收集清运、沿街垃圾（含果壳箱、垃圾桶内）收集清运，隔离栏清洗，公共自行车停f放点清扫冲洗、卫生死角清除，道路两边乱倒无主垃圾（含建筑垃圾及弃土）清除；果壳箱、垃圾桶清洗、更换安装、补缺（果壳箱、垃圾桶由环卫中心提供），沿街建筑物，人行道，地面，市政、交通、环卫设施等立面乱涂写，乱张贴清除保洁。小区保洁范围包括清扫（至楼梯口）、车棚上部、绿化带保洁、垃圾分类督导、垃圾清运、杂草清除、乱张贴、乱涂写清除等。道路上混凝土车辆漏洒混凝土块清除。现有隔离栏、市政、环卫设施等如有增加而需增加工作量时，费用不做调整。</w:t>
      </w:r>
    </w:p>
    <w:p>
      <w:pPr>
        <w:spacing w:line="360" w:lineRule="auto"/>
        <w:ind w:firstLine="360" w:firstLineChars="150"/>
        <w:rPr>
          <w:rFonts w:hint="eastAsia"/>
          <w:sz w:val="24"/>
        </w:rPr>
      </w:pPr>
      <w:r>
        <w:rPr>
          <w:rFonts w:hint="eastAsia"/>
          <w:sz w:val="24"/>
        </w:rPr>
        <w:t>②作业要求：道路实行17小时保洁（时间早上5:00—晚上22:00），白班为5：00—17:00；晚班为17:00—22:00，快速保洁时间为7:30-12:30，13:00-18:00。小区保洁8小时是指每天的6:30-10:30和13:00-17:00。公园15小时保洁为5:00—20:00。每日按规定时间完成两次普扫，首次普扫必须在早上7:00前完成，其中11月、12月、1月、2月四个月必须在早上7:30前完成；第二次普扫于中午12:30至14:00之间完成。</w:t>
      </w:r>
    </w:p>
    <w:p>
      <w:pPr>
        <w:spacing w:line="360" w:lineRule="auto"/>
        <w:ind w:firstLine="360" w:firstLineChars="150"/>
        <w:rPr>
          <w:rFonts w:hint="eastAsia"/>
          <w:sz w:val="24"/>
        </w:rPr>
      </w:pPr>
      <w:r>
        <w:rPr>
          <w:rFonts w:hint="eastAsia"/>
          <w:sz w:val="24"/>
        </w:rPr>
        <w:t>③一级道路洗扫要求为每天2+1遍，二级道路每天2遍，一级道路洒水要求为每天20小时作业（4:00-24:00），每天10遍，二级道路每天4遍，三级道路要求能机械化的则机械化，能冲则冲，路面全覆盖，人行道作业采用机械与人工保洁相结合。其中群贤路、金柯桥大道和笛扬路要求每天洗扫4遍，人行道、慢车道采用机械化作业。镜水路须24小时湿法作业（每小时洒水1次）。</w:t>
      </w:r>
    </w:p>
    <w:p>
      <w:pPr>
        <w:spacing w:line="360" w:lineRule="auto"/>
        <w:ind w:firstLine="360" w:firstLineChars="150"/>
        <w:rPr>
          <w:rFonts w:hint="eastAsia"/>
          <w:sz w:val="24"/>
        </w:rPr>
      </w:pPr>
      <w:r>
        <w:rPr>
          <w:rFonts w:hint="eastAsia"/>
          <w:sz w:val="24"/>
        </w:rPr>
        <w:t>夜间一级道路每10天路面深度清洗不少于1次，二级道路每半个月路面深度清洗不少于1次，三级道路每月路面深度清洗不少于1次。</w:t>
      </w:r>
    </w:p>
    <w:p>
      <w:pPr>
        <w:spacing w:line="360" w:lineRule="auto"/>
        <w:ind w:firstLine="360" w:firstLineChars="150"/>
        <w:rPr>
          <w:rFonts w:hint="eastAsia"/>
          <w:sz w:val="24"/>
        </w:rPr>
      </w:pPr>
      <w:r>
        <w:rPr>
          <w:rFonts w:hint="eastAsia"/>
          <w:sz w:val="24"/>
        </w:rPr>
        <w:t>人行道、隔离栏每3天冲洗1次，对被污染路面须及时进行冲洗。每日0:00开始各保洁公司可开始组织冲洗、清扫等作业，并于早上7:00前撤离，白天洒水作业在9:00—16:00之间开展。</w:t>
      </w:r>
    </w:p>
    <w:p>
      <w:pPr>
        <w:spacing w:line="360" w:lineRule="auto"/>
        <w:ind w:firstLine="360" w:firstLineChars="150"/>
        <w:rPr>
          <w:rFonts w:hint="eastAsia"/>
          <w:sz w:val="24"/>
        </w:rPr>
      </w:pPr>
      <w:r>
        <w:rPr>
          <w:rFonts w:hint="eastAsia"/>
          <w:sz w:val="24"/>
        </w:rPr>
        <w:t>推进以冲洗、洒水、机扫为主，人行道冲洗、雾炮车抑尘为辅的立体化全方位抑制道路扬尘作业。雾炮车抑尘应20小时循环作业(早晚高峰除外)。冲洗作业应科学地调整喷嘴角度及冲洗压力，确保作业路面全覆盖；日间洒水应采取后洒的方式；机械化作业时必须控制作业车速，打开警示灯；对污染严重路段应科学合理地安排作业。</w:t>
      </w:r>
    </w:p>
    <w:p>
      <w:pPr>
        <w:spacing w:line="360" w:lineRule="auto"/>
        <w:ind w:firstLine="360" w:firstLineChars="150"/>
        <w:rPr>
          <w:rFonts w:hint="eastAsia"/>
          <w:sz w:val="24"/>
        </w:rPr>
      </w:pPr>
      <w:r>
        <w:rPr>
          <w:rFonts w:hint="eastAsia"/>
          <w:sz w:val="24"/>
        </w:rPr>
        <w:t>各项机械化作业应充分考虑道路交通状况，避开高峰时段，冲洗应在夜间进行，白天不得以冲洗代替后洒作业，最大程度降低对市民出行的影响；当气温低于3℃时，停止冲洗、洒水、雾炮作业；合理安排环卫工人的工作时间，优化作业模式，加强安全管理工作。</w:t>
      </w:r>
    </w:p>
    <w:p>
      <w:pPr>
        <w:spacing w:line="360" w:lineRule="auto"/>
        <w:ind w:firstLine="360" w:firstLineChars="150"/>
        <w:rPr>
          <w:rFonts w:hint="eastAsia"/>
          <w:sz w:val="24"/>
        </w:rPr>
      </w:pPr>
      <w:r>
        <w:rPr>
          <w:rFonts w:hint="eastAsia"/>
          <w:sz w:val="24"/>
        </w:rPr>
        <w:t>⑤沿街商铺垃圾上门收集清运：按照垃圾分类的要求进行定时或定点收集清运，按要求进行车辆配置及喷涂，收集线路根据垃圾分类办要求扩展，车辆、人员如有增减，费用不作调整。</w:t>
      </w:r>
    </w:p>
    <w:p>
      <w:pPr>
        <w:spacing w:line="360" w:lineRule="auto"/>
        <w:ind w:firstLine="360" w:firstLineChars="150"/>
        <w:rPr>
          <w:rFonts w:hint="eastAsia"/>
          <w:sz w:val="24"/>
        </w:rPr>
      </w:pPr>
      <w:r>
        <w:rPr>
          <w:rFonts w:hint="eastAsia"/>
          <w:sz w:val="24"/>
        </w:rPr>
        <w:t>⑥按时完成数字城管案卷。</w:t>
      </w:r>
    </w:p>
    <w:p>
      <w:pPr>
        <w:spacing w:line="360" w:lineRule="auto"/>
        <w:ind w:firstLine="360" w:firstLineChars="150"/>
        <w:rPr>
          <w:rFonts w:hint="eastAsia"/>
          <w:sz w:val="24"/>
        </w:rPr>
      </w:pPr>
      <w:r>
        <w:rPr>
          <w:rFonts w:hint="eastAsia"/>
          <w:sz w:val="24"/>
        </w:rPr>
        <w:t>⑦突发及突击情况处理：对因突发情况（如恶劣天气或其它人为因素）造成的道路污染、积雪等，须及时清除，因创建及检查评比需要而提高要求临时增加工作量及工作任务，需及时完成，另需准备一支10人左右应急队伍，供采购人遇突发情况或重大活动等时调遣，但不得影响其其它区域保洁工作及质量，所需增加设备、人员费用包含在报价中，不作另行支付。</w:t>
      </w:r>
    </w:p>
    <w:p>
      <w:pPr>
        <w:spacing w:line="360" w:lineRule="auto"/>
        <w:ind w:firstLine="360" w:firstLineChars="150"/>
        <w:rPr>
          <w:rFonts w:hint="eastAsia"/>
          <w:sz w:val="24"/>
        </w:rPr>
      </w:pPr>
      <w:r>
        <w:rPr>
          <w:rFonts w:hint="eastAsia"/>
          <w:sz w:val="24"/>
        </w:rPr>
        <w:t>⑧道路清扫保洁面积统计数量系根据初步需求统计，与实际道路保洁面积可能存在一定差异，预估道路清扫保洁面积仅供参考。供应商在报价中须充分考虑此因素，采购人不对供应商据此作出的判断和决策负责。</w:t>
      </w:r>
    </w:p>
    <w:p>
      <w:pPr>
        <w:spacing w:line="360" w:lineRule="auto"/>
        <w:ind w:firstLine="360" w:firstLineChars="150"/>
        <w:rPr>
          <w:rFonts w:hint="eastAsia"/>
          <w:sz w:val="24"/>
        </w:rPr>
      </w:pPr>
    </w:p>
    <w:p>
      <w:pPr>
        <w:spacing w:line="360" w:lineRule="auto"/>
        <w:ind w:firstLine="360" w:firstLineChars="150"/>
        <w:rPr>
          <w:rFonts w:hint="eastAsia"/>
          <w:sz w:val="24"/>
        </w:rPr>
      </w:pPr>
    </w:p>
    <w:p>
      <w:pPr>
        <w:rPr>
          <w:rFonts w:hint="eastAsia"/>
          <w:b/>
          <w:sz w:val="24"/>
        </w:rPr>
      </w:pPr>
    </w:p>
    <w:p>
      <w:pPr>
        <w:rPr>
          <w:rFonts w:hint="eastAsia"/>
          <w:b/>
          <w:sz w:val="24"/>
        </w:rPr>
      </w:pPr>
    </w:p>
    <w:p>
      <w:pPr>
        <w:rPr>
          <w:rFonts w:hint="eastAsia"/>
          <w:b/>
          <w:sz w:val="24"/>
        </w:rPr>
      </w:pPr>
    </w:p>
    <w:p>
      <w:pPr>
        <w:rPr>
          <w:rFonts w:hint="eastAsia"/>
          <w:b/>
          <w:sz w:val="24"/>
        </w:rPr>
      </w:pPr>
    </w:p>
    <w:p>
      <w:pPr>
        <w:rPr>
          <w:rFonts w:hint="eastAsia"/>
          <w:b/>
          <w:sz w:val="24"/>
        </w:rPr>
      </w:pPr>
    </w:p>
    <w:p>
      <w:pPr>
        <w:rPr>
          <w:rFonts w:hint="eastAsia"/>
          <w:b/>
          <w:sz w:val="24"/>
        </w:rPr>
      </w:pPr>
    </w:p>
    <w:p>
      <w:pPr>
        <w:rPr>
          <w:rFonts w:hint="eastAsia"/>
          <w:b/>
          <w:sz w:val="24"/>
        </w:rPr>
      </w:pPr>
    </w:p>
    <w:p>
      <w:pPr>
        <w:rPr>
          <w:rFonts w:hint="eastAsia"/>
          <w:b/>
          <w:sz w:val="24"/>
        </w:rPr>
      </w:pPr>
    </w:p>
    <w:p>
      <w:pPr>
        <w:rPr>
          <w:rFonts w:hint="eastAsia"/>
          <w:b/>
          <w:sz w:val="24"/>
        </w:rPr>
      </w:pPr>
    </w:p>
    <w:p>
      <w:pPr>
        <w:rPr>
          <w:rFonts w:hint="eastAsia"/>
          <w:b/>
          <w:sz w:val="24"/>
        </w:rPr>
      </w:pPr>
    </w:p>
    <w:p>
      <w:pPr>
        <w:rPr>
          <w:rFonts w:hint="eastAsia"/>
          <w:b/>
          <w:sz w:val="24"/>
        </w:rPr>
      </w:pPr>
    </w:p>
    <w:p>
      <w:pPr>
        <w:rPr>
          <w:rFonts w:hint="eastAsia"/>
          <w:b/>
          <w:sz w:val="24"/>
        </w:rPr>
      </w:pPr>
    </w:p>
    <w:p>
      <w:pPr>
        <w:rPr>
          <w:rFonts w:hint="eastAsia"/>
          <w:b/>
          <w:sz w:val="24"/>
        </w:rPr>
      </w:pPr>
    </w:p>
    <w:p>
      <w:pPr>
        <w:rPr>
          <w:rFonts w:hint="eastAsia"/>
          <w:b/>
          <w:sz w:val="24"/>
        </w:rPr>
      </w:pPr>
    </w:p>
    <w:p>
      <w:pPr>
        <w:rPr>
          <w:rFonts w:hint="eastAsia"/>
          <w:b/>
          <w:sz w:val="24"/>
        </w:rPr>
      </w:pPr>
    </w:p>
    <w:p>
      <w:pPr>
        <w:rPr>
          <w:rFonts w:hint="eastAsia"/>
          <w:b/>
          <w:sz w:val="24"/>
        </w:rPr>
      </w:pPr>
    </w:p>
    <w:p>
      <w:pPr>
        <w:rPr>
          <w:rFonts w:hint="eastAsia"/>
          <w:b/>
          <w:sz w:val="24"/>
        </w:rPr>
      </w:pPr>
    </w:p>
    <w:p>
      <w:pPr>
        <w:rPr>
          <w:rFonts w:hint="eastAsia"/>
          <w:b/>
          <w:sz w:val="24"/>
        </w:rPr>
      </w:pPr>
    </w:p>
    <w:p>
      <w:pPr>
        <w:rPr>
          <w:rFonts w:hint="eastAsia"/>
          <w:b/>
          <w:sz w:val="24"/>
        </w:rPr>
      </w:pPr>
    </w:p>
    <w:p>
      <w:pPr>
        <w:rPr>
          <w:rFonts w:hint="eastAsia"/>
          <w:b/>
          <w:sz w:val="24"/>
        </w:rPr>
      </w:pPr>
    </w:p>
    <w:p>
      <w:pPr>
        <w:rPr>
          <w:rFonts w:hint="eastAsia"/>
          <w:b/>
          <w:sz w:val="24"/>
        </w:rPr>
      </w:pPr>
    </w:p>
    <w:p>
      <w:pPr>
        <w:rPr>
          <w:rFonts w:hint="eastAsia"/>
          <w:b/>
          <w:sz w:val="24"/>
        </w:rPr>
      </w:pPr>
    </w:p>
    <w:p>
      <w:pPr>
        <w:rPr>
          <w:rFonts w:hint="eastAsia"/>
          <w:b/>
          <w:sz w:val="24"/>
        </w:rPr>
      </w:pPr>
    </w:p>
    <w:p>
      <w:pPr>
        <w:rPr>
          <w:rFonts w:hint="eastAsia"/>
          <w:b/>
          <w:sz w:val="24"/>
        </w:rPr>
      </w:pPr>
    </w:p>
    <w:p>
      <w:pPr>
        <w:rPr>
          <w:rFonts w:hint="eastAsia"/>
          <w:b/>
          <w:sz w:val="24"/>
        </w:rPr>
      </w:pPr>
    </w:p>
    <w:p>
      <w:pPr>
        <w:rPr>
          <w:rFonts w:hint="eastAsia"/>
          <w:b/>
          <w:sz w:val="24"/>
        </w:rPr>
      </w:pPr>
    </w:p>
    <w:p>
      <w:pPr>
        <w:rPr>
          <w:rFonts w:hint="eastAsia"/>
          <w:b/>
          <w:sz w:val="24"/>
        </w:rPr>
      </w:pPr>
    </w:p>
    <w:p>
      <w:pPr>
        <w:rPr>
          <w:rFonts w:hint="eastAsia"/>
          <w:b/>
          <w:sz w:val="24"/>
        </w:rPr>
      </w:pPr>
    </w:p>
    <w:p>
      <w:pPr>
        <w:rPr>
          <w:rFonts w:hint="eastAsia"/>
          <w:b/>
          <w:sz w:val="24"/>
        </w:rPr>
      </w:pPr>
    </w:p>
    <w:p>
      <w:pPr>
        <w:ind w:firstLine="440" w:firstLineChars="100"/>
        <w:jc w:val="center"/>
        <w:rPr>
          <w:rFonts w:hint="eastAsia"/>
          <w:b/>
          <w:sz w:val="28"/>
        </w:rPr>
      </w:pPr>
      <w:r>
        <w:rPr>
          <w:rFonts w:hint="eastAsia" w:ascii="宋体" w:hAnsi="宋体" w:cs="宋体"/>
          <w:sz w:val="44"/>
          <w:szCs w:val="44"/>
        </w:rPr>
        <w:t>附件十：柯桥城区道路保洁服务要求</w:t>
      </w:r>
    </w:p>
    <w:p>
      <w:pPr>
        <w:rPr>
          <w:rFonts w:hint="eastAsia"/>
          <w:b/>
          <w:sz w:val="28"/>
        </w:rPr>
      </w:pPr>
    </w:p>
    <w:p>
      <w:pPr>
        <w:spacing w:line="460" w:lineRule="exact"/>
        <w:ind w:firstLine="484" w:firstLineChars="201"/>
        <w:rPr>
          <w:rFonts w:hint="eastAsia" w:ascii="宋体" w:hAnsi="宋体"/>
          <w:b/>
          <w:sz w:val="24"/>
        </w:rPr>
      </w:pPr>
      <w:r>
        <w:rPr>
          <w:rFonts w:hint="eastAsia" w:ascii="宋体" w:hAnsi="宋体"/>
          <w:b/>
          <w:sz w:val="24"/>
        </w:rPr>
        <w:t>1.1管理制度:</w:t>
      </w:r>
    </w:p>
    <w:p>
      <w:pPr>
        <w:spacing w:line="460" w:lineRule="exact"/>
        <w:ind w:right="-183" w:rightChars="-87" w:firstLine="540" w:firstLineChars="225"/>
        <w:rPr>
          <w:rFonts w:hint="eastAsia" w:ascii="宋体" w:hAnsi="宋体" w:cs="宋体"/>
          <w:sz w:val="24"/>
        </w:rPr>
      </w:pPr>
      <w:r>
        <w:rPr>
          <w:rFonts w:hint="eastAsia" w:ascii="宋体" w:hAnsi="宋体" w:cs="宋体"/>
          <w:sz w:val="24"/>
        </w:rPr>
        <w:t>①承包单位必须建立保洁管理领导小组，分解管理责任目标；建立健全各项保洁管理的规章制度，签订合同时提供保洁方案，明确各路段作业人员安置情况表；健全巡查制度，有巡查日志；各项台帐资料齐全、确实可信。</w:t>
      </w:r>
    </w:p>
    <w:p>
      <w:pPr>
        <w:spacing w:line="460" w:lineRule="exact"/>
        <w:ind w:right="-183" w:rightChars="-87" w:firstLine="540" w:firstLineChars="225"/>
        <w:rPr>
          <w:rFonts w:hint="eastAsia" w:ascii="宋体" w:hAnsi="宋体" w:cs="宋体"/>
          <w:sz w:val="24"/>
        </w:rPr>
      </w:pPr>
      <w:r>
        <w:rPr>
          <w:rFonts w:hint="eastAsia" w:ascii="宋体" w:hAnsi="宋体" w:cs="宋体"/>
          <w:sz w:val="24"/>
        </w:rPr>
        <w:t>②承包单位必须在作业区域内设立管理用房与场地，用于管理人员办公及堆放作业工具，管理用房及场地由各承包单位自行租赁，费用包含在投标价中。</w:t>
      </w:r>
    </w:p>
    <w:p>
      <w:pPr>
        <w:spacing w:line="460" w:lineRule="exact"/>
        <w:ind w:right="-183" w:rightChars="-87" w:firstLine="540" w:firstLineChars="225"/>
        <w:rPr>
          <w:rFonts w:hint="eastAsia" w:ascii="宋体" w:hAnsi="宋体" w:cs="宋体"/>
          <w:sz w:val="24"/>
        </w:rPr>
      </w:pPr>
      <w:r>
        <w:rPr>
          <w:rFonts w:hint="eastAsia" w:ascii="宋体" w:hAnsi="宋体" w:cs="宋体"/>
          <w:sz w:val="24"/>
        </w:rPr>
        <w:t>③承包单位应建立健全安全生产管理制度和落实安全生产责任人。作业车辆出车前必须进行检查，确保车况良好方可上路进行环卫作业。严格遵守交通规则，作业时应开启警示灯，夜间作业时还须开示宽灯，降低或关闭提示音乐。各承包单位晚上应有值班人员及车辆，发现问题及时处理，确保环境卫生的干净整洁。</w:t>
      </w:r>
    </w:p>
    <w:p>
      <w:pPr>
        <w:spacing w:line="460" w:lineRule="exact"/>
        <w:ind w:right="-183" w:rightChars="-87" w:firstLine="540" w:firstLineChars="225"/>
        <w:rPr>
          <w:rFonts w:hint="eastAsia" w:ascii="宋体" w:hAnsi="宋体" w:cs="宋体"/>
          <w:sz w:val="24"/>
        </w:rPr>
      </w:pPr>
      <w:r>
        <w:rPr>
          <w:rFonts w:hint="eastAsia" w:ascii="宋体" w:hAnsi="宋体" w:cs="宋体"/>
          <w:sz w:val="24"/>
        </w:rPr>
        <w:t>④清扫保洁员上岗须统一着装，佩戴上岗证、道路保洁人员作业时必须穿安全反光黄背心和戴反光安全帽，对发现的问题要及时整改。</w:t>
      </w:r>
    </w:p>
    <w:p>
      <w:pPr>
        <w:spacing w:line="460" w:lineRule="exact"/>
        <w:ind w:right="-183" w:rightChars="-87" w:firstLine="540" w:firstLineChars="225"/>
        <w:rPr>
          <w:rFonts w:hint="eastAsia" w:ascii="宋体" w:hAnsi="宋体" w:cs="宋体"/>
          <w:sz w:val="24"/>
        </w:rPr>
      </w:pPr>
      <w:r>
        <w:rPr>
          <w:rFonts w:hint="eastAsia" w:ascii="宋体" w:hAnsi="宋体" w:cs="宋体"/>
          <w:sz w:val="24"/>
        </w:rPr>
        <w:t>⑤承包单位及保洁人员不得向沿街单位和个人擅自收取任何费用。</w:t>
      </w:r>
    </w:p>
    <w:p>
      <w:pPr>
        <w:spacing w:line="460" w:lineRule="exact"/>
        <w:ind w:right="-183" w:rightChars="-87" w:firstLine="540" w:firstLineChars="225"/>
        <w:rPr>
          <w:rFonts w:hint="eastAsia" w:ascii="宋体" w:hAnsi="宋体" w:cs="宋体"/>
          <w:sz w:val="24"/>
        </w:rPr>
      </w:pPr>
      <w:r>
        <w:rPr>
          <w:rFonts w:hint="eastAsia" w:ascii="宋体" w:hAnsi="宋体" w:cs="宋体"/>
          <w:sz w:val="24"/>
        </w:rPr>
        <w:t>⑥保洁时不能将垃圾、污水溅到行人身上，垃圾应倾倒指定地点，不焚烧垃圾、树叶，树枝落叶旺季及时清扫干净。</w:t>
      </w:r>
    </w:p>
    <w:p>
      <w:pPr>
        <w:spacing w:line="460" w:lineRule="exact"/>
        <w:ind w:right="-183" w:rightChars="-87" w:firstLine="540" w:firstLineChars="225"/>
        <w:rPr>
          <w:rFonts w:hint="eastAsia" w:ascii="宋体" w:hAnsi="宋体" w:cs="宋体"/>
          <w:sz w:val="24"/>
        </w:rPr>
      </w:pPr>
      <w:r>
        <w:rPr>
          <w:rFonts w:hint="eastAsia" w:ascii="宋体" w:hAnsi="宋体" w:cs="宋体"/>
          <w:sz w:val="24"/>
        </w:rPr>
        <w:t>⑦作业时作业工具应摆（停）放地点适当，不影响行人和交通，收工后的存放由承包单位自行负责。</w:t>
      </w:r>
    </w:p>
    <w:p>
      <w:pPr>
        <w:spacing w:line="460" w:lineRule="exact"/>
        <w:ind w:right="-183" w:rightChars="-87" w:firstLine="540" w:firstLineChars="225"/>
        <w:rPr>
          <w:rFonts w:hint="eastAsia" w:ascii="宋体" w:hAnsi="宋体" w:cs="宋体"/>
          <w:sz w:val="24"/>
        </w:rPr>
      </w:pPr>
      <w:r>
        <w:rPr>
          <w:rFonts w:hint="eastAsia" w:ascii="宋体" w:hAnsi="宋体" w:cs="宋体"/>
          <w:sz w:val="24"/>
        </w:rPr>
        <w:t>⑧专用作业车辆要有编号，有监督电话、有负责单位、车辆停放自行负责，并按规定安装GPS（费用由承包公司承担）</w:t>
      </w:r>
    </w:p>
    <w:p>
      <w:pPr>
        <w:spacing w:line="460" w:lineRule="exact"/>
        <w:ind w:right="-183" w:rightChars="-87" w:firstLine="540" w:firstLineChars="225"/>
        <w:rPr>
          <w:rFonts w:hint="eastAsia" w:ascii="宋体" w:hAnsi="宋体" w:cs="宋体"/>
          <w:sz w:val="24"/>
        </w:rPr>
      </w:pPr>
      <w:r>
        <w:rPr>
          <w:rFonts w:hint="eastAsia" w:ascii="宋体" w:hAnsi="宋体" w:cs="宋体"/>
          <w:sz w:val="24"/>
        </w:rPr>
        <w:t>⑨作业人员必须符合法定劳动年龄，并及时发放环卫职工的工资、岗位津贴、加班工资等。按规定为职工缴纳相关社会保险及意外保险费用。</w:t>
      </w:r>
    </w:p>
    <w:p>
      <w:pPr>
        <w:spacing w:line="460" w:lineRule="exact"/>
        <w:ind w:right="-183" w:rightChars="-87" w:firstLine="540" w:firstLineChars="225"/>
        <w:rPr>
          <w:rFonts w:hint="eastAsia" w:ascii="宋体" w:hAnsi="宋体" w:cs="宋体"/>
          <w:sz w:val="24"/>
        </w:rPr>
      </w:pPr>
      <w:r>
        <w:rPr>
          <w:rFonts w:hint="eastAsia" w:ascii="宋体" w:hAnsi="宋体" w:cs="宋体"/>
          <w:sz w:val="24"/>
        </w:rPr>
        <w:t>⑩作业时必须遵守交通管理法规，文明作业，出现意外事故情况，由承包者自行负责解决。</w:t>
      </w:r>
    </w:p>
    <w:p>
      <w:pPr>
        <w:spacing w:line="460" w:lineRule="exact"/>
        <w:ind w:right="-183" w:rightChars="-87" w:firstLine="540" w:firstLineChars="225"/>
        <w:rPr>
          <w:rFonts w:hint="eastAsia" w:ascii="宋体" w:hAnsi="宋体" w:cs="宋体"/>
          <w:sz w:val="24"/>
        </w:rPr>
      </w:pPr>
      <w:r>
        <w:rPr>
          <w:rFonts w:ascii="Cambria Math" w:hAnsi="Cambria Math" w:cs="Cambria Math"/>
          <w:sz w:val="24"/>
        </w:rPr>
        <w:t>⑪</w:t>
      </w:r>
      <w:r>
        <w:rPr>
          <w:rFonts w:hint="eastAsia" w:ascii="宋体" w:hAnsi="宋体" w:cs="宋体"/>
          <w:sz w:val="24"/>
        </w:rPr>
        <w:t>定期开展环卫职工技能培训业务经验交流活动。</w:t>
      </w:r>
    </w:p>
    <w:p>
      <w:pPr>
        <w:spacing w:line="460" w:lineRule="exact"/>
        <w:ind w:right="-183" w:rightChars="-87" w:firstLine="540" w:firstLineChars="225"/>
        <w:rPr>
          <w:rFonts w:hint="eastAsia" w:ascii="宋体" w:hAnsi="宋体" w:cs="宋体"/>
          <w:sz w:val="24"/>
        </w:rPr>
      </w:pPr>
      <w:r>
        <w:rPr>
          <w:rFonts w:ascii="Cambria Math" w:hAnsi="Cambria Math" w:cs="Cambria Math"/>
          <w:sz w:val="24"/>
        </w:rPr>
        <w:t>⑫</w:t>
      </w:r>
      <w:r>
        <w:rPr>
          <w:rFonts w:hint="eastAsia" w:ascii="宋体" w:hAnsi="宋体" w:cs="宋体"/>
          <w:sz w:val="24"/>
        </w:rPr>
        <w:t>承包期内，不被新闻媒体曝光，在省、市、区检查中不出现不合格现象，不被上级领导点名批评。</w:t>
      </w:r>
    </w:p>
    <w:p>
      <w:pPr>
        <w:spacing w:line="460" w:lineRule="exact"/>
        <w:ind w:firstLine="484" w:firstLineChars="201"/>
        <w:rPr>
          <w:rFonts w:ascii="宋体"/>
          <w:b/>
          <w:sz w:val="24"/>
        </w:rPr>
      </w:pPr>
      <w:r>
        <w:rPr>
          <w:rFonts w:ascii="宋体" w:hAnsi="宋体"/>
          <w:b/>
          <w:sz w:val="24"/>
        </w:rPr>
        <w:t>1.2</w:t>
      </w:r>
      <w:r>
        <w:rPr>
          <w:rFonts w:hint="eastAsia" w:ascii="宋体" w:hAnsi="宋体"/>
          <w:b/>
          <w:sz w:val="24"/>
        </w:rPr>
        <w:t>保洁范围及内容</w:t>
      </w:r>
    </w:p>
    <w:p>
      <w:pPr>
        <w:spacing w:line="460" w:lineRule="exact"/>
        <w:ind w:firstLine="484" w:firstLineChars="201"/>
        <w:rPr>
          <w:rFonts w:ascii="宋体"/>
          <w:b/>
          <w:sz w:val="24"/>
        </w:rPr>
      </w:pPr>
      <w:r>
        <w:rPr>
          <w:rFonts w:ascii="宋体" w:hAnsi="宋体"/>
          <w:b/>
          <w:sz w:val="24"/>
        </w:rPr>
        <w:t>1.2.1</w:t>
      </w:r>
      <w:r>
        <w:rPr>
          <w:rFonts w:hint="eastAsia" w:ascii="宋体" w:hAnsi="宋体" w:cs="宋体"/>
          <w:sz w:val="24"/>
        </w:rPr>
        <w:t>保洁范围及内容：墙到墙，含道路、绿化隔离带、人行道（横向为建筑物门面或围墙至路边侧石）、两侧绿化带（花坛）的清扫保洁，指定小区的保洁清运、</w:t>
      </w:r>
      <w:r>
        <w:rPr>
          <w:rFonts w:hint="eastAsia" w:ascii="宋体" w:hAnsi="宋体" w:cs="宋体"/>
          <w:b/>
          <w:sz w:val="24"/>
        </w:rPr>
        <w:t>沿街商铺垃圾上门收集清运、</w:t>
      </w:r>
      <w:r>
        <w:rPr>
          <w:rFonts w:hint="eastAsia" w:ascii="宋体" w:hAnsi="宋体" w:cs="宋体"/>
          <w:sz w:val="24"/>
        </w:rPr>
        <w:t>沿街垃圾（含果壳箱、垃圾桶内）收集清运，隔离栏清洗，卫生死角清除，道路两边乱倒无主垃圾（含建筑垃圾及弃土）清除；果壳箱、垃圾桶清洗、更换、补缺（果壳箱、垃圾桶由环卫中心提供），沿街建筑物，人行道，地面，市政、交通、环卫设施等立面乱涂写，乱张贴清除保洁。小区保洁范围包括清扫（至楼梯口）、车棚上部、绿化带保洁、垃圾分类督导、垃圾清运、杂草清除、乱张贴、乱涂写清除等。道路上混凝土车辆漏洒混凝土块清除。</w:t>
      </w:r>
    </w:p>
    <w:p>
      <w:pPr>
        <w:spacing w:line="460" w:lineRule="exact"/>
        <w:ind w:firstLine="484" w:firstLineChars="201"/>
        <w:rPr>
          <w:rFonts w:ascii="宋体"/>
          <w:b/>
          <w:sz w:val="24"/>
        </w:rPr>
      </w:pPr>
      <w:r>
        <w:rPr>
          <w:rFonts w:ascii="宋体" w:hAnsi="宋体"/>
          <w:b/>
          <w:sz w:val="24"/>
        </w:rPr>
        <w:t>1.2.2</w:t>
      </w:r>
      <w:r>
        <w:rPr>
          <w:rFonts w:hint="eastAsia" w:ascii="宋体" w:hAnsi="宋体"/>
          <w:b/>
          <w:sz w:val="24"/>
        </w:rPr>
        <w:t>时间要求：</w:t>
      </w:r>
      <w:r>
        <w:rPr>
          <w:rFonts w:ascii="宋体" w:hAnsi="宋体"/>
          <w:b/>
          <w:sz w:val="24"/>
        </w:rPr>
        <w:t xml:space="preserve"> </w:t>
      </w:r>
    </w:p>
    <w:p>
      <w:pPr>
        <w:spacing w:line="460" w:lineRule="exact"/>
        <w:ind w:firstLine="484" w:firstLineChars="202"/>
        <w:rPr>
          <w:rFonts w:hint="eastAsia" w:ascii="宋体" w:hAnsi="宋体" w:cs="宋体"/>
          <w:bCs/>
          <w:kern w:val="0"/>
          <w:sz w:val="24"/>
        </w:rPr>
      </w:pPr>
      <w:r>
        <w:rPr>
          <w:rFonts w:hint="eastAsia" w:ascii="宋体" w:hAnsi="宋体"/>
          <w:sz w:val="24"/>
        </w:rPr>
        <w:t>①“道路人工清扫保洁日工作小时数”说明：</w:t>
      </w:r>
      <w:r>
        <w:rPr>
          <w:rFonts w:ascii="宋体" w:hAnsi="宋体"/>
          <w:sz w:val="24"/>
        </w:rPr>
        <w:t xml:space="preserve"> </w:t>
      </w:r>
      <w:r>
        <w:rPr>
          <w:rFonts w:hint="eastAsia" w:ascii="宋体" w:hAnsi="宋体"/>
          <w:sz w:val="24"/>
        </w:rPr>
        <w:t>道路保洁</w:t>
      </w:r>
      <w:r>
        <w:rPr>
          <w:rFonts w:ascii="宋体" w:hAnsi="宋体"/>
          <w:sz w:val="24"/>
        </w:rPr>
        <w:t>1</w:t>
      </w:r>
      <w:r>
        <w:rPr>
          <w:rFonts w:hint="eastAsia" w:ascii="宋体" w:hAnsi="宋体"/>
          <w:sz w:val="24"/>
        </w:rPr>
        <w:t>7小时是指每天的</w:t>
      </w:r>
      <w:r>
        <w:rPr>
          <w:rFonts w:ascii="宋体" w:hAnsi="宋体"/>
          <w:sz w:val="24"/>
        </w:rPr>
        <w:t>5:00-2</w:t>
      </w:r>
      <w:r>
        <w:rPr>
          <w:rFonts w:hint="eastAsia" w:ascii="宋体" w:hAnsi="宋体"/>
          <w:sz w:val="24"/>
        </w:rPr>
        <w:t>2</w:t>
      </w:r>
      <w:r>
        <w:rPr>
          <w:rFonts w:ascii="宋体" w:hAnsi="宋体"/>
          <w:sz w:val="24"/>
        </w:rPr>
        <w:t>:00</w:t>
      </w:r>
      <w:r>
        <w:rPr>
          <w:rFonts w:hint="eastAsia" w:ascii="宋体" w:hAnsi="宋体"/>
          <w:sz w:val="24"/>
        </w:rPr>
        <w:t>，白班为5:00—17:00，晚班为17:00—22:00；</w:t>
      </w:r>
      <w:r>
        <w:rPr>
          <w:rFonts w:ascii="宋体" w:hAnsi="宋体"/>
          <w:sz w:val="24"/>
        </w:rPr>
        <w:t xml:space="preserve"> </w:t>
      </w:r>
      <w:r>
        <w:rPr>
          <w:rFonts w:hint="eastAsia" w:ascii="宋体" w:hAnsi="宋体"/>
          <w:sz w:val="24"/>
        </w:rPr>
        <w:t>快速保洁</w:t>
      </w:r>
      <w:r>
        <w:rPr>
          <w:rFonts w:ascii="宋体" w:hAnsi="宋体"/>
          <w:sz w:val="24"/>
        </w:rPr>
        <w:t>1</w:t>
      </w:r>
      <w:r>
        <w:rPr>
          <w:rFonts w:hint="eastAsia" w:ascii="宋体" w:hAnsi="宋体"/>
          <w:sz w:val="24"/>
        </w:rPr>
        <w:t>0小时是指每天的7</w:t>
      </w:r>
      <w:r>
        <w:rPr>
          <w:rFonts w:ascii="宋体" w:hAnsi="宋体"/>
          <w:sz w:val="24"/>
        </w:rPr>
        <w:t>:</w:t>
      </w:r>
      <w:r>
        <w:rPr>
          <w:rFonts w:hint="eastAsia" w:ascii="宋体" w:hAnsi="宋体"/>
          <w:sz w:val="24"/>
        </w:rPr>
        <w:t>3</w:t>
      </w:r>
      <w:r>
        <w:rPr>
          <w:rFonts w:ascii="宋体" w:hAnsi="宋体"/>
          <w:sz w:val="24"/>
        </w:rPr>
        <w:t>0-1</w:t>
      </w:r>
      <w:r>
        <w:rPr>
          <w:rFonts w:hint="eastAsia" w:ascii="宋体" w:hAnsi="宋体"/>
          <w:sz w:val="24"/>
        </w:rPr>
        <w:t>2</w:t>
      </w:r>
      <w:r>
        <w:rPr>
          <w:rFonts w:ascii="宋体" w:hAnsi="宋体"/>
          <w:sz w:val="24"/>
        </w:rPr>
        <w:t>:</w:t>
      </w:r>
      <w:r>
        <w:rPr>
          <w:rFonts w:hint="eastAsia" w:ascii="宋体" w:hAnsi="宋体"/>
          <w:sz w:val="24"/>
        </w:rPr>
        <w:t>3</w:t>
      </w:r>
      <w:r>
        <w:rPr>
          <w:rFonts w:ascii="宋体" w:hAnsi="宋体"/>
          <w:sz w:val="24"/>
        </w:rPr>
        <w:t>0</w:t>
      </w:r>
      <w:r>
        <w:rPr>
          <w:rFonts w:hint="eastAsia" w:ascii="宋体" w:hAnsi="宋体"/>
          <w:sz w:val="24"/>
        </w:rPr>
        <w:t>，13</w:t>
      </w:r>
      <w:r>
        <w:rPr>
          <w:rFonts w:ascii="宋体" w:hAnsi="宋体"/>
          <w:sz w:val="24"/>
        </w:rPr>
        <w:t>:</w:t>
      </w:r>
      <w:r>
        <w:rPr>
          <w:rFonts w:hint="eastAsia" w:ascii="宋体" w:hAnsi="宋体"/>
          <w:sz w:val="24"/>
        </w:rPr>
        <w:t>0</w:t>
      </w:r>
      <w:r>
        <w:rPr>
          <w:rFonts w:ascii="宋体" w:hAnsi="宋体"/>
          <w:sz w:val="24"/>
        </w:rPr>
        <w:t>0-1</w:t>
      </w:r>
      <w:r>
        <w:rPr>
          <w:rFonts w:hint="eastAsia" w:ascii="宋体" w:hAnsi="宋体"/>
          <w:sz w:val="24"/>
        </w:rPr>
        <w:t>8</w:t>
      </w:r>
      <w:r>
        <w:rPr>
          <w:rFonts w:ascii="宋体" w:hAnsi="宋体"/>
          <w:sz w:val="24"/>
        </w:rPr>
        <w:t>:</w:t>
      </w:r>
      <w:r>
        <w:rPr>
          <w:rFonts w:hint="eastAsia" w:ascii="宋体" w:hAnsi="宋体"/>
          <w:sz w:val="24"/>
        </w:rPr>
        <w:t>0</w:t>
      </w:r>
      <w:r>
        <w:rPr>
          <w:rFonts w:ascii="宋体" w:hAnsi="宋体"/>
          <w:sz w:val="24"/>
        </w:rPr>
        <w:t>0</w:t>
      </w:r>
      <w:r>
        <w:rPr>
          <w:rFonts w:hint="eastAsia" w:ascii="宋体" w:hAnsi="宋体"/>
          <w:sz w:val="24"/>
        </w:rPr>
        <w:t>，</w:t>
      </w:r>
      <w:r>
        <w:rPr>
          <w:rFonts w:hint="eastAsia"/>
          <w:sz w:val="24"/>
        </w:rPr>
        <w:t>小区保洁8小时是指每天的6:30-10:30和13:00-17:00。公园15小时保洁为每天的5:00—20:00。</w:t>
      </w:r>
      <w:r>
        <w:rPr>
          <w:rFonts w:hint="eastAsia" w:ascii="宋体" w:hAnsi="宋体"/>
          <w:sz w:val="24"/>
        </w:rPr>
        <w:t>作业时间段内均必须安排人员进行不间断作业。</w:t>
      </w:r>
      <w:r>
        <w:rPr>
          <w:rFonts w:hint="eastAsia" w:ascii="宋体" w:hAnsi="宋体" w:cs="宋体"/>
          <w:bCs/>
          <w:kern w:val="0"/>
          <w:sz w:val="24"/>
        </w:rPr>
        <w:t>作业时不得离岗倾倒垃圾。</w:t>
      </w:r>
    </w:p>
    <w:p>
      <w:pPr>
        <w:spacing w:line="460" w:lineRule="exact"/>
        <w:ind w:firstLine="484" w:firstLineChars="202"/>
        <w:rPr>
          <w:rFonts w:ascii="宋体"/>
          <w:sz w:val="24"/>
        </w:rPr>
      </w:pPr>
      <w:r>
        <w:rPr>
          <w:rFonts w:hint="eastAsia" w:ascii="宋体" w:hAnsi="宋体"/>
          <w:sz w:val="24"/>
        </w:rPr>
        <w:t>②有关休息时间的说明：</w:t>
      </w:r>
      <w:r>
        <w:rPr>
          <w:rFonts w:hint="eastAsia" w:ascii="宋体" w:hAnsi="宋体" w:cs="宋体"/>
          <w:bCs/>
          <w:kern w:val="0"/>
          <w:sz w:val="24"/>
        </w:rPr>
        <w:t>具体在岗作业休息时间由中标人灵活安排；遇重大检查时作业方式按</w:t>
      </w:r>
      <w:r>
        <w:rPr>
          <w:rFonts w:hint="eastAsia" w:ascii="宋体" w:hAnsi="宋体"/>
          <w:sz w:val="24"/>
        </w:rPr>
        <w:t>采购人</w:t>
      </w:r>
      <w:r>
        <w:rPr>
          <w:rFonts w:hint="eastAsia" w:ascii="宋体" w:hAnsi="宋体" w:cs="宋体"/>
          <w:bCs/>
          <w:kern w:val="0"/>
          <w:sz w:val="24"/>
        </w:rPr>
        <w:t>的要求执行；高温季节作业时间由</w:t>
      </w:r>
      <w:r>
        <w:rPr>
          <w:rFonts w:hint="eastAsia" w:ascii="宋体" w:hAnsi="宋体"/>
          <w:sz w:val="24"/>
        </w:rPr>
        <w:t>采购</w:t>
      </w:r>
      <w:r>
        <w:rPr>
          <w:rFonts w:hint="eastAsia" w:ascii="宋体" w:hAnsi="宋体" w:cs="宋体"/>
          <w:bCs/>
          <w:kern w:val="0"/>
          <w:sz w:val="24"/>
        </w:rPr>
        <w:t>人另行通知。</w:t>
      </w:r>
    </w:p>
    <w:p>
      <w:pPr>
        <w:spacing w:line="460" w:lineRule="exact"/>
        <w:ind w:firstLine="487" w:firstLineChars="202"/>
        <w:rPr>
          <w:rFonts w:ascii="宋体"/>
          <w:b/>
          <w:sz w:val="24"/>
        </w:rPr>
      </w:pPr>
      <w:r>
        <w:rPr>
          <w:rFonts w:ascii="宋体" w:hAnsi="宋体"/>
          <w:b/>
          <w:sz w:val="24"/>
        </w:rPr>
        <w:t>1.2.3</w:t>
      </w:r>
      <w:r>
        <w:rPr>
          <w:rFonts w:hint="eastAsia" w:ascii="宋体" w:hAnsi="宋体"/>
          <w:b/>
          <w:sz w:val="24"/>
        </w:rPr>
        <w:t>道路清扫保洁容貌具体要求：</w:t>
      </w:r>
    </w:p>
    <w:p>
      <w:pPr>
        <w:spacing w:line="460" w:lineRule="exact"/>
        <w:ind w:firstLine="484" w:firstLineChars="202"/>
        <w:rPr>
          <w:rFonts w:hint="eastAsia" w:ascii="宋体" w:hAnsi="宋体"/>
          <w:sz w:val="24"/>
        </w:rPr>
      </w:pPr>
      <w:r>
        <w:rPr>
          <w:rFonts w:hint="eastAsia" w:ascii="宋体" w:hAnsi="宋体"/>
          <w:sz w:val="24"/>
        </w:rPr>
        <w:t>①保洁质量应达到路面、人行道“五无”、“五净”。“五无”：即道路无垃圾、无杂物、无积泥、无积水、无污迹；“五净”：即路面干净、绿地和树圈干净，边角侧石干净，雨水井沟眼畅通干净、果壳箱等环卫设施及交通隔离栏（墩）、路灯杆和交通信号杆（2.2米以下部分）干净。</w:t>
      </w:r>
      <w:r>
        <w:rPr>
          <w:rFonts w:hint="eastAsia" w:ascii="宋体" w:hAnsi="宋体"/>
          <w:b/>
          <w:sz w:val="24"/>
        </w:rPr>
        <w:t>道路保洁须满足深度保洁要求：</w:t>
      </w:r>
      <w:r>
        <w:rPr>
          <w:rFonts w:hint="eastAsia" w:ascii="宋体" w:hAnsi="宋体"/>
          <w:b/>
          <w:bCs/>
          <w:sz w:val="24"/>
        </w:rPr>
        <w:t>城市道路及公共区域责任区地面垃圾停留不超过</w:t>
      </w:r>
      <w:r>
        <w:rPr>
          <w:rFonts w:ascii="宋体" w:hAnsi="宋体"/>
          <w:b/>
          <w:bCs/>
          <w:sz w:val="24"/>
        </w:rPr>
        <w:t>5</w:t>
      </w:r>
      <w:r>
        <w:rPr>
          <w:rFonts w:hint="eastAsia" w:ascii="宋体" w:hAnsi="宋体"/>
          <w:b/>
          <w:bCs/>
          <w:sz w:val="24"/>
        </w:rPr>
        <w:t>分钟，机械洗扫责任区地面每平方米尘土不超过</w:t>
      </w:r>
      <w:r>
        <w:rPr>
          <w:rFonts w:ascii="宋体" w:hAnsi="宋体"/>
          <w:b/>
          <w:bCs/>
          <w:sz w:val="24"/>
        </w:rPr>
        <w:t>5</w:t>
      </w:r>
      <w:r>
        <w:rPr>
          <w:rFonts w:hint="eastAsia" w:ascii="宋体" w:hAnsi="宋体"/>
          <w:b/>
          <w:bCs/>
          <w:sz w:val="24"/>
        </w:rPr>
        <w:t>克。</w:t>
      </w:r>
    </w:p>
    <w:p>
      <w:pPr>
        <w:spacing w:line="460" w:lineRule="exact"/>
        <w:ind w:right="-183" w:rightChars="-87" w:firstLine="540" w:firstLineChars="225"/>
        <w:rPr>
          <w:rFonts w:hint="eastAsia" w:ascii="宋体" w:hAnsi="宋体" w:cs="宋体"/>
          <w:sz w:val="24"/>
        </w:rPr>
      </w:pPr>
      <w:r>
        <w:rPr>
          <w:rFonts w:hint="eastAsia" w:ascii="宋体" w:hAnsi="宋体"/>
          <w:sz w:val="24"/>
        </w:rPr>
        <w:t>②车行道、人行道不得漏扫或反扫到交叉路口、里弄口内侧、喇叭口；也不得扫入窨井和绿化带内；交界路口各向外延伸5米；岔道喇叭口清扫向外延伸10米。</w:t>
      </w:r>
    </w:p>
    <w:p>
      <w:pPr>
        <w:spacing w:line="460" w:lineRule="exact"/>
        <w:ind w:firstLine="484" w:firstLineChars="202"/>
        <w:rPr>
          <w:rFonts w:hint="eastAsia" w:ascii="宋体" w:hAnsi="宋体"/>
          <w:sz w:val="24"/>
        </w:rPr>
      </w:pPr>
      <w:r>
        <w:rPr>
          <w:rFonts w:hint="eastAsia" w:ascii="宋体" w:hAnsi="宋体"/>
          <w:sz w:val="24"/>
        </w:rPr>
        <w:t>③立面保洁：沿街建筑物，人行道，地面，市政、交通、环卫设施等立面乱涂写，乱张贴清除保洁。若有发现应及时清除，无法清除的应采用同色同种材料覆盖。</w:t>
      </w:r>
    </w:p>
    <w:p>
      <w:pPr>
        <w:spacing w:line="460" w:lineRule="exact"/>
        <w:ind w:firstLine="484" w:firstLineChars="202"/>
        <w:rPr>
          <w:rFonts w:hint="eastAsia" w:ascii="宋体" w:hAnsi="宋体"/>
          <w:sz w:val="24"/>
        </w:rPr>
      </w:pPr>
      <w:r>
        <w:rPr>
          <w:rFonts w:hint="eastAsia" w:ascii="宋体" w:hAnsi="宋体"/>
          <w:sz w:val="24"/>
        </w:rPr>
        <w:t>④城区道路保洁采取普扫加巡回保洁模式。普扫作业的主次干道采用大型洗扫一体车，背街小巷及设交通隔离栏的非机动车道采用中、小型机扫车进行，不适合机扫的采用人工普扫作业。同时，通过合理配置捡、擦、洗等保洁人员，进行不间断巡回检查，及时清理垃圾和污迹。</w:t>
      </w:r>
    </w:p>
    <w:p>
      <w:pPr>
        <w:spacing w:line="460" w:lineRule="exact"/>
        <w:ind w:firstLine="484" w:firstLineChars="202"/>
        <w:rPr>
          <w:rFonts w:hint="eastAsia" w:ascii="宋体" w:hAnsi="宋体"/>
          <w:sz w:val="24"/>
        </w:rPr>
      </w:pPr>
      <w:r>
        <w:rPr>
          <w:rFonts w:hint="eastAsia" w:ascii="宋体" w:hAnsi="宋体"/>
          <w:sz w:val="24"/>
        </w:rPr>
        <w:t>⑤每日</w:t>
      </w:r>
      <w:r>
        <w:rPr>
          <w:rFonts w:hint="eastAsia" w:ascii="宋体" w:hAnsi="宋体"/>
          <w:bCs/>
          <w:sz w:val="24"/>
        </w:rPr>
        <w:t>按规定时间完成两次普扫，首次普扫（机扫）11、12、1、2、四个月必须在早上7:30以前结束；其余月份必须在早上7:00以前结束。</w:t>
      </w:r>
      <w:r>
        <w:rPr>
          <w:rFonts w:hint="eastAsia" w:ascii="宋体" w:hAnsi="宋体" w:cs="宋体"/>
          <w:sz w:val="24"/>
        </w:rPr>
        <w:t>第二次普扫于中午12:30至14:30之间完成(夏季高温期间视情况而定）。</w:t>
      </w:r>
      <w:r>
        <w:rPr>
          <w:rFonts w:hint="eastAsia" w:ascii="宋体" w:hAnsi="宋体"/>
          <w:bCs/>
          <w:sz w:val="24"/>
        </w:rPr>
        <w:t>普扫结束后做好巡回保洁工作。</w:t>
      </w:r>
      <w:r>
        <w:rPr>
          <w:rFonts w:hint="eastAsia" w:ascii="宋体" w:hAnsi="宋体"/>
          <w:sz w:val="24"/>
        </w:rPr>
        <w:t>具备冲洗条件的人行道每3天至少须冲洗1次。</w:t>
      </w:r>
    </w:p>
    <w:p>
      <w:pPr>
        <w:spacing w:line="460" w:lineRule="exact"/>
        <w:ind w:firstLine="484" w:firstLineChars="202"/>
        <w:rPr>
          <w:rFonts w:hint="eastAsia" w:ascii="宋体" w:hAnsi="宋体"/>
          <w:sz w:val="24"/>
        </w:rPr>
      </w:pPr>
      <w:r>
        <w:rPr>
          <w:rFonts w:hint="eastAsia" w:ascii="宋体" w:hAnsi="宋体"/>
          <w:sz w:val="24"/>
        </w:rPr>
        <w:t>一级道路洗扫要求为每天2+1遍，二级道路每天2遍，一级道路洒水要求为20小时作业（4:00-24:00），每天10遍，二级道路每天4遍，三级道路要求能机械化的则机械化，能冲则冲，路面全覆盖，人行道作业采用机械与人工保洁相结合。其中群贤路、金柯桥大道和笛扬路要求每天洗扫4遍，人行道、慢车道采用机械化作业。镜水路须24小时湿法作业（每小时洒水1次）。</w:t>
      </w:r>
    </w:p>
    <w:p>
      <w:pPr>
        <w:spacing w:line="460" w:lineRule="exact"/>
        <w:ind w:firstLine="484" w:firstLineChars="202"/>
        <w:rPr>
          <w:rFonts w:hint="eastAsia" w:ascii="宋体" w:hAnsi="宋体"/>
          <w:sz w:val="24"/>
        </w:rPr>
      </w:pPr>
      <w:r>
        <w:rPr>
          <w:rFonts w:hint="eastAsia" w:ascii="宋体" w:hAnsi="宋体"/>
          <w:sz w:val="24"/>
        </w:rPr>
        <w:t>夜间一级道路每10天路面深度清洗不少于1次，二级道路每半个月路面深度清洗不少于1次，三级道路每月路面深度清洗不少于1次。</w:t>
      </w:r>
    </w:p>
    <w:p>
      <w:pPr>
        <w:spacing w:line="460" w:lineRule="exact"/>
        <w:ind w:firstLine="484" w:firstLineChars="202"/>
        <w:rPr>
          <w:rFonts w:hint="eastAsia" w:ascii="宋体" w:hAnsi="宋体"/>
          <w:sz w:val="24"/>
        </w:rPr>
      </w:pPr>
      <w:r>
        <w:rPr>
          <w:rFonts w:hint="eastAsia" w:ascii="宋体" w:hAnsi="宋体"/>
          <w:sz w:val="24"/>
        </w:rPr>
        <w:t>人行道、隔离栏每3天冲洗1次，对被污染路面须及时进行冲洗。每日0:00开始各保洁公司可开始组织冲洗、清扫等作业，并于早上7:00前撤离，白天洒水作业在9:00—16:00之间开展。</w:t>
      </w:r>
    </w:p>
    <w:p>
      <w:pPr>
        <w:spacing w:line="460" w:lineRule="exact"/>
        <w:ind w:firstLine="484" w:firstLineChars="202"/>
        <w:rPr>
          <w:rFonts w:hint="eastAsia" w:ascii="宋体" w:hAnsi="宋体"/>
          <w:sz w:val="24"/>
        </w:rPr>
      </w:pPr>
      <w:r>
        <w:rPr>
          <w:rFonts w:hint="eastAsia" w:ascii="宋体" w:hAnsi="宋体"/>
          <w:sz w:val="24"/>
        </w:rPr>
        <w:t>推进以冲洗、洒水、机扫为主，人行道冲洗、雾炮车抑尘为辅的立体化全方位抑制道路扬尘作业。雾炮车抑尘应20小时循环作业(早晚高峰除外)。冲洗作业应科学地调整喷嘴角度及冲洗压力，确保作业路面全覆盖；日间洒水应采取后洒的方式；机械化作业时必须控制作业车速，打开警示灯；对污染严重路段应科学合理地安排作业。</w:t>
      </w:r>
    </w:p>
    <w:p>
      <w:pPr>
        <w:spacing w:line="460" w:lineRule="exact"/>
        <w:ind w:firstLine="484" w:firstLineChars="202"/>
        <w:rPr>
          <w:rFonts w:hint="eastAsia" w:ascii="宋体" w:hAnsi="宋体"/>
          <w:sz w:val="24"/>
        </w:rPr>
      </w:pPr>
      <w:r>
        <w:rPr>
          <w:rFonts w:hint="eastAsia" w:ascii="宋体" w:hAnsi="宋体"/>
          <w:sz w:val="24"/>
        </w:rPr>
        <w:t>各项机械化作业应充分考虑道路交通状况，避开高峰时段，冲洗应在夜间进行，白天不得以冲洗代替后洒作业，最大程度降低对市民出行的影响；当气温低于3℃时，停止冲洗、洒水、雾炮作业；合理安排环卫工人的工作时间，优化作业模式，加强安全管理工作。</w:t>
      </w:r>
    </w:p>
    <w:p>
      <w:pPr>
        <w:spacing w:line="460" w:lineRule="exact"/>
        <w:ind w:firstLine="484" w:firstLineChars="202"/>
        <w:rPr>
          <w:rFonts w:ascii="宋体"/>
          <w:sz w:val="24"/>
        </w:rPr>
      </w:pPr>
      <w:r>
        <w:rPr>
          <w:rFonts w:hint="eastAsia" w:ascii="宋体" w:hAnsi="宋体"/>
          <w:sz w:val="24"/>
        </w:rPr>
        <w:t>⑥</w:t>
      </w:r>
      <w:r>
        <w:rPr>
          <w:rFonts w:hint="eastAsia" w:ascii="宋体" w:hAnsi="宋体"/>
          <w:bCs/>
          <w:sz w:val="24"/>
        </w:rPr>
        <w:t>各标段范围内道路中、边隔离栏，每3天至少清洗一遍，确保干净整洁。如遇特殊情况，需要补充作业的，根据采购方的临时通知，及时清洗。鼓励中标</w:t>
      </w:r>
      <w:r>
        <w:rPr>
          <w:rFonts w:hint="eastAsia" w:ascii="宋体" w:hAnsi="宋体"/>
          <w:sz w:val="24"/>
        </w:rPr>
        <w:t>方对护栏进行机械化清洗。</w:t>
      </w:r>
    </w:p>
    <w:p>
      <w:pPr>
        <w:spacing w:line="460" w:lineRule="exact"/>
        <w:ind w:firstLine="484" w:firstLineChars="202"/>
        <w:rPr>
          <w:rFonts w:hint="eastAsia" w:ascii="宋体" w:hAnsi="宋体"/>
          <w:bCs/>
          <w:sz w:val="24"/>
        </w:rPr>
      </w:pPr>
      <w:r>
        <w:rPr>
          <w:rFonts w:hint="eastAsia" w:ascii="宋体" w:hAnsi="宋体"/>
          <w:sz w:val="24"/>
        </w:rPr>
        <w:t>⑦</w:t>
      </w:r>
      <w:r>
        <w:rPr>
          <w:rFonts w:hint="eastAsia" w:ascii="宋体" w:hAnsi="宋体"/>
          <w:bCs/>
          <w:sz w:val="24"/>
        </w:rPr>
        <w:t>中标方必须按规定设置每条道路上的清扫、垃圾清运及管理人员，确保每条道路保洁不缺。</w:t>
      </w:r>
    </w:p>
    <w:p>
      <w:pPr>
        <w:spacing w:line="460" w:lineRule="exact"/>
        <w:ind w:firstLine="484" w:firstLineChars="202"/>
        <w:rPr>
          <w:rFonts w:hint="eastAsia" w:ascii="宋体" w:hAnsi="宋体"/>
          <w:bCs/>
          <w:sz w:val="24"/>
        </w:rPr>
      </w:pPr>
      <w:r>
        <w:rPr>
          <w:rFonts w:hint="eastAsia" w:ascii="宋体" w:hAnsi="宋体"/>
          <w:bCs/>
          <w:sz w:val="24"/>
        </w:rPr>
        <w:t>⑧发生严重污染时应第一时间清洗路面。遇有重大活动或突发事件，及时组织力量做好清扫保洁等保障工作，并视情及时启动城市管理保障应急机制，人员必须及时到位（需要集中时的具体位置另行通知），并根据应急命令决定早到和离岗，或必须使用机械设备。</w:t>
      </w:r>
    </w:p>
    <w:p>
      <w:pPr>
        <w:spacing w:line="460" w:lineRule="exact"/>
        <w:ind w:firstLine="484" w:firstLineChars="202"/>
        <w:rPr>
          <w:rFonts w:hint="eastAsia" w:ascii="宋体" w:hAnsi="宋体"/>
          <w:bCs/>
          <w:sz w:val="24"/>
        </w:rPr>
      </w:pPr>
      <w:r>
        <w:rPr>
          <w:rFonts w:hint="eastAsia" w:ascii="宋体" w:hAnsi="宋体"/>
          <w:bCs/>
          <w:sz w:val="24"/>
        </w:rPr>
        <w:t>⑨在规定时间内及时完成数字城管采集反应案卷，并及时予以回复。</w:t>
      </w:r>
    </w:p>
    <w:p>
      <w:pPr>
        <w:spacing w:line="460" w:lineRule="exact"/>
        <w:ind w:firstLine="487" w:firstLineChars="202"/>
        <w:rPr>
          <w:rFonts w:ascii="宋体" w:hAnsi="宋体"/>
          <w:b/>
          <w:sz w:val="24"/>
        </w:rPr>
      </w:pPr>
      <w:r>
        <w:rPr>
          <w:rFonts w:hint="eastAsia" w:ascii="宋体" w:hAnsi="宋体"/>
          <w:b/>
          <w:sz w:val="24"/>
        </w:rPr>
        <w:t>1.2.4路面深度清洗作业要求和规范：</w:t>
      </w:r>
    </w:p>
    <w:p>
      <w:pPr>
        <w:spacing w:line="460" w:lineRule="exact"/>
        <w:ind w:firstLine="484" w:firstLineChars="202"/>
        <w:rPr>
          <w:rFonts w:ascii="宋体" w:hAnsi="宋体"/>
          <w:bCs/>
          <w:sz w:val="24"/>
        </w:rPr>
      </w:pPr>
      <w:r>
        <w:rPr>
          <w:rFonts w:hint="eastAsia" w:ascii="宋体" w:hAnsi="宋体"/>
          <w:sz w:val="24"/>
        </w:rPr>
        <w:t>①</w:t>
      </w:r>
      <w:r>
        <w:rPr>
          <w:rFonts w:hint="eastAsia" w:ascii="宋体" w:hAnsi="宋体"/>
          <w:bCs/>
          <w:sz w:val="24"/>
        </w:rPr>
        <w:t>一级道路快慢车道每10天不少于1次。</w:t>
      </w:r>
    </w:p>
    <w:p>
      <w:pPr>
        <w:spacing w:line="460" w:lineRule="exact"/>
        <w:ind w:firstLine="484" w:firstLineChars="202"/>
        <w:rPr>
          <w:rFonts w:ascii="宋体" w:hAnsi="宋体"/>
          <w:bCs/>
          <w:sz w:val="24"/>
        </w:rPr>
      </w:pPr>
      <w:r>
        <w:rPr>
          <w:rFonts w:hint="eastAsia" w:ascii="宋体" w:hAnsi="宋体"/>
          <w:sz w:val="24"/>
        </w:rPr>
        <w:t>②</w:t>
      </w:r>
      <w:r>
        <w:rPr>
          <w:rFonts w:hint="eastAsia" w:ascii="宋体" w:hAnsi="宋体"/>
          <w:bCs/>
          <w:sz w:val="24"/>
        </w:rPr>
        <w:t>二级道路快慢车道每半个月不少于1次。</w:t>
      </w:r>
    </w:p>
    <w:p>
      <w:pPr>
        <w:spacing w:line="460" w:lineRule="exact"/>
        <w:ind w:firstLine="484" w:firstLineChars="202"/>
        <w:rPr>
          <w:rFonts w:ascii="宋体" w:hAnsi="宋体"/>
          <w:bCs/>
          <w:sz w:val="24"/>
        </w:rPr>
      </w:pPr>
      <w:r>
        <w:rPr>
          <w:rFonts w:hint="eastAsia" w:ascii="宋体" w:hAnsi="宋体"/>
          <w:sz w:val="24"/>
        </w:rPr>
        <w:t>③</w:t>
      </w:r>
      <w:r>
        <w:rPr>
          <w:rFonts w:hint="eastAsia" w:ascii="宋体" w:hAnsi="宋体"/>
          <w:bCs/>
          <w:sz w:val="24"/>
        </w:rPr>
        <w:t>三级道路快慢车道每月不少于1次。</w:t>
      </w:r>
    </w:p>
    <w:p>
      <w:pPr>
        <w:spacing w:line="460" w:lineRule="exact"/>
        <w:ind w:firstLine="484" w:firstLineChars="202"/>
        <w:rPr>
          <w:rFonts w:ascii="宋体" w:hAnsi="宋体"/>
          <w:bCs/>
          <w:sz w:val="24"/>
        </w:rPr>
      </w:pPr>
      <w:r>
        <w:rPr>
          <w:rFonts w:hint="eastAsia" w:ascii="宋体" w:hAnsi="宋体"/>
          <w:sz w:val="24"/>
        </w:rPr>
        <w:t>④</w:t>
      </w:r>
      <w:r>
        <w:rPr>
          <w:rFonts w:hint="eastAsia" w:ascii="宋体" w:hAnsi="宋体"/>
          <w:bCs/>
          <w:sz w:val="24"/>
        </w:rPr>
        <w:t>具体机扫作业时间由作业部门上报方案，经批准后实施。下雨或气温≤5°时，停止作业。人机联合路面深度清洗应安排在夜间实施。</w:t>
      </w:r>
    </w:p>
    <w:p>
      <w:pPr>
        <w:spacing w:line="460" w:lineRule="exact"/>
        <w:ind w:firstLine="484" w:firstLineChars="202"/>
        <w:rPr>
          <w:rFonts w:ascii="宋体" w:hAnsi="宋体"/>
          <w:bCs/>
          <w:sz w:val="24"/>
        </w:rPr>
      </w:pPr>
      <w:r>
        <w:rPr>
          <w:rFonts w:hint="eastAsia" w:ascii="宋体" w:hAnsi="宋体"/>
          <w:sz w:val="24"/>
        </w:rPr>
        <w:t>⑤</w:t>
      </w:r>
      <w:r>
        <w:rPr>
          <w:rFonts w:hint="eastAsia" w:ascii="宋体" w:hAnsi="宋体"/>
          <w:bCs/>
          <w:sz w:val="24"/>
        </w:rPr>
        <w:t>作业工具要求：机械车辆：洗扫车、高压清洗车、路面养护车、扫路机、小型冲洗车等；其它：外接水管、雨靴、肥皂粉、尼龙长刷、大扫帚、拖把、手套、雨衣。作业人员：管理员1名，驾驶员，辅助工3名（1名赶水工，2名冲洗工）。</w:t>
      </w:r>
    </w:p>
    <w:p>
      <w:pPr>
        <w:spacing w:line="460" w:lineRule="exact"/>
        <w:ind w:firstLine="484" w:firstLineChars="202"/>
        <w:rPr>
          <w:rFonts w:ascii="宋体" w:hAnsi="宋体"/>
          <w:bCs/>
          <w:sz w:val="24"/>
        </w:rPr>
      </w:pPr>
      <w:r>
        <w:rPr>
          <w:rFonts w:hint="eastAsia" w:ascii="宋体" w:hAnsi="宋体"/>
          <w:sz w:val="24"/>
        </w:rPr>
        <w:t>⑥</w:t>
      </w:r>
      <w:r>
        <w:rPr>
          <w:rFonts w:hint="eastAsia" w:ascii="宋体" w:hAnsi="宋体"/>
          <w:bCs/>
          <w:sz w:val="24"/>
        </w:rPr>
        <w:t>作业面积：水车洒水，冲道宽度为十米左右，洗地及前喷作业宽度为三点二米左右，根据以往夜间清洗经验，以上配备每班约能完成五公里长的双向六车道，及二侧慢车道和人行道的道路清洗作业，据此推算，每班作业面积大约为——（慢车道宽度1.5米×2侧+人行道宽度1.5米×2侧+快车道宽度3米×6车道）×长度5000米=12万平方米。</w:t>
      </w:r>
    </w:p>
    <w:p>
      <w:pPr>
        <w:spacing w:line="460" w:lineRule="exact"/>
        <w:ind w:firstLine="484" w:firstLineChars="202"/>
        <w:rPr>
          <w:rFonts w:ascii="宋体" w:hAnsi="宋体"/>
          <w:bCs/>
          <w:sz w:val="24"/>
        </w:rPr>
      </w:pPr>
      <w:r>
        <w:rPr>
          <w:rFonts w:hint="eastAsia" w:ascii="宋体" w:hAnsi="宋体"/>
          <w:sz w:val="24"/>
        </w:rPr>
        <w:t>⑦</w:t>
      </w:r>
      <w:r>
        <w:rPr>
          <w:rFonts w:hint="eastAsia" w:ascii="宋体" w:hAnsi="宋体"/>
          <w:bCs/>
          <w:sz w:val="24"/>
        </w:rPr>
        <w:t>作业流程。机械作业：（1）先用水车洒水湿润路面（人工慢车道及人行道冲洗开始至结束）；（2）再接着用水车前喷架进行由内而外的高压洗地作业，同时启用洗扫一（即洗扫车）紧随水车进行洗地吸污作业，车后高压水枪冲洗慢车道（人行道），人工跟随车后对机械清洗遗漏地点及慢车道（人行道）进行人工洗刷；（3）接着用水车进行定向冲道（往侧石边冲），</w:t>
      </w:r>
      <w:bookmarkStart w:id="46" w:name="OLE_LINK11"/>
      <w:bookmarkStart w:id="47" w:name="OLE_LINK12"/>
      <w:r>
        <w:rPr>
          <w:rFonts w:hint="eastAsia" w:ascii="宋体" w:hAnsi="宋体"/>
          <w:bCs/>
          <w:sz w:val="24"/>
        </w:rPr>
        <w:t>与此同时</w:t>
      </w:r>
      <w:bookmarkEnd w:id="46"/>
      <w:bookmarkEnd w:id="47"/>
      <w:r>
        <w:rPr>
          <w:rFonts w:hint="eastAsia" w:ascii="宋体" w:hAnsi="宋体"/>
          <w:bCs/>
          <w:sz w:val="24"/>
        </w:rPr>
        <w:t>人工赶水随车一路把水赶进窨井至作业结束；（4）洗地作业结束，全体收工，结束当天的夜间道路清洗工作。</w:t>
      </w:r>
    </w:p>
    <w:p>
      <w:pPr>
        <w:spacing w:line="460" w:lineRule="exact"/>
        <w:ind w:firstLine="484" w:firstLineChars="202"/>
        <w:rPr>
          <w:rFonts w:hint="eastAsia" w:ascii="宋体" w:hAnsi="宋体"/>
          <w:b/>
          <w:bCs/>
          <w:sz w:val="24"/>
        </w:rPr>
      </w:pPr>
      <w:r>
        <w:rPr>
          <w:rFonts w:hint="eastAsia" w:ascii="宋体" w:hAnsi="宋体"/>
          <w:bCs/>
          <w:sz w:val="24"/>
        </w:rPr>
        <w:t>⑧作业时间要求。（1）机械作业：根据以上作业流程，作业用时分配如下，洒水一小时，前喷架洗地三小时，定向冲道一小时。（2）人工作业：慢车道及人行道冲洗四小时，中途分三次休息（二十分钟一次），辅助工（负责快车道、慢车道及人行道），加水时负责开关消防栓，冲洗时一人端高压水枪冲洗慢车道及人行道，二人赶扫，分段作业。</w:t>
      </w:r>
    </w:p>
    <w:p>
      <w:pPr>
        <w:spacing w:line="460" w:lineRule="exact"/>
        <w:ind w:firstLine="487" w:firstLineChars="202"/>
        <w:rPr>
          <w:rFonts w:ascii="宋体"/>
          <w:b/>
          <w:bCs/>
          <w:sz w:val="24"/>
        </w:rPr>
      </w:pPr>
      <w:r>
        <w:rPr>
          <w:rFonts w:ascii="宋体" w:hAnsi="宋体"/>
          <w:b/>
          <w:bCs/>
          <w:sz w:val="24"/>
        </w:rPr>
        <w:t>1.3</w:t>
      </w:r>
      <w:r>
        <w:rPr>
          <w:rFonts w:hint="eastAsia" w:ascii="宋体" w:hAnsi="宋体"/>
          <w:b/>
          <w:bCs/>
          <w:sz w:val="24"/>
        </w:rPr>
        <w:t>机械化作业基本要求</w:t>
      </w:r>
    </w:p>
    <w:p>
      <w:pPr>
        <w:spacing w:line="460" w:lineRule="exact"/>
        <w:ind w:firstLine="484" w:firstLineChars="202"/>
        <w:rPr>
          <w:rFonts w:hint="eastAsia" w:ascii="宋体" w:hAnsi="宋体"/>
          <w:sz w:val="24"/>
        </w:rPr>
      </w:pPr>
      <w:r>
        <w:rPr>
          <w:rFonts w:hint="eastAsia" w:ascii="宋体" w:hAnsi="宋体"/>
          <w:sz w:val="24"/>
        </w:rPr>
        <w:t>1.3.1车容车貌</w:t>
      </w:r>
    </w:p>
    <w:p>
      <w:pPr>
        <w:spacing w:line="460" w:lineRule="exact"/>
        <w:ind w:firstLine="484" w:firstLineChars="202"/>
        <w:rPr>
          <w:rFonts w:ascii="宋体"/>
          <w:sz w:val="24"/>
        </w:rPr>
      </w:pPr>
      <w:r>
        <w:rPr>
          <w:rFonts w:hint="eastAsia" w:ascii="宋体" w:hAnsi="宋体"/>
          <w:sz w:val="24"/>
        </w:rPr>
        <w:t>①车体整洁明亮、各种配件齐全、使用功能齐备，各项作业装置保持完好、有效。车身如有宣传标贴，须保持清洁完整。</w:t>
      </w:r>
    </w:p>
    <w:p>
      <w:pPr>
        <w:spacing w:line="460" w:lineRule="exact"/>
        <w:ind w:firstLine="484" w:firstLineChars="202"/>
        <w:rPr>
          <w:rFonts w:hint="eastAsia" w:ascii="宋体" w:hAnsi="宋体"/>
          <w:sz w:val="24"/>
        </w:rPr>
      </w:pPr>
      <w:r>
        <w:rPr>
          <w:rFonts w:hint="eastAsia" w:ascii="宋体" w:hAnsi="宋体"/>
          <w:sz w:val="24"/>
        </w:rPr>
        <w:t>②应保持标志清晰、齐全，车体无破损、无锈蚀、无污物、无灰垢。</w:t>
      </w:r>
      <w:r>
        <w:rPr>
          <w:rFonts w:hint="eastAsia" w:ascii="宋体" w:hAnsi="宋体"/>
          <w:spacing w:val="8"/>
          <w:sz w:val="24"/>
        </w:rPr>
        <w:t>车尾应有反光标志（或加贴反光膜）。</w:t>
      </w:r>
      <w:r>
        <w:rPr>
          <w:rFonts w:hint="eastAsia" w:ascii="宋体" w:hAnsi="宋体"/>
          <w:sz w:val="24"/>
        </w:rPr>
        <w:t>车体杜绝吊挂、抛洒污物，滴漏水、油液体等现象。</w:t>
      </w:r>
    </w:p>
    <w:p>
      <w:pPr>
        <w:spacing w:line="460" w:lineRule="exact"/>
        <w:ind w:firstLine="484" w:firstLineChars="202"/>
        <w:rPr>
          <w:rFonts w:hint="eastAsia" w:ascii="宋体" w:hAnsi="宋体"/>
          <w:sz w:val="24"/>
        </w:rPr>
      </w:pPr>
      <w:r>
        <w:rPr>
          <w:rStyle w:val="80"/>
          <w:rFonts w:hint="eastAsia" w:hAnsi="宋体"/>
          <w:sz w:val="24"/>
        </w:rPr>
        <w:t>③</w:t>
      </w:r>
      <w:r>
        <w:rPr>
          <w:rFonts w:hint="eastAsia" w:ascii="宋体" w:hAnsi="宋体"/>
          <w:sz w:val="24"/>
        </w:rPr>
        <w:t>车辆不得停放在消防栓、公交车站旁，停放离人行道侧石不超过20厘米，作业完毕后将工具清理干净，停放在规定地点。</w:t>
      </w:r>
    </w:p>
    <w:p>
      <w:pPr>
        <w:spacing w:line="460" w:lineRule="exact"/>
        <w:ind w:firstLine="484" w:firstLineChars="202"/>
        <w:rPr>
          <w:rFonts w:ascii="宋体"/>
          <w:b/>
          <w:bCs/>
          <w:sz w:val="24"/>
        </w:rPr>
      </w:pPr>
      <w:r>
        <w:rPr>
          <w:rFonts w:ascii="宋体" w:hAnsi="宋体"/>
          <w:sz w:val="24"/>
        </w:rPr>
        <w:t>1.3.</w:t>
      </w:r>
      <w:r>
        <w:rPr>
          <w:rFonts w:hint="eastAsia" w:ascii="宋体" w:hAnsi="宋体"/>
          <w:sz w:val="24"/>
        </w:rPr>
        <w:t>2作业时间安排：</w:t>
      </w:r>
    </w:p>
    <w:p>
      <w:pPr>
        <w:spacing w:line="460" w:lineRule="exact"/>
        <w:ind w:firstLine="484" w:firstLineChars="202"/>
        <w:rPr>
          <w:rStyle w:val="80"/>
          <w:sz w:val="24"/>
        </w:rPr>
      </w:pPr>
      <w:r>
        <w:rPr>
          <w:rFonts w:hint="eastAsia" w:ascii="宋体" w:hAnsi="宋体"/>
          <w:sz w:val="24"/>
        </w:rPr>
        <w:t>①</w:t>
      </w:r>
      <w:r>
        <w:rPr>
          <w:rStyle w:val="80"/>
          <w:rFonts w:hint="eastAsia" w:hAnsi="宋体"/>
          <w:sz w:val="24"/>
        </w:rPr>
        <w:t>城市道路环卫机械化作业应充分考虑道路交通状况，日间安排机械化洒水(后洒)作业，夜间安排机械化清扫作业和冲洗作业，</w:t>
      </w:r>
      <w:r>
        <w:rPr>
          <w:rFonts w:hint="eastAsia" w:ascii="宋体" w:hAnsi="宋体"/>
          <w:sz w:val="24"/>
        </w:rPr>
        <w:t>夜间不适合作业区域需安排日间作业的</w:t>
      </w:r>
      <w:r>
        <w:rPr>
          <w:rStyle w:val="80"/>
          <w:rFonts w:hint="eastAsia" w:hAnsi="宋体"/>
          <w:sz w:val="24"/>
        </w:rPr>
        <w:t>，须上报采购方同意后方可实施。</w:t>
      </w:r>
    </w:p>
    <w:p>
      <w:pPr>
        <w:spacing w:line="460" w:lineRule="exact"/>
        <w:ind w:firstLine="484" w:firstLineChars="202"/>
        <w:rPr>
          <w:rFonts w:ascii="宋体"/>
          <w:sz w:val="24"/>
        </w:rPr>
      </w:pPr>
      <w:r>
        <w:rPr>
          <w:rStyle w:val="80"/>
          <w:rFonts w:hint="eastAsia" w:hAnsi="宋体"/>
          <w:sz w:val="24"/>
        </w:rPr>
        <w:t>②</w:t>
      </w:r>
      <w:r>
        <w:rPr>
          <w:rFonts w:hint="eastAsia" w:ascii="宋体" w:hAnsi="宋体"/>
          <w:sz w:val="24"/>
        </w:rPr>
        <w:t>每日0</w:t>
      </w:r>
      <w:r>
        <w:rPr>
          <w:rFonts w:ascii="宋体" w:hAnsi="宋体"/>
          <w:sz w:val="24"/>
        </w:rPr>
        <w:t>:00</w:t>
      </w:r>
      <w:r>
        <w:rPr>
          <w:rFonts w:hint="eastAsia" w:ascii="宋体" w:hAnsi="宋体"/>
          <w:sz w:val="24"/>
        </w:rPr>
        <w:t>开始组织冲洗作业（</w:t>
      </w:r>
      <w:r>
        <w:rPr>
          <w:rStyle w:val="80"/>
          <w:rFonts w:hint="eastAsia" w:hAnsi="宋体"/>
          <w:sz w:val="24"/>
        </w:rPr>
        <w:t>当气温</w:t>
      </w:r>
      <w:r>
        <w:rPr>
          <w:rStyle w:val="80"/>
          <w:rFonts w:hint="eastAsia"/>
          <w:sz w:val="24"/>
        </w:rPr>
        <w:t>＞</w:t>
      </w:r>
      <w:r>
        <w:rPr>
          <w:rStyle w:val="80"/>
          <w:rFonts w:hint="eastAsia" w:hAnsi="宋体"/>
          <w:sz w:val="24"/>
        </w:rPr>
        <w:t>3</w:t>
      </w:r>
      <w:r>
        <w:rPr>
          <w:rStyle w:val="80"/>
          <w:rFonts w:hint="eastAsia" w:hAnsi="宋体" w:cs="宋体"/>
          <w:sz w:val="24"/>
        </w:rPr>
        <w:t>℃</w:t>
      </w:r>
      <w:r>
        <w:rPr>
          <w:rStyle w:val="80"/>
          <w:rFonts w:hint="eastAsia" w:hAnsi="宋体"/>
          <w:sz w:val="24"/>
        </w:rPr>
        <w:t>时</w:t>
      </w:r>
      <w:r>
        <w:rPr>
          <w:rFonts w:hint="eastAsia" w:ascii="宋体" w:hAnsi="宋体"/>
          <w:sz w:val="24"/>
        </w:rPr>
        <w:t>），并依次组织清扫和清洗作业，至次日上午</w:t>
      </w:r>
      <w:r>
        <w:rPr>
          <w:rFonts w:ascii="宋体" w:hAnsi="宋体"/>
          <w:sz w:val="24"/>
        </w:rPr>
        <w:t>7:00</w:t>
      </w:r>
      <w:r>
        <w:rPr>
          <w:rFonts w:hint="eastAsia" w:ascii="宋体" w:hAnsi="宋体"/>
          <w:sz w:val="24"/>
        </w:rPr>
        <w:t>前全部撤离作业路段；洒水季节（</w:t>
      </w:r>
      <w:r>
        <w:rPr>
          <w:rStyle w:val="80"/>
          <w:rFonts w:hint="eastAsia" w:hAnsi="宋体"/>
          <w:sz w:val="24"/>
        </w:rPr>
        <w:t>当气温</w:t>
      </w:r>
      <w:r>
        <w:rPr>
          <w:rStyle w:val="80"/>
          <w:rFonts w:hint="eastAsia"/>
          <w:sz w:val="24"/>
        </w:rPr>
        <w:t>＞</w:t>
      </w:r>
      <w:r>
        <w:rPr>
          <w:rStyle w:val="80"/>
          <w:rFonts w:hint="eastAsia" w:hAnsi="宋体"/>
          <w:sz w:val="24"/>
        </w:rPr>
        <w:t>3</w:t>
      </w:r>
      <w:r>
        <w:rPr>
          <w:rStyle w:val="80"/>
          <w:rFonts w:hint="eastAsia" w:hAnsi="宋体" w:cs="宋体"/>
          <w:sz w:val="24"/>
        </w:rPr>
        <w:t>℃</w:t>
      </w:r>
      <w:r>
        <w:rPr>
          <w:rStyle w:val="80"/>
          <w:rFonts w:hint="eastAsia" w:hAnsi="宋体"/>
          <w:sz w:val="24"/>
        </w:rPr>
        <w:t>时</w:t>
      </w:r>
      <w:r>
        <w:rPr>
          <w:rFonts w:hint="eastAsia" w:ascii="宋体" w:hAnsi="宋体"/>
          <w:sz w:val="24"/>
        </w:rPr>
        <w:t>）白天组织车辆在</w:t>
      </w:r>
      <w:r>
        <w:rPr>
          <w:rFonts w:ascii="宋体" w:hAnsi="宋体"/>
          <w:sz w:val="24"/>
        </w:rPr>
        <w:t>9:00—1</w:t>
      </w:r>
      <w:r>
        <w:rPr>
          <w:rFonts w:hint="eastAsia" w:ascii="宋体" w:hAnsi="宋体"/>
          <w:sz w:val="24"/>
        </w:rPr>
        <w:t>6</w:t>
      </w:r>
      <w:r>
        <w:rPr>
          <w:rFonts w:ascii="宋体" w:hAnsi="宋体"/>
          <w:sz w:val="24"/>
        </w:rPr>
        <w:t>:00</w:t>
      </w:r>
      <w:r>
        <w:rPr>
          <w:rFonts w:hint="eastAsia" w:ascii="宋体" w:hAnsi="宋体"/>
          <w:sz w:val="24"/>
        </w:rPr>
        <w:t>作业。每日的日间机械化清扫作业，在确保回避交通高峰的情况下，作业时间可根据需要自行组织。</w:t>
      </w:r>
    </w:p>
    <w:p>
      <w:pPr>
        <w:spacing w:line="460" w:lineRule="exact"/>
        <w:ind w:firstLine="484" w:firstLineChars="202"/>
        <w:rPr>
          <w:rFonts w:ascii="宋体"/>
          <w:sz w:val="24"/>
        </w:rPr>
      </w:pPr>
      <w:r>
        <w:rPr>
          <w:rStyle w:val="80"/>
          <w:rFonts w:hint="eastAsia" w:hAnsi="宋体"/>
          <w:sz w:val="24"/>
        </w:rPr>
        <w:t>③当气温</w:t>
      </w:r>
      <w:r>
        <w:rPr>
          <w:rStyle w:val="80"/>
          <w:rFonts w:hint="eastAsia"/>
          <w:sz w:val="24"/>
        </w:rPr>
        <w:t>≤</w:t>
      </w:r>
      <w:r>
        <w:rPr>
          <w:rStyle w:val="80"/>
          <w:rFonts w:hAnsi="宋体"/>
          <w:sz w:val="24"/>
        </w:rPr>
        <w:t>5</w:t>
      </w:r>
      <w:r>
        <w:rPr>
          <w:rStyle w:val="80"/>
          <w:rFonts w:hint="eastAsia" w:hAnsi="宋体" w:cs="宋体"/>
          <w:sz w:val="24"/>
        </w:rPr>
        <w:t>℃</w:t>
      </w:r>
      <w:r>
        <w:rPr>
          <w:rStyle w:val="80"/>
          <w:rFonts w:hint="eastAsia" w:hAnsi="宋体"/>
          <w:sz w:val="24"/>
        </w:rPr>
        <w:t>时，桥面、坡道的冲洗及清洗作业应暂停；当气温</w:t>
      </w:r>
      <w:r>
        <w:rPr>
          <w:rStyle w:val="80"/>
          <w:rFonts w:hint="eastAsia"/>
          <w:sz w:val="24"/>
        </w:rPr>
        <w:t>≤</w:t>
      </w:r>
      <w:r>
        <w:rPr>
          <w:rStyle w:val="80"/>
          <w:rFonts w:hint="eastAsia" w:hAnsi="宋体"/>
          <w:sz w:val="24"/>
        </w:rPr>
        <w:t>3</w:t>
      </w:r>
      <w:r>
        <w:rPr>
          <w:rStyle w:val="80"/>
          <w:rFonts w:hint="eastAsia" w:hAnsi="宋体" w:cs="宋体"/>
          <w:sz w:val="24"/>
        </w:rPr>
        <w:t>℃</w:t>
      </w:r>
      <w:r>
        <w:rPr>
          <w:rStyle w:val="80"/>
          <w:rFonts w:hint="eastAsia" w:hAnsi="宋体"/>
          <w:sz w:val="24"/>
        </w:rPr>
        <w:t>时，必须停止全部冲洗及清洗作业，与此同时道路清扫全部采用干扫（不喷水）作业方式。</w:t>
      </w:r>
    </w:p>
    <w:p>
      <w:pPr>
        <w:pStyle w:val="24"/>
        <w:spacing w:line="460" w:lineRule="exact"/>
        <w:ind w:firstLine="484" w:firstLineChars="201"/>
        <w:rPr>
          <w:rFonts w:ascii="宋体"/>
          <w:b/>
          <w:color w:val="auto"/>
          <w:szCs w:val="24"/>
        </w:rPr>
      </w:pPr>
      <w:r>
        <w:rPr>
          <w:rFonts w:ascii="宋体" w:hAnsi="宋体"/>
          <w:b/>
          <w:color w:val="auto"/>
          <w:szCs w:val="24"/>
        </w:rPr>
        <w:t>1.3.</w:t>
      </w:r>
      <w:r>
        <w:rPr>
          <w:rFonts w:hint="eastAsia" w:ascii="宋体" w:hAnsi="宋体"/>
          <w:b/>
          <w:color w:val="auto"/>
          <w:szCs w:val="24"/>
        </w:rPr>
        <w:t>3作业行驶要求：</w:t>
      </w:r>
    </w:p>
    <w:p>
      <w:pPr>
        <w:pStyle w:val="24"/>
        <w:spacing w:line="460" w:lineRule="exact"/>
        <w:ind w:firstLine="484" w:firstLineChars="202"/>
        <w:rPr>
          <w:rStyle w:val="80"/>
          <w:color w:val="auto"/>
          <w:szCs w:val="24"/>
        </w:rPr>
      </w:pPr>
      <w:r>
        <w:rPr>
          <w:rFonts w:hint="eastAsia" w:ascii="宋体" w:hAnsi="宋体"/>
          <w:color w:val="auto"/>
          <w:szCs w:val="24"/>
        </w:rPr>
        <w:t>①</w:t>
      </w:r>
      <w:r>
        <w:rPr>
          <w:rStyle w:val="80"/>
          <w:rFonts w:hint="eastAsia" w:hAnsi="宋体"/>
          <w:color w:val="auto"/>
          <w:szCs w:val="24"/>
        </w:rPr>
        <w:t>清扫作业时选用一挡，行驶速度不超过</w:t>
      </w:r>
      <w:r>
        <w:rPr>
          <w:rStyle w:val="80"/>
          <w:rFonts w:hAnsi="宋体"/>
          <w:color w:val="auto"/>
          <w:szCs w:val="24"/>
        </w:rPr>
        <w:t>10</w:t>
      </w:r>
      <w:r>
        <w:rPr>
          <w:rStyle w:val="80"/>
          <w:rFonts w:hint="eastAsia" w:hAnsi="宋体"/>
          <w:color w:val="auto"/>
          <w:szCs w:val="24"/>
        </w:rPr>
        <w:t>公里</w:t>
      </w:r>
      <w:r>
        <w:rPr>
          <w:rStyle w:val="80"/>
          <w:rFonts w:hAnsi="宋体"/>
          <w:color w:val="auto"/>
          <w:szCs w:val="24"/>
        </w:rPr>
        <w:t>/</w:t>
      </w:r>
      <w:r>
        <w:rPr>
          <w:rStyle w:val="80"/>
          <w:rFonts w:hint="eastAsia" w:hAnsi="宋体"/>
          <w:color w:val="auto"/>
          <w:szCs w:val="24"/>
        </w:rPr>
        <w:t>小时，副机转速不超过</w:t>
      </w:r>
      <w:r>
        <w:rPr>
          <w:rStyle w:val="80"/>
          <w:rFonts w:hAnsi="宋体"/>
          <w:color w:val="auto"/>
          <w:szCs w:val="24"/>
        </w:rPr>
        <w:t>2000</w:t>
      </w:r>
      <w:r>
        <w:rPr>
          <w:rStyle w:val="80"/>
          <w:rFonts w:hint="eastAsia" w:hAnsi="宋体"/>
          <w:color w:val="auto"/>
          <w:szCs w:val="24"/>
        </w:rPr>
        <w:t>转</w:t>
      </w:r>
      <w:r>
        <w:rPr>
          <w:rStyle w:val="80"/>
          <w:rFonts w:hAnsi="宋体"/>
          <w:color w:val="auto"/>
          <w:szCs w:val="24"/>
        </w:rPr>
        <w:t>/</w:t>
      </w:r>
      <w:r>
        <w:rPr>
          <w:rStyle w:val="80"/>
          <w:rFonts w:hint="eastAsia" w:hAnsi="宋体"/>
          <w:color w:val="auto"/>
          <w:szCs w:val="24"/>
        </w:rPr>
        <w:t>分，</w:t>
      </w:r>
      <w:r>
        <w:rPr>
          <w:rFonts w:hint="eastAsia" w:ascii="宋体" w:hAnsi="宋体"/>
          <w:color w:val="auto"/>
          <w:spacing w:val="8"/>
          <w:szCs w:val="24"/>
        </w:rPr>
        <w:t>应严格按照放刷、喷水、调整箱体压力和刷盘转速、清扫的顺序进行操作；非特殊气候情况下，避免</w:t>
      </w:r>
      <w:r>
        <w:rPr>
          <w:rFonts w:hint="eastAsia" w:ascii="宋体"/>
          <w:color w:val="auto"/>
          <w:spacing w:val="8"/>
          <w:szCs w:val="24"/>
        </w:rPr>
        <w:t>“</w:t>
      </w:r>
      <w:r>
        <w:rPr>
          <w:rFonts w:hint="eastAsia" w:ascii="宋体" w:hAnsi="宋体"/>
          <w:color w:val="auto"/>
          <w:spacing w:val="8"/>
          <w:szCs w:val="24"/>
        </w:rPr>
        <w:t>干扫</w:t>
      </w:r>
      <w:r>
        <w:rPr>
          <w:rFonts w:hint="eastAsia" w:ascii="宋体"/>
          <w:color w:val="auto"/>
          <w:spacing w:val="8"/>
          <w:szCs w:val="24"/>
        </w:rPr>
        <w:t>”</w:t>
      </w:r>
      <w:r>
        <w:rPr>
          <w:rFonts w:hint="eastAsia" w:ascii="宋体" w:hAnsi="宋体"/>
          <w:color w:val="auto"/>
          <w:spacing w:val="8"/>
          <w:szCs w:val="24"/>
        </w:rPr>
        <w:t>；作业时禁止扫刷、吸嘴不落地</w:t>
      </w:r>
      <w:r>
        <w:rPr>
          <w:rStyle w:val="80"/>
          <w:rFonts w:hint="eastAsia" w:hAnsi="宋体"/>
          <w:color w:val="auto"/>
          <w:szCs w:val="24"/>
        </w:rPr>
        <w:t>。</w:t>
      </w:r>
    </w:p>
    <w:p>
      <w:pPr>
        <w:pStyle w:val="24"/>
        <w:spacing w:line="460" w:lineRule="exact"/>
        <w:ind w:firstLine="484" w:firstLineChars="202"/>
        <w:rPr>
          <w:rFonts w:ascii="宋体"/>
          <w:color w:val="auto"/>
          <w:spacing w:val="8"/>
          <w:szCs w:val="24"/>
        </w:rPr>
      </w:pPr>
      <w:r>
        <w:rPr>
          <w:rStyle w:val="80"/>
          <w:rFonts w:hint="eastAsia" w:hAnsi="宋体"/>
          <w:color w:val="auto"/>
          <w:szCs w:val="24"/>
        </w:rPr>
        <w:t>②</w:t>
      </w:r>
      <w:r>
        <w:rPr>
          <w:rFonts w:hint="eastAsia" w:ascii="宋体" w:hAnsi="宋体"/>
          <w:color w:val="auto"/>
          <w:spacing w:val="8"/>
          <w:szCs w:val="24"/>
        </w:rPr>
        <w:t>冲洗作业时控制车速为</w:t>
      </w:r>
      <w:r>
        <w:rPr>
          <w:rFonts w:ascii="宋体" w:hAnsi="宋体"/>
          <w:color w:val="auto"/>
          <w:spacing w:val="8"/>
          <w:szCs w:val="24"/>
        </w:rPr>
        <w:t>5-10</w:t>
      </w:r>
      <w:r>
        <w:rPr>
          <w:rFonts w:hint="eastAsia" w:ascii="宋体" w:hAnsi="宋体"/>
          <w:color w:val="auto"/>
          <w:spacing w:val="8"/>
          <w:szCs w:val="24"/>
        </w:rPr>
        <w:t>公里</w:t>
      </w:r>
      <w:r>
        <w:rPr>
          <w:rFonts w:ascii="宋体" w:hAnsi="宋体"/>
          <w:color w:val="auto"/>
          <w:spacing w:val="8"/>
          <w:szCs w:val="24"/>
        </w:rPr>
        <w:t>/</w:t>
      </w:r>
      <w:r>
        <w:rPr>
          <w:rFonts w:hint="eastAsia" w:ascii="宋体" w:hAnsi="宋体"/>
          <w:color w:val="auto"/>
          <w:spacing w:val="8"/>
          <w:szCs w:val="24"/>
        </w:rPr>
        <w:t>小时，冲洗压力</w:t>
      </w:r>
      <w:r>
        <w:rPr>
          <w:rFonts w:hint="eastAsia" w:ascii="宋体"/>
          <w:color w:val="auto"/>
          <w:spacing w:val="8"/>
          <w:szCs w:val="24"/>
        </w:rPr>
        <w:t>≥</w:t>
      </w:r>
      <w:r>
        <w:rPr>
          <w:rFonts w:ascii="宋体" w:hAnsi="宋体"/>
          <w:color w:val="auto"/>
          <w:spacing w:val="8"/>
          <w:szCs w:val="24"/>
        </w:rPr>
        <w:t>300</w:t>
      </w:r>
      <w:r>
        <w:rPr>
          <w:rFonts w:hint="eastAsia" w:ascii="宋体" w:hAnsi="宋体"/>
          <w:color w:val="auto"/>
          <w:spacing w:val="8"/>
          <w:szCs w:val="24"/>
        </w:rPr>
        <w:t>千帕，洒水量</w:t>
      </w:r>
      <w:r>
        <w:rPr>
          <w:rFonts w:ascii="宋体" w:hAnsi="宋体"/>
          <w:color w:val="auto"/>
          <w:spacing w:val="8"/>
          <w:szCs w:val="24"/>
        </w:rPr>
        <w:t>0.2</w:t>
      </w:r>
      <w:r>
        <w:rPr>
          <w:rFonts w:hint="eastAsia" w:ascii="宋体" w:hAnsi="宋体"/>
          <w:color w:val="auto"/>
          <w:spacing w:val="8"/>
          <w:szCs w:val="24"/>
        </w:rPr>
        <w:t>～</w:t>
      </w:r>
      <w:r>
        <w:rPr>
          <w:rFonts w:ascii="宋体" w:hAnsi="宋体"/>
          <w:color w:val="auto"/>
          <w:spacing w:val="8"/>
          <w:szCs w:val="24"/>
        </w:rPr>
        <w:t>2.0</w:t>
      </w:r>
      <w:r>
        <w:rPr>
          <w:rFonts w:hint="eastAsia" w:ascii="宋体" w:hAnsi="宋体"/>
          <w:color w:val="auto"/>
          <w:spacing w:val="8"/>
          <w:szCs w:val="24"/>
        </w:rPr>
        <w:t>升</w:t>
      </w:r>
      <w:r>
        <w:rPr>
          <w:rFonts w:ascii="宋体" w:hAnsi="宋体"/>
          <w:color w:val="auto"/>
          <w:spacing w:val="8"/>
          <w:szCs w:val="24"/>
        </w:rPr>
        <w:t>/</w:t>
      </w:r>
      <w:r>
        <w:rPr>
          <w:rFonts w:hint="eastAsia" w:ascii="宋体" w:hAnsi="宋体"/>
          <w:color w:val="auto"/>
          <w:spacing w:val="8"/>
          <w:szCs w:val="24"/>
        </w:rPr>
        <w:t>平方米，喷水口喷水有力，不得出现断续喷水的现象。</w:t>
      </w:r>
    </w:p>
    <w:p>
      <w:pPr>
        <w:pStyle w:val="24"/>
        <w:spacing w:line="460" w:lineRule="exact"/>
        <w:ind w:firstLine="517" w:firstLineChars="202"/>
        <w:rPr>
          <w:rFonts w:ascii="宋体"/>
          <w:color w:val="auto"/>
          <w:spacing w:val="8"/>
          <w:szCs w:val="24"/>
        </w:rPr>
      </w:pPr>
      <w:r>
        <w:rPr>
          <w:rFonts w:hint="eastAsia" w:ascii="宋体" w:hAnsi="宋体"/>
          <w:color w:val="auto"/>
          <w:spacing w:val="8"/>
          <w:szCs w:val="24"/>
        </w:rPr>
        <w:t>③洒水作业时控制车速为</w:t>
      </w:r>
      <w:r>
        <w:rPr>
          <w:rFonts w:ascii="宋体" w:hAnsi="宋体"/>
          <w:color w:val="auto"/>
          <w:spacing w:val="8"/>
          <w:szCs w:val="24"/>
        </w:rPr>
        <w:t>2</w:t>
      </w:r>
      <w:r>
        <w:rPr>
          <w:rFonts w:hint="eastAsia" w:ascii="宋体" w:hAnsi="宋体"/>
          <w:color w:val="auto"/>
          <w:spacing w:val="8"/>
          <w:szCs w:val="24"/>
        </w:rPr>
        <w:t>0</w:t>
      </w:r>
      <w:r>
        <w:rPr>
          <w:rFonts w:ascii="宋体" w:hAnsi="宋体"/>
          <w:color w:val="auto"/>
          <w:spacing w:val="8"/>
          <w:szCs w:val="24"/>
        </w:rPr>
        <w:t>-</w:t>
      </w:r>
      <w:r>
        <w:rPr>
          <w:rFonts w:hint="eastAsia" w:ascii="宋体" w:hAnsi="宋体"/>
          <w:color w:val="auto"/>
          <w:spacing w:val="8"/>
          <w:szCs w:val="24"/>
        </w:rPr>
        <w:t>25公里</w:t>
      </w:r>
      <w:r>
        <w:rPr>
          <w:rFonts w:ascii="宋体" w:hAnsi="宋体"/>
          <w:color w:val="auto"/>
          <w:spacing w:val="8"/>
          <w:szCs w:val="24"/>
        </w:rPr>
        <w:t>/</w:t>
      </w:r>
      <w:r>
        <w:rPr>
          <w:rFonts w:hint="eastAsia" w:ascii="宋体" w:hAnsi="宋体"/>
          <w:color w:val="auto"/>
          <w:spacing w:val="8"/>
          <w:szCs w:val="24"/>
        </w:rPr>
        <w:t>小时，喷水口喷水有力，不得出现断续喷水的现象；早间普扫时可采用高压冲水模式，</w:t>
      </w:r>
      <w:r>
        <w:rPr>
          <w:rStyle w:val="80"/>
          <w:rFonts w:hint="eastAsia" w:hAnsi="宋体"/>
          <w:color w:val="auto"/>
          <w:szCs w:val="24"/>
        </w:rPr>
        <w:t>日间洒水</w:t>
      </w:r>
      <w:r>
        <w:rPr>
          <w:rFonts w:hint="eastAsia" w:ascii="宋体" w:hAnsi="宋体"/>
          <w:color w:val="auto"/>
          <w:szCs w:val="24"/>
        </w:rPr>
        <w:t>作业须采用喷水模式，喷水呈扇形均匀雾状，</w:t>
      </w:r>
      <w:r>
        <w:rPr>
          <w:rFonts w:hint="eastAsia" w:ascii="宋体" w:hAnsi="宋体"/>
          <w:color w:val="auto"/>
          <w:spacing w:val="8"/>
          <w:szCs w:val="24"/>
        </w:rPr>
        <w:t>覆盖道路的所有机动车道，不得漏洒，</w:t>
      </w:r>
      <w:r>
        <w:rPr>
          <w:rFonts w:hint="eastAsia" w:ascii="宋体" w:hAnsi="宋体"/>
          <w:color w:val="auto"/>
          <w:szCs w:val="24"/>
        </w:rPr>
        <w:t>作业后路面达到“见潮不见流水</w:t>
      </w:r>
      <w:r>
        <w:rPr>
          <w:rFonts w:ascii="宋体" w:hAnsi="宋体"/>
          <w:color w:val="auto"/>
          <w:szCs w:val="24"/>
        </w:rPr>
        <w:t>”</w:t>
      </w:r>
      <w:r>
        <w:rPr>
          <w:rFonts w:hint="eastAsia" w:ascii="宋体" w:hAnsi="宋体"/>
          <w:color w:val="auto"/>
          <w:szCs w:val="24"/>
        </w:rPr>
        <w:t>的效果。</w:t>
      </w:r>
    </w:p>
    <w:p>
      <w:pPr>
        <w:pStyle w:val="24"/>
        <w:spacing w:line="460" w:lineRule="exact"/>
        <w:ind w:firstLine="484" w:firstLineChars="202"/>
        <w:rPr>
          <w:rFonts w:ascii="宋体"/>
          <w:color w:val="auto"/>
          <w:szCs w:val="24"/>
        </w:rPr>
      </w:pPr>
      <w:r>
        <w:rPr>
          <w:rFonts w:hint="eastAsia" w:ascii="宋体" w:hAnsi="宋体"/>
          <w:color w:val="auto"/>
          <w:szCs w:val="24"/>
        </w:rPr>
        <w:t>④清洗作业车速不超过10公里</w:t>
      </w:r>
      <w:r>
        <w:rPr>
          <w:rFonts w:ascii="宋体" w:hAnsi="宋体"/>
          <w:color w:val="auto"/>
          <w:szCs w:val="24"/>
        </w:rPr>
        <w:t>/</w:t>
      </w:r>
      <w:r>
        <w:rPr>
          <w:rFonts w:hint="eastAsia" w:ascii="宋体" w:hAnsi="宋体"/>
          <w:color w:val="auto"/>
          <w:szCs w:val="24"/>
        </w:rPr>
        <w:t>小时，副发动机转速控制在</w:t>
      </w:r>
      <w:r>
        <w:rPr>
          <w:rFonts w:ascii="宋体" w:hAnsi="宋体"/>
          <w:color w:val="auto"/>
          <w:szCs w:val="24"/>
        </w:rPr>
        <w:t>1800</w:t>
      </w:r>
      <w:r>
        <w:rPr>
          <w:rStyle w:val="80"/>
          <w:rFonts w:hint="eastAsia" w:hAnsi="宋体"/>
          <w:color w:val="auto"/>
          <w:szCs w:val="24"/>
        </w:rPr>
        <w:t>转</w:t>
      </w:r>
      <w:r>
        <w:rPr>
          <w:rStyle w:val="80"/>
          <w:rFonts w:hAnsi="宋体"/>
          <w:color w:val="auto"/>
          <w:szCs w:val="24"/>
        </w:rPr>
        <w:t>/</w:t>
      </w:r>
      <w:r>
        <w:rPr>
          <w:rStyle w:val="80"/>
          <w:rFonts w:hint="eastAsia" w:hAnsi="宋体"/>
          <w:color w:val="auto"/>
          <w:szCs w:val="24"/>
        </w:rPr>
        <w:t>分</w:t>
      </w:r>
      <w:r>
        <w:rPr>
          <w:rFonts w:hint="eastAsia" w:ascii="宋体" w:hAnsi="宋体"/>
          <w:color w:val="auto"/>
          <w:szCs w:val="24"/>
        </w:rPr>
        <w:t>（正常档），路面较脏时，副发动机转速控制在</w:t>
      </w:r>
      <w:r>
        <w:rPr>
          <w:rFonts w:ascii="宋体" w:hAnsi="宋体"/>
          <w:color w:val="auto"/>
          <w:szCs w:val="24"/>
        </w:rPr>
        <w:t>2200</w:t>
      </w:r>
      <w:r>
        <w:rPr>
          <w:rStyle w:val="80"/>
          <w:rFonts w:hint="eastAsia" w:hAnsi="宋体"/>
          <w:color w:val="auto"/>
          <w:szCs w:val="24"/>
        </w:rPr>
        <w:t>转</w:t>
      </w:r>
      <w:r>
        <w:rPr>
          <w:rStyle w:val="80"/>
          <w:rFonts w:hAnsi="宋体"/>
          <w:color w:val="auto"/>
          <w:szCs w:val="24"/>
        </w:rPr>
        <w:t>/</w:t>
      </w:r>
      <w:r>
        <w:rPr>
          <w:rStyle w:val="80"/>
          <w:rFonts w:hint="eastAsia" w:hAnsi="宋体"/>
          <w:color w:val="auto"/>
          <w:szCs w:val="24"/>
        </w:rPr>
        <w:t>分</w:t>
      </w:r>
      <w:r>
        <w:rPr>
          <w:rFonts w:hint="eastAsia" w:ascii="宋体" w:hAnsi="宋体"/>
          <w:color w:val="auto"/>
          <w:szCs w:val="24"/>
        </w:rPr>
        <w:t>（强洗档），并应开双侧吸嘴喷杆喷水。</w:t>
      </w:r>
    </w:p>
    <w:p>
      <w:pPr>
        <w:pStyle w:val="24"/>
        <w:spacing w:line="460" w:lineRule="exact"/>
        <w:ind w:firstLine="484" w:firstLineChars="202"/>
        <w:rPr>
          <w:rFonts w:ascii="宋体"/>
          <w:color w:val="auto"/>
          <w:szCs w:val="24"/>
        </w:rPr>
      </w:pPr>
      <w:r>
        <w:rPr>
          <w:rFonts w:hint="eastAsia" w:ascii="宋体" w:hAnsi="宋体"/>
          <w:color w:val="auto"/>
          <w:szCs w:val="24"/>
        </w:rPr>
        <w:t>⑤作业时须开启警示灯和示宽灯，夜间禁鸣，日间适当鸣号。</w:t>
      </w:r>
    </w:p>
    <w:p>
      <w:pPr>
        <w:pStyle w:val="24"/>
        <w:spacing w:line="460" w:lineRule="exact"/>
        <w:ind w:firstLine="484" w:firstLineChars="202"/>
        <w:rPr>
          <w:color w:val="auto"/>
          <w:szCs w:val="24"/>
        </w:rPr>
      </w:pPr>
      <w:r>
        <w:rPr>
          <w:rFonts w:hint="eastAsia" w:ascii="宋体" w:hAnsi="宋体"/>
          <w:color w:val="auto"/>
          <w:szCs w:val="24"/>
        </w:rPr>
        <w:t>⑥作业人员必须按照规定的时间、线路、频次和作业模式作</w:t>
      </w:r>
      <w:r>
        <w:rPr>
          <w:rFonts w:hint="eastAsia"/>
          <w:color w:val="auto"/>
          <w:szCs w:val="24"/>
        </w:rPr>
        <w:t>业；作业时应穿戴统一的、具有明显警示标识的工作服，并保持着装整洁。不得有滞留马路和加油加水超时等情况。</w:t>
      </w:r>
    </w:p>
    <w:p>
      <w:pPr>
        <w:pStyle w:val="24"/>
        <w:spacing w:line="460" w:lineRule="exact"/>
        <w:ind w:firstLine="484" w:firstLineChars="202"/>
        <w:rPr>
          <w:rFonts w:hint="eastAsia" w:ascii="宋体" w:hAnsi="宋体"/>
          <w:b/>
          <w:color w:val="auto"/>
          <w:szCs w:val="24"/>
        </w:rPr>
      </w:pPr>
      <w:r>
        <w:rPr>
          <w:rFonts w:hint="eastAsia" w:ascii="宋体" w:hAnsi="宋体"/>
          <w:color w:val="auto"/>
          <w:szCs w:val="24"/>
        </w:rPr>
        <w:t>⑦车辆行驶、停放必须遵守《道路交通安全法》对车辆的基本管理要求，任何交通违法行为责任由中标方自行承担。</w:t>
      </w:r>
    </w:p>
    <w:p>
      <w:pPr>
        <w:spacing w:line="460" w:lineRule="exact"/>
        <w:ind w:firstLine="487" w:firstLineChars="202"/>
        <w:rPr>
          <w:rFonts w:ascii="宋体"/>
          <w:b/>
          <w:sz w:val="24"/>
        </w:rPr>
      </w:pPr>
      <w:r>
        <w:rPr>
          <w:rFonts w:ascii="宋体" w:hAnsi="宋体"/>
          <w:b/>
          <w:sz w:val="24"/>
        </w:rPr>
        <w:t>1.3.</w:t>
      </w:r>
      <w:r>
        <w:rPr>
          <w:rFonts w:hint="eastAsia" w:ascii="宋体" w:hAnsi="宋体"/>
          <w:b/>
          <w:sz w:val="24"/>
        </w:rPr>
        <w:t>4调度和管理要求：</w:t>
      </w:r>
    </w:p>
    <w:p>
      <w:pPr>
        <w:spacing w:line="460" w:lineRule="exact"/>
        <w:ind w:firstLine="484" w:firstLineChars="202"/>
        <w:rPr>
          <w:rFonts w:ascii="宋体"/>
          <w:sz w:val="24"/>
        </w:rPr>
      </w:pPr>
      <w:r>
        <w:rPr>
          <w:rFonts w:hint="eastAsia" w:ascii="宋体" w:hAnsi="宋体"/>
          <w:sz w:val="24"/>
        </w:rPr>
        <w:t>①科学合理调配作业车辆分布比例及运行。每班作业应按规定填写出车日志，作业车辆应在规定地点取水、清洁污物箱，机械化作业收集的垃圾倒入指定转运站。</w:t>
      </w:r>
    </w:p>
    <w:p>
      <w:pPr>
        <w:spacing w:line="460" w:lineRule="exact"/>
        <w:ind w:firstLine="484" w:firstLineChars="202"/>
        <w:rPr>
          <w:rFonts w:ascii="宋体"/>
          <w:sz w:val="24"/>
        </w:rPr>
      </w:pPr>
      <w:r>
        <w:rPr>
          <w:rFonts w:hint="eastAsia" w:ascii="宋体" w:hAnsi="宋体"/>
          <w:sz w:val="24"/>
        </w:rPr>
        <w:t>②建立健全车辆维修、保养和检查制度，必须确保出车车况良好。</w:t>
      </w:r>
    </w:p>
    <w:p>
      <w:pPr>
        <w:spacing w:line="460" w:lineRule="exact"/>
        <w:ind w:firstLine="484" w:firstLineChars="202"/>
        <w:rPr>
          <w:rFonts w:ascii="宋体"/>
          <w:sz w:val="24"/>
        </w:rPr>
      </w:pPr>
      <w:r>
        <w:rPr>
          <w:rFonts w:hint="eastAsia" w:ascii="宋体" w:hAnsi="宋体"/>
          <w:sz w:val="24"/>
        </w:rPr>
        <w:t>③如遇死角、深沟、道路两侧行道树过低过近、垃圾杂物体积过长过大、落叶季节、窨井沟眼不畅通、有杂物或被堵塞等工况无法满足环卫机械化作业条件时，需组织人工配合作业。</w:t>
      </w:r>
    </w:p>
    <w:p>
      <w:pPr>
        <w:spacing w:line="460" w:lineRule="exact"/>
        <w:ind w:firstLine="484" w:firstLineChars="202"/>
        <w:rPr>
          <w:rFonts w:ascii="宋体"/>
          <w:sz w:val="24"/>
        </w:rPr>
      </w:pPr>
      <w:r>
        <w:rPr>
          <w:rFonts w:hint="eastAsia" w:ascii="宋体" w:hAnsi="宋体"/>
          <w:sz w:val="24"/>
        </w:rPr>
        <w:t>④环卫作业车辆一律安装环卫监管设施，纳入环卫监管系统，日常管理要确保</w:t>
      </w:r>
      <w:r>
        <w:rPr>
          <w:rFonts w:ascii="宋体" w:hAnsi="宋体"/>
          <w:sz w:val="24"/>
        </w:rPr>
        <w:t>GPS</w:t>
      </w:r>
      <w:r>
        <w:rPr>
          <w:rFonts w:hint="eastAsia" w:ascii="宋体" w:hAnsi="宋体"/>
          <w:sz w:val="24"/>
        </w:rPr>
        <w:t>等设施设备的完好，一旦出现故障要及时反馈给采购方。</w:t>
      </w:r>
    </w:p>
    <w:p>
      <w:pPr>
        <w:spacing w:line="460" w:lineRule="exact"/>
        <w:ind w:firstLine="484" w:firstLineChars="202"/>
        <w:rPr>
          <w:rFonts w:ascii="宋体"/>
          <w:sz w:val="24"/>
        </w:rPr>
      </w:pPr>
      <w:r>
        <w:rPr>
          <w:rFonts w:hint="eastAsia" w:ascii="宋体" w:hAnsi="宋体"/>
          <w:sz w:val="24"/>
        </w:rPr>
        <w:t>⑤车辆加水作业应到采购方指定的取水点进行加水，严禁浪费水资源。</w:t>
      </w:r>
    </w:p>
    <w:p>
      <w:pPr>
        <w:pStyle w:val="24"/>
        <w:spacing w:line="460" w:lineRule="exact"/>
        <w:ind w:firstLine="482" w:firstLineChars="200"/>
        <w:rPr>
          <w:rFonts w:ascii="宋体"/>
          <w:b/>
          <w:color w:val="auto"/>
          <w:szCs w:val="24"/>
        </w:rPr>
      </w:pPr>
      <w:r>
        <w:rPr>
          <w:rFonts w:ascii="宋体" w:hAnsi="宋体"/>
          <w:b/>
          <w:color w:val="auto"/>
          <w:szCs w:val="24"/>
        </w:rPr>
        <w:t>1.</w:t>
      </w:r>
      <w:r>
        <w:rPr>
          <w:rFonts w:hint="eastAsia" w:ascii="宋体" w:hAnsi="宋体"/>
          <w:b/>
          <w:color w:val="auto"/>
          <w:szCs w:val="24"/>
        </w:rPr>
        <w:t>4垃圾清运要求：</w:t>
      </w:r>
    </w:p>
    <w:p>
      <w:pPr>
        <w:pStyle w:val="24"/>
        <w:spacing w:line="460" w:lineRule="exact"/>
        <w:ind w:firstLine="480" w:firstLineChars="200"/>
        <w:rPr>
          <w:rFonts w:ascii="宋体"/>
          <w:b/>
          <w:color w:val="auto"/>
          <w:szCs w:val="24"/>
        </w:rPr>
      </w:pPr>
      <w:r>
        <w:rPr>
          <w:rFonts w:hint="eastAsia" w:ascii="宋体" w:hAnsi="宋体"/>
          <w:color w:val="auto"/>
          <w:szCs w:val="24"/>
        </w:rPr>
        <w:t>①垃圾收集清运必须做到日产日清，主要道路一日三清，次要道路一日两清。出现满溢现象应当立即组织收集清运。临街垃圾收集清运上午必须在</w:t>
      </w:r>
      <w:r>
        <w:rPr>
          <w:rFonts w:ascii="宋体" w:hAnsi="宋体"/>
          <w:color w:val="auto"/>
          <w:szCs w:val="24"/>
        </w:rPr>
        <w:t>7:00</w:t>
      </w:r>
      <w:r>
        <w:rPr>
          <w:rFonts w:hint="eastAsia" w:ascii="宋体" w:hAnsi="宋体"/>
          <w:color w:val="auto"/>
          <w:szCs w:val="24"/>
        </w:rPr>
        <w:t>前完成。</w:t>
      </w:r>
    </w:p>
    <w:p>
      <w:pPr>
        <w:spacing w:line="460" w:lineRule="exact"/>
        <w:ind w:firstLine="484" w:firstLineChars="202"/>
        <w:rPr>
          <w:rFonts w:ascii="宋体"/>
          <w:sz w:val="24"/>
        </w:rPr>
      </w:pPr>
      <w:r>
        <w:rPr>
          <w:rFonts w:hint="eastAsia" w:ascii="宋体" w:hAnsi="宋体"/>
          <w:sz w:val="24"/>
        </w:rPr>
        <w:t>②垃圾清运点周围</w:t>
      </w:r>
      <w:r>
        <w:rPr>
          <w:rFonts w:ascii="宋体" w:hAnsi="宋体"/>
          <w:sz w:val="24"/>
        </w:rPr>
        <w:t>2</w:t>
      </w:r>
      <w:r>
        <w:rPr>
          <w:rFonts w:hint="eastAsia" w:ascii="宋体" w:hAnsi="宋体"/>
          <w:sz w:val="24"/>
        </w:rPr>
        <w:t>米内必须打扫干净，无死角，无乱张贴。</w:t>
      </w:r>
    </w:p>
    <w:p>
      <w:pPr>
        <w:spacing w:line="460" w:lineRule="exact"/>
        <w:ind w:firstLine="484" w:firstLineChars="202"/>
        <w:rPr>
          <w:rFonts w:ascii="宋体"/>
          <w:sz w:val="24"/>
        </w:rPr>
      </w:pPr>
      <w:r>
        <w:rPr>
          <w:rFonts w:hint="eastAsia" w:ascii="宋体" w:hAnsi="宋体"/>
          <w:sz w:val="24"/>
        </w:rPr>
        <w:t>③垃圾清运车辆必须自觉遵守交通规则，做到安全生产。</w:t>
      </w:r>
    </w:p>
    <w:p>
      <w:pPr>
        <w:spacing w:line="460" w:lineRule="exact"/>
        <w:ind w:firstLine="484" w:firstLineChars="202"/>
        <w:rPr>
          <w:rFonts w:ascii="宋体"/>
          <w:sz w:val="24"/>
        </w:rPr>
      </w:pPr>
      <w:r>
        <w:rPr>
          <w:rFonts w:hint="eastAsia" w:ascii="宋体" w:hAnsi="宋体"/>
          <w:sz w:val="24"/>
        </w:rPr>
        <w:t>④垃圾清运车辆应保持容貌整洁，车辆编号、每日清洗，做到车辆性能完好、干净整洁。</w:t>
      </w:r>
    </w:p>
    <w:p>
      <w:pPr>
        <w:pStyle w:val="127"/>
        <w:spacing w:line="360" w:lineRule="auto"/>
        <w:ind w:firstLine="480"/>
        <w:rPr>
          <w:rFonts w:hint="eastAsia" w:ascii="宋体" w:hAnsi="宋体"/>
          <w:sz w:val="24"/>
        </w:rPr>
      </w:pPr>
      <w:r>
        <w:rPr>
          <w:rFonts w:hint="eastAsia" w:ascii="宋体" w:hAnsi="宋体"/>
          <w:sz w:val="24"/>
        </w:rPr>
        <w:t>⑤沿街商铺垃圾上门收集清运要按照垃圾分类的要求进行定时或定点收集清运，按要求进行车辆配置及喷涂，收集线路根据垃圾分类办要求扩展，车辆、人员如有增减，费用不作调整。</w:t>
      </w:r>
    </w:p>
    <w:p>
      <w:pPr>
        <w:pStyle w:val="127"/>
        <w:spacing w:line="360" w:lineRule="auto"/>
        <w:ind w:firstLine="480"/>
        <w:rPr>
          <w:rFonts w:hint="eastAsia" w:ascii="宋体" w:hAnsi="宋体"/>
          <w:sz w:val="24"/>
        </w:rPr>
      </w:pPr>
      <w:r>
        <w:rPr>
          <w:rFonts w:hint="eastAsia" w:ascii="宋体" w:hAnsi="宋体"/>
          <w:sz w:val="24"/>
        </w:rPr>
        <w:t>⑥确保承包清扫保洁的道路、公共设施、环卫设施等稳定呈现干净整洁的面貌，沿街垃圾桶采用电动清运车收集清运至附近的垃圾中转站并清洗干净。沿街果壳箱、垃圾桶可采用压缩车收集直运至垃圾处置终端(垃圾焚烧场、垃圾填埋场)，并清洗桶身及周边场地。不得拒绝沿线居民向垃圾收集车辆内倾倒生活垃圾，经采购方核定从事道路收集的车辆严禁从事单位垃圾有偿清运服务。当垃圾焚烧场限量时，直运至垃圾填埋场，垃圾处置终端费用由环卫中心承担。</w:t>
      </w:r>
    </w:p>
    <w:p>
      <w:pPr>
        <w:pStyle w:val="127"/>
        <w:spacing w:line="360" w:lineRule="auto"/>
        <w:ind w:firstLine="480"/>
        <w:rPr>
          <w:rFonts w:hint="eastAsia" w:ascii="宋体" w:hAnsi="宋体"/>
          <w:sz w:val="24"/>
        </w:rPr>
      </w:pPr>
      <w:r>
        <w:rPr>
          <w:rFonts w:hint="eastAsia" w:ascii="宋体" w:hAnsi="宋体"/>
          <w:sz w:val="24"/>
        </w:rPr>
        <w:t>⑦道路两侧视野范围内乱倒建筑垃圾、渣土及积存垃圾须在7点之前清除。垃圾由供应商自行清理并安排车辆直运至采购方指定地点，不得随处乱倒和焚烧垃圾。</w:t>
      </w:r>
    </w:p>
    <w:p>
      <w:pPr>
        <w:pStyle w:val="127"/>
        <w:spacing w:line="360" w:lineRule="auto"/>
        <w:ind w:firstLine="480"/>
        <w:rPr>
          <w:rFonts w:hint="eastAsia" w:ascii="宋体" w:hAnsi="宋体"/>
          <w:sz w:val="24"/>
        </w:rPr>
      </w:pPr>
      <w:r>
        <w:rPr>
          <w:rFonts w:hint="eastAsia" w:ascii="宋体" w:hAnsi="宋体"/>
          <w:sz w:val="24"/>
        </w:rPr>
        <w:t>⑧压缩车整洁无破损、满溢，车厢无吊挂杂物现象，密闭运输、无抛洒滴漏、无二次污染现象，进入垃圾处置终端(垃圾焚烧场、垃圾填埋场)，须服从终端的管理。</w:t>
      </w:r>
    </w:p>
    <w:p>
      <w:pPr>
        <w:pStyle w:val="127"/>
        <w:spacing w:line="360" w:lineRule="auto"/>
        <w:ind w:firstLine="419" w:firstLineChars="174"/>
        <w:rPr>
          <w:rFonts w:hint="eastAsia" w:ascii="宋体" w:hAnsi="宋体"/>
          <w:b/>
          <w:sz w:val="24"/>
        </w:rPr>
      </w:pPr>
      <w:r>
        <w:rPr>
          <w:rFonts w:ascii="宋体" w:hAnsi="宋体"/>
          <w:b/>
          <w:sz w:val="24"/>
        </w:rPr>
        <w:t>1.</w:t>
      </w:r>
      <w:r>
        <w:rPr>
          <w:rFonts w:hint="eastAsia" w:ascii="宋体" w:hAnsi="宋体"/>
          <w:b/>
          <w:sz w:val="24"/>
        </w:rPr>
        <w:t>5</w:t>
      </w:r>
      <w:r>
        <w:rPr>
          <w:rFonts w:ascii="宋体" w:hAnsi="宋体"/>
          <w:b/>
          <w:sz w:val="24"/>
        </w:rPr>
        <w:t xml:space="preserve"> </w:t>
      </w:r>
      <w:r>
        <w:rPr>
          <w:rFonts w:hint="eastAsia" w:ascii="宋体" w:hAnsi="宋体"/>
          <w:b/>
          <w:sz w:val="24"/>
        </w:rPr>
        <w:t>果壳箱、垃圾桶清运清洗要求：</w:t>
      </w:r>
    </w:p>
    <w:p>
      <w:pPr>
        <w:spacing w:line="460" w:lineRule="exact"/>
        <w:ind w:firstLine="484" w:firstLineChars="202"/>
        <w:rPr>
          <w:rFonts w:hint="eastAsia" w:ascii="宋体" w:hAnsi="宋体"/>
          <w:sz w:val="24"/>
        </w:rPr>
      </w:pPr>
      <w:r>
        <w:rPr>
          <w:rFonts w:hint="eastAsia" w:ascii="宋体" w:hAnsi="宋体"/>
          <w:sz w:val="24"/>
        </w:rPr>
        <w:t>①主要道路的果壳箱、垃圾桶每天3清运1清洗。次要道路的果壳箱、垃圾桶每天</w:t>
      </w:r>
      <w:r>
        <w:rPr>
          <w:rFonts w:ascii="宋体" w:hAnsi="宋体"/>
          <w:sz w:val="24"/>
        </w:rPr>
        <w:t>2</w:t>
      </w:r>
      <w:r>
        <w:rPr>
          <w:rFonts w:hint="eastAsia" w:ascii="宋体" w:hAnsi="宋体"/>
          <w:sz w:val="24"/>
        </w:rPr>
        <w:t>清运1清洗。</w:t>
      </w:r>
    </w:p>
    <w:p>
      <w:pPr>
        <w:spacing w:line="460" w:lineRule="exact"/>
        <w:ind w:firstLine="484" w:firstLineChars="202"/>
        <w:rPr>
          <w:rFonts w:ascii="宋体"/>
          <w:sz w:val="24"/>
        </w:rPr>
      </w:pPr>
      <w:r>
        <w:rPr>
          <w:rFonts w:hint="eastAsia" w:ascii="宋体" w:hAnsi="宋体"/>
          <w:sz w:val="24"/>
        </w:rPr>
        <w:t>②果壳箱、垃圾桶垃圾清运完成时间（按每日早中晚三次）：</w:t>
      </w:r>
      <w:r>
        <w:rPr>
          <w:rFonts w:ascii="宋体" w:hAnsi="宋体"/>
          <w:sz w:val="24"/>
        </w:rPr>
        <w:t>7:00</w:t>
      </w:r>
      <w:r>
        <w:rPr>
          <w:rFonts w:hint="eastAsia" w:ascii="宋体" w:hAnsi="宋体"/>
          <w:sz w:val="24"/>
        </w:rPr>
        <w:t>前、</w:t>
      </w:r>
      <w:r>
        <w:rPr>
          <w:rFonts w:ascii="宋体" w:hAnsi="宋体"/>
          <w:sz w:val="24"/>
        </w:rPr>
        <w:t>15:00</w:t>
      </w:r>
      <w:r>
        <w:rPr>
          <w:rFonts w:hint="eastAsia" w:ascii="宋体" w:hAnsi="宋体"/>
          <w:sz w:val="24"/>
        </w:rPr>
        <w:t>前、</w:t>
      </w:r>
      <w:r>
        <w:rPr>
          <w:rFonts w:ascii="宋体" w:hAnsi="宋体"/>
          <w:sz w:val="24"/>
        </w:rPr>
        <w:t>21:00</w:t>
      </w:r>
      <w:r>
        <w:rPr>
          <w:rFonts w:hint="eastAsia" w:ascii="宋体" w:hAnsi="宋体"/>
          <w:sz w:val="24"/>
        </w:rPr>
        <w:t>前；清洗完成时间：</w:t>
      </w:r>
      <w:r>
        <w:rPr>
          <w:rFonts w:ascii="宋体" w:hAnsi="宋体"/>
          <w:sz w:val="24"/>
        </w:rPr>
        <w:t>9:00</w:t>
      </w:r>
      <w:r>
        <w:rPr>
          <w:rFonts w:hint="eastAsia" w:ascii="宋体" w:hAnsi="宋体"/>
          <w:sz w:val="24"/>
        </w:rPr>
        <w:t>前，清洗结束应及时收集沿街垃圾。</w:t>
      </w:r>
    </w:p>
    <w:p>
      <w:pPr>
        <w:spacing w:line="460" w:lineRule="exact"/>
        <w:ind w:firstLine="484" w:firstLineChars="202"/>
        <w:rPr>
          <w:rFonts w:hint="eastAsia" w:ascii="宋体" w:hAnsi="宋体"/>
          <w:sz w:val="24"/>
        </w:rPr>
      </w:pPr>
      <w:r>
        <w:rPr>
          <w:rFonts w:hint="eastAsia" w:ascii="宋体" w:hAnsi="宋体"/>
          <w:sz w:val="24"/>
        </w:rPr>
        <w:t xml:space="preserve">③果壳箱、垃圾桶无积存垃圾、无垃圾满溢，并巡回检查，发现满溢及时清理；果壳箱、垃圾桶内外整洁、无歪斜、无破损、周围地面清洁。 </w:t>
      </w:r>
    </w:p>
    <w:p>
      <w:pPr>
        <w:spacing w:line="460" w:lineRule="exact"/>
        <w:ind w:firstLine="484" w:firstLineChars="202"/>
        <w:rPr>
          <w:rFonts w:hint="eastAsia" w:ascii="宋体" w:hAnsi="宋体"/>
          <w:sz w:val="24"/>
        </w:rPr>
      </w:pPr>
      <w:r>
        <w:rPr>
          <w:rFonts w:hint="eastAsia" w:ascii="宋体" w:hAnsi="宋体"/>
          <w:sz w:val="24"/>
        </w:rPr>
        <w:t>④如发现果壳箱、垃圾桶设施破损，须及时上报采购方进行维修，采购方审核通过后由承包方进行维修更换，果壳箱内桶缺失和更换由承包方自行解决。承包方核实果壳箱数量，由环卫中心按每年每只果壳箱1只备用内桶的标准一次性发放。</w:t>
      </w:r>
    </w:p>
    <w:p>
      <w:pPr>
        <w:spacing w:line="360" w:lineRule="auto"/>
        <w:ind w:firstLine="120" w:firstLineChars="50"/>
        <w:rPr>
          <w:rFonts w:hint="eastAsia" w:ascii="宋体" w:hAnsi="宋体"/>
          <w:b/>
          <w:sz w:val="24"/>
        </w:rPr>
      </w:pPr>
      <w:r>
        <w:rPr>
          <w:rFonts w:hint="eastAsia" w:ascii="宋体" w:hAnsi="宋体"/>
          <w:b/>
          <w:sz w:val="24"/>
        </w:rPr>
        <w:t>1.6服务质量标准及要求</w:t>
      </w:r>
    </w:p>
    <w:p>
      <w:pPr>
        <w:spacing w:line="360" w:lineRule="auto"/>
        <w:ind w:firstLine="120" w:firstLineChars="50"/>
        <w:rPr>
          <w:rFonts w:hint="eastAsia" w:ascii="宋体" w:hAnsi="宋体"/>
          <w:sz w:val="24"/>
        </w:rPr>
      </w:pPr>
      <w:r>
        <w:rPr>
          <w:rFonts w:hint="eastAsia" w:ascii="宋体" w:hAnsi="宋体"/>
          <w:sz w:val="24"/>
        </w:rPr>
        <w:t>具体见《绍兴市柯桥区市容环境卫生管理中心智慧环卫考核细则》。</w:t>
      </w:r>
    </w:p>
    <w:p>
      <w:pPr>
        <w:spacing w:line="360" w:lineRule="auto"/>
        <w:ind w:firstLine="120" w:firstLineChars="50"/>
        <w:rPr>
          <w:rFonts w:hint="eastAsia" w:ascii="宋体" w:hAnsi="宋体"/>
          <w:sz w:val="24"/>
        </w:rPr>
      </w:pPr>
    </w:p>
    <w:p>
      <w:pPr>
        <w:spacing w:line="360" w:lineRule="auto"/>
        <w:ind w:firstLine="120" w:firstLineChars="50"/>
        <w:rPr>
          <w:rFonts w:hint="eastAsia" w:ascii="宋体" w:hAnsi="宋体"/>
          <w:sz w:val="24"/>
        </w:rPr>
      </w:pPr>
    </w:p>
    <w:p>
      <w:pPr>
        <w:spacing w:line="360" w:lineRule="auto"/>
        <w:ind w:firstLine="120" w:firstLineChars="50"/>
        <w:rPr>
          <w:rFonts w:hint="eastAsia" w:ascii="宋体" w:hAnsi="宋体"/>
          <w:sz w:val="24"/>
        </w:rPr>
      </w:pPr>
    </w:p>
    <w:p>
      <w:pPr>
        <w:spacing w:line="360" w:lineRule="auto"/>
        <w:ind w:firstLine="120" w:firstLineChars="50"/>
        <w:rPr>
          <w:rFonts w:hint="eastAsia" w:ascii="宋体" w:hAnsi="宋体"/>
          <w:sz w:val="24"/>
        </w:rPr>
      </w:pPr>
    </w:p>
    <w:p>
      <w:pPr>
        <w:spacing w:line="360" w:lineRule="auto"/>
        <w:ind w:firstLine="120" w:firstLineChars="50"/>
        <w:rPr>
          <w:rFonts w:hint="eastAsia" w:ascii="宋体" w:hAnsi="宋体"/>
          <w:sz w:val="24"/>
        </w:rPr>
      </w:pPr>
    </w:p>
    <w:p>
      <w:pPr>
        <w:spacing w:line="360" w:lineRule="auto"/>
        <w:ind w:firstLine="120" w:firstLineChars="50"/>
        <w:rPr>
          <w:rFonts w:hint="eastAsia" w:ascii="宋体" w:hAnsi="宋体"/>
          <w:sz w:val="24"/>
        </w:rPr>
      </w:pPr>
    </w:p>
    <w:p>
      <w:pPr>
        <w:spacing w:line="360" w:lineRule="auto"/>
        <w:ind w:firstLine="120" w:firstLineChars="50"/>
        <w:rPr>
          <w:rFonts w:hint="eastAsia" w:ascii="宋体" w:hAnsi="宋体"/>
          <w:sz w:val="24"/>
        </w:rPr>
      </w:pPr>
    </w:p>
    <w:p>
      <w:pPr>
        <w:spacing w:line="360" w:lineRule="auto"/>
        <w:ind w:firstLine="120" w:firstLineChars="50"/>
        <w:rPr>
          <w:rFonts w:hint="eastAsia" w:ascii="宋体" w:hAnsi="宋体"/>
          <w:sz w:val="24"/>
        </w:rPr>
      </w:pPr>
    </w:p>
    <w:p>
      <w:pPr>
        <w:spacing w:line="360" w:lineRule="auto"/>
        <w:ind w:firstLine="120" w:firstLineChars="50"/>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附表</w:t>
      </w:r>
    </w:p>
    <w:p>
      <w:pPr>
        <w:spacing w:line="360" w:lineRule="auto"/>
        <w:jc w:val="center"/>
        <w:rPr>
          <w:rFonts w:hint="eastAsia" w:ascii="宋体" w:hAnsi="宋体"/>
          <w:sz w:val="28"/>
        </w:rPr>
      </w:pPr>
      <w:r>
        <w:rPr>
          <w:rFonts w:hint="eastAsia" w:ascii="宋体" w:hAnsi="宋体"/>
          <w:sz w:val="28"/>
        </w:rPr>
        <w:t>燃油型多功能扫路机主要参考参数要求</w:t>
      </w:r>
    </w:p>
    <w:tbl>
      <w:tblPr>
        <w:tblStyle w:val="41"/>
        <w:tblW w:w="5000" w:type="pct"/>
        <w:tblInd w:w="0" w:type="dxa"/>
        <w:tblLayout w:type="autofit"/>
        <w:tblCellMar>
          <w:top w:w="0" w:type="dxa"/>
          <w:left w:w="108" w:type="dxa"/>
          <w:bottom w:w="0" w:type="dxa"/>
          <w:right w:w="108" w:type="dxa"/>
        </w:tblCellMar>
      </w:tblPr>
      <w:tblGrid>
        <w:gridCol w:w="3227"/>
        <w:gridCol w:w="6344"/>
      </w:tblGrid>
      <w:tr>
        <w:tblPrEx>
          <w:tblCellMar>
            <w:top w:w="0" w:type="dxa"/>
            <w:left w:w="108" w:type="dxa"/>
            <w:bottom w:w="0" w:type="dxa"/>
            <w:right w:w="108" w:type="dxa"/>
          </w:tblCellMar>
        </w:tblPrEx>
        <w:trPr>
          <w:wBefore w:w="0" w:type="dxa"/>
          <w:wAfter w:w="0" w:type="dxa"/>
          <w:trHeight w:val="624" w:hRule="atLeast"/>
        </w:trPr>
        <w:tc>
          <w:tcPr>
            <w:tcW w:w="16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参考参数</w:t>
            </w:r>
          </w:p>
        </w:tc>
        <w:tc>
          <w:tcPr>
            <w:tcW w:w="3314"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wBefore w:w="0" w:type="dxa"/>
          <w:wAfter w:w="0" w:type="dxa"/>
          <w:trHeight w:val="624" w:hRule="atLeast"/>
        </w:trPr>
        <w:tc>
          <w:tcPr>
            <w:tcW w:w="168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驱动</w:t>
            </w:r>
          </w:p>
        </w:tc>
        <w:tc>
          <w:tcPr>
            <w:tcW w:w="331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柴油发动机-四驱或同等档次及以上</w:t>
            </w:r>
          </w:p>
        </w:tc>
      </w:tr>
      <w:tr>
        <w:tblPrEx>
          <w:tblCellMar>
            <w:top w:w="0" w:type="dxa"/>
            <w:left w:w="108" w:type="dxa"/>
            <w:bottom w:w="0" w:type="dxa"/>
            <w:right w:w="108" w:type="dxa"/>
          </w:tblCellMar>
        </w:tblPrEx>
        <w:trPr>
          <w:wBefore w:w="0" w:type="dxa"/>
          <w:wAfter w:w="0" w:type="dxa"/>
          <w:trHeight w:val="624" w:hRule="atLeast"/>
        </w:trPr>
        <w:tc>
          <w:tcPr>
            <w:tcW w:w="168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垃圾箱有效容积</w:t>
            </w:r>
          </w:p>
        </w:tc>
        <w:tc>
          <w:tcPr>
            <w:tcW w:w="331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≥500L</w:t>
            </w:r>
          </w:p>
        </w:tc>
      </w:tr>
      <w:tr>
        <w:tblPrEx>
          <w:tblCellMar>
            <w:top w:w="0" w:type="dxa"/>
            <w:left w:w="108" w:type="dxa"/>
            <w:bottom w:w="0" w:type="dxa"/>
            <w:right w:w="108" w:type="dxa"/>
          </w:tblCellMar>
        </w:tblPrEx>
        <w:trPr>
          <w:wBefore w:w="0" w:type="dxa"/>
          <w:wAfter w:w="0" w:type="dxa"/>
          <w:trHeight w:val="624" w:hRule="atLeast"/>
        </w:trPr>
        <w:tc>
          <w:tcPr>
            <w:tcW w:w="168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最大清扫宽度</w:t>
            </w:r>
          </w:p>
        </w:tc>
        <w:tc>
          <w:tcPr>
            <w:tcW w:w="331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≥1.95m</w:t>
            </w:r>
          </w:p>
        </w:tc>
      </w:tr>
      <w:tr>
        <w:tblPrEx>
          <w:tblCellMar>
            <w:top w:w="0" w:type="dxa"/>
            <w:left w:w="108" w:type="dxa"/>
            <w:bottom w:w="0" w:type="dxa"/>
            <w:right w:w="108" w:type="dxa"/>
          </w:tblCellMar>
        </w:tblPrEx>
        <w:trPr>
          <w:wBefore w:w="0" w:type="dxa"/>
          <w:wAfter w:w="0" w:type="dxa"/>
          <w:trHeight w:val="624" w:hRule="atLeast"/>
        </w:trPr>
        <w:tc>
          <w:tcPr>
            <w:tcW w:w="168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吸口可拆卸</w:t>
            </w:r>
          </w:p>
        </w:tc>
        <w:tc>
          <w:tcPr>
            <w:tcW w:w="331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可以</w:t>
            </w:r>
          </w:p>
        </w:tc>
      </w:tr>
      <w:tr>
        <w:tblPrEx>
          <w:tblCellMar>
            <w:top w:w="0" w:type="dxa"/>
            <w:left w:w="108" w:type="dxa"/>
            <w:bottom w:w="0" w:type="dxa"/>
            <w:right w:w="108" w:type="dxa"/>
          </w:tblCellMar>
        </w:tblPrEx>
        <w:trPr>
          <w:wBefore w:w="0" w:type="dxa"/>
          <w:wAfter w:w="0" w:type="dxa"/>
          <w:trHeight w:val="624" w:hRule="atLeast"/>
        </w:trPr>
        <w:tc>
          <w:tcPr>
            <w:tcW w:w="168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作业速度</w:t>
            </w:r>
          </w:p>
        </w:tc>
        <w:tc>
          <w:tcPr>
            <w:tcW w:w="331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0-10km/h</w:t>
            </w:r>
          </w:p>
        </w:tc>
      </w:tr>
      <w:tr>
        <w:tblPrEx>
          <w:tblCellMar>
            <w:top w:w="0" w:type="dxa"/>
            <w:left w:w="108" w:type="dxa"/>
            <w:bottom w:w="0" w:type="dxa"/>
            <w:right w:w="108" w:type="dxa"/>
          </w:tblCellMar>
        </w:tblPrEx>
        <w:trPr>
          <w:wBefore w:w="0" w:type="dxa"/>
          <w:wAfter w:w="0" w:type="dxa"/>
          <w:trHeight w:val="624" w:hRule="atLeast"/>
        </w:trPr>
        <w:tc>
          <w:tcPr>
            <w:tcW w:w="168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行驶速度</w:t>
            </w:r>
          </w:p>
        </w:tc>
        <w:tc>
          <w:tcPr>
            <w:tcW w:w="331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0-30km/h</w:t>
            </w:r>
          </w:p>
        </w:tc>
      </w:tr>
      <w:tr>
        <w:tblPrEx>
          <w:tblCellMar>
            <w:top w:w="0" w:type="dxa"/>
            <w:left w:w="108" w:type="dxa"/>
            <w:bottom w:w="0" w:type="dxa"/>
            <w:right w:w="108" w:type="dxa"/>
          </w:tblCellMar>
        </w:tblPrEx>
        <w:trPr>
          <w:wBefore w:w="0" w:type="dxa"/>
          <w:wAfter w:w="0" w:type="dxa"/>
          <w:trHeight w:val="624" w:hRule="atLeast"/>
        </w:trPr>
        <w:tc>
          <w:tcPr>
            <w:tcW w:w="168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最小转弯半径</w:t>
            </w:r>
          </w:p>
        </w:tc>
        <w:tc>
          <w:tcPr>
            <w:tcW w:w="331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≤2850mm</w:t>
            </w:r>
          </w:p>
        </w:tc>
      </w:tr>
      <w:tr>
        <w:tblPrEx>
          <w:tblCellMar>
            <w:top w:w="0" w:type="dxa"/>
            <w:left w:w="108" w:type="dxa"/>
            <w:bottom w:w="0" w:type="dxa"/>
            <w:right w:w="108" w:type="dxa"/>
          </w:tblCellMar>
        </w:tblPrEx>
        <w:trPr>
          <w:wBefore w:w="0" w:type="dxa"/>
          <w:wAfter w:w="0" w:type="dxa"/>
          <w:trHeight w:val="624" w:hRule="atLeast"/>
        </w:trPr>
        <w:tc>
          <w:tcPr>
            <w:tcW w:w="168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最大爬坡度</w:t>
            </w:r>
          </w:p>
        </w:tc>
        <w:tc>
          <w:tcPr>
            <w:tcW w:w="331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≥20%</w:t>
            </w:r>
          </w:p>
        </w:tc>
      </w:tr>
      <w:tr>
        <w:tblPrEx>
          <w:tblCellMar>
            <w:top w:w="0" w:type="dxa"/>
            <w:left w:w="108" w:type="dxa"/>
            <w:bottom w:w="0" w:type="dxa"/>
            <w:right w:w="108" w:type="dxa"/>
          </w:tblCellMar>
        </w:tblPrEx>
        <w:trPr>
          <w:wBefore w:w="0" w:type="dxa"/>
          <w:wAfter w:w="0" w:type="dxa"/>
          <w:trHeight w:val="624" w:hRule="atLeast"/>
        </w:trPr>
        <w:tc>
          <w:tcPr>
            <w:tcW w:w="168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攀爬高度</w:t>
            </w:r>
            <w:r>
              <w:rPr>
                <w:rFonts w:hint="eastAsia" w:ascii="宋体" w:hAnsi="宋体" w:cs="宋体"/>
                <w:kern w:val="0"/>
                <w:sz w:val="28"/>
                <w:szCs w:val="28"/>
              </w:rPr>
              <w:t xml:space="preserve">                </w:t>
            </w:r>
          </w:p>
        </w:tc>
        <w:tc>
          <w:tcPr>
            <w:tcW w:w="331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15-20cm</w:t>
            </w:r>
          </w:p>
        </w:tc>
      </w:tr>
      <w:tr>
        <w:tblPrEx>
          <w:tblCellMar>
            <w:top w:w="0" w:type="dxa"/>
            <w:left w:w="108" w:type="dxa"/>
            <w:bottom w:w="0" w:type="dxa"/>
            <w:right w:w="108" w:type="dxa"/>
          </w:tblCellMar>
        </w:tblPrEx>
        <w:trPr>
          <w:wBefore w:w="0" w:type="dxa"/>
          <w:wAfter w:w="0" w:type="dxa"/>
          <w:trHeight w:val="624" w:hRule="atLeast"/>
        </w:trPr>
        <w:tc>
          <w:tcPr>
            <w:tcW w:w="168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清水箱容积</w:t>
            </w:r>
          </w:p>
        </w:tc>
        <w:tc>
          <w:tcPr>
            <w:tcW w:w="331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≥150L</w:t>
            </w:r>
          </w:p>
        </w:tc>
      </w:tr>
      <w:tr>
        <w:tblPrEx>
          <w:tblCellMar>
            <w:top w:w="0" w:type="dxa"/>
            <w:left w:w="108" w:type="dxa"/>
            <w:bottom w:w="0" w:type="dxa"/>
            <w:right w:w="108" w:type="dxa"/>
          </w:tblCellMar>
        </w:tblPrEx>
        <w:trPr>
          <w:wBefore w:w="0" w:type="dxa"/>
          <w:wAfter w:w="0" w:type="dxa"/>
          <w:trHeight w:val="624" w:hRule="atLeast"/>
        </w:trPr>
        <w:tc>
          <w:tcPr>
            <w:tcW w:w="168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最大清扫能力</w:t>
            </w:r>
          </w:p>
        </w:tc>
        <w:tc>
          <w:tcPr>
            <w:tcW w:w="331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≥19500m</w:t>
            </w:r>
            <w:r>
              <w:rPr>
                <w:rFonts w:hint="eastAsia" w:ascii="宋体" w:hAnsi="宋体" w:cs="宋体"/>
                <w:kern w:val="0"/>
                <w:sz w:val="24"/>
                <w:vertAlign w:val="superscript"/>
              </w:rPr>
              <w:t>2</w:t>
            </w:r>
            <w:r>
              <w:rPr>
                <w:rFonts w:hint="eastAsia" w:ascii="宋体" w:hAnsi="宋体" w:cs="宋体"/>
                <w:kern w:val="0"/>
                <w:sz w:val="24"/>
              </w:rPr>
              <w:t>/h</w:t>
            </w:r>
          </w:p>
        </w:tc>
      </w:tr>
      <w:tr>
        <w:tblPrEx>
          <w:tblCellMar>
            <w:top w:w="0" w:type="dxa"/>
            <w:left w:w="108" w:type="dxa"/>
            <w:bottom w:w="0" w:type="dxa"/>
            <w:right w:w="108" w:type="dxa"/>
          </w:tblCellMar>
        </w:tblPrEx>
        <w:trPr>
          <w:wBefore w:w="0" w:type="dxa"/>
          <w:wAfter w:w="0" w:type="dxa"/>
          <w:trHeight w:val="624" w:hRule="atLeast"/>
        </w:trPr>
        <w:tc>
          <w:tcPr>
            <w:tcW w:w="168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清扫效率</w:t>
            </w:r>
          </w:p>
        </w:tc>
        <w:tc>
          <w:tcPr>
            <w:tcW w:w="331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≥92%</w:t>
            </w:r>
          </w:p>
        </w:tc>
      </w:tr>
      <w:tr>
        <w:tblPrEx>
          <w:tblCellMar>
            <w:top w:w="0" w:type="dxa"/>
            <w:left w:w="108" w:type="dxa"/>
            <w:bottom w:w="0" w:type="dxa"/>
            <w:right w:w="108" w:type="dxa"/>
          </w:tblCellMar>
        </w:tblPrEx>
        <w:trPr>
          <w:wBefore w:w="0" w:type="dxa"/>
          <w:wAfter w:w="0" w:type="dxa"/>
          <w:trHeight w:val="624" w:hRule="atLeast"/>
        </w:trPr>
        <w:tc>
          <w:tcPr>
            <w:tcW w:w="168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燃油种类</w:t>
            </w:r>
          </w:p>
        </w:tc>
        <w:tc>
          <w:tcPr>
            <w:tcW w:w="331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0#轻柴油</w:t>
            </w:r>
          </w:p>
        </w:tc>
      </w:tr>
      <w:tr>
        <w:tblPrEx>
          <w:tblCellMar>
            <w:top w:w="0" w:type="dxa"/>
            <w:left w:w="108" w:type="dxa"/>
            <w:bottom w:w="0" w:type="dxa"/>
            <w:right w:w="108" w:type="dxa"/>
          </w:tblCellMar>
        </w:tblPrEx>
        <w:trPr>
          <w:wBefore w:w="0" w:type="dxa"/>
          <w:wAfter w:w="0" w:type="dxa"/>
          <w:trHeight w:val="624" w:hRule="atLeast"/>
        </w:trPr>
        <w:tc>
          <w:tcPr>
            <w:tcW w:w="168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空调</w:t>
            </w:r>
          </w:p>
        </w:tc>
        <w:tc>
          <w:tcPr>
            <w:tcW w:w="331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有</w:t>
            </w:r>
          </w:p>
        </w:tc>
      </w:tr>
      <w:tr>
        <w:tblPrEx>
          <w:tblCellMar>
            <w:top w:w="0" w:type="dxa"/>
            <w:left w:w="108" w:type="dxa"/>
            <w:bottom w:w="0" w:type="dxa"/>
            <w:right w:w="108" w:type="dxa"/>
          </w:tblCellMar>
        </w:tblPrEx>
        <w:trPr>
          <w:wBefore w:w="0" w:type="dxa"/>
          <w:wAfter w:w="0" w:type="dxa"/>
          <w:trHeight w:val="624" w:hRule="atLeast"/>
        </w:trPr>
        <w:tc>
          <w:tcPr>
            <w:tcW w:w="168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倒车影像</w:t>
            </w:r>
          </w:p>
        </w:tc>
        <w:tc>
          <w:tcPr>
            <w:tcW w:w="331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有</w:t>
            </w:r>
          </w:p>
        </w:tc>
      </w:tr>
      <w:tr>
        <w:tblPrEx>
          <w:tblCellMar>
            <w:top w:w="0" w:type="dxa"/>
            <w:left w:w="108" w:type="dxa"/>
            <w:bottom w:w="0" w:type="dxa"/>
            <w:right w:w="108" w:type="dxa"/>
          </w:tblCellMar>
        </w:tblPrEx>
        <w:trPr>
          <w:wBefore w:w="0" w:type="dxa"/>
          <w:wAfter w:w="0" w:type="dxa"/>
          <w:trHeight w:val="624" w:hRule="atLeast"/>
        </w:trPr>
        <w:tc>
          <w:tcPr>
            <w:tcW w:w="168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基本功能</w:t>
            </w:r>
          </w:p>
        </w:tc>
        <w:tc>
          <w:tcPr>
            <w:tcW w:w="3314" w:type="pct"/>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基本功能有路面清扫、辅助吸污和高压水手动清洗(选配)等。除清扫路面外，还能用辅助吸管手动吸污，清除路面凹坑、路边小沟中的树叶等垃圾；还能用自带的高压清洗系统，手动清洗路面上难以清除的污渍，如：口香糖、油渍等。</w:t>
            </w:r>
          </w:p>
        </w:tc>
      </w:tr>
      <w:tr>
        <w:tblPrEx>
          <w:tblCellMar>
            <w:top w:w="0" w:type="dxa"/>
            <w:left w:w="108" w:type="dxa"/>
            <w:bottom w:w="0" w:type="dxa"/>
            <w:right w:w="108" w:type="dxa"/>
          </w:tblCellMar>
        </w:tblPrEx>
        <w:trPr>
          <w:wBefore w:w="0" w:type="dxa"/>
          <w:wAfter w:w="0" w:type="dxa"/>
          <w:trHeight w:val="624" w:hRule="atLeast"/>
        </w:trPr>
        <w:tc>
          <w:tcPr>
            <w:tcW w:w="168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选配功能</w:t>
            </w:r>
          </w:p>
        </w:tc>
        <w:tc>
          <w:tcPr>
            <w:tcW w:w="3314" w:type="pct"/>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r>
              <w:rPr>
                <w:rFonts w:hint="eastAsia" w:ascii="宋体" w:hAnsi="宋体" w:cs="宋体"/>
                <w:b/>
                <w:kern w:val="0"/>
                <w:sz w:val="28"/>
                <w:szCs w:val="28"/>
              </w:rPr>
              <w:t>必须选配</w:t>
            </w:r>
            <w:r>
              <w:rPr>
                <w:rFonts w:hint="eastAsia" w:ascii="宋体" w:hAnsi="宋体" w:cs="宋体"/>
                <w:kern w:val="0"/>
                <w:sz w:val="24"/>
              </w:rPr>
              <w:t>扫雪滚刷(或推雪铲)和地面刷洗装置等专用作业装置。需要时扫路机可快速转换成除雪机、洗地机，进行除雪或洗地作业。</w:t>
            </w:r>
          </w:p>
        </w:tc>
      </w:tr>
    </w:tbl>
    <w:p>
      <w:pPr>
        <w:spacing w:line="360" w:lineRule="auto"/>
        <w:rPr>
          <w:rFonts w:hint="eastAsia" w:ascii="宋体" w:hAnsi="宋体"/>
          <w:sz w:val="24"/>
        </w:rPr>
      </w:pPr>
    </w:p>
    <w:p>
      <w:pPr>
        <w:spacing w:line="360" w:lineRule="auto"/>
        <w:rPr>
          <w:rFonts w:hint="eastAsia" w:ascii="宋体" w:hAnsi="宋体"/>
          <w:sz w:val="24"/>
        </w:rPr>
      </w:pPr>
    </w:p>
    <w:p>
      <w:pPr>
        <w:spacing w:line="360" w:lineRule="auto"/>
        <w:ind w:firstLine="278" w:firstLineChars="99"/>
        <w:jc w:val="center"/>
        <w:rPr>
          <w:rFonts w:hint="eastAsia"/>
          <w:b/>
          <w:bCs/>
          <w:sz w:val="28"/>
          <w:szCs w:val="28"/>
        </w:rPr>
      </w:pPr>
      <w:bookmarkStart w:id="48" w:name="_Toc433118766"/>
      <w:r>
        <w:rPr>
          <w:rFonts w:hint="eastAsia"/>
          <w:b/>
          <w:bCs/>
          <w:sz w:val="28"/>
          <w:szCs w:val="28"/>
        </w:rPr>
        <w:t>附件十一：</w:t>
      </w:r>
      <w:bookmarkEnd w:id="48"/>
      <w:r>
        <w:rPr>
          <w:rFonts w:hint="eastAsia"/>
          <w:b/>
          <w:bCs/>
          <w:sz w:val="28"/>
          <w:szCs w:val="28"/>
        </w:rPr>
        <w:t>绍兴市柯桥区市容环境卫生管理中心智慧环卫考核办法（试行）</w:t>
      </w:r>
    </w:p>
    <w:p>
      <w:pPr>
        <w:spacing w:line="500" w:lineRule="exact"/>
        <w:ind w:firstLine="480" w:firstLineChars="200"/>
        <w:rPr>
          <w:rFonts w:hint="eastAsia" w:ascii="宋体" w:hAnsi="宋体" w:cs="仿宋"/>
          <w:sz w:val="24"/>
        </w:rPr>
      </w:pPr>
      <w:r>
        <w:rPr>
          <w:rFonts w:hint="eastAsia" w:ascii="宋体" w:hAnsi="宋体" w:cs="仿宋"/>
          <w:sz w:val="24"/>
        </w:rPr>
        <w:t>为严密规范组织检查考核工作，进一步落实长效管理，确保环卫市场化运作高效进行，提高环卫作业质量，切实提升柯桥区城市品位，特制订本办法。</w:t>
      </w:r>
    </w:p>
    <w:p>
      <w:pPr>
        <w:spacing w:line="500" w:lineRule="exact"/>
        <w:ind w:firstLine="482" w:firstLineChars="200"/>
        <w:rPr>
          <w:rFonts w:hint="eastAsia" w:ascii="宋体" w:hAnsi="宋体" w:cs="仿宋"/>
          <w:b/>
          <w:sz w:val="24"/>
        </w:rPr>
      </w:pPr>
      <w:r>
        <w:rPr>
          <w:rFonts w:hint="eastAsia" w:ascii="宋体" w:hAnsi="宋体" w:cs="仿宋"/>
          <w:b/>
          <w:sz w:val="24"/>
        </w:rPr>
        <w:t>一、指导思想</w:t>
      </w:r>
    </w:p>
    <w:p>
      <w:pPr>
        <w:spacing w:line="500" w:lineRule="exact"/>
        <w:ind w:firstLine="480" w:firstLineChars="200"/>
        <w:rPr>
          <w:rFonts w:hint="eastAsia" w:ascii="宋体" w:hAnsi="宋体" w:cs="仿宋"/>
          <w:sz w:val="24"/>
        </w:rPr>
      </w:pPr>
      <w:r>
        <w:rPr>
          <w:rFonts w:hint="eastAsia" w:ascii="宋体" w:hAnsi="宋体" w:cs="仿宋"/>
          <w:sz w:val="24"/>
        </w:rPr>
        <w:t>以科学发展观和建设文明和谐社会为指导，以争创文明城市为目标，推动长效管理机制的建立和落实，努力创建整洁、有序、优美的城市环境，服务柯桥区城市建设。</w:t>
      </w:r>
    </w:p>
    <w:p>
      <w:pPr>
        <w:spacing w:line="500" w:lineRule="exact"/>
        <w:ind w:firstLine="482" w:firstLineChars="200"/>
        <w:rPr>
          <w:rFonts w:hint="eastAsia" w:ascii="宋体" w:hAnsi="宋体" w:cs="仿宋"/>
          <w:b/>
          <w:sz w:val="24"/>
        </w:rPr>
      </w:pPr>
      <w:r>
        <w:rPr>
          <w:rFonts w:hint="eastAsia" w:ascii="宋体" w:hAnsi="宋体" w:cs="仿宋"/>
          <w:b/>
          <w:sz w:val="24"/>
        </w:rPr>
        <w:t>二、考核机构</w:t>
      </w:r>
    </w:p>
    <w:p>
      <w:pPr>
        <w:spacing w:line="500" w:lineRule="exact"/>
        <w:ind w:firstLine="480" w:firstLineChars="200"/>
        <w:rPr>
          <w:rFonts w:hint="eastAsia" w:ascii="宋体" w:hAnsi="宋体" w:cs="仿宋"/>
          <w:sz w:val="24"/>
        </w:rPr>
      </w:pPr>
      <w:r>
        <w:rPr>
          <w:rFonts w:hint="eastAsia" w:ascii="宋体" w:hAnsi="宋体" w:cs="仿宋"/>
          <w:sz w:val="24"/>
        </w:rPr>
        <w:t>柯桥区城管办、环卫中心相关领导组成检查考核领导小组，负责对柯桥区全区环境卫生进行考核、奖惩，日常督查考核工作由环卫中心督查科实施。</w:t>
      </w:r>
    </w:p>
    <w:p>
      <w:pPr>
        <w:spacing w:line="500" w:lineRule="exact"/>
        <w:ind w:firstLine="482" w:firstLineChars="200"/>
        <w:rPr>
          <w:rFonts w:hint="eastAsia" w:ascii="宋体" w:hAnsi="宋体" w:cs="仿宋"/>
          <w:b/>
          <w:sz w:val="24"/>
        </w:rPr>
      </w:pPr>
      <w:r>
        <w:rPr>
          <w:rFonts w:hint="eastAsia" w:ascii="宋体" w:hAnsi="宋体" w:cs="仿宋"/>
          <w:b/>
          <w:sz w:val="24"/>
        </w:rPr>
        <w:t>三、考核对象</w:t>
      </w:r>
    </w:p>
    <w:p>
      <w:pPr>
        <w:spacing w:line="500" w:lineRule="exact"/>
        <w:ind w:firstLine="480" w:firstLineChars="200"/>
        <w:rPr>
          <w:rFonts w:hint="eastAsia" w:ascii="宋体" w:hAnsi="宋体" w:cs="仿宋"/>
          <w:sz w:val="24"/>
        </w:rPr>
      </w:pPr>
      <w:r>
        <w:rPr>
          <w:rFonts w:hint="eastAsia" w:ascii="宋体" w:hAnsi="宋体" w:cs="仿宋"/>
          <w:sz w:val="24"/>
        </w:rPr>
        <w:t>柯桥区环卫中心各市场化保洁公司</w:t>
      </w:r>
    </w:p>
    <w:p>
      <w:pPr>
        <w:spacing w:line="500" w:lineRule="exact"/>
        <w:ind w:firstLine="482" w:firstLineChars="200"/>
        <w:rPr>
          <w:rFonts w:hint="eastAsia" w:ascii="宋体" w:hAnsi="宋体" w:cs="仿宋"/>
          <w:b/>
          <w:sz w:val="24"/>
        </w:rPr>
      </w:pPr>
      <w:r>
        <w:rPr>
          <w:rFonts w:hint="eastAsia" w:ascii="宋体" w:hAnsi="宋体" w:cs="仿宋"/>
          <w:b/>
          <w:sz w:val="24"/>
        </w:rPr>
        <w:t>四、考核内容</w:t>
      </w:r>
    </w:p>
    <w:p>
      <w:pPr>
        <w:spacing w:line="500" w:lineRule="exact"/>
        <w:ind w:firstLine="480" w:firstLineChars="200"/>
        <w:rPr>
          <w:rFonts w:hint="eastAsia" w:ascii="宋体" w:hAnsi="宋体" w:cs="仿宋"/>
          <w:sz w:val="24"/>
        </w:rPr>
      </w:pPr>
      <w:r>
        <w:rPr>
          <w:rFonts w:hint="eastAsia" w:ascii="宋体" w:hAnsi="宋体" w:cs="仿宋"/>
          <w:sz w:val="24"/>
        </w:rPr>
        <w:t>1.承包公司责任区域内的道路清扫保洁情况；</w:t>
      </w:r>
    </w:p>
    <w:p>
      <w:pPr>
        <w:spacing w:line="500" w:lineRule="exact"/>
        <w:ind w:firstLine="480" w:firstLineChars="200"/>
        <w:rPr>
          <w:rFonts w:hint="eastAsia" w:ascii="宋体" w:hAnsi="宋体" w:cs="仿宋"/>
          <w:sz w:val="24"/>
        </w:rPr>
      </w:pPr>
      <w:r>
        <w:rPr>
          <w:rFonts w:hint="eastAsia" w:ascii="宋体" w:hAnsi="宋体" w:cs="仿宋"/>
          <w:sz w:val="24"/>
        </w:rPr>
        <w:t>2.承包公司责任区域内的城市家具保洁情况；</w:t>
      </w:r>
    </w:p>
    <w:p>
      <w:pPr>
        <w:spacing w:line="500" w:lineRule="exact"/>
        <w:ind w:firstLine="480" w:firstLineChars="200"/>
        <w:rPr>
          <w:rFonts w:hint="eastAsia" w:ascii="宋体" w:hAnsi="宋体" w:cs="仿宋"/>
          <w:sz w:val="24"/>
        </w:rPr>
      </w:pPr>
      <w:r>
        <w:rPr>
          <w:rFonts w:hint="eastAsia" w:ascii="宋体" w:hAnsi="宋体" w:cs="仿宋"/>
          <w:sz w:val="24"/>
        </w:rPr>
        <w:t>3.承包公司的公司管理情况；</w:t>
      </w:r>
    </w:p>
    <w:p>
      <w:pPr>
        <w:spacing w:line="500" w:lineRule="exact"/>
        <w:ind w:firstLine="480" w:firstLineChars="200"/>
        <w:rPr>
          <w:rFonts w:hint="eastAsia" w:ascii="宋体" w:hAnsi="宋体" w:cs="仿宋"/>
          <w:sz w:val="24"/>
        </w:rPr>
      </w:pPr>
      <w:r>
        <w:rPr>
          <w:rFonts w:hint="eastAsia" w:ascii="宋体" w:hAnsi="宋体" w:cs="仿宋"/>
          <w:sz w:val="24"/>
        </w:rPr>
        <w:t>4.承包公司环卫车辆管理情况；</w:t>
      </w:r>
    </w:p>
    <w:p>
      <w:pPr>
        <w:spacing w:line="500" w:lineRule="exact"/>
        <w:ind w:firstLine="480" w:firstLineChars="200"/>
        <w:rPr>
          <w:rFonts w:hint="eastAsia" w:ascii="宋体" w:hAnsi="宋体" w:cs="仿宋"/>
          <w:sz w:val="24"/>
        </w:rPr>
      </w:pPr>
      <w:r>
        <w:rPr>
          <w:rFonts w:hint="eastAsia" w:ascii="宋体" w:hAnsi="宋体" w:cs="仿宋"/>
          <w:sz w:val="24"/>
        </w:rPr>
        <w:t>5.承包公司责任区域内河道保洁情况；</w:t>
      </w:r>
    </w:p>
    <w:p>
      <w:pPr>
        <w:spacing w:line="500" w:lineRule="exact"/>
        <w:ind w:firstLine="480" w:firstLineChars="200"/>
        <w:rPr>
          <w:rFonts w:hint="eastAsia" w:ascii="宋体" w:hAnsi="宋体" w:cs="仿宋"/>
          <w:sz w:val="24"/>
        </w:rPr>
      </w:pPr>
      <w:r>
        <w:rPr>
          <w:rFonts w:hint="eastAsia" w:ascii="宋体" w:hAnsi="宋体" w:cs="仿宋"/>
          <w:sz w:val="24"/>
        </w:rPr>
        <w:t>6.承包公司责任区域内公厕保洁情况；</w:t>
      </w:r>
    </w:p>
    <w:p>
      <w:pPr>
        <w:spacing w:line="500" w:lineRule="exact"/>
        <w:ind w:firstLine="480" w:firstLineChars="200"/>
        <w:rPr>
          <w:rFonts w:hint="eastAsia" w:ascii="宋体" w:hAnsi="宋体" w:cs="仿宋"/>
          <w:sz w:val="24"/>
        </w:rPr>
      </w:pPr>
      <w:r>
        <w:rPr>
          <w:rFonts w:hint="eastAsia" w:ascii="宋体" w:hAnsi="宋体" w:cs="仿宋"/>
          <w:sz w:val="24"/>
        </w:rPr>
        <w:t>7.各类督办情况。</w:t>
      </w:r>
    </w:p>
    <w:p>
      <w:pPr>
        <w:spacing w:line="500" w:lineRule="exact"/>
        <w:ind w:firstLine="482" w:firstLineChars="200"/>
        <w:rPr>
          <w:rFonts w:hint="eastAsia" w:ascii="宋体" w:hAnsi="宋体" w:cs="仿宋"/>
          <w:b/>
          <w:sz w:val="24"/>
        </w:rPr>
      </w:pPr>
      <w:r>
        <w:rPr>
          <w:rFonts w:hint="eastAsia" w:ascii="宋体" w:hAnsi="宋体" w:cs="仿宋"/>
          <w:b/>
          <w:sz w:val="24"/>
        </w:rPr>
        <w:t>五、考核方式</w:t>
      </w:r>
    </w:p>
    <w:p>
      <w:pPr>
        <w:spacing w:line="500" w:lineRule="exact"/>
        <w:ind w:firstLine="480" w:firstLineChars="200"/>
        <w:rPr>
          <w:rFonts w:hint="eastAsia" w:ascii="宋体" w:hAnsi="宋体" w:cs="仿宋"/>
          <w:sz w:val="24"/>
        </w:rPr>
      </w:pPr>
      <w:r>
        <w:rPr>
          <w:rFonts w:hint="eastAsia" w:ascii="宋体" w:hAnsi="宋体" w:cs="仿宋"/>
          <w:sz w:val="24"/>
        </w:rPr>
        <w:t>1.日常督查</w:t>
      </w:r>
    </w:p>
    <w:p>
      <w:pPr>
        <w:spacing w:line="500" w:lineRule="exact"/>
        <w:ind w:firstLine="480" w:firstLineChars="200"/>
        <w:rPr>
          <w:rFonts w:hint="eastAsia" w:ascii="宋体" w:hAnsi="宋体" w:cs="仿宋"/>
          <w:sz w:val="24"/>
        </w:rPr>
      </w:pPr>
      <w:r>
        <w:rPr>
          <w:rFonts w:hint="eastAsia" w:ascii="宋体" w:hAnsi="宋体" w:cs="仿宋"/>
          <w:sz w:val="24"/>
        </w:rPr>
        <w:t>日常督查由环卫中心督查科组织实施，督查科每天组织采集人员对各承包公司作业范围进行全时段检查，检查中发现的问题，以案卷的形式上报智慧环卫中心。智慧环卫中心操作员接收案卷后，将案卷派发给对应承包公司。承包公司接收案卷后须及时处置，智慧环卫系统将根据案卷处置情况对各承包公司进行考核。</w:t>
      </w:r>
    </w:p>
    <w:p>
      <w:pPr>
        <w:spacing w:line="500" w:lineRule="exact"/>
        <w:ind w:firstLine="480" w:firstLineChars="200"/>
        <w:rPr>
          <w:rFonts w:hint="eastAsia" w:ascii="宋体" w:hAnsi="宋体" w:cs="仿宋"/>
          <w:sz w:val="24"/>
        </w:rPr>
      </w:pPr>
      <w:r>
        <w:rPr>
          <w:rFonts w:hint="eastAsia" w:ascii="宋体" w:hAnsi="宋体" w:cs="仿宋"/>
          <w:sz w:val="24"/>
        </w:rPr>
        <w:t>日常督查案卷分两类：</w:t>
      </w:r>
    </w:p>
    <w:p>
      <w:pPr>
        <w:spacing w:line="500" w:lineRule="exact"/>
        <w:ind w:firstLine="480" w:firstLineChars="200"/>
        <w:rPr>
          <w:rFonts w:hint="eastAsia" w:ascii="宋体" w:hAnsi="宋体" w:cs="仿宋"/>
          <w:sz w:val="24"/>
        </w:rPr>
      </w:pPr>
      <w:r>
        <w:rPr>
          <w:rFonts w:hint="eastAsia" w:ascii="宋体" w:hAnsi="宋体" w:cs="仿宋"/>
          <w:sz w:val="24"/>
        </w:rPr>
        <w:t>①动态类案卷。采集员在巡查时发现动态化、不可预控的环卫问题时，例如：零星垃圾、零星小广告等，通过照片采集、文字叙述等方式将问题以动态案卷的形式上传到智慧环卫系统，再由智慧环卫操作员将案卷派发到对应承包公司。承包公司接收案卷后须及时处置，若案卷反映问题非承包公司责任范围，则退回案卷；若案卷反映问题属承包公司责任范围，承包公司须在处置时限内整改问题并将结果反馈至智慧环卫系统进行结案。若承包公司在处置时限内整改问题，不扣分；若超时整改，则根据《绍兴市柯桥区市容环境卫生管理中心智慧环卫考核细则》规定，累计扣分，直至其整改问题后停止扣分。责任承包公司在处置案卷时若出现弄虚作假的情况，一经查实，加倍扣分。</w:t>
      </w:r>
    </w:p>
    <w:p>
      <w:pPr>
        <w:spacing w:line="500" w:lineRule="exact"/>
        <w:ind w:firstLine="480" w:firstLineChars="200"/>
        <w:rPr>
          <w:rFonts w:hint="eastAsia" w:ascii="宋体" w:hAnsi="宋体" w:cs="仿宋"/>
          <w:sz w:val="24"/>
        </w:rPr>
      </w:pPr>
      <w:r>
        <w:rPr>
          <w:rFonts w:hint="eastAsia" w:ascii="宋体" w:hAnsi="宋体" w:cs="仿宋"/>
          <w:sz w:val="24"/>
        </w:rPr>
        <w:t>②静态类案卷。采集员在巡查时发现静态化、可预控的环卫问题，例如：未在规定时间内完成普扫、果壳箱表面未擦洗、积灰等，通过照片采集、文字叙述等方式将问题以静态案卷的形式上传到智慧环卫系统，再由智慧环卫操作员将案卷派发到对应承包公司。承包公司接收案卷后须及时处置，若案卷反映问题非承包公司责任范围，则退回案卷；若案卷反映问题属承包公司责任范围，承包公司须在规定时间内整改问题并将结果反馈至智慧环卫系统。</w:t>
      </w:r>
    </w:p>
    <w:p>
      <w:pPr>
        <w:spacing w:line="500" w:lineRule="exact"/>
        <w:ind w:firstLine="480" w:firstLineChars="200"/>
        <w:rPr>
          <w:rFonts w:hint="eastAsia" w:ascii="宋体" w:hAnsi="宋体" w:cs="仿宋"/>
          <w:sz w:val="24"/>
        </w:rPr>
      </w:pPr>
      <w:r>
        <w:rPr>
          <w:rFonts w:hint="eastAsia" w:ascii="宋体" w:hAnsi="宋体" w:cs="仿宋"/>
          <w:sz w:val="24"/>
        </w:rPr>
        <w:t>静态类案卷一经立案就根据《绍兴市柯桥区市容环境卫生管理中心智慧环卫考核细则》规定扣分，且责任承包公司须在规定时间内整改案卷中的问题，若承包公司未在规定时间内整改问题，则根据《绍兴市柯桥区市容环境卫生管理中心智慧环卫考核细则》规定累计扣分，直至其整改问题后停止扣分。责任承包公司在处置案卷时若出现弄虚作假的情况，一经查实，加倍扣分。</w:t>
      </w:r>
    </w:p>
    <w:p>
      <w:pPr>
        <w:spacing w:line="500" w:lineRule="exact"/>
        <w:ind w:firstLine="480" w:firstLineChars="200"/>
        <w:rPr>
          <w:rFonts w:hint="eastAsia" w:ascii="宋体" w:hAnsi="宋体" w:cs="仿宋"/>
          <w:sz w:val="24"/>
        </w:rPr>
      </w:pPr>
      <w:r>
        <w:rPr>
          <w:rFonts w:hint="eastAsia" w:ascii="宋体" w:hAnsi="宋体" w:cs="仿宋"/>
          <w:sz w:val="24"/>
        </w:rPr>
        <w:t>2.公众监督</w:t>
      </w:r>
    </w:p>
    <w:p>
      <w:pPr>
        <w:spacing w:line="500" w:lineRule="exact"/>
        <w:ind w:firstLine="480" w:firstLineChars="200"/>
        <w:rPr>
          <w:rFonts w:hint="eastAsia" w:ascii="宋体" w:hAnsi="宋体" w:cs="仿宋"/>
          <w:sz w:val="24"/>
        </w:rPr>
      </w:pPr>
      <w:r>
        <w:rPr>
          <w:rFonts w:hint="eastAsia" w:ascii="宋体" w:hAnsi="宋体" w:cs="仿宋"/>
          <w:sz w:val="24"/>
        </w:rPr>
        <w:t>各承包公司需接受群众、媒体、上级领导部门的监督，公众通过各类途径将承包公司存在的问题反映至环卫中心，环卫中心对其核实确认承包公司有责后经智慧环卫系统下发抄告案卷，责令其整改。各类抄告案卷一经立案就根据《绍兴市柯桥区市容环境卫生管理中心智慧环卫考核细则》规定扣分，且责任承包公司须在规定时间内整改问题，若责任承包公司未能在整改期内及时整改或弄虚作假，加倍扣分。</w:t>
      </w:r>
    </w:p>
    <w:p>
      <w:pPr>
        <w:spacing w:line="500" w:lineRule="exact"/>
        <w:ind w:firstLine="480" w:firstLineChars="200"/>
        <w:rPr>
          <w:rFonts w:hint="eastAsia" w:ascii="宋体" w:hAnsi="宋体" w:cs="仿宋"/>
          <w:sz w:val="24"/>
        </w:rPr>
      </w:pPr>
      <w:r>
        <w:rPr>
          <w:rFonts w:hint="eastAsia" w:ascii="宋体" w:hAnsi="宋体" w:cs="仿宋"/>
          <w:sz w:val="24"/>
        </w:rPr>
        <w:t>3.考核计分</w:t>
      </w:r>
    </w:p>
    <w:p>
      <w:pPr>
        <w:spacing w:line="500" w:lineRule="exact"/>
        <w:ind w:firstLine="480" w:firstLineChars="200"/>
        <w:rPr>
          <w:rFonts w:hint="eastAsia" w:ascii="宋体" w:hAnsi="宋体" w:cs="仿宋"/>
          <w:sz w:val="24"/>
        </w:rPr>
      </w:pPr>
      <w:r>
        <w:rPr>
          <w:rFonts w:hint="eastAsia" w:ascii="宋体" w:hAnsi="宋体" w:cs="仿宋"/>
          <w:sz w:val="24"/>
        </w:rPr>
        <w:t>根据《绍兴市柯桥区市容环境卫生管理中心智慧环卫考核细则》以及各类案卷处置情况实施考核，每月度由系统自动统计生成报表。</w:t>
      </w:r>
    </w:p>
    <w:p>
      <w:pPr>
        <w:spacing w:line="500" w:lineRule="exact"/>
        <w:ind w:firstLine="480" w:firstLineChars="200"/>
        <w:rPr>
          <w:rFonts w:hint="eastAsia" w:ascii="宋体" w:hAnsi="宋体" w:cs="仿宋"/>
          <w:sz w:val="24"/>
        </w:rPr>
      </w:pPr>
      <w:r>
        <w:rPr>
          <w:rFonts w:hint="eastAsia" w:ascii="宋体" w:hAnsi="宋体" w:cs="仿宋"/>
          <w:sz w:val="24"/>
        </w:rPr>
        <w:t>4、根据环卫监督管理手段的变化，环卫中心将引入智能化管理体系，采用多种类、多方式的考核监管模式，提升环卫监管水平，承包供应商需接受监管模式的调整。</w:t>
      </w:r>
    </w:p>
    <w:p>
      <w:pPr>
        <w:spacing w:line="500" w:lineRule="exact"/>
        <w:ind w:firstLine="482" w:firstLineChars="200"/>
        <w:rPr>
          <w:rFonts w:hint="eastAsia" w:ascii="宋体" w:hAnsi="宋体" w:cs="仿宋"/>
          <w:b/>
          <w:sz w:val="24"/>
        </w:rPr>
      </w:pPr>
      <w:r>
        <w:rPr>
          <w:rFonts w:hint="eastAsia" w:ascii="宋体" w:hAnsi="宋体" w:cs="仿宋"/>
          <w:b/>
          <w:sz w:val="24"/>
        </w:rPr>
        <w:t>六、奖惩措施</w:t>
      </w:r>
    </w:p>
    <w:p>
      <w:pPr>
        <w:spacing w:line="500" w:lineRule="exact"/>
        <w:ind w:firstLine="480" w:firstLineChars="200"/>
        <w:rPr>
          <w:rFonts w:hint="eastAsia" w:ascii="宋体" w:hAnsi="宋体" w:cs="仿宋"/>
          <w:sz w:val="24"/>
        </w:rPr>
      </w:pPr>
      <w:r>
        <w:rPr>
          <w:rFonts w:hint="eastAsia" w:ascii="宋体" w:hAnsi="宋体" w:cs="仿宋"/>
          <w:sz w:val="24"/>
        </w:rPr>
        <w:t>1.处罚措施</w:t>
      </w:r>
    </w:p>
    <w:p>
      <w:pPr>
        <w:spacing w:line="500" w:lineRule="exact"/>
        <w:ind w:firstLine="480" w:firstLineChars="200"/>
        <w:rPr>
          <w:rFonts w:hint="eastAsia" w:ascii="宋体" w:hAnsi="宋体" w:cs="仿宋"/>
          <w:sz w:val="24"/>
        </w:rPr>
      </w:pPr>
      <w:r>
        <w:rPr>
          <w:rFonts w:hint="eastAsia" w:ascii="宋体" w:hAnsi="宋体" w:cs="仿宋"/>
          <w:sz w:val="24"/>
        </w:rPr>
        <w:t>每月度各承包公司的考核扣分作为当月其承包款扣款依据，考核分每扣1分，核减当月承包款500元。</w:t>
      </w:r>
    </w:p>
    <w:p>
      <w:pPr>
        <w:spacing w:line="500" w:lineRule="exact"/>
        <w:ind w:firstLine="480" w:firstLineChars="200"/>
        <w:rPr>
          <w:rFonts w:hint="eastAsia" w:ascii="宋体" w:hAnsi="宋体" w:cs="仿宋"/>
          <w:sz w:val="24"/>
        </w:rPr>
      </w:pPr>
      <w:r>
        <w:rPr>
          <w:rFonts w:hint="eastAsia" w:ascii="宋体" w:hAnsi="宋体" w:cs="仿宋"/>
          <w:sz w:val="24"/>
        </w:rPr>
        <w:t>2.奖励措施</w:t>
      </w:r>
    </w:p>
    <w:p>
      <w:pPr>
        <w:spacing w:line="500" w:lineRule="exact"/>
        <w:ind w:firstLine="480" w:firstLineChars="200"/>
        <w:rPr>
          <w:rFonts w:hint="eastAsia" w:ascii="宋体" w:hAnsi="宋体" w:cs="仿宋"/>
          <w:sz w:val="24"/>
        </w:rPr>
      </w:pPr>
      <w:r>
        <w:rPr>
          <w:rFonts w:hint="eastAsia" w:ascii="宋体" w:hAnsi="宋体" w:cs="仿宋"/>
          <w:sz w:val="24"/>
        </w:rPr>
        <w:t>统计各承包公司的季度扣款，按照季度扣款÷季度承包款=季度扣款比例值的计算方式，将季度扣款比例值由低到高排列，比例值最小的承包公司为该季度第一名，其次为第二名，以此类推。</w:t>
      </w:r>
    </w:p>
    <w:p>
      <w:pPr>
        <w:spacing w:line="500" w:lineRule="exact"/>
        <w:ind w:firstLine="480" w:firstLineChars="200"/>
        <w:rPr>
          <w:rFonts w:hint="eastAsia" w:ascii="宋体" w:hAnsi="宋体" w:cs="仿宋"/>
          <w:sz w:val="24"/>
        </w:rPr>
      </w:pPr>
      <w:r>
        <w:rPr>
          <w:rFonts w:hint="eastAsia" w:ascii="宋体" w:hAnsi="宋体" w:cs="仿宋"/>
          <w:sz w:val="24"/>
        </w:rPr>
        <w:t>每季度环卫中心可根据该季度内各承包公司的排名情况，视情况给予资金奖励。季度第一名的奖励额度为3万元人民币，第二名的奖励额度为2万元人民币。若存在并列排名情况，同一排名的承包公司共享该排名的奖励额度，总额不变。</w:t>
      </w:r>
    </w:p>
    <w:p>
      <w:pPr>
        <w:spacing w:line="500" w:lineRule="exact"/>
        <w:ind w:firstLine="482" w:firstLineChars="200"/>
        <w:rPr>
          <w:rFonts w:hint="eastAsia" w:ascii="宋体" w:hAnsi="宋体" w:cs="仿宋"/>
          <w:b/>
          <w:sz w:val="24"/>
        </w:rPr>
      </w:pPr>
      <w:r>
        <w:rPr>
          <w:rFonts w:hint="eastAsia" w:ascii="宋体" w:hAnsi="宋体" w:cs="仿宋"/>
          <w:b/>
          <w:sz w:val="24"/>
        </w:rPr>
        <w:t>七、本考核办法由绍兴市柯桥区市容环境卫生管理中心负责解释。</w:t>
      </w:r>
    </w:p>
    <w:p>
      <w:pPr>
        <w:spacing w:line="500" w:lineRule="exact"/>
        <w:ind w:firstLine="480" w:firstLineChars="200"/>
        <w:rPr>
          <w:rFonts w:hint="eastAsia" w:ascii="宋体" w:hAnsi="宋体" w:cs="仿宋"/>
          <w:b/>
          <w:sz w:val="24"/>
        </w:rPr>
      </w:pPr>
      <w:r>
        <w:rPr>
          <w:rFonts w:hint="eastAsia" w:ascii="宋体" w:hAnsi="宋体" w:cs="仿宋"/>
          <w:sz w:val="24"/>
        </w:rPr>
        <w:t>附件：《绍兴市柯桥区市容环境卫生管理中心智慧环卫考核细则》</w:t>
      </w:r>
    </w:p>
    <w:p>
      <w:pPr>
        <w:spacing w:line="360" w:lineRule="auto"/>
        <w:ind w:firstLine="480" w:firstLineChars="200"/>
        <w:rPr>
          <w:rFonts w:hint="eastAsia" w:ascii="宋体" w:hAnsi="宋体" w:cs="仿宋"/>
          <w:sz w:val="24"/>
        </w:rPr>
      </w:pPr>
    </w:p>
    <w:p>
      <w:pPr>
        <w:spacing w:line="360" w:lineRule="auto"/>
        <w:ind w:firstLine="480" w:firstLineChars="200"/>
        <w:rPr>
          <w:rFonts w:hint="eastAsia" w:ascii="宋体" w:hAnsi="宋体" w:cs="仿宋"/>
          <w:sz w:val="24"/>
        </w:rPr>
      </w:pPr>
    </w:p>
    <w:p>
      <w:pPr>
        <w:spacing w:line="360" w:lineRule="auto"/>
        <w:ind w:firstLine="480" w:firstLineChars="200"/>
        <w:rPr>
          <w:rFonts w:hint="eastAsia" w:ascii="宋体" w:hAnsi="宋体" w:cs="仿宋"/>
          <w:sz w:val="24"/>
        </w:rPr>
      </w:pPr>
    </w:p>
    <w:p>
      <w:pPr>
        <w:spacing w:line="360" w:lineRule="auto"/>
        <w:ind w:firstLine="480" w:firstLineChars="200"/>
        <w:rPr>
          <w:rFonts w:hint="eastAsia" w:ascii="宋体" w:hAnsi="宋体" w:cs="仿宋"/>
          <w:sz w:val="24"/>
        </w:rPr>
      </w:pPr>
    </w:p>
    <w:p>
      <w:pPr>
        <w:spacing w:line="360" w:lineRule="auto"/>
        <w:rPr>
          <w:rFonts w:hint="eastAsia" w:ascii="宋体" w:hAnsi="宋体" w:cs="仿宋"/>
          <w:sz w:val="24"/>
        </w:rPr>
      </w:pPr>
    </w:p>
    <w:p>
      <w:pPr>
        <w:spacing w:line="360" w:lineRule="auto"/>
        <w:rPr>
          <w:bCs/>
          <w:sz w:val="24"/>
        </w:rPr>
        <w:sectPr>
          <w:pgSz w:w="11907" w:h="16840"/>
          <w:pgMar w:top="1134" w:right="1134" w:bottom="1134" w:left="1418" w:header="567" w:footer="567" w:gutter="0"/>
          <w:cols w:space="720" w:num="1"/>
          <w:docGrid w:linePitch="286" w:charSpace="0"/>
        </w:sectPr>
      </w:pPr>
    </w:p>
    <w:tbl>
      <w:tblPr>
        <w:tblStyle w:val="41"/>
        <w:tblW w:w="14460" w:type="dxa"/>
        <w:jc w:val="center"/>
        <w:tblLayout w:type="fixed"/>
        <w:tblCellMar>
          <w:top w:w="15" w:type="dxa"/>
          <w:left w:w="15" w:type="dxa"/>
          <w:bottom w:w="0" w:type="dxa"/>
          <w:right w:w="15" w:type="dxa"/>
        </w:tblCellMar>
      </w:tblPr>
      <w:tblGrid>
        <w:gridCol w:w="780"/>
        <w:gridCol w:w="1620"/>
        <w:gridCol w:w="540"/>
        <w:gridCol w:w="1440"/>
        <w:gridCol w:w="540"/>
        <w:gridCol w:w="3240"/>
        <w:gridCol w:w="540"/>
        <w:gridCol w:w="1080"/>
        <w:gridCol w:w="900"/>
        <w:gridCol w:w="3780"/>
      </w:tblGrid>
      <w:tr>
        <w:tblPrEx>
          <w:tblCellMar>
            <w:top w:w="15" w:type="dxa"/>
            <w:left w:w="15" w:type="dxa"/>
            <w:bottom w:w="0" w:type="dxa"/>
            <w:right w:w="15" w:type="dxa"/>
          </w:tblCellMar>
        </w:tblPrEx>
        <w:trPr>
          <w:wBefore w:w="0" w:type="dxa"/>
          <w:wAfter w:w="0" w:type="dxa"/>
          <w:trHeight w:val="420" w:hRule="atLeast"/>
          <w:jc w:val="center"/>
        </w:trPr>
        <w:tc>
          <w:tcPr>
            <w:tcW w:w="14460" w:type="dxa"/>
            <w:gridSpan w:val="10"/>
            <w:noWrap w:val="0"/>
            <w:vAlign w:val="center"/>
          </w:tcPr>
          <w:p>
            <w:pPr>
              <w:rPr>
                <w:rFonts w:ascii="宋体" w:hAnsi="宋体"/>
                <w:sz w:val="22"/>
                <w:szCs w:val="22"/>
              </w:rPr>
            </w:pPr>
            <w:r>
              <w:rPr>
                <w:rFonts w:hint="eastAsia" w:ascii="宋体" w:hAnsi="宋体"/>
                <w:b/>
                <w:bCs/>
                <w:sz w:val="22"/>
                <w:szCs w:val="22"/>
              </w:rPr>
              <w:t>附件：</w:t>
            </w:r>
          </w:p>
        </w:tc>
      </w:tr>
      <w:tr>
        <w:tblPrEx>
          <w:tblCellMar>
            <w:top w:w="15" w:type="dxa"/>
            <w:left w:w="15" w:type="dxa"/>
            <w:bottom w:w="0" w:type="dxa"/>
            <w:right w:w="15" w:type="dxa"/>
          </w:tblCellMar>
        </w:tblPrEx>
        <w:trPr>
          <w:wBefore w:w="0" w:type="dxa"/>
          <w:wAfter w:w="0" w:type="dxa"/>
          <w:trHeight w:val="660" w:hRule="atLeast"/>
          <w:jc w:val="center"/>
        </w:trPr>
        <w:tc>
          <w:tcPr>
            <w:tcW w:w="14460" w:type="dxa"/>
            <w:gridSpan w:val="10"/>
            <w:tcBorders>
              <w:top w:val="nil"/>
              <w:left w:val="nil"/>
              <w:bottom w:val="single" w:color="auto" w:sz="4" w:space="0"/>
              <w:right w:val="nil"/>
            </w:tcBorders>
            <w:noWrap w:val="0"/>
            <w:vAlign w:val="center"/>
          </w:tcPr>
          <w:p>
            <w:pPr>
              <w:jc w:val="center"/>
              <w:rPr>
                <w:rFonts w:ascii="宋体" w:hAnsi="宋体"/>
                <w:sz w:val="40"/>
                <w:szCs w:val="40"/>
              </w:rPr>
            </w:pPr>
            <w:r>
              <w:rPr>
                <w:rFonts w:hint="eastAsia" w:ascii="宋体" w:hAnsi="宋体"/>
                <w:sz w:val="40"/>
                <w:szCs w:val="40"/>
              </w:rPr>
              <w:t>绍兴市柯桥区市容环境卫生管理中心智慧环卫考核细则</w:t>
            </w:r>
          </w:p>
        </w:tc>
      </w:tr>
      <w:tr>
        <w:tblPrEx>
          <w:tblCellMar>
            <w:top w:w="15" w:type="dxa"/>
            <w:left w:w="15" w:type="dxa"/>
            <w:bottom w:w="0" w:type="dxa"/>
            <w:right w:w="15" w:type="dxa"/>
          </w:tblCellMar>
        </w:tblPrEx>
        <w:trPr>
          <w:wBefore w:w="0" w:type="dxa"/>
          <w:wAfter w:w="0" w:type="dxa"/>
          <w:trHeight w:val="948" w:hRule="atLeast"/>
          <w:jc w:val="center"/>
        </w:trPr>
        <w:tc>
          <w:tcPr>
            <w:tcW w:w="780" w:type="dxa"/>
            <w:tcBorders>
              <w:top w:val="nil"/>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大类代码</w:t>
            </w:r>
          </w:p>
        </w:tc>
        <w:tc>
          <w:tcPr>
            <w:tcW w:w="1620" w:type="dxa"/>
            <w:tcBorders>
              <w:top w:val="nil"/>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大类名称</w:t>
            </w:r>
          </w:p>
        </w:tc>
        <w:tc>
          <w:tcPr>
            <w:tcW w:w="540" w:type="dxa"/>
            <w:tcBorders>
              <w:top w:val="nil"/>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小类代码</w:t>
            </w:r>
          </w:p>
        </w:tc>
        <w:tc>
          <w:tcPr>
            <w:tcW w:w="1440"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小类</w:t>
            </w:r>
          </w:p>
          <w:p>
            <w:pPr>
              <w:jc w:val="center"/>
              <w:rPr>
                <w:rFonts w:ascii="宋体" w:hAnsi="宋体"/>
                <w:szCs w:val="21"/>
              </w:rPr>
            </w:pPr>
            <w:r>
              <w:rPr>
                <w:rFonts w:hint="eastAsia" w:ascii="宋体" w:hAnsi="宋体"/>
                <w:szCs w:val="21"/>
              </w:rPr>
              <w:t>名称</w:t>
            </w:r>
          </w:p>
        </w:tc>
        <w:tc>
          <w:tcPr>
            <w:tcW w:w="540" w:type="dxa"/>
            <w:tcBorders>
              <w:top w:val="nil"/>
              <w:left w:val="single" w:color="auto" w:sz="4" w:space="0"/>
              <w:bottom w:val="single" w:color="auto" w:sz="4" w:space="0"/>
              <w:right w:val="nil"/>
            </w:tcBorders>
            <w:noWrap w:val="0"/>
            <w:vAlign w:val="center"/>
          </w:tcPr>
          <w:p>
            <w:pPr>
              <w:jc w:val="center"/>
              <w:rPr>
                <w:rFonts w:ascii="宋体" w:hAnsi="宋体"/>
                <w:szCs w:val="21"/>
              </w:rPr>
            </w:pPr>
            <w:r>
              <w:rPr>
                <w:rFonts w:hint="eastAsia" w:ascii="宋体" w:hAnsi="宋体"/>
                <w:szCs w:val="21"/>
              </w:rPr>
              <w:t>子项代码</w:t>
            </w:r>
          </w:p>
        </w:tc>
        <w:tc>
          <w:tcPr>
            <w:tcW w:w="3240" w:type="dxa"/>
            <w:tcBorders>
              <w:top w:val="single" w:color="auto" w:sz="4" w:space="0"/>
              <w:left w:val="single" w:color="auto" w:sz="4" w:space="0"/>
              <w:bottom w:val="single" w:color="000000" w:sz="4" w:space="0"/>
              <w:right w:val="single" w:color="000000" w:sz="4" w:space="0"/>
            </w:tcBorders>
            <w:noWrap w:val="0"/>
            <w:vAlign w:val="center"/>
          </w:tcPr>
          <w:p>
            <w:pPr>
              <w:jc w:val="center"/>
              <w:rPr>
                <w:rFonts w:ascii="宋体" w:hAnsi="宋体"/>
                <w:szCs w:val="21"/>
              </w:rPr>
            </w:pPr>
            <w:r>
              <w:rPr>
                <w:rFonts w:hint="eastAsia" w:ascii="宋体" w:hAnsi="宋体"/>
                <w:szCs w:val="21"/>
              </w:rPr>
              <w:t>问题描述</w:t>
            </w:r>
          </w:p>
        </w:tc>
        <w:tc>
          <w:tcPr>
            <w:tcW w:w="540" w:type="dxa"/>
            <w:tcBorders>
              <w:top w:val="nil"/>
              <w:left w:val="single" w:color="auto" w:sz="4" w:space="0"/>
              <w:bottom w:val="single" w:color="000000" w:sz="4" w:space="0"/>
              <w:right w:val="single" w:color="auto" w:sz="4" w:space="0"/>
            </w:tcBorders>
            <w:noWrap w:val="0"/>
            <w:vAlign w:val="center"/>
          </w:tcPr>
          <w:p>
            <w:pPr>
              <w:jc w:val="center"/>
              <w:rPr>
                <w:rFonts w:ascii="宋体" w:hAnsi="宋体"/>
                <w:szCs w:val="21"/>
              </w:rPr>
            </w:pPr>
            <w:r>
              <w:rPr>
                <w:rFonts w:hint="eastAsia" w:ascii="宋体" w:hAnsi="宋体"/>
                <w:szCs w:val="21"/>
              </w:rPr>
              <w:t>问题类型</w:t>
            </w:r>
          </w:p>
        </w:tc>
        <w:tc>
          <w:tcPr>
            <w:tcW w:w="1080" w:type="dxa"/>
            <w:tcBorders>
              <w:top w:val="nil"/>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处置时限</w:t>
            </w:r>
          </w:p>
        </w:tc>
        <w:tc>
          <w:tcPr>
            <w:tcW w:w="900" w:type="dxa"/>
            <w:tcBorders>
              <w:top w:val="nil"/>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扣分标准</w:t>
            </w:r>
          </w:p>
        </w:tc>
        <w:tc>
          <w:tcPr>
            <w:tcW w:w="3780"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扣分方式</w:t>
            </w:r>
          </w:p>
        </w:tc>
      </w:tr>
      <w:tr>
        <w:tblPrEx>
          <w:tblCellMar>
            <w:top w:w="15" w:type="dxa"/>
            <w:left w:w="15" w:type="dxa"/>
            <w:bottom w:w="0" w:type="dxa"/>
            <w:right w:w="15" w:type="dxa"/>
          </w:tblCellMar>
        </w:tblPrEx>
        <w:trPr>
          <w:wBefore w:w="0" w:type="dxa"/>
          <w:wAfter w:w="0" w:type="dxa"/>
          <w:trHeight w:val="736" w:hRule="atLeast"/>
          <w:jc w:val="center"/>
        </w:trPr>
        <w:tc>
          <w:tcPr>
            <w:tcW w:w="780"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01</w:t>
            </w:r>
          </w:p>
        </w:tc>
        <w:tc>
          <w:tcPr>
            <w:tcW w:w="1620"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两个五标准</w:t>
            </w:r>
          </w:p>
        </w:tc>
        <w:tc>
          <w:tcPr>
            <w:tcW w:w="540"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01</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5克检测合格</w:t>
            </w:r>
          </w:p>
        </w:tc>
        <w:tc>
          <w:tcPr>
            <w:tcW w:w="540" w:type="dxa"/>
            <w:tcBorders>
              <w:top w:val="single" w:color="auto" w:sz="4" w:space="0"/>
              <w:left w:val="single" w:color="auto" w:sz="4" w:space="0"/>
              <w:bottom w:val="nil"/>
              <w:right w:val="nil"/>
            </w:tcBorders>
            <w:noWrap w:val="0"/>
            <w:vAlign w:val="center"/>
          </w:tcPr>
          <w:p>
            <w:pPr>
              <w:jc w:val="center"/>
              <w:rPr>
                <w:rFonts w:hint="eastAsia" w:ascii="宋体" w:hAnsi="宋体"/>
                <w:szCs w:val="21"/>
              </w:rPr>
            </w:pPr>
            <w:r>
              <w:rPr>
                <w:rFonts w:hint="eastAsia" w:ascii="宋体" w:hAnsi="宋体"/>
                <w:szCs w:val="21"/>
              </w:rPr>
              <w:t>01</w:t>
            </w:r>
          </w:p>
        </w:tc>
        <w:tc>
          <w:tcPr>
            <w:tcW w:w="3240" w:type="dxa"/>
            <w:tcBorders>
              <w:top w:val="single" w:color="auto" w:sz="4" w:space="0"/>
              <w:left w:val="single" w:color="auto" w:sz="4" w:space="0"/>
              <w:bottom w:val="single" w:color="000000" w:sz="4" w:space="0"/>
              <w:right w:val="single" w:color="000000" w:sz="4" w:space="0"/>
            </w:tcBorders>
            <w:noWrap w:val="0"/>
            <w:vAlign w:val="center"/>
          </w:tcPr>
          <w:p>
            <w:pPr>
              <w:jc w:val="left"/>
              <w:rPr>
                <w:rFonts w:hint="eastAsia" w:ascii="宋体" w:hAnsi="宋体"/>
                <w:szCs w:val="21"/>
              </w:rPr>
            </w:pPr>
            <w:r>
              <w:rPr>
                <w:rFonts w:hint="eastAsia" w:ascii="宋体" w:hAnsi="宋体"/>
                <w:b/>
                <w:bCs/>
                <w:szCs w:val="21"/>
              </w:rPr>
              <w:t>道路</w:t>
            </w:r>
            <w:r>
              <w:rPr>
                <w:rFonts w:hint="eastAsia" w:ascii="宋体" w:hAnsi="宋体"/>
                <w:szCs w:val="21"/>
              </w:rPr>
              <w:t>检测点每平方米内尘土、积泥不超过5克</w:t>
            </w:r>
          </w:p>
        </w:tc>
        <w:tc>
          <w:tcPr>
            <w:tcW w:w="540" w:type="dxa"/>
            <w:tcBorders>
              <w:top w:val="nil"/>
              <w:left w:val="single" w:color="auto" w:sz="4" w:space="0"/>
              <w:bottom w:val="single" w:color="000000"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静态</w:t>
            </w:r>
          </w:p>
        </w:tc>
        <w:tc>
          <w:tcPr>
            <w:tcW w:w="1080"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w:t>
            </w:r>
          </w:p>
        </w:tc>
        <w:tc>
          <w:tcPr>
            <w:tcW w:w="900"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0</w:t>
            </w:r>
          </w:p>
        </w:tc>
        <w:tc>
          <w:tcPr>
            <w:tcW w:w="3780"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不扣分</w:t>
            </w:r>
          </w:p>
        </w:tc>
      </w:tr>
      <w:tr>
        <w:tblPrEx>
          <w:tblCellMar>
            <w:top w:w="15" w:type="dxa"/>
            <w:left w:w="15" w:type="dxa"/>
            <w:bottom w:w="0" w:type="dxa"/>
            <w:right w:w="15" w:type="dxa"/>
          </w:tblCellMar>
        </w:tblPrEx>
        <w:trPr>
          <w:wBefore w:w="0" w:type="dxa"/>
          <w:wAfter w:w="0" w:type="dxa"/>
          <w:trHeight w:val="746" w:hRule="atLeast"/>
          <w:jc w:val="center"/>
        </w:trPr>
        <w:tc>
          <w:tcPr>
            <w:tcW w:w="780" w:type="dxa"/>
            <w:vMerge w:val="continue"/>
            <w:tcBorders>
              <w:left w:val="single" w:color="auto" w:sz="4" w:space="0"/>
              <w:right w:val="single" w:color="auto" w:sz="4" w:space="0"/>
            </w:tcBorders>
            <w:noWrap w:val="0"/>
            <w:vAlign w:val="center"/>
          </w:tcPr>
          <w:p>
            <w:pPr>
              <w:jc w:val="center"/>
              <w:rPr>
                <w:rFonts w:hint="eastAsia" w:ascii="宋体" w:hAnsi="宋体"/>
                <w:szCs w:val="21"/>
              </w:rPr>
            </w:pPr>
          </w:p>
        </w:tc>
        <w:tc>
          <w:tcPr>
            <w:tcW w:w="1620" w:type="dxa"/>
            <w:vMerge w:val="continue"/>
            <w:tcBorders>
              <w:left w:val="single" w:color="auto" w:sz="4" w:space="0"/>
              <w:right w:val="single" w:color="auto" w:sz="4" w:space="0"/>
            </w:tcBorders>
            <w:noWrap w:val="0"/>
            <w:vAlign w:val="center"/>
          </w:tcPr>
          <w:p>
            <w:pPr>
              <w:jc w:val="center"/>
              <w:rPr>
                <w:rFonts w:hint="eastAsia" w:ascii="宋体" w:hAnsi="宋体"/>
                <w:szCs w:val="21"/>
              </w:rPr>
            </w:pPr>
          </w:p>
        </w:tc>
        <w:tc>
          <w:tcPr>
            <w:tcW w:w="540"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5克检测不合格</w:t>
            </w:r>
          </w:p>
        </w:tc>
        <w:tc>
          <w:tcPr>
            <w:tcW w:w="540" w:type="dxa"/>
            <w:tcBorders>
              <w:top w:val="single" w:color="auto" w:sz="4" w:space="0"/>
              <w:left w:val="single" w:color="auto" w:sz="4" w:space="0"/>
              <w:bottom w:val="nil"/>
              <w:right w:val="nil"/>
            </w:tcBorders>
            <w:noWrap w:val="0"/>
            <w:vAlign w:val="center"/>
          </w:tcPr>
          <w:p>
            <w:pPr>
              <w:jc w:val="center"/>
              <w:rPr>
                <w:rFonts w:hint="eastAsia" w:ascii="宋体" w:hAnsi="宋体"/>
                <w:szCs w:val="21"/>
              </w:rPr>
            </w:pPr>
            <w:r>
              <w:rPr>
                <w:rFonts w:hint="eastAsia" w:ascii="宋体" w:hAnsi="宋体"/>
                <w:szCs w:val="21"/>
              </w:rPr>
              <w:t>02</w:t>
            </w:r>
          </w:p>
        </w:tc>
        <w:tc>
          <w:tcPr>
            <w:tcW w:w="3240" w:type="dxa"/>
            <w:tcBorders>
              <w:top w:val="single" w:color="auto" w:sz="4" w:space="0"/>
              <w:left w:val="single" w:color="auto" w:sz="4" w:space="0"/>
              <w:bottom w:val="single" w:color="000000" w:sz="4" w:space="0"/>
              <w:right w:val="single" w:color="000000" w:sz="4" w:space="0"/>
            </w:tcBorders>
            <w:noWrap w:val="0"/>
            <w:vAlign w:val="center"/>
          </w:tcPr>
          <w:p>
            <w:pPr>
              <w:jc w:val="left"/>
              <w:rPr>
                <w:rFonts w:hint="eastAsia" w:ascii="宋体" w:hAnsi="宋体"/>
                <w:szCs w:val="21"/>
              </w:rPr>
            </w:pPr>
            <w:r>
              <w:rPr>
                <w:rFonts w:hint="eastAsia" w:ascii="宋体" w:hAnsi="宋体"/>
                <w:b/>
                <w:bCs/>
                <w:szCs w:val="21"/>
              </w:rPr>
              <w:t>道路</w:t>
            </w:r>
            <w:r>
              <w:rPr>
                <w:rFonts w:hint="eastAsia" w:ascii="宋体" w:hAnsi="宋体"/>
                <w:szCs w:val="21"/>
              </w:rPr>
              <w:t>检测点每平方米内尘土、积泥超过5克</w:t>
            </w:r>
          </w:p>
        </w:tc>
        <w:tc>
          <w:tcPr>
            <w:tcW w:w="540" w:type="dxa"/>
            <w:tcBorders>
              <w:top w:val="nil"/>
              <w:left w:val="single" w:color="auto" w:sz="4" w:space="0"/>
              <w:bottom w:val="single" w:color="000000"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静态</w:t>
            </w:r>
          </w:p>
        </w:tc>
        <w:tc>
          <w:tcPr>
            <w:tcW w:w="1080"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w:t>
            </w:r>
          </w:p>
        </w:tc>
        <w:tc>
          <w:tcPr>
            <w:tcW w:w="900"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0.4</w:t>
            </w:r>
          </w:p>
        </w:tc>
        <w:tc>
          <w:tcPr>
            <w:tcW w:w="3780" w:type="dxa"/>
            <w:tcBorders>
              <w:top w:val="nil"/>
              <w:left w:val="single" w:color="auto" w:sz="4" w:space="0"/>
              <w:bottom w:val="single" w:color="auto" w:sz="4" w:space="0"/>
              <w:right w:val="single" w:color="auto" w:sz="4" w:space="0"/>
            </w:tcBorders>
            <w:noWrap w:val="0"/>
            <w:vAlign w:val="center"/>
          </w:tcPr>
          <w:p>
            <w:pPr>
              <w:jc w:val="left"/>
              <w:rPr>
                <w:rFonts w:hint="eastAsia" w:ascii="宋体" w:hAnsi="宋体"/>
                <w:szCs w:val="21"/>
              </w:rPr>
            </w:pPr>
            <w:r>
              <w:rPr>
                <w:rFonts w:hint="eastAsia" w:ascii="宋体" w:hAnsi="宋体"/>
                <w:b/>
                <w:bCs/>
                <w:szCs w:val="21"/>
              </w:rPr>
              <w:t>检测点以5克为基础，每超过1克，扣0.4分。</w:t>
            </w:r>
          </w:p>
        </w:tc>
      </w:tr>
      <w:tr>
        <w:tblPrEx>
          <w:tblCellMar>
            <w:top w:w="15" w:type="dxa"/>
            <w:left w:w="15" w:type="dxa"/>
            <w:bottom w:w="0" w:type="dxa"/>
            <w:right w:w="15" w:type="dxa"/>
          </w:tblCellMar>
        </w:tblPrEx>
        <w:trPr>
          <w:wBefore w:w="0" w:type="dxa"/>
          <w:wAfter w:w="0" w:type="dxa"/>
          <w:trHeight w:val="90" w:hRule="atLeast"/>
          <w:jc w:val="center"/>
        </w:trPr>
        <w:tc>
          <w:tcPr>
            <w:tcW w:w="780" w:type="dxa"/>
            <w:vMerge w:val="continue"/>
            <w:tcBorders>
              <w:left w:val="single" w:color="auto" w:sz="4" w:space="0"/>
              <w:right w:val="single" w:color="auto" w:sz="4" w:space="0"/>
            </w:tcBorders>
            <w:noWrap w:val="0"/>
            <w:vAlign w:val="center"/>
          </w:tcPr>
          <w:p>
            <w:pPr>
              <w:jc w:val="center"/>
              <w:rPr>
                <w:rFonts w:hint="eastAsia" w:ascii="宋体" w:hAnsi="宋体"/>
                <w:szCs w:val="21"/>
              </w:rPr>
            </w:pPr>
          </w:p>
        </w:tc>
        <w:tc>
          <w:tcPr>
            <w:tcW w:w="1620" w:type="dxa"/>
            <w:vMerge w:val="continue"/>
            <w:tcBorders>
              <w:left w:val="single" w:color="auto" w:sz="4" w:space="0"/>
              <w:right w:val="single" w:color="auto" w:sz="4" w:space="0"/>
            </w:tcBorders>
            <w:noWrap w:val="0"/>
            <w:vAlign w:val="center"/>
          </w:tcPr>
          <w:p>
            <w:pPr>
              <w:jc w:val="center"/>
              <w:rPr>
                <w:rFonts w:hint="eastAsia" w:ascii="宋体" w:hAnsi="宋体"/>
                <w:szCs w:val="21"/>
              </w:rPr>
            </w:pPr>
          </w:p>
        </w:tc>
        <w:tc>
          <w:tcPr>
            <w:tcW w:w="540"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02</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5分钟检测合格</w:t>
            </w:r>
          </w:p>
        </w:tc>
        <w:tc>
          <w:tcPr>
            <w:tcW w:w="540" w:type="dxa"/>
            <w:tcBorders>
              <w:top w:val="single" w:color="auto" w:sz="4" w:space="0"/>
              <w:left w:val="single" w:color="auto" w:sz="4" w:space="0"/>
              <w:bottom w:val="nil"/>
              <w:right w:val="nil"/>
            </w:tcBorders>
            <w:noWrap w:val="0"/>
            <w:vAlign w:val="center"/>
          </w:tcPr>
          <w:p>
            <w:pPr>
              <w:jc w:val="center"/>
              <w:rPr>
                <w:rFonts w:hint="eastAsia" w:ascii="宋体" w:hAnsi="宋体"/>
                <w:szCs w:val="21"/>
              </w:rPr>
            </w:pPr>
            <w:r>
              <w:rPr>
                <w:rFonts w:hint="eastAsia" w:ascii="宋体" w:hAnsi="宋体"/>
                <w:szCs w:val="21"/>
              </w:rPr>
              <w:t>01</w:t>
            </w:r>
          </w:p>
        </w:tc>
        <w:tc>
          <w:tcPr>
            <w:tcW w:w="3240" w:type="dxa"/>
            <w:tcBorders>
              <w:top w:val="single" w:color="auto" w:sz="4" w:space="0"/>
              <w:left w:val="single" w:color="auto" w:sz="4" w:space="0"/>
              <w:bottom w:val="single" w:color="000000" w:sz="4" w:space="0"/>
              <w:right w:val="single" w:color="000000" w:sz="4" w:space="0"/>
            </w:tcBorders>
            <w:noWrap w:val="0"/>
            <w:vAlign w:val="center"/>
          </w:tcPr>
          <w:p>
            <w:pPr>
              <w:jc w:val="left"/>
              <w:rPr>
                <w:rFonts w:hint="eastAsia" w:ascii="宋体" w:hAnsi="宋体"/>
                <w:szCs w:val="21"/>
              </w:rPr>
            </w:pPr>
            <w:r>
              <w:rPr>
                <w:rFonts w:hint="eastAsia" w:ascii="宋体" w:hAnsi="宋体"/>
                <w:b/>
                <w:szCs w:val="21"/>
              </w:rPr>
              <w:t>道路（墙到墙）、绿化带、树圈内</w:t>
            </w:r>
            <w:r>
              <w:rPr>
                <w:rFonts w:hint="eastAsia" w:ascii="宋体" w:hAnsi="宋体"/>
                <w:szCs w:val="21"/>
              </w:rPr>
              <w:t>检测点垃圾落地时间不超过5分钟</w:t>
            </w:r>
          </w:p>
        </w:tc>
        <w:tc>
          <w:tcPr>
            <w:tcW w:w="540" w:type="dxa"/>
            <w:tcBorders>
              <w:top w:val="nil"/>
              <w:left w:val="single" w:color="auto" w:sz="4" w:space="0"/>
              <w:bottom w:val="single" w:color="000000"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静态</w:t>
            </w:r>
          </w:p>
        </w:tc>
        <w:tc>
          <w:tcPr>
            <w:tcW w:w="1080"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5分钟</w:t>
            </w:r>
          </w:p>
        </w:tc>
        <w:tc>
          <w:tcPr>
            <w:tcW w:w="900"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0</w:t>
            </w:r>
          </w:p>
        </w:tc>
        <w:tc>
          <w:tcPr>
            <w:tcW w:w="3780"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不扣分</w:t>
            </w:r>
          </w:p>
        </w:tc>
      </w:tr>
      <w:tr>
        <w:tblPrEx>
          <w:tblCellMar>
            <w:top w:w="15" w:type="dxa"/>
            <w:left w:w="15" w:type="dxa"/>
            <w:bottom w:w="0" w:type="dxa"/>
            <w:right w:w="15" w:type="dxa"/>
          </w:tblCellMar>
        </w:tblPrEx>
        <w:trPr>
          <w:wBefore w:w="0" w:type="dxa"/>
          <w:wAfter w:w="0" w:type="dxa"/>
          <w:trHeight w:val="843" w:hRule="atLeast"/>
          <w:jc w:val="center"/>
        </w:trPr>
        <w:tc>
          <w:tcPr>
            <w:tcW w:w="780"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1620"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540"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5分钟检测不合格</w:t>
            </w:r>
          </w:p>
        </w:tc>
        <w:tc>
          <w:tcPr>
            <w:tcW w:w="540" w:type="dxa"/>
            <w:tcBorders>
              <w:top w:val="single" w:color="auto" w:sz="4" w:space="0"/>
              <w:left w:val="single" w:color="auto" w:sz="4" w:space="0"/>
              <w:bottom w:val="nil"/>
              <w:right w:val="nil"/>
            </w:tcBorders>
            <w:noWrap w:val="0"/>
            <w:vAlign w:val="center"/>
          </w:tcPr>
          <w:p>
            <w:pPr>
              <w:jc w:val="center"/>
              <w:rPr>
                <w:rFonts w:hint="eastAsia" w:ascii="宋体" w:hAnsi="宋体"/>
                <w:szCs w:val="21"/>
              </w:rPr>
            </w:pPr>
            <w:r>
              <w:rPr>
                <w:rFonts w:hint="eastAsia" w:ascii="宋体" w:hAnsi="宋体"/>
                <w:szCs w:val="21"/>
              </w:rPr>
              <w:t>02</w:t>
            </w:r>
          </w:p>
        </w:tc>
        <w:tc>
          <w:tcPr>
            <w:tcW w:w="3240" w:type="dxa"/>
            <w:tcBorders>
              <w:top w:val="single" w:color="auto" w:sz="4" w:space="0"/>
              <w:left w:val="single" w:color="auto" w:sz="4" w:space="0"/>
              <w:bottom w:val="single" w:color="000000" w:sz="4" w:space="0"/>
              <w:right w:val="single" w:color="000000" w:sz="4" w:space="0"/>
            </w:tcBorders>
            <w:noWrap w:val="0"/>
            <w:vAlign w:val="center"/>
          </w:tcPr>
          <w:p>
            <w:pPr>
              <w:jc w:val="left"/>
              <w:rPr>
                <w:rFonts w:hint="eastAsia" w:ascii="宋体" w:hAnsi="宋体"/>
                <w:szCs w:val="21"/>
              </w:rPr>
            </w:pPr>
            <w:r>
              <w:rPr>
                <w:rFonts w:hint="eastAsia" w:ascii="宋体" w:hAnsi="宋体"/>
                <w:b/>
                <w:szCs w:val="21"/>
              </w:rPr>
              <w:t>道路（墙到墙）、绿化带、树圈内</w:t>
            </w:r>
            <w:r>
              <w:rPr>
                <w:rFonts w:hint="eastAsia" w:ascii="宋体" w:hAnsi="宋体"/>
                <w:szCs w:val="21"/>
              </w:rPr>
              <w:t>检测点垃圾落地时间超过5分钟</w:t>
            </w:r>
          </w:p>
        </w:tc>
        <w:tc>
          <w:tcPr>
            <w:tcW w:w="540" w:type="dxa"/>
            <w:tcBorders>
              <w:top w:val="nil"/>
              <w:left w:val="single" w:color="auto" w:sz="4" w:space="0"/>
              <w:bottom w:val="single" w:color="000000"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静态</w:t>
            </w:r>
          </w:p>
        </w:tc>
        <w:tc>
          <w:tcPr>
            <w:tcW w:w="1080"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5分钟</w:t>
            </w:r>
          </w:p>
        </w:tc>
        <w:tc>
          <w:tcPr>
            <w:tcW w:w="900"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0.1</w:t>
            </w:r>
          </w:p>
        </w:tc>
        <w:tc>
          <w:tcPr>
            <w:tcW w:w="3780" w:type="dxa"/>
            <w:tcBorders>
              <w:top w:val="nil"/>
              <w:left w:val="single" w:color="auto" w:sz="4" w:space="0"/>
              <w:bottom w:val="single" w:color="auto" w:sz="4" w:space="0"/>
              <w:right w:val="single" w:color="auto" w:sz="4" w:space="0"/>
            </w:tcBorders>
            <w:noWrap w:val="0"/>
            <w:vAlign w:val="center"/>
          </w:tcPr>
          <w:p>
            <w:pPr>
              <w:jc w:val="left"/>
              <w:rPr>
                <w:rFonts w:hint="eastAsia" w:ascii="宋体" w:hAnsi="宋体"/>
                <w:szCs w:val="21"/>
              </w:rPr>
            </w:pPr>
            <w:r>
              <w:rPr>
                <w:rFonts w:hint="eastAsia" w:ascii="宋体" w:hAnsi="宋体"/>
                <w:b/>
                <w:bCs/>
                <w:szCs w:val="21"/>
              </w:rPr>
              <w:t>检测点以5分钟为基础，每超过1分钟，扣0.1分，</w:t>
            </w:r>
            <w:r>
              <w:rPr>
                <w:rFonts w:hint="eastAsia" w:ascii="宋体" w:hAnsi="宋体"/>
                <w:b/>
                <w:szCs w:val="21"/>
              </w:rPr>
              <w:t>扣分累计，扣分上限为1分</w:t>
            </w:r>
          </w:p>
        </w:tc>
      </w:tr>
      <w:tr>
        <w:tblPrEx>
          <w:tblCellMar>
            <w:top w:w="15" w:type="dxa"/>
            <w:left w:w="15" w:type="dxa"/>
            <w:bottom w:w="0" w:type="dxa"/>
            <w:right w:w="15" w:type="dxa"/>
          </w:tblCellMar>
        </w:tblPrEx>
        <w:trPr>
          <w:wBefore w:w="0" w:type="dxa"/>
          <w:wAfter w:w="0" w:type="dxa"/>
          <w:trHeight w:val="882" w:hRule="atLeast"/>
          <w:jc w:val="center"/>
        </w:trPr>
        <w:tc>
          <w:tcPr>
            <w:tcW w:w="780" w:type="dxa"/>
            <w:vMerge w:val="restart"/>
            <w:tcBorders>
              <w:top w:val="nil"/>
              <w:left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02</w:t>
            </w:r>
          </w:p>
        </w:tc>
        <w:tc>
          <w:tcPr>
            <w:tcW w:w="1620" w:type="dxa"/>
            <w:vMerge w:val="restart"/>
            <w:tcBorders>
              <w:top w:val="nil"/>
              <w:left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道路清扫保洁</w:t>
            </w:r>
          </w:p>
        </w:tc>
        <w:tc>
          <w:tcPr>
            <w:tcW w:w="540" w:type="dxa"/>
            <w:tcBorders>
              <w:top w:val="nil"/>
              <w:left w:val="nil"/>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01</w:t>
            </w:r>
          </w:p>
        </w:tc>
        <w:tc>
          <w:tcPr>
            <w:tcW w:w="1440" w:type="dxa"/>
            <w:tcBorders>
              <w:top w:val="nil"/>
              <w:left w:val="nil"/>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普扫未完成</w:t>
            </w:r>
          </w:p>
        </w:tc>
        <w:tc>
          <w:tcPr>
            <w:tcW w:w="540" w:type="dxa"/>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01</w:t>
            </w:r>
          </w:p>
        </w:tc>
        <w:tc>
          <w:tcPr>
            <w:tcW w:w="3240" w:type="dxa"/>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未在招标文件及合同规定时间内完成普扫（特殊情况除外，如落叶季节等）</w:t>
            </w:r>
          </w:p>
        </w:tc>
        <w:tc>
          <w:tcPr>
            <w:tcW w:w="540" w:type="dxa"/>
            <w:tcBorders>
              <w:top w:val="nil"/>
              <w:left w:val="nil"/>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静态</w:t>
            </w:r>
          </w:p>
        </w:tc>
        <w:tc>
          <w:tcPr>
            <w:tcW w:w="1080" w:type="dxa"/>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1小时</w:t>
            </w:r>
          </w:p>
        </w:tc>
        <w:tc>
          <w:tcPr>
            <w:tcW w:w="900" w:type="dxa"/>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2分</w:t>
            </w:r>
          </w:p>
        </w:tc>
        <w:tc>
          <w:tcPr>
            <w:tcW w:w="3780" w:type="dxa"/>
            <w:tcBorders>
              <w:top w:val="single" w:color="auto" w:sz="4" w:space="0"/>
              <w:left w:val="nil"/>
              <w:bottom w:val="single" w:color="auto" w:sz="4" w:space="0"/>
              <w:right w:val="single" w:color="auto" w:sz="4" w:space="0"/>
            </w:tcBorders>
            <w:noWrap w:val="0"/>
            <w:vAlign w:val="center"/>
          </w:tcPr>
          <w:p>
            <w:pPr>
              <w:rPr>
                <w:rFonts w:ascii="宋体" w:hAnsi="宋体"/>
                <w:strike/>
                <w:szCs w:val="21"/>
              </w:rPr>
            </w:pPr>
            <w:r>
              <w:rPr>
                <w:rFonts w:hint="eastAsia" w:ascii="宋体" w:hAnsi="宋体"/>
                <w:szCs w:val="21"/>
              </w:rPr>
              <w:t>一立案即扣2分。立案后1小时内整改则结束扣分；超过1小时整改，每1小时扣2分，扣分累计</w:t>
            </w:r>
          </w:p>
        </w:tc>
      </w:tr>
      <w:tr>
        <w:tblPrEx>
          <w:tblCellMar>
            <w:top w:w="15" w:type="dxa"/>
            <w:left w:w="15" w:type="dxa"/>
            <w:bottom w:w="0" w:type="dxa"/>
            <w:right w:w="15" w:type="dxa"/>
          </w:tblCellMar>
        </w:tblPrEx>
        <w:trPr>
          <w:wBefore w:w="0" w:type="dxa"/>
          <w:wAfter w:w="0" w:type="dxa"/>
          <w:trHeight w:val="636" w:hRule="atLeast"/>
          <w:jc w:val="center"/>
        </w:trPr>
        <w:tc>
          <w:tcPr>
            <w:tcW w:w="780" w:type="dxa"/>
            <w:vMerge w:val="continue"/>
            <w:tcBorders>
              <w:left w:val="single" w:color="auto" w:sz="4" w:space="0"/>
              <w:right w:val="single" w:color="auto" w:sz="4" w:space="0"/>
            </w:tcBorders>
            <w:noWrap w:val="0"/>
            <w:vAlign w:val="center"/>
          </w:tcPr>
          <w:p>
            <w:pPr>
              <w:rPr>
                <w:rFonts w:ascii="宋体" w:hAnsi="宋体"/>
                <w:szCs w:val="21"/>
              </w:rPr>
            </w:pPr>
          </w:p>
        </w:tc>
        <w:tc>
          <w:tcPr>
            <w:tcW w:w="1620" w:type="dxa"/>
            <w:vMerge w:val="continue"/>
            <w:tcBorders>
              <w:left w:val="single" w:color="auto" w:sz="4" w:space="0"/>
              <w:right w:val="single" w:color="auto" w:sz="4" w:space="0"/>
            </w:tcBorders>
            <w:noWrap w:val="0"/>
            <w:vAlign w:val="center"/>
          </w:tcPr>
          <w:p>
            <w:pPr>
              <w:rPr>
                <w:rFonts w:ascii="宋体" w:hAnsi="宋体"/>
                <w:szCs w:val="21"/>
              </w:rPr>
            </w:pPr>
          </w:p>
        </w:tc>
        <w:tc>
          <w:tcPr>
            <w:tcW w:w="540" w:type="dxa"/>
            <w:vMerge w:val="restart"/>
            <w:tcBorders>
              <w:top w:val="single" w:color="auto" w:sz="4" w:space="0"/>
              <w:left w:val="single" w:color="auto" w:sz="4" w:space="0"/>
              <w:right w:val="nil"/>
            </w:tcBorders>
            <w:noWrap w:val="0"/>
            <w:vAlign w:val="center"/>
          </w:tcPr>
          <w:p>
            <w:pPr>
              <w:jc w:val="center"/>
              <w:rPr>
                <w:rFonts w:ascii="宋体" w:hAnsi="宋体"/>
                <w:szCs w:val="21"/>
              </w:rPr>
            </w:pPr>
            <w:r>
              <w:rPr>
                <w:rFonts w:hint="eastAsia" w:ascii="宋体" w:hAnsi="宋体"/>
                <w:szCs w:val="21"/>
              </w:rPr>
              <w:t>02</w:t>
            </w:r>
          </w:p>
        </w:tc>
        <w:tc>
          <w:tcPr>
            <w:tcW w:w="1440" w:type="dxa"/>
            <w:vMerge w:val="restart"/>
            <w:tcBorders>
              <w:top w:val="single" w:color="auto" w:sz="4" w:space="0"/>
              <w:left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道路垃圾</w:t>
            </w:r>
          </w:p>
        </w:tc>
        <w:tc>
          <w:tcPr>
            <w:tcW w:w="540" w:type="dxa"/>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0</w:t>
            </w:r>
            <w:r>
              <w:rPr>
                <w:rFonts w:hint="eastAsia" w:ascii="宋体" w:hAnsi="宋体"/>
                <w:b/>
                <w:szCs w:val="21"/>
              </w:rPr>
              <w:t>1</w:t>
            </w:r>
          </w:p>
        </w:tc>
        <w:tc>
          <w:tcPr>
            <w:tcW w:w="3240" w:type="dxa"/>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道路（墙到墙）上有成堆、成片的生活垃圾、杂物等</w:t>
            </w:r>
          </w:p>
        </w:tc>
        <w:tc>
          <w:tcPr>
            <w:tcW w:w="540" w:type="dxa"/>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动态</w:t>
            </w:r>
          </w:p>
        </w:tc>
        <w:tc>
          <w:tcPr>
            <w:tcW w:w="1080" w:type="dxa"/>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1小时</w:t>
            </w:r>
          </w:p>
        </w:tc>
        <w:tc>
          <w:tcPr>
            <w:tcW w:w="900" w:type="dxa"/>
            <w:tcBorders>
              <w:top w:val="nil"/>
              <w:left w:val="nil"/>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1分</w:t>
            </w:r>
          </w:p>
        </w:tc>
        <w:tc>
          <w:tcPr>
            <w:tcW w:w="3780" w:type="dxa"/>
            <w:tcBorders>
              <w:top w:val="nil"/>
              <w:left w:val="nil"/>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1小时内整改不扣分；超过1小时整改每1小时扣1分，扣分累计</w:t>
            </w:r>
          </w:p>
        </w:tc>
      </w:tr>
      <w:tr>
        <w:tblPrEx>
          <w:tblCellMar>
            <w:top w:w="15" w:type="dxa"/>
            <w:left w:w="15" w:type="dxa"/>
            <w:bottom w:w="0" w:type="dxa"/>
            <w:right w:w="15" w:type="dxa"/>
          </w:tblCellMar>
        </w:tblPrEx>
        <w:trPr>
          <w:wBefore w:w="0" w:type="dxa"/>
          <w:wAfter w:w="0" w:type="dxa"/>
          <w:trHeight w:val="733" w:hRule="atLeast"/>
          <w:jc w:val="center"/>
        </w:trPr>
        <w:tc>
          <w:tcPr>
            <w:tcW w:w="780" w:type="dxa"/>
            <w:vMerge w:val="continue"/>
            <w:tcBorders>
              <w:left w:val="single" w:color="auto" w:sz="4" w:space="0"/>
              <w:right w:val="single" w:color="auto" w:sz="4" w:space="0"/>
            </w:tcBorders>
            <w:noWrap w:val="0"/>
            <w:vAlign w:val="center"/>
          </w:tcPr>
          <w:p>
            <w:pPr>
              <w:rPr>
                <w:rFonts w:ascii="宋体" w:hAnsi="宋体"/>
                <w:szCs w:val="21"/>
              </w:rPr>
            </w:pPr>
          </w:p>
        </w:tc>
        <w:tc>
          <w:tcPr>
            <w:tcW w:w="1620" w:type="dxa"/>
            <w:vMerge w:val="continue"/>
            <w:tcBorders>
              <w:left w:val="single" w:color="auto" w:sz="4" w:space="0"/>
              <w:right w:val="single" w:color="auto" w:sz="4" w:space="0"/>
            </w:tcBorders>
            <w:noWrap w:val="0"/>
            <w:vAlign w:val="center"/>
          </w:tcPr>
          <w:p>
            <w:pPr>
              <w:rPr>
                <w:rFonts w:ascii="宋体" w:hAnsi="宋体"/>
                <w:szCs w:val="21"/>
              </w:rPr>
            </w:pPr>
          </w:p>
        </w:tc>
        <w:tc>
          <w:tcPr>
            <w:tcW w:w="540" w:type="dxa"/>
            <w:vMerge w:val="continue"/>
            <w:tcBorders>
              <w:left w:val="single" w:color="auto" w:sz="4" w:space="0"/>
              <w:right w:val="nil"/>
            </w:tcBorders>
            <w:noWrap w:val="0"/>
            <w:vAlign w:val="center"/>
          </w:tcPr>
          <w:p>
            <w:pPr>
              <w:rPr>
                <w:rFonts w:ascii="宋体" w:hAnsi="宋体"/>
                <w:szCs w:val="21"/>
              </w:rPr>
            </w:pPr>
          </w:p>
        </w:tc>
        <w:tc>
          <w:tcPr>
            <w:tcW w:w="1440" w:type="dxa"/>
            <w:vMerge w:val="continue"/>
            <w:tcBorders>
              <w:left w:val="single" w:color="auto" w:sz="4" w:space="0"/>
              <w:right w:val="single" w:color="auto" w:sz="4" w:space="0"/>
            </w:tcBorders>
            <w:noWrap w:val="0"/>
            <w:vAlign w:val="center"/>
          </w:tcPr>
          <w:p>
            <w:pPr>
              <w:rPr>
                <w:rFonts w:ascii="宋体" w:hAnsi="宋体"/>
                <w:szCs w:val="21"/>
              </w:rPr>
            </w:pPr>
          </w:p>
        </w:tc>
        <w:tc>
          <w:tcPr>
            <w:tcW w:w="54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b/>
                <w:szCs w:val="21"/>
              </w:rPr>
            </w:pPr>
            <w:r>
              <w:rPr>
                <w:rFonts w:hint="eastAsia" w:ascii="宋体" w:hAnsi="宋体"/>
                <w:b/>
                <w:szCs w:val="21"/>
              </w:rPr>
              <w:t>02</w:t>
            </w:r>
          </w:p>
        </w:tc>
        <w:tc>
          <w:tcPr>
            <w:tcW w:w="3240" w:type="dxa"/>
            <w:tcBorders>
              <w:top w:val="single" w:color="auto" w:sz="4" w:space="0"/>
              <w:left w:val="nil"/>
              <w:bottom w:val="single" w:color="auto" w:sz="4" w:space="0"/>
              <w:right w:val="single" w:color="auto" w:sz="4" w:space="0"/>
            </w:tcBorders>
            <w:noWrap w:val="0"/>
            <w:vAlign w:val="center"/>
          </w:tcPr>
          <w:p>
            <w:pPr>
              <w:rPr>
                <w:rFonts w:hint="eastAsia" w:ascii="宋体" w:hAnsi="宋体"/>
                <w:b/>
                <w:szCs w:val="21"/>
              </w:rPr>
            </w:pPr>
            <w:r>
              <w:rPr>
                <w:rFonts w:hint="eastAsia" w:ascii="宋体" w:hAnsi="宋体"/>
                <w:b/>
                <w:szCs w:val="21"/>
              </w:rPr>
              <w:t>道路（墙到墙）上有小堆建筑垃圾、渣土等，面积＜5㎡</w:t>
            </w:r>
          </w:p>
        </w:tc>
        <w:tc>
          <w:tcPr>
            <w:tcW w:w="54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b/>
                <w:szCs w:val="21"/>
              </w:rPr>
            </w:pPr>
            <w:r>
              <w:rPr>
                <w:rFonts w:hint="eastAsia" w:ascii="宋体" w:hAnsi="宋体"/>
                <w:b/>
                <w:szCs w:val="21"/>
              </w:rPr>
              <w:t>动态</w:t>
            </w:r>
          </w:p>
        </w:tc>
        <w:tc>
          <w:tcPr>
            <w:tcW w:w="108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b/>
                <w:szCs w:val="21"/>
              </w:rPr>
            </w:pPr>
            <w:r>
              <w:rPr>
                <w:rFonts w:hint="eastAsia" w:ascii="宋体" w:hAnsi="宋体"/>
                <w:b/>
                <w:szCs w:val="21"/>
              </w:rPr>
              <w:t>6小时</w:t>
            </w:r>
          </w:p>
        </w:tc>
        <w:tc>
          <w:tcPr>
            <w:tcW w:w="900" w:type="dxa"/>
            <w:tcBorders>
              <w:top w:val="nil"/>
              <w:left w:val="nil"/>
              <w:bottom w:val="single" w:color="auto" w:sz="4" w:space="0"/>
              <w:right w:val="single" w:color="auto" w:sz="4" w:space="0"/>
            </w:tcBorders>
            <w:noWrap w:val="0"/>
            <w:vAlign w:val="center"/>
          </w:tcPr>
          <w:p>
            <w:pPr>
              <w:jc w:val="center"/>
              <w:rPr>
                <w:rFonts w:hint="eastAsia" w:ascii="宋体" w:hAnsi="宋体"/>
                <w:b/>
                <w:szCs w:val="21"/>
              </w:rPr>
            </w:pPr>
            <w:r>
              <w:rPr>
                <w:rFonts w:hint="eastAsia" w:ascii="宋体" w:hAnsi="宋体"/>
                <w:b/>
                <w:szCs w:val="21"/>
              </w:rPr>
              <w:t>1分</w:t>
            </w:r>
          </w:p>
        </w:tc>
        <w:tc>
          <w:tcPr>
            <w:tcW w:w="3780" w:type="dxa"/>
            <w:tcBorders>
              <w:top w:val="nil"/>
              <w:left w:val="nil"/>
              <w:bottom w:val="single" w:color="auto" w:sz="4" w:space="0"/>
              <w:right w:val="single" w:color="auto" w:sz="4" w:space="0"/>
            </w:tcBorders>
            <w:noWrap w:val="0"/>
            <w:vAlign w:val="center"/>
          </w:tcPr>
          <w:p>
            <w:pPr>
              <w:rPr>
                <w:rFonts w:hint="eastAsia" w:ascii="宋体" w:hAnsi="宋体"/>
                <w:b/>
                <w:szCs w:val="21"/>
              </w:rPr>
            </w:pPr>
            <w:r>
              <w:rPr>
                <w:rFonts w:hint="eastAsia" w:ascii="宋体" w:hAnsi="宋体"/>
                <w:b/>
                <w:szCs w:val="21"/>
              </w:rPr>
              <w:t>6小时内整改不扣分；超过6小时整改每6小时扣1分，扣分累计</w:t>
            </w:r>
          </w:p>
        </w:tc>
      </w:tr>
      <w:tr>
        <w:tblPrEx>
          <w:tblCellMar>
            <w:top w:w="15" w:type="dxa"/>
            <w:left w:w="15" w:type="dxa"/>
            <w:bottom w:w="0" w:type="dxa"/>
            <w:right w:w="15" w:type="dxa"/>
          </w:tblCellMar>
        </w:tblPrEx>
        <w:trPr>
          <w:wBefore w:w="0" w:type="dxa"/>
          <w:wAfter w:w="0" w:type="dxa"/>
          <w:trHeight w:val="869" w:hRule="atLeast"/>
          <w:jc w:val="center"/>
        </w:trPr>
        <w:tc>
          <w:tcPr>
            <w:tcW w:w="780" w:type="dxa"/>
            <w:vMerge w:val="continue"/>
            <w:tcBorders>
              <w:left w:val="single" w:color="auto" w:sz="4" w:space="0"/>
              <w:right w:val="single" w:color="auto" w:sz="4" w:space="0"/>
            </w:tcBorders>
            <w:noWrap w:val="0"/>
            <w:vAlign w:val="center"/>
          </w:tcPr>
          <w:p>
            <w:pPr>
              <w:rPr>
                <w:rFonts w:ascii="宋体" w:hAnsi="宋体"/>
                <w:szCs w:val="21"/>
              </w:rPr>
            </w:pPr>
          </w:p>
        </w:tc>
        <w:tc>
          <w:tcPr>
            <w:tcW w:w="1620" w:type="dxa"/>
            <w:vMerge w:val="continue"/>
            <w:tcBorders>
              <w:left w:val="single" w:color="auto" w:sz="4" w:space="0"/>
              <w:right w:val="single" w:color="auto" w:sz="4" w:space="0"/>
            </w:tcBorders>
            <w:noWrap w:val="0"/>
            <w:vAlign w:val="center"/>
          </w:tcPr>
          <w:p>
            <w:pPr>
              <w:rPr>
                <w:rFonts w:ascii="宋体" w:hAnsi="宋体"/>
                <w:szCs w:val="21"/>
              </w:rPr>
            </w:pPr>
          </w:p>
        </w:tc>
        <w:tc>
          <w:tcPr>
            <w:tcW w:w="540" w:type="dxa"/>
            <w:vMerge w:val="continue"/>
            <w:tcBorders>
              <w:left w:val="single" w:color="auto" w:sz="4" w:space="0"/>
              <w:bottom w:val="single" w:color="auto" w:sz="4" w:space="0"/>
              <w:right w:val="nil"/>
            </w:tcBorders>
            <w:noWrap w:val="0"/>
            <w:vAlign w:val="center"/>
          </w:tcPr>
          <w:p>
            <w:pPr>
              <w:rPr>
                <w:rFonts w:hint="eastAsia" w:ascii="宋体" w:hAnsi="宋体"/>
                <w:szCs w:val="21"/>
              </w:rPr>
            </w:pPr>
          </w:p>
        </w:tc>
        <w:tc>
          <w:tcPr>
            <w:tcW w:w="1440" w:type="dxa"/>
            <w:vMerge w:val="continue"/>
            <w:tcBorders>
              <w:left w:val="single" w:color="auto" w:sz="4" w:space="0"/>
              <w:bottom w:val="single" w:color="auto" w:sz="4" w:space="0"/>
              <w:right w:val="single" w:color="auto" w:sz="4" w:space="0"/>
            </w:tcBorders>
            <w:noWrap w:val="0"/>
            <w:vAlign w:val="center"/>
          </w:tcPr>
          <w:p>
            <w:pPr>
              <w:rPr>
                <w:rFonts w:ascii="宋体" w:hAnsi="宋体"/>
                <w:szCs w:val="21"/>
              </w:rPr>
            </w:pPr>
          </w:p>
        </w:tc>
        <w:tc>
          <w:tcPr>
            <w:tcW w:w="54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b/>
                <w:szCs w:val="21"/>
              </w:rPr>
            </w:pPr>
            <w:r>
              <w:rPr>
                <w:rFonts w:hint="eastAsia" w:ascii="宋体" w:hAnsi="宋体"/>
                <w:b/>
                <w:szCs w:val="21"/>
              </w:rPr>
              <w:t>03</w:t>
            </w:r>
          </w:p>
        </w:tc>
        <w:tc>
          <w:tcPr>
            <w:tcW w:w="3240" w:type="dxa"/>
            <w:tcBorders>
              <w:top w:val="single" w:color="auto" w:sz="4" w:space="0"/>
              <w:left w:val="nil"/>
              <w:bottom w:val="single" w:color="auto" w:sz="4" w:space="0"/>
              <w:right w:val="single" w:color="auto" w:sz="4" w:space="0"/>
            </w:tcBorders>
            <w:noWrap w:val="0"/>
            <w:vAlign w:val="center"/>
          </w:tcPr>
          <w:p>
            <w:pPr>
              <w:rPr>
                <w:rFonts w:hint="eastAsia" w:ascii="宋体" w:hAnsi="宋体"/>
                <w:b/>
                <w:szCs w:val="21"/>
              </w:rPr>
            </w:pPr>
            <w:r>
              <w:rPr>
                <w:rFonts w:hint="eastAsia" w:ascii="宋体" w:hAnsi="宋体"/>
                <w:b/>
                <w:szCs w:val="21"/>
              </w:rPr>
              <w:t>道路（墙到墙）上有大堆建筑垃圾、渣土等，面积≥5㎡</w:t>
            </w:r>
          </w:p>
        </w:tc>
        <w:tc>
          <w:tcPr>
            <w:tcW w:w="54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b/>
                <w:szCs w:val="21"/>
              </w:rPr>
            </w:pPr>
            <w:r>
              <w:rPr>
                <w:rFonts w:hint="eastAsia" w:ascii="宋体" w:hAnsi="宋体"/>
                <w:b/>
                <w:szCs w:val="21"/>
              </w:rPr>
              <w:t>动态</w:t>
            </w:r>
          </w:p>
        </w:tc>
        <w:tc>
          <w:tcPr>
            <w:tcW w:w="108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b/>
                <w:szCs w:val="21"/>
              </w:rPr>
            </w:pPr>
            <w:r>
              <w:rPr>
                <w:rFonts w:hint="eastAsia" w:ascii="宋体" w:hAnsi="宋体"/>
                <w:b/>
                <w:szCs w:val="21"/>
              </w:rPr>
              <w:t>1工作日</w:t>
            </w:r>
          </w:p>
        </w:tc>
        <w:tc>
          <w:tcPr>
            <w:tcW w:w="900" w:type="dxa"/>
            <w:tcBorders>
              <w:top w:val="nil"/>
              <w:left w:val="nil"/>
              <w:bottom w:val="single" w:color="auto" w:sz="4" w:space="0"/>
              <w:right w:val="single" w:color="auto" w:sz="4" w:space="0"/>
            </w:tcBorders>
            <w:noWrap w:val="0"/>
            <w:vAlign w:val="center"/>
          </w:tcPr>
          <w:p>
            <w:pPr>
              <w:jc w:val="center"/>
              <w:rPr>
                <w:rFonts w:hint="eastAsia" w:ascii="宋体" w:hAnsi="宋体"/>
                <w:b/>
                <w:szCs w:val="21"/>
              </w:rPr>
            </w:pPr>
            <w:r>
              <w:rPr>
                <w:rFonts w:hint="eastAsia" w:ascii="宋体" w:hAnsi="宋体"/>
                <w:b/>
                <w:szCs w:val="21"/>
              </w:rPr>
              <w:t>1分</w:t>
            </w:r>
          </w:p>
        </w:tc>
        <w:tc>
          <w:tcPr>
            <w:tcW w:w="3780" w:type="dxa"/>
            <w:tcBorders>
              <w:top w:val="nil"/>
              <w:left w:val="nil"/>
              <w:bottom w:val="single" w:color="auto" w:sz="4" w:space="0"/>
              <w:right w:val="single" w:color="auto" w:sz="4" w:space="0"/>
            </w:tcBorders>
            <w:noWrap w:val="0"/>
            <w:vAlign w:val="center"/>
          </w:tcPr>
          <w:p>
            <w:pPr>
              <w:rPr>
                <w:rFonts w:hint="eastAsia" w:ascii="宋体" w:hAnsi="宋体"/>
                <w:b/>
                <w:szCs w:val="21"/>
              </w:rPr>
            </w:pPr>
            <w:r>
              <w:rPr>
                <w:rFonts w:hint="eastAsia" w:ascii="宋体" w:hAnsi="宋体"/>
                <w:b/>
                <w:szCs w:val="21"/>
              </w:rPr>
              <w:t>1个工作日内整改不扣分；超过1个工作日整改每1个工作日扣1分，扣分累计</w:t>
            </w:r>
          </w:p>
        </w:tc>
      </w:tr>
      <w:tr>
        <w:tblPrEx>
          <w:tblCellMar>
            <w:top w:w="15" w:type="dxa"/>
            <w:left w:w="15" w:type="dxa"/>
            <w:bottom w:w="0" w:type="dxa"/>
            <w:right w:w="15" w:type="dxa"/>
          </w:tblCellMar>
        </w:tblPrEx>
        <w:trPr>
          <w:wBefore w:w="0" w:type="dxa"/>
          <w:wAfter w:w="0" w:type="dxa"/>
          <w:trHeight w:val="921" w:hRule="atLeast"/>
          <w:jc w:val="center"/>
        </w:trPr>
        <w:tc>
          <w:tcPr>
            <w:tcW w:w="780" w:type="dxa"/>
            <w:vMerge w:val="continue"/>
            <w:tcBorders>
              <w:top w:val="single" w:color="auto" w:sz="4" w:space="0"/>
              <w:left w:val="single" w:color="auto" w:sz="4" w:space="0"/>
              <w:right w:val="single" w:color="auto" w:sz="4" w:space="0"/>
            </w:tcBorders>
            <w:noWrap w:val="0"/>
            <w:vAlign w:val="center"/>
          </w:tcPr>
          <w:p>
            <w:pPr>
              <w:rPr>
                <w:rFonts w:ascii="宋体" w:hAnsi="宋体"/>
                <w:szCs w:val="21"/>
              </w:rPr>
            </w:pPr>
          </w:p>
        </w:tc>
        <w:tc>
          <w:tcPr>
            <w:tcW w:w="1620" w:type="dxa"/>
            <w:vMerge w:val="continue"/>
            <w:tcBorders>
              <w:top w:val="single" w:color="auto" w:sz="4" w:space="0"/>
              <w:left w:val="single" w:color="auto" w:sz="4" w:space="0"/>
              <w:right w:val="single" w:color="auto" w:sz="4" w:space="0"/>
            </w:tcBorders>
            <w:noWrap w:val="0"/>
            <w:vAlign w:val="center"/>
          </w:tcPr>
          <w:p>
            <w:pPr>
              <w:rPr>
                <w:rFonts w:ascii="宋体" w:hAnsi="宋体"/>
                <w:szCs w:val="21"/>
              </w:rPr>
            </w:pPr>
          </w:p>
        </w:tc>
        <w:tc>
          <w:tcPr>
            <w:tcW w:w="54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03</w:t>
            </w:r>
          </w:p>
        </w:tc>
        <w:tc>
          <w:tcPr>
            <w:tcW w:w="144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道路泥沙、积水</w:t>
            </w: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rPr>
            </w:pPr>
            <w:r>
              <w:rPr>
                <w:rFonts w:hint="eastAsia" w:ascii="宋体" w:hAnsi="宋体"/>
                <w:b/>
                <w:szCs w:val="21"/>
              </w:rPr>
              <w:t>01</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b/>
                <w:bCs/>
                <w:szCs w:val="21"/>
              </w:rPr>
            </w:pPr>
            <w:r>
              <w:rPr>
                <w:rFonts w:hint="eastAsia" w:ascii="宋体" w:hAnsi="宋体"/>
                <w:b/>
                <w:bCs/>
                <w:szCs w:val="21"/>
              </w:rPr>
              <w:t>人行道沙石、积泥长度＜2米</w:t>
            </w: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bCs/>
                <w:szCs w:val="21"/>
              </w:rPr>
            </w:pPr>
            <w:r>
              <w:rPr>
                <w:rFonts w:hint="eastAsia" w:ascii="宋体" w:hAnsi="宋体"/>
                <w:b/>
                <w:bCs/>
                <w:szCs w:val="21"/>
              </w:rPr>
              <w:t>静态</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bCs/>
                <w:szCs w:val="21"/>
              </w:rPr>
            </w:pPr>
            <w:r>
              <w:rPr>
                <w:rFonts w:hint="eastAsia" w:ascii="宋体" w:hAnsi="宋体"/>
                <w:b/>
                <w:bCs/>
                <w:szCs w:val="21"/>
              </w:rPr>
              <w:t>30分钟</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bCs/>
                <w:szCs w:val="21"/>
              </w:rPr>
            </w:pPr>
            <w:r>
              <w:rPr>
                <w:rFonts w:hint="eastAsia" w:ascii="宋体" w:hAnsi="宋体"/>
                <w:b/>
                <w:bCs/>
                <w:szCs w:val="21"/>
              </w:rPr>
              <w:t>0.1分</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b/>
                <w:bCs/>
                <w:szCs w:val="21"/>
              </w:rPr>
            </w:pPr>
            <w:r>
              <w:rPr>
                <w:rFonts w:hint="eastAsia" w:ascii="宋体" w:hAnsi="宋体"/>
                <w:b/>
                <w:bCs/>
                <w:szCs w:val="21"/>
              </w:rPr>
              <w:t>一立案即扣0.1分。立案后30分钟内整改则结束扣分；超过30分钟整改，每30分钟扣0.1分，扣分累计</w:t>
            </w:r>
          </w:p>
        </w:tc>
      </w:tr>
      <w:tr>
        <w:tblPrEx>
          <w:tblCellMar>
            <w:top w:w="15" w:type="dxa"/>
            <w:left w:w="15" w:type="dxa"/>
            <w:bottom w:w="0" w:type="dxa"/>
            <w:right w:w="15" w:type="dxa"/>
          </w:tblCellMar>
        </w:tblPrEx>
        <w:trPr>
          <w:wBefore w:w="0" w:type="dxa"/>
          <w:wAfter w:w="0" w:type="dxa"/>
          <w:trHeight w:val="939" w:hRule="atLeast"/>
          <w:jc w:val="center"/>
        </w:trPr>
        <w:tc>
          <w:tcPr>
            <w:tcW w:w="780" w:type="dxa"/>
            <w:vMerge w:val="continue"/>
            <w:tcBorders>
              <w:left w:val="single" w:color="auto" w:sz="4" w:space="0"/>
              <w:right w:val="single" w:color="auto" w:sz="4" w:space="0"/>
            </w:tcBorders>
            <w:noWrap w:val="0"/>
            <w:vAlign w:val="center"/>
          </w:tcPr>
          <w:p>
            <w:pPr>
              <w:rPr>
                <w:rFonts w:ascii="宋体" w:hAnsi="宋体"/>
                <w:szCs w:val="21"/>
              </w:rPr>
            </w:pPr>
          </w:p>
        </w:tc>
        <w:tc>
          <w:tcPr>
            <w:tcW w:w="1620" w:type="dxa"/>
            <w:vMerge w:val="continue"/>
            <w:tcBorders>
              <w:left w:val="single" w:color="auto" w:sz="4" w:space="0"/>
              <w:right w:val="single" w:color="auto" w:sz="4" w:space="0"/>
            </w:tcBorders>
            <w:noWrap w:val="0"/>
            <w:vAlign w:val="center"/>
          </w:tcPr>
          <w:p>
            <w:pPr>
              <w:rPr>
                <w:rFonts w:ascii="宋体" w:hAnsi="宋体"/>
                <w:szCs w:val="21"/>
              </w:rPr>
            </w:pPr>
          </w:p>
        </w:tc>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144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rPr>
            </w:pPr>
            <w:r>
              <w:rPr>
                <w:rFonts w:hint="eastAsia" w:ascii="宋体" w:hAnsi="宋体"/>
                <w:b/>
                <w:szCs w:val="21"/>
              </w:rPr>
              <w:t>02</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b/>
                <w:bCs/>
                <w:szCs w:val="21"/>
              </w:rPr>
            </w:pPr>
            <w:r>
              <w:rPr>
                <w:rFonts w:hint="eastAsia" w:ascii="宋体" w:hAnsi="宋体"/>
                <w:b/>
                <w:bCs/>
                <w:szCs w:val="21"/>
              </w:rPr>
              <w:t>晴天道路积水＜3㎡（因市政排水设施堵塞等特殊原因造成积水除外）</w:t>
            </w: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bCs/>
                <w:szCs w:val="21"/>
              </w:rPr>
            </w:pPr>
            <w:r>
              <w:rPr>
                <w:rFonts w:hint="eastAsia" w:ascii="宋体" w:hAnsi="宋体"/>
                <w:b/>
                <w:bCs/>
                <w:szCs w:val="21"/>
              </w:rPr>
              <w:t>动态</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bCs/>
                <w:szCs w:val="21"/>
              </w:rPr>
            </w:pPr>
            <w:r>
              <w:rPr>
                <w:rFonts w:hint="eastAsia" w:ascii="宋体" w:hAnsi="宋体"/>
                <w:b/>
                <w:bCs/>
                <w:szCs w:val="21"/>
              </w:rPr>
              <w:t>30分钟</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bCs/>
                <w:szCs w:val="21"/>
              </w:rPr>
            </w:pPr>
            <w:r>
              <w:rPr>
                <w:rFonts w:hint="eastAsia" w:ascii="宋体" w:hAnsi="宋体"/>
                <w:b/>
                <w:bCs/>
                <w:szCs w:val="21"/>
              </w:rPr>
              <w:t>0.1分</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b/>
                <w:bCs/>
                <w:szCs w:val="21"/>
              </w:rPr>
            </w:pPr>
            <w:r>
              <w:rPr>
                <w:rFonts w:hint="eastAsia" w:ascii="宋体" w:hAnsi="宋体"/>
                <w:b/>
                <w:szCs w:val="21"/>
              </w:rPr>
              <w:t>30分钟内整改不扣分；超过30分钟整改每30分钟扣0.1分，扣分累计</w:t>
            </w:r>
          </w:p>
        </w:tc>
      </w:tr>
      <w:tr>
        <w:tblPrEx>
          <w:tblCellMar>
            <w:top w:w="15" w:type="dxa"/>
            <w:left w:w="15" w:type="dxa"/>
            <w:bottom w:w="0" w:type="dxa"/>
            <w:right w:w="15" w:type="dxa"/>
          </w:tblCellMar>
        </w:tblPrEx>
        <w:trPr>
          <w:wBefore w:w="0" w:type="dxa"/>
          <w:wAfter w:w="0" w:type="dxa"/>
          <w:trHeight w:val="852" w:hRule="atLeast"/>
          <w:jc w:val="center"/>
        </w:trPr>
        <w:tc>
          <w:tcPr>
            <w:tcW w:w="780" w:type="dxa"/>
            <w:vMerge w:val="continue"/>
            <w:tcBorders>
              <w:left w:val="single" w:color="auto" w:sz="4" w:space="0"/>
              <w:right w:val="single" w:color="auto" w:sz="4" w:space="0"/>
            </w:tcBorders>
            <w:noWrap w:val="0"/>
            <w:vAlign w:val="center"/>
          </w:tcPr>
          <w:p>
            <w:pPr>
              <w:rPr>
                <w:rFonts w:ascii="宋体" w:hAnsi="宋体"/>
                <w:szCs w:val="21"/>
              </w:rPr>
            </w:pPr>
          </w:p>
        </w:tc>
        <w:tc>
          <w:tcPr>
            <w:tcW w:w="1620" w:type="dxa"/>
            <w:vMerge w:val="continue"/>
            <w:tcBorders>
              <w:left w:val="single" w:color="auto" w:sz="4" w:space="0"/>
              <w:right w:val="single" w:color="auto" w:sz="4" w:space="0"/>
            </w:tcBorders>
            <w:noWrap w:val="0"/>
            <w:vAlign w:val="center"/>
          </w:tcPr>
          <w:p>
            <w:pPr>
              <w:rPr>
                <w:rFonts w:ascii="宋体" w:hAnsi="宋体"/>
                <w:szCs w:val="21"/>
              </w:rPr>
            </w:pPr>
          </w:p>
        </w:tc>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p>
        </w:tc>
        <w:tc>
          <w:tcPr>
            <w:tcW w:w="144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rPr>
            </w:pPr>
            <w:r>
              <w:rPr>
                <w:rFonts w:hint="eastAsia" w:ascii="宋体" w:hAnsi="宋体"/>
                <w:b/>
                <w:szCs w:val="21"/>
              </w:rPr>
              <w:t>03</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b/>
                <w:bCs/>
                <w:szCs w:val="21"/>
              </w:rPr>
            </w:pPr>
            <w:r>
              <w:rPr>
                <w:rFonts w:hint="eastAsia" w:ascii="宋体" w:hAnsi="宋体"/>
                <w:b/>
                <w:bCs/>
                <w:szCs w:val="21"/>
              </w:rPr>
              <w:t>人行道沙石、积泥长度≥2米</w:t>
            </w: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bCs/>
                <w:szCs w:val="21"/>
              </w:rPr>
            </w:pPr>
            <w:r>
              <w:rPr>
                <w:rFonts w:hint="eastAsia" w:ascii="宋体" w:hAnsi="宋体"/>
                <w:b/>
                <w:bCs/>
                <w:szCs w:val="21"/>
              </w:rPr>
              <w:t>静态</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bCs/>
                <w:szCs w:val="21"/>
              </w:rPr>
            </w:pPr>
            <w:r>
              <w:rPr>
                <w:rFonts w:hint="eastAsia" w:ascii="宋体" w:hAnsi="宋体"/>
                <w:b/>
                <w:bCs/>
                <w:szCs w:val="21"/>
              </w:rPr>
              <w:t>1小时</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bCs/>
                <w:szCs w:val="21"/>
              </w:rPr>
            </w:pPr>
            <w:r>
              <w:rPr>
                <w:rFonts w:hint="eastAsia" w:ascii="宋体" w:hAnsi="宋体"/>
                <w:b/>
                <w:bCs/>
                <w:szCs w:val="21"/>
              </w:rPr>
              <w:t>0.4分</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b/>
                <w:bCs/>
                <w:szCs w:val="21"/>
              </w:rPr>
            </w:pPr>
            <w:r>
              <w:rPr>
                <w:rFonts w:hint="eastAsia" w:ascii="宋体" w:hAnsi="宋体"/>
                <w:b/>
                <w:bCs/>
                <w:szCs w:val="21"/>
              </w:rPr>
              <w:t>一立案即扣0.4分。立案后1小时内整改则结束扣分；超过1小时整改，每1小时扣0.4分，扣分累计</w:t>
            </w:r>
          </w:p>
        </w:tc>
      </w:tr>
      <w:tr>
        <w:tblPrEx>
          <w:tblCellMar>
            <w:top w:w="15" w:type="dxa"/>
            <w:left w:w="15" w:type="dxa"/>
            <w:bottom w:w="0" w:type="dxa"/>
            <w:right w:w="15" w:type="dxa"/>
          </w:tblCellMar>
        </w:tblPrEx>
        <w:trPr>
          <w:wBefore w:w="0" w:type="dxa"/>
          <w:wAfter w:w="0" w:type="dxa"/>
          <w:trHeight w:val="903" w:hRule="atLeast"/>
          <w:jc w:val="center"/>
        </w:trPr>
        <w:tc>
          <w:tcPr>
            <w:tcW w:w="780" w:type="dxa"/>
            <w:vMerge w:val="continue"/>
            <w:tcBorders>
              <w:left w:val="single" w:color="auto" w:sz="4" w:space="0"/>
              <w:right w:val="single" w:color="auto" w:sz="4" w:space="0"/>
            </w:tcBorders>
            <w:noWrap w:val="0"/>
            <w:vAlign w:val="center"/>
          </w:tcPr>
          <w:p>
            <w:pPr>
              <w:rPr>
                <w:rFonts w:ascii="宋体" w:hAnsi="宋体"/>
                <w:szCs w:val="21"/>
              </w:rPr>
            </w:pPr>
          </w:p>
        </w:tc>
        <w:tc>
          <w:tcPr>
            <w:tcW w:w="1620" w:type="dxa"/>
            <w:vMerge w:val="continue"/>
            <w:tcBorders>
              <w:left w:val="single" w:color="auto" w:sz="4" w:space="0"/>
              <w:right w:val="single" w:color="auto" w:sz="4" w:space="0"/>
            </w:tcBorders>
            <w:noWrap w:val="0"/>
            <w:vAlign w:val="center"/>
          </w:tcPr>
          <w:p>
            <w:pPr>
              <w:rPr>
                <w:rFonts w:ascii="宋体" w:hAnsi="宋体"/>
                <w:szCs w:val="21"/>
              </w:rPr>
            </w:pPr>
          </w:p>
        </w:tc>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p>
        </w:tc>
        <w:tc>
          <w:tcPr>
            <w:tcW w:w="144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rPr>
            </w:pPr>
            <w:r>
              <w:rPr>
                <w:rFonts w:hint="eastAsia" w:ascii="宋体" w:hAnsi="宋体"/>
                <w:b/>
                <w:szCs w:val="21"/>
              </w:rPr>
              <w:t>04</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b/>
                <w:bCs/>
                <w:szCs w:val="21"/>
              </w:rPr>
            </w:pPr>
            <w:r>
              <w:rPr>
                <w:rFonts w:hint="eastAsia" w:ascii="宋体" w:hAnsi="宋体"/>
                <w:b/>
                <w:bCs/>
                <w:szCs w:val="21"/>
              </w:rPr>
              <w:t>晴天道路积水面积≥3㎡（因市政排水设施堵塞等特殊原因造成积水除外）</w:t>
            </w: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bCs/>
                <w:szCs w:val="21"/>
              </w:rPr>
            </w:pPr>
            <w:r>
              <w:rPr>
                <w:rFonts w:hint="eastAsia" w:ascii="宋体" w:hAnsi="宋体"/>
                <w:b/>
                <w:bCs/>
                <w:szCs w:val="21"/>
              </w:rPr>
              <w:t>动态</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bCs/>
                <w:szCs w:val="21"/>
              </w:rPr>
            </w:pPr>
            <w:r>
              <w:rPr>
                <w:rFonts w:hint="eastAsia" w:ascii="宋体" w:hAnsi="宋体"/>
                <w:b/>
                <w:bCs/>
                <w:szCs w:val="21"/>
              </w:rPr>
              <w:t>1小时</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bCs/>
                <w:szCs w:val="21"/>
              </w:rPr>
            </w:pPr>
            <w:r>
              <w:rPr>
                <w:rFonts w:hint="eastAsia" w:ascii="宋体" w:hAnsi="宋体"/>
                <w:b/>
                <w:bCs/>
                <w:szCs w:val="21"/>
              </w:rPr>
              <w:t>0.4分</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b/>
                <w:bCs/>
                <w:szCs w:val="21"/>
              </w:rPr>
            </w:pPr>
            <w:r>
              <w:rPr>
                <w:rFonts w:hint="eastAsia" w:ascii="宋体" w:hAnsi="宋体"/>
                <w:b/>
                <w:szCs w:val="21"/>
              </w:rPr>
              <w:t>1小时内整改不扣分；超过1小时整改每1小时扣0.1分，扣分累计</w:t>
            </w:r>
          </w:p>
        </w:tc>
      </w:tr>
      <w:tr>
        <w:tblPrEx>
          <w:tblCellMar>
            <w:top w:w="15" w:type="dxa"/>
            <w:left w:w="15" w:type="dxa"/>
            <w:bottom w:w="0" w:type="dxa"/>
            <w:right w:w="15" w:type="dxa"/>
          </w:tblCellMar>
        </w:tblPrEx>
        <w:trPr>
          <w:wBefore w:w="0" w:type="dxa"/>
          <w:wAfter w:w="0" w:type="dxa"/>
          <w:trHeight w:val="785" w:hRule="atLeast"/>
          <w:jc w:val="center"/>
        </w:trPr>
        <w:tc>
          <w:tcPr>
            <w:tcW w:w="780" w:type="dxa"/>
            <w:vMerge w:val="continue"/>
            <w:tcBorders>
              <w:left w:val="single" w:color="auto" w:sz="4" w:space="0"/>
              <w:right w:val="single" w:color="auto" w:sz="4" w:space="0"/>
            </w:tcBorders>
            <w:noWrap w:val="0"/>
            <w:vAlign w:val="center"/>
          </w:tcPr>
          <w:p>
            <w:pPr>
              <w:rPr>
                <w:rFonts w:ascii="宋体" w:hAnsi="宋体"/>
                <w:szCs w:val="21"/>
              </w:rPr>
            </w:pPr>
          </w:p>
        </w:tc>
        <w:tc>
          <w:tcPr>
            <w:tcW w:w="1620" w:type="dxa"/>
            <w:vMerge w:val="continue"/>
            <w:tcBorders>
              <w:left w:val="single" w:color="auto" w:sz="4" w:space="0"/>
              <w:right w:val="single" w:color="auto" w:sz="4" w:space="0"/>
            </w:tcBorders>
            <w:noWrap w:val="0"/>
            <w:vAlign w:val="center"/>
          </w:tcPr>
          <w:p>
            <w:pPr>
              <w:rPr>
                <w:rFonts w:ascii="宋体" w:hAnsi="宋体"/>
                <w:szCs w:val="21"/>
              </w:rPr>
            </w:pPr>
          </w:p>
        </w:tc>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p>
        </w:tc>
        <w:tc>
          <w:tcPr>
            <w:tcW w:w="144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rPr>
            </w:pPr>
            <w:r>
              <w:rPr>
                <w:rFonts w:hint="eastAsia" w:ascii="宋体" w:hAnsi="宋体"/>
                <w:b/>
                <w:szCs w:val="21"/>
              </w:rPr>
              <w:t>05</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b/>
                <w:szCs w:val="21"/>
              </w:rPr>
            </w:pPr>
            <w:r>
              <w:rPr>
                <w:rFonts w:hint="eastAsia" w:ascii="宋体" w:hAnsi="宋体"/>
                <w:b/>
                <w:szCs w:val="21"/>
              </w:rPr>
              <w:t>工地出入口路面泥沙、积水等</w:t>
            </w: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rPr>
            </w:pPr>
            <w:r>
              <w:rPr>
                <w:rFonts w:hint="eastAsia" w:ascii="宋体" w:hAnsi="宋体"/>
                <w:b/>
                <w:szCs w:val="21"/>
              </w:rPr>
              <w:t>动态</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rPr>
            </w:pPr>
            <w:r>
              <w:rPr>
                <w:rFonts w:hint="eastAsia" w:ascii="宋体" w:hAnsi="宋体"/>
                <w:b/>
                <w:szCs w:val="21"/>
              </w:rPr>
              <w:t>6小时</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rPr>
            </w:pPr>
            <w:r>
              <w:rPr>
                <w:rFonts w:hint="eastAsia" w:ascii="宋体" w:hAnsi="宋体"/>
                <w:b/>
                <w:szCs w:val="21"/>
              </w:rPr>
              <w:t>0.4分</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b/>
                <w:szCs w:val="21"/>
              </w:rPr>
            </w:pPr>
            <w:r>
              <w:rPr>
                <w:rFonts w:hint="eastAsia" w:ascii="宋体" w:hAnsi="宋体"/>
                <w:b/>
                <w:szCs w:val="21"/>
              </w:rPr>
              <w:t>6小时内整改不扣分；超过6小时整改每6小时扣0.4分，扣分累计</w:t>
            </w:r>
          </w:p>
        </w:tc>
      </w:tr>
      <w:tr>
        <w:tblPrEx>
          <w:tblCellMar>
            <w:top w:w="15" w:type="dxa"/>
            <w:left w:w="15" w:type="dxa"/>
            <w:bottom w:w="0" w:type="dxa"/>
            <w:right w:w="15" w:type="dxa"/>
          </w:tblCellMar>
        </w:tblPrEx>
        <w:trPr>
          <w:wBefore w:w="0" w:type="dxa"/>
          <w:wAfter w:w="0" w:type="dxa"/>
          <w:trHeight w:val="882" w:hRule="atLeast"/>
          <w:jc w:val="center"/>
        </w:trPr>
        <w:tc>
          <w:tcPr>
            <w:tcW w:w="780" w:type="dxa"/>
            <w:vMerge w:val="continue"/>
            <w:tcBorders>
              <w:left w:val="single" w:color="auto" w:sz="4" w:space="0"/>
              <w:right w:val="single" w:color="auto" w:sz="4" w:space="0"/>
            </w:tcBorders>
            <w:noWrap w:val="0"/>
            <w:vAlign w:val="center"/>
          </w:tcPr>
          <w:p>
            <w:pPr>
              <w:rPr>
                <w:rFonts w:ascii="宋体" w:hAnsi="宋体"/>
                <w:szCs w:val="21"/>
              </w:rPr>
            </w:pPr>
          </w:p>
        </w:tc>
        <w:tc>
          <w:tcPr>
            <w:tcW w:w="1620" w:type="dxa"/>
            <w:vMerge w:val="continue"/>
            <w:tcBorders>
              <w:left w:val="single" w:color="auto" w:sz="4" w:space="0"/>
              <w:right w:val="single" w:color="auto" w:sz="4" w:space="0"/>
            </w:tcBorders>
            <w:noWrap w:val="0"/>
            <w:vAlign w:val="center"/>
          </w:tcPr>
          <w:p>
            <w:pPr>
              <w:rPr>
                <w:rFonts w:ascii="宋体" w:hAnsi="宋体"/>
                <w:szCs w:val="21"/>
              </w:rPr>
            </w:pPr>
          </w:p>
        </w:tc>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p>
        </w:tc>
        <w:tc>
          <w:tcPr>
            <w:tcW w:w="144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rPr>
            </w:pPr>
            <w:r>
              <w:rPr>
                <w:rFonts w:hint="eastAsia" w:ascii="宋体" w:hAnsi="宋体"/>
                <w:b/>
                <w:szCs w:val="21"/>
              </w:rPr>
              <w:t>06</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b/>
                <w:szCs w:val="21"/>
              </w:rPr>
            </w:pPr>
            <w:r>
              <w:rPr>
                <w:rFonts w:hint="eastAsia" w:ascii="宋体" w:hAnsi="宋体"/>
                <w:b/>
                <w:szCs w:val="21"/>
              </w:rPr>
              <w:t>工程车或施工造成路面少量泥沙、沙石等，长度＜5米</w:t>
            </w: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rPr>
            </w:pPr>
            <w:r>
              <w:rPr>
                <w:rFonts w:hint="eastAsia" w:ascii="宋体" w:hAnsi="宋体"/>
                <w:b/>
                <w:szCs w:val="21"/>
              </w:rPr>
              <w:t>动态</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rPr>
            </w:pPr>
            <w:r>
              <w:rPr>
                <w:rFonts w:hint="eastAsia" w:ascii="宋体" w:hAnsi="宋体"/>
                <w:b/>
                <w:szCs w:val="21"/>
              </w:rPr>
              <w:t>1小时</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rPr>
            </w:pPr>
            <w:r>
              <w:rPr>
                <w:rFonts w:hint="eastAsia" w:ascii="宋体" w:hAnsi="宋体"/>
                <w:b/>
                <w:szCs w:val="21"/>
              </w:rPr>
              <w:t>0.1分</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b/>
                <w:szCs w:val="21"/>
              </w:rPr>
            </w:pPr>
            <w:r>
              <w:rPr>
                <w:rFonts w:hint="eastAsia" w:ascii="宋体" w:hAnsi="宋体"/>
                <w:b/>
                <w:szCs w:val="21"/>
              </w:rPr>
              <w:t>1小时内整改不扣分；超过1小时整改每1小时扣0.1分，扣分累计</w:t>
            </w:r>
          </w:p>
        </w:tc>
      </w:tr>
      <w:tr>
        <w:tblPrEx>
          <w:tblCellMar>
            <w:top w:w="15" w:type="dxa"/>
            <w:left w:w="15" w:type="dxa"/>
            <w:bottom w:w="0" w:type="dxa"/>
            <w:right w:w="15" w:type="dxa"/>
          </w:tblCellMar>
        </w:tblPrEx>
        <w:trPr>
          <w:wBefore w:w="0" w:type="dxa"/>
          <w:wAfter w:w="0" w:type="dxa"/>
          <w:trHeight w:val="882" w:hRule="atLeast"/>
          <w:jc w:val="center"/>
        </w:trPr>
        <w:tc>
          <w:tcPr>
            <w:tcW w:w="780" w:type="dxa"/>
            <w:vMerge w:val="continue"/>
            <w:tcBorders>
              <w:left w:val="single" w:color="auto" w:sz="4" w:space="0"/>
              <w:right w:val="single" w:color="auto" w:sz="4" w:space="0"/>
            </w:tcBorders>
            <w:noWrap w:val="0"/>
            <w:vAlign w:val="center"/>
          </w:tcPr>
          <w:p>
            <w:pPr>
              <w:rPr>
                <w:rFonts w:ascii="宋体" w:hAnsi="宋体"/>
                <w:szCs w:val="21"/>
              </w:rPr>
            </w:pPr>
          </w:p>
        </w:tc>
        <w:tc>
          <w:tcPr>
            <w:tcW w:w="1620" w:type="dxa"/>
            <w:vMerge w:val="continue"/>
            <w:tcBorders>
              <w:left w:val="single" w:color="auto" w:sz="4" w:space="0"/>
              <w:right w:val="single" w:color="auto" w:sz="4" w:space="0"/>
            </w:tcBorders>
            <w:noWrap w:val="0"/>
            <w:vAlign w:val="center"/>
          </w:tcPr>
          <w:p>
            <w:pPr>
              <w:rPr>
                <w:rFonts w:ascii="宋体" w:hAnsi="宋体"/>
                <w:szCs w:val="21"/>
              </w:rPr>
            </w:pPr>
          </w:p>
        </w:tc>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p>
        </w:tc>
        <w:tc>
          <w:tcPr>
            <w:tcW w:w="144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rPr>
            </w:pPr>
            <w:r>
              <w:rPr>
                <w:rFonts w:hint="eastAsia" w:ascii="宋体" w:hAnsi="宋体"/>
                <w:b/>
                <w:szCs w:val="21"/>
              </w:rPr>
              <w:t>07</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b/>
                <w:szCs w:val="21"/>
              </w:rPr>
            </w:pPr>
            <w:r>
              <w:rPr>
                <w:rFonts w:hint="eastAsia" w:ascii="宋体" w:hAnsi="宋体"/>
                <w:b/>
                <w:szCs w:val="21"/>
              </w:rPr>
              <w:t>工程车或施工造成路面大量遗撒泥沙、沙石等，长度≥5米</w:t>
            </w: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rPr>
            </w:pPr>
            <w:r>
              <w:rPr>
                <w:rFonts w:hint="eastAsia" w:ascii="宋体" w:hAnsi="宋体"/>
                <w:b/>
                <w:szCs w:val="21"/>
              </w:rPr>
              <w:t>动态</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rPr>
            </w:pPr>
            <w:r>
              <w:rPr>
                <w:rFonts w:hint="eastAsia" w:ascii="宋体" w:hAnsi="宋体"/>
                <w:b/>
                <w:szCs w:val="21"/>
              </w:rPr>
              <w:t>6小时</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rPr>
            </w:pPr>
            <w:r>
              <w:rPr>
                <w:rFonts w:hint="eastAsia" w:ascii="宋体" w:hAnsi="宋体"/>
                <w:b/>
                <w:szCs w:val="21"/>
              </w:rPr>
              <w:t>0.4分</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b/>
                <w:szCs w:val="21"/>
              </w:rPr>
            </w:pPr>
            <w:r>
              <w:rPr>
                <w:rFonts w:hint="eastAsia" w:ascii="宋体" w:hAnsi="宋体"/>
                <w:b/>
                <w:szCs w:val="21"/>
              </w:rPr>
              <w:t>6小时内整改不扣分；超过6小时整改每6小时扣0.4分，扣分累计</w:t>
            </w:r>
          </w:p>
        </w:tc>
      </w:tr>
      <w:tr>
        <w:tblPrEx>
          <w:tblCellMar>
            <w:top w:w="15" w:type="dxa"/>
            <w:left w:w="15" w:type="dxa"/>
            <w:bottom w:w="0" w:type="dxa"/>
            <w:right w:w="15" w:type="dxa"/>
          </w:tblCellMar>
        </w:tblPrEx>
        <w:trPr>
          <w:wBefore w:w="0" w:type="dxa"/>
          <w:wAfter w:w="0" w:type="dxa"/>
          <w:trHeight w:val="882" w:hRule="atLeast"/>
          <w:jc w:val="center"/>
        </w:trPr>
        <w:tc>
          <w:tcPr>
            <w:tcW w:w="780" w:type="dxa"/>
            <w:vMerge w:val="continue"/>
            <w:tcBorders>
              <w:left w:val="single" w:color="auto" w:sz="4" w:space="0"/>
              <w:right w:val="single" w:color="auto" w:sz="4" w:space="0"/>
            </w:tcBorders>
            <w:noWrap w:val="0"/>
            <w:vAlign w:val="center"/>
          </w:tcPr>
          <w:p>
            <w:pPr>
              <w:rPr>
                <w:rFonts w:ascii="宋体" w:hAnsi="宋体"/>
                <w:szCs w:val="21"/>
              </w:rPr>
            </w:pPr>
          </w:p>
        </w:tc>
        <w:tc>
          <w:tcPr>
            <w:tcW w:w="1620" w:type="dxa"/>
            <w:vMerge w:val="continue"/>
            <w:tcBorders>
              <w:left w:val="single" w:color="auto" w:sz="4" w:space="0"/>
              <w:right w:val="single" w:color="auto" w:sz="4" w:space="0"/>
            </w:tcBorders>
            <w:noWrap w:val="0"/>
            <w:vAlign w:val="center"/>
          </w:tcPr>
          <w:p>
            <w:pPr>
              <w:rPr>
                <w:rFonts w:ascii="宋体" w:hAnsi="宋体"/>
                <w:szCs w:val="21"/>
              </w:rPr>
            </w:pPr>
          </w:p>
        </w:tc>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p>
        </w:tc>
        <w:tc>
          <w:tcPr>
            <w:tcW w:w="144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08</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冬季路面积水导致路面结冰</w:t>
            </w:r>
          </w:p>
          <w:p>
            <w:pPr>
              <w:jc w:val="center"/>
              <w:rPr>
                <w:rFonts w:ascii="宋体" w:hAnsi="宋体"/>
                <w:szCs w:val="21"/>
              </w:rPr>
            </w:pPr>
            <w:r>
              <w:rPr>
                <w:rFonts w:hint="eastAsia" w:ascii="宋体" w:hAnsi="宋体"/>
                <w:szCs w:val="21"/>
              </w:rPr>
              <w:t>（因市政排水设施堵塞造成的除外）</w:t>
            </w: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静态</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1小时</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2分</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一立案即扣2分。立案后1小时内整改则结束扣分；超过1小时整改，每1小时扣2分，扣分累计</w:t>
            </w:r>
          </w:p>
        </w:tc>
      </w:tr>
      <w:tr>
        <w:tblPrEx>
          <w:tblCellMar>
            <w:top w:w="15" w:type="dxa"/>
            <w:left w:w="15" w:type="dxa"/>
            <w:bottom w:w="0" w:type="dxa"/>
            <w:right w:w="15" w:type="dxa"/>
          </w:tblCellMar>
        </w:tblPrEx>
        <w:trPr>
          <w:wBefore w:w="0" w:type="dxa"/>
          <w:wAfter w:w="0" w:type="dxa"/>
          <w:trHeight w:val="882" w:hRule="atLeast"/>
          <w:jc w:val="center"/>
        </w:trPr>
        <w:tc>
          <w:tcPr>
            <w:tcW w:w="780" w:type="dxa"/>
            <w:vMerge w:val="continue"/>
            <w:tcBorders>
              <w:left w:val="single" w:color="auto" w:sz="4" w:space="0"/>
              <w:right w:val="single" w:color="auto" w:sz="4" w:space="0"/>
            </w:tcBorders>
            <w:noWrap w:val="0"/>
            <w:vAlign w:val="center"/>
          </w:tcPr>
          <w:p>
            <w:pPr>
              <w:rPr>
                <w:rFonts w:ascii="宋体" w:hAnsi="宋体"/>
                <w:szCs w:val="21"/>
              </w:rPr>
            </w:pPr>
          </w:p>
        </w:tc>
        <w:tc>
          <w:tcPr>
            <w:tcW w:w="1620" w:type="dxa"/>
            <w:vMerge w:val="continue"/>
            <w:tcBorders>
              <w:left w:val="single" w:color="auto" w:sz="4" w:space="0"/>
              <w:right w:val="single" w:color="auto" w:sz="4" w:space="0"/>
            </w:tcBorders>
            <w:noWrap w:val="0"/>
            <w:vAlign w:val="center"/>
          </w:tcPr>
          <w:p>
            <w:pPr>
              <w:rPr>
                <w:rFonts w:ascii="宋体" w:hAnsi="宋体"/>
                <w:szCs w:val="21"/>
              </w:rPr>
            </w:pPr>
          </w:p>
        </w:tc>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p>
        </w:tc>
        <w:tc>
          <w:tcPr>
            <w:tcW w:w="144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09</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因路面积水未清除，结冰后导致有责交通事故（因市政排水设施堵塞造成的除外）</w:t>
            </w: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静态</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1小时</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4分</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一立案即扣4分。立案后1小时内整改则结束扣分；超过1小时整改，每1小时扣4分，扣分累计</w:t>
            </w:r>
          </w:p>
        </w:tc>
      </w:tr>
      <w:tr>
        <w:tblPrEx>
          <w:tblCellMar>
            <w:top w:w="15" w:type="dxa"/>
            <w:left w:w="15" w:type="dxa"/>
            <w:bottom w:w="0" w:type="dxa"/>
            <w:right w:w="15" w:type="dxa"/>
          </w:tblCellMar>
        </w:tblPrEx>
        <w:trPr>
          <w:wBefore w:w="0" w:type="dxa"/>
          <w:wAfter w:w="0" w:type="dxa"/>
          <w:trHeight w:val="715" w:hRule="atLeast"/>
          <w:jc w:val="center"/>
        </w:trPr>
        <w:tc>
          <w:tcPr>
            <w:tcW w:w="780" w:type="dxa"/>
            <w:vMerge w:val="continue"/>
            <w:tcBorders>
              <w:left w:val="single" w:color="auto" w:sz="4" w:space="0"/>
              <w:right w:val="single" w:color="auto" w:sz="4" w:space="0"/>
            </w:tcBorders>
            <w:noWrap w:val="0"/>
            <w:vAlign w:val="center"/>
          </w:tcPr>
          <w:p>
            <w:pPr>
              <w:rPr>
                <w:rFonts w:ascii="宋体" w:hAnsi="宋体"/>
                <w:szCs w:val="21"/>
              </w:rPr>
            </w:pPr>
          </w:p>
        </w:tc>
        <w:tc>
          <w:tcPr>
            <w:tcW w:w="1620" w:type="dxa"/>
            <w:vMerge w:val="continue"/>
            <w:tcBorders>
              <w:left w:val="single" w:color="auto" w:sz="4" w:space="0"/>
              <w:right w:val="single" w:color="auto" w:sz="4" w:space="0"/>
            </w:tcBorders>
            <w:noWrap w:val="0"/>
            <w:vAlign w:val="center"/>
          </w:tcPr>
          <w:p>
            <w:pPr>
              <w:rPr>
                <w:rFonts w:ascii="宋体" w:hAnsi="宋体"/>
                <w:szCs w:val="21"/>
              </w:rPr>
            </w:pPr>
          </w:p>
        </w:tc>
        <w:tc>
          <w:tcPr>
            <w:tcW w:w="540" w:type="dxa"/>
            <w:vMerge w:val="restart"/>
            <w:tcBorders>
              <w:top w:val="single" w:color="auto" w:sz="4" w:space="0"/>
              <w:left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04</w:t>
            </w:r>
          </w:p>
        </w:tc>
        <w:tc>
          <w:tcPr>
            <w:tcW w:w="1440" w:type="dxa"/>
            <w:vMerge w:val="restart"/>
            <w:tcBorders>
              <w:top w:val="single" w:color="auto" w:sz="4" w:space="0"/>
              <w:left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污水横流</w:t>
            </w: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01</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道路（墙到墙）上有明显污水、污迹面积＜1㎡</w:t>
            </w: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动态</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30分钟</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0.4分</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30分钟内整改不扣分；超过30分钟整改每30分钟扣0.4分，扣分累计</w:t>
            </w:r>
          </w:p>
        </w:tc>
      </w:tr>
      <w:tr>
        <w:tblPrEx>
          <w:tblCellMar>
            <w:top w:w="15" w:type="dxa"/>
            <w:left w:w="15" w:type="dxa"/>
            <w:bottom w:w="0" w:type="dxa"/>
            <w:right w:w="15" w:type="dxa"/>
          </w:tblCellMar>
        </w:tblPrEx>
        <w:trPr>
          <w:wBefore w:w="0" w:type="dxa"/>
          <w:wAfter w:w="0" w:type="dxa"/>
          <w:trHeight w:val="593" w:hRule="atLeast"/>
          <w:jc w:val="center"/>
        </w:trPr>
        <w:tc>
          <w:tcPr>
            <w:tcW w:w="780" w:type="dxa"/>
            <w:vMerge w:val="continue"/>
            <w:tcBorders>
              <w:left w:val="single" w:color="auto" w:sz="4" w:space="0"/>
              <w:right w:val="single" w:color="auto" w:sz="4" w:space="0"/>
            </w:tcBorders>
            <w:noWrap w:val="0"/>
            <w:vAlign w:val="center"/>
          </w:tcPr>
          <w:p>
            <w:pPr>
              <w:rPr>
                <w:rFonts w:ascii="宋体" w:hAnsi="宋体"/>
                <w:szCs w:val="21"/>
              </w:rPr>
            </w:pPr>
          </w:p>
        </w:tc>
        <w:tc>
          <w:tcPr>
            <w:tcW w:w="1620" w:type="dxa"/>
            <w:vMerge w:val="continue"/>
            <w:tcBorders>
              <w:left w:val="single" w:color="auto" w:sz="4" w:space="0"/>
              <w:right w:val="single" w:color="auto" w:sz="4" w:space="0"/>
            </w:tcBorders>
            <w:noWrap w:val="0"/>
            <w:vAlign w:val="center"/>
          </w:tcPr>
          <w:p>
            <w:pPr>
              <w:rPr>
                <w:rFonts w:ascii="宋体" w:hAnsi="宋体"/>
                <w:szCs w:val="21"/>
              </w:rPr>
            </w:pPr>
          </w:p>
        </w:tc>
        <w:tc>
          <w:tcPr>
            <w:tcW w:w="540" w:type="dxa"/>
            <w:vMerge w:val="continue"/>
            <w:tcBorders>
              <w:left w:val="single" w:color="auto" w:sz="4" w:space="0"/>
              <w:bottom w:val="single" w:color="auto" w:sz="4" w:space="0"/>
              <w:right w:val="single" w:color="auto" w:sz="4" w:space="0"/>
            </w:tcBorders>
            <w:noWrap w:val="0"/>
            <w:vAlign w:val="center"/>
          </w:tcPr>
          <w:p>
            <w:pPr>
              <w:rPr>
                <w:rFonts w:ascii="宋体" w:hAnsi="宋体"/>
                <w:szCs w:val="21"/>
              </w:rPr>
            </w:pPr>
          </w:p>
        </w:tc>
        <w:tc>
          <w:tcPr>
            <w:tcW w:w="1440" w:type="dxa"/>
            <w:vMerge w:val="continue"/>
            <w:tcBorders>
              <w:left w:val="single" w:color="auto" w:sz="4" w:space="0"/>
              <w:bottom w:val="single" w:color="auto" w:sz="4" w:space="0"/>
              <w:right w:val="single" w:color="auto" w:sz="4" w:space="0"/>
            </w:tcBorders>
            <w:noWrap w:val="0"/>
            <w:vAlign w:val="center"/>
          </w:tcPr>
          <w:p>
            <w:pPr>
              <w:rPr>
                <w:rFonts w:ascii="宋体" w:hAnsi="宋体"/>
                <w:szCs w:val="21"/>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02</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道路（墙到墙）上有明显污水、污迹面积≥1㎡</w:t>
            </w: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动态</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1小时</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1分</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1小时内整改不扣分；超过1小时整改每1小时扣1分，扣分累计</w:t>
            </w:r>
          </w:p>
        </w:tc>
      </w:tr>
      <w:tr>
        <w:tblPrEx>
          <w:tblCellMar>
            <w:top w:w="15" w:type="dxa"/>
            <w:left w:w="15" w:type="dxa"/>
            <w:bottom w:w="0" w:type="dxa"/>
            <w:right w:w="15" w:type="dxa"/>
          </w:tblCellMar>
        </w:tblPrEx>
        <w:trPr>
          <w:wBefore w:w="0" w:type="dxa"/>
          <w:wAfter w:w="0" w:type="dxa"/>
          <w:trHeight w:val="646" w:hRule="atLeast"/>
          <w:jc w:val="center"/>
        </w:trPr>
        <w:tc>
          <w:tcPr>
            <w:tcW w:w="780" w:type="dxa"/>
            <w:vMerge w:val="continue"/>
            <w:tcBorders>
              <w:left w:val="single" w:color="auto" w:sz="4" w:space="0"/>
              <w:right w:val="single" w:color="auto" w:sz="4" w:space="0"/>
            </w:tcBorders>
            <w:noWrap w:val="0"/>
            <w:vAlign w:val="center"/>
          </w:tcPr>
          <w:p>
            <w:pPr>
              <w:rPr>
                <w:rFonts w:ascii="宋体" w:hAnsi="宋体"/>
                <w:szCs w:val="21"/>
              </w:rPr>
            </w:pPr>
          </w:p>
        </w:tc>
        <w:tc>
          <w:tcPr>
            <w:tcW w:w="1620" w:type="dxa"/>
            <w:vMerge w:val="continue"/>
            <w:tcBorders>
              <w:left w:val="single" w:color="auto" w:sz="4" w:space="0"/>
              <w:right w:val="single" w:color="auto" w:sz="4" w:space="0"/>
            </w:tcBorders>
            <w:noWrap w:val="0"/>
            <w:vAlign w:val="center"/>
          </w:tcPr>
          <w:p>
            <w:pPr>
              <w:rPr>
                <w:rFonts w:ascii="宋体" w:hAnsi="宋体"/>
                <w:szCs w:val="21"/>
              </w:rPr>
            </w:pPr>
          </w:p>
        </w:tc>
        <w:tc>
          <w:tcPr>
            <w:tcW w:w="540" w:type="dxa"/>
            <w:vMerge w:val="restart"/>
            <w:tcBorders>
              <w:top w:val="single" w:color="auto" w:sz="4" w:space="0"/>
              <w:left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05</w:t>
            </w:r>
          </w:p>
        </w:tc>
        <w:tc>
          <w:tcPr>
            <w:tcW w:w="1440" w:type="dxa"/>
            <w:vMerge w:val="restart"/>
            <w:tcBorders>
              <w:top w:val="single" w:color="auto" w:sz="4" w:space="0"/>
              <w:left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br w:type="textWrapping"/>
            </w:r>
            <w:r>
              <w:rPr>
                <w:rFonts w:hint="eastAsia" w:ascii="宋体" w:hAnsi="宋体"/>
                <w:szCs w:val="21"/>
              </w:rPr>
              <w:t>绿地脏乱</w:t>
            </w: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01</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绿化带、树圈内有成堆垃圾、杂物等</w:t>
            </w: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动态</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1小时</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1分</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1小时内整改不扣分；超过1小时整改每1小时扣1分，扣分累计</w:t>
            </w:r>
          </w:p>
        </w:tc>
      </w:tr>
      <w:tr>
        <w:tblPrEx>
          <w:tblCellMar>
            <w:top w:w="15" w:type="dxa"/>
            <w:left w:w="15" w:type="dxa"/>
            <w:bottom w:w="0" w:type="dxa"/>
            <w:right w:w="15" w:type="dxa"/>
          </w:tblCellMar>
        </w:tblPrEx>
        <w:trPr>
          <w:wBefore w:w="0" w:type="dxa"/>
          <w:wAfter w:w="0" w:type="dxa"/>
          <w:trHeight w:val="772" w:hRule="atLeast"/>
          <w:jc w:val="center"/>
        </w:trPr>
        <w:tc>
          <w:tcPr>
            <w:tcW w:w="780" w:type="dxa"/>
            <w:vMerge w:val="continue"/>
            <w:tcBorders>
              <w:left w:val="single" w:color="auto" w:sz="4" w:space="0"/>
              <w:right w:val="single" w:color="auto" w:sz="4" w:space="0"/>
            </w:tcBorders>
            <w:noWrap w:val="0"/>
            <w:vAlign w:val="center"/>
          </w:tcPr>
          <w:p>
            <w:pPr>
              <w:rPr>
                <w:rFonts w:ascii="宋体" w:hAnsi="宋体"/>
                <w:szCs w:val="21"/>
              </w:rPr>
            </w:pPr>
          </w:p>
        </w:tc>
        <w:tc>
          <w:tcPr>
            <w:tcW w:w="1620" w:type="dxa"/>
            <w:vMerge w:val="continue"/>
            <w:tcBorders>
              <w:left w:val="single" w:color="auto" w:sz="4" w:space="0"/>
              <w:right w:val="single" w:color="auto" w:sz="4" w:space="0"/>
            </w:tcBorders>
            <w:noWrap w:val="0"/>
            <w:vAlign w:val="center"/>
          </w:tcPr>
          <w:p>
            <w:pPr>
              <w:rPr>
                <w:rFonts w:ascii="宋体" w:hAnsi="宋体"/>
                <w:szCs w:val="21"/>
              </w:rPr>
            </w:pPr>
          </w:p>
        </w:tc>
        <w:tc>
          <w:tcPr>
            <w:tcW w:w="540" w:type="dxa"/>
            <w:vMerge w:val="continue"/>
            <w:tcBorders>
              <w:left w:val="single" w:color="auto" w:sz="4" w:space="0"/>
              <w:bottom w:val="single" w:color="auto" w:sz="4" w:space="0"/>
              <w:right w:val="single" w:color="auto" w:sz="4" w:space="0"/>
            </w:tcBorders>
            <w:noWrap w:val="0"/>
            <w:vAlign w:val="center"/>
          </w:tcPr>
          <w:p>
            <w:pPr>
              <w:rPr>
                <w:rFonts w:ascii="宋体" w:hAnsi="宋体"/>
                <w:szCs w:val="21"/>
              </w:rPr>
            </w:pPr>
          </w:p>
        </w:tc>
        <w:tc>
          <w:tcPr>
            <w:tcW w:w="1440" w:type="dxa"/>
            <w:vMerge w:val="continue"/>
            <w:tcBorders>
              <w:left w:val="single" w:color="auto" w:sz="4" w:space="0"/>
              <w:bottom w:val="single" w:color="auto" w:sz="4" w:space="0"/>
              <w:right w:val="single" w:color="auto" w:sz="4" w:space="0"/>
            </w:tcBorders>
            <w:noWrap w:val="0"/>
            <w:vAlign w:val="center"/>
          </w:tcPr>
          <w:p>
            <w:pPr>
              <w:rPr>
                <w:rFonts w:ascii="宋体" w:hAnsi="宋体"/>
                <w:szCs w:val="21"/>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rPr>
            </w:pPr>
            <w:r>
              <w:rPr>
                <w:rFonts w:hint="eastAsia" w:ascii="宋体" w:hAnsi="宋体"/>
                <w:b/>
                <w:szCs w:val="21"/>
              </w:rPr>
              <w:t>02</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b/>
                <w:szCs w:val="21"/>
              </w:rPr>
            </w:pPr>
            <w:r>
              <w:rPr>
                <w:rFonts w:hint="eastAsia" w:ascii="宋体" w:hAnsi="宋体"/>
                <w:b/>
                <w:szCs w:val="21"/>
              </w:rPr>
              <w:t>绿化带内积存较多垃圾</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b/>
                <w:szCs w:val="21"/>
              </w:rPr>
            </w:pPr>
            <w:r>
              <w:rPr>
                <w:rFonts w:hint="eastAsia" w:ascii="宋体" w:hAnsi="宋体"/>
                <w:b/>
                <w:szCs w:val="21"/>
              </w:rPr>
              <w:t>静态</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b/>
                <w:szCs w:val="21"/>
              </w:rPr>
            </w:pPr>
            <w:r>
              <w:rPr>
                <w:rFonts w:hint="eastAsia" w:ascii="宋体" w:hAnsi="宋体"/>
                <w:b/>
                <w:szCs w:val="21"/>
              </w:rPr>
              <w:t>1小时</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b/>
                <w:szCs w:val="21"/>
              </w:rPr>
            </w:pPr>
            <w:r>
              <w:rPr>
                <w:rFonts w:hint="eastAsia" w:ascii="宋体" w:hAnsi="宋体"/>
                <w:b/>
                <w:szCs w:val="21"/>
              </w:rPr>
              <w:t>1分</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szCs w:val="21"/>
              </w:rPr>
            </w:pPr>
            <w:r>
              <w:rPr>
                <w:rFonts w:hint="eastAsia" w:ascii="宋体" w:hAnsi="宋体"/>
                <w:b/>
                <w:bCs/>
                <w:szCs w:val="21"/>
              </w:rPr>
              <w:t>一立案即扣1分。立案后1小时内整改则结束扣分；超过1小时整改，每1小时扣1分，扣分累计</w:t>
            </w:r>
          </w:p>
        </w:tc>
      </w:tr>
      <w:tr>
        <w:tblPrEx>
          <w:tblCellMar>
            <w:top w:w="15" w:type="dxa"/>
            <w:left w:w="15" w:type="dxa"/>
            <w:bottom w:w="0" w:type="dxa"/>
            <w:right w:w="15" w:type="dxa"/>
          </w:tblCellMar>
        </w:tblPrEx>
        <w:trPr>
          <w:wBefore w:w="0" w:type="dxa"/>
          <w:wAfter w:w="0" w:type="dxa"/>
          <w:trHeight w:val="565" w:hRule="atLeast"/>
          <w:jc w:val="center"/>
        </w:trPr>
        <w:tc>
          <w:tcPr>
            <w:tcW w:w="780" w:type="dxa"/>
            <w:vMerge w:val="continue"/>
            <w:tcBorders>
              <w:left w:val="single" w:color="auto" w:sz="4" w:space="0"/>
              <w:right w:val="single" w:color="auto" w:sz="4" w:space="0"/>
            </w:tcBorders>
            <w:noWrap w:val="0"/>
            <w:vAlign w:val="center"/>
          </w:tcPr>
          <w:p>
            <w:pPr>
              <w:rPr>
                <w:rFonts w:ascii="宋体" w:hAnsi="宋体"/>
                <w:szCs w:val="21"/>
              </w:rPr>
            </w:pPr>
          </w:p>
        </w:tc>
        <w:tc>
          <w:tcPr>
            <w:tcW w:w="1620" w:type="dxa"/>
            <w:vMerge w:val="continue"/>
            <w:tcBorders>
              <w:left w:val="single" w:color="auto" w:sz="4" w:space="0"/>
              <w:right w:val="single" w:color="auto" w:sz="4" w:space="0"/>
            </w:tcBorders>
            <w:noWrap w:val="0"/>
            <w:vAlign w:val="center"/>
          </w:tcPr>
          <w:p>
            <w:pPr>
              <w:rPr>
                <w:rFonts w:ascii="宋体" w:hAnsi="宋体"/>
                <w:szCs w:val="21"/>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rPr>
            </w:pPr>
            <w:r>
              <w:rPr>
                <w:rFonts w:hint="eastAsia" w:ascii="宋体" w:hAnsi="宋体"/>
                <w:b/>
                <w:szCs w:val="21"/>
              </w:rPr>
              <w:t>06</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rPr>
            </w:pPr>
            <w:r>
              <w:rPr>
                <w:rFonts w:hint="eastAsia" w:ascii="宋体" w:hAnsi="宋体"/>
                <w:b/>
                <w:szCs w:val="21"/>
              </w:rPr>
              <w:t>雨水井沟眼堵塞</w:t>
            </w: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rPr>
            </w:pPr>
            <w:r>
              <w:rPr>
                <w:rFonts w:hint="eastAsia" w:ascii="宋体" w:hAnsi="宋体"/>
                <w:b/>
                <w:szCs w:val="21"/>
              </w:rPr>
              <w:t>01</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b/>
                <w:szCs w:val="21"/>
              </w:rPr>
            </w:pPr>
            <w:r>
              <w:rPr>
                <w:rFonts w:hint="eastAsia" w:ascii="宋体" w:hAnsi="宋体"/>
                <w:b/>
                <w:szCs w:val="21"/>
              </w:rPr>
              <w:t>雨水井沟眼堵塞</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b/>
                <w:szCs w:val="21"/>
              </w:rPr>
            </w:pPr>
            <w:r>
              <w:rPr>
                <w:rFonts w:hint="eastAsia" w:ascii="宋体" w:hAnsi="宋体"/>
                <w:b/>
                <w:szCs w:val="21"/>
              </w:rPr>
              <w:t>静态</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b/>
                <w:szCs w:val="21"/>
              </w:rPr>
            </w:pPr>
            <w:r>
              <w:rPr>
                <w:rFonts w:hint="eastAsia" w:ascii="宋体" w:hAnsi="宋体"/>
                <w:b/>
                <w:szCs w:val="21"/>
              </w:rPr>
              <w:t>30分钟</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b/>
                <w:szCs w:val="21"/>
              </w:rPr>
            </w:pPr>
            <w:r>
              <w:rPr>
                <w:rFonts w:hint="eastAsia" w:ascii="宋体" w:hAnsi="宋体"/>
                <w:b/>
                <w:szCs w:val="21"/>
              </w:rPr>
              <w:t>0.1分</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b/>
                <w:szCs w:val="21"/>
              </w:rPr>
            </w:pPr>
            <w:r>
              <w:rPr>
                <w:rFonts w:hint="eastAsia" w:ascii="宋体" w:hAnsi="宋体"/>
                <w:b/>
                <w:szCs w:val="21"/>
              </w:rPr>
              <w:t>30分钟内整改不扣分；超过30分钟整改每30分钟扣0.1分，扣分累计</w:t>
            </w:r>
          </w:p>
        </w:tc>
      </w:tr>
      <w:tr>
        <w:tblPrEx>
          <w:tblCellMar>
            <w:top w:w="15" w:type="dxa"/>
            <w:left w:w="15" w:type="dxa"/>
            <w:bottom w:w="0" w:type="dxa"/>
            <w:right w:w="15" w:type="dxa"/>
          </w:tblCellMar>
        </w:tblPrEx>
        <w:trPr>
          <w:wBefore w:w="0" w:type="dxa"/>
          <w:wAfter w:w="0" w:type="dxa"/>
          <w:trHeight w:val="799" w:hRule="atLeast"/>
          <w:jc w:val="center"/>
        </w:trPr>
        <w:tc>
          <w:tcPr>
            <w:tcW w:w="780" w:type="dxa"/>
            <w:vMerge w:val="continue"/>
            <w:tcBorders>
              <w:left w:val="single" w:color="auto" w:sz="4" w:space="0"/>
              <w:right w:val="single" w:color="auto" w:sz="4" w:space="0"/>
            </w:tcBorders>
            <w:noWrap w:val="0"/>
            <w:vAlign w:val="center"/>
          </w:tcPr>
          <w:p>
            <w:pPr>
              <w:rPr>
                <w:rFonts w:ascii="宋体" w:hAnsi="宋体"/>
                <w:szCs w:val="21"/>
              </w:rPr>
            </w:pPr>
          </w:p>
        </w:tc>
        <w:tc>
          <w:tcPr>
            <w:tcW w:w="1620" w:type="dxa"/>
            <w:vMerge w:val="continue"/>
            <w:tcBorders>
              <w:left w:val="single" w:color="auto" w:sz="4" w:space="0"/>
              <w:right w:val="single" w:color="auto" w:sz="4" w:space="0"/>
            </w:tcBorders>
            <w:noWrap w:val="0"/>
            <w:vAlign w:val="center"/>
          </w:tcPr>
          <w:p>
            <w:pPr>
              <w:rPr>
                <w:rFonts w:ascii="宋体" w:hAnsi="宋体"/>
                <w:szCs w:val="21"/>
              </w:rPr>
            </w:pPr>
          </w:p>
        </w:tc>
        <w:tc>
          <w:tcPr>
            <w:tcW w:w="540" w:type="dxa"/>
            <w:vMerge w:val="restart"/>
            <w:tcBorders>
              <w:top w:val="single" w:color="auto" w:sz="4" w:space="0"/>
              <w:left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07</w:t>
            </w:r>
          </w:p>
        </w:tc>
        <w:tc>
          <w:tcPr>
            <w:tcW w:w="1440" w:type="dxa"/>
            <w:vMerge w:val="restart"/>
            <w:tcBorders>
              <w:top w:val="single" w:color="auto" w:sz="4" w:space="0"/>
              <w:left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清扫垃圾处理不当</w:t>
            </w: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01</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szCs w:val="21"/>
              </w:rPr>
            </w:pPr>
            <w:r>
              <w:rPr>
                <w:rFonts w:hint="eastAsia" w:ascii="宋体" w:hAnsi="宋体"/>
                <w:szCs w:val="21"/>
              </w:rPr>
              <w:t>清扫的垃圾归拢归堆后未处理（特殊情况除外，如落叶季节）</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静态</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 xml:space="preserve">30分钟 </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0.4分</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szCs w:val="21"/>
              </w:rPr>
            </w:pPr>
            <w:r>
              <w:rPr>
                <w:rFonts w:hint="eastAsia" w:ascii="宋体" w:hAnsi="宋体"/>
                <w:szCs w:val="21"/>
              </w:rPr>
              <w:t>一立案即扣0.4分。立案后30分钟内整改则结束扣分；超过30分钟整改，每30分钟扣0.4分，扣分累计</w:t>
            </w:r>
          </w:p>
        </w:tc>
      </w:tr>
      <w:tr>
        <w:tblPrEx>
          <w:tblCellMar>
            <w:top w:w="15" w:type="dxa"/>
            <w:left w:w="15" w:type="dxa"/>
            <w:bottom w:w="0" w:type="dxa"/>
            <w:right w:w="15" w:type="dxa"/>
          </w:tblCellMar>
        </w:tblPrEx>
        <w:trPr>
          <w:wBefore w:w="0" w:type="dxa"/>
          <w:wAfter w:w="0" w:type="dxa"/>
          <w:trHeight w:val="882" w:hRule="atLeast"/>
          <w:jc w:val="center"/>
        </w:trPr>
        <w:tc>
          <w:tcPr>
            <w:tcW w:w="780" w:type="dxa"/>
            <w:vMerge w:val="continue"/>
            <w:tcBorders>
              <w:left w:val="single" w:color="auto" w:sz="4" w:space="0"/>
              <w:right w:val="single" w:color="auto" w:sz="4" w:space="0"/>
            </w:tcBorders>
            <w:noWrap w:val="0"/>
            <w:vAlign w:val="center"/>
          </w:tcPr>
          <w:p>
            <w:pPr>
              <w:rPr>
                <w:rFonts w:ascii="宋体" w:hAnsi="宋体"/>
                <w:szCs w:val="21"/>
              </w:rPr>
            </w:pPr>
          </w:p>
        </w:tc>
        <w:tc>
          <w:tcPr>
            <w:tcW w:w="1620" w:type="dxa"/>
            <w:vMerge w:val="continue"/>
            <w:tcBorders>
              <w:left w:val="single" w:color="auto" w:sz="4" w:space="0"/>
              <w:right w:val="single" w:color="auto" w:sz="4" w:space="0"/>
            </w:tcBorders>
            <w:noWrap w:val="0"/>
            <w:vAlign w:val="center"/>
          </w:tcPr>
          <w:p>
            <w:pPr>
              <w:rPr>
                <w:rFonts w:ascii="宋体" w:hAnsi="宋体"/>
                <w:szCs w:val="21"/>
              </w:rPr>
            </w:pPr>
          </w:p>
        </w:tc>
        <w:tc>
          <w:tcPr>
            <w:tcW w:w="540" w:type="dxa"/>
            <w:vMerge w:val="continue"/>
            <w:tcBorders>
              <w:left w:val="single" w:color="auto" w:sz="4" w:space="0"/>
              <w:bottom w:val="single" w:color="auto" w:sz="4" w:space="0"/>
              <w:right w:val="single" w:color="auto" w:sz="4" w:space="0"/>
            </w:tcBorders>
            <w:noWrap w:val="0"/>
            <w:vAlign w:val="center"/>
          </w:tcPr>
          <w:p>
            <w:pPr>
              <w:rPr>
                <w:rFonts w:ascii="宋体" w:hAnsi="宋体"/>
                <w:szCs w:val="21"/>
              </w:rPr>
            </w:pPr>
          </w:p>
        </w:tc>
        <w:tc>
          <w:tcPr>
            <w:tcW w:w="1440" w:type="dxa"/>
            <w:vMerge w:val="continue"/>
            <w:tcBorders>
              <w:left w:val="single" w:color="auto" w:sz="4" w:space="0"/>
              <w:bottom w:val="single" w:color="auto" w:sz="4" w:space="0"/>
              <w:right w:val="single" w:color="auto" w:sz="4" w:space="0"/>
            </w:tcBorders>
            <w:noWrap w:val="0"/>
            <w:vAlign w:val="center"/>
          </w:tcPr>
          <w:p>
            <w:pPr>
              <w:rPr>
                <w:rFonts w:ascii="宋体" w:hAnsi="宋体"/>
                <w:szCs w:val="21"/>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02</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szCs w:val="21"/>
              </w:rPr>
            </w:pPr>
            <w:r>
              <w:rPr>
                <w:rFonts w:hint="eastAsia" w:ascii="宋体" w:hAnsi="宋体"/>
                <w:szCs w:val="21"/>
              </w:rPr>
              <w:t>保洁员将垃圾扫入、倒入窨井、河道、绿化带等</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静态</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30分钟</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1分</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szCs w:val="21"/>
              </w:rPr>
            </w:pPr>
            <w:r>
              <w:rPr>
                <w:rFonts w:hint="eastAsia" w:ascii="宋体" w:hAnsi="宋体"/>
                <w:szCs w:val="21"/>
              </w:rPr>
              <w:t>一立案即扣1分。立案后30分钟内整改则结束扣分；超过30分钟整改，每30分钟扣1分，扣分累计</w:t>
            </w:r>
          </w:p>
        </w:tc>
      </w:tr>
      <w:tr>
        <w:tblPrEx>
          <w:tblCellMar>
            <w:top w:w="15" w:type="dxa"/>
            <w:left w:w="15" w:type="dxa"/>
            <w:bottom w:w="0" w:type="dxa"/>
            <w:right w:w="15" w:type="dxa"/>
          </w:tblCellMar>
        </w:tblPrEx>
        <w:trPr>
          <w:wBefore w:w="0" w:type="dxa"/>
          <w:wAfter w:w="0" w:type="dxa"/>
          <w:trHeight w:val="882" w:hRule="atLeast"/>
          <w:jc w:val="center"/>
        </w:trPr>
        <w:tc>
          <w:tcPr>
            <w:tcW w:w="780" w:type="dxa"/>
            <w:vMerge w:val="continue"/>
            <w:tcBorders>
              <w:left w:val="single" w:color="auto" w:sz="4" w:space="0"/>
              <w:right w:val="single" w:color="auto" w:sz="4" w:space="0"/>
            </w:tcBorders>
            <w:noWrap w:val="0"/>
            <w:vAlign w:val="center"/>
          </w:tcPr>
          <w:p>
            <w:pPr>
              <w:rPr>
                <w:rFonts w:ascii="宋体" w:hAnsi="宋体"/>
                <w:szCs w:val="21"/>
              </w:rPr>
            </w:pPr>
          </w:p>
        </w:tc>
        <w:tc>
          <w:tcPr>
            <w:tcW w:w="1620" w:type="dxa"/>
            <w:vMerge w:val="continue"/>
            <w:tcBorders>
              <w:left w:val="single" w:color="auto" w:sz="4" w:space="0"/>
              <w:right w:val="single" w:color="auto" w:sz="4" w:space="0"/>
            </w:tcBorders>
            <w:noWrap w:val="0"/>
            <w:vAlign w:val="center"/>
          </w:tcPr>
          <w:p>
            <w:pPr>
              <w:rPr>
                <w:rFonts w:ascii="宋体" w:hAnsi="宋体"/>
                <w:szCs w:val="21"/>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bCs/>
                <w:szCs w:val="21"/>
              </w:rPr>
            </w:pPr>
            <w:r>
              <w:rPr>
                <w:rFonts w:hint="eastAsia" w:ascii="宋体" w:hAnsi="宋体"/>
                <w:b/>
                <w:bCs/>
                <w:szCs w:val="21"/>
              </w:rPr>
              <w:t>08</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b/>
                <w:bCs/>
                <w:szCs w:val="21"/>
              </w:rPr>
            </w:pPr>
            <w:r>
              <w:rPr>
                <w:rFonts w:hint="eastAsia" w:ascii="宋体" w:hAnsi="宋体"/>
                <w:b/>
                <w:bCs/>
                <w:szCs w:val="21"/>
              </w:rPr>
              <w:t>漏扫</w:t>
            </w: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bCs/>
                <w:szCs w:val="21"/>
              </w:rPr>
            </w:pPr>
            <w:r>
              <w:rPr>
                <w:rFonts w:hint="eastAsia" w:ascii="宋体" w:hAnsi="宋体"/>
                <w:b/>
                <w:bCs/>
                <w:szCs w:val="21"/>
              </w:rPr>
              <w:t>01</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b/>
                <w:bCs/>
                <w:szCs w:val="21"/>
              </w:rPr>
            </w:pPr>
            <w:r>
              <w:rPr>
                <w:rFonts w:hint="eastAsia" w:ascii="宋体" w:hAnsi="宋体"/>
                <w:b/>
                <w:bCs/>
                <w:szCs w:val="21"/>
              </w:rPr>
              <w:t>道路（墙到墙）存在漏扫、漏保洁现象</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b/>
                <w:bCs/>
                <w:szCs w:val="21"/>
              </w:rPr>
            </w:pPr>
            <w:r>
              <w:rPr>
                <w:rFonts w:hint="eastAsia" w:ascii="宋体" w:hAnsi="宋体"/>
                <w:b/>
                <w:bCs/>
                <w:szCs w:val="21"/>
              </w:rPr>
              <w:t>静态</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b/>
                <w:bCs/>
                <w:szCs w:val="21"/>
              </w:rPr>
            </w:pPr>
            <w:r>
              <w:rPr>
                <w:rFonts w:hint="eastAsia" w:ascii="宋体" w:hAnsi="宋体"/>
                <w:b/>
                <w:bCs/>
                <w:szCs w:val="21"/>
              </w:rPr>
              <w:t>1小时</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b/>
                <w:bCs/>
                <w:szCs w:val="21"/>
              </w:rPr>
            </w:pPr>
            <w:r>
              <w:rPr>
                <w:rFonts w:hint="eastAsia" w:ascii="宋体" w:hAnsi="宋体"/>
                <w:b/>
                <w:bCs/>
                <w:szCs w:val="21"/>
              </w:rPr>
              <w:t>0.4分</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b/>
                <w:bCs/>
                <w:szCs w:val="21"/>
              </w:rPr>
            </w:pPr>
            <w:r>
              <w:rPr>
                <w:rFonts w:hint="eastAsia" w:ascii="宋体" w:hAnsi="宋体"/>
                <w:b/>
                <w:bCs/>
                <w:szCs w:val="21"/>
              </w:rPr>
              <w:t>一立案即扣0.4分。立案后1小时内整改则结束扣分；超过1小时整改，每1小时扣0.4分，扣分累计</w:t>
            </w:r>
          </w:p>
        </w:tc>
      </w:tr>
      <w:tr>
        <w:tblPrEx>
          <w:tblCellMar>
            <w:top w:w="15" w:type="dxa"/>
            <w:left w:w="15" w:type="dxa"/>
            <w:bottom w:w="0" w:type="dxa"/>
            <w:right w:w="15" w:type="dxa"/>
          </w:tblCellMar>
        </w:tblPrEx>
        <w:trPr>
          <w:wBefore w:w="0" w:type="dxa"/>
          <w:wAfter w:w="0" w:type="dxa"/>
          <w:trHeight w:val="882" w:hRule="atLeast"/>
          <w:jc w:val="center"/>
        </w:trPr>
        <w:tc>
          <w:tcPr>
            <w:tcW w:w="780" w:type="dxa"/>
            <w:vMerge w:val="continue"/>
            <w:tcBorders>
              <w:left w:val="single" w:color="auto" w:sz="4" w:space="0"/>
              <w:right w:val="single" w:color="auto" w:sz="4" w:space="0"/>
            </w:tcBorders>
            <w:noWrap w:val="0"/>
            <w:vAlign w:val="center"/>
          </w:tcPr>
          <w:p>
            <w:pPr>
              <w:rPr>
                <w:rFonts w:ascii="宋体" w:hAnsi="宋体"/>
                <w:szCs w:val="21"/>
              </w:rPr>
            </w:pPr>
          </w:p>
        </w:tc>
        <w:tc>
          <w:tcPr>
            <w:tcW w:w="1620" w:type="dxa"/>
            <w:vMerge w:val="continue"/>
            <w:tcBorders>
              <w:left w:val="single" w:color="auto" w:sz="4" w:space="0"/>
              <w:right w:val="single" w:color="auto" w:sz="4" w:space="0"/>
            </w:tcBorders>
            <w:noWrap w:val="0"/>
            <w:vAlign w:val="center"/>
          </w:tcPr>
          <w:p>
            <w:pPr>
              <w:rPr>
                <w:rFonts w:ascii="宋体" w:hAnsi="宋体"/>
                <w:szCs w:val="21"/>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bCs/>
                <w:szCs w:val="21"/>
              </w:rPr>
            </w:pPr>
            <w:r>
              <w:rPr>
                <w:rFonts w:hint="eastAsia" w:ascii="宋体" w:hAnsi="宋体"/>
                <w:b/>
                <w:bCs/>
                <w:szCs w:val="21"/>
              </w:rPr>
              <w:t>09</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b/>
                <w:bCs/>
                <w:szCs w:val="21"/>
              </w:rPr>
            </w:pPr>
            <w:r>
              <w:rPr>
                <w:rFonts w:hint="eastAsia" w:ascii="宋体" w:hAnsi="宋体"/>
                <w:b/>
                <w:bCs/>
                <w:szCs w:val="21"/>
              </w:rPr>
              <w:t>未巡回保洁</w:t>
            </w: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bCs/>
                <w:szCs w:val="21"/>
              </w:rPr>
            </w:pPr>
            <w:r>
              <w:rPr>
                <w:rFonts w:hint="eastAsia" w:ascii="宋体" w:hAnsi="宋体"/>
                <w:b/>
                <w:bCs/>
                <w:szCs w:val="21"/>
              </w:rPr>
              <w:t>01</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b/>
                <w:bCs/>
                <w:szCs w:val="21"/>
              </w:rPr>
            </w:pPr>
            <w:r>
              <w:rPr>
                <w:rFonts w:hint="eastAsia" w:ascii="宋体" w:hAnsi="宋体"/>
                <w:b/>
                <w:bCs/>
                <w:szCs w:val="21"/>
              </w:rPr>
              <w:t>未按规定做好巡回保洁</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b/>
                <w:bCs/>
                <w:szCs w:val="21"/>
              </w:rPr>
            </w:pPr>
            <w:r>
              <w:rPr>
                <w:rFonts w:hint="eastAsia" w:ascii="宋体" w:hAnsi="宋体"/>
                <w:b/>
                <w:bCs/>
                <w:szCs w:val="21"/>
              </w:rPr>
              <w:t>静态</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b/>
                <w:bCs/>
                <w:szCs w:val="21"/>
              </w:rPr>
            </w:pPr>
            <w:r>
              <w:rPr>
                <w:rFonts w:hint="eastAsia" w:ascii="宋体" w:hAnsi="宋体"/>
                <w:b/>
                <w:bCs/>
                <w:szCs w:val="21"/>
              </w:rPr>
              <w:t>1小时</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b/>
                <w:bCs/>
                <w:szCs w:val="21"/>
              </w:rPr>
            </w:pPr>
            <w:r>
              <w:rPr>
                <w:rFonts w:hint="eastAsia" w:ascii="宋体" w:hAnsi="宋体"/>
                <w:b/>
                <w:bCs/>
                <w:szCs w:val="21"/>
              </w:rPr>
              <w:t>1.5分</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b/>
                <w:bCs/>
                <w:szCs w:val="21"/>
              </w:rPr>
            </w:pPr>
            <w:r>
              <w:rPr>
                <w:rFonts w:hint="eastAsia" w:ascii="宋体" w:hAnsi="宋体"/>
                <w:b/>
                <w:bCs/>
                <w:szCs w:val="21"/>
              </w:rPr>
              <w:t>一立案即扣1.5分。立案后1小时内整改则结束扣分；超过1小时整改，每1小时扣1.5分，扣分累计</w:t>
            </w:r>
          </w:p>
        </w:tc>
      </w:tr>
      <w:tr>
        <w:tblPrEx>
          <w:tblCellMar>
            <w:top w:w="15" w:type="dxa"/>
            <w:left w:w="15" w:type="dxa"/>
            <w:bottom w:w="0" w:type="dxa"/>
            <w:right w:w="15" w:type="dxa"/>
          </w:tblCellMar>
        </w:tblPrEx>
        <w:trPr>
          <w:wBefore w:w="0" w:type="dxa"/>
          <w:wAfter w:w="0" w:type="dxa"/>
          <w:trHeight w:val="882" w:hRule="atLeast"/>
          <w:jc w:val="center"/>
        </w:trPr>
        <w:tc>
          <w:tcPr>
            <w:tcW w:w="780" w:type="dxa"/>
            <w:vMerge w:val="continue"/>
            <w:tcBorders>
              <w:left w:val="single" w:color="auto" w:sz="4" w:space="0"/>
              <w:right w:val="single" w:color="auto" w:sz="4" w:space="0"/>
            </w:tcBorders>
            <w:noWrap w:val="0"/>
            <w:vAlign w:val="center"/>
          </w:tcPr>
          <w:p>
            <w:pPr>
              <w:rPr>
                <w:rFonts w:ascii="宋体" w:hAnsi="宋体"/>
                <w:szCs w:val="21"/>
              </w:rPr>
            </w:pPr>
          </w:p>
        </w:tc>
        <w:tc>
          <w:tcPr>
            <w:tcW w:w="1620" w:type="dxa"/>
            <w:vMerge w:val="continue"/>
            <w:tcBorders>
              <w:left w:val="single" w:color="auto" w:sz="4" w:space="0"/>
              <w:right w:val="single" w:color="auto" w:sz="4" w:space="0"/>
            </w:tcBorders>
            <w:noWrap w:val="0"/>
            <w:vAlign w:val="center"/>
          </w:tcPr>
          <w:p>
            <w:pPr>
              <w:rPr>
                <w:rFonts w:ascii="宋体" w:hAnsi="宋体"/>
                <w:szCs w:val="21"/>
              </w:rPr>
            </w:pPr>
          </w:p>
        </w:tc>
        <w:tc>
          <w:tcPr>
            <w:tcW w:w="540"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b/>
                <w:bCs/>
                <w:szCs w:val="21"/>
              </w:rPr>
            </w:pPr>
            <w:r>
              <w:rPr>
                <w:rFonts w:hint="eastAsia" w:ascii="宋体" w:hAnsi="宋体"/>
                <w:b/>
                <w:bCs/>
                <w:szCs w:val="21"/>
              </w:rPr>
              <w:t>10</w:t>
            </w:r>
          </w:p>
        </w:tc>
        <w:tc>
          <w:tcPr>
            <w:tcW w:w="1440" w:type="dxa"/>
            <w:vMerge w:val="restart"/>
            <w:tcBorders>
              <w:top w:val="single" w:color="auto" w:sz="4" w:space="0"/>
              <w:left w:val="single" w:color="auto" w:sz="4" w:space="0"/>
              <w:right w:val="single" w:color="auto" w:sz="4" w:space="0"/>
            </w:tcBorders>
            <w:noWrap w:val="0"/>
            <w:vAlign w:val="center"/>
          </w:tcPr>
          <w:p>
            <w:pPr>
              <w:rPr>
                <w:rFonts w:ascii="宋体" w:hAnsi="宋体"/>
                <w:b/>
                <w:bCs/>
                <w:szCs w:val="21"/>
              </w:rPr>
            </w:pPr>
            <w:r>
              <w:rPr>
                <w:rFonts w:hint="eastAsia" w:ascii="宋体" w:hAnsi="宋体"/>
                <w:b/>
                <w:bCs/>
                <w:szCs w:val="21"/>
              </w:rPr>
              <w:t>道路杂草</w:t>
            </w:r>
          </w:p>
          <w:p>
            <w:pPr>
              <w:rPr>
                <w:rFonts w:hint="eastAsia" w:ascii="宋体" w:hAnsi="宋体"/>
                <w:b/>
                <w:bCs/>
                <w:szCs w:val="21"/>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bCs/>
                <w:szCs w:val="21"/>
              </w:rPr>
            </w:pPr>
            <w:r>
              <w:rPr>
                <w:rFonts w:hint="eastAsia" w:ascii="宋体" w:hAnsi="宋体"/>
                <w:b/>
                <w:bCs/>
                <w:szCs w:val="21"/>
              </w:rPr>
              <w:t>01</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b/>
                <w:bCs/>
                <w:szCs w:val="21"/>
              </w:rPr>
            </w:pPr>
            <w:r>
              <w:rPr>
                <w:rFonts w:hint="eastAsia" w:ascii="宋体" w:hAnsi="宋体"/>
                <w:b/>
                <w:bCs/>
                <w:szCs w:val="21"/>
              </w:rPr>
              <w:t>人行道、树圈有杂草，高度＜10㎝、面积＜1㎡或10米内不多于5处</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b/>
                <w:bCs/>
                <w:szCs w:val="21"/>
              </w:rPr>
            </w:pPr>
            <w:r>
              <w:rPr>
                <w:rFonts w:hint="eastAsia" w:ascii="宋体" w:hAnsi="宋体"/>
                <w:b/>
                <w:bCs/>
                <w:szCs w:val="21"/>
              </w:rPr>
              <w:t>动态</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b/>
                <w:bCs/>
                <w:szCs w:val="21"/>
              </w:rPr>
            </w:pPr>
            <w:r>
              <w:rPr>
                <w:rFonts w:hint="eastAsia" w:ascii="宋体" w:hAnsi="宋体"/>
                <w:b/>
                <w:bCs/>
                <w:szCs w:val="21"/>
              </w:rPr>
              <w:t>30分钟</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b/>
                <w:bCs/>
                <w:szCs w:val="21"/>
              </w:rPr>
            </w:pPr>
            <w:r>
              <w:rPr>
                <w:rFonts w:hint="eastAsia" w:ascii="宋体" w:hAnsi="宋体"/>
                <w:b/>
                <w:bCs/>
                <w:szCs w:val="21"/>
              </w:rPr>
              <w:t>01分</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b/>
                <w:bCs/>
                <w:szCs w:val="21"/>
              </w:rPr>
            </w:pPr>
            <w:r>
              <w:rPr>
                <w:rFonts w:hint="eastAsia" w:ascii="宋体" w:hAnsi="宋体"/>
                <w:b/>
                <w:szCs w:val="21"/>
              </w:rPr>
              <w:t>30分钟内整改不扣分；超过30分钟整改每30分钟扣0.1分，扣分累计</w:t>
            </w:r>
          </w:p>
        </w:tc>
      </w:tr>
      <w:tr>
        <w:tblPrEx>
          <w:tblCellMar>
            <w:top w:w="15" w:type="dxa"/>
            <w:left w:w="15" w:type="dxa"/>
            <w:bottom w:w="0" w:type="dxa"/>
            <w:right w:w="15" w:type="dxa"/>
          </w:tblCellMar>
        </w:tblPrEx>
        <w:trPr>
          <w:wBefore w:w="0" w:type="dxa"/>
          <w:wAfter w:w="0" w:type="dxa"/>
          <w:trHeight w:val="882" w:hRule="atLeast"/>
          <w:jc w:val="center"/>
        </w:trPr>
        <w:tc>
          <w:tcPr>
            <w:tcW w:w="780" w:type="dxa"/>
            <w:vMerge w:val="continue"/>
            <w:tcBorders>
              <w:left w:val="single" w:color="auto" w:sz="4" w:space="0"/>
              <w:bottom w:val="single" w:color="auto" w:sz="4" w:space="0"/>
              <w:right w:val="single" w:color="auto" w:sz="4" w:space="0"/>
            </w:tcBorders>
            <w:noWrap w:val="0"/>
            <w:vAlign w:val="center"/>
          </w:tcPr>
          <w:p>
            <w:pPr>
              <w:rPr>
                <w:rFonts w:ascii="宋体" w:hAnsi="宋体"/>
                <w:szCs w:val="21"/>
              </w:rPr>
            </w:pPr>
          </w:p>
        </w:tc>
        <w:tc>
          <w:tcPr>
            <w:tcW w:w="1620" w:type="dxa"/>
            <w:vMerge w:val="continue"/>
            <w:tcBorders>
              <w:left w:val="single" w:color="auto" w:sz="4" w:space="0"/>
              <w:bottom w:val="single" w:color="auto" w:sz="4" w:space="0"/>
              <w:right w:val="single" w:color="auto" w:sz="4" w:space="0"/>
            </w:tcBorders>
            <w:noWrap w:val="0"/>
            <w:vAlign w:val="center"/>
          </w:tcPr>
          <w:p>
            <w:pPr>
              <w:rPr>
                <w:rFonts w:ascii="宋体" w:hAnsi="宋体"/>
                <w:szCs w:val="21"/>
              </w:rPr>
            </w:pPr>
          </w:p>
        </w:tc>
        <w:tc>
          <w:tcPr>
            <w:tcW w:w="540" w:type="dxa"/>
            <w:vMerge w:val="continue"/>
            <w:tcBorders>
              <w:left w:val="single" w:color="auto" w:sz="4" w:space="0"/>
              <w:bottom w:val="single" w:color="auto" w:sz="4" w:space="0"/>
              <w:right w:val="single" w:color="auto" w:sz="4" w:space="0"/>
            </w:tcBorders>
            <w:noWrap w:val="0"/>
            <w:vAlign w:val="center"/>
          </w:tcPr>
          <w:p>
            <w:pPr>
              <w:rPr>
                <w:rFonts w:hint="eastAsia" w:ascii="宋体" w:hAnsi="宋体"/>
                <w:b/>
                <w:bCs/>
                <w:szCs w:val="21"/>
              </w:rPr>
            </w:pPr>
          </w:p>
        </w:tc>
        <w:tc>
          <w:tcPr>
            <w:tcW w:w="1440" w:type="dxa"/>
            <w:vMerge w:val="continue"/>
            <w:tcBorders>
              <w:left w:val="single" w:color="auto" w:sz="4" w:space="0"/>
              <w:bottom w:val="single" w:color="auto" w:sz="4" w:space="0"/>
              <w:right w:val="single" w:color="auto" w:sz="4" w:space="0"/>
            </w:tcBorders>
            <w:noWrap w:val="0"/>
            <w:vAlign w:val="center"/>
          </w:tcPr>
          <w:p>
            <w:pPr>
              <w:rPr>
                <w:rFonts w:hint="eastAsia" w:ascii="宋体" w:hAnsi="宋体"/>
                <w:b/>
                <w:bCs/>
                <w:szCs w:val="21"/>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bCs/>
                <w:szCs w:val="21"/>
              </w:rPr>
            </w:pPr>
            <w:r>
              <w:rPr>
                <w:rFonts w:hint="eastAsia" w:ascii="宋体" w:hAnsi="宋体"/>
                <w:b/>
                <w:bCs/>
                <w:szCs w:val="21"/>
              </w:rPr>
              <w:t>02</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b/>
                <w:bCs/>
                <w:szCs w:val="21"/>
              </w:rPr>
            </w:pPr>
            <w:r>
              <w:rPr>
                <w:rFonts w:hint="eastAsia" w:ascii="宋体" w:hAnsi="宋体"/>
                <w:b/>
                <w:bCs/>
                <w:szCs w:val="21"/>
              </w:rPr>
              <w:t>人行道、树圈有杂草，高度≥10㎝、面积≥1㎡或10米内5处以上</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b/>
                <w:bCs/>
                <w:szCs w:val="21"/>
              </w:rPr>
            </w:pPr>
            <w:r>
              <w:rPr>
                <w:rFonts w:hint="eastAsia" w:ascii="宋体" w:hAnsi="宋体"/>
                <w:b/>
                <w:bCs/>
                <w:szCs w:val="21"/>
              </w:rPr>
              <w:t>静态</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b/>
                <w:bCs/>
                <w:szCs w:val="21"/>
              </w:rPr>
            </w:pPr>
            <w:r>
              <w:rPr>
                <w:rFonts w:hint="eastAsia" w:ascii="宋体" w:hAnsi="宋体"/>
                <w:b/>
                <w:bCs/>
                <w:szCs w:val="21"/>
              </w:rPr>
              <w:t>1小时</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b/>
                <w:bCs/>
                <w:szCs w:val="21"/>
              </w:rPr>
            </w:pPr>
            <w:r>
              <w:rPr>
                <w:rFonts w:hint="eastAsia" w:ascii="宋体" w:hAnsi="宋体"/>
                <w:b/>
                <w:bCs/>
                <w:szCs w:val="21"/>
              </w:rPr>
              <w:t>0.1分</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b/>
                <w:bCs/>
                <w:szCs w:val="21"/>
              </w:rPr>
            </w:pPr>
            <w:r>
              <w:rPr>
                <w:rFonts w:hint="eastAsia" w:ascii="宋体" w:hAnsi="宋体"/>
                <w:b/>
                <w:bCs/>
                <w:szCs w:val="21"/>
              </w:rPr>
              <w:t>一立案即扣0.1分。立案后1小时内整改则结束扣分；超过1小时整改，每1小时扣0.1分，扣分累计</w:t>
            </w:r>
          </w:p>
        </w:tc>
      </w:tr>
      <w:tr>
        <w:tblPrEx>
          <w:tblCellMar>
            <w:top w:w="15" w:type="dxa"/>
            <w:left w:w="15" w:type="dxa"/>
            <w:bottom w:w="0" w:type="dxa"/>
            <w:right w:w="15" w:type="dxa"/>
          </w:tblCellMar>
        </w:tblPrEx>
        <w:trPr>
          <w:wBefore w:w="0" w:type="dxa"/>
          <w:wAfter w:w="0" w:type="dxa"/>
          <w:trHeight w:val="882" w:hRule="atLeast"/>
          <w:jc w:val="center"/>
        </w:trPr>
        <w:tc>
          <w:tcPr>
            <w:tcW w:w="780" w:type="dxa"/>
            <w:vMerge w:val="restart"/>
            <w:tcBorders>
              <w:top w:val="single" w:color="auto" w:sz="4" w:space="0"/>
              <w:left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03</w:t>
            </w:r>
          </w:p>
        </w:tc>
        <w:tc>
          <w:tcPr>
            <w:tcW w:w="1620" w:type="dxa"/>
            <w:vMerge w:val="restart"/>
            <w:tcBorders>
              <w:top w:val="single" w:color="auto" w:sz="4" w:space="0"/>
              <w:left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城市家具保洁</w:t>
            </w: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01</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公交站亭不洁</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01</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szCs w:val="21"/>
              </w:rPr>
            </w:pPr>
            <w:r>
              <w:rPr>
                <w:rFonts w:hint="eastAsia" w:ascii="宋体" w:hAnsi="宋体"/>
                <w:szCs w:val="21"/>
              </w:rPr>
              <w:t>沿街公交站亭表面有积灰、污迹</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静态</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1小时</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0.1分</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szCs w:val="21"/>
              </w:rPr>
            </w:pPr>
            <w:r>
              <w:rPr>
                <w:rFonts w:hint="eastAsia" w:ascii="宋体" w:hAnsi="宋体"/>
                <w:szCs w:val="21"/>
              </w:rPr>
              <w:t>一立案即扣0.1分。立案后1小时内整改则结束扣分；超过1小时整改，每1小时扣0.1分，扣分累计</w:t>
            </w:r>
          </w:p>
        </w:tc>
      </w:tr>
      <w:tr>
        <w:tblPrEx>
          <w:tblCellMar>
            <w:top w:w="15" w:type="dxa"/>
            <w:left w:w="15" w:type="dxa"/>
            <w:bottom w:w="0" w:type="dxa"/>
            <w:right w:w="15" w:type="dxa"/>
          </w:tblCellMar>
        </w:tblPrEx>
        <w:trPr>
          <w:wBefore w:w="0" w:type="dxa"/>
          <w:wAfter w:w="0" w:type="dxa"/>
          <w:trHeight w:val="882" w:hRule="atLeast"/>
          <w:jc w:val="center"/>
        </w:trPr>
        <w:tc>
          <w:tcPr>
            <w:tcW w:w="780" w:type="dxa"/>
            <w:vMerge w:val="continue"/>
            <w:tcBorders>
              <w:left w:val="single" w:color="auto" w:sz="4" w:space="0"/>
              <w:right w:val="single" w:color="auto" w:sz="4" w:space="0"/>
            </w:tcBorders>
            <w:noWrap w:val="0"/>
            <w:vAlign w:val="center"/>
          </w:tcPr>
          <w:p>
            <w:pPr>
              <w:rPr>
                <w:rFonts w:ascii="宋体" w:hAnsi="宋体"/>
                <w:szCs w:val="21"/>
              </w:rPr>
            </w:pPr>
          </w:p>
        </w:tc>
        <w:tc>
          <w:tcPr>
            <w:tcW w:w="1620" w:type="dxa"/>
            <w:vMerge w:val="continue"/>
            <w:tcBorders>
              <w:left w:val="single" w:color="auto" w:sz="4" w:space="0"/>
              <w:right w:val="single" w:color="auto" w:sz="4" w:space="0"/>
            </w:tcBorders>
            <w:noWrap w:val="0"/>
            <w:vAlign w:val="center"/>
          </w:tcPr>
          <w:p>
            <w:pPr>
              <w:rPr>
                <w:rFonts w:ascii="宋体" w:hAnsi="宋体"/>
                <w:szCs w:val="21"/>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02</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果壳箱、垃圾桶不洁</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01</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szCs w:val="21"/>
              </w:rPr>
            </w:pPr>
            <w:r>
              <w:rPr>
                <w:rFonts w:hint="eastAsia" w:ascii="宋体" w:hAnsi="宋体"/>
                <w:szCs w:val="21"/>
              </w:rPr>
              <w:t>沿街果壳箱（含垃圾桶）表面有积灰、污迹</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静态</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30分钟</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0.1分</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szCs w:val="21"/>
              </w:rPr>
            </w:pPr>
            <w:r>
              <w:rPr>
                <w:rFonts w:hint="eastAsia" w:ascii="宋体" w:hAnsi="宋体"/>
                <w:szCs w:val="21"/>
              </w:rPr>
              <w:t>一立案即扣0.1分。立案后30分钟内整改则结束扣分；超过30分钟整改，每30分钟扣0.1分，扣分累计</w:t>
            </w:r>
          </w:p>
        </w:tc>
      </w:tr>
      <w:tr>
        <w:tblPrEx>
          <w:tblCellMar>
            <w:top w:w="15" w:type="dxa"/>
            <w:left w:w="15" w:type="dxa"/>
            <w:bottom w:w="0" w:type="dxa"/>
            <w:right w:w="15" w:type="dxa"/>
          </w:tblCellMar>
        </w:tblPrEx>
        <w:trPr>
          <w:wBefore w:w="0" w:type="dxa"/>
          <w:wAfter w:w="0" w:type="dxa"/>
          <w:trHeight w:val="882" w:hRule="atLeast"/>
          <w:jc w:val="center"/>
        </w:trPr>
        <w:tc>
          <w:tcPr>
            <w:tcW w:w="780" w:type="dxa"/>
            <w:vMerge w:val="continue"/>
            <w:tcBorders>
              <w:left w:val="single" w:color="auto" w:sz="4" w:space="0"/>
              <w:right w:val="single" w:color="auto" w:sz="4" w:space="0"/>
            </w:tcBorders>
            <w:noWrap w:val="0"/>
            <w:vAlign w:val="center"/>
          </w:tcPr>
          <w:p>
            <w:pPr>
              <w:rPr>
                <w:rFonts w:ascii="宋体" w:hAnsi="宋体"/>
                <w:szCs w:val="21"/>
              </w:rPr>
            </w:pPr>
          </w:p>
        </w:tc>
        <w:tc>
          <w:tcPr>
            <w:tcW w:w="1620" w:type="dxa"/>
            <w:vMerge w:val="continue"/>
            <w:tcBorders>
              <w:left w:val="single" w:color="auto" w:sz="4" w:space="0"/>
              <w:right w:val="single" w:color="auto" w:sz="4" w:space="0"/>
            </w:tcBorders>
            <w:noWrap w:val="0"/>
            <w:vAlign w:val="center"/>
          </w:tcPr>
          <w:p>
            <w:pPr>
              <w:rPr>
                <w:rFonts w:ascii="宋体" w:hAnsi="宋体"/>
                <w:szCs w:val="21"/>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rPr>
            </w:pPr>
            <w:r>
              <w:rPr>
                <w:rFonts w:hint="eastAsia" w:ascii="宋体" w:hAnsi="宋体"/>
                <w:b/>
                <w:szCs w:val="21"/>
              </w:rPr>
              <w:t>03</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b/>
                <w:szCs w:val="21"/>
              </w:rPr>
            </w:pPr>
            <w:r>
              <w:rPr>
                <w:rFonts w:hint="eastAsia" w:ascii="宋体" w:hAnsi="宋体"/>
                <w:b/>
                <w:szCs w:val="21"/>
              </w:rPr>
              <w:t>交通隔离栏（墩）不洁</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b/>
                <w:szCs w:val="21"/>
              </w:rPr>
            </w:pPr>
            <w:r>
              <w:rPr>
                <w:rFonts w:hint="eastAsia" w:ascii="宋体" w:hAnsi="宋体"/>
                <w:b/>
                <w:szCs w:val="21"/>
              </w:rPr>
              <w:t>01</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b/>
                <w:szCs w:val="21"/>
              </w:rPr>
            </w:pPr>
            <w:r>
              <w:rPr>
                <w:rFonts w:hint="eastAsia" w:ascii="宋体" w:hAnsi="宋体"/>
                <w:b/>
                <w:bCs/>
                <w:szCs w:val="21"/>
              </w:rPr>
              <w:t>交通隔离栏（墩）表面积灰，长度≥3米</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b/>
                <w:szCs w:val="21"/>
              </w:rPr>
            </w:pPr>
            <w:r>
              <w:rPr>
                <w:rFonts w:hint="eastAsia" w:ascii="宋体" w:hAnsi="宋体"/>
                <w:b/>
                <w:szCs w:val="21"/>
              </w:rPr>
              <w:t>静态</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b/>
                <w:szCs w:val="21"/>
              </w:rPr>
            </w:pPr>
            <w:r>
              <w:rPr>
                <w:rFonts w:hint="eastAsia" w:ascii="宋体" w:hAnsi="宋体"/>
                <w:b/>
                <w:szCs w:val="21"/>
              </w:rPr>
              <w:t>1小时</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b/>
                <w:szCs w:val="21"/>
              </w:rPr>
            </w:pPr>
            <w:r>
              <w:rPr>
                <w:rFonts w:hint="eastAsia" w:ascii="宋体" w:hAnsi="宋体"/>
                <w:b/>
                <w:szCs w:val="21"/>
              </w:rPr>
              <w:t>0.1分</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szCs w:val="21"/>
              </w:rPr>
            </w:pPr>
            <w:r>
              <w:rPr>
                <w:rFonts w:hint="eastAsia" w:ascii="宋体" w:hAnsi="宋体"/>
                <w:b/>
                <w:szCs w:val="21"/>
              </w:rPr>
              <w:t>一立案即扣0.1分。立案后1小时内整改则结束扣分；超过1小时整改，每1小时扣0.1分，扣分累计</w:t>
            </w:r>
          </w:p>
        </w:tc>
      </w:tr>
      <w:tr>
        <w:tblPrEx>
          <w:tblCellMar>
            <w:top w:w="15" w:type="dxa"/>
            <w:left w:w="15" w:type="dxa"/>
            <w:bottom w:w="0" w:type="dxa"/>
            <w:right w:w="15" w:type="dxa"/>
          </w:tblCellMar>
        </w:tblPrEx>
        <w:trPr>
          <w:wBefore w:w="0" w:type="dxa"/>
          <w:wAfter w:w="0" w:type="dxa"/>
          <w:trHeight w:val="695" w:hRule="atLeast"/>
          <w:jc w:val="center"/>
        </w:trPr>
        <w:tc>
          <w:tcPr>
            <w:tcW w:w="780" w:type="dxa"/>
            <w:vMerge w:val="continue"/>
            <w:tcBorders>
              <w:left w:val="single" w:color="auto" w:sz="4" w:space="0"/>
              <w:right w:val="single" w:color="auto" w:sz="4" w:space="0"/>
            </w:tcBorders>
            <w:noWrap w:val="0"/>
            <w:vAlign w:val="center"/>
          </w:tcPr>
          <w:p>
            <w:pPr>
              <w:rPr>
                <w:rFonts w:ascii="宋体" w:hAnsi="宋体"/>
                <w:szCs w:val="21"/>
              </w:rPr>
            </w:pPr>
          </w:p>
        </w:tc>
        <w:tc>
          <w:tcPr>
            <w:tcW w:w="1620" w:type="dxa"/>
            <w:vMerge w:val="continue"/>
            <w:tcBorders>
              <w:left w:val="single" w:color="auto" w:sz="4" w:space="0"/>
              <w:right w:val="single" w:color="auto" w:sz="4" w:space="0"/>
            </w:tcBorders>
            <w:noWrap w:val="0"/>
            <w:vAlign w:val="center"/>
          </w:tcPr>
          <w:p>
            <w:pPr>
              <w:rPr>
                <w:rFonts w:ascii="宋体" w:hAnsi="宋体"/>
                <w:szCs w:val="21"/>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04</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果壳箱、垃圾桶破损、缺失</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01</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szCs w:val="21"/>
              </w:rPr>
            </w:pPr>
            <w:r>
              <w:rPr>
                <w:rFonts w:hint="eastAsia" w:ascii="宋体" w:hAnsi="宋体"/>
                <w:szCs w:val="21"/>
              </w:rPr>
              <w:t>沿街果壳箱、垃圾桶破损、缺失，未上报</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动态</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30分钟</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0.2分</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szCs w:val="21"/>
              </w:rPr>
            </w:pPr>
            <w:r>
              <w:rPr>
                <w:rFonts w:hint="eastAsia" w:ascii="宋体" w:hAnsi="宋体"/>
                <w:szCs w:val="21"/>
              </w:rPr>
              <w:t>30分钟内整改不扣分；超过30分钟整改每30分钟扣0.2分，扣分累计</w:t>
            </w:r>
          </w:p>
        </w:tc>
      </w:tr>
      <w:tr>
        <w:tblPrEx>
          <w:tblCellMar>
            <w:top w:w="15" w:type="dxa"/>
            <w:left w:w="15" w:type="dxa"/>
            <w:bottom w:w="0" w:type="dxa"/>
            <w:right w:w="15" w:type="dxa"/>
          </w:tblCellMar>
        </w:tblPrEx>
        <w:trPr>
          <w:wBefore w:w="0" w:type="dxa"/>
          <w:wAfter w:w="0" w:type="dxa"/>
          <w:trHeight w:val="722" w:hRule="atLeast"/>
          <w:jc w:val="center"/>
        </w:trPr>
        <w:tc>
          <w:tcPr>
            <w:tcW w:w="780" w:type="dxa"/>
            <w:vMerge w:val="continue"/>
            <w:tcBorders>
              <w:left w:val="single" w:color="auto" w:sz="4" w:space="0"/>
              <w:right w:val="single" w:color="auto" w:sz="4" w:space="0"/>
            </w:tcBorders>
            <w:noWrap w:val="0"/>
            <w:vAlign w:val="center"/>
          </w:tcPr>
          <w:p>
            <w:pPr>
              <w:rPr>
                <w:rFonts w:ascii="宋体" w:hAnsi="宋体"/>
                <w:szCs w:val="21"/>
              </w:rPr>
            </w:pPr>
          </w:p>
        </w:tc>
        <w:tc>
          <w:tcPr>
            <w:tcW w:w="1620" w:type="dxa"/>
            <w:vMerge w:val="continue"/>
            <w:tcBorders>
              <w:left w:val="single" w:color="auto" w:sz="4" w:space="0"/>
              <w:right w:val="single" w:color="auto" w:sz="4" w:space="0"/>
            </w:tcBorders>
            <w:noWrap w:val="0"/>
            <w:vAlign w:val="center"/>
          </w:tcPr>
          <w:p>
            <w:pPr>
              <w:rPr>
                <w:rFonts w:ascii="宋体" w:hAnsi="宋体"/>
                <w:szCs w:val="21"/>
              </w:rPr>
            </w:pPr>
          </w:p>
        </w:tc>
        <w:tc>
          <w:tcPr>
            <w:tcW w:w="540" w:type="dxa"/>
            <w:vMerge w:val="restart"/>
            <w:tcBorders>
              <w:top w:val="single" w:color="auto" w:sz="4" w:space="0"/>
              <w:left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05</w:t>
            </w:r>
          </w:p>
        </w:tc>
        <w:tc>
          <w:tcPr>
            <w:tcW w:w="1440" w:type="dxa"/>
            <w:vMerge w:val="restart"/>
            <w:tcBorders>
              <w:top w:val="single" w:color="auto" w:sz="4" w:space="0"/>
              <w:left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果壳箱、垃圾桶脏乱差</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01</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szCs w:val="21"/>
              </w:rPr>
            </w:pPr>
            <w:r>
              <w:rPr>
                <w:rFonts w:hint="eastAsia" w:ascii="宋体" w:hAnsi="宋体"/>
                <w:szCs w:val="21"/>
              </w:rPr>
              <w:t>沿街果壳箱、垃圾桶周围有暴露垃圾、污水、污迹</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动态</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1小时</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1分</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szCs w:val="21"/>
              </w:rPr>
            </w:pPr>
            <w:r>
              <w:rPr>
                <w:rFonts w:hint="eastAsia" w:ascii="宋体" w:hAnsi="宋体"/>
                <w:szCs w:val="21"/>
              </w:rPr>
              <w:t>1小时内整改不扣分；超过1小时整改每1小时扣1分，扣分累计</w:t>
            </w:r>
          </w:p>
        </w:tc>
      </w:tr>
      <w:tr>
        <w:tblPrEx>
          <w:tblCellMar>
            <w:top w:w="15" w:type="dxa"/>
            <w:left w:w="15" w:type="dxa"/>
            <w:bottom w:w="0" w:type="dxa"/>
            <w:right w:w="15" w:type="dxa"/>
          </w:tblCellMar>
        </w:tblPrEx>
        <w:trPr>
          <w:wBefore w:w="0" w:type="dxa"/>
          <w:wAfter w:w="0" w:type="dxa"/>
          <w:trHeight w:val="688" w:hRule="atLeast"/>
          <w:jc w:val="center"/>
        </w:trPr>
        <w:tc>
          <w:tcPr>
            <w:tcW w:w="780" w:type="dxa"/>
            <w:vMerge w:val="continue"/>
            <w:tcBorders>
              <w:left w:val="single" w:color="auto" w:sz="4" w:space="0"/>
              <w:right w:val="single" w:color="auto" w:sz="4" w:space="0"/>
            </w:tcBorders>
            <w:noWrap w:val="0"/>
            <w:vAlign w:val="center"/>
          </w:tcPr>
          <w:p>
            <w:pPr>
              <w:rPr>
                <w:rFonts w:ascii="宋体" w:hAnsi="宋体"/>
                <w:szCs w:val="21"/>
              </w:rPr>
            </w:pPr>
          </w:p>
        </w:tc>
        <w:tc>
          <w:tcPr>
            <w:tcW w:w="1620" w:type="dxa"/>
            <w:vMerge w:val="continue"/>
            <w:tcBorders>
              <w:left w:val="single" w:color="auto" w:sz="4" w:space="0"/>
              <w:right w:val="single" w:color="auto" w:sz="4" w:space="0"/>
            </w:tcBorders>
            <w:noWrap w:val="0"/>
            <w:vAlign w:val="center"/>
          </w:tcPr>
          <w:p>
            <w:pPr>
              <w:rPr>
                <w:rFonts w:ascii="宋体" w:hAnsi="宋体"/>
                <w:szCs w:val="21"/>
              </w:rPr>
            </w:pPr>
          </w:p>
        </w:tc>
        <w:tc>
          <w:tcPr>
            <w:tcW w:w="540" w:type="dxa"/>
            <w:vMerge w:val="continue"/>
            <w:tcBorders>
              <w:left w:val="single" w:color="auto" w:sz="4" w:space="0"/>
              <w:bottom w:val="single" w:color="auto" w:sz="4" w:space="0"/>
              <w:right w:val="single" w:color="auto" w:sz="4" w:space="0"/>
            </w:tcBorders>
            <w:noWrap w:val="0"/>
            <w:vAlign w:val="center"/>
          </w:tcPr>
          <w:p>
            <w:pPr>
              <w:rPr>
                <w:rFonts w:ascii="宋体" w:hAnsi="宋体"/>
                <w:szCs w:val="21"/>
              </w:rPr>
            </w:pPr>
          </w:p>
        </w:tc>
        <w:tc>
          <w:tcPr>
            <w:tcW w:w="1440" w:type="dxa"/>
            <w:vMerge w:val="continue"/>
            <w:tcBorders>
              <w:left w:val="single" w:color="auto" w:sz="4" w:space="0"/>
              <w:bottom w:val="single" w:color="auto" w:sz="4" w:space="0"/>
              <w:right w:val="single" w:color="auto" w:sz="4" w:space="0"/>
            </w:tcBorders>
            <w:noWrap w:val="0"/>
            <w:vAlign w:val="center"/>
          </w:tcPr>
          <w:p>
            <w:pPr>
              <w:spacing w:line="280" w:lineRule="exact"/>
              <w:rPr>
                <w:rFonts w:ascii="宋体" w:hAnsi="宋体"/>
                <w:szCs w:val="21"/>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02</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szCs w:val="21"/>
              </w:rPr>
            </w:pPr>
            <w:r>
              <w:rPr>
                <w:rFonts w:hint="eastAsia" w:ascii="宋体" w:hAnsi="宋体"/>
                <w:szCs w:val="21"/>
              </w:rPr>
              <w:t>垃圾收集后桶未放回原处或未关好门、盖</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动态</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30分钟</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1分</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szCs w:val="21"/>
              </w:rPr>
            </w:pPr>
            <w:r>
              <w:rPr>
                <w:rFonts w:hint="eastAsia" w:ascii="宋体" w:hAnsi="宋体"/>
                <w:szCs w:val="21"/>
              </w:rPr>
              <w:t>30分钟内整改不扣分；超过30分钟整改每30分钟扣1分，扣分累计</w:t>
            </w:r>
          </w:p>
        </w:tc>
      </w:tr>
      <w:tr>
        <w:tblPrEx>
          <w:tblCellMar>
            <w:top w:w="15" w:type="dxa"/>
            <w:left w:w="15" w:type="dxa"/>
            <w:bottom w:w="0" w:type="dxa"/>
            <w:right w:w="15" w:type="dxa"/>
          </w:tblCellMar>
        </w:tblPrEx>
        <w:trPr>
          <w:wBefore w:w="0" w:type="dxa"/>
          <w:wAfter w:w="0" w:type="dxa"/>
          <w:trHeight w:val="625" w:hRule="atLeast"/>
          <w:jc w:val="center"/>
        </w:trPr>
        <w:tc>
          <w:tcPr>
            <w:tcW w:w="780" w:type="dxa"/>
            <w:vMerge w:val="continue"/>
            <w:tcBorders>
              <w:left w:val="single" w:color="auto" w:sz="4" w:space="0"/>
              <w:right w:val="single" w:color="auto" w:sz="4" w:space="0"/>
            </w:tcBorders>
            <w:noWrap w:val="0"/>
            <w:vAlign w:val="center"/>
          </w:tcPr>
          <w:p>
            <w:pPr>
              <w:rPr>
                <w:rFonts w:ascii="宋体" w:hAnsi="宋体"/>
                <w:szCs w:val="21"/>
              </w:rPr>
            </w:pPr>
          </w:p>
        </w:tc>
        <w:tc>
          <w:tcPr>
            <w:tcW w:w="1620" w:type="dxa"/>
            <w:vMerge w:val="continue"/>
            <w:tcBorders>
              <w:left w:val="single" w:color="auto" w:sz="4" w:space="0"/>
              <w:right w:val="single" w:color="auto" w:sz="4" w:space="0"/>
            </w:tcBorders>
            <w:noWrap w:val="0"/>
            <w:vAlign w:val="center"/>
          </w:tcPr>
          <w:p>
            <w:pPr>
              <w:rPr>
                <w:rFonts w:ascii="宋体" w:hAnsi="宋体"/>
                <w:szCs w:val="21"/>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06</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垃圾满溢</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01</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szCs w:val="21"/>
              </w:rPr>
            </w:pPr>
            <w:r>
              <w:rPr>
                <w:rFonts w:hint="eastAsia" w:ascii="宋体" w:hAnsi="宋体"/>
                <w:szCs w:val="21"/>
              </w:rPr>
              <w:t>沿街果壳箱、垃圾桶满溢</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动态</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2小时</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1分</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szCs w:val="21"/>
              </w:rPr>
            </w:pPr>
            <w:r>
              <w:rPr>
                <w:rFonts w:hint="eastAsia" w:ascii="宋体" w:hAnsi="宋体"/>
                <w:szCs w:val="21"/>
              </w:rPr>
              <w:t>2小时内整改不扣分；超过2小时整改每2小时扣1分，扣分累计</w:t>
            </w:r>
          </w:p>
        </w:tc>
      </w:tr>
      <w:tr>
        <w:tblPrEx>
          <w:tblCellMar>
            <w:top w:w="15" w:type="dxa"/>
            <w:left w:w="15" w:type="dxa"/>
            <w:bottom w:w="0" w:type="dxa"/>
            <w:right w:w="15" w:type="dxa"/>
          </w:tblCellMar>
        </w:tblPrEx>
        <w:trPr>
          <w:wBefore w:w="0" w:type="dxa"/>
          <w:wAfter w:w="0" w:type="dxa"/>
          <w:trHeight w:val="882" w:hRule="atLeast"/>
          <w:jc w:val="center"/>
        </w:trPr>
        <w:tc>
          <w:tcPr>
            <w:tcW w:w="780" w:type="dxa"/>
            <w:vMerge w:val="continue"/>
            <w:tcBorders>
              <w:left w:val="single" w:color="auto" w:sz="4" w:space="0"/>
              <w:right w:val="single" w:color="auto" w:sz="4" w:space="0"/>
            </w:tcBorders>
            <w:noWrap w:val="0"/>
            <w:vAlign w:val="center"/>
          </w:tcPr>
          <w:p>
            <w:pPr>
              <w:rPr>
                <w:rFonts w:ascii="宋体" w:hAnsi="宋体"/>
                <w:szCs w:val="21"/>
              </w:rPr>
            </w:pPr>
          </w:p>
        </w:tc>
        <w:tc>
          <w:tcPr>
            <w:tcW w:w="1620" w:type="dxa"/>
            <w:vMerge w:val="continue"/>
            <w:tcBorders>
              <w:left w:val="single" w:color="auto" w:sz="4" w:space="0"/>
              <w:right w:val="single" w:color="auto" w:sz="4" w:space="0"/>
            </w:tcBorders>
            <w:noWrap w:val="0"/>
            <w:vAlign w:val="center"/>
          </w:tcPr>
          <w:p>
            <w:pPr>
              <w:rPr>
                <w:rFonts w:ascii="宋体" w:hAnsi="宋体"/>
                <w:szCs w:val="21"/>
              </w:rPr>
            </w:pPr>
          </w:p>
        </w:tc>
        <w:tc>
          <w:tcPr>
            <w:tcW w:w="540" w:type="dxa"/>
            <w:vMerge w:val="restart"/>
            <w:tcBorders>
              <w:top w:val="single" w:color="auto" w:sz="4" w:space="0"/>
              <w:left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07</w:t>
            </w:r>
          </w:p>
        </w:tc>
        <w:tc>
          <w:tcPr>
            <w:tcW w:w="1440" w:type="dxa"/>
            <w:vMerge w:val="restart"/>
            <w:tcBorders>
              <w:top w:val="single" w:color="auto" w:sz="4" w:space="0"/>
              <w:left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非法张贴小广告</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01</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szCs w:val="21"/>
              </w:rPr>
            </w:pPr>
            <w:r>
              <w:rPr>
                <w:rFonts w:hint="eastAsia" w:ascii="宋体" w:hAnsi="宋体"/>
                <w:szCs w:val="21"/>
              </w:rPr>
              <w:t>沿街路灯杆、公交站亭、交通信号杆、建筑物等立面有零星非法张贴小广告，面积＜1㎡（除自身建筑物上张贴招工、转让等广告）</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动态</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1小时</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0.1分</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szCs w:val="21"/>
              </w:rPr>
            </w:pPr>
            <w:r>
              <w:rPr>
                <w:rFonts w:hint="eastAsia" w:ascii="宋体" w:hAnsi="宋体"/>
                <w:szCs w:val="21"/>
              </w:rPr>
              <w:t>1小时内整改不扣分；超过1小时整改每1小时扣0.1分，扣分累计</w:t>
            </w:r>
          </w:p>
        </w:tc>
      </w:tr>
      <w:tr>
        <w:tblPrEx>
          <w:tblCellMar>
            <w:top w:w="15" w:type="dxa"/>
            <w:left w:w="15" w:type="dxa"/>
            <w:bottom w:w="0" w:type="dxa"/>
            <w:right w:w="15" w:type="dxa"/>
          </w:tblCellMar>
        </w:tblPrEx>
        <w:trPr>
          <w:wBefore w:w="0" w:type="dxa"/>
          <w:wAfter w:w="0" w:type="dxa"/>
          <w:trHeight w:val="1159" w:hRule="atLeast"/>
          <w:jc w:val="center"/>
        </w:trPr>
        <w:tc>
          <w:tcPr>
            <w:tcW w:w="780" w:type="dxa"/>
            <w:vMerge w:val="continue"/>
            <w:tcBorders>
              <w:left w:val="single" w:color="auto" w:sz="4" w:space="0"/>
              <w:right w:val="single" w:color="auto" w:sz="4" w:space="0"/>
            </w:tcBorders>
            <w:noWrap w:val="0"/>
            <w:vAlign w:val="center"/>
          </w:tcPr>
          <w:p>
            <w:pPr>
              <w:rPr>
                <w:rFonts w:ascii="宋体" w:hAnsi="宋体"/>
                <w:szCs w:val="21"/>
              </w:rPr>
            </w:pPr>
          </w:p>
        </w:tc>
        <w:tc>
          <w:tcPr>
            <w:tcW w:w="1620" w:type="dxa"/>
            <w:vMerge w:val="continue"/>
            <w:tcBorders>
              <w:left w:val="single" w:color="auto" w:sz="4" w:space="0"/>
              <w:right w:val="single" w:color="auto" w:sz="4" w:space="0"/>
            </w:tcBorders>
            <w:noWrap w:val="0"/>
            <w:vAlign w:val="center"/>
          </w:tcPr>
          <w:p>
            <w:pPr>
              <w:rPr>
                <w:rFonts w:ascii="宋体" w:hAnsi="宋体"/>
                <w:szCs w:val="21"/>
              </w:rPr>
            </w:pPr>
          </w:p>
        </w:tc>
        <w:tc>
          <w:tcPr>
            <w:tcW w:w="540" w:type="dxa"/>
            <w:vMerge w:val="continue"/>
            <w:tcBorders>
              <w:left w:val="single" w:color="auto" w:sz="4" w:space="0"/>
              <w:bottom w:val="single" w:color="auto" w:sz="4" w:space="0"/>
              <w:right w:val="single" w:color="auto" w:sz="4" w:space="0"/>
            </w:tcBorders>
            <w:noWrap w:val="0"/>
            <w:vAlign w:val="center"/>
          </w:tcPr>
          <w:p>
            <w:pPr>
              <w:rPr>
                <w:rFonts w:ascii="宋体" w:hAnsi="宋体"/>
                <w:szCs w:val="21"/>
              </w:rPr>
            </w:pPr>
          </w:p>
        </w:tc>
        <w:tc>
          <w:tcPr>
            <w:tcW w:w="1440" w:type="dxa"/>
            <w:vMerge w:val="continue"/>
            <w:tcBorders>
              <w:left w:val="single" w:color="auto" w:sz="4" w:space="0"/>
              <w:bottom w:val="single" w:color="auto" w:sz="4" w:space="0"/>
              <w:right w:val="single" w:color="auto" w:sz="4" w:space="0"/>
            </w:tcBorders>
            <w:noWrap w:val="0"/>
            <w:vAlign w:val="center"/>
          </w:tcPr>
          <w:p>
            <w:pPr>
              <w:spacing w:line="280" w:lineRule="exact"/>
              <w:rPr>
                <w:rFonts w:ascii="宋体" w:hAnsi="宋体"/>
                <w:szCs w:val="21"/>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02</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szCs w:val="21"/>
              </w:rPr>
            </w:pPr>
            <w:r>
              <w:rPr>
                <w:rFonts w:hint="eastAsia" w:ascii="宋体" w:hAnsi="宋体"/>
                <w:szCs w:val="21"/>
              </w:rPr>
              <w:t>沿街路灯杆、公交站亭、交通信号杆、建筑物等立面有大量非法张贴小广告≥1㎡（除自身建筑物上张贴招工、转让等广告）</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动态</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3小时</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0.1分</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szCs w:val="21"/>
              </w:rPr>
            </w:pPr>
            <w:r>
              <w:rPr>
                <w:rFonts w:hint="eastAsia" w:ascii="宋体" w:hAnsi="宋体"/>
                <w:szCs w:val="21"/>
              </w:rPr>
              <w:t>3小时内整改不扣分；超过3小时整改每3小时扣0.1分，扣分累计</w:t>
            </w:r>
          </w:p>
        </w:tc>
      </w:tr>
      <w:tr>
        <w:tblPrEx>
          <w:tblCellMar>
            <w:top w:w="15" w:type="dxa"/>
            <w:left w:w="15" w:type="dxa"/>
            <w:bottom w:w="0" w:type="dxa"/>
            <w:right w:w="15" w:type="dxa"/>
          </w:tblCellMar>
        </w:tblPrEx>
        <w:trPr>
          <w:wBefore w:w="0" w:type="dxa"/>
          <w:wAfter w:w="0" w:type="dxa"/>
          <w:trHeight w:val="1159" w:hRule="atLeast"/>
          <w:jc w:val="center"/>
        </w:trPr>
        <w:tc>
          <w:tcPr>
            <w:tcW w:w="780" w:type="dxa"/>
            <w:vMerge w:val="continue"/>
            <w:tcBorders>
              <w:left w:val="single" w:color="auto" w:sz="4" w:space="0"/>
              <w:right w:val="single" w:color="auto" w:sz="4" w:space="0"/>
            </w:tcBorders>
            <w:noWrap w:val="0"/>
            <w:vAlign w:val="center"/>
          </w:tcPr>
          <w:p>
            <w:pPr>
              <w:rPr>
                <w:rFonts w:ascii="宋体" w:hAnsi="宋体"/>
                <w:szCs w:val="21"/>
              </w:rPr>
            </w:pPr>
          </w:p>
        </w:tc>
        <w:tc>
          <w:tcPr>
            <w:tcW w:w="1620" w:type="dxa"/>
            <w:vMerge w:val="continue"/>
            <w:tcBorders>
              <w:left w:val="single" w:color="auto" w:sz="4" w:space="0"/>
              <w:right w:val="single" w:color="auto" w:sz="4" w:space="0"/>
            </w:tcBorders>
            <w:noWrap w:val="0"/>
            <w:vAlign w:val="center"/>
          </w:tcPr>
          <w:p>
            <w:pPr>
              <w:rPr>
                <w:rFonts w:ascii="宋体" w:hAnsi="宋体"/>
                <w:szCs w:val="21"/>
              </w:rPr>
            </w:pPr>
          </w:p>
        </w:tc>
        <w:tc>
          <w:tcPr>
            <w:tcW w:w="540" w:type="dxa"/>
            <w:vMerge w:val="restart"/>
            <w:tcBorders>
              <w:top w:val="single" w:color="auto" w:sz="4" w:space="0"/>
              <w:left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08</w:t>
            </w:r>
          </w:p>
        </w:tc>
        <w:tc>
          <w:tcPr>
            <w:tcW w:w="1440" w:type="dxa"/>
            <w:vMerge w:val="restart"/>
            <w:tcBorders>
              <w:top w:val="single" w:color="auto" w:sz="4" w:space="0"/>
              <w:left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非法张贴小广告处置不当</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01</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szCs w:val="21"/>
              </w:rPr>
            </w:pPr>
            <w:r>
              <w:rPr>
                <w:rFonts w:hint="eastAsia" w:ascii="宋体" w:hAnsi="宋体"/>
                <w:szCs w:val="21"/>
              </w:rPr>
              <w:t>沿街路灯杆、公交站亭、交通信号杆、建筑物等立面的非法张贴小广告清除不当，造成立面损坏或颜色不协调</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静态</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1工作日</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1分</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szCs w:val="21"/>
              </w:rPr>
            </w:pPr>
            <w:r>
              <w:rPr>
                <w:rFonts w:hint="eastAsia" w:ascii="宋体" w:hAnsi="宋体"/>
                <w:szCs w:val="21"/>
              </w:rPr>
              <w:t>一立案即扣1分。立案后1个工作日内整改则结束扣分；超过1个工作日整改，每1个工作日扣1分，扣分累计</w:t>
            </w:r>
          </w:p>
        </w:tc>
      </w:tr>
      <w:tr>
        <w:tblPrEx>
          <w:tblCellMar>
            <w:top w:w="15" w:type="dxa"/>
            <w:left w:w="15" w:type="dxa"/>
            <w:bottom w:w="0" w:type="dxa"/>
            <w:right w:w="15" w:type="dxa"/>
          </w:tblCellMar>
        </w:tblPrEx>
        <w:trPr>
          <w:wBefore w:w="0" w:type="dxa"/>
          <w:wAfter w:w="0" w:type="dxa"/>
          <w:trHeight w:val="1159" w:hRule="atLeast"/>
          <w:jc w:val="center"/>
        </w:trPr>
        <w:tc>
          <w:tcPr>
            <w:tcW w:w="780" w:type="dxa"/>
            <w:vMerge w:val="continue"/>
            <w:tcBorders>
              <w:left w:val="single" w:color="auto" w:sz="4" w:space="0"/>
              <w:right w:val="single" w:color="auto" w:sz="4" w:space="0"/>
            </w:tcBorders>
            <w:noWrap w:val="0"/>
            <w:vAlign w:val="center"/>
          </w:tcPr>
          <w:p>
            <w:pPr>
              <w:rPr>
                <w:rFonts w:ascii="宋体" w:hAnsi="宋体"/>
                <w:szCs w:val="21"/>
              </w:rPr>
            </w:pPr>
          </w:p>
        </w:tc>
        <w:tc>
          <w:tcPr>
            <w:tcW w:w="1620" w:type="dxa"/>
            <w:vMerge w:val="continue"/>
            <w:tcBorders>
              <w:left w:val="single" w:color="auto" w:sz="4" w:space="0"/>
              <w:right w:val="single" w:color="auto" w:sz="4" w:space="0"/>
            </w:tcBorders>
            <w:noWrap w:val="0"/>
            <w:vAlign w:val="center"/>
          </w:tcPr>
          <w:p>
            <w:pPr>
              <w:rPr>
                <w:rFonts w:ascii="宋体" w:hAnsi="宋体"/>
                <w:szCs w:val="21"/>
              </w:rPr>
            </w:pPr>
          </w:p>
        </w:tc>
        <w:tc>
          <w:tcPr>
            <w:tcW w:w="540"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1440" w:type="dxa"/>
            <w:vMerge w:val="continue"/>
            <w:tcBorders>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szCs w:val="21"/>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b/>
                <w:szCs w:val="21"/>
              </w:rPr>
            </w:pPr>
            <w:r>
              <w:rPr>
                <w:rFonts w:hint="eastAsia" w:ascii="宋体" w:hAnsi="宋体"/>
                <w:b/>
                <w:szCs w:val="21"/>
              </w:rPr>
              <w:t>02</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b/>
                <w:szCs w:val="21"/>
              </w:rPr>
            </w:pPr>
            <w:r>
              <w:rPr>
                <w:rFonts w:hint="eastAsia" w:ascii="宋体" w:hAnsi="宋体"/>
                <w:b/>
                <w:szCs w:val="21"/>
              </w:rPr>
              <w:t>沿街路灯杆、公交站亭、交通信号杆、建筑物等立面的非法张贴小广告未清除干净</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b/>
                <w:szCs w:val="21"/>
              </w:rPr>
            </w:pPr>
            <w:r>
              <w:rPr>
                <w:rFonts w:hint="eastAsia" w:ascii="宋体" w:hAnsi="宋体"/>
                <w:b/>
                <w:szCs w:val="21"/>
              </w:rPr>
              <w:t>静态</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b/>
                <w:szCs w:val="21"/>
              </w:rPr>
            </w:pPr>
            <w:r>
              <w:rPr>
                <w:rFonts w:hint="eastAsia" w:ascii="宋体" w:hAnsi="宋体"/>
                <w:b/>
                <w:szCs w:val="21"/>
              </w:rPr>
              <w:t>1小时</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b/>
                <w:szCs w:val="21"/>
              </w:rPr>
            </w:pPr>
            <w:r>
              <w:rPr>
                <w:rFonts w:hint="eastAsia" w:ascii="宋体" w:hAnsi="宋体"/>
                <w:b/>
                <w:szCs w:val="21"/>
              </w:rPr>
              <w:t>0.1分</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szCs w:val="21"/>
              </w:rPr>
            </w:pPr>
            <w:r>
              <w:rPr>
                <w:rFonts w:hint="eastAsia" w:ascii="宋体" w:hAnsi="宋体"/>
                <w:b/>
                <w:szCs w:val="21"/>
              </w:rPr>
              <w:t>一立案即扣0.1分。立案后1小时内整改则结束扣分；超过1小时整改，每1小时扣0.1分，扣分累计。</w:t>
            </w:r>
          </w:p>
        </w:tc>
      </w:tr>
      <w:tr>
        <w:tblPrEx>
          <w:tblCellMar>
            <w:top w:w="15" w:type="dxa"/>
            <w:left w:w="15" w:type="dxa"/>
            <w:bottom w:w="0" w:type="dxa"/>
            <w:right w:w="15" w:type="dxa"/>
          </w:tblCellMar>
        </w:tblPrEx>
        <w:trPr>
          <w:wBefore w:w="0" w:type="dxa"/>
          <w:wAfter w:w="0" w:type="dxa"/>
          <w:trHeight w:val="1159" w:hRule="atLeast"/>
          <w:jc w:val="center"/>
        </w:trPr>
        <w:tc>
          <w:tcPr>
            <w:tcW w:w="780" w:type="dxa"/>
            <w:vMerge w:val="continue"/>
            <w:tcBorders>
              <w:left w:val="single" w:color="auto" w:sz="4" w:space="0"/>
              <w:right w:val="single" w:color="auto" w:sz="4" w:space="0"/>
            </w:tcBorders>
            <w:noWrap w:val="0"/>
            <w:vAlign w:val="center"/>
          </w:tcPr>
          <w:p>
            <w:pPr>
              <w:rPr>
                <w:rFonts w:ascii="宋体" w:hAnsi="宋体"/>
                <w:szCs w:val="21"/>
              </w:rPr>
            </w:pPr>
          </w:p>
        </w:tc>
        <w:tc>
          <w:tcPr>
            <w:tcW w:w="1620" w:type="dxa"/>
            <w:vMerge w:val="continue"/>
            <w:tcBorders>
              <w:left w:val="single" w:color="auto" w:sz="4" w:space="0"/>
              <w:right w:val="single" w:color="auto" w:sz="4" w:space="0"/>
            </w:tcBorders>
            <w:noWrap w:val="0"/>
            <w:vAlign w:val="center"/>
          </w:tcPr>
          <w:p>
            <w:pPr>
              <w:rPr>
                <w:rFonts w:ascii="宋体" w:hAnsi="宋体"/>
                <w:szCs w:val="21"/>
              </w:rPr>
            </w:pPr>
          </w:p>
        </w:tc>
        <w:tc>
          <w:tcPr>
            <w:tcW w:w="540" w:type="dxa"/>
            <w:vMerge w:val="restart"/>
            <w:tcBorders>
              <w:top w:val="single" w:color="auto" w:sz="4" w:space="0"/>
              <w:left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09</w:t>
            </w:r>
          </w:p>
        </w:tc>
        <w:tc>
          <w:tcPr>
            <w:tcW w:w="1440" w:type="dxa"/>
            <w:vMerge w:val="restart"/>
            <w:tcBorders>
              <w:top w:val="single" w:color="auto" w:sz="4" w:space="0"/>
              <w:left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乱涂乱写</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01</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szCs w:val="21"/>
              </w:rPr>
            </w:pPr>
            <w:r>
              <w:rPr>
                <w:rFonts w:hint="eastAsia" w:ascii="宋体" w:hAnsi="宋体"/>
                <w:szCs w:val="21"/>
              </w:rPr>
              <w:t>沿街路灯杆、公交站亭、交通信号杆、建筑物等立面有零星乱涂乱写，面积＜1㎡（雨天淋雨处涂料无法附着除外，未淋雨处须立即处理）</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动态</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4小时</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0.1分</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szCs w:val="21"/>
              </w:rPr>
            </w:pPr>
            <w:r>
              <w:rPr>
                <w:rFonts w:hint="eastAsia" w:ascii="宋体" w:hAnsi="宋体"/>
                <w:szCs w:val="21"/>
              </w:rPr>
              <w:t>4小时内整改不扣分；超过4小时整改每4小时扣0.1分，扣分累计</w:t>
            </w:r>
          </w:p>
        </w:tc>
      </w:tr>
      <w:tr>
        <w:tblPrEx>
          <w:tblCellMar>
            <w:top w:w="15" w:type="dxa"/>
            <w:left w:w="15" w:type="dxa"/>
            <w:bottom w:w="0" w:type="dxa"/>
            <w:right w:w="15" w:type="dxa"/>
          </w:tblCellMar>
        </w:tblPrEx>
        <w:trPr>
          <w:wBefore w:w="0" w:type="dxa"/>
          <w:wAfter w:w="0" w:type="dxa"/>
          <w:trHeight w:val="1159" w:hRule="atLeast"/>
          <w:jc w:val="center"/>
        </w:trPr>
        <w:tc>
          <w:tcPr>
            <w:tcW w:w="780" w:type="dxa"/>
            <w:vMerge w:val="continue"/>
            <w:tcBorders>
              <w:left w:val="single" w:color="auto" w:sz="4" w:space="0"/>
              <w:right w:val="single" w:color="auto" w:sz="4" w:space="0"/>
            </w:tcBorders>
            <w:noWrap w:val="0"/>
            <w:vAlign w:val="center"/>
          </w:tcPr>
          <w:p>
            <w:pPr>
              <w:rPr>
                <w:rFonts w:ascii="宋体" w:hAnsi="宋体"/>
                <w:szCs w:val="21"/>
              </w:rPr>
            </w:pPr>
          </w:p>
        </w:tc>
        <w:tc>
          <w:tcPr>
            <w:tcW w:w="1620" w:type="dxa"/>
            <w:vMerge w:val="continue"/>
            <w:tcBorders>
              <w:left w:val="single" w:color="auto" w:sz="4" w:space="0"/>
              <w:right w:val="single" w:color="auto" w:sz="4" w:space="0"/>
            </w:tcBorders>
            <w:noWrap w:val="0"/>
            <w:vAlign w:val="center"/>
          </w:tcPr>
          <w:p>
            <w:pPr>
              <w:rPr>
                <w:rFonts w:ascii="宋体" w:hAnsi="宋体"/>
                <w:szCs w:val="21"/>
              </w:rPr>
            </w:pPr>
          </w:p>
        </w:tc>
        <w:tc>
          <w:tcPr>
            <w:tcW w:w="540" w:type="dxa"/>
            <w:vMerge w:val="continue"/>
            <w:tcBorders>
              <w:left w:val="single" w:color="auto" w:sz="4" w:space="0"/>
              <w:bottom w:val="single" w:color="auto" w:sz="4" w:space="0"/>
              <w:right w:val="single" w:color="auto" w:sz="4" w:space="0"/>
            </w:tcBorders>
            <w:noWrap w:val="0"/>
            <w:vAlign w:val="center"/>
          </w:tcPr>
          <w:p>
            <w:pPr>
              <w:rPr>
                <w:rFonts w:ascii="宋体" w:hAnsi="宋体"/>
                <w:szCs w:val="21"/>
              </w:rPr>
            </w:pPr>
          </w:p>
        </w:tc>
        <w:tc>
          <w:tcPr>
            <w:tcW w:w="1440" w:type="dxa"/>
            <w:vMerge w:val="continue"/>
            <w:tcBorders>
              <w:left w:val="single" w:color="auto" w:sz="4" w:space="0"/>
              <w:bottom w:val="single" w:color="auto" w:sz="4" w:space="0"/>
              <w:right w:val="single" w:color="auto" w:sz="4" w:space="0"/>
            </w:tcBorders>
            <w:noWrap w:val="0"/>
            <w:vAlign w:val="center"/>
          </w:tcPr>
          <w:p>
            <w:pPr>
              <w:spacing w:line="280" w:lineRule="exact"/>
              <w:rPr>
                <w:rFonts w:ascii="宋体" w:hAnsi="宋体"/>
                <w:szCs w:val="21"/>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02</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szCs w:val="21"/>
              </w:rPr>
            </w:pPr>
            <w:r>
              <w:rPr>
                <w:rFonts w:hint="eastAsia" w:ascii="宋体" w:hAnsi="宋体"/>
                <w:szCs w:val="21"/>
              </w:rPr>
              <w:t>沿街路灯杆、公交站亭、交通信号杆、建筑物等立面有成片乱涂乱写，面积≥1㎡（雨天淋雨处涂料无法附着除外，未淋雨处须立即处理）</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动态</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4小时</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0.1分</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szCs w:val="21"/>
              </w:rPr>
            </w:pPr>
            <w:r>
              <w:rPr>
                <w:rFonts w:hint="eastAsia" w:ascii="宋体" w:hAnsi="宋体"/>
                <w:szCs w:val="21"/>
              </w:rPr>
              <w:t>4小时内整改不扣分；超过4小时整改每4小时扣0.1分，扣分累计</w:t>
            </w:r>
          </w:p>
        </w:tc>
      </w:tr>
      <w:tr>
        <w:tblPrEx>
          <w:tblCellMar>
            <w:top w:w="15" w:type="dxa"/>
            <w:left w:w="15" w:type="dxa"/>
            <w:bottom w:w="0" w:type="dxa"/>
            <w:right w:w="15" w:type="dxa"/>
          </w:tblCellMar>
        </w:tblPrEx>
        <w:trPr>
          <w:wBefore w:w="0" w:type="dxa"/>
          <w:wAfter w:w="0" w:type="dxa"/>
          <w:trHeight w:val="1159" w:hRule="atLeast"/>
          <w:jc w:val="center"/>
        </w:trPr>
        <w:tc>
          <w:tcPr>
            <w:tcW w:w="780" w:type="dxa"/>
            <w:vMerge w:val="continue"/>
            <w:tcBorders>
              <w:left w:val="single" w:color="auto" w:sz="4" w:space="0"/>
              <w:bottom w:val="single" w:color="auto" w:sz="4" w:space="0"/>
              <w:right w:val="single" w:color="auto" w:sz="4" w:space="0"/>
            </w:tcBorders>
            <w:noWrap w:val="0"/>
            <w:vAlign w:val="center"/>
          </w:tcPr>
          <w:p>
            <w:pPr>
              <w:rPr>
                <w:rFonts w:ascii="宋体" w:hAnsi="宋体"/>
                <w:szCs w:val="21"/>
              </w:rPr>
            </w:pPr>
          </w:p>
        </w:tc>
        <w:tc>
          <w:tcPr>
            <w:tcW w:w="1620" w:type="dxa"/>
            <w:vMerge w:val="continue"/>
            <w:tcBorders>
              <w:left w:val="single" w:color="auto" w:sz="4" w:space="0"/>
              <w:bottom w:val="single" w:color="auto" w:sz="4" w:space="0"/>
              <w:right w:val="single" w:color="auto" w:sz="4" w:space="0"/>
            </w:tcBorders>
            <w:noWrap w:val="0"/>
            <w:vAlign w:val="center"/>
          </w:tcPr>
          <w:p>
            <w:pPr>
              <w:rPr>
                <w:rFonts w:ascii="宋体" w:hAnsi="宋体"/>
                <w:szCs w:val="21"/>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10</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乱涂乱写处置不当</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01</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szCs w:val="21"/>
              </w:rPr>
            </w:pPr>
            <w:r>
              <w:rPr>
                <w:rFonts w:hint="eastAsia" w:ascii="宋体" w:hAnsi="宋体"/>
                <w:szCs w:val="21"/>
              </w:rPr>
              <w:t>沿街路灯杆、公交站亭、交通信号杆、建筑物等立面的乱涂乱写清除不当，造成立面损坏或颜色不协调（雨天淋雨处涂料无法附着除外，未淋雨处须立即处理）</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静态</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1工作日</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1分</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szCs w:val="21"/>
              </w:rPr>
            </w:pPr>
            <w:r>
              <w:rPr>
                <w:rFonts w:hint="eastAsia" w:ascii="宋体" w:hAnsi="宋体"/>
                <w:szCs w:val="21"/>
              </w:rPr>
              <w:t>一立案即扣1分。立案后1个工作日内整改则结束扣分；超过1个工作日整改，每1个工作日扣1分，扣分累计</w:t>
            </w:r>
          </w:p>
        </w:tc>
      </w:tr>
      <w:tr>
        <w:tblPrEx>
          <w:tblCellMar>
            <w:top w:w="15" w:type="dxa"/>
            <w:left w:w="15" w:type="dxa"/>
            <w:bottom w:w="0" w:type="dxa"/>
            <w:right w:w="15" w:type="dxa"/>
          </w:tblCellMar>
        </w:tblPrEx>
        <w:trPr>
          <w:wBefore w:w="0" w:type="dxa"/>
          <w:wAfter w:w="0" w:type="dxa"/>
          <w:trHeight w:val="882" w:hRule="atLeast"/>
          <w:jc w:val="center"/>
        </w:trPr>
        <w:tc>
          <w:tcPr>
            <w:tcW w:w="780" w:type="dxa"/>
            <w:vMerge w:val="restart"/>
            <w:tcBorders>
              <w:top w:val="single" w:color="auto" w:sz="4" w:space="0"/>
              <w:left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04</w:t>
            </w:r>
          </w:p>
        </w:tc>
        <w:tc>
          <w:tcPr>
            <w:tcW w:w="1620" w:type="dxa"/>
            <w:vMerge w:val="restart"/>
            <w:tcBorders>
              <w:top w:val="single" w:color="auto" w:sz="4" w:space="0"/>
              <w:left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公司管理</w:t>
            </w: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01</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未统一着装</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01</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szCs w:val="21"/>
              </w:rPr>
            </w:pPr>
            <w:r>
              <w:rPr>
                <w:rFonts w:hint="eastAsia" w:ascii="宋体" w:hAnsi="宋体"/>
                <w:szCs w:val="21"/>
              </w:rPr>
              <w:t>保洁人员未统一穿着工作服</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静态</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1小时</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0.2分</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szCs w:val="21"/>
              </w:rPr>
            </w:pPr>
            <w:r>
              <w:rPr>
                <w:rFonts w:hint="eastAsia" w:ascii="宋体" w:hAnsi="宋体"/>
                <w:szCs w:val="21"/>
              </w:rPr>
              <w:t>一立案即扣0.2分。立案后1小时内整改则结束扣分；超过1小时整改，每1小时扣0.2分，扣分累计</w:t>
            </w:r>
          </w:p>
        </w:tc>
      </w:tr>
      <w:tr>
        <w:tblPrEx>
          <w:tblCellMar>
            <w:top w:w="15" w:type="dxa"/>
            <w:left w:w="15" w:type="dxa"/>
            <w:bottom w:w="0" w:type="dxa"/>
            <w:right w:w="15" w:type="dxa"/>
          </w:tblCellMar>
        </w:tblPrEx>
        <w:trPr>
          <w:wBefore w:w="0" w:type="dxa"/>
          <w:wAfter w:w="0" w:type="dxa"/>
          <w:trHeight w:val="882" w:hRule="atLeast"/>
          <w:jc w:val="center"/>
        </w:trPr>
        <w:tc>
          <w:tcPr>
            <w:tcW w:w="780" w:type="dxa"/>
            <w:vMerge w:val="continue"/>
            <w:tcBorders>
              <w:left w:val="single" w:color="auto" w:sz="4" w:space="0"/>
              <w:right w:val="single" w:color="auto" w:sz="4" w:space="0"/>
            </w:tcBorders>
            <w:noWrap w:val="0"/>
            <w:vAlign w:val="center"/>
          </w:tcPr>
          <w:p>
            <w:pPr>
              <w:rPr>
                <w:rFonts w:ascii="宋体" w:hAnsi="宋体"/>
                <w:szCs w:val="21"/>
              </w:rPr>
            </w:pPr>
          </w:p>
        </w:tc>
        <w:tc>
          <w:tcPr>
            <w:tcW w:w="1620" w:type="dxa"/>
            <w:vMerge w:val="continue"/>
            <w:tcBorders>
              <w:left w:val="single" w:color="auto" w:sz="4" w:space="0"/>
              <w:right w:val="single" w:color="auto" w:sz="4" w:space="0"/>
            </w:tcBorders>
            <w:noWrap w:val="0"/>
            <w:vAlign w:val="center"/>
          </w:tcPr>
          <w:p>
            <w:pPr>
              <w:rPr>
                <w:rFonts w:ascii="宋体" w:hAnsi="宋体"/>
                <w:szCs w:val="21"/>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02</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未遵守劳动纪律</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01</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szCs w:val="21"/>
              </w:rPr>
            </w:pPr>
            <w:r>
              <w:rPr>
                <w:rFonts w:hint="eastAsia" w:ascii="宋体" w:hAnsi="宋体"/>
                <w:szCs w:val="21"/>
              </w:rPr>
              <w:t>责任保洁范围内不洁且立岗、坐岗、扎堆聊天的</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静态</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20分钟</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0.2分</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szCs w:val="21"/>
              </w:rPr>
            </w:pPr>
            <w:r>
              <w:rPr>
                <w:rFonts w:hint="eastAsia" w:ascii="宋体" w:hAnsi="宋体"/>
                <w:szCs w:val="21"/>
              </w:rPr>
              <w:t>一立案即扣0.2分。立案后20分钟内整改则结束扣分；超过20分钟整改，每20分钟扣0.2分，扣分累计</w:t>
            </w:r>
          </w:p>
        </w:tc>
      </w:tr>
      <w:tr>
        <w:tblPrEx>
          <w:tblCellMar>
            <w:top w:w="15" w:type="dxa"/>
            <w:left w:w="15" w:type="dxa"/>
            <w:bottom w:w="0" w:type="dxa"/>
            <w:right w:w="15" w:type="dxa"/>
          </w:tblCellMar>
        </w:tblPrEx>
        <w:trPr>
          <w:wBefore w:w="0" w:type="dxa"/>
          <w:wAfter w:w="0" w:type="dxa"/>
          <w:trHeight w:val="820" w:hRule="atLeast"/>
          <w:jc w:val="center"/>
        </w:trPr>
        <w:tc>
          <w:tcPr>
            <w:tcW w:w="780" w:type="dxa"/>
            <w:vMerge w:val="continue"/>
            <w:tcBorders>
              <w:left w:val="single" w:color="auto" w:sz="4" w:space="0"/>
              <w:right w:val="single" w:color="auto" w:sz="4" w:space="0"/>
            </w:tcBorders>
            <w:noWrap w:val="0"/>
            <w:vAlign w:val="center"/>
          </w:tcPr>
          <w:p>
            <w:pPr>
              <w:rPr>
                <w:rFonts w:ascii="宋体" w:hAnsi="宋体"/>
                <w:szCs w:val="21"/>
              </w:rPr>
            </w:pPr>
          </w:p>
        </w:tc>
        <w:tc>
          <w:tcPr>
            <w:tcW w:w="1620" w:type="dxa"/>
            <w:vMerge w:val="continue"/>
            <w:tcBorders>
              <w:left w:val="single" w:color="auto" w:sz="4" w:space="0"/>
              <w:right w:val="single" w:color="auto" w:sz="4" w:space="0"/>
            </w:tcBorders>
            <w:noWrap w:val="0"/>
            <w:vAlign w:val="center"/>
          </w:tcPr>
          <w:p>
            <w:pPr>
              <w:rPr>
                <w:rFonts w:ascii="宋体" w:hAnsi="宋体"/>
                <w:szCs w:val="21"/>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03</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人数不足</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01</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szCs w:val="21"/>
              </w:rPr>
            </w:pPr>
            <w:r>
              <w:rPr>
                <w:rFonts w:hint="eastAsia" w:ascii="宋体" w:hAnsi="宋体"/>
                <w:szCs w:val="21"/>
              </w:rPr>
              <w:t>未按招标文件及合同规定设置相应人数的保洁人员，每缺一人扣1-2分</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静态</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1小时</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1-2分</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szCs w:val="21"/>
              </w:rPr>
            </w:pPr>
            <w:r>
              <w:rPr>
                <w:rFonts w:hint="eastAsia" w:ascii="宋体" w:hAnsi="宋体"/>
                <w:szCs w:val="21"/>
              </w:rPr>
              <w:t>一立案即扣分, 保洁人员到岗比例在90%（含）-95%以内的，缺员部分扣款1分/人•次。在85%（含）-90%的，缺员部分扣款1.6分/人•次。85%以下的，缺员部分扣款2分/人•次。立案后1小时内整改则结束扣分；超过1小时整改，每1小时扣一次分，扣分累计</w:t>
            </w:r>
          </w:p>
        </w:tc>
      </w:tr>
      <w:tr>
        <w:tblPrEx>
          <w:tblCellMar>
            <w:top w:w="15" w:type="dxa"/>
            <w:left w:w="15" w:type="dxa"/>
            <w:bottom w:w="0" w:type="dxa"/>
            <w:right w:w="15" w:type="dxa"/>
          </w:tblCellMar>
        </w:tblPrEx>
        <w:trPr>
          <w:wBefore w:w="0" w:type="dxa"/>
          <w:wAfter w:w="0" w:type="dxa"/>
          <w:trHeight w:val="802" w:hRule="atLeast"/>
          <w:jc w:val="center"/>
        </w:trPr>
        <w:tc>
          <w:tcPr>
            <w:tcW w:w="780" w:type="dxa"/>
            <w:vMerge w:val="continue"/>
            <w:tcBorders>
              <w:left w:val="single" w:color="auto" w:sz="4" w:space="0"/>
              <w:right w:val="single" w:color="auto" w:sz="4" w:space="0"/>
            </w:tcBorders>
            <w:noWrap w:val="0"/>
            <w:vAlign w:val="center"/>
          </w:tcPr>
          <w:p>
            <w:pPr>
              <w:rPr>
                <w:rFonts w:ascii="宋体" w:hAnsi="宋体"/>
                <w:szCs w:val="21"/>
              </w:rPr>
            </w:pPr>
          </w:p>
        </w:tc>
        <w:tc>
          <w:tcPr>
            <w:tcW w:w="1620" w:type="dxa"/>
            <w:vMerge w:val="continue"/>
            <w:tcBorders>
              <w:left w:val="single" w:color="auto" w:sz="4" w:space="0"/>
              <w:right w:val="single" w:color="auto" w:sz="4" w:space="0"/>
            </w:tcBorders>
            <w:noWrap w:val="0"/>
            <w:vAlign w:val="center"/>
          </w:tcPr>
          <w:p>
            <w:pPr>
              <w:rPr>
                <w:rFonts w:ascii="宋体" w:hAnsi="宋体"/>
                <w:szCs w:val="21"/>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04</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焚烧垃圾、树叶</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01</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szCs w:val="21"/>
              </w:rPr>
            </w:pPr>
            <w:r>
              <w:rPr>
                <w:rFonts w:hint="eastAsia" w:ascii="宋体" w:hAnsi="宋体"/>
                <w:szCs w:val="21"/>
              </w:rPr>
              <w:t>保洁人员焚烧垃圾、树叶等现象</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静态</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1小时</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4分</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szCs w:val="21"/>
              </w:rPr>
            </w:pPr>
            <w:r>
              <w:rPr>
                <w:rFonts w:hint="eastAsia" w:ascii="宋体" w:hAnsi="宋体"/>
                <w:szCs w:val="21"/>
              </w:rPr>
              <w:t>一立案即扣4分。立案后1小时内整改则结束扣分；超过1小时整改，每1小时扣4分，扣分累计</w:t>
            </w:r>
          </w:p>
        </w:tc>
      </w:tr>
      <w:tr>
        <w:tblPrEx>
          <w:tblCellMar>
            <w:top w:w="15" w:type="dxa"/>
            <w:left w:w="15" w:type="dxa"/>
            <w:bottom w:w="0" w:type="dxa"/>
            <w:right w:w="15" w:type="dxa"/>
          </w:tblCellMar>
        </w:tblPrEx>
        <w:trPr>
          <w:wBefore w:w="0" w:type="dxa"/>
          <w:wAfter w:w="0" w:type="dxa"/>
          <w:trHeight w:val="797" w:hRule="atLeast"/>
          <w:jc w:val="center"/>
        </w:trPr>
        <w:tc>
          <w:tcPr>
            <w:tcW w:w="780" w:type="dxa"/>
            <w:vMerge w:val="continue"/>
            <w:tcBorders>
              <w:left w:val="single" w:color="auto" w:sz="4" w:space="0"/>
              <w:right w:val="single" w:color="auto" w:sz="4" w:space="0"/>
            </w:tcBorders>
            <w:noWrap w:val="0"/>
            <w:vAlign w:val="center"/>
          </w:tcPr>
          <w:p>
            <w:pPr>
              <w:rPr>
                <w:rFonts w:ascii="宋体" w:hAnsi="宋体"/>
                <w:szCs w:val="21"/>
              </w:rPr>
            </w:pPr>
          </w:p>
        </w:tc>
        <w:tc>
          <w:tcPr>
            <w:tcW w:w="1620" w:type="dxa"/>
            <w:vMerge w:val="continue"/>
            <w:tcBorders>
              <w:left w:val="single" w:color="auto" w:sz="4" w:space="0"/>
              <w:right w:val="single" w:color="auto" w:sz="4" w:space="0"/>
            </w:tcBorders>
            <w:noWrap w:val="0"/>
            <w:vAlign w:val="center"/>
          </w:tcPr>
          <w:p>
            <w:pPr>
              <w:rPr>
                <w:rFonts w:ascii="宋体" w:hAnsi="宋体"/>
                <w:szCs w:val="21"/>
              </w:rPr>
            </w:pPr>
          </w:p>
        </w:tc>
        <w:tc>
          <w:tcPr>
            <w:tcW w:w="540" w:type="dxa"/>
            <w:vMerge w:val="restart"/>
            <w:tcBorders>
              <w:top w:val="single" w:color="auto" w:sz="4" w:space="0"/>
              <w:left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05</w:t>
            </w:r>
          </w:p>
        </w:tc>
        <w:tc>
          <w:tcPr>
            <w:tcW w:w="1440" w:type="dxa"/>
            <w:vMerge w:val="restart"/>
            <w:tcBorders>
              <w:top w:val="single" w:color="auto" w:sz="4" w:space="0"/>
              <w:left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安全管理不当</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01</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szCs w:val="21"/>
              </w:rPr>
            </w:pPr>
            <w:r>
              <w:rPr>
                <w:rFonts w:hint="eastAsia" w:ascii="宋体" w:hAnsi="宋体"/>
                <w:szCs w:val="21"/>
              </w:rPr>
              <w:t>保洁人员作业时未穿反光安全背心，人力清扫车车厢后栏板未设置荧光交通警示标志</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静态</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1工作日</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1分</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szCs w:val="21"/>
              </w:rPr>
            </w:pPr>
            <w:r>
              <w:rPr>
                <w:rFonts w:hint="eastAsia" w:ascii="宋体" w:hAnsi="宋体"/>
                <w:szCs w:val="21"/>
              </w:rPr>
              <w:t>一立案即扣1分。立案后1个工作日内整改则结束扣分；超过1个工作日整改，每1个工作日扣1分，扣分累计</w:t>
            </w:r>
          </w:p>
        </w:tc>
      </w:tr>
      <w:tr>
        <w:tblPrEx>
          <w:tblCellMar>
            <w:top w:w="15" w:type="dxa"/>
            <w:left w:w="15" w:type="dxa"/>
            <w:bottom w:w="0" w:type="dxa"/>
            <w:right w:w="15" w:type="dxa"/>
          </w:tblCellMar>
        </w:tblPrEx>
        <w:trPr>
          <w:wBefore w:w="0" w:type="dxa"/>
          <w:wAfter w:w="0" w:type="dxa"/>
          <w:trHeight w:val="773" w:hRule="atLeast"/>
          <w:jc w:val="center"/>
        </w:trPr>
        <w:tc>
          <w:tcPr>
            <w:tcW w:w="780" w:type="dxa"/>
            <w:vMerge w:val="continue"/>
            <w:tcBorders>
              <w:left w:val="single" w:color="auto" w:sz="4" w:space="0"/>
              <w:right w:val="single" w:color="auto" w:sz="4" w:space="0"/>
            </w:tcBorders>
            <w:noWrap w:val="0"/>
            <w:vAlign w:val="center"/>
          </w:tcPr>
          <w:p>
            <w:pPr>
              <w:rPr>
                <w:rFonts w:ascii="宋体" w:hAnsi="宋体"/>
                <w:szCs w:val="21"/>
              </w:rPr>
            </w:pPr>
          </w:p>
        </w:tc>
        <w:tc>
          <w:tcPr>
            <w:tcW w:w="1620" w:type="dxa"/>
            <w:vMerge w:val="continue"/>
            <w:tcBorders>
              <w:left w:val="single" w:color="auto" w:sz="4" w:space="0"/>
              <w:right w:val="single" w:color="auto" w:sz="4" w:space="0"/>
            </w:tcBorders>
            <w:noWrap w:val="0"/>
            <w:vAlign w:val="center"/>
          </w:tcPr>
          <w:p>
            <w:pPr>
              <w:rPr>
                <w:rFonts w:ascii="宋体" w:hAnsi="宋体"/>
                <w:szCs w:val="21"/>
              </w:rPr>
            </w:pPr>
          </w:p>
        </w:tc>
        <w:tc>
          <w:tcPr>
            <w:tcW w:w="540"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1440" w:type="dxa"/>
            <w:vMerge w:val="continue"/>
            <w:tcBorders>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szCs w:val="21"/>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b/>
                <w:szCs w:val="21"/>
              </w:rPr>
            </w:pPr>
            <w:r>
              <w:rPr>
                <w:rFonts w:hint="eastAsia" w:ascii="宋体" w:hAnsi="宋体"/>
                <w:b/>
                <w:szCs w:val="21"/>
              </w:rPr>
              <w:t>02</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b/>
                <w:szCs w:val="21"/>
              </w:rPr>
            </w:pPr>
            <w:r>
              <w:rPr>
                <w:rFonts w:hint="eastAsia" w:ascii="宋体" w:hAnsi="宋体"/>
                <w:b/>
                <w:szCs w:val="21"/>
              </w:rPr>
              <w:t>河道保洁人员作业时未穿救生衣</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b/>
                <w:szCs w:val="21"/>
              </w:rPr>
            </w:pPr>
            <w:r>
              <w:rPr>
                <w:rFonts w:hint="eastAsia" w:ascii="宋体" w:hAnsi="宋体"/>
                <w:b/>
                <w:szCs w:val="21"/>
              </w:rPr>
              <w:t>静态</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b/>
                <w:szCs w:val="21"/>
              </w:rPr>
            </w:pPr>
            <w:r>
              <w:rPr>
                <w:rFonts w:hint="eastAsia" w:ascii="宋体" w:hAnsi="宋体"/>
                <w:b/>
                <w:szCs w:val="21"/>
              </w:rPr>
              <w:t>1小时</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b/>
                <w:szCs w:val="21"/>
              </w:rPr>
            </w:pPr>
            <w:r>
              <w:rPr>
                <w:rFonts w:hint="eastAsia" w:ascii="宋体" w:hAnsi="宋体"/>
                <w:b/>
                <w:szCs w:val="21"/>
              </w:rPr>
              <w:t>0.5分</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szCs w:val="21"/>
              </w:rPr>
            </w:pPr>
            <w:r>
              <w:rPr>
                <w:rFonts w:hint="eastAsia" w:ascii="宋体" w:hAnsi="宋体"/>
                <w:b/>
                <w:szCs w:val="21"/>
              </w:rPr>
              <w:t>一立案即扣0.5分。立案后1小时内整改则结束扣分；超过1小时整改，每1小时扣0.5分，扣分累计</w:t>
            </w:r>
          </w:p>
        </w:tc>
      </w:tr>
      <w:tr>
        <w:tblPrEx>
          <w:tblCellMar>
            <w:top w:w="15" w:type="dxa"/>
            <w:left w:w="15" w:type="dxa"/>
            <w:bottom w:w="0" w:type="dxa"/>
            <w:right w:w="15" w:type="dxa"/>
          </w:tblCellMar>
        </w:tblPrEx>
        <w:trPr>
          <w:wBefore w:w="0" w:type="dxa"/>
          <w:wAfter w:w="0" w:type="dxa"/>
          <w:trHeight w:val="887" w:hRule="atLeast"/>
          <w:jc w:val="center"/>
        </w:trPr>
        <w:tc>
          <w:tcPr>
            <w:tcW w:w="780" w:type="dxa"/>
            <w:vMerge w:val="continue"/>
            <w:tcBorders>
              <w:left w:val="single" w:color="auto" w:sz="4" w:space="0"/>
              <w:right w:val="single" w:color="auto" w:sz="4" w:space="0"/>
            </w:tcBorders>
            <w:noWrap w:val="0"/>
            <w:vAlign w:val="center"/>
          </w:tcPr>
          <w:p>
            <w:pPr>
              <w:rPr>
                <w:rFonts w:ascii="宋体" w:hAnsi="宋体"/>
                <w:szCs w:val="21"/>
              </w:rPr>
            </w:pPr>
          </w:p>
        </w:tc>
        <w:tc>
          <w:tcPr>
            <w:tcW w:w="1620" w:type="dxa"/>
            <w:vMerge w:val="continue"/>
            <w:tcBorders>
              <w:left w:val="single" w:color="auto" w:sz="4" w:space="0"/>
              <w:right w:val="single" w:color="auto" w:sz="4" w:space="0"/>
            </w:tcBorders>
            <w:noWrap w:val="0"/>
            <w:vAlign w:val="center"/>
          </w:tcPr>
          <w:p>
            <w:pPr>
              <w:rPr>
                <w:rFonts w:ascii="宋体" w:hAnsi="宋体"/>
                <w:szCs w:val="21"/>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06</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台账缺失</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01</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szCs w:val="21"/>
              </w:rPr>
            </w:pPr>
            <w:r>
              <w:rPr>
                <w:rFonts w:hint="eastAsia" w:ascii="宋体" w:hAnsi="宋体"/>
                <w:szCs w:val="21"/>
              </w:rPr>
              <w:t>公司台账资料不齐全，缺失</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静态</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7工作日</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2分</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szCs w:val="21"/>
              </w:rPr>
            </w:pPr>
            <w:r>
              <w:rPr>
                <w:rFonts w:hint="eastAsia" w:ascii="宋体" w:hAnsi="宋体"/>
                <w:szCs w:val="21"/>
              </w:rPr>
              <w:t>一立案即扣2分。立案后7个工作日内整改则结束扣分；超过7个工作日整改，每7个工作日扣2分，扣分累计</w:t>
            </w:r>
          </w:p>
        </w:tc>
      </w:tr>
      <w:tr>
        <w:tblPrEx>
          <w:tblCellMar>
            <w:top w:w="15" w:type="dxa"/>
            <w:left w:w="15" w:type="dxa"/>
            <w:bottom w:w="0" w:type="dxa"/>
            <w:right w:w="15" w:type="dxa"/>
          </w:tblCellMar>
        </w:tblPrEx>
        <w:trPr>
          <w:wBefore w:w="0" w:type="dxa"/>
          <w:wAfter w:w="0" w:type="dxa"/>
          <w:trHeight w:val="877" w:hRule="atLeast"/>
          <w:jc w:val="center"/>
        </w:trPr>
        <w:tc>
          <w:tcPr>
            <w:tcW w:w="780" w:type="dxa"/>
            <w:vMerge w:val="continue"/>
            <w:tcBorders>
              <w:left w:val="single" w:color="auto" w:sz="4" w:space="0"/>
              <w:bottom w:val="single" w:color="auto" w:sz="4" w:space="0"/>
              <w:right w:val="single" w:color="auto" w:sz="4" w:space="0"/>
            </w:tcBorders>
            <w:noWrap w:val="0"/>
            <w:vAlign w:val="center"/>
          </w:tcPr>
          <w:p>
            <w:pPr>
              <w:rPr>
                <w:rFonts w:ascii="宋体" w:hAnsi="宋体"/>
                <w:szCs w:val="21"/>
              </w:rPr>
            </w:pPr>
          </w:p>
        </w:tc>
        <w:tc>
          <w:tcPr>
            <w:tcW w:w="1620" w:type="dxa"/>
            <w:vMerge w:val="continue"/>
            <w:tcBorders>
              <w:left w:val="single" w:color="auto" w:sz="4" w:space="0"/>
              <w:bottom w:val="single" w:color="auto" w:sz="4" w:space="0"/>
              <w:right w:val="single" w:color="auto" w:sz="4" w:space="0"/>
            </w:tcBorders>
            <w:noWrap w:val="0"/>
            <w:vAlign w:val="center"/>
          </w:tcPr>
          <w:p>
            <w:pPr>
              <w:rPr>
                <w:rFonts w:ascii="宋体" w:hAnsi="宋体"/>
                <w:szCs w:val="21"/>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07</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无管理制度</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01</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szCs w:val="21"/>
              </w:rPr>
            </w:pPr>
            <w:r>
              <w:rPr>
                <w:rFonts w:hint="eastAsia" w:ascii="宋体" w:hAnsi="宋体"/>
                <w:szCs w:val="21"/>
              </w:rPr>
              <w:t>未建立领导小组，层层落实管理责任制；未建立健全各项管理制度</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静态</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7工作日</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10分</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szCs w:val="21"/>
              </w:rPr>
            </w:pPr>
            <w:r>
              <w:rPr>
                <w:rFonts w:hint="eastAsia" w:ascii="宋体" w:hAnsi="宋体"/>
                <w:szCs w:val="21"/>
              </w:rPr>
              <w:t>一立案即扣10分。立案后7个工作日内整改则结束扣分；超过7个工作日整改，每7个工作日扣10分，扣分累计</w:t>
            </w:r>
          </w:p>
        </w:tc>
      </w:tr>
      <w:tr>
        <w:tblPrEx>
          <w:tblCellMar>
            <w:top w:w="15" w:type="dxa"/>
            <w:left w:w="15" w:type="dxa"/>
            <w:bottom w:w="0" w:type="dxa"/>
            <w:right w:w="15" w:type="dxa"/>
          </w:tblCellMar>
        </w:tblPrEx>
        <w:trPr>
          <w:wBefore w:w="0" w:type="dxa"/>
          <w:wAfter w:w="0" w:type="dxa"/>
          <w:trHeight w:val="90" w:hRule="atLeast"/>
          <w:jc w:val="center"/>
        </w:trPr>
        <w:tc>
          <w:tcPr>
            <w:tcW w:w="780" w:type="dxa"/>
            <w:vMerge w:val="restart"/>
            <w:tcBorders>
              <w:top w:val="single" w:color="auto" w:sz="4" w:space="0"/>
              <w:left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05</w:t>
            </w:r>
          </w:p>
        </w:tc>
        <w:tc>
          <w:tcPr>
            <w:tcW w:w="1620"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环卫车辆管理</w:t>
            </w: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rPr>
            </w:pPr>
            <w:r>
              <w:rPr>
                <w:rFonts w:hint="eastAsia" w:ascii="宋体" w:hAnsi="宋体"/>
                <w:b/>
                <w:szCs w:val="21"/>
              </w:rPr>
              <w:t>01</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b/>
                <w:szCs w:val="21"/>
              </w:rPr>
            </w:pPr>
            <w:r>
              <w:rPr>
                <w:rFonts w:hint="eastAsia" w:ascii="宋体" w:hAnsi="宋体"/>
                <w:b/>
                <w:szCs w:val="21"/>
              </w:rPr>
              <w:t>车容不整</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b/>
                <w:szCs w:val="21"/>
              </w:rPr>
            </w:pPr>
            <w:r>
              <w:rPr>
                <w:rFonts w:hint="eastAsia" w:ascii="宋体" w:hAnsi="宋体"/>
                <w:b/>
                <w:szCs w:val="21"/>
              </w:rPr>
              <w:t>01</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b/>
                <w:szCs w:val="21"/>
              </w:rPr>
            </w:pPr>
            <w:r>
              <w:rPr>
                <w:rFonts w:hint="eastAsia" w:ascii="宋体" w:hAnsi="宋体"/>
                <w:b/>
                <w:szCs w:val="21"/>
              </w:rPr>
              <w:t>作业车辆车容不整洁、破损（含机扫车、压缩车、人力车等所有环卫车辆）</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b/>
                <w:szCs w:val="21"/>
              </w:rPr>
            </w:pPr>
            <w:r>
              <w:rPr>
                <w:rFonts w:hint="eastAsia" w:ascii="宋体" w:hAnsi="宋体"/>
                <w:b/>
                <w:szCs w:val="21"/>
              </w:rPr>
              <w:t>静态</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b/>
                <w:szCs w:val="21"/>
              </w:rPr>
            </w:pPr>
            <w:r>
              <w:rPr>
                <w:rFonts w:hint="eastAsia" w:ascii="宋体" w:hAnsi="宋体"/>
                <w:b/>
                <w:szCs w:val="21"/>
              </w:rPr>
              <w:t>1工作日</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b/>
                <w:szCs w:val="21"/>
              </w:rPr>
            </w:pPr>
            <w:r>
              <w:rPr>
                <w:rFonts w:hint="eastAsia" w:ascii="宋体" w:hAnsi="宋体"/>
                <w:b/>
                <w:szCs w:val="21"/>
              </w:rPr>
              <w:t>1分</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szCs w:val="21"/>
              </w:rPr>
            </w:pPr>
            <w:r>
              <w:rPr>
                <w:rFonts w:hint="eastAsia" w:ascii="宋体" w:hAnsi="宋体"/>
                <w:b/>
                <w:szCs w:val="21"/>
              </w:rPr>
              <w:t>一立案即扣1分。立案后1个工作日内整改则结束扣分；超过1个工作日整改，每1个工作日扣1分，扣分累计</w:t>
            </w:r>
          </w:p>
        </w:tc>
      </w:tr>
      <w:tr>
        <w:tblPrEx>
          <w:tblCellMar>
            <w:top w:w="15" w:type="dxa"/>
            <w:left w:w="15" w:type="dxa"/>
            <w:bottom w:w="0" w:type="dxa"/>
            <w:right w:w="15" w:type="dxa"/>
          </w:tblCellMar>
        </w:tblPrEx>
        <w:trPr>
          <w:wBefore w:w="0" w:type="dxa"/>
          <w:wAfter w:w="0" w:type="dxa"/>
          <w:trHeight w:val="90" w:hRule="atLeast"/>
          <w:jc w:val="center"/>
        </w:trPr>
        <w:tc>
          <w:tcPr>
            <w:tcW w:w="780" w:type="dxa"/>
            <w:vMerge w:val="continue"/>
            <w:tcBorders>
              <w:left w:val="single" w:color="auto" w:sz="4" w:space="0"/>
              <w:right w:val="single" w:color="auto" w:sz="4" w:space="0"/>
            </w:tcBorders>
            <w:noWrap w:val="0"/>
            <w:vAlign w:val="center"/>
          </w:tcPr>
          <w:p>
            <w:pPr>
              <w:rPr>
                <w:rFonts w:ascii="宋体" w:hAnsi="宋体"/>
                <w:szCs w:val="21"/>
              </w:rPr>
            </w:pPr>
          </w:p>
        </w:tc>
        <w:tc>
          <w:tcPr>
            <w:tcW w:w="1620" w:type="dxa"/>
            <w:vMerge w:val="continue"/>
            <w:tcBorders>
              <w:left w:val="single" w:color="auto" w:sz="4" w:space="0"/>
              <w:right w:val="single" w:color="auto" w:sz="4" w:space="0"/>
            </w:tcBorders>
            <w:noWrap w:val="0"/>
            <w:vAlign w:val="center"/>
          </w:tcPr>
          <w:p>
            <w:pPr>
              <w:rPr>
                <w:rFonts w:ascii="宋体" w:hAnsi="宋体"/>
                <w:szCs w:val="21"/>
              </w:rPr>
            </w:pPr>
          </w:p>
        </w:tc>
        <w:tc>
          <w:tcPr>
            <w:tcW w:w="540" w:type="dxa"/>
            <w:vMerge w:val="restart"/>
            <w:tcBorders>
              <w:top w:val="single" w:color="auto" w:sz="4" w:space="0"/>
              <w:left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02</w:t>
            </w:r>
          </w:p>
        </w:tc>
        <w:tc>
          <w:tcPr>
            <w:tcW w:w="1440" w:type="dxa"/>
            <w:vMerge w:val="restart"/>
            <w:tcBorders>
              <w:top w:val="single" w:color="auto" w:sz="4" w:space="0"/>
              <w:left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车辆迟到早退</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01</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szCs w:val="21"/>
              </w:rPr>
            </w:pPr>
            <w:r>
              <w:rPr>
                <w:rFonts w:hint="eastAsia" w:ascii="宋体" w:hAnsi="宋体"/>
                <w:szCs w:val="21"/>
              </w:rPr>
              <w:t>机械化作业车辆无故迟到1-15分钟进行作业或提前1-15分钟离段结束作业</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静态</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1工作日</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0.5分</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szCs w:val="21"/>
              </w:rPr>
            </w:pPr>
            <w:r>
              <w:rPr>
                <w:rFonts w:hint="eastAsia" w:ascii="宋体" w:hAnsi="宋体"/>
                <w:szCs w:val="21"/>
              </w:rPr>
              <w:t>一立案即扣0.5分。立案后1个工作日内整改则结束扣分；超过1个工作日整改，每1个工作日扣0.5分，扣分累计</w:t>
            </w:r>
          </w:p>
        </w:tc>
      </w:tr>
      <w:tr>
        <w:tblPrEx>
          <w:tblCellMar>
            <w:top w:w="15" w:type="dxa"/>
            <w:left w:w="15" w:type="dxa"/>
            <w:bottom w:w="0" w:type="dxa"/>
            <w:right w:w="15" w:type="dxa"/>
          </w:tblCellMar>
        </w:tblPrEx>
        <w:trPr>
          <w:wBefore w:w="0" w:type="dxa"/>
          <w:wAfter w:w="0" w:type="dxa"/>
          <w:trHeight w:val="818" w:hRule="atLeast"/>
          <w:jc w:val="center"/>
        </w:trPr>
        <w:tc>
          <w:tcPr>
            <w:tcW w:w="780" w:type="dxa"/>
            <w:vMerge w:val="continue"/>
            <w:tcBorders>
              <w:left w:val="single" w:color="auto" w:sz="4" w:space="0"/>
              <w:right w:val="single" w:color="auto" w:sz="4" w:space="0"/>
            </w:tcBorders>
            <w:noWrap w:val="0"/>
            <w:vAlign w:val="center"/>
          </w:tcPr>
          <w:p>
            <w:pPr>
              <w:rPr>
                <w:rFonts w:ascii="宋体" w:hAnsi="宋体"/>
                <w:szCs w:val="21"/>
              </w:rPr>
            </w:pPr>
          </w:p>
        </w:tc>
        <w:tc>
          <w:tcPr>
            <w:tcW w:w="1620" w:type="dxa"/>
            <w:vMerge w:val="continue"/>
            <w:tcBorders>
              <w:left w:val="single" w:color="auto" w:sz="4" w:space="0"/>
              <w:right w:val="single" w:color="auto" w:sz="4" w:space="0"/>
            </w:tcBorders>
            <w:noWrap w:val="0"/>
            <w:vAlign w:val="center"/>
          </w:tcPr>
          <w:p>
            <w:pPr>
              <w:rPr>
                <w:rFonts w:ascii="宋体" w:hAnsi="宋体"/>
                <w:szCs w:val="21"/>
              </w:rPr>
            </w:pPr>
          </w:p>
        </w:tc>
        <w:tc>
          <w:tcPr>
            <w:tcW w:w="540" w:type="dxa"/>
            <w:vMerge w:val="continue"/>
            <w:tcBorders>
              <w:left w:val="single" w:color="auto" w:sz="4" w:space="0"/>
              <w:right w:val="single" w:color="auto" w:sz="4" w:space="0"/>
            </w:tcBorders>
            <w:noWrap w:val="0"/>
            <w:vAlign w:val="center"/>
          </w:tcPr>
          <w:p>
            <w:pPr>
              <w:rPr>
                <w:rFonts w:ascii="宋体" w:hAnsi="宋体"/>
                <w:szCs w:val="21"/>
              </w:rPr>
            </w:pPr>
          </w:p>
        </w:tc>
        <w:tc>
          <w:tcPr>
            <w:tcW w:w="1440" w:type="dxa"/>
            <w:vMerge w:val="continue"/>
            <w:tcBorders>
              <w:left w:val="single" w:color="auto" w:sz="4" w:space="0"/>
              <w:right w:val="single" w:color="auto" w:sz="4" w:space="0"/>
            </w:tcBorders>
            <w:noWrap w:val="0"/>
            <w:vAlign w:val="center"/>
          </w:tcPr>
          <w:p>
            <w:pPr>
              <w:spacing w:line="280" w:lineRule="exact"/>
              <w:rPr>
                <w:rFonts w:ascii="宋体" w:hAnsi="宋体"/>
                <w:szCs w:val="21"/>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02</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szCs w:val="21"/>
              </w:rPr>
            </w:pPr>
            <w:r>
              <w:rPr>
                <w:rFonts w:hint="eastAsia" w:ascii="宋体" w:hAnsi="宋体"/>
                <w:szCs w:val="21"/>
              </w:rPr>
              <w:t>机械化作业车辆无故迟到15-30分钟或提前15-30分钟离段结束作业</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静态</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1工作日</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1分</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szCs w:val="21"/>
              </w:rPr>
            </w:pPr>
            <w:r>
              <w:rPr>
                <w:rFonts w:hint="eastAsia" w:ascii="宋体" w:hAnsi="宋体"/>
                <w:szCs w:val="21"/>
              </w:rPr>
              <w:t>一立案即扣1分。立案后1个工作日内整改则结束扣分；超过1个工作日整改，每1个工作日扣1分，扣分累计</w:t>
            </w:r>
          </w:p>
        </w:tc>
      </w:tr>
      <w:tr>
        <w:tblPrEx>
          <w:tblCellMar>
            <w:top w:w="15" w:type="dxa"/>
            <w:left w:w="15" w:type="dxa"/>
            <w:bottom w:w="0" w:type="dxa"/>
            <w:right w:w="15" w:type="dxa"/>
          </w:tblCellMar>
        </w:tblPrEx>
        <w:trPr>
          <w:wBefore w:w="0" w:type="dxa"/>
          <w:wAfter w:w="0" w:type="dxa"/>
          <w:trHeight w:val="736" w:hRule="atLeast"/>
          <w:jc w:val="center"/>
        </w:trPr>
        <w:tc>
          <w:tcPr>
            <w:tcW w:w="780" w:type="dxa"/>
            <w:vMerge w:val="continue"/>
            <w:tcBorders>
              <w:left w:val="single" w:color="auto" w:sz="4" w:space="0"/>
              <w:right w:val="single" w:color="auto" w:sz="4" w:space="0"/>
            </w:tcBorders>
            <w:noWrap w:val="0"/>
            <w:vAlign w:val="center"/>
          </w:tcPr>
          <w:p>
            <w:pPr>
              <w:rPr>
                <w:rFonts w:ascii="宋体" w:hAnsi="宋体"/>
                <w:szCs w:val="21"/>
              </w:rPr>
            </w:pPr>
          </w:p>
        </w:tc>
        <w:tc>
          <w:tcPr>
            <w:tcW w:w="1620" w:type="dxa"/>
            <w:vMerge w:val="continue"/>
            <w:tcBorders>
              <w:left w:val="single" w:color="auto" w:sz="4" w:space="0"/>
              <w:right w:val="single" w:color="auto" w:sz="4" w:space="0"/>
            </w:tcBorders>
            <w:noWrap w:val="0"/>
            <w:vAlign w:val="center"/>
          </w:tcPr>
          <w:p>
            <w:pPr>
              <w:rPr>
                <w:rFonts w:ascii="宋体" w:hAnsi="宋体"/>
                <w:szCs w:val="21"/>
              </w:rPr>
            </w:pPr>
          </w:p>
        </w:tc>
        <w:tc>
          <w:tcPr>
            <w:tcW w:w="540" w:type="dxa"/>
            <w:vMerge w:val="continue"/>
            <w:tcBorders>
              <w:left w:val="single" w:color="auto" w:sz="4" w:space="0"/>
              <w:bottom w:val="single" w:color="auto" w:sz="4" w:space="0"/>
              <w:right w:val="single" w:color="auto" w:sz="4" w:space="0"/>
            </w:tcBorders>
            <w:noWrap w:val="0"/>
            <w:vAlign w:val="center"/>
          </w:tcPr>
          <w:p>
            <w:pPr>
              <w:rPr>
                <w:rFonts w:ascii="宋体" w:hAnsi="宋体"/>
                <w:szCs w:val="21"/>
              </w:rPr>
            </w:pPr>
          </w:p>
        </w:tc>
        <w:tc>
          <w:tcPr>
            <w:tcW w:w="1440" w:type="dxa"/>
            <w:vMerge w:val="continue"/>
            <w:tcBorders>
              <w:left w:val="single" w:color="auto" w:sz="4" w:space="0"/>
              <w:bottom w:val="single" w:color="auto" w:sz="4" w:space="0"/>
              <w:right w:val="single" w:color="auto" w:sz="4" w:space="0"/>
            </w:tcBorders>
            <w:noWrap w:val="0"/>
            <w:vAlign w:val="center"/>
          </w:tcPr>
          <w:p>
            <w:pPr>
              <w:spacing w:line="280" w:lineRule="exact"/>
              <w:rPr>
                <w:rFonts w:ascii="宋体" w:hAnsi="宋体"/>
                <w:szCs w:val="21"/>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03</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szCs w:val="21"/>
              </w:rPr>
            </w:pPr>
            <w:r>
              <w:rPr>
                <w:rFonts w:hint="eastAsia" w:ascii="宋体" w:hAnsi="宋体"/>
                <w:szCs w:val="21"/>
              </w:rPr>
              <w:t>机械化作业车辆无故迟到30分钟以上或提前30分钟以上离段结束作业</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静态</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1工作日</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2分</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szCs w:val="21"/>
              </w:rPr>
            </w:pPr>
            <w:r>
              <w:rPr>
                <w:rFonts w:hint="eastAsia" w:ascii="宋体" w:hAnsi="宋体"/>
                <w:szCs w:val="21"/>
              </w:rPr>
              <w:t>一立案即扣2分。立案后1个工作日内整改则结束扣分；超过1个工作日整改，每1个工作日扣2分，扣分累计</w:t>
            </w:r>
          </w:p>
        </w:tc>
      </w:tr>
      <w:tr>
        <w:tblPrEx>
          <w:tblCellMar>
            <w:top w:w="15" w:type="dxa"/>
            <w:left w:w="15" w:type="dxa"/>
            <w:bottom w:w="0" w:type="dxa"/>
            <w:right w:w="15" w:type="dxa"/>
          </w:tblCellMar>
        </w:tblPrEx>
        <w:trPr>
          <w:wBefore w:w="0" w:type="dxa"/>
          <w:wAfter w:w="0" w:type="dxa"/>
          <w:trHeight w:val="882" w:hRule="atLeast"/>
          <w:jc w:val="center"/>
        </w:trPr>
        <w:tc>
          <w:tcPr>
            <w:tcW w:w="780" w:type="dxa"/>
            <w:vMerge w:val="continue"/>
            <w:tcBorders>
              <w:left w:val="single" w:color="auto" w:sz="4" w:space="0"/>
              <w:right w:val="single" w:color="auto" w:sz="4" w:space="0"/>
            </w:tcBorders>
            <w:noWrap w:val="0"/>
            <w:vAlign w:val="center"/>
          </w:tcPr>
          <w:p>
            <w:pPr>
              <w:rPr>
                <w:rFonts w:ascii="宋体" w:hAnsi="宋体"/>
                <w:szCs w:val="21"/>
              </w:rPr>
            </w:pPr>
          </w:p>
        </w:tc>
        <w:tc>
          <w:tcPr>
            <w:tcW w:w="1620" w:type="dxa"/>
            <w:vMerge w:val="continue"/>
            <w:tcBorders>
              <w:left w:val="single" w:color="auto" w:sz="4" w:space="0"/>
              <w:right w:val="single" w:color="auto" w:sz="4" w:space="0"/>
            </w:tcBorders>
            <w:noWrap w:val="0"/>
            <w:vAlign w:val="center"/>
          </w:tcPr>
          <w:p>
            <w:pPr>
              <w:rPr>
                <w:rFonts w:ascii="宋体" w:hAnsi="宋体"/>
                <w:szCs w:val="21"/>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03</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未控制作业时速</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01</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szCs w:val="21"/>
              </w:rPr>
            </w:pPr>
            <w:r>
              <w:rPr>
                <w:rFonts w:hint="eastAsia" w:ascii="宋体" w:hAnsi="宋体"/>
                <w:szCs w:val="21"/>
              </w:rPr>
              <w:t>机械化作业车辆不在规定时速范围内作业（机扫车：≤10公里/小时，洒水车：≤25公里/小时）</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静态</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30分钟</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1分</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szCs w:val="21"/>
              </w:rPr>
            </w:pPr>
            <w:r>
              <w:rPr>
                <w:rFonts w:hint="eastAsia" w:ascii="宋体" w:hAnsi="宋体"/>
                <w:szCs w:val="21"/>
              </w:rPr>
              <w:t>一立案即扣1分。立案后30分钟内整改则结束扣分；超过30分钟整改，每30分钟扣1分，扣分累计</w:t>
            </w:r>
          </w:p>
        </w:tc>
      </w:tr>
      <w:tr>
        <w:tblPrEx>
          <w:tblCellMar>
            <w:top w:w="15" w:type="dxa"/>
            <w:left w:w="15" w:type="dxa"/>
            <w:bottom w:w="0" w:type="dxa"/>
            <w:right w:w="15" w:type="dxa"/>
          </w:tblCellMar>
        </w:tblPrEx>
        <w:trPr>
          <w:wBefore w:w="0" w:type="dxa"/>
          <w:wAfter w:w="0" w:type="dxa"/>
          <w:trHeight w:val="836" w:hRule="atLeast"/>
          <w:jc w:val="center"/>
        </w:trPr>
        <w:tc>
          <w:tcPr>
            <w:tcW w:w="780" w:type="dxa"/>
            <w:vMerge w:val="continue"/>
            <w:tcBorders>
              <w:left w:val="single" w:color="auto" w:sz="4" w:space="0"/>
              <w:right w:val="single" w:color="auto" w:sz="4" w:space="0"/>
            </w:tcBorders>
            <w:noWrap w:val="0"/>
            <w:vAlign w:val="center"/>
          </w:tcPr>
          <w:p>
            <w:pPr>
              <w:rPr>
                <w:rFonts w:ascii="宋体" w:hAnsi="宋体"/>
                <w:szCs w:val="21"/>
              </w:rPr>
            </w:pPr>
          </w:p>
        </w:tc>
        <w:tc>
          <w:tcPr>
            <w:tcW w:w="1620" w:type="dxa"/>
            <w:vMerge w:val="continue"/>
            <w:tcBorders>
              <w:left w:val="single" w:color="auto" w:sz="4" w:space="0"/>
              <w:right w:val="single" w:color="auto" w:sz="4" w:space="0"/>
            </w:tcBorders>
            <w:noWrap w:val="0"/>
            <w:vAlign w:val="center"/>
          </w:tcPr>
          <w:p>
            <w:pPr>
              <w:rPr>
                <w:rFonts w:ascii="宋体" w:hAnsi="宋体"/>
                <w:szCs w:val="21"/>
              </w:rPr>
            </w:pPr>
          </w:p>
        </w:tc>
        <w:tc>
          <w:tcPr>
            <w:tcW w:w="540" w:type="dxa"/>
            <w:vMerge w:val="restart"/>
            <w:tcBorders>
              <w:top w:val="single" w:color="auto" w:sz="4" w:space="0"/>
              <w:left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04</w:t>
            </w:r>
          </w:p>
        </w:tc>
        <w:tc>
          <w:tcPr>
            <w:tcW w:w="1440" w:type="dxa"/>
            <w:vMerge w:val="restart"/>
            <w:tcBorders>
              <w:top w:val="single" w:color="auto" w:sz="4" w:space="0"/>
              <w:left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作业工艺问题</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01</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szCs w:val="21"/>
              </w:rPr>
            </w:pPr>
            <w:r>
              <w:rPr>
                <w:rFonts w:hint="eastAsia" w:ascii="宋体" w:hAnsi="宋体"/>
                <w:szCs w:val="21"/>
              </w:rPr>
              <w:t>责任路段内机械化作业车辆漏扫漏冲，未覆盖全路段</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静态</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2小时</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2分</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szCs w:val="21"/>
              </w:rPr>
            </w:pPr>
            <w:r>
              <w:rPr>
                <w:rFonts w:hint="eastAsia" w:ascii="宋体" w:hAnsi="宋体"/>
                <w:szCs w:val="21"/>
              </w:rPr>
              <w:t>一立案即扣2分。立案后2小时内整改则结束扣分；超过2小时整改，每2小时扣2分，扣分累计</w:t>
            </w:r>
          </w:p>
        </w:tc>
      </w:tr>
      <w:tr>
        <w:tblPrEx>
          <w:tblCellMar>
            <w:top w:w="15" w:type="dxa"/>
            <w:left w:w="15" w:type="dxa"/>
            <w:bottom w:w="0" w:type="dxa"/>
            <w:right w:w="15" w:type="dxa"/>
          </w:tblCellMar>
        </w:tblPrEx>
        <w:trPr>
          <w:wBefore w:w="0" w:type="dxa"/>
          <w:wAfter w:w="0" w:type="dxa"/>
          <w:trHeight w:val="882" w:hRule="atLeast"/>
          <w:jc w:val="center"/>
        </w:trPr>
        <w:tc>
          <w:tcPr>
            <w:tcW w:w="780" w:type="dxa"/>
            <w:vMerge w:val="continue"/>
            <w:tcBorders>
              <w:left w:val="single" w:color="auto" w:sz="4" w:space="0"/>
              <w:right w:val="single" w:color="auto" w:sz="4" w:space="0"/>
            </w:tcBorders>
            <w:noWrap w:val="0"/>
            <w:vAlign w:val="center"/>
          </w:tcPr>
          <w:p>
            <w:pPr>
              <w:rPr>
                <w:rFonts w:ascii="宋体" w:hAnsi="宋体"/>
                <w:szCs w:val="21"/>
              </w:rPr>
            </w:pPr>
          </w:p>
        </w:tc>
        <w:tc>
          <w:tcPr>
            <w:tcW w:w="1620" w:type="dxa"/>
            <w:vMerge w:val="continue"/>
            <w:tcBorders>
              <w:left w:val="single" w:color="auto" w:sz="4" w:space="0"/>
              <w:right w:val="single" w:color="auto" w:sz="4" w:space="0"/>
            </w:tcBorders>
            <w:noWrap w:val="0"/>
            <w:vAlign w:val="center"/>
          </w:tcPr>
          <w:p>
            <w:pPr>
              <w:rPr>
                <w:rFonts w:ascii="宋体" w:hAnsi="宋体"/>
                <w:szCs w:val="21"/>
              </w:rPr>
            </w:pPr>
          </w:p>
        </w:tc>
        <w:tc>
          <w:tcPr>
            <w:tcW w:w="540" w:type="dxa"/>
            <w:vMerge w:val="continue"/>
            <w:tcBorders>
              <w:left w:val="single" w:color="auto" w:sz="4" w:space="0"/>
              <w:right w:val="single" w:color="auto" w:sz="4" w:space="0"/>
            </w:tcBorders>
            <w:noWrap w:val="0"/>
            <w:vAlign w:val="center"/>
          </w:tcPr>
          <w:p>
            <w:pPr>
              <w:rPr>
                <w:rFonts w:ascii="宋体" w:hAnsi="宋体"/>
                <w:szCs w:val="21"/>
              </w:rPr>
            </w:pPr>
          </w:p>
        </w:tc>
        <w:tc>
          <w:tcPr>
            <w:tcW w:w="1440" w:type="dxa"/>
            <w:vMerge w:val="continue"/>
            <w:tcBorders>
              <w:left w:val="single" w:color="auto" w:sz="4" w:space="0"/>
              <w:right w:val="single" w:color="auto" w:sz="4" w:space="0"/>
            </w:tcBorders>
            <w:noWrap w:val="0"/>
            <w:vAlign w:val="center"/>
          </w:tcPr>
          <w:p>
            <w:pPr>
              <w:spacing w:line="280" w:lineRule="exact"/>
              <w:rPr>
                <w:rFonts w:ascii="宋体" w:hAnsi="宋体"/>
                <w:szCs w:val="21"/>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02</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szCs w:val="21"/>
              </w:rPr>
            </w:pPr>
            <w:r>
              <w:rPr>
                <w:rFonts w:hint="eastAsia" w:ascii="宋体" w:hAnsi="宋体"/>
                <w:szCs w:val="21"/>
              </w:rPr>
              <w:t>机扫车作业时未开启喷雾压尘造成扬尘的</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静态</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1小时</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1分</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szCs w:val="21"/>
              </w:rPr>
            </w:pPr>
            <w:r>
              <w:rPr>
                <w:rFonts w:hint="eastAsia" w:ascii="宋体" w:hAnsi="宋体"/>
                <w:szCs w:val="21"/>
              </w:rPr>
              <w:t>一立案即扣1分。立案后1小时内整改则结束扣分；超过1小时整改，每1小时扣1分，扣分累计</w:t>
            </w:r>
          </w:p>
        </w:tc>
      </w:tr>
      <w:tr>
        <w:tblPrEx>
          <w:tblCellMar>
            <w:top w:w="15" w:type="dxa"/>
            <w:left w:w="15" w:type="dxa"/>
            <w:bottom w:w="0" w:type="dxa"/>
            <w:right w:w="15" w:type="dxa"/>
          </w:tblCellMar>
        </w:tblPrEx>
        <w:trPr>
          <w:wBefore w:w="0" w:type="dxa"/>
          <w:wAfter w:w="0" w:type="dxa"/>
          <w:trHeight w:val="1040" w:hRule="atLeast"/>
          <w:jc w:val="center"/>
        </w:trPr>
        <w:tc>
          <w:tcPr>
            <w:tcW w:w="780" w:type="dxa"/>
            <w:vMerge w:val="continue"/>
            <w:tcBorders>
              <w:left w:val="single" w:color="auto" w:sz="4" w:space="0"/>
              <w:right w:val="single" w:color="auto" w:sz="4" w:space="0"/>
            </w:tcBorders>
            <w:noWrap w:val="0"/>
            <w:vAlign w:val="center"/>
          </w:tcPr>
          <w:p>
            <w:pPr>
              <w:rPr>
                <w:rFonts w:ascii="宋体" w:hAnsi="宋体"/>
                <w:szCs w:val="21"/>
              </w:rPr>
            </w:pPr>
          </w:p>
        </w:tc>
        <w:tc>
          <w:tcPr>
            <w:tcW w:w="1620" w:type="dxa"/>
            <w:vMerge w:val="continue"/>
            <w:tcBorders>
              <w:left w:val="single" w:color="auto" w:sz="4" w:space="0"/>
              <w:right w:val="single" w:color="auto" w:sz="4" w:space="0"/>
            </w:tcBorders>
            <w:noWrap w:val="0"/>
            <w:vAlign w:val="center"/>
          </w:tcPr>
          <w:p>
            <w:pPr>
              <w:rPr>
                <w:rFonts w:ascii="宋体" w:hAnsi="宋体"/>
                <w:szCs w:val="21"/>
              </w:rPr>
            </w:pPr>
          </w:p>
        </w:tc>
        <w:tc>
          <w:tcPr>
            <w:tcW w:w="540" w:type="dxa"/>
            <w:vMerge w:val="continue"/>
            <w:tcBorders>
              <w:left w:val="single" w:color="auto" w:sz="4" w:space="0"/>
              <w:right w:val="single" w:color="auto" w:sz="4" w:space="0"/>
            </w:tcBorders>
            <w:noWrap w:val="0"/>
            <w:vAlign w:val="center"/>
          </w:tcPr>
          <w:p>
            <w:pPr>
              <w:rPr>
                <w:rFonts w:ascii="宋体" w:hAnsi="宋体"/>
                <w:szCs w:val="21"/>
              </w:rPr>
            </w:pPr>
          </w:p>
        </w:tc>
        <w:tc>
          <w:tcPr>
            <w:tcW w:w="1440" w:type="dxa"/>
            <w:vMerge w:val="continue"/>
            <w:tcBorders>
              <w:left w:val="single" w:color="auto" w:sz="4" w:space="0"/>
              <w:right w:val="single" w:color="auto" w:sz="4" w:space="0"/>
            </w:tcBorders>
            <w:noWrap w:val="0"/>
            <w:vAlign w:val="center"/>
          </w:tcPr>
          <w:p>
            <w:pPr>
              <w:spacing w:line="280" w:lineRule="exact"/>
              <w:rPr>
                <w:rFonts w:ascii="宋体" w:hAnsi="宋体"/>
                <w:szCs w:val="21"/>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b/>
                <w:szCs w:val="21"/>
              </w:rPr>
            </w:pPr>
            <w:r>
              <w:rPr>
                <w:rFonts w:hint="eastAsia" w:ascii="宋体" w:hAnsi="宋体"/>
                <w:b/>
                <w:szCs w:val="21"/>
              </w:rPr>
              <w:t>03</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b/>
                <w:szCs w:val="21"/>
              </w:rPr>
            </w:pPr>
            <w:r>
              <w:rPr>
                <w:rFonts w:hint="eastAsia" w:ascii="宋体" w:hAnsi="宋体"/>
                <w:b/>
                <w:szCs w:val="21"/>
              </w:rPr>
              <w:t>垃圾清运车拖挂、吊挂垃圾（含压缩车及电动垃圾清运车等）</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b/>
                <w:szCs w:val="21"/>
              </w:rPr>
            </w:pPr>
            <w:r>
              <w:rPr>
                <w:rFonts w:hint="eastAsia" w:ascii="宋体" w:hAnsi="宋体"/>
                <w:b/>
                <w:szCs w:val="21"/>
              </w:rPr>
              <w:t>静态</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b/>
                <w:szCs w:val="21"/>
              </w:rPr>
            </w:pPr>
            <w:r>
              <w:rPr>
                <w:rFonts w:hint="eastAsia" w:ascii="宋体" w:hAnsi="宋体"/>
                <w:b/>
                <w:szCs w:val="21"/>
              </w:rPr>
              <w:t>1工作日</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b/>
                <w:szCs w:val="21"/>
              </w:rPr>
            </w:pPr>
            <w:r>
              <w:rPr>
                <w:rFonts w:hint="eastAsia" w:ascii="宋体" w:hAnsi="宋体"/>
                <w:b/>
                <w:szCs w:val="21"/>
              </w:rPr>
              <w:t>1分</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b/>
                <w:szCs w:val="21"/>
              </w:rPr>
            </w:pPr>
            <w:r>
              <w:rPr>
                <w:rFonts w:hint="eastAsia" w:ascii="宋体" w:hAnsi="宋体"/>
                <w:b/>
                <w:szCs w:val="21"/>
              </w:rPr>
              <w:t>一立案即扣2分。立案后1个工作日内整改则结束扣分；超过1个工作日整改，每1个工作日扣2分，扣分累计</w:t>
            </w:r>
          </w:p>
        </w:tc>
      </w:tr>
      <w:tr>
        <w:tblPrEx>
          <w:tblCellMar>
            <w:top w:w="15" w:type="dxa"/>
            <w:left w:w="15" w:type="dxa"/>
            <w:bottom w:w="0" w:type="dxa"/>
            <w:right w:w="15" w:type="dxa"/>
          </w:tblCellMar>
        </w:tblPrEx>
        <w:trPr>
          <w:wBefore w:w="0" w:type="dxa"/>
          <w:wAfter w:w="0" w:type="dxa"/>
          <w:trHeight w:val="743" w:hRule="atLeast"/>
          <w:jc w:val="center"/>
        </w:trPr>
        <w:tc>
          <w:tcPr>
            <w:tcW w:w="780" w:type="dxa"/>
            <w:vMerge w:val="continue"/>
            <w:tcBorders>
              <w:left w:val="single" w:color="auto" w:sz="4" w:space="0"/>
              <w:right w:val="single" w:color="auto" w:sz="4" w:space="0"/>
            </w:tcBorders>
            <w:noWrap w:val="0"/>
            <w:vAlign w:val="center"/>
          </w:tcPr>
          <w:p>
            <w:pPr>
              <w:rPr>
                <w:rFonts w:ascii="宋体" w:hAnsi="宋体"/>
                <w:szCs w:val="21"/>
              </w:rPr>
            </w:pPr>
          </w:p>
        </w:tc>
        <w:tc>
          <w:tcPr>
            <w:tcW w:w="1620" w:type="dxa"/>
            <w:vMerge w:val="continue"/>
            <w:tcBorders>
              <w:left w:val="single" w:color="auto" w:sz="4" w:space="0"/>
              <w:right w:val="single" w:color="auto" w:sz="4" w:space="0"/>
            </w:tcBorders>
            <w:noWrap w:val="0"/>
            <w:vAlign w:val="center"/>
          </w:tcPr>
          <w:p>
            <w:pPr>
              <w:rPr>
                <w:rFonts w:ascii="宋体" w:hAnsi="宋体"/>
                <w:szCs w:val="21"/>
              </w:rPr>
            </w:pPr>
          </w:p>
        </w:tc>
        <w:tc>
          <w:tcPr>
            <w:tcW w:w="540" w:type="dxa"/>
            <w:vMerge w:val="continue"/>
            <w:tcBorders>
              <w:left w:val="single" w:color="auto" w:sz="4" w:space="0"/>
              <w:right w:val="single" w:color="auto" w:sz="4" w:space="0"/>
            </w:tcBorders>
            <w:noWrap w:val="0"/>
            <w:vAlign w:val="center"/>
          </w:tcPr>
          <w:p>
            <w:pPr>
              <w:rPr>
                <w:rFonts w:ascii="宋体" w:hAnsi="宋体"/>
                <w:szCs w:val="21"/>
              </w:rPr>
            </w:pPr>
          </w:p>
        </w:tc>
        <w:tc>
          <w:tcPr>
            <w:tcW w:w="1440" w:type="dxa"/>
            <w:vMerge w:val="continue"/>
            <w:tcBorders>
              <w:left w:val="single" w:color="auto" w:sz="4" w:space="0"/>
              <w:right w:val="single" w:color="auto" w:sz="4" w:space="0"/>
            </w:tcBorders>
            <w:noWrap w:val="0"/>
            <w:vAlign w:val="center"/>
          </w:tcPr>
          <w:p>
            <w:pPr>
              <w:spacing w:line="280" w:lineRule="exact"/>
              <w:rPr>
                <w:rFonts w:ascii="宋体" w:hAnsi="宋体"/>
                <w:szCs w:val="21"/>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b/>
                <w:szCs w:val="21"/>
              </w:rPr>
            </w:pPr>
            <w:r>
              <w:rPr>
                <w:rFonts w:hint="eastAsia" w:ascii="宋体" w:hAnsi="宋体"/>
                <w:b/>
                <w:szCs w:val="21"/>
              </w:rPr>
              <w:t>04</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b/>
                <w:szCs w:val="21"/>
              </w:rPr>
            </w:pPr>
            <w:r>
              <w:rPr>
                <w:rFonts w:hint="eastAsia" w:ascii="宋体" w:hAnsi="宋体"/>
                <w:b/>
                <w:szCs w:val="21"/>
              </w:rPr>
              <w:t>垃圾清运车未密闭清运（含压缩车及电动垃圾清运车等）</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b/>
                <w:szCs w:val="21"/>
              </w:rPr>
            </w:pPr>
            <w:r>
              <w:rPr>
                <w:rFonts w:hint="eastAsia" w:ascii="宋体" w:hAnsi="宋体"/>
                <w:b/>
                <w:szCs w:val="21"/>
              </w:rPr>
              <w:t>静态</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b/>
                <w:szCs w:val="21"/>
              </w:rPr>
            </w:pPr>
            <w:r>
              <w:rPr>
                <w:rFonts w:hint="eastAsia" w:ascii="宋体" w:hAnsi="宋体"/>
                <w:b/>
                <w:szCs w:val="21"/>
              </w:rPr>
              <w:t>1小时</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b/>
                <w:szCs w:val="21"/>
              </w:rPr>
            </w:pPr>
            <w:r>
              <w:rPr>
                <w:rFonts w:hint="eastAsia" w:ascii="宋体" w:hAnsi="宋体"/>
                <w:b/>
                <w:szCs w:val="21"/>
              </w:rPr>
              <w:t>2分</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b/>
                <w:szCs w:val="21"/>
              </w:rPr>
              <w:t>一立案即扣2分。立案后1小时内整改则结束扣分；超过1小时整改，每1小时扣2分，扣分累计</w:t>
            </w:r>
          </w:p>
        </w:tc>
      </w:tr>
      <w:tr>
        <w:tblPrEx>
          <w:tblCellMar>
            <w:top w:w="15" w:type="dxa"/>
            <w:left w:w="15" w:type="dxa"/>
            <w:bottom w:w="0" w:type="dxa"/>
            <w:right w:w="15" w:type="dxa"/>
          </w:tblCellMar>
        </w:tblPrEx>
        <w:trPr>
          <w:wBefore w:w="0" w:type="dxa"/>
          <w:wAfter w:w="0" w:type="dxa"/>
          <w:trHeight w:val="720" w:hRule="atLeast"/>
          <w:jc w:val="center"/>
        </w:trPr>
        <w:tc>
          <w:tcPr>
            <w:tcW w:w="780" w:type="dxa"/>
            <w:vMerge w:val="continue"/>
            <w:tcBorders>
              <w:left w:val="single" w:color="auto" w:sz="4" w:space="0"/>
              <w:right w:val="single" w:color="auto" w:sz="4" w:space="0"/>
            </w:tcBorders>
            <w:noWrap w:val="0"/>
            <w:vAlign w:val="center"/>
          </w:tcPr>
          <w:p>
            <w:pPr>
              <w:rPr>
                <w:rFonts w:ascii="宋体" w:hAnsi="宋体"/>
                <w:szCs w:val="21"/>
              </w:rPr>
            </w:pPr>
          </w:p>
        </w:tc>
        <w:tc>
          <w:tcPr>
            <w:tcW w:w="1620" w:type="dxa"/>
            <w:vMerge w:val="continue"/>
            <w:tcBorders>
              <w:left w:val="single" w:color="auto" w:sz="4" w:space="0"/>
              <w:right w:val="single" w:color="auto" w:sz="4" w:space="0"/>
            </w:tcBorders>
            <w:noWrap w:val="0"/>
            <w:vAlign w:val="center"/>
          </w:tcPr>
          <w:p>
            <w:pPr>
              <w:rPr>
                <w:rFonts w:ascii="宋体" w:hAnsi="宋体"/>
                <w:szCs w:val="21"/>
              </w:rPr>
            </w:pPr>
          </w:p>
        </w:tc>
        <w:tc>
          <w:tcPr>
            <w:tcW w:w="540" w:type="dxa"/>
            <w:vMerge w:val="continue"/>
            <w:tcBorders>
              <w:left w:val="single" w:color="auto" w:sz="4" w:space="0"/>
              <w:bottom w:val="single" w:color="auto" w:sz="4" w:space="0"/>
              <w:right w:val="single" w:color="auto" w:sz="4" w:space="0"/>
            </w:tcBorders>
            <w:noWrap w:val="0"/>
            <w:vAlign w:val="center"/>
          </w:tcPr>
          <w:p>
            <w:pPr>
              <w:rPr>
                <w:rFonts w:ascii="宋体" w:hAnsi="宋体"/>
                <w:szCs w:val="21"/>
              </w:rPr>
            </w:pPr>
          </w:p>
        </w:tc>
        <w:tc>
          <w:tcPr>
            <w:tcW w:w="1440" w:type="dxa"/>
            <w:vMerge w:val="continue"/>
            <w:tcBorders>
              <w:left w:val="single" w:color="auto" w:sz="4" w:space="0"/>
              <w:bottom w:val="single" w:color="auto" w:sz="4" w:space="0"/>
              <w:right w:val="single" w:color="auto" w:sz="4" w:space="0"/>
            </w:tcBorders>
            <w:noWrap w:val="0"/>
            <w:vAlign w:val="center"/>
          </w:tcPr>
          <w:p>
            <w:pPr>
              <w:spacing w:line="280" w:lineRule="exact"/>
              <w:rPr>
                <w:rFonts w:ascii="宋体" w:hAnsi="宋体"/>
                <w:szCs w:val="21"/>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b/>
                <w:szCs w:val="21"/>
              </w:rPr>
            </w:pPr>
            <w:r>
              <w:rPr>
                <w:rFonts w:hint="eastAsia" w:ascii="宋体" w:hAnsi="宋体"/>
                <w:b/>
                <w:szCs w:val="21"/>
              </w:rPr>
              <w:t>05</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b/>
                <w:szCs w:val="21"/>
              </w:rPr>
            </w:pPr>
            <w:r>
              <w:rPr>
                <w:rFonts w:hint="eastAsia" w:ascii="宋体" w:hAnsi="宋体"/>
                <w:b/>
                <w:szCs w:val="21"/>
              </w:rPr>
              <w:t>垃圾清运车有滴撒抛漏现象的（含压缩车及电动垃圾清运车等）</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b/>
                <w:szCs w:val="21"/>
              </w:rPr>
            </w:pPr>
            <w:r>
              <w:rPr>
                <w:rFonts w:hint="eastAsia" w:ascii="宋体" w:hAnsi="宋体"/>
                <w:b/>
                <w:szCs w:val="21"/>
              </w:rPr>
              <w:t>静态</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b/>
                <w:szCs w:val="21"/>
              </w:rPr>
            </w:pPr>
            <w:r>
              <w:rPr>
                <w:rFonts w:hint="eastAsia" w:ascii="宋体" w:hAnsi="宋体"/>
                <w:b/>
                <w:szCs w:val="21"/>
              </w:rPr>
              <w:t>30分钟</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b/>
                <w:szCs w:val="21"/>
              </w:rPr>
            </w:pPr>
            <w:r>
              <w:rPr>
                <w:rFonts w:hint="eastAsia" w:ascii="宋体" w:hAnsi="宋体"/>
                <w:b/>
                <w:szCs w:val="21"/>
              </w:rPr>
              <w:t>2分</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szCs w:val="21"/>
              </w:rPr>
            </w:pPr>
            <w:r>
              <w:rPr>
                <w:rFonts w:hint="eastAsia" w:ascii="宋体" w:hAnsi="宋体"/>
                <w:b/>
                <w:szCs w:val="21"/>
              </w:rPr>
              <w:t>一立案即扣2分。立案后30分钟内整改则结束扣分；超过30分钟整改，每30分钟扣2分，扣分累计</w:t>
            </w:r>
          </w:p>
        </w:tc>
      </w:tr>
      <w:tr>
        <w:tblPrEx>
          <w:tblCellMar>
            <w:top w:w="15" w:type="dxa"/>
            <w:left w:w="15" w:type="dxa"/>
            <w:bottom w:w="0" w:type="dxa"/>
            <w:right w:w="15" w:type="dxa"/>
          </w:tblCellMar>
        </w:tblPrEx>
        <w:trPr>
          <w:wBefore w:w="0" w:type="dxa"/>
          <w:wAfter w:w="0" w:type="dxa"/>
          <w:trHeight w:val="756" w:hRule="atLeast"/>
          <w:jc w:val="center"/>
        </w:trPr>
        <w:tc>
          <w:tcPr>
            <w:tcW w:w="780" w:type="dxa"/>
            <w:vMerge w:val="continue"/>
            <w:tcBorders>
              <w:left w:val="single" w:color="auto" w:sz="4" w:space="0"/>
              <w:right w:val="single" w:color="auto" w:sz="4" w:space="0"/>
            </w:tcBorders>
            <w:noWrap w:val="0"/>
            <w:vAlign w:val="center"/>
          </w:tcPr>
          <w:p>
            <w:pPr>
              <w:rPr>
                <w:rFonts w:ascii="宋体" w:hAnsi="宋体"/>
                <w:szCs w:val="21"/>
              </w:rPr>
            </w:pPr>
          </w:p>
        </w:tc>
        <w:tc>
          <w:tcPr>
            <w:tcW w:w="1620" w:type="dxa"/>
            <w:vMerge w:val="continue"/>
            <w:tcBorders>
              <w:left w:val="single" w:color="auto" w:sz="4" w:space="0"/>
              <w:right w:val="single" w:color="auto" w:sz="4" w:space="0"/>
            </w:tcBorders>
            <w:noWrap w:val="0"/>
            <w:vAlign w:val="center"/>
          </w:tcPr>
          <w:p>
            <w:pPr>
              <w:rPr>
                <w:rFonts w:ascii="宋体" w:hAnsi="宋体"/>
                <w:szCs w:val="21"/>
              </w:rPr>
            </w:pPr>
          </w:p>
        </w:tc>
        <w:tc>
          <w:tcPr>
            <w:tcW w:w="540" w:type="dxa"/>
            <w:vMerge w:val="restart"/>
            <w:tcBorders>
              <w:top w:val="single" w:color="auto" w:sz="4" w:space="0"/>
              <w:left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05</w:t>
            </w:r>
          </w:p>
        </w:tc>
        <w:tc>
          <w:tcPr>
            <w:tcW w:w="1440" w:type="dxa"/>
            <w:vMerge w:val="restart"/>
            <w:tcBorders>
              <w:top w:val="single" w:color="auto" w:sz="4" w:space="0"/>
              <w:left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作业频次未达标</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01</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szCs w:val="21"/>
              </w:rPr>
            </w:pPr>
            <w:r>
              <w:rPr>
                <w:rFonts w:hint="eastAsia" w:ascii="宋体" w:hAnsi="宋体"/>
                <w:szCs w:val="21"/>
              </w:rPr>
              <w:t>机扫、洒水、清运车作业频次未达到要求（洒水作业：冰冻、雨天等特殊情况除外）</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静态</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1工作日</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2分</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szCs w:val="21"/>
              </w:rPr>
            </w:pPr>
            <w:r>
              <w:rPr>
                <w:rFonts w:hint="eastAsia" w:ascii="宋体" w:hAnsi="宋体"/>
                <w:szCs w:val="21"/>
              </w:rPr>
              <w:t>一立案即扣2分。立案后1个工作日内整改则结束扣分；超过1个工作日整改，每1个工作日扣2分，扣分累计</w:t>
            </w:r>
          </w:p>
        </w:tc>
      </w:tr>
      <w:tr>
        <w:tblPrEx>
          <w:tblCellMar>
            <w:top w:w="15" w:type="dxa"/>
            <w:left w:w="15" w:type="dxa"/>
            <w:bottom w:w="0" w:type="dxa"/>
            <w:right w:w="15" w:type="dxa"/>
          </w:tblCellMar>
        </w:tblPrEx>
        <w:trPr>
          <w:wBefore w:w="0" w:type="dxa"/>
          <w:wAfter w:w="0" w:type="dxa"/>
          <w:trHeight w:val="988" w:hRule="atLeast"/>
          <w:jc w:val="center"/>
        </w:trPr>
        <w:tc>
          <w:tcPr>
            <w:tcW w:w="780" w:type="dxa"/>
            <w:vMerge w:val="continue"/>
            <w:tcBorders>
              <w:left w:val="single" w:color="auto" w:sz="4" w:space="0"/>
              <w:right w:val="single" w:color="auto" w:sz="4" w:space="0"/>
            </w:tcBorders>
            <w:noWrap w:val="0"/>
            <w:vAlign w:val="center"/>
          </w:tcPr>
          <w:p>
            <w:pPr>
              <w:rPr>
                <w:rFonts w:ascii="宋体" w:hAnsi="宋体"/>
                <w:szCs w:val="21"/>
              </w:rPr>
            </w:pPr>
          </w:p>
        </w:tc>
        <w:tc>
          <w:tcPr>
            <w:tcW w:w="1620" w:type="dxa"/>
            <w:vMerge w:val="continue"/>
            <w:tcBorders>
              <w:left w:val="single" w:color="auto" w:sz="4" w:space="0"/>
              <w:right w:val="single" w:color="auto" w:sz="4" w:space="0"/>
            </w:tcBorders>
            <w:noWrap w:val="0"/>
            <w:vAlign w:val="center"/>
          </w:tcPr>
          <w:p>
            <w:pPr>
              <w:rPr>
                <w:rFonts w:ascii="宋体" w:hAnsi="宋体"/>
                <w:szCs w:val="21"/>
              </w:rPr>
            </w:pPr>
          </w:p>
        </w:tc>
        <w:tc>
          <w:tcPr>
            <w:tcW w:w="540" w:type="dxa"/>
            <w:vMerge w:val="continue"/>
            <w:tcBorders>
              <w:left w:val="single" w:color="auto" w:sz="4" w:space="0"/>
              <w:bottom w:val="single" w:color="auto" w:sz="4" w:space="0"/>
              <w:right w:val="single" w:color="auto" w:sz="4" w:space="0"/>
            </w:tcBorders>
            <w:noWrap w:val="0"/>
            <w:vAlign w:val="center"/>
          </w:tcPr>
          <w:p>
            <w:pPr>
              <w:rPr>
                <w:rFonts w:ascii="宋体" w:hAnsi="宋体"/>
                <w:szCs w:val="21"/>
              </w:rPr>
            </w:pPr>
          </w:p>
        </w:tc>
        <w:tc>
          <w:tcPr>
            <w:tcW w:w="1440" w:type="dxa"/>
            <w:vMerge w:val="continue"/>
            <w:tcBorders>
              <w:left w:val="single" w:color="auto" w:sz="4" w:space="0"/>
              <w:bottom w:val="single" w:color="auto" w:sz="4" w:space="0"/>
              <w:right w:val="single" w:color="auto" w:sz="4" w:space="0"/>
            </w:tcBorders>
            <w:noWrap w:val="0"/>
            <w:vAlign w:val="center"/>
          </w:tcPr>
          <w:p>
            <w:pPr>
              <w:spacing w:line="280" w:lineRule="exact"/>
              <w:rPr>
                <w:rFonts w:ascii="宋体" w:hAnsi="宋体"/>
                <w:szCs w:val="21"/>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b/>
                <w:szCs w:val="21"/>
              </w:rPr>
            </w:pPr>
            <w:r>
              <w:rPr>
                <w:rFonts w:hint="eastAsia" w:ascii="宋体" w:hAnsi="宋体"/>
                <w:b/>
                <w:szCs w:val="21"/>
              </w:rPr>
              <w:t>02</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b/>
                <w:szCs w:val="21"/>
              </w:rPr>
            </w:pPr>
            <w:r>
              <w:rPr>
                <w:rFonts w:hint="eastAsia" w:ascii="宋体" w:hAnsi="宋体"/>
                <w:b/>
                <w:szCs w:val="21"/>
              </w:rPr>
              <w:t>未按规定的周期清洗道路（冰冻、雨天等特殊情况除外）</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b/>
                <w:szCs w:val="21"/>
              </w:rPr>
            </w:pPr>
            <w:r>
              <w:rPr>
                <w:rFonts w:hint="eastAsia" w:ascii="宋体" w:hAnsi="宋体"/>
                <w:b/>
                <w:szCs w:val="21"/>
              </w:rPr>
              <w:t>静态</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b/>
                <w:szCs w:val="21"/>
              </w:rPr>
            </w:pPr>
            <w:r>
              <w:rPr>
                <w:rFonts w:hint="eastAsia" w:ascii="宋体" w:hAnsi="宋体"/>
                <w:b/>
                <w:szCs w:val="21"/>
              </w:rPr>
              <w:t>1工作日</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b/>
                <w:szCs w:val="21"/>
              </w:rPr>
            </w:pPr>
            <w:r>
              <w:rPr>
                <w:rFonts w:hint="eastAsia" w:ascii="宋体" w:hAnsi="宋体"/>
                <w:b/>
                <w:szCs w:val="21"/>
              </w:rPr>
              <w:t>4分</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b/>
                <w:szCs w:val="21"/>
              </w:rPr>
            </w:pPr>
            <w:r>
              <w:rPr>
                <w:rFonts w:hint="eastAsia" w:ascii="宋体" w:hAnsi="宋体"/>
                <w:b/>
                <w:szCs w:val="21"/>
              </w:rPr>
              <w:t>一立案即扣4分。立案后1个工作日内整改则结束扣分；超过1个工作日整改，每1个工作日扣4分，扣分累计</w:t>
            </w:r>
          </w:p>
        </w:tc>
      </w:tr>
      <w:tr>
        <w:tblPrEx>
          <w:tblCellMar>
            <w:top w:w="15" w:type="dxa"/>
            <w:left w:w="15" w:type="dxa"/>
            <w:bottom w:w="0" w:type="dxa"/>
            <w:right w:w="15" w:type="dxa"/>
          </w:tblCellMar>
        </w:tblPrEx>
        <w:trPr>
          <w:wBefore w:w="0" w:type="dxa"/>
          <w:wAfter w:w="0" w:type="dxa"/>
          <w:trHeight w:val="366" w:hRule="atLeast"/>
          <w:jc w:val="center"/>
        </w:trPr>
        <w:tc>
          <w:tcPr>
            <w:tcW w:w="780" w:type="dxa"/>
            <w:vMerge w:val="continue"/>
            <w:tcBorders>
              <w:left w:val="single" w:color="auto" w:sz="4" w:space="0"/>
              <w:right w:val="single" w:color="auto" w:sz="4" w:space="0"/>
            </w:tcBorders>
            <w:noWrap w:val="0"/>
            <w:vAlign w:val="center"/>
          </w:tcPr>
          <w:p>
            <w:pPr>
              <w:rPr>
                <w:rFonts w:ascii="宋体" w:hAnsi="宋体"/>
                <w:szCs w:val="21"/>
              </w:rPr>
            </w:pPr>
          </w:p>
        </w:tc>
        <w:tc>
          <w:tcPr>
            <w:tcW w:w="1620" w:type="dxa"/>
            <w:vMerge w:val="continue"/>
            <w:tcBorders>
              <w:left w:val="single" w:color="auto" w:sz="4" w:space="0"/>
              <w:right w:val="single" w:color="auto" w:sz="4" w:space="0"/>
            </w:tcBorders>
            <w:noWrap w:val="0"/>
            <w:vAlign w:val="center"/>
          </w:tcPr>
          <w:p>
            <w:pPr>
              <w:rPr>
                <w:rFonts w:ascii="宋体" w:hAnsi="宋体"/>
                <w:szCs w:val="21"/>
              </w:rPr>
            </w:pPr>
          </w:p>
        </w:tc>
        <w:tc>
          <w:tcPr>
            <w:tcW w:w="540" w:type="dxa"/>
            <w:vMerge w:val="restart"/>
            <w:tcBorders>
              <w:top w:val="single" w:color="auto" w:sz="4" w:space="0"/>
              <w:left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06</w:t>
            </w:r>
          </w:p>
        </w:tc>
        <w:tc>
          <w:tcPr>
            <w:tcW w:w="1440" w:type="dxa"/>
            <w:vMerge w:val="restart"/>
            <w:tcBorders>
              <w:top w:val="single" w:color="auto" w:sz="4" w:space="0"/>
              <w:left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GPS设备损坏</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01</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szCs w:val="21"/>
              </w:rPr>
            </w:pPr>
            <w:r>
              <w:rPr>
                <w:rFonts w:hint="eastAsia" w:ascii="宋体" w:hAnsi="宋体"/>
                <w:szCs w:val="21"/>
              </w:rPr>
              <w:t>车载GPS损坏未及时上报</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静态</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1工作日</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2分</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szCs w:val="21"/>
              </w:rPr>
            </w:pPr>
            <w:r>
              <w:rPr>
                <w:rFonts w:hint="eastAsia" w:ascii="宋体" w:hAnsi="宋体"/>
                <w:szCs w:val="21"/>
              </w:rPr>
              <w:t>一立案即扣2分；超过1个工作日整改每1个工作日扣2分，扣分累计</w:t>
            </w:r>
          </w:p>
        </w:tc>
      </w:tr>
      <w:tr>
        <w:tblPrEx>
          <w:tblCellMar>
            <w:top w:w="15" w:type="dxa"/>
            <w:left w:w="15" w:type="dxa"/>
            <w:bottom w:w="0" w:type="dxa"/>
            <w:right w:w="15" w:type="dxa"/>
          </w:tblCellMar>
        </w:tblPrEx>
        <w:trPr>
          <w:wBefore w:w="0" w:type="dxa"/>
          <w:wAfter w:w="0" w:type="dxa"/>
          <w:trHeight w:val="651" w:hRule="atLeast"/>
          <w:jc w:val="center"/>
        </w:trPr>
        <w:tc>
          <w:tcPr>
            <w:tcW w:w="780" w:type="dxa"/>
            <w:vMerge w:val="continue"/>
            <w:tcBorders>
              <w:left w:val="single" w:color="auto" w:sz="4" w:space="0"/>
              <w:right w:val="single" w:color="auto" w:sz="4" w:space="0"/>
            </w:tcBorders>
            <w:noWrap w:val="0"/>
            <w:vAlign w:val="center"/>
          </w:tcPr>
          <w:p>
            <w:pPr>
              <w:rPr>
                <w:rFonts w:ascii="宋体" w:hAnsi="宋体"/>
                <w:szCs w:val="21"/>
              </w:rPr>
            </w:pPr>
          </w:p>
        </w:tc>
        <w:tc>
          <w:tcPr>
            <w:tcW w:w="1620" w:type="dxa"/>
            <w:vMerge w:val="continue"/>
            <w:tcBorders>
              <w:left w:val="single" w:color="auto" w:sz="4" w:space="0"/>
              <w:right w:val="single" w:color="auto" w:sz="4" w:space="0"/>
            </w:tcBorders>
            <w:noWrap w:val="0"/>
            <w:vAlign w:val="center"/>
          </w:tcPr>
          <w:p>
            <w:pPr>
              <w:rPr>
                <w:rFonts w:ascii="宋体" w:hAnsi="宋体"/>
                <w:szCs w:val="21"/>
              </w:rPr>
            </w:pPr>
          </w:p>
        </w:tc>
        <w:tc>
          <w:tcPr>
            <w:tcW w:w="540" w:type="dxa"/>
            <w:vMerge w:val="continue"/>
            <w:tcBorders>
              <w:left w:val="single" w:color="auto" w:sz="4" w:space="0"/>
              <w:bottom w:val="single" w:color="auto" w:sz="4" w:space="0"/>
              <w:right w:val="single" w:color="auto" w:sz="4" w:space="0"/>
            </w:tcBorders>
            <w:noWrap w:val="0"/>
            <w:vAlign w:val="center"/>
          </w:tcPr>
          <w:p>
            <w:pPr>
              <w:rPr>
                <w:rFonts w:ascii="宋体" w:hAnsi="宋体"/>
                <w:szCs w:val="21"/>
              </w:rPr>
            </w:pPr>
          </w:p>
        </w:tc>
        <w:tc>
          <w:tcPr>
            <w:tcW w:w="1440" w:type="dxa"/>
            <w:vMerge w:val="continue"/>
            <w:tcBorders>
              <w:left w:val="single" w:color="auto" w:sz="4" w:space="0"/>
              <w:bottom w:val="single" w:color="auto" w:sz="4" w:space="0"/>
              <w:right w:val="single" w:color="auto" w:sz="4" w:space="0"/>
            </w:tcBorders>
            <w:noWrap w:val="0"/>
            <w:vAlign w:val="center"/>
          </w:tcPr>
          <w:p>
            <w:pPr>
              <w:spacing w:line="280" w:lineRule="exact"/>
              <w:rPr>
                <w:rFonts w:ascii="宋体" w:hAnsi="宋体"/>
                <w:szCs w:val="21"/>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02</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szCs w:val="21"/>
              </w:rPr>
            </w:pPr>
            <w:r>
              <w:rPr>
                <w:rFonts w:hint="eastAsia" w:ascii="宋体" w:hAnsi="宋体"/>
                <w:szCs w:val="21"/>
              </w:rPr>
              <w:t>车载GPS遭人为损坏</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静态</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1工作日</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6分</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szCs w:val="21"/>
              </w:rPr>
            </w:pPr>
            <w:r>
              <w:rPr>
                <w:rFonts w:hint="eastAsia" w:ascii="宋体" w:hAnsi="宋体"/>
                <w:szCs w:val="21"/>
              </w:rPr>
              <w:t>一立案即扣6分。立案后1个工作日内整改则结束扣分；超过1个工作日整改，每1个工作日扣6分，扣分累计</w:t>
            </w:r>
          </w:p>
        </w:tc>
      </w:tr>
      <w:tr>
        <w:tblPrEx>
          <w:tblCellMar>
            <w:top w:w="15" w:type="dxa"/>
            <w:left w:w="15" w:type="dxa"/>
            <w:bottom w:w="0" w:type="dxa"/>
            <w:right w:w="15" w:type="dxa"/>
          </w:tblCellMar>
        </w:tblPrEx>
        <w:trPr>
          <w:wBefore w:w="0" w:type="dxa"/>
          <w:wAfter w:w="0" w:type="dxa"/>
          <w:trHeight w:val="882" w:hRule="atLeast"/>
          <w:jc w:val="center"/>
        </w:trPr>
        <w:tc>
          <w:tcPr>
            <w:tcW w:w="780" w:type="dxa"/>
            <w:vMerge w:val="continue"/>
            <w:tcBorders>
              <w:left w:val="single" w:color="auto" w:sz="4" w:space="0"/>
              <w:right w:val="single" w:color="auto" w:sz="4" w:space="0"/>
            </w:tcBorders>
            <w:noWrap w:val="0"/>
            <w:vAlign w:val="center"/>
          </w:tcPr>
          <w:p>
            <w:pPr>
              <w:rPr>
                <w:rFonts w:ascii="宋体" w:hAnsi="宋体"/>
                <w:szCs w:val="21"/>
              </w:rPr>
            </w:pPr>
          </w:p>
        </w:tc>
        <w:tc>
          <w:tcPr>
            <w:tcW w:w="1620" w:type="dxa"/>
            <w:vMerge w:val="continue"/>
            <w:tcBorders>
              <w:left w:val="single" w:color="auto" w:sz="4" w:space="0"/>
              <w:right w:val="single" w:color="auto" w:sz="4" w:space="0"/>
            </w:tcBorders>
            <w:noWrap w:val="0"/>
            <w:vAlign w:val="center"/>
          </w:tcPr>
          <w:p>
            <w:pPr>
              <w:rPr>
                <w:rFonts w:ascii="宋体" w:hAnsi="宋体"/>
                <w:szCs w:val="21"/>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07</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安全问题</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01</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szCs w:val="21"/>
              </w:rPr>
            </w:pPr>
            <w:r>
              <w:rPr>
                <w:rFonts w:hint="eastAsia" w:ascii="宋体" w:hAnsi="宋体"/>
                <w:szCs w:val="21"/>
              </w:rPr>
              <w:t>车辆超速行驶，作业时未开启警示灯和提示音乐，夜间没有降低或关闭提示音乐</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静态</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1小时</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1分</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szCs w:val="21"/>
              </w:rPr>
            </w:pPr>
            <w:r>
              <w:rPr>
                <w:rFonts w:hint="eastAsia" w:ascii="宋体" w:hAnsi="宋体"/>
                <w:szCs w:val="21"/>
              </w:rPr>
              <w:t>一立案即扣1分。立案后1小时内整改则结束扣分；超过1小时整改，每1小时扣1分，扣分累计</w:t>
            </w:r>
          </w:p>
        </w:tc>
      </w:tr>
      <w:tr>
        <w:tblPrEx>
          <w:tblCellMar>
            <w:top w:w="15" w:type="dxa"/>
            <w:left w:w="15" w:type="dxa"/>
            <w:bottom w:w="0" w:type="dxa"/>
            <w:right w:w="15" w:type="dxa"/>
          </w:tblCellMar>
        </w:tblPrEx>
        <w:trPr>
          <w:wBefore w:w="0" w:type="dxa"/>
          <w:wAfter w:w="0" w:type="dxa"/>
          <w:trHeight w:val="882" w:hRule="atLeast"/>
          <w:jc w:val="center"/>
        </w:trPr>
        <w:tc>
          <w:tcPr>
            <w:tcW w:w="780" w:type="dxa"/>
            <w:vMerge w:val="continue"/>
            <w:tcBorders>
              <w:left w:val="single" w:color="auto" w:sz="4" w:space="0"/>
              <w:right w:val="single" w:color="auto" w:sz="4" w:space="0"/>
            </w:tcBorders>
            <w:noWrap w:val="0"/>
            <w:vAlign w:val="center"/>
          </w:tcPr>
          <w:p>
            <w:pPr>
              <w:rPr>
                <w:rFonts w:ascii="宋体" w:hAnsi="宋体"/>
                <w:szCs w:val="21"/>
              </w:rPr>
            </w:pPr>
          </w:p>
        </w:tc>
        <w:tc>
          <w:tcPr>
            <w:tcW w:w="1620" w:type="dxa"/>
            <w:vMerge w:val="continue"/>
            <w:tcBorders>
              <w:left w:val="single" w:color="auto" w:sz="4" w:space="0"/>
              <w:right w:val="single" w:color="auto" w:sz="4" w:space="0"/>
            </w:tcBorders>
            <w:noWrap w:val="0"/>
            <w:vAlign w:val="center"/>
          </w:tcPr>
          <w:p>
            <w:pPr>
              <w:rPr>
                <w:rFonts w:ascii="宋体" w:hAnsi="宋体"/>
                <w:szCs w:val="21"/>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08</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作业效果不佳</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02</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szCs w:val="21"/>
              </w:rPr>
            </w:pPr>
            <w:r>
              <w:rPr>
                <w:rFonts w:hint="eastAsia" w:ascii="宋体" w:hAnsi="宋体"/>
                <w:szCs w:val="21"/>
              </w:rPr>
              <w:t>作业效果不佳，机扫车作业后路面仍有废弃残留物，洒水车作业后路面、隔离栏（墩）处仍有泥沙</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静态</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1小时</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0.1分</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szCs w:val="21"/>
              </w:rPr>
            </w:pPr>
            <w:r>
              <w:rPr>
                <w:rFonts w:hint="eastAsia" w:ascii="宋体" w:hAnsi="宋体"/>
                <w:szCs w:val="21"/>
              </w:rPr>
              <w:t>一立案即扣0.1分。立案后1小时内整改则结束扣分；超过1小时整改，每1小时扣0.1分，扣分累计</w:t>
            </w:r>
          </w:p>
        </w:tc>
      </w:tr>
      <w:tr>
        <w:tblPrEx>
          <w:tblCellMar>
            <w:top w:w="15" w:type="dxa"/>
            <w:left w:w="15" w:type="dxa"/>
            <w:bottom w:w="0" w:type="dxa"/>
            <w:right w:w="15" w:type="dxa"/>
          </w:tblCellMar>
        </w:tblPrEx>
        <w:trPr>
          <w:wBefore w:w="0" w:type="dxa"/>
          <w:wAfter w:w="0" w:type="dxa"/>
          <w:trHeight w:val="882" w:hRule="atLeast"/>
          <w:jc w:val="center"/>
        </w:trPr>
        <w:tc>
          <w:tcPr>
            <w:tcW w:w="780" w:type="dxa"/>
            <w:vMerge w:val="continue"/>
            <w:tcBorders>
              <w:left w:val="single" w:color="auto" w:sz="4" w:space="0"/>
              <w:bottom w:val="single" w:color="auto" w:sz="4" w:space="0"/>
              <w:right w:val="single" w:color="auto" w:sz="4" w:space="0"/>
            </w:tcBorders>
            <w:noWrap w:val="0"/>
            <w:vAlign w:val="center"/>
          </w:tcPr>
          <w:p>
            <w:pPr>
              <w:rPr>
                <w:rFonts w:ascii="宋体" w:hAnsi="宋体"/>
                <w:szCs w:val="21"/>
              </w:rPr>
            </w:pPr>
          </w:p>
        </w:tc>
        <w:tc>
          <w:tcPr>
            <w:tcW w:w="1620" w:type="dxa"/>
            <w:vMerge w:val="continue"/>
            <w:tcBorders>
              <w:left w:val="single" w:color="auto" w:sz="4" w:space="0"/>
              <w:bottom w:val="single" w:color="auto" w:sz="4" w:space="0"/>
              <w:right w:val="single" w:color="auto" w:sz="4" w:space="0"/>
            </w:tcBorders>
            <w:noWrap w:val="0"/>
            <w:vAlign w:val="center"/>
          </w:tcPr>
          <w:p>
            <w:pPr>
              <w:rPr>
                <w:rFonts w:ascii="宋体" w:hAnsi="宋体"/>
                <w:szCs w:val="21"/>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rPr>
            </w:pPr>
            <w:r>
              <w:rPr>
                <w:rFonts w:hint="eastAsia" w:ascii="宋体" w:hAnsi="宋体"/>
                <w:b/>
                <w:szCs w:val="21"/>
              </w:rPr>
              <w:t>09</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b/>
                <w:szCs w:val="21"/>
              </w:rPr>
            </w:pPr>
            <w:r>
              <w:rPr>
                <w:rFonts w:hint="eastAsia" w:ascii="宋体" w:hAnsi="宋体"/>
                <w:b/>
                <w:szCs w:val="21"/>
              </w:rPr>
              <w:t>停放不规范</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b/>
                <w:szCs w:val="21"/>
              </w:rPr>
            </w:pPr>
            <w:r>
              <w:rPr>
                <w:rFonts w:hint="eastAsia" w:ascii="宋体" w:hAnsi="宋体"/>
                <w:b/>
                <w:szCs w:val="21"/>
              </w:rPr>
              <w:t>01</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b/>
                <w:szCs w:val="21"/>
              </w:rPr>
            </w:pPr>
            <w:r>
              <w:rPr>
                <w:rFonts w:hint="eastAsia" w:ascii="宋体" w:hAnsi="宋体"/>
                <w:b/>
                <w:szCs w:val="21"/>
              </w:rPr>
              <w:t>人力清扫专用车停放在消防栓、公交车站旁，停放离人行道侧石超过20厘米及其它停放不规范的行为</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b/>
                <w:szCs w:val="21"/>
              </w:rPr>
            </w:pPr>
            <w:r>
              <w:rPr>
                <w:rFonts w:hint="eastAsia" w:ascii="宋体" w:hAnsi="宋体"/>
                <w:b/>
                <w:szCs w:val="21"/>
              </w:rPr>
              <w:t>静态</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b/>
                <w:szCs w:val="21"/>
              </w:rPr>
            </w:pPr>
            <w:r>
              <w:rPr>
                <w:rFonts w:hint="eastAsia" w:ascii="宋体" w:hAnsi="宋体"/>
                <w:b/>
                <w:szCs w:val="21"/>
              </w:rPr>
              <w:t>30分钟</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b/>
                <w:szCs w:val="21"/>
              </w:rPr>
            </w:pPr>
            <w:r>
              <w:rPr>
                <w:rFonts w:hint="eastAsia" w:ascii="宋体" w:hAnsi="宋体"/>
                <w:b/>
                <w:szCs w:val="21"/>
              </w:rPr>
              <w:t>0.4分</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b/>
                <w:szCs w:val="21"/>
              </w:rPr>
            </w:pPr>
            <w:r>
              <w:rPr>
                <w:rFonts w:hint="eastAsia" w:ascii="宋体" w:hAnsi="宋体"/>
                <w:b/>
                <w:szCs w:val="21"/>
              </w:rPr>
              <w:t>一立案即扣0.4分。立案后30分钟内整改则结束扣分；超过30分钟整改，每30分钟扣0.4分，扣分累计</w:t>
            </w:r>
          </w:p>
        </w:tc>
      </w:tr>
      <w:tr>
        <w:tblPrEx>
          <w:tblCellMar>
            <w:top w:w="15" w:type="dxa"/>
            <w:left w:w="15" w:type="dxa"/>
            <w:bottom w:w="0" w:type="dxa"/>
            <w:right w:w="15" w:type="dxa"/>
          </w:tblCellMar>
        </w:tblPrEx>
        <w:trPr>
          <w:wBefore w:w="0" w:type="dxa"/>
          <w:wAfter w:w="0" w:type="dxa"/>
          <w:trHeight w:val="583" w:hRule="atLeast"/>
          <w:jc w:val="center"/>
        </w:trPr>
        <w:tc>
          <w:tcPr>
            <w:tcW w:w="780" w:type="dxa"/>
            <w:vMerge w:val="restart"/>
            <w:tcBorders>
              <w:top w:val="single" w:color="auto" w:sz="4" w:space="0"/>
              <w:left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06</w:t>
            </w:r>
          </w:p>
        </w:tc>
        <w:tc>
          <w:tcPr>
            <w:tcW w:w="1620" w:type="dxa"/>
            <w:vMerge w:val="restart"/>
            <w:tcBorders>
              <w:top w:val="single" w:color="auto" w:sz="4" w:space="0"/>
              <w:left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河道保洁</w:t>
            </w:r>
          </w:p>
        </w:tc>
        <w:tc>
          <w:tcPr>
            <w:tcW w:w="540" w:type="dxa"/>
            <w:vMerge w:val="restart"/>
            <w:tcBorders>
              <w:top w:val="single" w:color="auto" w:sz="4" w:space="0"/>
              <w:left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01</w:t>
            </w:r>
          </w:p>
        </w:tc>
        <w:tc>
          <w:tcPr>
            <w:tcW w:w="1440" w:type="dxa"/>
            <w:vMerge w:val="restart"/>
            <w:tcBorders>
              <w:top w:val="single" w:color="auto" w:sz="4" w:space="0"/>
              <w:left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水域不洁</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01</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szCs w:val="21"/>
              </w:rPr>
            </w:pPr>
            <w:r>
              <w:rPr>
                <w:rFonts w:hint="eastAsia" w:ascii="宋体" w:hAnsi="宋体"/>
                <w:szCs w:val="21"/>
              </w:rPr>
              <w:t>河面有零星漂浮垃圾、动物尸体、水草等</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动态</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1小时</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0.2分</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szCs w:val="21"/>
              </w:rPr>
            </w:pPr>
            <w:r>
              <w:rPr>
                <w:rFonts w:hint="eastAsia" w:ascii="宋体" w:hAnsi="宋体"/>
                <w:szCs w:val="21"/>
              </w:rPr>
              <w:t>1小时内整改不扣分；超过1小时整改每1小时扣0.2分，扣分累计</w:t>
            </w:r>
          </w:p>
        </w:tc>
      </w:tr>
      <w:tr>
        <w:tblPrEx>
          <w:tblCellMar>
            <w:top w:w="15" w:type="dxa"/>
            <w:left w:w="15" w:type="dxa"/>
            <w:bottom w:w="0" w:type="dxa"/>
            <w:right w:w="15" w:type="dxa"/>
          </w:tblCellMar>
        </w:tblPrEx>
        <w:trPr>
          <w:wBefore w:w="0" w:type="dxa"/>
          <w:wAfter w:w="0" w:type="dxa"/>
          <w:trHeight w:val="882" w:hRule="atLeast"/>
          <w:jc w:val="center"/>
        </w:trPr>
        <w:tc>
          <w:tcPr>
            <w:tcW w:w="780" w:type="dxa"/>
            <w:vMerge w:val="continue"/>
            <w:tcBorders>
              <w:left w:val="single" w:color="auto" w:sz="4" w:space="0"/>
              <w:right w:val="single" w:color="auto" w:sz="4" w:space="0"/>
            </w:tcBorders>
            <w:noWrap w:val="0"/>
            <w:vAlign w:val="center"/>
          </w:tcPr>
          <w:p>
            <w:pPr>
              <w:rPr>
                <w:rFonts w:ascii="宋体" w:hAnsi="宋体"/>
                <w:szCs w:val="21"/>
              </w:rPr>
            </w:pPr>
          </w:p>
        </w:tc>
        <w:tc>
          <w:tcPr>
            <w:tcW w:w="1620" w:type="dxa"/>
            <w:vMerge w:val="continue"/>
            <w:tcBorders>
              <w:left w:val="single" w:color="auto" w:sz="4" w:space="0"/>
              <w:right w:val="single" w:color="auto" w:sz="4" w:space="0"/>
            </w:tcBorders>
            <w:noWrap w:val="0"/>
            <w:vAlign w:val="center"/>
          </w:tcPr>
          <w:p>
            <w:pPr>
              <w:jc w:val="center"/>
              <w:rPr>
                <w:rFonts w:ascii="宋体" w:hAnsi="宋体"/>
                <w:szCs w:val="21"/>
              </w:rPr>
            </w:pPr>
          </w:p>
        </w:tc>
        <w:tc>
          <w:tcPr>
            <w:tcW w:w="540" w:type="dxa"/>
            <w:vMerge w:val="continue"/>
            <w:tcBorders>
              <w:left w:val="single" w:color="auto" w:sz="4" w:space="0"/>
              <w:bottom w:val="single" w:color="auto" w:sz="4" w:space="0"/>
              <w:right w:val="single" w:color="auto" w:sz="4" w:space="0"/>
            </w:tcBorders>
            <w:noWrap w:val="0"/>
            <w:vAlign w:val="center"/>
          </w:tcPr>
          <w:p>
            <w:pPr>
              <w:rPr>
                <w:rFonts w:ascii="宋体" w:hAnsi="宋体"/>
                <w:szCs w:val="21"/>
              </w:rPr>
            </w:pPr>
          </w:p>
        </w:tc>
        <w:tc>
          <w:tcPr>
            <w:tcW w:w="1440" w:type="dxa"/>
            <w:vMerge w:val="continue"/>
            <w:tcBorders>
              <w:left w:val="single" w:color="auto" w:sz="4" w:space="0"/>
              <w:bottom w:val="single" w:color="auto" w:sz="4" w:space="0"/>
              <w:right w:val="single" w:color="auto" w:sz="4" w:space="0"/>
            </w:tcBorders>
            <w:noWrap w:val="0"/>
            <w:vAlign w:val="center"/>
          </w:tcPr>
          <w:p>
            <w:pPr>
              <w:spacing w:line="280" w:lineRule="exact"/>
              <w:rPr>
                <w:rFonts w:ascii="宋体" w:hAnsi="宋体"/>
                <w:szCs w:val="21"/>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02</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szCs w:val="21"/>
              </w:rPr>
            </w:pPr>
            <w:r>
              <w:rPr>
                <w:rFonts w:hint="eastAsia" w:ascii="宋体" w:hAnsi="宋体"/>
                <w:szCs w:val="21"/>
              </w:rPr>
              <w:t>河面成片漂浮垃圾、动物尸体、水草等超过1㎡（特殊情况除外，如大面积死鱼、汛期或水草等漂浮物顺水漂动较多时节）</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动态</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2小时</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1分</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szCs w:val="21"/>
              </w:rPr>
            </w:pPr>
            <w:r>
              <w:rPr>
                <w:rFonts w:hint="eastAsia" w:ascii="宋体" w:hAnsi="宋体"/>
                <w:szCs w:val="21"/>
              </w:rPr>
              <w:t>2小时内整改不扣分；超过2小时整改每2小时扣1分，扣分累计</w:t>
            </w:r>
          </w:p>
        </w:tc>
      </w:tr>
      <w:tr>
        <w:tblPrEx>
          <w:tblCellMar>
            <w:top w:w="15" w:type="dxa"/>
            <w:left w:w="15" w:type="dxa"/>
            <w:bottom w:w="0" w:type="dxa"/>
            <w:right w:w="15" w:type="dxa"/>
          </w:tblCellMar>
        </w:tblPrEx>
        <w:trPr>
          <w:wBefore w:w="0" w:type="dxa"/>
          <w:wAfter w:w="0" w:type="dxa"/>
          <w:trHeight w:val="581" w:hRule="atLeast"/>
          <w:jc w:val="center"/>
        </w:trPr>
        <w:tc>
          <w:tcPr>
            <w:tcW w:w="780" w:type="dxa"/>
            <w:vMerge w:val="continue"/>
            <w:tcBorders>
              <w:left w:val="single" w:color="auto" w:sz="4" w:space="0"/>
              <w:right w:val="single" w:color="auto" w:sz="4" w:space="0"/>
            </w:tcBorders>
            <w:noWrap w:val="0"/>
            <w:vAlign w:val="center"/>
          </w:tcPr>
          <w:p>
            <w:pPr>
              <w:rPr>
                <w:rFonts w:ascii="宋体" w:hAnsi="宋体"/>
                <w:szCs w:val="21"/>
              </w:rPr>
            </w:pPr>
          </w:p>
        </w:tc>
        <w:tc>
          <w:tcPr>
            <w:tcW w:w="1620" w:type="dxa"/>
            <w:vMerge w:val="continue"/>
            <w:tcBorders>
              <w:left w:val="single" w:color="auto" w:sz="4" w:space="0"/>
              <w:right w:val="single" w:color="auto" w:sz="4" w:space="0"/>
            </w:tcBorders>
            <w:noWrap w:val="0"/>
            <w:vAlign w:val="center"/>
          </w:tcPr>
          <w:p>
            <w:pPr>
              <w:jc w:val="center"/>
              <w:rPr>
                <w:rFonts w:ascii="宋体" w:hAnsi="宋体"/>
                <w:szCs w:val="21"/>
              </w:rPr>
            </w:pPr>
          </w:p>
        </w:tc>
        <w:tc>
          <w:tcPr>
            <w:tcW w:w="540" w:type="dxa"/>
            <w:vMerge w:val="restart"/>
            <w:tcBorders>
              <w:top w:val="single" w:color="auto" w:sz="4" w:space="0"/>
              <w:left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02</w:t>
            </w:r>
          </w:p>
        </w:tc>
        <w:tc>
          <w:tcPr>
            <w:tcW w:w="1440" w:type="dxa"/>
            <w:vMerge w:val="restart"/>
            <w:tcBorders>
              <w:top w:val="single" w:color="auto" w:sz="4" w:space="0"/>
              <w:left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坡岸不洁</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01</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szCs w:val="21"/>
              </w:rPr>
            </w:pPr>
            <w:r>
              <w:rPr>
                <w:rFonts w:hint="eastAsia" w:ascii="宋体" w:hAnsi="宋体"/>
                <w:szCs w:val="21"/>
              </w:rPr>
              <w:t>河坡岸边上2米、桥下桥脚2米内有零星垃圾、杂物等</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动态</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1小时</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0.2分</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szCs w:val="21"/>
              </w:rPr>
            </w:pPr>
            <w:r>
              <w:rPr>
                <w:rFonts w:hint="eastAsia" w:ascii="宋体" w:hAnsi="宋体"/>
                <w:szCs w:val="21"/>
              </w:rPr>
              <w:t>1小时内整改不扣分；超过1小时整改每1小时扣0.2分，扣分累计</w:t>
            </w:r>
          </w:p>
        </w:tc>
      </w:tr>
      <w:tr>
        <w:tblPrEx>
          <w:tblCellMar>
            <w:top w:w="15" w:type="dxa"/>
            <w:left w:w="15" w:type="dxa"/>
            <w:bottom w:w="0" w:type="dxa"/>
            <w:right w:w="15" w:type="dxa"/>
          </w:tblCellMar>
        </w:tblPrEx>
        <w:trPr>
          <w:wBefore w:w="0" w:type="dxa"/>
          <w:wAfter w:w="0" w:type="dxa"/>
          <w:trHeight w:val="775" w:hRule="atLeast"/>
          <w:jc w:val="center"/>
        </w:trPr>
        <w:tc>
          <w:tcPr>
            <w:tcW w:w="780" w:type="dxa"/>
            <w:vMerge w:val="continue"/>
            <w:tcBorders>
              <w:left w:val="single" w:color="auto" w:sz="4" w:space="0"/>
              <w:right w:val="single" w:color="auto" w:sz="4" w:space="0"/>
            </w:tcBorders>
            <w:noWrap w:val="0"/>
            <w:vAlign w:val="center"/>
          </w:tcPr>
          <w:p>
            <w:pPr>
              <w:rPr>
                <w:rFonts w:ascii="宋体" w:hAnsi="宋体"/>
                <w:szCs w:val="21"/>
              </w:rPr>
            </w:pPr>
          </w:p>
        </w:tc>
        <w:tc>
          <w:tcPr>
            <w:tcW w:w="1620" w:type="dxa"/>
            <w:vMerge w:val="continue"/>
            <w:tcBorders>
              <w:left w:val="single" w:color="auto" w:sz="4" w:space="0"/>
              <w:right w:val="single" w:color="auto" w:sz="4" w:space="0"/>
            </w:tcBorders>
            <w:noWrap w:val="0"/>
            <w:vAlign w:val="center"/>
          </w:tcPr>
          <w:p>
            <w:pPr>
              <w:jc w:val="center"/>
              <w:rPr>
                <w:rFonts w:ascii="宋体" w:hAnsi="宋体"/>
                <w:szCs w:val="21"/>
              </w:rPr>
            </w:pPr>
          </w:p>
        </w:tc>
        <w:tc>
          <w:tcPr>
            <w:tcW w:w="540" w:type="dxa"/>
            <w:vMerge w:val="continue"/>
            <w:tcBorders>
              <w:left w:val="single" w:color="auto" w:sz="4" w:space="0"/>
              <w:bottom w:val="single" w:color="auto" w:sz="4" w:space="0"/>
              <w:right w:val="single" w:color="auto" w:sz="4" w:space="0"/>
            </w:tcBorders>
            <w:noWrap w:val="0"/>
            <w:vAlign w:val="center"/>
          </w:tcPr>
          <w:p>
            <w:pPr>
              <w:rPr>
                <w:rFonts w:ascii="宋体" w:hAnsi="宋体"/>
                <w:szCs w:val="21"/>
              </w:rPr>
            </w:pPr>
          </w:p>
        </w:tc>
        <w:tc>
          <w:tcPr>
            <w:tcW w:w="1440" w:type="dxa"/>
            <w:vMerge w:val="continue"/>
            <w:tcBorders>
              <w:left w:val="single" w:color="auto" w:sz="4" w:space="0"/>
              <w:bottom w:val="single" w:color="auto" w:sz="4" w:space="0"/>
              <w:right w:val="single" w:color="auto" w:sz="4" w:space="0"/>
            </w:tcBorders>
            <w:noWrap w:val="0"/>
            <w:vAlign w:val="center"/>
          </w:tcPr>
          <w:p>
            <w:pPr>
              <w:spacing w:line="280" w:lineRule="exact"/>
              <w:rPr>
                <w:rFonts w:ascii="宋体" w:hAnsi="宋体"/>
                <w:szCs w:val="21"/>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b/>
                <w:szCs w:val="21"/>
              </w:rPr>
            </w:pPr>
            <w:r>
              <w:rPr>
                <w:rFonts w:hint="eastAsia" w:ascii="宋体" w:hAnsi="宋体"/>
                <w:b/>
                <w:szCs w:val="21"/>
              </w:rPr>
              <w:t>02</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b/>
                <w:szCs w:val="21"/>
              </w:rPr>
            </w:pPr>
            <w:r>
              <w:rPr>
                <w:rFonts w:hint="eastAsia" w:ascii="宋体" w:hAnsi="宋体"/>
                <w:b/>
                <w:szCs w:val="21"/>
              </w:rPr>
              <w:t>河坡岸边上2米、桥下桥脚2米内有成堆、成片垃圾、杂物等</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b/>
                <w:szCs w:val="21"/>
              </w:rPr>
            </w:pPr>
            <w:r>
              <w:rPr>
                <w:rFonts w:hint="eastAsia" w:ascii="宋体" w:hAnsi="宋体"/>
                <w:b/>
                <w:szCs w:val="21"/>
              </w:rPr>
              <w:t>动态</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b/>
                <w:szCs w:val="21"/>
              </w:rPr>
            </w:pPr>
            <w:r>
              <w:rPr>
                <w:rFonts w:hint="eastAsia" w:ascii="宋体" w:hAnsi="宋体"/>
                <w:b/>
                <w:szCs w:val="21"/>
              </w:rPr>
              <w:t>2小时</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b/>
                <w:szCs w:val="21"/>
              </w:rPr>
            </w:pPr>
            <w:r>
              <w:rPr>
                <w:rFonts w:hint="eastAsia" w:ascii="宋体" w:hAnsi="宋体"/>
                <w:b/>
                <w:szCs w:val="21"/>
              </w:rPr>
              <w:t>1分</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b/>
                <w:szCs w:val="21"/>
              </w:rPr>
            </w:pPr>
            <w:r>
              <w:rPr>
                <w:rFonts w:hint="eastAsia" w:ascii="宋体" w:hAnsi="宋体"/>
                <w:b/>
                <w:szCs w:val="21"/>
              </w:rPr>
              <w:t>2小时内整改不扣分；超过2小时整改每2小时扣1分，扣分累计</w:t>
            </w:r>
          </w:p>
        </w:tc>
      </w:tr>
      <w:tr>
        <w:tblPrEx>
          <w:tblCellMar>
            <w:top w:w="15" w:type="dxa"/>
            <w:left w:w="15" w:type="dxa"/>
            <w:bottom w:w="0" w:type="dxa"/>
            <w:right w:w="15" w:type="dxa"/>
          </w:tblCellMar>
        </w:tblPrEx>
        <w:trPr>
          <w:wBefore w:w="0" w:type="dxa"/>
          <w:wAfter w:w="0" w:type="dxa"/>
          <w:trHeight w:val="1500" w:hRule="atLeast"/>
          <w:jc w:val="center"/>
        </w:trPr>
        <w:tc>
          <w:tcPr>
            <w:tcW w:w="780" w:type="dxa"/>
            <w:vMerge w:val="continue"/>
            <w:tcBorders>
              <w:left w:val="single" w:color="auto" w:sz="4" w:space="0"/>
              <w:right w:val="single" w:color="auto" w:sz="4" w:space="0"/>
            </w:tcBorders>
            <w:noWrap w:val="0"/>
            <w:vAlign w:val="center"/>
          </w:tcPr>
          <w:p>
            <w:pPr>
              <w:rPr>
                <w:rFonts w:ascii="宋体" w:hAnsi="宋体"/>
                <w:szCs w:val="21"/>
              </w:rPr>
            </w:pPr>
          </w:p>
        </w:tc>
        <w:tc>
          <w:tcPr>
            <w:tcW w:w="1620" w:type="dxa"/>
            <w:vMerge w:val="continue"/>
            <w:tcBorders>
              <w:left w:val="single" w:color="auto" w:sz="4" w:space="0"/>
              <w:right w:val="single" w:color="auto" w:sz="4" w:space="0"/>
            </w:tcBorders>
            <w:noWrap w:val="0"/>
            <w:vAlign w:val="center"/>
          </w:tcPr>
          <w:p>
            <w:pPr>
              <w:jc w:val="center"/>
              <w:rPr>
                <w:rFonts w:ascii="宋体" w:hAnsi="宋体"/>
                <w:szCs w:val="21"/>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03</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垃圾处理不当</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b/>
                <w:szCs w:val="21"/>
              </w:rPr>
            </w:pPr>
            <w:r>
              <w:rPr>
                <w:rFonts w:hint="eastAsia" w:ascii="宋体" w:hAnsi="宋体"/>
                <w:b/>
                <w:szCs w:val="21"/>
              </w:rPr>
              <w:t>01</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b/>
                <w:szCs w:val="21"/>
              </w:rPr>
            </w:pPr>
            <w:r>
              <w:rPr>
                <w:rFonts w:hint="eastAsia" w:ascii="宋体" w:hAnsi="宋体"/>
                <w:b/>
                <w:szCs w:val="21"/>
              </w:rPr>
              <w:t>打捞的垃圾随意堆放，未能送到指定堆放点；指定堆放点垃圾未能日产日清、及时送到指定中转站（特殊情况除外，如大面积死鱼、水草漂动较多导致垃圾量超过中转站转运能力、中转站设备故障无法转运等）</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b/>
                <w:szCs w:val="21"/>
              </w:rPr>
            </w:pPr>
            <w:r>
              <w:rPr>
                <w:rFonts w:hint="eastAsia" w:ascii="宋体" w:hAnsi="宋体"/>
                <w:b/>
                <w:szCs w:val="21"/>
              </w:rPr>
              <w:t>静态</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b/>
                <w:szCs w:val="21"/>
              </w:rPr>
            </w:pPr>
            <w:r>
              <w:rPr>
                <w:rFonts w:hint="eastAsia" w:ascii="宋体" w:hAnsi="宋体"/>
                <w:b/>
                <w:szCs w:val="21"/>
              </w:rPr>
              <w:t>1工作日</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b/>
                <w:szCs w:val="21"/>
              </w:rPr>
            </w:pPr>
            <w:r>
              <w:rPr>
                <w:rFonts w:hint="eastAsia" w:ascii="宋体" w:hAnsi="宋体"/>
                <w:b/>
                <w:szCs w:val="21"/>
              </w:rPr>
              <w:t>2分</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b/>
                <w:szCs w:val="21"/>
              </w:rPr>
            </w:pPr>
            <w:r>
              <w:rPr>
                <w:rFonts w:hint="eastAsia" w:ascii="宋体" w:hAnsi="宋体"/>
                <w:b/>
                <w:szCs w:val="21"/>
              </w:rPr>
              <w:t>一立案即扣2分。立案后1个工作日内整改则结束扣分；超过1个工作日整改，每1个工作日扣2分，扣分累计</w:t>
            </w:r>
          </w:p>
        </w:tc>
      </w:tr>
      <w:tr>
        <w:tblPrEx>
          <w:tblCellMar>
            <w:top w:w="15" w:type="dxa"/>
            <w:left w:w="15" w:type="dxa"/>
            <w:bottom w:w="0" w:type="dxa"/>
            <w:right w:w="15" w:type="dxa"/>
          </w:tblCellMar>
        </w:tblPrEx>
        <w:trPr>
          <w:wBefore w:w="0" w:type="dxa"/>
          <w:wAfter w:w="0" w:type="dxa"/>
          <w:trHeight w:val="923" w:hRule="atLeast"/>
          <w:jc w:val="center"/>
        </w:trPr>
        <w:tc>
          <w:tcPr>
            <w:tcW w:w="780" w:type="dxa"/>
            <w:vMerge w:val="continue"/>
            <w:tcBorders>
              <w:left w:val="single" w:color="auto" w:sz="4" w:space="0"/>
              <w:right w:val="single" w:color="auto" w:sz="4" w:space="0"/>
            </w:tcBorders>
            <w:noWrap w:val="0"/>
            <w:vAlign w:val="center"/>
          </w:tcPr>
          <w:p>
            <w:pPr>
              <w:rPr>
                <w:rFonts w:ascii="宋体" w:hAnsi="宋体"/>
                <w:szCs w:val="21"/>
              </w:rPr>
            </w:pPr>
          </w:p>
        </w:tc>
        <w:tc>
          <w:tcPr>
            <w:tcW w:w="1620" w:type="dxa"/>
            <w:vMerge w:val="continue"/>
            <w:tcBorders>
              <w:left w:val="single" w:color="auto" w:sz="4" w:space="0"/>
              <w:right w:val="single" w:color="auto" w:sz="4" w:space="0"/>
            </w:tcBorders>
            <w:noWrap w:val="0"/>
            <w:vAlign w:val="center"/>
          </w:tcPr>
          <w:p>
            <w:pPr>
              <w:jc w:val="center"/>
              <w:rPr>
                <w:rFonts w:ascii="宋体" w:hAnsi="宋体"/>
                <w:szCs w:val="21"/>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04</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船舶外观不洁</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01</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szCs w:val="21"/>
              </w:rPr>
            </w:pPr>
            <w:r>
              <w:rPr>
                <w:rFonts w:hint="eastAsia" w:ascii="宋体" w:hAnsi="宋体"/>
                <w:szCs w:val="21"/>
              </w:rPr>
              <w:t>打捞保洁船有明显油污、锈斑</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静态</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1工作日</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2分</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szCs w:val="21"/>
              </w:rPr>
            </w:pPr>
            <w:r>
              <w:rPr>
                <w:rFonts w:hint="eastAsia" w:ascii="宋体" w:hAnsi="宋体"/>
                <w:szCs w:val="21"/>
              </w:rPr>
              <w:t>一立案即扣2分。立案后1个工作日内整改则结束扣分；超过1个工作日整改，每1个工作日扣2分，扣分累计</w:t>
            </w:r>
          </w:p>
        </w:tc>
      </w:tr>
      <w:tr>
        <w:tblPrEx>
          <w:tblCellMar>
            <w:top w:w="15" w:type="dxa"/>
            <w:left w:w="15" w:type="dxa"/>
            <w:bottom w:w="0" w:type="dxa"/>
            <w:right w:w="15" w:type="dxa"/>
          </w:tblCellMar>
        </w:tblPrEx>
        <w:trPr>
          <w:wBefore w:w="0" w:type="dxa"/>
          <w:wAfter w:w="0" w:type="dxa"/>
          <w:trHeight w:val="940" w:hRule="atLeast"/>
          <w:jc w:val="center"/>
        </w:trPr>
        <w:tc>
          <w:tcPr>
            <w:tcW w:w="780" w:type="dxa"/>
            <w:vMerge w:val="continue"/>
            <w:tcBorders>
              <w:left w:val="single" w:color="auto" w:sz="4" w:space="0"/>
              <w:right w:val="single" w:color="auto" w:sz="4" w:space="0"/>
            </w:tcBorders>
            <w:noWrap w:val="0"/>
            <w:vAlign w:val="center"/>
          </w:tcPr>
          <w:p>
            <w:pPr>
              <w:rPr>
                <w:rFonts w:ascii="宋体" w:hAnsi="宋体"/>
                <w:szCs w:val="21"/>
              </w:rPr>
            </w:pPr>
          </w:p>
        </w:tc>
        <w:tc>
          <w:tcPr>
            <w:tcW w:w="1620" w:type="dxa"/>
            <w:vMerge w:val="continue"/>
            <w:tcBorders>
              <w:left w:val="single" w:color="auto" w:sz="4" w:space="0"/>
              <w:right w:val="single" w:color="auto" w:sz="4" w:space="0"/>
            </w:tcBorders>
            <w:noWrap w:val="0"/>
            <w:vAlign w:val="center"/>
          </w:tcPr>
          <w:p>
            <w:pPr>
              <w:jc w:val="center"/>
              <w:rPr>
                <w:rFonts w:ascii="宋体" w:hAnsi="宋体"/>
                <w:szCs w:val="21"/>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05</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未能协同工作</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01</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szCs w:val="21"/>
              </w:rPr>
            </w:pPr>
            <w:r>
              <w:rPr>
                <w:rFonts w:hint="eastAsia" w:ascii="宋体" w:hAnsi="宋体"/>
                <w:szCs w:val="21"/>
              </w:rPr>
              <w:t>未配合渔政、农业等相关部门开展整治活动</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静态</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1工作日</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2分</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szCs w:val="21"/>
              </w:rPr>
            </w:pPr>
            <w:r>
              <w:rPr>
                <w:rFonts w:hint="eastAsia" w:ascii="宋体" w:hAnsi="宋体"/>
                <w:szCs w:val="21"/>
              </w:rPr>
              <w:t>一立案即扣2分。立案后1个工作日内整改则结束扣分；超过1个工作日整改，每1个工作日扣2分，扣分累计</w:t>
            </w:r>
          </w:p>
        </w:tc>
      </w:tr>
      <w:tr>
        <w:tblPrEx>
          <w:tblCellMar>
            <w:top w:w="15" w:type="dxa"/>
            <w:left w:w="15" w:type="dxa"/>
            <w:bottom w:w="0" w:type="dxa"/>
            <w:right w:w="15" w:type="dxa"/>
          </w:tblCellMar>
        </w:tblPrEx>
        <w:trPr>
          <w:wBefore w:w="0" w:type="dxa"/>
          <w:wAfter w:w="0" w:type="dxa"/>
          <w:trHeight w:val="686" w:hRule="atLeast"/>
          <w:jc w:val="center"/>
        </w:trPr>
        <w:tc>
          <w:tcPr>
            <w:tcW w:w="780" w:type="dxa"/>
            <w:vMerge w:val="continue"/>
            <w:tcBorders>
              <w:left w:val="single" w:color="auto" w:sz="4" w:space="0"/>
              <w:bottom w:val="single" w:color="auto" w:sz="4" w:space="0"/>
              <w:right w:val="single" w:color="auto" w:sz="4" w:space="0"/>
            </w:tcBorders>
            <w:noWrap w:val="0"/>
            <w:vAlign w:val="center"/>
          </w:tcPr>
          <w:p>
            <w:pPr>
              <w:rPr>
                <w:rFonts w:ascii="宋体" w:hAnsi="宋体"/>
                <w:szCs w:val="21"/>
              </w:rPr>
            </w:pPr>
          </w:p>
        </w:tc>
        <w:tc>
          <w:tcPr>
            <w:tcW w:w="1620" w:type="dxa"/>
            <w:vMerge w:val="continue"/>
            <w:tcBorders>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06</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szCs w:val="21"/>
              </w:rPr>
            </w:pPr>
            <w:r>
              <w:rPr>
                <w:rFonts w:hint="eastAsia" w:ascii="宋体" w:hAnsi="宋体"/>
                <w:szCs w:val="21"/>
              </w:rPr>
              <w:t>未打捞或保洁质量不佳</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szCs w:val="21"/>
              </w:rPr>
            </w:pPr>
            <w:r>
              <w:rPr>
                <w:rFonts w:hint="eastAsia" w:ascii="宋体" w:hAnsi="宋体"/>
                <w:szCs w:val="21"/>
              </w:rPr>
              <w:t>01</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szCs w:val="21"/>
              </w:rPr>
            </w:pPr>
            <w:r>
              <w:rPr>
                <w:rFonts w:hint="eastAsia" w:ascii="宋体" w:hAnsi="宋体"/>
                <w:szCs w:val="21"/>
              </w:rPr>
              <w:t>未按规定实行全面打捞或打捞、保洁质量不佳</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szCs w:val="21"/>
              </w:rPr>
            </w:pPr>
            <w:r>
              <w:rPr>
                <w:rFonts w:hint="eastAsia" w:ascii="宋体" w:hAnsi="宋体"/>
                <w:szCs w:val="21"/>
              </w:rPr>
              <w:t>静态</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szCs w:val="21"/>
              </w:rPr>
            </w:pPr>
            <w:r>
              <w:rPr>
                <w:rFonts w:hint="eastAsia" w:ascii="宋体" w:hAnsi="宋体"/>
                <w:szCs w:val="21"/>
              </w:rPr>
              <w:t>2小时</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szCs w:val="21"/>
              </w:rPr>
            </w:pPr>
            <w:r>
              <w:rPr>
                <w:rFonts w:hint="eastAsia" w:ascii="宋体" w:hAnsi="宋体"/>
                <w:szCs w:val="21"/>
              </w:rPr>
              <w:t>2分</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szCs w:val="21"/>
              </w:rPr>
            </w:pPr>
            <w:r>
              <w:rPr>
                <w:rFonts w:hint="eastAsia" w:ascii="宋体" w:hAnsi="宋体"/>
                <w:szCs w:val="21"/>
              </w:rPr>
              <w:t>一立案即扣2分。立案后2小时内整改则结束扣分；超过2小时整改，每2小时扣2分，扣分累计</w:t>
            </w:r>
          </w:p>
        </w:tc>
      </w:tr>
      <w:tr>
        <w:tblPrEx>
          <w:tblCellMar>
            <w:top w:w="15" w:type="dxa"/>
            <w:left w:w="15" w:type="dxa"/>
            <w:bottom w:w="0" w:type="dxa"/>
            <w:right w:w="15" w:type="dxa"/>
          </w:tblCellMar>
        </w:tblPrEx>
        <w:trPr>
          <w:wBefore w:w="0" w:type="dxa"/>
          <w:wAfter w:w="0" w:type="dxa"/>
          <w:trHeight w:val="967" w:hRule="atLeast"/>
          <w:jc w:val="center"/>
        </w:trPr>
        <w:tc>
          <w:tcPr>
            <w:tcW w:w="780" w:type="dxa"/>
            <w:vMerge w:val="restart"/>
            <w:tcBorders>
              <w:top w:val="single" w:color="auto" w:sz="4" w:space="0"/>
              <w:left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0</w:t>
            </w:r>
            <w:r>
              <w:rPr>
                <w:rFonts w:ascii="宋体" w:hAnsi="宋体"/>
                <w:szCs w:val="21"/>
              </w:rPr>
              <w:t>7</w:t>
            </w:r>
          </w:p>
        </w:tc>
        <w:tc>
          <w:tcPr>
            <w:tcW w:w="1620" w:type="dxa"/>
            <w:vMerge w:val="restart"/>
            <w:tcBorders>
              <w:top w:val="single" w:color="auto" w:sz="4" w:space="0"/>
              <w:left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公厕保洁</w:t>
            </w:r>
          </w:p>
        </w:tc>
        <w:tc>
          <w:tcPr>
            <w:tcW w:w="540" w:type="dxa"/>
            <w:vMerge w:val="restart"/>
            <w:tcBorders>
              <w:top w:val="single" w:color="auto" w:sz="4" w:space="0"/>
              <w:left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0</w:t>
            </w:r>
            <w:r>
              <w:rPr>
                <w:rFonts w:ascii="宋体" w:hAnsi="宋体"/>
                <w:szCs w:val="21"/>
              </w:rPr>
              <w:t>1</w:t>
            </w:r>
          </w:p>
        </w:tc>
        <w:tc>
          <w:tcPr>
            <w:tcW w:w="1440" w:type="dxa"/>
            <w:vMerge w:val="restart"/>
            <w:tcBorders>
              <w:top w:val="single" w:color="auto" w:sz="4" w:space="0"/>
              <w:left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未按规定开放</w:t>
            </w: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0</w:t>
            </w:r>
            <w:r>
              <w:rPr>
                <w:rFonts w:ascii="宋体" w:hAnsi="宋体"/>
                <w:szCs w:val="21"/>
              </w:rPr>
              <w:t>1</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公厕未在规定时间内开放</w:t>
            </w: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静态</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30</w:t>
            </w:r>
            <w:r>
              <w:rPr>
                <w:rFonts w:hint="eastAsia" w:ascii="宋体" w:hAnsi="宋体"/>
                <w:szCs w:val="21"/>
              </w:rPr>
              <w:t>分钟</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4分</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一立案即扣4分。立案后3</w:t>
            </w:r>
            <w:r>
              <w:rPr>
                <w:rFonts w:ascii="宋体" w:hAnsi="宋体"/>
                <w:szCs w:val="21"/>
              </w:rPr>
              <w:t>0</w:t>
            </w:r>
            <w:r>
              <w:rPr>
                <w:rFonts w:hint="eastAsia" w:ascii="宋体" w:hAnsi="宋体"/>
                <w:szCs w:val="21"/>
              </w:rPr>
              <w:t>分钟内整改则结束扣分，超过30分钟整改，每3</w:t>
            </w:r>
            <w:r>
              <w:rPr>
                <w:rFonts w:ascii="宋体" w:hAnsi="宋体"/>
                <w:szCs w:val="21"/>
              </w:rPr>
              <w:t>0分钟扣</w:t>
            </w:r>
            <w:r>
              <w:rPr>
                <w:rFonts w:hint="eastAsia" w:ascii="宋体" w:hAnsi="宋体"/>
                <w:szCs w:val="21"/>
              </w:rPr>
              <w:t>4分，扣分累计。</w:t>
            </w:r>
          </w:p>
        </w:tc>
      </w:tr>
      <w:tr>
        <w:tblPrEx>
          <w:tblCellMar>
            <w:top w:w="15" w:type="dxa"/>
            <w:left w:w="15" w:type="dxa"/>
            <w:bottom w:w="0" w:type="dxa"/>
            <w:right w:w="15" w:type="dxa"/>
          </w:tblCellMar>
        </w:tblPrEx>
        <w:trPr>
          <w:wBefore w:w="0" w:type="dxa"/>
          <w:wAfter w:w="0" w:type="dxa"/>
          <w:trHeight w:val="882" w:hRule="atLeast"/>
          <w:jc w:val="center"/>
        </w:trPr>
        <w:tc>
          <w:tcPr>
            <w:tcW w:w="780" w:type="dxa"/>
            <w:vMerge w:val="continue"/>
            <w:tcBorders>
              <w:left w:val="single" w:color="auto" w:sz="4" w:space="0"/>
              <w:right w:val="single" w:color="auto" w:sz="4" w:space="0"/>
            </w:tcBorders>
            <w:noWrap w:val="0"/>
            <w:vAlign w:val="center"/>
          </w:tcPr>
          <w:p>
            <w:pPr>
              <w:jc w:val="center"/>
              <w:rPr>
                <w:rFonts w:ascii="宋体" w:hAnsi="宋体"/>
                <w:szCs w:val="21"/>
              </w:rPr>
            </w:pPr>
          </w:p>
        </w:tc>
        <w:tc>
          <w:tcPr>
            <w:tcW w:w="1620" w:type="dxa"/>
            <w:vMerge w:val="continue"/>
            <w:tcBorders>
              <w:left w:val="single" w:color="auto" w:sz="4" w:space="0"/>
              <w:right w:val="single" w:color="auto" w:sz="4" w:space="0"/>
            </w:tcBorders>
            <w:noWrap w:val="0"/>
            <w:vAlign w:val="center"/>
          </w:tcPr>
          <w:p>
            <w:pPr>
              <w:jc w:val="center"/>
              <w:rPr>
                <w:rFonts w:ascii="宋体" w:hAnsi="宋体"/>
                <w:szCs w:val="21"/>
              </w:rPr>
            </w:pPr>
          </w:p>
        </w:tc>
        <w:tc>
          <w:tcPr>
            <w:tcW w:w="540" w:type="dxa"/>
            <w:vMerge w:val="continue"/>
            <w:tcBorders>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440" w:type="dxa"/>
            <w:vMerge w:val="continue"/>
            <w:tcBorders>
              <w:left w:val="single" w:color="auto" w:sz="4" w:space="0"/>
              <w:bottom w:val="single" w:color="auto" w:sz="4" w:space="0"/>
              <w:right w:val="single" w:color="auto" w:sz="4" w:space="0"/>
            </w:tcBorders>
            <w:noWrap w:val="0"/>
            <w:vAlign w:val="center"/>
          </w:tcPr>
          <w:p>
            <w:pPr>
              <w:rPr>
                <w:rFonts w:ascii="宋体" w:hAnsi="宋体"/>
                <w:szCs w:val="21"/>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0</w:t>
            </w:r>
            <w:r>
              <w:rPr>
                <w:rFonts w:ascii="宋体" w:hAnsi="宋体"/>
                <w:szCs w:val="21"/>
              </w:rPr>
              <w:t>2</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公厕内无障碍专用间未开放使用</w:t>
            </w: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静态</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3</w:t>
            </w:r>
            <w:r>
              <w:rPr>
                <w:rFonts w:ascii="宋体" w:hAnsi="宋体"/>
                <w:szCs w:val="21"/>
              </w:rPr>
              <w:t>0分钟</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4分</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一立案即扣4分。立案后3</w:t>
            </w:r>
            <w:r>
              <w:rPr>
                <w:rFonts w:ascii="宋体" w:hAnsi="宋体"/>
                <w:szCs w:val="21"/>
              </w:rPr>
              <w:t>0</w:t>
            </w:r>
            <w:r>
              <w:rPr>
                <w:rFonts w:hint="eastAsia" w:ascii="宋体" w:hAnsi="宋体"/>
                <w:szCs w:val="21"/>
              </w:rPr>
              <w:t>分钟内整改则结束扣分，超过30分钟整改，每3</w:t>
            </w:r>
            <w:r>
              <w:rPr>
                <w:rFonts w:ascii="宋体" w:hAnsi="宋体"/>
                <w:szCs w:val="21"/>
              </w:rPr>
              <w:t>0分钟扣</w:t>
            </w:r>
            <w:r>
              <w:rPr>
                <w:rFonts w:hint="eastAsia" w:ascii="宋体" w:hAnsi="宋体"/>
                <w:szCs w:val="21"/>
              </w:rPr>
              <w:t>4分，扣分累计。</w:t>
            </w:r>
          </w:p>
        </w:tc>
      </w:tr>
      <w:tr>
        <w:tblPrEx>
          <w:tblCellMar>
            <w:top w:w="15" w:type="dxa"/>
            <w:left w:w="15" w:type="dxa"/>
            <w:bottom w:w="0" w:type="dxa"/>
            <w:right w:w="15" w:type="dxa"/>
          </w:tblCellMar>
        </w:tblPrEx>
        <w:trPr>
          <w:wBefore w:w="0" w:type="dxa"/>
          <w:wAfter w:w="0" w:type="dxa"/>
          <w:trHeight w:val="882" w:hRule="atLeast"/>
          <w:jc w:val="center"/>
        </w:trPr>
        <w:tc>
          <w:tcPr>
            <w:tcW w:w="780" w:type="dxa"/>
            <w:vMerge w:val="continue"/>
            <w:tcBorders>
              <w:left w:val="single" w:color="auto" w:sz="4" w:space="0"/>
              <w:right w:val="single" w:color="auto" w:sz="4" w:space="0"/>
            </w:tcBorders>
            <w:noWrap w:val="0"/>
            <w:vAlign w:val="center"/>
          </w:tcPr>
          <w:p>
            <w:pPr>
              <w:rPr>
                <w:rFonts w:ascii="宋体" w:hAnsi="宋体"/>
                <w:szCs w:val="21"/>
              </w:rPr>
            </w:pPr>
          </w:p>
        </w:tc>
        <w:tc>
          <w:tcPr>
            <w:tcW w:w="1620" w:type="dxa"/>
            <w:vMerge w:val="continue"/>
            <w:tcBorders>
              <w:left w:val="single" w:color="auto" w:sz="4" w:space="0"/>
              <w:right w:val="single" w:color="auto" w:sz="4" w:space="0"/>
            </w:tcBorders>
            <w:noWrap w:val="0"/>
            <w:vAlign w:val="center"/>
          </w:tcPr>
          <w:p>
            <w:pPr>
              <w:rPr>
                <w:rFonts w:ascii="宋体" w:hAnsi="宋体"/>
                <w:szCs w:val="21"/>
              </w:rPr>
            </w:pPr>
          </w:p>
        </w:tc>
        <w:tc>
          <w:tcPr>
            <w:tcW w:w="540" w:type="dxa"/>
            <w:vMerge w:val="restart"/>
            <w:tcBorders>
              <w:top w:val="single" w:color="auto" w:sz="4" w:space="0"/>
              <w:left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0</w:t>
            </w:r>
            <w:r>
              <w:rPr>
                <w:rFonts w:ascii="宋体" w:hAnsi="宋体"/>
                <w:szCs w:val="21"/>
              </w:rPr>
              <w:t>2</w:t>
            </w:r>
          </w:p>
        </w:tc>
        <w:tc>
          <w:tcPr>
            <w:tcW w:w="1440" w:type="dxa"/>
            <w:vMerge w:val="restart"/>
            <w:tcBorders>
              <w:top w:val="single" w:color="auto" w:sz="4" w:space="0"/>
              <w:left w:val="single" w:color="auto" w:sz="4" w:space="0"/>
              <w:right w:val="single" w:color="auto" w:sz="4" w:space="0"/>
            </w:tcBorders>
            <w:noWrap w:val="0"/>
            <w:vAlign w:val="center"/>
          </w:tcPr>
          <w:p>
            <w:pPr>
              <w:rPr>
                <w:rFonts w:ascii="宋体" w:hAnsi="宋体"/>
                <w:szCs w:val="21"/>
              </w:rPr>
            </w:pPr>
            <w:r>
              <w:rPr>
                <w:rFonts w:hint="eastAsia" w:ascii="宋体" w:hAnsi="宋体"/>
                <w:szCs w:val="21"/>
              </w:rPr>
              <w:t>设施破损、缺失</w:t>
            </w: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0</w:t>
            </w:r>
            <w:r>
              <w:rPr>
                <w:rFonts w:ascii="宋体" w:hAnsi="宋体"/>
                <w:szCs w:val="21"/>
              </w:rPr>
              <w:t>1</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公厕外指示牌、显示屏等设施破损、缺失、缺亮等异常情况，未上报的</w:t>
            </w:r>
          </w:p>
        </w:tc>
        <w:tc>
          <w:tcPr>
            <w:tcW w:w="54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ascii="宋体" w:hAnsi="宋体"/>
                <w:szCs w:val="21"/>
              </w:rPr>
              <w:t>静态</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3</w:t>
            </w:r>
            <w:r>
              <w:rPr>
                <w:rFonts w:ascii="宋体" w:hAnsi="宋体"/>
                <w:szCs w:val="21"/>
              </w:rPr>
              <w:t>0分钟</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0.</w:t>
            </w:r>
            <w:r>
              <w:rPr>
                <w:rFonts w:ascii="宋体" w:hAnsi="宋体"/>
                <w:szCs w:val="21"/>
              </w:rPr>
              <w:t>2分</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一立案即扣</w:t>
            </w:r>
            <w:r>
              <w:rPr>
                <w:rFonts w:ascii="宋体" w:hAnsi="宋体"/>
                <w:szCs w:val="21"/>
              </w:rPr>
              <w:t>0.2分，</w:t>
            </w:r>
            <w:r>
              <w:rPr>
                <w:rFonts w:hint="eastAsia" w:ascii="宋体" w:hAnsi="宋体"/>
                <w:szCs w:val="21"/>
              </w:rPr>
              <w:t>立案后3</w:t>
            </w:r>
            <w:r>
              <w:rPr>
                <w:rFonts w:ascii="宋体" w:hAnsi="宋体"/>
                <w:szCs w:val="21"/>
              </w:rPr>
              <w:t>0</w:t>
            </w:r>
            <w:r>
              <w:rPr>
                <w:rFonts w:hint="eastAsia" w:ascii="宋体" w:hAnsi="宋体"/>
                <w:szCs w:val="21"/>
              </w:rPr>
              <w:t>分钟内整改则结束扣分，超过30分钟整改，每3</w:t>
            </w:r>
            <w:r>
              <w:rPr>
                <w:rFonts w:ascii="宋体" w:hAnsi="宋体"/>
                <w:szCs w:val="21"/>
              </w:rPr>
              <w:t>0分钟</w:t>
            </w:r>
            <w:r>
              <w:rPr>
                <w:rFonts w:hint="eastAsia" w:ascii="宋体" w:hAnsi="宋体"/>
                <w:szCs w:val="21"/>
              </w:rPr>
              <w:t>扣0.</w:t>
            </w:r>
            <w:r>
              <w:rPr>
                <w:rFonts w:ascii="宋体" w:hAnsi="宋体"/>
                <w:szCs w:val="21"/>
              </w:rPr>
              <w:t>2分，扣分累计。</w:t>
            </w:r>
          </w:p>
        </w:tc>
      </w:tr>
      <w:tr>
        <w:tblPrEx>
          <w:tblCellMar>
            <w:top w:w="15" w:type="dxa"/>
            <w:left w:w="15" w:type="dxa"/>
            <w:bottom w:w="0" w:type="dxa"/>
            <w:right w:w="15" w:type="dxa"/>
          </w:tblCellMar>
        </w:tblPrEx>
        <w:trPr>
          <w:wBefore w:w="0" w:type="dxa"/>
          <w:wAfter w:w="0" w:type="dxa"/>
          <w:trHeight w:val="882" w:hRule="atLeast"/>
          <w:jc w:val="center"/>
        </w:trPr>
        <w:tc>
          <w:tcPr>
            <w:tcW w:w="780" w:type="dxa"/>
            <w:vMerge w:val="continue"/>
            <w:tcBorders>
              <w:left w:val="single" w:color="auto" w:sz="4" w:space="0"/>
              <w:right w:val="single" w:color="auto" w:sz="4" w:space="0"/>
            </w:tcBorders>
            <w:noWrap w:val="0"/>
            <w:vAlign w:val="center"/>
          </w:tcPr>
          <w:p>
            <w:pPr>
              <w:rPr>
                <w:rFonts w:ascii="宋体" w:hAnsi="宋体"/>
                <w:szCs w:val="21"/>
              </w:rPr>
            </w:pPr>
          </w:p>
        </w:tc>
        <w:tc>
          <w:tcPr>
            <w:tcW w:w="1620" w:type="dxa"/>
            <w:vMerge w:val="continue"/>
            <w:tcBorders>
              <w:left w:val="single" w:color="auto" w:sz="4" w:space="0"/>
              <w:right w:val="single" w:color="auto" w:sz="4" w:space="0"/>
            </w:tcBorders>
            <w:noWrap w:val="0"/>
            <w:vAlign w:val="center"/>
          </w:tcPr>
          <w:p>
            <w:pPr>
              <w:rPr>
                <w:rFonts w:ascii="宋体" w:hAnsi="宋体"/>
                <w:szCs w:val="21"/>
              </w:rPr>
            </w:pPr>
          </w:p>
        </w:tc>
        <w:tc>
          <w:tcPr>
            <w:tcW w:w="540" w:type="dxa"/>
            <w:vMerge w:val="continue"/>
            <w:tcBorders>
              <w:left w:val="single" w:color="auto" w:sz="4" w:space="0"/>
              <w:right w:val="single" w:color="auto" w:sz="4" w:space="0"/>
            </w:tcBorders>
            <w:noWrap w:val="0"/>
            <w:vAlign w:val="center"/>
          </w:tcPr>
          <w:p>
            <w:pPr>
              <w:jc w:val="center"/>
              <w:rPr>
                <w:rFonts w:hint="eastAsia" w:ascii="宋体" w:hAnsi="宋体"/>
                <w:szCs w:val="21"/>
              </w:rPr>
            </w:pPr>
          </w:p>
        </w:tc>
        <w:tc>
          <w:tcPr>
            <w:tcW w:w="1440" w:type="dxa"/>
            <w:vMerge w:val="continue"/>
            <w:tcBorders>
              <w:left w:val="single" w:color="auto" w:sz="4" w:space="0"/>
              <w:right w:val="single" w:color="auto" w:sz="4" w:space="0"/>
            </w:tcBorders>
            <w:noWrap w:val="0"/>
            <w:vAlign w:val="center"/>
          </w:tcPr>
          <w:p>
            <w:pPr>
              <w:spacing w:line="280" w:lineRule="exact"/>
              <w:jc w:val="center"/>
              <w:rPr>
                <w:rFonts w:hint="eastAsia" w:ascii="宋体" w:hAnsi="宋体"/>
                <w:szCs w:val="21"/>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0</w:t>
            </w:r>
            <w:r>
              <w:rPr>
                <w:rFonts w:ascii="宋体" w:hAnsi="宋体"/>
                <w:szCs w:val="21"/>
              </w:rPr>
              <w:t>2</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公厕内男女厕标识牌、管理间标识牌、保洁制度牌等标识设施存在设置不规范、缺失、破损等情况的</w:t>
            </w:r>
          </w:p>
        </w:tc>
        <w:tc>
          <w:tcPr>
            <w:tcW w:w="54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静态</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2</w:t>
            </w:r>
            <w:r>
              <w:rPr>
                <w:rFonts w:hint="eastAsia" w:ascii="宋体" w:hAnsi="宋体"/>
                <w:szCs w:val="21"/>
              </w:rPr>
              <w:t>个工作日</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2分</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一立案即扣</w:t>
            </w:r>
            <w:r>
              <w:rPr>
                <w:rFonts w:ascii="宋体" w:hAnsi="宋体"/>
                <w:szCs w:val="21"/>
              </w:rPr>
              <w:t>2分，</w:t>
            </w:r>
            <w:r>
              <w:rPr>
                <w:rFonts w:hint="eastAsia" w:ascii="宋体" w:hAnsi="宋体"/>
                <w:szCs w:val="21"/>
              </w:rPr>
              <w:t>立案后</w:t>
            </w:r>
            <w:r>
              <w:rPr>
                <w:rFonts w:ascii="宋体" w:hAnsi="宋体"/>
                <w:szCs w:val="21"/>
              </w:rPr>
              <w:t>2</w:t>
            </w:r>
            <w:r>
              <w:rPr>
                <w:rFonts w:hint="eastAsia" w:ascii="宋体" w:hAnsi="宋体"/>
                <w:szCs w:val="21"/>
              </w:rPr>
              <w:t>个工作日内整改则结束扣分，超过2个工作日整改，每</w:t>
            </w:r>
            <w:r>
              <w:rPr>
                <w:rFonts w:ascii="宋体" w:hAnsi="宋体"/>
                <w:szCs w:val="21"/>
              </w:rPr>
              <w:t>2</w:t>
            </w:r>
            <w:r>
              <w:rPr>
                <w:rFonts w:hint="eastAsia" w:ascii="宋体" w:hAnsi="宋体"/>
                <w:szCs w:val="21"/>
              </w:rPr>
              <w:t>个工作日扣</w:t>
            </w:r>
            <w:r>
              <w:rPr>
                <w:rFonts w:ascii="宋体" w:hAnsi="宋体"/>
                <w:szCs w:val="21"/>
              </w:rPr>
              <w:t>2分，扣分累计。</w:t>
            </w:r>
          </w:p>
        </w:tc>
      </w:tr>
      <w:tr>
        <w:tblPrEx>
          <w:tblCellMar>
            <w:top w:w="15" w:type="dxa"/>
            <w:left w:w="15" w:type="dxa"/>
            <w:bottom w:w="0" w:type="dxa"/>
            <w:right w:w="15" w:type="dxa"/>
          </w:tblCellMar>
        </w:tblPrEx>
        <w:trPr>
          <w:wBefore w:w="0" w:type="dxa"/>
          <w:wAfter w:w="0" w:type="dxa"/>
          <w:trHeight w:val="882" w:hRule="atLeast"/>
          <w:jc w:val="center"/>
        </w:trPr>
        <w:tc>
          <w:tcPr>
            <w:tcW w:w="780" w:type="dxa"/>
            <w:vMerge w:val="continue"/>
            <w:tcBorders>
              <w:left w:val="single" w:color="auto" w:sz="4" w:space="0"/>
              <w:right w:val="single" w:color="auto" w:sz="4" w:space="0"/>
            </w:tcBorders>
            <w:noWrap w:val="0"/>
            <w:vAlign w:val="center"/>
          </w:tcPr>
          <w:p>
            <w:pPr>
              <w:rPr>
                <w:rFonts w:ascii="宋体" w:hAnsi="宋体"/>
                <w:szCs w:val="21"/>
              </w:rPr>
            </w:pPr>
          </w:p>
        </w:tc>
        <w:tc>
          <w:tcPr>
            <w:tcW w:w="1620" w:type="dxa"/>
            <w:vMerge w:val="continue"/>
            <w:tcBorders>
              <w:left w:val="single" w:color="auto" w:sz="4" w:space="0"/>
              <w:right w:val="single" w:color="auto" w:sz="4" w:space="0"/>
            </w:tcBorders>
            <w:noWrap w:val="0"/>
            <w:vAlign w:val="center"/>
          </w:tcPr>
          <w:p>
            <w:pPr>
              <w:rPr>
                <w:rFonts w:ascii="宋体" w:hAnsi="宋体"/>
                <w:szCs w:val="21"/>
              </w:rPr>
            </w:pPr>
          </w:p>
        </w:tc>
        <w:tc>
          <w:tcPr>
            <w:tcW w:w="540"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1440" w:type="dxa"/>
            <w:vMerge w:val="continue"/>
            <w:tcBorders>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szCs w:val="21"/>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0</w:t>
            </w:r>
            <w:r>
              <w:rPr>
                <w:rFonts w:ascii="宋体" w:hAnsi="宋体"/>
                <w:szCs w:val="21"/>
              </w:rPr>
              <w:t>3</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公厕内洗手台、龙头、隔断板、大小便器具等设施破损、缺失</w:t>
            </w:r>
          </w:p>
        </w:tc>
        <w:tc>
          <w:tcPr>
            <w:tcW w:w="54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静态</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2个工作日</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0.</w:t>
            </w:r>
            <w:r>
              <w:rPr>
                <w:rFonts w:ascii="宋体" w:hAnsi="宋体"/>
                <w:szCs w:val="21"/>
              </w:rPr>
              <w:t>4</w:t>
            </w:r>
            <w:r>
              <w:rPr>
                <w:rFonts w:hint="eastAsia" w:ascii="宋体" w:hAnsi="宋体"/>
                <w:szCs w:val="21"/>
              </w:rPr>
              <w:t>分</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一立案即扣</w:t>
            </w:r>
            <w:r>
              <w:rPr>
                <w:rFonts w:ascii="宋体" w:hAnsi="宋体"/>
                <w:szCs w:val="21"/>
              </w:rPr>
              <w:t>0.4分，</w:t>
            </w:r>
            <w:r>
              <w:rPr>
                <w:rFonts w:hint="eastAsia" w:ascii="宋体" w:hAnsi="宋体"/>
                <w:szCs w:val="21"/>
              </w:rPr>
              <w:t>立案后</w:t>
            </w:r>
            <w:r>
              <w:rPr>
                <w:rFonts w:ascii="宋体" w:hAnsi="宋体"/>
                <w:szCs w:val="21"/>
              </w:rPr>
              <w:t>2</w:t>
            </w:r>
            <w:r>
              <w:rPr>
                <w:rFonts w:hint="eastAsia" w:ascii="宋体" w:hAnsi="宋体"/>
                <w:szCs w:val="21"/>
              </w:rPr>
              <w:t>个工作日内整改则结束扣分，超过2个工作日整改，每</w:t>
            </w:r>
            <w:r>
              <w:rPr>
                <w:rFonts w:ascii="宋体" w:hAnsi="宋体"/>
                <w:szCs w:val="21"/>
              </w:rPr>
              <w:t>2</w:t>
            </w:r>
            <w:r>
              <w:rPr>
                <w:rFonts w:hint="eastAsia" w:ascii="宋体" w:hAnsi="宋体"/>
                <w:szCs w:val="21"/>
              </w:rPr>
              <w:t>个工作日扣</w:t>
            </w:r>
            <w:r>
              <w:rPr>
                <w:rFonts w:ascii="宋体" w:hAnsi="宋体"/>
                <w:szCs w:val="21"/>
              </w:rPr>
              <w:t>0.4分，扣分累计。</w:t>
            </w:r>
          </w:p>
        </w:tc>
      </w:tr>
      <w:tr>
        <w:tblPrEx>
          <w:tblCellMar>
            <w:top w:w="15" w:type="dxa"/>
            <w:left w:w="15" w:type="dxa"/>
            <w:bottom w:w="0" w:type="dxa"/>
            <w:right w:w="15" w:type="dxa"/>
          </w:tblCellMar>
        </w:tblPrEx>
        <w:trPr>
          <w:wBefore w:w="0" w:type="dxa"/>
          <w:wAfter w:w="0" w:type="dxa"/>
          <w:trHeight w:val="882" w:hRule="atLeast"/>
          <w:jc w:val="center"/>
        </w:trPr>
        <w:tc>
          <w:tcPr>
            <w:tcW w:w="780" w:type="dxa"/>
            <w:vMerge w:val="continue"/>
            <w:tcBorders>
              <w:left w:val="single" w:color="auto" w:sz="4" w:space="0"/>
              <w:right w:val="single" w:color="auto" w:sz="4" w:space="0"/>
            </w:tcBorders>
            <w:noWrap w:val="0"/>
            <w:vAlign w:val="center"/>
          </w:tcPr>
          <w:p>
            <w:pPr>
              <w:rPr>
                <w:rFonts w:ascii="宋体" w:hAnsi="宋体"/>
                <w:szCs w:val="21"/>
              </w:rPr>
            </w:pPr>
          </w:p>
        </w:tc>
        <w:tc>
          <w:tcPr>
            <w:tcW w:w="1620" w:type="dxa"/>
            <w:vMerge w:val="continue"/>
            <w:tcBorders>
              <w:left w:val="single" w:color="auto" w:sz="4" w:space="0"/>
              <w:right w:val="single" w:color="auto" w:sz="4" w:space="0"/>
            </w:tcBorders>
            <w:noWrap w:val="0"/>
            <w:vAlign w:val="center"/>
          </w:tcPr>
          <w:p>
            <w:pPr>
              <w:rPr>
                <w:rFonts w:ascii="宋体" w:hAnsi="宋体"/>
                <w:szCs w:val="21"/>
              </w:rPr>
            </w:pPr>
          </w:p>
        </w:tc>
        <w:tc>
          <w:tcPr>
            <w:tcW w:w="540" w:type="dxa"/>
            <w:vMerge w:val="restart"/>
            <w:tcBorders>
              <w:top w:val="single" w:color="auto" w:sz="4" w:space="0"/>
              <w:left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0</w:t>
            </w:r>
            <w:r>
              <w:rPr>
                <w:rFonts w:ascii="宋体" w:hAnsi="宋体"/>
                <w:szCs w:val="21"/>
              </w:rPr>
              <w:t>3</w:t>
            </w:r>
          </w:p>
        </w:tc>
        <w:tc>
          <w:tcPr>
            <w:tcW w:w="1440" w:type="dxa"/>
            <w:vMerge w:val="restart"/>
            <w:tcBorders>
              <w:top w:val="single" w:color="auto" w:sz="4" w:space="0"/>
              <w:left w:val="single" w:color="auto" w:sz="4" w:space="0"/>
              <w:right w:val="single" w:color="auto" w:sz="4" w:space="0"/>
            </w:tcBorders>
            <w:noWrap w:val="0"/>
            <w:vAlign w:val="center"/>
          </w:tcPr>
          <w:p>
            <w:pPr>
              <w:rPr>
                <w:rFonts w:ascii="宋体" w:hAnsi="宋体"/>
                <w:szCs w:val="21"/>
              </w:rPr>
            </w:pPr>
            <w:r>
              <w:rPr>
                <w:rFonts w:hint="eastAsia" w:ascii="宋体" w:hAnsi="宋体"/>
                <w:szCs w:val="21"/>
              </w:rPr>
              <w:t>公厕内卫生问题</w:t>
            </w: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01</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公厕内四壁、天花板、地面、门窗、隔板等处有积灰、湿滑积水、污迹、蛛网等情况</w:t>
            </w:r>
          </w:p>
        </w:tc>
        <w:tc>
          <w:tcPr>
            <w:tcW w:w="54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静态</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1小时</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0.2分</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一立案即扣</w:t>
            </w:r>
            <w:r>
              <w:rPr>
                <w:rFonts w:ascii="宋体" w:hAnsi="宋体"/>
                <w:szCs w:val="21"/>
              </w:rPr>
              <w:t>0.2分，</w:t>
            </w:r>
            <w:r>
              <w:rPr>
                <w:rFonts w:hint="eastAsia" w:ascii="宋体" w:hAnsi="宋体"/>
                <w:szCs w:val="21"/>
              </w:rPr>
              <w:t>立案后1小时内整改则结束扣分，超过1小时整改，每1小时扣0.</w:t>
            </w:r>
            <w:r>
              <w:rPr>
                <w:rFonts w:ascii="宋体" w:hAnsi="宋体"/>
                <w:szCs w:val="21"/>
              </w:rPr>
              <w:t>2分，扣分累计。</w:t>
            </w:r>
          </w:p>
        </w:tc>
      </w:tr>
      <w:tr>
        <w:tblPrEx>
          <w:tblCellMar>
            <w:top w:w="15" w:type="dxa"/>
            <w:left w:w="15" w:type="dxa"/>
            <w:bottom w:w="0" w:type="dxa"/>
            <w:right w:w="15" w:type="dxa"/>
          </w:tblCellMar>
        </w:tblPrEx>
        <w:trPr>
          <w:wBefore w:w="0" w:type="dxa"/>
          <w:wAfter w:w="0" w:type="dxa"/>
          <w:trHeight w:val="882" w:hRule="atLeast"/>
          <w:jc w:val="center"/>
        </w:trPr>
        <w:tc>
          <w:tcPr>
            <w:tcW w:w="780" w:type="dxa"/>
            <w:vMerge w:val="continue"/>
            <w:tcBorders>
              <w:left w:val="single" w:color="auto" w:sz="4" w:space="0"/>
              <w:right w:val="single" w:color="auto" w:sz="4" w:space="0"/>
            </w:tcBorders>
            <w:noWrap w:val="0"/>
            <w:vAlign w:val="center"/>
          </w:tcPr>
          <w:p>
            <w:pPr>
              <w:rPr>
                <w:rFonts w:ascii="宋体" w:hAnsi="宋体"/>
                <w:szCs w:val="21"/>
              </w:rPr>
            </w:pPr>
          </w:p>
        </w:tc>
        <w:tc>
          <w:tcPr>
            <w:tcW w:w="1620" w:type="dxa"/>
            <w:vMerge w:val="continue"/>
            <w:tcBorders>
              <w:left w:val="single" w:color="auto" w:sz="4" w:space="0"/>
              <w:right w:val="single" w:color="auto" w:sz="4" w:space="0"/>
            </w:tcBorders>
            <w:noWrap w:val="0"/>
            <w:vAlign w:val="center"/>
          </w:tcPr>
          <w:p>
            <w:pPr>
              <w:rPr>
                <w:rFonts w:ascii="宋体" w:hAnsi="宋体"/>
                <w:szCs w:val="21"/>
              </w:rPr>
            </w:pPr>
          </w:p>
        </w:tc>
        <w:tc>
          <w:tcPr>
            <w:tcW w:w="540" w:type="dxa"/>
            <w:vMerge w:val="continue"/>
            <w:tcBorders>
              <w:left w:val="single" w:color="auto" w:sz="4" w:space="0"/>
              <w:right w:val="single" w:color="auto" w:sz="4" w:space="0"/>
            </w:tcBorders>
            <w:noWrap w:val="0"/>
            <w:vAlign w:val="center"/>
          </w:tcPr>
          <w:p>
            <w:pPr>
              <w:jc w:val="center"/>
              <w:rPr>
                <w:rFonts w:hint="eastAsia" w:ascii="宋体" w:hAnsi="宋体"/>
                <w:szCs w:val="21"/>
              </w:rPr>
            </w:pPr>
          </w:p>
        </w:tc>
        <w:tc>
          <w:tcPr>
            <w:tcW w:w="1440" w:type="dxa"/>
            <w:vMerge w:val="continue"/>
            <w:tcBorders>
              <w:left w:val="single" w:color="auto" w:sz="4" w:space="0"/>
              <w:right w:val="single" w:color="auto" w:sz="4" w:space="0"/>
            </w:tcBorders>
            <w:noWrap w:val="0"/>
            <w:vAlign w:val="center"/>
          </w:tcPr>
          <w:p>
            <w:pPr>
              <w:spacing w:line="280" w:lineRule="exact"/>
              <w:jc w:val="center"/>
              <w:rPr>
                <w:rFonts w:hint="eastAsia" w:ascii="宋体" w:hAnsi="宋体"/>
                <w:szCs w:val="21"/>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02</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公厕内有零星废纸、烟头等杂物、垃圾</w:t>
            </w:r>
          </w:p>
        </w:tc>
        <w:tc>
          <w:tcPr>
            <w:tcW w:w="54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动态</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30分钟</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0.2分</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30分钟内整改不扣分，超过30分钟整改，每30分钟扣0.2分，扣分累计。</w:t>
            </w:r>
          </w:p>
        </w:tc>
      </w:tr>
      <w:tr>
        <w:tblPrEx>
          <w:tblCellMar>
            <w:top w:w="15" w:type="dxa"/>
            <w:left w:w="15" w:type="dxa"/>
            <w:bottom w:w="0" w:type="dxa"/>
            <w:right w:w="15" w:type="dxa"/>
          </w:tblCellMar>
        </w:tblPrEx>
        <w:trPr>
          <w:wBefore w:w="0" w:type="dxa"/>
          <w:wAfter w:w="0" w:type="dxa"/>
          <w:trHeight w:val="882" w:hRule="atLeast"/>
          <w:jc w:val="center"/>
        </w:trPr>
        <w:tc>
          <w:tcPr>
            <w:tcW w:w="780" w:type="dxa"/>
            <w:vMerge w:val="continue"/>
            <w:tcBorders>
              <w:left w:val="single" w:color="auto" w:sz="4" w:space="0"/>
              <w:right w:val="single" w:color="auto" w:sz="4" w:space="0"/>
            </w:tcBorders>
            <w:noWrap w:val="0"/>
            <w:vAlign w:val="center"/>
          </w:tcPr>
          <w:p>
            <w:pPr>
              <w:rPr>
                <w:rFonts w:ascii="宋体" w:hAnsi="宋体"/>
                <w:szCs w:val="21"/>
              </w:rPr>
            </w:pPr>
          </w:p>
        </w:tc>
        <w:tc>
          <w:tcPr>
            <w:tcW w:w="1620" w:type="dxa"/>
            <w:vMerge w:val="continue"/>
            <w:tcBorders>
              <w:left w:val="single" w:color="auto" w:sz="4" w:space="0"/>
              <w:right w:val="single" w:color="auto" w:sz="4" w:space="0"/>
            </w:tcBorders>
            <w:noWrap w:val="0"/>
            <w:vAlign w:val="center"/>
          </w:tcPr>
          <w:p>
            <w:pPr>
              <w:rPr>
                <w:rFonts w:ascii="宋体" w:hAnsi="宋体"/>
                <w:szCs w:val="21"/>
              </w:rPr>
            </w:pPr>
          </w:p>
        </w:tc>
        <w:tc>
          <w:tcPr>
            <w:tcW w:w="540" w:type="dxa"/>
            <w:vMerge w:val="continue"/>
            <w:tcBorders>
              <w:left w:val="single" w:color="auto" w:sz="4" w:space="0"/>
              <w:right w:val="single" w:color="auto" w:sz="4" w:space="0"/>
            </w:tcBorders>
            <w:noWrap w:val="0"/>
            <w:vAlign w:val="center"/>
          </w:tcPr>
          <w:p>
            <w:pPr>
              <w:jc w:val="center"/>
              <w:rPr>
                <w:rFonts w:hint="eastAsia" w:ascii="宋体" w:hAnsi="宋体"/>
                <w:szCs w:val="21"/>
              </w:rPr>
            </w:pPr>
          </w:p>
        </w:tc>
        <w:tc>
          <w:tcPr>
            <w:tcW w:w="1440" w:type="dxa"/>
            <w:vMerge w:val="continue"/>
            <w:tcBorders>
              <w:left w:val="single" w:color="auto" w:sz="4" w:space="0"/>
              <w:right w:val="single" w:color="auto" w:sz="4" w:space="0"/>
            </w:tcBorders>
            <w:noWrap w:val="0"/>
            <w:vAlign w:val="center"/>
          </w:tcPr>
          <w:p>
            <w:pPr>
              <w:spacing w:line="280" w:lineRule="exact"/>
              <w:jc w:val="center"/>
              <w:rPr>
                <w:rFonts w:hint="eastAsia" w:ascii="宋体" w:hAnsi="宋体"/>
                <w:szCs w:val="21"/>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03</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公厕内有蚊蝇、老鼠等现象</w:t>
            </w:r>
          </w:p>
        </w:tc>
        <w:tc>
          <w:tcPr>
            <w:tcW w:w="54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静态</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30分钟</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1分</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一立案即扣1</w:t>
            </w:r>
            <w:r>
              <w:rPr>
                <w:rFonts w:ascii="宋体" w:hAnsi="宋体"/>
                <w:szCs w:val="21"/>
              </w:rPr>
              <w:t>分，</w:t>
            </w:r>
            <w:r>
              <w:rPr>
                <w:rFonts w:hint="eastAsia" w:ascii="宋体" w:hAnsi="宋体"/>
                <w:szCs w:val="21"/>
              </w:rPr>
              <w:t>立案后30分钟内整改则结束扣分，超过30分钟整改，每30分钟扣1</w:t>
            </w:r>
            <w:r>
              <w:rPr>
                <w:rFonts w:ascii="宋体" w:hAnsi="宋体"/>
                <w:szCs w:val="21"/>
              </w:rPr>
              <w:t>分，扣分累计。</w:t>
            </w:r>
          </w:p>
        </w:tc>
      </w:tr>
      <w:tr>
        <w:tblPrEx>
          <w:tblCellMar>
            <w:top w:w="15" w:type="dxa"/>
            <w:left w:w="15" w:type="dxa"/>
            <w:bottom w:w="0" w:type="dxa"/>
            <w:right w:w="15" w:type="dxa"/>
          </w:tblCellMar>
        </w:tblPrEx>
        <w:trPr>
          <w:wBefore w:w="0" w:type="dxa"/>
          <w:wAfter w:w="0" w:type="dxa"/>
          <w:trHeight w:val="882" w:hRule="atLeast"/>
          <w:jc w:val="center"/>
        </w:trPr>
        <w:tc>
          <w:tcPr>
            <w:tcW w:w="780" w:type="dxa"/>
            <w:vMerge w:val="continue"/>
            <w:tcBorders>
              <w:left w:val="single" w:color="auto" w:sz="4" w:space="0"/>
              <w:right w:val="single" w:color="auto" w:sz="4" w:space="0"/>
            </w:tcBorders>
            <w:noWrap w:val="0"/>
            <w:vAlign w:val="center"/>
          </w:tcPr>
          <w:p>
            <w:pPr>
              <w:rPr>
                <w:rFonts w:ascii="宋体" w:hAnsi="宋体"/>
                <w:szCs w:val="21"/>
              </w:rPr>
            </w:pPr>
          </w:p>
        </w:tc>
        <w:tc>
          <w:tcPr>
            <w:tcW w:w="1620" w:type="dxa"/>
            <w:vMerge w:val="continue"/>
            <w:tcBorders>
              <w:left w:val="single" w:color="auto" w:sz="4" w:space="0"/>
              <w:right w:val="single" w:color="auto" w:sz="4" w:space="0"/>
            </w:tcBorders>
            <w:noWrap w:val="0"/>
            <w:vAlign w:val="center"/>
          </w:tcPr>
          <w:p>
            <w:pPr>
              <w:rPr>
                <w:rFonts w:ascii="宋体" w:hAnsi="宋体"/>
                <w:szCs w:val="21"/>
              </w:rPr>
            </w:pPr>
          </w:p>
        </w:tc>
        <w:tc>
          <w:tcPr>
            <w:tcW w:w="540" w:type="dxa"/>
            <w:vMerge w:val="continue"/>
            <w:tcBorders>
              <w:left w:val="single" w:color="auto" w:sz="4" w:space="0"/>
              <w:right w:val="single" w:color="auto" w:sz="4" w:space="0"/>
            </w:tcBorders>
            <w:noWrap w:val="0"/>
            <w:vAlign w:val="center"/>
          </w:tcPr>
          <w:p>
            <w:pPr>
              <w:jc w:val="center"/>
              <w:rPr>
                <w:rFonts w:hint="eastAsia" w:ascii="宋体" w:hAnsi="宋体"/>
                <w:szCs w:val="21"/>
              </w:rPr>
            </w:pPr>
          </w:p>
        </w:tc>
        <w:tc>
          <w:tcPr>
            <w:tcW w:w="1440" w:type="dxa"/>
            <w:vMerge w:val="continue"/>
            <w:tcBorders>
              <w:left w:val="single" w:color="auto" w:sz="4" w:space="0"/>
              <w:right w:val="single" w:color="auto" w:sz="4" w:space="0"/>
            </w:tcBorders>
            <w:noWrap w:val="0"/>
            <w:vAlign w:val="center"/>
          </w:tcPr>
          <w:p>
            <w:pPr>
              <w:spacing w:line="280" w:lineRule="exact"/>
              <w:jc w:val="center"/>
              <w:rPr>
                <w:rFonts w:hint="eastAsia" w:ascii="宋体" w:hAnsi="宋体"/>
                <w:szCs w:val="21"/>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04</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公厕内大便器（槽）有污垢、积粪、粪迹等</w:t>
            </w:r>
          </w:p>
        </w:tc>
        <w:tc>
          <w:tcPr>
            <w:tcW w:w="54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静态</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1分钟</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1分</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一立案即扣1</w:t>
            </w:r>
            <w:r>
              <w:rPr>
                <w:rFonts w:ascii="宋体" w:hAnsi="宋体"/>
                <w:szCs w:val="21"/>
              </w:rPr>
              <w:t>分，</w:t>
            </w:r>
            <w:r>
              <w:rPr>
                <w:rFonts w:hint="eastAsia" w:ascii="宋体" w:hAnsi="宋体"/>
                <w:szCs w:val="21"/>
              </w:rPr>
              <w:t>立案后1小时内整改则结束扣分，超过1小时整改，每1小时扣1</w:t>
            </w:r>
            <w:r>
              <w:rPr>
                <w:rFonts w:ascii="宋体" w:hAnsi="宋体"/>
                <w:szCs w:val="21"/>
              </w:rPr>
              <w:t>分，扣分累计。</w:t>
            </w:r>
          </w:p>
        </w:tc>
      </w:tr>
      <w:tr>
        <w:tblPrEx>
          <w:tblCellMar>
            <w:top w:w="15" w:type="dxa"/>
            <w:left w:w="15" w:type="dxa"/>
            <w:bottom w:w="0" w:type="dxa"/>
            <w:right w:w="15" w:type="dxa"/>
          </w:tblCellMar>
        </w:tblPrEx>
        <w:trPr>
          <w:wBefore w:w="0" w:type="dxa"/>
          <w:wAfter w:w="0" w:type="dxa"/>
          <w:trHeight w:val="882" w:hRule="atLeast"/>
          <w:jc w:val="center"/>
        </w:trPr>
        <w:tc>
          <w:tcPr>
            <w:tcW w:w="780" w:type="dxa"/>
            <w:vMerge w:val="continue"/>
            <w:tcBorders>
              <w:left w:val="single" w:color="auto" w:sz="4" w:space="0"/>
              <w:right w:val="single" w:color="auto" w:sz="4" w:space="0"/>
            </w:tcBorders>
            <w:noWrap w:val="0"/>
            <w:vAlign w:val="center"/>
          </w:tcPr>
          <w:p>
            <w:pPr>
              <w:rPr>
                <w:rFonts w:ascii="宋体" w:hAnsi="宋体"/>
                <w:szCs w:val="21"/>
              </w:rPr>
            </w:pPr>
          </w:p>
        </w:tc>
        <w:tc>
          <w:tcPr>
            <w:tcW w:w="1620" w:type="dxa"/>
            <w:vMerge w:val="continue"/>
            <w:tcBorders>
              <w:left w:val="single" w:color="auto" w:sz="4" w:space="0"/>
              <w:right w:val="single" w:color="auto" w:sz="4" w:space="0"/>
            </w:tcBorders>
            <w:noWrap w:val="0"/>
            <w:vAlign w:val="center"/>
          </w:tcPr>
          <w:p>
            <w:pPr>
              <w:rPr>
                <w:rFonts w:ascii="宋体" w:hAnsi="宋体"/>
                <w:szCs w:val="21"/>
              </w:rPr>
            </w:pPr>
          </w:p>
        </w:tc>
        <w:tc>
          <w:tcPr>
            <w:tcW w:w="540" w:type="dxa"/>
            <w:vMerge w:val="continue"/>
            <w:tcBorders>
              <w:left w:val="single" w:color="auto" w:sz="4" w:space="0"/>
              <w:right w:val="single" w:color="auto" w:sz="4" w:space="0"/>
            </w:tcBorders>
            <w:noWrap w:val="0"/>
            <w:vAlign w:val="center"/>
          </w:tcPr>
          <w:p>
            <w:pPr>
              <w:jc w:val="center"/>
              <w:rPr>
                <w:rFonts w:hint="eastAsia" w:ascii="宋体" w:hAnsi="宋体"/>
                <w:szCs w:val="21"/>
              </w:rPr>
            </w:pPr>
          </w:p>
        </w:tc>
        <w:tc>
          <w:tcPr>
            <w:tcW w:w="1440" w:type="dxa"/>
            <w:vMerge w:val="continue"/>
            <w:tcBorders>
              <w:left w:val="single" w:color="auto" w:sz="4" w:space="0"/>
              <w:right w:val="single" w:color="auto" w:sz="4" w:space="0"/>
            </w:tcBorders>
            <w:noWrap w:val="0"/>
            <w:vAlign w:val="center"/>
          </w:tcPr>
          <w:p>
            <w:pPr>
              <w:spacing w:line="280" w:lineRule="exact"/>
              <w:jc w:val="center"/>
              <w:rPr>
                <w:rFonts w:hint="eastAsia" w:ascii="宋体" w:hAnsi="宋体"/>
                <w:szCs w:val="21"/>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05</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公厕内小便器（槽）有水锈、尿垢等</w:t>
            </w:r>
          </w:p>
        </w:tc>
        <w:tc>
          <w:tcPr>
            <w:tcW w:w="54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静态</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1小时</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1分</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一立案即扣1</w:t>
            </w:r>
            <w:r>
              <w:rPr>
                <w:rFonts w:ascii="宋体" w:hAnsi="宋体"/>
                <w:szCs w:val="21"/>
              </w:rPr>
              <w:t>分，</w:t>
            </w:r>
            <w:r>
              <w:rPr>
                <w:rFonts w:hint="eastAsia" w:ascii="宋体" w:hAnsi="宋体"/>
                <w:szCs w:val="21"/>
              </w:rPr>
              <w:t>立案后1小时内整改则结束扣分，超过1小时整改，每1小时扣1</w:t>
            </w:r>
            <w:r>
              <w:rPr>
                <w:rFonts w:ascii="宋体" w:hAnsi="宋体"/>
                <w:szCs w:val="21"/>
              </w:rPr>
              <w:t>分，扣分累计。</w:t>
            </w:r>
          </w:p>
        </w:tc>
      </w:tr>
      <w:tr>
        <w:tblPrEx>
          <w:tblCellMar>
            <w:top w:w="15" w:type="dxa"/>
            <w:left w:w="15" w:type="dxa"/>
            <w:bottom w:w="0" w:type="dxa"/>
            <w:right w:w="15" w:type="dxa"/>
          </w:tblCellMar>
        </w:tblPrEx>
        <w:trPr>
          <w:wBefore w:w="0" w:type="dxa"/>
          <w:wAfter w:w="0" w:type="dxa"/>
          <w:trHeight w:val="882" w:hRule="atLeast"/>
          <w:jc w:val="center"/>
        </w:trPr>
        <w:tc>
          <w:tcPr>
            <w:tcW w:w="780" w:type="dxa"/>
            <w:vMerge w:val="continue"/>
            <w:tcBorders>
              <w:left w:val="single" w:color="auto" w:sz="4" w:space="0"/>
              <w:bottom w:val="single" w:color="auto" w:sz="4" w:space="0"/>
              <w:right w:val="single" w:color="auto" w:sz="4" w:space="0"/>
            </w:tcBorders>
            <w:noWrap w:val="0"/>
            <w:vAlign w:val="center"/>
          </w:tcPr>
          <w:p>
            <w:pPr>
              <w:rPr>
                <w:rFonts w:ascii="宋体" w:hAnsi="宋体"/>
                <w:szCs w:val="21"/>
              </w:rPr>
            </w:pPr>
          </w:p>
        </w:tc>
        <w:tc>
          <w:tcPr>
            <w:tcW w:w="1620" w:type="dxa"/>
            <w:vMerge w:val="continue"/>
            <w:tcBorders>
              <w:left w:val="single" w:color="auto" w:sz="4" w:space="0"/>
              <w:bottom w:val="single" w:color="auto" w:sz="4" w:space="0"/>
              <w:right w:val="single" w:color="auto" w:sz="4" w:space="0"/>
            </w:tcBorders>
            <w:noWrap w:val="0"/>
            <w:vAlign w:val="center"/>
          </w:tcPr>
          <w:p>
            <w:pPr>
              <w:rPr>
                <w:rFonts w:ascii="宋体" w:hAnsi="宋体"/>
                <w:szCs w:val="21"/>
              </w:rPr>
            </w:pPr>
          </w:p>
        </w:tc>
        <w:tc>
          <w:tcPr>
            <w:tcW w:w="540"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1440" w:type="dxa"/>
            <w:vMerge w:val="continue"/>
            <w:tcBorders>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szCs w:val="21"/>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06</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公厕内大小便器（槽）有烟头、卫生纸、垃圾杂物等</w:t>
            </w:r>
          </w:p>
        </w:tc>
        <w:tc>
          <w:tcPr>
            <w:tcW w:w="54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动态</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30分钟</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0.2分</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30分钟内整改不扣分，超过30分钟整改，每30分钟扣0.2分，扣分累计。</w:t>
            </w:r>
          </w:p>
        </w:tc>
      </w:tr>
      <w:tr>
        <w:tblPrEx>
          <w:tblCellMar>
            <w:top w:w="15" w:type="dxa"/>
            <w:left w:w="15" w:type="dxa"/>
            <w:bottom w:w="0" w:type="dxa"/>
            <w:right w:w="15" w:type="dxa"/>
          </w:tblCellMar>
        </w:tblPrEx>
        <w:trPr>
          <w:wBefore w:w="0" w:type="dxa"/>
          <w:wAfter w:w="0" w:type="dxa"/>
          <w:trHeight w:val="882" w:hRule="atLeast"/>
          <w:jc w:val="center"/>
        </w:trPr>
        <w:tc>
          <w:tcPr>
            <w:tcW w:w="780" w:type="dxa"/>
            <w:vMerge w:val="restart"/>
            <w:tcBorders>
              <w:left w:val="single" w:color="auto" w:sz="4" w:space="0"/>
              <w:right w:val="single" w:color="auto" w:sz="4" w:space="0"/>
            </w:tcBorders>
            <w:noWrap w:val="0"/>
            <w:vAlign w:val="center"/>
          </w:tcPr>
          <w:p>
            <w:pPr>
              <w:jc w:val="center"/>
              <w:rPr>
                <w:rFonts w:ascii="宋体" w:hAnsi="宋体"/>
                <w:szCs w:val="21"/>
              </w:rPr>
            </w:pPr>
          </w:p>
        </w:tc>
        <w:tc>
          <w:tcPr>
            <w:tcW w:w="1620" w:type="dxa"/>
            <w:vMerge w:val="restart"/>
            <w:tcBorders>
              <w:left w:val="single" w:color="auto" w:sz="4" w:space="0"/>
              <w:right w:val="single" w:color="auto" w:sz="4" w:space="0"/>
            </w:tcBorders>
            <w:noWrap w:val="0"/>
            <w:vAlign w:val="center"/>
          </w:tcPr>
          <w:p>
            <w:pPr>
              <w:jc w:val="center"/>
              <w:rPr>
                <w:rFonts w:ascii="宋体" w:hAnsi="宋体"/>
                <w:szCs w:val="21"/>
              </w:rPr>
            </w:pPr>
          </w:p>
        </w:tc>
        <w:tc>
          <w:tcPr>
            <w:tcW w:w="540" w:type="dxa"/>
            <w:vMerge w:val="restart"/>
            <w:tcBorders>
              <w:left w:val="single" w:color="auto" w:sz="4" w:space="0"/>
              <w:right w:val="single" w:color="auto" w:sz="4" w:space="0"/>
            </w:tcBorders>
            <w:noWrap w:val="0"/>
            <w:vAlign w:val="center"/>
          </w:tcPr>
          <w:p>
            <w:pPr>
              <w:jc w:val="center"/>
              <w:rPr>
                <w:rFonts w:ascii="宋体" w:hAnsi="宋体"/>
                <w:szCs w:val="21"/>
              </w:rPr>
            </w:pPr>
          </w:p>
        </w:tc>
        <w:tc>
          <w:tcPr>
            <w:tcW w:w="1440" w:type="dxa"/>
            <w:vMerge w:val="restart"/>
            <w:tcBorders>
              <w:left w:val="single" w:color="auto" w:sz="4" w:space="0"/>
              <w:right w:val="single" w:color="auto" w:sz="4" w:space="0"/>
            </w:tcBorders>
            <w:noWrap w:val="0"/>
            <w:vAlign w:val="center"/>
          </w:tcPr>
          <w:p>
            <w:pPr>
              <w:rPr>
                <w:rFonts w:ascii="宋体" w:hAnsi="宋体"/>
                <w:szCs w:val="21"/>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07</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公厕内大小便器（槽）沟眼堵塞</w:t>
            </w:r>
          </w:p>
        </w:tc>
        <w:tc>
          <w:tcPr>
            <w:tcW w:w="54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动态</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2小时</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2分</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2小时内整改不扣分，超过2小时整改，每2小时扣2分，扣分累计。</w:t>
            </w:r>
          </w:p>
        </w:tc>
      </w:tr>
      <w:tr>
        <w:tblPrEx>
          <w:tblCellMar>
            <w:top w:w="15" w:type="dxa"/>
            <w:left w:w="15" w:type="dxa"/>
            <w:bottom w:w="0" w:type="dxa"/>
            <w:right w:w="15" w:type="dxa"/>
          </w:tblCellMar>
        </w:tblPrEx>
        <w:trPr>
          <w:wBefore w:w="0" w:type="dxa"/>
          <w:wAfter w:w="0" w:type="dxa"/>
          <w:trHeight w:val="882" w:hRule="atLeast"/>
          <w:jc w:val="center"/>
        </w:trPr>
        <w:tc>
          <w:tcPr>
            <w:tcW w:w="780" w:type="dxa"/>
            <w:vMerge w:val="continue"/>
            <w:tcBorders>
              <w:left w:val="single" w:color="auto" w:sz="4" w:space="0"/>
              <w:right w:val="single" w:color="auto" w:sz="4" w:space="0"/>
            </w:tcBorders>
            <w:noWrap w:val="0"/>
            <w:vAlign w:val="center"/>
          </w:tcPr>
          <w:p>
            <w:pPr>
              <w:rPr>
                <w:rFonts w:ascii="宋体" w:hAnsi="宋体"/>
                <w:szCs w:val="21"/>
              </w:rPr>
            </w:pPr>
          </w:p>
        </w:tc>
        <w:tc>
          <w:tcPr>
            <w:tcW w:w="1620" w:type="dxa"/>
            <w:vMerge w:val="continue"/>
            <w:tcBorders>
              <w:left w:val="single" w:color="auto" w:sz="4" w:space="0"/>
              <w:right w:val="single" w:color="auto" w:sz="4" w:space="0"/>
            </w:tcBorders>
            <w:noWrap w:val="0"/>
            <w:vAlign w:val="center"/>
          </w:tcPr>
          <w:p>
            <w:pPr>
              <w:rPr>
                <w:rFonts w:ascii="宋体" w:hAnsi="宋体"/>
                <w:szCs w:val="21"/>
              </w:rPr>
            </w:pPr>
          </w:p>
        </w:tc>
        <w:tc>
          <w:tcPr>
            <w:tcW w:w="540" w:type="dxa"/>
            <w:vMerge w:val="continue"/>
            <w:tcBorders>
              <w:left w:val="single" w:color="auto" w:sz="4" w:space="0"/>
              <w:right w:val="single" w:color="auto" w:sz="4" w:space="0"/>
            </w:tcBorders>
            <w:noWrap w:val="0"/>
            <w:vAlign w:val="center"/>
          </w:tcPr>
          <w:p>
            <w:pPr>
              <w:jc w:val="center"/>
              <w:rPr>
                <w:rFonts w:hint="eastAsia" w:ascii="宋体" w:hAnsi="宋体"/>
                <w:szCs w:val="21"/>
              </w:rPr>
            </w:pPr>
          </w:p>
        </w:tc>
        <w:tc>
          <w:tcPr>
            <w:tcW w:w="1440" w:type="dxa"/>
            <w:vMerge w:val="continue"/>
            <w:tcBorders>
              <w:left w:val="single" w:color="auto" w:sz="4" w:space="0"/>
              <w:right w:val="single" w:color="auto" w:sz="4" w:space="0"/>
            </w:tcBorders>
            <w:noWrap w:val="0"/>
            <w:vAlign w:val="center"/>
          </w:tcPr>
          <w:p>
            <w:pPr>
              <w:spacing w:line="280" w:lineRule="exact"/>
              <w:jc w:val="center"/>
              <w:rPr>
                <w:rFonts w:hint="eastAsia" w:ascii="宋体" w:hAnsi="宋体"/>
                <w:szCs w:val="21"/>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08</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公厕内有明显臭气异味的</w:t>
            </w:r>
          </w:p>
        </w:tc>
        <w:tc>
          <w:tcPr>
            <w:tcW w:w="54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静态</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30分钟</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0.2分</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一立案即扣</w:t>
            </w:r>
            <w:r>
              <w:rPr>
                <w:rFonts w:ascii="宋体" w:hAnsi="宋体"/>
                <w:szCs w:val="21"/>
              </w:rPr>
              <w:t>0.2分，</w:t>
            </w:r>
            <w:r>
              <w:rPr>
                <w:rFonts w:hint="eastAsia" w:ascii="宋体" w:hAnsi="宋体"/>
                <w:szCs w:val="21"/>
              </w:rPr>
              <w:t>立案后30分钟内整改则结束扣分，超过30分钟整改，每30分钟扣0.</w:t>
            </w:r>
            <w:r>
              <w:rPr>
                <w:rFonts w:ascii="宋体" w:hAnsi="宋体"/>
                <w:szCs w:val="21"/>
              </w:rPr>
              <w:t>2分，扣分累计。</w:t>
            </w:r>
          </w:p>
        </w:tc>
      </w:tr>
      <w:tr>
        <w:tblPrEx>
          <w:tblCellMar>
            <w:top w:w="15" w:type="dxa"/>
            <w:left w:w="15" w:type="dxa"/>
            <w:bottom w:w="0" w:type="dxa"/>
            <w:right w:w="15" w:type="dxa"/>
          </w:tblCellMar>
        </w:tblPrEx>
        <w:trPr>
          <w:wBefore w:w="0" w:type="dxa"/>
          <w:wAfter w:w="0" w:type="dxa"/>
          <w:trHeight w:val="882" w:hRule="atLeast"/>
          <w:jc w:val="center"/>
        </w:trPr>
        <w:tc>
          <w:tcPr>
            <w:tcW w:w="780" w:type="dxa"/>
            <w:vMerge w:val="continue"/>
            <w:tcBorders>
              <w:left w:val="single" w:color="auto" w:sz="4" w:space="0"/>
              <w:right w:val="single" w:color="auto" w:sz="4" w:space="0"/>
            </w:tcBorders>
            <w:noWrap w:val="0"/>
            <w:vAlign w:val="center"/>
          </w:tcPr>
          <w:p>
            <w:pPr>
              <w:rPr>
                <w:rFonts w:ascii="宋体" w:hAnsi="宋体"/>
                <w:szCs w:val="21"/>
              </w:rPr>
            </w:pPr>
          </w:p>
        </w:tc>
        <w:tc>
          <w:tcPr>
            <w:tcW w:w="1620" w:type="dxa"/>
            <w:vMerge w:val="continue"/>
            <w:tcBorders>
              <w:left w:val="single" w:color="auto" w:sz="4" w:space="0"/>
              <w:right w:val="single" w:color="auto" w:sz="4" w:space="0"/>
            </w:tcBorders>
            <w:noWrap w:val="0"/>
            <w:vAlign w:val="center"/>
          </w:tcPr>
          <w:p>
            <w:pPr>
              <w:rPr>
                <w:rFonts w:ascii="宋体" w:hAnsi="宋体"/>
                <w:szCs w:val="21"/>
              </w:rPr>
            </w:pPr>
          </w:p>
        </w:tc>
        <w:tc>
          <w:tcPr>
            <w:tcW w:w="540" w:type="dxa"/>
            <w:vMerge w:val="continue"/>
            <w:tcBorders>
              <w:left w:val="single" w:color="auto" w:sz="4" w:space="0"/>
              <w:right w:val="single" w:color="auto" w:sz="4" w:space="0"/>
            </w:tcBorders>
            <w:noWrap w:val="0"/>
            <w:vAlign w:val="center"/>
          </w:tcPr>
          <w:p>
            <w:pPr>
              <w:jc w:val="center"/>
              <w:rPr>
                <w:rFonts w:hint="eastAsia" w:ascii="宋体" w:hAnsi="宋体"/>
                <w:szCs w:val="21"/>
              </w:rPr>
            </w:pPr>
          </w:p>
        </w:tc>
        <w:tc>
          <w:tcPr>
            <w:tcW w:w="1440" w:type="dxa"/>
            <w:vMerge w:val="continue"/>
            <w:tcBorders>
              <w:left w:val="single" w:color="auto" w:sz="4" w:space="0"/>
              <w:right w:val="single" w:color="auto" w:sz="4" w:space="0"/>
            </w:tcBorders>
            <w:noWrap w:val="0"/>
            <w:vAlign w:val="center"/>
          </w:tcPr>
          <w:p>
            <w:pPr>
              <w:spacing w:line="280" w:lineRule="exact"/>
              <w:jc w:val="center"/>
              <w:rPr>
                <w:rFonts w:hint="eastAsia" w:ascii="宋体" w:hAnsi="宋体"/>
                <w:szCs w:val="21"/>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09</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公厕内墙面、隔板等处有张贴、涂写小广告</w:t>
            </w:r>
          </w:p>
        </w:tc>
        <w:tc>
          <w:tcPr>
            <w:tcW w:w="54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动态</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1小时</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0.2分</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1小时内整改不扣分，超过1小时整改，每1小时扣0.2分，扣分累计。</w:t>
            </w:r>
          </w:p>
        </w:tc>
      </w:tr>
      <w:tr>
        <w:tblPrEx>
          <w:tblCellMar>
            <w:top w:w="15" w:type="dxa"/>
            <w:left w:w="15" w:type="dxa"/>
            <w:bottom w:w="0" w:type="dxa"/>
            <w:right w:w="15" w:type="dxa"/>
          </w:tblCellMar>
        </w:tblPrEx>
        <w:trPr>
          <w:wBefore w:w="0" w:type="dxa"/>
          <w:wAfter w:w="0" w:type="dxa"/>
          <w:trHeight w:val="882" w:hRule="atLeast"/>
          <w:jc w:val="center"/>
        </w:trPr>
        <w:tc>
          <w:tcPr>
            <w:tcW w:w="780" w:type="dxa"/>
            <w:vMerge w:val="continue"/>
            <w:tcBorders>
              <w:left w:val="single" w:color="auto" w:sz="4" w:space="0"/>
              <w:right w:val="single" w:color="auto" w:sz="4" w:space="0"/>
            </w:tcBorders>
            <w:noWrap w:val="0"/>
            <w:vAlign w:val="center"/>
          </w:tcPr>
          <w:p>
            <w:pPr>
              <w:rPr>
                <w:rFonts w:ascii="宋体" w:hAnsi="宋体"/>
                <w:szCs w:val="21"/>
              </w:rPr>
            </w:pPr>
          </w:p>
        </w:tc>
        <w:tc>
          <w:tcPr>
            <w:tcW w:w="1620" w:type="dxa"/>
            <w:vMerge w:val="continue"/>
            <w:tcBorders>
              <w:left w:val="single" w:color="auto" w:sz="4" w:space="0"/>
              <w:right w:val="single" w:color="auto" w:sz="4" w:space="0"/>
            </w:tcBorders>
            <w:noWrap w:val="0"/>
            <w:vAlign w:val="center"/>
          </w:tcPr>
          <w:p>
            <w:pPr>
              <w:rPr>
                <w:rFonts w:ascii="宋体" w:hAnsi="宋体"/>
                <w:szCs w:val="21"/>
              </w:rPr>
            </w:pPr>
          </w:p>
        </w:tc>
        <w:tc>
          <w:tcPr>
            <w:tcW w:w="540" w:type="dxa"/>
            <w:vMerge w:val="continue"/>
            <w:tcBorders>
              <w:left w:val="single" w:color="auto" w:sz="4" w:space="0"/>
              <w:right w:val="single" w:color="auto" w:sz="4" w:space="0"/>
            </w:tcBorders>
            <w:noWrap w:val="0"/>
            <w:vAlign w:val="center"/>
          </w:tcPr>
          <w:p>
            <w:pPr>
              <w:jc w:val="center"/>
              <w:rPr>
                <w:rFonts w:hint="eastAsia" w:ascii="宋体" w:hAnsi="宋体"/>
                <w:szCs w:val="21"/>
              </w:rPr>
            </w:pPr>
          </w:p>
        </w:tc>
        <w:tc>
          <w:tcPr>
            <w:tcW w:w="1440" w:type="dxa"/>
            <w:vMerge w:val="continue"/>
            <w:tcBorders>
              <w:left w:val="single" w:color="auto" w:sz="4" w:space="0"/>
              <w:right w:val="single" w:color="auto" w:sz="4" w:space="0"/>
            </w:tcBorders>
            <w:noWrap w:val="0"/>
            <w:vAlign w:val="center"/>
          </w:tcPr>
          <w:p>
            <w:pPr>
              <w:spacing w:line="280" w:lineRule="exact"/>
              <w:jc w:val="center"/>
              <w:rPr>
                <w:rFonts w:hint="eastAsia" w:ascii="宋体" w:hAnsi="宋体"/>
                <w:szCs w:val="21"/>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10</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公厕内废纸篓有破损、不洁情况的</w:t>
            </w:r>
          </w:p>
        </w:tc>
        <w:tc>
          <w:tcPr>
            <w:tcW w:w="54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动态</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30分钟</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0.2分</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30分钟内整改不扣分，超过30分钟整改，每30分钟扣0.2分，扣分累计。</w:t>
            </w:r>
          </w:p>
        </w:tc>
      </w:tr>
      <w:tr>
        <w:tblPrEx>
          <w:tblCellMar>
            <w:top w:w="15" w:type="dxa"/>
            <w:left w:w="15" w:type="dxa"/>
            <w:bottom w:w="0" w:type="dxa"/>
            <w:right w:w="15" w:type="dxa"/>
          </w:tblCellMar>
        </w:tblPrEx>
        <w:trPr>
          <w:wBefore w:w="0" w:type="dxa"/>
          <w:wAfter w:w="0" w:type="dxa"/>
          <w:trHeight w:val="882" w:hRule="atLeast"/>
          <w:jc w:val="center"/>
        </w:trPr>
        <w:tc>
          <w:tcPr>
            <w:tcW w:w="780" w:type="dxa"/>
            <w:vMerge w:val="continue"/>
            <w:tcBorders>
              <w:left w:val="single" w:color="auto" w:sz="4" w:space="0"/>
              <w:right w:val="single" w:color="auto" w:sz="4" w:space="0"/>
            </w:tcBorders>
            <w:noWrap w:val="0"/>
            <w:vAlign w:val="center"/>
          </w:tcPr>
          <w:p>
            <w:pPr>
              <w:rPr>
                <w:rFonts w:ascii="宋体" w:hAnsi="宋体"/>
                <w:szCs w:val="21"/>
              </w:rPr>
            </w:pPr>
          </w:p>
        </w:tc>
        <w:tc>
          <w:tcPr>
            <w:tcW w:w="1620" w:type="dxa"/>
            <w:vMerge w:val="continue"/>
            <w:tcBorders>
              <w:left w:val="single" w:color="auto" w:sz="4" w:space="0"/>
              <w:right w:val="single" w:color="auto" w:sz="4" w:space="0"/>
            </w:tcBorders>
            <w:noWrap w:val="0"/>
            <w:vAlign w:val="center"/>
          </w:tcPr>
          <w:p>
            <w:pPr>
              <w:rPr>
                <w:rFonts w:ascii="宋体" w:hAnsi="宋体"/>
                <w:szCs w:val="21"/>
              </w:rPr>
            </w:pPr>
          </w:p>
        </w:tc>
        <w:tc>
          <w:tcPr>
            <w:tcW w:w="540"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1440" w:type="dxa"/>
            <w:vMerge w:val="continue"/>
            <w:tcBorders>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szCs w:val="21"/>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11</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公厕内废纸篓有满溢情况的</w:t>
            </w:r>
          </w:p>
        </w:tc>
        <w:tc>
          <w:tcPr>
            <w:tcW w:w="54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静态</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30分钟</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0.2分</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一立案即扣</w:t>
            </w:r>
            <w:r>
              <w:rPr>
                <w:rFonts w:ascii="宋体" w:hAnsi="宋体"/>
                <w:szCs w:val="21"/>
              </w:rPr>
              <w:t>0.2分，</w:t>
            </w:r>
            <w:r>
              <w:rPr>
                <w:rFonts w:hint="eastAsia" w:ascii="宋体" w:hAnsi="宋体"/>
                <w:szCs w:val="21"/>
              </w:rPr>
              <w:t>立案后30分钟内整改则结束扣分，超过30分钟整改，每30分钟扣0.</w:t>
            </w:r>
            <w:r>
              <w:rPr>
                <w:rFonts w:ascii="宋体" w:hAnsi="宋体"/>
                <w:szCs w:val="21"/>
              </w:rPr>
              <w:t>2分，扣分累计。</w:t>
            </w:r>
          </w:p>
        </w:tc>
      </w:tr>
      <w:tr>
        <w:tblPrEx>
          <w:tblCellMar>
            <w:top w:w="15" w:type="dxa"/>
            <w:left w:w="15" w:type="dxa"/>
            <w:bottom w:w="0" w:type="dxa"/>
            <w:right w:w="15" w:type="dxa"/>
          </w:tblCellMar>
        </w:tblPrEx>
        <w:trPr>
          <w:wBefore w:w="0" w:type="dxa"/>
          <w:wAfter w:w="0" w:type="dxa"/>
          <w:trHeight w:val="882" w:hRule="atLeast"/>
          <w:jc w:val="center"/>
        </w:trPr>
        <w:tc>
          <w:tcPr>
            <w:tcW w:w="780" w:type="dxa"/>
            <w:vMerge w:val="continue"/>
            <w:tcBorders>
              <w:left w:val="single" w:color="auto" w:sz="4" w:space="0"/>
              <w:right w:val="single" w:color="auto" w:sz="4" w:space="0"/>
            </w:tcBorders>
            <w:noWrap w:val="0"/>
            <w:vAlign w:val="center"/>
          </w:tcPr>
          <w:p>
            <w:pPr>
              <w:rPr>
                <w:rFonts w:ascii="宋体" w:hAnsi="宋体"/>
                <w:szCs w:val="21"/>
              </w:rPr>
            </w:pPr>
          </w:p>
        </w:tc>
        <w:tc>
          <w:tcPr>
            <w:tcW w:w="1620" w:type="dxa"/>
            <w:vMerge w:val="continue"/>
            <w:tcBorders>
              <w:left w:val="single" w:color="auto" w:sz="4" w:space="0"/>
              <w:right w:val="single" w:color="auto" w:sz="4" w:space="0"/>
            </w:tcBorders>
            <w:noWrap w:val="0"/>
            <w:vAlign w:val="center"/>
          </w:tcPr>
          <w:p>
            <w:pPr>
              <w:rPr>
                <w:rFonts w:ascii="宋体" w:hAnsi="宋体"/>
                <w:szCs w:val="21"/>
              </w:rPr>
            </w:pPr>
          </w:p>
        </w:tc>
        <w:tc>
          <w:tcPr>
            <w:tcW w:w="540" w:type="dxa"/>
            <w:vMerge w:val="restart"/>
            <w:tcBorders>
              <w:top w:val="single" w:color="auto" w:sz="4" w:space="0"/>
              <w:left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04</w:t>
            </w:r>
          </w:p>
        </w:tc>
        <w:tc>
          <w:tcPr>
            <w:tcW w:w="1440" w:type="dxa"/>
            <w:vMerge w:val="restart"/>
            <w:tcBorders>
              <w:top w:val="single" w:color="auto" w:sz="4" w:space="0"/>
              <w:left w:val="single" w:color="auto" w:sz="4" w:space="0"/>
              <w:right w:val="single" w:color="auto" w:sz="4" w:space="0"/>
            </w:tcBorders>
            <w:noWrap w:val="0"/>
            <w:vAlign w:val="center"/>
          </w:tcPr>
          <w:p>
            <w:pPr>
              <w:rPr>
                <w:rFonts w:ascii="宋体" w:hAnsi="宋体"/>
                <w:szCs w:val="21"/>
              </w:rPr>
            </w:pPr>
            <w:r>
              <w:rPr>
                <w:rFonts w:hint="eastAsia" w:ascii="宋体" w:hAnsi="宋体"/>
                <w:szCs w:val="21"/>
              </w:rPr>
              <w:t>公厕外卫生问题</w:t>
            </w: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01</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公厕周围（2.5米范围内）地面有零星垃圾杂物、墙面有小广告等情况</w:t>
            </w:r>
          </w:p>
        </w:tc>
        <w:tc>
          <w:tcPr>
            <w:tcW w:w="54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动态</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30分钟</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0.2分</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30分钟内整改不扣分，超过30分钟整改，每30分钟扣0.2分，扣分累计。</w:t>
            </w:r>
          </w:p>
        </w:tc>
      </w:tr>
      <w:tr>
        <w:tblPrEx>
          <w:tblCellMar>
            <w:top w:w="15" w:type="dxa"/>
            <w:left w:w="15" w:type="dxa"/>
            <w:bottom w:w="0" w:type="dxa"/>
            <w:right w:w="15" w:type="dxa"/>
          </w:tblCellMar>
        </w:tblPrEx>
        <w:trPr>
          <w:wBefore w:w="0" w:type="dxa"/>
          <w:wAfter w:w="0" w:type="dxa"/>
          <w:trHeight w:val="882" w:hRule="atLeast"/>
          <w:jc w:val="center"/>
        </w:trPr>
        <w:tc>
          <w:tcPr>
            <w:tcW w:w="780" w:type="dxa"/>
            <w:vMerge w:val="continue"/>
            <w:tcBorders>
              <w:left w:val="single" w:color="auto" w:sz="4" w:space="0"/>
              <w:right w:val="single" w:color="auto" w:sz="4" w:space="0"/>
            </w:tcBorders>
            <w:noWrap w:val="0"/>
            <w:vAlign w:val="center"/>
          </w:tcPr>
          <w:p>
            <w:pPr>
              <w:rPr>
                <w:rFonts w:ascii="宋体" w:hAnsi="宋体"/>
                <w:szCs w:val="21"/>
              </w:rPr>
            </w:pPr>
          </w:p>
        </w:tc>
        <w:tc>
          <w:tcPr>
            <w:tcW w:w="1620" w:type="dxa"/>
            <w:vMerge w:val="continue"/>
            <w:tcBorders>
              <w:left w:val="single" w:color="auto" w:sz="4" w:space="0"/>
              <w:right w:val="single" w:color="auto" w:sz="4" w:space="0"/>
            </w:tcBorders>
            <w:noWrap w:val="0"/>
            <w:vAlign w:val="center"/>
          </w:tcPr>
          <w:p>
            <w:pPr>
              <w:rPr>
                <w:rFonts w:ascii="宋体" w:hAnsi="宋体"/>
                <w:szCs w:val="21"/>
              </w:rPr>
            </w:pPr>
          </w:p>
        </w:tc>
        <w:tc>
          <w:tcPr>
            <w:tcW w:w="540" w:type="dxa"/>
            <w:vMerge w:val="continue"/>
            <w:tcBorders>
              <w:left w:val="single" w:color="auto" w:sz="4" w:space="0"/>
              <w:right w:val="single" w:color="auto" w:sz="4" w:space="0"/>
            </w:tcBorders>
            <w:noWrap w:val="0"/>
            <w:vAlign w:val="center"/>
          </w:tcPr>
          <w:p>
            <w:pPr>
              <w:jc w:val="center"/>
              <w:rPr>
                <w:rFonts w:hint="eastAsia" w:ascii="宋体" w:hAnsi="宋体"/>
                <w:szCs w:val="21"/>
              </w:rPr>
            </w:pPr>
          </w:p>
        </w:tc>
        <w:tc>
          <w:tcPr>
            <w:tcW w:w="1440" w:type="dxa"/>
            <w:vMerge w:val="continue"/>
            <w:tcBorders>
              <w:left w:val="single" w:color="auto" w:sz="4" w:space="0"/>
              <w:right w:val="single" w:color="auto" w:sz="4" w:space="0"/>
            </w:tcBorders>
            <w:noWrap w:val="0"/>
            <w:vAlign w:val="center"/>
          </w:tcPr>
          <w:p>
            <w:pPr>
              <w:spacing w:line="280" w:lineRule="exact"/>
              <w:jc w:val="center"/>
              <w:rPr>
                <w:rFonts w:hint="eastAsia" w:ascii="宋体" w:hAnsi="宋体"/>
                <w:szCs w:val="21"/>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02</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公厕周围（2.5米范围内）有堆积垃圾杂物、瓦砾废土、墙面污迹等情况</w:t>
            </w:r>
          </w:p>
        </w:tc>
        <w:tc>
          <w:tcPr>
            <w:tcW w:w="54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静态</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2小时</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0.2分</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一立案即扣0.2</w:t>
            </w:r>
            <w:r>
              <w:rPr>
                <w:rFonts w:ascii="宋体" w:hAnsi="宋体"/>
                <w:szCs w:val="21"/>
              </w:rPr>
              <w:t>分，</w:t>
            </w:r>
            <w:r>
              <w:rPr>
                <w:rFonts w:hint="eastAsia" w:ascii="宋体" w:hAnsi="宋体"/>
                <w:szCs w:val="21"/>
              </w:rPr>
              <w:t>立案后2小时内整改则结束扣分，超过2小时整改，每2小时扣0.2</w:t>
            </w:r>
            <w:r>
              <w:rPr>
                <w:rFonts w:ascii="宋体" w:hAnsi="宋体"/>
                <w:szCs w:val="21"/>
              </w:rPr>
              <w:t>分，扣分累计。</w:t>
            </w:r>
          </w:p>
        </w:tc>
      </w:tr>
      <w:tr>
        <w:tblPrEx>
          <w:tblCellMar>
            <w:top w:w="15" w:type="dxa"/>
            <w:left w:w="15" w:type="dxa"/>
            <w:bottom w:w="0" w:type="dxa"/>
            <w:right w:w="15" w:type="dxa"/>
          </w:tblCellMar>
        </w:tblPrEx>
        <w:trPr>
          <w:wBefore w:w="0" w:type="dxa"/>
          <w:wAfter w:w="0" w:type="dxa"/>
          <w:trHeight w:val="882" w:hRule="atLeast"/>
          <w:jc w:val="center"/>
        </w:trPr>
        <w:tc>
          <w:tcPr>
            <w:tcW w:w="780" w:type="dxa"/>
            <w:vMerge w:val="continue"/>
            <w:tcBorders>
              <w:left w:val="single" w:color="auto" w:sz="4" w:space="0"/>
              <w:right w:val="single" w:color="auto" w:sz="4" w:space="0"/>
            </w:tcBorders>
            <w:noWrap w:val="0"/>
            <w:vAlign w:val="center"/>
          </w:tcPr>
          <w:p>
            <w:pPr>
              <w:rPr>
                <w:rFonts w:ascii="宋体" w:hAnsi="宋体"/>
                <w:szCs w:val="21"/>
              </w:rPr>
            </w:pPr>
          </w:p>
        </w:tc>
        <w:tc>
          <w:tcPr>
            <w:tcW w:w="1620" w:type="dxa"/>
            <w:vMerge w:val="continue"/>
            <w:tcBorders>
              <w:left w:val="single" w:color="auto" w:sz="4" w:space="0"/>
              <w:right w:val="single" w:color="auto" w:sz="4" w:space="0"/>
            </w:tcBorders>
            <w:noWrap w:val="0"/>
            <w:vAlign w:val="center"/>
          </w:tcPr>
          <w:p>
            <w:pPr>
              <w:rPr>
                <w:rFonts w:ascii="宋体" w:hAnsi="宋体"/>
                <w:szCs w:val="21"/>
              </w:rPr>
            </w:pPr>
          </w:p>
        </w:tc>
        <w:tc>
          <w:tcPr>
            <w:tcW w:w="540" w:type="dxa"/>
            <w:vMerge w:val="continue"/>
            <w:tcBorders>
              <w:left w:val="single" w:color="auto" w:sz="4" w:space="0"/>
              <w:right w:val="single" w:color="auto" w:sz="4" w:space="0"/>
            </w:tcBorders>
            <w:noWrap w:val="0"/>
            <w:vAlign w:val="center"/>
          </w:tcPr>
          <w:p>
            <w:pPr>
              <w:jc w:val="center"/>
              <w:rPr>
                <w:rFonts w:hint="eastAsia" w:ascii="宋体" w:hAnsi="宋体"/>
                <w:szCs w:val="21"/>
              </w:rPr>
            </w:pPr>
          </w:p>
        </w:tc>
        <w:tc>
          <w:tcPr>
            <w:tcW w:w="1440" w:type="dxa"/>
            <w:vMerge w:val="continue"/>
            <w:tcBorders>
              <w:left w:val="single" w:color="auto" w:sz="4" w:space="0"/>
              <w:right w:val="single" w:color="auto" w:sz="4" w:space="0"/>
            </w:tcBorders>
            <w:noWrap w:val="0"/>
            <w:vAlign w:val="center"/>
          </w:tcPr>
          <w:p>
            <w:pPr>
              <w:spacing w:line="280" w:lineRule="exact"/>
              <w:jc w:val="center"/>
              <w:rPr>
                <w:rFonts w:hint="eastAsia" w:ascii="宋体" w:hAnsi="宋体"/>
                <w:szCs w:val="21"/>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03</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化粪池、倒粪处粪水满溢</w:t>
            </w:r>
          </w:p>
        </w:tc>
        <w:tc>
          <w:tcPr>
            <w:tcW w:w="54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静态</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2小时</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2分</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一立案即扣2</w:t>
            </w:r>
            <w:r>
              <w:rPr>
                <w:rFonts w:ascii="宋体" w:hAnsi="宋体"/>
                <w:szCs w:val="21"/>
              </w:rPr>
              <w:t>分，</w:t>
            </w:r>
            <w:r>
              <w:rPr>
                <w:rFonts w:hint="eastAsia" w:ascii="宋体" w:hAnsi="宋体"/>
                <w:szCs w:val="21"/>
              </w:rPr>
              <w:t>立案后2小时内整改则结束扣分，超过2小时整改，每2小时扣2</w:t>
            </w:r>
            <w:r>
              <w:rPr>
                <w:rFonts w:ascii="宋体" w:hAnsi="宋体"/>
                <w:szCs w:val="21"/>
              </w:rPr>
              <w:t>分，扣分累计。</w:t>
            </w:r>
          </w:p>
        </w:tc>
      </w:tr>
      <w:tr>
        <w:tblPrEx>
          <w:tblCellMar>
            <w:top w:w="15" w:type="dxa"/>
            <w:left w:w="15" w:type="dxa"/>
            <w:bottom w:w="0" w:type="dxa"/>
            <w:right w:w="15" w:type="dxa"/>
          </w:tblCellMar>
        </w:tblPrEx>
        <w:trPr>
          <w:wBefore w:w="0" w:type="dxa"/>
          <w:wAfter w:w="0" w:type="dxa"/>
          <w:trHeight w:val="882" w:hRule="atLeast"/>
          <w:jc w:val="center"/>
        </w:trPr>
        <w:tc>
          <w:tcPr>
            <w:tcW w:w="780" w:type="dxa"/>
            <w:vMerge w:val="continue"/>
            <w:tcBorders>
              <w:left w:val="single" w:color="auto" w:sz="4" w:space="0"/>
              <w:right w:val="single" w:color="auto" w:sz="4" w:space="0"/>
            </w:tcBorders>
            <w:noWrap w:val="0"/>
            <w:vAlign w:val="center"/>
          </w:tcPr>
          <w:p>
            <w:pPr>
              <w:rPr>
                <w:rFonts w:ascii="宋体" w:hAnsi="宋体"/>
                <w:szCs w:val="21"/>
              </w:rPr>
            </w:pPr>
          </w:p>
        </w:tc>
        <w:tc>
          <w:tcPr>
            <w:tcW w:w="1620" w:type="dxa"/>
            <w:vMerge w:val="continue"/>
            <w:tcBorders>
              <w:left w:val="single" w:color="auto" w:sz="4" w:space="0"/>
              <w:right w:val="single" w:color="auto" w:sz="4" w:space="0"/>
            </w:tcBorders>
            <w:noWrap w:val="0"/>
            <w:vAlign w:val="center"/>
          </w:tcPr>
          <w:p>
            <w:pPr>
              <w:rPr>
                <w:rFonts w:ascii="宋体" w:hAnsi="宋体"/>
                <w:szCs w:val="21"/>
              </w:rPr>
            </w:pPr>
          </w:p>
        </w:tc>
        <w:tc>
          <w:tcPr>
            <w:tcW w:w="540"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1440" w:type="dxa"/>
            <w:vMerge w:val="continue"/>
            <w:tcBorders>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szCs w:val="21"/>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04</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化粪池、倒粪处周围有粪水、污迹等</w:t>
            </w:r>
          </w:p>
        </w:tc>
        <w:tc>
          <w:tcPr>
            <w:tcW w:w="54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静态</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1小时</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1分</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一立案即扣1</w:t>
            </w:r>
            <w:r>
              <w:rPr>
                <w:rFonts w:ascii="宋体" w:hAnsi="宋体"/>
                <w:szCs w:val="21"/>
              </w:rPr>
              <w:t>分，</w:t>
            </w:r>
            <w:r>
              <w:rPr>
                <w:rFonts w:hint="eastAsia" w:ascii="宋体" w:hAnsi="宋体"/>
                <w:szCs w:val="21"/>
              </w:rPr>
              <w:t>立案后1小时内整改则结束扣分，超过1小时整改，每1小时扣1</w:t>
            </w:r>
            <w:r>
              <w:rPr>
                <w:rFonts w:ascii="宋体" w:hAnsi="宋体"/>
                <w:szCs w:val="21"/>
              </w:rPr>
              <w:t>分，扣分累计。</w:t>
            </w:r>
          </w:p>
        </w:tc>
      </w:tr>
      <w:tr>
        <w:tblPrEx>
          <w:tblCellMar>
            <w:top w:w="15" w:type="dxa"/>
            <w:left w:w="15" w:type="dxa"/>
            <w:bottom w:w="0" w:type="dxa"/>
            <w:right w:w="15" w:type="dxa"/>
          </w:tblCellMar>
        </w:tblPrEx>
        <w:trPr>
          <w:wBefore w:w="0" w:type="dxa"/>
          <w:wAfter w:w="0" w:type="dxa"/>
          <w:trHeight w:val="882" w:hRule="atLeast"/>
          <w:jc w:val="center"/>
        </w:trPr>
        <w:tc>
          <w:tcPr>
            <w:tcW w:w="780" w:type="dxa"/>
            <w:vMerge w:val="continue"/>
            <w:tcBorders>
              <w:left w:val="single" w:color="auto" w:sz="4" w:space="0"/>
              <w:bottom w:val="single" w:color="auto" w:sz="4" w:space="0"/>
              <w:right w:val="single" w:color="auto" w:sz="4" w:space="0"/>
            </w:tcBorders>
            <w:noWrap w:val="0"/>
            <w:vAlign w:val="center"/>
          </w:tcPr>
          <w:p>
            <w:pPr>
              <w:rPr>
                <w:rFonts w:ascii="宋体" w:hAnsi="宋体"/>
                <w:szCs w:val="21"/>
              </w:rPr>
            </w:pPr>
          </w:p>
        </w:tc>
        <w:tc>
          <w:tcPr>
            <w:tcW w:w="1620" w:type="dxa"/>
            <w:vMerge w:val="continue"/>
            <w:tcBorders>
              <w:left w:val="single" w:color="auto" w:sz="4" w:space="0"/>
              <w:bottom w:val="single" w:color="auto" w:sz="4" w:space="0"/>
              <w:right w:val="single" w:color="auto" w:sz="4" w:space="0"/>
            </w:tcBorders>
            <w:noWrap w:val="0"/>
            <w:vAlign w:val="center"/>
          </w:tcPr>
          <w:p>
            <w:pPr>
              <w:rPr>
                <w:rFonts w:ascii="宋体" w:hAnsi="宋体"/>
                <w:szCs w:val="21"/>
              </w:rPr>
            </w:pPr>
          </w:p>
        </w:tc>
        <w:tc>
          <w:tcPr>
            <w:tcW w:w="540"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05</w:t>
            </w:r>
          </w:p>
        </w:tc>
        <w:tc>
          <w:tcPr>
            <w:tcW w:w="1440" w:type="dxa"/>
            <w:vMerge w:val="restart"/>
            <w:tcBorders>
              <w:top w:val="single" w:color="auto" w:sz="4" w:space="0"/>
              <w:left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公厕秩序问题</w:t>
            </w: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01</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公厕内外随意摆放工具、吊挂物品、停放自行车等现象</w:t>
            </w:r>
          </w:p>
        </w:tc>
        <w:tc>
          <w:tcPr>
            <w:tcW w:w="54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静态</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30分钟</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0.2分</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一立案即扣0.2</w:t>
            </w:r>
            <w:r>
              <w:rPr>
                <w:rFonts w:ascii="宋体" w:hAnsi="宋体"/>
                <w:szCs w:val="21"/>
              </w:rPr>
              <w:t>分，</w:t>
            </w:r>
            <w:r>
              <w:rPr>
                <w:rFonts w:hint="eastAsia" w:ascii="宋体" w:hAnsi="宋体"/>
                <w:szCs w:val="21"/>
              </w:rPr>
              <w:t>立案后30分钟内整改则结束扣分，超过30分钟整改，每30分钟扣0.2</w:t>
            </w:r>
            <w:r>
              <w:rPr>
                <w:rFonts w:ascii="宋体" w:hAnsi="宋体"/>
                <w:szCs w:val="21"/>
              </w:rPr>
              <w:t>分，扣分累计。</w:t>
            </w:r>
          </w:p>
        </w:tc>
      </w:tr>
      <w:tr>
        <w:tblPrEx>
          <w:tblCellMar>
            <w:top w:w="15" w:type="dxa"/>
            <w:left w:w="15" w:type="dxa"/>
            <w:bottom w:w="0" w:type="dxa"/>
            <w:right w:w="15" w:type="dxa"/>
          </w:tblCellMar>
        </w:tblPrEx>
        <w:trPr>
          <w:wBefore w:w="0" w:type="dxa"/>
          <w:wAfter w:w="0" w:type="dxa"/>
          <w:trHeight w:val="882" w:hRule="atLeast"/>
          <w:jc w:val="center"/>
        </w:trPr>
        <w:tc>
          <w:tcPr>
            <w:tcW w:w="780" w:type="dxa"/>
            <w:vMerge w:val="restart"/>
            <w:tcBorders>
              <w:left w:val="single" w:color="auto" w:sz="4" w:space="0"/>
              <w:right w:val="single" w:color="auto" w:sz="4" w:space="0"/>
            </w:tcBorders>
            <w:noWrap w:val="0"/>
            <w:vAlign w:val="center"/>
          </w:tcPr>
          <w:p>
            <w:pPr>
              <w:rPr>
                <w:rFonts w:ascii="宋体" w:hAnsi="宋体"/>
                <w:szCs w:val="21"/>
              </w:rPr>
            </w:pPr>
          </w:p>
        </w:tc>
        <w:tc>
          <w:tcPr>
            <w:tcW w:w="1620" w:type="dxa"/>
            <w:vMerge w:val="restart"/>
            <w:tcBorders>
              <w:left w:val="single" w:color="auto" w:sz="4" w:space="0"/>
              <w:right w:val="single" w:color="auto" w:sz="4" w:space="0"/>
            </w:tcBorders>
            <w:noWrap w:val="0"/>
            <w:vAlign w:val="center"/>
          </w:tcPr>
          <w:p>
            <w:pPr>
              <w:rPr>
                <w:rFonts w:ascii="宋体" w:hAnsi="宋体"/>
                <w:szCs w:val="21"/>
              </w:rPr>
            </w:pPr>
          </w:p>
        </w:tc>
        <w:tc>
          <w:tcPr>
            <w:tcW w:w="540" w:type="dxa"/>
            <w:vMerge w:val="continue"/>
            <w:tcBorders>
              <w:left w:val="single" w:color="auto" w:sz="4" w:space="0"/>
              <w:right w:val="single" w:color="auto" w:sz="4" w:space="0"/>
            </w:tcBorders>
            <w:noWrap w:val="0"/>
            <w:vAlign w:val="center"/>
          </w:tcPr>
          <w:p>
            <w:pPr>
              <w:jc w:val="center"/>
              <w:rPr>
                <w:rFonts w:ascii="宋体" w:hAnsi="宋体"/>
                <w:szCs w:val="21"/>
              </w:rPr>
            </w:pPr>
          </w:p>
        </w:tc>
        <w:tc>
          <w:tcPr>
            <w:tcW w:w="1440" w:type="dxa"/>
            <w:vMerge w:val="continue"/>
            <w:tcBorders>
              <w:left w:val="single" w:color="auto" w:sz="4" w:space="0"/>
              <w:right w:val="single" w:color="auto" w:sz="4" w:space="0"/>
            </w:tcBorders>
            <w:noWrap w:val="0"/>
            <w:vAlign w:val="center"/>
          </w:tcPr>
          <w:p>
            <w:pPr>
              <w:rPr>
                <w:rFonts w:ascii="宋体" w:hAnsi="宋体"/>
                <w:szCs w:val="21"/>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02</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利用公厕从事销售商品、废品回收等经营性活动的</w:t>
            </w:r>
          </w:p>
        </w:tc>
        <w:tc>
          <w:tcPr>
            <w:tcW w:w="54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静态</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立即</w:t>
            </w:r>
          </w:p>
          <w:p>
            <w:pPr>
              <w:jc w:val="center"/>
              <w:rPr>
                <w:rFonts w:ascii="宋体" w:hAnsi="宋体"/>
                <w:szCs w:val="21"/>
              </w:rPr>
            </w:pPr>
            <w:r>
              <w:rPr>
                <w:rFonts w:hint="eastAsia" w:ascii="宋体" w:hAnsi="宋体"/>
                <w:szCs w:val="21"/>
              </w:rPr>
              <w:t>整改</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2分</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一立案即扣2</w:t>
            </w:r>
            <w:r>
              <w:rPr>
                <w:rFonts w:ascii="宋体" w:hAnsi="宋体"/>
                <w:szCs w:val="21"/>
              </w:rPr>
              <w:t>分</w:t>
            </w:r>
            <w:r>
              <w:rPr>
                <w:rFonts w:hint="eastAsia" w:ascii="宋体" w:hAnsi="宋体"/>
                <w:szCs w:val="21"/>
              </w:rPr>
              <w:t xml:space="preserve">，即刻整改。 </w:t>
            </w:r>
          </w:p>
        </w:tc>
      </w:tr>
      <w:tr>
        <w:tblPrEx>
          <w:tblCellMar>
            <w:top w:w="15" w:type="dxa"/>
            <w:left w:w="15" w:type="dxa"/>
            <w:bottom w:w="0" w:type="dxa"/>
            <w:right w:w="15" w:type="dxa"/>
          </w:tblCellMar>
        </w:tblPrEx>
        <w:trPr>
          <w:wBefore w:w="0" w:type="dxa"/>
          <w:wAfter w:w="0" w:type="dxa"/>
          <w:trHeight w:val="882" w:hRule="atLeast"/>
          <w:jc w:val="center"/>
        </w:trPr>
        <w:tc>
          <w:tcPr>
            <w:tcW w:w="780" w:type="dxa"/>
            <w:vMerge w:val="continue"/>
            <w:tcBorders>
              <w:left w:val="single" w:color="auto" w:sz="4" w:space="0"/>
              <w:right w:val="single" w:color="auto" w:sz="4" w:space="0"/>
            </w:tcBorders>
            <w:noWrap w:val="0"/>
            <w:vAlign w:val="center"/>
          </w:tcPr>
          <w:p>
            <w:pPr>
              <w:rPr>
                <w:rFonts w:ascii="宋体" w:hAnsi="宋体"/>
                <w:szCs w:val="21"/>
              </w:rPr>
            </w:pPr>
          </w:p>
        </w:tc>
        <w:tc>
          <w:tcPr>
            <w:tcW w:w="1620" w:type="dxa"/>
            <w:vMerge w:val="continue"/>
            <w:tcBorders>
              <w:left w:val="single" w:color="auto" w:sz="4" w:space="0"/>
              <w:right w:val="single" w:color="auto" w:sz="4" w:space="0"/>
            </w:tcBorders>
            <w:noWrap w:val="0"/>
            <w:vAlign w:val="center"/>
          </w:tcPr>
          <w:p>
            <w:pPr>
              <w:rPr>
                <w:rFonts w:ascii="宋体" w:hAnsi="宋体"/>
                <w:szCs w:val="21"/>
              </w:rPr>
            </w:pPr>
          </w:p>
        </w:tc>
        <w:tc>
          <w:tcPr>
            <w:tcW w:w="540" w:type="dxa"/>
            <w:vMerge w:val="continue"/>
            <w:tcBorders>
              <w:left w:val="single" w:color="auto" w:sz="4" w:space="0"/>
              <w:right w:val="single" w:color="auto" w:sz="4" w:space="0"/>
            </w:tcBorders>
            <w:noWrap w:val="0"/>
            <w:vAlign w:val="center"/>
          </w:tcPr>
          <w:p>
            <w:pPr>
              <w:jc w:val="center"/>
              <w:rPr>
                <w:rFonts w:hint="eastAsia" w:ascii="宋体" w:hAnsi="宋体"/>
                <w:szCs w:val="21"/>
              </w:rPr>
            </w:pPr>
          </w:p>
        </w:tc>
        <w:tc>
          <w:tcPr>
            <w:tcW w:w="1440" w:type="dxa"/>
            <w:vMerge w:val="continue"/>
            <w:tcBorders>
              <w:left w:val="single" w:color="auto" w:sz="4" w:space="0"/>
              <w:right w:val="single" w:color="auto" w:sz="4" w:space="0"/>
            </w:tcBorders>
            <w:noWrap w:val="0"/>
            <w:vAlign w:val="center"/>
          </w:tcPr>
          <w:p>
            <w:pPr>
              <w:spacing w:line="280" w:lineRule="exact"/>
              <w:jc w:val="center"/>
              <w:rPr>
                <w:rFonts w:hint="eastAsia" w:ascii="宋体" w:hAnsi="宋体"/>
                <w:szCs w:val="21"/>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03</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公厕管理员在上班期间从事与工作无关的事项或在管理房睡觉的</w:t>
            </w:r>
          </w:p>
        </w:tc>
        <w:tc>
          <w:tcPr>
            <w:tcW w:w="54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静态</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30分钟</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1分</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一立案即扣1</w:t>
            </w:r>
            <w:r>
              <w:rPr>
                <w:rFonts w:ascii="宋体" w:hAnsi="宋体"/>
                <w:szCs w:val="21"/>
              </w:rPr>
              <w:t>分，</w:t>
            </w:r>
            <w:r>
              <w:rPr>
                <w:rFonts w:hint="eastAsia" w:ascii="宋体" w:hAnsi="宋体"/>
                <w:szCs w:val="21"/>
              </w:rPr>
              <w:t>立案后30分钟内整改则结束扣分，超过30分钟整改，每30分钟扣1</w:t>
            </w:r>
            <w:r>
              <w:rPr>
                <w:rFonts w:ascii="宋体" w:hAnsi="宋体"/>
                <w:szCs w:val="21"/>
              </w:rPr>
              <w:t>分，扣分累计。</w:t>
            </w:r>
          </w:p>
        </w:tc>
      </w:tr>
      <w:tr>
        <w:tblPrEx>
          <w:tblCellMar>
            <w:top w:w="15" w:type="dxa"/>
            <w:left w:w="15" w:type="dxa"/>
            <w:bottom w:w="0" w:type="dxa"/>
            <w:right w:w="15" w:type="dxa"/>
          </w:tblCellMar>
        </w:tblPrEx>
        <w:trPr>
          <w:wBefore w:w="0" w:type="dxa"/>
          <w:wAfter w:w="0" w:type="dxa"/>
          <w:trHeight w:val="882" w:hRule="atLeast"/>
          <w:jc w:val="center"/>
        </w:trPr>
        <w:tc>
          <w:tcPr>
            <w:tcW w:w="780" w:type="dxa"/>
            <w:vMerge w:val="continue"/>
            <w:tcBorders>
              <w:left w:val="single" w:color="auto" w:sz="4" w:space="0"/>
              <w:right w:val="single" w:color="auto" w:sz="4" w:space="0"/>
            </w:tcBorders>
            <w:noWrap w:val="0"/>
            <w:vAlign w:val="center"/>
          </w:tcPr>
          <w:p>
            <w:pPr>
              <w:rPr>
                <w:rFonts w:ascii="宋体" w:hAnsi="宋体"/>
                <w:szCs w:val="21"/>
              </w:rPr>
            </w:pPr>
          </w:p>
        </w:tc>
        <w:tc>
          <w:tcPr>
            <w:tcW w:w="1620" w:type="dxa"/>
            <w:vMerge w:val="continue"/>
            <w:tcBorders>
              <w:left w:val="single" w:color="auto" w:sz="4" w:space="0"/>
              <w:right w:val="single" w:color="auto" w:sz="4" w:space="0"/>
            </w:tcBorders>
            <w:noWrap w:val="0"/>
            <w:vAlign w:val="center"/>
          </w:tcPr>
          <w:p>
            <w:pPr>
              <w:rPr>
                <w:rFonts w:ascii="宋体" w:hAnsi="宋体"/>
                <w:szCs w:val="21"/>
              </w:rPr>
            </w:pPr>
          </w:p>
        </w:tc>
        <w:tc>
          <w:tcPr>
            <w:tcW w:w="540" w:type="dxa"/>
            <w:vMerge w:val="continue"/>
            <w:tcBorders>
              <w:left w:val="single" w:color="auto" w:sz="4" w:space="0"/>
              <w:right w:val="single" w:color="auto" w:sz="4" w:space="0"/>
            </w:tcBorders>
            <w:noWrap w:val="0"/>
            <w:vAlign w:val="center"/>
          </w:tcPr>
          <w:p>
            <w:pPr>
              <w:jc w:val="center"/>
              <w:rPr>
                <w:rFonts w:hint="eastAsia" w:ascii="宋体" w:hAnsi="宋体"/>
                <w:szCs w:val="21"/>
              </w:rPr>
            </w:pPr>
          </w:p>
        </w:tc>
        <w:tc>
          <w:tcPr>
            <w:tcW w:w="1440" w:type="dxa"/>
            <w:vMerge w:val="continue"/>
            <w:tcBorders>
              <w:left w:val="single" w:color="auto" w:sz="4" w:space="0"/>
              <w:right w:val="single" w:color="auto" w:sz="4" w:space="0"/>
            </w:tcBorders>
            <w:noWrap w:val="0"/>
            <w:vAlign w:val="center"/>
          </w:tcPr>
          <w:p>
            <w:pPr>
              <w:spacing w:line="280" w:lineRule="exact"/>
              <w:jc w:val="center"/>
              <w:rPr>
                <w:rFonts w:hint="eastAsia" w:ascii="宋体" w:hAnsi="宋体"/>
                <w:szCs w:val="21"/>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04</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保洁作业时未设置警示牌</w:t>
            </w:r>
          </w:p>
        </w:tc>
        <w:tc>
          <w:tcPr>
            <w:tcW w:w="54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静态</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30分钟</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0.2分</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一立案即扣0.2</w:t>
            </w:r>
            <w:r>
              <w:rPr>
                <w:rFonts w:ascii="宋体" w:hAnsi="宋体"/>
                <w:szCs w:val="21"/>
              </w:rPr>
              <w:t>分，</w:t>
            </w:r>
            <w:r>
              <w:rPr>
                <w:rFonts w:hint="eastAsia" w:ascii="宋体" w:hAnsi="宋体"/>
                <w:szCs w:val="21"/>
              </w:rPr>
              <w:t>立案后30分钟内整改则结束扣分，超过30分钟整改，每30分钟扣0.2</w:t>
            </w:r>
            <w:r>
              <w:rPr>
                <w:rFonts w:ascii="宋体" w:hAnsi="宋体"/>
                <w:szCs w:val="21"/>
              </w:rPr>
              <w:t>分，扣分累计。</w:t>
            </w:r>
          </w:p>
        </w:tc>
      </w:tr>
      <w:tr>
        <w:tblPrEx>
          <w:tblCellMar>
            <w:top w:w="15" w:type="dxa"/>
            <w:left w:w="15" w:type="dxa"/>
            <w:bottom w:w="0" w:type="dxa"/>
            <w:right w:w="15" w:type="dxa"/>
          </w:tblCellMar>
        </w:tblPrEx>
        <w:trPr>
          <w:wBefore w:w="0" w:type="dxa"/>
          <w:wAfter w:w="0" w:type="dxa"/>
          <w:trHeight w:val="882" w:hRule="atLeast"/>
          <w:jc w:val="center"/>
        </w:trPr>
        <w:tc>
          <w:tcPr>
            <w:tcW w:w="780" w:type="dxa"/>
            <w:vMerge w:val="continue"/>
            <w:tcBorders>
              <w:left w:val="single" w:color="auto" w:sz="4" w:space="0"/>
              <w:right w:val="single" w:color="auto" w:sz="4" w:space="0"/>
            </w:tcBorders>
            <w:noWrap w:val="0"/>
            <w:vAlign w:val="center"/>
          </w:tcPr>
          <w:p>
            <w:pPr>
              <w:rPr>
                <w:rFonts w:ascii="宋体" w:hAnsi="宋体"/>
                <w:szCs w:val="21"/>
              </w:rPr>
            </w:pPr>
          </w:p>
        </w:tc>
        <w:tc>
          <w:tcPr>
            <w:tcW w:w="1620" w:type="dxa"/>
            <w:vMerge w:val="continue"/>
            <w:tcBorders>
              <w:left w:val="single" w:color="auto" w:sz="4" w:space="0"/>
              <w:right w:val="single" w:color="auto" w:sz="4" w:space="0"/>
            </w:tcBorders>
            <w:noWrap w:val="0"/>
            <w:vAlign w:val="center"/>
          </w:tcPr>
          <w:p>
            <w:pPr>
              <w:rPr>
                <w:rFonts w:ascii="宋体" w:hAnsi="宋体"/>
                <w:szCs w:val="21"/>
              </w:rPr>
            </w:pPr>
          </w:p>
        </w:tc>
        <w:tc>
          <w:tcPr>
            <w:tcW w:w="540" w:type="dxa"/>
            <w:vMerge w:val="continue"/>
            <w:tcBorders>
              <w:left w:val="single" w:color="auto" w:sz="4" w:space="0"/>
              <w:right w:val="single" w:color="auto" w:sz="4" w:space="0"/>
            </w:tcBorders>
            <w:noWrap w:val="0"/>
            <w:vAlign w:val="center"/>
          </w:tcPr>
          <w:p>
            <w:pPr>
              <w:jc w:val="center"/>
              <w:rPr>
                <w:rFonts w:hint="eastAsia" w:ascii="宋体" w:hAnsi="宋体"/>
                <w:szCs w:val="21"/>
              </w:rPr>
            </w:pPr>
          </w:p>
        </w:tc>
        <w:tc>
          <w:tcPr>
            <w:tcW w:w="1440" w:type="dxa"/>
            <w:vMerge w:val="continue"/>
            <w:tcBorders>
              <w:left w:val="single" w:color="auto" w:sz="4" w:space="0"/>
              <w:right w:val="single" w:color="auto" w:sz="4" w:space="0"/>
            </w:tcBorders>
            <w:noWrap w:val="0"/>
            <w:vAlign w:val="center"/>
          </w:tcPr>
          <w:p>
            <w:pPr>
              <w:spacing w:line="280" w:lineRule="exact"/>
              <w:jc w:val="center"/>
              <w:rPr>
                <w:rFonts w:hint="eastAsia" w:ascii="宋体" w:hAnsi="宋体"/>
                <w:szCs w:val="21"/>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05</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未按要求放置除臭用品、设置除四害设施、提供免费卫生纸等情况</w:t>
            </w:r>
          </w:p>
        </w:tc>
        <w:tc>
          <w:tcPr>
            <w:tcW w:w="54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静态</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30分钟</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0.4分</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一立案即扣0.4</w:t>
            </w:r>
            <w:r>
              <w:rPr>
                <w:rFonts w:ascii="宋体" w:hAnsi="宋体"/>
                <w:szCs w:val="21"/>
              </w:rPr>
              <w:t>分，</w:t>
            </w:r>
            <w:r>
              <w:rPr>
                <w:rFonts w:hint="eastAsia" w:ascii="宋体" w:hAnsi="宋体"/>
                <w:szCs w:val="21"/>
              </w:rPr>
              <w:t>立案后30分钟内整改则结束扣分，超过30分钟整改，每30分钟扣0.4</w:t>
            </w:r>
            <w:r>
              <w:rPr>
                <w:rFonts w:ascii="宋体" w:hAnsi="宋体"/>
                <w:szCs w:val="21"/>
              </w:rPr>
              <w:t>分，扣分累计。</w:t>
            </w:r>
          </w:p>
        </w:tc>
      </w:tr>
      <w:tr>
        <w:tblPrEx>
          <w:tblCellMar>
            <w:top w:w="15" w:type="dxa"/>
            <w:left w:w="15" w:type="dxa"/>
            <w:bottom w:w="0" w:type="dxa"/>
            <w:right w:w="15" w:type="dxa"/>
          </w:tblCellMar>
        </w:tblPrEx>
        <w:trPr>
          <w:wBefore w:w="0" w:type="dxa"/>
          <w:wAfter w:w="0" w:type="dxa"/>
          <w:trHeight w:val="882" w:hRule="atLeast"/>
          <w:jc w:val="center"/>
        </w:trPr>
        <w:tc>
          <w:tcPr>
            <w:tcW w:w="780" w:type="dxa"/>
            <w:vMerge w:val="continue"/>
            <w:tcBorders>
              <w:left w:val="single" w:color="auto" w:sz="4" w:space="0"/>
              <w:right w:val="single" w:color="auto" w:sz="4" w:space="0"/>
            </w:tcBorders>
            <w:noWrap w:val="0"/>
            <w:vAlign w:val="center"/>
          </w:tcPr>
          <w:p>
            <w:pPr>
              <w:rPr>
                <w:rFonts w:ascii="宋体" w:hAnsi="宋体"/>
                <w:szCs w:val="21"/>
              </w:rPr>
            </w:pPr>
          </w:p>
        </w:tc>
        <w:tc>
          <w:tcPr>
            <w:tcW w:w="1620" w:type="dxa"/>
            <w:vMerge w:val="continue"/>
            <w:tcBorders>
              <w:left w:val="single" w:color="auto" w:sz="4" w:space="0"/>
              <w:right w:val="single" w:color="auto" w:sz="4" w:space="0"/>
            </w:tcBorders>
            <w:noWrap w:val="0"/>
            <w:vAlign w:val="center"/>
          </w:tcPr>
          <w:p>
            <w:pPr>
              <w:rPr>
                <w:rFonts w:ascii="宋体" w:hAnsi="宋体"/>
                <w:szCs w:val="21"/>
              </w:rPr>
            </w:pPr>
          </w:p>
        </w:tc>
        <w:tc>
          <w:tcPr>
            <w:tcW w:w="540"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1440" w:type="dxa"/>
            <w:vMerge w:val="continue"/>
            <w:tcBorders>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szCs w:val="21"/>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06</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化粪池盖破损、移位，未及时消除隐患</w:t>
            </w:r>
          </w:p>
        </w:tc>
        <w:tc>
          <w:tcPr>
            <w:tcW w:w="54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静态</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2小时</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1分</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一立案即扣1</w:t>
            </w:r>
            <w:r>
              <w:rPr>
                <w:rFonts w:ascii="宋体" w:hAnsi="宋体"/>
                <w:szCs w:val="21"/>
              </w:rPr>
              <w:t>分，</w:t>
            </w:r>
            <w:r>
              <w:rPr>
                <w:rFonts w:hint="eastAsia" w:ascii="宋体" w:hAnsi="宋体"/>
                <w:szCs w:val="21"/>
              </w:rPr>
              <w:t>立案后2小时内整改则结束扣分，超过2小时整改，每2小时扣1</w:t>
            </w:r>
            <w:r>
              <w:rPr>
                <w:rFonts w:ascii="宋体" w:hAnsi="宋体"/>
                <w:szCs w:val="21"/>
              </w:rPr>
              <w:t>分，扣分累计。</w:t>
            </w:r>
          </w:p>
        </w:tc>
      </w:tr>
      <w:tr>
        <w:tblPrEx>
          <w:tblCellMar>
            <w:top w:w="15" w:type="dxa"/>
            <w:left w:w="15" w:type="dxa"/>
            <w:bottom w:w="0" w:type="dxa"/>
            <w:right w:w="15" w:type="dxa"/>
          </w:tblCellMar>
        </w:tblPrEx>
        <w:trPr>
          <w:wBefore w:w="0" w:type="dxa"/>
          <w:wAfter w:w="0" w:type="dxa"/>
          <w:trHeight w:val="882" w:hRule="atLeast"/>
          <w:jc w:val="center"/>
        </w:trPr>
        <w:tc>
          <w:tcPr>
            <w:tcW w:w="780" w:type="dxa"/>
            <w:vMerge w:val="continue"/>
            <w:tcBorders>
              <w:left w:val="single" w:color="auto" w:sz="4" w:space="0"/>
              <w:right w:val="single" w:color="auto" w:sz="4" w:space="0"/>
            </w:tcBorders>
            <w:noWrap w:val="0"/>
            <w:vAlign w:val="center"/>
          </w:tcPr>
          <w:p>
            <w:pPr>
              <w:rPr>
                <w:rFonts w:ascii="宋体" w:hAnsi="宋体"/>
                <w:szCs w:val="21"/>
              </w:rPr>
            </w:pPr>
          </w:p>
        </w:tc>
        <w:tc>
          <w:tcPr>
            <w:tcW w:w="1620" w:type="dxa"/>
            <w:vMerge w:val="continue"/>
            <w:tcBorders>
              <w:left w:val="single" w:color="auto" w:sz="4" w:space="0"/>
              <w:right w:val="single" w:color="auto" w:sz="4" w:space="0"/>
            </w:tcBorders>
            <w:noWrap w:val="0"/>
            <w:vAlign w:val="center"/>
          </w:tcPr>
          <w:p>
            <w:pPr>
              <w:rPr>
                <w:rFonts w:ascii="宋体" w:hAnsi="宋体"/>
                <w:szCs w:val="21"/>
              </w:rPr>
            </w:pPr>
          </w:p>
        </w:tc>
        <w:tc>
          <w:tcPr>
            <w:tcW w:w="540" w:type="dxa"/>
            <w:vMerge w:val="restart"/>
            <w:tcBorders>
              <w:top w:val="single" w:color="auto" w:sz="4" w:space="0"/>
              <w:left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06</w:t>
            </w:r>
          </w:p>
        </w:tc>
        <w:tc>
          <w:tcPr>
            <w:tcW w:w="1440" w:type="dxa"/>
            <w:vMerge w:val="restart"/>
            <w:tcBorders>
              <w:top w:val="single" w:color="auto" w:sz="4" w:space="0"/>
              <w:left w:val="single" w:color="auto" w:sz="4" w:space="0"/>
              <w:right w:val="single" w:color="auto" w:sz="4" w:space="0"/>
            </w:tcBorders>
            <w:noWrap w:val="0"/>
            <w:vAlign w:val="center"/>
          </w:tcPr>
          <w:p>
            <w:pPr>
              <w:rPr>
                <w:rFonts w:ascii="宋体" w:hAnsi="宋体"/>
                <w:szCs w:val="21"/>
              </w:rPr>
            </w:pPr>
            <w:r>
              <w:rPr>
                <w:rFonts w:hint="eastAsia" w:ascii="宋体" w:hAnsi="宋体"/>
                <w:szCs w:val="21"/>
              </w:rPr>
              <w:t>管理房（工具房）问题</w:t>
            </w: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01</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管理放（工具房）内工具摆放杂乱、环境脏乱、堆放无关物品等脏乱情况</w:t>
            </w:r>
          </w:p>
        </w:tc>
        <w:tc>
          <w:tcPr>
            <w:tcW w:w="54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静态</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30分钟</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0.2分</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一立案即扣0.2</w:t>
            </w:r>
            <w:r>
              <w:rPr>
                <w:rFonts w:ascii="宋体" w:hAnsi="宋体"/>
                <w:szCs w:val="21"/>
              </w:rPr>
              <w:t>分，</w:t>
            </w:r>
            <w:r>
              <w:rPr>
                <w:rFonts w:hint="eastAsia" w:ascii="宋体" w:hAnsi="宋体"/>
                <w:szCs w:val="21"/>
              </w:rPr>
              <w:t>立案后30分钟内整改则结束扣分，超过30分钟整改，每30分钟扣0.2</w:t>
            </w:r>
            <w:r>
              <w:rPr>
                <w:rFonts w:ascii="宋体" w:hAnsi="宋体"/>
                <w:szCs w:val="21"/>
              </w:rPr>
              <w:t>分，扣分累计。</w:t>
            </w:r>
          </w:p>
        </w:tc>
      </w:tr>
      <w:tr>
        <w:tblPrEx>
          <w:tblCellMar>
            <w:top w:w="15" w:type="dxa"/>
            <w:left w:w="15" w:type="dxa"/>
            <w:bottom w:w="0" w:type="dxa"/>
            <w:right w:w="15" w:type="dxa"/>
          </w:tblCellMar>
        </w:tblPrEx>
        <w:trPr>
          <w:wBefore w:w="0" w:type="dxa"/>
          <w:wAfter w:w="0" w:type="dxa"/>
          <w:trHeight w:val="882" w:hRule="atLeast"/>
          <w:jc w:val="center"/>
        </w:trPr>
        <w:tc>
          <w:tcPr>
            <w:tcW w:w="780" w:type="dxa"/>
            <w:vMerge w:val="continue"/>
            <w:tcBorders>
              <w:left w:val="single" w:color="auto" w:sz="4" w:space="0"/>
              <w:right w:val="single" w:color="auto" w:sz="4" w:space="0"/>
            </w:tcBorders>
            <w:noWrap w:val="0"/>
            <w:vAlign w:val="center"/>
          </w:tcPr>
          <w:p>
            <w:pPr>
              <w:rPr>
                <w:rFonts w:ascii="宋体" w:hAnsi="宋体"/>
                <w:szCs w:val="21"/>
              </w:rPr>
            </w:pPr>
          </w:p>
        </w:tc>
        <w:tc>
          <w:tcPr>
            <w:tcW w:w="1620" w:type="dxa"/>
            <w:vMerge w:val="continue"/>
            <w:tcBorders>
              <w:left w:val="single" w:color="auto" w:sz="4" w:space="0"/>
              <w:right w:val="single" w:color="auto" w:sz="4" w:space="0"/>
            </w:tcBorders>
            <w:noWrap w:val="0"/>
            <w:vAlign w:val="center"/>
          </w:tcPr>
          <w:p>
            <w:pPr>
              <w:rPr>
                <w:rFonts w:ascii="宋体" w:hAnsi="宋体"/>
                <w:szCs w:val="21"/>
              </w:rPr>
            </w:pPr>
          </w:p>
        </w:tc>
        <w:tc>
          <w:tcPr>
            <w:tcW w:w="540" w:type="dxa"/>
            <w:vMerge w:val="continue"/>
            <w:tcBorders>
              <w:left w:val="single" w:color="auto" w:sz="4" w:space="0"/>
              <w:right w:val="single" w:color="auto" w:sz="4" w:space="0"/>
            </w:tcBorders>
            <w:noWrap w:val="0"/>
            <w:vAlign w:val="center"/>
          </w:tcPr>
          <w:p>
            <w:pPr>
              <w:jc w:val="center"/>
              <w:rPr>
                <w:rFonts w:hint="eastAsia" w:ascii="宋体" w:hAnsi="宋体"/>
                <w:szCs w:val="21"/>
              </w:rPr>
            </w:pPr>
          </w:p>
        </w:tc>
        <w:tc>
          <w:tcPr>
            <w:tcW w:w="1440" w:type="dxa"/>
            <w:vMerge w:val="continue"/>
            <w:tcBorders>
              <w:left w:val="single" w:color="auto" w:sz="4" w:space="0"/>
              <w:right w:val="single" w:color="auto" w:sz="4" w:space="0"/>
            </w:tcBorders>
            <w:noWrap w:val="0"/>
            <w:vAlign w:val="center"/>
          </w:tcPr>
          <w:p>
            <w:pPr>
              <w:spacing w:line="280" w:lineRule="exact"/>
              <w:jc w:val="center"/>
              <w:rPr>
                <w:rFonts w:hint="eastAsia" w:ascii="宋体" w:hAnsi="宋体"/>
                <w:szCs w:val="21"/>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02</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私拉电线、使用大功率电器、使用明火、存放危险物品等存在安全隐患的情况</w:t>
            </w:r>
          </w:p>
        </w:tc>
        <w:tc>
          <w:tcPr>
            <w:tcW w:w="54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静态</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30分钟</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2分</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一立案即扣2</w:t>
            </w:r>
            <w:r>
              <w:rPr>
                <w:rFonts w:ascii="宋体" w:hAnsi="宋体"/>
                <w:szCs w:val="21"/>
              </w:rPr>
              <w:t>分，</w:t>
            </w:r>
            <w:r>
              <w:rPr>
                <w:rFonts w:hint="eastAsia" w:ascii="宋体" w:hAnsi="宋体"/>
                <w:szCs w:val="21"/>
              </w:rPr>
              <w:t>立案后30分钟内整改则结束扣分，超过30分钟整改，每30分钟扣2</w:t>
            </w:r>
            <w:r>
              <w:rPr>
                <w:rFonts w:ascii="宋体" w:hAnsi="宋体"/>
                <w:szCs w:val="21"/>
              </w:rPr>
              <w:t>分，扣分累计。</w:t>
            </w:r>
          </w:p>
        </w:tc>
      </w:tr>
      <w:tr>
        <w:tblPrEx>
          <w:tblCellMar>
            <w:top w:w="15" w:type="dxa"/>
            <w:left w:w="15" w:type="dxa"/>
            <w:bottom w:w="0" w:type="dxa"/>
            <w:right w:w="15" w:type="dxa"/>
          </w:tblCellMar>
        </w:tblPrEx>
        <w:trPr>
          <w:wBefore w:w="0" w:type="dxa"/>
          <w:wAfter w:w="0" w:type="dxa"/>
          <w:trHeight w:val="882" w:hRule="atLeast"/>
          <w:jc w:val="center"/>
        </w:trPr>
        <w:tc>
          <w:tcPr>
            <w:tcW w:w="780" w:type="dxa"/>
            <w:vMerge w:val="continue"/>
            <w:tcBorders>
              <w:left w:val="single" w:color="auto" w:sz="4" w:space="0"/>
              <w:bottom w:val="single" w:color="auto" w:sz="4" w:space="0"/>
              <w:right w:val="single" w:color="auto" w:sz="4" w:space="0"/>
            </w:tcBorders>
            <w:noWrap w:val="0"/>
            <w:vAlign w:val="top"/>
          </w:tcPr>
          <w:p>
            <w:pPr>
              <w:rPr>
                <w:rFonts w:ascii="宋体" w:hAnsi="宋体"/>
                <w:szCs w:val="21"/>
              </w:rPr>
            </w:pPr>
          </w:p>
        </w:tc>
        <w:tc>
          <w:tcPr>
            <w:tcW w:w="1620" w:type="dxa"/>
            <w:vMerge w:val="continue"/>
            <w:tcBorders>
              <w:left w:val="single" w:color="auto" w:sz="4" w:space="0"/>
              <w:bottom w:val="single" w:color="auto" w:sz="4" w:space="0"/>
              <w:right w:val="single" w:color="auto" w:sz="4" w:space="0"/>
            </w:tcBorders>
            <w:noWrap w:val="0"/>
            <w:vAlign w:val="top"/>
          </w:tcPr>
          <w:p>
            <w:pPr>
              <w:rPr>
                <w:rFonts w:ascii="宋体" w:hAnsi="宋体"/>
                <w:szCs w:val="21"/>
              </w:rPr>
            </w:pPr>
          </w:p>
        </w:tc>
        <w:tc>
          <w:tcPr>
            <w:tcW w:w="540"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1440" w:type="dxa"/>
            <w:vMerge w:val="continue"/>
            <w:tcBorders>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szCs w:val="21"/>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Cs w:val="21"/>
              </w:rPr>
            </w:pPr>
            <w:r>
              <w:rPr>
                <w:rFonts w:hint="eastAsia" w:ascii="宋体" w:hAnsi="宋体"/>
                <w:szCs w:val="21"/>
              </w:rPr>
              <w:t>03</w:t>
            </w:r>
          </w:p>
        </w:tc>
        <w:tc>
          <w:tcPr>
            <w:tcW w:w="324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Cs w:val="21"/>
              </w:rPr>
            </w:pPr>
            <w:r>
              <w:rPr>
                <w:rFonts w:hint="eastAsia" w:ascii="宋体" w:hAnsi="宋体"/>
                <w:szCs w:val="21"/>
              </w:rPr>
              <w:t>管理房（工具房）内住人、逗留无关人员</w:t>
            </w:r>
          </w:p>
        </w:tc>
        <w:tc>
          <w:tcPr>
            <w:tcW w:w="54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Cs w:val="21"/>
              </w:rPr>
            </w:pPr>
            <w:r>
              <w:rPr>
                <w:rFonts w:hint="eastAsia" w:ascii="宋体" w:hAnsi="宋体"/>
                <w:szCs w:val="21"/>
              </w:rPr>
              <w:t>静态</w:t>
            </w:r>
          </w:p>
        </w:tc>
        <w:tc>
          <w:tcPr>
            <w:tcW w:w="108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Cs w:val="21"/>
              </w:rPr>
            </w:pPr>
            <w:r>
              <w:rPr>
                <w:rFonts w:hint="eastAsia" w:ascii="宋体" w:hAnsi="宋体"/>
                <w:szCs w:val="21"/>
              </w:rPr>
              <w:t>1个工作日</w:t>
            </w:r>
          </w:p>
        </w:tc>
        <w:tc>
          <w:tcPr>
            <w:tcW w:w="90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Cs w:val="21"/>
              </w:rPr>
            </w:pPr>
            <w:r>
              <w:rPr>
                <w:rFonts w:hint="eastAsia" w:ascii="宋体" w:hAnsi="宋体"/>
                <w:szCs w:val="21"/>
              </w:rPr>
              <w:t>2分</w:t>
            </w:r>
          </w:p>
        </w:tc>
        <w:tc>
          <w:tcPr>
            <w:tcW w:w="378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Cs w:val="21"/>
              </w:rPr>
            </w:pPr>
            <w:r>
              <w:rPr>
                <w:rFonts w:hint="eastAsia" w:ascii="宋体" w:hAnsi="宋体"/>
                <w:szCs w:val="21"/>
              </w:rPr>
              <w:t>一立案即扣2</w:t>
            </w:r>
            <w:r>
              <w:rPr>
                <w:rFonts w:ascii="宋体" w:hAnsi="宋体"/>
                <w:szCs w:val="21"/>
              </w:rPr>
              <w:t>分，</w:t>
            </w:r>
            <w:r>
              <w:rPr>
                <w:rFonts w:hint="eastAsia" w:ascii="宋体" w:hAnsi="宋体"/>
                <w:szCs w:val="21"/>
              </w:rPr>
              <w:t>立案后1个工作日内整改则结束扣分，超过1个工作日整改，每1个工作日扣2</w:t>
            </w:r>
            <w:r>
              <w:rPr>
                <w:rFonts w:ascii="宋体" w:hAnsi="宋体"/>
                <w:szCs w:val="21"/>
              </w:rPr>
              <w:t>分，扣分累计。</w:t>
            </w:r>
          </w:p>
        </w:tc>
      </w:tr>
      <w:tr>
        <w:tblPrEx>
          <w:tblCellMar>
            <w:top w:w="15" w:type="dxa"/>
            <w:left w:w="15" w:type="dxa"/>
            <w:bottom w:w="0" w:type="dxa"/>
            <w:right w:w="15" w:type="dxa"/>
          </w:tblCellMar>
        </w:tblPrEx>
        <w:trPr>
          <w:wBefore w:w="0" w:type="dxa"/>
          <w:wAfter w:w="0" w:type="dxa"/>
          <w:trHeight w:val="882" w:hRule="atLeast"/>
          <w:jc w:val="center"/>
        </w:trPr>
        <w:tc>
          <w:tcPr>
            <w:tcW w:w="780" w:type="dxa"/>
            <w:vMerge w:val="restart"/>
            <w:tcBorders>
              <w:top w:val="single" w:color="auto" w:sz="4" w:space="0"/>
              <w:left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08</w:t>
            </w:r>
          </w:p>
        </w:tc>
        <w:tc>
          <w:tcPr>
            <w:tcW w:w="1620" w:type="dxa"/>
            <w:vMerge w:val="restart"/>
            <w:tcBorders>
              <w:top w:val="single" w:color="auto" w:sz="4" w:space="0"/>
              <w:left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各类督办</w:t>
            </w:r>
          </w:p>
        </w:tc>
        <w:tc>
          <w:tcPr>
            <w:tcW w:w="540"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b/>
                <w:szCs w:val="21"/>
              </w:rPr>
            </w:pPr>
            <w:r>
              <w:rPr>
                <w:rFonts w:hint="eastAsia" w:ascii="宋体" w:hAnsi="宋体"/>
                <w:b/>
                <w:szCs w:val="21"/>
              </w:rPr>
              <w:t>01</w:t>
            </w:r>
          </w:p>
        </w:tc>
        <w:tc>
          <w:tcPr>
            <w:tcW w:w="1440" w:type="dxa"/>
            <w:vMerge w:val="restart"/>
            <w:tcBorders>
              <w:top w:val="single" w:color="auto" w:sz="4" w:space="0"/>
              <w:left w:val="single" w:color="auto" w:sz="4" w:space="0"/>
              <w:right w:val="single" w:color="auto" w:sz="4" w:space="0"/>
            </w:tcBorders>
            <w:noWrap w:val="0"/>
            <w:vAlign w:val="center"/>
          </w:tcPr>
          <w:p>
            <w:pPr>
              <w:spacing w:line="280" w:lineRule="exact"/>
              <w:jc w:val="center"/>
              <w:rPr>
                <w:rFonts w:hint="eastAsia" w:ascii="宋体" w:hAnsi="宋体"/>
                <w:b/>
                <w:szCs w:val="21"/>
              </w:rPr>
            </w:pPr>
            <w:r>
              <w:rPr>
                <w:rFonts w:hint="eastAsia" w:ascii="宋体" w:hAnsi="宋体"/>
                <w:b/>
                <w:szCs w:val="21"/>
              </w:rPr>
              <w:t>通报的问题</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b/>
                <w:szCs w:val="21"/>
              </w:rPr>
            </w:pPr>
            <w:r>
              <w:rPr>
                <w:rFonts w:hint="eastAsia" w:ascii="宋体" w:hAnsi="宋体"/>
                <w:b/>
                <w:szCs w:val="21"/>
              </w:rPr>
              <w:t>01</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b/>
                <w:szCs w:val="21"/>
              </w:rPr>
            </w:pPr>
            <w:r>
              <w:rPr>
                <w:rFonts w:hint="eastAsia" w:ascii="宋体" w:hAnsi="宋体"/>
                <w:b/>
                <w:szCs w:val="21"/>
              </w:rPr>
              <w:t>处领导及其他上级部门检查中发现的问题查实有责的</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b/>
                <w:szCs w:val="21"/>
              </w:rPr>
            </w:pPr>
            <w:r>
              <w:rPr>
                <w:rFonts w:hint="eastAsia" w:ascii="宋体" w:hAnsi="宋体"/>
                <w:b/>
                <w:szCs w:val="21"/>
              </w:rPr>
              <w:t>抄告</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b/>
                <w:szCs w:val="21"/>
              </w:rPr>
            </w:pPr>
            <w:r>
              <w:rPr>
                <w:rFonts w:hint="eastAsia" w:ascii="宋体" w:hAnsi="宋体"/>
                <w:b/>
                <w:szCs w:val="21"/>
              </w:rPr>
              <w:t>根据各类问题处置时间设置</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b/>
                <w:szCs w:val="21"/>
              </w:rPr>
            </w:pPr>
            <w:r>
              <w:rPr>
                <w:rFonts w:hint="eastAsia" w:ascii="宋体" w:hAnsi="宋体"/>
                <w:b/>
                <w:szCs w:val="21"/>
              </w:rPr>
              <w:t>按各类问题基础分值扣分</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b/>
                <w:szCs w:val="21"/>
              </w:rPr>
            </w:pPr>
            <w:r>
              <w:rPr>
                <w:rFonts w:hint="eastAsia" w:ascii="宋体" w:hAnsi="宋体"/>
                <w:b/>
                <w:szCs w:val="21"/>
              </w:rPr>
              <w:t>一立案即扣相应基础分值。立案后在规定时间内整改结束扣分，超过规定时间按对应大小类处置时限累计扣分。</w:t>
            </w:r>
          </w:p>
        </w:tc>
      </w:tr>
      <w:tr>
        <w:tblPrEx>
          <w:tblCellMar>
            <w:top w:w="15" w:type="dxa"/>
            <w:left w:w="15" w:type="dxa"/>
            <w:bottom w:w="0" w:type="dxa"/>
            <w:right w:w="15" w:type="dxa"/>
          </w:tblCellMar>
        </w:tblPrEx>
        <w:trPr>
          <w:wBefore w:w="0" w:type="dxa"/>
          <w:wAfter w:w="0" w:type="dxa"/>
          <w:trHeight w:val="882" w:hRule="atLeast"/>
          <w:jc w:val="center"/>
        </w:trPr>
        <w:tc>
          <w:tcPr>
            <w:tcW w:w="780" w:type="dxa"/>
            <w:vMerge w:val="continue"/>
            <w:tcBorders>
              <w:left w:val="single" w:color="auto" w:sz="4" w:space="0"/>
              <w:right w:val="single" w:color="auto" w:sz="4" w:space="0"/>
            </w:tcBorders>
            <w:noWrap w:val="0"/>
            <w:vAlign w:val="center"/>
          </w:tcPr>
          <w:p>
            <w:pPr>
              <w:jc w:val="center"/>
              <w:rPr>
                <w:rFonts w:hint="eastAsia" w:ascii="宋体" w:hAnsi="宋体"/>
                <w:szCs w:val="21"/>
              </w:rPr>
            </w:pPr>
          </w:p>
        </w:tc>
        <w:tc>
          <w:tcPr>
            <w:tcW w:w="1620" w:type="dxa"/>
            <w:vMerge w:val="continue"/>
            <w:tcBorders>
              <w:left w:val="single" w:color="auto" w:sz="4" w:space="0"/>
              <w:right w:val="single" w:color="auto" w:sz="4" w:space="0"/>
            </w:tcBorders>
            <w:noWrap w:val="0"/>
            <w:vAlign w:val="center"/>
          </w:tcPr>
          <w:p>
            <w:pPr>
              <w:jc w:val="center"/>
              <w:rPr>
                <w:rFonts w:hint="eastAsia" w:ascii="宋体" w:hAnsi="宋体"/>
                <w:szCs w:val="21"/>
              </w:rPr>
            </w:pPr>
          </w:p>
        </w:tc>
        <w:tc>
          <w:tcPr>
            <w:tcW w:w="540"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1440" w:type="dxa"/>
            <w:vMerge w:val="continue"/>
            <w:tcBorders>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szCs w:val="21"/>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b/>
                <w:szCs w:val="21"/>
              </w:rPr>
            </w:pPr>
            <w:r>
              <w:rPr>
                <w:rFonts w:hint="eastAsia" w:ascii="宋体" w:hAnsi="宋体"/>
                <w:b/>
                <w:szCs w:val="21"/>
              </w:rPr>
              <w:t>02</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b/>
                <w:szCs w:val="21"/>
              </w:rPr>
            </w:pPr>
            <w:r>
              <w:rPr>
                <w:rFonts w:hint="eastAsia" w:ascii="宋体" w:hAnsi="宋体"/>
                <w:b/>
                <w:szCs w:val="21"/>
              </w:rPr>
              <w:t>处领导及其他上级部门检查中发现的问题查实有责且受批评、通报的问题</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b/>
                <w:szCs w:val="21"/>
              </w:rPr>
            </w:pPr>
            <w:r>
              <w:rPr>
                <w:rFonts w:hint="eastAsia" w:ascii="宋体" w:hAnsi="宋体"/>
                <w:b/>
                <w:szCs w:val="21"/>
              </w:rPr>
              <w:t>抄告</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b/>
                <w:szCs w:val="21"/>
              </w:rPr>
            </w:pPr>
            <w:r>
              <w:rPr>
                <w:rFonts w:hint="eastAsia" w:ascii="宋体" w:hAnsi="宋体"/>
                <w:b/>
                <w:szCs w:val="21"/>
              </w:rPr>
              <w:t>根据实际情况决定</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b/>
                <w:szCs w:val="21"/>
              </w:rPr>
            </w:pPr>
            <w:r>
              <w:rPr>
                <w:rFonts w:hint="eastAsia" w:ascii="宋体" w:hAnsi="宋体"/>
                <w:b/>
                <w:szCs w:val="21"/>
              </w:rPr>
              <w:t>2分</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b/>
                <w:szCs w:val="21"/>
              </w:rPr>
            </w:pPr>
            <w:r>
              <w:rPr>
                <w:rFonts w:hint="eastAsia" w:ascii="宋体" w:hAnsi="宋体"/>
                <w:b/>
                <w:szCs w:val="21"/>
              </w:rPr>
              <w:t>一立案即扣2分。立案后在规定时间内整改扣分结束；超过规定时间整改加倍扣分</w:t>
            </w:r>
          </w:p>
        </w:tc>
      </w:tr>
      <w:tr>
        <w:tblPrEx>
          <w:tblCellMar>
            <w:top w:w="15" w:type="dxa"/>
            <w:left w:w="15" w:type="dxa"/>
            <w:bottom w:w="0" w:type="dxa"/>
            <w:right w:w="15" w:type="dxa"/>
          </w:tblCellMar>
        </w:tblPrEx>
        <w:trPr>
          <w:wBefore w:w="0" w:type="dxa"/>
          <w:wAfter w:w="0" w:type="dxa"/>
          <w:trHeight w:val="882" w:hRule="atLeast"/>
          <w:jc w:val="center"/>
        </w:trPr>
        <w:tc>
          <w:tcPr>
            <w:tcW w:w="780" w:type="dxa"/>
            <w:vMerge w:val="continue"/>
            <w:tcBorders>
              <w:left w:val="single" w:color="auto" w:sz="4" w:space="0"/>
              <w:right w:val="single" w:color="auto" w:sz="4" w:space="0"/>
            </w:tcBorders>
            <w:noWrap w:val="0"/>
            <w:vAlign w:val="center"/>
          </w:tcPr>
          <w:p>
            <w:pPr>
              <w:rPr>
                <w:rFonts w:ascii="宋体" w:hAnsi="宋体"/>
                <w:szCs w:val="21"/>
              </w:rPr>
            </w:pPr>
          </w:p>
        </w:tc>
        <w:tc>
          <w:tcPr>
            <w:tcW w:w="1620" w:type="dxa"/>
            <w:vMerge w:val="continue"/>
            <w:tcBorders>
              <w:left w:val="single" w:color="auto" w:sz="4" w:space="0"/>
              <w:right w:val="single" w:color="auto" w:sz="4" w:space="0"/>
            </w:tcBorders>
            <w:noWrap w:val="0"/>
            <w:vAlign w:val="center"/>
          </w:tcPr>
          <w:p>
            <w:pPr>
              <w:rPr>
                <w:rFonts w:ascii="宋体" w:hAnsi="宋体"/>
                <w:szCs w:val="21"/>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02</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出现有责投诉</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01</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szCs w:val="21"/>
              </w:rPr>
            </w:pPr>
            <w:r>
              <w:rPr>
                <w:rFonts w:hint="eastAsia" w:ascii="宋体" w:hAnsi="宋体"/>
                <w:szCs w:val="21"/>
              </w:rPr>
              <w:t>收到来自电话、信访、市长电话等途径的投诉并确认有责</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抄告</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根据实际情况决定</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2分</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szCs w:val="21"/>
              </w:rPr>
            </w:pPr>
            <w:r>
              <w:rPr>
                <w:rFonts w:hint="eastAsia" w:ascii="宋体" w:hAnsi="宋体"/>
                <w:szCs w:val="21"/>
              </w:rPr>
              <w:t>一立案即扣2分。立案后在规定时间内整改扣分结束；超过规定时间整改加倍扣分</w:t>
            </w:r>
          </w:p>
        </w:tc>
      </w:tr>
      <w:tr>
        <w:tblPrEx>
          <w:tblCellMar>
            <w:top w:w="15" w:type="dxa"/>
            <w:left w:w="15" w:type="dxa"/>
            <w:bottom w:w="0" w:type="dxa"/>
            <w:right w:w="15" w:type="dxa"/>
          </w:tblCellMar>
        </w:tblPrEx>
        <w:trPr>
          <w:wBefore w:w="0" w:type="dxa"/>
          <w:wAfter w:w="0" w:type="dxa"/>
          <w:trHeight w:val="882" w:hRule="atLeast"/>
          <w:jc w:val="center"/>
        </w:trPr>
        <w:tc>
          <w:tcPr>
            <w:tcW w:w="780" w:type="dxa"/>
            <w:vMerge w:val="continue"/>
            <w:tcBorders>
              <w:left w:val="single" w:color="auto" w:sz="4" w:space="0"/>
              <w:right w:val="single" w:color="auto" w:sz="4" w:space="0"/>
            </w:tcBorders>
            <w:noWrap w:val="0"/>
            <w:vAlign w:val="center"/>
          </w:tcPr>
          <w:p>
            <w:pPr>
              <w:rPr>
                <w:rFonts w:ascii="宋体" w:hAnsi="宋体"/>
                <w:szCs w:val="21"/>
              </w:rPr>
            </w:pPr>
          </w:p>
        </w:tc>
        <w:tc>
          <w:tcPr>
            <w:tcW w:w="1620" w:type="dxa"/>
            <w:vMerge w:val="continue"/>
            <w:tcBorders>
              <w:left w:val="single" w:color="auto" w:sz="4" w:space="0"/>
              <w:right w:val="single" w:color="auto" w:sz="4" w:space="0"/>
            </w:tcBorders>
            <w:noWrap w:val="0"/>
            <w:vAlign w:val="center"/>
          </w:tcPr>
          <w:p>
            <w:pPr>
              <w:rPr>
                <w:rFonts w:ascii="宋体" w:hAnsi="宋体"/>
                <w:szCs w:val="21"/>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03</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新闻媒体曝光</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01</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szCs w:val="21"/>
              </w:rPr>
            </w:pPr>
            <w:r>
              <w:rPr>
                <w:rFonts w:hint="eastAsia" w:ascii="宋体" w:hAnsi="宋体"/>
                <w:szCs w:val="21"/>
              </w:rPr>
              <w:t>遭新闻媒体光爆后查实有责的</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抄告</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根据实际情况决定</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4--20分</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szCs w:val="21"/>
              </w:rPr>
            </w:pPr>
            <w:r>
              <w:rPr>
                <w:rFonts w:hint="eastAsia" w:ascii="宋体" w:hAnsi="宋体"/>
                <w:szCs w:val="21"/>
              </w:rPr>
              <w:t>一立案即扣相应分数。立案后在规定时间内整改扣分结束；超过规定时间整改加倍扣分</w:t>
            </w:r>
          </w:p>
        </w:tc>
      </w:tr>
      <w:tr>
        <w:tblPrEx>
          <w:tblCellMar>
            <w:top w:w="15" w:type="dxa"/>
            <w:left w:w="15" w:type="dxa"/>
            <w:bottom w:w="0" w:type="dxa"/>
            <w:right w:w="15" w:type="dxa"/>
          </w:tblCellMar>
        </w:tblPrEx>
        <w:trPr>
          <w:wBefore w:w="0" w:type="dxa"/>
          <w:wAfter w:w="0" w:type="dxa"/>
          <w:trHeight w:val="882" w:hRule="atLeast"/>
          <w:jc w:val="center"/>
        </w:trPr>
        <w:tc>
          <w:tcPr>
            <w:tcW w:w="780" w:type="dxa"/>
            <w:vMerge w:val="continue"/>
            <w:tcBorders>
              <w:left w:val="single" w:color="auto" w:sz="4" w:space="0"/>
              <w:right w:val="single" w:color="auto" w:sz="4" w:space="0"/>
            </w:tcBorders>
            <w:noWrap w:val="0"/>
            <w:vAlign w:val="center"/>
          </w:tcPr>
          <w:p>
            <w:pPr>
              <w:rPr>
                <w:rFonts w:ascii="宋体" w:hAnsi="宋体"/>
                <w:szCs w:val="21"/>
              </w:rPr>
            </w:pPr>
          </w:p>
        </w:tc>
        <w:tc>
          <w:tcPr>
            <w:tcW w:w="1620" w:type="dxa"/>
            <w:vMerge w:val="continue"/>
            <w:tcBorders>
              <w:left w:val="single" w:color="auto" w:sz="4" w:space="0"/>
              <w:right w:val="single" w:color="auto" w:sz="4" w:space="0"/>
            </w:tcBorders>
            <w:noWrap w:val="0"/>
            <w:vAlign w:val="center"/>
          </w:tcPr>
          <w:p>
            <w:pPr>
              <w:rPr>
                <w:rFonts w:ascii="宋体" w:hAnsi="宋体"/>
                <w:szCs w:val="21"/>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04</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县级以上检查存在责任失分</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01</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szCs w:val="21"/>
              </w:rPr>
            </w:pPr>
            <w:r>
              <w:rPr>
                <w:rFonts w:hint="eastAsia" w:ascii="宋体" w:hAnsi="宋体"/>
                <w:szCs w:val="21"/>
              </w:rPr>
              <w:t>县级以上检查存在责任失分</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抄告</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根据实际情况决定</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20-60分</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szCs w:val="21"/>
              </w:rPr>
            </w:pPr>
            <w:r>
              <w:rPr>
                <w:rFonts w:hint="eastAsia" w:ascii="宋体" w:hAnsi="宋体"/>
                <w:szCs w:val="21"/>
              </w:rPr>
              <w:t>一立案即扣相应分数。立案后在规定时间内整改扣分结束；超过规定时间整改加倍扣分</w:t>
            </w:r>
          </w:p>
        </w:tc>
      </w:tr>
      <w:tr>
        <w:tblPrEx>
          <w:tblCellMar>
            <w:top w:w="15" w:type="dxa"/>
            <w:left w:w="15" w:type="dxa"/>
            <w:bottom w:w="0" w:type="dxa"/>
            <w:right w:w="15" w:type="dxa"/>
          </w:tblCellMar>
        </w:tblPrEx>
        <w:trPr>
          <w:wBefore w:w="0" w:type="dxa"/>
          <w:wAfter w:w="0" w:type="dxa"/>
          <w:trHeight w:val="882" w:hRule="atLeast"/>
          <w:jc w:val="center"/>
        </w:trPr>
        <w:tc>
          <w:tcPr>
            <w:tcW w:w="780" w:type="dxa"/>
            <w:vMerge w:val="continue"/>
            <w:tcBorders>
              <w:left w:val="single" w:color="auto" w:sz="4" w:space="0"/>
              <w:bottom w:val="single" w:color="auto" w:sz="4" w:space="0"/>
              <w:right w:val="single" w:color="auto" w:sz="4" w:space="0"/>
            </w:tcBorders>
            <w:noWrap w:val="0"/>
            <w:vAlign w:val="center"/>
          </w:tcPr>
          <w:p>
            <w:pPr>
              <w:rPr>
                <w:rFonts w:ascii="宋体" w:hAnsi="宋体"/>
                <w:szCs w:val="21"/>
              </w:rPr>
            </w:pPr>
          </w:p>
        </w:tc>
        <w:tc>
          <w:tcPr>
            <w:tcW w:w="1620" w:type="dxa"/>
            <w:vMerge w:val="continue"/>
            <w:tcBorders>
              <w:left w:val="single" w:color="auto" w:sz="4" w:space="0"/>
              <w:bottom w:val="single" w:color="auto" w:sz="4" w:space="0"/>
              <w:right w:val="single" w:color="auto" w:sz="4" w:space="0"/>
            </w:tcBorders>
            <w:noWrap w:val="0"/>
            <w:vAlign w:val="center"/>
          </w:tcPr>
          <w:p>
            <w:pPr>
              <w:rPr>
                <w:rFonts w:ascii="宋体" w:hAnsi="宋体"/>
                <w:szCs w:val="21"/>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05</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重大负面事件</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01</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szCs w:val="21"/>
              </w:rPr>
            </w:pPr>
            <w:r>
              <w:rPr>
                <w:rFonts w:hint="eastAsia" w:ascii="宋体" w:hAnsi="宋体"/>
                <w:szCs w:val="21"/>
              </w:rPr>
              <w:t>存在重大失责行为或社会影响极坏</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抄告</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根据实际情况决定</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szCs w:val="21"/>
              </w:rPr>
              <w:t>根据程度可扣50分以上</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szCs w:val="21"/>
              </w:rPr>
            </w:pPr>
            <w:r>
              <w:rPr>
                <w:rFonts w:hint="eastAsia" w:ascii="宋体" w:hAnsi="宋体"/>
                <w:szCs w:val="21"/>
              </w:rPr>
              <w:t>一立案即扣相应分数。立案后在规定时间内整改扣分结束；超过规定时间整改加倍扣分</w:t>
            </w:r>
          </w:p>
        </w:tc>
      </w:tr>
      <w:tr>
        <w:tblPrEx>
          <w:tblCellMar>
            <w:top w:w="15" w:type="dxa"/>
            <w:left w:w="15" w:type="dxa"/>
            <w:bottom w:w="0" w:type="dxa"/>
            <w:right w:w="15" w:type="dxa"/>
          </w:tblCellMar>
        </w:tblPrEx>
        <w:trPr>
          <w:wBefore w:w="0" w:type="dxa"/>
          <w:wAfter w:w="0" w:type="dxa"/>
          <w:trHeight w:val="468" w:hRule="atLeast"/>
          <w:jc w:val="center"/>
        </w:trPr>
        <w:tc>
          <w:tcPr>
            <w:tcW w:w="14460" w:type="dxa"/>
            <w:gridSpan w:val="10"/>
            <w:tcBorders>
              <w:top w:val="single" w:color="auto" w:sz="4" w:space="0"/>
              <w:left w:val="nil"/>
              <w:bottom w:val="nil"/>
              <w:right w:val="nil"/>
            </w:tcBorders>
            <w:noWrap w:val="0"/>
            <w:vAlign w:val="top"/>
          </w:tcPr>
          <w:p>
            <w:pPr>
              <w:spacing w:line="360" w:lineRule="auto"/>
              <w:rPr>
                <w:rFonts w:hint="eastAsia" w:ascii="宋体" w:hAnsi="宋体"/>
                <w:szCs w:val="21"/>
              </w:rPr>
            </w:pPr>
            <w:r>
              <w:rPr>
                <w:rFonts w:hint="eastAsia" w:ascii="宋体" w:hAnsi="宋体"/>
                <w:szCs w:val="21"/>
              </w:rPr>
              <w:t>备注：1、该考核细则为试行细则，环卫中心有权根据实际情况对该考核细则进行调整；</w:t>
            </w:r>
            <w:r>
              <w:rPr>
                <w:rFonts w:hint="eastAsia" w:ascii="宋体" w:hAnsi="宋体"/>
                <w:szCs w:val="21"/>
              </w:rPr>
              <w:br w:type="textWrapping"/>
            </w:r>
            <w:r>
              <w:rPr>
                <w:rFonts w:hint="eastAsia" w:ascii="宋体" w:hAnsi="宋体"/>
                <w:szCs w:val="21"/>
              </w:rPr>
              <w:t xml:space="preserve">      2、各类问题处置过程中，若责任承包公司存在弄虚作假情况，一经查实，按基础分值及超时扣分之和加倍扣分；</w:t>
            </w:r>
          </w:p>
          <w:p>
            <w:pPr>
              <w:spacing w:line="360" w:lineRule="auto"/>
              <w:rPr>
                <w:rFonts w:hint="eastAsia" w:ascii="宋体" w:hAnsi="宋体"/>
                <w:szCs w:val="21"/>
              </w:rPr>
            </w:pPr>
            <w:r>
              <w:rPr>
                <w:rFonts w:hint="eastAsia" w:ascii="宋体" w:hAnsi="宋体"/>
                <w:szCs w:val="21"/>
              </w:rPr>
              <w:t xml:space="preserve">      3、发生二次或多次派遣的，按基础分值及超时扣分之和加倍扣分；</w:t>
            </w:r>
          </w:p>
          <w:p>
            <w:pPr>
              <w:spacing w:line="360" w:lineRule="auto"/>
              <w:rPr>
                <w:rFonts w:hint="eastAsia" w:ascii="宋体" w:hAnsi="宋体"/>
                <w:szCs w:val="21"/>
              </w:rPr>
            </w:pPr>
            <w:r>
              <w:rPr>
                <w:rFonts w:hint="eastAsia" w:ascii="宋体" w:hAnsi="宋体"/>
                <w:szCs w:val="21"/>
              </w:rPr>
              <w:t xml:space="preserve">         以下情况定义为二次或多次派遣：</w:t>
            </w:r>
          </w:p>
          <w:p>
            <w:pPr>
              <w:numPr>
                <w:ilvl w:val="0"/>
                <w:numId w:val="9"/>
              </w:numPr>
              <w:spacing w:line="360" w:lineRule="auto"/>
              <w:rPr>
                <w:rFonts w:hint="eastAsia" w:ascii="宋体" w:hAnsi="宋体"/>
                <w:szCs w:val="21"/>
              </w:rPr>
            </w:pPr>
            <w:r>
              <w:rPr>
                <w:rFonts w:hint="eastAsia" w:ascii="宋体" w:hAnsi="宋体"/>
                <w:szCs w:val="21"/>
              </w:rPr>
              <w:t>案卷派遣给保洁公司后，随意回退或无正当理由回退，且最终派遣至该保洁公司处理的</w:t>
            </w:r>
          </w:p>
          <w:p>
            <w:pPr>
              <w:numPr>
                <w:ilvl w:val="0"/>
                <w:numId w:val="9"/>
              </w:numPr>
              <w:spacing w:line="360" w:lineRule="auto"/>
              <w:rPr>
                <w:rFonts w:hint="eastAsia" w:ascii="宋体" w:hAnsi="宋体"/>
                <w:szCs w:val="21"/>
              </w:rPr>
            </w:pPr>
            <w:r>
              <w:rPr>
                <w:rFonts w:hint="eastAsia" w:ascii="宋体" w:hAnsi="宋体"/>
                <w:szCs w:val="21"/>
              </w:rPr>
              <w:t>案卷内反映的问题未彻底处理造成二次或多次回退的</w:t>
            </w:r>
          </w:p>
          <w:p>
            <w:pPr>
              <w:numPr>
                <w:ilvl w:val="0"/>
                <w:numId w:val="9"/>
              </w:numPr>
              <w:spacing w:line="360" w:lineRule="auto"/>
              <w:rPr>
                <w:rFonts w:hint="eastAsia" w:ascii="宋体" w:hAnsi="宋体"/>
                <w:szCs w:val="21"/>
              </w:rPr>
            </w:pPr>
            <w:r>
              <w:rPr>
                <w:rFonts w:hint="eastAsia" w:ascii="宋体" w:hAnsi="宋体"/>
                <w:szCs w:val="21"/>
              </w:rPr>
              <w:t>反馈照片未能清晰反映处理结果造成二次或多次回退的</w:t>
            </w:r>
          </w:p>
          <w:p>
            <w:pPr>
              <w:spacing w:line="360" w:lineRule="auto"/>
              <w:rPr>
                <w:rFonts w:hint="eastAsia" w:ascii="宋体" w:hAnsi="宋体"/>
                <w:szCs w:val="21"/>
              </w:rPr>
            </w:pPr>
            <w:r>
              <w:rPr>
                <w:rFonts w:hint="eastAsia" w:ascii="宋体" w:hAnsi="宋体"/>
                <w:szCs w:val="21"/>
              </w:rPr>
              <w:t xml:space="preserve">      4、保洁公司之间相互推诿的，双方扣分。</w:t>
            </w:r>
          </w:p>
          <w:p>
            <w:pPr>
              <w:spacing w:line="360" w:lineRule="auto"/>
              <w:rPr>
                <w:rFonts w:hint="eastAsia" w:ascii="宋体" w:hAnsi="宋体"/>
                <w:szCs w:val="21"/>
              </w:rPr>
            </w:pPr>
            <w:r>
              <w:rPr>
                <w:rFonts w:hint="eastAsia" w:ascii="宋体" w:hAnsi="宋体"/>
                <w:szCs w:val="21"/>
              </w:rPr>
              <w:t xml:space="preserve">         </w:t>
            </w:r>
          </w:p>
        </w:tc>
      </w:tr>
    </w:tbl>
    <w:p>
      <w:pPr>
        <w:spacing w:line="360" w:lineRule="auto"/>
        <w:ind w:firstLine="120" w:firstLineChars="50"/>
        <w:rPr>
          <w:bCs/>
          <w:sz w:val="24"/>
        </w:rPr>
      </w:pPr>
    </w:p>
    <w:p>
      <w:pPr>
        <w:spacing w:line="360" w:lineRule="auto"/>
        <w:ind w:firstLine="120" w:firstLineChars="50"/>
        <w:rPr>
          <w:bCs/>
          <w:sz w:val="24"/>
        </w:rPr>
        <w:sectPr>
          <w:pgSz w:w="16840" w:h="11907" w:orient="landscape"/>
          <w:pgMar w:top="1134" w:right="1134" w:bottom="1418" w:left="1134" w:header="567" w:footer="567" w:gutter="0"/>
          <w:cols w:space="720" w:num="1"/>
          <w:docGrid w:linePitch="286" w:charSpace="0"/>
        </w:sectPr>
      </w:pPr>
    </w:p>
    <w:p>
      <w:pPr>
        <w:pStyle w:val="2"/>
        <w:numPr>
          <w:ilvl w:val="0"/>
          <w:numId w:val="0"/>
        </w:numPr>
        <w:spacing w:after="0" w:line="500" w:lineRule="exact"/>
        <w:rPr>
          <w:rFonts w:hint="eastAsia" w:ascii="宋体" w:hAnsi="宋体"/>
          <w:kern w:val="44"/>
          <w:szCs w:val="44"/>
        </w:rPr>
      </w:pPr>
      <w:r>
        <w:rPr>
          <w:rFonts w:hint="eastAsia" w:ascii="宋体" w:hAnsi="宋体"/>
          <w:kern w:val="44"/>
          <w:szCs w:val="44"/>
        </w:rPr>
        <w:t>附件十二：</w:t>
      </w:r>
      <w:bookmarkStart w:id="49" w:name="_Toc386486784"/>
      <w:r>
        <w:rPr>
          <w:rFonts w:hint="eastAsia" w:ascii="宋体" w:hAnsi="宋体"/>
          <w:kern w:val="44"/>
          <w:szCs w:val="44"/>
        </w:rPr>
        <w:t>评标办法</w:t>
      </w:r>
      <w:bookmarkEnd w:id="40"/>
      <w:bookmarkEnd w:id="45"/>
      <w:bookmarkEnd w:id="49"/>
    </w:p>
    <w:p>
      <w:pPr>
        <w:rPr>
          <w:rFonts w:hint="eastAsia"/>
        </w:rPr>
      </w:pPr>
    </w:p>
    <w:p>
      <w:pPr>
        <w:spacing w:line="500" w:lineRule="exact"/>
        <w:ind w:firstLine="480" w:firstLineChars="200"/>
        <w:rPr>
          <w:rFonts w:ascii="宋体" w:hAnsi="宋体"/>
          <w:sz w:val="24"/>
        </w:rPr>
      </w:pPr>
      <w:r>
        <w:rPr>
          <w:rFonts w:hint="eastAsia" w:ascii="宋体" w:hAnsi="宋体"/>
          <w:sz w:val="24"/>
        </w:rPr>
        <w:t>根据《中华人民共和国政府采购法》等有关法律法规，结合本项目的实际，按照公正、公平、科学的原则择优选择中标供应商，特制定本评标办法。</w:t>
      </w:r>
    </w:p>
    <w:p>
      <w:pPr>
        <w:spacing w:line="500" w:lineRule="exact"/>
        <w:ind w:firstLine="480" w:firstLineChars="200"/>
        <w:rPr>
          <w:rFonts w:ascii="宋体" w:hAnsi="宋体"/>
          <w:sz w:val="24"/>
        </w:rPr>
      </w:pPr>
      <w:r>
        <w:rPr>
          <w:rFonts w:hint="eastAsia" w:ascii="宋体" w:hAnsi="宋体"/>
          <w:sz w:val="24"/>
        </w:rPr>
        <w:t>一、总</w:t>
      </w:r>
      <w:r>
        <w:rPr>
          <w:rFonts w:ascii="宋体" w:hAnsi="宋体"/>
          <w:sz w:val="24"/>
        </w:rPr>
        <w:t xml:space="preserve"> </w:t>
      </w:r>
      <w:r>
        <w:rPr>
          <w:rFonts w:hint="eastAsia" w:ascii="宋体" w:hAnsi="宋体"/>
          <w:sz w:val="24"/>
        </w:rPr>
        <w:t>则</w:t>
      </w:r>
    </w:p>
    <w:p>
      <w:pPr>
        <w:spacing w:line="500" w:lineRule="exact"/>
        <w:ind w:firstLine="480" w:firstLineChars="200"/>
        <w:rPr>
          <w:rFonts w:ascii="宋体" w:hAnsi="宋体"/>
          <w:sz w:val="24"/>
        </w:rPr>
      </w:pPr>
      <w:r>
        <w:rPr>
          <w:rFonts w:hint="eastAsia" w:ascii="宋体" w:hAnsi="宋体"/>
          <w:sz w:val="24"/>
        </w:rPr>
        <w:t>评标工作必须遵循公平、公正的竞争原则。最大限度地保护当事人的权益，评标委员会应严格按照采购文件的商务技术标、价格标要求，对投标文件进行综合分析评价。评标人员必须严格遵守保密规定，不得泄露评标有关的情况，不得索贿，不得参加影响评标的任何活动。</w:t>
      </w:r>
    </w:p>
    <w:p>
      <w:pPr>
        <w:spacing w:line="500" w:lineRule="exact"/>
        <w:ind w:firstLine="480" w:firstLineChars="200"/>
        <w:rPr>
          <w:rFonts w:ascii="宋体" w:hAnsi="宋体"/>
          <w:sz w:val="24"/>
        </w:rPr>
      </w:pPr>
      <w:r>
        <w:rPr>
          <w:rFonts w:hint="eastAsia" w:ascii="宋体" w:hAnsi="宋体"/>
          <w:sz w:val="24"/>
        </w:rPr>
        <w:t>二、评标组织</w:t>
      </w:r>
    </w:p>
    <w:p>
      <w:pPr>
        <w:spacing w:line="500" w:lineRule="exact"/>
        <w:ind w:firstLine="480" w:firstLineChars="200"/>
        <w:rPr>
          <w:rFonts w:ascii="宋体" w:hAnsi="宋体"/>
          <w:sz w:val="24"/>
        </w:rPr>
      </w:pPr>
      <w:r>
        <w:rPr>
          <w:rFonts w:hint="eastAsia" w:ascii="宋体" w:hAnsi="宋体"/>
          <w:sz w:val="24"/>
        </w:rPr>
        <w:t>评标委员会：评标委员会按相关规定共由</w:t>
      </w:r>
      <w:r>
        <w:rPr>
          <w:rFonts w:ascii="宋体" w:hAnsi="宋体"/>
          <w:sz w:val="24"/>
        </w:rPr>
        <w:t>5</w:t>
      </w:r>
      <w:r>
        <w:rPr>
          <w:rFonts w:hint="eastAsia" w:ascii="宋体" w:hAnsi="宋体"/>
          <w:sz w:val="24"/>
        </w:rPr>
        <w:t>人及以上单数组成。</w:t>
      </w:r>
    </w:p>
    <w:p>
      <w:pPr>
        <w:spacing w:line="500" w:lineRule="exact"/>
        <w:ind w:firstLine="480" w:firstLineChars="200"/>
        <w:rPr>
          <w:rFonts w:ascii="宋体" w:hAnsi="宋体"/>
          <w:sz w:val="24"/>
        </w:rPr>
      </w:pPr>
      <w:r>
        <w:rPr>
          <w:rFonts w:hint="eastAsia" w:ascii="宋体" w:hAnsi="宋体"/>
          <w:sz w:val="24"/>
        </w:rPr>
        <w:t>三、评标程序</w:t>
      </w:r>
    </w:p>
    <w:p>
      <w:pPr>
        <w:spacing w:line="500" w:lineRule="exact"/>
        <w:ind w:firstLine="480" w:firstLineChars="200"/>
        <w:rPr>
          <w:rFonts w:ascii="宋体" w:hAnsi="宋体"/>
          <w:sz w:val="24"/>
        </w:rPr>
      </w:pPr>
      <w:r>
        <w:rPr>
          <w:rFonts w:ascii="宋体" w:hAnsi="宋体"/>
          <w:sz w:val="24"/>
        </w:rPr>
        <w:t>1</w:t>
      </w:r>
      <w:r>
        <w:rPr>
          <w:rFonts w:hint="eastAsia" w:ascii="宋体" w:hAnsi="宋体"/>
          <w:sz w:val="24"/>
        </w:rPr>
        <w:t>、开标后，首先验证供应商资格，评标委员会对投标书进行符合性审查。再对供应商资质、资信及方案进行评审；凡投标书设备、技术的实质性内容严重不符合采购文件规定或不响应采购文件要求者，经评标委员会及采购人认定，作为无效投标予以废除。</w:t>
      </w:r>
    </w:p>
    <w:p>
      <w:pPr>
        <w:spacing w:line="500" w:lineRule="exact"/>
        <w:ind w:firstLine="480" w:firstLineChars="200"/>
        <w:rPr>
          <w:rFonts w:ascii="宋体" w:hAnsi="宋体"/>
          <w:sz w:val="24"/>
        </w:rPr>
      </w:pPr>
      <w:r>
        <w:rPr>
          <w:rFonts w:hint="eastAsia" w:ascii="宋体" w:hAnsi="宋体"/>
          <w:sz w:val="24"/>
        </w:rPr>
        <w:t>2、采用综合评分法，评标委员会委员将根据供应商的商务技术标等内容对投标文件进行分析、评议、打分，如有疑问，将对供应商进行询标，供应商要向评标委员会澄清有关问题，并最终以书面形式进行答复。商务技术标评审结束后，依次开价格标，评标委员会委员审核价格标，并计算分值。</w:t>
      </w:r>
    </w:p>
    <w:p>
      <w:pPr>
        <w:spacing w:line="500" w:lineRule="exact"/>
        <w:ind w:firstLine="480" w:firstLineChars="200"/>
        <w:rPr>
          <w:rFonts w:ascii="宋体" w:hAnsi="宋体"/>
          <w:sz w:val="24"/>
        </w:rPr>
      </w:pPr>
      <w:r>
        <w:rPr>
          <w:rFonts w:ascii="宋体" w:hAnsi="宋体"/>
          <w:sz w:val="24"/>
        </w:rPr>
        <w:t>3</w:t>
      </w:r>
      <w:r>
        <w:rPr>
          <w:rFonts w:hint="eastAsia" w:ascii="宋体" w:hAnsi="宋体"/>
          <w:sz w:val="24"/>
        </w:rPr>
        <w:t>、具体评审步骤和方法：</w:t>
      </w:r>
    </w:p>
    <w:p>
      <w:pPr>
        <w:spacing w:line="500" w:lineRule="exact"/>
        <w:ind w:firstLine="480" w:firstLineChars="200"/>
        <w:rPr>
          <w:rFonts w:ascii="宋体" w:hAnsi="宋体"/>
          <w:sz w:val="24"/>
        </w:rPr>
      </w:pPr>
      <w:r>
        <w:rPr>
          <w:rFonts w:hint="eastAsia" w:ascii="宋体" w:hAnsi="宋体"/>
          <w:sz w:val="24"/>
        </w:rPr>
        <w:t>①第一步，由评标委员会对通过资格审查的供应商的商务技术标进行评审打分。评审打分完成后向供应商公布商务技术标分值。</w:t>
      </w:r>
    </w:p>
    <w:p>
      <w:pPr>
        <w:spacing w:line="500" w:lineRule="exact"/>
        <w:ind w:firstLine="480" w:firstLineChars="200"/>
        <w:rPr>
          <w:rFonts w:ascii="宋体" w:hAnsi="宋体"/>
          <w:sz w:val="24"/>
        </w:rPr>
      </w:pPr>
      <w:r>
        <w:rPr>
          <w:rFonts w:hint="eastAsia" w:ascii="宋体" w:hAnsi="宋体"/>
          <w:sz w:val="24"/>
        </w:rPr>
        <w:t>②第二步，开启价格标，对各供应商的价格标由评标委员会统一评审进行计算评分。</w:t>
      </w:r>
    </w:p>
    <w:p>
      <w:pPr>
        <w:spacing w:line="500" w:lineRule="exact"/>
        <w:ind w:firstLine="480" w:firstLineChars="200"/>
        <w:rPr>
          <w:rFonts w:ascii="宋体" w:hAnsi="宋体"/>
          <w:sz w:val="24"/>
        </w:rPr>
      </w:pPr>
      <w:r>
        <w:rPr>
          <w:rFonts w:hint="eastAsia" w:ascii="宋体" w:hAnsi="宋体"/>
          <w:sz w:val="24"/>
        </w:rPr>
        <w:t>③第三步，计算出各供应商的总得分。</w:t>
      </w:r>
    </w:p>
    <w:p>
      <w:pPr>
        <w:spacing w:line="500" w:lineRule="exact"/>
        <w:ind w:firstLine="480" w:firstLineChars="200"/>
        <w:rPr>
          <w:rFonts w:ascii="宋体" w:hAnsi="宋体"/>
          <w:sz w:val="24"/>
        </w:rPr>
      </w:pPr>
      <w:r>
        <w:rPr>
          <w:rFonts w:ascii="宋体" w:hAnsi="宋体"/>
          <w:sz w:val="24"/>
        </w:rPr>
        <w:t>4</w:t>
      </w:r>
      <w:r>
        <w:rPr>
          <w:rFonts w:hint="eastAsia" w:ascii="宋体" w:hAnsi="宋体"/>
          <w:sz w:val="24"/>
        </w:rPr>
        <w:t>、编写评标报告。</w:t>
      </w:r>
    </w:p>
    <w:p>
      <w:pPr>
        <w:spacing w:line="500" w:lineRule="exact"/>
        <w:ind w:firstLine="480" w:firstLineChars="200"/>
        <w:rPr>
          <w:rFonts w:ascii="宋体" w:hAnsi="宋体"/>
          <w:sz w:val="24"/>
        </w:rPr>
      </w:pPr>
      <w:r>
        <w:rPr>
          <w:rFonts w:ascii="宋体" w:hAnsi="宋体"/>
          <w:sz w:val="24"/>
        </w:rPr>
        <w:t>5</w:t>
      </w:r>
      <w:r>
        <w:rPr>
          <w:rFonts w:hint="eastAsia" w:ascii="宋体" w:hAnsi="宋体"/>
          <w:sz w:val="24"/>
        </w:rPr>
        <w:t>、根据中标结果在柯桥区公共资源交易中心指定的媒体上公示。</w:t>
      </w:r>
    </w:p>
    <w:p>
      <w:pPr>
        <w:spacing w:line="500" w:lineRule="exact"/>
        <w:ind w:firstLine="480" w:firstLineChars="200"/>
        <w:rPr>
          <w:rFonts w:ascii="宋体" w:hAnsi="宋体"/>
          <w:sz w:val="24"/>
        </w:rPr>
      </w:pPr>
      <w:r>
        <w:rPr>
          <w:rFonts w:hint="eastAsia" w:ascii="宋体" w:hAnsi="宋体"/>
          <w:sz w:val="24"/>
        </w:rPr>
        <w:t>四、评分项目说明</w:t>
      </w:r>
    </w:p>
    <w:p>
      <w:pPr>
        <w:spacing w:line="500" w:lineRule="exact"/>
        <w:ind w:firstLine="480" w:firstLineChars="200"/>
        <w:rPr>
          <w:rFonts w:ascii="宋体" w:hAnsi="宋体"/>
          <w:sz w:val="24"/>
        </w:rPr>
      </w:pPr>
      <w:r>
        <w:rPr>
          <w:rFonts w:hint="eastAsia" w:ascii="宋体" w:hAnsi="宋体"/>
          <w:sz w:val="24"/>
        </w:rPr>
        <w:t>1、商务技术分+价格分总分为100分，评标委员会成员评分在得分栏中填上分值。</w:t>
      </w:r>
    </w:p>
    <w:p>
      <w:pPr>
        <w:spacing w:line="500" w:lineRule="exact"/>
        <w:ind w:firstLine="480" w:firstLineChars="200"/>
        <w:rPr>
          <w:rFonts w:ascii="宋体" w:hAnsi="宋体"/>
          <w:sz w:val="24"/>
        </w:rPr>
      </w:pPr>
      <w:r>
        <w:rPr>
          <w:rFonts w:hint="eastAsia" w:ascii="宋体" w:hAnsi="宋体"/>
          <w:sz w:val="24"/>
        </w:rPr>
        <w:t>2、商务技术标80%，即满分80分。评标委员会成员按各供应商的商务技术标内容充分审核、讨论、评议后，按评分细则进行独立评判、打分。各供应商务技术标的最终评分值为评标委员会各成员评分值的算术平均值。</w:t>
      </w:r>
    </w:p>
    <w:p>
      <w:pPr>
        <w:spacing w:line="500" w:lineRule="exact"/>
        <w:ind w:firstLine="480" w:firstLineChars="200"/>
        <w:rPr>
          <w:rFonts w:ascii="宋体" w:hAnsi="宋体"/>
          <w:sz w:val="24"/>
        </w:rPr>
      </w:pPr>
      <w:r>
        <w:rPr>
          <w:rFonts w:ascii="宋体" w:hAnsi="宋体"/>
          <w:sz w:val="24"/>
          <w:u w:val="single"/>
        </w:rPr>
        <w:t>3</w:t>
      </w:r>
      <w:r>
        <w:rPr>
          <w:rFonts w:hint="eastAsia" w:ascii="宋体" w:hAnsi="宋体"/>
          <w:sz w:val="24"/>
          <w:u w:val="single"/>
        </w:rPr>
        <w:t>、价格标20</w:t>
      </w:r>
      <w:r>
        <w:rPr>
          <w:rFonts w:ascii="宋体" w:hAnsi="宋体"/>
          <w:sz w:val="24"/>
          <w:u w:val="single"/>
        </w:rPr>
        <w:t>%</w:t>
      </w:r>
      <w:r>
        <w:rPr>
          <w:rFonts w:hint="eastAsia" w:ascii="宋体" w:hAnsi="宋体"/>
          <w:sz w:val="24"/>
          <w:u w:val="single"/>
        </w:rPr>
        <w:t>，即满分20分。</w:t>
      </w:r>
      <w:r>
        <w:rPr>
          <w:rFonts w:hint="eastAsia" w:ascii="宋体" w:hAnsi="宋体"/>
          <w:sz w:val="24"/>
        </w:rPr>
        <w:t>评标委员会成员按评分细则对各供应商的报价进行统一计算评分。</w:t>
      </w:r>
    </w:p>
    <w:p>
      <w:pPr>
        <w:spacing w:line="500" w:lineRule="exact"/>
        <w:ind w:firstLine="480" w:firstLineChars="200"/>
        <w:rPr>
          <w:rFonts w:ascii="宋体" w:hAnsi="宋体"/>
          <w:sz w:val="24"/>
        </w:rPr>
      </w:pPr>
      <w:r>
        <w:rPr>
          <w:rFonts w:ascii="宋体" w:hAnsi="宋体"/>
          <w:sz w:val="24"/>
        </w:rPr>
        <w:t>4</w:t>
      </w:r>
      <w:r>
        <w:rPr>
          <w:rFonts w:hint="eastAsia" w:ascii="宋体" w:hAnsi="宋体"/>
          <w:sz w:val="24"/>
        </w:rPr>
        <w:t>、专家打分分值保留小数点后</w:t>
      </w:r>
      <w:r>
        <w:rPr>
          <w:rFonts w:ascii="宋体" w:hAnsi="宋体"/>
          <w:sz w:val="24"/>
        </w:rPr>
        <w:t>1</w:t>
      </w:r>
      <w:r>
        <w:rPr>
          <w:rFonts w:hint="eastAsia" w:ascii="宋体" w:hAnsi="宋体"/>
          <w:sz w:val="24"/>
        </w:rPr>
        <w:t>位。统计或计算分值时的精度最终精确到小数点后</w:t>
      </w:r>
      <w:r>
        <w:rPr>
          <w:rFonts w:ascii="宋体" w:hAnsi="宋体"/>
          <w:sz w:val="24"/>
        </w:rPr>
        <w:t>2</w:t>
      </w:r>
      <w:r>
        <w:rPr>
          <w:rFonts w:hint="eastAsia" w:ascii="宋体" w:hAnsi="宋体"/>
          <w:sz w:val="24"/>
        </w:rPr>
        <w:t>位。</w:t>
      </w:r>
    </w:p>
    <w:p>
      <w:pPr>
        <w:spacing w:line="500" w:lineRule="exact"/>
        <w:ind w:firstLine="480" w:firstLineChars="200"/>
        <w:rPr>
          <w:rFonts w:hint="eastAsia" w:ascii="宋体" w:hAnsi="宋体"/>
          <w:sz w:val="24"/>
        </w:rPr>
      </w:pPr>
      <w:r>
        <w:rPr>
          <w:rFonts w:hint="eastAsia" w:ascii="宋体" w:hAnsi="宋体"/>
          <w:sz w:val="24"/>
        </w:rPr>
        <w:t>五、评分细则</w:t>
      </w:r>
    </w:p>
    <w:p>
      <w:pPr>
        <w:spacing w:line="500" w:lineRule="exact"/>
        <w:rPr>
          <w:rFonts w:hint="eastAsia" w:ascii="宋体" w:hAnsi="宋体"/>
          <w:sz w:val="24"/>
          <w:u w:val="single"/>
        </w:rPr>
      </w:pPr>
      <w:r>
        <w:rPr>
          <w:rFonts w:hint="eastAsia" w:ascii="宋体" w:hAnsi="宋体"/>
          <w:sz w:val="24"/>
        </w:rPr>
        <w:t>1、商务技术评分标准（80分）</w:t>
      </w:r>
    </w:p>
    <w:tbl>
      <w:tblPr>
        <w:tblStyle w:val="41"/>
        <w:tblW w:w="9793" w:type="dxa"/>
        <w:tblInd w:w="96"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9"/>
        <w:gridCol w:w="1166"/>
        <w:gridCol w:w="7229"/>
        <w:gridCol w:w="70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536" w:hRule="atLeast"/>
        </w:trPr>
        <w:tc>
          <w:tcPr>
            <w:tcW w:w="689" w:type="dxa"/>
            <w:noWrap w:val="0"/>
            <w:vAlign w:val="center"/>
          </w:tcPr>
          <w:p>
            <w:pPr>
              <w:widowControl/>
              <w:spacing w:line="360" w:lineRule="auto"/>
              <w:jc w:val="center"/>
              <w:rPr>
                <w:rFonts w:ascii="宋体" w:hAnsi="宋体" w:cs="宋体"/>
                <w:bCs/>
                <w:kern w:val="0"/>
                <w:szCs w:val="21"/>
              </w:rPr>
            </w:pPr>
            <w:r>
              <w:rPr>
                <w:rFonts w:hint="eastAsia" w:ascii="宋体" w:hAnsi="宋体" w:cs="宋体"/>
                <w:bCs/>
                <w:kern w:val="0"/>
                <w:szCs w:val="21"/>
              </w:rPr>
              <w:t>序号</w:t>
            </w:r>
          </w:p>
        </w:tc>
        <w:tc>
          <w:tcPr>
            <w:tcW w:w="1166" w:type="dxa"/>
            <w:noWrap w:val="0"/>
            <w:vAlign w:val="center"/>
          </w:tcPr>
          <w:p>
            <w:pPr>
              <w:widowControl/>
              <w:spacing w:line="360" w:lineRule="auto"/>
              <w:jc w:val="center"/>
              <w:rPr>
                <w:rFonts w:ascii="宋体" w:hAnsi="宋体" w:cs="宋体"/>
                <w:bCs/>
                <w:kern w:val="0"/>
                <w:szCs w:val="21"/>
              </w:rPr>
            </w:pPr>
            <w:r>
              <w:rPr>
                <w:rFonts w:hint="eastAsia" w:ascii="宋体" w:hAnsi="宋体" w:cs="宋体"/>
                <w:bCs/>
                <w:kern w:val="0"/>
                <w:szCs w:val="21"/>
              </w:rPr>
              <w:t>评分内容</w:t>
            </w:r>
          </w:p>
        </w:tc>
        <w:tc>
          <w:tcPr>
            <w:tcW w:w="7229" w:type="dxa"/>
            <w:noWrap w:val="0"/>
            <w:vAlign w:val="center"/>
          </w:tcPr>
          <w:p>
            <w:pPr>
              <w:widowControl/>
              <w:spacing w:line="360" w:lineRule="auto"/>
              <w:jc w:val="center"/>
              <w:rPr>
                <w:rFonts w:ascii="宋体" w:hAnsi="宋体" w:cs="宋体"/>
                <w:bCs/>
                <w:kern w:val="0"/>
                <w:szCs w:val="21"/>
              </w:rPr>
            </w:pPr>
            <w:r>
              <w:rPr>
                <w:rFonts w:hint="eastAsia" w:ascii="宋体" w:hAnsi="宋体" w:cs="宋体"/>
                <w:bCs/>
                <w:kern w:val="0"/>
                <w:szCs w:val="21"/>
              </w:rPr>
              <w:t>评审细则</w:t>
            </w:r>
          </w:p>
        </w:tc>
        <w:tc>
          <w:tcPr>
            <w:tcW w:w="709" w:type="dxa"/>
            <w:noWrap w:val="0"/>
            <w:vAlign w:val="center"/>
          </w:tcPr>
          <w:p>
            <w:pPr>
              <w:widowControl/>
              <w:spacing w:line="360" w:lineRule="auto"/>
              <w:jc w:val="center"/>
              <w:rPr>
                <w:rFonts w:ascii="宋体" w:hAnsi="宋体" w:cs="宋体"/>
                <w:bCs/>
                <w:kern w:val="0"/>
                <w:szCs w:val="21"/>
              </w:rPr>
            </w:pPr>
            <w:r>
              <w:rPr>
                <w:rFonts w:hint="eastAsia" w:ascii="宋体" w:hAnsi="宋体" w:cs="宋体"/>
                <w:bCs/>
                <w:kern w:val="0"/>
                <w:szCs w:val="21"/>
              </w:rPr>
              <w:t>分值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625" w:hRule="atLeast"/>
        </w:trPr>
        <w:tc>
          <w:tcPr>
            <w:tcW w:w="689" w:type="dxa"/>
            <w:shd w:val="clear" w:color="auto" w:fill="auto"/>
            <w:noWrap w:val="0"/>
            <w:vAlign w:val="center"/>
          </w:tcPr>
          <w:p>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1166" w:type="dxa"/>
            <w:shd w:val="clear" w:color="auto" w:fill="auto"/>
            <w:noWrap w:val="0"/>
            <w:vAlign w:val="center"/>
          </w:tcPr>
          <w:p>
            <w:pPr>
              <w:widowControl/>
              <w:spacing w:line="360" w:lineRule="auto"/>
              <w:jc w:val="center"/>
              <w:rPr>
                <w:rFonts w:ascii="宋体" w:hAnsi="宋体" w:cs="宋体"/>
                <w:kern w:val="0"/>
                <w:szCs w:val="21"/>
              </w:rPr>
            </w:pPr>
            <w:r>
              <w:rPr>
                <w:rFonts w:hint="eastAsia" w:ascii="宋体" w:hAnsi="宋体" w:cs="宋体"/>
                <w:kern w:val="0"/>
                <w:szCs w:val="21"/>
              </w:rPr>
              <w:t>管理体系</w:t>
            </w:r>
          </w:p>
        </w:tc>
        <w:tc>
          <w:tcPr>
            <w:tcW w:w="7229" w:type="dxa"/>
            <w:shd w:val="clear" w:color="auto" w:fill="FFFFFF"/>
            <w:noWrap w:val="0"/>
            <w:vAlign w:val="center"/>
          </w:tcPr>
          <w:p>
            <w:pPr>
              <w:spacing w:line="276" w:lineRule="auto"/>
              <w:jc w:val="left"/>
              <w:rPr>
                <w:rFonts w:hint="eastAsia" w:ascii="宋体" w:hAnsi="宋体"/>
                <w:szCs w:val="21"/>
              </w:rPr>
            </w:pPr>
            <w:r>
              <w:rPr>
                <w:rFonts w:hint="eastAsia" w:ascii="宋体" w:hAnsi="宋体"/>
                <w:szCs w:val="21"/>
              </w:rPr>
              <w:t>供应商具有有效期内的质量管理体系认证书（ISO9001）、环境管理体系认证书（ISO14001）、职业健康安全管理体系认证证书（GB/T28001或OHSAS18001或ISO45001）的，每个得1分，最高得3分。</w:t>
            </w:r>
          </w:p>
          <w:p>
            <w:pPr>
              <w:spacing w:line="276" w:lineRule="auto"/>
              <w:rPr>
                <w:rFonts w:hint="eastAsia" w:ascii="宋体" w:hAnsi="宋体"/>
                <w:szCs w:val="21"/>
              </w:rPr>
            </w:pPr>
            <w:r>
              <w:rPr>
                <w:rFonts w:hint="eastAsia" w:ascii="宋体" w:hAnsi="宋体"/>
                <w:szCs w:val="21"/>
              </w:rPr>
              <w:t>注：投标文件中须提供证书复印件加盖投标供应商公章，并提供</w:t>
            </w:r>
            <w:bookmarkStart w:id="50" w:name="OLE_LINK7"/>
            <w:bookmarkStart w:id="51" w:name="OLE_LINK8"/>
            <w:r>
              <w:rPr>
                <w:rFonts w:hint="eastAsia" w:ascii="宋体" w:hAnsi="宋体"/>
                <w:szCs w:val="21"/>
              </w:rPr>
              <w:t>国家认证认可查询平台（http://cx.cnca.cn/CertECloud/result/skipResultList）网上查询截图</w:t>
            </w:r>
            <w:bookmarkEnd w:id="50"/>
            <w:bookmarkEnd w:id="51"/>
            <w:r>
              <w:rPr>
                <w:rFonts w:hint="eastAsia" w:ascii="宋体" w:hAnsi="宋体"/>
                <w:szCs w:val="21"/>
              </w:rPr>
              <w:t>加盖公章，</w:t>
            </w:r>
            <w:r>
              <w:rPr>
                <w:rFonts w:ascii="宋体" w:hAnsi="宋体"/>
                <w:szCs w:val="21"/>
              </w:rPr>
              <w:t>未提供或未在有效期限内不得分</w:t>
            </w:r>
            <w:r>
              <w:rPr>
                <w:rFonts w:hint="eastAsia" w:ascii="宋体" w:hAnsi="宋体"/>
                <w:szCs w:val="21"/>
              </w:rPr>
              <w:t>。</w:t>
            </w:r>
          </w:p>
        </w:tc>
        <w:tc>
          <w:tcPr>
            <w:tcW w:w="709" w:type="dxa"/>
            <w:shd w:val="clear" w:color="auto" w:fill="FFFFFF"/>
            <w:noWrap w:val="0"/>
            <w:vAlign w:val="center"/>
          </w:tcPr>
          <w:p>
            <w:pPr>
              <w:widowControl/>
              <w:spacing w:line="360" w:lineRule="auto"/>
              <w:jc w:val="center"/>
              <w:rPr>
                <w:rFonts w:hint="eastAsia" w:ascii="宋体" w:hAnsi="宋体" w:cs="宋体"/>
                <w:kern w:val="0"/>
                <w:sz w:val="22"/>
              </w:rPr>
            </w:pPr>
            <w:r>
              <w:rPr>
                <w:rFonts w:hint="eastAsia" w:ascii="宋体" w:hAnsi="宋体" w:cs="宋体"/>
                <w:kern w:val="0"/>
                <w:sz w:val="22"/>
              </w:rPr>
              <w:t>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625" w:hRule="atLeast"/>
        </w:trPr>
        <w:tc>
          <w:tcPr>
            <w:tcW w:w="689" w:type="dxa"/>
            <w:shd w:val="clear" w:color="auto" w:fill="auto"/>
            <w:noWrap w:val="0"/>
            <w:vAlign w:val="center"/>
          </w:tcPr>
          <w:p>
            <w:pPr>
              <w:widowControl/>
              <w:spacing w:line="360" w:lineRule="auto"/>
              <w:jc w:val="center"/>
              <w:rPr>
                <w:rFonts w:ascii="宋体" w:hAnsi="宋体" w:cs="宋体"/>
                <w:kern w:val="0"/>
                <w:szCs w:val="21"/>
              </w:rPr>
            </w:pPr>
            <w:r>
              <w:rPr>
                <w:rFonts w:hint="eastAsia" w:ascii="宋体" w:hAnsi="宋体" w:cs="宋体"/>
                <w:kern w:val="0"/>
                <w:szCs w:val="21"/>
              </w:rPr>
              <w:t>2</w:t>
            </w:r>
          </w:p>
        </w:tc>
        <w:tc>
          <w:tcPr>
            <w:tcW w:w="1166" w:type="dxa"/>
            <w:shd w:val="clear" w:color="auto" w:fill="auto"/>
            <w:noWrap w:val="0"/>
            <w:vAlign w:val="center"/>
          </w:tcPr>
          <w:p>
            <w:pPr>
              <w:widowControl/>
              <w:spacing w:line="360" w:lineRule="auto"/>
              <w:jc w:val="center"/>
              <w:rPr>
                <w:rFonts w:ascii="宋体" w:hAnsi="宋体" w:cs="宋体"/>
                <w:kern w:val="0"/>
                <w:szCs w:val="21"/>
              </w:rPr>
            </w:pPr>
            <w:r>
              <w:rPr>
                <w:rFonts w:ascii="宋体" w:hAnsi="宋体" w:cs="宋体"/>
                <w:kern w:val="0"/>
                <w:szCs w:val="21"/>
              </w:rPr>
              <w:t>企业</w:t>
            </w:r>
            <w:r>
              <w:rPr>
                <w:rFonts w:hint="eastAsia" w:ascii="宋体" w:hAnsi="宋体" w:cs="宋体"/>
                <w:kern w:val="0"/>
                <w:szCs w:val="21"/>
              </w:rPr>
              <w:t>信誉</w:t>
            </w:r>
          </w:p>
        </w:tc>
        <w:tc>
          <w:tcPr>
            <w:tcW w:w="7229" w:type="dxa"/>
            <w:shd w:val="clear" w:color="auto" w:fill="FFFFFF"/>
            <w:noWrap w:val="0"/>
            <w:vAlign w:val="center"/>
          </w:tcPr>
          <w:p>
            <w:pPr>
              <w:spacing w:line="276" w:lineRule="auto"/>
              <w:rPr>
                <w:rFonts w:hint="eastAsia" w:ascii="宋体" w:hAnsi="宋体"/>
                <w:szCs w:val="21"/>
              </w:rPr>
            </w:pPr>
            <w:r>
              <w:rPr>
                <w:rFonts w:hint="eastAsia" w:ascii="宋体" w:hAnsi="宋体"/>
                <w:szCs w:val="21"/>
              </w:rPr>
              <w:t>2017年1月1日至今获得过政府部门颁发的“守合同重信用”或“重合同守信用”企业，县区级的得1分，地市级的得3分，省级及以上的得5分，取最高荣誉，不累计得分，最高得 5分；</w:t>
            </w:r>
          </w:p>
          <w:p>
            <w:pPr>
              <w:spacing w:line="276" w:lineRule="auto"/>
              <w:rPr>
                <w:rFonts w:ascii="宋体" w:hAnsi="宋体"/>
                <w:b/>
                <w:szCs w:val="21"/>
              </w:rPr>
            </w:pPr>
            <w:r>
              <w:rPr>
                <w:rFonts w:ascii="宋体" w:hAnsi="宋体"/>
                <w:b/>
                <w:szCs w:val="21"/>
              </w:rPr>
              <w:t>注</w:t>
            </w:r>
            <w:r>
              <w:rPr>
                <w:rFonts w:hint="eastAsia" w:ascii="宋体" w:hAnsi="宋体"/>
                <w:b/>
                <w:szCs w:val="21"/>
              </w:rPr>
              <w:t>：</w:t>
            </w:r>
            <w:r>
              <w:rPr>
                <w:rFonts w:ascii="宋体" w:hAnsi="宋体"/>
                <w:b/>
                <w:szCs w:val="21"/>
              </w:rPr>
              <w:t>投标文件中提供相关证书的复印件加盖投标供应商公章</w:t>
            </w:r>
            <w:r>
              <w:rPr>
                <w:rFonts w:hint="eastAsia" w:ascii="宋体" w:hAnsi="宋体"/>
                <w:b/>
                <w:szCs w:val="21"/>
              </w:rPr>
              <w:t>，</w:t>
            </w:r>
            <w:r>
              <w:rPr>
                <w:rFonts w:ascii="宋体" w:hAnsi="宋体"/>
                <w:b/>
                <w:szCs w:val="21"/>
              </w:rPr>
              <w:t>未提供不得分</w:t>
            </w:r>
            <w:r>
              <w:rPr>
                <w:rFonts w:hint="eastAsia" w:ascii="宋体" w:hAnsi="宋体"/>
                <w:b/>
                <w:szCs w:val="21"/>
              </w:rPr>
              <w:t>。</w:t>
            </w:r>
          </w:p>
        </w:tc>
        <w:tc>
          <w:tcPr>
            <w:tcW w:w="709" w:type="dxa"/>
            <w:shd w:val="clear" w:color="auto" w:fill="FFFFFF"/>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625" w:hRule="atLeast"/>
        </w:trPr>
        <w:tc>
          <w:tcPr>
            <w:tcW w:w="689" w:type="dxa"/>
            <w:shd w:val="clear" w:color="auto" w:fill="auto"/>
            <w:noWrap w:val="0"/>
            <w:vAlign w:val="center"/>
          </w:tcPr>
          <w:p>
            <w:pPr>
              <w:widowControl/>
              <w:spacing w:line="360" w:lineRule="auto"/>
              <w:jc w:val="center"/>
              <w:rPr>
                <w:rFonts w:ascii="宋体" w:hAnsi="宋体" w:cs="宋体"/>
                <w:kern w:val="0"/>
                <w:szCs w:val="21"/>
              </w:rPr>
            </w:pPr>
            <w:r>
              <w:rPr>
                <w:rFonts w:hint="eastAsia" w:ascii="宋体" w:hAnsi="宋体" w:cs="宋体"/>
                <w:kern w:val="0"/>
                <w:szCs w:val="21"/>
              </w:rPr>
              <w:t>3</w:t>
            </w:r>
          </w:p>
        </w:tc>
        <w:tc>
          <w:tcPr>
            <w:tcW w:w="1166" w:type="dxa"/>
            <w:shd w:val="clear" w:color="auto" w:fill="auto"/>
            <w:noWrap w:val="0"/>
            <w:vAlign w:val="center"/>
          </w:tcPr>
          <w:p>
            <w:pPr>
              <w:widowControl/>
              <w:spacing w:line="360" w:lineRule="auto"/>
              <w:jc w:val="center"/>
              <w:rPr>
                <w:rFonts w:ascii="宋体" w:hAnsi="宋体" w:cs="宋体"/>
                <w:kern w:val="0"/>
                <w:szCs w:val="21"/>
              </w:rPr>
            </w:pPr>
            <w:r>
              <w:rPr>
                <w:rFonts w:ascii="宋体" w:hAnsi="宋体" w:cs="宋体"/>
                <w:kern w:val="0"/>
                <w:szCs w:val="21"/>
              </w:rPr>
              <w:t>企业荣誉</w:t>
            </w:r>
          </w:p>
        </w:tc>
        <w:tc>
          <w:tcPr>
            <w:tcW w:w="7229" w:type="dxa"/>
            <w:shd w:val="clear" w:color="auto" w:fill="FFFFFF"/>
            <w:noWrap w:val="0"/>
            <w:vAlign w:val="center"/>
          </w:tcPr>
          <w:p>
            <w:pPr>
              <w:spacing w:line="276" w:lineRule="auto"/>
              <w:rPr>
                <w:rFonts w:hint="eastAsia" w:ascii="宋体" w:hAnsi="宋体"/>
                <w:szCs w:val="21"/>
              </w:rPr>
            </w:pPr>
            <w:r>
              <w:rPr>
                <w:rFonts w:hint="eastAsia" w:ascii="宋体" w:hAnsi="宋体"/>
                <w:szCs w:val="21"/>
              </w:rPr>
              <w:t>2017年1月1日以来，供应商或其法定代表人获得过县区级及以上政府主管部门颁发的荣誉证书的，县区级的得1分，地市级的得3分，省级及以上的得5分，取最高荣誉，最高得5分；注：投标文件中提供相关证书的复印件加盖投标供应商公章，未提供不得分。</w:t>
            </w:r>
          </w:p>
          <w:p>
            <w:pPr>
              <w:spacing w:line="276" w:lineRule="auto"/>
              <w:jc w:val="left"/>
              <w:rPr>
                <w:rFonts w:ascii="宋体" w:hAnsi="宋体"/>
                <w:sz w:val="20"/>
                <w:szCs w:val="20"/>
              </w:rPr>
            </w:pPr>
            <w:r>
              <w:rPr>
                <w:rFonts w:ascii="宋体" w:hAnsi="宋体"/>
                <w:b/>
                <w:szCs w:val="21"/>
              </w:rPr>
              <w:t>注</w:t>
            </w:r>
            <w:r>
              <w:rPr>
                <w:rFonts w:hint="eastAsia" w:ascii="宋体" w:hAnsi="宋体"/>
                <w:b/>
                <w:szCs w:val="21"/>
              </w:rPr>
              <w:t>：</w:t>
            </w:r>
            <w:r>
              <w:rPr>
                <w:rFonts w:ascii="宋体" w:hAnsi="宋体"/>
                <w:b/>
                <w:szCs w:val="21"/>
              </w:rPr>
              <w:t>投标文件中提供相关证书的复印件加盖投标供应商公章</w:t>
            </w:r>
            <w:r>
              <w:rPr>
                <w:rFonts w:hint="eastAsia" w:ascii="宋体" w:hAnsi="宋体"/>
                <w:b/>
                <w:szCs w:val="21"/>
              </w:rPr>
              <w:t>，</w:t>
            </w:r>
            <w:r>
              <w:rPr>
                <w:rFonts w:ascii="宋体" w:hAnsi="宋体"/>
                <w:b/>
                <w:szCs w:val="21"/>
              </w:rPr>
              <w:t>未提供不得分</w:t>
            </w:r>
            <w:r>
              <w:rPr>
                <w:rFonts w:hint="eastAsia" w:ascii="宋体" w:hAnsi="宋体"/>
                <w:b/>
                <w:szCs w:val="21"/>
              </w:rPr>
              <w:t>。</w:t>
            </w:r>
          </w:p>
        </w:tc>
        <w:tc>
          <w:tcPr>
            <w:tcW w:w="709" w:type="dxa"/>
            <w:shd w:val="clear" w:color="auto" w:fill="FFFFFF"/>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625" w:hRule="atLeast"/>
        </w:trPr>
        <w:tc>
          <w:tcPr>
            <w:tcW w:w="689" w:type="dxa"/>
            <w:shd w:val="clear" w:color="auto" w:fill="auto"/>
            <w:noWrap w:val="0"/>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4</w:t>
            </w:r>
          </w:p>
        </w:tc>
        <w:tc>
          <w:tcPr>
            <w:tcW w:w="1166" w:type="dxa"/>
            <w:shd w:val="clear" w:color="auto" w:fill="auto"/>
            <w:noWrap w:val="0"/>
            <w:vAlign w:val="center"/>
          </w:tcPr>
          <w:p>
            <w:pPr>
              <w:widowControl/>
              <w:spacing w:line="360" w:lineRule="auto"/>
              <w:jc w:val="center"/>
              <w:rPr>
                <w:rFonts w:hint="eastAsia" w:ascii="宋体" w:hAnsi="宋体"/>
                <w:szCs w:val="21"/>
              </w:rPr>
            </w:pPr>
            <w:r>
              <w:rPr>
                <w:rFonts w:hint="eastAsia" w:ascii="宋体" w:hAnsi="宋体"/>
                <w:sz w:val="20"/>
                <w:szCs w:val="20"/>
              </w:rPr>
              <w:t>机械设备保障</w:t>
            </w:r>
          </w:p>
        </w:tc>
        <w:tc>
          <w:tcPr>
            <w:tcW w:w="7229" w:type="dxa"/>
            <w:shd w:val="clear" w:color="auto" w:fill="FFFFFF"/>
            <w:noWrap w:val="0"/>
            <w:vAlign w:val="center"/>
          </w:tcPr>
          <w:p>
            <w:pPr>
              <w:spacing w:line="276" w:lineRule="auto"/>
              <w:jc w:val="left"/>
              <w:rPr>
                <w:rFonts w:hint="eastAsia" w:ascii="宋体" w:hAnsi="宋体"/>
                <w:sz w:val="20"/>
                <w:szCs w:val="20"/>
              </w:rPr>
            </w:pPr>
            <w:r>
              <w:rPr>
                <w:rFonts w:hint="eastAsia" w:ascii="宋体" w:hAnsi="宋体"/>
                <w:sz w:val="20"/>
                <w:szCs w:val="20"/>
              </w:rPr>
              <w:t>根据投标人投标时已自有的相关车辆打分：</w:t>
            </w:r>
          </w:p>
          <w:p>
            <w:pPr>
              <w:spacing w:line="276" w:lineRule="auto"/>
              <w:jc w:val="left"/>
              <w:rPr>
                <w:rFonts w:hint="eastAsia" w:ascii="宋体" w:hAnsi="宋体"/>
                <w:sz w:val="20"/>
                <w:szCs w:val="20"/>
              </w:rPr>
            </w:pPr>
            <w:r>
              <w:rPr>
                <w:rFonts w:hint="eastAsia" w:ascii="宋体" w:hAnsi="宋体"/>
                <w:sz w:val="20"/>
                <w:szCs w:val="20"/>
              </w:rPr>
              <w:t>1.自有机动车总质量15800kg（含）以上的洗扫车每3辆得1.5分，最高得3分；</w:t>
            </w:r>
          </w:p>
          <w:p>
            <w:pPr>
              <w:spacing w:line="276" w:lineRule="auto"/>
              <w:jc w:val="left"/>
              <w:rPr>
                <w:rFonts w:hint="eastAsia" w:ascii="宋体" w:hAnsi="宋体"/>
                <w:sz w:val="20"/>
                <w:szCs w:val="20"/>
              </w:rPr>
            </w:pPr>
            <w:r>
              <w:rPr>
                <w:rFonts w:hint="eastAsia" w:ascii="宋体" w:hAnsi="宋体"/>
                <w:sz w:val="20"/>
                <w:szCs w:val="20"/>
              </w:rPr>
              <w:t>2.自有总质量15800kg(含)以上的高压清洗车每3辆得1.5分，最高得3分；</w:t>
            </w:r>
          </w:p>
          <w:p>
            <w:pPr>
              <w:spacing w:line="276" w:lineRule="auto"/>
              <w:jc w:val="left"/>
              <w:rPr>
                <w:rFonts w:hint="eastAsia" w:ascii="宋体" w:hAnsi="宋体"/>
                <w:sz w:val="20"/>
                <w:szCs w:val="20"/>
              </w:rPr>
            </w:pPr>
            <w:r>
              <w:rPr>
                <w:rFonts w:hint="eastAsia" w:ascii="宋体" w:hAnsi="宋体"/>
                <w:sz w:val="20"/>
                <w:szCs w:val="20"/>
              </w:rPr>
              <w:t>3.自有总质量15800kg(含)以上的多功能抑尘车每1辆得1.5分，最高得3分；</w:t>
            </w:r>
          </w:p>
          <w:p>
            <w:pPr>
              <w:spacing w:line="276" w:lineRule="auto"/>
              <w:jc w:val="left"/>
              <w:rPr>
                <w:rFonts w:hint="eastAsia" w:ascii="宋体" w:hAnsi="宋体"/>
                <w:sz w:val="20"/>
                <w:szCs w:val="20"/>
              </w:rPr>
            </w:pPr>
            <w:r>
              <w:rPr>
                <w:rFonts w:hint="eastAsia" w:ascii="宋体" w:hAnsi="宋体"/>
                <w:sz w:val="20"/>
                <w:szCs w:val="20"/>
              </w:rPr>
              <w:t>4.自有总质量15800kg(含)以上的垃圾压缩车的每1辆得1.5分，最高得3分；</w:t>
            </w:r>
          </w:p>
          <w:p>
            <w:pPr>
              <w:spacing w:line="276" w:lineRule="auto"/>
              <w:jc w:val="left"/>
              <w:rPr>
                <w:rFonts w:hint="eastAsia" w:ascii="宋体" w:hAnsi="宋体"/>
                <w:sz w:val="20"/>
                <w:szCs w:val="20"/>
              </w:rPr>
            </w:pPr>
            <w:r>
              <w:rPr>
                <w:rFonts w:hint="eastAsia" w:ascii="宋体" w:hAnsi="宋体"/>
                <w:sz w:val="20"/>
                <w:szCs w:val="20"/>
              </w:rPr>
              <w:t>投标文件中须提供车辆的行驶证复印件和车辆登记证复印件及购买发票复印件加盖投标人公章，提供不齐全的，相应评分条款不得分，2014年1月1日前购置的车辆不得分。以上车辆产权属于投标人（含分公司）方予以认可；车辆产权属于子公司或控股公司的均不予认可。</w:t>
            </w:r>
          </w:p>
        </w:tc>
        <w:tc>
          <w:tcPr>
            <w:tcW w:w="709" w:type="dxa"/>
            <w:shd w:val="clear" w:color="auto" w:fill="FFFFFF"/>
            <w:noWrap w:val="0"/>
            <w:vAlign w:val="center"/>
          </w:tcPr>
          <w:p>
            <w:pPr>
              <w:widowControl/>
              <w:spacing w:line="360" w:lineRule="auto"/>
              <w:jc w:val="center"/>
              <w:rPr>
                <w:rFonts w:hint="eastAsia" w:ascii="宋体" w:hAnsi="宋体" w:cs="宋体"/>
                <w:kern w:val="0"/>
                <w:sz w:val="22"/>
              </w:rPr>
            </w:pPr>
            <w:r>
              <w:rPr>
                <w:rFonts w:hint="eastAsia" w:ascii="宋体" w:hAnsi="宋体" w:cs="宋体"/>
                <w:kern w:val="0"/>
                <w:sz w:val="22"/>
              </w:rPr>
              <w:t>0-12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10" w:hRule="atLeast"/>
        </w:trPr>
        <w:tc>
          <w:tcPr>
            <w:tcW w:w="689" w:type="dxa"/>
            <w:vMerge w:val="restart"/>
            <w:shd w:val="clear" w:color="auto" w:fill="auto"/>
            <w:noWrap w:val="0"/>
            <w:vAlign w:val="center"/>
          </w:tcPr>
          <w:p>
            <w:pPr>
              <w:widowControl/>
              <w:spacing w:line="360" w:lineRule="auto"/>
              <w:jc w:val="center"/>
              <w:rPr>
                <w:rFonts w:ascii="宋体" w:hAnsi="宋体" w:cs="宋体"/>
                <w:kern w:val="0"/>
                <w:szCs w:val="21"/>
              </w:rPr>
            </w:pPr>
            <w:r>
              <w:rPr>
                <w:rFonts w:hint="eastAsia" w:ascii="宋体" w:hAnsi="宋体" w:cs="宋体"/>
                <w:kern w:val="0"/>
                <w:szCs w:val="21"/>
              </w:rPr>
              <w:t>5</w:t>
            </w:r>
          </w:p>
        </w:tc>
        <w:tc>
          <w:tcPr>
            <w:tcW w:w="1166" w:type="dxa"/>
            <w:vMerge w:val="restart"/>
            <w:shd w:val="clear" w:color="auto" w:fill="auto"/>
            <w:noWrap w:val="0"/>
            <w:vAlign w:val="center"/>
          </w:tcPr>
          <w:p>
            <w:pPr>
              <w:widowControl/>
              <w:spacing w:line="276" w:lineRule="auto"/>
              <w:jc w:val="center"/>
              <w:rPr>
                <w:rFonts w:ascii="宋体" w:hAnsi="宋体" w:cs="宋体"/>
                <w:kern w:val="0"/>
                <w:szCs w:val="21"/>
              </w:rPr>
            </w:pPr>
            <w:r>
              <w:rPr>
                <w:rFonts w:hint="eastAsia" w:ascii="宋体" w:hAnsi="宋体"/>
                <w:szCs w:val="21"/>
              </w:rPr>
              <w:t>专业技术及服务保障</w:t>
            </w:r>
          </w:p>
        </w:tc>
        <w:tc>
          <w:tcPr>
            <w:tcW w:w="7229" w:type="dxa"/>
            <w:shd w:val="clear" w:color="auto" w:fill="FFFFFF"/>
            <w:noWrap w:val="0"/>
            <w:vAlign w:val="center"/>
          </w:tcPr>
          <w:p>
            <w:pPr>
              <w:spacing w:line="276" w:lineRule="auto"/>
              <w:rPr>
                <w:rFonts w:hint="eastAsia" w:ascii="宋体" w:hAnsi="宋体"/>
                <w:szCs w:val="21"/>
              </w:rPr>
            </w:pPr>
            <w:r>
              <w:rPr>
                <w:rFonts w:hint="eastAsia" w:ascii="宋体" w:hAnsi="宋体"/>
                <w:szCs w:val="21"/>
              </w:rPr>
              <w:t>投标人具有自主研发并使用的智能（智慧）环卫管理系统的得3分，投标人承诺中标后开发配备智能（智慧）</w:t>
            </w:r>
            <w:r>
              <w:rPr>
                <w:rFonts w:hint="eastAsia" w:ascii="宋体" w:hAnsi="宋体"/>
                <w:b/>
                <w:szCs w:val="21"/>
              </w:rPr>
              <w:t>环卫管理系统的得2分</w:t>
            </w:r>
            <w:r>
              <w:rPr>
                <w:rFonts w:hint="eastAsia" w:ascii="宋体" w:hAnsi="宋体"/>
                <w:szCs w:val="21"/>
              </w:rPr>
              <w:t>，同时须承诺免费开放端口给采购人的得相应分，无承诺不得分。</w:t>
            </w:r>
          </w:p>
          <w:p>
            <w:pPr>
              <w:spacing w:line="276" w:lineRule="auto"/>
              <w:rPr>
                <w:rFonts w:ascii="宋体" w:hAnsi="宋体"/>
                <w:b/>
                <w:szCs w:val="21"/>
              </w:rPr>
            </w:pPr>
            <w:r>
              <w:rPr>
                <w:rFonts w:hint="eastAsia" w:ascii="宋体" w:hAnsi="宋体"/>
                <w:szCs w:val="21"/>
              </w:rPr>
              <w:t>注：投标时已具有自主研发并使用的智能（智慧）环卫管理系统的，则投标文件中提供软件登记证书复印件及智能（智慧）环卫管理系统描述并加盖投标人公章，中标后承诺的则提供相关承诺书。</w:t>
            </w:r>
          </w:p>
        </w:tc>
        <w:tc>
          <w:tcPr>
            <w:tcW w:w="709" w:type="dxa"/>
            <w:shd w:val="clear" w:color="auto" w:fill="FFFFFF"/>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625" w:hRule="atLeast"/>
        </w:trPr>
        <w:tc>
          <w:tcPr>
            <w:tcW w:w="689" w:type="dxa"/>
            <w:vMerge w:val="continue"/>
            <w:shd w:val="clear" w:color="auto" w:fill="auto"/>
            <w:noWrap w:val="0"/>
            <w:vAlign w:val="center"/>
          </w:tcPr>
          <w:p>
            <w:pPr>
              <w:widowControl/>
              <w:spacing w:line="360" w:lineRule="auto"/>
              <w:jc w:val="center"/>
              <w:rPr>
                <w:rFonts w:hint="eastAsia" w:ascii="宋体" w:hAnsi="宋体" w:cs="宋体"/>
                <w:kern w:val="0"/>
                <w:szCs w:val="21"/>
              </w:rPr>
            </w:pPr>
          </w:p>
        </w:tc>
        <w:tc>
          <w:tcPr>
            <w:tcW w:w="1166" w:type="dxa"/>
            <w:vMerge w:val="continue"/>
            <w:shd w:val="clear" w:color="auto" w:fill="auto"/>
            <w:noWrap w:val="0"/>
            <w:vAlign w:val="center"/>
          </w:tcPr>
          <w:p>
            <w:pPr>
              <w:widowControl/>
              <w:spacing w:line="276" w:lineRule="auto"/>
              <w:jc w:val="center"/>
              <w:rPr>
                <w:rFonts w:hint="eastAsia" w:ascii="宋体" w:hAnsi="宋体"/>
                <w:szCs w:val="21"/>
              </w:rPr>
            </w:pPr>
          </w:p>
        </w:tc>
        <w:tc>
          <w:tcPr>
            <w:tcW w:w="7229" w:type="dxa"/>
            <w:shd w:val="clear" w:color="auto" w:fill="FFFFFF"/>
            <w:noWrap w:val="0"/>
            <w:vAlign w:val="center"/>
          </w:tcPr>
          <w:p>
            <w:pPr>
              <w:spacing w:line="276" w:lineRule="auto"/>
              <w:rPr>
                <w:rFonts w:hint="eastAsia" w:ascii="宋体" w:hAnsi="宋体"/>
                <w:szCs w:val="21"/>
              </w:rPr>
            </w:pPr>
            <w:r>
              <w:rPr>
                <w:rFonts w:hint="eastAsia" w:ascii="宋体" w:hAnsi="宋体"/>
                <w:szCs w:val="21"/>
              </w:rPr>
              <w:t>拟任本项目的项目经理具备下列条件的，每项得1分：</w:t>
            </w:r>
          </w:p>
          <w:p>
            <w:pPr>
              <w:spacing w:line="276" w:lineRule="auto"/>
              <w:rPr>
                <w:rFonts w:hint="eastAsia" w:ascii="宋体" w:hAnsi="宋体"/>
                <w:szCs w:val="21"/>
              </w:rPr>
            </w:pPr>
            <w:r>
              <w:rPr>
                <w:rFonts w:hint="eastAsia" w:ascii="宋体" w:hAnsi="宋体"/>
                <w:szCs w:val="21"/>
              </w:rPr>
              <w:t>1、本科及以上学历，担任过类似的项目负责人且业主评价为优的；</w:t>
            </w:r>
          </w:p>
          <w:p>
            <w:pPr>
              <w:spacing w:line="276" w:lineRule="auto"/>
              <w:rPr>
                <w:rFonts w:hint="eastAsia" w:ascii="宋体" w:hAnsi="宋体"/>
                <w:szCs w:val="21"/>
              </w:rPr>
            </w:pPr>
            <w:r>
              <w:rPr>
                <w:rFonts w:hint="eastAsia" w:ascii="宋体" w:hAnsi="宋体"/>
                <w:szCs w:val="21"/>
              </w:rPr>
              <w:t>2、具备环卫类项目经理证书或物业管理经理资格证书；</w:t>
            </w:r>
          </w:p>
          <w:p>
            <w:pPr>
              <w:spacing w:line="276" w:lineRule="auto"/>
              <w:rPr>
                <w:rFonts w:hint="eastAsia" w:ascii="宋体" w:hAnsi="宋体"/>
                <w:szCs w:val="21"/>
              </w:rPr>
            </w:pPr>
            <w:r>
              <w:rPr>
                <w:rFonts w:hint="eastAsia" w:ascii="宋体" w:hAnsi="宋体"/>
                <w:szCs w:val="21"/>
              </w:rPr>
              <w:t>3、获得过地市级及以上环卫类先进个人荣誉。</w:t>
            </w:r>
          </w:p>
          <w:p>
            <w:pPr>
              <w:spacing w:line="276" w:lineRule="auto"/>
              <w:rPr>
                <w:rFonts w:hint="eastAsia" w:ascii="宋体" w:hAnsi="宋体"/>
                <w:szCs w:val="21"/>
              </w:rPr>
            </w:pPr>
            <w:r>
              <w:rPr>
                <w:rFonts w:hint="eastAsia" w:ascii="宋体" w:hAnsi="宋体"/>
                <w:szCs w:val="21"/>
              </w:rPr>
              <w:t>注：投标文件中提供相关证书复印件及最近6个月社保缴纳记录复印件及业主评价。</w:t>
            </w:r>
          </w:p>
        </w:tc>
        <w:tc>
          <w:tcPr>
            <w:tcW w:w="709" w:type="dxa"/>
            <w:shd w:val="clear" w:color="auto" w:fill="FFFFFF"/>
            <w:noWrap w:val="0"/>
            <w:vAlign w:val="center"/>
          </w:tcPr>
          <w:p>
            <w:pPr>
              <w:widowControl/>
              <w:spacing w:line="360" w:lineRule="auto"/>
              <w:jc w:val="center"/>
              <w:rPr>
                <w:rFonts w:hint="eastAsia" w:ascii="宋体" w:hAnsi="宋体" w:cs="宋体"/>
                <w:kern w:val="0"/>
                <w:sz w:val="22"/>
              </w:rPr>
            </w:pPr>
            <w:r>
              <w:rPr>
                <w:rFonts w:hint="eastAsia" w:ascii="宋体" w:hAnsi="宋体" w:cs="宋体"/>
                <w:kern w:val="0"/>
                <w:sz w:val="22"/>
              </w:rPr>
              <w:t>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1497" w:hRule="atLeast"/>
        </w:trPr>
        <w:tc>
          <w:tcPr>
            <w:tcW w:w="689" w:type="dxa"/>
            <w:shd w:val="clear" w:color="auto" w:fill="auto"/>
            <w:noWrap w:val="0"/>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6</w:t>
            </w:r>
          </w:p>
        </w:tc>
        <w:tc>
          <w:tcPr>
            <w:tcW w:w="1166" w:type="dxa"/>
            <w:shd w:val="clear" w:color="auto" w:fill="auto"/>
            <w:noWrap w:val="0"/>
            <w:vAlign w:val="center"/>
          </w:tcPr>
          <w:p>
            <w:pPr>
              <w:widowControl/>
              <w:spacing w:line="276" w:lineRule="auto"/>
              <w:jc w:val="center"/>
              <w:rPr>
                <w:rFonts w:hint="eastAsia" w:ascii="宋体" w:hAnsi="宋体" w:cs="宋体"/>
                <w:kern w:val="0"/>
                <w:szCs w:val="21"/>
              </w:rPr>
            </w:pPr>
            <w:r>
              <w:rPr>
                <w:rFonts w:hint="eastAsia" w:ascii="宋体" w:hAnsi="宋体"/>
                <w:sz w:val="20"/>
                <w:szCs w:val="20"/>
              </w:rPr>
              <w:t>组织管理方案</w:t>
            </w:r>
          </w:p>
        </w:tc>
        <w:tc>
          <w:tcPr>
            <w:tcW w:w="7229" w:type="dxa"/>
            <w:shd w:val="clear" w:color="auto" w:fill="FFFFFF"/>
            <w:noWrap w:val="0"/>
            <w:vAlign w:val="center"/>
          </w:tcPr>
          <w:p>
            <w:pPr>
              <w:spacing w:line="276" w:lineRule="auto"/>
              <w:jc w:val="left"/>
              <w:rPr>
                <w:rFonts w:hint="eastAsia" w:ascii="宋体" w:hAnsi="宋体"/>
                <w:kern w:val="0"/>
              </w:rPr>
            </w:pPr>
            <w:r>
              <w:rPr>
                <w:rFonts w:hint="eastAsia" w:ascii="宋体" w:hAnsi="宋体"/>
                <w:kern w:val="0"/>
              </w:rPr>
              <w:t>1、管理机构（2分）</w:t>
            </w:r>
          </w:p>
          <w:p>
            <w:pPr>
              <w:spacing w:line="276" w:lineRule="auto"/>
              <w:jc w:val="left"/>
              <w:rPr>
                <w:rFonts w:hint="eastAsia" w:ascii="宋体" w:hAnsi="宋体"/>
                <w:kern w:val="0"/>
              </w:rPr>
            </w:pPr>
            <w:r>
              <w:rPr>
                <w:rFonts w:hint="eastAsia" w:ascii="宋体" w:hAnsi="宋体"/>
                <w:kern w:val="0"/>
              </w:rPr>
              <w:t>具有项目机构配备、管理网络（0-1分）；管理人员配备（0-1分）情况。</w:t>
            </w:r>
          </w:p>
          <w:p>
            <w:pPr>
              <w:spacing w:line="276" w:lineRule="auto"/>
              <w:jc w:val="left"/>
              <w:rPr>
                <w:rFonts w:hint="eastAsia" w:ascii="宋体" w:hAnsi="宋体"/>
                <w:kern w:val="0"/>
              </w:rPr>
            </w:pPr>
            <w:r>
              <w:rPr>
                <w:rFonts w:hint="eastAsia" w:ascii="宋体" w:hAnsi="宋体"/>
                <w:kern w:val="0"/>
              </w:rPr>
              <w:t>评委会根据方案的完整性、合理性进行综合评审，在0-2分之间打分。</w:t>
            </w:r>
          </w:p>
          <w:p>
            <w:pPr>
              <w:spacing w:line="276" w:lineRule="auto"/>
              <w:jc w:val="left"/>
              <w:rPr>
                <w:rFonts w:hint="eastAsia" w:ascii="宋体" w:hAnsi="宋体"/>
                <w:kern w:val="0"/>
              </w:rPr>
            </w:pPr>
            <w:r>
              <w:rPr>
                <w:rFonts w:hint="eastAsia" w:ascii="宋体" w:hAnsi="宋体"/>
                <w:kern w:val="0"/>
              </w:rPr>
              <w:t>2、管理制度（8分）</w:t>
            </w:r>
          </w:p>
          <w:p>
            <w:pPr>
              <w:spacing w:line="276" w:lineRule="auto"/>
              <w:jc w:val="left"/>
              <w:rPr>
                <w:rFonts w:hint="eastAsia" w:ascii="宋体" w:hAnsi="宋体"/>
                <w:kern w:val="0"/>
              </w:rPr>
            </w:pPr>
            <w:r>
              <w:rPr>
                <w:rFonts w:hint="eastAsia" w:ascii="宋体" w:hAnsi="宋体"/>
                <w:kern w:val="0"/>
              </w:rPr>
              <w:t>具有员工管理制度（0-1分）；</w:t>
            </w:r>
          </w:p>
          <w:p>
            <w:pPr>
              <w:spacing w:line="276" w:lineRule="auto"/>
              <w:jc w:val="left"/>
              <w:rPr>
                <w:rFonts w:hint="eastAsia" w:ascii="宋体" w:hAnsi="宋体"/>
                <w:kern w:val="0"/>
              </w:rPr>
            </w:pPr>
            <w:r>
              <w:rPr>
                <w:rFonts w:hint="eastAsia" w:ascii="宋体" w:hAnsi="宋体"/>
                <w:kern w:val="0"/>
              </w:rPr>
              <w:t>具有企业财务制度（0-1分）；</w:t>
            </w:r>
          </w:p>
          <w:p>
            <w:pPr>
              <w:spacing w:line="276" w:lineRule="auto"/>
              <w:jc w:val="left"/>
              <w:rPr>
                <w:rFonts w:hint="eastAsia" w:ascii="宋体" w:hAnsi="宋体"/>
                <w:kern w:val="0"/>
              </w:rPr>
            </w:pPr>
            <w:r>
              <w:rPr>
                <w:rFonts w:hint="eastAsia" w:ascii="宋体" w:hAnsi="宋体"/>
                <w:kern w:val="0"/>
              </w:rPr>
              <w:t>具有道路环卫机械化作业管理制度（含机械化清扫、冲洒水、清洗、抑尘全过程）（0-1分）；</w:t>
            </w:r>
          </w:p>
          <w:p>
            <w:pPr>
              <w:spacing w:line="276" w:lineRule="auto"/>
              <w:jc w:val="left"/>
              <w:rPr>
                <w:rFonts w:hint="eastAsia" w:ascii="宋体" w:hAnsi="宋体"/>
                <w:kern w:val="0"/>
              </w:rPr>
            </w:pPr>
            <w:r>
              <w:rPr>
                <w:rFonts w:hint="eastAsia" w:ascii="宋体" w:hAnsi="宋体"/>
                <w:kern w:val="0"/>
              </w:rPr>
              <w:t>具有人工作业管理制度（含绿化带、道路人工保洁、人行道冲洗、快速保洁、立面保洁、花台石凳保洁、果壳箱收集清洗）（0-1分）；</w:t>
            </w:r>
          </w:p>
          <w:p>
            <w:pPr>
              <w:spacing w:line="276" w:lineRule="auto"/>
              <w:jc w:val="left"/>
              <w:rPr>
                <w:rFonts w:hint="eastAsia" w:ascii="宋体" w:hAnsi="宋体"/>
                <w:kern w:val="0"/>
              </w:rPr>
            </w:pPr>
            <w:r>
              <w:rPr>
                <w:rFonts w:hint="eastAsia" w:ascii="宋体" w:hAnsi="宋体"/>
                <w:kern w:val="0"/>
              </w:rPr>
              <w:t>具有垃圾收运作业管理制度（0-1分）；</w:t>
            </w:r>
          </w:p>
          <w:p>
            <w:pPr>
              <w:spacing w:line="276" w:lineRule="auto"/>
              <w:jc w:val="left"/>
              <w:rPr>
                <w:rFonts w:hint="eastAsia" w:ascii="宋体" w:hAnsi="宋体"/>
                <w:kern w:val="0"/>
              </w:rPr>
            </w:pPr>
            <w:r>
              <w:rPr>
                <w:rFonts w:hint="eastAsia" w:ascii="宋体" w:hAnsi="宋体"/>
                <w:kern w:val="0"/>
              </w:rPr>
              <w:t>具有道路保洁服务进场过渡计划（0-1分）；</w:t>
            </w:r>
          </w:p>
          <w:p>
            <w:pPr>
              <w:spacing w:line="276" w:lineRule="auto"/>
              <w:jc w:val="left"/>
              <w:rPr>
                <w:rFonts w:hint="eastAsia" w:ascii="宋体" w:hAnsi="宋体"/>
                <w:kern w:val="0"/>
              </w:rPr>
            </w:pPr>
            <w:r>
              <w:rPr>
                <w:rFonts w:hint="eastAsia" w:ascii="宋体" w:hAnsi="宋体"/>
                <w:kern w:val="0"/>
              </w:rPr>
              <w:t>具有内部监督机制、环卫作业人员的培训计划、录用与考核及淘汰机制（0-1分）；</w:t>
            </w:r>
          </w:p>
          <w:p>
            <w:pPr>
              <w:spacing w:line="276" w:lineRule="auto"/>
              <w:jc w:val="left"/>
              <w:rPr>
                <w:rFonts w:hint="eastAsia" w:ascii="宋体" w:hAnsi="宋体"/>
                <w:kern w:val="0"/>
              </w:rPr>
            </w:pPr>
            <w:r>
              <w:rPr>
                <w:rFonts w:hint="eastAsia" w:ascii="宋体" w:hAnsi="宋体"/>
                <w:kern w:val="0"/>
              </w:rPr>
              <w:t>具有安全生产管理制度（安全生产检查及台帐资料、教育培训制度、管理预案、设施配备、风险规避措施及安全生产文明作业保障措施）（0-1分）。</w:t>
            </w:r>
          </w:p>
          <w:p>
            <w:pPr>
              <w:spacing w:line="276" w:lineRule="auto"/>
              <w:jc w:val="left"/>
              <w:rPr>
                <w:rFonts w:hint="eastAsia" w:ascii="宋体" w:hAnsi="宋体"/>
                <w:kern w:val="0"/>
              </w:rPr>
            </w:pPr>
            <w:r>
              <w:rPr>
                <w:rFonts w:hint="eastAsia" w:ascii="宋体" w:hAnsi="宋体"/>
                <w:kern w:val="0"/>
              </w:rPr>
              <w:t xml:space="preserve">评委会根据方案的完整性、可行性进行综合评审、在0-8分之间打分。    </w:t>
            </w:r>
          </w:p>
        </w:tc>
        <w:tc>
          <w:tcPr>
            <w:tcW w:w="709" w:type="dxa"/>
            <w:shd w:val="clear" w:color="auto" w:fill="FFFFFF"/>
            <w:noWrap w:val="0"/>
            <w:vAlign w:val="center"/>
          </w:tcPr>
          <w:p>
            <w:pPr>
              <w:widowControl/>
              <w:spacing w:line="360" w:lineRule="auto"/>
              <w:jc w:val="center"/>
              <w:rPr>
                <w:rFonts w:hint="eastAsia" w:ascii="宋体" w:hAnsi="宋体" w:cs="宋体"/>
                <w:kern w:val="0"/>
                <w:sz w:val="22"/>
              </w:rPr>
            </w:pPr>
            <w:r>
              <w:rPr>
                <w:rFonts w:hint="eastAsia" w:ascii="宋体" w:hAnsi="宋体" w:cs="宋体"/>
                <w:kern w:val="0"/>
                <w:sz w:val="22"/>
              </w:rPr>
              <w:t>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741" w:hRule="atLeast"/>
        </w:trPr>
        <w:tc>
          <w:tcPr>
            <w:tcW w:w="689" w:type="dxa"/>
            <w:shd w:val="clear" w:color="auto" w:fill="auto"/>
            <w:noWrap w:val="0"/>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7</w:t>
            </w:r>
          </w:p>
        </w:tc>
        <w:tc>
          <w:tcPr>
            <w:tcW w:w="1166" w:type="dxa"/>
            <w:shd w:val="clear" w:color="auto" w:fill="auto"/>
            <w:noWrap w:val="0"/>
            <w:vAlign w:val="center"/>
          </w:tcPr>
          <w:p>
            <w:pPr>
              <w:widowControl/>
              <w:spacing w:line="276" w:lineRule="auto"/>
              <w:jc w:val="center"/>
              <w:rPr>
                <w:rFonts w:hint="eastAsia" w:ascii="宋体" w:hAnsi="宋体" w:cs="宋体"/>
                <w:kern w:val="0"/>
                <w:szCs w:val="21"/>
              </w:rPr>
            </w:pPr>
            <w:r>
              <w:rPr>
                <w:rFonts w:hint="eastAsia" w:ascii="宋体" w:hAnsi="宋体"/>
                <w:sz w:val="20"/>
                <w:szCs w:val="20"/>
              </w:rPr>
              <w:t>运营管理方案</w:t>
            </w:r>
          </w:p>
        </w:tc>
        <w:tc>
          <w:tcPr>
            <w:tcW w:w="7229" w:type="dxa"/>
            <w:shd w:val="clear" w:color="auto" w:fill="FFFFFF"/>
            <w:noWrap w:val="0"/>
            <w:vAlign w:val="center"/>
          </w:tcPr>
          <w:p>
            <w:pPr>
              <w:spacing w:line="276" w:lineRule="auto"/>
              <w:jc w:val="left"/>
              <w:rPr>
                <w:rFonts w:hint="eastAsia" w:ascii="宋体" w:hAnsi="宋体"/>
                <w:kern w:val="0"/>
              </w:rPr>
            </w:pPr>
            <w:r>
              <w:rPr>
                <w:rFonts w:hint="eastAsia" w:ascii="宋体" w:hAnsi="宋体"/>
                <w:kern w:val="0"/>
              </w:rPr>
              <w:t>(1)环卫机械化作业管理方案（5分）</w:t>
            </w:r>
          </w:p>
          <w:p>
            <w:pPr>
              <w:spacing w:line="276" w:lineRule="auto"/>
              <w:jc w:val="left"/>
              <w:rPr>
                <w:rFonts w:hint="eastAsia" w:ascii="宋体" w:hAnsi="宋体"/>
                <w:kern w:val="0"/>
              </w:rPr>
            </w:pPr>
            <w:r>
              <w:rPr>
                <w:rFonts w:hint="eastAsia" w:ascii="宋体" w:hAnsi="宋体"/>
                <w:kern w:val="0"/>
              </w:rPr>
              <w:t>根据本招标项目实际情况制定方案，方案内容中至少包含机械化设备配备清单、机械化设备作业方案：机械化清扫、洒水、清洗和抑尘、机械化车辆排班、设备保养等内容。评委会根据方案的完整性、合理性进行综合评审、横向对比，在0-5分之间打分。</w:t>
            </w:r>
          </w:p>
          <w:p>
            <w:pPr>
              <w:spacing w:line="276" w:lineRule="auto"/>
              <w:jc w:val="left"/>
              <w:rPr>
                <w:rFonts w:hint="eastAsia" w:ascii="宋体" w:hAnsi="宋体"/>
                <w:kern w:val="0"/>
              </w:rPr>
            </w:pPr>
            <w:r>
              <w:rPr>
                <w:rFonts w:hint="eastAsia" w:ascii="宋体" w:hAnsi="宋体"/>
                <w:kern w:val="0"/>
              </w:rPr>
              <w:t xml:space="preserve">(2)道路人工保洁管理方案（4分）            </w:t>
            </w:r>
          </w:p>
          <w:p>
            <w:pPr>
              <w:spacing w:line="276" w:lineRule="auto"/>
              <w:jc w:val="left"/>
              <w:rPr>
                <w:rFonts w:hint="eastAsia" w:ascii="宋体" w:hAnsi="宋体"/>
                <w:kern w:val="0"/>
              </w:rPr>
            </w:pPr>
            <w:r>
              <w:rPr>
                <w:rFonts w:hint="eastAsia" w:ascii="宋体" w:hAnsi="宋体"/>
                <w:kern w:val="0"/>
              </w:rPr>
              <w:t>根据本招标项目实际情况制定方案，方案内容中至少包含项目组成员清单、人工作业方案：道路清扫、人行道冲洗、快速保洁、立面保洁、人员配备排班表等内容。评委会根据方案的完整性、合理性进行综合评审、横向对比，在0-4分之间打分。</w:t>
            </w:r>
          </w:p>
          <w:p>
            <w:pPr>
              <w:spacing w:line="276" w:lineRule="auto"/>
              <w:jc w:val="left"/>
              <w:rPr>
                <w:rFonts w:hint="eastAsia" w:ascii="宋体" w:hAnsi="宋体"/>
                <w:kern w:val="0"/>
              </w:rPr>
            </w:pPr>
            <w:r>
              <w:rPr>
                <w:rFonts w:hint="eastAsia" w:ascii="宋体" w:hAnsi="宋体"/>
                <w:kern w:val="0"/>
              </w:rPr>
              <w:t>(3)垃圾收集（含沿街商户定时分类收集）、运输管理方案（4分）</w:t>
            </w:r>
          </w:p>
          <w:p>
            <w:pPr>
              <w:spacing w:line="276" w:lineRule="auto"/>
              <w:jc w:val="left"/>
              <w:rPr>
                <w:rFonts w:hint="eastAsia" w:ascii="宋体" w:hAnsi="宋体"/>
                <w:kern w:val="0"/>
              </w:rPr>
            </w:pPr>
            <w:r>
              <w:rPr>
                <w:rFonts w:hint="eastAsia" w:ascii="宋体" w:hAnsi="宋体"/>
                <w:kern w:val="0"/>
              </w:rPr>
              <w:t>根据本招标项目实际情况制定方案，方案内容中至少包含垃圾收集、清运、处置的方案。评委会根据方案的完整性、合理性进行综合评审、横向对比，在0-4分之间打分。</w:t>
            </w:r>
          </w:p>
          <w:p>
            <w:pPr>
              <w:spacing w:line="276" w:lineRule="auto"/>
              <w:jc w:val="left"/>
              <w:rPr>
                <w:rFonts w:hint="eastAsia" w:ascii="宋体" w:hAnsi="宋体"/>
                <w:kern w:val="0"/>
              </w:rPr>
            </w:pPr>
            <w:r>
              <w:rPr>
                <w:rFonts w:hint="eastAsia" w:ascii="宋体" w:hAnsi="宋体"/>
                <w:kern w:val="0"/>
              </w:rPr>
              <w:t>(4)保洁创新方案（5分）</w:t>
            </w:r>
          </w:p>
          <w:p>
            <w:pPr>
              <w:spacing w:line="276" w:lineRule="auto"/>
              <w:jc w:val="left"/>
              <w:rPr>
                <w:rFonts w:hint="eastAsia" w:ascii="宋体" w:hAnsi="宋体"/>
                <w:kern w:val="0"/>
              </w:rPr>
            </w:pPr>
            <w:r>
              <w:rPr>
                <w:rFonts w:hint="eastAsia" w:ascii="宋体" w:hAnsi="宋体"/>
                <w:kern w:val="0"/>
              </w:rPr>
              <w:t>根据本招标项目实际情况制定方案，提供适合本项目实际情况的新型设备、创新型作业方法、或高于本项目基本要求配置机械等内容。</w:t>
            </w:r>
          </w:p>
          <w:p>
            <w:pPr>
              <w:spacing w:line="276" w:lineRule="auto"/>
              <w:jc w:val="left"/>
              <w:rPr>
                <w:rFonts w:hint="eastAsia" w:ascii="宋体" w:hAnsi="宋体"/>
                <w:kern w:val="0"/>
              </w:rPr>
            </w:pPr>
            <w:r>
              <w:rPr>
                <w:rFonts w:hint="eastAsia" w:ascii="宋体" w:hAnsi="宋体"/>
                <w:kern w:val="0"/>
              </w:rPr>
              <w:t>评委会根据方案的完整性、合理性进行综合评审、横向对比，在0-5分之间打分。</w:t>
            </w:r>
          </w:p>
        </w:tc>
        <w:tc>
          <w:tcPr>
            <w:tcW w:w="709" w:type="dxa"/>
            <w:shd w:val="clear" w:color="auto" w:fill="FFFFFF"/>
            <w:noWrap w:val="0"/>
            <w:vAlign w:val="center"/>
          </w:tcPr>
          <w:p>
            <w:pPr>
              <w:widowControl/>
              <w:spacing w:line="360" w:lineRule="auto"/>
              <w:jc w:val="center"/>
              <w:rPr>
                <w:rFonts w:hint="eastAsia" w:ascii="宋体" w:hAnsi="宋体" w:cs="宋体"/>
                <w:kern w:val="0"/>
                <w:sz w:val="22"/>
              </w:rPr>
            </w:pPr>
            <w:r>
              <w:rPr>
                <w:rFonts w:hint="eastAsia" w:ascii="宋体" w:hAnsi="宋体" w:cs="宋体"/>
                <w:kern w:val="0"/>
                <w:sz w:val="22"/>
              </w:rPr>
              <w:t>0-18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741" w:hRule="atLeast"/>
        </w:trPr>
        <w:tc>
          <w:tcPr>
            <w:tcW w:w="689" w:type="dxa"/>
            <w:shd w:val="clear" w:color="auto" w:fill="auto"/>
            <w:noWrap w:val="0"/>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8</w:t>
            </w:r>
          </w:p>
        </w:tc>
        <w:tc>
          <w:tcPr>
            <w:tcW w:w="1166" w:type="dxa"/>
            <w:shd w:val="clear" w:color="auto" w:fill="auto"/>
            <w:noWrap w:val="0"/>
            <w:vAlign w:val="center"/>
          </w:tcPr>
          <w:p>
            <w:pPr>
              <w:widowControl/>
              <w:spacing w:line="276" w:lineRule="auto"/>
              <w:jc w:val="center"/>
              <w:rPr>
                <w:rFonts w:ascii="宋体" w:hAnsi="宋体"/>
                <w:sz w:val="20"/>
                <w:szCs w:val="20"/>
              </w:rPr>
            </w:pPr>
            <w:r>
              <w:rPr>
                <w:rFonts w:hint="eastAsia" w:ascii="宋体" w:hAnsi="宋体"/>
                <w:sz w:val="20"/>
                <w:szCs w:val="20"/>
              </w:rPr>
              <w:t>服务保障方案</w:t>
            </w:r>
          </w:p>
        </w:tc>
        <w:tc>
          <w:tcPr>
            <w:tcW w:w="7229" w:type="dxa"/>
            <w:shd w:val="clear" w:color="auto" w:fill="FFFFFF"/>
            <w:noWrap w:val="0"/>
            <w:vAlign w:val="center"/>
          </w:tcPr>
          <w:p>
            <w:pPr>
              <w:spacing w:line="276" w:lineRule="auto"/>
              <w:jc w:val="left"/>
              <w:rPr>
                <w:rFonts w:hint="eastAsia" w:ascii="宋体" w:hAnsi="宋体" w:cs="宋体"/>
                <w:kern w:val="0"/>
                <w:sz w:val="22"/>
              </w:rPr>
            </w:pPr>
            <w:r>
              <w:rPr>
                <w:rFonts w:hint="eastAsia" w:ascii="宋体" w:hAnsi="宋体" w:cs="宋体"/>
                <w:kern w:val="0"/>
                <w:sz w:val="22"/>
              </w:rPr>
              <w:t>投标文件中须提供服务保障能力方案，包含不限于以下4项内容：</w:t>
            </w:r>
          </w:p>
          <w:p>
            <w:pPr>
              <w:spacing w:line="276" w:lineRule="auto"/>
              <w:jc w:val="left"/>
              <w:rPr>
                <w:rFonts w:hint="eastAsia" w:ascii="宋体" w:hAnsi="宋体" w:cs="宋体"/>
                <w:kern w:val="0"/>
                <w:sz w:val="22"/>
              </w:rPr>
            </w:pPr>
            <w:r>
              <w:rPr>
                <w:rFonts w:hint="eastAsia" w:ascii="宋体" w:hAnsi="宋体" w:cs="宋体"/>
                <w:kern w:val="0"/>
                <w:sz w:val="22"/>
              </w:rPr>
              <w:t>（1）项目人员接收移交方案，承诺人员接收安排的可得分。无承诺不得分（0-2分）</w:t>
            </w:r>
          </w:p>
          <w:p>
            <w:pPr>
              <w:spacing w:line="276" w:lineRule="auto"/>
              <w:jc w:val="left"/>
              <w:rPr>
                <w:rFonts w:hint="eastAsia" w:ascii="宋体" w:hAnsi="宋体" w:cs="宋体"/>
                <w:kern w:val="0"/>
                <w:sz w:val="22"/>
              </w:rPr>
            </w:pPr>
            <w:r>
              <w:rPr>
                <w:rFonts w:hint="eastAsia" w:ascii="宋体" w:hAnsi="宋体" w:cs="宋体"/>
                <w:kern w:val="0"/>
                <w:sz w:val="22"/>
              </w:rPr>
              <w:t>（2）设备设施维护维修管理方案（0-2分）</w:t>
            </w:r>
          </w:p>
          <w:p>
            <w:pPr>
              <w:spacing w:line="276" w:lineRule="auto"/>
              <w:jc w:val="left"/>
              <w:rPr>
                <w:rFonts w:hint="eastAsia" w:ascii="宋体" w:hAnsi="宋体" w:cs="宋体"/>
                <w:kern w:val="0"/>
                <w:sz w:val="22"/>
              </w:rPr>
            </w:pPr>
            <w:r>
              <w:rPr>
                <w:rFonts w:hint="eastAsia" w:ascii="宋体" w:hAnsi="宋体" w:cs="宋体"/>
                <w:kern w:val="0"/>
                <w:sz w:val="22"/>
              </w:rPr>
              <w:t>（3）车辆管理方案（0-2分）</w:t>
            </w:r>
          </w:p>
          <w:p>
            <w:pPr>
              <w:spacing w:line="276" w:lineRule="auto"/>
              <w:jc w:val="left"/>
              <w:rPr>
                <w:rFonts w:hint="eastAsia" w:ascii="宋体" w:hAnsi="宋体" w:cs="宋体"/>
                <w:kern w:val="0"/>
                <w:sz w:val="22"/>
              </w:rPr>
            </w:pPr>
            <w:r>
              <w:rPr>
                <w:rFonts w:hint="eastAsia" w:ascii="宋体" w:hAnsi="宋体" w:cs="宋体"/>
                <w:kern w:val="0"/>
                <w:sz w:val="22"/>
              </w:rPr>
              <w:t>（4）设施管理方案（0-2分）</w:t>
            </w:r>
          </w:p>
          <w:p>
            <w:pPr>
              <w:spacing w:line="276" w:lineRule="auto"/>
              <w:jc w:val="left"/>
              <w:rPr>
                <w:rFonts w:hint="eastAsia" w:ascii="宋体" w:hAnsi="宋体" w:cs="宋体"/>
                <w:kern w:val="0"/>
                <w:sz w:val="22"/>
              </w:rPr>
            </w:pPr>
            <w:r>
              <w:rPr>
                <w:rFonts w:hint="eastAsia" w:ascii="宋体" w:hAnsi="宋体" w:cs="宋体"/>
                <w:kern w:val="0"/>
                <w:sz w:val="22"/>
              </w:rPr>
              <w:t>评委会根据方案的完整性、合理性进行综合评审、横向对比，每项在0-2分之间打分。</w:t>
            </w:r>
          </w:p>
        </w:tc>
        <w:tc>
          <w:tcPr>
            <w:tcW w:w="709" w:type="dxa"/>
            <w:shd w:val="clear" w:color="auto" w:fill="FFFFFF"/>
            <w:noWrap w:val="0"/>
            <w:vAlign w:val="center"/>
          </w:tcPr>
          <w:p>
            <w:pPr>
              <w:widowControl/>
              <w:spacing w:line="360" w:lineRule="auto"/>
              <w:jc w:val="center"/>
              <w:rPr>
                <w:rFonts w:hint="eastAsia" w:ascii="宋体" w:hAnsi="宋体" w:cs="宋体"/>
                <w:kern w:val="0"/>
                <w:sz w:val="22"/>
              </w:rPr>
            </w:pPr>
            <w:r>
              <w:rPr>
                <w:rFonts w:hint="eastAsia" w:ascii="宋体" w:hAnsi="宋体" w:cs="宋体"/>
                <w:kern w:val="0"/>
                <w:sz w:val="22"/>
              </w:rPr>
              <w:t>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741" w:hRule="atLeast"/>
        </w:trPr>
        <w:tc>
          <w:tcPr>
            <w:tcW w:w="689" w:type="dxa"/>
            <w:shd w:val="clear" w:color="auto" w:fill="auto"/>
            <w:noWrap w:val="0"/>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9</w:t>
            </w:r>
          </w:p>
        </w:tc>
        <w:tc>
          <w:tcPr>
            <w:tcW w:w="1166" w:type="dxa"/>
            <w:shd w:val="clear" w:color="auto" w:fill="auto"/>
            <w:noWrap w:val="0"/>
            <w:vAlign w:val="center"/>
          </w:tcPr>
          <w:p>
            <w:pPr>
              <w:widowControl/>
              <w:spacing w:line="276" w:lineRule="auto"/>
              <w:jc w:val="center"/>
              <w:rPr>
                <w:rFonts w:ascii="宋体" w:hAnsi="宋体" w:cs="宋体"/>
                <w:kern w:val="0"/>
                <w:szCs w:val="21"/>
              </w:rPr>
            </w:pPr>
            <w:r>
              <w:rPr>
                <w:rFonts w:hint="eastAsia" w:ascii="宋体" w:hAnsi="宋体"/>
                <w:sz w:val="20"/>
                <w:szCs w:val="20"/>
              </w:rPr>
              <w:t>应急处置方案</w:t>
            </w:r>
          </w:p>
        </w:tc>
        <w:tc>
          <w:tcPr>
            <w:tcW w:w="7229" w:type="dxa"/>
            <w:shd w:val="clear" w:color="auto" w:fill="FFFFFF"/>
            <w:noWrap w:val="0"/>
            <w:vAlign w:val="center"/>
          </w:tcPr>
          <w:p>
            <w:pPr>
              <w:spacing w:line="276" w:lineRule="auto"/>
              <w:jc w:val="left"/>
              <w:rPr>
                <w:rFonts w:hint="eastAsia" w:ascii="宋体" w:hAnsi="宋体" w:cs="宋体"/>
                <w:kern w:val="0"/>
                <w:sz w:val="22"/>
              </w:rPr>
            </w:pPr>
            <w:r>
              <w:rPr>
                <w:rFonts w:hint="eastAsia" w:ascii="宋体" w:hAnsi="宋体" w:cs="宋体"/>
                <w:kern w:val="0"/>
                <w:sz w:val="22"/>
              </w:rPr>
              <w:t>标文件中须提供应急处置方案，包含不限于以下4项内容：</w:t>
            </w:r>
          </w:p>
          <w:p>
            <w:pPr>
              <w:spacing w:line="276" w:lineRule="auto"/>
              <w:jc w:val="left"/>
              <w:rPr>
                <w:rFonts w:hint="eastAsia" w:ascii="宋体" w:hAnsi="宋体" w:cs="宋体"/>
                <w:kern w:val="0"/>
                <w:sz w:val="22"/>
              </w:rPr>
            </w:pPr>
            <w:r>
              <w:rPr>
                <w:rFonts w:hint="eastAsia" w:ascii="宋体" w:hAnsi="宋体" w:cs="宋体"/>
                <w:kern w:val="0"/>
                <w:sz w:val="22"/>
              </w:rPr>
              <w:t>（1）极端天气（防汛抗台、防雪抗冻）应急保障方案（0-2分）</w:t>
            </w:r>
          </w:p>
          <w:p>
            <w:pPr>
              <w:spacing w:line="276" w:lineRule="auto"/>
              <w:jc w:val="left"/>
              <w:rPr>
                <w:rFonts w:hint="eastAsia" w:ascii="宋体" w:hAnsi="宋体" w:cs="宋体"/>
                <w:kern w:val="0"/>
                <w:sz w:val="22"/>
              </w:rPr>
            </w:pPr>
            <w:r>
              <w:rPr>
                <w:rFonts w:hint="eastAsia" w:ascii="宋体" w:hAnsi="宋体" w:cs="宋体"/>
                <w:kern w:val="0"/>
                <w:sz w:val="22"/>
              </w:rPr>
              <w:t>（2）重大疫情期间执行方案（0-2分）</w:t>
            </w:r>
          </w:p>
          <w:p>
            <w:pPr>
              <w:spacing w:line="276" w:lineRule="auto"/>
              <w:jc w:val="left"/>
              <w:rPr>
                <w:rFonts w:hint="eastAsia" w:ascii="宋体" w:hAnsi="宋体" w:cs="宋体"/>
                <w:kern w:val="0"/>
                <w:sz w:val="22"/>
              </w:rPr>
            </w:pPr>
            <w:r>
              <w:rPr>
                <w:rFonts w:hint="eastAsia" w:ascii="宋体" w:hAnsi="宋体" w:cs="宋体"/>
                <w:kern w:val="0"/>
                <w:sz w:val="22"/>
              </w:rPr>
              <w:t>（3）发生恶性事故应急方案（0-2分）</w:t>
            </w:r>
          </w:p>
          <w:p>
            <w:pPr>
              <w:spacing w:line="276" w:lineRule="auto"/>
              <w:jc w:val="left"/>
              <w:rPr>
                <w:rFonts w:hint="eastAsia" w:ascii="宋体" w:hAnsi="宋体" w:cs="宋体"/>
                <w:kern w:val="0"/>
                <w:sz w:val="22"/>
              </w:rPr>
            </w:pPr>
            <w:r>
              <w:rPr>
                <w:rFonts w:hint="eastAsia" w:ascii="宋体" w:hAnsi="宋体" w:cs="宋体"/>
                <w:kern w:val="0"/>
                <w:sz w:val="22"/>
              </w:rPr>
              <w:t>（4）重大活动及节日应急方案（0-2分）</w:t>
            </w:r>
          </w:p>
          <w:p>
            <w:pPr>
              <w:spacing w:line="276" w:lineRule="auto"/>
              <w:jc w:val="left"/>
              <w:rPr>
                <w:rFonts w:ascii="宋体" w:hAnsi="宋体" w:cs="宋体"/>
                <w:kern w:val="0"/>
                <w:sz w:val="22"/>
              </w:rPr>
            </w:pPr>
            <w:r>
              <w:rPr>
                <w:rFonts w:hint="eastAsia" w:ascii="宋体" w:hAnsi="宋体" w:cs="宋体"/>
                <w:kern w:val="0"/>
                <w:sz w:val="22"/>
              </w:rPr>
              <w:t>评委会根据方案的完整性、合理性进行综合评审、横向对比，每项在0-2分之间打分。</w:t>
            </w:r>
          </w:p>
        </w:tc>
        <w:tc>
          <w:tcPr>
            <w:tcW w:w="709" w:type="dxa"/>
            <w:shd w:val="clear" w:color="auto" w:fill="FFFFFF"/>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741" w:hRule="atLeast"/>
        </w:trPr>
        <w:tc>
          <w:tcPr>
            <w:tcW w:w="689" w:type="dxa"/>
            <w:shd w:val="clear" w:color="auto" w:fill="auto"/>
            <w:noWrap w:val="0"/>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10</w:t>
            </w:r>
          </w:p>
        </w:tc>
        <w:tc>
          <w:tcPr>
            <w:tcW w:w="1166" w:type="dxa"/>
            <w:shd w:val="clear" w:color="auto" w:fill="auto"/>
            <w:noWrap w:val="0"/>
            <w:vAlign w:val="center"/>
          </w:tcPr>
          <w:p>
            <w:pPr>
              <w:widowControl/>
              <w:spacing w:line="276" w:lineRule="auto"/>
              <w:jc w:val="center"/>
              <w:rPr>
                <w:rFonts w:ascii="宋体" w:hAnsi="宋体"/>
                <w:sz w:val="20"/>
                <w:szCs w:val="20"/>
              </w:rPr>
            </w:pPr>
            <w:r>
              <w:rPr>
                <w:rFonts w:hint="eastAsia" w:ascii="宋体" w:hAnsi="宋体"/>
                <w:sz w:val="20"/>
                <w:szCs w:val="20"/>
              </w:rPr>
              <w:t>智慧环卫平台管理方案</w:t>
            </w:r>
          </w:p>
        </w:tc>
        <w:tc>
          <w:tcPr>
            <w:tcW w:w="7229" w:type="dxa"/>
            <w:shd w:val="clear" w:color="auto" w:fill="FFFFFF"/>
            <w:noWrap w:val="0"/>
            <w:vAlign w:val="center"/>
          </w:tcPr>
          <w:p>
            <w:pPr>
              <w:spacing w:line="276" w:lineRule="auto"/>
              <w:jc w:val="left"/>
              <w:rPr>
                <w:rFonts w:hint="eastAsia" w:ascii="宋体" w:hAnsi="宋体" w:cs="宋体"/>
                <w:kern w:val="0"/>
                <w:sz w:val="22"/>
              </w:rPr>
            </w:pPr>
            <w:r>
              <w:rPr>
                <w:rFonts w:hint="eastAsia" w:ascii="宋体" w:hAnsi="宋体" w:cs="宋体"/>
                <w:kern w:val="0"/>
                <w:sz w:val="22"/>
              </w:rPr>
              <w:t>投标文件中须提供智慧环卫平台方案，包含不限于以下3项内容：</w:t>
            </w:r>
          </w:p>
          <w:p>
            <w:pPr>
              <w:spacing w:line="276" w:lineRule="auto"/>
              <w:jc w:val="left"/>
              <w:rPr>
                <w:rFonts w:hint="eastAsia" w:ascii="宋体" w:hAnsi="宋体" w:cs="宋体"/>
                <w:kern w:val="0"/>
                <w:sz w:val="22"/>
              </w:rPr>
            </w:pPr>
            <w:r>
              <w:rPr>
                <w:rFonts w:hint="eastAsia" w:ascii="宋体" w:hAnsi="宋体" w:cs="宋体"/>
                <w:kern w:val="0"/>
                <w:sz w:val="22"/>
              </w:rPr>
              <w:t>（1）人员管理（0-1分）</w:t>
            </w:r>
          </w:p>
          <w:p>
            <w:pPr>
              <w:spacing w:line="276" w:lineRule="auto"/>
              <w:jc w:val="left"/>
              <w:rPr>
                <w:rFonts w:hint="eastAsia" w:ascii="宋体" w:hAnsi="宋体" w:cs="宋体"/>
                <w:kern w:val="0"/>
                <w:sz w:val="22"/>
              </w:rPr>
            </w:pPr>
            <w:r>
              <w:rPr>
                <w:rFonts w:hint="eastAsia" w:ascii="宋体" w:hAnsi="宋体" w:cs="宋体"/>
                <w:kern w:val="0"/>
                <w:sz w:val="22"/>
              </w:rPr>
              <w:t>（2）车辆管理、设施管理（0-1分）</w:t>
            </w:r>
          </w:p>
          <w:p>
            <w:pPr>
              <w:spacing w:line="276" w:lineRule="auto"/>
              <w:jc w:val="left"/>
              <w:rPr>
                <w:rFonts w:hint="eastAsia" w:ascii="宋体" w:hAnsi="宋体" w:cs="宋体"/>
                <w:kern w:val="0"/>
                <w:sz w:val="22"/>
              </w:rPr>
            </w:pPr>
            <w:r>
              <w:rPr>
                <w:rFonts w:hint="eastAsia" w:ascii="宋体" w:hAnsi="宋体" w:cs="宋体"/>
                <w:kern w:val="0"/>
                <w:sz w:val="22"/>
              </w:rPr>
              <w:t>（3）环卫事件管理（0-1分）</w:t>
            </w:r>
          </w:p>
          <w:p>
            <w:pPr>
              <w:spacing w:line="276" w:lineRule="auto"/>
              <w:jc w:val="left"/>
              <w:rPr>
                <w:rFonts w:hint="eastAsia" w:ascii="宋体" w:hAnsi="宋体" w:cs="宋体"/>
                <w:kern w:val="0"/>
                <w:sz w:val="22"/>
              </w:rPr>
            </w:pPr>
            <w:r>
              <w:rPr>
                <w:rFonts w:hint="eastAsia" w:ascii="宋体" w:hAnsi="宋体" w:cs="宋体"/>
                <w:kern w:val="0"/>
                <w:sz w:val="22"/>
              </w:rPr>
              <w:t>评委会根据方案的完整性、合理性进行综合评审、横向对比，每项在0-1分之间打分。</w:t>
            </w:r>
          </w:p>
        </w:tc>
        <w:tc>
          <w:tcPr>
            <w:tcW w:w="709" w:type="dxa"/>
            <w:shd w:val="clear" w:color="auto" w:fill="FFFFFF"/>
            <w:noWrap w:val="0"/>
            <w:vAlign w:val="center"/>
          </w:tcPr>
          <w:p>
            <w:pPr>
              <w:widowControl/>
              <w:spacing w:line="360" w:lineRule="auto"/>
              <w:jc w:val="center"/>
              <w:rPr>
                <w:rFonts w:hint="eastAsia" w:ascii="宋体" w:hAnsi="宋体" w:cs="宋体"/>
                <w:kern w:val="0"/>
                <w:sz w:val="22"/>
              </w:rPr>
            </w:pPr>
            <w:r>
              <w:rPr>
                <w:rFonts w:hint="eastAsia" w:ascii="宋体" w:hAnsi="宋体" w:cs="宋体"/>
                <w:kern w:val="0"/>
                <w:sz w:val="22"/>
              </w:rPr>
              <w:t>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741" w:hRule="atLeast"/>
        </w:trPr>
        <w:tc>
          <w:tcPr>
            <w:tcW w:w="689" w:type="dxa"/>
            <w:shd w:val="clear" w:color="auto" w:fill="auto"/>
            <w:noWrap w:val="0"/>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11</w:t>
            </w:r>
          </w:p>
        </w:tc>
        <w:tc>
          <w:tcPr>
            <w:tcW w:w="1166" w:type="dxa"/>
            <w:shd w:val="clear" w:color="auto" w:fill="auto"/>
            <w:noWrap w:val="0"/>
            <w:vAlign w:val="center"/>
          </w:tcPr>
          <w:p>
            <w:pPr>
              <w:widowControl/>
              <w:spacing w:line="276" w:lineRule="auto"/>
              <w:jc w:val="center"/>
              <w:rPr>
                <w:rFonts w:hint="eastAsia" w:ascii="宋体" w:hAnsi="宋体"/>
                <w:kern w:val="0"/>
              </w:rPr>
            </w:pPr>
            <w:r>
              <w:rPr>
                <w:rFonts w:ascii="宋体" w:hAnsi="宋体"/>
                <w:sz w:val="20"/>
                <w:szCs w:val="20"/>
              </w:rPr>
              <w:t>投标文件的制作</w:t>
            </w:r>
          </w:p>
        </w:tc>
        <w:tc>
          <w:tcPr>
            <w:tcW w:w="7229" w:type="dxa"/>
            <w:shd w:val="clear" w:color="auto" w:fill="FFFFFF"/>
            <w:noWrap w:val="0"/>
            <w:vAlign w:val="center"/>
          </w:tcPr>
          <w:p>
            <w:pPr>
              <w:spacing w:line="276" w:lineRule="auto"/>
              <w:jc w:val="left"/>
              <w:rPr>
                <w:rFonts w:hint="eastAsia" w:ascii="宋体" w:hAnsi="宋体" w:cs="宋体"/>
                <w:kern w:val="0"/>
                <w:sz w:val="22"/>
              </w:rPr>
            </w:pPr>
            <w:r>
              <w:rPr>
                <w:rFonts w:hint="eastAsia" w:ascii="宋体" w:hAnsi="宋体" w:cs="宋体"/>
                <w:kern w:val="0"/>
                <w:sz w:val="22"/>
              </w:rPr>
              <w:t>根据投标文件内容完整、编排合理、完整清晰、文字综合表述清楚、关联点明确等合理打分。</w:t>
            </w:r>
          </w:p>
        </w:tc>
        <w:tc>
          <w:tcPr>
            <w:tcW w:w="709" w:type="dxa"/>
            <w:shd w:val="clear" w:color="auto" w:fill="FFFFFF"/>
            <w:noWrap w:val="0"/>
            <w:vAlign w:val="center"/>
          </w:tcPr>
          <w:p>
            <w:pPr>
              <w:widowControl/>
              <w:spacing w:line="360" w:lineRule="auto"/>
              <w:jc w:val="center"/>
              <w:rPr>
                <w:rFonts w:hint="eastAsia" w:ascii="宋体" w:hAnsi="宋体" w:cs="宋体"/>
                <w:kern w:val="0"/>
                <w:sz w:val="22"/>
              </w:rPr>
            </w:pPr>
            <w:r>
              <w:rPr>
                <w:rFonts w:hint="eastAsia" w:ascii="宋体" w:hAnsi="宋体" w:cs="宋体"/>
                <w:kern w:val="0"/>
                <w:sz w:val="22"/>
              </w:rPr>
              <w:t>0-2</w:t>
            </w:r>
          </w:p>
        </w:tc>
      </w:tr>
    </w:tbl>
    <w:p>
      <w:pPr>
        <w:spacing w:line="500" w:lineRule="exact"/>
        <w:rPr>
          <w:rFonts w:hint="eastAsia" w:ascii="宋体" w:hAnsi="宋体"/>
          <w:sz w:val="24"/>
          <w:szCs w:val="21"/>
        </w:rPr>
      </w:pPr>
      <w:r>
        <w:rPr>
          <w:rFonts w:hint="eastAsia" w:ascii="宋体" w:hAnsi="宋体"/>
          <w:sz w:val="24"/>
          <w:szCs w:val="21"/>
        </w:rPr>
        <w:t>备注：以上资质、荣誉等得分项仅认可投标人及其分公司所属有，属于其母公司及控股子公司等资质、荣誉的均不予得分。</w:t>
      </w:r>
    </w:p>
    <w:p>
      <w:pPr>
        <w:spacing w:line="500" w:lineRule="exact"/>
        <w:rPr>
          <w:rFonts w:hint="eastAsia" w:ascii="宋体" w:hAnsi="宋体"/>
          <w:sz w:val="24"/>
          <w:szCs w:val="21"/>
        </w:rPr>
      </w:pPr>
      <w:r>
        <w:rPr>
          <w:rFonts w:hint="eastAsia" w:ascii="宋体" w:hAnsi="宋体"/>
          <w:sz w:val="24"/>
          <w:szCs w:val="21"/>
        </w:rPr>
        <w:t>2、价格标评分标准</w:t>
      </w:r>
    </w:p>
    <w:p>
      <w:pPr>
        <w:spacing w:line="500" w:lineRule="exact"/>
        <w:ind w:firstLine="480" w:firstLineChars="200"/>
        <w:rPr>
          <w:rFonts w:ascii="宋体" w:hAnsi="宋体"/>
          <w:sz w:val="24"/>
          <w:szCs w:val="21"/>
        </w:rPr>
      </w:pPr>
      <w:r>
        <w:rPr>
          <w:rFonts w:hint="eastAsia" w:ascii="宋体" w:hAnsi="宋体"/>
          <w:sz w:val="24"/>
          <w:szCs w:val="21"/>
          <w:u w:val="single"/>
        </w:rPr>
        <w:t xml:space="preserve">价格标20 </w:t>
      </w:r>
      <w:r>
        <w:rPr>
          <w:rFonts w:ascii="宋体" w:hAnsi="宋体"/>
          <w:sz w:val="24"/>
          <w:szCs w:val="21"/>
          <w:u w:val="single"/>
        </w:rPr>
        <w:t>%</w:t>
      </w:r>
      <w:r>
        <w:rPr>
          <w:rFonts w:hint="eastAsia" w:ascii="宋体" w:hAnsi="宋体"/>
          <w:sz w:val="24"/>
          <w:szCs w:val="21"/>
          <w:u w:val="single"/>
        </w:rPr>
        <w:t>，即满分20分。</w:t>
      </w:r>
    </w:p>
    <w:p>
      <w:pPr>
        <w:spacing w:line="360" w:lineRule="auto"/>
        <w:ind w:firstLine="480" w:firstLineChars="200"/>
        <w:rPr>
          <w:rFonts w:hint="eastAsia" w:ascii="宋体" w:hAnsi="宋体"/>
          <w:sz w:val="24"/>
        </w:rPr>
      </w:pPr>
      <w:r>
        <w:rPr>
          <w:rFonts w:hint="eastAsia" w:ascii="宋体" w:hAnsi="宋体"/>
          <w:sz w:val="24"/>
        </w:rPr>
        <w:t>价格标评审应在投标报价范围口径一致的基础上进行（开标一览表（报价表）中不得漏填项目，否则当供应商中标后，采购人对供应商没有填入单价与金额的项目将不予支付，并认为此项目费用已包括在价格表的其他项目的单价和金额之中，如中标，缺报的设备或项目免费提供）。</w:t>
      </w:r>
    </w:p>
    <w:p>
      <w:pPr>
        <w:spacing w:line="360" w:lineRule="auto"/>
        <w:ind w:firstLine="480" w:firstLineChars="200"/>
        <w:rPr>
          <w:rFonts w:hint="eastAsia" w:ascii="宋体" w:hAnsi="宋体"/>
          <w:sz w:val="24"/>
        </w:rPr>
      </w:pPr>
      <w:r>
        <w:rPr>
          <w:rFonts w:hint="eastAsia" w:ascii="宋体" w:hAnsi="宋体"/>
          <w:sz w:val="24"/>
        </w:rPr>
        <w:t>价格评分采用低价优先法计算，即在有效报价中，满足采购文件要求且投标价格最低的投标报价为评标基准价，</w:t>
      </w:r>
      <w:r>
        <w:rPr>
          <w:rFonts w:hint="eastAsia" w:ascii="宋体" w:hAnsi="宋体"/>
          <w:sz w:val="24"/>
          <w:u w:val="single"/>
        </w:rPr>
        <w:t>其价格分为满分20分。</w:t>
      </w:r>
      <w:r>
        <w:rPr>
          <w:rFonts w:hint="eastAsia" w:ascii="宋体" w:hAnsi="宋体"/>
          <w:sz w:val="24"/>
        </w:rPr>
        <w:t>其他供应商的价格分统一按照下列公式计算：</w:t>
      </w:r>
      <w:r>
        <w:rPr>
          <w:rFonts w:hint="eastAsia" w:ascii="宋体" w:hAnsi="宋体"/>
          <w:sz w:val="24"/>
          <w:u w:val="single"/>
        </w:rPr>
        <w:t>投标报价得分</w:t>
      </w:r>
      <w:r>
        <w:rPr>
          <w:rFonts w:ascii="宋体" w:hAnsi="宋体"/>
          <w:sz w:val="24"/>
          <w:u w:val="single"/>
        </w:rPr>
        <w:t>=</w:t>
      </w:r>
      <w:r>
        <w:rPr>
          <w:rFonts w:hint="eastAsia" w:ascii="宋体" w:hAnsi="宋体"/>
          <w:sz w:val="24"/>
          <w:u w:val="single"/>
        </w:rPr>
        <w:t>（评标基准价</w:t>
      </w:r>
      <w:r>
        <w:rPr>
          <w:rFonts w:ascii="宋体" w:hAnsi="宋体"/>
          <w:sz w:val="24"/>
          <w:u w:val="single"/>
        </w:rPr>
        <w:t>/</w:t>
      </w:r>
      <w:r>
        <w:rPr>
          <w:rFonts w:hint="eastAsia" w:ascii="宋体" w:hAnsi="宋体"/>
          <w:sz w:val="24"/>
          <w:u w:val="single"/>
        </w:rPr>
        <w:t>投标报价）×20</w:t>
      </w:r>
      <w:r>
        <w:rPr>
          <w:rFonts w:ascii="宋体" w:hAnsi="宋体"/>
          <w:sz w:val="24"/>
          <w:u w:val="single"/>
        </w:rPr>
        <w:t>%</w:t>
      </w:r>
      <w:r>
        <w:rPr>
          <w:rFonts w:hint="eastAsia" w:ascii="宋体" w:hAnsi="宋体"/>
          <w:sz w:val="24"/>
          <w:u w:val="single"/>
        </w:rPr>
        <w:t>×</w:t>
      </w:r>
      <w:r>
        <w:rPr>
          <w:rFonts w:ascii="宋体" w:hAnsi="宋体"/>
          <w:sz w:val="24"/>
          <w:u w:val="single"/>
        </w:rPr>
        <w:t>100</w:t>
      </w:r>
      <w:r>
        <w:rPr>
          <w:rFonts w:hint="eastAsia" w:ascii="宋体" w:hAnsi="宋体"/>
          <w:sz w:val="24"/>
        </w:rPr>
        <w:t>。小数点保留2位。</w:t>
      </w:r>
    </w:p>
    <w:p>
      <w:pPr>
        <w:spacing w:line="360" w:lineRule="auto"/>
        <w:ind w:firstLine="480" w:firstLineChars="200"/>
        <w:rPr>
          <w:rFonts w:hint="eastAsia" w:ascii="宋体" w:hAnsi="宋体"/>
          <w:sz w:val="24"/>
        </w:rPr>
      </w:pPr>
      <w:r>
        <w:rPr>
          <w:rFonts w:hint="eastAsia" w:ascii="宋体" w:hAnsi="宋体"/>
          <w:sz w:val="24"/>
        </w:rPr>
        <w:t>有效报价是指小于或等于采购人上限价的报价。</w:t>
      </w:r>
      <w:r>
        <w:rPr>
          <w:rFonts w:hint="eastAsia" w:ascii="宋体" w:hAnsi="宋体"/>
          <w:b/>
          <w:sz w:val="24"/>
        </w:rPr>
        <w:t>Ⅰ标：柯北标段</w:t>
      </w:r>
      <w:r>
        <w:rPr>
          <w:rFonts w:ascii="宋体" w:hAnsi="宋体"/>
          <w:b/>
          <w:sz w:val="24"/>
        </w:rPr>
        <w:t>2576</w:t>
      </w:r>
      <w:r>
        <w:rPr>
          <w:rFonts w:hint="eastAsia" w:ascii="宋体" w:hAnsi="宋体"/>
          <w:b/>
          <w:sz w:val="24"/>
        </w:rPr>
        <w:t>万/年，Ⅱ标：柯中标段 2184万/年，</w:t>
      </w:r>
      <w:r>
        <w:rPr>
          <w:rFonts w:hint="eastAsia" w:ascii="宋体" w:hAnsi="宋体"/>
          <w:sz w:val="24"/>
        </w:rPr>
        <w:t>超过上限价的报价作无效标处理，直接予以淘汰。当有效报价不足3家时，开标终止，重新组织采购。</w:t>
      </w:r>
    </w:p>
    <w:p>
      <w:pPr>
        <w:spacing w:line="360" w:lineRule="auto"/>
        <w:ind w:firstLine="480" w:firstLineChars="200"/>
        <w:rPr>
          <w:rFonts w:hint="eastAsia" w:ascii="宋体" w:hAnsi="宋体"/>
          <w:sz w:val="24"/>
        </w:rPr>
      </w:pPr>
      <w:r>
        <w:rPr>
          <w:rFonts w:ascii="宋体" w:hAnsi="宋体"/>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ascii="宋体" w:hAnsi="宋体"/>
          <w:sz w:val="24"/>
        </w:rPr>
        <w:t>。</w:t>
      </w:r>
    </w:p>
    <w:sectPr>
      <w:pgSz w:w="11907" w:h="16840"/>
      <w:pgMar w:top="1134" w:right="1134" w:bottom="1134" w:left="1418" w:header="567" w:footer="567"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200247B" w:usb2="00000009" w:usb3="00000000" w:csb0="200001FF" w:csb1="00000000"/>
  </w:font>
  <w:font w:name="ÎÄ¶¦±¨ËÎÌå¼ò">
    <w:altName w:val="宋体"/>
    <w:panose1 w:val="02020603050405020304"/>
    <w:charset w:val="86"/>
    <w:family w:val="roman"/>
    <w:pitch w:val="default"/>
    <w:sig w:usb0="00000003" w:usb1="080E0000" w:usb2="00000010"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F7FFAFFF" w:usb1="E9DFFFFF" w:usb2="0000003F" w:usb3="00000000" w:csb0="003F01FF" w:csb1="00000000"/>
  </w:font>
  <w:font w:name="华文中宋">
    <w:panose1 w:val="02010600040101010101"/>
    <w:charset w:val="86"/>
    <w:family w:val="auto"/>
    <w:pitch w:val="default"/>
    <w:sig w:usb0="00000287" w:usb1="080F0000" w:usb2="00000000" w:usb3="00000000" w:csb0="0004009F" w:csb1="DFD70000"/>
  </w:font>
  <w:font w:name="_x000B__x000C_">
    <w:altName w:val="微软雅黑"/>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86"/>
    <w:family w:val="modern"/>
    <w:pitch w:val="default"/>
    <w:sig w:usb0="00000000" w:usb1="0000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Cambria Math">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tabs>
        <w:tab w:val="center" w:pos="4153"/>
        <w:tab w:val="right" w:pos="8306"/>
        <w:tab w:val="clear" w:pos="4121"/>
        <w:tab w:val="clear" w:pos="7988"/>
      </w:tabs>
      <w:spacing w:line="240" w:lineRule="auto"/>
      <w:ind w:firstLine="0"/>
      <w:jc w:val="both"/>
      <w:rPr>
        <w:rFonts w:hint="eastAsia"/>
      </w:rPr>
    </w:pPr>
  </w:p>
  <w:p>
    <w:pPr>
      <w:pStyle w:val="28"/>
      <w:tabs>
        <w:tab w:val="center" w:pos="4153"/>
        <w:tab w:val="right" w:pos="8306"/>
        <w:tab w:val="clear" w:pos="4121"/>
        <w:tab w:val="clear" w:pos="7988"/>
      </w:tabs>
      <w:spacing w:line="240" w:lineRule="auto"/>
      <w:ind w:firstLine="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spacing w:line="240" w:lineRule="auto"/>
      <w:ind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spacing w:line="500" w:lineRule="atLeast"/>
      <w:jc w:val="right"/>
    </w:pPr>
    <w:r>
      <w:fldChar w:fldCharType="begin"/>
    </w:r>
    <w:r>
      <w:instrText xml:space="preserve"> PAGE   \* MERGEFORMAT </w:instrText>
    </w:r>
    <w:r>
      <w:fldChar w:fldCharType="separate"/>
    </w:r>
    <w:r>
      <w:rPr>
        <w:lang/>
      </w:rPr>
      <w:t>22</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tabs>
        <w:tab w:val="left" w:pos="12630"/>
        <w:tab w:val="clear" w:pos="4121"/>
      </w:tabs>
      <w:spacing w:line="240" w:lineRule="auto"/>
      <w:ind w:firstLine="0"/>
    </w:pP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etween w:val="single" w:color="4F81BD" w:sz="4" w:space="1"/>
      </w:pBdr>
      <w:spacing w:line="276" w:lineRule="auto"/>
      <w:ind w:firstLine="0"/>
      <w:jc w:val="both"/>
      <w:rPr>
        <w:u w:val="single" w:color="auto"/>
      </w:rPr>
    </w:pPr>
    <w:r>
      <w:rPr>
        <w:rFonts w:hint="eastAsia" w:ascii="宋体" w:hAnsi="宋体" w:cs="宋体"/>
        <w:color w:val="auto"/>
        <w:szCs w:val="21"/>
        <w:u w:val="single" w:color="auto"/>
      </w:rPr>
      <w:fldChar w:fldCharType="begin"/>
    </w:r>
    <w:r>
      <w:rPr>
        <w:rFonts w:hint="eastAsia" w:ascii="宋体" w:hAnsi="宋体" w:cs="宋体"/>
        <w:color w:val="auto"/>
        <w:szCs w:val="21"/>
        <w:u w:val="single" w:color="auto"/>
      </w:rPr>
      <w:instrText xml:space="preserve"> HYPERLINK "https://pay.zcygov.cn/purchaseplan_front/" \l "/plan/apply/detail/1307823" </w:instrText>
    </w:r>
    <w:r>
      <w:rPr>
        <w:rFonts w:hint="eastAsia" w:ascii="宋体" w:hAnsi="宋体" w:cs="宋体"/>
        <w:color w:val="auto"/>
        <w:szCs w:val="21"/>
        <w:u w:val="single" w:color="auto"/>
      </w:rPr>
      <w:fldChar w:fldCharType="separate"/>
    </w:r>
    <w:r>
      <w:rPr>
        <w:rFonts w:hint="eastAsia" w:ascii="宋体" w:hAnsi="宋体" w:cs="宋体"/>
        <w:color w:val="auto"/>
        <w:szCs w:val="21"/>
        <w:u w:val="single" w:color="auto"/>
      </w:rPr>
      <w:t>绍柯采[2020]1172号</w:t>
    </w:r>
    <w:r>
      <w:rPr>
        <w:rFonts w:hint="eastAsia" w:ascii="宋体" w:hAnsi="宋体" w:cs="宋体"/>
        <w:color w:val="auto"/>
        <w:szCs w:val="21"/>
        <w:u w:val="single" w:color="auto"/>
      </w:rPr>
      <w:fldChar w:fldCharType="end"/>
    </w:r>
    <w:r>
      <w:rPr>
        <w:rFonts w:hint="eastAsia"/>
        <w:color w:val="auto"/>
        <w:u w:val="single" w:color="auto"/>
      </w:rPr>
      <w:t xml:space="preserve"> </w:t>
    </w:r>
    <w:r>
      <w:rPr>
        <w:rFonts w:hint="eastAsia"/>
        <w:color w:val="auto"/>
        <w:sz w:val="21"/>
        <w:szCs w:val="21"/>
        <w:u w:val="single" w:color="auto"/>
      </w:rPr>
      <w:t xml:space="preserve">      </w:t>
    </w:r>
    <w:r>
      <w:rPr>
        <w:rFonts w:hint="eastAsia"/>
        <w:sz w:val="21"/>
        <w:szCs w:val="21"/>
        <w:u w:val="single" w:color="auto"/>
      </w:rPr>
      <w:t xml:space="preserve">   </w:t>
    </w:r>
    <w:r>
      <w:rPr>
        <w:rFonts w:hint="eastAsia"/>
        <w:u w:val="single" w:color="auto"/>
      </w:rPr>
      <w:t xml:space="preserve">                                       柯桥城区道路保洁服务项目招标文件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240FF9"/>
    <w:multiLevelType w:val="singleLevel"/>
    <w:tmpl w:val="C3240FF9"/>
    <w:lvl w:ilvl="0" w:tentative="0">
      <w:start w:val="1"/>
      <w:numFmt w:val="decimal"/>
      <w:pStyle w:val="7"/>
      <w:lvlText w:val="%1."/>
      <w:lvlJc w:val="left"/>
      <w:pPr>
        <w:tabs>
          <w:tab w:val="left" w:pos="780"/>
        </w:tabs>
        <w:ind w:left="780" w:hanging="360"/>
      </w:pPr>
    </w:lvl>
  </w:abstractNum>
  <w:abstractNum w:abstractNumId="1">
    <w:nsid w:val="FFFFFF7E"/>
    <w:multiLevelType w:val="singleLevel"/>
    <w:tmpl w:val="FFFFFF7E"/>
    <w:lvl w:ilvl="0" w:tentative="0">
      <w:start w:val="1"/>
      <w:numFmt w:val="bullet"/>
      <w:pStyle w:val="121"/>
      <w:lvlText w:val=""/>
      <w:lvlJc w:val="left"/>
      <w:pPr>
        <w:tabs>
          <w:tab w:val="left" w:pos="2260"/>
        </w:tabs>
        <w:ind w:left="2260" w:hanging="340"/>
      </w:pPr>
      <w:rPr>
        <w:rFonts w:hint="default" w:ascii="Wingdings" w:hAnsi="Wingdings" w:eastAsia="宋体"/>
      </w:rPr>
    </w:lvl>
  </w:abstractNum>
  <w:abstractNum w:abstractNumId="2">
    <w:nsid w:val="FFFFFF7F"/>
    <w:multiLevelType w:val="singleLevel"/>
    <w:tmpl w:val="FFFFFF7F"/>
    <w:lvl w:ilvl="0" w:tentative="0">
      <w:start w:val="1"/>
      <w:numFmt w:val="decimal"/>
      <w:pStyle w:val="118"/>
      <w:lvlText w:val="%1)"/>
      <w:lvlJc w:val="left"/>
      <w:pPr>
        <w:tabs>
          <w:tab w:val="left" w:pos="820"/>
        </w:tabs>
        <w:ind w:left="820" w:hanging="420"/>
      </w:pPr>
      <w:rPr>
        <w:rFonts w:hint="eastAsia"/>
      </w:rPr>
    </w:lvl>
  </w:abstractNum>
  <w:abstractNum w:abstractNumId="3">
    <w:nsid w:val="00000002"/>
    <w:multiLevelType w:val="multilevel"/>
    <w:tmpl w:val="00000002"/>
    <w:lvl w:ilvl="0" w:tentative="0">
      <w:start w:val="1"/>
      <w:numFmt w:val="decimal"/>
      <w:pStyle w:val="8"/>
      <w:lvlText w:val="%1."/>
      <w:lvlJc w:val="left"/>
      <w:pPr>
        <w:tabs>
          <w:tab w:val="left" w:pos="2269"/>
        </w:tabs>
        <w:ind w:left="2269" w:hanging="851"/>
      </w:pPr>
      <w:rPr>
        <w:b/>
        <w:i w:val="0"/>
        <w:sz w:val="28"/>
      </w:rPr>
    </w:lvl>
    <w:lvl w:ilvl="1" w:tentative="0">
      <w:start w:val="1"/>
      <w:numFmt w:val="decimal"/>
      <w:lvlText w:val="%1.%2."/>
      <w:lvlJc w:val="left"/>
      <w:pPr>
        <w:tabs>
          <w:tab w:val="left" w:pos="851"/>
        </w:tabs>
        <w:ind w:left="851" w:hanging="851"/>
      </w:pPr>
      <w:rPr>
        <w:b w:val="0"/>
        <w:i w:val="0"/>
        <w:sz w:val="24"/>
      </w:rPr>
    </w:lvl>
    <w:lvl w:ilvl="2" w:tentative="0">
      <w:start w:val="1"/>
      <w:numFmt w:val="decimal"/>
      <w:lvlText w:val="%1.%2.%3."/>
      <w:lvlJc w:val="left"/>
      <w:pPr>
        <w:tabs>
          <w:tab w:val="left" w:pos="851"/>
        </w:tabs>
        <w:ind w:left="851" w:hanging="851"/>
      </w:pPr>
      <w:rPr>
        <w:b w:val="0"/>
        <w:i w:val="0"/>
        <w:sz w:val="24"/>
      </w:rPr>
    </w:lvl>
    <w:lvl w:ilvl="3" w:tentative="0">
      <w:start w:val="1"/>
      <w:numFmt w:val="decimal"/>
      <w:lvlText w:val="%1.%2.%3.%4."/>
      <w:lvlJc w:val="left"/>
      <w:pPr>
        <w:tabs>
          <w:tab w:val="left" w:pos="1800"/>
        </w:tabs>
        <w:ind w:left="1728" w:hanging="648"/>
      </w:pPr>
    </w:lvl>
    <w:lvl w:ilvl="4" w:tentative="0">
      <w:start w:val="1"/>
      <w:numFmt w:val="decimal"/>
      <w:lvlText w:val="%1.%2.%3.%4.%5."/>
      <w:lvlJc w:val="left"/>
      <w:pPr>
        <w:tabs>
          <w:tab w:val="left" w:pos="2520"/>
        </w:tabs>
        <w:ind w:left="2232" w:hanging="792"/>
      </w:pPr>
    </w:lvl>
    <w:lvl w:ilvl="5" w:tentative="0">
      <w:start w:val="1"/>
      <w:numFmt w:val="decimal"/>
      <w:lvlText w:val="%1.%2.%3.%4.%5.%6."/>
      <w:lvlJc w:val="left"/>
      <w:pPr>
        <w:tabs>
          <w:tab w:val="left" w:pos="2880"/>
        </w:tabs>
        <w:ind w:left="2736" w:hanging="936"/>
      </w:pPr>
    </w:lvl>
    <w:lvl w:ilvl="6" w:tentative="0">
      <w:start w:val="1"/>
      <w:numFmt w:val="decimal"/>
      <w:lvlText w:val="%1.%2.%3.%4.%5.%6.%7."/>
      <w:lvlJc w:val="left"/>
      <w:pPr>
        <w:tabs>
          <w:tab w:val="left" w:pos="3600"/>
        </w:tabs>
        <w:ind w:left="3240" w:hanging="1080"/>
      </w:pPr>
    </w:lvl>
    <w:lvl w:ilvl="7" w:tentative="0">
      <w:start w:val="1"/>
      <w:numFmt w:val="decimal"/>
      <w:lvlText w:val="%1.%2.%3.%4.%5.%6.%7.%8."/>
      <w:lvlJc w:val="left"/>
      <w:pPr>
        <w:tabs>
          <w:tab w:val="left" w:pos="3960"/>
        </w:tabs>
        <w:ind w:left="3744" w:hanging="1224"/>
      </w:pPr>
    </w:lvl>
    <w:lvl w:ilvl="8" w:tentative="0">
      <w:start w:val="1"/>
      <w:numFmt w:val="decimal"/>
      <w:lvlText w:val="%1.%2.%3.%4.%5.%6.%7.%8.%9."/>
      <w:lvlJc w:val="left"/>
      <w:pPr>
        <w:tabs>
          <w:tab w:val="left" w:pos="4680"/>
        </w:tabs>
        <w:ind w:left="4320" w:hanging="1440"/>
      </w:pPr>
    </w:lvl>
  </w:abstractNum>
  <w:abstractNum w:abstractNumId="4">
    <w:nsid w:val="28EA5796"/>
    <w:multiLevelType w:val="multilevel"/>
    <w:tmpl w:val="28EA5796"/>
    <w:lvl w:ilvl="0" w:tentative="0">
      <w:start w:val="1"/>
      <w:numFmt w:val="decimal"/>
      <w:pStyle w:val="22"/>
      <w:lvlText w:val="%1."/>
      <w:lvlJc w:val="left"/>
      <w:pPr>
        <w:tabs>
          <w:tab w:val="left" w:pos="851"/>
        </w:tabs>
        <w:ind w:left="851" w:hanging="851"/>
      </w:pPr>
      <w:rPr>
        <w:b/>
        <w:i w:val="0"/>
        <w:sz w:val="28"/>
      </w:rPr>
    </w:lvl>
    <w:lvl w:ilvl="1" w:tentative="0">
      <w:start w:val="1"/>
      <w:numFmt w:val="decimal"/>
      <w:lvlText w:val="%1.%2."/>
      <w:lvlJc w:val="left"/>
      <w:pPr>
        <w:tabs>
          <w:tab w:val="left" w:pos="851"/>
        </w:tabs>
        <w:ind w:left="851" w:hanging="851"/>
      </w:pPr>
      <w:rPr>
        <w:b w:val="0"/>
        <w:i w:val="0"/>
        <w:sz w:val="24"/>
      </w:rPr>
    </w:lvl>
    <w:lvl w:ilvl="2" w:tentative="0">
      <w:start w:val="1"/>
      <w:numFmt w:val="decimal"/>
      <w:lvlText w:val="%1.%2.%3."/>
      <w:lvlJc w:val="left"/>
      <w:pPr>
        <w:tabs>
          <w:tab w:val="left" w:pos="851"/>
        </w:tabs>
        <w:ind w:left="851" w:hanging="851"/>
      </w:pPr>
      <w:rPr>
        <w:b w:val="0"/>
        <w:i w:val="0"/>
        <w:sz w:val="24"/>
      </w:rPr>
    </w:lvl>
    <w:lvl w:ilvl="3" w:tentative="0">
      <w:start w:val="1"/>
      <w:numFmt w:val="decimal"/>
      <w:lvlText w:val="%1.%2.%3.%4."/>
      <w:lvlJc w:val="left"/>
      <w:pPr>
        <w:tabs>
          <w:tab w:val="left" w:pos="1800"/>
        </w:tabs>
        <w:ind w:left="1728" w:hanging="648"/>
      </w:pPr>
    </w:lvl>
    <w:lvl w:ilvl="4" w:tentative="0">
      <w:start w:val="1"/>
      <w:numFmt w:val="decimal"/>
      <w:lvlText w:val="%1.%2.%3.%4.%5."/>
      <w:lvlJc w:val="left"/>
      <w:pPr>
        <w:tabs>
          <w:tab w:val="left" w:pos="2520"/>
        </w:tabs>
        <w:ind w:left="2232" w:hanging="792"/>
      </w:pPr>
    </w:lvl>
    <w:lvl w:ilvl="5" w:tentative="0">
      <w:start w:val="1"/>
      <w:numFmt w:val="decimal"/>
      <w:lvlText w:val="%1.%2.%3.%4.%5.%6."/>
      <w:lvlJc w:val="left"/>
      <w:pPr>
        <w:tabs>
          <w:tab w:val="left" w:pos="2880"/>
        </w:tabs>
        <w:ind w:left="2736" w:hanging="936"/>
      </w:pPr>
    </w:lvl>
    <w:lvl w:ilvl="6" w:tentative="0">
      <w:start w:val="1"/>
      <w:numFmt w:val="decimal"/>
      <w:lvlText w:val="%1.%2.%3.%4.%5.%6.%7."/>
      <w:lvlJc w:val="left"/>
      <w:pPr>
        <w:tabs>
          <w:tab w:val="left" w:pos="3600"/>
        </w:tabs>
        <w:ind w:left="3240" w:hanging="1080"/>
      </w:pPr>
    </w:lvl>
    <w:lvl w:ilvl="7" w:tentative="0">
      <w:start w:val="1"/>
      <w:numFmt w:val="decimal"/>
      <w:lvlText w:val="%1.%2.%3.%4.%5.%6.%7.%8."/>
      <w:lvlJc w:val="left"/>
      <w:pPr>
        <w:tabs>
          <w:tab w:val="left" w:pos="3960"/>
        </w:tabs>
        <w:ind w:left="3744" w:hanging="1224"/>
      </w:pPr>
    </w:lvl>
    <w:lvl w:ilvl="8" w:tentative="0">
      <w:start w:val="1"/>
      <w:numFmt w:val="decimal"/>
      <w:lvlText w:val="%1.%2.%3.%4.%5.%6.%7.%8.%9."/>
      <w:lvlJc w:val="left"/>
      <w:pPr>
        <w:tabs>
          <w:tab w:val="left" w:pos="4680"/>
        </w:tabs>
        <w:ind w:left="4320" w:hanging="1440"/>
      </w:pPr>
    </w:lvl>
  </w:abstractNum>
  <w:abstractNum w:abstractNumId="5">
    <w:nsid w:val="4A927E9D"/>
    <w:multiLevelType w:val="multilevel"/>
    <w:tmpl w:val="4A927E9D"/>
    <w:lvl w:ilvl="0" w:tentative="0">
      <w:start w:val="1"/>
      <w:numFmt w:val="decimal"/>
      <w:pStyle w:val="5"/>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B0E00F4"/>
    <w:multiLevelType w:val="multilevel"/>
    <w:tmpl w:val="5B0E00F4"/>
    <w:lvl w:ilvl="0" w:tentative="0">
      <w:start w:val="1"/>
      <w:numFmt w:val="decimal"/>
      <w:lvlText w:val="%1）"/>
      <w:lvlJc w:val="left"/>
      <w:pPr>
        <w:tabs>
          <w:tab w:val="left" w:pos="1215"/>
        </w:tabs>
        <w:ind w:left="1215" w:hanging="360"/>
      </w:pPr>
      <w:rPr>
        <w:rFonts w:hint="default"/>
      </w:rPr>
    </w:lvl>
    <w:lvl w:ilvl="1" w:tentative="0">
      <w:start w:val="1"/>
      <w:numFmt w:val="lowerLetter"/>
      <w:lvlText w:val="%2)"/>
      <w:lvlJc w:val="left"/>
      <w:pPr>
        <w:tabs>
          <w:tab w:val="left" w:pos="1695"/>
        </w:tabs>
        <w:ind w:left="1695" w:hanging="420"/>
      </w:pPr>
    </w:lvl>
    <w:lvl w:ilvl="2" w:tentative="0">
      <w:start w:val="1"/>
      <w:numFmt w:val="lowerRoman"/>
      <w:lvlText w:val="%3."/>
      <w:lvlJc w:val="right"/>
      <w:pPr>
        <w:tabs>
          <w:tab w:val="left" w:pos="2115"/>
        </w:tabs>
        <w:ind w:left="2115" w:hanging="420"/>
      </w:pPr>
    </w:lvl>
    <w:lvl w:ilvl="3" w:tentative="0">
      <w:start w:val="1"/>
      <w:numFmt w:val="decimal"/>
      <w:lvlText w:val="%4."/>
      <w:lvlJc w:val="left"/>
      <w:pPr>
        <w:tabs>
          <w:tab w:val="left" w:pos="2535"/>
        </w:tabs>
        <w:ind w:left="2535" w:hanging="420"/>
      </w:pPr>
    </w:lvl>
    <w:lvl w:ilvl="4" w:tentative="0">
      <w:start w:val="1"/>
      <w:numFmt w:val="lowerLetter"/>
      <w:lvlText w:val="%5)"/>
      <w:lvlJc w:val="left"/>
      <w:pPr>
        <w:tabs>
          <w:tab w:val="left" w:pos="2955"/>
        </w:tabs>
        <w:ind w:left="2955" w:hanging="420"/>
      </w:pPr>
    </w:lvl>
    <w:lvl w:ilvl="5" w:tentative="0">
      <w:start w:val="1"/>
      <w:numFmt w:val="lowerRoman"/>
      <w:lvlText w:val="%6."/>
      <w:lvlJc w:val="right"/>
      <w:pPr>
        <w:tabs>
          <w:tab w:val="left" w:pos="3375"/>
        </w:tabs>
        <w:ind w:left="3375" w:hanging="420"/>
      </w:pPr>
    </w:lvl>
    <w:lvl w:ilvl="6" w:tentative="0">
      <w:start w:val="1"/>
      <w:numFmt w:val="decimal"/>
      <w:lvlText w:val="%7."/>
      <w:lvlJc w:val="left"/>
      <w:pPr>
        <w:tabs>
          <w:tab w:val="left" w:pos="3795"/>
        </w:tabs>
        <w:ind w:left="3795" w:hanging="420"/>
      </w:pPr>
    </w:lvl>
    <w:lvl w:ilvl="7" w:tentative="0">
      <w:start w:val="1"/>
      <w:numFmt w:val="lowerLetter"/>
      <w:lvlText w:val="%8)"/>
      <w:lvlJc w:val="left"/>
      <w:pPr>
        <w:tabs>
          <w:tab w:val="left" w:pos="4215"/>
        </w:tabs>
        <w:ind w:left="4215" w:hanging="420"/>
      </w:pPr>
    </w:lvl>
    <w:lvl w:ilvl="8" w:tentative="0">
      <w:start w:val="1"/>
      <w:numFmt w:val="lowerRoman"/>
      <w:lvlText w:val="%9."/>
      <w:lvlJc w:val="right"/>
      <w:pPr>
        <w:tabs>
          <w:tab w:val="left" w:pos="4635"/>
        </w:tabs>
        <w:ind w:left="4635" w:hanging="420"/>
      </w:pPr>
    </w:lvl>
  </w:abstractNum>
  <w:abstractNum w:abstractNumId="7">
    <w:nsid w:val="6EA15618"/>
    <w:multiLevelType w:val="singleLevel"/>
    <w:tmpl w:val="6EA15618"/>
    <w:lvl w:ilvl="0" w:tentative="0">
      <w:start w:val="1"/>
      <w:numFmt w:val="upperLetter"/>
      <w:lvlText w:val="%1、"/>
      <w:lvlJc w:val="left"/>
      <w:pPr>
        <w:tabs>
          <w:tab w:val="left" w:pos="1050"/>
        </w:tabs>
        <w:ind w:left="1050" w:hanging="495"/>
      </w:pPr>
      <w:rPr>
        <w:rFonts w:hint="eastAsia"/>
      </w:rPr>
    </w:lvl>
  </w:abstractNum>
  <w:abstractNum w:abstractNumId="8">
    <w:nsid w:val="72A14C02"/>
    <w:multiLevelType w:val="singleLevel"/>
    <w:tmpl w:val="72A14C02"/>
    <w:lvl w:ilvl="0" w:tentative="0">
      <w:start w:val="2"/>
      <w:numFmt w:val="upperLetter"/>
      <w:pStyle w:val="18"/>
      <w:lvlText w:val="%1）"/>
      <w:lvlJc w:val="left"/>
      <w:pPr>
        <w:tabs>
          <w:tab w:val="left" w:pos="720"/>
        </w:tabs>
        <w:ind w:left="720" w:hanging="720"/>
      </w:pPr>
      <w:rPr>
        <w:rFonts w:hint="eastAsia"/>
      </w:rPr>
    </w:lvl>
  </w:abstractNum>
  <w:num w:numId="1">
    <w:abstractNumId w:val="3"/>
  </w:num>
  <w:num w:numId="2">
    <w:abstractNumId w:val="7"/>
  </w:num>
  <w:num w:numId="3">
    <w:abstractNumId w:val="5"/>
  </w:num>
  <w:num w:numId="4">
    <w:abstractNumId w:val="0"/>
  </w:num>
  <w:num w:numId="5">
    <w:abstractNumId w:val="8"/>
  </w:num>
  <w:num w:numId="6">
    <w:abstractNumId w:val="4"/>
  </w:num>
  <w:num w:numId="7">
    <w:abstractNumId w:val="2"/>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1ED"/>
    <w:rsid w:val="00002C0C"/>
    <w:rsid w:val="0000493F"/>
    <w:rsid w:val="000060B6"/>
    <w:rsid w:val="0001185C"/>
    <w:rsid w:val="00012BDF"/>
    <w:rsid w:val="0001528C"/>
    <w:rsid w:val="00021938"/>
    <w:rsid w:val="000233BD"/>
    <w:rsid w:val="000235F4"/>
    <w:rsid w:val="00023D4D"/>
    <w:rsid w:val="000243DF"/>
    <w:rsid w:val="00025500"/>
    <w:rsid w:val="000256A5"/>
    <w:rsid w:val="00026360"/>
    <w:rsid w:val="00054EC2"/>
    <w:rsid w:val="00057241"/>
    <w:rsid w:val="000623D3"/>
    <w:rsid w:val="00062A59"/>
    <w:rsid w:val="000640F6"/>
    <w:rsid w:val="0006576F"/>
    <w:rsid w:val="000704D0"/>
    <w:rsid w:val="00072F71"/>
    <w:rsid w:val="000771C3"/>
    <w:rsid w:val="00077B8C"/>
    <w:rsid w:val="000803E7"/>
    <w:rsid w:val="00080507"/>
    <w:rsid w:val="0008342F"/>
    <w:rsid w:val="00083744"/>
    <w:rsid w:val="00083A77"/>
    <w:rsid w:val="00086204"/>
    <w:rsid w:val="00086D6A"/>
    <w:rsid w:val="00090D9E"/>
    <w:rsid w:val="00091481"/>
    <w:rsid w:val="000952FF"/>
    <w:rsid w:val="00097D39"/>
    <w:rsid w:val="000A07AF"/>
    <w:rsid w:val="000A20F7"/>
    <w:rsid w:val="000A2B7D"/>
    <w:rsid w:val="000A3D38"/>
    <w:rsid w:val="000A4326"/>
    <w:rsid w:val="000B0D49"/>
    <w:rsid w:val="000B159A"/>
    <w:rsid w:val="000B15CB"/>
    <w:rsid w:val="000B4330"/>
    <w:rsid w:val="000C28D6"/>
    <w:rsid w:val="000C2F7F"/>
    <w:rsid w:val="000C3AA1"/>
    <w:rsid w:val="000C3E62"/>
    <w:rsid w:val="000C56BB"/>
    <w:rsid w:val="000C6C22"/>
    <w:rsid w:val="000D09DC"/>
    <w:rsid w:val="000D236D"/>
    <w:rsid w:val="000D3A6C"/>
    <w:rsid w:val="000D5F46"/>
    <w:rsid w:val="000E0C35"/>
    <w:rsid w:val="000E1F63"/>
    <w:rsid w:val="000E3BD1"/>
    <w:rsid w:val="000E4693"/>
    <w:rsid w:val="000E7B55"/>
    <w:rsid w:val="000F0E52"/>
    <w:rsid w:val="000F104C"/>
    <w:rsid w:val="000F2E6B"/>
    <w:rsid w:val="000F61DC"/>
    <w:rsid w:val="00100553"/>
    <w:rsid w:val="00103A84"/>
    <w:rsid w:val="001061D5"/>
    <w:rsid w:val="00110818"/>
    <w:rsid w:val="00110FDA"/>
    <w:rsid w:val="00112040"/>
    <w:rsid w:val="00112E56"/>
    <w:rsid w:val="00121882"/>
    <w:rsid w:val="00132FA7"/>
    <w:rsid w:val="001342E8"/>
    <w:rsid w:val="00134465"/>
    <w:rsid w:val="00135813"/>
    <w:rsid w:val="0013667E"/>
    <w:rsid w:val="00136A00"/>
    <w:rsid w:val="00141F37"/>
    <w:rsid w:val="001444DC"/>
    <w:rsid w:val="001448B7"/>
    <w:rsid w:val="00146C51"/>
    <w:rsid w:val="00147CD1"/>
    <w:rsid w:val="001504EB"/>
    <w:rsid w:val="001517B4"/>
    <w:rsid w:val="001629E9"/>
    <w:rsid w:val="00163D48"/>
    <w:rsid w:val="00164D9E"/>
    <w:rsid w:val="00167620"/>
    <w:rsid w:val="00173E6C"/>
    <w:rsid w:val="00175CCE"/>
    <w:rsid w:val="001776D6"/>
    <w:rsid w:val="001826FA"/>
    <w:rsid w:val="001831E9"/>
    <w:rsid w:val="00185582"/>
    <w:rsid w:val="00186857"/>
    <w:rsid w:val="001869E1"/>
    <w:rsid w:val="001870FE"/>
    <w:rsid w:val="00191CC0"/>
    <w:rsid w:val="00197324"/>
    <w:rsid w:val="001A0D03"/>
    <w:rsid w:val="001A4299"/>
    <w:rsid w:val="001A6DBE"/>
    <w:rsid w:val="001B1382"/>
    <w:rsid w:val="001B19F1"/>
    <w:rsid w:val="001B42A0"/>
    <w:rsid w:val="001B45AC"/>
    <w:rsid w:val="001B4FF2"/>
    <w:rsid w:val="001B6144"/>
    <w:rsid w:val="001B7EEE"/>
    <w:rsid w:val="001C05F7"/>
    <w:rsid w:val="001C190E"/>
    <w:rsid w:val="001C1B10"/>
    <w:rsid w:val="001C65A8"/>
    <w:rsid w:val="001D19F2"/>
    <w:rsid w:val="001D6B7F"/>
    <w:rsid w:val="001E684D"/>
    <w:rsid w:val="001E71EF"/>
    <w:rsid w:val="001F1588"/>
    <w:rsid w:val="001F47F1"/>
    <w:rsid w:val="001F64C5"/>
    <w:rsid w:val="002102ED"/>
    <w:rsid w:val="0021113B"/>
    <w:rsid w:val="00212F44"/>
    <w:rsid w:val="00214A55"/>
    <w:rsid w:val="00216204"/>
    <w:rsid w:val="0022089B"/>
    <w:rsid w:val="002213BB"/>
    <w:rsid w:val="00223559"/>
    <w:rsid w:val="00223F9A"/>
    <w:rsid w:val="00225AB1"/>
    <w:rsid w:val="00225CF8"/>
    <w:rsid w:val="0023102D"/>
    <w:rsid w:val="002317CE"/>
    <w:rsid w:val="002344B3"/>
    <w:rsid w:val="00236AA8"/>
    <w:rsid w:val="00236EE7"/>
    <w:rsid w:val="00236F89"/>
    <w:rsid w:val="0024081F"/>
    <w:rsid w:val="00243CD3"/>
    <w:rsid w:val="00247D04"/>
    <w:rsid w:val="00250E0F"/>
    <w:rsid w:val="0025167B"/>
    <w:rsid w:val="0025181D"/>
    <w:rsid w:val="00253810"/>
    <w:rsid w:val="002540BC"/>
    <w:rsid w:val="0025548C"/>
    <w:rsid w:val="00257E75"/>
    <w:rsid w:val="00260FEF"/>
    <w:rsid w:val="00261478"/>
    <w:rsid w:val="00262D48"/>
    <w:rsid w:val="00262E9A"/>
    <w:rsid w:val="00267D42"/>
    <w:rsid w:val="00272442"/>
    <w:rsid w:val="002750E6"/>
    <w:rsid w:val="0027585F"/>
    <w:rsid w:val="002848E2"/>
    <w:rsid w:val="002848EE"/>
    <w:rsid w:val="002921D5"/>
    <w:rsid w:val="002931DF"/>
    <w:rsid w:val="00293B06"/>
    <w:rsid w:val="00293F10"/>
    <w:rsid w:val="00296A38"/>
    <w:rsid w:val="00297E9D"/>
    <w:rsid w:val="002A001D"/>
    <w:rsid w:val="002A4DCF"/>
    <w:rsid w:val="002B0907"/>
    <w:rsid w:val="002B0971"/>
    <w:rsid w:val="002B1978"/>
    <w:rsid w:val="002B1AB0"/>
    <w:rsid w:val="002B1F46"/>
    <w:rsid w:val="002B2A96"/>
    <w:rsid w:val="002C0DDC"/>
    <w:rsid w:val="002C1D17"/>
    <w:rsid w:val="002D20DB"/>
    <w:rsid w:val="002D25C4"/>
    <w:rsid w:val="002D2728"/>
    <w:rsid w:val="002D3C5E"/>
    <w:rsid w:val="002D74EB"/>
    <w:rsid w:val="002E3C39"/>
    <w:rsid w:val="002E414F"/>
    <w:rsid w:val="002E6BA4"/>
    <w:rsid w:val="002F1B0C"/>
    <w:rsid w:val="002F4865"/>
    <w:rsid w:val="002F65A8"/>
    <w:rsid w:val="002F6D4A"/>
    <w:rsid w:val="00300A14"/>
    <w:rsid w:val="00303215"/>
    <w:rsid w:val="00304067"/>
    <w:rsid w:val="0030451F"/>
    <w:rsid w:val="003047E7"/>
    <w:rsid w:val="003056C2"/>
    <w:rsid w:val="0031190A"/>
    <w:rsid w:val="00314281"/>
    <w:rsid w:val="0031709C"/>
    <w:rsid w:val="00321D35"/>
    <w:rsid w:val="00324354"/>
    <w:rsid w:val="00325468"/>
    <w:rsid w:val="003276FE"/>
    <w:rsid w:val="003304C3"/>
    <w:rsid w:val="003330A2"/>
    <w:rsid w:val="00341C52"/>
    <w:rsid w:val="0034257D"/>
    <w:rsid w:val="0034394B"/>
    <w:rsid w:val="00345248"/>
    <w:rsid w:val="003458DB"/>
    <w:rsid w:val="00346BF4"/>
    <w:rsid w:val="00350AD2"/>
    <w:rsid w:val="0035147A"/>
    <w:rsid w:val="00351E96"/>
    <w:rsid w:val="003547D6"/>
    <w:rsid w:val="00354AD0"/>
    <w:rsid w:val="00356F80"/>
    <w:rsid w:val="00361862"/>
    <w:rsid w:val="00362248"/>
    <w:rsid w:val="003674FF"/>
    <w:rsid w:val="00372D58"/>
    <w:rsid w:val="00376635"/>
    <w:rsid w:val="003808B2"/>
    <w:rsid w:val="00392D1F"/>
    <w:rsid w:val="00394244"/>
    <w:rsid w:val="0039796E"/>
    <w:rsid w:val="00397A49"/>
    <w:rsid w:val="00397F8D"/>
    <w:rsid w:val="003A35BC"/>
    <w:rsid w:val="003A3F8D"/>
    <w:rsid w:val="003A435C"/>
    <w:rsid w:val="003A4EBD"/>
    <w:rsid w:val="003A58A8"/>
    <w:rsid w:val="003A5A23"/>
    <w:rsid w:val="003A7056"/>
    <w:rsid w:val="003B4B34"/>
    <w:rsid w:val="003B5ED3"/>
    <w:rsid w:val="003C0368"/>
    <w:rsid w:val="003C1C90"/>
    <w:rsid w:val="003C4A00"/>
    <w:rsid w:val="003C5A54"/>
    <w:rsid w:val="003D40A7"/>
    <w:rsid w:val="003E1187"/>
    <w:rsid w:val="003E20D8"/>
    <w:rsid w:val="003E41EF"/>
    <w:rsid w:val="003E45B1"/>
    <w:rsid w:val="003E62CC"/>
    <w:rsid w:val="003F1A96"/>
    <w:rsid w:val="003F2056"/>
    <w:rsid w:val="003F3342"/>
    <w:rsid w:val="00403EEF"/>
    <w:rsid w:val="0040430F"/>
    <w:rsid w:val="0040581F"/>
    <w:rsid w:val="0041055C"/>
    <w:rsid w:val="004105E8"/>
    <w:rsid w:val="0041168F"/>
    <w:rsid w:val="00412D8D"/>
    <w:rsid w:val="00415760"/>
    <w:rsid w:val="004209F8"/>
    <w:rsid w:val="00420CBF"/>
    <w:rsid w:val="004257C9"/>
    <w:rsid w:val="00425EEB"/>
    <w:rsid w:val="00426C94"/>
    <w:rsid w:val="00433088"/>
    <w:rsid w:val="00435067"/>
    <w:rsid w:val="00437984"/>
    <w:rsid w:val="00437FCF"/>
    <w:rsid w:val="004402A4"/>
    <w:rsid w:val="004444AA"/>
    <w:rsid w:val="004456F8"/>
    <w:rsid w:val="004459E5"/>
    <w:rsid w:val="0045124E"/>
    <w:rsid w:val="00451257"/>
    <w:rsid w:val="0045476E"/>
    <w:rsid w:val="00456809"/>
    <w:rsid w:val="004579B1"/>
    <w:rsid w:val="004629E5"/>
    <w:rsid w:val="00463757"/>
    <w:rsid w:val="00463760"/>
    <w:rsid w:val="00464404"/>
    <w:rsid w:val="00464C69"/>
    <w:rsid w:val="00470DB8"/>
    <w:rsid w:val="00473D4E"/>
    <w:rsid w:val="004763AF"/>
    <w:rsid w:val="0047783F"/>
    <w:rsid w:val="004778F3"/>
    <w:rsid w:val="0048417E"/>
    <w:rsid w:val="00484E67"/>
    <w:rsid w:val="00487651"/>
    <w:rsid w:val="00491AA8"/>
    <w:rsid w:val="00492F33"/>
    <w:rsid w:val="00493399"/>
    <w:rsid w:val="00495A5F"/>
    <w:rsid w:val="004979C8"/>
    <w:rsid w:val="004A1518"/>
    <w:rsid w:val="004A21D8"/>
    <w:rsid w:val="004B1AC2"/>
    <w:rsid w:val="004B25B2"/>
    <w:rsid w:val="004C0A06"/>
    <w:rsid w:val="004C53CB"/>
    <w:rsid w:val="004C7515"/>
    <w:rsid w:val="004D0CCD"/>
    <w:rsid w:val="004D5FBA"/>
    <w:rsid w:val="004E1F34"/>
    <w:rsid w:val="004E3916"/>
    <w:rsid w:val="004E631B"/>
    <w:rsid w:val="004F3D2D"/>
    <w:rsid w:val="004F685E"/>
    <w:rsid w:val="00512D1B"/>
    <w:rsid w:val="00515BB1"/>
    <w:rsid w:val="00524B69"/>
    <w:rsid w:val="00530F2C"/>
    <w:rsid w:val="005314E6"/>
    <w:rsid w:val="00531D84"/>
    <w:rsid w:val="005321DF"/>
    <w:rsid w:val="00532D30"/>
    <w:rsid w:val="00534675"/>
    <w:rsid w:val="005348F4"/>
    <w:rsid w:val="00540420"/>
    <w:rsid w:val="005411A6"/>
    <w:rsid w:val="00541D29"/>
    <w:rsid w:val="00544F95"/>
    <w:rsid w:val="00545E2D"/>
    <w:rsid w:val="00550048"/>
    <w:rsid w:val="00551104"/>
    <w:rsid w:val="00553FF8"/>
    <w:rsid w:val="005546E5"/>
    <w:rsid w:val="00557F46"/>
    <w:rsid w:val="0056118E"/>
    <w:rsid w:val="00561519"/>
    <w:rsid w:val="005616BF"/>
    <w:rsid w:val="005625B4"/>
    <w:rsid w:val="00563E2F"/>
    <w:rsid w:val="00564C75"/>
    <w:rsid w:val="00566598"/>
    <w:rsid w:val="005678EC"/>
    <w:rsid w:val="00570A04"/>
    <w:rsid w:val="0057417A"/>
    <w:rsid w:val="005747CB"/>
    <w:rsid w:val="005769C4"/>
    <w:rsid w:val="005813C5"/>
    <w:rsid w:val="00581EA4"/>
    <w:rsid w:val="005852EC"/>
    <w:rsid w:val="00585932"/>
    <w:rsid w:val="00586071"/>
    <w:rsid w:val="00590659"/>
    <w:rsid w:val="00591D31"/>
    <w:rsid w:val="0059697A"/>
    <w:rsid w:val="005A55D6"/>
    <w:rsid w:val="005B4268"/>
    <w:rsid w:val="005B62BA"/>
    <w:rsid w:val="005B6502"/>
    <w:rsid w:val="005B78A6"/>
    <w:rsid w:val="005D0EA8"/>
    <w:rsid w:val="005D19D1"/>
    <w:rsid w:val="005D5410"/>
    <w:rsid w:val="005D6837"/>
    <w:rsid w:val="005E04E1"/>
    <w:rsid w:val="005E2A7F"/>
    <w:rsid w:val="005E5315"/>
    <w:rsid w:val="005F0867"/>
    <w:rsid w:val="005F4B12"/>
    <w:rsid w:val="005F7D82"/>
    <w:rsid w:val="00603A94"/>
    <w:rsid w:val="00613EB9"/>
    <w:rsid w:val="00617E01"/>
    <w:rsid w:val="00623190"/>
    <w:rsid w:val="006249D6"/>
    <w:rsid w:val="006256D6"/>
    <w:rsid w:val="00625938"/>
    <w:rsid w:val="006310DE"/>
    <w:rsid w:val="006324A0"/>
    <w:rsid w:val="00633342"/>
    <w:rsid w:val="006346DB"/>
    <w:rsid w:val="0063495B"/>
    <w:rsid w:val="006375CC"/>
    <w:rsid w:val="00640EA6"/>
    <w:rsid w:val="00641C30"/>
    <w:rsid w:val="00642DDB"/>
    <w:rsid w:val="006511ED"/>
    <w:rsid w:val="00657199"/>
    <w:rsid w:val="00657710"/>
    <w:rsid w:val="00657EDE"/>
    <w:rsid w:val="006601D4"/>
    <w:rsid w:val="00660CFA"/>
    <w:rsid w:val="006612B1"/>
    <w:rsid w:val="00662C77"/>
    <w:rsid w:val="006632C1"/>
    <w:rsid w:val="0066587B"/>
    <w:rsid w:val="00667A3F"/>
    <w:rsid w:val="0067164C"/>
    <w:rsid w:val="006730DF"/>
    <w:rsid w:val="0069577D"/>
    <w:rsid w:val="00696B0C"/>
    <w:rsid w:val="006A204D"/>
    <w:rsid w:val="006A3190"/>
    <w:rsid w:val="006A69BC"/>
    <w:rsid w:val="006A6EE4"/>
    <w:rsid w:val="006A7500"/>
    <w:rsid w:val="006B2E01"/>
    <w:rsid w:val="006B416C"/>
    <w:rsid w:val="006B5411"/>
    <w:rsid w:val="006C06F1"/>
    <w:rsid w:val="006C0839"/>
    <w:rsid w:val="006C163F"/>
    <w:rsid w:val="006C4029"/>
    <w:rsid w:val="006C49CE"/>
    <w:rsid w:val="006D07E1"/>
    <w:rsid w:val="006D1194"/>
    <w:rsid w:val="006D25F7"/>
    <w:rsid w:val="006D3E9D"/>
    <w:rsid w:val="006D7B33"/>
    <w:rsid w:val="006E4439"/>
    <w:rsid w:val="006E51DD"/>
    <w:rsid w:val="006E52A7"/>
    <w:rsid w:val="006E5D78"/>
    <w:rsid w:val="006E7E4E"/>
    <w:rsid w:val="006F0046"/>
    <w:rsid w:val="006F1BD3"/>
    <w:rsid w:val="006F2457"/>
    <w:rsid w:val="006F3868"/>
    <w:rsid w:val="006F4081"/>
    <w:rsid w:val="006F6647"/>
    <w:rsid w:val="0070083E"/>
    <w:rsid w:val="0070240B"/>
    <w:rsid w:val="00702469"/>
    <w:rsid w:val="0070720C"/>
    <w:rsid w:val="007079D8"/>
    <w:rsid w:val="007101CD"/>
    <w:rsid w:val="00713A96"/>
    <w:rsid w:val="007143D5"/>
    <w:rsid w:val="00717CFA"/>
    <w:rsid w:val="00737779"/>
    <w:rsid w:val="007423A0"/>
    <w:rsid w:val="00742FFC"/>
    <w:rsid w:val="00746FE4"/>
    <w:rsid w:val="00750DB6"/>
    <w:rsid w:val="00760620"/>
    <w:rsid w:val="00762818"/>
    <w:rsid w:val="00765C56"/>
    <w:rsid w:val="00766FFD"/>
    <w:rsid w:val="0077597A"/>
    <w:rsid w:val="0078116E"/>
    <w:rsid w:val="0078482D"/>
    <w:rsid w:val="00786141"/>
    <w:rsid w:val="00786CEE"/>
    <w:rsid w:val="00787920"/>
    <w:rsid w:val="00790297"/>
    <w:rsid w:val="00791CCE"/>
    <w:rsid w:val="00793EE2"/>
    <w:rsid w:val="007A37C2"/>
    <w:rsid w:val="007A62CC"/>
    <w:rsid w:val="007A644B"/>
    <w:rsid w:val="007B13FC"/>
    <w:rsid w:val="007B2634"/>
    <w:rsid w:val="007C0D30"/>
    <w:rsid w:val="007C1CE8"/>
    <w:rsid w:val="007C5A24"/>
    <w:rsid w:val="007C6492"/>
    <w:rsid w:val="007C66C9"/>
    <w:rsid w:val="007C69E5"/>
    <w:rsid w:val="007D3325"/>
    <w:rsid w:val="007D5CE5"/>
    <w:rsid w:val="007D790B"/>
    <w:rsid w:val="007E0330"/>
    <w:rsid w:val="007E1F8E"/>
    <w:rsid w:val="007E3CC0"/>
    <w:rsid w:val="007E4576"/>
    <w:rsid w:val="007E714C"/>
    <w:rsid w:val="007E790B"/>
    <w:rsid w:val="007F0C17"/>
    <w:rsid w:val="007F5F3A"/>
    <w:rsid w:val="007F69DA"/>
    <w:rsid w:val="007F6B2B"/>
    <w:rsid w:val="007F6CFA"/>
    <w:rsid w:val="007F7644"/>
    <w:rsid w:val="00800F03"/>
    <w:rsid w:val="00801CEF"/>
    <w:rsid w:val="00802F19"/>
    <w:rsid w:val="008030B1"/>
    <w:rsid w:val="00803985"/>
    <w:rsid w:val="008057FD"/>
    <w:rsid w:val="00807DC0"/>
    <w:rsid w:val="00810142"/>
    <w:rsid w:val="008115DA"/>
    <w:rsid w:val="00814623"/>
    <w:rsid w:val="008246CA"/>
    <w:rsid w:val="00825B95"/>
    <w:rsid w:val="0083056B"/>
    <w:rsid w:val="00831EEC"/>
    <w:rsid w:val="00835051"/>
    <w:rsid w:val="008427AF"/>
    <w:rsid w:val="008431DE"/>
    <w:rsid w:val="00846690"/>
    <w:rsid w:val="008471E7"/>
    <w:rsid w:val="0085034D"/>
    <w:rsid w:val="008519B4"/>
    <w:rsid w:val="0085519D"/>
    <w:rsid w:val="00857BD1"/>
    <w:rsid w:val="008618B8"/>
    <w:rsid w:val="008743AE"/>
    <w:rsid w:val="008758A1"/>
    <w:rsid w:val="00877FBC"/>
    <w:rsid w:val="008809D2"/>
    <w:rsid w:val="00886DAD"/>
    <w:rsid w:val="00890A00"/>
    <w:rsid w:val="008912B8"/>
    <w:rsid w:val="008914EA"/>
    <w:rsid w:val="00892E51"/>
    <w:rsid w:val="00893D32"/>
    <w:rsid w:val="00895DFB"/>
    <w:rsid w:val="00897A19"/>
    <w:rsid w:val="008A1CEA"/>
    <w:rsid w:val="008A220D"/>
    <w:rsid w:val="008A4913"/>
    <w:rsid w:val="008A55CC"/>
    <w:rsid w:val="008B1AE4"/>
    <w:rsid w:val="008B3641"/>
    <w:rsid w:val="008B3770"/>
    <w:rsid w:val="008B5745"/>
    <w:rsid w:val="008B5F0D"/>
    <w:rsid w:val="008C124A"/>
    <w:rsid w:val="008C17F5"/>
    <w:rsid w:val="008C244B"/>
    <w:rsid w:val="008C6956"/>
    <w:rsid w:val="008C6D8D"/>
    <w:rsid w:val="008D0118"/>
    <w:rsid w:val="008D15E3"/>
    <w:rsid w:val="008D3655"/>
    <w:rsid w:val="008D502D"/>
    <w:rsid w:val="008D6DCB"/>
    <w:rsid w:val="008D78E9"/>
    <w:rsid w:val="008E3B64"/>
    <w:rsid w:val="008E64E1"/>
    <w:rsid w:val="008F6618"/>
    <w:rsid w:val="0090029F"/>
    <w:rsid w:val="00901448"/>
    <w:rsid w:val="00901EA9"/>
    <w:rsid w:val="00902344"/>
    <w:rsid w:val="00902355"/>
    <w:rsid w:val="009129D6"/>
    <w:rsid w:val="00914464"/>
    <w:rsid w:val="00917EDF"/>
    <w:rsid w:val="0092129B"/>
    <w:rsid w:val="00922760"/>
    <w:rsid w:val="009268E7"/>
    <w:rsid w:val="009300D0"/>
    <w:rsid w:val="009314F2"/>
    <w:rsid w:val="00932603"/>
    <w:rsid w:val="00940054"/>
    <w:rsid w:val="00942BF9"/>
    <w:rsid w:val="0095095D"/>
    <w:rsid w:val="0095604B"/>
    <w:rsid w:val="00956C33"/>
    <w:rsid w:val="009607AA"/>
    <w:rsid w:val="0096436E"/>
    <w:rsid w:val="0096530E"/>
    <w:rsid w:val="009666EF"/>
    <w:rsid w:val="00970E97"/>
    <w:rsid w:val="00970ED4"/>
    <w:rsid w:val="00971AC1"/>
    <w:rsid w:val="009739CA"/>
    <w:rsid w:val="009744B0"/>
    <w:rsid w:val="009751D1"/>
    <w:rsid w:val="0097637B"/>
    <w:rsid w:val="009916B0"/>
    <w:rsid w:val="00991D5D"/>
    <w:rsid w:val="009943C3"/>
    <w:rsid w:val="009944F6"/>
    <w:rsid w:val="00994FAD"/>
    <w:rsid w:val="0099594B"/>
    <w:rsid w:val="009967B2"/>
    <w:rsid w:val="009A0A07"/>
    <w:rsid w:val="009A322B"/>
    <w:rsid w:val="009A3688"/>
    <w:rsid w:val="009A38B1"/>
    <w:rsid w:val="009A443A"/>
    <w:rsid w:val="009A7710"/>
    <w:rsid w:val="009B1929"/>
    <w:rsid w:val="009B1C2C"/>
    <w:rsid w:val="009B3436"/>
    <w:rsid w:val="009B3EFE"/>
    <w:rsid w:val="009B5C68"/>
    <w:rsid w:val="009C0B46"/>
    <w:rsid w:val="009C1467"/>
    <w:rsid w:val="009C2B46"/>
    <w:rsid w:val="009C41A7"/>
    <w:rsid w:val="009C5DB7"/>
    <w:rsid w:val="009D0E73"/>
    <w:rsid w:val="009D2766"/>
    <w:rsid w:val="009E29C7"/>
    <w:rsid w:val="009E4723"/>
    <w:rsid w:val="009E57AE"/>
    <w:rsid w:val="009E64AE"/>
    <w:rsid w:val="009E6B5D"/>
    <w:rsid w:val="009F4508"/>
    <w:rsid w:val="009F492E"/>
    <w:rsid w:val="00A0089F"/>
    <w:rsid w:val="00A037F3"/>
    <w:rsid w:val="00A03EAF"/>
    <w:rsid w:val="00A10C3F"/>
    <w:rsid w:val="00A12F3E"/>
    <w:rsid w:val="00A15065"/>
    <w:rsid w:val="00A20C48"/>
    <w:rsid w:val="00A21597"/>
    <w:rsid w:val="00A223A1"/>
    <w:rsid w:val="00A27800"/>
    <w:rsid w:val="00A27A5F"/>
    <w:rsid w:val="00A331AD"/>
    <w:rsid w:val="00A3746C"/>
    <w:rsid w:val="00A40EBE"/>
    <w:rsid w:val="00A422B9"/>
    <w:rsid w:val="00A422ED"/>
    <w:rsid w:val="00A609AD"/>
    <w:rsid w:val="00A622D0"/>
    <w:rsid w:val="00A664C1"/>
    <w:rsid w:val="00A738DC"/>
    <w:rsid w:val="00A74EEF"/>
    <w:rsid w:val="00A8025D"/>
    <w:rsid w:val="00A844F8"/>
    <w:rsid w:val="00A8636C"/>
    <w:rsid w:val="00A90937"/>
    <w:rsid w:val="00A90E57"/>
    <w:rsid w:val="00A912C1"/>
    <w:rsid w:val="00A926A4"/>
    <w:rsid w:val="00A958FE"/>
    <w:rsid w:val="00AA25E6"/>
    <w:rsid w:val="00AA4044"/>
    <w:rsid w:val="00AA4D94"/>
    <w:rsid w:val="00AA6954"/>
    <w:rsid w:val="00AA6E79"/>
    <w:rsid w:val="00AB00EA"/>
    <w:rsid w:val="00AB7DF6"/>
    <w:rsid w:val="00AC0E3F"/>
    <w:rsid w:val="00AC1A93"/>
    <w:rsid w:val="00AC2B85"/>
    <w:rsid w:val="00AC4AF8"/>
    <w:rsid w:val="00AC7EED"/>
    <w:rsid w:val="00AD4CAF"/>
    <w:rsid w:val="00AE046B"/>
    <w:rsid w:val="00AE2080"/>
    <w:rsid w:val="00AE23E4"/>
    <w:rsid w:val="00AE2C36"/>
    <w:rsid w:val="00AE408C"/>
    <w:rsid w:val="00AF457E"/>
    <w:rsid w:val="00AF50D7"/>
    <w:rsid w:val="00B00BCA"/>
    <w:rsid w:val="00B01D91"/>
    <w:rsid w:val="00B027F7"/>
    <w:rsid w:val="00B029DD"/>
    <w:rsid w:val="00B07167"/>
    <w:rsid w:val="00B071D2"/>
    <w:rsid w:val="00B10ED0"/>
    <w:rsid w:val="00B15D24"/>
    <w:rsid w:val="00B1707B"/>
    <w:rsid w:val="00B17240"/>
    <w:rsid w:val="00B25CD9"/>
    <w:rsid w:val="00B26400"/>
    <w:rsid w:val="00B26421"/>
    <w:rsid w:val="00B334B9"/>
    <w:rsid w:val="00B4441D"/>
    <w:rsid w:val="00B4507C"/>
    <w:rsid w:val="00B54C15"/>
    <w:rsid w:val="00B55051"/>
    <w:rsid w:val="00B5529A"/>
    <w:rsid w:val="00B5671D"/>
    <w:rsid w:val="00B60730"/>
    <w:rsid w:val="00B63B18"/>
    <w:rsid w:val="00B668EB"/>
    <w:rsid w:val="00B7294A"/>
    <w:rsid w:val="00B76E7D"/>
    <w:rsid w:val="00B802B0"/>
    <w:rsid w:val="00B80381"/>
    <w:rsid w:val="00B81EC3"/>
    <w:rsid w:val="00B82006"/>
    <w:rsid w:val="00B8420E"/>
    <w:rsid w:val="00B918FB"/>
    <w:rsid w:val="00B925A8"/>
    <w:rsid w:val="00B93BDC"/>
    <w:rsid w:val="00B9733D"/>
    <w:rsid w:val="00B97B21"/>
    <w:rsid w:val="00BA6AC8"/>
    <w:rsid w:val="00BB0AB1"/>
    <w:rsid w:val="00BB3702"/>
    <w:rsid w:val="00BB680F"/>
    <w:rsid w:val="00BB691F"/>
    <w:rsid w:val="00BB77BD"/>
    <w:rsid w:val="00BC2A30"/>
    <w:rsid w:val="00BC2B53"/>
    <w:rsid w:val="00BC644C"/>
    <w:rsid w:val="00BD271F"/>
    <w:rsid w:val="00BD4863"/>
    <w:rsid w:val="00BE0DA5"/>
    <w:rsid w:val="00BE10DE"/>
    <w:rsid w:val="00BE328F"/>
    <w:rsid w:val="00BF6CC9"/>
    <w:rsid w:val="00BF7626"/>
    <w:rsid w:val="00C0039E"/>
    <w:rsid w:val="00C03CB9"/>
    <w:rsid w:val="00C04E23"/>
    <w:rsid w:val="00C04E6E"/>
    <w:rsid w:val="00C07A11"/>
    <w:rsid w:val="00C13394"/>
    <w:rsid w:val="00C150C2"/>
    <w:rsid w:val="00C164B7"/>
    <w:rsid w:val="00C16666"/>
    <w:rsid w:val="00C24AB7"/>
    <w:rsid w:val="00C25A15"/>
    <w:rsid w:val="00C27864"/>
    <w:rsid w:val="00C30BA1"/>
    <w:rsid w:val="00C31AA2"/>
    <w:rsid w:val="00C3237C"/>
    <w:rsid w:val="00C34D5E"/>
    <w:rsid w:val="00C40082"/>
    <w:rsid w:val="00C41565"/>
    <w:rsid w:val="00C43DFA"/>
    <w:rsid w:val="00C56F55"/>
    <w:rsid w:val="00C5763C"/>
    <w:rsid w:val="00C57BE3"/>
    <w:rsid w:val="00C60D4F"/>
    <w:rsid w:val="00C6116D"/>
    <w:rsid w:val="00C63224"/>
    <w:rsid w:val="00C63DFE"/>
    <w:rsid w:val="00C64333"/>
    <w:rsid w:val="00C65020"/>
    <w:rsid w:val="00C65154"/>
    <w:rsid w:val="00C662ED"/>
    <w:rsid w:val="00C66BC0"/>
    <w:rsid w:val="00C66F54"/>
    <w:rsid w:val="00C7095C"/>
    <w:rsid w:val="00C7368A"/>
    <w:rsid w:val="00C73EB3"/>
    <w:rsid w:val="00C7402A"/>
    <w:rsid w:val="00C74396"/>
    <w:rsid w:val="00C74F05"/>
    <w:rsid w:val="00C75DE2"/>
    <w:rsid w:val="00C84028"/>
    <w:rsid w:val="00C9606C"/>
    <w:rsid w:val="00CA1797"/>
    <w:rsid w:val="00CA1E91"/>
    <w:rsid w:val="00CA3F0F"/>
    <w:rsid w:val="00CA5AA7"/>
    <w:rsid w:val="00CA7BE2"/>
    <w:rsid w:val="00CB58D0"/>
    <w:rsid w:val="00CC0343"/>
    <w:rsid w:val="00CC0640"/>
    <w:rsid w:val="00CC3DCE"/>
    <w:rsid w:val="00CC7E4D"/>
    <w:rsid w:val="00CD38DF"/>
    <w:rsid w:val="00CD5A31"/>
    <w:rsid w:val="00CD6FE3"/>
    <w:rsid w:val="00CE66AD"/>
    <w:rsid w:val="00CF21E9"/>
    <w:rsid w:val="00CF59B3"/>
    <w:rsid w:val="00D000C6"/>
    <w:rsid w:val="00D00DBB"/>
    <w:rsid w:val="00D01667"/>
    <w:rsid w:val="00D01E1A"/>
    <w:rsid w:val="00D021C4"/>
    <w:rsid w:val="00D02FF2"/>
    <w:rsid w:val="00D060B9"/>
    <w:rsid w:val="00D0621A"/>
    <w:rsid w:val="00D10EDF"/>
    <w:rsid w:val="00D113EE"/>
    <w:rsid w:val="00D11D2C"/>
    <w:rsid w:val="00D22AC2"/>
    <w:rsid w:val="00D22DCC"/>
    <w:rsid w:val="00D23390"/>
    <w:rsid w:val="00D241B6"/>
    <w:rsid w:val="00D26D21"/>
    <w:rsid w:val="00D307BC"/>
    <w:rsid w:val="00D31BDB"/>
    <w:rsid w:val="00D31ECB"/>
    <w:rsid w:val="00D33931"/>
    <w:rsid w:val="00D33C6B"/>
    <w:rsid w:val="00D35942"/>
    <w:rsid w:val="00D41F87"/>
    <w:rsid w:val="00D46DB2"/>
    <w:rsid w:val="00D47233"/>
    <w:rsid w:val="00D55D6E"/>
    <w:rsid w:val="00D611F2"/>
    <w:rsid w:val="00D63732"/>
    <w:rsid w:val="00D65C54"/>
    <w:rsid w:val="00D701F6"/>
    <w:rsid w:val="00D70E86"/>
    <w:rsid w:val="00D73195"/>
    <w:rsid w:val="00D74987"/>
    <w:rsid w:val="00D74DCA"/>
    <w:rsid w:val="00D7768C"/>
    <w:rsid w:val="00D82171"/>
    <w:rsid w:val="00D93D4A"/>
    <w:rsid w:val="00DA1B9E"/>
    <w:rsid w:val="00DB3576"/>
    <w:rsid w:val="00DB3621"/>
    <w:rsid w:val="00DB7C0F"/>
    <w:rsid w:val="00DC04A2"/>
    <w:rsid w:val="00DC0956"/>
    <w:rsid w:val="00DC38D2"/>
    <w:rsid w:val="00DC530E"/>
    <w:rsid w:val="00DC5FA4"/>
    <w:rsid w:val="00DC6D65"/>
    <w:rsid w:val="00DC6D9E"/>
    <w:rsid w:val="00DD069A"/>
    <w:rsid w:val="00DD1D05"/>
    <w:rsid w:val="00DD2DAC"/>
    <w:rsid w:val="00DD473E"/>
    <w:rsid w:val="00DD5E2F"/>
    <w:rsid w:val="00DE115C"/>
    <w:rsid w:val="00DE2139"/>
    <w:rsid w:val="00DE2193"/>
    <w:rsid w:val="00DE31B5"/>
    <w:rsid w:val="00DE54C0"/>
    <w:rsid w:val="00DE5D5A"/>
    <w:rsid w:val="00DE6D34"/>
    <w:rsid w:val="00DF4401"/>
    <w:rsid w:val="00E0113E"/>
    <w:rsid w:val="00E01C3B"/>
    <w:rsid w:val="00E02B87"/>
    <w:rsid w:val="00E04173"/>
    <w:rsid w:val="00E05A8B"/>
    <w:rsid w:val="00E05C04"/>
    <w:rsid w:val="00E11103"/>
    <w:rsid w:val="00E14EF3"/>
    <w:rsid w:val="00E160E8"/>
    <w:rsid w:val="00E24B76"/>
    <w:rsid w:val="00E258B5"/>
    <w:rsid w:val="00E264C3"/>
    <w:rsid w:val="00E34948"/>
    <w:rsid w:val="00E35F32"/>
    <w:rsid w:val="00E40560"/>
    <w:rsid w:val="00E424A8"/>
    <w:rsid w:val="00E458A5"/>
    <w:rsid w:val="00E45D76"/>
    <w:rsid w:val="00E501DD"/>
    <w:rsid w:val="00E5296B"/>
    <w:rsid w:val="00E545F2"/>
    <w:rsid w:val="00E55774"/>
    <w:rsid w:val="00E57D57"/>
    <w:rsid w:val="00E604B5"/>
    <w:rsid w:val="00E60F11"/>
    <w:rsid w:val="00E613F6"/>
    <w:rsid w:val="00E61A21"/>
    <w:rsid w:val="00E6419E"/>
    <w:rsid w:val="00E65EBD"/>
    <w:rsid w:val="00E67595"/>
    <w:rsid w:val="00E71A1D"/>
    <w:rsid w:val="00E74A27"/>
    <w:rsid w:val="00E75D0C"/>
    <w:rsid w:val="00E828A0"/>
    <w:rsid w:val="00E82945"/>
    <w:rsid w:val="00E82F4F"/>
    <w:rsid w:val="00E83D86"/>
    <w:rsid w:val="00E9080A"/>
    <w:rsid w:val="00E91D92"/>
    <w:rsid w:val="00E96F7B"/>
    <w:rsid w:val="00E97445"/>
    <w:rsid w:val="00EA6B99"/>
    <w:rsid w:val="00EA7185"/>
    <w:rsid w:val="00EB14B8"/>
    <w:rsid w:val="00EB1554"/>
    <w:rsid w:val="00EB55B6"/>
    <w:rsid w:val="00EB6AF8"/>
    <w:rsid w:val="00EC0C1A"/>
    <w:rsid w:val="00EC1989"/>
    <w:rsid w:val="00EC1A72"/>
    <w:rsid w:val="00EC42B5"/>
    <w:rsid w:val="00EC535D"/>
    <w:rsid w:val="00EC5D16"/>
    <w:rsid w:val="00EC6A2A"/>
    <w:rsid w:val="00ED4282"/>
    <w:rsid w:val="00EE165F"/>
    <w:rsid w:val="00EE70C7"/>
    <w:rsid w:val="00EF0EF7"/>
    <w:rsid w:val="00EF369C"/>
    <w:rsid w:val="00EF626E"/>
    <w:rsid w:val="00F00674"/>
    <w:rsid w:val="00F03188"/>
    <w:rsid w:val="00F108A2"/>
    <w:rsid w:val="00F10927"/>
    <w:rsid w:val="00F128B0"/>
    <w:rsid w:val="00F12ACB"/>
    <w:rsid w:val="00F14E20"/>
    <w:rsid w:val="00F2589C"/>
    <w:rsid w:val="00F312F5"/>
    <w:rsid w:val="00F326AD"/>
    <w:rsid w:val="00F348B7"/>
    <w:rsid w:val="00F3691A"/>
    <w:rsid w:val="00F37D82"/>
    <w:rsid w:val="00F40E2C"/>
    <w:rsid w:val="00F45645"/>
    <w:rsid w:val="00F474D6"/>
    <w:rsid w:val="00F509D6"/>
    <w:rsid w:val="00F51975"/>
    <w:rsid w:val="00F6022E"/>
    <w:rsid w:val="00F60317"/>
    <w:rsid w:val="00F6306A"/>
    <w:rsid w:val="00F63B71"/>
    <w:rsid w:val="00F6509F"/>
    <w:rsid w:val="00F70DE5"/>
    <w:rsid w:val="00F72103"/>
    <w:rsid w:val="00F72421"/>
    <w:rsid w:val="00F75484"/>
    <w:rsid w:val="00F77D08"/>
    <w:rsid w:val="00F821FC"/>
    <w:rsid w:val="00F82EF2"/>
    <w:rsid w:val="00F85043"/>
    <w:rsid w:val="00F86223"/>
    <w:rsid w:val="00F911C9"/>
    <w:rsid w:val="00F92027"/>
    <w:rsid w:val="00FA2007"/>
    <w:rsid w:val="00FB1939"/>
    <w:rsid w:val="00FB4A61"/>
    <w:rsid w:val="00FB5707"/>
    <w:rsid w:val="00FB5A1A"/>
    <w:rsid w:val="00FC1BE3"/>
    <w:rsid w:val="00FC5093"/>
    <w:rsid w:val="00FC5C75"/>
    <w:rsid w:val="00FC62FE"/>
    <w:rsid w:val="00FD1A39"/>
    <w:rsid w:val="00FD1DEF"/>
    <w:rsid w:val="00FD23F5"/>
    <w:rsid w:val="00FD5862"/>
    <w:rsid w:val="00FE4CB0"/>
    <w:rsid w:val="00FE70BB"/>
    <w:rsid w:val="00FF0B32"/>
    <w:rsid w:val="00FF18B1"/>
    <w:rsid w:val="00FF42BD"/>
    <w:rsid w:val="00FF7C02"/>
    <w:rsid w:val="02C61AAF"/>
    <w:rsid w:val="090E0B9D"/>
    <w:rsid w:val="0B766F85"/>
    <w:rsid w:val="0BC4685A"/>
    <w:rsid w:val="0D390FDF"/>
    <w:rsid w:val="0E300295"/>
    <w:rsid w:val="0F4A2B9D"/>
    <w:rsid w:val="12D85ACC"/>
    <w:rsid w:val="13513730"/>
    <w:rsid w:val="17034006"/>
    <w:rsid w:val="19BE4B52"/>
    <w:rsid w:val="1E57233C"/>
    <w:rsid w:val="226448E7"/>
    <w:rsid w:val="2B2E7E0A"/>
    <w:rsid w:val="2CC348C4"/>
    <w:rsid w:val="31002E03"/>
    <w:rsid w:val="35B4549C"/>
    <w:rsid w:val="3AD4775B"/>
    <w:rsid w:val="40164F83"/>
    <w:rsid w:val="46BA5921"/>
    <w:rsid w:val="59371829"/>
    <w:rsid w:val="6083386D"/>
    <w:rsid w:val="6177375F"/>
    <w:rsid w:val="63404AEA"/>
    <w:rsid w:val="68D53C5B"/>
    <w:rsid w:val="6EE27D80"/>
    <w:rsid w:val="706C53B7"/>
    <w:rsid w:val="7ABC777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widowControl/>
      <w:numPr>
        <w:ilvl w:val="0"/>
        <w:numId w:val="1"/>
      </w:numPr>
      <w:spacing w:before="240" w:after="60"/>
      <w:jc w:val="center"/>
      <w:outlineLvl w:val="0"/>
    </w:pPr>
    <w:rPr>
      <w:rFonts w:ascii="Arial" w:hAnsi="Arial"/>
      <w:bCs/>
      <w:kern w:val="28"/>
      <w:sz w:val="44"/>
      <w:szCs w:val="20"/>
    </w:rPr>
  </w:style>
  <w:style w:type="paragraph" w:styleId="3">
    <w:name w:val="heading 2"/>
    <w:basedOn w:val="1"/>
    <w:next w:val="1"/>
    <w:link w:val="49"/>
    <w:qFormat/>
    <w:uiPriority w:val="0"/>
    <w:pPr>
      <w:keepNext/>
      <w:keepLines/>
      <w:spacing w:before="260" w:after="260" w:line="416" w:lineRule="auto"/>
      <w:outlineLvl w:val="1"/>
    </w:pPr>
    <w:rPr>
      <w:rFonts w:ascii="Calibri Light" w:hAnsi="Calibri Light"/>
      <w:b/>
      <w:bCs/>
      <w:sz w:val="32"/>
      <w:szCs w:val="32"/>
    </w:rPr>
  </w:style>
  <w:style w:type="paragraph" w:styleId="4">
    <w:name w:val="heading 3"/>
    <w:basedOn w:val="1"/>
    <w:next w:val="1"/>
    <w:link w:val="50"/>
    <w:qFormat/>
    <w:uiPriority w:val="0"/>
    <w:pPr>
      <w:keepNext/>
      <w:widowControl/>
      <w:numPr>
        <w:ilvl w:val="2"/>
        <w:numId w:val="2"/>
      </w:numPr>
      <w:tabs>
        <w:tab w:val="left" w:pos="851"/>
        <w:tab w:val="left" w:pos="1050"/>
      </w:tabs>
      <w:spacing w:before="240" w:after="60"/>
      <w:jc w:val="left"/>
      <w:outlineLvl w:val="2"/>
    </w:pPr>
    <w:rPr>
      <w:rFonts w:ascii="Arial" w:hAnsi="Arial" w:eastAsia="ÎÄ¶¦±¨ËÎÌå¼ò"/>
      <w:kern w:val="0"/>
      <w:sz w:val="24"/>
      <w:szCs w:val="20"/>
    </w:rPr>
  </w:style>
  <w:style w:type="paragraph" w:styleId="5">
    <w:name w:val="heading 4"/>
    <w:basedOn w:val="1"/>
    <w:next w:val="6"/>
    <w:link w:val="52"/>
    <w:qFormat/>
    <w:uiPriority w:val="0"/>
    <w:pPr>
      <w:keepNext/>
      <w:numPr>
        <w:ilvl w:val="0"/>
        <w:numId w:val="3"/>
      </w:numPr>
      <w:tabs>
        <w:tab w:val="left" w:pos="720"/>
      </w:tabs>
      <w:snapToGrid w:val="0"/>
      <w:spacing w:line="300" w:lineRule="auto"/>
      <w:outlineLvl w:val="3"/>
    </w:pPr>
    <w:rPr>
      <w:rFonts w:ascii="楷体_GB2312" w:eastAsia="楷体_GB2312"/>
      <w:sz w:val="30"/>
      <w:szCs w:val="20"/>
    </w:rPr>
  </w:style>
  <w:style w:type="paragraph" w:styleId="7">
    <w:name w:val="heading 5"/>
    <w:basedOn w:val="1"/>
    <w:next w:val="6"/>
    <w:link w:val="53"/>
    <w:qFormat/>
    <w:uiPriority w:val="0"/>
    <w:pPr>
      <w:keepNext/>
      <w:widowControl/>
      <w:numPr>
        <w:ilvl w:val="0"/>
        <w:numId w:val="4"/>
      </w:numPr>
      <w:tabs>
        <w:tab w:val="left" w:pos="405"/>
      </w:tabs>
      <w:jc w:val="left"/>
      <w:outlineLvl w:val="4"/>
    </w:pPr>
    <w:rPr>
      <w:kern w:val="0"/>
      <w:sz w:val="24"/>
      <w:szCs w:val="20"/>
    </w:rPr>
  </w:style>
  <w:style w:type="paragraph" w:styleId="8">
    <w:name w:val="heading 6"/>
    <w:basedOn w:val="1"/>
    <w:next w:val="6"/>
    <w:link w:val="54"/>
    <w:qFormat/>
    <w:uiPriority w:val="0"/>
    <w:pPr>
      <w:keepNext/>
      <w:numPr>
        <w:ilvl w:val="0"/>
        <w:numId w:val="1"/>
      </w:numPr>
      <w:tabs>
        <w:tab w:val="left" w:pos="-20"/>
      </w:tabs>
      <w:snapToGrid w:val="0"/>
      <w:spacing w:line="300" w:lineRule="auto"/>
      <w:ind w:left="480"/>
      <w:outlineLvl w:val="5"/>
    </w:pPr>
    <w:rPr>
      <w:rFonts w:ascii="宋体"/>
      <w:sz w:val="28"/>
      <w:szCs w:val="20"/>
    </w:rPr>
  </w:style>
  <w:style w:type="paragraph" w:styleId="9">
    <w:name w:val="heading 7"/>
    <w:basedOn w:val="1"/>
    <w:next w:val="1"/>
    <w:link w:val="55"/>
    <w:qFormat/>
    <w:uiPriority w:val="0"/>
    <w:pPr>
      <w:keepNext/>
      <w:pageBreakBefore/>
      <w:adjustRightInd w:val="0"/>
      <w:snapToGrid w:val="0"/>
      <w:spacing w:before="120" w:after="120" w:line="360" w:lineRule="auto"/>
      <w:outlineLvl w:val="6"/>
    </w:pPr>
    <w:rPr>
      <w:b/>
      <w:bCs/>
      <w:sz w:val="28"/>
      <w:szCs w:val="28"/>
    </w:rPr>
  </w:style>
  <w:style w:type="character" w:default="1" w:styleId="43">
    <w:name w:val="Default Paragraph Font"/>
    <w:semiHidden/>
    <w:qFormat/>
    <w:uiPriority w:val="0"/>
  </w:style>
  <w:style w:type="table" w:default="1" w:styleId="41">
    <w:name w:val="Normal Table"/>
    <w:semiHidden/>
    <w:uiPriority w:val="0"/>
    <w:tblPr>
      <w:tblStyle w:val="41"/>
      <w:tblCellMar>
        <w:top w:w="0" w:type="dxa"/>
        <w:left w:w="108" w:type="dxa"/>
        <w:bottom w:w="0" w:type="dxa"/>
        <w:right w:w="108" w:type="dxa"/>
      </w:tblCellMar>
    </w:tblPr>
  </w:style>
  <w:style w:type="paragraph" w:styleId="6">
    <w:name w:val="Normal Indent"/>
    <w:basedOn w:val="1"/>
    <w:link w:val="51"/>
    <w:qFormat/>
    <w:uiPriority w:val="0"/>
    <w:pPr>
      <w:tabs>
        <w:tab w:val="left" w:pos="840"/>
      </w:tabs>
      <w:adjustRightInd w:val="0"/>
      <w:snapToGrid w:val="0"/>
      <w:spacing w:line="360" w:lineRule="auto"/>
      <w:ind w:firstLine="480" w:firstLineChars="200"/>
    </w:pPr>
    <w:rPr>
      <w:color w:val="000000"/>
      <w:sz w:val="24"/>
      <w:szCs w:val="20"/>
    </w:rPr>
  </w:style>
  <w:style w:type="paragraph" w:styleId="10">
    <w:name w:val="toc 7"/>
    <w:basedOn w:val="1"/>
    <w:next w:val="1"/>
    <w:uiPriority w:val="0"/>
    <w:pPr>
      <w:widowControl/>
      <w:spacing w:afterLines="50"/>
      <w:ind w:left="1440"/>
      <w:jc w:val="left"/>
    </w:pPr>
    <w:rPr>
      <w:kern w:val="0"/>
      <w:sz w:val="18"/>
      <w:szCs w:val="18"/>
    </w:rPr>
  </w:style>
  <w:style w:type="paragraph" w:styleId="11">
    <w:name w:val="List Number 2"/>
    <w:basedOn w:val="1"/>
    <w:uiPriority w:val="0"/>
    <w:pPr>
      <w:numPr>
        <w:ilvl w:val="0"/>
        <w:numId w:val="4"/>
      </w:numPr>
    </w:pPr>
  </w:style>
  <w:style w:type="paragraph" w:styleId="12">
    <w:name w:val="List Number"/>
    <w:basedOn w:val="1"/>
    <w:uiPriority w:val="0"/>
    <w:pPr>
      <w:widowControl/>
      <w:tabs>
        <w:tab w:val="left" w:pos="820"/>
      </w:tabs>
      <w:spacing w:after="50" w:afterLines="50"/>
      <w:ind w:left="820" w:hanging="420"/>
      <w:jc w:val="left"/>
    </w:pPr>
    <w:rPr>
      <w:kern w:val="0"/>
      <w:sz w:val="24"/>
      <w:szCs w:val="20"/>
    </w:rPr>
  </w:style>
  <w:style w:type="paragraph" w:styleId="13">
    <w:name w:val="Document Map"/>
    <w:basedOn w:val="1"/>
    <w:semiHidden/>
    <w:uiPriority w:val="0"/>
    <w:pPr>
      <w:shd w:val="clear" w:color="auto" w:fill="000080"/>
    </w:pPr>
  </w:style>
  <w:style w:type="paragraph" w:styleId="14">
    <w:name w:val="annotation text"/>
    <w:basedOn w:val="1"/>
    <w:link w:val="63"/>
    <w:uiPriority w:val="0"/>
    <w:pPr>
      <w:jc w:val="left"/>
    </w:pPr>
  </w:style>
  <w:style w:type="paragraph" w:styleId="15">
    <w:name w:val="Body Text 3"/>
    <w:basedOn w:val="1"/>
    <w:link w:val="86"/>
    <w:uiPriority w:val="0"/>
    <w:pPr>
      <w:spacing w:before="156" w:beforeLines="50" w:line="400" w:lineRule="exact"/>
      <w:jc w:val="left"/>
    </w:pPr>
    <w:rPr>
      <w:b/>
      <w:color w:val="FF6600"/>
      <w:sz w:val="24"/>
    </w:rPr>
  </w:style>
  <w:style w:type="paragraph" w:styleId="16">
    <w:name w:val="Body Text"/>
    <w:basedOn w:val="1"/>
    <w:link w:val="60"/>
    <w:uiPriority w:val="0"/>
    <w:pPr>
      <w:jc w:val="center"/>
    </w:pPr>
    <w:rPr>
      <w:b/>
      <w:bCs/>
      <w:sz w:val="52"/>
    </w:rPr>
  </w:style>
  <w:style w:type="paragraph" w:styleId="17">
    <w:name w:val="Body Text Indent"/>
    <w:basedOn w:val="1"/>
    <w:link w:val="58"/>
    <w:uiPriority w:val="0"/>
    <w:pPr>
      <w:spacing w:after="120"/>
      <w:ind w:left="420" w:leftChars="200"/>
    </w:pPr>
  </w:style>
  <w:style w:type="paragraph" w:styleId="18">
    <w:name w:val="List Number 3"/>
    <w:basedOn w:val="1"/>
    <w:uiPriority w:val="0"/>
    <w:pPr>
      <w:widowControl/>
      <w:numPr>
        <w:ilvl w:val="0"/>
        <w:numId w:val="5"/>
      </w:numPr>
      <w:tabs>
        <w:tab w:val="left" w:pos="2260"/>
      </w:tabs>
      <w:spacing w:after="50" w:afterLines="50"/>
      <w:jc w:val="left"/>
    </w:pPr>
    <w:rPr>
      <w:kern w:val="0"/>
      <w:sz w:val="24"/>
      <w:szCs w:val="20"/>
    </w:rPr>
  </w:style>
  <w:style w:type="paragraph" w:styleId="19">
    <w:name w:val="toc 5"/>
    <w:basedOn w:val="1"/>
    <w:next w:val="1"/>
    <w:uiPriority w:val="0"/>
    <w:pPr>
      <w:widowControl/>
      <w:spacing w:afterLines="50"/>
      <w:ind w:left="960"/>
      <w:jc w:val="left"/>
    </w:pPr>
    <w:rPr>
      <w:kern w:val="0"/>
      <w:sz w:val="18"/>
      <w:szCs w:val="18"/>
    </w:rPr>
  </w:style>
  <w:style w:type="paragraph" w:styleId="20">
    <w:name w:val="toc 3"/>
    <w:basedOn w:val="1"/>
    <w:next w:val="1"/>
    <w:uiPriority w:val="0"/>
    <w:pPr>
      <w:widowControl/>
      <w:spacing w:afterLines="50"/>
      <w:ind w:left="480"/>
      <w:jc w:val="left"/>
    </w:pPr>
    <w:rPr>
      <w:i/>
      <w:iCs/>
      <w:kern w:val="0"/>
      <w:sz w:val="20"/>
      <w:szCs w:val="20"/>
    </w:rPr>
  </w:style>
  <w:style w:type="paragraph" w:styleId="21">
    <w:name w:val="Plain Text"/>
    <w:basedOn w:val="1"/>
    <w:link w:val="56"/>
    <w:uiPriority w:val="0"/>
    <w:rPr>
      <w:rFonts w:ascii="宋体" w:hAnsi="Courier New"/>
      <w:szCs w:val="21"/>
    </w:rPr>
  </w:style>
  <w:style w:type="paragraph" w:styleId="22">
    <w:name w:val="List Number 4"/>
    <w:basedOn w:val="1"/>
    <w:uiPriority w:val="0"/>
    <w:pPr>
      <w:widowControl/>
      <w:numPr>
        <w:ilvl w:val="0"/>
        <w:numId w:val="6"/>
      </w:numPr>
      <w:tabs>
        <w:tab w:val="left" w:pos="1531"/>
      </w:tabs>
      <w:spacing w:after="50" w:afterLines="50"/>
      <w:jc w:val="left"/>
    </w:pPr>
    <w:rPr>
      <w:kern w:val="0"/>
      <w:sz w:val="24"/>
      <w:szCs w:val="20"/>
    </w:rPr>
  </w:style>
  <w:style w:type="paragraph" w:styleId="23">
    <w:name w:val="toc 8"/>
    <w:basedOn w:val="1"/>
    <w:next w:val="1"/>
    <w:uiPriority w:val="0"/>
    <w:pPr>
      <w:widowControl/>
      <w:spacing w:afterLines="50"/>
      <w:ind w:left="1680"/>
      <w:jc w:val="left"/>
    </w:pPr>
    <w:rPr>
      <w:kern w:val="0"/>
      <w:sz w:val="18"/>
      <w:szCs w:val="18"/>
    </w:rPr>
  </w:style>
  <w:style w:type="paragraph" w:styleId="24">
    <w:name w:val="Date"/>
    <w:basedOn w:val="1"/>
    <w:next w:val="1"/>
    <w:link w:val="62"/>
    <w:uiPriority w:val="0"/>
    <w:pPr>
      <w:widowControl/>
      <w:spacing w:line="1598" w:lineRule="atLeast"/>
      <w:ind w:firstLine="419"/>
      <w:textAlignment w:val="baseline"/>
    </w:pPr>
    <w:rPr>
      <w:color w:val="000000"/>
      <w:kern w:val="0"/>
      <w:sz w:val="24"/>
      <w:szCs w:val="20"/>
      <w:u w:val="none" w:color="000000"/>
    </w:rPr>
  </w:style>
  <w:style w:type="paragraph" w:styleId="25">
    <w:name w:val="Body Text Indent 2"/>
    <w:basedOn w:val="1"/>
    <w:link w:val="91"/>
    <w:uiPriority w:val="0"/>
    <w:pPr>
      <w:spacing w:line="420" w:lineRule="exact"/>
      <w:ind w:firstLine="473" w:firstLineChars="197"/>
    </w:pPr>
    <w:rPr>
      <w:rFonts w:ascii="宋体" w:hAnsi="宋体"/>
      <w:sz w:val="24"/>
    </w:rPr>
  </w:style>
  <w:style w:type="paragraph" w:styleId="26">
    <w:name w:val="Balloon Text"/>
    <w:basedOn w:val="1"/>
    <w:link w:val="59"/>
    <w:uiPriority w:val="0"/>
    <w:rPr>
      <w:sz w:val="18"/>
      <w:szCs w:val="18"/>
    </w:rPr>
  </w:style>
  <w:style w:type="paragraph" w:styleId="27">
    <w:name w:val="footer"/>
    <w:basedOn w:val="1"/>
    <w:uiPriority w:val="0"/>
    <w:pPr>
      <w:widowControl/>
      <w:tabs>
        <w:tab w:val="left" w:pos="4121"/>
        <w:tab w:val="left" w:pos="7988"/>
      </w:tabs>
      <w:spacing w:line="1258" w:lineRule="atLeast"/>
      <w:ind w:firstLine="419"/>
      <w:jc w:val="left"/>
      <w:textAlignment w:val="baseline"/>
    </w:pPr>
    <w:rPr>
      <w:color w:val="000000"/>
      <w:kern w:val="0"/>
      <w:sz w:val="18"/>
      <w:szCs w:val="20"/>
      <w:u w:val="none" w:color="000000"/>
    </w:rPr>
  </w:style>
  <w:style w:type="paragraph" w:styleId="28">
    <w:name w:val="header"/>
    <w:basedOn w:val="1"/>
    <w:uiPriority w:val="0"/>
    <w:pPr>
      <w:widowControl/>
      <w:tabs>
        <w:tab w:val="left" w:pos="4121"/>
        <w:tab w:val="left" w:pos="7988"/>
      </w:tabs>
      <w:spacing w:line="1258" w:lineRule="atLeast"/>
      <w:ind w:firstLine="419"/>
      <w:jc w:val="center"/>
      <w:textAlignment w:val="baseline"/>
    </w:pPr>
    <w:rPr>
      <w:color w:val="000000"/>
      <w:kern w:val="0"/>
      <w:sz w:val="18"/>
      <w:szCs w:val="20"/>
      <w:u w:val="none" w:color="000000"/>
    </w:rPr>
  </w:style>
  <w:style w:type="paragraph" w:styleId="29">
    <w:name w:val="toc 1"/>
    <w:basedOn w:val="1"/>
    <w:next w:val="1"/>
    <w:uiPriority w:val="39"/>
    <w:pPr>
      <w:widowControl/>
      <w:spacing w:line="1428" w:lineRule="atLeast"/>
      <w:ind w:firstLine="419"/>
      <w:textAlignment w:val="baseline"/>
    </w:pPr>
    <w:rPr>
      <w:color w:val="000000"/>
      <w:kern w:val="0"/>
      <w:szCs w:val="20"/>
      <w:u w:val="none" w:color="000000"/>
    </w:rPr>
  </w:style>
  <w:style w:type="paragraph" w:styleId="30">
    <w:name w:val="toc 4"/>
    <w:basedOn w:val="1"/>
    <w:next w:val="1"/>
    <w:uiPriority w:val="0"/>
    <w:pPr>
      <w:widowControl/>
      <w:spacing w:afterLines="50"/>
      <w:ind w:left="720"/>
      <w:jc w:val="left"/>
    </w:pPr>
    <w:rPr>
      <w:kern w:val="0"/>
      <w:sz w:val="18"/>
      <w:szCs w:val="18"/>
    </w:rPr>
  </w:style>
  <w:style w:type="paragraph" w:styleId="31">
    <w:name w:val="toc 6"/>
    <w:basedOn w:val="1"/>
    <w:next w:val="1"/>
    <w:uiPriority w:val="0"/>
    <w:pPr>
      <w:widowControl/>
      <w:spacing w:afterLines="50"/>
      <w:ind w:left="1200"/>
      <w:jc w:val="left"/>
    </w:pPr>
    <w:rPr>
      <w:kern w:val="0"/>
      <w:sz w:val="18"/>
      <w:szCs w:val="18"/>
    </w:rPr>
  </w:style>
  <w:style w:type="paragraph" w:styleId="32">
    <w:name w:val="Body Text Indent 3"/>
    <w:basedOn w:val="1"/>
    <w:uiPriority w:val="0"/>
    <w:pPr>
      <w:snapToGrid w:val="0"/>
      <w:spacing w:line="360" w:lineRule="auto"/>
      <w:ind w:firstLine="601"/>
    </w:pPr>
    <w:rPr>
      <w:sz w:val="28"/>
    </w:rPr>
  </w:style>
  <w:style w:type="paragraph" w:styleId="33">
    <w:name w:val="toc 2"/>
    <w:basedOn w:val="1"/>
    <w:next w:val="1"/>
    <w:uiPriority w:val="0"/>
    <w:pPr>
      <w:widowControl/>
      <w:spacing w:afterLines="50"/>
      <w:ind w:left="240"/>
      <w:jc w:val="left"/>
    </w:pPr>
    <w:rPr>
      <w:smallCaps/>
      <w:kern w:val="0"/>
      <w:sz w:val="20"/>
      <w:szCs w:val="20"/>
    </w:rPr>
  </w:style>
  <w:style w:type="paragraph" w:styleId="34">
    <w:name w:val="toc 9"/>
    <w:basedOn w:val="1"/>
    <w:next w:val="1"/>
    <w:uiPriority w:val="0"/>
    <w:pPr>
      <w:widowControl/>
      <w:spacing w:afterLines="50"/>
      <w:ind w:left="1920"/>
      <w:jc w:val="left"/>
    </w:pPr>
    <w:rPr>
      <w:kern w:val="0"/>
      <w:sz w:val="18"/>
      <w:szCs w:val="18"/>
    </w:rPr>
  </w:style>
  <w:style w:type="paragraph" w:styleId="35">
    <w:name w:val="Body Text 2"/>
    <w:basedOn w:val="1"/>
    <w:link w:val="93"/>
    <w:uiPriority w:val="0"/>
    <w:pPr>
      <w:tabs>
        <w:tab w:val="left" w:pos="1065"/>
      </w:tabs>
      <w:spacing w:after="120" w:line="360" w:lineRule="auto"/>
      <w:ind w:left="1065" w:hanging="420"/>
    </w:pPr>
    <w:rPr>
      <w:sz w:val="24"/>
      <w:szCs w:val="20"/>
    </w:rPr>
  </w:style>
  <w:style w:type="paragraph" w:styleId="36">
    <w:name w:val="Normal (Web)"/>
    <w:basedOn w:val="1"/>
    <w:uiPriority w:val="0"/>
    <w:pPr>
      <w:widowControl/>
      <w:spacing w:before="100" w:beforeLines="0" w:beforeAutospacing="1" w:after="100" w:afterLines="0" w:afterAutospacing="1"/>
      <w:jc w:val="left"/>
    </w:pPr>
    <w:rPr>
      <w:rFonts w:ascii="Arial Unicode MS" w:hAnsi="Arial Unicode MS" w:eastAsia="Arial Unicode MS" w:cs="Arial Unicode MS"/>
      <w:color w:val="000000"/>
      <w:kern w:val="0"/>
      <w:sz w:val="19"/>
      <w:szCs w:val="19"/>
    </w:rPr>
  </w:style>
  <w:style w:type="paragraph" w:styleId="37">
    <w:name w:val="index 1"/>
    <w:basedOn w:val="1"/>
    <w:next w:val="1"/>
    <w:uiPriority w:val="0"/>
    <w:pPr>
      <w:widowControl/>
      <w:snapToGrid w:val="0"/>
      <w:spacing w:before="156" w:beforeLines="50" w:after="156" w:afterLines="50"/>
      <w:jc w:val="center"/>
    </w:pPr>
    <w:rPr>
      <w:rFonts w:ascii="Arial" w:hAnsi="Arial" w:cs="Arial"/>
      <w:color w:val="FF0000"/>
      <w:kern w:val="0"/>
      <w:sz w:val="24"/>
    </w:rPr>
  </w:style>
  <w:style w:type="paragraph" w:styleId="38">
    <w:name w:val="annotation subject"/>
    <w:basedOn w:val="14"/>
    <w:next w:val="14"/>
    <w:link w:val="85"/>
    <w:uiPriority w:val="0"/>
    <w:pPr>
      <w:widowControl/>
      <w:spacing w:after="50" w:afterLines="50"/>
    </w:pPr>
    <w:rPr>
      <w:b/>
      <w:bCs/>
      <w:kern w:val="0"/>
      <w:sz w:val="24"/>
      <w:szCs w:val="20"/>
    </w:rPr>
  </w:style>
  <w:style w:type="paragraph" w:styleId="39">
    <w:name w:val="Body Text First Indent"/>
    <w:basedOn w:val="16"/>
    <w:link w:val="84"/>
    <w:uiPriority w:val="0"/>
    <w:pPr>
      <w:spacing w:after="120"/>
      <w:ind w:firstLine="420" w:firstLineChars="100"/>
      <w:jc w:val="both"/>
    </w:pPr>
    <w:rPr>
      <w:sz w:val="21"/>
    </w:rPr>
  </w:style>
  <w:style w:type="paragraph" w:styleId="40">
    <w:name w:val="Body Text First Indent 2"/>
    <w:basedOn w:val="17"/>
    <w:next w:val="1"/>
    <w:link w:val="137"/>
    <w:unhideWhenUsed/>
    <w:qFormat/>
    <w:uiPriority w:val="99"/>
    <w:pPr>
      <w:autoSpaceDE w:val="0"/>
      <w:autoSpaceDN w:val="0"/>
      <w:adjustRightInd w:val="0"/>
      <w:spacing w:after="0" w:line="440" w:lineRule="exact"/>
      <w:ind w:left="0" w:leftChars="0" w:firstLine="420"/>
      <w:jc w:val="left"/>
    </w:pPr>
    <w:rPr>
      <w:rFonts w:ascii="宋体" w:hAnsi="宋体"/>
      <w:sz w:val="24"/>
    </w:rPr>
  </w:style>
  <w:style w:type="table" w:styleId="42">
    <w:name w:val="Table Grid"/>
    <w:basedOn w:val="41"/>
    <w:uiPriority w:val="0"/>
    <w:pPr>
      <w:widowControl w:val="0"/>
      <w:jc w:val="both"/>
    </w:pPr>
    <w:tblPr>
      <w:tblStyle w:val="4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qFormat/>
    <w:uiPriority w:val="0"/>
    <w:rPr>
      <w:b/>
    </w:rPr>
  </w:style>
  <w:style w:type="character" w:styleId="45">
    <w:name w:val="page number"/>
    <w:basedOn w:val="43"/>
    <w:uiPriority w:val="0"/>
  </w:style>
  <w:style w:type="character" w:styleId="46">
    <w:name w:val="FollowedHyperlink"/>
    <w:uiPriority w:val="0"/>
    <w:rPr>
      <w:color w:val="800080"/>
      <w:u w:val="single"/>
    </w:rPr>
  </w:style>
  <w:style w:type="character" w:styleId="47">
    <w:name w:val="Hyperlink"/>
    <w:uiPriority w:val="99"/>
    <w:rPr>
      <w:rFonts w:hint="eastAsia" w:ascii="宋体" w:hAnsi="宋体" w:eastAsia="宋体" w:cs="宋体"/>
      <w:color w:val="333333"/>
      <w:sz w:val="18"/>
      <w:szCs w:val="18"/>
      <w:u w:val="none"/>
    </w:rPr>
  </w:style>
  <w:style w:type="character" w:styleId="48">
    <w:name w:val="annotation reference"/>
    <w:uiPriority w:val="0"/>
    <w:rPr>
      <w:rFonts w:ascii="Tahoma" w:hAnsi="Tahoma"/>
      <w:sz w:val="21"/>
      <w:szCs w:val="21"/>
    </w:rPr>
  </w:style>
  <w:style w:type="character" w:customStyle="1" w:styleId="49">
    <w:name w:val="标题 2 Char"/>
    <w:link w:val="3"/>
    <w:uiPriority w:val="0"/>
    <w:rPr>
      <w:rFonts w:ascii="Calibri Light" w:hAnsi="Calibri Light"/>
      <w:b/>
      <w:bCs/>
      <w:kern w:val="2"/>
      <w:sz w:val="32"/>
      <w:szCs w:val="32"/>
    </w:rPr>
  </w:style>
  <w:style w:type="character" w:customStyle="1" w:styleId="50">
    <w:name w:val="标题 3 Char"/>
    <w:link w:val="4"/>
    <w:uiPriority w:val="0"/>
    <w:rPr>
      <w:rFonts w:ascii="Arial" w:hAnsi="Arial" w:eastAsia="ÎÄ¶¦±¨ËÎÌå¼ò"/>
      <w:sz w:val="24"/>
    </w:rPr>
  </w:style>
  <w:style w:type="character" w:customStyle="1" w:styleId="51">
    <w:name w:val="正文缩进 字符"/>
    <w:link w:val="6"/>
    <w:qFormat/>
    <w:locked/>
    <w:uiPriority w:val="0"/>
    <w:rPr>
      <w:color w:val="000000"/>
      <w:kern w:val="2"/>
      <w:sz w:val="24"/>
    </w:rPr>
  </w:style>
  <w:style w:type="character" w:customStyle="1" w:styleId="52">
    <w:name w:val="标题 4 Char"/>
    <w:link w:val="5"/>
    <w:uiPriority w:val="0"/>
    <w:rPr>
      <w:rFonts w:ascii="楷体_GB2312" w:eastAsia="楷体_GB2312"/>
      <w:kern w:val="2"/>
      <w:sz w:val="30"/>
    </w:rPr>
  </w:style>
  <w:style w:type="character" w:customStyle="1" w:styleId="53">
    <w:name w:val="标题 5 Char"/>
    <w:link w:val="7"/>
    <w:uiPriority w:val="0"/>
    <w:rPr>
      <w:sz w:val="24"/>
    </w:rPr>
  </w:style>
  <w:style w:type="character" w:customStyle="1" w:styleId="54">
    <w:name w:val="标题 6 Char"/>
    <w:link w:val="8"/>
    <w:uiPriority w:val="0"/>
    <w:rPr>
      <w:rFonts w:ascii="宋体"/>
      <w:kern w:val="2"/>
      <w:sz w:val="28"/>
    </w:rPr>
  </w:style>
  <w:style w:type="character" w:customStyle="1" w:styleId="55">
    <w:name w:val="标题 7 Char"/>
    <w:link w:val="9"/>
    <w:uiPriority w:val="0"/>
    <w:rPr>
      <w:b/>
      <w:bCs/>
      <w:kern w:val="2"/>
      <w:sz w:val="28"/>
      <w:szCs w:val="28"/>
    </w:rPr>
  </w:style>
  <w:style w:type="character" w:customStyle="1" w:styleId="56">
    <w:name w:val="纯文本 Char"/>
    <w:link w:val="21"/>
    <w:uiPriority w:val="0"/>
    <w:rPr>
      <w:rFonts w:ascii="宋体" w:hAnsi="Courier New" w:cs="Courier New"/>
      <w:kern w:val="2"/>
      <w:sz w:val="21"/>
      <w:szCs w:val="21"/>
    </w:rPr>
  </w:style>
  <w:style w:type="character" w:customStyle="1" w:styleId="57">
    <w:name w:val="正文文本缩进 Char1"/>
    <w:uiPriority w:val="0"/>
    <w:rPr>
      <w:kern w:val="2"/>
      <w:sz w:val="21"/>
      <w:szCs w:val="24"/>
    </w:rPr>
  </w:style>
  <w:style w:type="character" w:customStyle="1" w:styleId="58">
    <w:name w:val="正文文本缩进 Char"/>
    <w:link w:val="17"/>
    <w:uiPriority w:val="0"/>
    <w:rPr>
      <w:kern w:val="2"/>
      <w:sz w:val="21"/>
      <w:szCs w:val="24"/>
    </w:rPr>
  </w:style>
  <w:style w:type="character" w:customStyle="1" w:styleId="59">
    <w:name w:val="批注框文本 Char"/>
    <w:link w:val="26"/>
    <w:uiPriority w:val="0"/>
    <w:rPr>
      <w:kern w:val="2"/>
      <w:sz w:val="18"/>
      <w:szCs w:val="18"/>
    </w:rPr>
  </w:style>
  <w:style w:type="character" w:customStyle="1" w:styleId="60">
    <w:name w:val="正文文本 Char"/>
    <w:link w:val="16"/>
    <w:uiPriority w:val="0"/>
    <w:rPr>
      <w:b/>
      <w:bCs/>
      <w:kern w:val="2"/>
      <w:sz w:val="52"/>
      <w:szCs w:val="24"/>
    </w:rPr>
  </w:style>
  <w:style w:type="character" w:customStyle="1" w:styleId="61">
    <w:name w:val="bsharetext"/>
    <w:basedOn w:val="43"/>
    <w:uiPriority w:val="0"/>
  </w:style>
  <w:style w:type="character" w:customStyle="1" w:styleId="62">
    <w:name w:val="日期 Char"/>
    <w:link w:val="24"/>
    <w:locked/>
    <w:uiPriority w:val="0"/>
    <w:rPr>
      <w:color w:val="000000"/>
      <w:sz w:val="24"/>
      <w:u w:val="none" w:color="000000"/>
    </w:rPr>
  </w:style>
  <w:style w:type="character" w:customStyle="1" w:styleId="63">
    <w:name w:val="批注文字 Char"/>
    <w:link w:val="14"/>
    <w:uiPriority w:val="0"/>
    <w:rPr>
      <w:kern w:val="2"/>
      <w:sz w:val="21"/>
      <w:szCs w:val="24"/>
    </w:rPr>
  </w:style>
  <w:style w:type="paragraph" w:customStyle="1" w:styleId="64">
    <w:name w:val="普通文字"/>
    <w:basedOn w:val="1"/>
    <w:uiPriority w:val="0"/>
    <w:pPr>
      <w:widowControl/>
      <w:spacing w:line="1428" w:lineRule="atLeast"/>
      <w:ind w:firstLine="419"/>
      <w:textAlignment w:val="baseline"/>
    </w:pPr>
    <w:rPr>
      <w:rFonts w:ascii="宋体"/>
      <w:color w:val="000000"/>
      <w:kern w:val="0"/>
      <w:szCs w:val="20"/>
      <w:u w:val="none" w:color="000000"/>
    </w:rPr>
  </w:style>
  <w:style w:type="paragraph" w:customStyle="1" w:styleId="65">
    <w:name w:val="表格文字"/>
    <w:basedOn w:val="21"/>
    <w:uiPriority w:val="0"/>
    <w:pPr>
      <w:spacing w:line="1598" w:lineRule="atLeast"/>
      <w:jc w:val="left"/>
    </w:pPr>
    <w:rPr>
      <w:rFonts w:ascii="Times New Roman"/>
      <w:sz w:val="24"/>
    </w:rPr>
  </w:style>
  <w:style w:type="paragraph" w:customStyle="1" w:styleId="66">
    <w:name w:val="表格标题"/>
    <w:basedOn w:val="65"/>
    <w:uiPriority w:val="0"/>
    <w:pPr>
      <w:keepNext/>
      <w:spacing w:line="240" w:lineRule="auto"/>
      <w:jc w:val="center"/>
    </w:pPr>
    <w:rPr>
      <w:rFonts w:ascii="宋体" w:cs="Times New Roman"/>
      <w:b/>
      <w:bCs/>
      <w:szCs w:val="20"/>
    </w:rPr>
  </w:style>
  <w:style w:type="paragraph" w:customStyle="1" w:styleId="67">
    <w:name w:val="1 Char"/>
    <w:basedOn w:val="1"/>
    <w:uiPriority w:val="0"/>
    <w:rPr>
      <w:sz w:val="24"/>
    </w:rPr>
  </w:style>
  <w:style w:type="paragraph" w:customStyle="1" w:styleId="68">
    <w:name w:val="标书正文"/>
    <w:basedOn w:val="1"/>
    <w:uiPriority w:val="0"/>
    <w:pPr>
      <w:adjustRightInd w:val="0"/>
      <w:snapToGrid w:val="0"/>
      <w:spacing w:before="120" w:after="120" w:line="360" w:lineRule="auto"/>
      <w:ind w:firstLine="540" w:firstLineChars="192"/>
    </w:pPr>
    <w:rPr>
      <w:rFonts w:ascii="华文中宋" w:hAnsi="宋体" w:cs="宋体"/>
      <w:color w:val="000000"/>
      <w:kern w:val="0"/>
      <w:sz w:val="28"/>
      <w:szCs w:val="28"/>
    </w:rPr>
  </w:style>
  <w:style w:type="character" w:customStyle="1" w:styleId="69">
    <w:name w:val=" Char Char7"/>
    <w:uiPriority w:val="0"/>
    <w:rPr>
      <w:rFonts w:ascii="宋体" w:hAnsi="Courier New" w:cs="Courier New"/>
      <w:kern w:val="2"/>
      <w:sz w:val="21"/>
      <w:szCs w:val="21"/>
    </w:rPr>
  </w:style>
  <w:style w:type="character" w:customStyle="1" w:styleId="70">
    <w:name w:val="hover53"/>
    <w:uiPriority w:val="0"/>
    <w:rPr>
      <w:color w:val="FFFFFF"/>
      <w:shd w:val="clear" w:color="auto" w:fill="297ACC"/>
    </w:rPr>
  </w:style>
  <w:style w:type="paragraph" w:customStyle="1" w:styleId="71">
    <w:name w:val="p0"/>
    <w:basedOn w:val="1"/>
    <w:qFormat/>
    <w:uiPriority w:val="0"/>
    <w:pPr>
      <w:widowControl/>
    </w:pPr>
    <w:rPr>
      <w:kern w:val="0"/>
      <w:szCs w:val="21"/>
    </w:rPr>
  </w:style>
  <w:style w:type="paragraph" w:customStyle="1" w:styleId="72">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73">
    <w:name w:val=" Char Char Char Char Char Char Char Char Char Char Char"/>
    <w:basedOn w:val="1"/>
    <w:uiPriority w:val="0"/>
    <w:pPr>
      <w:widowControl/>
      <w:spacing w:after="160" w:line="240" w:lineRule="exact"/>
      <w:jc w:val="left"/>
    </w:pPr>
  </w:style>
  <w:style w:type="character" w:customStyle="1" w:styleId="74">
    <w:name w:val="p121"/>
    <w:uiPriority w:val="0"/>
    <w:rPr>
      <w:rFonts w:hint="default" w:ascii="_x000B__x000C_" w:hAnsi="_x000B__x000C_"/>
      <w:sz w:val="24"/>
      <w:szCs w:val="24"/>
      <w:u w:val="none"/>
    </w:rPr>
  </w:style>
  <w:style w:type="paragraph" w:customStyle="1" w:styleId="75">
    <w:name w:val="_Style 58"/>
    <w:uiPriority w:val="0"/>
    <w:pPr>
      <w:widowControl w:val="0"/>
      <w:jc w:val="both"/>
    </w:pPr>
    <w:rPr>
      <w:kern w:val="2"/>
      <w:sz w:val="21"/>
      <w:szCs w:val="24"/>
      <w:lang w:val="en-US" w:eastAsia="zh-CN" w:bidi="ar-SA"/>
    </w:rPr>
  </w:style>
  <w:style w:type="character" w:customStyle="1" w:styleId="76">
    <w:name w:val="列表编号 2 Char"/>
    <w:uiPriority w:val="0"/>
    <w:rPr>
      <w:rFonts w:ascii="Tahoma" w:hAnsi="Tahoma" w:eastAsia="宋体"/>
      <w:sz w:val="24"/>
      <w:szCs w:val="20"/>
      <w:lang w:val="en-US" w:eastAsia="zh-CN" w:bidi="ar-SA"/>
    </w:rPr>
  </w:style>
  <w:style w:type="character" w:customStyle="1" w:styleId="77">
    <w:name w:val="word141"/>
    <w:uiPriority w:val="0"/>
    <w:rPr>
      <w:rFonts w:ascii="Tahoma" w:hAnsi="Tahoma"/>
      <w:sz w:val="26"/>
      <w:szCs w:val="26"/>
    </w:rPr>
  </w:style>
  <w:style w:type="character" w:customStyle="1" w:styleId="78">
    <w:name w:val="v81"/>
    <w:uiPriority w:val="0"/>
    <w:rPr>
      <w:rFonts w:ascii="Verdana" w:hAnsi="Verdana"/>
      <w:sz w:val="16"/>
      <w:szCs w:val="20"/>
    </w:rPr>
  </w:style>
  <w:style w:type="character" w:customStyle="1" w:styleId="79">
    <w:name w:val="wj"/>
    <w:basedOn w:val="43"/>
    <w:uiPriority w:val="0"/>
  </w:style>
  <w:style w:type="character" w:customStyle="1" w:styleId="80">
    <w:name w:val="apple-style-span"/>
    <w:uiPriority w:val="0"/>
    <w:rPr>
      <w:rFonts w:cs="Times New Roman"/>
    </w:rPr>
  </w:style>
  <w:style w:type="character" w:customStyle="1" w:styleId="81">
    <w:name w:val="正文文本缩进 Char Char"/>
    <w:link w:val="82"/>
    <w:uiPriority w:val="0"/>
    <w:rPr>
      <w:rFonts w:ascii="Tahoma" w:hAnsi="Tahoma"/>
      <w:kern w:val="2"/>
      <w:sz w:val="21"/>
      <w:szCs w:val="24"/>
    </w:rPr>
  </w:style>
  <w:style w:type="paragraph" w:customStyle="1" w:styleId="82">
    <w:name w:val="正文文本缩进1"/>
    <w:basedOn w:val="1"/>
    <w:link w:val="81"/>
    <w:uiPriority w:val="0"/>
    <w:pPr>
      <w:spacing w:after="120"/>
      <w:ind w:left="420" w:leftChars="200"/>
    </w:pPr>
    <w:rPr>
      <w:rFonts w:ascii="Tahoma" w:hAnsi="Tahoma"/>
    </w:rPr>
  </w:style>
  <w:style w:type="paragraph" w:customStyle="1" w:styleId="83">
    <w:name w:val="font7"/>
    <w:basedOn w:val="1"/>
    <w:uiPriority w:val="0"/>
    <w:pPr>
      <w:widowControl/>
      <w:spacing w:before="100" w:beforeAutospacing="1" w:after="100" w:afterAutospacing="1"/>
      <w:jc w:val="left"/>
    </w:pPr>
    <w:rPr>
      <w:rFonts w:hint="eastAsia" w:ascii="宋体" w:hAnsi="宋体" w:cs="Arial Unicode MS"/>
      <w:b/>
      <w:bCs/>
      <w:kern w:val="0"/>
      <w:sz w:val="22"/>
      <w:szCs w:val="22"/>
    </w:rPr>
  </w:style>
  <w:style w:type="character" w:customStyle="1" w:styleId="84">
    <w:name w:val="正文首行缩进 Char"/>
    <w:link w:val="39"/>
    <w:uiPriority w:val="0"/>
    <w:rPr>
      <w:b/>
      <w:bCs/>
      <w:kern w:val="2"/>
      <w:sz w:val="21"/>
      <w:szCs w:val="24"/>
    </w:rPr>
  </w:style>
  <w:style w:type="character" w:customStyle="1" w:styleId="85">
    <w:name w:val="批注主题 Char"/>
    <w:basedOn w:val="63"/>
    <w:link w:val="38"/>
    <w:uiPriority w:val="0"/>
  </w:style>
  <w:style w:type="character" w:customStyle="1" w:styleId="86">
    <w:name w:val="正文文本 3 Char"/>
    <w:link w:val="15"/>
    <w:uiPriority w:val="0"/>
    <w:rPr>
      <w:b/>
      <w:color w:val="FF6600"/>
      <w:kern w:val="2"/>
      <w:sz w:val="24"/>
      <w:szCs w:val="24"/>
    </w:rPr>
  </w:style>
  <w:style w:type="paragraph" w:customStyle="1" w:styleId="87">
    <w:name w:val="xl3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color w:val="000000"/>
      <w:kern w:val="0"/>
      <w:sz w:val="20"/>
      <w:szCs w:val="20"/>
    </w:rPr>
  </w:style>
  <w:style w:type="paragraph" w:customStyle="1" w:styleId="88">
    <w:name w:val="xl3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89">
    <w:name w:val="标准正文"/>
    <w:basedOn w:val="1"/>
    <w:uiPriority w:val="0"/>
    <w:pPr>
      <w:spacing w:after="50" w:afterLines="50"/>
      <w:ind w:firstLine="200" w:firstLineChars="200"/>
    </w:pPr>
    <w:rPr>
      <w:sz w:val="24"/>
      <w:szCs w:val="21"/>
    </w:rPr>
  </w:style>
  <w:style w:type="paragraph" w:customStyle="1" w:styleId="90">
    <w:name w:val="样式 标题 5 + 首行缩进:  2 字符"/>
    <w:basedOn w:val="7"/>
    <w:uiPriority w:val="0"/>
    <w:pPr>
      <w:keepLines/>
      <w:widowControl w:val="0"/>
      <w:numPr>
        <w:ilvl w:val="0"/>
        <w:numId w:val="0"/>
      </w:numPr>
      <w:tabs>
        <w:tab w:val="clear" w:pos="780"/>
      </w:tabs>
      <w:spacing w:afterLines="15"/>
      <w:ind w:firstLine="200" w:firstLineChars="200"/>
      <w:jc w:val="both"/>
    </w:pPr>
    <w:rPr>
      <w:bCs/>
      <w:kern w:val="2"/>
      <w:sz w:val="21"/>
    </w:rPr>
  </w:style>
  <w:style w:type="character" w:customStyle="1" w:styleId="91">
    <w:name w:val="正文文本缩进 2 Char"/>
    <w:link w:val="25"/>
    <w:uiPriority w:val="0"/>
    <w:rPr>
      <w:rFonts w:ascii="宋体" w:hAnsi="宋体"/>
      <w:kern w:val="2"/>
      <w:sz w:val="24"/>
      <w:szCs w:val="24"/>
    </w:rPr>
  </w:style>
  <w:style w:type="paragraph" w:customStyle="1" w:styleId="92">
    <w:name w:val="xl3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kern w:val="0"/>
      <w:sz w:val="20"/>
      <w:szCs w:val="20"/>
    </w:rPr>
  </w:style>
  <w:style w:type="character" w:customStyle="1" w:styleId="93">
    <w:name w:val="正文文本 2 Char"/>
    <w:link w:val="35"/>
    <w:uiPriority w:val="0"/>
    <w:rPr>
      <w:kern w:val="2"/>
      <w:sz w:val="24"/>
    </w:rPr>
  </w:style>
  <w:style w:type="paragraph" w:customStyle="1" w:styleId="94">
    <w:name w:val="xl4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kern w:val="0"/>
      <w:sz w:val="22"/>
      <w:szCs w:val="22"/>
    </w:rPr>
  </w:style>
  <w:style w:type="paragraph" w:customStyle="1" w:styleId="95">
    <w:name w:val="带上框线页脚"/>
    <w:basedOn w:val="1"/>
    <w:uiPriority w:val="0"/>
    <w:pPr>
      <w:widowControl/>
      <w:pBdr>
        <w:top w:val="single" w:color="auto" w:sz="4" w:space="1"/>
      </w:pBdr>
      <w:spacing w:after="50" w:afterLines="50"/>
      <w:jc w:val="left"/>
    </w:pPr>
    <w:rPr>
      <w:kern w:val="0"/>
      <w:sz w:val="18"/>
      <w:szCs w:val="20"/>
    </w:rPr>
  </w:style>
  <w:style w:type="paragraph" w:customStyle="1" w:styleId="96">
    <w:name w:val="xl4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b/>
      <w:bCs/>
      <w:kern w:val="0"/>
      <w:sz w:val="20"/>
      <w:szCs w:val="20"/>
    </w:rPr>
  </w:style>
  <w:style w:type="paragraph" w:customStyle="1" w:styleId="97">
    <w:name w:val="xl3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98">
    <w:name w:val="font5"/>
    <w:basedOn w:val="1"/>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99">
    <w:name w:val="xl4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color w:val="000000"/>
      <w:kern w:val="0"/>
      <w:sz w:val="20"/>
      <w:szCs w:val="20"/>
    </w:rPr>
  </w:style>
  <w:style w:type="paragraph" w:customStyle="1" w:styleId="100">
    <w:name w:val="xl4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bCs/>
      <w:kern w:val="0"/>
      <w:sz w:val="22"/>
      <w:szCs w:val="22"/>
    </w:rPr>
  </w:style>
  <w:style w:type="paragraph" w:customStyle="1" w:styleId="101">
    <w:name w:val="样式 (西文) 宋体 行距: 多倍行距 0.9 字行"/>
    <w:basedOn w:val="1"/>
    <w:uiPriority w:val="0"/>
    <w:pPr>
      <w:widowControl/>
      <w:spacing w:after="50" w:afterLines="50" w:line="216" w:lineRule="auto"/>
      <w:jc w:val="left"/>
    </w:pPr>
    <w:rPr>
      <w:rFonts w:ascii="宋体" w:hAnsi="宋体" w:cs="宋体"/>
      <w:kern w:val="0"/>
      <w:sz w:val="24"/>
      <w:szCs w:val="20"/>
    </w:rPr>
  </w:style>
  <w:style w:type="paragraph" w:customStyle="1" w:styleId="102">
    <w:name w:val="样式 (西文) 宋体 左  2.06 字符"/>
    <w:basedOn w:val="1"/>
    <w:uiPriority w:val="0"/>
    <w:pPr>
      <w:widowControl/>
      <w:spacing w:after="240" w:afterLines="50"/>
      <w:ind w:left="206" w:leftChars="206"/>
      <w:jc w:val="left"/>
    </w:pPr>
    <w:rPr>
      <w:rFonts w:ascii="宋体" w:hAnsi="宋体" w:cs="宋体"/>
      <w:kern w:val="0"/>
      <w:sz w:val="24"/>
      <w:szCs w:val="20"/>
    </w:rPr>
  </w:style>
  <w:style w:type="paragraph" w:customStyle="1" w:styleId="103">
    <w:name w:val=" Char Char Char Char1"/>
    <w:basedOn w:val="1"/>
    <w:uiPriority w:val="0"/>
    <w:rPr>
      <w:szCs w:val="20"/>
    </w:rPr>
  </w:style>
  <w:style w:type="paragraph" w:customStyle="1" w:styleId="104">
    <w:name w:val="font8"/>
    <w:basedOn w:val="1"/>
    <w:uiPriority w:val="0"/>
    <w:pPr>
      <w:widowControl/>
      <w:spacing w:before="100" w:beforeAutospacing="1" w:after="100" w:afterAutospacing="1"/>
      <w:jc w:val="left"/>
    </w:pPr>
    <w:rPr>
      <w:rFonts w:eastAsia="Arial Unicode MS"/>
      <w:b/>
      <w:bCs/>
      <w:kern w:val="0"/>
      <w:sz w:val="22"/>
      <w:szCs w:val="22"/>
    </w:rPr>
  </w:style>
  <w:style w:type="paragraph" w:customStyle="1" w:styleId="105">
    <w:name w:val="默认段落字体 Para Char Char Char Char Char Char Char Char Char1 Char Char Char Char"/>
    <w:basedOn w:val="1"/>
    <w:uiPriority w:val="0"/>
    <w:rPr>
      <w:rFonts w:ascii="Tahoma" w:hAnsi="Tahoma"/>
      <w:sz w:val="24"/>
      <w:szCs w:val="20"/>
    </w:rPr>
  </w:style>
  <w:style w:type="paragraph" w:customStyle="1" w:styleId="106">
    <w:name w:val="font6"/>
    <w:basedOn w:val="1"/>
    <w:uiPriority w:val="0"/>
    <w:pPr>
      <w:widowControl/>
      <w:spacing w:before="100" w:beforeAutospacing="1" w:after="100" w:afterAutospacing="1"/>
      <w:jc w:val="left"/>
    </w:pPr>
    <w:rPr>
      <w:rFonts w:eastAsia="Arial Unicode MS"/>
      <w:kern w:val="0"/>
      <w:sz w:val="24"/>
    </w:rPr>
  </w:style>
  <w:style w:type="paragraph" w:customStyle="1" w:styleId="107">
    <w:name w:val="xl3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kern w:val="0"/>
      <w:sz w:val="20"/>
      <w:szCs w:val="20"/>
    </w:rPr>
  </w:style>
  <w:style w:type="paragraph" w:customStyle="1" w:styleId="108">
    <w:name w:val="xl3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kern w:val="0"/>
      <w:sz w:val="20"/>
      <w:szCs w:val="20"/>
    </w:rPr>
  </w:style>
  <w:style w:type="paragraph" w:customStyle="1" w:styleId="109">
    <w:name w:val="样式 标题 5 + 首行缩进:  2 字符1"/>
    <w:basedOn w:val="7"/>
    <w:uiPriority w:val="0"/>
    <w:pPr>
      <w:keepLines/>
      <w:widowControl w:val="0"/>
      <w:numPr>
        <w:ilvl w:val="0"/>
        <w:numId w:val="0"/>
      </w:numPr>
      <w:tabs>
        <w:tab w:val="clear" w:pos="780"/>
      </w:tabs>
      <w:spacing w:after="15" w:afterLines="15" w:line="300" w:lineRule="auto"/>
      <w:ind w:firstLine="200" w:firstLineChars="200"/>
      <w:jc w:val="both"/>
    </w:pPr>
    <w:rPr>
      <w:b/>
      <w:bCs/>
      <w:kern w:val="2"/>
      <w:sz w:val="21"/>
    </w:rPr>
  </w:style>
  <w:style w:type="paragraph" w:customStyle="1" w:styleId="110">
    <w:name w:val="样式 (西文) 宋体 段后: 0.5 行 行距: 1.5 倍行距"/>
    <w:basedOn w:val="1"/>
    <w:uiPriority w:val="0"/>
    <w:pPr>
      <w:widowControl/>
      <w:spacing w:line="360" w:lineRule="auto"/>
      <w:jc w:val="left"/>
    </w:pPr>
    <w:rPr>
      <w:rFonts w:ascii="宋体" w:hAnsi="宋体" w:cs="宋体"/>
      <w:kern w:val="0"/>
      <w:sz w:val="24"/>
      <w:szCs w:val="20"/>
    </w:rPr>
  </w:style>
  <w:style w:type="paragraph" w:customStyle="1" w:styleId="111">
    <w:name w:val="样式 段后: 0.5 行"/>
    <w:basedOn w:val="1"/>
    <w:uiPriority w:val="0"/>
    <w:pPr>
      <w:widowControl/>
      <w:spacing w:after="120" w:afterLines="50"/>
      <w:jc w:val="left"/>
    </w:pPr>
    <w:rPr>
      <w:rFonts w:cs="宋体"/>
      <w:kern w:val="0"/>
      <w:sz w:val="24"/>
      <w:szCs w:val="20"/>
    </w:rPr>
  </w:style>
  <w:style w:type="paragraph" w:customStyle="1" w:styleId="112">
    <w:name w:val="xl46"/>
    <w:basedOn w:val="1"/>
    <w:uiPriority w:val="0"/>
    <w:pPr>
      <w:widowControl/>
      <w:spacing w:before="100" w:beforeAutospacing="1" w:after="100" w:afterAutospacing="1"/>
      <w:jc w:val="left"/>
      <w:textAlignment w:val="center"/>
    </w:pPr>
    <w:rPr>
      <w:rFonts w:eastAsia="Arial Unicode MS"/>
      <w:b/>
      <w:bCs/>
      <w:kern w:val="0"/>
      <w:sz w:val="22"/>
      <w:szCs w:val="22"/>
    </w:rPr>
  </w:style>
  <w:style w:type="paragraph" w:customStyle="1" w:styleId="113">
    <w:name w:val="body"/>
    <w:basedOn w:val="1"/>
    <w:uiPriority w:val="0"/>
    <w:pPr>
      <w:widowControl/>
    </w:pPr>
    <w:rPr>
      <w:color w:val="000000"/>
      <w:kern w:val="0"/>
      <w:sz w:val="20"/>
      <w:szCs w:val="20"/>
    </w:rPr>
  </w:style>
  <w:style w:type="paragraph" w:customStyle="1" w:styleId="114">
    <w:name w:val="xl4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bCs/>
      <w:kern w:val="0"/>
      <w:sz w:val="22"/>
      <w:szCs w:val="22"/>
    </w:rPr>
  </w:style>
  <w:style w:type="paragraph" w:customStyle="1" w:styleId="115">
    <w:name w:val="标书标题3"/>
    <w:basedOn w:val="4"/>
    <w:uiPriority w:val="0"/>
    <w:pPr>
      <w:numPr>
        <w:ilvl w:val="1"/>
        <w:numId w:val="7"/>
      </w:numPr>
      <w:tabs>
        <w:tab w:val="left" w:pos="709"/>
        <w:tab w:val="left" w:pos="820"/>
        <w:tab w:val="clear" w:pos="1050"/>
      </w:tabs>
      <w:adjustRightInd w:val="0"/>
      <w:snapToGrid w:val="0"/>
      <w:spacing w:before="120" w:line="300" w:lineRule="auto"/>
      <w:ind w:left="709" w:hanging="709"/>
    </w:pPr>
    <w:rPr>
      <w:rFonts w:ascii="Arial Narrow" w:hAnsi="Arial Narrow" w:eastAsia="仿宋_GB2312"/>
      <w:b/>
      <w:sz w:val="28"/>
      <w:szCs w:val="32"/>
    </w:rPr>
  </w:style>
  <w:style w:type="paragraph" w:customStyle="1" w:styleId="116">
    <w:name w:val="小节标题"/>
    <w:basedOn w:val="1"/>
    <w:next w:val="1"/>
    <w:uiPriority w:val="0"/>
    <w:pPr>
      <w:widowControl/>
      <w:spacing w:before="175" w:after="102" w:line="1428" w:lineRule="atLeast"/>
    </w:pPr>
    <w:rPr>
      <w:rFonts w:eastAsia="黑体"/>
      <w:color w:val="000000"/>
      <w:kern w:val="0"/>
      <w:szCs w:val="20"/>
      <w:u w:val="none" w:color="000000"/>
    </w:rPr>
  </w:style>
  <w:style w:type="paragraph" w:customStyle="1" w:styleId="117">
    <w:name w:val="正文不缩进"/>
    <w:basedOn w:val="1"/>
    <w:next w:val="6"/>
    <w:uiPriority w:val="0"/>
    <w:pPr>
      <w:spacing w:after="50" w:afterLines="50"/>
      <w:ind w:firstLine="420"/>
    </w:pPr>
    <w:rPr>
      <w:szCs w:val="20"/>
    </w:rPr>
  </w:style>
  <w:style w:type="paragraph" w:customStyle="1" w:styleId="118">
    <w:name w:val="标书标题1"/>
    <w:basedOn w:val="2"/>
    <w:uiPriority w:val="0"/>
    <w:pPr>
      <w:numPr>
        <w:ilvl w:val="0"/>
        <w:numId w:val="7"/>
      </w:numPr>
      <w:tabs>
        <w:tab w:val="left" w:pos="360"/>
        <w:tab w:val="clear" w:pos="2269"/>
      </w:tabs>
      <w:adjustRightInd w:val="0"/>
      <w:snapToGrid w:val="0"/>
      <w:spacing w:after="0" w:line="360" w:lineRule="auto"/>
      <w:jc w:val="left"/>
    </w:pPr>
    <w:rPr>
      <w:rFonts w:ascii="Arial Narrow" w:hAnsi="Arial Narrow" w:eastAsia="黑体"/>
      <w:bCs w:val="0"/>
      <w:kern w:val="0"/>
      <w:sz w:val="30"/>
    </w:rPr>
  </w:style>
  <w:style w:type="paragraph" w:customStyle="1" w:styleId="119">
    <w:name w:val="标书标题4"/>
    <w:basedOn w:val="5"/>
    <w:uiPriority w:val="0"/>
    <w:pPr>
      <w:numPr>
        <w:ilvl w:val="2"/>
        <w:numId w:val="7"/>
      </w:numPr>
      <w:tabs>
        <w:tab w:val="left" w:pos="820"/>
        <w:tab w:val="left" w:pos="851"/>
      </w:tabs>
      <w:adjustRightInd w:val="0"/>
      <w:ind w:left="851" w:hanging="851"/>
    </w:pPr>
    <w:rPr>
      <w:rFonts w:ascii="Arial Narrow" w:hAnsi="Arial Narrow" w:eastAsia="仿宋_GB2312"/>
      <w:kern w:val="0"/>
      <w:sz w:val="28"/>
      <w:szCs w:val="32"/>
    </w:rPr>
  </w:style>
  <w:style w:type="paragraph" w:customStyle="1" w:styleId="120">
    <w:name w:val="xl4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b/>
      <w:bCs/>
      <w:kern w:val="0"/>
      <w:sz w:val="20"/>
      <w:szCs w:val="20"/>
    </w:rPr>
  </w:style>
  <w:style w:type="paragraph" w:customStyle="1" w:styleId="121">
    <w:name w:val="样式 列表编号 + 段后: 0.5 行"/>
    <w:basedOn w:val="12"/>
    <w:uiPriority w:val="0"/>
    <w:pPr>
      <w:numPr>
        <w:ilvl w:val="0"/>
        <w:numId w:val="8"/>
      </w:numPr>
      <w:spacing w:after="120"/>
    </w:pPr>
  </w:style>
  <w:style w:type="paragraph" w:customStyle="1" w:styleId="122">
    <w:name w:val="xl3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color w:val="000000"/>
      <w:kern w:val="0"/>
      <w:sz w:val="20"/>
      <w:szCs w:val="20"/>
    </w:rPr>
  </w:style>
  <w:style w:type="paragraph" w:customStyle="1" w:styleId="123">
    <w:name w:val="xl45"/>
    <w:basedOn w:val="1"/>
    <w:uiPriority w:val="0"/>
    <w:pPr>
      <w:widowControl/>
      <w:spacing w:before="100" w:beforeAutospacing="1" w:after="100" w:afterAutospacing="1"/>
      <w:jc w:val="left"/>
      <w:textAlignment w:val="center"/>
    </w:pPr>
    <w:rPr>
      <w:rFonts w:ascii="Arial Unicode MS" w:hAnsi="Arial Unicode MS" w:eastAsia="Arial Unicode MS" w:cs="Arial Unicode MS"/>
      <w:b/>
      <w:bCs/>
      <w:kern w:val="0"/>
      <w:sz w:val="22"/>
      <w:szCs w:val="22"/>
    </w:rPr>
  </w:style>
  <w:style w:type="paragraph" w:customStyle="1" w:styleId="124">
    <w:name w:val="xl4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kern w:val="0"/>
      <w:sz w:val="22"/>
      <w:szCs w:val="22"/>
    </w:rPr>
  </w:style>
  <w:style w:type="paragraph" w:customStyle="1" w:styleId="125">
    <w:name w:val="正文段"/>
    <w:basedOn w:val="1"/>
    <w:uiPriority w:val="0"/>
    <w:pPr>
      <w:widowControl/>
      <w:snapToGrid w:val="0"/>
      <w:spacing w:after="50" w:afterLines="50"/>
      <w:ind w:firstLine="200" w:firstLineChars="200"/>
    </w:pPr>
    <w:rPr>
      <w:kern w:val="0"/>
      <w:sz w:val="24"/>
      <w:szCs w:val="20"/>
    </w:rPr>
  </w:style>
  <w:style w:type="paragraph" w:customStyle="1" w:styleId="126">
    <w:name w:val="默认段落字体 Para Char Char Char Char Char Char Char"/>
    <w:basedOn w:val="1"/>
    <w:uiPriority w:val="0"/>
  </w:style>
  <w:style w:type="paragraph" w:customStyle="1" w:styleId="127">
    <w:name w:val="列出段落1"/>
    <w:basedOn w:val="1"/>
    <w:qFormat/>
    <w:uiPriority w:val="34"/>
    <w:pPr>
      <w:ind w:firstLine="420" w:firstLineChars="200"/>
    </w:pPr>
    <w:rPr>
      <w:rFonts w:ascii="Calibri" w:hAnsi="Calibri"/>
      <w:szCs w:val="22"/>
    </w:rPr>
  </w:style>
  <w:style w:type="paragraph" w:customStyle="1" w:styleId="128">
    <w:name w:val="_Style 130"/>
    <w:uiPriority w:val="0"/>
    <w:pPr>
      <w:widowControl w:val="0"/>
      <w:jc w:val="both"/>
    </w:pPr>
    <w:rPr>
      <w:kern w:val="2"/>
      <w:sz w:val="21"/>
      <w:szCs w:val="24"/>
      <w:lang w:val="en-US" w:eastAsia="zh-CN" w:bidi="ar-SA"/>
    </w:rPr>
  </w:style>
  <w:style w:type="paragraph" w:customStyle="1" w:styleId="129">
    <w:name w:val="Char Char Char Char34"/>
    <w:basedOn w:val="1"/>
    <w:qFormat/>
    <w:uiPriority w:val="0"/>
    <w:pPr>
      <w:widowControl/>
      <w:spacing w:after="160" w:line="240" w:lineRule="exact"/>
      <w:jc w:val="left"/>
    </w:pPr>
    <w:rPr>
      <w:rFonts w:ascii="Calibri" w:hAnsi="Calibri"/>
      <w:kern w:val="0"/>
      <w:sz w:val="20"/>
      <w:szCs w:val="20"/>
      <w:lang w:eastAsia="en-US"/>
    </w:rPr>
  </w:style>
  <w:style w:type="paragraph" w:customStyle="1" w:styleId="130">
    <w:name w:val="_Style 133"/>
    <w:uiPriority w:val="0"/>
    <w:pPr>
      <w:widowControl w:val="0"/>
      <w:jc w:val="both"/>
    </w:pPr>
    <w:rPr>
      <w:kern w:val="2"/>
      <w:sz w:val="21"/>
      <w:szCs w:val="24"/>
      <w:lang w:val="en-US" w:eastAsia="zh-CN" w:bidi="ar-SA"/>
    </w:rPr>
  </w:style>
  <w:style w:type="character" w:customStyle="1" w:styleId="131">
    <w:name w:val="apple-converted-space"/>
    <w:uiPriority w:val="0"/>
    <w:rPr>
      <w:kern w:val="0"/>
      <w:sz w:val="20"/>
      <w:szCs w:val="20"/>
      <w:lang w:eastAsia="en-US"/>
    </w:rPr>
  </w:style>
  <w:style w:type="character" w:customStyle="1" w:styleId="132">
    <w:name w:val="正文2 Char"/>
    <w:link w:val="133"/>
    <w:uiPriority w:val="0"/>
    <w:rPr>
      <w:kern w:val="2"/>
      <w:sz w:val="24"/>
    </w:rPr>
  </w:style>
  <w:style w:type="paragraph" w:customStyle="1" w:styleId="133">
    <w:name w:val="正文2"/>
    <w:basedOn w:val="1"/>
    <w:link w:val="132"/>
    <w:uiPriority w:val="0"/>
    <w:pPr>
      <w:spacing w:before="156" w:line="360" w:lineRule="auto"/>
      <w:ind w:firstLine="510" w:firstLineChars="200"/>
    </w:pPr>
    <w:rPr>
      <w:sz w:val="24"/>
      <w:szCs w:val="20"/>
    </w:rPr>
  </w:style>
  <w:style w:type="character" w:customStyle="1" w:styleId="134">
    <w:name w:val="正文文本 Exact1"/>
    <w:qFormat/>
    <w:uiPriority w:val="0"/>
    <w:rPr>
      <w:rFonts w:ascii="宋体" w:hAnsi="宋体" w:eastAsia="宋体" w:cs="宋体"/>
      <w:color w:val="000000"/>
      <w:spacing w:val="4"/>
      <w:w w:val="100"/>
      <w:kern w:val="0"/>
      <w:position w:val="0"/>
      <w:sz w:val="26"/>
      <w:szCs w:val="26"/>
      <w:u w:val="single"/>
      <w:lang w:val="zh-TW" w:eastAsia="en-US"/>
    </w:rPr>
  </w:style>
  <w:style w:type="character" w:customStyle="1" w:styleId="135">
    <w:name w:val="正文文本_"/>
    <w:link w:val="136"/>
    <w:qFormat/>
    <w:uiPriority w:val="0"/>
    <w:rPr>
      <w:rFonts w:ascii="宋体" w:hAnsi="宋体" w:cs="宋体"/>
      <w:sz w:val="28"/>
      <w:szCs w:val="28"/>
      <w:shd w:val="clear" w:color="auto" w:fill="FFFFFF"/>
      <w:lang w:eastAsia="en-US"/>
    </w:rPr>
  </w:style>
  <w:style w:type="paragraph" w:customStyle="1" w:styleId="136">
    <w:name w:val="正文文本4"/>
    <w:basedOn w:val="1"/>
    <w:link w:val="135"/>
    <w:qFormat/>
    <w:uiPriority w:val="0"/>
    <w:pPr>
      <w:shd w:val="clear" w:color="auto" w:fill="FFFFFF"/>
      <w:spacing w:line="0" w:lineRule="atLeast"/>
    </w:pPr>
    <w:rPr>
      <w:rFonts w:ascii="宋体" w:hAnsi="宋体"/>
      <w:kern w:val="0"/>
      <w:sz w:val="28"/>
      <w:szCs w:val="28"/>
      <w:lang w:eastAsia="en-US"/>
    </w:rPr>
  </w:style>
  <w:style w:type="character" w:customStyle="1" w:styleId="137">
    <w:name w:val="正文首行缩进 2 Char"/>
    <w:link w:val="40"/>
    <w:uiPriority w:val="99"/>
    <w:rPr>
      <w:rFonts w:ascii="宋体" w:hAnsi="宋体"/>
      <w:kern w:val="2"/>
      <w:sz w:val="24"/>
      <w:szCs w:val="24"/>
    </w:rPr>
  </w:style>
  <w:style w:type="paragraph" w:styleId="138">
    <w:name w:val="List Paragraph"/>
    <w:basedOn w:val="1"/>
    <w:qFormat/>
    <w:uiPriority w:val="34"/>
    <w:pPr>
      <w:ind w:firstLine="420" w:firstLineChars="200"/>
    </w:pPr>
    <w:rPr>
      <w:rFonts w:ascii="Calibri" w:hAnsi="Calibri"/>
    </w:rPr>
  </w:style>
  <w:style w:type="paragraph" w:customStyle="1" w:styleId="139">
    <w:name w:val="Char Char Char Char Char Char Char Char Char Char"/>
    <w:basedOn w:val="1"/>
    <w:uiPriority w:val="0"/>
    <w:rPr>
      <w:rFonts w:ascii="Calibri" w:hAnsi="Calibri"/>
    </w:rPr>
  </w:style>
  <w:style w:type="paragraph" w:customStyle="1" w:styleId="140">
    <w:name w:val="_Style 31"/>
    <w:basedOn w:val="1"/>
    <w:uiPriority w:val="0"/>
    <w:pPr>
      <w:widowControl/>
      <w:spacing w:after="160" w:line="240" w:lineRule="exact"/>
      <w:jc w:val="left"/>
    </w:pPr>
    <w:rPr>
      <w:rFonts w:ascii="Calibri" w:hAnsi="Calibri"/>
    </w:rPr>
  </w:style>
  <w:style w:type="paragraph" w:customStyle="1" w:styleId="141">
    <w:name w:val="Default"/>
    <w:qFormat/>
    <w:uiPriority w:val="0"/>
    <w:pPr>
      <w:widowControl w:val="0"/>
      <w:autoSpaceDE w:val="0"/>
      <w:autoSpaceDN w:val="0"/>
      <w:adjustRightInd w:val="0"/>
    </w:pPr>
    <w:rPr>
      <w:rFonts w:ascii="??_GB2312" w:hAnsi="??_GB2312" w:cs="??_GB2312"/>
      <w:color w:val="000000"/>
      <w:sz w:val="24"/>
      <w:szCs w:val="24"/>
      <w:lang w:val="en-US" w:eastAsia="zh-CN" w:bidi="ar-SA"/>
    </w:rPr>
  </w:style>
  <w:style w:type="paragraph" w:customStyle="1" w:styleId="142">
    <w:name w:val="List Paragraph1"/>
    <w:basedOn w:val="1"/>
    <w:qFormat/>
    <w:uiPriority w:val="0"/>
    <w:pPr>
      <w:ind w:firstLine="420" w:firstLineChars="200"/>
    </w:pPr>
    <w:rPr>
      <w:szCs w:val="20"/>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theme/theme1.xml" Type="http://schemas.openxmlformats.org/officeDocument/2006/relationships/theme"/><Relationship Id="rId12" Target="numbering.xml" Type="http://schemas.openxmlformats.org/officeDocument/2006/relationships/numbering"/><Relationship Id="rId13"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header3.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Home</Company>
  <Pages>66</Pages>
  <Words>7811</Words>
  <Characters>44527</Characters>
  <Lines>371</Lines>
  <Paragraphs>104</Paragraphs>
  <TotalTime>0</TotalTime>
  <ScaleCrop>false</ScaleCrop>
  <LinksUpToDate>false</LinksUpToDate>
  <CharactersWithSpaces>52234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2020-06-12T03:53:00Z</dcterms:created>
  <dc:creator>Administrator</dc:creator>
  <cp:lastModifiedBy>WPS_1701756769</cp:lastModifiedBy>
  <cp:lastPrinted>2020-03-14T06:46:00Z</cp:lastPrinted>
  <dcterms:modified xsi:type="dcterms:W3CDTF">2024-02-26T01:12:57Z</dcterms:modified>
  <cp:revision>4</cp:revision>
  <dc:title>柯桥区行政中心风机盘管维修项目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42326DA10EA34DE19ACA9470BAA8221C_13</vt:lpwstr>
  </property>
</Properties>
</file>