
<file path=[Content_Types].xml><?xml version="1.0" encoding="utf-8"?>
<Types xmlns="http://schemas.openxmlformats.org/package/2006/content-types">
  <Default ContentType="image/x-emf" Extension="emf"/>
  <Default ContentType="image/jpeg" Extension="jpeg"/>
  <Default ContentType="image/.jp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hAnsi="宋体"/>
          <w:b/>
          <w:sz w:val="44"/>
        </w:rPr>
      </w:pPr>
      <w:bookmarkStart w:id="153" w:name="_GoBack"/>
      <w:bookmarkEnd w:id="153"/>
    </w:p>
    <w:p>
      <w:pPr>
        <w:jc w:val="center"/>
        <w:rPr>
          <w:rFonts w:hint="eastAsia" w:hAnsi="宋体"/>
          <w:b/>
          <w:sz w:val="44"/>
        </w:rPr>
      </w:pPr>
    </w:p>
    <w:p>
      <w:pPr>
        <w:jc w:val="center"/>
        <w:rPr>
          <w:rFonts w:hint="eastAsia" w:hAnsi="宋体"/>
          <w:b/>
          <w:sz w:val="44"/>
        </w:rPr>
      </w:pPr>
      <w:r>
        <w:rPr>
          <w:rFonts w:hint="eastAsia" w:hAnsi="宋体"/>
          <w:b/>
          <w:sz w:val="44"/>
        </w:rPr>
        <w:t>绍兴市公安局柯桥区分局”智慧安防小区”（主城区）建设项目</w:t>
      </w:r>
    </w:p>
    <w:p>
      <w:pPr>
        <w:pStyle w:val="15"/>
        <w:spacing w:line="360" w:lineRule="auto"/>
        <w:jc w:val="both"/>
        <w:rPr>
          <w:rFonts w:hint="eastAsia" w:ascii="黑体" w:hAnsi="宋体" w:eastAsia="黑体"/>
          <w:b w:val="0"/>
          <w:color w:val="000000"/>
          <w:sz w:val="44"/>
          <w:szCs w:val="44"/>
        </w:rPr>
      </w:pPr>
    </w:p>
    <w:p>
      <w:pPr>
        <w:ind w:firstLine="2772" w:firstLineChars="990"/>
        <w:rPr>
          <w:rFonts w:hint="eastAsia" w:ascii="宋体" w:hAnsi="宋体"/>
          <w:b/>
          <w:kern w:val="28"/>
          <w:sz w:val="28"/>
          <w:szCs w:val="28"/>
        </w:rPr>
      </w:pPr>
      <w:r>
        <w:rPr>
          <w:rFonts w:hint="eastAsia"/>
          <w:sz w:val="28"/>
          <w:szCs w:val="28"/>
        </w:rPr>
        <w:t>（采购编号：</w:t>
      </w:r>
      <w:r>
        <w:rPr>
          <w:sz w:val="28"/>
          <w:szCs w:val="28"/>
        </w:rPr>
        <w:fldChar w:fldCharType="begin"/>
      </w:r>
      <w:r>
        <w:rPr>
          <w:sz w:val="28"/>
          <w:szCs w:val="28"/>
        </w:rPr>
        <w:instrText xml:space="preserve"> HYPERLINK "https://pay.zcygov.cn/purchaseplan_front/" \l "/plan/list/detail?id=1000000000002565041&amp;encrypt=e54ba5057c75db7377e967711d4a5e3a" \t "_blank" </w:instrText>
      </w:r>
      <w:r>
        <w:rPr>
          <w:sz w:val="28"/>
          <w:szCs w:val="28"/>
        </w:rPr>
        <w:fldChar w:fldCharType="separate"/>
      </w:r>
      <w:r>
        <w:rPr>
          <w:sz w:val="28"/>
          <w:szCs w:val="28"/>
        </w:rPr>
        <w:fldChar w:fldCharType="end"/>
      </w:r>
      <w:r>
        <w:rPr>
          <w:rFonts w:hint="eastAsia"/>
          <w:sz w:val="28"/>
          <w:szCs w:val="28"/>
        </w:rPr>
        <w:t>绍柯采[2020]3210号 ）</w:t>
      </w:r>
    </w:p>
    <w:p>
      <w:pPr>
        <w:spacing w:line="360" w:lineRule="auto"/>
        <w:jc w:val="center"/>
        <w:rPr>
          <w:rFonts w:hint="eastAsia" w:ascii="黑体" w:hAnsi="宋体" w:eastAsia="黑体"/>
          <w:bCs/>
          <w:sz w:val="32"/>
          <w:szCs w:val="32"/>
        </w:rPr>
      </w:pPr>
    </w:p>
    <w:p>
      <w:pPr>
        <w:spacing w:line="360" w:lineRule="auto"/>
        <w:jc w:val="center"/>
        <w:rPr>
          <w:rFonts w:hint="eastAsia" w:ascii="黑体" w:hAnsi="宋体" w:eastAsia="黑体"/>
          <w:bCs/>
          <w:sz w:val="32"/>
          <w:szCs w:val="32"/>
        </w:rPr>
      </w:pPr>
    </w:p>
    <w:p>
      <w:pPr>
        <w:tabs>
          <w:tab w:val="left" w:pos="1380"/>
        </w:tabs>
        <w:spacing w:line="360" w:lineRule="auto"/>
        <w:rPr>
          <w:rFonts w:hint="eastAsia" w:ascii="黑体" w:hAnsi="宋体" w:eastAsia="黑体"/>
          <w:b/>
          <w:bCs/>
          <w:color w:val="000000"/>
          <w:sz w:val="32"/>
          <w:szCs w:val="32"/>
        </w:rPr>
      </w:pPr>
      <w:r>
        <w:rPr>
          <w:rFonts w:ascii="黑体" w:hAnsi="宋体" w:eastAsia="黑体"/>
          <w:b/>
          <w:bCs/>
          <w:color w:val="000000"/>
          <w:sz w:val="32"/>
          <w:szCs w:val="32"/>
        </w:rPr>
        <w:tab/>
      </w:r>
    </w:p>
    <w:p>
      <w:pPr>
        <w:pStyle w:val="15"/>
        <w:spacing w:line="360" w:lineRule="auto"/>
        <w:rPr>
          <w:rFonts w:hint="eastAsia" w:ascii="黑体" w:hAnsi="宋体" w:eastAsia="黑体"/>
          <w:b w:val="0"/>
          <w:color w:val="000000"/>
          <w:szCs w:val="52"/>
        </w:rPr>
      </w:pPr>
      <w:r>
        <w:rPr>
          <w:rFonts w:hint="eastAsia" w:ascii="黑体" w:hAnsi="宋体" w:eastAsia="黑体"/>
          <w:b w:val="0"/>
          <w:color w:val="000000"/>
          <w:szCs w:val="52"/>
        </w:rPr>
        <w:t>采</w:t>
      </w:r>
    </w:p>
    <w:p>
      <w:pPr>
        <w:pStyle w:val="15"/>
        <w:spacing w:line="360" w:lineRule="auto"/>
        <w:rPr>
          <w:rFonts w:hint="eastAsia" w:ascii="黑体" w:hAnsi="宋体" w:eastAsia="黑体"/>
          <w:b w:val="0"/>
          <w:color w:val="000000"/>
          <w:szCs w:val="52"/>
        </w:rPr>
      </w:pPr>
      <w:r>
        <w:rPr>
          <w:rFonts w:hint="eastAsia" w:ascii="黑体" w:hAnsi="宋体" w:eastAsia="黑体"/>
          <w:b w:val="0"/>
          <w:color w:val="000000"/>
          <w:szCs w:val="52"/>
        </w:rPr>
        <w:t>购</w:t>
      </w:r>
    </w:p>
    <w:p>
      <w:pPr>
        <w:pStyle w:val="15"/>
        <w:spacing w:line="360" w:lineRule="auto"/>
        <w:rPr>
          <w:rFonts w:hint="eastAsia" w:ascii="黑体" w:hAnsi="宋体" w:eastAsia="黑体"/>
          <w:b w:val="0"/>
          <w:color w:val="000000"/>
          <w:szCs w:val="52"/>
        </w:rPr>
      </w:pPr>
      <w:r>
        <w:rPr>
          <w:rFonts w:hint="eastAsia" w:ascii="黑体" w:hAnsi="宋体" w:eastAsia="黑体"/>
          <w:b w:val="0"/>
          <w:color w:val="000000"/>
          <w:szCs w:val="52"/>
        </w:rPr>
        <w:t>文</w:t>
      </w:r>
    </w:p>
    <w:p>
      <w:pPr>
        <w:pStyle w:val="15"/>
        <w:spacing w:line="360" w:lineRule="auto"/>
        <w:rPr>
          <w:rFonts w:hint="eastAsia" w:ascii="黑体" w:hAnsi="宋体" w:eastAsia="黑体"/>
          <w:b w:val="0"/>
          <w:color w:val="000000"/>
          <w:szCs w:val="52"/>
        </w:rPr>
      </w:pPr>
      <w:r>
        <w:rPr>
          <w:rFonts w:hint="eastAsia" w:ascii="黑体" w:hAnsi="宋体" w:eastAsia="黑体"/>
          <w:b w:val="0"/>
          <w:color w:val="000000"/>
          <w:szCs w:val="52"/>
        </w:rPr>
        <w:t>件</w:t>
      </w:r>
    </w:p>
    <w:p>
      <w:pPr>
        <w:jc w:val="center"/>
        <w:rPr>
          <w:rFonts w:hint="eastAsia" w:ascii="仿宋_GB2312" w:hAnsi="宋体" w:eastAsia="仿宋_GB2312"/>
          <w:bCs/>
          <w:color w:val="000000"/>
          <w:sz w:val="36"/>
        </w:rPr>
      </w:pPr>
    </w:p>
    <w:p>
      <w:pPr>
        <w:spacing w:line="520" w:lineRule="exact"/>
        <w:rPr>
          <w:rFonts w:hint="eastAsia" w:ascii="黑体" w:hAnsi="宋体" w:eastAsia="黑体"/>
          <w:b/>
          <w:color w:val="000000"/>
          <w:sz w:val="32"/>
        </w:rPr>
      </w:pPr>
    </w:p>
    <w:p>
      <w:pPr>
        <w:spacing w:line="520" w:lineRule="exact"/>
        <w:rPr>
          <w:rFonts w:hint="eastAsia" w:ascii="黑体" w:hAnsi="宋体" w:eastAsia="黑体"/>
          <w:b/>
          <w:color w:val="000000"/>
          <w:sz w:val="32"/>
        </w:rPr>
      </w:pPr>
    </w:p>
    <w:p>
      <w:pPr>
        <w:spacing w:line="360" w:lineRule="auto"/>
        <w:rPr>
          <w:rFonts w:ascii="黑体" w:hAnsi="宋体" w:eastAsia="黑体"/>
          <w:color w:val="000000"/>
          <w:sz w:val="32"/>
        </w:rPr>
      </w:pPr>
      <w:r>
        <w:rPr>
          <w:rFonts w:hint="eastAsia" w:ascii="黑体" w:hAnsi="宋体" w:eastAsia="黑体"/>
          <w:color w:val="000000"/>
          <w:spacing w:val="239"/>
          <w:kern w:val="0"/>
          <w:sz w:val="32"/>
        </w:rPr>
        <w:t>采购</w:t>
      </w:r>
      <w:r>
        <w:rPr>
          <w:rFonts w:hint="eastAsia" w:ascii="黑体" w:hAnsi="宋体" w:eastAsia="黑体"/>
          <w:color w:val="000000"/>
          <w:spacing w:val="1"/>
          <w:kern w:val="0"/>
          <w:sz w:val="32"/>
        </w:rPr>
        <w:t>人</w:t>
      </w:r>
      <w:r>
        <w:rPr>
          <w:rFonts w:hint="eastAsia" w:ascii="黑体" w:hAnsi="宋体" w:eastAsia="黑体"/>
          <w:color w:val="000000"/>
          <w:sz w:val="32"/>
        </w:rPr>
        <w:t>：</w:t>
      </w:r>
      <w:r>
        <w:rPr>
          <w:rFonts w:hAnsi="宋体"/>
          <w:color w:val="000000"/>
          <w:sz w:val="32"/>
          <w:u w:val="single"/>
        </w:rPr>
        <w:t>绍兴市公安局</w:t>
      </w:r>
      <w:r>
        <w:rPr>
          <w:rFonts w:hint="eastAsia" w:hAnsi="宋体"/>
          <w:color w:val="000000"/>
          <w:sz w:val="32"/>
          <w:u w:val="single"/>
        </w:rPr>
        <w:t>柯桥区分局</w:t>
      </w:r>
      <w:r>
        <w:rPr>
          <w:rFonts w:hint="eastAsia" w:ascii="黑体" w:hAnsi="宋体" w:eastAsia="黑体"/>
          <w:color w:val="000000"/>
          <w:kern w:val="0"/>
          <w:sz w:val="32"/>
        </w:rPr>
        <w:t>(盖章)</w:t>
      </w:r>
    </w:p>
    <w:p>
      <w:pPr>
        <w:spacing w:line="360" w:lineRule="auto"/>
        <w:rPr>
          <w:rFonts w:hint="eastAsia" w:ascii="宋体" w:hAnsi="宋体"/>
          <w:b/>
          <w:sz w:val="32"/>
          <w:szCs w:val="32"/>
          <w:u w:val="single"/>
        </w:rPr>
      </w:pPr>
      <w:r>
        <w:rPr>
          <w:rFonts w:hint="eastAsia" w:ascii="黑体" w:hAnsi="宋体" w:eastAsia="黑体"/>
          <w:color w:val="000000"/>
          <w:kern w:val="0"/>
          <w:sz w:val="32"/>
        </w:rPr>
        <w:t>采购代理机构</w:t>
      </w:r>
      <w:r>
        <w:rPr>
          <w:rFonts w:hint="eastAsia" w:ascii="黑体" w:hAnsi="宋体" w:eastAsia="黑体"/>
          <w:color w:val="000000"/>
          <w:sz w:val="32"/>
        </w:rPr>
        <w:t>：</w:t>
      </w:r>
      <w:r>
        <w:rPr>
          <w:rFonts w:hint="eastAsia" w:ascii="宋体" w:hAnsi="宋体"/>
          <w:b/>
          <w:sz w:val="32"/>
          <w:szCs w:val="32"/>
          <w:u w:val="single"/>
        </w:rPr>
        <w:t xml:space="preserve">绍兴市柯桥区公共资源交易中心 </w:t>
      </w:r>
    </w:p>
    <w:p>
      <w:pPr>
        <w:spacing w:line="360" w:lineRule="auto"/>
        <w:ind w:firstLine="2249" w:firstLineChars="700"/>
        <w:rPr>
          <w:rFonts w:ascii="黑体" w:hAnsi="宋体" w:eastAsia="黑体"/>
          <w:color w:val="000000"/>
          <w:sz w:val="32"/>
        </w:rPr>
      </w:pPr>
      <w:r>
        <w:rPr>
          <w:rFonts w:hint="eastAsia" w:hAnsi="宋体"/>
          <w:b/>
          <w:sz w:val="32"/>
          <w:szCs w:val="32"/>
          <w:u w:val="single"/>
        </w:rPr>
        <w:t>浙江越锋项目管理有限公司</w:t>
      </w:r>
      <w:r>
        <w:rPr>
          <w:rFonts w:hint="eastAsia" w:ascii="黑体" w:hAnsi="宋体" w:eastAsia="黑体"/>
          <w:color w:val="000000"/>
          <w:kern w:val="0"/>
          <w:sz w:val="32"/>
        </w:rPr>
        <w:t>(盖章)</w:t>
      </w:r>
    </w:p>
    <w:p>
      <w:pPr>
        <w:spacing w:line="360" w:lineRule="auto"/>
        <w:jc w:val="center"/>
        <w:rPr>
          <w:rFonts w:hint="eastAsia" w:ascii="黑体" w:hAnsi="宋体" w:eastAsia="黑体"/>
          <w:color w:val="000000"/>
          <w:sz w:val="36"/>
          <w:u w:val="single"/>
        </w:rPr>
      </w:pPr>
      <w:r>
        <w:rPr>
          <w:rFonts w:hint="eastAsia" w:ascii="黑体" w:hAnsi="宋体" w:eastAsia="黑体"/>
          <w:b/>
          <w:color w:val="000000"/>
          <w:sz w:val="44"/>
          <w:szCs w:val="44"/>
          <w:u w:val="single"/>
        </w:rPr>
        <w:t>2020</w:t>
      </w:r>
      <w:r>
        <w:rPr>
          <w:rFonts w:hint="eastAsia" w:ascii="黑体" w:hAnsi="宋体" w:eastAsia="黑体"/>
          <w:color w:val="000000"/>
          <w:sz w:val="36"/>
        </w:rPr>
        <w:t>年</w:t>
      </w:r>
      <w:r>
        <w:rPr>
          <w:rFonts w:hint="eastAsia" w:ascii="黑体" w:hAnsi="宋体" w:eastAsia="黑体"/>
          <w:b/>
          <w:color w:val="000000"/>
          <w:sz w:val="44"/>
          <w:szCs w:val="44"/>
          <w:u w:val="single"/>
        </w:rPr>
        <w:t>10</w:t>
      </w:r>
      <w:r>
        <w:rPr>
          <w:rFonts w:hint="eastAsia" w:ascii="黑体" w:hAnsi="宋体" w:eastAsia="黑体"/>
          <w:color w:val="000000"/>
          <w:sz w:val="36"/>
        </w:rPr>
        <w:t>月</w:t>
      </w:r>
    </w:p>
    <w:p>
      <w:pPr>
        <w:pStyle w:val="19"/>
        <w:jc w:val="center"/>
        <w:rPr>
          <w:rFonts w:hint="eastAsia" w:ascii="黑体" w:hAnsi="宋体" w:eastAsia="黑体"/>
          <w:b/>
          <w:bCs/>
          <w:color w:val="000000"/>
          <w:sz w:val="44"/>
          <w:szCs w:val="44"/>
        </w:rPr>
      </w:pPr>
    </w:p>
    <w:p>
      <w:pPr>
        <w:pStyle w:val="19"/>
        <w:jc w:val="center"/>
        <w:rPr>
          <w:rFonts w:hint="eastAsia" w:ascii="黑体" w:hAnsi="宋体" w:eastAsia="黑体"/>
          <w:b/>
          <w:bCs/>
          <w:color w:val="000000"/>
          <w:sz w:val="44"/>
          <w:szCs w:val="44"/>
        </w:rPr>
      </w:pPr>
    </w:p>
    <w:p>
      <w:pPr>
        <w:pStyle w:val="19"/>
        <w:jc w:val="center"/>
        <w:rPr>
          <w:rFonts w:hint="eastAsia" w:ascii="黑体" w:hAnsi="宋体" w:eastAsia="黑体"/>
          <w:b/>
          <w:bCs/>
          <w:color w:val="000000"/>
          <w:sz w:val="44"/>
          <w:szCs w:val="44"/>
        </w:rPr>
      </w:pPr>
      <w:r>
        <w:rPr>
          <w:rFonts w:hint="eastAsia" w:ascii="黑体" w:hAnsi="宋体" w:eastAsia="黑体"/>
          <w:b/>
          <w:bCs/>
          <w:color w:val="000000"/>
          <w:sz w:val="44"/>
          <w:szCs w:val="44"/>
        </w:rPr>
        <w:t>目   录</w:t>
      </w:r>
    </w:p>
    <w:p>
      <w:pPr>
        <w:pStyle w:val="19"/>
        <w:jc w:val="center"/>
        <w:rPr>
          <w:rFonts w:hint="eastAsia" w:hAnsi="宋体"/>
          <w:b/>
          <w:bCs/>
          <w:color w:val="000000"/>
          <w:sz w:val="44"/>
          <w:szCs w:val="44"/>
        </w:rPr>
      </w:pPr>
    </w:p>
    <w:p>
      <w:pPr>
        <w:pStyle w:val="26"/>
        <w:rPr>
          <w:rStyle w:val="42"/>
          <w:rFonts w:hint="eastAsia"/>
          <w:color w:val="auto"/>
          <w:u w:val="none"/>
          <w:lang/>
        </w:rPr>
      </w:pPr>
      <w:r>
        <w:rPr>
          <w:rStyle w:val="42"/>
          <w:rFonts w:hint="eastAsia"/>
          <w:color w:val="auto"/>
          <w:u w:val="none"/>
          <w:lang/>
        </w:rPr>
        <w:t>招标公告-------------------------------------------------------------------------------------------------------------------3</w:t>
      </w:r>
    </w:p>
    <w:p>
      <w:pPr>
        <w:pStyle w:val="26"/>
        <w:rPr>
          <w:szCs w:val="22"/>
          <w:lang/>
        </w:rPr>
      </w:pPr>
      <w:r>
        <w:rPr>
          <w:rFonts w:ascii="宋体" w:hAnsi="宋体"/>
          <w:bCs/>
          <w:color w:val="000000"/>
          <w:sz w:val="28"/>
          <w:szCs w:val="28"/>
        </w:rPr>
        <w:fldChar w:fldCharType="begin"/>
      </w:r>
      <w:r>
        <w:rPr>
          <w:rFonts w:ascii="宋体" w:hAnsi="宋体"/>
          <w:bCs/>
          <w:color w:val="000000"/>
          <w:sz w:val="28"/>
          <w:szCs w:val="28"/>
        </w:rPr>
        <w:instrText xml:space="preserve"> TOC \o "1-3" \h \z \u </w:instrText>
      </w:r>
      <w:r>
        <w:rPr>
          <w:rFonts w:ascii="宋体" w:hAnsi="宋体"/>
          <w:bCs/>
          <w:color w:val="000000"/>
          <w:sz w:val="28"/>
          <w:szCs w:val="28"/>
        </w:rPr>
        <w:fldChar w:fldCharType="separate"/>
      </w:r>
      <w:r>
        <w:rPr>
          <w:lang/>
        </w:rPr>
        <w:fldChar w:fldCharType="begin"/>
      </w:r>
      <w:r>
        <w:rPr>
          <w:rStyle w:val="42"/>
          <w:lang/>
        </w:rPr>
        <w:instrText xml:space="preserve"> </w:instrText>
      </w:r>
      <w:r>
        <w:rPr>
          <w:lang/>
        </w:rPr>
        <w:instrText xml:space="preserve">HYPERLINK \l "_Toc46418576"</w:instrText>
      </w:r>
      <w:r>
        <w:rPr>
          <w:rStyle w:val="42"/>
          <w:lang/>
        </w:rPr>
        <w:instrText xml:space="preserve"> </w:instrText>
      </w:r>
      <w:r>
        <w:rPr>
          <w:lang/>
        </w:rPr>
        <w:fldChar w:fldCharType="separate"/>
      </w:r>
      <w:r>
        <w:rPr>
          <w:rStyle w:val="42"/>
          <w:rFonts w:hint="eastAsia" w:ascii="宋体" w:hAnsi="宋体"/>
          <w:lang/>
        </w:rPr>
        <w:t>一、前附表</w:t>
      </w:r>
      <w:r>
        <w:rPr>
          <w:lang/>
        </w:rPr>
        <w:tab/>
      </w:r>
      <w:r>
        <w:rPr>
          <w:lang/>
        </w:rPr>
        <w:fldChar w:fldCharType="begin"/>
      </w:r>
      <w:r>
        <w:rPr>
          <w:lang/>
        </w:rPr>
        <w:instrText xml:space="preserve"> PAGEREF _Toc46418576 \h </w:instrText>
      </w:r>
      <w:r>
        <w:rPr>
          <w:lang/>
        </w:rPr>
        <w:fldChar w:fldCharType="separate"/>
      </w:r>
      <w:r>
        <w:rPr>
          <w:lang/>
        </w:rPr>
        <w:t>6</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"_Toc46418577"</w:instrText>
      </w:r>
      <w:r>
        <w:rPr>
          <w:rStyle w:val="42"/>
          <w:lang/>
        </w:rPr>
        <w:instrText xml:space="preserve"> </w:instrText>
      </w:r>
      <w:r>
        <w:rPr>
          <w:lang/>
        </w:rPr>
        <w:fldChar w:fldCharType="separate"/>
      </w:r>
      <w:r>
        <w:rPr>
          <w:rStyle w:val="42"/>
          <w:rFonts w:hint="eastAsia" w:ascii="宋体" w:hAnsi="宋体"/>
          <w:lang/>
        </w:rPr>
        <w:t>二、供应商须知</w:t>
      </w:r>
      <w:r>
        <w:rPr>
          <w:lang/>
        </w:rPr>
        <w:tab/>
      </w:r>
      <w:r>
        <w:rPr>
          <w:lang/>
        </w:rPr>
        <w:fldChar w:fldCharType="begin"/>
      </w:r>
      <w:r>
        <w:rPr>
          <w:lang/>
        </w:rPr>
        <w:instrText xml:space="preserve"> PAGEREF _Toc46418577 \h </w:instrText>
      </w:r>
      <w:r>
        <w:rPr>
          <w:lang/>
        </w:rPr>
        <w:fldChar w:fldCharType="separate"/>
      </w:r>
      <w:r>
        <w:rPr>
          <w:lang/>
        </w:rPr>
        <w:t>8</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"_Toc46418578"</w:instrText>
      </w:r>
      <w:r>
        <w:rPr>
          <w:rStyle w:val="42"/>
          <w:lang/>
        </w:rPr>
        <w:instrText xml:space="preserve"> </w:instrText>
      </w:r>
      <w:r>
        <w:rPr>
          <w:lang/>
        </w:rPr>
        <w:fldChar w:fldCharType="separate"/>
      </w:r>
      <w:r>
        <w:rPr>
          <w:rStyle w:val="42"/>
          <w:rFonts w:hint="eastAsia" w:ascii="宋体" w:hAnsi="宋体"/>
          <w:lang/>
        </w:rPr>
        <w:t>三、供应商应当提交的资格（资信）证明文件</w:t>
      </w:r>
      <w:r>
        <w:rPr>
          <w:lang/>
        </w:rPr>
        <w:tab/>
      </w:r>
      <w:r>
        <w:rPr>
          <w:lang/>
        </w:rPr>
        <w:fldChar w:fldCharType="begin"/>
      </w:r>
      <w:r>
        <w:rPr>
          <w:lang/>
        </w:rPr>
        <w:instrText xml:space="preserve"> PAGEREF _Toc46418578 \h </w:instrText>
      </w:r>
      <w:r>
        <w:rPr>
          <w:lang/>
        </w:rPr>
        <w:fldChar w:fldCharType="separate"/>
      </w:r>
      <w:r>
        <w:rPr>
          <w:lang/>
        </w:rPr>
        <w:t>12</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"_Toc46418579"</w:instrText>
      </w:r>
      <w:r>
        <w:rPr>
          <w:rStyle w:val="42"/>
          <w:lang/>
        </w:rPr>
        <w:instrText xml:space="preserve"> </w:instrText>
      </w:r>
      <w:r>
        <w:rPr>
          <w:lang/>
        </w:rPr>
        <w:fldChar w:fldCharType="separate"/>
      </w:r>
      <w:r>
        <w:rPr>
          <w:rStyle w:val="42"/>
          <w:rFonts w:hint="eastAsia" w:ascii="宋体" w:hAnsi="宋体"/>
          <w:lang/>
        </w:rPr>
        <w:t>四、投标报价要求、投标文件编制要求和投标保证金交纳方式</w:t>
      </w:r>
      <w:r>
        <w:rPr>
          <w:lang/>
        </w:rPr>
        <w:tab/>
      </w:r>
      <w:r>
        <w:rPr>
          <w:lang/>
        </w:rPr>
        <w:fldChar w:fldCharType="begin"/>
      </w:r>
      <w:r>
        <w:rPr>
          <w:lang/>
        </w:rPr>
        <w:instrText xml:space="preserve"> PAGEREF _Toc46418579 \h </w:instrText>
      </w:r>
      <w:r>
        <w:rPr>
          <w:lang/>
        </w:rPr>
        <w:fldChar w:fldCharType="separate"/>
      </w:r>
      <w:r>
        <w:rPr>
          <w:lang/>
        </w:rPr>
        <w:t>12</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"_Toc46418580"</w:instrText>
      </w:r>
      <w:r>
        <w:rPr>
          <w:rStyle w:val="42"/>
          <w:lang/>
        </w:rPr>
        <w:instrText xml:space="preserve"> </w:instrText>
      </w:r>
      <w:r>
        <w:rPr>
          <w:lang/>
        </w:rPr>
        <w:fldChar w:fldCharType="separate"/>
      </w:r>
      <w:r>
        <w:rPr>
          <w:rStyle w:val="42"/>
          <w:rFonts w:hint="eastAsia" w:ascii="宋体" w:hAnsi="宋体"/>
          <w:lang/>
        </w:rPr>
        <w:t>五、采购项目的技术规格、要求和数量，包括附件、图纸等</w:t>
      </w:r>
      <w:r>
        <w:rPr>
          <w:lang/>
        </w:rPr>
        <w:tab/>
      </w:r>
      <w:r>
        <w:rPr>
          <w:lang/>
        </w:rPr>
        <w:fldChar w:fldCharType="begin"/>
      </w:r>
      <w:r>
        <w:rPr>
          <w:lang/>
        </w:rPr>
        <w:instrText xml:space="preserve"> PAGEREF _Toc46418580 \h </w:instrText>
      </w:r>
      <w:r>
        <w:rPr>
          <w:lang/>
        </w:rPr>
        <w:fldChar w:fldCharType="separate"/>
      </w:r>
      <w:r>
        <w:rPr>
          <w:lang/>
        </w:rPr>
        <w:t>13</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"_Toc46418581"</w:instrText>
      </w:r>
      <w:r>
        <w:rPr>
          <w:rStyle w:val="42"/>
          <w:lang/>
        </w:rPr>
        <w:instrText xml:space="preserve"> </w:instrText>
      </w:r>
      <w:r>
        <w:rPr>
          <w:lang/>
        </w:rPr>
        <w:fldChar w:fldCharType="separate"/>
      </w:r>
      <w:r>
        <w:rPr>
          <w:rStyle w:val="42"/>
          <w:rFonts w:hint="eastAsia" w:ascii="宋体" w:hAnsi="宋体"/>
          <w:lang/>
        </w:rPr>
        <w:t>六、合同主要条款及合同签订方式</w:t>
      </w:r>
      <w:r>
        <w:rPr>
          <w:lang/>
        </w:rPr>
        <w:tab/>
      </w:r>
      <w:r>
        <w:rPr>
          <w:lang/>
        </w:rPr>
        <w:fldChar w:fldCharType="begin"/>
      </w:r>
      <w:r>
        <w:rPr>
          <w:lang/>
        </w:rPr>
        <w:instrText xml:space="preserve"> PAGEREF _Toc46418581 \h </w:instrText>
      </w:r>
      <w:r>
        <w:rPr>
          <w:lang/>
        </w:rPr>
        <w:fldChar w:fldCharType="separate"/>
      </w:r>
      <w:r>
        <w:rPr>
          <w:lang/>
        </w:rPr>
        <w:t>14</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"_Toc46418582"</w:instrText>
      </w:r>
      <w:r>
        <w:rPr>
          <w:rStyle w:val="42"/>
          <w:lang/>
        </w:rPr>
        <w:instrText xml:space="preserve"> </w:instrText>
      </w:r>
      <w:r>
        <w:rPr>
          <w:lang/>
        </w:rPr>
        <w:fldChar w:fldCharType="separate"/>
      </w:r>
      <w:r>
        <w:rPr>
          <w:rStyle w:val="42"/>
          <w:rFonts w:hint="eastAsia" w:ascii="宋体" w:hAnsi="宋体"/>
          <w:lang/>
        </w:rPr>
        <w:t>七、交货和提供服务的时间</w:t>
      </w:r>
      <w:r>
        <w:rPr>
          <w:lang/>
        </w:rPr>
        <w:tab/>
      </w:r>
      <w:r>
        <w:rPr>
          <w:lang/>
        </w:rPr>
        <w:fldChar w:fldCharType="begin"/>
      </w:r>
      <w:r>
        <w:rPr>
          <w:lang/>
        </w:rPr>
        <w:instrText xml:space="preserve"> PAGEREF _Toc46418582 \h </w:instrText>
      </w:r>
      <w:r>
        <w:rPr>
          <w:lang/>
        </w:rPr>
        <w:fldChar w:fldCharType="separate"/>
      </w:r>
      <w:r>
        <w:rPr>
          <w:lang/>
        </w:rPr>
        <w:t>20</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"_Toc46418583"</w:instrText>
      </w:r>
      <w:r>
        <w:rPr>
          <w:rStyle w:val="42"/>
          <w:lang/>
        </w:rPr>
        <w:instrText xml:space="preserve"> </w:instrText>
      </w:r>
      <w:r>
        <w:rPr>
          <w:lang/>
        </w:rPr>
        <w:fldChar w:fldCharType="separate"/>
      </w:r>
      <w:r>
        <w:rPr>
          <w:rStyle w:val="42"/>
          <w:rFonts w:hint="eastAsia" w:ascii="宋体" w:hAnsi="宋体"/>
          <w:lang/>
        </w:rPr>
        <w:t>八、评标方法、评标标准和废标条款</w:t>
      </w:r>
      <w:r>
        <w:rPr>
          <w:lang/>
        </w:rPr>
        <w:tab/>
      </w:r>
      <w:r>
        <w:rPr>
          <w:lang/>
        </w:rPr>
        <w:fldChar w:fldCharType="begin"/>
      </w:r>
      <w:r>
        <w:rPr>
          <w:lang/>
        </w:rPr>
        <w:instrText xml:space="preserve"> PAGEREF _Toc46418583 \h </w:instrText>
      </w:r>
      <w:r>
        <w:rPr>
          <w:lang/>
        </w:rPr>
        <w:fldChar w:fldCharType="separate"/>
      </w:r>
      <w:r>
        <w:rPr>
          <w:lang/>
        </w:rPr>
        <w:t>20</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"_Toc46418584"</w:instrText>
      </w:r>
      <w:r>
        <w:rPr>
          <w:rStyle w:val="42"/>
          <w:lang/>
        </w:rPr>
        <w:instrText xml:space="preserve"> </w:instrText>
      </w:r>
      <w:r>
        <w:rPr>
          <w:lang/>
        </w:rPr>
        <w:fldChar w:fldCharType="separate"/>
      </w:r>
      <w:r>
        <w:rPr>
          <w:rStyle w:val="42"/>
          <w:rFonts w:hint="eastAsia" w:ascii="宋体" w:hAnsi="宋体"/>
          <w:lang/>
        </w:rPr>
        <w:t>九、投标截止时间、开标时间及地点</w:t>
      </w:r>
      <w:r>
        <w:rPr>
          <w:lang/>
        </w:rPr>
        <w:tab/>
      </w:r>
      <w:r>
        <w:rPr>
          <w:lang/>
        </w:rPr>
        <w:fldChar w:fldCharType="begin"/>
      </w:r>
      <w:r>
        <w:rPr>
          <w:lang/>
        </w:rPr>
        <w:instrText xml:space="preserve"> PAGEREF _Toc46418584 \h </w:instrText>
      </w:r>
      <w:r>
        <w:rPr>
          <w:lang/>
        </w:rPr>
        <w:fldChar w:fldCharType="separate"/>
      </w:r>
      <w:r>
        <w:rPr>
          <w:lang/>
        </w:rPr>
        <w:t>22</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"_Toc46418585"</w:instrText>
      </w:r>
      <w:r>
        <w:rPr>
          <w:rStyle w:val="42"/>
          <w:lang/>
        </w:rPr>
        <w:instrText xml:space="preserve"> </w:instrText>
      </w:r>
      <w:r>
        <w:rPr>
          <w:lang/>
        </w:rPr>
        <w:fldChar w:fldCharType="separate"/>
      </w:r>
      <w:r>
        <w:rPr>
          <w:rStyle w:val="42"/>
          <w:rFonts w:hint="eastAsia" w:ascii="宋体" w:hAnsi="宋体"/>
          <w:lang/>
        </w:rPr>
        <w:t>十、其他事项</w:t>
      </w:r>
      <w:r>
        <w:rPr>
          <w:lang/>
        </w:rPr>
        <w:tab/>
      </w:r>
      <w:r>
        <w:rPr>
          <w:lang/>
        </w:rPr>
        <w:fldChar w:fldCharType="begin"/>
      </w:r>
      <w:r>
        <w:rPr>
          <w:lang/>
        </w:rPr>
        <w:instrText xml:space="preserve"> PAGEREF _Toc46418585 \h </w:instrText>
      </w:r>
      <w:r>
        <w:rPr>
          <w:lang/>
        </w:rPr>
        <w:fldChar w:fldCharType="separate"/>
      </w:r>
      <w:r>
        <w:rPr>
          <w:lang/>
        </w:rPr>
        <w:t>23</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"_Toc46418586"</w:instrText>
      </w:r>
      <w:r>
        <w:rPr>
          <w:rStyle w:val="42"/>
          <w:lang/>
        </w:rPr>
        <w:instrText xml:space="preserve"> </w:instrText>
      </w:r>
      <w:r>
        <w:rPr>
          <w:lang/>
        </w:rPr>
        <w:fldChar w:fldCharType="separate"/>
      </w:r>
      <w:r>
        <w:rPr>
          <w:rStyle w:val="42"/>
          <w:rFonts w:hint="eastAsia" w:ascii="宋体" w:hAnsi="宋体"/>
          <w:lang/>
        </w:rPr>
        <w:t>附件一：投标函</w:t>
      </w:r>
      <w:r>
        <w:rPr>
          <w:lang/>
        </w:rPr>
        <w:tab/>
      </w:r>
      <w:r>
        <w:rPr>
          <w:lang/>
        </w:rPr>
        <w:fldChar w:fldCharType="begin"/>
      </w:r>
      <w:r>
        <w:rPr>
          <w:lang/>
        </w:rPr>
        <w:instrText xml:space="preserve"> PAGEREF _Toc46418586 \h </w:instrText>
      </w:r>
      <w:r>
        <w:rPr>
          <w:lang/>
        </w:rPr>
        <w:fldChar w:fldCharType="separate"/>
      </w:r>
      <w:r>
        <w:rPr>
          <w:lang/>
        </w:rPr>
        <w:t>24</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"_Toc46418587"</w:instrText>
      </w:r>
      <w:r>
        <w:rPr>
          <w:rStyle w:val="42"/>
          <w:lang/>
        </w:rPr>
        <w:instrText xml:space="preserve"> </w:instrText>
      </w:r>
      <w:r>
        <w:rPr>
          <w:lang/>
        </w:rPr>
        <w:fldChar w:fldCharType="separate"/>
      </w:r>
      <w:r>
        <w:rPr>
          <w:rStyle w:val="42"/>
          <w:rFonts w:hint="eastAsia" w:ascii="宋体" w:hAnsi="宋体"/>
          <w:lang/>
        </w:rPr>
        <w:t>附件二：法定代表人授权书</w:t>
      </w:r>
      <w:r>
        <w:rPr>
          <w:lang/>
        </w:rPr>
        <w:tab/>
      </w:r>
      <w:r>
        <w:rPr>
          <w:lang/>
        </w:rPr>
        <w:fldChar w:fldCharType="begin"/>
      </w:r>
      <w:r>
        <w:rPr>
          <w:lang/>
        </w:rPr>
        <w:instrText xml:space="preserve"> PAGEREF _Toc46418587 \h </w:instrText>
      </w:r>
      <w:r>
        <w:rPr>
          <w:lang/>
        </w:rPr>
        <w:fldChar w:fldCharType="separate"/>
      </w:r>
      <w:r>
        <w:rPr>
          <w:lang/>
        </w:rPr>
        <w:t>26</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"_Toc46418588"</w:instrText>
      </w:r>
      <w:r>
        <w:rPr>
          <w:rStyle w:val="42"/>
          <w:lang/>
        </w:rPr>
        <w:instrText xml:space="preserve"> </w:instrText>
      </w:r>
      <w:r>
        <w:rPr>
          <w:lang/>
        </w:rPr>
        <w:fldChar w:fldCharType="separate"/>
      </w:r>
      <w:r>
        <w:rPr>
          <w:rStyle w:val="42"/>
          <w:rFonts w:hint="eastAsia" w:ascii="宋体" w:hAnsi="宋体"/>
          <w:lang/>
        </w:rPr>
        <w:t>附件三：开标一览表（报价表）</w:t>
      </w:r>
      <w:r>
        <w:rPr>
          <w:lang/>
        </w:rPr>
        <w:tab/>
      </w:r>
      <w:r>
        <w:rPr>
          <w:lang/>
        </w:rPr>
        <w:fldChar w:fldCharType="begin"/>
      </w:r>
      <w:r>
        <w:rPr>
          <w:lang/>
        </w:rPr>
        <w:instrText xml:space="preserve"> PAGEREF _Toc46418588 \h </w:instrText>
      </w:r>
      <w:r>
        <w:rPr>
          <w:lang/>
        </w:rPr>
        <w:fldChar w:fldCharType="separate"/>
      </w:r>
      <w:r>
        <w:rPr>
          <w:lang/>
        </w:rPr>
        <w:t>27</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"_Toc46418589"</w:instrText>
      </w:r>
      <w:r>
        <w:rPr>
          <w:rStyle w:val="42"/>
          <w:lang/>
        </w:rPr>
        <w:instrText xml:space="preserve"> </w:instrText>
      </w:r>
      <w:r>
        <w:rPr>
          <w:lang/>
        </w:rPr>
        <w:fldChar w:fldCharType="separate"/>
      </w:r>
      <w:r>
        <w:rPr>
          <w:rStyle w:val="42"/>
          <w:rFonts w:hint="eastAsia" w:ascii="宋体" w:hAnsi="宋体"/>
          <w:lang/>
        </w:rPr>
        <w:t>附件四：投标报价明细表</w:t>
      </w:r>
      <w:r>
        <w:rPr>
          <w:lang/>
        </w:rPr>
        <w:tab/>
      </w:r>
      <w:r>
        <w:rPr>
          <w:lang/>
        </w:rPr>
        <w:fldChar w:fldCharType="begin"/>
      </w:r>
      <w:r>
        <w:rPr>
          <w:lang/>
        </w:rPr>
        <w:instrText xml:space="preserve"> PAGEREF _Toc46418589 \h </w:instrText>
      </w:r>
      <w:r>
        <w:rPr>
          <w:lang/>
        </w:rPr>
        <w:fldChar w:fldCharType="separate"/>
      </w:r>
      <w:r>
        <w:rPr>
          <w:lang/>
        </w:rPr>
        <w:t>28</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"_Toc46418590"</w:instrText>
      </w:r>
      <w:r>
        <w:rPr>
          <w:rStyle w:val="42"/>
          <w:lang/>
        </w:rPr>
        <w:instrText xml:space="preserve"> </w:instrText>
      </w:r>
      <w:r>
        <w:rPr>
          <w:lang/>
        </w:rPr>
        <w:fldChar w:fldCharType="separate"/>
      </w:r>
      <w:r>
        <w:rPr>
          <w:rStyle w:val="42"/>
          <w:rFonts w:hint="eastAsia" w:ascii="宋体" w:hAnsi="宋体"/>
          <w:lang/>
        </w:rPr>
        <w:t>附件五：投标技术方案和人力资源安排</w:t>
      </w:r>
      <w:r>
        <w:rPr>
          <w:lang/>
        </w:rPr>
        <w:tab/>
      </w:r>
      <w:r>
        <w:rPr>
          <w:lang/>
        </w:rPr>
        <w:fldChar w:fldCharType="begin"/>
      </w:r>
      <w:r>
        <w:rPr>
          <w:lang/>
        </w:rPr>
        <w:instrText xml:space="preserve"> PAGEREF _Toc46418590 \h </w:instrText>
      </w:r>
      <w:r>
        <w:rPr>
          <w:lang/>
        </w:rPr>
        <w:fldChar w:fldCharType="separate"/>
      </w:r>
      <w:r>
        <w:rPr>
          <w:lang/>
        </w:rPr>
        <w:t>29</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"_Toc46418591"</w:instrText>
      </w:r>
      <w:r>
        <w:rPr>
          <w:rStyle w:val="42"/>
          <w:lang/>
        </w:rPr>
        <w:instrText xml:space="preserve"> </w:instrText>
      </w:r>
      <w:r>
        <w:rPr>
          <w:lang/>
        </w:rPr>
        <w:fldChar w:fldCharType="separate"/>
      </w:r>
      <w:r>
        <w:rPr>
          <w:rStyle w:val="42"/>
          <w:rFonts w:hint="eastAsia" w:ascii="宋体" w:hAnsi="宋体"/>
          <w:lang/>
        </w:rPr>
        <w:t>附件六：投标设备材料详细清单</w:t>
      </w:r>
      <w:r>
        <w:rPr>
          <w:lang/>
        </w:rPr>
        <w:tab/>
      </w:r>
      <w:r>
        <w:rPr>
          <w:lang/>
        </w:rPr>
        <w:fldChar w:fldCharType="begin"/>
      </w:r>
      <w:r>
        <w:rPr>
          <w:lang/>
        </w:rPr>
        <w:instrText xml:space="preserve"> PAGEREF _Toc46418591 \h </w:instrText>
      </w:r>
      <w:r>
        <w:rPr>
          <w:lang/>
        </w:rPr>
        <w:fldChar w:fldCharType="separate"/>
      </w:r>
      <w:r>
        <w:rPr>
          <w:lang/>
        </w:rPr>
        <w:t>30</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"_Toc46418592"</w:instrText>
      </w:r>
      <w:r>
        <w:rPr>
          <w:rStyle w:val="42"/>
          <w:lang/>
        </w:rPr>
        <w:instrText xml:space="preserve"> </w:instrText>
      </w:r>
      <w:r>
        <w:rPr>
          <w:lang/>
        </w:rPr>
        <w:fldChar w:fldCharType="separate"/>
      </w:r>
      <w:r>
        <w:rPr>
          <w:rStyle w:val="42"/>
          <w:rFonts w:hint="eastAsia" w:ascii="宋体" w:hAnsi="宋体"/>
          <w:lang/>
        </w:rPr>
        <w:t>附件七：投标设备主要技术参数说明</w:t>
      </w:r>
      <w:r>
        <w:rPr>
          <w:lang/>
        </w:rPr>
        <w:tab/>
      </w:r>
      <w:r>
        <w:rPr>
          <w:lang/>
        </w:rPr>
        <w:fldChar w:fldCharType="begin"/>
      </w:r>
      <w:r>
        <w:rPr>
          <w:lang/>
        </w:rPr>
        <w:instrText xml:space="preserve"> PAGEREF _Toc46418592 \h </w:instrText>
      </w:r>
      <w:r>
        <w:rPr>
          <w:lang/>
        </w:rPr>
        <w:fldChar w:fldCharType="separate"/>
      </w:r>
      <w:r>
        <w:rPr>
          <w:lang/>
        </w:rPr>
        <w:t>31</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"_Toc46418593"</w:instrText>
      </w:r>
      <w:r>
        <w:rPr>
          <w:rStyle w:val="42"/>
          <w:lang/>
        </w:rPr>
        <w:instrText xml:space="preserve"> </w:instrText>
      </w:r>
      <w:r>
        <w:rPr>
          <w:lang/>
        </w:rPr>
        <w:fldChar w:fldCharType="separate"/>
      </w:r>
      <w:r>
        <w:rPr>
          <w:rStyle w:val="42"/>
          <w:rFonts w:hint="eastAsia" w:ascii="宋体" w:hAnsi="宋体"/>
          <w:lang/>
        </w:rPr>
        <w:t>附件八：技术偏离表</w:t>
      </w:r>
      <w:r>
        <w:rPr>
          <w:lang/>
        </w:rPr>
        <w:tab/>
      </w:r>
      <w:r>
        <w:rPr>
          <w:lang/>
        </w:rPr>
        <w:fldChar w:fldCharType="begin"/>
      </w:r>
      <w:r>
        <w:rPr>
          <w:lang/>
        </w:rPr>
        <w:instrText xml:space="preserve"> PAGEREF _Toc46418593 \h </w:instrText>
      </w:r>
      <w:r>
        <w:rPr>
          <w:lang/>
        </w:rPr>
        <w:fldChar w:fldCharType="separate"/>
      </w:r>
      <w:r>
        <w:rPr>
          <w:lang/>
        </w:rPr>
        <w:t>32</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"_Toc46418594"</w:instrText>
      </w:r>
      <w:r>
        <w:rPr>
          <w:rStyle w:val="42"/>
          <w:lang/>
        </w:rPr>
        <w:instrText xml:space="preserve"> </w:instrText>
      </w:r>
      <w:r>
        <w:rPr>
          <w:lang/>
        </w:rPr>
        <w:fldChar w:fldCharType="separate"/>
      </w:r>
      <w:r>
        <w:rPr>
          <w:rStyle w:val="42"/>
          <w:rFonts w:hint="eastAsia" w:ascii="宋体" w:hAnsi="宋体"/>
          <w:lang/>
        </w:rPr>
        <w:t>附件九：投标承诺书</w:t>
      </w:r>
      <w:r>
        <w:rPr>
          <w:lang/>
        </w:rPr>
        <w:tab/>
      </w:r>
      <w:r>
        <w:rPr>
          <w:lang/>
        </w:rPr>
        <w:fldChar w:fldCharType="begin"/>
      </w:r>
      <w:r>
        <w:rPr>
          <w:lang/>
        </w:rPr>
        <w:instrText xml:space="preserve"> PAGEREF _Toc46418594 \h </w:instrText>
      </w:r>
      <w:r>
        <w:rPr>
          <w:lang/>
        </w:rPr>
        <w:fldChar w:fldCharType="separate"/>
      </w:r>
      <w:r>
        <w:rPr>
          <w:lang/>
        </w:rPr>
        <w:t>33</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"_Toc46418595"</w:instrText>
      </w:r>
      <w:r>
        <w:rPr>
          <w:rStyle w:val="42"/>
          <w:lang/>
        </w:rPr>
        <w:instrText xml:space="preserve"> </w:instrText>
      </w:r>
      <w:r>
        <w:rPr>
          <w:lang/>
        </w:rPr>
        <w:fldChar w:fldCharType="separate"/>
      </w:r>
      <w:r>
        <w:rPr>
          <w:rStyle w:val="42"/>
          <w:rFonts w:hint="eastAsia" w:ascii="宋体" w:hAnsi="宋体"/>
          <w:lang/>
        </w:rPr>
        <w:t>附件十：投标提问书</w:t>
      </w:r>
      <w:r>
        <w:rPr>
          <w:lang/>
        </w:rPr>
        <w:tab/>
      </w:r>
      <w:r>
        <w:rPr>
          <w:lang/>
        </w:rPr>
        <w:fldChar w:fldCharType="begin"/>
      </w:r>
      <w:r>
        <w:rPr>
          <w:lang/>
        </w:rPr>
        <w:instrText xml:space="preserve"> PAGEREF _Toc46418595 \h </w:instrText>
      </w:r>
      <w:r>
        <w:rPr>
          <w:lang/>
        </w:rPr>
        <w:fldChar w:fldCharType="separate"/>
      </w:r>
      <w:r>
        <w:rPr>
          <w:lang/>
        </w:rPr>
        <w:t>34</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"_Toc46418596"</w:instrText>
      </w:r>
      <w:r>
        <w:rPr>
          <w:rStyle w:val="42"/>
          <w:lang/>
        </w:rPr>
        <w:instrText xml:space="preserve"> </w:instrText>
      </w:r>
      <w:r>
        <w:rPr>
          <w:lang/>
        </w:rPr>
        <w:fldChar w:fldCharType="separate"/>
      </w:r>
      <w:r>
        <w:rPr>
          <w:rStyle w:val="42"/>
          <w:rFonts w:hint="eastAsia" w:ascii="宋体" w:hAnsi="宋体"/>
          <w:lang/>
        </w:rPr>
        <w:t>附件十一：答疑纪要</w:t>
      </w:r>
      <w:r>
        <w:rPr>
          <w:lang/>
        </w:rPr>
        <w:tab/>
      </w:r>
      <w:r>
        <w:rPr>
          <w:lang/>
        </w:rPr>
        <w:fldChar w:fldCharType="begin"/>
      </w:r>
      <w:r>
        <w:rPr>
          <w:lang/>
        </w:rPr>
        <w:instrText xml:space="preserve"> PAGEREF _Toc46418596 \h </w:instrText>
      </w:r>
      <w:r>
        <w:rPr>
          <w:lang/>
        </w:rPr>
        <w:fldChar w:fldCharType="separate"/>
      </w:r>
      <w:r>
        <w:rPr>
          <w:lang/>
        </w:rPr>
        <w:t>35</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"_Toc46418597"</w:instrText>
      </w:r>
      <w:r>
        <w:rPr>
          <w:rStyle w:val="42"/>
          <w:lang/>
        </w:rPr>
        <w:instrText xml:space="preserve"> </w:instrText>
      </w:r>
      <w:r>
        <w:rPr>
          <w:lang/>
        </w:rPr>
        <w:fldChar w:fldCharType="separate"/>
      </w:r>
      <w:r>
        <w:rPr>
          <w:rStyle w:val="42"/>
          <w:rFonts w:hint="eastAsia" w:ascii="宋体" w:hAnsi="宋体"/>
          <w:lang/>
        </w:rPr>
        <w:t>附件十二：采购范围和技术要求</w:t>
      </w:r>
      <w:r>
        <w:rPr>
          <w:lang/>
        </w:rPr>
        <w:tab/>
      </w:r>
      <w:r>
        <w:rPr>
          <w:lang/>
        </w:rPr>
        <w:fldChar w:fldCharType="begin"/>
      </w:r>
      <w:r>
        <w:rPr>
          <w:lang/>
        </w:rPr>
        <w:instrText xml:space="preserve"> PAGEREF _Toc46418597 \h </w:instrText>
      </w:r>
      <w:r>
        <w:rPr>
          <w:lang/>
        </w:rPr>
        <w:fldChar w:fldCharType="separate"/>
      </w:r>
      <w:r>
        <w:rPr>
          <w:lang/>
        </w:rPr>
        <w:t>36</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"_Toc46418612"</w:instrText>
      </w:r>
      <w:r>
        <w:rPr>
          <w:rStyle w:val="42"/>
          <w:lang/>
        </w:rPr>
        <w:instrText xml:space="preserve"> </w:instrText>
      </w:r>
      <w:r>
        <w:rPr>
          <w:lang/>
        </w:rPr>
        <w:fldChar w:fldCharType="separate"/>
      </w:r>
      <w:r>
        <w:rPr>
          <w:rStyle w:val="42"/>
          <w:rFonts w:hint="eastAsia" w:ascii="宋体" w:hAnsi="宋体"/>
          <w:lang/>
        </w:rPr>
        <w:t>附件十三：技术补充文件</w:t>
      </w:r>
      <w:r>
        <w:rPr>
          <w:lang/>
        </w:rPr>
        <w:tab/>
      </w:r>
      <w:r>
        <w:rPr>
          <w:lang/>
        </w:rPr>
        <w:fldChar w:fldCharType="begin"/>
      </w:r>
      <w:r>
        <w:rPr>
          <w:lang/>
        </w:rPr>
        <w:instrText xml:space="preserve"> PAGEREF _Toc46418612 \h </w:instrText>
      </w:r>
      <w:r>
        <w:rPr>
          <w:lang/>
        </w:rPr>
        <w:fldChar w:fldCharType="separate"/>
      </w:r>
      <w:r>
        <w:rPr>
          <w:lang/>
        </w:rPr>
        <w:t>73</w:t>
      </w:r>
      <w:r>
        <w:rPr>
          <w:lang/>
        </w:rPr>
        <w:fldChar w:fldCharType="end"/>
      </w:r>
      <w:r>
        <w:rPr>
          <w:lang/>
        </w:rPr>
        <w:fldChar w:fldCharType="end"/>
      </w:r>
    </w:p>
    <w:p>
      <w:pPr>
        <w:pStyle w:val="26"/>
        <w:rPr>
          <w:szCs w:val="22"/>
          <w:lang/>
        </w:rPr>
      </w:pPr>
      <w:r>
        <w:rPr>
          <w:lang/>
        </w:rPr>
        <w:fldChar w:fldCharType="begin"/>
      </w:r>
      <w:r>
        <w:rPr>
          <w:rStyle w:val="42"/>
          <w:lang/>
        </w:rPr>
        <w:instrText xml:space="preserve"> </w:instrText>
      </w:r>
      <w:r>
        <w:rPr>
          <w:lang/>
        </w:rPr>
        <w:instrText xml:space="preserve">HYPERLINK \l "_Toc46418613"</w:instrText>
      </w:r>
      <w:r>
        <w:rPr>
          <w:rStyle w:val="42"/>
          <w:lang/>
        </w:rPr>
        <w:instrText xml:space="preserve"> </w:instrText>
      </w:r>
      <w:r>
        <w:rPr>
          <w:lang/>
        </w:rPr>
        <w:fldChar w:fldCharType="separate"/>
      </w:r>
      <w:r>
        <w:rPr>
          <w:rStyle w:val="42"/>
          <w:rFonts w:hint="eastAsia" w:ascii="宋体" w:hAnsi="宋体"/>
          <w:lang/>
        </w:rPr>
        <w:t>附件十四：评标办法</w:t>
      </w:r>
      <w:r>
        <w:rPr>
          <w:lang/>
        </w:rPr>
        <w:tab/>
      </w:r>
      <w:r>
        <w:rPr>
          <w:lang/>
        </w:rPr>
        <w:fldChar w:fldCharType="begin"/>
      </w:r>
      <w:r>
        <w:rPr>
          <w:lang/>
        </w:rPr>
        <w:instrText xml:space="preserve"> PAGEREF _Toc46418613 \h </w:instrText>
      </w:r>
      <w:r>
        <w:rPr>
          <w:lang/>
        </w:rPr>
        <w:fldChar w:fldCharType="separate"/>
      </w:r>
      <w:r>
        <w:rPr>
          <w:lang/>
        </w:rPr>
        <w:t>74</w:t>
      </w:r>
      <w:r>
        <w:rPr>
          <w:lang/>
        </w:rPr>
        <w:fldChar w:fldCharType="end"/>
      </w:r>
      <w:r>
        <w:rPr>
          <w:lang/>
        </w:rPr>
        <w:fldChar w:fldCharType="end"/>
      </w:r>
    </w:p>
    <w:p>
      <w:pPr>
        <w:pStyle w:val="26"/>
        <w:rPr>
          <w:rFonts w:hint="eastAsia" w:ascii="宋体" w:hAnsi="宋体"/>
          <w:color w:val="000000"/>
          <w:sz w:val="28"/>
          <w:szCs w:val="28"/>
        </w:rPr>
      </w:pPr>
      <w:r>
        <w:rPr>
          <w:rFonts w:ascii="宋体" w:hAnsi="宋体"/>
          <w:color w:val="000000"/>
          <w:szCs w:val="28"/>
        </w:rPr>
        <w:fldChar w:fldCharType="end"/>
      </w:r>
      <w:bookmarkStart w:id="0" w:name="_Toc266096607"/>
      <w:bookmarkStart w:id="1" w:name="_Toc213038818"/>
      <w:bookmarkStart w:id="2" w:name="_Toc247966912"/>
      <w:bookmarkStart w:id="3" w:name="_Toc156723281"/>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黑体" w:hAnsi="宋体" w:eastAsia="黑体" w:cs="宋体"/>
          <w:color w:val="000000"/>
          <w:spacing w:val="-4"/>
          <w:kern w:val="0"/>
          <w:sz w:val="32"/>
          <w:szCs w:val="32"/>
        </w:rPr>
      </w:pPr>
      <w:bookmarkStart w:id="4" w:name="_Toc355703290"/>
    </w:p>
    <w:p>
      <w:pPr>
        <w:jc w:val="center"/>
        <w:rPr>
          <w:rFonts w:hint="eastAsia" w:ascii="黑体" w:hAnsi="宋体" w:eastAsia="黑体" w:cs="宋体"/>
          <w:b/>
          <w:bCs/>
          <w:color w:val="000000"/>
          <w:spacing w:val="-4"/>
          <w:kern w:val="0"/>
          <w:sz w:val="32"/>
          <w:szCs w:val="32"/>
        </w:rPr>
      </w:pPr>
      <w:r>
        <w:rPr>
          <w:rFonts w:hint="eastAsia" w:ascii="黑体" w:hAnsi="宋体" w:eastAsia="黑体" w:cs="宋体"/>
          <w:color w:val="000000"/>
          <w:spacing w:val="-4"/>
          <w:kern w:val="0"/>
          <w:sz w:val="32"/>
          <w:szCs w:val="32"/>
        </w:rPr>
        <w:t>关于绍兴市公安局柯桥区分局”智慧安防小区”（主城区）建设项目的采购公告</w:t>
      </w:r>
    </w:p>
    <w:bookmarkEnd w:id="4"/>
    <w:p>
      <w:pPr>
        <w:widowControl/>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公告时间：</w:t>
      </w:r>
      <w:r>
        <w:rPr>
          <w:rFonts w:hint="eastAsia" w:ascii="宋体" w:hAnsi="宋体"/>
          <w:color w:val="000000"/>
          <w:szCs w:val="21"/>
          <w:u w:val="single"/>
        </w:rPr>
        <w:t>2020</w:t>
      </w:r>
      <w:r>
        <w:rPr>
          <w:rFonts w:hint="eastAsia" w:ascii="宋体" w:hAnsi="宋体"/>
          <w:color w:val="000000"/>
          <w:szCs w:val="21"/>
        </w:rPr>
        <w:t>年</w:t>
      </w:r>
      <w:r>
        <w:rPr>
          <w:rFonts w:hint="eastAsia" w:ascii="宋体" w:hAnsi="宋体"/>
          <w:color w:val="000000"/>
          <w:szCs w:val="21"/>
          <w:u w:val="single"/>
        </w:rPr>
        <w:t>10</w:t>
      </w:r>
      <w:r>
        <w:rPr>
          <w:rFonts w:hint="eastAsia" w:ascii="宋体" w:hAnsi="宋体"/>
          <w:color w:val="000000"/>
          <w:szCs w:val="21"/>
        </w:rPr>
        <w:t>月</w:t>
      </w:r>
      <w:r>
        <w:rPr>
          <w:rFonts w:hint="eastAsia" w:ascii="宋体" w:hAnsi="宋体"/>
          <w:color w:val="000000"/>
          <w:szCs w:val="21"/>
          <w:u w:val="single"/>
        </w:rPr>
        <w:t>15</w:t>
      </w:r>
      <w:r>
        <w:rPr>
          <w:rFonts w:hint="eastAsia" w:ascii="宋体" w:hAnsi="宋体"/>
          <w:color w:val="000000"/>
          <w:szCs w:val="21"/>
        </w:rPr>
        <w:t>日</w:t>
      </w:r>
    </w:p>
    <w:p>
      <w:pPr>
        <w:widowControl/>
        <w:spacing w:before="75" w:after="75"/>
        <w:jc w:val="left"/>
        <w:rPr>
          <w:rFonts w:ascii="仿宋" w:hAnsi="仿宋" w:cs="宋体"/>
          <w:kern w:val="0"/>
          <w:sz w:val="24"/>
        </w:rPr>
      </w:pPr>
      <w:bookmarkStart w:id="5" w:name="_Toc46418576"/>
      <w:r>
        <w:rPr>
          <w:rFonts w:ascii="仿宋" w:hAnsi="仿宋" w:cs="宋体"/>
          <w:kern w:val="0"/>
          <w:sz w:val="24"/>
        </w:rPr>
        <w:t>                         </w:t>
      </w:r>
    </w:p>
    <w:p>
      <w:pPr>
        <w:widowControl/>
        <w:spacing w:before="75" w:after="75"/>
        <w:jc w:val="left"/>
        <w:rPr>
          <w:rFonts w:hint="eastAsia" w:ascii="仿宋" w:hAnsi="仿宋" w:cs="宋体"/>
          <w:kern w:val="0"/>
          <w:szCs w:val="21"/>
        </w:rPr>
      </w:pPr>
      <w:r>
        <w:rPr>
          <w:rFonts w:ascii="仿宋" w:hAnsi="仿宋" w:cs="宋体"/>
          <w:kern w:val="0"/>
          <w:sz w:val="27"/>
          <w:szCs w:val="27"/>
        </w:rPr>
        <w:t xml:space="preserve">  </w:t>
      </w:r>
      <w:r>
        <w:rPr>
          <w:rFonts w:ascii="仿宋" w:hAnsi="仿宋" w:cs="宋体"/>
          <w:kern w:val="0"/>
          <w:szCs w:val="21"/>
        </w:rPr>
        <w: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noWrap w:val="0"/>
            <w:vAlign w:val="top"/>
          </w:tcPr>
          <w:p>
            <w:pPr>
              <w:widowControl/>
              <w:spacing w:before="75" w:after="75"/>
              <w:jc w:val="left"/>
              <w:rPr>
                <w:rFonts w:ascii="仿宋" w:hAnsi="仿宋" w:cs="宋体"/>
                <w:kern w:val="0"/>
                <w:szCs w:val="21"/>
              </w:rPr>
            </w:pPr>
            <w:r>
              <w:rPr>
                <w:rFonts w:ascii="仿宋" w:hAnsi="仿宋" w:cs="宋体"/>
                <w:kern w:val="0"/>
                <w:szCs w:val="21"/>
              </w:rPr>
              <w:t>绍兴市公安局柯桥区分局”智慧安防小区”（主城区）建设项目招标项目的潜在投标人应在由供应商自行在浙江政府采购云平台下载，网址http://www.zcygov.cn/。获取（下载）招标文件，并于 2020年11月05日 09:30（北京时间）前递交（上传）投标文件。 </w:t>
            </w:r>
          </w:p>
        </w:tc>
      </w:tr>
    </w:tbl>
    <w:p>
      <w:pPr>
        <w:widowControl/>
        <w:spacing w:before="75" w:after="75"/>
        <w:jc w:val="left"/>
        <w:rPr>
          <w:rFonts w:ascii="仿宋" w:hAnsi="仿宋" w:cs="宋体"/>
          <w:kern w:val="0"/>
          <w:szCs w:val="21"/>
        </w:rPr>
      </w:pPr>
      <w:r>
        <w:rPr>
          <w:rFonts w:ascii="仿宋" w:hAnsi="仿宋" w:cs="宋体"/>
          <w:kern w:val="0"/>
          <w:szCs w:val="21"/>
        </w:rPr>
        <w:t xml:space="preserve">              </w:t>
      </w:r>
    </w:p>
    <w:p>
      <w:pPr>
        <w:widowControl/>
        <w:spacing w:before="255" w:after="255" w:line="300" w:lineRule="atLeast"/>
        <w:rPr>
          <w:rFonts w:ascii="黑体" w:hAnsi="黑体" w:eastAsia="黑体" w:cs="宋体"/>
          <w:kern w:val="0"/>
          <w:szCs w:val="21"/>
        </w:rPr>
      </w:pPr>
      <w:r>
        <w:rPr>
          <w:rFonts w:hint="eastAsia" w:ascii="黑体" w:hAnsi="黑体" w:eastAsia="黑体" w:cs="宋体"/>
          <w:b/>
          <w:bCs/>
          <w:kern w:val="0"/>
          <w:szCs w:val="21"/>
        </w:rPr>
        <w:t>一、项目基本情况</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r>
        <w:rPr>
          <w:rFonts w:hint="eastAsia" w:ascii="黑体" w:hAnsi="黑体" w:eastAsia="黑体" w:cs="黑体"/>
          <w:kern w:val="0"/>
          <w:szCs w:val="21"/>
        </w:rPr>
        <w:t xml:space="preserve"> </w:t>
      </w:r>
      <w:r>
        <w:rPr>
          <w:rFonts w:hint="eastAsia" w:ascii="宋体" w:hAnsi="宋体" w:cs="宋体"/>
          <w:kern w:val="0"/>
          <w:szCs w:val="21"/>
        </w:rPr>
        <w:t> </w:t>
      </w:r>
    </w:p>
    <w:p>
      <w:pPr>
        <w:widowControl/>
        <w:spacing w:before="75" w:after="75" w:line="300" w:lineRule="atLeast"/>
        <w:jc w:val="left"/>
        <w:rPr>
          <w:rFonts w:hint="eastAsia" w:ascii="仿宋" w:hAnsi="仿宋" w:cs="宋体"/>
          <w:kern w:val="0"/>
          <w:szCs w:val="21"/>
        </w:rPr>
      </w:pPr>
      <w:r>
        <w:rPr>
          <w:rFonts w:ascii="仿宋" w:hAnsi="仿宋" w:cs="宋体"/>
          <w:kern w:val="0"/>
          <w:szCs w:val="21"/>
        </w:rPr>
        <w:t>    项目编号：绍柯采[2020]3210号 </w:t>
      </w:r>
    </w:p>
    <w:p>
      <w:pPr>
        <w:widowControl/>
        <w:spacing w:before="75" w:after="75" w:line="300" w:lineRule="atLeast"/>
        <w:jc w:val="left"/>
        <w:rPr>
          <w:rFonts w:ascii="仿宋" w:hAnsi="仿宋" w:cs="宋体"/>
          <w:kern w:val="0"/>
          <w:szCs w:val="21"/>
        </w:rPr>
      </w:pPr>
      <w:r>
        <w:rPr>
          <w:rFonts w:ascii="仿宋" w:hAnsi="仿宋" w:cs="宋体"/>
          <w:kern w:val="0"/>
          <w:szCs w:val="21"/>
        </w:rPr>
        <w:t>    项目名称：绍兴市公安局柯桥区分局”智慧安防小区”（主城区）建设项目</w:t>
      </w:r>
    </w:p>
    <w:p>
      <w:pPr>
        <w:widowControl/>
        <w:spacing w:before="75" w:after="75" w:line="300" w:lineRule="atLeast"/>
        <w:jc w:val="left"/>
        <w:rPr>
          <w:rFonts w:ascii="仿宋" w:hAnsi="仿宋" w:cs="宋体"/>
          <w:kern w:val="0"/>
          <w:szCs w:val="21"/>
        </w:rPr>
      </w:pPr>
      <w:r>
        <w:rPr>
          <w:rFonts w:ascii="仿宋" w:hAnsi="仿宋" w:cs="宋体"/>
          <w:kern w:val="0"/>
          <w:szCs w:val="21"/>
        </w:rPr>
        <w:t>    预算金额（元）：25770000  </w:t>
      </w:r>
    </w:p>
    <w:p>
      <w:pPr>
        <w:widowControl/>
        <w:spacing w:before="75" w:after="75" w:line="300" w:lineRule="atLeast"/>
        <w:jc w:val="left"/>
        <w:rPr>
          <w:rFonts w:ascii="仿宋" w:hAnsi="仿宋" w:cs="宋体"/>
          <w:kern w:val="0"/>
          <w:szCs w:val="21"/>
        </w:rPr>
      </w:pPr>
      <w:r>
        <w:rPr>
          <w:rFonts w:ascii="仿宋" w:hAnsi="仿宋" w:cs="宋体"/>
          <w:kern w:val="0"/>
          <w:szCs w:val="21"/>
        </w:rPr>
        <w:t>    最高限价（元）：22970000 </w:t>
      </w:r>
    </w:p>
    <w:p>
      <w:pPr>
        <w:widowControl/>
        <w:spacing w:before="75" w:after="75" w:line="300" w:lineRule="atLeast"/>
        <w:jc w:val="left"/>
        <w:rPr>
          <w:rFonts w:ascii="仿宋" w:hAnsi="仿宋" w:cs="宋体"/>
          <w:kern w:val="0"/>
          <w:szCs w:val="21"/>
        </w:rPr>
      </w:pPr>
      <w:r>
        <w:rPr>
          <w:rFonts w:ascii="仿宋" w:hAnsi="仿宋" w:cs="宋体"/>
          <w:kern w:val="0"/>
          <w:szCs w:val="21"/>
        </w:rPr>
        <w:t>    采购需求：</w:t>
      </w:r>
    </w:p>
    <w:p>
      <w:pPr>
        <w:widowControl/>
        <w:spacing w:before="75" w:after="75" w:line="360" w:lineRule="atLeast"/>
        <w:jc w:val="left"/>
        <w:rPr>
          <w:rFonts w:ascii="仿宋" w:hAnsi="仿宋" w:cs="宋体"/>
          <w:kern w:val="0"/>
          <w:szCs w:val="21"/>
        </w:rPr>
      </w:pPr>
      <w:r>
        <w:rPr>
          <w:rFonts w:ascii="仿宋" w:hAnsi="仿宋" w:cs="宋体"/>
          <w:kern w:val="0"/>
          <w:szCs w:val="21"/>
        </w:rPr>
        <w:t>    </w:t>
      </w:r>
      <w:r>
        <w:rPr>
          <w:rFonts w:ascii="仿宋" w:hAnsi="仿宋" w:cs="宋体"/>
          <w:kern w:val="0"/>
          <w:szCs w:val="21"/>
        </w:rPr>
        <w:br w:type="textWrapping"/>
      </w:r>
      <w:r>
        <w:rPr>
          <w:rFonts w:ascii="仿宋" w:hAnsi="仿宋" w:cs="宋体"/>
          <w:kern w:val="0"/>
          <w:szCs w:val="21"/>
        </w:rPr>
        <w:t>    标项名称: 绍兴市公安局柯桥区分局”智慧安防小区”（主城区）建设项目 </w:t>
      </w:r>
      <w:r>
        <w:rPr>
          <w:rFonts w:ascii="仿宋" w:hAnsi="仿宋" w:cs="宋体"/>
          <w:kern w:val="0"/>
          <w:szCs w:val="21"/>
        </w:rPr>
        <w:br w:type="textWrapping"/>
      </w:r>
      <w:r>
        <w:rPr>
          <w:rFonts w:ascii="仿宋" w:hAnsi="仿宋" w:cs="宋体"/>
          <w:kern w:val="0"/>
          <w:szCs w:val="21"/>
        </w:rPr>
        <w:t>    数量: 1  </w:t>
      </w:r>
      <w:r>
        <w:rPr>
          <w:rFonts w:ascii="仿宋" w:hAnsi="仿宋" w:cs="宋体"/>
          <w:kern w:val="0"/>
          <w:szCs w:val="21"/>
        </w:rPr>
        <w:br w:type="textWrapping"/>
      </w:r>
      <w:r>
        <w:rPr>
          <w:rFonts w:ascii="仿宋" w:hAnsi="仿宋" w:cs="宋体"/>
          <w:kern w:val="0"/>
          <w:szCs w:val="21"/>
        </w:rPr>
        <w:t>    预算金额（元）: 25770000 </w:t>
      </w:r>
      <w:r>
        <w:rPr>
          <w:rFonts w:ascii="仿宋" w:hAnsi="仿宋" w:cs="宋体"/>
          <w:kern w:val="0"/>
          <w:szCs w:val="21"/>
        </w:rPr>
        <w:br w:type="textWrapping"/>
      </w:r>
      <w:r>
        <w:rPr>
          <w:rFonts w:ascii="仿宋" w:hAnsi="仿宋" w:cs="宋体"/>
          <w:kern w:val="0"/>
          <w:szCs w:val="21"/>
        </w:rPr>
        <w:t>    简要规格描述或项目基本概况介绍、用途：柯桥主城区127个小区数据采集系统项目的服务，维护服务期为3年。服务的内容包括：视频数据采集74套,人像数据采集430套，新建车辆信息数据采集51套,原有车辆数据采集336套。包括前端摄像机，立杆辅材、传输设备、流媒体转发设备、存储设备等配套设备的安装、建设、供电，监控点的光缆敷设，整个监控系统的维修维护服务、使用电费，提供430路人脸解析算法，同时将人像抓拍的图片流数据推送到市局人像平台等内容，并为设备能正常运行提供专用的机房环境，以及7*24小时运维等服务，详细内容详见招标文件 </w:t>
      </w:r>
      <w:r>
        <w:rPr>
          <w:rFonts w:ascii="仿宋" w:hAnsi="仿宋" w:cs="宋体"/>
          <w:kern w:val="0"/>
          <w:szCs w:val="21"/>
        </w:rPr>
        <w:br w:type="textWrapping"/>
      </w:r>
      <w:r>
        <w:rPr>
          <w:rFonts w:ascii="仿宋" w:hAnsi="仿宋" w:cs="宋体"/>
          <w:kern w:val="0"/>
          <w:szCs w:val="21"/>
        </w:rPr>
        <w:t>    备注： </w:t>
      </w:r>
    </w:p>
    <w:p>
      <w:pPr>
        <w:widowControl/>
        <w:spacing w:before="75" w:after="75" w:line="300" w:lineRule="atLeast"/>
        <w:jc w:val="left"/>
        <w:rPr>
          <w:rFonts w:ascii="仿宋" w:hAnsi="仿宋" w:cs="宋体"/>
          <w:kern w:val="0"/>
          <w:szCs w:val="21"/>
        </w:rPr>
      </w:pPr>
      <w:r>
        <w:rPr>
          <w:rFonts w:ascii="仿宋" w:hAnsi="仿宋" w:cs="宋体"/>
          <w:kern w:val="0"/>
          <w:szCs w:val="21"/>
        </w:rPr>
        <w:t>    合同履约期限：合同签订后120个日历天内完成所有设备的安装、调试</w:t>
      </w:r>
    </w:p>
    <w:p>
      <w:pPr>
        <w:widowControl/>
        <w:spacing w:before="75" w:after="75" w:line="300" w:lineRule="atLeast"/>
        <w:jc w:val="left"/>
        <w:rPr>
          <w:rFonts w:ascii="仿宋" w:hAnsi="仿宋" w:cs="宋体"/>
          <w:kern w:val="0"/>
          <w:szCs w:val="21"/>
        </w:rPr>
      </w:pPr>
      <w:r>
        <w:rPr>
          <w:rFonts w:ascii="仿宋" w:hAnsi="仿宋" w:cs="宋体"/>
          <w:kern w:val="0"/>
          <w:szCs w:val="21"/>
        </w:rPr>
        <w:t>    本项目（否）接受联合体投标。</w:t>
      </w:r>
    </w:p>
    <w:p>
      <w:pPr>
        <w:widowControl/>
        <w:spacing w:before="225" w:after="225" w:line="300" w:lineRule="atLeast"/>
        <w:jc w:val="left"/>
        <w:rPr>
          <w:rFonts w:ascii="仿宋" w:hAnsi="仿宋" w:cs="宋体"/>
          <w:kern w:val="0"/>
          <w:szCs w:val="21"/>
        </w:rPr>
      </w:pPr>
      <w:r>
        <w:rPr>
          <w:rFonts w:hint="eastAsia" w:ascii="黑体" w:hAnsi="黑体" w:eastAsia="黑体" w:cs="宋体"/>
          <w:b/>
          <w:bCs/>
          <w:kern w:val="0"/>
          <w:szCs w:val="21"/>
        </w:rPr>
        <w:t>二、申请人的资格要求：</w:t>
      </w:r>
    </w:p>
    <w:p>
      <w:pPr>
        <w:widowControl/>
        <w:spacing w:before="75" w:after="75" w:line="300" w:lineRule="atLeast"/>
        <w:jc w:val="left"/>
        <w:rPr>
          <w:rFonts w:ascii="仿宋" w:hAnsi="仿宋" w:cs="宋体"/>
          <w:kern w:val="0"/>
          <w:szCs w:val="21"/>
        </w:rPr>
      </w:pPr>
      <w:r>
        <w:rPr>
          <w:rFonts w:ascii="仿宋" w:hAnsi="仿宋" w:cs="宋体"/>
          <w:kern w:val="0"/>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ascii="仿宋" w:hAnsi="仿宋" w:cs="宋体"/>
          <w:kern w:val="0"/>
          <w:szCs w:val="21"/>
        </w:rPr>
      </w:pPr>
      <w:r>
        <w:rPr>
          <w:rFonts w:ascii="仿宋" w:hAnsi="仿宋" w:cs="宋体"/>
          <w:kern w:val="0"/>
          <w:szCs w:val="21"/>
        </w:rPr>
        <w:t>    2.落实政府采购政策需满足的资格要求：无 </w:t>
      </w:r>
    </w:p>
    <w:p>
      <w:pPr>
        <w:widowControl/>
        <w:spacing w:before="75" w:after="75" w:line="300" w:lineRule="atLeast"/>
        <w:jc w:val="left"/>
        <w:rPr>
          <w:rFonts w:ascii="仿宋" w:hAnsi="仿宋" w:cs="宋体"/>
          <w:kern w:val="0"/>
          <w:szCs w:val="21"/>
        </w:rPr>
      </w:pPr>
      <w:r>
        <w:rPr>
          <w:rFonts w:ascii="仿宋" w:hAnsi="仿宋" w:cs="宋体"/>
          <w:kern w:val="0"/>
          <w:szCs w:val="21"/>
        </w:rPr>
        <w:t>    3.本项目的特定资格要求：标项一:1、供应商须具有履行合同所必须的设备和专业技术能力,能在绍兴市柯桥区范围内提供公共网络基础设施、公共数据传送和基本话音通信服务的通信运营商或本地有线电视网络运营商； 2、如无独立法人资格的分支机构（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政府投标活动。  </w:t>
      </w:r>
    </w:p>
    <w:p>
      <w:pPr>
        <w:widowControl/>
        <w:spacing w:before="255" w:after="255" w:line="300" w:lineRule="atLeast"/>
        <w:rPr>
          <w:rFonts w:ascii="黑体" w:hAnsi="黑体" w:eastAsia="黑体" w:cs="宋体"/>
          <w:kern w:val="0"/>
          <w:szCs w:val="21"/>
        </w:rPr>
      </w:pPr>
      <w:r>
        <w:rPr>
          <w:rFonts w:hint="eastAsia" w:ascii="黑体" w:hAnsi="黑体" w:eastAsia="黑体" w:cs="宋体"/>
          <w:b/>
          <w:bCs/>
          <w:kern w:val="0"/>
          <w:szCs w:val="21"/>
        </w:rPr>
        <w:t>三、获取招标文件</w:t>
      </w:r>
      <w:r>
        <w:rPr>
          <w:rFonts w:hint="eastAsia" w:ascii="宋体" w:hAnsi="宋体" w:cs="宋体"/>
          <w:kern w:val="0"/>
          <w:szCs w:val="21"/>
        </w:rPr>
        <w:t> </w:t>
      </w:r>
    </w:p>
    <w:p>
      <w:pPr>
        <w:widowControl/>
        <w:spacing w:before="75" w:after="75" w:line="300" w:lineRule="atLeast"/>
        <w:jc w:val="left"/>
        <w:rPr>
          <w:rFonts w:hint="eastAsia" w:ascii="仿宋" w:hAnsi="仿宋" w:cs="宋体"/>
          <w:kern w:val="0"/>
          <w:szCs w:val="21"/>
        </w:rPr>
      </w:pPr>
      <w:r>
        <w:rPr>
          <w:rFonts w:ascii="仿宋" w:hAnsi="仿宋" w:cs="宋体"/>
          <w:kern w:val="0"/>
          <w:szCs w:val="21"/>
        </w:rPr>
        <w:t>    时间：/至2020年11月05日 ，每天上午00:00至12:00 ，下午12:00至23:59（北京时间，线上获取法定节假日均可，线下获取文件法定节假日除外）</w:t>
      </w:r>
    </w:p>
    <w:p>
      <w:pPr>
        <w:widowControl/>
        <w:spacing w:before="75" w:after="75" w:line="300" w:lineRule="atLeast"/>
        <w:jc w:val="left"/>
        <w:rPr>
          <w:rFonts w:ascii="仿宋" w:hAnsi="仿宋" w:cs="宋体"/>
          <w:kern w:val="0"/>
          <w:szCs w:val="21"/>
        </w:rPr>
      </w:pPr>
      <w:r>
        <w:rPr>
          <w:rFonts w:ascii="仿宋" w:hAnsi="仿宋" w:cs="宋体"/>
          <w:kern w:val="0"/>
          <w:szCs w:val="21"/>
        </w:rPr>
        <w:t>    地点（网址）：由供应商自行在浙江政府采购云平台下载，网址http://www.zcygov.cn/。 </w:t>
      </w:r>
    </w:p>
    <w:p>
      <w:pPr>
        <w:widowControl/>
        <w:spacing w:before="75" w:after="75" w:line="300" w:lineRule="atLeast"/>
        <w:jc w:val="left"/>
        <w:rPr>
          <w:rFonts w:ascii="仿宋" w:hAnsi="仿宋" w:cs="宋体"/>
          <w:kern w:val="0"/>
          <w:szCs w:val="21"/>
        </w:rPr>
      </w:pPr>
      <w:r>
        <w:rPr>
          <w:rFonts w:ascii="仿宋" w:hAnsi="仿宋" w:cs="宋体"/>
          <w:kern w:val="0"/>
          <w:szCs w:val="21"/>
        </w:rPr>
        <w:t>    方式：本项目实行网上报名，不接受现场报名。参加本项目投标的供应商应在投标截至时间之前完成网上在线报名 ，网上报名网站为浙江政府采购云平台，网址http://www.zcy.gov.cn/。未报名投标供应商的投标文件（如以联合体形式参加政府采购活动的，需联合体牵头人报名）将被拒绝。《供应商网上报名操作指南》网址：浙江政府采购网，位置：“首页-办事指南-省采中心-网上报名”（http://zfcg.czt.zj.gov.cn/quote/2017-05-25/6708.html?_=2020-02-17%2003:02:20）。 </w:t>
      </w:r>
    </w:p>
    <w:p>
      <w:pPr>
        <w:widowControl/>
        <w:spacing w:before="75" w:after="75" w:line="300" w:lineRule="atLeast"/>
        <w:jc w:val="left"/>
        <w:rPr>
          <w:rFonts w:ascii="仿宋" w:hAnsi="仿宋" w:cs="宋体"/>
          <w:kern w:val="0"/>
          <w:szCs w:val="21"/>
        </w:rPr>
      </w:pPr>
      <w:r>
        <w:rPr>
          <w:rFonts w:ascii="仿宋" w:hAnsi="仿宋" w:cs="宋体"/>
          <w:kern w:val="0"/>
          <w:szCs w:val="21"/>
        </w:rPr>
        <w:t>    售价（元）：0 </w:t>
      </w:r>
    </w:p>
    <w:p>
      <w:pPr>
        <w:widowControl/>
        <w:spacing w:before="255" w:after="255" w:line="300" w:lineRule="atLeast"/>
        <w:rPr>
          <w:rFonts w:ascii="黑体" w:hAnsi="黑体" w:eastAsia="黑体" w:cs="宋体"/>
          <w:kern w:val="0"/>
          <w:szCs w:val="21"/>
        </w:rPr>
      </w:pPr>
      <w:r>
        <w:rPr>
          <w:rFonts w:hint="eastAsia" w:ascii="黑体" w:hAnsi="黑体" w:eastAsia="黑体" w:cs="宋体"/>
          <w:b/>
          <w:bCs/>
          <w:kern w:val="0"/>
          <w:szCs w:val="21"/>
        </w:rPr>
        <w:t>四、提交投标文件截止时间、开标时间和地点</w:t>
      </w:r>
    </w:p>
    <w:p>
      <w:pPr>
        <w:widowControl/>
        <w:spacing w:before="75" w:after="75" w:line="300" w:lineRule="atLeast"/>
        <w:jc w:val="left"/>
        <w:rPr>
          <w:rFonts w:hint="eastAsia" w:ascii="仿宋" w:hAnsi="仿宋" w:cs="宋体"/>
          <w:kern w:val="0"/>
          <w:szCs w:val="21"/>
        </w:rPr>
      </w:pPr>
      <w:r>
        <w:rPr>
          <w:rFonts w:ascii="仿宋" w:hAnsi="仿宋" w:cs="宋体"/>
          <w:kern w:val="0"/>
          <w:szCs w:val="21"/>
        </w:rPr>
        <w:t>    提交投标文件截止时间：2020年11月05日 09:30（北京时间）</w:t>
      </w:r>
    </w:p>
    <w:p>
      <w:pPr>
        <w:widowControl/>
        <w:spacing w:before="75" w:after="75" w:line="300" w:lineRule="atLeast"/>
        <w:jc w:val="left"/>
        <w:rPr>
          <w:rFonts w:ascii="仿宋" w:hAnsi="仿宋" w:cs="宋体"/>
          <w:kern w:val="0"/>
          <w:szCs w:val="21"/>
        </w:rPr>
      </w:pPr>
      <w:r>
        <w:rPr>
          <w:rFonts w:ascii="仿宋" w:hAnsi="仿宋" w:cs="宋体"/>
          <w:kern w:val="0"/>
          <w:szCs w:val="21"/>
        </w:rPr>
        <w:t>    投标地点（网址）：将电子投标文件上传到“政采云”平台。 </w:t>
      </w:r>
    </w:p>
    <w:p>
      <w:pPr>
        <w:widowControl/>
        <w:spacing w:before="75" w:after="75" w:line="300" w:lineRule="atLeast"/>
        <w:jc w:val="left"/>
        <w:rPr>
          <w:rFonts w:ascii="仿宋" w:hAnsi="仿宋" w:cs="宋体"/>
          <w:kern w:val="0"/>
          <w:szCs w:val="21"/>
        </w:rPr>
      </w:pPr>
      <w:r>
        <w:rPr>
          <w:rFonts w:ascii="仿宋" w:hAnsi="仿宋" w:cs="宋体"/>
          <w:kern w:val="0"/>
          <w:szCs w:val="21"/>
        </w:rPr>
        <w:t>    开标时间：2020年11月05日 09:30 </w:t>
      </w:r>
    </w:p>
    <w:p>
      <w:pPr>
        <w:widowControl/>
        <w:spacing w:before="75" w:after="75" w:line="300" w:lineRule="atLeast"/>
        <w:jc w:val="left"/>
        <w:rPr>
          <w:rFonts w:ascii="仿宋" w:hAnsi="仿宋" w:cs="宋体"/>
          <w:kern w:val="0"/>
          <w:szCs w:val="21"/>
        </w:rPr>
      </w:pPr>
      <w:r>
        <w:rPr>
          <w:rFonts w:ascii="仿宋" w:hAnsi="仿宋" w:cs="宋体"/>
          <w:kern w:val="0"/>
          <w:szCs w:val="21"/>
        </w:rPr>
        <w:t>    开标地点（网址）：绍兴市柯桥区华齐路1066号绍兴市柯桥区公共资源交易中心三楼2号交易室开标  </w:t>
      </w:r>
    </w:p>
    <w:p>
      <w:pPr>
        <w:widowControl/>
        <w:spacing w:before="255" w:after="255" w:line="300" w:lineRule="atLeast"/>
        <w:rPr>
          <w:rFonts w:ascii="黑体" w:hAnsi="黑体" w:eastAsia="黑体" w:cs="宋体"/>
          <w:kern w:val="0"/>
          <w:szCs w:val="21"/>
        </w:rPr>
      </w:pPr>
      <w:r>
        <w:rPr>
          <w:rFonts w:hint="eastAsia" w:ascii="黑体" w:hAnsi="黑体" w:eastAsia="黑体" w:cs="宋体"/>
          <w:b/>
          <w:bCs/>
          <w:kern w:val="0"/>
          <w:szCs w:val="21"/>
        </w:rPr>
        <w:t>五、公告期限</w:t>
      </w:r>
      <w:r>
        <w:rPr>
          <w:rFonts w:hint="eastAsia" w:ascii="宋体" w:hAnsi="宋体" w:cs="宋体"/>
          <w:kern w:val="0"/>
          <w:szCs w:val="21"/>
        </w:rPr>
        <w:t> </w:t>
      </w:r>
    </w:p>
    <w:p>
      <w:pPr>
        <w:widowControl/>
        <w:spacing w:before="75" w:after="75"/>
        <w:jc w:val="left"/>
        <w:rPr>
          <w:rFonts w:hint="eastAsia" w:ascii="宋体" w:hAnsi="宋体" w:cs="宋体"/>
          <w:kern w:val="0"/>
          <w:szCs w:val="21"/>
        </w:rPr>
      </w:pPr>
      <w:r>
        <w:rPr>
          <w:rFonts w:ascii="仿宋" w:hAnsi="仿宋" w:cs="宋体"/>
          <w:kern w:val="0"/>
          <w:szCs w:val="21"/>
        </w:rPr>
        <w:t>    自本公告发布之日起5个工作日。</w:t>
      </w:r>
    </w:p>
    <w:p>
      <w:pPr>
        <w:widowControl/>
        <w:spacing w:before="255" w:after="255" w:line="300" w:lineRule="atLeast"/>
        <w:rPr>
          <w:rFonts w:ascii="黑体" w:hAnsi="黑体" w:eastAsia="黑体" w:cs="宋体"/>
          <w:kern w:val="0"/>
          <w:szCs w:val="21"/>
        </w:rPr>
      </w:pPr>
      <w:r>
        <w:rPr>
          <w:rFonts w:hint="eastAsia" w:ascii="黑体" w:hAnsi="黑体" w:eastAsia="黑体" w:cs="宋体"/>
          <w:b/>
          <w:bCs/>
          <w:kern w:val="0"/>
          <w:szCs w:val="21"/>
        </w:rPr>
        <w:t>六、其他补充事宜</w:t>
      </w:r>
    </w:p>
    <w:p>
      <w:pPr>
        <w:widowControl/>
        <w:spacing w:before="75" w:after="75" w:line="360" w:lineRule="atLeast"/>
        <w:jc w:val="left"/>
        <w:rPr>
          <w:rFonts w:hint="eastAsia" w:ascii="宋体" w:hAnsi="宋体" w:cs="宋体"/>
          <w:kern w:val="0"/>
          <w:szCs w:val="21"/>
        </w:rPr>
      </w:pPr>
      <w:r>
        <w:rPr>
          <w:rFonts w:ascii="仿宋" w:hAnsi="仿宋" w:cs="宋体"/>
          <w:kern w:val="0"/>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cs="宋体"/>
          <w:kern w:val="0"/>
          <w:szCs w:val="21"/>
        </w:rPr>
        <w:br w:type="textWrapping"/>
      </w:r>
      <w:r>
        <w:rPr>
          <w:rFonts w:ascii="仿宋" w:hAnsi="仿宋" w:cs="宋体"/>
          <w:kern w:val="0"/>
          <w:szCs w:val="21"/>
        </w:rPr>
        <w:t>    2.其他事项：</w:t>
      </w:r>
      <w:r>
        <w:rPr>
          <w:rFonts w:hint="eastAsia" w:ascii="宋体" w:hAnsi="宋体" w:cs="宋体"/>
          <w:kern w:val="0"/>
          <w:szCs w:val="21"/>
        </w:rPr>
        <w:t>①</w:t>
      </w:r>
      <w:r>
        <w:rPr>
          <w:rFonts w:ascii="仿宋" w:hAnsi="仿宋" w:cs="宋体"/>
          <w:kern w:val="0"/>
          <w:szCs w:val="21"/>
        </w:rPr>
        <w:t xml:space="preserve">本项目实行网上投标，采用电子投标文件。 </w:t>
      </w:r>
      <w:r>
        <w:rPr>
          <w:rFonts w:hint="eastAsia" w:ascii="宋体" w:hAnsi="宋体" w:cs="宋体"/>
          <w:kern w:val="0"/>
          <w:szCs w:val="21"/>
        </w:rPr>
        <w:t>②</w:t>
      </w:r>
      <w:r>
        <w:rPr>
          <w:rFonts w:ascii="仿宋" w:hAnsi="仿宋" w:cs="宋体"/>
          <w:kern w:val="0"/>
          <w:szCs w:val="21"/>
        </w:rPr>
        <w:t xml:space="preserve">标前准备：各供应商应在开标前应确保成为浙江省政府采购网正式注册入库供应商，并完成CA数字证书办理。办理流程详见http://www.zjzfcg.gov.cn/bidClientTemplate/2019-05-27/12945.html）。完成CA数字证书办理预计半个月左右，建议各投标人抓紧时间办理。因未注册入库、未办理CA数字证书等原因造成无法投标或投标失败等后果由供应商自行承担。 </w:t>
      </w:r>
      <w:r>
        <w:rPr>
          <w:rFonts w:hint="eastAsia" w:ascii="宋体" w:hAnsi="宋体" w:cs="宋体"/>
          <w:kern w:val="0"/>
          <w:szCs w:val="21"/>
        </w:rPr>
        <w:t>③</w:t>
      </w:r>
      <w:r>
        <w:rPr>
          <w:rFonts w:ascii="仿宋" w:hAnsi="仿宋" w:cs="宋体"/>
          <w:kern w:val="0"/>
          <w:szCs w:val="21"/>
        </w:rPr>
        <w:t>投标文件制作： a、应按照本项目招标文件和政采云平台的要求编制、加密并递交投标文件。供应商在使用系统进行投标的过程中遇到涉及平台使用的任何问题，可致电政采云平台技术支持热线咨询，联系方式：400-881-7190。 b、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pPr>
        <w:widowControl/>
        <w:spacing w:before="255" w:after="255" w:line="480" w:lineRule="atLeast"/>
        <w:rPr>
          <w:rFonts w:ascii="黑体" w:hAnsi="黑体" w:eastAsia="黑体" w:cs="宋体"/>
          <w:kern w:val="0"/>
          <w:szCs w:val="21"/>
        </w:rPr>
      </w:pPr>
      <w:r>
        <w:rPr>
          <w:rFonts w:hint="eastAsia" w:ascii="黑体" w:hAnsi="黑体" w:eastAsia="黑体" w:cs="宋体"/>
          <w:b/>
          <w:bCs/>
          <w:kern w:val="0"/>
          <w:szCs w:val="21"/>
        </w:rPr>
        <w:t>七、对本次采购提出询问、质疑、投诉，请按以下方式联系</w:t>
      </w:r>
    </w:p>
    <w:p>
      <w:pPr>
        <w:widowControl/>
        <w:spacing w:before="75" w:after="75" w:line="300" w:lineRule="atLeast"/>
        <w:jc w:val="left"/>
        <w:rPr>
          <w:rFonts w:hint="eastAsia" w:ascii="仿宋" w:hAnsi="仿宋" w:cs="宋体"/>
          <w:kern w:val="0"/>
          <w:szCs w:val="21"/>
        </w:rPr>
      </w:pPr>
      <w:r>
        <w:rPr>
          <w:rFonts w:ascii="仿宋" w:hAnsi="仿宋" w:cs="宋体"/>
          <w:kern w:val="0"/>
          <w:szCs w:val="21"/>
        </w:rPr>
        <w:t>    1.采购人信息</w:t>
      </w:r>
    </w:p>
    <w:p>
      <w:pPr>
        <w:widowControl/>
        <w:spacing w:before="75" w:after="75" w:line="300" w:lineRule="atLeast"/>
        <w:jc w:val="left"/>
        <w:rPr>
          <w:rFonts w:ascii="仿宋" w:hAnsi="仿宋" w:cs="宋体"/>
          <w:kern w:val="0"/>
          <w:szCs w:val="21"/>
        </w:rPr>
      </w:pPr>
      <w:r>
        <w:rPr>
          <w:rFonts w:ascii="仿宋" w:hAnsi="仿宋" w:cs="宋体"/>
          <w:kern w:val="0"/>
          <w:szCs w:val="21"/>
        </w:rPr>
        <w:t>    名    称：绍兴市公安局柯桥区分局 </w:t>
      </w:r>
    </w:p>
    <w:p>
      <w:pPr>
        <w:widowControl/>
        <w:spacing w:before="75" w:after="75" w:line="300" w:lineRule="atLeast"/>
        <w:jc w:val="left"/>
        <w:rPr>
          <w:rFonts w:ascii="仿宋" w:hAnsi="仿宋" w:cs="宋体"/>
          <w:kern w:val="0"/>
          <w:szCs w:val="21"/>
        </w:rPr>
      </w:pPr>
      <w:r>
        <w:rPr>
          <w:rFonts w:ascii="仿宋" w:hAnsi="仿宋" w:cs="宋体"/>
          <w:kern w:val="0"/>
          <w:szCs w:val="21"/>
        </w:rPr>
        <w:t>    地    址：绍兴市柯桥区鉴湖路129号 </w:t>
      </w:r>
    </w:p>
    <w:p>
      <w:pPr>
        <w:widowControl/>
        <w:spacing w:before="75" w:after="75" w:line="300" w:lineRule="atLeast"/>
        <w:jc w:val="left"/>
        <w:rPr>
          <w:rFonts w:ascii="仿宋" w:hAnsi="仿宋" w:cs="宋体"/>
          <w:kern w:val="0"/>
          <w:szCs w:val="21"/>
        </w:rPr>
      </w:pPr>
      <w:r>
        <w:rPr>
          <w:rFonts w:ascii="仿宋" w:hAnsi="仿宋" w:cs="宋体"/>
          <w:kern w:val="0"/>
          <w:szCs w:val="21"/>
        </w:rPr>
        <w:t>    传    真：/  </w:t>
      </w:r>
    </w:p>
    <w:p>
      <w:pPr>
        <w:widowControl/>
        <w:spacing w:before="75" w:after="75" w:line="300" w:lineRule="atLeast"/>
        <w:jc w:val="left"/>
        <w:rPr>
          <w:rFonts w:ascii="仿宋" w:hAnsi="仿宋" w:cs="宋体"/>
          <w:kern w:val="0"/>
          <w:szCs w:val="21"/>
        </w:rPr>
      </w:pPr>
      <w:r>
        <w:rPr>
          <w:rFonts w:ascii="仿宋" w:hAnsi="仿宋" w:cs="宋体"/>
          <w:kern w:val="0"/>
          <w:szCs w:val="21"/>
        </w:rPr>
        <w:t>    项目联系人（询问）：韩警官  </w:t>
      </w:r>
    </w:p>
    <w:p>
      <w:pPr>
        <w:widowControl/>
        <w:spacing w:before="75" w:after="75" w:line="300" w:lineRule="atLeast"/>
        <w:jc w:val="left"/>
        <w:rPr>
          <w:rFonts w:ascii="仿宋" w:hAnsi="仿宋" w:cs="宋体"/>
          <w:kern w:val="0"/>
          <w:szCs w:val="21"/>
        </w:rPr>
      </w:pPr>
      <w:r>
        <w:rPr>
          <w:rFonts w:ascii="仿宋" w:hAnsi="仿宋" w:cs="宋体"/>
          <w:kern w:val="0"/>
          <w:szCs w:val="21"/>
        </w:rPr>
        <w:t>    项目联系方式（询问）：0575-85596058 </w:t>
      </w:r>
    </w:p>
    <w:p>
      <w:pPr>
        <w:widowControl/>
        <w:spacing w:before="75" w:after="75" w:line="300" w:lineRule="atLeast"/>
        <w:jc w:val="left"/>
        <w:rPr>
          <w:rFonts w:ascii="仿宋" w:hAnsi="仿宋" w:cs="宋体"/>
          <w:kern w:val="0"/>
          <w:szCs w:val="21"/>
        </w:rPr>
      </w:pPr>
      <w:r>
        <w:rPr>
          <w:rFonts w:ascii="仿宋" w:hAnsi="仿宋" w:cs="宋体"/>
          <w:kern w:val="0"/>
          <w:szCs w:val="21"/>
        </w:rPr>
        <w:t>    质疑联系人：孟警官    </w:t>
      </w:r>
    </w:p>
    <w:p>
      <w:pPr>
        <w:widowControl/>
        <w:spacing w:before="75" w:after="75" w:line="300" w:lineRule="atLeast"/>
        <w:jc w:val="left"/>
        <w:rPr>
          <w:rFonts w:ascii="仿宋" w:hAnsi="仿宋" w:cs="宋体"/>
          <w:kern w:val="0"/>
          <w:szCs w:val="21"/>
        </w:rPr>
      </w:pPr>
      <w:r>
        <w:rPr>
          <w:rFonts w:ascii="仿宋" w:hAnsi="仿宋" w:cs="宋体"/>
          <w:kern w:val="0"/>
          <w:szCs w:val="21"/>
        </w:rPr>
        <w:t>    质疑联系方式：0575-85596058 </w:t>
      </w:r>
    </w:p>
    <w:p>
      <w:pPr>
        <w:widowControl/>
        <w:spacing w:before="75" w:after="75" w:line="300" w:lineRule="atLeast"/>
        <w:jc w:val="left"/>
        <w:rPr>
          <w:rFonts w:ascii="仿宋" w:hAnsi="仿宋" w:cs="宋体"/>
          <w:kern w:val="0"/>
          <w:szCs w:val="21"/>
        </w:rPr>
      </w:pPr>
      <w:r>
        <w:rPr>
          <w:rFonts w:ascii="仿宋" w:hAnsi="仿宋" w:cs="宋体"/>
          <w:kern w:val="0"/>
          <w:szCs w:val="21"/>
        </w:rPr>
        <w:t>    </w:t>
      </w:r>
      <w:r>
        <w:rPr>
          <w:rFonts w:ascii="仿宋" w:hAnsi="仿宋" w:cs="宋体"/>
          <w:kern w:val="0"/>
          <w:szCs w:val="21"/>
        </w:rPr>
        <w:br w:type="textWrapping"/>
      </w:r>
      <w:r>
        <w:rPr>
          <w:rFonts w:ascii="仿宋" w:hAnsi="仿宋" w:cs="宋体"/>
          <w:kern w:val="0"/>
          <w:szCs w:val="21"/>
        </w:rPr>
        <w:t>    2.采购代理机构信息            </w:t>
      </w:r>
    </w:p>
    <w:p>
      <w:pPr>
        <w:widowControl/>
        <w:spacing w:before="75" w:after="75" w:line="300" w:lineRule="atLeast"/>
        <w:jc w:val="left"/>
        <w:rPr>
          <w:rFonts w:ascii="仿宋" w:hAnsi="仿宋" w:cs="宋体"/>
          <w:kern w:val="0"/>
          <w:szCs w:val="21"/>
        </w:rPr>
      </w:pPr>
      <w:r>
        <w:rPr>
          <w:rFonts w:ascii="仿宋" w:hAnsi="仿宋" w:cs="宋体"/>
          <w:kern w:val="0"/>
          <w:szCs w:val="21"/>
        </w:rPr>
        <w:t>    名    称：绍兴市柯桥区公共资源交易中心             </w:t>
      </w:r>
    </w:p>
    <w:p>
      <w:pPr>
        <w:widowControl/>
        <w:spacing w:before="75" w:after="75" w:line="300" w:lineRule="atLeast"/>
        <w:jc w:val="left"/>
        <w:rPr>
          <w:rFonts w:ascii="仿宋" w:hAnsi="仿宋" w:cs="宋体"/>
          <w:kern w:val="0"/>
          <w:szCs w:val="21"/>
        </w:rPr>
      </w:pPr>
      <w:r>
        <w:rPr>
          <w:rFonts w:ascii="仿宋" w:hAnsi="仿宋" w:cs="宋体"/>
          <w:kern w:val="0"/>
          <w:szCs w:val="21"/>
        </w:rPr>
        <w:t>    地    址：绍兴市柯桥区华齐路1066号             </w:t>
      </w:r>
    </w:p>
    <w:p>
      <w:pPr>
        <w:widowControl/>
        <w:spacing w:before="75" w:after="75" w:line="300" w:lineRule="atLeast"/>
        <w:jc w:val="left"/>
        <w:rPr>
          <w:rFonts w:ascii="仿宋" w:hAnsi="仿宋" w:cs="宋体"/>
          <w:kern w:val="0"/>
          <w:szCs w:val="21"/>
        </w:rPr>
      </w:pPr>
      <w:r>
        <w:rPr>
          <w:rFonts w:ascii="仿宋" w:hAnsi="仿宋" w:cs="宋体"/>
          <w:kern w:val="0"/>
          <w:szCs w:val="21"/>
        </w:rPr>
        <w:t>    传    真：/             </w:t>
      </w:r>
    </w:p>
    <w:p>
      <w:pPr>
        <w:widowControl/>
        <w:spacing w:before="75" w:after="75" w:line="300" w:lineRule="atLeast"/>
        <w:jc w:val="left"/>
        <w:rPr>
          <w:rFonts w:ascii="仿宋" w:hAnsi="仿宋" w:cs="宋体"/>
          <w:kern w:val="0"/>
          <w:szCs w:val="21"/>
        </w:rPr>
      </w:pPr>
      <w:r>
        <w:rPr>
          <w:rFonts w:ascii="仿宋" w:hAnsi="仿宋" w:cs="宋体"/>
          <w:kern w:val="0"/>
          <w:szCs w:val="21"/>
        </w:rPr>
        <w:t>    项目联系人（询问）：马跃              </w:t>
      </w:r>
    </w:p>
    <w:p>
      <w:pPr>
        <w:widowControl/>
        <w:spacing w:before="75" w:after="75" w:line="300" w:lineRule="atLeast"/>
        <w:jc w:val="left"/>
        <w:rPr>
          <w:rFonts w:ascii="仿宋" w:hAnsi="仿宋" w:cs="宋体"/>
          <w:kern w:val="0"/>
          <w:szCs w:val="21"/>
        </w:rPr>
      </w:pPr>
      <w:r>
        <w:rPr>
          <w:rFonts w:ascii="仿宋" w:hAnsi="仿宋" w:cs="宋体"/>
          <w:kern w:val="0"/>
          <w:szCs w:val="21"/>
        </w:rPr>
        <w:t>    项目联系方式（询问）：0575-85569077 </w:t>
      </w:r>
    </w:p>
    <w:p>
      <w:pPr>
        <w:widowControl/>
        <w:spacing w:before="75" w:after="75" w:line="300" w:lineRule="atLeast"/>
        <w:jc w:val="left"/>
        <w:rPr>
          <w:rFonts w:ascii="仿宋" w:hAnsi="仿宋" w:cs="宋体"/>
          <w:kern w:val="0"/>
          <w:szCs w:val="21"/>
        </w:rPr>
      </w:pPr>
      <w:r>
        <w:rPr>
          <w:rFonts w:ascii="仿宋" w:hAnsi="仿宋" w:cs="宋体"/>
          <w:kern w:val="0"/>
          <w:szCs w:val="21"/>
        </w:rPr>
        <w:t>    质疑联系人：谢宏华             </w:t>
      </w:r>
    </w:p>
    <w:p>
      <w:pPr>
        <w:widowControl/>
        <w:spacing w:before="75" w:after="75" w:line="300" w:lineRule="atLeast"/>
        <w:jc w:val="left"/>
        <w:rPr>
          <w:rFonts w:ascii="仿宋" w:hAnsi="仿宋" w:cs="宋体"/>
          <w:kern w:val="0"/>
          <w:szCs w:val="21"/>
        </w:rPr>
      </w:pPr>
      <w:r>
        <w:rPr>
          <w:rFonts w:ascii="仿宋" w:hAnsi="仿宋" w:cs="宋体"/>
          <w:kern w:val="0"/>
          <w:szCs w:val="21"/>
        </w:rPr>
        <w:t>    质疑联系方式：0575-84138502 　　　　　　     </w:t>
      </w:r>
    </w:p>
    <w:p>
      <w:pPr>
        <w:widowControl/>
        <w:spacing w:before="75" w:after="75" w:line="300" w:lineRule="atLeast"/>
        <w:jc w:val="left"/>
        <w:rPr>
          <w:rFonts w:ascii="仿宋" w:hAnsi="仿宋" w:cs="宋体"/>
          <w:kern w:val="0"/>
          <w:szCs w:val="21"/>
        </w:rPr>
      </w:pPr>
      <w:r>
        <w:rPr>
          <w:rFonts w:ascii="仿宋" w:hAnsi="仿宋" w:cs="宋体"/>
          <w:kern w:val="0"/>
          <w:szCs w:val="21"/>
        </w:rPr>
        <w:t>    </w:t>
      </w:r>
      <w:r>
        <w:rPr>
          <w:rFonts w:ascii="仿宋" w:hAnsi="仿宋" w:cs="宋体"/>
          <w:kern w:val="0"/>
          <w:szCs w:val="21"/>
        </w:rPr>
        <w:br w:type="textWrapping"/>
      </w:r>
      <w:r>
        <w:rPr>
          <w:rFonts w:ascii="仿宋" w:hAnsi="仿宋" w:cs="宋体"/>
          <w:kern w:val="0"/>
          <w:szCs w:val="21"/>
        </w:rPr>
        <w:t>    3.同级政府采购监督管理部门            </w:t>
      </w:r>
    </w:p>
    <w:p>
      <w:pPr>
        <w:widowControl/>
        <w:spacing w:before="75" w:after="75" w:line="300" w:lineRule="atLeast"/>
        <w:jc w:val="left"/>
        <w:rPr>
          <w:rFonts w:ascii="仿宋" w:hAnsi="仿宋" w:cs="宋体"/>
          <w:kern w:val="0"/>
          <w:szCs w:val="21"/>
        </w:rPr>
      </w:pPr>
      <w:r>
        <w:rPr>
          <w:rFonts w:ascii="仿宋" w:hAnsi="仿宋" w:cs="宋体"/>
          <w:kern w:val="0"/>
          <w:szCs w:val="21"/>
        </w:rPr>
        <w:t>    名    称：绍兴市柯桥区财政局              </w:t>
      </w:r>
    </w:p>
    <w:p>
      <w:pPr>
        <w:widowControl/>
        <w:spacing w:before="75" w:after="75" w:line="300" w:lineRule="atLeast"/>
        <w:jc w:val="left"/>
        <w:rPr>
          <w:rFonts w:ascii="仿宋" w:hAnsi="仿宋" w:cs="宋体"/>
          <w:kern w:val="0"/>
          <w:szCs w:val="21"/>
        </w:rPr>
      </w:pPr>
      <w:r>
        <w:rPr>
          <w:rFonts w:ascii="仿宋" w:hAnsi="仿宋" w:cs="宋体"/>
          <w:kern w:val="0"/>
          <w:szCs w:val="21"/>
        </w:rPr>
        <w:t>    地    址：绍兴市柯桥区育才路与群贤路交叉口              </w:t>
      </w:r>
    </w:p>
    <w:p>
      <w:pPr>
        <w:widowControl/>
        <w:spacing w:before="75" w:after="75" w:line="300" w:lineRule="atLeast"/>
        <w:jc w:val="left"/>
        <w:rPr>
          <w:rFonts w:ascii="仿宋" w:hAnsi="仿宋" w:cs="宋体"/>
          <w:kern w:val="0"/>
          <w:szCs w:val="21"/>
        </w:rPr>
      </w:pPr>
      <w:r>
        <w:rPr>
          <w:rFonts w:ascii="仿宋" w:hAnsi="仿宋" w:cs="宋体"/>
          <w:kern w:val="0"/>
          <w:szCs w:val="21"/>
        </w:rPr>
        <w:t>    传    真：/             </w:t>
      </w:r>
    </w:p>
    <w:p>
      <w:pPr>
        <w:widowControl/>
        <w:spacing w:before="75" w:after="75" w:line="300" w:lineRule="atLeast"/>
        <w:jc w:val="left"/>
        <w:rPr>
          <w:rFonts w:ascii="仿宋" w:hAnsi="仿宋" w:cs="宋体"/>
          <w:kern w:val="0"/>
          <w:szCs w:val="21"/>
        </w:rPr>
      </w:pPr>
      <w:r>
        <w:rPr>
          <w:rFonts w:ascii="仿宋" w:hAnsi="仿宋" w:cs="宋体"/>
          <w:kern w:val="0"/>
          <w:szCs w:val="21"/>
        </w:rPr>
        <w:t>    联系人 ：韩永刚             </w:t>
      </w:r>
    </w:p>
    <w:p>
      <w:pPr>
        <w:widowControl/>
        <w:spacing w:before="75" w:after="75" w:line="300" w:lineRule="atLeast"/>
        <w:jc w:val="left"/>
        <w:rPr>
          <w:rFonts w:ascii="仿宋" w:hAnsi="仿宋" w:cs="宋体"/>
          <w:kern w:val="0"/>
          <w:szCs w:val="21"/>
        </w:rPr>
      </w:pPr>
      <w:r>
        <w:rPr>
          <w:rFonts w:ascii="仿宋" w:hAnsi="仿宋" w:cs="宋体"/>
          <w:kern w:val="0"/>
          <w:szCs w:val="21"/>
        </w:rPr>
        <w:t>    监督投诉电话：0575-85583683           </w:t>
      </w:r>
      <w:r>
        <w:rPr>
          <w:rFonts w:ascii="仿宋" w:hAnsi="仿宋" w:cs="宋体"/>
          <w:kern w:val="0"/>
          <w:szCs w:val="21"/>
        </w:rPr>
        <w:br w:type="textWrapping"/>
      </w:r>
      <w:r>
        <w:rPr>
          <w:rFonts w:ascii="仿宋" w:hAnsi="仿宋" w:cs="宋体"/>
          <w:kern w:val="0"/>
          <w:szCs w:val="21"/>
        </w:rPr>
        <w:t>         </w:t>
      </w:r>
    </w:p>
    <w:p>
      <w:pPr>
        <w:widowControl/>
        <w:spacing w:before="75" w:after="75"/>
        <w:jc w:val="left"/>
        <w:rPr>
          <w:rFonts w:ascii="宋体" w:hAnsi="宋体" w:cs="宋体"/>
          <w:kern w:val="0"/>
          <w:szCs w:val="21"/>
        </w:rPr>
      </w:pPr>
    </w:p>
    <w:p>
      <w:pPr>
        <w:widowControl/>
        <w:jc w:val="left"/>
        <w:rPr>
          <w:rFonts w:ascii="仿宋" w:hAnsi="仿宋" w:cs="宋体"/>
          <w:kern w:val="0"/>
          <w:szCs w:val="21"/>
        </w:rPr>
      </w:pPr>
      <w:r>
        <w:rPr>
          <w:rFonts w:ascii="仿宋" w:hAnsi="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jc w:val="left"/>
        <w:rPr>
          <w:rFonts w:ascii="仿宋" w:hAnsi="仿宋" w:cs="宋体"/>
          <w:kern w:val="0"/>
          <w:szCs w:val="21"/>
        </w:rPr>
      </w:pPr>
      <w:r>
        <w:rPr>
          <w:rFonts w:ascii="仿宋" w:hAnsi="仿宋" w:cs="宋体"/>
          <w:kern w:val="0"/>
          <w:szCs w:val="21"/>
        </w:rPr>
        <w:t>CA问题联系电话（人工）：汇信CA 400-888-4636；天谷CA 400-087-8198。</w:t>
      </w:r>
    </w:p>
    <w:p>
      <w:pPr>
        <w:widowControl/>
        <w:spacing w:before="75" w:after="75"/>
        <w:jc w:val="left"/>
        <w:rPr>
          <w:rFonts w:ascii="宋体" w:hAnsi="宋体" w:cs="宋体"/>
          <w:kern w:val="0"/>
          <w:sz w:val="24"/>
        </w:rPr>
      </w:pPr>
    </w:p>
    <w:p>
      <w:pPr>
        <w:widowControl/>
        <w:jc w:val="left"/>
        <w:rPr>
          <w:rFonts w:hint="eastAsia" w:ascii="宋体" w:hAnsi="宋体" w:cs="宋体"/>
          <w:kern w:val="0"/>
          <w:sz w:val="24"/>
        </w:rPr>
      </w:pPr>
      <w:r>
        <w:rPr>
          <w:rFonts w:ascii="宋体" w:hAnsi="宋体" w:cs="宋体"/>
          <w:kern w:val="0"/>
          <w:sz w:val="24"/>
        </w:rPr>
        <w:t>  </w:t>
      </w:r>
    </w:p>
    <w:p>
      <w:pPr>
        <w:pStyle w:val="2"/>
        <w:numPr>
          <w:ilvl w:val="0"/>
          <w:numId w:val="0"/>
        </w:numPr>
        <w:spacing w:line="240" w:lineRule="auto"/>
        <w:ind w:firstLine="3514" w:firstLineChars="1250"/>
        <w:rPr>
          <w:rFonts w:hint="eastAsia" w:ascii="宋体" w:hAnsi="宋体"/>
          <w:color w:val="000000"/>
          <w:sz w:val="28"/>
          <w:szCs w:val="28"/>
        </w:rPr>
      </w:pPr>
      <w:r>
        <w:rPr>
          <w:rFonts w:hint="eastAsia" w:ascii="宋体" w:hAnsi="宋体"/>
          <w:color w:val="000000"/>
          <w:sz w:val="28"/>
          <w:szCs w:val="28"/>
        </w:rPr>
        <w:t>一、前附表</w:t>
      </w:r>
      <w:bookmarkEnd w:id="0"/>
      <w:bookmarkEnd w:id="1"/>
      <w:bookmarkEnd w:id="5"/>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序号</w:t>
            </w:r>
          </w:p>
        </w:tc>
        <w:tc>
          <w:tcPr>
            <w:tcW w:w="8382" w:type="dxa"/>
            <w:gridSpan w:val="2"/>
            <w:noWrap w:val="0"/>
            <w:vAlign w:val="center"/>
          </w:tcPr>
          <w:p>
            <w:pPr>
              <w:pStyle w:val="125"/>
              <w:spacing w:line="280" w:lineRule="exact"/>
              <w:rPr>
                <w:rFonts w:hint="eastAsia" w:hAnsi="宋体"/>
                <w:b w:val="0"/>
                <w:color w:val="000000"/>
                <w:sz w:val="21"/>
                <w:szCs w:val="21"/>
              </w:rPr>
            </w:pPr>
            <w:r>
              <w:rPr>
                <w:rFonts w:hint="eastAsia" w:hAnsi="宋体"/>
                <w:b w:val="0"/>
                <w:color w:val="000000"/>
                <w:sz w:val="21"/>
                <w:szCs w:val="21"/>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w:t>
            </w:r>
          </w:p>
        </w:tc>
        <w:tc>
          <w:tcPr>
            <w:tcW w:w="1100" w:type="dxa"/>
            <w:noWrap w:val="0"/>
            <w:vAlign w:val="center"/>
          </w:tcPr>
          <w:p>
            <w:pPr>
              <w:pStyle w:val="125"/>
              <w:spacing w:line="280" w:lineRule="exact"/>
              <w:jc w:val="both"/>
              <w:rPr>
                <w:rFonts w:hint="eastAsia" w:hAnsi="宋体"/>
                <w:b w:val="0"/>
                <w:color w:val="000000"/>
                <w:sz w:val="21"/>
                <w:szCs w:val="21"/>
              </w:rPr>
            </w:pPr>
            <w:r>
              <w:rPr>
                <w:rFonts w:hint="eastAsia" w:hAnsi="宋体"/>
                <w:b w:val="0"/>
                <w:color w:val="000000"/>
                <w:sz w:val="21"/>
                <w:szCs w:val="21"/>
              </w:rPr>
              <w:t>综合说明</w:t>
            </w:r>
          </w:p>
        </w:tc>
        <w:tc>
          <w:tcPr>
            <w:tcW w:w="7282" w:type="dxa"/>
            <w:noWrap w:val="0"/>
            <w:vAlign w:val="center"/>
          </w:tcPr>
          <w:p>
            <w:pPr>
              <w:pStyle w:val="125"/>
              <w:spacing w:line="360" w:lineRule="auto"/>
              <w:jc w:val="both"/>
              <w:rPr>
                <w:rFonts w:hint="eastAsia" w:hAnsi="宋体"/>
                <w:b w:val="0"/>
                <w:color w:val="000000"/>
                <w:sz w:val="21"/>
                <w:szCs w:val="21"/>
                <w:u w:val="single"/>
              </w:rPr>
            </w:pPr>
            <w:r>
              <w:rPr>
                <w:rFonts w:hint="eastAsia" w:hAnsi="宋体"/>
                <w:b w:val="0"/>
                <w:color w:val="000000"/>
                <w:sz w:val="21"/>
                <w:szCs w:val="21"/>
              </w:rPr>
              <w:t>1.采购项目名称：</w:t>
            </w:r>
            <w:r>
              <w:rPr>
                <w:rFonts w:hint="eastAsia" w:hAnsi="宋体"/>
                <w:b w:val="0"/>
                <w:color w:val="000000"/>
                <w:sz w:val="21"/>
                <w:u w:val="single"/>
              </w:rPr>
              <w:t>绍兴市公安局柯桥区分局”智慧安防小区”（主城区）建设项目</w:t>
            </w:r>
          </w:p>
          <w:p>
            <w:pPr>
              <w:pStyle w:val="125"/>
              <w:spacing w:line="360" w:lineRule="auto"/>
              <w:jc w:val="both"/>
              <w:rPr>
                <w:rFonts w:hint="eastAsia" w:hAnsi="宋体"/>
                <w:b w:val="0"/>
                <w:color w:val="000000"/>
                <w:sz w:val="21"/>
                <w:szCs w:val="21"/>
                <w:u w:val="single"/>
              </w:rPr>
            </w:pPr>
            <w:r>
              <w:rPr>
                <w:rFonts w:hint="eastAsia" w:hAnsi="宋体"/>
                <w:b w:val="0"/>
                <w:color w:val="000000"/>
                <w:sz w:val="21"/>
                <w:szCs w:val="21"/>
              </w:rPr>
              <w:t>2.采购项目内容：</w:t>
            </w:r>
            <w:r>
              <w:rPr>
                <w:rFonts w:hint="eastAsia" w:hAnsi="宋体"/>
                <w:b w:val="0"/>
                <w:color w:val="000000"/>
                <w:sz w:val="21"/>
                <w:szCs w:val="21"/>
                <w:u w:val="single"/>
              </w:rPr>
              <w:t>视频数据采集74套,人像数据采集430套，新建车辆信息数据采集51套,原有车辆数据采集336套。包括</w:t>
            </w:r>
            <w:r>
              <w:rPr>
                <w:rFonts w:hAnsi="宋体"/>
                <w:b w:val="0"/>
                <w:color w:val="000000"/>
                <w:sz w:val="21"/>
                <w:szCs w:val="21"/>
                <w:u w:val="single"/>
              </w:rPr>
              <w:t>前端</w:t>
            </w:r>
            <w:r>
              <w:rPr>
                <w:rFonts w:hint="eastAsia" w:hAnsi="宋体"/>
                <w:b w:val="0"/>
                <w:color w:val="000000"/>
                <w:sz w:val="21"/>
                <w:szCs w:val="21"/>
                <w:u w:val="single"/>
              </w:rPr>
              <w:t>摄像机，立杆辅材、</w:t>
            </w:r>
            <w:r>
              <w:rPr>
                <w:rFonts w:hAnsi="宋体"/>
                <w:b w:val="0"/>
                <w:color w:val="000000"/>
                <w:sz w:val="21"/>
                <w:szCs w:val="21"/>
                <w:u w:val="single"/>
              </w:rPr>
              <w:t>传输设备、</w:t>
            </w:r>
            <w:r>
              <w:rPr>
                <w:rFonts w:hint="eastAsia" w:hAnsi="宋体"/>
                <w:b w:val="0"/>
                <w:color w:val="000000"/>
                <w:sz w:val="21"/>
                <w:szCs w:val="21"/>
                <w:u w:val="single"/>
              </w:rPr>
              <w:t>流媒体转发设备、存储</w:t>
            </w:r>
            <w:r>
              <w:rPr>
                <w:rFonts w:hAnsi="宋体"/>
                <w:b w:val="0"/>
                <w:color w:val="000000"/>
                <w:sz w:val="21"/>
                <w:szCs w:val="21"/>
                <w:u w:val="single"/>
              </w:rPr>
              <w:t>设备</w:t>
            </w:r>
            <w:r>
              <w:rPr>
                <w:rFonts w:hint="eastAsia" w:hAnsi="宋体"/>
                <w:b w:val="0"/>
                <w:color w:val="000000"/>
                <w:sz w:val="21"/>
                <w:szCs w:val="21"/>
                <w:u w:val="single"/>
              </w:rPr>
              <w:t>等配套设备的安装、建设、供电，</w:t>
            </w:r>
            <w:r>
              <w:rPr>
                <w:rFonts w:hAnsi="宋体"/>
                <w:b w:val="0"/>
                <w:color w:val="000000"/>
                <w:sz w:val="21"/>
                <w:szCs w:val="21"/>
                <w:u w:val="single"/>
              </w:rPr>
              <w:t>监控点的光缆敷设，整个监控系统的维修维护服务、使用电费</w:t>
            </w:r>
            <w:r>
              <w:rPr>
                <w:rFonts w:hint="eastAsia" w:hAnsi="宋体"/>
                <w:b w:val="0"/>
                <w:color w:val="000000"/>
                <w:sz w:val="21"/>
                <w:szCs w:val="21"/>
                <w:u w:val="single"/>
              </w:rPr>
              <w:t>，提供430路人脸解析算法，同时将人像抓拍的图片流数据推送到市局人像平台</w:t>
            </w:r>
            <w:r>
              <w:rPr>
                <w:rFonts w:hAnsi="宋体"/>
                <w:b w:val="0"/>
                <w:color w:val="000000"/>
                <w:sz w:val="21"/>
                <w:szCs w:val="21"/>
                <w:u w:val="single"/>
              </w:rPr>
              <w:t>等内容</w:t>
            </w:r>
            <w:r>
              <w:rPr>
                <w:rFonts w:hint="eastAsia" w:hAnsi="宋体"/>
                <w:b w:val="0"/>
                <w:color w:val="000000"/>
                <w:sz w:val="21"/>
                <w:szCs w:val="21"/>
                <w:u w:val="single"/>
              </w:rPr>
              <w:t>，并为设备能正常运行提供专用的机房环境，以及7*24小时运维等服务，</w:t>
            </w:r>
            <w:r>
              <w:rPr>
                <w:rFonts w:hAnsi="宋体"/>
                <w:b w:val="0"/>
                <w:color w:val="000000"/>
                <w:sz w:val="21"/>
                <w:szCs w:val="21"/>
                <w:u w:val="single"/>
              </w:rPr>
              <w:t>详细内容详见招标文件。</w:t>
            </w:r>
          </w:p>
          <w:p>
            <w:pPr>
              <w:pStyle w:val="125"/>
              <w:spacing w:line="360" w:lineRule="auto"/>
              <w:jc w:val="both"/>
              <w:rPr>
                <w:rFonts w:hint="eastAsia" w:hAnsi="宋体"/>
                <w:b w:val="0"/>
                <w:color w:val="000000"/>
                <w:sz w:val="21"/>
                <w:szCs w:val="21"/>
              </w:rPr>
            </w:pPr>
            <w:r>
              <w:rPr>
                <w:rFonts w:hint="eastAsia" w:hAnsi="宋体"/>
                <w:b w:val="0"/>
                <w:color w:val="000000"/>
                <w:sz w:val="21"/>
                <w:szCs w:val="21"/>
              </w:rPr>
              <w:t>3.采购预算价：</w:t>
            </w:r>
            <w:r>
              <w:rPr>
                <w:rFonts w:hint="eastAsia" w:hAnsi="宋体"/>
                <w:b w:val="0"/>
                <w:color w:val="000000"/>
                <w:sz w:val="21"/>
                <w:szCs w:val="21"/>
                <w:u w:val="single"/>
              </w:rPr>
              <w:t>2577</w:t>
            </w:r>
            <w:r>
              <w:rPr>
                <w:rFonts w:hint="eastAsia" w:hAnsi="宋体"/>
                <w:b w:val="0"/>
                <w:color w:val="000000"/>
                <w:sz w:val="21"/>
                <w:szCs w:val="21"/>
              </w:rPr>
              <w:t>万元。</w:t>
            </w:r>
          </w:p>
          <w:p>
            <w:pPr>
              <w:pStyle w:val="125"/>
              <w:spacing w:line="360" w:lineRule="auto"/>
              <w:jc w:val="both"/>
              <w:rPr>
                <w:rFonts w:hint="eastAsia" w:hAnsi="宋体"/>
                <w:b w:val="0"/>
                <w:color w:val="000000"/>
                <w:sz w:val="21"/>
                <w:szCs w:val="21"/>
              </w:rPr>
            </w:pPr>
            <w:r>
              <w:rPr>
                <w:rFonts w:hint="eastAsia" w:hAnsi="宋体"/>
                <w:b w:val="0"/>
                <w:color w:val="000000"/>
                <w:sz w:val="21"/>
                <w:szCs w:val="21"/>
              </w:rPr>
              <w:t>4.采购项目交货地点：</w:t>
            </w:r>
            <w:r>
              <w:rPr>
                <w:rFonts w:hAnsi="宋体"/>
                <w:b w:val="0"/>
                <w:color w:val="000000"/>
                <w:sz w:val="21"/>
                <w:u w:val="single" w:color="000000"/>
              </w:rPr>
              <w:t>绍兴市公安局</w:t>
            </w:r>
            <w:r>
              <w:rPr>
                <w:rFonts w:hint="eastAsia" w:hAnsi="宋体"/>
                <w:b w:val="0"/>
                <w:color w:val="000000"/>
                <w:sz w:val="21"/>
                <w:u w:val="single" w:color="000000"/>
              </w:rPr>
              <w:t>柯桥区分局</w:t>
            </w:r>
            <w:r>
              <w:rPr>
                <w:rFonts w:hint="eastAsia" w:hAnsi="宋体"/>
                <w:b w:val="0"/>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2</w:t>
            </w:r>
          </w:p>
        </w:tc>
        <w:tc>
          <w:tcPr>
            <w:tcW w:w="8382" w:type="dxa"/>
            <w:gridSpan w:val="2"/>
            <w:noWrap w:val="0"/>
            <w:vAlign w:val="center"/>
          </w:tcPr>
          <w:p>
            <w:pPr>
              <w:pStyle w:val="125"/>
              <w:spacing w:line="280" w:lineRule="exact"/>
              <w:jc w:val="both"/>
              <w:rPr>
                <w:rFonts w:hint="eastAsia" w:hAnsi="宋体"/>
                <w:b w:val="0"/>
                <w:color w:val="000000"/>
                <w:sz w:val="21"/>
                <w:szCs w:val="21"/>
              </w:rPr>
            </w:pPr>
            <w:r>
              <w:rPr>
                <w:rFonts w:hint="eastAsia" w:hAnsi="宋体"/>
                <w:b w:val="0"/>
                <w:color w:val="000000"/>
                <w:sz w:val="21"/>
                <w:szCs w:val="21"/>
              </w:rPr>
              <w:t>资金来源：</w:t>
            </w:r>
            <w:r>
              <w:rPr>
                <w:rFonts w:hint="eastAsia" w:hAnsi="宋体"/>
                <w:b w:val="0"/>
                <w:color w:val="000000"/>
                <w:sz w:val="21"/>
                <w:szCs w:val="21"/>
                <w:u w:val="single"/>
              </w:rPr>
              <w:t xml:space="preserve">  财政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3</w:t>
            </w:r>
          </w:p>
        </w:tc>
        <w:tc>
          <w:tcPr>
            <w:tcW w:w="8382" w:type="dxa"/>
            <w:gridSpan w:val="2"/>
            <w:noWrap w:val="0"/>
            <w:vAlign w:val="center"/>
          </w:tcPr>
          <w:p>
            <w:pPr>
              <w:pStyle w:val="125"/>
              <w:spacing w:line="440" w:lineRule="exact"/>
              <w:jc w:val="both"/>
              <w:rPr>
                <w:rFonts w:hint="eastAsia" w:hAnsi="宋体" w:cs="宋体"/>
                <w:color w:val="000000"/>
                <w:kern w:val="0"/>
                <w:szCs w:val="21"/>
              </w:rPr>
            </w:pPr>
            <w:r>
              <w:rPr>
                <w:rFonts w:hint="eastAsia"/>
                <w:color w:val="000000"/>
              </w:rPr>
              <w:t>投标资格：</w:t>
            </w:r>
            <w:r>
              <w:rPr>
                <w:rFonts w:hint="eastAsia" w:hAnsi="宋体"/>
                <w:b w:val="0"/>
                <w:color w:val="000000"/>
                <w:sz w:val="21"/>
                <w:szCs w:val="21"/>
              </w:rPr>
              <w:t>①符合政府采购法第二十二条之规定；②未被列入失信被执行人、重大税收违法案件当事人名单和政府采购严重违法失信行为记录名单的供应商；③供应商须具有履行合同所必须的设备和专业技术能力,能在绍兴市柯桥区范围内提供公共网络基础设施、公共数据传送和基本话音通信服务的通信运</w:t>
            </w:r>
            <w:r>
              <w:rPr>
                <w:rFonts w:hAnsi="宋体"/>
                <w:b w:val="0"/>
                <w:color w:val="000000"/>
                <w:sz w:val="21"/>
                <w:szCs w:val="21"/>
              </w:rPr>
              <w:t>营</w:t>
            </w:r>
            <w:r>
              <w:rPr>
                <w:rFonts w:hint="eastAsia" w:hAnsi="宋体"/>
                <w:b w:val="0"/>
                <w:color w:val="000000"/>
                <w:sz w:val="21"/>
                <w:szCs w:val="21"/>
              </w:rPr>
              <w:t>商或</w:t>
            </w:r>
            <w:r>
              <w:rPr>
                <w:rFonts w:hAnsi="宋体"/>
                <w:b w:val="0"/>
                <w:color w:val="000000"/>
                <w:sz w:val="21"/>
                <w:szCs w:val="21"/>
              </w:rPr>
              <w:t>本地有线电视网络运营商</w:t>
            </w:r>
            <w:r>
              <w:rPr>
                <w:rFonts w:hint="eastAsia" w:hAnsi="宋体"/>
                <w:b w:val="0"/>
                <w:color w:val="000000"/>
                <w:sz w:val="21"/>
                <w:szCs w:val="21"/>
              </w:rPr>
              <w:t>。④如无独立法人资格的分支机构（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政府投标活动。⑤本次采购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4</w:t>
            </w:r>
          </w:p>
        </w:tc>
        <w:tc>
          <w:tcPr>
            <w:tcW w:w="8382" w:type="dxa"/>
            <w:gridSpan w:val="2"/>
            <w:noWrap w:val="0"/>
            <w:vAlign w:val="center"/>
          </w:tcPr>
          <w:p>
            <w:pPr>
              <w:pStyle w:val="126"/>
              <w:spacing w:line="280" w:lineRule="exact"/>
              <w:jc w:val="both"/>
              <w:rPr>
                <w:rFonts w:hint="eastAsia" w:hAnsi="宋体"/>
                <w:color w:val="000000"/>
                <w:sz w:val="21"/>
                <w:szCs w:val="21"/>
              </w:rPr>
            </w:pPr>
            <w:r>
              <w:rPr>
                <w:rFonts w:hint="eastAsia" w:hAnsi="宋体"/>
                <w:color w:val="000000"/>
                <w:sz w:val="21"/>
                <w:szCs w:val="21"/>
              </w:rPr>
              <w:t>投标有效期：90天（日历天数）（从投标截止之日算起）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5</w:t>
            </w:r>
          </w:p>
        </w:tc>
        <w:tc>
          <w:tcPr>
            <w:tcW w:w="8382" w:type="dxa"/>
            <w:gridSpan w:val="2"/>
            <w:noWrap w:val="0"/>
            <w:vAlign w:val="center"/>
          </w:tcPr>
          <w:p>
            <w:pPr>
              <w:widowControl/>
              <w:spacing w:line="280" w:lineRule="exact"/>
              <w:jc w:val="left"/>
              <w:rPr>
                <w:rFonts w:hint="eastAsia" w:ascii="宋体" w:hAnsi="宋体"/>
                <w:b/>
                <w:color w:val="000000"/>
                <w:szCs w:val="21"/>
              </w:rPr>
            </w:pPr>
            <w:r>
              <w:rPr>
                <w:rFonts w:hint="eastAsia" w:ascii="宋体" w:hAnsi="宋体" w:cs="宋体"/>
                <w:color w:val="000000"/>
                <w:kern w:val="0"/>
                <w:szCs w:val="21"/>
              </w:rPr>
              <w:t>投标保证金：无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6</w:t>
            </w:r>
          </w:p>
        </w:tc>
        <w:tc>
          <w:tcPr>
            <w:tcW w:w="8382" w:type="dxa"/>
            <w:gridSpan w:val="2"/>
            <w:noWrap w:val="0"/>
            <w:vAlign w:val="center"/>
          </w:tcPr>
          <w:p>
            <w:pPr>
              <w:pStyle w:val="126"/>
              <w:spacing w:line="280" w:lineRule="exact"/>
              <w:jc w:val="both"/>
              <w:rPr>
                <w:rFonts w:hint="eastAsia" w:hAnsi="宋体"/>
                <w:color w:val="000000"/>
                <w:sz w:val="21"/>
                <w:szCs w:val="21"/>
              </w:rPr>
            </w:pPr>
            <w:r>
              <w:rPr>
                <w:rFonts w:hint="eastAsia" w:hAnsi="宋体"/>
                <w:color w:val="000000"/>
                <w:sz w:val="21"/>
                <w:szCs w:val="21"/>
              </w:rPr>
              <w:t>合同履约保证金金额为：</w:t>
            </w:r>
            <w:r>
              <w:rPr>
                <w:rFonts w:hint="eastAsia"/>
                <w:sz w:val="21"/>
                <w:szCs w:val="21"/>
                <w:u w:val="single"/>
              </w:rPr>
              <w:t>合同价的5%</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7</w:t>
            </w:r>
          </w:p>
        </w:tc>
        <w:tc>
          <w:tcPr>
            <w:tcW w:w="8382" w:type="dxa"/>
            <w:gridSpan w:val="2"/>
            <w:noWrap w:val="0"/>
            <w:vAlign w:val="center"/>
          </w:tcPr>
          <w:p>
            <w:pPr>
              <w:pStyle w:val="125"/>
              <w:spacing w:line="280" w:lineRule="exact"/>
              <w:jc w:val="both"/>
              <w:rPr>
                <w:rFonts w:hAnsi="宋体"/>
                <w:b w:val="0"/>
                <w:color w:val="000000"/>
                <w:sz w:val="21"/>
                <w:szCs w:val="21"/>
              </w:rPr>
            </w:pPr>
            <w:r>
              <w:rPr>
                <w:rFonts w:hint="eastAsia" w:hAnsi="宋体"/>
                <w:b w:val="0"/>
                <w:color w:val="000000"/>
                <w:sz w:val="21"/>
                <w:szCs w:val="21"/>
              </w:rPr>
              <w:t>质量要求：</w:t>
            </w:r>
            <w:r>
              <w:rPr>
                <w:rFonts w:hint="eastAsia" w:hAnsi="宋体"/>
                <w:b w:val="0"/>
                <w:color w:val="000000"/>
                <w:sz w:val="21"/>
                <w:szCs w:val="21"/>
                <w:u w:val="single"/>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8</w:t>
            </w:r>
          </w:p>
        </w:tc>
        <w:tc>
          <w:tcPr>
            <w:tcW w:w="8382" w:type="dxa"/>
            <w:gridSpan w:val="2"/>
            <w:noWrap w:val="0"/>
            <w:vAlign w:val="center"/>
          </w:tcPr>
          <w:p>
            <w:pPr>
              <w:pStyle w:val="125"/>
              <w:spacing w:line="280" w:lineRule="exact"/>
              <w:jc w:val="both"/>
              <w:rPr>
                <w:rFonts w:hAnsi="宋体"/>
                <w:b w:val="0"/>
                <w:color w:val="000000"/>
                <w:sz w:val="21"/>
                <w:szCs w:val="21"/>
              </w:rPr>
            </w:pPr>
            <w:r>
              <w:rPr>
                <w:rFonts w:hint="eastAsia" w:hAnsi="宋体"/>
                <w:b w:val="0"/>
                <w:color w:val="000000"/>
                <w:sz w:val="21"/>
                <w:szCs w:val="21"/>
              </w:rPr>
              <w:t>现场勘察：</w:t>
            </w:r>
            <w:r>
              <w:rPr>
                <w:rFonts w:hint="eastAsia" w:hAnsi="宋体"/>
                <w:b w:val="0"/>
                <w:color w:val="000000"/>
                <w:sz w:val="21"/>
                <w:szCs w:val="21"/>
                <w:u w:val="single"/>
              </w:rPr>
              <w:t xml:space="preserve">    自行勘察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9</w:t>
            </w:r>
          </w:p>
        </w:tc>
        <w:tc>
          <w:tcPr>
            <w:tcW w:w="8382" w:type="dxa"/>
            <w:gridSpan w:val="2"/>
            <w:noWrap w:val="0"/>
            <w:vAlign w:val="center"/>
          </w:tcPr>
          <w:p>
            <w:pPr>
              <w:pStyle w:val="126"/>
              <w:spacing w:line="280" w:lineRule="exact"/>
              <w:rPr>
                <w:rFonts w:hAnsi="宋体"/>
                <w:color w:val="000000"/>
                <w:sz w:val="21"/>
                <w:szCs w:val="21"/>
              </w:rPr>
            </w:pPr>
            <w:r>
              <w:rPr>
                <w:rFonts w:hint="eastAsia" w:hAnsi="宋体"/>
                <w:color w:val="000000"/>
                <w:sz w:val="21"/>
                <w:szCs w:val="21"/>
              </w:rPr>
              <w:t>供货安装时间：</w:t>
            </w:r>
            <w:r>
              <w:rPr>
                <w:rFonts w:hint="eastAsia" w:hAnsi="宋体"/>
                <w:sz w:val="21"/>
              </w:rPr>
              <w:t>合同签订后</w:t>
            </w:r>
            <w:r>
              <w:rPr>
                <w:rFonts w:hint="eastAsia" w:hAnsi="宋体"/>
                <w:sz w:val="21"/>
                <w:u w:val="single"/>
              </w:rPr>
              <w:t>120</w:t>
            </w:r>
            <w:r>
              <w:rPr>
                <w:rFonts w:hint="eastAsia" w:hAnsi="宋体"/>
                <w:sz w:val="21"/>
              </w:rPr>
              <w:t>个日历天内完成所有设备的安装、调试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10</w:t>
            </w:r>
          </w:p>
        </w:tc>
        <w:tc>
          <w:tcPr>
            <w:tcW w:w="8382" w:type="dxa"/>
            <w:gridSpan w:val="2"/>
            <w:noWrap w:val="0"/>
            <w:vAlign w:val="center"/>
          </w:tcPr>
          <w:p>
            <w:pPr>
              <w:pStyle w:val="126"/>
              <w:spacing w:line="280" w:lineRule="exact"/>
              <w:rPr>
                <w:rFonts w:hint="eastAsia" w:hAnsi="宋体"/>
                <w:color w:val="000000"/>
                <w:sz w:val="21"/>
                <w:szCs w:val="21"/>
              </w:rPr>
            </w:pPr>
            <w:r>
              <w:rPr>
                <w:rFonts w:hint="eastAsia" w:hAnsi="宋体"/>
                <w:color w:val="000000"/>
                <w:sz w:val="21"/>
                <w:szCs w:val="21"/>
              </w:rPr>
              <w:t>采购文件的获取：自公告之日起至 2020年10月 23日16：00时截止，由供应商自行在网上下载。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11</w:t>
            </w:r>
          </w:p>
        </w:tc>
        <w:tc>
          <w:tcPr>
            <w:tcW w:w="8382" w:type="dxa"/>
            <w:gridSpan w:val="2"/>
            <w:noWrap w:val="0"/>
            <w:vAlign w:val="center"/>
          </w:tcPr>
          <w:p>
            <w:pPr>
              <w:pStyle w:val="126"/>
              <w:spacing w:line="280" w:lineRule="exact"/>
              <w:jc w:val="both"/>
              <w:rPr>
                <w:rFonts w:hint="eastAsia" w:hAnsi="宋体"/>
                <w:color w:val="000000"/>
                <w:sz w:val="21"/>
                <w:szCs w:val="21"/>
              </w:rPr>
            </w:pPr>
            <w:r>
              <w:rPr>
                <w:rFonts w:hint="eastAsia" w:hAnsi="宋体"/>
                <w:color w:val="000000"/>
                <w:sz w:val="21"/>
                <w:szCs w:val="21"/>
              </w:rPr>
              <w:t>投标供应商提出问题的截止时间：</w:t>
            </w:r>
            <w:r>
              <w:rPr>
                <w:rFonts w:hint="eastAsia" w:hAnsi="宋体"/>
                <w:color w:val="000000"/>
                <w:sz w:val="21"/>
                <w:szCs w:val="21"/>
                <w:u w:val="single"/>
              </w:rPr>
              <w:t xml:space="preserve"> 2020年10月 26日16:00时</w:t>
            </w:r>
            <w:r>
              <w:rPr>
                <w:rFonts w:hint="eastAsia" w:hAnsi="宋体"/>
                <w:color w:val="000000"/>
                <w:sz w:val="21"/>
                <w:szCs w:val="21"/>
              </w:rPr>
              <w:t>前按《采购公告》中的地址以书面形式通知采购代理机构。注明：投标提问书中需写明投标供应商名称（盖公章）、联系人、联系电话。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12</w:t>
            </w:r>
          </w:p>
        </w:tc>
        <w:tc>
          <w:tcPr>
            <w:tcW w:w="8382" w:type="dxa"/>
            <w:gridSpan w:val="2"/>
            <w:noWrap w:val="0"/>
            <w:vAlign w:val="center"/>
          </w:tcPr>
          <w:p>
            <w:pPr>
              <w:pStyle w:val="126"/>
              <w:spacing w:line="280" w:lineRule="exact"/>
              <w:jc w:val="both"/>
              <w:rPr>
                <w:rFonts w:hint="eastAsia" w:hAnsi="宋体"/>
                <w:color w:val="000000"/>
                <w:sz w:val="21"/>
                <w:szCs w:val="21"/>
              </w:rPr>
            </w:pPr>
            <w:r>
              <w:rPr>
                <w:rFonts w:hint="eastAsia" w:hAnsi="宋体"/>
                <w:color w:val="000000"/>
                <w:sz w:val="21"/>
                <w:szCs w:val="21"/>
              </w:rPr>
              <w:t>采购人澄清（答疑）和修改的时间：</w:t>
            </w:r>
            <w:r>
              <w:rPr>
                <w:rFonts w:hint="eastAsia" w:hAnsi="宋体"/>
                <w:color w:val="000000"/>
                <w:sz w:val="21"/>
                <w:szCs w:val="21"/>
                <w:u w:val="single"/>
              </w:rPr>
              <w:t xml:space="preserve"> 2020年10月 28 日16:00时</w:t>
            </w:r>
            <w:r>
              <w:rPr>
                <w:rFonts w:hint="eastAsia" w:hAnsi="宋体"/>
                <w:color w:val="000000"/>
                <w:sz w:val="21"/>
                <w:szCs w:val="21"/>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13</w:t>
            </w:r>
          </w:p>
        </w:tc>
        <w:tc>
          <w:tcPr>
            <w:tcW w:w="8382" w:type="dxa"/>
            <w:gridSpan w:val="2"/>
            <w:noWrap w:val="0"/>
            <w:vAlign w:val="center"/>
          </w:tcPr>
          <w:p>
            <w:pPr>
              <w:pStyle w:val="19"/>
              <w:spacing w:line="280" w:lineRule="exact"/>
              <w:rPr>
                <w:rFonts w:hAnsi="宋体"/>
                <w:kern w:val="2"/>
              </w:rPr>
            </w:pPr>
            <w:r>
              <w:rPr>
                <w:rFonts w:hint="eastAsia" w:hAnsi="宋体"/>
                <w:kern w:val="2"/>
              </w:rPr>
              <w:t>投标文件份数：</w:t>
            </w:r>
            <w:r>
              <w:rPr>
                <w:rFonts w:hint="eastAsia" w:hAnsi="宋体" w:cs="宋体"/>
                <w:kern w:val="2"/>
              </w:rPr>
              <w:t>本项目实行网上投标，供应商应准备电子投标文件，按政采云平台项目采购-电子招投标操作指南及本招标文件要求递交。</w:t>
            </w:r>
          </w:p>
          <w:p>
            <w:pPr>
              <w:pStyle w:val="19"/>
              <w:spacing w:line="280" w:lineRule="exact"/>
              <w:rPr>
                <w:rFonts w:hint="eastAsia" w:hAnsi="宋体"/>
                <w:bCs/>
                <w:color w:val="000000"/>
                <w:kern w:val="2"/>
              </w:rPr>
            </w:pPr>
            <w:r>
              <w:rPr>
                <w:rFonts w:hint="eastAsia" w:hAnsi="宋体"/>
                <w:b/>
                <w:kern w:val="2"/>
              </w:rPr>
              <w:t>注明：供应商需自行准备电脑和制作标书的</w:t>
            </w:r>
            <w:r>
              <w:rPr>
                <w:rFonts w:hAnsi="宋体"/>
                <w:b/>
                <w:kern w:val="2"/>
              </w:rPr>
              <w:t>CA</w:t>
            </w:r>
            <w:r>
              <w:rPr>
                <w:rFonts w:hint="eastAsia" w:hAnsi="宋体"/>
                <w:b/>
                <w:kern w:val="2"/>
              </w:rPr>
              <w:t>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14</w:t>
            </w:r>
          </w:p>
        </w:tc>
        <w:tc>
          <w:tcPr>
            <w:tcW w:w="8382" w:type="dxa"/>
            <w:gridSpan w:val="2"/>
            <w:noWrap w:val="0"/>
            <w:vAlign w:val="center"/>
          </w:tcPr>
          <w:p>
            <w:pPr>
              <w:pStyle w:val="126"/>
              <w:spacing w:line="280" w:lineRule="exact"/>
              <w:jc w:val="both"/>
              <w:rPr>
                <w:rFonts w:hint="eastAsia" w:hAnsi="宋体"/>
                <w:color w:val="000000"/>
                <w:sz w:val="21"/>
                <w:szCs w:val="21"/>
              </w:rPr>
            </w:pPr>
            <w:r>
              <w:rPr>
                <w:rFonts w:hint="eastAsia" w:hAnsi="宋体"/>
                <w:b/>
                <w:szCs w:val="21"/>
              </w:rPr>
              <w:t>投标截止时间及要求：</w:t>
            </w:r>
            <w:r>
              <w:rPr>
                <w:rFonts w:hint="eastAsia" w:hAnsi="宋体"/>
                <w:u w:val="single"/>
              </w:rPr>
              <w:t xml:space="preserve"> 2020 </w:t>
            </w:r>
            <w:r>
              <w:rPr>
                <w:rFonts w:hint="eastAsia" w:hAnsi="宋体"/>
              </w:rPr>
              <w:t>年</w:t>
            </w:r>
            <w:r>
              <w:rPr>
                <w:rFonts w:hint="eastAsia" w:hAnsi="宋体"/>
                <w:u w:val="single"/>
              </w:rPr>
              <w:t>11</w:t>
            </w:r>
            <w:r>
              <w:rPr>
                <w:rFonts w:hint="eastAsia" w:hAnsi="宋体"/>
              </w:rPr>
              <w:t>月</w:t>
            </w:r>
            <w:r>
              <w:rPr>
                <w:rFonts w:hint="eastAsia" w:hAnsi="宋体"/>
                <w:u w:val="single"/>
              </w:rPr>
              <w:t>5</w:t>
            </w:r>
            <w:r>
              <w:rPr>
                <w:rFonts w:hint="eastAsia" w:hAnsi="宋体"/>
              </w:rPr>
              <w:t>日上午</w:t>
            </w:r>
            <w:r>
              <w:rPr>
                <w:rFonts w:hint="eastAsia" w:hAnsi="宋体"/>
                <w:u w:val="single"/>
              </w:rPr>
              <w:t>9</w:t>
            </w:r>
            <w:r>
              <w:rPr>
                <w:rFonts w:hint="eastAsia" w:hAnsi="宋体"/>
              </w:rPr>
              <w:t>时</w:t>
            </w:r>
            <w:r>
              <w:rPr>
                <w:rFonts w:hint="eastAsia" w:hAnsi="宋体"/>
                <w:u w:val="single"/>
              </w:rPr>
              <w:t xml:space="preserve"> 30</w:t>
            </w:r>
            <w:r>
              <w:rPr>
                <w:rFonts w:hint="eastAsia" w:hAnsi="宋体"/>
              </w:rPr>
              <w:t>分整</w:t>
            </w:r>
            <w:r>
              <w:rPr>
                <w:rFonts w:hint="eastAsia" w:hAnsi="宋体" w:cs="宋体"/>
                <w:bCs/>
                <w:color w:val="000000"/>
                <w:kern w:val="0"/>
              </w:rPr>
              <w:t>之前将电子投标文件上传到“政采云”平台。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15</w:t>
            </w:r>
          </w:p>
        </w:tc>
        <w:tc>
          <w:tcPr>
            <w:tcW w:w="8382" w:type="dxa"/>
            <w:gridSpan w:val="2"/>
            <w:noWrap w:val="0"/>
            <w:vAlign w:val="center"/>
          </w:tcPr>
          <w:p>
            <w:pPr>
              <w:pStyle w:val="126"/>
              <w:spacing w:line="280" w:lineRule="exact"/>
              <w:jc w:val="both"/>
              <w:rPr>
                <w:rFonts w:hAnsi="宋体"/>
                <w:color w:val="000000"/>
                <w:sz w:val="21"/>
                <w:szCs w:val="21"/>
              </w:rPr>
            </w:pPr>
            <w:r>
              <w:rPr>
                <w:rFonts w:hAnsi="宋体"/>
                <w:color w:val="000000"/>
                <w:sz w:val="21"/>
                <w:szCs w:val="21"/>
              </w:rPr>
              <w:t>开标时间：</w:t>
            </w:r>
            <w:r>
              <w:rPr>
                <w:rFonts w:hint="eastAsia" w:hAnsi="宋体"/>
                <w:color w:val="000000"/>
                <w:sz w:val="21"/>
                <w:szCs w:val="21"/>
                <w:u w:val="single"/>
              </w:rPr>
              <w:t xml:space="preserve">2020 </w:t>
            </w:r>
            <w:r>
              <w:rPr>
                <w:rFonts w:hint="eastAsia" w:hAnsi="宋体"/>
                <w:color w:val="000000"/>
                <w:sz w:val="21"/>
                <w:szCs w:val="21"/>
              </w:rPr>
              <w:t>年</w:t>
            </w:r>
            <w:r>
              <w:rPr>
                <w:rFonts w:hint="eastAsia" w:hAnsi="宋体"/>
                <w:color w:val="000000"/>
                <w:sz w:val="21"/>
                <w:szCs w:val="21"/>
                <w:u w:val="single"/>
              </w:rPr>
              <w:t xml:space="preserve"> 11</w:t>
            </w:r>
            <w:r>
              <w:rPr>
                <w:rFonts w:hint="eastAsia" w:hAnsi="宋体"/>
                <w:color w:val="000000"/>
                <w:sz w:val="21"/>
                <w:szCs w:val="21"/>
              </w:rPr>
              <w:t>月</w:t>
            </w:r>
            <w:r>
              <w:rPr>
                <w:rFonts w:hint="eastAsia" w:hAnsi="宋体"/>
                <w:color w:val="000000"/>
                <w:sz w:val="21"/>
                <w:szCs w:val="21"/>
                <w:u w:val="single"/>
              </w:rPr>
              <w:t>5</w:t>
            </w:r>
            <w:r>
              <w:rPr>
                <w:rFonts w:hint="eastAsia" w:hAnsi="宋体"/>
                <w:color w:val="000000"/>
                <w:sz w:val="21"/>
                <w:szCs w:val="21"/>
              </w:rPr>
              <w:t>日</w:t>
            </w:r>
            <w:r>
              <w:rPr>
                <w:rFonts w:hint="eastAsia" w:hAnsi="宋体"/>
                <w:color w:val="000000"/>
                <w:sz w:val="21"/>
                <w:szCs w:val="21"/>
                <w:u w:val="single"/>
              </w:rPr>
              <w:t>上</w:t>
            </w:r>
            <w:r>
              <w:rPr>
                <w:rFonts w:hint="eastAsia" w:hAnsi="宋体"/>
                <w:color w:val="000000"/>
                <w:sz w:val="21"/>
                <w:szCs w:val="21"/>
              </w:rPr>
              <w:t>午</w:t>
            </w:r>
            <w:r>
              <w:rPr>
                <w:rFonts w:hint="eastAsia" w:hAnsi="宋体"/>
                <w:color w:val="000000"/>
                <w:sz w:val="21"/>
                <w:szCs w:val="21"/>
                <w:u w:val="single"/>
              </w:rPr>
              <w:t xml:space="preserve"> 9 </w:t>
            </w:r>
            <w:r>
              <w:rPr>
                <w:rFonts w:hint="eastAsia" w:hAnsi="宋体"/>
                <w:color w:val="000000"/>
                <w:sz w:val="21"/>
                <w:szCs w:val="21"/>
              </w:rPr>
              <w:t>时</w:t>
            </w:r>
            <w:r>
              <w:rPr>
                <w:rFonts w:hint="eastAsia" w:hAnsi="宋体"/>
                <w:color w:val="000000"/>
                <w:sz w:val="21"/>
                <w:szCs w:val="21"/>
                <w:u w:val="single"/>
              </w:rPr>
              <w:t xml:space="preserve"> 30</w:t>
            </w:r>
            <w:r>
              <w:rPr>
                <w:rFonts w:hint="eastAsia" w:hAnsi="宋体"/>
                <w:color w:val="000000"/>
                <w:sz w:val="21"/>
                <w:szCs w:val="21"/>
              </w:rPr>
              <w:t>分</w:t>
            </w:r>
          </w:p>
          <w:p>
            <w:pPr>
              <w:pStyle w:val="126"/>
              <w:spacing w:line="280" w:lineRule="exact"/>
              <w:jc w:val="both"/>
              <w:rPr>
                <w:rFonts w:hAnsi="宋体"/>
                <w:color w:val="000000"/>
                <w:sz w:val="21"/>
                <w:szCs w:val="21"/>
              </w:rPr>
            </w:pPr>
            <w:r>
              <w:rPr>
                <w:rFonts w:hAnsi="宋体"/>
                <w:color w:val="000000"/>
                <w:sz w:val="21"/>
                <w:szCs w:val="21"/>
              </w:rPr>
              <w:t>开标地点：绍兴市柯桥区华齐路1066号绍兴市柯桥区公共资源交易中心三楼</w:t>
            </w:r>
            <w:r>
              <w:rPr>
                <w:rFonts w:hint="eastAsia" w:hAnsi="宋体"/>
                <w:bCs/>
                <w:color w:val="000000"/>
                <w:spacing w:val="-10"/>
                <w:sz w:val="21"/>
                <w:szCs w:val="21"/>
                <w:u w:val="single"/>
              </w:rPr>
              <w:t>2</w:t>
            </w:r>
            <w:r>
              <w:rPr>
                <w:rFonts w:hint="eastAsia" w:hAnsi="宋体"/>
                <w:color w:val="000000"/>
                <w:spacing w:val="-10"/>
                <w:sz w:val="21"/>
                <w:szCs w:val="21"/>
              </w:rPr>
              <w:t>号交易室</w:t>
            </w:r>
            <w:r>
              <w:rPr>
                <w:rFonts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16</w:t>
            </w:r>
          </w:p>
        </w:tc>
        <w:tc>
          <w:tcPr>
            <w:tcW w:w="8382" w:type="dxa"/>
            <w:gridSpan w:val="2"/>
            <w:noWrap w:val="0"/>
            <w:vAlign w:val="center"/>
          </w:tcPr>
          <w:p>
            <w:pPr>
              <w:pStyle w:val="126"/>
              <w:spacing w:line="280" w:lineRule="exact"/>
              <w:jc w:val="both"/>
              <w:rPr>
                <w:rFonts w:hAnsi="宋体"/>
                <w:sz w:val="21"/>
                <w:szCs w:val="21"/>
              </w:rPr>
            </w:pPr>
            <w:r>
              <w:rPr>
                <w:rFonts w:hint="eastAsia" w:hAnsi="宋体"/>
                <w:sz w:val="21"/>
                <w:szCs w:val="21"/>
              </w:rPr>
              <w:t>其他需说明的内容：</w:t>
            </w:r>
          </w:p>
          <w:p>
            <w:pPr>
              <w:snapToGrid w:val="0"/>
              <w:spacing w:line="400" w:lineRule="exact"/>
              <w:rPr>
                <w:rFonts w:ascii="宋体" w:hAnsi="宋体" w:cs="宋体"/>
                <w:bCs/>
                <w:kern w:val="0"/>
                <w:sz w:val="24"/>
              </w:rPr>
            </w:pPr>
            <w:r>
              <w:rPr>
                <w:rFonts w:hAnsi="宋体"/>
                <w:bCs/>
                <w:kern w:val="0"/>
                <w:sz w:val="24"/>
              </w:rPr>
              <w:t>1</w:t>
            </w:r>
            <w:r>
              <w:rPr>
                <w:rFonts w:hint="eastAsia" w:hAnsi="宋体"/>
                <w:bCs/>
                <w:kern w:val="0"/>
                <w:sz w:val="24"/>
              </w:rPr>
              <w:t>、开标时间后一小时内</w:t>
            </w:r>
            <w:r>
              <w:rPr>
                <w:rFonts w:hint="eastAsia" w:hAnsi="宋体"/>
                <w:b/>
                <w:bCs/>
                <w:kern w:val="0"/>
                <w:sz w:val="24"/>
              </w:rPr>
              <w:t>（</w:t>
            </w:r>
            <w:r>
              <w:rPr>
                <w:b/>
                <w:bCs/>
                <w:kern w:val="0"/>
                <w:sz w:val="24"/>
              </w:rPr>
              <w:t>2020</w:t>
            </w:r>
            <w:r>
              <w:rPr>
                <w:rFonts w:hint="eastAsia" w:hAnsi="宋体"/>
                <w:b/>
                <w:bCs/>
                <w:kern w:val="0"/>
                <w:sz w:val="24"/>
              </w:rPr>
              <w:t>年</w:t>
            </w:r>
            <w:r>
              <w:rPr>
                <w:rFonts w:hint="eastAsia"/>
                <w:b/>
                <w:bCs/>
                <w:kern w:val="0"/>
                <w:sz w:val="24"/>
              </w:rPr>
              <w:t xml:space="preserve"> 11 </w:t>
            </w:r>
            <w:r>
              <w:rPr>
                <w:rFonts w:hint="eastAsia" w:hAnsi="宋体"/>
                <w:b/>
                <w:bCs/>
                <w:kern w:val="0"/>
                <w:sz w:val="24"/>
              </w:rPr>
              <w:t>月5日</w:t>
            </w:r>
            <w:r>
              <w:rPr>
                <w:rFonts w:hint="eastAsia"/>
                <w:b/>
                <w:bCs/>
                <w:kern w:val="0"/>
                <w:sz w:val="24"/>
              </w:rPr>
              <w:t>10:30</w:t>
            </w:r>
            <w:r>
              <w:rPr>
                <w:rFonts w:hint="eastAsia" w:hAnsi="宋体"/>
                <w:b/>
                <w:bCs/>
                <w:kern w:val="0"/>
                <w:sz w:val="24"/>
              </w:rPr>
              <w:t>前）</w:t>
            </w:r>
            <w:r>
              <w:rPr>
                <w:rFonts w:hint="eastAsia" w:hAnsi="宋体"/>
                <w:bCs/>
                <w:kern w:val="0"/>
                <w:sz w:val="24"/>
              </w:rPr>
              <w:t>供应商可以登录</w:t>
            </w:r>
            <w:r>
              <w:rPr>
                <w:bCs/>
                <w:kern w:val="0"/>
                <w:sz w:val="24"/>
              </w:rPr>
              <w:t>“</w:t>
            </w:r>
            <w:r>
              <w:rPr>
                <w:rFonts w:hint="eastAsia" w:hAnsi="宋体"/>
                <w:bCs/>
                <w:kern w:val="0"/>
                <w:sz w:val="24"/>
              </w:rPr>
              <w:t>政采云</w:t>
            </w:r>
            <w:r>
              <w:rPr>
                <w:bCs/>
                <w:kern w:val="0"/>
                <w:sz w:val="24"/>
              </w:rPr>
              <w:t>”</w:t>
            </w:r>
            <w:r>
              <w:rPr>
                <w:rFonts w:hint="eastAsia" w:hAnsi="宋体"/>
                <w:bCs/>
                <w:kern w:val="0"/>
                <w:sz w:val="24"/>
              </w:rPr>
              <w:t>平台，用</w:t>
            </w:r>
            <w:r>
              <w:rPr>
                <w:bCs/>
                <w:kern w:val="0"/>
                <w:sz w:val="24"/>
              </w:rPr>
              <w:t>“</w:t>
            </w:r>
            <w:r>
              <w:rPr>
                <w:rFonts w:hint="eastAsia" w:hAnsi="宋体"/>
                <w:bCs/>
                <w:kern w:val="0"/>
                <w:sz w:val="24"/>
              </w:rPr>
              <w:t>项目采购</w:t>
            </w:r>
            <w:r>
              <w:rPr>
                <w:bCs/>
                <w:kern w:val="0"/>
                <w:sz w:val="24"/>
              </w:rPr>
              <w:t>-</w:t>
            </w:r>
            <w:r>
              <w:rPr>
                <w:rFonts w:hint="eastAsia" w:hAnsi="宋体"/>
                <w:bCs/>
                <w:kern w:val="0"/>
                <w:sz w:val="24"/>
              </w:rPr>
              <w:t>开标评标</w:t>
            </w:r>
            <w:r>
              <w:rPr>
                <w:bCs/>
                <w:kern w:val="0"/>
                <w:sz w:val="24"/>
              </w:rPr>
              <w:t>”</w:t>
            </w:r>
            <w:r>
              <w:rPr>
                <w:rFonts w:hint="eastAsia" w:hAnsi="宋体"/>
                <w:bCs/>
                <w:kern w:val="0"/>
                <w:sz w:val="24"/>
              </w:rPr>
              <w:t>功能进行解密投标文件。若供应商在规定时间内</w:t>
            </w:r>
            <w:r>
              <w:rPr>
                <w:rFonts w:hint="eastAsia" w:hAnsi="宋体"/>
                <w:b/>
                <w:bCs/>
                <w:kern w:val="0"/>
                <w:sz w:val="24"/>
              </w:rPr>
              <w:t>（</w:t>
            </w:r>
            <w:r>
              <w:rPr>
                <w:b/>
                <w:bCs/>
                <w:kern w:val="0"/>
                <w:sz w:val="24"/>
              </w:rPr>
              <w:t>2020</w:t>
            </w:r>
            <w:r>
              <w:rPr>
                <w:rFonts w:hint="eastAsia" w:hAnsi="宋体"/>
                <w:b/>
                <w:bCs/>
                <w:kern w:val="0"/>
                <w:sz w:val="24"/>
              </w:rPr>
              <w:t>年</w:t>
            </w:r>
            <w:r>
              <w:rPr>
                <w:rFonts w:hint="eastAsia"/>
                <w:b/>
                <w:bCs/>
                <w:kern w:val="0"/>
                <w:sz w:val="24"/>
              </w:rPr>
              <w:t>11</w:t>
            </w:r>
            <w:r>
              <w:rPr>
                <w:rFonts w:hint="eastAsia" w:hAnsi="宋体"/>
                <w:b/>
                <w:bCs/>
                <w:kern w:val="0"/>
                <w:sz w:val="24"/>
              </w:rPr>
              <w:t>月</w:t>
            </w:r>
            <w:r>
              <w:rPr>
                <w:rFonts w:hint="eastAsia"/>
                <w:b/>
                <w:bCs/>
                <w:kern w:val="0"/>
                <w:sz w:val="24"/>
              </w:rPr>
              <w:t>5</w:t>
            </w:r>
            <w:r>
              <w:rPr>
                <w:rFonts w:hint="eastAsia" w:hAnsi="宋体"/>
                <w:b/>
                <w:bCs/>
                <w:kern w:val="0"/>
                <w:sz w:val="24"/>
              </w:rPr>
              <w:t>日</w:t>
            </w:r>
            <w:r>
              <w:rPr>
                <w:rFonts w:hint="eastAsia"/>
                <w:b/>
                <w:bCs/>
                <w:kern w:val="0"/>
                <w:sz w:val="24"/>
              </w:rPr>
              <w:t>10:30</w:t>
            </w:r>
            <w:r>
              <w:rPr>
                <w:rFonts w:hint="eastAsia" w:hAnsi="宋体"/>
                <w:b/>
                <w:bCs/>
                <w:kern w:val="0"/>
                <w:sz w:val="24"/>
              </w:rPr>
              <w:t>前）</w:t>
            </w:r>
            <w:r>
              <w:rPr>
                <w:rFonts w:hint="eastAsia" w:hAnsi="宋体"/>
                <w:bCs/>
                <w:kern w:val="0"/>
                <w:sz w:val="24"/>
              </w:rPr>
              <w:t>无法解密或解密失败，视为投标供应商放弃投标</w:t>
            </w:r>
            <w:r>
              <w:rPr>
                <w:rFonts w:hint="eastAsia" w:ascii="宋体" w:hAnsi="宋体" w:cs="宋体"/>
                <w:bCs/>
                <w:kern w:val="0"/>
                <w:sz w:val="24"/>
              </w:rPr>
              <w:t>。</w:t>
            </w:r>
          </w:p>
          <w:p>
            <w:pPr>
              <w:pStyle w:val="126"/>
              <w:spacing w:line="280" w:lineRule="exact"/>
              <w:jc w:val="both"/>
              <w:rPr>
                <w:rFonts w:hint="eastAsia" w:hAnsi="宋体" w:cs="宋体"/>
                <w:b/>
                <w:kern w:val="0"/>
                <w:szCs w:val="21"/>
              </w:rPr>
            </w:pPr>
            <w:r>
              <w:rPr>
                <w:rFonts w:hint="eastAsia" w:hAnsi="宋体" w:cs="宋体"/>
                <w:b/>
                <w:kern w:val="0"/>
                <w:szCs w:val="21"/>
              </w:rPr>
              <w:t>2、本招标文件所涉及的法定代表人或其委托代理人签字或盖章的内容，投标单位须盖法定代表人电子签章，如果投标单位没有法定代表人电子签章，涉及到法定代表人或其委托代理人的签字或盖章的内容，投标单位可以线下签字或盖章后扫描上传。</w:t>
            </w:r>
          </w:p>
          <w:p>
            <w:pPr>
              <w:pStyle w:val="126"/>
              <w:spacing w:line="280" w:lineRule="exact"/>
              <w:jc w:val="both"/>
              <w:rPr>
                <w:rFonts w:hAnsi="宋体"/>
                <w:b/>
                <w:bCs/>
                <w:color w:val="000000"/>
                <w:sz w:val="21"/>
                <w:szCs w:val="21"/>
              </w:rPr>
            </w:pPr>
            <w:r>
              <w:rPr>
                <w:rFonts w:hint="eastAsia" w:hAnsi="宋体"/>
                <w:b/>
                <w:color w:val="000000"/>
                <w:sz w:val="21"/>
              </w:rPr>
              <w:t>3.如</w:t>
            </w:r>
            <w:r>
              <w:rPr>
                <w:rFonts w:hAnsi="宋体"/>
                <w:b/>
                <w:color w:val="000000"/>
                <w:sz w:val="21"/>
              </w:rPr>
              <w:t>投标供应商</w:t>
            </w:r>
            <w:r>
              <w:rPr>
                <w:rFonts w:hint="eastAsia" w:hAnsi="宋体"/>
                <w:b/>
                <w:color w:val="000000"/>
                <w:sz w:val="21"/>
              </w:rPr>
              <w:t>为无</w:t>
            </w:r>
            <w:r>
              <w:rPr>
                <w:rFonts w:hAnsi="宋体"/>
                <w:b/>
                <w:color w:val="000000"/>
                <w:sz w:val="21"/>
              </w:rPr>
              <w:t>独立法人资格的</w:t>
            </w:r>
            <w:r>
              <w:rPr>
                <w:rFonts w:hint="eastAsia" w:hAnsi="宋体"/>
                <w:b/>
                <w:color w:val="000000"/>
                <w:sz w:val="21"/>
              </w:rPr>
              <w:t>分</w:t>
            </w:r>
            <w:r>
              <w:rPr>
                <w:rFonts w:hAnsi="宋体"/>
                <w:b/>
                <w:color w:val="000000"/>
                <w:sz w:val="21"/>
              </w:rPr>
              <w:t>公司</w:t>
            </w:r>
            <w:r>
              <w:rPr>
                <w:rFonts w:hint="eastAsia" w:hAnsi="宋体"/>
                <w:b/>
                <w:color w:val="000000"/>
                <w:sz w:val="21"/>
              </w:rPr>
              <w:t>，招</w:t>
            </w:r>
            <w:r>
              <w:rPr>
                <w:rFonts w:hAnsi="宋体"/>
                <w:b/>
                <w:color w:val="000000"/>
                <w:sz w:val="21"/>
              </w:rPr>
              <w:t>标文件中涉及</w:t>
            </w:r>
            <w:r>
              <w:rPr>
                <w:rFonts w:hint="eastAsia" w:hAnsi="宋体"/>
                <w:b/>
                <w:color w:val="000000"/>
                <w:sz w:val="21"/>
              </w:rPr>
              <w:t>的</w:t>
            </w:r>
            <w:r>
              <w:rPr>
                <w:rFonts w:hAnsi="宋体"/>
                <w:b/>
                <w:color w:val="000000"/>
                <w:sz w:val="21"/>
              </w:rPr>
              <w:t>“</w:t>
            </w:r>
            <w:r>
              <w:rPr>
                <w:rFonts w:hint="eastAsia" w:hAnsi="宋体"/>
                <w:b/>
                <w:color w:val="000000"/>
                <w:sz w:val="21"/>
              </w:rPr>
              <w:t>法</w:t>
            </w:r>
            <w:r>
              <w:rPr>
                <w:rFonts w:hAnsi="宋体"/>
                <w:b/>
                <w:color w:val="000000"/>
                <w:sz w:val="21"/>
              </w:rPr>
              <w:t>定代表人”</w:t>
            </w:r>
            <w:r>
              <w:rPr>
                <w:rFonts w:hint="eastAsia" w:hAnsi="宋体"/>
                <w:b/>
                <w:color w:val="000000"/>
                <w:sz w:val="21"/>
              </w:rPr>
              <w:t>的</w:t>
            </w:r>
            <w:r>
              <w:rPr>
                <w:rFonts w:hAnsi="宋体"/>
                <w:b/>
                <w:color w:val="000000"/>
                <w:sz w:val="21"/>
              </w:rPr>
              <w:t>相关事宜均指分公司负责人。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17</w:t>
            </w:r>
          </w:p>
        </w:tc>
        <w:tc>
          <w:tcPr>
            <w:tcW w:w="8382" w:type="dxa"/>
            <w:gridSpan w:val="2"/>
            <w:noWrap w:val="0"/>
            <w:vAlign w:val="center"/>
          </w:tcPr>
          <w:p>
            <w:pPr>
              <w:pStyle w:val="126"/>
              <w:spacing w:line="280" w:lineRule="exact"/>
              <w:rPr>
                <w:rFonts w:hAnsi="宋体"/>
                <w:color w:val="000000"/>
                <w:sz w:val="21"/>
                <w:szCs w:val="21"/>
              </w:rPr>
            </w:pPr>
            <w:r>
              <w:rPr>
                <w:rFonts w:hint="eastAsia" w:hAnsi="宋体"/>
                <w:color w:val="000000"/>
                <w:sz w:val="21"/>
                <w:szCs w:val="21"/>
              </w:rPr>
              <w:t>样品要求（包括样品内容、数量，样品提供时间、地址等要求）：</w:t>
            </w:r>
            <w:r>
              <w:rPr>
                <w:rFonts w:hint="eastAsia" w:hAnsi="宋体"/>
                <w:color w:val="000000"/>
                <w:sz w:val="21"/>
                <w:szCs w:val="21"/>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18</w:t>
            </w:r>
          </w:p>
        </w:tc>
        <w:tc>
          <w:tcPr>
            <w:tcW w:w="8382" w:type="dxa"/>
            <w:gridSpan w:val="2"/>
            <w:noWrap w:val="0"/>
            <w:vAlign w:val="center"/>
          </w:tcPr>
          <w:p>
            <w:pPr>
              <w:pStyle w:val="126"/>
              <w:spacing w:line="280" w:lineRule="exact"/>
              <w:jc w:val="both"/>
              <w:rPr>
                <w:rFonts w:hAnsi="宋体"/>
                <w:color w:val="000000"/>
                <w:sz w:val="21"/>
                <w:szCs w:val="21"/>
              </w:rPr>
            </w:pPr>
            <w:r>
              <w:rPr>
                <w:rFonts w:hAnsi="宋体"/>
                <w:color w:val="000000"/>
                <w:sz w:val="21"/>
                <w:szCs w:val="21"/>
              </w:rPr>
              <w:t>解释：凡涉及本次采购文件的解释权属于</w:t>
            </w:r>
            <w:r>
              <w:rPr>
                <w:rFonts w:hint="eastAsia" w:hAnsi="宋体"/>
                <w:color w:val="000000"/>
                <w:sz w:val="21"/>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19</w:t>
            </w:r>
          </w:p>
        </w:tc>
        <w:tc>
          <w:tcPr>
            <w:tcW w:w="8382" w:type="dxa"/>
            <w:gridSpan w:val="2"/>
            <w:noWrap w:val="0"/>
            <w:vAlign w:val="center"/>
          </w:tcPr>
          <w:p>
            <w:pPr>
              <w:pStyle w:val="126"/>
              <w:spacing w:line="280" w:lineRule="exact"/>
              <w:jc w:val="both"/>
              <w:rPr>
                <w:rFonts w:hAnsi="宋体"/>
                <w:bCs/>
                <w:color w:val="000000"/>
                <w:sz w:val="21"/>
                <w:szCs w:val="21"/>
              </w:rPr>
            </w:pPr>
            <w:r>
              <w:rPr>
                <w:color w:val="000000"/>
                <w:sz w:val="21"/>
                <w:szCs w:val="21"/>
              </w:rPr>
              <w:t>监管机构：</w:t>
            </w:r>
            <w:r>
              <w:rPr>
                <w:rFonts w:hAnsi="宋体"/>
                <w:bCs/>
                <w:color w:val="000000"/>
                <w:sz w:val="21"/>
                <w:szCs w:val="21"/>
              </w:rPr>
              <w:t>绍兴市柯桥区公共资源交易管理委员会办公室，联系电话：0575-84130780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0" w:type="dxa"/>
            <w:noWrap w:val="0"/>
            <w:vAlign w:val="center"/>
          </w:tcPr>
          <w:p>
            <w:pPr>
              <w:pStyle w:val="126"/>
              <w:spacing w:line="280" w:lineRule="exact"/>
              <w:jc w:val="center"/>
              <w:rPr>
                <w:rFonts w:hint="eastAsia" w:hAnsi="宋体"/>
                <w:color w:val="000000"/>
                <w:sz w:val="21"/>
                <w:szCs w:val="21"/>
              </w:rPr>
            </w:pPr>
            <w:r>
              <w:rPr>
                <w:rFonts w:hint="eastAsia" w:hAnsi="宋体"/>
                <w:color w:val="000000"/>
                <w:sz w:val="21"/>
                <w:szCs w:val="21"/>
              </w:rPr>
              <w:t>20</w:t>
            </w:r>
          </w:p>
        </w:tc>
        <w:tc>
          <w:tcPr>
            <w:tcW w:w="8382" w:type="dxa"/>
            <w:gridSpan w:val="2"/>
            <w:noWrap w:val="0"/>
            <w:vAlign w:val="center"/>
          </w:tcPr>
          <w:p>
            <w:pPr>
              <w:pStyle w:val="126"/>
              <w:spacing w:line="280" w:lineRule="exact"/>
              <w:jc w:val="both"/>
              <w:rPr>
                <w:color w:val="000000"/>
                <w:sz w:val="21"/>
                <w:szCs w:val="21"/>
              </w:rPr>
            </w:pPr>
            <w:r>
              <w:rPr>
                <w:rFonts w:hint="eastAsia" w:hAnsi="宋体"/>
                <w:bCs/>
                <w:color w:val="000000"/>
                <w:sz w:val="21"/>
                <w:szCs w:val="21"/>
              </w:rPr>
              <w:t>本项目设上限价，本次招标的上限价为2297万元，超过上限价的，作无效标处理</w:t>
            </w:r>
            <w:r>
              <w:rPr>
                <w:rFonts w:hAnsi="宋体"/>
                <w:bCs/>
                <w:color w:val="000000"/>
                <w:sz w:val="21"/>
                <w:szCs w:val="21"/>
              </w:rPr>
              <w:t>。</w:t>
            </w:r>
          </w:p>
        </w:tc>
      </w:tr>
      <w:bookmarkEnd w:id="2"/>
      <w:bookmarkEnd w:id="3"/>
    </w:tbl>
    <w:p>
      <w:pPr>
        <w:rPr>
          <w:rFonts w:hint="eastAsia"/>
          <w:color w:val="000000"/>
        </w:rPr>
      </w:pPr>
      <w:bookmarkStart w:id="6" w:name="_Toc156723282"/>
      <w:bookmarkStart w:id="7" w:name="_Toc247966915"/>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numPr>
          <w:ilvl w:val="0"/>
          <w:numId w:val="0"/>
        </w:numPr>
        <w:tabs>
          <w:tab w:val="left" w:pos="0"/>
        </w:tabs>
        <w:spacing w:before="0" w:after="0" w:line="440" w:lineRule="exact"/>
        <w:jc w:val="center"/>
        <w:rPr>
          <w:rFonts w:hint="eastAsia" w:ascii="宋体" w:hAnsi="宋体"/>
          <w:color w:val="000000"/>
          <w:sz w:val="28"/>
          <w:szCs w:val="28"/>
        </w:rPr>
      </w:pPr>
      <w:bookmarkStart w:id="8" w:name="_Toc46418577"/>
      <w:r>
        <w:rPr>
          <w:rFonts w:hint="eastAsia" w:ascii="宋体" w:hAnsi="宋体"/>
          <w:color w:val="000000"/>
          <w:sz w:val="28"/>
          <w:szCs w:val="28"/>
        </w:rPr>
        <w:t>二、供应商须知</w:t>
      </w:r>
      <w:bookmarkEnd w:id="6"/>
      <w:bookmarkEnd w:id="7"/>
      <w:bookmarkEnd w:id="8"/>
    </w:p>
    <w:p>
      <w:pPr>
        <w:spacing w:line="440" w:lineRule="exact"/>
        <w:ind w:firstLine="480" w:firstLineChars="200"/>
        <w:rPr>
          <w:rFonts w:hint="eastAsia" w:ascii="宋体" w:hAnsi="宋体"/>
          <w:color w:val="000000"/>
          <w:sz w:val="24"/>
        </w:rPr>
      </w:pPr>
    </w:p>
    <w:p>
      <w:pPr>
        <w:spacing w:line="440" w:lineRule="exact"/>
        <w:ind w:firstLine="482" w:firstLineChars="200"/>
        <w:rPr>
          <w:rFonts w:hint="eastAsia" w:ascii="宋体" w:hAnsi="宋体"/>
          <w:b/>
          <w:color w:val="000000"/>
          <w:sz w:val="24"/>
        </w:rPr>
      </w:pPr>
      <w:r>
        <w:rPr>
          <w:rFonts w:hint="eastAsia" w:ascii="宋体" w:hAnsi="宋体"/>
          <w:b/>
          <w:color w:val="000000"/>
          <w:sz w:val="24"/>
        </w:rPr>
        <w:t>2.1采购方式：公开招标。</w:t>
      </w:r>
    </w:p>
    <w:p>
      <w:pPr>
        <w:spacing w:line="440" w:lineRule="exact"/>
        <w:ind w:firstLine="482" w:firstLineChars="200"/>
        <w:rPr>
          <w:rFonts w:hint="eastAsia" w:ascii="宋体" w:hAnsi="宋体"/>
          <w:b/>
          <w:color w:val="000000"/>
          <w:sz w:val="24"/>
        </w:rPr>
      </w:pPr>
      <w:r>
        <w:rPr>
          <w:rFonts w:hint="eastAsia" w:ascii="宋体" w:hAnsi="宋体"/>
          <w:b/>
          <w:color w:val="000000"/>
          <w:sz w:val="24"/>
        </w:rPr>
        <w:t>2.2合格的供应商</w:t>
      </w:r>
    </w:p>
    <w:p>
      <w:pPr>
        <w:spacing w:line="440" w:lineRule="exact"/>
        <w:rPr>
          <w:rFonts w:hint="eastAsia" w:ascii="宋体" w:hAnsi="宋体"/>
          <w:color w:val="000000"/>
          <w:sz w:val="24"/>
        </w:rPr>
      </w:pPr>
      <w:r>
        <w:rPr>
          <w:rFonts w:hint="eastAsia" w:ascii="宋体" w:hAnsi="宋体"/>
          <w:color w:val="000000"/>
          <w:sz w:val="24"/>
        </w:rPr>
        <w:t>　　凡符合前附表第3项要求，有生产（或供应）、服务能力的国内企业，在国内注册的外国独资或中外合资、合作企业，符合并承认和履行采购文件中的各项规定者，均可参加投标。</w:t>
      </w:r>
    </w:p>
    <w:p>
      <w:pPr>
        <w:spacing w:line="440" w:lineRule="exact"/>
        <w:ind w:firstLine="480"/>
        <w:rPr>
          <w:rFonts w:hint="eastAsia" w:ascii="宋体" w:hAnsi="宋体"/>
          <w:b/>
          <w:color w:val="000000"/>
          <w:sz w:val="24"/>
        </w:rPr>
      </w:pPr>
      <w:r>
        <w:rPr>
          <w:rFonts w:hint="eastAsia" w:ascii="宋体" w:hAnsi="宋体"/>
          <w:b/>
          <w:color w:val="000000"/>
          <w:sz w:val="24"/>
        </w:rPr>
        <w:t>2.3联合投标</w:t>
      </w:r>
    </w:p>
    <w:p>
      <w:pPr>
        <w:pStyle w:val="16"/>
        <w:tabs>
          <w:tab w:val="left" w:pos="5520"/>
        </w:tabs>
        <w:spacing w:after="0" w:line="440" w:lineRule="exact"/>
        <w:rPr>
          <w:rFonts w:hint="eastAsia" w:ascii="宋体" w:hAnsi="宋体"/>
          <w:color w:val="000000"/>
          <w:sz w:val="24"/>
        </w:rPr>
      </w:pPr>
      <w:r>
        <w:rPr>
          <w:rFonts w:hint="eastAsia" w:ascii="宋体" w:hAnsi="宋体"/>
          <w:color w:val="000000"/>
          <w:sz w:val="24"/>
        </w:rPr>
        <w:t>2.3.1不接受联合体投标。</w:t>
      </w:r>
      <w:r>
        <w:rPr>
          <w:rFonts w:ascii="宋体" w:hAnsi="宋体"/>
          <w:color w:val="000000"/>
          <w:sz w:val="24"/>
        </w:rPr>
        <w:tab/>
      </w:r>
    </w:p>
    <w:p>
      <w:pPr>
        <w:spacing w:line="440" w:lineRule="exact"/>
        <w:ind w:firstLine="482" w:firstLineChars="200"/>
        <w:rPr>
          <w:rFonts w:hint="eastAsia" w:ascii="宋体" w:hAnsi="宋体"/>
          <w:b/>
          <w:color w:val="000000"/>
          <w:sz w:val="24"/>
        </w:rPr>
      </w:pPr>
      <w:r>
        <w:rPr>
          <w:rFonts w:hint="eastAsia" w:ascii="宋体" w:hAnsi="宋体"/>
          <w:b/>
          <w:color w:val="000000"/>
          <w:sz w:val="24"/>
        </w:rPr>
        <w:t>2.4采购文件的澄清（答疑）和修改</w:t>
      </w:r>
    </w:p>
    <w:p>
      <w:pPr>
        <w:spacing w:line="440" w:lineRule="exact"/>
        <w:ind w:firstLine="480" w:firstLineChars="200"/>
        <w:rPr>
          <w:rFonts w:hint="eastAsia" w:ascii="宋体" w:hAnsi="宋体"/>
          <w:color w:val="000000"/>
          <w:sz w:val="24"/>
        </w:rPr>
      </w:pPr>
      <w:r>
        <w:rPr>
          <w:rFonts w:hint="eastAsia" w:ascii="宋体" w:hAnsi="宋体"/>
          <w:color w:val="000000"/>
          <w:sz w:val="24"/>
        </w:rPr>
        <w:t>2.4.1供应商在获得采购文件后，如有疑问，须按前附表的时间要求，以书面形式通知采购人，除非采购人认为确有必要澄清、答复，否则，采购人有权拒绝回复投标人在规定的时间后的任何澄清要求。</w:t>
      </w:r>
    </w:p>
    <w:p>
      <w:pPr>
        <w:spacing w:line="440" w:lineRule="exact"/>
        <w:ind w:firstLine="480" w:firstLineChars="200"/>
        <w:rPr>
          <w:rFonts w:hint="eastAsia" w:ascii="仿宋_GB2312" w:hAnsi="宋体" w:eastAsia="仿宋_GB2312"/>
          <w:color w:val="000000"/>
        </w:rPr>
      </w:pPr>
      <w:r>
        <w:rPr>
          <w:rFonts w:hint="eastAsia" w:ascii="宋体" w:hAnsi="宋体"/>
          <w:color w:val="000000"/>
          <w:sz w:val="24"/>
        </w:rPr>
        <w:t>2.4.2对在前附表规定时间前收到的疑问，采购人应在答疑回复截止时间之前，对供应商提出的问题予以澄清、答复；或者在投标截止前的任何时候，采购人需要对采购文件进行补充或修改的，招标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440" w:lineRule="exact"/>
        <w:ind w:firstLine="480" w:firstLineChars="200"/>
        <w:rPr>
          <w:rFonts w:hint="eastAsia" w:ascii="仿宋_GB2312" w:hAnsi="宋体" w:eastAsia="仿宋_GB2312"/>
          <w:color w:val="000000"/>
        </w:rPr>
      </w:pPr>
      <w:r>
        <w:rPr>
          <w:rFonts w:hint="eastAsia" w:ascii="宋体" w:hAnsi="宋体"/>
          <w:color w:val="000000"/>
          <w:sz w:val="24"/>
        </w:rPr>
        <w:t>2.4.3澄清或修改公告的内容为采购文件的组成部分。当招标文件与澄清或修改公告就同一内容的表述不一致时，以最后发出的文件内容为准。</w:t>
      </w:r>
    </w:p>
    <w:p>
      <w:pPr>
        <w:pStyle w:val="19"/>
        <w:spacing w:line="440" w:lineRule="exact"/>
        <w:ind w:firstLine="480"/>
        <w:rPr>
          <w:rFonts w:hint="eastAsia" w:hAnsi="宋体"/>
          <w:b/>
          <w:color w:val="000000"/>
          <w:sz w:val="24"/>
        </w:rPr>
      </w:pPr>
      <w:r>
        <w:rPr>
          <w:rFonts w:hint="eastAsia" w:hAnsi="宋体"/>
          <w:b/>
          <w:color w:val="000000"/>
          <w:sz w:val="24"/>
        </w:rPr>
        <w:t>2.5现场勘察</w:t>
      </w:r>
    </w:p>
    <w:p>
      <w:pPr>
        <w:spacing w:line="440" w:lineRule="exact"/>
        <w:ind w:firstLine="470" w:firstLineChars="196"/>
        <w:rPr>
          <w:rFonts w:hint="eastAsia" w:ascii="宋体" w:hAnsi="宋体"/>
          <w:color w:val="000000"/>
          <w:sz w:val="24"/>
        </w:rPr>
      </w:pPr>
      <w:r>
        <w:rPr>
          <w:rFonts w:hint="eastAsia" w:ascii="宋体" w:hAnsi="宋体"/>
          <w:color w:val="000000"/>
          <w:sz w:val="24"/>
        </w:rPr>
        <w:t>2.5.1</w:t>
      </w:r>
      <w:r>
        <w:rPr>
          <w:rFonts w:hint="eastAsia" w:hAnsi="宋体"/>
          <w:color w:val="000000"/>
          <w:sz w:val="24"/>
        </w:rPr>
        <w:t>为使投标供应商对</w:t>
      </w:r>
      <w:r>
        <w:rPr>
          <w:rFonts w:hint="eastAsia" w:hAnsi="宋体"/>
          <w:bCs/>
          <w:color w:val="000000"/>
          <w:sz w:val="24"/>
        </w:rPr>
        <w:t>本采购项目</w:t>
      </w:r>
      <w:r>
        <w:rPr>
          <w:rFonts w:hint="eastAsia" w:hAnsi="宋体"/>
          <w:color w:val="000000"/>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19"/>
        <w:spacing w:line="440" w:lineRule="exact"/>
        <w:ind w:firstLine="480"/>
        <w:rPr>
          <w:rFonts w:hint="eastAsia" w:hAnsi="宋体"/>
          <w:color w:val="000000"/>
          <w:sz w:val="24"/>
        </w:rPr>
      </w:pPr>
      <w:r>
        <w:rPr>
          <w:rFonts w:hint="eastAsia" w:hAnsi="宋体"/>
          <w:color w:val="000000"/>
          <w:sz w:val="24"/>
        </w:rPr>
        <w:t>2.5.2现场勘察完毕，将认为供应商已了解现场情况，并充分理解了为之所承担的风险、义务和责任。</w:t>
      </w:r>
    </w:p>
    <w:p>
      <w:pPr>
        <w:pStyle w:val="19"/>
        <w:spacing w:line="440" w:lineRule="exact"/>
        <w:ind w:firstLine="480"/>
        <w:rPr>
          <w:rFonts w:hint="eastAsia" w:hAnsi="宋体"/>
          <w:color w:val="000000"/>
          <w:sz w:val="24"/>
        </w:rPr>
      </w:pPr>
      <w:r>
        <w:rPr>
          <w:rFonts w:hint="eastAsia" w:hAnsi="宋体"/>
          <w:color w:val="000000"/>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440" w:lineRule="exact"/>
        <w:ind w:firstLine="470" w:firstLineChars="196"/>
        <w:rPr>
          <w:rFonts w:hint="eastAsia" w:ascii="宋体" w:hAnsi="宋体"/>
          <w:color w:val="000000"/>
          <w:sz w:val="24"/>
        </w:rPr>
      </w:pPr>
      <w:r>
        <w:rPr>
          <w:rFonts w:hint="eastAsia" w:ascii="宋体" w:hAnsi="宋体"/>
          <w:color w:val="000000"/>
          <w:sz w:val="24"/>
        </w:rPr>
        <w:t>2.6采购文件作为报价、评标、定标、签订供货（含安装调试）合同的依据。如有异议，应在招标答疑时提出。否则，将视作认同。</w:t>
      </w:r>
    </w:p>
    <w:p>
      <w:pPr>
        <w:spacing w:line="440" w:lineRule="exact"/>
        <w:ind w:firstLine="480" w:firstLineChars="200"/>
        <w:rPr>
          <w:rFonts w:hint="eastAsia" w:ascii="宋体" w:hAnsi="宋体"/>
          <w:color w:val="000000"/>
          <w:sz w:val="24"/>
        </w:rPr>
      </w:pPr>
      <w:r>
        <w:rPr>
          <w:rFonts w:hint="eastAsia" w:ascii="宋体" w:hAnsi="宋体"/>
          <w:color w:val="000000"/>
          <w:sz w:val="24"/>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440" w:lineRule="exact"/>
        <w:ind w:firstLine="472" w:firstLineChars="196"/>
        <w:rPr>
          <w:rFonts w:hint="eastAsia" w:ascii="宋体" w:hAnsi="宋体"/>
          <w:b/>
          <w:color w:val="000000"/>
          <w:sz w:val="24"/>
        </w:rPr>
      </w:pPr>
      <w:r>
        <w:rPr>
          <w:rFonts w:hint="eastAsia" w:ascii="宋体" w:hAnsi="宋体"/>
          <w:b/>
          <w:color w:val="000000"/>
          <w:sz w:val="24"/>
        </w:rPr>
        <w:t>2.8投标文件的组成与编制</w:t>
      </w:r>
    </w:p>
    <w:p>
      <w:pPr>
        <w:autoSpaceDE w:val="0"/>
        <w:autoSpaceDN w:val="0"/>
        <w:adjustRightInd w:val="0"/>
        <w:spacing w:line="440" w:lineRule="exact"/>
        <w:ind w:firstLine="470" w:firstLineChars="196"/>
        <w:rPr>
          <w:rFonts w:hint="eastAsia" w:ascii="宋体" w:hAnsi="宋体"/>
          <w:sz w:val="24"/>
        </w:rPr>
      </w:pPr>
      <w:r>
        <w:rPr>
          <w:rFonts w:hint="eastAsia" w:ascii="宋体" w:hAnsi="宋体"/>
          <w:sz w:val="24"/>
          <w:u w:val="single"/>
        </w:rPr>
        <w:t>投标文件由资格（资信）证明文件、商务技术标、价格标共三部分组成</w:t>
      </w:r>
      <w:r>
        <w:rPr>
          <w:rFonts w:hint="eastAsia" w:ascii="宋体" w:hAnsi="宋体"/>
          <w:sz w:val="24"/>
        </w:rPr>
        <w:t>。资格（资信）证明文件按第三章节顺序编制，其他应包括下列内容并按以下顺序编制：</w:t>
      </w:r>
    </w:p>
    <w:p>
      <w:pPr>
        <w:spacing w:line="440" w:lineRule="exact"/>
        <w:ind w:firstLine="480"/>
        <w:rPr>
          <w:rFonts w:ascii="宋体"/>
          <w:sz w:val="24"/>
        </w:rPr>
      </w:pPr>
      <w:r>
        <w:rPr>
          <w:rFonts w:ascii="宋体" w:hAnsi="宋体"/>
          <w:sz w:val="24"/>
        </w:rPr>
        <w:t>2.8.1</w:t>
      </w:r>
      <w:r>
        <w:rPr>
          <w:rFonts w:hint="eastAsia" w:ascii="宋体" w:hAnsi="宋体"/>
          <w:sz w:val="24"/>
        </w:rPr>
        <w:t>商务技术标：</w:t>
      </w:r>
    </w:p>
    <w:p>
      <w:pPr>
        <w:autoSpaceDE w:val="0"/>
        <w:autoSpaceDN w:val="0"/>
        <w:spacing w:line="440" w:lineRule="exact"/>
        <w:ind w:firstLine="480" w:firstLineChars="200"/>
        <w:textAlignment w:val="bottom"/>
        <w:rPr>
          <w:rFonts w:ascii="宋体" w:hAnsi="宋体"/>
          <w:sz w:val="24"/>
        </w:rPr>
      </w:pPr>
      <w:r>
        <w:rPr>
          <w:rFonts w:ascii="宋体" w:hAnsi="宋体"/>
          <w:sz w:val="24"/>
        </w:rPr>
        <w:t>2.8.1.1</w:t>
      </w:r>
      <w:r>
        <w:rPr>
          <w:rFonts w:hint="eastAsia" w:ascii="宋体" w:hAnsi="宋体"/>
          <w:sz w:val="24"/>
        </w:rPr>
        <w:t>投标函（附件一）；</w:t>
      </w:r>
    </w:p>
    <w:p>
      <w:pPr>
        <w:spacing w:line="440" w:lineRule="exact"/>
        <w:ind w:firstLine="480"/>
        <w:rPr>
          <w:rFonts w:ascii="宋体"/>
          <w:sz w:val="24"/>
        </w:rPr>
      </w:pPr>
      <w:r>
        <w:rPr>
          <w:rFonts w:ascii="宋体" w:hAnsi="宋体"/>
          <w:sz w:val="24"/>
        </w:rPr>
        <w:t>2.8.</w:t>
      </w:r>
      <w:r>
        <w:rPr>
          <w:rFonts w:hint="eastAsia" w:ascii="宋体" w:hAnsi="宋体"/>
          <w:sz w:val="24"/>
        </w:rPr>
        <w:t>1</w:t>
      </w:r>
      <w:r>
        <w:rPr>
          <w:rFonts w:ascii="宋体" w:hAnsi="宋体" w:cs="宋体"/>
          <w:sz w:val="24"/>
        </w:rPr>
        <w:t>.</w:t>
      </w:r>
      <w:r>
        <w:rPr>
          <w:rFonts w:hint="eastAsia" w:ascii="宋体" w:hAnsi="宋体" w:cs="宋体"/>
          <w:sz w:val="24"/>
        </w:rPr>
        <w:t>2投标技术方案和人力资源安排（附件五）；</w:t>
      </w:r>
    </w:p>
    <w:p>
      <w:pPr>
        <w:spacing w:line="440" w:lineRule="exact"/>
        <w:ind w:firstLine="480"/>
        <w:rPr>
          <w:rFonts w:ascii="宋体"/>
          <w:sz w:val="24"/>
        </w:rPr>
      </w:pPr>
      <w:r>
        <w:rPr>
          <w:rFonts w:ascii="宋体" w:hAnsi="宋体"/>
          <w:sz w:val="24"/>
        </w:rPr>
        <w:t>2.8.</w:t>
      </w:r>
      <w:r>
        <w:rPr>
          <w:rFonts w:hint="eastAsia" w:ascii="宋体" w:hAnsi="宋体"/>
          <w:sz w:val="24"/>
        </w:rPr>
        <w:t>1</w:t>
      </w:r>
      <w:r>
        <w:rPr>
          <w:rFonts w:ascii="宋体" w:hAnsi="宋体" w:cs="宋体"/>
          <w:sz w:val="24"/>
        </w:rPr>
        <w:t>.</w:t>
      </w:r>
      <w:r>
        <w:rPr>
          <w:rFonts w:hint="eastAsia" w:ascii="宋体" w:hAnsi="宋体" w:cs="宋体"/>
          <w:sz w:val="24"/>
        </w:rPr>
        <w:t>3投标设备主要技术参数说明（附件七）；</w:t>
      </w:r>
    </w:p>
    <w:p>
      <w:pPr>
        <w:spacing w:line="440" w:lineRule="exact"/>
        <w:ind w:firstLine="480"/>
        <w:rPr>
          <w:rFonts w:ascii="宋体"/>
          <w:sz w:val="24"/>
        </w:rPr>
      </w:pPr>
      <w:r>
        <w:rPr>
          <w:rFonts w:ascii="宋体" w:hAnsi="宋体"/>
          <w:sz w:val="24"/>
        </w:rPr>
        <w:t>2.8.</w:t>
      </w:r>
      <w:r>
        <w:rPr>
          <w:rFonts w:hint="eastAsia" w:ascii="宋体" w:hAnsi="宋体"/>
          <w:sz w:val="24"/>
        </w:rPr>
        <w:t>1</w:t>
      </w:r>
      <w:r>
        <w:rPr>
          <w:rFonts w:ascii="宋体" w:hAnsi="宋体" w:cs="宋体"/>
          <w:sz w:val="24"/>
        </w:rPr>
        <w:t>.</w:t>
      </w:r>
      <w:r>
        <w:rPr>
          <w:rFonts w:hint="eastAsia" w:ascii="宋体" w:hAnsi="宋体" w:cs="宋体"/>
          <w:sz w:val="24"/>
        </w:rPr>
        <w:t>4投标设备材料详细清单（附件六）；</w:t>
      </w:r>
    </w:p>
    <w:p>
      <w:pPr>
        <w:spacing w:line="440" w:lineRule="exact"/>
        <w:ind w:firstLine="480"/>
        <w:rPr>
          <w:rFonts w:ascii="宋体" w:cs="宋体"/>
          <w:sz w:val="24"/>
        </w:rPr>
      </w:pPr>
      <w:r>
        <w:rPr>
          <w:rFonts w:ascii="宋体" w:hAnsi="宋体"/>
          <w:sz w:val="24"/>
        </w:rPr>
        <w:t>2.8.</w:t>
      </w:r>
      <w:r>
        <w:rPr>
          <w:rFonts w:hint="eastAsia" w:ascii="宋体" w:hAnsi="宋体"/>
          <w:sz w:val="24"/>
        </w:rPr>
        <w:t>1</w:t>
      </w:r>
      <w:r>
        <w:rPr>
          <w:rFonts w:ascii="宋体" w:hAnsi="宋体" w:cs="宋体"/>
          <w:sz w:val="24"/>
        </w:rPr>
        <w:t>.</w:t>
      </w:r>
      <w:r>
        <w:rPr>
          <w:rFonts w:hint="eastAsia" w:ascii="宋体" w:hAnsi="宋体" w:cs="宋体"/>
          <w:sz w:val="24"/>
        </w:rPr>
        <w:t>5技术偏离表（附件八）；</w:t>
      </w:r>
    </w:p>
    <w:p>
      <w:pPr>
        <w:spacing w:line="440" w:lineRule="exact"/>
        <w:ind w:firstLine="480" w:firstLineChars="200"/>
        <w:rPr>
          <w:rFonts w:ascii="宋体" w:hAnsi="宋体"/>
          <w:bCs/>
          <w:sz w:val="24"/>
        </w:rPr>
      </w:pPr>
      <w:r>
        <w:rPr>
          <w:rFonts w:ascii="宋体" w:hAnsi="宋体"/>
          <w:sz w:val="24"/>
        </w:rPr>
        <w:t>2.8.1.</w:t>
      </w:r>
      <w:r>
        <w:rPr>
          <w:rFonts w:hint="eastAsia" w:ascii="宋体" w:hAnsi="宋体"/>
          <w:sz w:val="24"/>
        </w:rPr>
        <w:t>6</w:t>
      </w:r>
      <w:r>
        <w:rPr>
          <w:rFonts w:hint="eastAsia" w:ascii="宋体" w:hAnsi="宋体"/>
          <w:bCs/>
          <w:sz w:val="24"/>
        </w:rPr>
        <w:t>投标承诺书（附件九）：</w:t>
      </w:r>
    </w:p>
    <w:p>
      <w:pPr>
        <w:spacing w:line="440" w:lineRule="exact"/>
        <w:ind w:firstLine="480"/>
        <w:rPr>
          <w:rFonts w:ascii="宋体"/>
          <w:sz w:val="24"/>
        </w:rPr>
      </w:pPr>
      <w:r>
        <w:rPr>
          <w:rFonts w:ascii="宋体" w:hAnsi="宋体"/>
          <w:sz w:val="24"/>
        </w:rPr>
        <w:t>2.8.</w:t>
      </w:r>
      <w:r>
        <w:rPr>
          <w:rFonts w:hint="eastAsia" w:ascii="宋体" w:hAnsi="宋体"/>
          <w:sz w:val="24"/>
        </w:rPr>
        <w:t>1</w:t>
      </w:r>
      <w:r>
        <w:rPr>
          <w:rFonts w:ascii="宋体" w:hAnsi="宋体"/>
          <w:sz w:val="24"/>
        </w:rPr>
        <w:t>.</w:t>
      </w:r>
      <w:r>
        <w:rPr>
          <w:rFonts w:hint="eastAsia" w:ascii="宋体" w:hAnsi="宋体"/>
          <w:sz w:val="24"/>
        </w:rPr>
        <w:t>7产品的技术服务和售后服务的内容和措施及距采购人最近的服务网点的详细介绍；</w:t>
      </w:r>
    </w:p>
    <w:p>
      <w:pPr>
        <w:spacing w:line="440" w:lineRule="exact"/>
        <w:ind w:firstLine="480" w:firstLineChars="200"/>
        <w:rPr>
          <w:rFonts w:ascii="宋体" w:hAnsi="宋体"/>
          <w:sz w:val="24"/>
        </w:rPr>
      </w:pPr>
      <w:r>
        <w:rPr>
          <w:rFonts w:hint="eastAsia" w:ascii="宋体" w:hAnsi="宋体"/>
          <w:sz w:val="24"/>
        </w:rPr>
        <w:t>2.8.1.8供应商认为需要提供的其它文件，包括优惠条件等</w:t>
      </w:r>
      <w:r>
        <w:rPr>
          <w:rFonts w:hint="eastAsia" w:hAnsi="宋体"/>
          <w:sz w:val="24"/>
        </w:rPr>
        <w:t>；</w:t>
      </w:r>
      <w:r>
        <w:rPr>
          <w:rFonts w:hint="eastAsia" w:ascii="宋体" w:hAnsi="宋体"/>
          <w:sz w:val="24"/>
        </w:rPr>
        <w:t>当优惠条件涉及“报价单”中的各项费用时，必须与投标价格相统一，商务技术标中不得出现投标报价。</w:t>
      </w:r>
    </w:p>
    <w:p>
      <w:pPr>
        <w:spacing w:line="440" w:lineRule="exact"/>
        <w:ind w:firstLine="480"/>
        <w:rPr>
          <w:rFonts w:ascii="宋体" w:hAnsi="宋体"/>
          <w:sz w:val="24"/>
        </w:rPr>
      </w:pPr>
      <w:r>
        <w:rPr>
          <w:rFonts w:hint="eastAsia" w:ascii="宋体" w:hAnsi="宋体"/>
          <w:sz w:val="24"/>
        </w:rPr>
        <w:t>2.8.1.9招标文件评审办法中涉及的其他资料、材料（如有）。</w:t>
      </w:r>
    </w:p>
    <w:p>
      <w:pPr>
        <w:spacing w:line="440" w:lineRule="exact"/>
        <w:ind w:firstLine="480"/>
        <w:rPr>
          <w:rFonts w:ascii="宋体"/>
          <w:sz w:val="24"/>
        </w:rPr>
      </w:pPr>
      <w:r>
        <w:rPr>
          <w:rFonts w:ascii="宋体" w:hAnsi="宋体"/>
          <w:sz w:val="24"/>
        </w:rPr>
        <w:t>2.8.</w:t>
      </w:r>
      <w:r>
        <w:rPr>
          <w:rFonts w:hint="eastAsia" w:ascii="宋体" w:hAnsi="宋体"/>
          <w:sz w:val="24"/>
        </w:rPr>
        <w:t>2价格标：</w:t>
      </w:r>
    </w:p>
    <w:p>
      <w:pPr>
        <w:spacing w:line="440" w:lineRule="exact"/>
        <w:ind w:firstLine="480"/>
        <w:rPr>
          <w:rFonts w:ascii="宋体"/>
          <w:sz w:val="24"/>
        </w:rPr>
      </w:pPr>
      <w:r>
        <w:rPr>
          <w:rFonts w:ascii="宋体" w:hAnsi="宋体"/>
          <w:sz w:val="24"/>
        </w:rPr>
        <w:t>2.8.</w:t>
      </w:r>
      <w:r>
        <w:rPr>
          <w:rFonts w:hint="eastAsia" w:ascii="宋体" w:hAnsi="宋体"/>
          <w:sz w:val="24"/>
        </w:rPr>
        <w:t>2</w:t>
      </w:r>
      <w:r>
        <w:rPr>
          <w:rFonts w:ascii="宋体" w:hAnsi="宋体"/>
          <w:sz w:val="24"/>
        </w:rPr>
        <w:t>.1</w:t>
      </w:r>
      <w:r>
        <w:rPr>
          <w:rFonts w:hint="eastAsia" w:ascii="宋体" w:hAnsi="宋体"/>
          <w:sz w:val="24"/>
        </w:rPr>
        <w:t>开标一览表（报价表）（附件三）；</w:t>
      </w:r>
    </w:p>
    <w:p>
      <w:pPr>
        <w:spacing w:line="440" w:lineRule="exact"/>
        <w:ind w:firstLine="480"/>
        <w:rPr>
          <w:rFonts w:ascii="宋体" w:hAnsi="宋体"/>
          <w:sz w:val="24"/>
        </w:rPr>
      </w:pPr>
      <w:r>
        <w:rPr>
          <w:rFonts w:ascii="宋体" w:hAnsi="宋体"/>
          <w:sz w:val="24"/>
        </w:rPr>
        <w:t>2.8.</w:t>
      </w:r>
      <w:r>
        <w:rPr>
          <w:rFonts w:hint="eastAsia" w:ascii="宋体" w:hAnsi="宋体"/>
          <w:sz w:val="24"/>
        </w:rPr>
        <w:t>2</w:t>
      </w:r>
      <w:r>
        <w:rPr>
          <w:rFonts w:ascii="宋体" w:hAnsi="宋体"/>
          <w:sz w:val="24"/>
        </w:rPr>
        <w:t>.2</w:t>
      </w:r>
      <w:r>
        <w:rPr>
          <w:rFonts w:hint="eastAsia" w:ascii="宋体" w:hAnsi="宋体"/>
          <w:sz w:val="24"/>
        </w:rPr>
        <w:t>投标报价明细表（附件四）；</w:t>
      </w:r>
    </w:p>
    <w:p>
      <w:pPr>
        <w:spacing w:line="440" w:lineRule="exact"/>
        <w:ind w:firstLine="480"/>
        <w:rPr>
          <w:rFonts w:ascii="宋体" w:hAnsi="宋体"/>
          <w:sz w:val="24"/>
        </w:rPr>
      </w:pPr>
      <w:r>
        <w:rPr>
          <w:rFonts w:hint="eastAsia" w:ascii="宋体" w:hAnsi="宋体"/>
          <w:sz w:val="24"/>
        </w:rPr>
        <w:t>2.8.3投标文件的形式：投标文件分为电子投标文件。</w:t>
      </w:r>
    </w:p>
    <w:p>
      <w:pPr>
        <w:autoSpaceDE w:val="0"/>
        <w:autoSpaceDN w:val="0"/>
        <w:adjustRightInd w:val="0"/>
        <w:spacing w:line="440" w:lineRule="exact"/>
        <w:ind w:firstLine="472" w:firstLineChars="196"/>
        <w:rPr>
          <w:rFonts w:ascii="宋体" w:hAnsi="宋体"/>
          <w:b/>
          <w:sz w:val="24"/>
        </w:rPr>
      </w:pPr>
      <w:r>
        <w:rPr>
          <w:rFonts w:hint="eastAsia" w:ascii="宋体" w:hAnsi="宋体"/>
          <w:b/>
          <w:sz w:val="24"/>
        </w:rPr>
        <w:t>电子投标文件投标供应商应根据“政采云供应商项目采购-电子招投标操作指南”及本招标文件规定的格式和顺序编制电子投标文件并进行关联定位</w:t>
      </w:r>
      <w:r>
        <w:rPr>
          <w:rFonts w:hint="eastAsia" w:ascii="仿宋_GB2312" w:hAnsi="仿宋_GB2312" w:eastAsia="仿宋_GB2312" w:cs="仿宋_GB2312"/>
          <w:b/>
          <w:sz w:val="24"/>
        </w:rPr>
        <w:t>。</w:t>
      </w:r>
      <w:r>
        <w:rPr>
          <w:rFonts w:hint="eastAsia" w:ascii="宋体" w:hAnsi="宋体"/>
          <w:b/>
          <w:sz w:val="24"/>
        </w:rPr>
        <w:t>电子投标文件中所须加盖公章部分均采用CA签章。</w:t>
      </w:r>
    </w:p>
    <w:p>
      <w:pPr>
        <w:spacing w:line="440" w:lineRule="exact"/>
        <w:ind w:firstLine="472" w:firstLineChars="196"/>
        <w:rPr>
          <w:rFonts w:ascii="宋体" w:hAnsi="宋体" w:cs="宋体"/>
          <w:b/>
          <w:kern w:val="0"/>
          <w:sz w:val="24"/>
        </w:rPr>
      </w:pPr>
      <w:r>
        <w:rPr>
          <w:rFonts w:hint="eastAsia" w:ascii="宋体" w:hAnsi="宋体" w:cs="宋体"/>
          <w:b/>
          <w:kern w:val="0"/>
          <w:sz w:val="24"/>
        </w:rPr>
        <w:t>本招标文件所涉及的法定代表人或其委托代理人签字或盖章的内容，投标单位须盖法定代表人电子签章，如果投标单位没有法定代表人电子签章，涉及到法定代表人或其委托代理人的签字或盖章的内容，投标单位可以线下签字或盖章后扫描上传。</w:t>
      </w:r>
    </w:p>
    <w:p>
      <w:pPr>
        <w:spacing w:line="440" w:lineRule="exact"/>
        <w:ind w:firstLine="472" w:firstLineChars="196"/>
        <w:rPr>
          <w:rFonts w:hAnsi="宋体"/>
          <w:sz w:val="24"/>
        </w:rPr>
      </w:pPr>
      <w:r>
        <w:rPr>
          <w:rFonts w:ascii="宋体" w:hAnsi="宋体"/>
          <w:b/>
          <w:sz w:val="24"/>
        </w:rPr>
        <w:t>2.9</w:t>
      </w:r>
      <w:r>
        <w:rPr>
          <w:rFonts w:hint="eastAsia" w:ascii="宋体" w:hAnsi="宋体"/>
          <w:sz w:val="24"/>
        </w:rPr>
        <w:t>供应商必须使用采购文件提供的表格格式，但表格可以按同样格式扩展（见附件及附表）。采购文件中未提供的表格格式，供应商可以自拟。</w:t>
      </w:r>
    </w:p>
    <w:p>
      <w:pPr>
        <w:pStyle w:val="19"/>
        <w:spacing w:line="440" w:lineRule="exact"/>
        <w:ind w:firstLine="480"/>
        <w:rPr>
          <w:rFonts w:hint="eastAsia" w:hAnsi="宋体"/>
          <w:b/>
          <w:sz w:val="24"/>
        </w:rPr>
      </w:pPr>
      <w:r>
        <w:rPr>
          <w:rFonts w:hint="eastAsia" w:hAnsi="宋体"/>
          <w:b/>
          <w:sz w:val="24"/>
        </w:rPr>
        <w:t>2.10 投标有效期</w:t>
      </w:r>
    </w:p>
    <w:p>
      <w:pPr>
        <w:pStyle w:val="19"/>
        <w:spacing w:line="440" w:lineRule="exact"/>
        <w:ind w:firstLine="480"/>
        <w:rPr>
          <w:rFonts w:hint="eastAsia" w:hAnsi="宋体"/>
          <w:sz w:val="24"/>
        </w:rPr>
      </w:pPr>
      <w:r>
        <w:rPr>
          <w:rFonts w:hint="eastAsia" w:hAnsi="宋体"/>
          <w:sz w:val="24"/>
        </w:rPr>
        <w:t>2.10.1投标有效期详见前附表第4项。</w:t>
      </w:r>
    </w:p>
    <w:p>
      <w:pPr>
        <w:spacing w:line="440" w:lineRule="exact"/>
        <w:rPr>
          <w:rFonts w:hint="eastAsia" w:ascii="宋体" w:hAnsi="宋体"/>
          <w:sz w:val="24"/>
        </w:rPr>
      </w:pPr>
      <w:r>
        <w:rPr>
          <w:rFonts w:hint="eastAsia" w:ascii="宋体" w:hAnsi="宋体"/>
          <w:sz w:val="24"/>
        </w:rPr>
        <w:t xml:space="preserve">    2.10.2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pPr>
        <w:pStyle w:val="19"/>
        <w:spacing w:line="440" w:lineRule="exact"/>
        <w:ind w:firstLine="480"/>
        <w:rPr>
          <w:rFonts w:hint="eastAsia" w:hAnsi="宋体"/>
          <w:b/>
          <w:sz w:val="24"/>
        </w:rPr>
      </w:pPr>
      <w:r>
        <w:rPr>
          <w:rFonts w:hint="eastAsia" w:hAnsi="宋体"/>
          <w:b/>
          <w:sz w:val="24"/>
        </w:rPr>
        <w:t>2.11投标文件的修改与撤回</w:t>
      </w:r>
    </w:p>
    <w:p>
      <w:pPr>
        <w:pStyle w:val="19"/>
        <w:spacing w:line="440" w:lineRule="exact"/>
        <w:rPr>
          <w:rFonts w:hint="eastAsia" w:hAnsi="宋体"/>
          <w:sz w:val="24"/>
        </w:rPr>
      </w:pPr>
      <w:r>
        <w:rPr>
          <w:rFonts w:hint="eastAsia" w:hAnsi="宋体"/>
          <w:sz w:val="24"/>
        </w:rPr>
        <w:t xml:space="preserve">    2.11.1供应商递交投标文件以后，可以在投标文件递交截止时间前，修改或撤回其投标文件。</w:t>
      </w:r>
    </w:p>
    <w:p>
      <w:pPr>
        <w:pStyle w:val="19"/>
        <w:spacing w:line="440" w:lineRule="exact"/>
        <w:ind w:firstLine="465"/>
        <w:rPr>
          <w:rFonts w:hint="eastAsia" w:hAnsi="宋体"/>
          <w:sz w:val="24"/>
        </w:rPr>
      </w:pPr>
      <w:r>
        <w:rPr>
          <w:rFonts w:hint="eastAsia" w:hAnsi="宋体"/>
          <w:sz w:val="24"/>
        </w:rPr>
        <w:t>2.11.2在投标文件递交截止时间后，不能更改投标文件。</w:t>
      </w:r>
    </w:p>
    <w:p>
      <w:pPr>
        <w:pStyle w:val="19"/>
        <w:spacing w:line="440" w:lineRule="exact"/>
        <w:ind w:firstLine="465"/>
        <w:rPr>
          <w:rFonts w:hint="eastAsia" w:hAnsi="宋体"/>
          <w:sz w:val="24"/>
        </w:rPr>
      </w:pPr>
      <w:r>
        <w:rPr>
          <w:rFonts w:hint="eastAsia" w:hAnsi="宋体"/>
          <w:sz w:val="24"/>
        </w:rPr>
        <w:t>2.11.3在投标文件递交截止时间起至标书中规定的投标有效日期终止日之间的这段时间内，供应商不能撤回投标文件，否则其投标保证金将不予以退还。</w:t>
      </w:r>
    </w:p>
    <w:p>
      <w:pPr>
        <w:pStyle w:val="19"/>
        <w:spacing w:line="440" w:lineRule="exact"/>
        <w:ind w:firstLine="480"/>
        <w:rPr>
          <w:rFonts w:hint="eastAsia" w:hAnsi="宋体"/>
          <w:sz w:val="24"/>
        </w:rPr>
      </w:pPr>
      <w:r>
        <w:rPr>
          <w:rFonts w:hint="eastAsia" w:hAnsi="宋体"/>
          <w:sz w:val="24"/>
        </w:rPr>
        <w:t>2.12投标文件的澄清</w:t>
      </w:r>
    </w:p>
    <w:p>
      <w:pPr>
        <w:pStyle w:val="19"/>
        <w:spacing w:line="440" w:lineRule="exact"/>
        <w:rPr>
          <w:rFonts w:hAnsi="宋体"/>
          <w:sz w:val="24"/>
        </w:rPr>
      </w:pPr>
      <w:r>
        <w:rPr>
          <w:rFonts w:hint="eastAsia" w:hAnsi="宋体"/>
          <w:sz w:val="24"/>
        </w:rPr>
        <w:t xml:space="preserve">    2.12.1为了有助于投标文件的审查、评价和比较，评标委员会可以个别地要求供应商澄清其投标文件，包括单价分析表，但不接受供应商任何主动的澄清、说明或辩解。有关澄清的答复，应在</w:t>
      </w:r>
      <w:r>
        <w:rPr>
          <w:rFonts w:hint="eastAsia" w:hAnsi="宋体"/>
          <w:b/>
          <w:sz w:val="24"/>
        </w:rPr>
        <w:t>（1小时内）</w:t>
      </w:r>
      <w:r>
        <w:rPr>
          <w:rFonts w:hint="eastAsia" w:hAnsi="宋体"/>
          <w:sz w:val="24"/>
        </w:rPr>
        <w:t>发送至电子邮箱（邮箱250307340@qq.com</w:t>
      </w:r>
      <w:r>
        <w:rPr>
          <w:rFonts w:hAnsi="宋体"/>
          <w:sz w:val="24"/>
        </w:rPr>
        <w:t>）</w:t>
      </w:r>
      <w:r>
        <w:rPr>
          <w:rFonts w:hint="eastAsia" w:hAnsi="宋体"/>
          <w:sz w:val="24"/>
        </w:rPr>
        <w:t>并应有法定代表人或其委托代理人的签字或盖章，但不允许更改投标文件中的价格或实质性内容。</w:t>
      </w:r>
    </w:p>
    <w:p>
      <w:pPr>
        <w:pStyle w:val="19"/>
        <w:spacing w:line="440" w:lineRule="exact"/>
        <w:ind w:firstLine="480" w:firstLineChars="200"/>
        <w:rPr>
          <w:rFonts w:hint="eastAsia" w:hAnsi="宋体"/>
          <w:sz w:val="24"/>
        </w:rPr>
      </w:pPr>
      <w:r>
        <w:rPr>
          <w:rFonts w:hint="eastAsia" w:hAnsi="宋体"/>
          <w:sz w:val="24"/>
        </w:rPr>
        <w:t>2.12.2供应商的澄清文件是投标文件的组成部分，并替代投标文件中被澄清的部分。</w:t>
      </w:r>
    </w:p>
    <w:p>
      <w:pPr>
        <w:pStyle w:val="19"/>
        <w:spacing w:line="440" w:lineRule="exact"/>
        <w:ind w:firstLine="480"/>
        <w:rPr>
          <w:rFonts w:hint="eastAsia" w:hAnsi="宋体"/>
          <w:sz w:val="24"/>
        </w:rPr>
      </w:pPr>
      <w:r>
        <w:rPr>
          <w:rFonts w:hint="eastAsia" w:hAnsi="宋体"/>
          <w:sz w:val="24"/>
        </w:rPr>
        <w:t>2.13 投标文件符合性的确定</w:t>
      </w:r>
    </w:p>
    <w:p>
      <w:pPr>
        <w:pStyle w:val="19"/>
        <w:spacing w:line="440" w:lineRule="exact"/>
        <w:rPr>
          <w:rFonts w:hint="eastAsia" w:hAnsi="宋体"/>
          <w:sz w:val="24"/>
        </w:rPr>
      </w:pPr>
      <w:r>
        <w:rPr>
          <w:rFonts w:hint="eastAsia" w:hAnsi="宋体"/>
          <w:sz w:val="24"/>
        </w:rPr>
        <w:t xml:space="preserve">    2.13.1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19"/>
        <w:spacing w:line="440" w:lineRule="exact"/>
        <w:ind w:firstLine="480"/>
        <w:rPr>
          <w:rFonts w:hint="eastAsia" w:hAnsi="宋体"/>
          <w:sz w:val="24"/>
        </w:rPr>
      </w:pPr>
      <w:r>
        <w:rPr>
          <w:rFonts w:hint="eastAsia" w:hAnsi="宋体"/>
          <w:sz w:val="24"/>
        </w:rPr>
        <w:t>2.13.2如果投标文件实质上不符合采购文件的要求，其投标文件将被予以拒绝，并且不允许供应商通过修正或撤消其重大差异或保留使之符合要求。</w:t>
      </w:r>
    </w:p>
    <w:p>
      <w:pPr>
        <w:pStyle w:val="19"/>
        <w:spacing w:line="440" w:lineRule="exact"/>
        <w:ind w:firstLine="480" w:firstLineChars="200"/>
        <w:rPr>
          <w:rFonts w:hint="eastAsia" w:hAnsi="宋体"/>
          <w:sz w:val="24"/>
        </w:rPr>
      </w:pPr>
      <w:r>
        <w:rPr>
          <w:rFonts w:hint="eastAsia" w:hAnsi="宋体"/>
          <w:sz w:val="24"/>
        </w:rPr>
        <w:t>2.14错误的修正</w:t>
      </w:r>
    </w:p>
    <w:p>
      <w:pPr>
        <w:pStyle w:val="19"/>
        <w:spacing w:line="440" w:lineRule="exact"/>
        <w:ind w:firstLine="480" w:firstLineChars="200"/>
        <w:rPr>
          <w:rFonts w:hint="eastAsia" w:hAnsi="宋体"/>
          <w:sz w:val="24"/>
        </w:rPr>
      </w:pPr>
      <w:r>
        <w:rPr>
          <w:rFonts w:hint="eastAsia" w:hAnsi="宋体"/>
          <w:sz w:val="24"/>
        </w:rPr>
        <w:t>2.14.1确定中标候选人前（评标过程中）的修正方法：</w:t>
      </w:r>
    </w:p>
    <w:p>
      <w:pPr>
        <w:pStyle w:val="19"/>
        <w:spacing w:line="440" w:lineRule="exact"/>
        <w:ind w:firstLine="480" w:firstLineChars="200"/>
        <w:rPr>
          <w:rFonts w:hint="eastAsia" w:hAnsi="宋体"/>
          <w:sz w:val="24"/>
        </w:rPr>
      </w:pPr>
      <w:r>
        <w:rPr>
          <w:rFonts w:hint="eastAsia" w:hAnsi="宋体"/>
          <w:sz w:val="24"/>
        </w:rPr>
        <w:t>评标委员会应对确定为实质上符合要求的投标文件进行校核，看其是否有计算上或累计上的算术错误，修正此类错误的原则如下：</w:t>
      </w:r>
    </w:p>
    <w:p>
      <w:pPr>
        <w:pStyle w:val="19"/>
        <w:spacing w:line="440" w:lineRule="exact"/>
        <w:ind w:firstLine="480" w:firstLineChars="200"/>
        <w:rPr>
          <w:rFonts w:hint="eastAsia" w:hAnsi="宋体"/>
          <w:sz w:val="24"/>
        </w:rPr>
      </w:pPr>
      <w:r>
        <w:rPr>
          <w:rFonts w:hint="eastAsia" w:hAnsi="宋体"/>
          <w:sz w:val="24"/>
        </w:rPr>
        <w:t>2.14.1.1同一产品出现两种以上不同价格时，取其低的报价核算；</w:t>
      </w:r>
    </w:p>
    <w:p>
      <w:pPr>
        <w:pStyle w:val="19"/>
        <w:spacing w:line="440" w:lineRule="exact"/>
        <w:ind w:firstLine="480" w:firstLineChars="200"/>
        <w:rPr>
          <w:rFonts w:hint="eastAsia" w:hAnsi="宋体"/>
          <w:sz w:val="24"/>
        </w:rPr>
      </w:pPr>
      <w:r>
        <w:rPr>
          <w:rFonts w:hint="eastAsia" w:hAnsi="宋体"/>
          <w:sz w:val="24"/>
        </w:rPr>
        <w:t>2.14.1.2如果用数字表示的数额与用文字表示的数额不一致时，以文字数额为准。</w:t>
      </w:r>
    </w:p>
    <w:p>
      <w:pPr>
        <w:pStyle w:val="19"/>
        <w:spacing w:line="440" w:lineRule="exact"/>
        <w:ind w:firstLine="480" w:firstLineChars="200"/>
        <w:rPr>
          <w:rFonts w:hint="eastAsia" w:hAnsi="宋体"/>
          <w:sz w:val="24"/>
        </w:rPr>
      </w:pPr>
      <w:r>
        <w:rPr>
          <w:rFonts w:hint="eastAsia" w:hAnsi="宋体"/>
          <w:sz w:val="24"/>
        </w:rPr>
        <w:t>2.14.1.3当单价与数量的乘积之总和同总额之间不一致时，应以标出的单价为准，除非评标委员会认为单价有明显的小数点错误，此时应以标出的总额为准，并修改单价。</w:t>
      </w:r>
    </w:p>
    <w:p>
      <w:pPr>
        <w:pStyle w:val="19"/>
        <w:spacing w:line="440" w:lineRule="exact"/>
        <w:ind w:firstLine="480" w:firstLineChars="200"/>
        <w:rPr>
          <w:rFonts w:hint="eastAsia" w:hAnsi="宋体"/>
          <w:sz w:val="24"/>
        </w:rPr>
      </w:pPr>
      <w:r>
        <w:rPr>
          <w:rFonts w:hint="eastAsia" w:hAnsi="宋体"/>
          <w:sz w:val="24"/>
        </w:rPr>
        <w:t>2.14.2确定中标候选人后的修正方法：</w:t>
      </w:r>
    </w:p>
    <w:p>
      <w:pPr>
        <w:pStyle w:val="19"/>
        <w:spacing w:line="440" w:lineRule="exact"/>
        <w:ind w:firstLine="480" w:firstLineChars="200"/>
        <w:rPr>
          <w:rFonts w:hint="eastAsia" w:hAnsi="宋体"/>
          <w:sz w:val="24"/>
        </w:rPr>
      </w:pPr>
      <w:r>
        <w:rPr>
          <w:rFonts w:hint="eastAsia" w:hAnsi="宋体"/>
          <w:sz w:val="24"/>
        </w:rPr>
        <w:t>2.14.2.1同一产品出现两种以上不同价格时，取其低的报价核算；</w:t>
      </w:r>
    </w:p>
    <w:p>
      <w:pPr>
        <w:pStyle w:val="19"/>
        <w:spacing w:line="440" w:lineRule="exact"/>
        <w:ind w:firstLine="480" w:firstLineChars="200"/>
        <w:rPr>
          <w:rFonts w:hint="eastAsia" w:hAnsi="宋体"/>
          <w:sz w:val="24"/>
        </w:rPr>
      </w:pPr>
      <w:r>
        <w:rPr>
          <w:rFonts w:hint="eastAsia" w:hAnsi="宋体"/>
          <w:sz w:val="24"/>
        </w:rPr>
        <w:t>2.14.2.2如果用数字表示的数额与用文字表示的数额不一致时，以文字数额为准。</w:t>
      </w:r>
    </w:p>
    <w:p>
      <w:pPr>
        <w:pStyle w:val="19"/>
        <w:spacing w:line="440" w:lineRule="exact"/>
        <w:ind w:firstLine="480" w:firstLineChars="200"/>
        <w:rPr>
          <w:rFonts w:hint="eastAsia" w:hAnsi="宋体"/>
          <w:sz w:val="24"/>
        </w:rPr>
      </w:pPr>
      <w:r>
        <w:rPr>
          <w:rFonts w:hint="eastAsia" w:hAnsi="宋体"/>
          <w:sz w:val="24"/>
        </w:rPr>
        <w:t>2.14.2.3合价之和与总报价不一致时，以总报价为准，按总报价占调整前的合价之和的比例调整合价，并修改单价；</w:t>
      </w:r>
    </w:p>
    <w:p>
      <w:pPr>
        <w:pStyle w:val="19"/>
        <w:spacing w:line="440" w:lineRule="exact"/>
        <w:ind w:firstLine="480" w:firstLineChars="200"/>
        <w:rPr>
          <w:rFonts w:hint="eastAsia" w:hAnsi="宋体"/>
          <w:sz w:val="24"/>
        </w:rPr>
      </w:pPr>
      <w:r>
        <w:rPr>
          <w:rFonts w:hint="eastAsia" w:hAnsi="宋体"/>
          <w:sz w:val="24"/>
        </w:rPr>
        <w:t>2.14.2.4当单价与数量的乘积与合价不一致时，以合价为准，并修改单价。</w:t>
      </w:r>
    </w:p>
    <w:p>
      <w:pPr>
        <w:pStyle w:val="19"/>
        <w:spacing w:line="440" w:lineRule="exact"/>
        <w:ind w:firstLine="480" w:firstLineChars="200"/>
        <w:rPr>
          <w:rFonts w:hint="eastAsia" w:hAnsi="宋体"/>
          <w:sz w:val="24"/>
        </w:rPr>
      </w:pPr>
      <w:r>
        <w:rPr>
          <w:rFonts w:hint="eastAsia" w:hAnsi="宋体"/>
          <w:sz w:val="24"/>
        </w:rPr>
        <w:t>2.14.3评标期间，评标委员会不接受任何投标供应商主动提出的对投标报价及单价、合价的调整。</w:t>
      </w:r>
    </w:p>
    <w:p>
      <w:pPr>
        <w:pStyle w:val="19"/>
        <w:spacing w:line="440" w:lineRule="exact"/>
        <w:ind w:firstLine="480" w:firstLineChars="200"/>
        <w:rPr>
          <w:rFonts w:hint="eastAsia" w:hAnsi="宋体"/>
          <w:sz w:val="24"/>
        </w:rPr>
      </w:pPr>
      <w:r>
        <w:rPr>
          <w:rFonts w:hint="eastAsia" w:hAnsi="宋体"/>
          <w:sz w:val="24"/>
        </w:rPr>
        <w:t>2.14.4投标文件报价，开标时，开标一览表（报价表）的总价与投标报价明细表的总价不一致时，以开标一览表（报价表）的总价为准；大写与小写不一致的以大写为准。</w:t>
      </w:r>
    </w:p>
    <w:p>
      <w:pPr>
        <w:pStyle w:val="19"/>
        <w:spacing w:line="440" w:lineRule="exact"/>
        <w:ind w:firstLine="480" w:firstLineChars="200"/>
        <w:rPr>
          <w:rFonts w:hint="eastAsia" w:hAnsi="宋体"/>
          <w:sz w:val="24"/>
          <w:szCs w:val="24"/>
        </w:rPr>
      </w:pPr>
      <w:r>
        <w:rPr>
          <w:rFonts w:hint="eastAsia" w:hAnsi="宋体"/>
          <w:sz w:val="24"/>
        </w:rPr>
        <w:t>2.14.5按以上原则进行错误修正，调整投标文件的投标报价，经供应商确认后，调整后的投标报价对供应商起约束作用。若投标供应商不接受修正后的投标报价则其投标将被拒绝且其投标保证金不予以退还。</w:t>
      </w:r>
    </w:p>
    <w:p>
      <w:pPr>
        <w:spacing w:line="440" w:lineRule="exact"/>
        <w:ind w:firstLine="480" w:firstLineChars="200"/>
        <w:rPr>
          <w:rFonts w:hint="eastAsia" w:ascii="宋体" w:hAnsi="宋体"/>
          <w:sz w:val="24"/>
        </w:rPr>
      </w:pPr>
      <w:r>
        <w:rPr>
          <w:rFonts w:hint="eastAsia" w:ascii="宋体" w:hAnsi="宋体"/>
          <w:sz w:val="24"/>
        </w:rPr>
        <w:t>2.15 投标费用</w:t>
      </w:r>
    </w:p>
    <w:p>
      <w:pPr>
        <w:spacing w:line="440" w:lineRule="exact"/>
        <w:ind w:firstLine="480"/>
        <w:rPr>
          <w:rFonts w:hint="eastAsia" w:ascii="宋体" w:hAnsi="宋体"/>
          <w:sz w:val="24"/>
        </w:rPr>
      </w:pPr>
      <w:r>
        <w:rPr>
          <w:rFonts w:hint="eastAsia" w:ascii="宋体" w:hAnsi="宋体"/>
          <w:sz w:val="24"/>
        </w:rPr>
        <w:t>供应商应自行承担所有与编写和提交投标文件有关的费用，不论投标的结果如何，采购人在任何情况下均无义务和责任承担这些费用。</w:t>
      </w:r>
    </w:p>
    <w:p>
      <w:pPr>
        <w:spacing w:line="440" w:lineRule="exact"/>
        <w:ind w:firstLine="480"/>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9" w:name="_Toc264116913"/>
      <w:bookmarkStart w:id="10" w:name="_Toc46418578"/>
      <w:bookmarkStart w:id="11" w:name="_Toc519605611"/>
      <w:r>
        <w:rPr>
          <w:rFonts w:hint="eastAsia" w:ascii="宋体" w:hAnsi="宋体"/>
          <w:color w:val="000000"/>
          <w:sz w:val="28"/>
          <w:szCs w:val="28"/>
        </w:rPr>
        <w:t>三、供应商应当提交的资格（资信）证明文件</w:t>
      </w:r>
      <w:bookmarkEnd w:id="9"/>
      <w:bookmarkEnd w:id="10"/>
      <w:bookmarkEnd w:id="11"/>
    </w:p>
    <w:p>
      <w:pPr>
        <w:spacing w:line="440" w:lineRule="exact"/>
        <w:jc w:val="center"/>
        <w:rPr>
          <w:rFonts w:hint="eastAsia" w:ascii="宋体" w:hAnsi="宋体"/>
          <w:color w:val="000000"/>
          <w:sz w:val="24"/>
        </w:rPr>
      </w:pPr>
    </w:p>
    <w:p>
      <w:pPr>
        <w:spacing w:line="440" w:lineRule="exact"/>
        <w:ind w:firstLine="480"/>
        <w:rPr>
          <w:rFonts w:hint="eastAsia" w:ascii="宋体" w:hAnsi="宋体"/>
          <w:color w:val="000000"/>
          <w:sz w:val="24"/>
        </w:rPr>
      </w:pPr>
      <w:r>
        <w:rPr>
          <w:rFonts w:hint="eastAsia" w:ascii="宋体" w:hAnsi="宋体"/>
          <w:color w:val="000000"/>
          <w:sz w:val="24"/>
        </w:rPr>
        <w:t>开标时，由采购人或采购代理机构依法对投标人的资格进行审查。</w:t>
      </w:r>
    </w:p>
    <w:p>
      <w:pPr>
        <w:spacing w:line="440" w:lineRule="exact"/>
        <w:ind w:firstLine="480"/>
        <w:rPr>
          <w:rFonts w:hint="eastAsia" w:ascii="宋体" w:hAnsi="宋体"/>
          <w:b/>
          <w:sz w:val="24"/>
        </w:rPr>
      </w:pPr>
      <w:r>
        <w:rPr>
          <w:rFonts w:hint="eastAsia" w:ascii="宋体" w:hAnsi="宋体"/>
          <w:b/>
          <w:color w:val="000000"/>
          <w:sz w:val="24"/>
        </w:rPr>
        <w:t>3.1</w:t>
      </w:r>
      <w:r>
        <w:rPr>
          <w:rFonts w:hint="eastAsia" w:ascii="宋体" w:hAnsi="宋体"/>
          <w:b/>
          <w:sz w:val="24"/>
        </w:rPr>
        <w:t>资格、资信证明文件包括下列内容：</w:t>
      </w:r>
    </w:p>
    <w:p>
      <w:pPr>
        <w:spacing w:line="440" w:lineRule="exact"/>
        <w:ind w:firstLine="480"/>
        <w:rPr>
          <w:rFonts w:hint="eastAsia" w:ascii="宋体" w:hAnsi="宋体"/>
          <w:color w:val="000000"/>
          <w:sz w:val="24"/>
        </w:rPr>
      </w:pPr>
      <w:r>
        <w:rPr>
          <w:rFonts w:hint="eastAsia" w:ascii="宋体" w:hAnsi="宋体"/>
          <w:color w:val="000000"/>
          <w:sz w:val="24"/>
        </w:rPr>
        <w:t>3.1.1营业执照复印件(需盖投标供应商公章)；</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3.1.2法定代表人的身份证复印件(需盖投标供应商公章)； </w:t>
      </w:r>
    </w:p>
    <w:p>
      <w:pPr>
        <w:tabs>
          <w:tab w:val="left" w:pos="540"/>
          <w:tab w:val="left" w:pos="90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3.1.3法定代表人授权书（附件二）；</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3.1.4全权代表身份证复印件(需盖投标供应商公章)；</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3.1.5提供总公司授权或提供房产权证或提供其他有效财产证明材料复印件（仅需无独立法人资格的分支机构提供，需盖投标供应商公章）</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12" w:name="_Toc264116914"/>
      <w:bookmarkStart w:id="13" w:name="_Toc46418579"/>
      <w:r>
        <w:rPr>
          <w:rFonts w:hint="eastAsia" w:ascii="宋体" w:hAnsi="宋体"/>
          <w:color w:val="000000"/>
          <w:sz w:val="28"/>
          <w:szCs w:val="28"/>
        </w:rPr>
        <w:t>四、投标报价要求、投标文件编制要求</w:t>
      </w:r>
      <w:bookmarkEnd w:id="12"/>
      <w:r>
        <w:rPr>
          <w:rFonts w:hint="eastAsia" w:ascii="宋体" w:hAnsi="宋体"/>
          <w:color w:val="000000"/>
          <w:sz w:val="28"/>
          <w:szCs w:val="28"/>
        </w:rPr>
        <w:t>和投标保证金交纳方式</w:t>
      </w:r>
      <w:bookmarkEnd w:id="13"/>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r>
        <w:rPr>
          <w:rFonts w:hint="eastAsia" w:ascii="宋体" w:hAnsi="宋体"/>
          <w:color w:val="000000"/>
          <w:sz w:val="24"/>
        </w:rPr>
        <w:t>4.1投标报价及相关要求：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4.1.1本次采购以人民币报价，</w:t>
      </w:r>
      <w:r>
        <w:rPr>
          <w:rFonts w:hint="eastAsia" w:ascii="宋体"/>
          <w:b/>
          <w:sz w:val="24"/>
          <w:u w:val="single"/>
        </w:rPr>
        <w:t>供应商的报价（合价）应包括因承包本次采购项目所需的货物价款、设计、劳务、质检 、运输、装卸、安装（含水电安装）调试、缺陷修复、验收、管理维护、风险、保险、税费、质保、培训等费用</w:t>
      </w:r>
      <w:r>
        <w:rPr>
          <w:rFonts w:hint="eastAsia" w:ascii="宋体"/>
          <w:b/>
          <w:bCs/>
          <w:sz w:val="24"/>
          <w:u w:val="single"/>
        </w:rPr>
        <w:t>。</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4.1.2供应商的报价必须是本标书所要求的全部项目投标价的总和，并以供应商在投标报价清单中提供的单价及总额价为依据。</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4.1.3各细目单价应报综合单价，包括一切与供货、安装相关的费用。</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4.1.4供应商必须填报各项目单项的价款，今后采购量如有增减，其总价款则按实以单项价款调整。</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4.1.7 开标一览表（报价表）需加盖投标供应商公章并由法定代表人或其委托代理人签字或盖章。</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4.2开标一览表（报价表）按采购人提供的格式要求填写（格式附后，格式不得随意变动，变动者为无效）。</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4.3 投标文件的编写</w:t>
      </w:r>
    </w:p>
    <w:p>
      <w:pPr>
        <w:spacing w:line="440" w:lineRule="exact"/>
        <w:ind w:firstLine="480" w:firstLineChars="200"/>
        <w:rPr>
          <w:rFonts w:hint="eastAsia" w:ascii="宋体" w:hAnsi="宋体"/>
          <w:color w:val="000000"/>
          <w:sz w:val="24"/>
        </w:rPr>
      </w:pPr>
      <w:r>
        <w:rPr>
          <w:rFonts w:hint="eastAsia" w:ascii="宋体" w:hAnsi="宋体"/>
          <w:color w:val="000000"/>
          <w:sz w:val="24"/>
        </w:rPr>
        <w:t>供应商应仔细阅读采购文件，了解采购文件的要求。在完全了解采购货物的技术规范和要求以及商务条件后，编制投标文件。</w:t>
      </w:r>
    </w:p>
    <w:p>
      <w:pPr>
        <w:spacing w:line="440" w:lineRule="exact"/>
        <w:ind w:firstLine="480" w:firstLineChars="200"/>
        <w:rPr>
          <w:rFonts w:ascii="宋体"/>
          <w:color w:val="000000"/>
          <w:sz w:val="24"/>
        </w:rPr>
      </w:pPr>
      <w:r>
        <w:rPr>
          <w:rFonts w:ascii="宋体" w:hAnsi="宋体" w:cs="宋体"/>
          <w:color w:val="000000"/>
          <w:sz w:val="24"/>
        </w:rPr>
        <w:t>4.4</w:t>
      </w:r>
      <w:r>
        <w:rPr>
          <w:rFonts w:hint="eastAsia" w:ascii="宋体" w:hAnsi="宋体" w:cs="宋体"/>
          <w:color w:val="000000"/>
          <w:sz w:val="24"/>
        </w:rPr>
        <w:t>投标保证金：</w:t>
      </w:r>
    </w:p>
    <w:p>
      <w:pPr>
        <w:spacing w:line="440" w:lineRule="exact"/>
        <w:ind w:firstLine="480" w:firstLineChars="200"/>
        <w:rPr>
          <w:rFonts w:ascii="宋体"/>
          <w:color w:val="000000"/>
          <w:sz w:val="24"/>
        </w:rPr>
      </w:pPr>
      <w:r>
        <w:rPr>
          <w:rFonts w:ascii="宋体" w:hAnsi="宋体" w:cs="宋体"/>
          <w:color w:val="000000"/>
          <w:sz w:val="24"/>
        </w:rPr>
        <w:t>4.4.1</w:t>
      </w:r>
      <w:r>
        <w:rPr>
          <w:rFonts w:hint="eastAsia" w:ascii="宋体" w:hAnsi="宋体" w:cs="宋体"/>
          <w:color w:val="000000"/>
          <w:sz w:val="24"/>
        </w:rPr>
        <w:t>参加投标的供应商投标保证金</w:t>
      </w:r>
      <w:r>
        <w:rPr>
          <w:rFonts w:hint="eastAsia" w:ascii="宋体" w:hAnsi="宋体"/>
          <w:color w:val="000000"/>
          <w:sz w:val="24"/>
        </w:rPr>
        <w:t>金额及交纳时间详见招标公告及前附表第5项</w:t>
      </w:r>
      <w:r>
        <w:rPr>
          <w:rFonts w:hint="eastAsia" w:ascii="宋体" w:hAnsi="宋体" w:cs="宋体"/>
          <w:color w:val="000000"/>
          <w:sz w:val="24"/>
        </w:rPr>
        <w:t>。</w:t>
      </w:r>
    </w:p>
    <w:p>
      <w:pPr>
        <w:spacing w:line="440" w:lineRule="exact"/>
        <w:ind w:firstLine="480" w:firstLineChars="200"/>
        <w:rPr>
          <w:rFonts w:ascii="宋体"/>
          <w:color w:val="000000"/>
          <w:sz w:val="24"/>
        </w:rPr>
      </w:pPr>
      <w:r>
        <w:rPr>
          <w:rFonts w:ascii="宋体" w:hAnsi="宋体" w:cs="宋体"/>
          <w:color w:val="000000"/>
          <w:sz w:val="24"/>
        </w:rPr>
        <w:t>4.4.2</w:t>
      </w:r>
      <w:r>
        <w:rPr>
          <w:rFonts w:hint="eastAsia" w:ascii="宋体" w:hAnsi="宋体" w:cs="宋体"/>
          <w:color w:val="000000"/>
          <w:sz w:val="24"/>
        </w:rPr>
        <w:t>对于未能按要求提交投标保证金的投标文件，采购人可以视为不响应采购文件要求而予以拒绝。</w:t>
      </w:r>
    </w:p>
    <w:p>
      <w:pPr>
        <w:spacing w:line="440" w:lineRule="exact"/>
        <w:ind w:firstLine="480" w:firstLineChars="200"/>
        <w:rPr>
          <w:rFonts w:ascii="宋体"/>
          <w:color w:val="000000"/>
          <w:sz w:val="24"/>
        </w:rPr>
      </w:pPr>
      <w:r>
        <w:rPr>
          <w:rFonts w:ascii="宋体" w:hAnsi="宋体" w:cs="宋体"/>
          <w:color w:val="000000"/>
          <w:sz w:val="24"/>
        </w:rPr>
        <w:t>4.4.3</w:t>
      </w:r>
      <w:r>
        <w:rPr>
          <w:rFonts w:hint="eastAsia" w:ascii="宋体" w:hAnsi="宋体" w:cs="宋体"/>
          <w:color w:val="000000"/>
          <w:sz w:val="24"/>
        </w:rPr>
        <w:t>未中标供应商的投标保证金，自中标通知书发出之日起</w:t>
      </w:r>
      <w:r>
        <w:rPr>
          <w:rFonts w:ascii="宋体" w:hAnsi="宋体" w:cs="宋体"/>
          <w:color w:val="000000"/>
          <w:sz w:val="24"/>
        </w:rPr>
        <w:t>5</w:t>
      </w:r>
      <w:r>
        <w:rPr>
          <w:rFonts w:hint="eastAsia" w:ascii="宋体" w:hAnsi="宋体" w:cs="宋体"/>
          <w:color w:val="000000"/>
          <w:sz w:val="24"/>
        </w:rPr>
        <w:t>个工作日内予以退还（不计息）。</w:t>
      </w:r>
    </w:p>
    <w:p>
      <w:pPr>
        <w:spacing w:line="440" w:lineRule="exact"/>
        <w:ind w:firstLine="480" w:firstLineChars="200"/>
        <w:rPr>
          <w:rFonts w:ascii="宋体"/>
          <w:color w:val="000000"/>
          <w:sz w:val="24"/>
        </w:rPr>
      </w:pPr>
      <w:r>
        <w:rPr>
          <w:rFonts w:ascii="宋体" w:hAnsi="宋体" w:cs="宋体"/>
          <w:color w:val="000000"/>
          <w:sz w:val="24"/>
        </w:rPr>
        <w:t>4.4.4</w:t>
      </w:r>
      <w:r>
        <w:rPr>
          <w:rFonts w:hint="eastAsia" w:ascii="宋体" w:hAnsi="宋体"/>
          <w:color w:val="000000"/>
          <w:sz w:val="24"/>
        </w:rPr>
        <w:t>中标供应商的投标保证金待交纳履约保证金并签订合同之日起5个工作日内退还，履约保证金金额详见前附表第6项</w:t>
      </w:r>
      <w:r>
        <w:rPr>
          <w:rFonts w:hint="eastAsia" w:ascii="宋体" w:hAnsi="宋体" w:cs="宋体"/>
          <w:color w:val="000000"/>
          <w:sz w:val="24"/>
        </w:rPr>
        <w:t>。</w:t>
      </w:r>
    </w:p>
    <w:p>
      <w:pPr>
        <w:spacing w:line="440" w:lineRule="exact"/>
        <w:ind w:firstLine="480" w:firstLineChars="200"/>
        <w:rPr>
          <w:rFonts w:ascii="宋体"/>
          <w:b/>
          <w:bCs/>
          <w:color w:val="000000"/>
          <w:sz w:val="24"/>
        </w:rPr>
      </w:pPr>
      <w:r>
        <w:rPr>
          <w:rFonts w:ascii="宋体" w:hAnsi="宋体" w:cs="宋体"/>
          <w:color w:val="000000"/>
          <w:sz w:val="24"/>
        </w:rPr>
        <w:t>4.4.5</w:t>
      </w:r>
      <w:r>
        <w:rPr>
          <w:rFonts w:hint="eastAsia" w:ascii="宋体" w:hAnsi="宋体" w:cs="宋体"/>
          <w:b/>
          <w:bCs/>
          <w:color w:val="000000"/>
          <w:sz w:val="24"/>
        </w:rPr>
        <w:t>中标供应商有下列情况之一的，招标采购单位不予退还其交纳的投标保证金。</w:t>
      </w:r>
    </w:p>
    <w:p>
      <w:pPr>
        <w:pStyle w:val="19"/>
        <w:spacing w:line="440" w:lineRule="exact"/>
        <w:ind w:firstLine="480"/>
        <w:rPr>
          <w:rFonts w:hint="eastAsia" w:hAnsi="宋体"/>
          <w:color w:val="000000"/>
          <w:sz w:val="24"/>
        </w:rPr>
      </w:pPr>
      <w:r>
        <w:rPr>
          <w:rFonts w:hint="eastAsia" w:hAnsi="宋体"/>
          <w:color w:val="000000"/>
          <w:sz w:val="24"/>
        </w:rPr>
        <w:t>4.4.5.1中标后无正当理由不与采购人签订合同的；</w:t>
      </w:r>
    </w:p>
    <w:p>
      <w:pPr>
        <w:pStyle w:val="19"/>
        <w:spacing w:line="440" w:lineRule="exact"/>
        <w:ind w:firstLine="480"/>
        <w:rPr>
          <w:rFonts w:hint="eastAsia" w:hAnsi="宋体"/>
          <w:color w:val="000000"/>
          <w:sz w:val="24"/>
        </w:rPr>
      </w:pPr>
      <w:r>
        <w:rPr>
          <w:rFonts w:hint="eastAsia" w:hAnsi="宋体"/>
          <w:color w:val="000000"/>
          <w:sz w:val="24"/>
        </w:rPr>
        <w:t>4.4.5.2在投标有效期内撤回其投标文件的；</w:t>
      </w:r>
    </w:p>
    <w:p>
      <w:pPr>
        <w:pStyle w:val="19"/>
        <w:spacing w:line="440" w:lineRule="exact"/>
        <w:ind w:firstLine="480"/>
        <w:rPr>
          <w:rFonts w:hint="eastAsia" w:hAnsi="宋体"/>
          <w:color w:val="000000"/>
          <w:sz w:val="24"/>
        </w:rPr>
      </w:pPr>
      <w:r>
        <w:rPr>
          <w:rFonts w:hint="eastAsia" w:hAnsi="宋体"/>
          <w:color w:val="000000"/>
          <w:sz w:val="24"/>
        </w:rPr>
        <w:t>4.4.5.3对评标定标施加影响，扰乱正常的开标秩序的；</w:t>
      </w:r>
    </w:p>
    <w:p>
      <w:pPr>
        <w:pStyle w:val="19"/>
        <w:spacing w:line="440" w:lineRule="exact"/>
        <w:ind w:firstLine="480"/>
        <w:rPr>
          <w:rFonts w:hint="eastAsia" w:hAnsi="宋体"/>
          <w:color w:val="000000"/>
          <w:sz w:val="24"/>
        </w:rPr>
      </w:pPr>
      <w:r>
        <w:rPr>
          <w:rFonts w:hint="eastAsia" w:hAnsi="宋体"/>
          <w:color w:val="000000"/>
          <w:sz w:val="24"/>
        </w:rPr>
        <w:t>4.4.5.4提供虚假材料或采取其他不正当手段谋取中标的；</w:t>
      </w:r>
    </w:p>
    <w:p>
      <w:pPr>
        <w:pStyle w:val="19"/>
        <w:spacing w:line="440" w:lineRule="exact"/>
        <w:ind w:firstLine="480" w:firstLineChars="200"/>
        <w:rPr>
          <w:rFonts w:hint="eastAsia" w:hAnsi="宋体"/>
          <w:color w:val="000000"/>
          <w:sz w:val="24"/>
        </w:rPr>
      </w:pPr>
      <w:r>
        <w:rPr>
          <w:rFonts w:hint="eastAsia" w:hAnsi="宋体"/>
          <w:color w:val="000000"/>
          <w:sz w:val="24"/>
        </w:rPr>
        <w:t>4.4.5.5与招标采购单位、其他供应商恶意串通的；</w:t>
      </w:r>
    </w:p>
    <w:p>
      <w:pPr>
        <w:pStyle w:val="19"/>
        <w:spacing w:line="440" w:lineRule="exact"/>
        <w:ind w:firstLine="480" w:firstLineChars="200"/>
        <w:rPr>
          <w:rFonts w:hint="eastAsia" w:hAnsi="宋体"/>
          <w:color w:val="000000"/>
          <w:sz w:val="24"/>
        </w:rPr>
      </w:pPr>
      <w:r>
        <w:rPr>
          <w:rFonts w:hint="eastAsia" w:hAnsi="宋体"/>
          <w:color w:val="000000"/>
          <w:sz w:val="24"/>
        </w:rPr>
        <w:t>4.4.5.6未按采购文件规定交纳履约保证金的；</w:t>
      </w:r>
    </w:p>
    <w:p>
      <w:pPr>
        <w:pStyle w:val="19"/>
        <w:spacing w:line="440" w:lineRule="exact"/>
        <w:ind w:firstLine="480" w:firstLineChars="200"/>
        <w:rPr>
          <w:rFonts w:hint="eastAsia" w:hAnsi="宋体"/>
          <w:color w:val="000000"/>
          <w:sz w:val="24"/>
        </w:rPr>
      </w:pPr>
      <w:r>
        <w:rPr>
          <w:rFonts w:hint="eastAsia" w:hAnsi="宋体"/>
          <w:color w:val="000000"/>
          <w:sz w:val="24"/>
        </w:rPr>
        <w:t>4.4.5.7拒绝接受招投标监管部门监督检查的；</w:t>
      </w:r>
    </w:p>
    <w:p>
      <w:pPr>
        <w:spacing w:line="440" w:lineRule="exact"/>
        <w:ind w:firstLine="480" w:firstLineChars="200"/>
        <w:rPr>
          <w:rFonts w:hint="eastAsia" w:ascii="宋体" w:hAnsi="宋体"/>
          <w:b/>
          <w:bCs/>
          <w:color w:val="000000"/>
          <w:sz w:val="24"/>
        </w:rPr>
      </w:pPr>
      <w:r>
        <w:rPr>
          <w:rFonts w:hint="eastAsia" w:ascii="宋体" w:hAnsi="宋体"/>
          <w:color w:val="000000"/>
          <w:sz w:val="24"/>
        </w:rPr>
        <w:t>4.4.5.8存在法律、法规规定的其他情形。</w:t>
      </w:r>
    </w:p>
    <w:p>
      <w:pPr>
        <w:spacing w:line="440" w:lineRule="exact"/>
        <w:ind w:firstLine="480" w:firstLineChars="200"/>
        <w:rPr>
          <w:rFonts w:hint="eastAsia" w:hAnsi="宋体"/>
          <w:color w:val="000000"/>
          <w:sz w:val="24"/>
        </w:rPr>
      </w:pPr>
      <w:r>
        <w:rPr>
          <w:rFonts w:hint="eastAsia" w:ascii="宋体" w:hAnsi="宋体"/>
          <w:color w:val="000000"/>
          <w:sz w:val="24"/>
        </w:rPr>
        <w:t>4.4.6履约保证金待履行合同完毕后7个工作日内予以退还（不计息）</w:t>
      </w:r>
      <w:r>
        <w:rPr>
          <w:rFonts w:hint="eastAsia" w:hAnsi="宋体"/>
          <w:color w:val="000000"/>
          <w:sz w:val="24"/>
        </w:rPr>
        <w:t>。</w:t>
      </w:r>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14" w:name="_Toc113758793"/>
      <w:bookmarkStart w:id="15" w:name="_Toc46418580"/>
      <w:bookmarkStart w:id="16" w:name="_Toc174164734"/>
      <w:bookmarkStart w:id="17" w:name="_Toc208732207"/>
      <w:r>
        <w:rPr>
          <w:rFonts w:hint="eastAsia" w:ascii="宋体" w:hAnsi="宋体"/>
          <w:color w:val="000000"/>
          <w:sz w:val="28"/>
          <w:szCs w:val="28"/>
        </w:rPr>
        <w:t>五、采购项目的技术规格、要求和数量，包括附件、图纸等</w:t>
      </w:r>
      <w:bookmarkEnd w:id="14"/>
      <w:bookmarkEnd w:id="15"/>
    </w:p>
    <w:p>
      <w:pPr>
        <w:spacing w:line="440" w:lineRule="exact"/>
        <w:rPr>
          <w:rFonts w:hint="eastAsia" w:ascii="宋体" w:hAnsi="宋体"/>
          <w:bCs/>
          <w:sz w:val="24"/>
        </w:rPr>
      </w:pPr>
      <w:r>
        <w:rPr>
          <w:rFonts w:hint="eastAsia" w:ascii="宋体" w:hAnsi="宋体"/>
          <w:bCs/>
          <w:color w:val="000000"/>
          <w:sz w:val="24"/>
        </w:rPr>
        <w:t xml:space="preserve">    </w:t>
      </w:r>
      <w:r>
        <w:rPr>
          <w:rFonts w:hint="eastAsia" w:ascii="宋体" w:hAnsi="宋体"/>
          <w:bCs/>
          <w:sz w:val="24"/>
        </w:rPr>
        <w:t>5.1采购原则：</w:t>
      </w:r>
    </w:p>
    <w:p>
      <w:pPr>
        <w:spacing w:line="440" w:lineRule="exact"/>
        <w:ind w:firstLine="480" w:firstLineChars="200"/>
        <w:rPr>
          <w:rFonts w:hint="eastAsia" w:ascii="宋体" w:hAnsi="宋体"/>
          <w:sz w:val="24"/>
        </w:rPr>
      </w:pPr>
      <w:r>
        <w:rPr>
          <w:rFonts w:hint="eastAsia" w:ascii="宋体" w:hAnsi="宋体"/>
          <w:bCs/>
          <w:sz w:val="24"/>
        </w:rPr>
        <w:t xml:space="preserve">5.1.1 </w:t>
      </w:r>
      <w:r>
        <w:rPr>
          <w:rFonts w:hint="eastAsia" w:ascii="宋体" w:hAnsi="宋体"/>
          <w:sz w:val="24"/>
        </w:rPr>
        <w:t>本着“实用、可靠、先进、经济”的原则，充分利用现有资源，结合采购人的具体情况和实际工作需求进行配置。</w:t>
      </w:r>
    </w:p>
    <w:p>
      <w:pPr>
        <w:pStyle w:val="15"/>
        <w:snapToGrid w:val="0"/>
        <w:spacing w:line="440" w:lineRule="exact"/>
        <w:ind w:firstLine="480" w:firstLineChars="200"/>
        <w:jc w:val="left"/>
        <w:rPr>
          <w:rFonts w:hint="eastAsia" w:ascii="宋体" w:hAnsi="宋体"/>
          <w:b w:val="0"/>
          <w:bCs w:val="0"/>
          <w:sz w:val="24"/>
        </w:rPr>
      </w:pPr>
      <w:r>
        <w:rPr>
          <w:rFonts w:hint="eastAsia" w:ascii="宋体" w:hAnsi="宋体"/>
          <w:b w:val="0"/>
          <w:bCs w:val="0"/>
          <w:sz w:val="24"/>
        </w:rPr>
        <w:t>5.2采购物品名称、数量、技术要求：详见附件十二。</w:t>
      </w:r>
    </w:p>
    <w:p>
      <w:pPr>
        <w:spacing w:line="440" w:lineRule="exact"/>
        <w:ind w:firstLine="480" w:firstLineChars="200"/>
        <w:rPr>
          <w:rFonts w:hint="eastAsia" w:ascii="宋体"/>
          <w:b/>
          <w:bCs/>
          <w:sz w:val="24"/>
          <w:u w:val="single"/>
        </w:rPr>
      </w:pPr>
      <w:r>
        <w:rPr>
          <w:rFonts w:hint="eastAsia" w:ascii="宋体" w:hAnsi="宋体"/>
          <w:bCs/>
          <w:sz w:val="24"/>
        </w:rPr>
        <w:t>5.3工作任务：</w:t>
      </w:r>
      <w:r>
        <w:rPr>
          <w:rFonts w:hint="eastAsia" w:ascii="宋体"/>
          <w:b/>
          <w:bCs/>
          <w:sz w:val="24"/>
          <w:u w:val="single"/>
        </w:rPr>
        <w:t>绍兴市公安局柯桥区分局主城区”智慧安防小区”建设项目，详见附件十二</w:t>
      </w:r>
      <w:r>
        <w:rPr>
          <w:rFonts w:ascii="宋体"/>
          <w:b/>
          <w:bCs/>
          <w:sz w:val="24"/>
          <w:u w:val="single"/>
        </w:rPr>
        <w:t>。</w:t>
      </w:r>
    </w:p>
    <w:p>
      <w:pPr>
        <w:spacing w:line="440" w:lineRule="exact"/>
        <w:ind w:firstLine="480" w:firstLineChars="200"/>
        <w:rPr>
          <w:rFonts w:hint="eastAsia" w:ascii="宋体" w:hAnsi="宋体"/>
          <w:bCs/>
          <w:sz w:val="24"/>
        </w:rPr>
      </w:pPr>
      <w:r>
        <w:rPr>
          <w:rFonts w:hint="eastAsia" w:ascii="宋体" w:hAnsi="宋体"/>
          <w:bCs/>
          <w:sz w:val="24"/>
        </w:rPr>
        <w:t>5.4样品详细要求：</w:t>
      </w:r>
      <w:r>
        <w:rPr>
          <w:rFonts w:hint="eastAsia" w:ascii="宋体" w:hAnsi="宋体"/>
          <w:bCs/>
          <w:sz w:val="24"/>
          <w:u w:val="single"/>
        </w:rPr>
        <w:t xml:space="preserve">    / </w:t>
      </w:r>
    </w:p>
    <w:p>
      <w:pPr>
        <w:spacing w:line="440" w:lineRule="exact"/>
        <w:ind w:firstLine="480" w:firstLineChars="200"/>
        <w:rPr>
          <w:rFonts w:hint="eastAsia" w:ascii="宋体" w:hAnsi="宋体"/>
          <w:bCs/>
          <w:sz w:val="24"/>
        </w:rPr>
      </w:pPr>
      <w:r>
        <w:rPr>
          <w:rFonts w:hint="eastAsia" w:ascii="宋体" w:hAnsi="宋体"/>
          <w:bCs/>
          <w:sz w:val="24"/>
        </w:rPr>
        <w:t>5.5其他要求：</w:t>
      </w:r>
      <w:r>
        <w:rPr>
          <w:rFonts w:hint="eastAsia" w:ascii="宋体" w:hAnsi="宋体"/>
          <w:bCs/>
          <w:sz w:val="24"/>
          <w:u w:val="single"/>
        </w:rPr>
        <w:t xml:space="preserve">   / </w:t>
      </w:r>
    </w:p>
    <w:p>
      <w:pPr>
        <w:spacing w:line="440" w:lineRule="exact"/>
        <w:ind w:firstLine="480" w:firstLineChars="200"/>
        <w:rPr>
          <w:rFonts w:hint="eastAsia" w:ascii="宋体" w:hAnsi="宋体"/>
          <w:bCs/>
          <w:sz w:val="24"/>
          <w:u w:val="single"/>
        </w:rPr>
      </w:pPr>
      <w:r>
        <w:rPr>
          <w:rFonts w:hint="eastAsia" w:ascii="宋体" w:hAnsi="宋体"/>
          <w:bCs/>
          <w:sz w:val="24"/>
        </w:rPr>
        <w:t xml:space="preserve">5.6技术规格要求：详见附件十二 。               </w:t>
      </w:r>
    </w:p>
    <w:p>
      <w:pPr>
        <w:spacing w:line="440" w:lineRule="exact"/>
        <w:ind w:firstLine="480" w:firstLineChars="200"/>
        <w:rPr>
          <w:rFonts w:hint="eastAsia" w:ascii="宋体" w:hAnsi="宋体"/>
          <w:bCs/>
          <w:sz w:val="24"/>
          <w:u w:val="single"/>
        </w:rPr>
      </w:pPr>
      <w:r>
        <w:rPr>
          <w:rFonts w:hint="eastAsia" w:ascii="宋体" w:hAnsi="宋体"/>
          <w:bCs/>
          <w:sz w:val="24"/>
        </w:rPr>
        <w:t>5.7图纸：</w:t>
      </w:r>
      <w:r>
        <w:rPr>
          <w:rFonts w:hint="eastAsia" w:ascii="宋体" w:hAnsi="宋体"/>
          <w:bCs/>
          <w:sz w:val="24"/>
          <w:u w:val="single"/>
        </w:rPr>
        <w:t xml:space="preserve">  / </w:t>
      </w:r>
    </w:p>
    <w:p>
      <w:pPr>
        <w:spacing w:line="440" w:lineRule="exact"/>
        <w:ind w:firstLine="480" w:firstLineChars="200"/>
        <w:rPr>
          <w:rFonts w:hint="eastAsia" w:ascii="宋体" w:hAnsi="宋体"/>
          <w:bCs/>
          <w:sz w:val="24"/>
          <w:u w:val="single"/>
        </w:rPr>
      </w:pPr>
    </w:p>
    <w:p>
      <w:pPr>
        <w:pStyle w:val="2"/>
        <w:numPr>
          <w:ilvl w:val="0"/>
          <w:numId w:val="0"/>
        </w:numPr>
        <w:spacing w:before="0" w:after="0" w:line="440" w:lineRule="exact"/>
        <w:jc w:val="center"/>
        <w:rPr>
          <w:rFonts w:hint="eastAsia" w:ascii="宋体" w:hAnsi="宋体"/>
          <w:color w:val="000000"/>
          <w:sz w:val="28"/>
          <w:szCs w:val="28"/>
        </w:rPr>
      </w:pPr>
      <w:bookmarkStart w:id="18" w:name="_Toc46418581"/>
      <w:r>
        <w:rPr>
          <w:rFonts w:hint="eastAsia" w:ascii="宋体" w:hAnsi="宋体"/>
          <w:color w:val="000000"/>
          <w:sz w:val="28"/>
          <w:szCs w:val="28"/>
        </w:rPr>
        <w:t>六、合同主要条款及合同签订方式</w:t>
      </w:r>
      <w:bookmarkEnd w:id="18"/>
    </w:p>
    <w:p>
      <w:pPr>
        <w:spacing w:line="440" w:lineRule="exact"/>
        <w:ind w:left="5250" w:leftChars="2500"/>
        <w:rPr>
          <w:rFonts w:hint="eastAsia" w:ascii="宋体"/>
        </w:rPr>
      </w:pPr>
    </w:p>
    <w:p>
      <w:pPr>
        <w:spacing w:line="440" w:lineRule="exact"/>
        <w:ind w:firstLine="482" w:firstLineChars="200"/>
        <w:rPr>
          <w:rFonts w:hint="eastAsia" w:ascii="宋体"/>
          <w:b/>
          <w:bCs/>
          <w:sz w:val="24"/>
        </w:rPr>
      </w:pPr>
      <w:r>
        <w:rPr>
          <w:rFonts w:hint="eastAsia" w:ascii="宋体"/>
          <w:b/>
          <w:sz w:val="24"/>
        </w:rPr>
        <w:t>6.1签订合同：</w:t>
      </w:r>
    </w:p>
    <w:p>
      <w:pPr>
        <w:spacing w:line="440" w:lineRule="exact"/>
        <w:ind w:firstLine="480" w:firstLineChars="200"/>
        <w:rPr>
          <w:rFonts w:hint="eastAsia" w:ascii="宋体"/>
          <w:sz w:val="24"/>
        </w:rPr>
      </w:pPr>
      <w:r>
        <w:rPr>
          <w:rFonts w:hint="eastAsia" w:ascii="宋体"/>
          <w:sz w:val="24"/>
        </w:rPr>
        <w:t>中标供应商以浙江省政府采购网中标公示为依据，按《中标通知书》规定的时间、地点与采购人签订合同并交纳履约保证金(不计息)。</w:t>
      </w:r>
    </w:p>
    <w:p>
      <w:pPr>
        <w:spacing w:line="440" w:lineRule="exact"/>
        <w:ind w:firstLine="482" w:firstLineChars="200"/>
        <w:rPr>
          <w:rFonts w:hint="eastAsia" w:ascii="宋体"/>
          <w:b/>
          <w:sz w:val="24"/>
        </w:rPr>
      </w:pPr>
      <w:r>
        <w:rPr>
          <w:rFonts w:hint="eastAsia" w:ascii="宋体"/>
          <w:b/>
          <w:sz w:val="24"/>
        </w:rPr>
        <w:t>6.2合同组成：</w:t>
      </w:r>
    </w:p>
    <w:p>
      <w:pPr>
        <w:spacing w:line="440" w:lineRule="exact"/>
        <w:ind w:firstLine="480" w:firstLineChars="200"/>
        <w:rPr>
          <w:rFonts w:hint="eastAsia" w:ascii="宋体"/>
          <w:sz w:val="24"/>
        </w:rPr>
      </w:pPr>
      <w:r>
        <w:rPr>
          <w:rFonts w:hint="eastAsia" w:ascii="宋体"/>
          <w:sz w:val="24"/>
        </w:rPr>
        <w:t>6.2.1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hint="eastAsia" w:ascii="宋体"/>
          <w:b/>
          <w:sz w:val="24"/>
        </w:rPr>
      </w:pPr>
      <w:r>
        <w:rPr>
          <w:rFonts w:hint="eastAsia" w:ascii="宋体"/>
          <w:b/>
          <w:sz w:val="24"/>
        </w:rPr>
        <w:t>6.3 合同主要条款</w:t>
      </w:r>
    </w:p>
    <w:p>
      <w:pPr>
        <w:spacing w:line="440" w:lineRule="exact"/>
        <w:ind w:firstLine="482" w:firstLineChars="200"/>
        <w:rPr>
          <w:rFonts w:hint="eastAsia" w:ascii="宋体"/>
          <w:sz w:val="24"/>
        </w:rPr>
      </w:pPr>
      <w:r>
        <w:rPr>
          <w:rFonts w:hint="eastAsia" w:ascii="宋体"/>
          <w:b/>
          <w:bCs/>
          <w:sz w:val="24"/>
        </w:rPr>
        <w:t>6.3.1 承包范围：</w:t>
      </w:r>
      <w:r>
        <w:rPr>
          <w:rFonts w:hint="eastAsia" w:ascii="宋体"/>
          <w:bCs/>
          <w:sz w:val="24"/>
          <w:u w:val="single"/>
        </w:rPr>
        <w:t>按采购文件内容。</w:t>
      </w:r>
    </w:p>
    <w:p>
      <w:pPr>
        <w:spacing w:line="440" w:lineRule="exact"/>
        <w:ind w:firstLine="482" w:firstLineChars="200"/>
        <w:rPr>
          <w:rFonts w:hint="eastAsia" w:ascii="宋体"/>
          <w:b/>
          <w:sz w:val="24"/>
        </w:rPr>
      </w:pPr>
      <w:r>
        <w:rPr>
          <w:rFonts w:hint="eastAsia" w:ascii="宋体"/>
          <w:b/>
          <w:bCs/>
          <w:sz w:val="24"/>
        </w:rPr>
        <w:t>6.3.2 承包方式：</w:t>
      </w:r>
    </w:p>
    <w:p>
      <w:pPr>
        <w:spacing w:line="440" w:lineRule="exact"/>
        <w:ind w:firstLine="480" w:firstLineChars="200"/>
        <w:rPr>
          <w:rFonts w:hint="eastAsia" w:ascii="宋体"/>
          <w:sz w:val="24"/>
          <w:u w:val="single"/>
        </w:rPr>
      </w:pPr>
      <w:r>
        <w:rPr>
          <w:rFonts w:hint="eastAsia" w:ascii="宋体"/>
          <w:sz w:val="24"/>
          <w:u w:val="single"/>
        </w:rPr>
        <w:t>本项目承包方式在约定范围内实行包项目总造价、包货物量、包安装、包供货安装时间、包维修、包质量、包安全、包文明施工管理的承包方式。</w:t>
      </w:r>
    </w:p>
    <w:p>
      <w:pPr>
        <w:spacing w:line="440" w:lineRule="exact"/>
        <w:ind w:firstLine="482" w:firstLineChars="200"/>
        <w:rPr>
          <w:rFonts w:hint="eastAsia" w:ascii="宋体"/>
          <w:b/>
          <w:sz w:val="24"/>
        </w:rPr>
      </w:pPr>
      <w:r>
        <w:rPr>
          <w:rFonts w:hint="eastAsia" w:ascii="宋体"/>
          <w:b/>
          <w:sz w:val="24"/>
        </w:rPr>
        <w:t>6.3.3 工期要求</w:t>
      </w:r>
    </w:p>
    <w:p>
      <w:pPr>
        <w:spacing w:line="440" w:lineRule="exact"/>
        <w:ind w:firstLine="480" w:firstLineChars="200"/>
        <w:rPr>
          <w:rFonts w:hint="eastAsia" w:ascii="宋体"/>
          <w:sz w:val="24"/>
          <w:u w:val="single"/>
        </w:rPr>
      </w:pPr>
      <w:r>
        <w:rPr>
          <w:rFonts w:hint="eastAsia" w:ascii="宋体"/>
          <w:sz w:val="24"/>
          <w:u w:val="single"/>
        </w:rPr>
        <w:t>6.3.3.1货物供应及安装完成时间详见前附表第9项。</w:t>
      </w:r>
    </w:p>
    <w:p>
      <w:pPr>
        <w:autoSpaceDE w:val="0"/>
        <w:autoSpaceDN w:val="0"/>
        <w:adjustRightInd w:val="0"/>
        <w:spacing w:line="440" w:lineRule="exact"/>
        <w:ind w:firstLine="480" w:firstLineChars="200"/>
        <w:rPr>
          <w:rFonts w:hint="eastAsia" w:ascii="宋体"/>
          <w:bCs/>
          <w:sz w:val="24"/>
          <w:u w:val="single"/>
        </w:rPr>
      </w:pPr>
      <w:r>
        <w:rPr>
          <w:rFonts w:hint="eastAsia" w:ascii="宋体"/>
          <w:sz w:val="24"/>
          <w:u w:val="single"/>
        </w:rPr>
        <w:t>6.3.3.2 合同</w:t>
      </w:r>
      <w:r>
        <w:rPr>
          <w:rFonts w:hint="eastAsia" w:ascii="宋体"/>
          <w:bCs/>
          <w:sz w:val="24"/>
          <w:u w:val="single"/>
        </w:rPr>
        <w:t>供货安装时间</w:t>
      </w:r>
      <w:r>
        <w:rPr>
          <w:rFonts w:hint="eastAsia" w:ascii="宋体"/>
          <w:sz w:val="24"/>
          <w:u w:val="single"/>
        </w:rPr>
        <w:t>如遇下列情况，经甲方书面确认后，</w:t>
      </w:r>
      <w:r>
        <w:rPr>
          <w:rFonts w:hint="eastAsia" w:ascii="宋体"/>
          <w:bCs/>
          <w:sz w:val="24"/>
          <w:u w:val="single"/>
        </w:rPr>
        <w:t>供货安装时间</w:t>
      </w:r>
      <w:r>
        <w:rPr>
          <w:rFonts w:hint="eastAsia" w:ascii="宋体"/>
          <w:sz w:val="24"/>
          <w:u w:val="single"/>
        </w:rPr>
        <w:t>可相应顺延。</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6.3.3.2.1 合同履行中发生重大变更而确实影响到供货安装进度（属中标人组织生产、安装等失误引起的供货安装进度滞后由中标人负责）。</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6.3.3.2.2 不可抗力因素。</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6.3.3.2.3 非中标人原因而确实影响到供货安装进度的。</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除上述外，中标人不得以任何理由变更供货安装时间。</w:t>
      </w:r>
    </w:p>
    <w:p>
      <w:pPr>
        <w:autoSpaceDE w:val="0"/>
        <w:autoSpaceDN w:val="0"/>
        <w:adjustRightInd w:val="0"/>
        <w:spacing w:line="440" w:lineRule="exact"/>
        <w:ind w:firstLine="482" w:firstLineChars="200"/>
        <w:rPr>
          <w:rFonts w:hint="eastAsia" w:ascii="宋体"/>
          <w:b/>
          <w:bCs/>
          <w:sz w:val="24"/>
        </w:rPr>
      </w:pPr>
      <w:r>
        <w:rPr>
          <w:rFonts w:hint="eastAsia" w:ascii="宋体"/>
          <w:b/>
          <w:bCs/>
          <w:sz w:val="24"/>
        </w:rPr>
        <w:t>6.3.4 技术要求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6.3.4.1 所有投标的货物、设施必须满足相应标准或使用要求。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6.3.4.2 本项目应遵照国家的有关技术（验收）规程、规范、标准。</w:t>
      </w:r>
    </w:p>
    <w:p>
      <w:pPr>
        <w:autoSpaceDE w:val="0"/>
        <w:autoSpaceDN w:val="0"/>
        <w:adjustRightInd w:val="0"/>
        <w:spacing w:line="440" w:lineRule="exact"/>
        <w:ind w:firstLine="482" w:firstLineChars="200"/>
        <w:rPr>
          <w:rFonts w:hint="eastAsia" w:ascii="宋体"/>
          <w:b/>
          <w:bCs/>
          <w:sz w:val="24"/>
        </w:rPr>
      </w:pPr>
      <w:r>
        <w:rPr>
          <w:rFonts w:hint="eastAsia" w:ascii="宋体"/>
          <w:b/>
          <w:bCs/>
          <w:sz w:val="24"/>
        </w:rPr>
        <w:t>6.3.5 质量要求</w:t>
      </w:r>
    </w:p>
    <w:p>
      <w:pPr>
        <w:spacing w:line="440" w:lineRule="exact"/>
        <w:ind w:firstLine="480" w:firstLineChars="200"/>
        <w:rPr>
          <w:rFonts w:hint="eastAsia" w:ascii="宋体"/>
          <w:sz w:val="24"/>
          <w:u w:val="single"/>
        </w:rPr>
      </w:pPr>
      <w:r>
        <w:rPr>
          <w:rFonts w:hint="eastAsia" w:ascii="宋体"/>
          <w:sz w:val="24"/>
          <w:u w:val="single"/>
        </w:rPr>
        <w:t>6.3.5.1合格，且必须符合本标文第五部分所有条款要求。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6.3.6 中标供应商必须严格按照项目技术要求进行安装，并接受采购人的监督管理。</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6.3.7 所有的货物进场时须同时提供货物出厂合格证书、检测报告。国外生产的必须有合法的进货渠道证明，如海关报关单、原产地证明、商检证明等。</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6.3.8 所有货物必须在检验合格经采购人同意后，方可用于本项目。</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autoSpaceDE w:val="0"/>
        <w:autoSpaceDN w:val="0"/>
        <w:adjustRightInd w:val="0"/>
        <w:spacing w:line="440" w:lineRule="exact"/>
        <w:ind w:firstLine="482" w:firstLineChars="200"/>
        <w:rPr>
          <w:rFonts w:hint="eastAsia" w:ascii="宋体"/>
          <w:b/>
          <w:bCs/>
          <w:sz w:val="24"/>
        </w:rPr>
      </w:pPr>
      <w:r>
        <w:rPr>
          <w:rFonts w:hint="eastAsia" w:ascii="宋体"/>
          <w:b/>
          <w:bCs/>
          <w:sz w:val="24"/>
        </w:rPr>
        <w:t>6.3.11 培训保修</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6.3.11.1在项目组织验收之前，应完成对采购人不少于2名操作人员的培训且不少于2次培训（提供完整的技术培训，使采购人今后能自行操作、维护）。</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6.3.11.2 中标供应商应分别提供称职的指导人员，为采购人确定的培训人员在现场提供操作和维护培训。</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6.3.11.3 中标供应商应编写培训手册并取得采购人同意，本手册应是根据本项目的货物，在有关测试、操作及维护方面，对人员的培训和指导提供全面的培训手册，并提供相应的操作手册。如果需要，采购人有权对其进行复印。</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6.3.11.4 中标供应商应对采购人提供全面的技术和维护咨询。</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6.3.11.5本项目质保期为验收合格之日起</w:t>
      </w:r>
      <w:r>
        <w:rPr>
          <w:rFonts w:ascii="宋体"/>
          <w:sz w:val="24"/>
          <w:u w:val="single"/>
        </w:rPr>
        <w:t>3</w:t>
      </w:r>
      <w:r>
        <w:rPr>
          <w:rFonts w:hint="eastAsia" w:ascii="宋体"/>
          <w:sz w:val="24"/>
          <w:u w:val="single"/>
        </w:rPr>
        <w:t>年免费质保服务，货物在此期间内损坏的（非人为造成）由中标供应商全权负责，如造成采购人相应的经济损失由中标供应商承担。</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6.3.12 货物的供应</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6.3.12.1 按采购文件内容和要求；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6.3.12.2 中标供应商必须经采购人确认后方可进行货物供应，擅自供应的货物采购人不予以认可</w:t>
      </w:r>
      <w:r>
        <w:rPr>
          <w:rFonts w:hint="eastAsia" w:ascii="宋体"/>
          <w:b/>
          <w:sz w:val="24"/>
          <w:u w:val="single"/>
        </w:rPr>
        <w:t>。</w:t>
      </w:r>
    </w:p>
    <w:p>
      <w:pPr>
        <w:autoSpaceDE w:val="0"/>
        <w:autoSpaceDN w:val="0"/>
        <w:adjustRightInd w:val="0"/>
        <w:spacing w:line="440" w:lineRule="exact"/>
        <w:ind w:firstLine="482" w:firstLineChars="200"/>
        <w:rPr>
          <w:rFonts w:hint="eastAsia" w:ascii="宋体"/>
          <w:b/>
          <w:sz w:val="24"/>
        </w:rPr>
      </w:pPr>
      <w:r>
        <w:rPr>
          <w:rFonts w:hint="eastAsia" w:ascii="宋体"/>
          <w:b/>
          <w:sz w:val="24"/>
        </w:rPr>
        <w:t>6.3.13 货物、安装款的支付</w:t>
      </w:r>
    </w:p>
    <w:p>
      <w:pPr>
        <w:autoSpaceDE w:val="0"/>
        <w:autoSpaceDN w:val="0"/>
        <w:adjustRightInd w:val="0"/>
        <w:spacing w:line="440" w:lineRule="exact"/>
        <w:ind w:firstLine="480" w:firstLineChars="200"/>
        <w:rPr>
          <w:rFonts w:ascii="宋体"/>
          <w:sz w:val="24"/>
        </w:rPr>
      </w:pPr>
      <w:r>
        <w:rPr>
          <w:rFonts w:hint="eastAsia" w:ascii="宋体"/>
          <w:sz w:val="24"/>
        </w:rPr>
        <w:t>6.3.13.1</w:t>
      </w:r>
      <w:r>
        <w:rPr>
          <w:rFonts w:hint="eastAsia" w:ascii="宋体"/>
          <w:sz w:val="24"/>
          <w:u w:val="single"/>
        </w:rPr>
        <w:t>项目在主要设备到货、安装完成后，提供相关到货清单和安装完成点位清单，经业主确认后，支付至合同价的50%,项目建设完成，所有系统上线，试运行完成后组织验收，验收合格后支付至合同价的80%，审计完成后支付至审计价的97.5%，余款作为质保金，3年质保期满后1个月内付清。</w:t>
      </w:r>
    </w:p>
    <w:p>
      <w:pPr>
        <w:autoSpaceDE w:val="0"/>
        <w:autoSpaceDN w:val="0"/>
        <w:adjustRightInd w:val="0"/>
        <w:spacing w:line="440" w:lineRule="exact"/>
        <w:ind w:firstLine="480" w:firstLineChars="200"/>
        <w:rPr>
          <w:rFonts w:hint="eastAsia" w:ascii="宋体"/>
          <w:sz w:val="24"/>
          <w:u w:val="single"/>
        </w:rPr>
      </w:pPr>
      <w:r>
        <w:rPr>
          <w:rFonts w:hint="eastAsia" w:ascii="宋体"/>
          <w:sz w:val="24"/>
        </w:rPr>
        <w:t>6.3.13.2</w:t>
      </w:r>
      <w:r>
        <w:rPr>
          <w:rFonts w:hint="eastAsia" w:ascii="宋体"/>
          <w:sz w:val="24"/>
          <w:u w:val="single"/>
        </w:rPr>
        <w:t>发票应随付款进度同时提供（按照国家有关规定缴纳相应税费）。</w:t>
      </w:r>
    </w:p>
    <w:p>
      <w:pPr>
        <w:autoSpaceDE w:val="0"/>
        <w:autoSpaceDN w:val="0"/>
        <w:adjustRightInd w:val="0"/>
        <w:spacing w:line="440" w:lineRule="exact"/>
        <w:ind w:firstLine="482" w:firstLineChars="200"/>
        <w:rPr>
          <w:rFonts w:hint="eastAsia" w:ascii="宋体"/>
          <w:b/>
          <w:sz w:val="24"/>
        </w:rPr>
      </w:pPr>
      <w:r>
        <w:rPr>
          <w:rFonts w:hint="eastAsia" w:ascii="宋体"/>
          <w:b/>
          <w:sz w:val="24"/>
        </w:rPr>
        <w:t>6.3.14 采购人职责</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6.3.14.1 采购人负责对货物质量、货物安装质量进度和合同执行进行监督检查。</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6.3.14.2 组织验收和结算。</w:t>
      </w:r>
    </w:p>
    <w:p>
      <w:pPr>
        <w:autoSpaceDE w:val="0"/>
        <w:autoSpaceDN w:val="0"/>
        <w:adjustRightInd w:val="0"/>
        <w:spacing w:line="440" w:lineRule="exact"/>
        <w:ind w:firstLine="482" w:firstLineChars="200"/>
        <w:rPr>
          <w:rFonts w:hint="eastAsia" w:ascii="宋体"/>
          <w:b/>
          <w:sz w:val="24"/>
        </w:rPr>
      </w:pPr>
      <w:r>
        <w:rPr>
          <w:rFonts w:hint="eastAsia" w:ascii="宋体"/>
          <w:b/>
          <w:sz w:val="24"/>
        </w:rPr>
        <w:t>6.3.15 中标供应商职责</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6.3.15.1 供货前，中标供应商应熟悉安装现场环境及做好其他各项准备工作，费用由中标供应商自理。</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6.3.15.2 在合同实施中，中标供应商应兑现投标书中的所有承诺。</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6.3.15.3 中标供应商必须严格按照本项目技术要求进行精心安装、强化现场原始记录和检测，确保货物质量。</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6.3.15.4 中标人在货物供应、安装期间如发生安全事故，由中标供应商处理并承担全部责任。</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6.3.15.5 在货物安装过程中，中标供应商应接受采购人指令，并严格服从采购人监督。</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6.3.15.6 中标供应商必须在约定时间内组织供货、安装，确保如期完成。</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6.3.15.7 当具备验收条件时，中标供应商应提前十天将验收报告送至采购人，并由采购人组织验收。</w:t>
      </w:r>
    </w:p>
    <w:p>
      <w:pPr>
        <w:autoSpaceDE w:val="0"/>
        <w:autoSpaceDN w:val="0"/>
        <w:adjustRightInd w:val="0"/>
        <w:spacing w:line="440" w:lineRule="exact"/>
        <w:ind w:firstLine="480" w:firstLineChars="200"/>
        <w:rPr>
          <w:rFonts w:ascii="宋体"/>
          <w:sz w:val="24"/>
          <w:u w:val="single"/>
        </w:rPr>
      </w:pPr>
      <w:r>
        <w:rPr>
          <w:rFonts w:hint="eastAsia" w:ascii="宋体"/>
          <w:sz w:val="24"/>
          <w:u w:val="single"/>
        </w:rPr>
        <w:t>6.3.15.8 中标供应商的计划进度安排、质量监督、协调管理、安装配合、安全文明施工，应完全接受采购人对本项目的统一管理，完成后将归档技术资料交予采购人。</w:t>
      </w:r>
    </w:p>
    <w:p>
      <w:pPr>
        <w:autoSpaceDE w:val="0"/>
        <w:autoSpaceDN w:val="0"/>
        <w:adjustRightInd w:val="0"/>
        <w:spacing w:line="440" w:lineRule="exact"/>
        <w:ind w:firstLine="480" w:firstLineChars="200"/>
        <w:rPr>
          <w:rFonts w:hint="eastAsia" w:ascii="宋体"/>
          <w:sz w:val="24"/>
          <w:u w:val="single"/>
        </w:rPr>
      </w:pPr>
      <w:r>
        <w:rPr>
          <w:rFonts w:hint="eastAsia" w:ascii="宋体" w:hAnsi="宋体"/>
          <w:sz w:val="24"/>
          <w:u w:val="single"/>
        </w:rPr>
        <w:t>6</w:t>
      </w:r>
      <w:r>
        <w:rPr>
          <w:rFonts w:ascii="宋体" w:hAnsi="宋体"/>
          <w:sz w:val="24"/>
          <w:u w:val="single"/>
        </w:rPr>
        <w:t>.3.15.9验收必须符合国家、地方有关规范、标准及设计要求。验收时中标供应商须提供第三方检测报告，第三方检测报告的结论须合格及以上；第三方检测机构检测范围为前端</w:t>
      </w:r>
      <w:r>
        <w:rPr>
          <w:rFonts w:hint="eastAsia" w:ascii="宋体" w:hAnsi="宋体"/>
          <w:sz w:val="24"/>
          <w:u w:val="single"/>
        </w:rPr>
        <w:t>监控</w:t>
      </w:r>
      <w:r>
        <w:rPr>
          <w:rFonts w:ascii="宋体" w:hAnsi="宋体"/>
          <w:sz w:val="24"/>
          <w:u w:val="single"/>
        </w:rPr>
        <w:t>点位的50%，所需费用包含在此次招标中。</w:t>
      </w:r>
    </w:p>
    <w:p>
      <w:pPr>
        <w:autoSpaceDE w:val="0"/>
        <w:autoSpaceDN w:val="0"/>
        <w:adjustRightInd w:val="0"/>
        <w:spacing w:line="440" w:lineRule="exact"/>
        <w:ind w:firstLine="482" w:firstLineChars="200"/>
        <w:rPr>
          <w:rFonts w:hint="eastAsia" w:ascii="宋体"/>
          <w:b/>
          <w:bCs/>
          <w:sz w:val="24"/>
        </w:rPr>
      </w:pPr>
      <w:r>
        <w:rPr>
          <w:rFonts w:hint="eastAsia" w:ascii="宋体"/>
          <w:b/>
          <w:bCs/>
          <w:sz w:val="24"/>
        </w:rPr>
        <w:t>6.3.16 验收</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6.3.16.1 验收以采购文件和技术文件、投标文件、合同及安装技术要求为依据。</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6.3.16.3 验收必须符合国家、地方有关规范、标准及设计要求。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6.3.16.4本次项目建设应符合《绍兴市公安机关“智安小区”建设技术规范》，将本次建设的“智安小区”采集数据汇聚至区县智安小区汇聚与管理平台，清洗治理后全量推送至市级智安小区数据汇聚与管理平台，未完成与市局平台数据对接的不予验收。</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6.3.16.5 整改完毕且复验合格后将本项目货物交给采购人使用，完成日期以通过复验日期为准。</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6.3.16.6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6.3.17 违约责任及奖罚</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6.3.17.1 安装完成经验收，不能达到采购文件规定的“质量要求”，无偿返工，并扣除全部履约保证金，同时作违约论处。</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6.3.17.2 不能在规定时间内完成货物供应及安装的，每逾期一天，按本采购文件7.1处理（非中标供应商原因除外）。</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6.3.17.3 因中标供应商违约造成终止合同的，则扣除全部履约保证金，同时作违约论处。</w:t>
      </w:r>
      <w:r>
        <w:rPr>
          <w:rFonts w:hint="eastAsia" w:ascii="宋体"/>
          <w:sz w:val="24"/>
          <w:u w:val="single"/>
        </w:rPr>
        <w:cr/>
      </w:r>
      <w:r>
        <w:rPr>
          <w:rFonts w:hint="eastAsia" w:ascii="宋体"/>
          <w:sz w:val="24"/>
          <w:u w:val="single"/>
        </w:rPr>
        <w:t xml:space="preserve">    6.3.17.4 因采购人违约造成终止合同，采购人应退还中标供应商缴纳的履约保证金，同时支付给中标供应商履约保证金同等金额的违约金，但属执行国家行政指令造成的合同终止，不支付违约金。</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6.3.18争议解决</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6.3.18.1因执行本合同所发生的，或与本合同有关的一切争议，采购人与中标供应商双方应通过友好协商解决。</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6.3.18.2如经协商仍不能解决争议时，可要求有关主管部门调解。如其中一方不愿调解或调解不成，可按下一种方式解决争议。</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6.3.18.2.1双方达成仲裁协议，向采购人所在地的仲裁机构申请仲裁。</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6.3.18.2.2向有管辖权的人民法院起诉。</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6.4其他要求：</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中标供应商必须按规定程序和有关要求进行实施，供货过程中的各种意外，其责任由中标供应商承担，采购人不承担任何责任。</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6.5变更：</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6.5.2 当变更只是采购量增减时，按投标所报的单价进行结算。</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6.6专利权</w:t>
      </w:r>
    </w:p>
    <w:p>
      <w:pPr>
        <w:autoSpaceDE w:val="0"/>
        <w:autoSpaceDN w:val="0"/>
        <w:adjustRightInd w:val="0"/>
        <w:spacing w:line="440" w:lineRule="exact"/>
        <w:ind w:firstLine="480" w:firstLineChars="200"/>
        <w:rPr>
          <w:rFonts w:hint="eastAsia" w:ascii="宋体"/>
          <w:sz w:val="24"/>
          <w:u w:val="single"/>
        </w:rPr>
      </w:pPr>
      <w:r>
        <w:rPr>
          <w:rFonts w:hint="eastAsia" w:ascii="宋体"/>
          <w:sz w:val="24"/>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440" w:lineRule="exact"/>
        <w:ind w:firstLine="482" w:firstLineChars="200"/>
        <w:jc w:val="left"/>
        <w:rPr>
          <w:rFonts w:hint="eastAsia" w:ascii="宋体"/>
          <w:b/>
          <w:sz w:val="24"/>
        </w:rPr>
      </w:pPr>
      <w:r>
        <w:rPr>
          <w:rFonts w:hint="eastAsia" w:ascii="宋体"/>
          <w:b/>
          <w:sz w:val="24"/>
        </w:rPr>
        <w:t>6.7结算原则</w:t>
      </w:r>
    </w:p>
    <w:p>
      <w:pPr>
        <w:spacing w:line="440" w:lineRule="exact"/>
        <w:ind w:firstLine="480" w:firstLineChars="200"/>
        <w:jc w:val="left"/>
        <w:rPr>
          <w:rFonts w:hint="eastAsia" w:ascii="宋体"/>
          <w:sz w:val="24"/>
        </w:rPr>
      </w:pPr>
      <w:r>
        <w:rPr>
          <w:rFonts w:hint="eastAsia" w:ascii="宋体"/>
          <w:sz w:val="24"/>
        </w:rPr>
        <w:t>6.7.1采购文件、招标答疑会纪要、中标供应商的中标报价等作为结算依据；</w:t>
      </w:r>
    </w:p>
    <w:p>
      <w:pPr>
        <w:spacing w:line="440" w:lineRule="exact"/>
        <w:ind w:firstLine="480" w:firstLineChars="200"/>
        <w:jc w:val="left"/>
        <w:rPr>
          <w:rFonts w:hint="eastAsia" w:ascii="宋体"/>
          <w:sz w:val="24"/>
          <w:u w:val="single"/>
        </w:rPr>
      </w:pPr>
      <w:r>
        <w:rPr>
          <w:rFonts w:hint="eastAsia" w:ascii="宋体"/>
          <w:sz w:val="24"/>
          <w:u w:val="single"/>
        </w:rPr>
        <w:t>6.7.2中标单价一次性包死，不再调整。结算时，采购清单上的项目工程量无变化的，按该项目工程量清单乘以中标单价结算，不再另行签证；若采购清单上的工程量有增减的项目，该项目结算时根据业主签字的工程量乘以中标单价结算。</w:t>
      </w:r>
    </w:p>
    <w:p>
      <w:pPr>
        <w:spacing w:line="440" w:lineRule="exact"/>
        <w:ind w:firstLine="482" w:firstLineChars="200"/>
        <w:jc w:val="left"/>
        <w:rPr>
          <w:rFonts w:hint="eastAsia" w:ascii="宋体"/>
          <w:sz w:val="24"/>
          <w:u w:val="single"/>
        </w:rPr>
      </w:pPr>
      <w:r>
        <w:rPr>
          <w:rFonts w:hint="eastAsia" w:ascii="宋体"/>
          <w:b/>
          <w:sz w:val="24"/>
        </w:rPr>
        <w:t>6.8签订合同时间：</w:t>
      </w:r>
      <w:r>
        <w:rPr>
          <w:rFonts w:hint="eastAsia" w:ascii="宋体"/>
          <w:sz w:val="24"/>
          <w:u w:val="single"/>
        </w:rPr>
        <w:t xml:space="preserve">  中标通知书签发后30天内</w:t>
      </w:r>
      <w:r>
        <w:rPr>
          <w:rFonts w:hint="eastAsia" w:ascii="宋体"/>
          <w:bCs/>
          <w:sz w:val="24"/>
          <w:u w:val="single"/>
        </w:rPr>
        <w:t>。</w:t>
      </w:r>
      <w:r>
        <w:rPr>
          <w:rFonts w:hint="eastAsia" w:ascii="宋体"/>
          <w:sz w:val="24"/>
          <w:u w:val="single"/>
        </w:rPr>
        <w:t xml:space="preserve">     </w:t>
      </w:r>
    </w:p>
    <w:p>
      <w:pPr>
        <w:spacing w:line="440" w:lineRule="exact"/>
        <w:ind w:firstLine="482" w:firstLineChars="200"/>
        <w:jc w:val="left"/>
        <w:rPr>
          <w:rFonts w:hint="eastAsia" w:ascii="宋体"/>
          <w:b/>
          <w:sz w:val="24"/>
        </w:rPr>
      </w:pPr>
      <w:r>
        <w:rPr>
          <w:rFonts w:hint="eastAsia" w:ascii="宋体"/>
          <w:b/>
          <w:sz w:val="24"/>
        </w:rPr>
        <w:t>6.9</w:t>
      </w:r>
      <w:r>
        <w:rPr>
          <w:rFonts w:hint="eastAsia" w:ascii="宋体"/>
          <w:b/>
          <w:bCs/>
          <w:sz w:val="24"/>
        </w:rPr>
        <w:t>售后服务要求：</w:t>
      </w:r>
    </w:p>
    <w:p>
      <w:pPr>
        <w:spacing w:line="440" w:lineRule="exact"/>
        <w:ind w:firstLine="480" w:firstLineChars="200"/>
        <w:jc w:val="left"/>
        <w:rPr>
          <w:rFonts w:ascii="宋体" w:hAnsi="宋体"/>
          <w:sz w:val="24"/>
        </w:rPr>
      </w:pPr>
      <w:r>
        <w:rPr>
          <w:rFonts w:ascii="宋体" w:hAnsi="宋体"/>
          <w:sz w:val="24"/>
        </w:rPr>
        <w:t>6.9.1 中标供应商须提供从</w:t>
      </w:r>
      <w:r>
        <w:rPr>
          <w:rFonts w:hint="eastAsia" w:ascii="宋体" w:hAnsi="宋体"/>
          <w:sz w:val="24"/>
        </w:rPr>
        <w:t>验收</w:t>
      </w:r>
      <w:r>
        <w:rPr>
          <w:rFonts w:ascii="宋体" w:hAnsi="宋体"/>
          <w:sz w:val="24"/>
        </w:rPr>
        <w:t>合格之日起，负责该系统的维护和保养，确保系统正常运行和传输图像稳定清晰</w:t>
      </w:r>
      <w:r>
        <w:rPr>
          <w:rFonts w:hint="eastAsia" w:ascii="宋体" w:hAnsi="宋体"/>
          <w:sz w:val="24"/>
        </w:rPr>
        <w:t>，</w:t>
      </w:r>
      <w:r>
        <w:rPr>
          <w:rFonts w:hint="eastAsia" w:ascii="宋体" w:hAnsi="宋体"/>
          <w:b/>
          <w:bCs/>
          <w:sz w:val="24"/>
        </w:rPr>
        <w:t>同时对监控点位设备正常运行率一日一查，每周提供设备正常率报表</w:t>
      </w:r>
      <w:r>
        <w:rPr>
          <w:rFonts w:ascii="宋体" w:hAnsi="宋体"/>
          <w:sz w:val="24"/>
        </w:rPr>
        <w:t>。在3年</w:t>
      </w:r>
      <w:r>
        <w:rPr>
          <w:rFonts w:hint="eastAsia" w:ascii="宋体" w:hAnsi="宋体"/>
          <w:sz w:val="24"/>
        </w:rPr>
        <w:t>服务</w:t>
      </w:r>
      <w:r>
        <w:rPr>
          <w:rFonts w:ascii="宋体" w:hAnsi="宋体"/>
          <w:sz w:val="24"/>
        </w:rPr>
        <w:t>期内，所有故障维护服务均为上门服务（采购人另行要求的除外）。并提供永久性7*24小时技术支持，包括各种软件系统故障及对各种突发事件采取应急措施等。如出现系统性问题，则在半小时内电话响应，现场排除故障响应时间小于8小时，24小时内恢复系统正常运行。若短期无法修复的，应及时提供相应备用设备并负责安装调试。</w:t>
      </w:r>
      <w:r>
        <w:rPr>
          <w:rFonts w:hint="eastAsia" w:ascii="宋体" w:hAnsi="宋体"/>
          <w:sz w:val="24"/>
        </w:rPr>
        <w:t>监控</w:t>
      </w:r>
      <w:r>
        <w:rPr>
          <w:rFonts w:ascii="宋体" w:hAnsi="宋体"/>
          <w:sz w:val="24"/>
        </w:rPr>
        <w:t>点位设备正常运行率大于或等于97%，不能达到 97%或中标供应商在接到采购人的电话后2个日历天后不能修复的，从第3个日历日起按日</w:t>
      </w:r>
      <w:r>
        <w:rPr>
          <w:rFonts w:hint="eastAsia" w:ascii="宋体" w:hAnsi="宋体"/>
          <w:sz w:val="24"/>
        </w:rPr>
        <w:t>1</w:t>
      </w:r>
      <w:r>
        <w:rPr>
          <w:rFonts w:ascii="宋体" w:hAnsi="宋体"/>
          <w:sz w:val="24"/>
        </w:rPr>
        <w:t>000</w:t>
      </w:r>
      <w:r>
        <w:rPr>
          <w:rFonts w:hint="eastAsia" w:ascii="宋体" w:hAnsi="宋体"/>
          <w:sz w:val="24"/>
        </w:rPr>
        <w:t>元/天从质保金</w:t>
      </w:r>
      <w:r>
        <w:rPr>
          <w:rFonts w:ascii="宋体" w:hAnsi="宋体"/>
          <w:sz w:val="24"/>
        </w:rPr>
        <w:t>中扣除,如中标单位在全年中累计有90天正常运行率在97%以下，采购方有权单方面终止</w:t>
      </w:r>
      <w:r>
        <w:rPr>
          <w:rFonts w:hint="eastAsia" w:ascii="宋体" w:hAnsi="宋体"/>
          <w:sz w:val="24"/>
        </w:rPr>
        <w:t>服务采购</w:t>
      </w:r>
      <w:r>
        <w:rPr>
          <w:rFonts w:ascii="宋体" w:hAnsi="宋体"/>
          <w:sz w:val="24"/>
        </w:rPr>
        <w:t xml:space="preserve">合同。 </w:t>
      </w:r>
    </w:p>
    <w:p>
      <w:pPr>
        <w:spacing w:line="440" w:lineRule="exact"/>
        <w:ind w:firstLine="480" w:firstLineChars="200"/>
        <w:jc w:val="left"/>
        <w:rPr>
          <w:rFonts w:ascii="宋体" w:hAnsi="宋体"/>
          <w:sz w:val="24"/>
        </w:rPr>
      </w:pPr>
      <w:r>
        <w:rPr>
          <w:rFonts w:ascii="宋体" w:hAnsi="宋体"/>
          <w:sz w:val="24"/>
        </w:rPr>
        <w:t>6.9.2 中标供应商必须承诺</w:t>
      </w:r>
      <w:r>
        <w:rPr>
          <w:rFonts w:hint="eastAsia" w:ascii="宋体" w:hAnsi="宋体"/>
          <w:sz w:val="24"/>
        </w:rPr>
        <w:t>在质保期内</w:t>
      </w:r>
      <w:r>
        <w:rPr>
          <w:rFonts w:ascii="宋体" w:hAnsi="宋体"/>
          <w:sz w:val="24"/>
        </w:rPr>
        <w:t xml:space="preserve">提供投标安装总数的10%免费移机（但仅限于公安使用需求），超过10%部分的移机价格相互协商。由于第三方原因引起的移机，采购人有义务协助中标人与第三方协商相关费用。 </w:t>
      </w:r>
    </w:p>
    <w:p>
      <w:pPr>
        <w:spacing w:line="440" w:lineRule="exact"/>
        <w:ind w:firstLine="480" w:firstLineChars="200"/>
        <w:jc w:val="left"/>
        <w:rPr>
          <w:rFonts w:hint="eastAsia" w:ascii="宋体" w:hAnsi="宋体"/>
          <w:sz w:val="24"/>
        </w:rPr>
      </w:pPr>
      <w:r>
        <w:rPr>
          <w:rFonts w:hint="eastAsia" w:ascii="宋体" w:hAnsi="宋体"/>
          <w:sz w:val="24"/>
        </w:rPr>
        <w:t>6</w:t>
      </w:r>
      <w:r>
        <w:rPr>
          <w:rFonts w:ascii="宋体" w:hAnsi="宋体"/>
          <w:sz w:val="24"/>
        </w:rPr>
        <w:t>.9.3</w:t>
      </w:r>
      <w:r>
        <w:rPr>
          <w:rFonts w:hint="eastAsia" w:ascii="宋体" w:hAnsi="宋体"/>
          <w:sz w:val="24"/>
        </w:rPr>
        <w:t>在质保期内，免费新增点位数量不大于1%的</w:t>
      </w:r>
      <w:r>
        <w:rPr>
          <w:rFonts w:ascii="宋体" w:hAnsi="宋体"/>
          <w:sz w:val="24"/>
        </w:rPr>
        <w:t>投标安装总数</w:t>
      </w:r>
      <w:r>
        <w:rPr>
          <w:rFonts w:hint="eastAsia" w:ascii="宋体" w:hAnsi="宋体"/>
          <w:sz w:val="24"/>
        </w:rPr>
        <w:t>，投标安装总数以实际建设数量为准。</w:t>
      </w:r>
    </w:p>
    <w:p>
      <w:pPr>
        <w:spacing w:line="440" w:lineRule="exact"/>
        <w:ind w:firstLine="480" w:firstLineChars="200"/>
        <w:jc w:val="left"/>
        <w:rPr>
          <w:rFonts w:ascii="宋体" w:hAnsi="宋体"/>
          <w:sz w:val="24"/>
        </w:rPr>
      </w:pPr>
      <w:r>
        <w:rPr>
          <w:rFonts w:ascii="宋体" w:hAnsi="宋体"/>
          <w:sz w:val="24"/>
        </w:rPr>
        <w:t>6.9.4 备用件服务：中标单位承诺</w:t>
      </w:r>
      <w:r>
        <w:rPr>
          <w:rFonts w:hint="eastAsia" w:ascii="宋体" w:hAnsi="宋体"/>
          <w:sz w:val="24"/>
        </w:rPr>
        <w:t>在服务采购周期内</w:t>
      </w:r>
      <w:r>
        <w:rPr>
          <w:rFonts w:ascii="宋体" w:hAnsi="宋体"/>
          <w:sz w:val="24"/>
        </w:rPr>
        <w:t>无偿提供不低于所有硬件总价3%备用件。</w:t>
      </w:r>
    </w:p>
    <w:p>
      <w:pPr>
        <w:spacing w:line="440" w:lineRule="exact"/>
        <w:ind w:firstLine="480" w:firstLineChars="200"/>
        <w:jc w:val="left"/>
        <w:rPr>
          <w:rFonts w:ascii="宋体" w:hAnsi="宋体"/>
          <w:sz w:val="24"/>
        </w:rPr>
      </w:pPr>
      <w:r>
        <w:rPr>
          <w:rFonts w:ascii="宋体" w:hAnsi="宋体"/>
          <w:sz w:val="24"/>
        </w:rPr>
        <w:t xml:space="preserve">6.9.5供应商若有其他服务承诺，也将一并执行。 </w:t>
      </w:r>
    </w:p>
    <w:p>
      <w:pPr>
        <w:spacing w:line="440" w:lineRule="exact"/>
        <w:ind w:firstLine="480" w:firstLineChars="200"/>
        <w:rPr>
          <w:rFonts w:ascii="宋体" w:hAnsi="宋体"/>
          <w:sz w:val="24"/>
        </w:rPr>
      </w:pPr>
      <w:r>
        <w:rPr>
          <w:rFonts w:ascii="宋体" w:hAnsi="宋体"/>
          <w:sz w:val="24"/>
        </w:rPr>
        <w:t>6.9.6中标供应商必须将公司的服务热线明确告知采购人。</w:t>
      </w:r>
    </w:p>
    <w:p>
      <w:pPr>
        <w:spacing w:line="440" w:lineRule="exact"/>
        <w:ind w:firstLine="480" w:firstLineChars="200"/>
        <w:rPr>
          <w:rFonts w:hint="eastAsia" w:ascii="宋体"/>
          <w:sz w:val="24"/>
        </w:rPr>
      </w:pPr>
      <w:r>
        <w:rPr>
          <w:rFonts w:hint="eastAsia" w:ascii="宋体"/>
          <w:sz w:val="24"/>
        </w:rPr>
        <w:t>6.10采购人应当自采购合同签订之日起七个工作日内，按照有关规定将采购合同副本报绍兴市柯桥区公共资源交易管理委员会办公室备案。</w:t>
      </w:r>
    </w:p>
    <w:p>
      <w:pPr>
        <w:spacing w:line="440" w:lineRule="exact"/>
        <w:ind w:firstLine="482" w:firstLineChars="200"/>
        <w:rPr>
          <w:rFonts w:hint="eastAsia" w:ascii="宋体"/>
          <w:b/>
          <w:sz w:val="24"/>
        </w:rPr>
      </w:pPr>
      <w:r>
        <w:rPr>
          <w:rFonts w:hint="eastAsia" w:ascii="宋体"/>
          <w:b/>
          <w:sz w:val="24"/>
        </w:rPr>
        <w:t>6.11 其他</w:t>
      </w:r>
    </w:p>
    <w:p>
      <w:pPr>
        <w:spacing w:line="440" w:lineRule="exact"/>
        <w:ind w:firstLine="480" w:firstLineChars="200"/>
        <w:rPr>
          <w:rFonts w:hint="eastAsia" w:ascii="宋体"/>
          <w:b/>
          <w:sz w:val="24"/>
        </w:rPr>
      </w:pPr>
      <w:r>
        <w:rPr>
          <w:rFonts w:hint="eastAsia" w:ascii="宋体"/>
          <w:sz w:val="24"/>
        </w:rPr>
        <w:t>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ind w:firstLine="480" w:firstLineChars="200"/>
        <w:rPr>
          <w:rFonts w:hint="eastAsia" w:ascii="宋体" w:hAnsi="宋体"/>
          <w:bCs/>
          <w:color w:val="000000"/>
          <w:sz w:val="24"/>
        </w:rPr>
      </w:pPr>
    </w:p>
    <w:bookmarkEnd w:id="16"/>
    <w:bookmarkEnd w:id="17"/>
    <w:p>
      <w:pPr>
        <w:spacing w:line="440" w:lineRule="exact"/>
        <w:ind w:firstLine="482" w:firstLineChars="200"/>
        <w:rPr>
          <w:rFonts w:hint="eastAsia" w:ascii="宋体" w:hAnsi="宋体"/>
          <w:b/>
          <w:color w:val="000000"/>
          <w:sz w:val="24"/>
        </w:rPr>
      </w:pPr>
    </w:p>
    <w:p>
      <w:pPr>
        <w:rPr>
          <w:rFonts w:hint="eastAsia"/>
          <w:color w:val="000000"/>
        </w:rPr>
      </w:pPr>
      <w:bookmarkStart w:id="19" w:name="_Toc264116917"/>
    </w:p>
    <w:p>
      <w:pPr>
        <w:pStyle w:val="2"/>
        <w:numPr>
          <w:ilvl w:val="0"/>
          <w:numId w:val="0"/>
        </w:numPr>
        <w:spacing w:before="0" w:after="0" w:line="440" w:lineRule="exact"/>
        <w:jc w:val="center"/>
        <w:rPr>
          <w:rFonts w:hint="eastAsia" w:ascii="宋体" w:hAnsi="宋体"/>
          <w:color w:val="000000"/>
          <w:sz w:val="28"/>
          <w:szCs w:val="28"/>
        </w:rPr>
      </w:pPr>
      <w:bookmarkStart w:id="20" w:name="_Toc46418582"/>
      <w:r>
        <w:rPr>
          <w:rFonts w:hint="eastAsia" w:ascii="宋体" w:hAnsi="宋体"/>
          <w:color w:val="000000"/>
          <w:sz w:val="28"/>
          <w:szCs w:val="28"/>
        </w:rPr>
        <w:t>七、交货和提供服务的时间</w:t>
      </w:r>
      <w:bookmarkEnd w:id="19"/>
      <w:bookmarkEnd w:id="20"/>
    </w:p>
    <w:p>
      <w:pPr>
        <w:spacing w:line="440" w:lineRule="exact"/>
        <w:ind w:firstLine="480" w:firstLineChars="200"/>
        <w:jc w:val="left"/>
        <w:rPr>
          <w:rFonts w:hint="eastAsia" w:ascii="宋体" w:hAnsi="宋体"/>
          <w:color w:val="000000"/>
          <w:sz w:val="24"/>
        </w:rPr>
      </w:pPr>
    </w:p>
    <w:p>
      <w:pPr>
        <w:spacing w:line="360" w:lineRule="auto"/>
        <w:ind w:firstLine="480" w:firstLineChars="200"/>
        <w:rPr>
          <w:rFonts w:hint="eastAsia" w:ascii="宋体" w:hAnsi="宋体" w:cs="宋体"/>
          <w:color w:val="000000"/>
          <w:sz w:val="24"/>
          <w:u w:val="single"/>
        </w:rPr>
      </w:pPr>
      <w:r>
        <w:rPr>
          <w:rFonts w:hint="eastAsia" w:ascii="宋体" w:hAnsi="宋体"/>
          <w:color w:val="000000"/>
          <w:sz w:val="24"/>
          <w:u w:val="single"/>
        </w:rPr>
        <w:t>7.1交货（含安装调试）和提供服务的时间：</w:t>
      </w:r>
      <w:r>
        <w:rPr>
          <w:rFonts w:hint="eastAsia" w:ascii="宋体" w:hAnsi="宋体"/>
          <w:b/>
          <w:color w:val="000000"/>
          <w:sz w:val="24"/>
          <w:u w:val="single"/>
        </w:rPr>
        <w:t>本采购项目的交货（含安装调试）和提供服务的时间详见前附表第9项</w:t>
      </w:r>
      <w:r>
        <w:rPr>
          <w:rFonts w:hint="eastAsia" w:ascii="宋体" w:hAnsi="宋体" w:cs="宋体"/>
          <w:b/>
          <w:color w:val="000000"/>
          <w:sz w:val="24"/>
          <w:u w:val="single"/>
        </w:rPr>
        <w:t>，</w:t>
      </w:r>
      <w:r>
        <w:rPr>
          <w:rFonts w:hint="eastAsia" w:ascii="宋体" w:hAnsi="宋体"/>
          <w:b/>
          <w:color w:val="000000"/>
          <w:sz w:val="24"/>
          <w:u w:val="single"/>
        </w:rPr>
        <w:t>延期赔偿金按1000元/天计</w:t>
      </w:r>
      <w:r>
        <w:rPr>
          <w:rFonts w:hint="eastAsia" w:ascii="宋体" w:hAnsi="宋体" w:cs="宋体"/>
          <w:b/>
          <w:color w:val="000000"/>
          <w:sz w:val="24"/>
          <w:u w:val="single"/>
        </w:rPr>
        <w:t>。</w:t>
      </w:r>
      <w:r>
        <w:rPr>
          <w:rFonts w:hint="eastAsia" w:ascii="宋体" w:hAnsi="宋体"/>
          <w:color w:val="000000"/>
          <w:sz w:val="24"/>
          <w:u w:val="single"/>
        </w:rPr>
        <w:t>采购人由于某种原因需延长工期时，</w:t>
      </w:r>
      <w:r>
        <w:rPr>
          <w:rFonts w:hint="eastAsia" w:ascii="宋体" w:hAnsi="宋体" w:cs="宋体"/>
          <w:color w:val="000000"/>
          <w:sz w:val="24"/>
          <w:u w:val="single"/>
        </w:rPr>
        <w:t>违约金</w:t>
      </w:r>
      <w:r>
        <w:rPr>
          <w:rFonts w:hint="eastAsia" w:ascii="宋体" w:hAnsi="宋体"/>
          <w:color w:val="000000"/>
          <w:sz w:val="24"/>
          <w:u w:val="single"/>
        </w:rPr>
        <w:t>可不计，中标供应商也不作任何赔偿。</w:t>
      </w:r>
    </w:p>
    <w:p>
      <w:pPr>
        <w:spacing w:line="360" w:lineRule="auto"/>
        <w:ind w:firstLine="480" w:firstLineChars="200"/>
        <w:rPr>
          <w:rFonts w:hint="eastAsia" w:ascii="宋体" w:hAnsi="宋体"/>
          <w:color w:val="000000"/>
          <w:sz w:val="24"/>
          <w:u w:val="single"/>
        </w:rPr>
      </w:pPr>
      <w:r>
        <w:rPr>
          <w:rFonts w:hint="eastAsia" w:ascii="宋体" w:hAnsi="宋体"/>
          <w:color w:val="000000"/>
          <w:sz w:val="24"/>
          <w:u w:val="single"/>
        </w:rPr>
        <w:t>7.2 供应商应明确说明具体的交货和提供服务的时间。供应商所提供的必须是合法生产的货物和服务，并能确保在中标合同有效期内按照合同中规定的要求及时交付。</w:t>
      </w:r>
    </w:p>
    <w:p>
      <w:pPr>
        <w:spacing w:line="440" w:lineRule="exact"/>
        <w:rPr>
          <w:rFonts w:hint="eastAsia" w:ascii="宋体" w:hAnsi="宋体"/>
          <w:color w:val="000000"/>
          <w:sz w:val="28"/>
          <w:szCs w:val="28"/>
        </w:rPr>
      </w:pPr>
    </w:p>
    <w:p>
      <w:pPr>
        <w:pStyle w:val="2"/>
        <w:numPr>
          <w:ilvl w:val="0"/>
          <w:numId w:val="0"/>
        </w:numPr>
        <w:spacing w:before="0" w:after="0" w:line="440" w:lineRule="exact"/>
        <w:jc w:val="center"/>
        <w:rPr>
          <w:rFonts w:hint="eastAsia" w:ascii="宋体" w:hAnsi="宋体"/>
          <w:color w:val="000000"/>
          <w:sz w:val="28"/>
          <w:szCs w:val="28"/>
        </w:rPr>
      </w:pPr>
      <w:bookmarkStart w:id="21" w:name="_Toc264116918"/>
      <w:bookmarkStart w:id="22" w:name="_Toc46418583"/>
      <w:r>
        <w:rPr>
          <w:rFonts w:hint="eastAsia" w:ascii="宋体" w:hAnsi="宋体"/>
          <w:color w:val="000000"/>
          <w:sz w:val="28"/>
          <w:szCs w:val="28"/>
        </w:rPr>
        <w:t>八、评标方法、评标标准和废标条款</w:t>
      </w:r>
      <w:bookmarkEnd w:id="21"/>
      <w:bookmarkEnd w:id="22"/>
    </w:p>
    <w:p>
      <w:pPr>
        <w:autoSpaceDE w:val="0"/>
        <w:autoSpaceDN w:val="0"/>
        <w:adjustRightInd w:val="0"/>
        <w:spacing w:line="440" w:lineRule="exact"/>
        <w:ind w:firstLine="480" w:firstLineChars="200"/>
        <w:rPr>
          <w:rFonts w:hint="eastAsia" w:ascii="宋体" w:hAnsi="宋体"/>
          <w:color w:val="000000"/>
          <w:sz w:val="24"/>
        </w:rPr>
      </w:pPr>
    </w:p>
    <w:p>
      <w:pPr>
        <w:spacing w:line="440" w:lineRule="exact"/>
        <w:ind w:firstLine="480" w:firstLineChars="200"/>
        <w:rPr>
          <w:rFonts w:ascii="宋体"/>
          <w:sz w:val="24"/>
        </w:rPr>
      </w:pPr>
      <w:r>
        <w:rPr>
          <w:rFonts w:ascii="宋体" w:hAnsi="宋体"/>
          <w:sz w:val="24"/>
        </w:rPr>
        <w:t>8.1</w:t>
      </w:r>
      <w:r>
        <w:rPr>
          <w:rFonts w:hint="eastAsia" w:ascii="宋体" w:hAnsi="宋体"/>
          <w:sz w:val="24"/>
        </w:rPr>
        <w:t>开标：</w:t>
      </w:r>
    </w:p>
    <w:p>
      <w:pPr>
        <w:spacing w:line="440" w:lineRule="exact"/>
        <w:ind w:firstLine="480" w:firstLineChars="200"/>
        <w:rPr>
          <w:rFonts w:ascii="宋体"/>
          <w:sz w:val="24"/>
        </w:rPr>
      </w:pPr>
      <w:r>
        <w:rPr>
          <w:rFonts w:ascii="宋体" w:hAnsi="宋体"/>
          <w:sz w:val="24"/>
        </w:rPr>
        <w:t>8.1.1</w:t>
      </w:r>
      <w:r>
        <w:rPr>
          <w:rFonts w:hint="eastAsia" w:ascii="宋体" w:hAnsi="宋体"/>
          <w:b/>
          <w:sz w:val="24"/>
        </w:rPr>
        <w:t>在投标截止时间前按规定提交投标文件的供应商在</w:t>
      </w:r>
      <w:r>
        <w:rPr>
          <w:rFonts w:hint="eastAsia" w:ascii="宋体" w:hAnsi="宋体"/>
          <w:b/>
          <w:sz w:val="24"/>
          <w:u w:val="single"/>
        </w:rPr>
        <w:t>三</w:t>
      </w:r>
      <w:r>
        <w:rPr>
          <w:rFonts w:hint="eastAsia" w:ascii="宋体" w:hAnsi="宋体"/>
          <w:b/>
          <w:sz w:val="24"/>
        </w:rPr>
        <w:t>家及以上的</w:t>
      </w:r>
      <w:r>
        <w:rPr>
          <w:rFonts w:hint="eastAsia" w:ascii="宋体" w:hAnsi="宋体"/>
          <w:sz w:val="24"/>
        </w:rPr>
        <w:t>，由采购人组织进行开标。</w:t>
      </w:r>
    </w:p>
    <w:p>
      <w:pPr>
        <w:snapToGrid w:val="0"/>
        <w:spacing w:line="460" w:lineRule="exact"/>
        <w:ind w:firstLine="480" w:firstLineChars="200"/>
        <w:jc w:val="left"/>
        <w:rPr>
          <w:rFonts w:ascii="宋体" w:hAnsi="宋体"/>
          <w:sz w:val="24"/>
        </w:rPr>
      </w:pPr>
      <w:r>
        <w:rPr>
          <w:rFonts w:hint="eastAsia" w:ascii="宋体" w:hAnsi="宋体"/>
          <w:sz w:val="24"/>
        </w:rPr>
        <w:t xml:space="preserve">8.1.2 </w:t>
      </w:r>
      <w:r>
        <w:rPr>
          <w:rFonts w:hint="eastAsia" w:ascii="宋体" w:hAnsi="宋体"/>
          <w:b/>
          <w:bCs/>
          <w:sz w:val="24"/>
        </w:rPr>
        <w:t>电子招投标开标及评审程序</w:t>
      </w:r>
    </w:p>
    <w:p>
      <w:pPr>
        <w:snapToGrid w:val="0"/>
        <w:spacing w:line="460" w:lineRule="exact"/>
        <w:ind w:firstLine="480" w:firstLineChars="200"/>
        <w:jc w:val="left"/>
        <w:rPr>
          <w:rFonts w:ascii="宋体" w:hAnsi="宋体"/>
          <w:sz w:val="24"/>
        </w:rPr>
      </w:pPr>
      <w:r>
        <w:rPr>
          <w:rFonts w:hint="eastAsia" w:ascii="宋体" w:hAnsi="宋体"/>
          <w:sz w:val="24"/>
        </w:rPr>
        <w:t>（1）投标截止时间后，投标供应商登录政采云平台，用“项目采购-开标评标”功能对电子投标文件进行在线解密。在线解密电子投标文件时间为开标时间起一个小时内。</w:t>
      </w:r>
    </w:p>
    <w:p>
      <w:pPr>
        <w:pStyle w:val="138"/>
        <w:ind w:firstLine="480" w:firstLineChars="200"/>
        <w:rPr>
          <w:rFonts w:ascii="宋体"/>
          <w:color w:val="auto"/>
        </w:rPr>
      </w:pPr>
      <w:r>
        <w:rPr>
          <w:rFonts w:hint="eastAsia" w:hAnsi="宋体"/>
          <w:color w:val="auto"/>
        </w:rPr>
        <w:t>（2）</w:t>
      </w:r>
      <w:r>
        <w:rPr>
          <w:rFonts w:hint="eastAsia" w:cs="Times New Roman"/>
          <w:color w:val="auto"/>
          <w:sz w:val="23"/>
          <w:szCs w:val="23"/>
        </w:rPr>
        <w:t>评标委员会依照本招标文件规定进行审查、评议</w:t>
      </w:r>
      <w:r>
        <w:rPr>
          <w:rFonts w:hint="eastAsia" w:hAnsi="宋体"/>
          <w:color w:val="auto"/>
        </w:rPr>
        <w:t>；</w:t>
      </w:r>
    </w:p>
    <w:p>
      <w:pPr>
        <w:snapToGrid w:val="0"/>
        <w:spacing w:line="460" w:lineRule="exact"/>
        <w:ind w:firstLine="480" w:firstLineChars="200"/>
        <w:jc w:val="left"/>
        <w:rPr>
          <w:rFonts w:ascii="宋体" w:hAnsi="宋体"/>
          <w:sz w:val="24"/>
        </w:rPr>
      </w:pPr>
      <w:r>
        <w:rPr>
          <w:rFonts w:hint="eastAsia" w:ascii="宋体" w:hAnsi="宋体"/>
          <w:sz w:val="24"/>
        </w:rPr>
        <w:t>（3）在系统上公开资格和资信技术评审结果；</w:t>
      </w:r>
    </w:p>
    <w:p>
      <w:pPr>
        <w:snapToGrid w:val="0"/>
        <w:spacing w:line="460" w:lineRule="exact"/>
        <w:ind w:firstLine="480" w:firstLineChars="200"/>
        <w:jc w:val="left"/>
        <w:rPr>
          <w:rFonts w:ascii="宋体" w:hAnsi="宋体"/>
          <w:sz w:val="24"/>
        </w:rPr>
      </w:pPr>
      <w:r>
        <w:rPr>
          <w:rFonts w:hint="eastAsia" w:ascii="宋体" w:hAnsi="宋体"/>
          <w:sz w:val="24"/>
        </w:rPr>
        <w:t>（4）在系统上公开报价开标情况；</w:t>
      </w:r>
    </w:p>
    <w:p>
      <w:pPr>
        <w:snapToGrid w:val="0"/>
        <w:spacing w:line="460" w:lineRule="exact"/>
        <w:ind w:firstLine="480" w:firstLineChars="200"/>
        <w:jc w:val="left"/>
        <w:rPr>
          <w:rFonts w:ascii="宋体" w:hAnsi="宋体"/>
          <w:sz w:val="24"/>
        </w:rPr>
      </w:pPr>
      <w:r>
        <w:rPr>
          <w:rFonts w:hint="eastAsia" w:ascii="宋体" w:hAnsi="宋体"/>
          <w:sz w:val="24"/>
        </w:rPr>
        <w:t>（5）评标委员会对报价情况进行评审；</w:t>
      </w:r>
    </w:p>
    <w:p>
      <w:pPr>
        <w:snapToGrid w:val="0"/>
        <w:spacing w:line="460" w:lineRule="exact"/>
        <w:ind w:firstLine="480" w:firstLineChars="200"/>
        <w:jc w:val="left"/>
        <w:rPr>
          <w:rFonts w:ascii="宋体" w:hAnsi="宋体"/>
          <w:sz w:val="24"/>
        </w:rPr>
      </w:pPr>
      <w:r>
        <w:rPr>
          <w:rFonts w:hint="eastAsia" w:ascii="宋体" w:hAnsi="宋体"/>
          <w:sz w:val="24"/>
        </w:rPr>
        <w:t>（6）在系统上公布评审结果。</w:t>
      </w:r>
    </w:p>
    <w:p>
      <w:pPr>
        <w:snapToGrid w:val="0"/>
        <w:spacing w:line="460" w:lineRule="exact"/>
        <w:ind w:firstLine="482" w:firstLineChars="200"/>
        <w:jc w:val="left"/>
        <w:rPr>
          <w:rFonts w:ascii="宋体" w:hAnsi="宋体"/>
          <w:b/>
          <w:bCs/>
          <w:sz w:val="24"/>
        </w:rPr>
      </w:pPr>
      <w:r>
        <w:rPr>
          <w:rFonts w:hint="eastAsia" w:ascii="宋体" w:hAnsi="宋体"/>
          <w:b/>
          <w:bCs/>
          <w:sz w:val="24"/>
        </w:rPr>
        <w:t>特别说明：政采云公司如对电子化开标及评审程序有调整的，按调整后的程序操作。</w:t>
      </w:r>
    </w:p>
    <w:p>
      <w:pPr>
        <w:spacing w:line="360" w:lineRule="auto"/>
        <w:ind w:firstLine="480" w:firstLineChars="200"/>
        <w:rPr>
          <w:rFonts w:ascii="宋体" w:hAnsi="宋体"/>
          <w:sz w:val="24"/>
        </w:rPr>
      </w:pPr>
      <w:r>
        <w:rPr>
          <w:rFonts w:hint="eastAsia" w:ascii="宋体" w:hAnsi="宋体"/>
          <w:sz w:val="24"/>
        </w:rPr>
        <w:t>8.1.3采购人在招标文件要求提交投标文件的截止时间前收到的投标文件，开标时都应当众予以拆封、宣读。</w:t>
      </w:r>
    </w:p>
    <w:p>
      <w:pPr>
        <w:spacing w:line="360" w:lineRule="auto"/>
        <w:ind w:firstLine="480" w:firstLineChars="200"/>
        <w:rPr>
          <w:rFonts w:ascii="宋体" w:hAnsi="宋体"/>
          <w:sz w:val="24"/>
        </w:rPr>
      </w:pPr>
      <w:r>
        <w:rPr>
          <w:rFonts w:hint="eastAsia" w:ascii="宋体" w:hAnsi="宋体"/>
          <w:sz w:val="24"/>
        </w:rPr>
        <w:t>8.1.4采购人对开标过程进行记录，并存档备查。</w:t>
      </w:r>
    </w:p>
    <w:p>
      <w:pPr>
        <w:snapToGrid w:val="0"/>
        <w:spacing w:line="360" w:lineRule="auto"/>
        <w:ind w:firstLine="480" w:firstLineChars="200"/>
        <w:jc w:val="left"/>
        <w:rPr>
          <w:rFonts w:ascii="宋体" w:hAnsi="宋体"/>
          <w:sz w:val="24"/>
        </w:rPr>
      </w:pPr>
      <w:r>
        <w:rPr>
          <w:rFonts w:hint="eastAsia" w:ascii="宋体" w:hAnsi="宋体"/>
          <w:sz w:val="24"/>
        </w:rPr>
        <w:t>8.1.5本项目原则上采用政采云电子招投标开标及评审程序，但有下情形之一的，按以下情况处理：</w:t>
      </w:r>
    </w:p>
    <w:p>
      <w:pPr>
        <w:snapToGrid w:val="0"/>
        <w:spacing w:line="360" w:lineRule="auto"/>
        <w:ind w:firstLine="480" w:firstLineChars="200"/>
        <w:jc w:val="left"/>
        <w:rPr>
          <w:rFonts w:ascii="宋体" w:hAnsi="宋体"/>
          <w:sz w:val="24"/>
        </w:rPr>
      </w:pPr>
      <w:r>
        <w:rPr>
          <w:rFonts w:hint="eastAsia" w:ascii="宋体" w:hAnsi="宋体"/>
          <w:sz w:val="24"/>
        </w:rPr>
        <w:t>8.1.6若采购人在规定时间内无法解密或解密失败，</w:t>
      </w:r>
      <w:r>
        <w:rPr>
          <w:rFonts w:hint="eastAsia" w:hAnsi="宋体"/>
          <w:bCs/>
          <w:kern w:val="0"/>
          <w:sz w:val="24"/>
        </w:rPr>
        <w:t>视为投标供应商放弃投标</w:t>
      </w:r>
      <w:r>
        <w:rPr>
          <w:rFonts w:hint="eastAsia" w:ascii="宋体" w:hAnsi="宋体" w:cs="宋体"/>
          <w:bCs/>
          <w:kern w:val="0"/>
          <w:sz w:val="24"/>
        </w:rPr>
        <w:t>。</w:t>
      </w:r>
    </w:p>
    <w:p>
      <w:pPr>
        <w:snapToGrid w:val="0"/>
        <w:spacing w:line="460" w:lineRule="exact"/>
        <w:ind w:firstLine="480" w:firstLineChars="200"/>
        <w:jc w:val="left"/>
        <w:rPr>
          <w:rFonts w:ascii="宋体" w:hAnsi="宋体"/>
          <w:sz w:val="24"/>
        </w:rPr>
      </w:pPr>
      <w:r>
        <w:rPr>
          <w:rFonts w:hint="eastAsia" w:ascii="宋体" w:hAnsi="宋体"/>
          <w:sz w:val="24"/>
        </w:rPr>
        <w:t>8.1.7采购过程中出现以下情形，导致电子交易平台无法正常运行，或者无法保证电子交易的公平、公正和安全时，采购组织机构可中止电子交易活动：</w:t>
      </w:r>
    </w:p>
    <w:p>
      <w:pPr>
        <w:snapToGrid w:val="0"/>
        <w:spacing w:line="460" w:lineRule="exact"/>
        <w:ind w:firstLine="480" w:firstLineChars="200"/>
        <w:jc w:val="left"/>
        <w:rPr>
          <w:rFonts w:ascii="宋体" w:hAnsi="宋体"/>
          <w:sz w:val="24"/>
        </w:rPr>
      </w:pPr>
      <w:r>
        <w:rPr>
          <w:rFonts w:hint="eastAsia" w:ascii="宋体" w:hAnsi="宋体"/>
          <w:sz w:val="24"/>
        </w:rPr>
        <w:t xml:space="preserve">8.1.7.1电子交易平台发生故障而无法登录访问的； </w:t>
      </w:r>
    </w:p>
    <w:p>
      <w:pPr>
        <w:snapToGrid w:val="0"/>
        <w:spacing w:line="460" w:lineRule="exact"/>
        <w:ind w:firstLine="480" w:firstLineChars="200"/>
        <w:jc w:val="left"/>
        <w:rPr>
          <w:rFonts w:ascii="宋体" w:hAnsi="宋体"/>
          <w:sz w:val="24"/>
        </w:rPr>
      </w:pPr>
      <w:r>
        <w:rPr>
          <w:rFonts w:hint="eastAsia" w:ascii="宋体" w:hAnsi="宋体"/>
          <w:sz w:val="24"/>
        </w:rPr>
        <w:t>8.1.7.2电子交易平台应用或数据库出现错误，不能进行正常操作的；</w:t>
      </w:r>
    </w:p>
    <w:p>
      <w:pPr>
        <w:snapToGrid w:val="0"/>
        <w:spacing w:line="460" w:lineRule="exact"/>
        <w:ind w:firstLine="480" w:firstLineChars="200"/>
        <w:jc w:val="left"/>
        <w:rPr>
          <w:rFonts w:ascii="宋体" w:hAnsi="宋体"/>
          <w:sz w:val="24"/>
        </w:rPr>
      </w:pPr>
      <w:r>
        <w:rPr>
          <w:rFonts w:hint="eastAsia" w:ascii="宋体" w:hAnsi="宋体"/>
          <w:sz w:val="24"/>
        </w:rPr>
        <w:t>8.1.7.3电子交易平台发现严重安全漏洞，有潜在泄密危险的；</w:t>
      </w:r>
    </w:p>
    <w:p>
      <w:pPr>
        <w:snapToGrid w:val="0"/>
        <w:spacing w:line="460" w:lineRule="exact"/>
        <w:ind w:firstLine="480" w:firstLineChars="200"/>
        <w:jc w:val="left"/>
        <w:rPr>
          <w:rFonts w:ascii="宋体" w:hAnsi="宋体"/>
          <w:sz w:val="24"/>
        </w:rPr>
      </w:pPr>
      <w:r>
        <w:rPr>
          <w:rFonts w:hint="eastAsia" w:ascii="宋体" w:hAnsi="宋体"/>
          <w:sz w:val="24"/>
        </w:rPr>
        <w:t xml:space="preserve">8.1.7.4病毒发作导致不能进行正常操作的； </w:t>
      </w:r>
    </w:p>
    <w:p>
      <w:pPr>
        <w:snapToGrid w:val="0"/>
        <w:spacing w:line="460" w:lineRule="exact"/>
        <w:ind w:firstLine="480" w:firstLineChars="200"/>
        <w:jc w:val="left"/>
        <w:rPr>
          <w:rFonts w:ascii="宋体" w:hAnsi="宋体"/>
          <w:sz w:val="24"/>
        </w:rPr>
      </w:pPr>
      <w:r>
        <w:rPr>
          <w:rFonts w:hint="eastAsia" w:ascii="宋体" w:hAnsi="宋体"/>
          <w:sz w:val="24"/>
        </w:rPr>
        <w:t>8.1.7.5其他无法保证电子交易的公平、公正和安全的情况。</w:t>
      </w:r>
    </w:p>
    <w:p>
      <w:pPr>
        <w:snapToGrid w:val="0"/>
        <w:spacing w:line="460" w:lineRule="exact"/>
        <w:ind w:firstLine="480" w:firstLineChars="200"/>
        <w:jc w:val="left"/>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spacing w:line="440" w:lineRule="exact"/>
        <w:ind w:firstLine="472" w:firstLineChars="197"/>
        <w:rPr>
          <w:rFonts w:ascii="宋体" w:hAnsi="宋体"/>
          <w:sz w:val="24"/>
        </w:rPr>
      </w:pPr>
      <w:r>
        <w:rPr>
          <w:rFonts w:hint="eastAsia" w:ascii="宋体" w:hAnsi="宋体"/>
          <w:sz w:val="24"/>
        </w:rPr>
        <w:t>8.1.8 开标时，由采购人或者采购代理机构对供应商资格进行审查，并通过“信用中国”网站(www.creditchina.gov.cn)、中国政府采购网(www.ccgp.gov.cn)查询相关投标供应商信用记录，对供应商信用记录进行甄别。</w:t>
      </w:r>
    </w:p>
    <w:p>
      <w:pPr>
        <w:snapToGrid w:val="0"/>
        <w:spacing w:line="460" w:lineRule="exact"/>
        <w:ind w:firstLine="482" w:firstLineChars="200"/>
        <w:jc w:val="left"/>
        <w:rPr>
          <w:rFonts w:ascii="宋体" w:hAnsi="宋体"/>
          <w:color w:val="FF0000"/>
          <w:sz w:val="24"/>
        </w:rPr>
      </w:pPr>
      <w:r>
        <w:rPr>
          <w:rFonts w:hint="eastAsia" w:ascii="宋体" w:hAnsi="宋体"/>
          <w:b/>
          <w:sz w:val="24"/>
          <w:u w:val="single"/>
        </w:rPr>
        <w:t>8.1.9 开标顺序为：先查验资信证明文件、其次开商务技术标、最后开价格标。资格（资信）证明文件或商务技术标经过评标委员会评审未获通过的，将不再开启价格标。</w:t>
      </w:r>
    </w:p>
    <w:p>
      <w:pPr>
        <w:spacing w:line="440" w:lineRule="exact"/>
        <w:ind w:firstLine="472" w:firstLineChars="197"/>
        <w:rPr>
          <w:rFonts w:ascii="宋体" w:hAnsi="宋体"/>
          <w:sz w:val="24"/>
        </w:rPr>
      </w:pPr>
      <w:r>
        <w:rPr>
          <w:rFonts w:hint="eastAsia" w:ascii="宋体" w:hAnsi="宋体"/>
          <w:sz w:val="24"/>
        </w:rPr>
        <w:t>8.2 评标：</w:t>
      </w:r>
    </w:p>
    <w:p>
      <w:pPr>
        <w:pStyle w:val="19"/>
        <w:spacing w:line="440" w:lineRule="exact"/>
        <w:ind w:firstLine="480" w:firstLineChars="200"/>
        <w:rPr>
          <w:rFonts w:hAnsi="宋体"/>
        </w:rPr>
      </w:pPr>
      <w:r>
        <w:rPr>
          <w:rFonts w:hint="eastAsia" w:hAnsi="宋体"/>
          <w:sz w:val="24"/>
        </w:rPr>
        <w:t>8.2.1采购人将组织</w:t>
      </w:r>
      <w:r>
        <w:rPr>
          <w:rFonts w:hint="eastAsia" w:hAnsi="宋体"/>
          <w:sz w:val="24"/>
          <w:szCs w:val="24"/>
        </w:rPr>
        <w:t>评标委员会进</w:t>
      </w:r>
      <w:r>
        <w:rPr>
          <w:rFonts w:hint="eastAsia" w:hAnsi="宋体"/>
          <w:sz w:val="24"/>
        </w:rPr>
        <w:t>行评标，依照本采购文件规定进行审查、评议；</w:t>
      </w:r>
    </w:p>
    <w:p>
      <w:pPr>
        <w:autoSpaceDE w:val="0"/>
        <w:autoSpaceDN w:val="0"/>
        <w:spacing w:line="440" w:lineRule="exact"/>
        <w:ind w:left="480"/>
        <w:rPr>
          <w:rFonts w:ascii="宋体" w:hAnsi="宋体"/>
          <w:sz w:val="24"/>
        </w:rPr>
      </w:pPr>
      <w:r>
        <w:rPr>
          <w:rFonts w:hint="eastAsia" w:ascii="宋体" w:hAnsi="宋体"/>
          <w:sz w:val="24"/>
        </w:rPr>
        <w:t>8.2.2 将从以下几方面对有效的投标文件进行综合评判：</w:t>
      </w:r>
    </w:p>
    <w:p>
      <w:pPr>
        <w:autoSpaceDE w:val="0"/>
        <w:autoSpaceDN w:val="0"/>
        <w:spacing w:line="440" w:lineRule="exact"/>
        <w:ind w:firstLine="480" w:firstLineChars="200"/>
        <w:rPr>
          <w:rFonts w:ascii="宋体" w:hAnsi="宋体"/>
          <w:sz w:val="24"/>
        </w:rPr>
      </w:pPr>
      <w:r>
        <w:rPr>
          <w:rFonts w:hint="eastAsia" w:ascii="宋体" w:hAnsi="宋体"/>
          <w:sz w:val="24"/>
        </w:rPr>
        <w:t>8.2.2.1 供应商详细的安装实施方案和实施计划；</w:t>
      </w:r>
    </w:p>
    <w:p>
      <w:pPr>
        <w:autoSpaceDE w:val="0"/>
        <w:autoSpaceDN w:val="0"/>
        <w:spacing w:line="440" w:lineRule="exact"/>
        <w:ind w:firstLine="470" w:firstLineChars="196"/>
        <w:rPr>
          <w:rFonts w:ascii="宋体" w:hAnsi="宋体"/>
          <w:sz w:val="24"/>
        </w:rPr>
      </w:pPr>
      <w:r>
        <w:rPr>
          <w:rFonts w:hint="eastAsia" w:ascii="宋体" w:hAnsi="宋体"/>
          <w:sz w:val="24"/>
        </w:rPr>
        <w:t>8.2.2.2 投标价格是否具有优势；</w:t>
      </w:r>
    </w:p>
    <w:p>
      <w:pPr>
        <w:autoSpaceDE w:val="0"/>
        <w:autoSpaceDN w:val="0"/>
        <w:spacing w:line="440" w:lineRule="exact"/>
        <w:ind w:firstLine="470" w:firstLineChars="196"/>
        <w:rPr>
          <w:rFonts w:ascii="宋体" w:hAnsi="宋体"/>
          <w:sz w:val="24"/>
        </w:rPr>
      </w:pPr>
      <w:r>
        <w:rPr>
          <w:rFonts w:hint="eastAsia" w:ascii="宋体" w:hAnsi="宋体"/>
          <w:sz w:val="24"/>
        </w:rPr>
        <w:t>8.2.2.3 对采购文件中的付款方式是否响应，如不响应将被拒绝；</w:t>
      </w:r>
    </w:p>
    <w:p>
      <w:pPr>
        <w:autoSpaceDE w:val="0"/>
        <w:autoSpaceDN w:val="0"/>
        <w:spacing w:line="440" w:lineRule="exact"/>
        <w:ind w:firstLine="470" w:firstLineChars="196"/>
        <w:rPr>
          <w:rFonts w:ascii="宋体" w:hAnsi="宋体"/>
          <w:sz w:val="24"/>
        </w:rPr>
      </w:pPr>
      <w:r>
        <w:rPr>
          <w:rFonts w:hint="eastAsia" w:ascii="宋体" w:hAnsi="宋体"/>
          <w:sz w:val="24"/>
        </w:rPr>
        <w:t>8.2.2.4 供应商的综合实力、业绩及信誉等；</w:t>
      </w:r>
    </w:p>
    <w:p>
      <w:pPr>
        <w:autoSpaceDE w:val="0"/>
        <w:autoSpaceDN w:val="0"/>
        <w:spacing w:line="440" w:lineRule="exact"/>
        <w:ind w:firstLine="470" w:firstLineChars="196"/>
        <w:rPr>
          <w:rFonts w:ascii="宋体" w:hAnsi="宋体"/>
          <w:sz w:val="24"/>
        </w:rPr>
      </w:pPr>
      <w:r>
        <w:rPr>
          <w:rFonts w:hint="eastAsia" w:ascii="宋体" w:hAnsi="宋体"/>
          <w:sz w:val="24"/>
        </w:rPr>
        <w:t>8.2.2.5 售后服务承诺是否完整、真实、可行；</w:t>
      </w:r>
    </w:p>
    <w:p>
      <w:pPr>
        <w:autoSpaceDE w:val="0"/>
        <w:autoSpaceDN w:val="0"/>
        <w:spacing w:line="440" w:lineRule="exact"/>
        <w:ind w:firstLine="470" w:firstLineChars="196"/>
        <w:rPr>
          <w:rFonts w:ascii="宋体" w:hAnsi="宋体"/>
          <w:sz w:val="24"/>
        </w:rPr>
      </w:pPr>
      <w:r>
        <w:rPr>
          <w:rFonts w:hint="eastAsia" w:ascii="宋体" w:hAnsi="宋体"/>
          <w:sz w:val="24"/>
        </w:rPr>
        <w:t>8.2.2.6 投标文件是否完整、真实、整洁。</w:t>
      </w:r>
    </w:p>
    <w:p>
      <w:pPr>
        <w:autoSpaceDE w:val="0"/>
        <w:autoSpaceDN w:val="0"/>
        <w:spacing w:line="440" w:lineRule="exact"/>
        <w:ind w:firstLine="470" w:firstLineChars="196"/>
        <w:rPr>
          <w:rFonts w:ascii="宋体" w:hAnsi="宋体"/>
          <w:sz w:val="24"/>
        </w:rPr>
      </w:pPr>
      <w:r>
        <w:rPr>
          <w:rFonts w:hint="eastAsia" w:ascii="宋体" w:hAnsi="宋体"/>
          <w:sz w:val="24"/>
        </w:rPr>
        <w:t>8.2.2.7 投标货物的性能优劣。</w:t>
      </w:r>
    </w:p>
    <w:p>
      <w:pPr>
        <w:spacing w:line="440" w:lineRule="exact"/>
        <w:ind w:firstLine="472" w:firstLineChars="197"/>
        <w:rPr>
          <w:rFonts w:ascii="宋体" w:hAnsi="宋体"/>
          <w:sz w:val="24"/>
        </w:rPr>
      </w:pPr>
      <w:r>
        <w:rPr>
          <w:rFonts w:hint="eastAsia" w:ascii="宋体" w:hAnsi="宋体"/>
          <w:sz w:val="24"/>
        </w:rPr>
        <w:t>8.2.3 与采购文件有重大偏离的投标文件将被拒绝。</w:t>
      </w:r>
    </w:p>
    <w:p>
      <w:pPr>
        <w:tabs>
          <w:tab w:val="left" w:pos="3720"/>
        </w:tabs>
        <w:autoSpaceDE w:val="0"/>
        <w:autoSpaceDN w:val="0"/>
        <w:adjustRightInd w:val="0"/>
        <w:spacing w:line="440" w:lineRule="exact"/>
        <w:ind w:firstLine="480" w:firstLineChars="200"/>
        <w:rPr>
          <w:rFonts w:ascii="宋体"/>
          <w:sz w:val="24"/>
        </w:rPr>
      </w:pPr>
      <w:r>
        <w:rPr>
          <w:rFonts w:ascii="宋体" w:hAnsi="宋体"/>
          <w:sz w:val="24"/>
        </w:rPr>
        <w:t xml:space="preserve">8.3 </w:t>
      </w:r>
      <w:r>
        <w:rPr>
          <w:rFonts w:hint="eastAsia" w:ascii="宋体" w:hAnsi="宋体"/>
          <w:sz w:val="24"/>
        </w:rPr>
        <w:t>定标方式：</w:t>
      </w:r>
      <w:r>
        <w:rPr>
          <w:rFonts w:hint="eastAsia" w:ascii="宋体" w:hAnsi="宋体"/>
          <w:sz w:val="24"/>
          <w:u w:val="single"/>
        </w:rPr>
        <w:t>采用综合评分法</w:t>
      </w:r>
    </w:p>
    <w:p>
      <w:pPr>
        <w:autoSpaceDE w:val="0"/>
        <w:autoSpaceDN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8.3.1 投标人根据采购人所需的绍兴市公安局柯桥区分局”智慧安防小区”（主城区）建设项目采购项目的主要性能、技术指标等要求进行标书制作和报价。</w:t>
      </w:r>
    </w:p>
    <w:p>
      <w:pPr>
        <w:autoSpaceDE w:val="0"/>
        <w:autoSpaceDN w:val="0"/>
        <w:spacing w:line="440" w:lineRule="exact"/>
        <w:ind w:firstLine="480" w:firstLineChars="200"/>
        <w:rPr>
          <w:rFonts w:hint="eastAsia"/>
          <w:color w:val="000000"/>
          <w:sz w:val="24"/>
          <w:u w:val="single"/>
        </w:rPr>
      </w:pPr>
      <w:r>
        <w:rPr>
          <w:rFonts w:hint="eastAsia" w:ascii="宋体" w:hAnsi="宋体"/>
          <w:color w:val="000000"/>
          <w:sz w:val="24"/>
          <w:u w:val="single"/>
        </w:rPr>
        <w:t>8.3.2 经评标委员会综合评定后，以总得分最高者为第一中标候选人，若最高总得分出现并列时，以报价低者为第一中标候选人；若最高总得分与报价均相同时，由采购人当场随机抽签选定第一中标候选人。</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8.3.3具体评分方式详见“评标办法”。</w:t>
      </w:r>
    </w:p>
    <w:p>
      <w:pPr>
        <w:spacing w:line="440" w:lineRule="exact"/>
        <w:ind w:firstLine="472" w:firstLineChars="197"/>
        <w:rPr>
          <w:rFonts w:hint="eastAsia" w:ascii="宋体" w:hAnsi="宋体"/>
          <w:color w:val="000000"/>
        </w:rPr>
      </w:pPr>
      <w:r>
        <w:rPr>
          <w:rFonts w:hint="eastAsia" w:ascii="宋体" w:hAnsi="宋体"/>
          <w:color w:val="000000"/>
          <w:sz w:val="24"/>
        </w:rPr>
        <w:t>8.4 定标：按本采购文件“8.3定标方式”规定确定中标者。</w:t>
      </w:r>
    </w:p>
    <w:p>
      <w:pPr>
        <w:spacing w:line="440" w:lineRule="exact"/>
        <w:ind w:firstLine="480" w:firstLineChars="200"/>
        <w:rPr>
          <w:rFonts w:hint="eastAsia" w:ascii="宋体" w:hAnsi="宋体"/>
          <w:color w:val="000000"/>
          <w:sz w:val="24"/>
        </w:rPr>
      </w:pPr>
      <w:r>
        <w:rPr>
          <w:rFonts w:hint="eastAsia" w:ascii="宋体" w:hAnsi="宋体"/>
          <w:color w:val="000000"/>
          <w:sz w:val="24"/>
        </w:rPr>
        <w:t>8.5 出现下列情形之一的，采购人将予以废标。</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8.5.1在投标截止时间前，按规定提交投标文件的供应商不足三家的；</w:t>
      </w:r>
    </w:p>
    <w:p>
      <w:pPr>
        <w:spacing w:line="440" w:lineRule="exact"/>
        <w:ind w:firstLine="480" w:firstLineChars="200"/>
        <w:rPr>
          <w:rFonts w:hint="eastAsia" w:ascii="宋体" w:hAnsi="宋体"/>
          <w:color w:val="000000"/>
          <w:sz w:val="24"/>
        </w:rPr>
      </w:pPr>
      <w:r>
        <w:rPr>
          <w:rFonts w:hint="eastAsia" w:ascii="宋体" w:hAnsi="宋体"/>
          <w:color w:val="000000"/>
          <w:sz w:val="24"/>
        </w:rPr>
        <w:t>8.5.2供应商的报价均超过了采购人上限价或采购预算，采购人不能支付的；</w:t>
      </w:r>
    </w:p>
    <w:p>
      <w:pPr>
        <w:spacing w:line="440" w:lineRule="exact"/>
        <w:ind w:firstLine="480" w:firstLineChars="200"/>
        <w:rPr>
          <w:rFonts w:hint="eastAsia" w:ascii="宋体" w:hAnsi="宋体"/>
          <w:color w:val="000000"/>
          <w:sz w:val="24"/>
        </w:rPr>
      </w:pPr>
      <w:r>
        <w:rPr>
          <w:rFonts w:hint="eastAsia" w:ascii="宋体" w:hAnsi="宋体"/>
          <w:color w:val="000000"/>
          <w:sz w:val="24"/>
        </w:rPr>
        <w:t>8.5.3出现影响采购公正的违法、违规行为的。</w:t>
      </w:r>
    </w:p>
    <w:p>
      <w:pPr>
        <w:spacing w:line="440" w:lineRule="exact"/>
        <w:ind w:firstLine="480" w:firstLineChars="200"/>
        <w:rPr>
          <w:rFonts w:hint="eastAsia" w:ascii="宋体" w:hAnsi="宋体"/>
          <w:color w:val="000000"/>
          <w:sz w:val="24"/>
        </w:rPr>
      </w:pPr>
      <w:r>
        <w:rPr>
          <w:rFonts w:hint="eastAsia" w:ascii="宋体" w:hAnsi="宋体"/>
          <w:color w:val="000000"/>
          <w:sz w:val="24"/>
        </w:rPr>
        <w:t>8.6 采购人不向供应商解释未中标的原因，不退还投标文件。</w:t>
      </w:r>
    </w:p>
    <w:p>
      <w:pPr>
        <w:spacing w:line="440" w:lineRule="exact"/>
        <w:ind w:firstLine="472" w:firstLineChars="197"/>
        <w:rPr>
          <w:rFonts w:hint="eastAsia" w:ascii="宋体" w:hAnsi="宋体"/>
          <w:color w:val="000000"/>
          <w:sz w:val="24"/>
        </w:rPr>
      </w:pPr>
      <w:r>
        <w:rPr>
          <w:rFonts w:hint="eastAsia" w:ascii="宋体" w:hAnsi="宋体"/>
          <w:color w:val="000000"/>
          <w:sz w:val="24"/>
        </w:rPr>
        <w:t>8.7投标文件有下列情况之一，经认定属未实质性响应采购文件的，将视为无效：</w:t>
      </w:r>
    </w:p>
    <w:p>
      <w:pPr>
        <w:spacing w:line="440" w:lineRule="exact"/>
        <w:ind w:firstLine="480" w:firstLineChars="200"/>
        <w:rPr>
          <w:rFonts w:hint="eastAsia" w:ascii="宋体" w:hAnsi="宋体"/>
          <w:sz w:val="24"/>
        </w:rPr>
      </w:pPr>
      <w:r>
        <w:rPr>
          <w:rFonts w:hint="eastAsia" w:ascii="宋体" w:hAnsi="宋体"/>
          <w:sz w:val="24"/>
        </w:rPr>
        <w:t>8.7.1投标文件或投标文件的开标一览表（报价表）未加盖供应商公章的；</w:t>
      </w:r>
    </w:p>
    <w:p>
      <w:pPr>
        <w:spacing w:line="440" w:lineRule="exact"/>
        <w:ind w:firstLine="480" w:firstLineChars="200"/>
        <w:rPr>
          <w:rFonts w:hint="eastAsia" w:ascii="宋体" w:hAnsi="宋体"/>
          <w:color w:val="000000"/>
          <w:sz w:val="24"/>
        </w:rPr>
      </w:pPr>
      <w:r>
        <w:rPr>
          <w:rFonts w:hint="eastAsia" w:ascii="宋体" w:hAnsi="宋体"/>
          <w:color w:val="000000"/>
          <w:sz w:val="24"/>
        </w:rPr>
        <w:t>8.7.2 未按采购文件规定填写，内容不全或关键字迹模糊、无法辨认的；</w:t>
      </w:r>
    </w:p>
    <w:p>
      <w:pPr>
        <w:spacing w:line="440" w:lineRule="exact"/>
        <w:ind w:firstLine="480" w:firstLineChars="200"/>
        <w:rPr>
          <w:rFonts w:hint="eastAsia" w:ascii="宋体" w:hAnsi="宋体"/>
          <w:color w:val="000000"/>
          <w:sz w:val="24"/>
        </w:rPr>
      </w:pPr>
      <w:r>
        <w:rPr>
          <w:rFonts w:hint="eastAsia" w:ascii="宋体" w:hAnsi="宋体"/>
          <w:color w:val="000000"/>
          <w:sz w:val="24"/>
        </w:rPr>
        <w:t>8.7.3 供应商递交两份或多份内容不同的投标文件，或在一份投标文件中对同一采购项目报有两个或多个报价，且未声明哪一个有效；</w:t>
      </w:r>
    </w:p>
    <w:p>
      <w:pPr>
        <w:spacing w:line="440" w:lineRule="exact"/>
        <w:ind w:firstLine="480" w:firstLineChars="200"/>
        <w:rPr>
          <w:rFonts w:hint="eastAsia" w:ascii="宋体" w:hAnsi="宋体"/>
          <w:color w:val="000000"/>
          <w:sz w:val="24"/>
        </w:rPr>
      </w:pPr>
      <w:r>
        <w:rPr>
          <w:rFonts w:hint="eastAsia" w:ascii="宋体" w:hAnsi="宋体"/>
          <w:color w:val="000000"/>
          <w:sz w:val="24"/>
        </w:rPr>
        <w:t>8.7.4 供应商名称或组织机构与资格预审时不一致的；</w:t>
      </w:r>
    </w:p>
    <w:p>
      <w:pPr>
        <w:spacing w:line="440" w:lineRule="exact"/>
        <w:ind w:firstLine="480" w:firstLineChars="200"/>
        <w:rPr>
          <w:rFonts w:hint="eastAsia" w:ascii="宋体" w:hAnsi="宋体"/>
          <w:color w:val="000000"/>
          <w:sz w:val="24"/>
        </w:rPr>
      </w:pPr>
      <w:r>
        <w:rPr>
          <w:rFonts w:hint="eastAsia" w:ascii="宋体" w:hAnsi="宋体"/>
          <w:color w:val="000000"/>
          <w:sz w:val="24"/>
        </w:rPr>
        <w:t>8.7.5 未按采购文件要求提交投标保证金的；</w:t>
      </w:r>
    </w:p>
    <w:p>
      <w:pPr>
        <w:spacing w:line="440" w:lineRule="exact"/>
        <w:ind w:firstLine="480" w:firstLineChars="200"/>
        <w:rPr>
          <w:rFonts w:hint="eastAsia" w:ascii="宋体" w:hAnsi="宋体"/>
          <w:color w:val="000000"/>
          <w:sz w:val="24"/>
        </w:rPr>
      </w:pPr>
      <w:r>
        <w:rPr>
          <w:rFonts w:hint="eastAsia" w:ascii="宋体" w:hAnsi="宋体"/>
          <w:color w:val="000000"/>
          <w:sz w:val="24"/>
        </w:rPr>
        <w:t>8.7.6 投标文件未按采购文件要求封装、提交的。</w:t>
      </w:r>
    </w:p>
    <w:p>
      <w:pPr>
        <w:spacing w:line="440" w:lineRule="exact"/>
        <w:ind w:firstLine="480" w:firstLineChars="200"/>
        <w:rPr>
          <w:rFonts w:hint="eastAsia" w:ascii="宋体" w:hAnsi="宋体"/>
          <w:color w:val="000000"/>
          <w:sz w:val="24"/>
        </w:rPr>
      </w:pPr>
      <w:r>
        <w:rPr>
          <w:rFonts w:hint="eastAsia" w:ascii="宋体" w:hAnsi="宋体"/>
          <w:color w:val="000000"/>
          <w:sz w:val="24"/>
        </w:rPr>
        <w:t>8.7.7 不具备采购文件中规定资格要求或未按采购文件要求提供资格、资信证明文件的。</w:t>
      </w:r>
    </w:p>
    <w:p>
      <w:pPr>
        <w:spacing w:line="440" w:lineRule="exact"/>
        <w:ind w:firstLine="480" w:firstLineChars="200"/>
        <w:rPr>
          <w:rFonts w:hint="eastAsia" w:ascii="宋体" w:hAnsi="宋体"/>
          <w:color w:val="000000"/>
          <w:sz w:val="24"/>
        </w:rPr>
      </w:pPr>
      <w:r>
        <w:rPr>
          <w:rFonts w:hint="eastAsia" w:ascii="宋体" w:hAnsi="宋体"/>
          <w:color w:val="000000"/>
          <w:sz w:val="24"/>
        </w:rPr>
        <w:t>8.7.8 不符合法律、法规和采购文件中规定的其他实质性要求的。</w:t>
      </w:r>
    </w:p>
    <w:p>
      <w:pPr>
        <w:spacing w:line="440" w:lineRule="exact"/>
        <w:ind w:firstLine="480" w:firstLineChars="200"/>
        <w:rPr>
          <w:rFonts w:hint="eastAsia" w:ascii="宋体" w:hAnsi="宋体"/>
          <w:color w:val="000000"/>
          <w:sz w:val="24"/>
        </w:rPr>
      </w:pPr>
      <w:r>
        <w:rPr>
          <w:rFonts w:hint="eastAsia" w:ascii="宋体" w:hAnsi="宋体"/>
          <w:color w:val="000000"/>
          <w:sz w:val="24"/>
        </w:rPr>
        <w:t>8.8 采购代理机构应当在评标结束后两个工作日内将评标报告送采购人。</w:t>
      </w:r>
    </w:p>
    <w:p>
      <w:pPr>
        <w:spacing w:line="440" w:lineRule="exact"/>
        <w:ind w:firstLine="480" w:firstLineChars="200"/>
        <w:rPr>
          <w:rFonts w:hint="eastAsia" w:ascii="宋体" w:hAnsi="宋体"/>
          <w:color w:val="000000"/>
          <w:sz w:val="24"/>
        </w:rPr>
      </w:pPr>
      <w:r>
        <w:rPr>
          <w:rFonts w:hint="eastAsia" w:ascii="宋体" w:hAnsi="宋体"/>
          <w:color w:val="000000"/>
          <w:sz w:val="24"/>
        </w:rPr>
        <w:t>8.9 采购人应当在收到评标报告后五个工作日内，在评标报告推荐的中标候选人中确定中标供应商。</w:t>
      </w:r>
    </w:p>
    <w:p>
      <w:pPr>
        <w:pStyle w:val="2"/>
        <w:numPr>
          <w:ilvl w:val="0"/>
          <w:numId w:val="0"/>
        </w:numPr>
        <w:spacing w:before="0" w:after="0" w:line="440" w:lineRule="exact"/>
        <w:jc w:val="center"/>
        <w:rPr>
          <w:rFonts w:hint="eastAsia" w:ascii="宋体" w:hAnsi="宋体"/>
          <w:color w:val="000000"/>
          <w:sz w:val="28"/>
          <w:szCs w:val="28"/>
        </w:rPr>
      </w:pPr>
      <w:bookmarkStart w:id="23" w:name="_Toc264116919"/>
      <w:bookmarkStart w:id="24" w:name="_Toc46418584"/>
      <w:r>
        <w:rPr>
          <w:rFonts w:hint="eastAsia" w:ascii="宋体" w:hAnsi="宋体"/>
          <w:color w:val="000000"/>
          <w:sz w:val="28"/>
          <w:szCs w:val="28"/>
        </w:rPr>
        <w:t>九、投标截止时间、开标时间及地点</w:t>
      </w:r>
      <w:bookmarkEnd w:id="23"/>
      <w:bookmarkEnd w:id="24"/>
    </w:p>
    <w:p>
      <w:pPr>
        <w:pStyle w:val="19"/>
        <w:spacing w:line="440" w:lineRule="exact"/>
        <w:rPr>
          <w:rFonts w:hint="eastAsia" w:hAnsi="宋体"/>
          <w:color w:val="000000"/>
          <w:sz w:val="24"/>
        </w:rPr>
      </w:pPr>
    </w:p>
    <w:p>
      <w:pPr>
        <w:pStyle w:val="19"/>
        <w:tabs>
          <w:tab w:val="left" w:pos="7020"/>
        </w:tabs>
        <w:spacing w:line="440" w:lineRule="exact"/>
        <w:ind w:firstLine="480" w:firstLineChars="200"/>
        <w:rPr>
          <w:rFonts w:hint="eastAsia" w:hAnsi="宋体"/>
          <w:color w:val="000000"/>
          <w:sz w:val="24"/>
        </w:rPr>
      </w:pPr>
      <w:r>
        <w:rPr>
          <w:rFonts w:hint="eastAsia" w:hAnsi="宋体"/>
          <w:color w:val="000000"/>
          <w:sz w:val="24"/>
        </w:rPr>
        <w:t>9.1投标文件递交截止时间：详见前附表第</w:t>
      </w:r>
      <w:r>
        <w:rPr>
          <w:rFonts w:hint="eastAsia" w:hAnsi="宋体"/>
          <w:color w:val="000000"/>
          <w:sz w:val="24"/>
          <w:u w:val="single"/>
        </w:rPr>
        <w:t>14</w:t>
      </w:r>
      <w:r>
        <w:rPr>
          <w:rFonts w:hint="eastAsia" w:hAnsi="宋体"/>
          <w:color w:val="000000"/>
          <w:sz w:val="24"/>
        </w:rPr>
        <w:t>项。</w:t>
      </w:r>
    </w:p>
    <w:p>
      <w:pPr>
        <w:pStyle w:val="19"/>
        <w:tabs>
          <w:tab w:val="left" w:pos="7020"/>
        </w:tabs>
        <w:spacing w:line="440" w:lineRule="exact"/>
        <w:ind w:firstLine="480" w:firstLineChars="200"/>
        <w:rPr>
          <w:rFonts w:hint="eastAsia" w:hAnsi="宋体"/>
          <w:color w:val="000000"/>
          <w:sz w:val="24"/>
        </w:rPr>
      </w:pPr>
      <w:r>
        <w:rPr>
          <w:rFonts w:hint="eastAsia" w:hAnsi="宋体"/>
          <w:color w:val="000000"/>
          <w:sz w:val="24"/>
        </w:rPr>
        <w:t>9.2开标时间：详见前附表第</w:t>
      </w:r>
      <w:r>
        <w:rPr>
          <w:rFonts w:hint="eastAsia" w:hAnsi="宋体"/>
          <w:color w:val="000000"/>
          <w:sz w:val="24"/>
          <w:u w:val="single"/>
        </w:rPr>
        <w:t>15</w:t>
      </w:r>
      <w:r>
        <w:rPr>
          <w:rFonts w:hint="eastAsia" w:hAnsi="宋体"/>
          <w:color w:val="000000"/>
          <w:sz w:val="24"/>
        </w:rPr>
        <w:t>项。</w:t>
      </w:r>
    </w:p>
    <w:p>
      <w:pPr>
        <w:pStyle w:val="19"/>
        <w:spacing w:line="440" w:lineRule="exact"/>
        <w:ind w:firstLine="480" w:firstLineChars="200"/>
        <w:rPr>
          <w:rFonts w:hint="eastAsia" w:hAnsi="宋体"/>
          <w:color w:val="000000"/>
          <w:sz w:val="24"/>
        </w:rPr>
      </w:pPr>
      <w:r>
        <w:rPr>
          <w:rFonts w:hint="eastAsia" w:hAnsi="宋体"/>
          <w:color w:val="000000"/>
          <w:sz w:val="24"/>
        </w:rPr>
        <w:t>9.3开标地点：详见前附表第</w:t>
      </w:r>
      <w:r>
        <w:rPr>
          <w:rFonts w:hint="eastAsia" w:hAnsi="宋体"/>
          <w:color w:val="000000"/>
          <w:sz w:val="24"/>
          <w:u w:val="single"/>
        </w:rPr>
        <w:t>15</w:t>
      </w:r>
      <w:r>
        <w:rPr>
          <w:rFonts w:hint="eastAsia" w:hAnsi="宋体"/>
          <w:color w:val="000000"/>
          <w:sz w:val="24"/>
        </w:rPr>
        <w:t>项。</w:t>
      </w:r>
    </w:p>
    <w:p>
      <w:pPr>
        <w:pStyle w:val="19"/>
        <w:spacing w:line="440" w:lineRule="exact"/>
        <w:rPr>
          <w:rFonts w:hint="eastAsia"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25" w:name="_Toc264116920"/>
      <w:bookmarkStart w:id="26" w:name="_Toc46418585"/>
      <w:r>
        <w:rPr>
          <w:rFonts w:hint="eastAsia" w:ascii="宋体" w:hAnsi="宋体"/>
          <w:color w:val="000000"/>
          <w:sz w:val="28"/>
          <w:szCs w:val="28"/>
        </w:rPr>
        <w:t>十、其他事项</w:t>
      </w:r>
      <w:bookmarkEnd w:id="25"/>
      <w:bookmarkEnd w:id="26"/>
    </w:p>
    <w:p>
      <w:pPr>
        <w:spacing w:line="440" w:lineRule="exact"/>
        <w:ind w:firstLine="472" w:firstLineChars="197"/>
        <w:rPr>
          <w:rFonts w:hint="eastAsia" w:ascii="宋体" w:hAnsi="宋体"/>
          <w:color w:val="000000"/>
          <w:sz w:val="24"/>
        </w:rPr>
      </w:pPr>
    </w:p>
    <w:p>
      <w:pPr>
        <w:spacing w:line="440" w:lineRule="exact"/>
        <w:ind w:firstLine="472" w:firstLineChars="197"/>
        <w:rPr>
          <w:rFonts w:hint="eastAsia" w:ascii="宋体" w:hAnsi="宋体"/>
          <w:color w:val="000000"/>
          <w:sz w:val="24"/>
        </w:rPr>
      </w:pPr>
      <w:r>
        <w:rPr>
          <w:rFonts w:hint="eastAsia" w:ascii="宋体" w:hAnsi="宋体"/>
          <w:color w:val="000000"/>
          <w:sz w:val="24"/>
        </w:rPr>
        <w:t>10.1采购活动全过程由柯桥区公证处实施公证。</w:t>
      </w:r>
    </w:p>
    <w:p>
      <w:pPr>
        <w:spacing w:line="440" w:lineRule="exact"/>
        <w:ind w:firstLine="472" w:firstLineChars="197"/>
        <w:rPr>
          <w:rFonts w:hint="eastAsia" w:ascii="宋体" w:hAnsi="宋体"/>
          <w:color w:val="000000"/>
          <w:sz w:val="24"/>
        </w:rPr>
      </w:pPr>
      <w:r>
        <w:rPr>
          <w:rFonts w:hint="eastAsia" w:ascii="宋体" w:hAnsi="宋体"/>
          <w:color w:val="000000"/>
          <w:sz w:val="24"/>
        </w:rPr>
        <w:t>10.2本标文未尽事宜，另行以在浙江省政府采购网上发布形式补充说明，并按照《中华人民共和国政府采购法》、《中华人民共和国政府采购法实施条例》的基本原则和精神执行。</w:t>
      </w:r>
    </w:p>
    <w:p>
      <w:pPr>
        <w:spacing w:line="440" w:lineRule="exact"/>
        <w:rPr>
          <w:rFonts w:hint="eastAsia" w:ascii="宋体" w:hAnsi="宋体"/>
          <w:color w:val="000000"/>
          <w:sz w:val="24"/>
        </w:rPr>
      </w:pPr>
      <w:r>
        <w:rPr>
          <w:rFonts w:hint="eastAsia" w:ascii="宋体" w:hAnsi="宋体"/>
          <w:color w:val="000000"/>
          <w:sz w:val="24"/>
        </w:rPr>
        <w:t xml:space="preserve">    10.3本次招标采购监督管理部门：绍兴市柯桥区公共资源交易管理委员会办公室，监督电话：0575-84130780</w:t>
      </w:r>
    </w:p>
    <w:p>
      <w:pPr>
        <w:spacing w:line="440" w:lineRule="exact"/>
        <w:ind w:firstLine="472" w:firstLineChars="197"/>
        <w:jc w:val="left"/>
        <w:rPr>
          <w:rFonts w:hint="eastAsia" w:ascii="宋体" w:hAnsi="宋体"/>
          <w:color w:val="000000"/>
          <w:sz w:val="24"/>
        </w:rPr>
      </w:pPr>
      <w:r>
        <w:rPr>
          <w:rFonts w:hint="eastAsia" w:ascii="宋体" w:hAnsi="宋体"/>
          <w:color w:val="000000"/>
          <w:sz w:val="24"/>
        </w:rPr>
        <w:t>10.4凡提交电子投标文件的供应商，均视同对本标文及评标办法的认可，无异议。</w:t>
      </w:r>
    </w:p>
    <w:p>
      <w:pPr>
        <w:spacing w:line="440" w:lineRule="exact"/>
        <w:ind w:firstLine="472" w:firstLineChars="197"/>
        <w:jc w:val="left"/>
        <w:rPr>
          <w:rFonts w:hint="eastAsia" w:ascii="宋体" w:hAnsi="宋体"/>
          <w:color w:val="000000"/>
          <w:sz w:val="24"/>
        </w:rPr>
      </w:pPr>
    </w:p>
    <w:p>
      <w:pPr>
        <w:spacing w:line="440" w:lineRule="exact"/>
        <w:ind w:firstLine="472" w:firstLineChars="197"/>
        <w:jc w:val="left"/>
        <w:rPr>
          <w:rFonts w:hint="eastAsia" w:ascii="宋体" w:hAnsi="宋体"/>
          <w:color w:val="000000"/>
          <w:sz w:val="24"/>
        </w:rPr>
      </w:pPr>
    </w:p>
    <w:p>
      <w:pPr>
        <w:spacing w:line="440" w:lineRule="exact"/>
        <w:ind w:firstLine="472" w:firstLineChars="197"/>
        <w:jc w:val="left"/>
        <w:rPr>
          <w:rFonts w:hint="eastAsia" w:ascii="宋体" w:hAnsi="宋体"/>
          <w:color w:val="000000"/>
          <w:sz w:val="24"/>
          <w:u w:val="single"/>
        </w:rPr>
      </w:pPr>
      <w:r>
        <w:rPr>
          <w:rFonts w:hint="eastAsia" w:ascii="宋体" w:hAnsi="宋体"/>
          <w:color w:val="000000"/>
          <w:sz w:val="24"/>
        </w:rPr>
        <w:t xml:space="preserve">                                       采购人：</w:t>
      </w:r>
      <w:r>
        <w:rPr>
          <w:rFonts w:ascii="宋体" w:hAnsi="宋体"/>
          <w:color w:val="000000"/>
          <w:sz w:val="24"/>
          <w:u w:val="single"/>
        </w:rPr>
        <w:t>绍兴市公安局</w:t>
      </w:r>
      <w:r>
        <w:rPr>
          <w:rFonts w:hint="eastAsia" w:ascii="宋体" w:hAnsi="宋体"/>
          <w:color w:val="000000"/>
          <w:sz w:val="24"/>
          <w:u w:val="single"/>
        </w:rPr>
        <w:t>柯桥区分局</w:t>
      </w:r>
    </w:p>
    <w:p>
      <w:pPr>
        <w:wordWrap w:val="0"/>
        <w:spacing w:line="440" w:lineRule="exact"/>
        <w:ind w:firstLine="600" w:firstLineChars="250"/>
        <w:jc w:val="right"/>
        <w:rPr>
          <w:rFonts w:hint="eastAsia" w:ascii="宋体" w:hAnsi="宋体"/>
          <w:color w:val="000000"/>
          <w:sz w:val="24"/>
          <w:u w:val="single"/>
        </w:rPr>
      </w:pPr>
      <w:r>
        <w:rPr>
          <w:rFonts w:hint="eastAsia" w:ascii="宋体" w:hAnsi="宋体"/>
          <w:color w:val="000000"/>
          <w:sz w:val="24"/>
        </w:rPr>
        <w:t>采购代理机构：</w:t>
      </w:r>
      <w:r>
        <w:rPr>
          <w:rFonts w:hint="eastAsia" w:ascii="宋体" w:hAnsi="宋体" w:cs="宋体"/>
          <w:sz w:val="24"/>
          <w:u w:val="single"/>
        </w:rPr>
        <w:t>绍兴市柯桥区公共资源交易中心、</w:t>
      </w:r>
      <w:r>
        <w:rPr>
          <w:rFonts w:hint="eastAsia" w:ascii="宋体" w:hAnsi="宋体"/>
          <w:color w:val="000000"/>
          <w:sz w:val="24"/>
          <w:u w:val="single"/>
        </w:rPr>
        <w:t>浙江越锋项目管理有限公司</w:t>
      </w:r>
    </w:p>
    <w:p>
      <w:pPr>
        <w:pStyle w:val="21"/>
        <w:spacing w:line="440" w:lineRule="exact"/>
        <w:ind w:left="99" w:leftChars="47" w:firstLine="6000" w:firstLineChars="2500"/>
        <w:jc w:val="left"/>
        <w:rPr>
          <w:rFonts w:hint="eastAsia" w:ascii="宋体" w:hAnsi="宋体"/>
          <w:color w:val="000000"/>
          <w:sz w:val="24"/>
          <w:u w:val="single"/>
        </w:rPr>
      </w:pPr>
      <w:r>
        <w:rPr>
          <w:rFonts w:hint="eastAsia" w:ascii="宋体" w:hAnsi="宋体"/>
          <w:color w:val="000000"/>
          <w:sz w:val="24"/>
          <w:u w:val="single"/>
        </w:rPr>
        <w:t>2020年</w:t>
      </w:r>
      <w:r>
        <w:rPr>
          <w:rFonts w:hint="eastAsia" w:ascii="宋体" w:hAnsi="宋体"/>
          <w:color w:val="000000"/>
          <w:sz w:val="24"/>
          <w:u w:val="single"/>
          <w:lang w:eastAsia="zh-CN"/>
        </w:rPr>
        <w:t>10</w:t>
      </w:r>
      <w:r>
        <w:rPr>
          <w:rFonts w:hint="eastAsia" w:ascii="宋体" w:hAnsi="宋体"/>
          <w:color w:val="000000"/>
          <w:sz w:val="24"/>
          <w:u w:val="single"/>
        </w:rPr>
        <w:t>月</w:t>
      </w:r>
      <w:r>
        <w:rPr>
          <w:rFonts w:hint="eastAsia" w:ascii="宋体" w:hAnsi="宋体"/>
          <w:color w:val="000000"/>
          <w:sz w:val="24"/>
          <w:u w:val="single"/>
          <w:lang w:eastAsia="zh-CN"/>
        </w:rPr>
        <w:t>14</w:t>
      </w:r>
      <w:r>
        <w:rPr>
          <w:rFonts w:hint="eastAsia" w:ascii="宋体" w:hAnsi="宋体"/>
          <w:color w:val="000000"/>
          <w:sz w:val="24"/>
          <w:u w:val="single"/>
        </w:rPr>
        <w:t>日</w:t>
      </w:r>
    </w:p>
    <w:p>
      <w:pPr>
        <w:rPr>
          <w:rFonts w:hint="eastAsia"/>
          <w:color w:val="000000"/>
        </w:rPr>
      </w:pPr>
    </w:p>
    <w:p>
      <w:pPr>
        <w:rPr>
          <w:rFonts w:hint="eastAsia"/>
          <w:color w:val="000000"/>
        </w:rPr>
      </w:pPr>
    </w:p>
    <w:p>
      <w:pPr>
        <w:pStyle w:val="2"/>
        <w:numPr>
          <w:ilvl w:val="0"/>
          <w:numId w:val="0"/>
        </w:numPr>
        <w:spacing w:after="0" w:line="240" w:lineRule="auto"/>
        <w:jc w:val="center"/>
        <w:rPr>
          <w:rFonts w:hint="eastAsia" w:ascii="宋体" w:hAnsi="宋体"/>
          <w:b w:val="0"/>
          <w:color w:val="000000"/>
        </w:rPr>
      </w:pPr>
      <w:bookmarkStart w:id="27" w:name="_Toc264116921"/>
      <w:r>
        <w:rPr>
          <w:rFonts w:ascii="宋体" w:hAnsi="宋体"/>
          <w:b w:val="0"/>
          <w:color w:val="000000"/>
        </w:rPr>
        <w:br w:type="page"/>
      </w:r>
      <w:bookmarkStart w:id="28" w:name="_Toc46418586"/>
      <w:r>
        <w:rPr>
          <w:rFonts w:hint="eastAsia" w:ascii="宋体" w:hAnsi="宋体"/>
          <w:b w:val="0"/>
          <w:color w:val="000000"/>
        </w:rPr>
        <w:t>附件一：投标函</w:t>
      </w:r>
      <w:bookmarkEnd w:id="27"/>
      <w:bookmarkEnd w:id="28"/>
    </w:p>
    <w:p>
      <w:pPr>
        <w:spacing w:line="500" w:lineRule="exact"/>
        <w:rPr>
          <w:rFonts w:hint="eastAsia" w:ascii="宋体" w:hAnsi="宋体"/>
          <w:color w:val="000000"/>
        </w:rPr>
      </w:pPr>
      <w:r>
        <w:rPr>
          <w:rFonts w:hint="eastAsia" w:ascii="宋体" w:hAnsi="宋体"/>
          <w:color w:val="000000"/>
          <w:sz w:val="24"/>
          <w:u w:val="single"/>
        </w:rPr>
        <w:t xml:space="preserve">                  （采购人）</w:t>
      </w:r>
      <w:r>
        <w:rPr>
          <w:rFonts w:hint="eastAsia" w:ascii="宋体" w:hAnsi="宋体"/>
          <w:color w:val="000000"/>
          <w:sz w:val="24"/>
        </w:rPr>
        <w:t>：</w:t>
      </w:r>
      <w:r>
        <w:rPr>
          <w:rFonts w:ascii="宋体" w:hAnsi="宋体"/>
          <w:color w:val="000000"/>
        </w:rPr>
        <w:tab/>
      </w:r>
    </w:p>
    <w:p>
      <w:pPr>
        <w:spacing w:line="500" w:lineRule="exact"/>
        <w:ind w:firstLine="480" w:firstLineChars="200"/>
        <w:jc w:val="left"/>
        <w:rPr>
          <w:rFonts w:hint="eastAsia" w:ascii="宋体" w:hAnsi="宋体"/>
          <w:color w:val="000000"/>
          <w:sz w:val="24"/>
        </w:rPr>
      </w:pPr>
      <w:r>
        <w:rPr>
          <w:rFonts w:hint="eastAsia" w:ascii="宋体" w:hAnsi="宋体"/>
          <w:color w:val="000000"/>
          <w:sz w:val="24"/>
        </w:rPr>
        <w:t>我单位认真研究了编号为</w:t>
      </w:r>
      <w:r>
        <w:rPr>
          <w:rFonts w:hint="eastAsia"/>
          <w:color w:val="000000"/>
          <w:szCs w:val="21"/>
          <w:u w:val="single"/>
        </w:rPr>
        <w:t xml:space="preserve">            </w:t>
      </w:r>
      <w:r>
        <w:rPr>
          <w:rFonts w:hint="eastAsia" w:ascii="宋体" w:hAnsi="宋体"/>
          <w:color w:val="000000"/>
          <w:sz w:val="24"/>
        </w:rPr>
        <w:t>的关于</w:t>
      </w:r>
      <w:r>
        <w:rPr>
          <w:rFonts w:hint="eastAsia" w:ascii="宋体" w:hAnsi="宋体"/>
          <w:color w:val="000000"/>
          <w:sz w:val="24"/>
          <w:u w:val="single"/>
        </w:rPr>
        <w:t xml:space="preserve">                       </w:t>
      </w:r>
      <w:r>
        <w:rPr>
          <w:rFonts w:hint="eastAsia" w:ascii="宋体" w:hAnsi="宋体"/>
          <w:color w:val="000000"/>
          <w:sz w:val="24"/>
        </w:rPr>
        <w:t>的采购文件，愿意遵守采购文件的所有要求，承担采购文件规定的中标供应商的全部责任和义务。我单位承诺：</w:t>
      </w:r>
    </w:p>
    <w:p>
      <w:pPr>
        <w:spacing w:line="500" w:lineRule="exact"/>
        <w:ind w:firstLine="480" w:firstLineChars="200"/>
        <w:jc w:val="left"/>
        <w:rPr>
          <w:rFonts w:hint="eastAsia" w:ascii="宋体" w:hAnsi="宋体"/>
          <w:color w:val="000000"/>
          <w:sz w:val="24"/>
        </w:rPr>
      </w:pPr>
      <w:r>
        <w:rPr>
          <w:rFonts w:hint="eastAsia" w:ascii="宋体" w:hAnsi="宋体"/>
          <w:color w:val="000000"/>
          <w:sz w:val="24"/>
        </w:rPr>
        <w:t>1、我单位愿意以开标一览表（报价表）所填报的报价承接本采购项目的</w:t>
      </w:r>
      <w:r>
        <w:rPr>
          <w:rFonts w:hint="eastAsia" w:ascii="宋体" w:hAnsi="宋体"/>
          <w:color w:val="000000"/>
          <w:sz w:val="24"/>
          <w:u w:val="single"/>
        </w:rPr>
        <w:t>供应、安装就位、调试、检测、验收及技术服务等</w:t>
      </w:r>
      <w:r>
        <w:rPr>
          <w:rFonts w:hint="eastAsia" w:ascii="宋体" w:hAnsi="宋体"/>
          <w:color w:val="000000"/>
          <w:sz w:val="24"/>
        </w:rPr>
        <w:t>的任务。</w:t>
      </w:r>
    </w:p>
    <w:p>
      <w:pPr>
        <w:spacing w:line="500" w:lineRule="exact"/>
        <w:rPr>
          <w:rFonts w:hint="eastAsia" w:ascii="宋体" w:hAnsi="宋体"/>
          <w:color w:val="000000"/>
          <w:sz w:val="24"/>
        </w:rPr>
      </w:pPr>
      <w:r>
        <w:rPr>
          <w:rFonts w:hint="eastAsia" w:ascii="宋体" w:hAnsi="宋体"/>
          <w:color w:val="000000"/>
          <w:sz w:val="24"/>
        </w:rPr>
        <w:t xml:space="preserve">    2、一旦我单位中标，我们保证按照采购文件的要求，</w:t>
      </w:r>
      <w:r>
        <w:rPr>
          <w:rFonts w:hint="eastAsia" w:ascii="宋体" w:hAnsi="宋体"/>
          <w:color w:val="000000"/>
          <w:sz w:val="24"/>
          <w:u w:val="single"/>
        </w:rPr>
        <w:t>在合同签订后120个日历天内</w:t>
      </w:r>
      <w:r>
        <w:rPr>
          <w:rFonts w:hint="eastAsia" w:ascii="宋体" w:hAnsi="宋体"/>
          <w:color w:val="000000"/>
          <w:sz w:val="24"/>
        </w:rPr>
        <w:t>完成货物供应安装、售后服务、验收并交付使用。</w:t>
      </w:r>
    </w:p>
    <w:p>
      <w:pPr>
        <w:spacing w:line="500" w:lineRule="exact"/>
        <w:ind w:firstLine="480" w:firstLineChars="200"/>
        <w:rPr>
          <w:rFonts w:hint="eastAsia" w:ascii="宋体" w:hAnsi="宋体"/>
          <w:color w:val="000000"/>
          <w:sz w:val="24"/>
        </w:rPr>
      </w:pPr>
      <w:r>
        <w:rPr>
          <w:rFonts w:hint="eastAsia" w:ascii="宋体" w:hAnsi="宋体"/>
          <w:color w:val="000000"/>
          <w:sz w:val="24"/>
        </w:rPr>
        <w:t>3、我单位同意提供按照采购人可能要求的与其投标有关的一切数据或资料，完全理解和接受不一定按最低价中标。</w:t>
      </w:r>
    </w:p>
    <w:p>
      <w:pPr>
        <w:spacing w:line="500" w:lineRule="exact"/>
        <w:ind w:firstLine="480" w:firstLineChars="200"/>
        <w:rPr>
          <w:rFonts w:hint="eastAsia" w:ascii="宋体" w:hAnsi="宋体"/>
          <w:color w:val="000000"/>
          <w:sz w:val="24"/>
        </w:rPr>
      </w:pPr>
      <w:r>
        <w:rPr>
          <w:rFonts w:hint="eastAsia" w:ascii="宋体" w:hAnsi="宋体"/>
          <w:color w:val="000000"/>
          <w:sz w:val="24"/>
        </w:rPr>
        <w:t>4、如果我单位中标，我方将按照要求提交履约保证金，并严格履行合同义务。</w:t>
      </w:r>
    </w:p>
    <w:p>
      <w:pPr>
        <w:spacing w:line="500" w:lineRule="exact"/>
        <w:ind w:firstLine="455"/>
        <w:rPr>
          <w:rFonts w:hint="eastAsia" w:ascii="宋体" w:hAnsi="宋体"/>
          <w:color w:val="000000"/>
          <w:sz w:val="24"/>
        </w:rPr>
      </w:pPr>
      <w:r>
        <w:rPr>
          <w:rFonts w:hint="eastAsia" w:ascii="宋体" w:hAnsi="宋体"/>
          <w:color w:val="000000"/>
          <w:sz w:val="24"/>
        </w:rPr>
        <w:t>5、除非另行达成协议并生效，你方的中标通知书和本投标函将构成约束你我双方的合同。</w:t>
      </w:r>
    </w:p>
    <w:p>
      <w:pPr>
        <w:spacing w:line="500" w:lineRule="exact"/>
        <w:ind w:firstLine="455"/>
        <w:rPr>
          <w:rFonts w:hint="eastAsia" w:ascii="宋体" w:hAnsi="宋体"/>
          <w:color w:val="000000"/>
          <w:sz w:val="24"/>
        </w:rPr>
      </w:pPr>
      <w:r>
        <w:rPr>
          <w:rFonts w:hint="eastAsia" w:ascii="宋体" w:hAnsi="宋体"/>
          <w:color w:val="000000"/>
          <w:sz w:val="24"/>
        </w:rPr>
        <w:t>6、本供货质量承诺为</w:t>
      </w:r>
      <w:r>
        <w:rPr>
          <w:rFonts w:hint="eastAsia" w:ascii="宋体" w:hAnsi="宋体"/>
          <w:color w:val="000000"/>
          <w:sz w:val="24"/>
          <w:u w:val="single"/>
        </w:rPr>
        <w:t xml:space="preserve">       </w:t>
      </w:r>
      <w:r>
        <w:rPr>
          <w:rFonts w:hint="eastAsia" w:ascii="宋体" w:hAnsi="宋体"/>
          <w:color w:val="000000"/>
          <w:sz w:val="24"/>
        </w:rPr>
        <w:t>。</w:t>
      </w:r>
    </w:p>
    <w:p>
      <w:pPr>
        <w:spacing w:line="500" w:lineRule="exact"/>
        <w:ind w:firstLine="455"/>
        <w:rPr>
          <w:rFonts w:hint="eastAsia" w:ascii="宋体" w:hAnsi="宋体"/>
          <w:color w:val="000000"/>
          <w:sz w:val="24"/>
        </w:rPr>
      </w:pPr>
      <w:r>
        <w:rPr>
          <w:rFonts w:hint="eastAsia" w:ascii="宋体" w:hAnsi="宋体"/>
          <w:color w:val="000000"/>
          <w:sz w:val="24"/>
        </w:rPr>
        <w:t>7、我单位一旦发生下述行为，我单位（或公司）同意采购人取消我单位投（中）标资格。</w:t>
      </w:r>
    </w:p>
    <w:p>
      <w:pPr>
        <w:spacing w:line="500" w:lineRule="exact"/>
        <w:ind w:firstLine="476"/>
        <w:rPr>
          <w:rFonts w:hint="eastAsia" w:ascii="宋体" w:hAnsi="宋体"/>
          <w:color w:val="000000"/>
          <w:sz w:val="24"/>
        </w:rPr>
      </w:pPr>
      <w:r>
        <w:rPr>
          <w:rFonts w:hint="eastAsia" w:ascii="宋体" w:hAnsi="宋体"/>
          <w:color w:val="000000"/>
          <w:sz w:val="24"/>
        </w:rPr>
        <w:t>（一）从开标日起到投标有效期满撤回投标；</w:t>
      </w:r>
    </w:p>
    <w:p>
      <w:pPr>
        <w:spacing w:line="500" w:lineRule="exact"/>
        <w:ind w:firstLine="476"/>
        <w:rPr>
          <w:rFonts w:hint="eastAsia" w:ascii="宋体" w:hAnsi="宋体"/>
          <w:color w:val="000000"/>
          <w:sz w:val="24"/>
        </w:rPr>
      </w:pPr>
      <w:r>
        <w:rPr>
          <w:rFonts w:hint="eastAsia" w:ascii="宋体" w:hAnsi="宋体"/>
          <w:color w:val="000000"/>
          <w:sz w:val="24"/>
        </w:rPr>
        <w:t>（二）开标、评标到定标期间发生违反采购文件规定的行为；</w:t>
      </w:r>
    </w:p>
    <w:p>
      <w:pPr>
        <w:spacing w:line="500" w:lineRule="exact"/>
        <w:ind w:firstLine="476"/>
        <w:rPr>
          <w:rFonts w:hint="eastAsia" w:ascii="宋体" w:hAnsi="宋体"/>
          <w:color w:val="000000"/>
          <w:sz w:val="24"/>
        </w:rPr>
      </w:pPr>
      <w:r>
        <w:rPr>
          <w:rFonts w:hint="eastAsia" w:ascii="宋体" w:hAnsi="宋体"/>
          <w:color w:val="000000"/>
          <w:sz w:val="24"/>
        </w:rPr>
        <w:t>（三）在收到中标通知书后未按规定与采购人签订合同。</w:t>
      </w:r>
    </w:p>
    <w:p>
      <w:pPr>
        <w:spacing w:line="500" w:lineRule="exact"/>
        <w:ind w:firstLine="476"/>
        <w:rPr>
          <w:rFonts w:hint="eastAsia" w:ascii="宋体" w:hAnsi="宋体"/>
          <w:color w:val="000000"/>
          <w:sz w:val="24"/>
        </w:rPr>
      </w:pPr>
      <w:r>
        <w:rPr>
          <w:rFonts w:hint="eastAsia" w:ascii="宋体" w:hAnsi="宋体"/>
          <w:color w:val="000000"/>
          <w:sz w:val="24"/>
        </w:rPr>
        <w:t>8、我单位声明：参加政府采购活动前3年内在经营活动中没有重大违法记录。</w:t>
      </w:r>
    </w:p>
    <w:p>
      <w:pPr>
        <w:spacing w:line="500" w:lineRule="exact"/>
        <w:ind w:firstLine="476"/>
        <w:rPr>
          <w:rFonts w:hint="eastAsia" w:ascii="宋体" w:hAnsi="宋体"/>
          <w:color w:val="000000"/>
          <w:sz w:val="24"/>
        </w:rPr>
      </w:pPr>
      <w:r>
        <w:rPr>
          <w:rFonts w:hint="eastAsia" w:ascii="宋体" w:hAnsi="宋体"/>
          <w:color w:val="000000"/>
          <w:sz w:val="24"/>
        </w:rPr>
        <w:t>9、我方在此声明，我单位未被列入失信被执行人、重大税收违法案件当事人名单和政府采购严重违法失信行为记录名单。</w:t>
      </w:r>
    </w:p>
    <w:p>
      <w:pPr>
        <w:spacing w:line="500" w:lineRule="exact"/>
        <w:ind w:firstLine="476"/>
        <w:rPr>
          <w:rFonts w:ascii="宋体" w:hAnsi="宋体"/>
          <w:sz w:val="24"/>
        </w:rPr>
      </w:pPr>
      <w:r>
        <w:rPr>
          <w:rFonts w:hint="eastAsia" w:ascii="宋体" w:hAnsi="宋体"/>
          <w:b/>
          <w:sz w:val="24"/>
        </w:rPr>
        <w:t>说明：</w:t>
      </w:r>
      <w:r>
        <w:rPr>
          <w:rFonts w:hint="eastAsia" w:ascii="宋体" w:hAnsi="宋体"/>
          <w:b/>
          <w:sz w:val="24"/>
          <w:u w:val="single"/>
        </w:rPr>
        <w:t>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500" w:lineRule="exact"/>
        <w:ind w:firstLine="476"/>
        <w:rPr>
          <w:rFonts w:hint="eastAsia" w:ascii="宋体" w:hAnsi="宋体"/>
          <w:color w:val="000000"/>
          <w:sz w:val="24"/>
        </w:rPr>
      </w:pPr>
    </w:p>
    <w:p>
      <w:pPr>
        <w:spacing w:line="500" w:lineRule="exact"/>
        <w:ind w:firstLine="3201"/>
        <w:rPr>
          <w:rFonts w:ascii="宋体" w:hAnsi="宋体"/>
          <w:color w:val="000000"/>
          <w:sz w:val="24"/>
          <w:u w:val="single"/>
        </w:rPr>
      </w:pPr>
      <w:r>
        <w:rPr>
          <w:rFonts w:hint="eastAsia" w:ascii="宋体" w:hAnsi="宋体"/>
          <w:color w:val="000000"/>
          <w:sz w:val="24"/>
        </w:rPr>
        <w:t>供应商：</w:t>
      </w:r>
      <w:r>
        <w:rPr>
          <w:rFonts w:hint="eastAsia" w:ascii="宋体" w:hAnsi="宋体"/>
          <w:color w:val="000000"/>
          <w:sz w:val="24"/>
          <w:u w:val="single"/>
        </w:rPr>
        <w:t xml:space="preserve">（盖章）       </w:t>
      </w:r>
      <w:r>
        <w:rPr>
          <w:rFonts w:ascii="宋体" w:hAnsi="宋体"/>
          <w:color w:val="000000"/>
          <w:sz w:val="24"/>
          <w:u w:val="single"/>
        </w:rPr>
        <w:t xml:space="preserve">     </w:t>
      </w:r>
    </w:p>
    <w:p>
      <w:pPr>
        <w:spacing w:line="500" w:lineRule="exact"/>
        <w:ind w:firstLine="3201"/>
        <w:rPr>
          <w:rFonts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（签字或盖章） </w:t>
      </w:r>
      <w:r>
        <w:rPr>
          <w:rFonts w:ascii="宋体" w:hAnsi="宋体"/>
          <w:color w:val="000000"/>
          <w:sz w:val="24"/>
          <w:u w:val="single"/>
        </w:rPr>
        <w:t xml:space="preserve">     </w:t>
      </w:r>
    </w:p>
    <w:p>
      <w:pPr>
        <w:spacing w:line="500" w:lineRule="exact"/>
        <w:ind w:firstLine="3201"/>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ind w:firstLine="3201"/>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bookmarkStart w:id="29" w:name="_Toc264116923"/>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spacing w:line="500" w:lineRule="exact"/>
        <w:ind w:firstLine="3201"/>
        <w:rPr>
          <w:rFonts w:hint="eastAsia" w:ascii="宋体" w:hAnsi="宋体"/>
          <w:color w:val="000000"/>
          <w:sz w:val="24"/>
        </w:rPr>
      </w:pPr>
    </w:p>
    <w:p>
      <w:pPr>
        <w:pStyle w:val="2"/>
        <w:numPr>
          <w:ilvl w:val="0"/>
          <w:numId w:val="0"/>
        </w:numPr>
        <w:spacing w:after="0" w:line="240" w:lineRule="auto"/>
        <w:jc w:val="center"/>
        <w:rPr>
          <w:rFonts w:hint="eastAsia" w:ascii="宋体" w:hAnsi="宋体"/>
          <w:b w:val="0"/>
          <w:color w:val="000000"/>
        </w:rPr>
      </w:pPr>
      <w:bookmarkStart w:id="30" w:name="_Toc46418587"/>
      <w:r>
        <w:rPr>
          <w:rFonts w:hint="eastAsia" w:ascii="宋体" w:hAnsi="宋体"/>
          <w:b w:val="0"/>
          <w:color w:val="000000"/>
        </w:rPr>
        <w:t>附件二：法定代表人授权书</w:t>
      </w:r>
      <w:bookmarkEnd w:id="30"/>
    </w:p>
    <w:p>
      <w:pPr>
        <w:rPr>
          <w:rFonts w:hint="eastAsia" w:ascii="宋体"/>
          <w:color w:val="000000"/>
          <w:sz w:val="28"/>
        </w:rPr>
      </w:pPr>
    </w:p>
    <w:p>
      <w:pPr>
        <w:spacing w:line="800" w:lineRule="exact"/>
        <w:jc w:val="left"/>
        <w:rPr>
          <w:rFonts w:hint="eastAsia" w:ascii="宋体"/>
          <w:color w:val="000000"/>
          <w:sz w:val="28"/>
          <w:u w:val="single"/>
        </w:rPr>
      </w:pPr>
      <w:r>
        <w:rPr>
          <w:rFonts w:hint="eastAsia" w:ascii="宋体"/>
          <w:color w:val="000000"/>
          <w:sz w:val="28"/>
          <w:u w:val="single"/>
        </w:rPr>
        <w:t xml:space="preserve">                      （采购人）</w:t>
      </w:r>
    </w:p>
    <w:p>
      <w:pPr>
        <w:spacing w:line="800" w:lineRule="exact"/>
        <w:ind w:firstLine="555"/>
        <w:rPr>
          <w:rFonts w:hint="eastAsia" w:ascii="宋体"/>
          <w:color w:val="000000"/>
          <w:sz w:val="28"/>
        </w:rPr>
      </w:pPr>
      <w:r>
        <w:rPr>
          <w:rFonts w:hint="eastAsia" w:ascii="宋体"/>
          <w:color w:val="000000"/>
          <w:sz w:val="28"/>
        </w:rPr>
        <w:t>本授权委托书声明：我</w:t>
      </w:r>
      <w:r>
        <w:rPr>
          <w:rFonts w:hint="eastAsia" w:ascii="宋体"/>
          <w:color w:val="000000"/>
          <w:sz w:val="28"/>
          <w:u w:val="single"/>
        </w:rPr>
        <w:t xml:space="preserve">          </w:t>
      </w:r>
      <w:r>
        <w:rPr>
          <w:rFonts w:hint="eastAsia" w:ascii="宋体"/>
          <w:color w:val="000000"/>
          <w:sz w:val="28"/>
        </w:rPr>
        <w:t>（姓名）系</w:t>
      </w:r>
      <w:r>
        <w:rPr>
          <w:rFonts w:hint="eastAsia" w:ascii="宋体"/>
          <w:color w:val="000000"/>
          <w:sz w:val="28"/>
          <w:u w:val="single"/>
        </w:rPr>
        <w:t xml:space="preserve">          </w:t>
      </w:r>
      <w:r>
        <w:rPr>
          <w:rFonts w:hint="eastAsia" w:ascii="宋体"/>
          <w:color w:val="000000"/>
          <w:sz w:val="28"/>
        </w:rPr>
        <w:t>（供应商名称）的法定代表人，现授权委托</w:t>
      </w:r>
      <w:r>
        <w:rPr>
          <w:rFonts w:hint="eastAsia" w:ascii="宋体"/>
          <w:color w:val="000000"/>
          <w:sz w:val="28"/>
          <w:u w:val="single"/>
        </w:rPr>
        <w:t xml:space="preserve">         </w:t>
      </w:r>
      <w:r>
        <w:rPr>
          <w:rFonts w:hint="eastAsia" w:ascii="宋体"/>
          <w:color w:val="000000"/>
          <w:sz w:val="28"/>
        </w:rPr>
        <w:t>（姓名）为我公司唯一代理人，</w:t>
      </w:r>
      <w:r>
        <w:rPr>
          <w:rFonts w:hint="eastAsia" w:ascii="宋体"/>
          <w:color w:val="000000"/>
          <w:sz w:val="28"/>
          <w:szCs w:val="28"/>
        </w:rPr>
        <w:t>以本公司的名义参加贵中心组织的</w:t>
      </w:r>
      <w:r>
        <w:rPr>
          <w:rFonts w:hint="eastAsia" w:ascii="宋体"/>
          <w:color w:val="000000"/>
          <w:sz w:val="28"/>
          <w:szCs w:val="28"/>
          <w:u w:val="single"/>
        </w:rPr>
        <w:t xml:space="preserve">                    </w:t>
      </w:r>
      <w:r>
        <w:rPr>
          <w:rFonts w:hint="eastAsia" w:ascii="宋体"/>
          <w:color w:val="000000"/>
          <w:sz w:val="28"/>
          <w:szCs w:val="28"/>
        </w:rPr>
        <w:t>采购的招标活动。代理人在投标、开标、评标</w:t>
      </w:r>
      <w:r>
        <w:rPr>
          <w:rFonts w:hint="eastAsia" w:ascii="宋体"/>
          <w:color w:val="000000"/>
          <w:sz w:val="28"/>
        </w:rPr>
        <w:t>、合同谈判过程中所签署的一切文件和处理与之有关的一切事务，我均予以承认。</w:t>
      </w:r>
    </w:p>
    <w:p>
      <w:pPr>
        <w:spacing w:line="800" w:lineRule="exact"/>
        <w:ind w:firstLine="555"/>
        <w:rPr>
          <w:rFonts w:hint="eastAsia" w:ascii="宋体"/>
          <w:color w:val="000000"/>
          <w:sz w:val="28"/>
        </w:rPr>
      </w:pPr>
    </w:p>
    <w:p>
      <w:pPr>
        <w:spacing w:line="800" w:lineRule="exact"/>
        <w:ind w:firstLine="555"/>
        <w:rPr>
          <w:rFonts w:hint="eastAsia" w:ascii="宋体"/>
          <w:color w:val="000000"/>
          <w:sz w:val="28"/>
        </w:rPr>
      </w:pPr>
      <w:r>
        <w:rPr>
          <w:rFonts w:hint="eastAsia" w:ascii="宋体"/>
          <w:color w:val="000000"/>
          <w:sz w:val="28"/>
        </w:rPr>
        <w:t>代理人无转委权。特此委托。</w:t>
      </w:r>
    </w:p>
    <w:p>
      <w:pPr>
        <w:spacing w:line="600" w:lineRule="exact"/>
        <w:rPr>
          <w:rFonts w:hint="eastAsia" w:ascii="宋体" w:hAnsi="宋体"/>
          <w:b/>
          <w:sz w:val="24"/>
          <w:u w:val="single"/>
        </w:rPr>
      </w:pPr>
      <w:r>
        <w:rPr>
          <w:rFonts w:hint="eastAsia" w:ascii="宋体" w:hAnsi="宋体"/>
          <w:b/>
          <w:sz w:val="24"/>
        </w:rPr>
        <w:t>说明：</w:t>
      </w:r>
      <w:r>
        <w:rPr>
          <w:rFonts w:hint="eastAsia" w:ascii="宋体" w:hAnsi="宋体"/>
          <w:b/>
          <w:sz w:val="24"/>
          <w:u w:val="single"/>
        </w:rPr>
        <w:t>附件中涉及的授权人（签字或盖章），被授权人的代理人（签字或盖章）的内容，</w:t>
      </w:r>
      <w:r>
        <w:rPr>
          <w:rFonts w:hint="eastAsia" w:ascii="宋体" w:hAnsi="宋体" w:cs="宋体"/>
          <w:b/>
          <w:bCs/>
          <w:kern w:val="0"/>
          <w:sz w:val="24"/>
          <w:u w:val="single"/>
        </w:rPr>
        <w:t>投标供应商可以线下签字后扫描上传。</w:t>
      </w:r>
    </w:p>
    <w:p>
      <w:pPr>
        <w:spacing w:line="800" w:lineRule="exact"/>
        <w:ind w:firstLine="555"/>
        <w:rPr>
          <w:rFonts w:hint="eastAsia" w:ascii="宋体"/>
          <w:color w:val="000000"/>
          <w:sz w:val="28"/>
          <w:u w:val="single"/>
        </w:rPr>
      </w:pPr>
    </w:p>
    <w:p>
      <w:pPr>
        <w:spacing w:line="800" w:lineRule="exact"/>
        <w:ind w:firstLine="3402"/>
        <w:rPr>
          <w:rFonts w:hint="eastAsia"/>
          <w:color w:val="000000"/>
          <w:sz w:val="28"/>
          <w:u w:val="single"/>
        </w:rPr>
      </w:pPr>
      <w:r>
        <w:rPr>
          <w:rFonts w:hint="eastAsia"/>
          <w:color w:val="000000"/>
          <w:sz w:val="28"/>
        </w:rPr>
        <w:t>供应商：</w:t>
      </w:r>
      <w:r>
        <w:rPr>
          <w:rFonts w:hint="eastAsia"/>
          <w:color w:val="000000"/>
          <w:sz w:val="28"/>
          <w:u w:val="single"/>
        </w:rPr>
        <w:t xml:space="preserve">（盖章）                   </w:t>
      </w:r>
    </w:p>
    <w:p>
      <w:pPr>
        <w:spacing w:line="800" w:lineRule="exact"/>
        <w:ind w:firstLine="3402"/>
        <w:rPr>
          <w:rFonts w:hint="eastAsia"/>
          <w:color w:val="000000"/>
          <w:sz w:val="28"/>
        </w:rPr>
      </w:pPr>
      <w:r>
        <w:rPr>
          <w:rFonts w:hint="eastAsia"/>
          <w:color w:val="000000"/>
          <w:sz w:val="28"/>
        </w:rPr>
        <w:t>授权人：</w:t>
      </w:r>
      <w:r>
        <w:rPr>
          <w:rFonts w:hint="eastAsia"/>
          <w:color w:val="000000"/>
          <w:sz w:val="28"/>
          <w:u w:val="single"/>
        </w:rPr>
        <w:t xml:space="preserve">（签字或盖章）             </w:t>
      </w:r>
    </w:p>
    <w:p>
      <w:pPr>
        <w:spacing w:line="800" w:lineRule="exact"/>
        <w:ind w:firstLine="3402"/>
        <w:rPr>
          <w:rFonts w:hint="eastAsia"/>
          <w:color w:val="000000"/>
          <w:sz w:val="28"/>
          <w:u w:val="single"/>
        </w:rPr>
      </w:pPr>
      <w:r>
        <w:rPr>
          <w:rFonts w:hint="eastAsia"/>
          <w:color w:val="000000"/>
          <w:sz w:val="28"/>
        </w:rPr>
        <w:t>被授权的代理人：</w:t>
      </w:r>
      <w:r>
        <w:rPr>
          <w:rFonts w:hint="eastAsia"/>
          <w:color w:val="000000"/>
          <w:sz w:val="28"/>
          <w:u w:val="single"/>
        </w:rPr>
        <w:t xml:space="preserve">（签字或盖章）           </w:t>
      </w:r>
    </w:p>
    <w:p>
      <w:pPr>
        <w:spacing w:line="600" w:lineRule="exact"/>
        <w:ind w:firstLine="3360" w:firstLineChars="1200"/>
        <w:rPr>
          <w:rFonts w:hint="eastAsia"/>
          <w:color w:val="000000"/>
          <w:sz w:val="28"/>
        </w:rPr>
      </w:pPr>
      <w:r>
        <w:rPr>
          <w:rFonts w:hint="eastAsia"/>
          <w:color w:val="000000"/>
          <w:sz w:val="28"/>
        </w:rPr>
        <w:t>日期：     年     月    日</w:t>
      </w:r>
    </w:p>
    <w:p>
      <w:pPr>
        <w:spacing w:line="600" w:lineRule="exact"/>
        <w:ind w:firstLine="3360" w:firstLineChars="1200"/>
        <w:rPr>
          <w:rFonts w:hint="eastAsia"/>
          <w:color w:val="000000"/>
          <w:sz w:val="28"/>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31" w:name="_Toc46418588"/>
      <w:r>
        <w:rPr>
          <w:rFonts w:hint="eastAsia" w:ascii="宋体" w:hAnsi="宋体"/>
          <w:b w:val="0"/>
          <w:color w:val="000000"/>
        </w:rPr>
        <w:t>附件三：开标一览表（报价表）</w:t>
      </w:r>
      <w:bookmarkEnd w:id="31"/>
    </w:p>
    <w:p>
      <w:pPr>
        <w:rPr>
          <w:rFonts w:hint="eastAsia"/>
          <w:color w:val="000000"/>
        </w:rPr>
      </w:pPr>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ascii="宋体" w:hAnsi="宋体"/>
          <w:color w:val="000000"/>
          <w:sz w:val="24"/>
        </w:rPr>
      </w:pPr>
      <w:r>
        <w:rPr>
          <w:rFonts w:hint="eastAsia" w:ascii="宋体" w:hAnsi="宋体"/>
          <w:color w:val="000000"/>
          <w:sz w:val="24"/>
        </w:rPr>
        <w:t>采购编号：</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35"/>
        <w:tblW w:w="0" w:type="auto"/>
        <w:tblInd w:w="0" w:type="dxa"/>
        <w:tblLayout w:type="fixed"/>
        <w:tblCellMar>
          <w:top w:w="0" w:type="dxa"/>
          <w:left w:w="108" w:type="dxa"/>
          <w:bottom w:w="0" w:type="dxa"/>
          <w:right w:w="108" w:type="dxa"/>
        </w:tblCellMar>
      </w:tblPr>
      <w:tblGrid>
        <w:gridCol w:w="735"/>
        <w:gridCol w:w="2392"/>
        <w:gridCol w:w="736"/>
        <w:gridCol w:w="736"/>
        <w:gridCol w:w="1242"/>
        <w:gridCol w:w="736"/>
        <w:gridCol w:w="2666"/>
      </w:tblGrid>
      <w:tr>
        <w:tblPrEx>
          <w:tblCellMar>
            <w:top w:w="0" w:type="dxa"/>
            <w:left w:w="108" w:type="dxa"/>
            <w:bottom w:w="0" w:type="dxa"/>
            <w:right w:w="108" w:type="dxa"/>
          </w:tblCellMar>
        </w:tblPrEx>
        <w:trPr>
          <w:trHeight w:val="680"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392"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项目内容</w:t>
            </w:r>
          </w:p>
        </w:tc>
        <w:tc>
          <w:tcPr>
            <w:tcW w:w="73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单位</w:t>
            </w:r>
          </w:p>
        </w:tc>
        <w:tc>
          <w:tcPr>
            <w:tcW w:w="73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数量</w:t>
            </w:r>
          </w:p>
        </w:tc>
        <w:tc>
          <w:tcPr>
            <w:tcW w:w="1242"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综合单价</w:t>
            </w:r>
          </w:p>
        </w:tc>
        <w:tc>
          <w:tcPr>
            <w:tcW w:w="73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合价</w:t>
            </w:r>
          </w:p>
        </w:tc>
        <w:tc>
          <w:tcPr>
            <w:tcW w:w="2666"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680" w:hRule="atLeast"/>
        </w:trPr>
        <w:tc>
          <w:tcPr>
            <w:tcW w:w="735" w:type="dxa"/>
            <w:tcBorders>
              <w:top w:val="nil"/>
              <w:left w:val="single" w:color="auto" w:sz="4" w:space="0"/>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w:t>
            </w:r>
          </w:p>
        </w:tc>
        <w:tc>
          <w:tcPr>
            <w:tcW w:w="239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0"/>
                <w:szCs w:val="20"/>
              </w:rPr>
              <w:t>视频监控、人像采集</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路</w:t>
            </w:r>
          </w:p>
        </w:tc>
        <w:tc>
          <w:tcPr>
            <w:tcW w:w="736" w:type="dxa"/>
            <w:tcBorders>
              <w:top w:val="nil"/>
              <w:left w:val="nil"/>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504</w:t>
            </w:r>
          </w:p>
        </w:tc>
        <w:tc>
          <w:tcPr>
            <w:tcW w:w="124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须附投标报价明细表</w:t>
            </w:r>
          </w:p>
        </w:tc>
      </w:tr>
      <w:tr>
        <w:tblPrEx>
          <w:tblCellMar>
            <w:top w:w="0" w:type="dxa"/>
            <w:left w:w="108" w:type="dxa"/>
            <w:bottom w:w="0" w:type="dxa"/>
            <w:right w:w="108" w:type="dxa"/>
          </w:tblCellMar>
        </w:tblPrEx>
        <w:trPr>
          <w:trHeight w:val="680" w:hRule="atLeast"/>
        </w:trPr>
        <w:tc>
          <w:tcPr>
            <w:tcW w:w="735" w:type="dxa"/>
            <w:tcBorders>
              <w:top w:val="nil"/>
              <w:left w:val="single" w:color="auto" w:sz="4" w:space="0"/>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w:t>
            </w:r>
          </w:p>
        </w:tc>
        <w:tc>
          <w:tcPr>
            <w:tcW w:w="239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等线" w:hAnsi="等线" w:eastAsia="等线" w:cs="宋体"/>
                <w:color w:val="000000"/>
                <w:kern w:val="0"/>
                <w:sz w:val="20"/>
                <w:szCs w:val="20"/>
              </w:rPr>
              <w:t>车辆信息采集</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路</w:t>
            </w:r>
          </w:p>
        </w:tc>
        <w:tc>
          <w:tcPr>
            <w:tcW w:w="736" w:type="dxa"/>
            <w:tcBorders>
              <w:top w:val="nil"/>
              <w:left w:val="nil"/>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387</w:t>
            </w:r>
          </w:p>
        </w:tc>
        <w:tc>
          <w:tcPr>
            <w:tcW w:w="124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须附投标报价明细表</w:t>
            </w:r>
          </w:p>
        </w:tc>
      </w:tr>
      <w:tr>
        <w:tblPrEx>
          <w:tblCellMar>
            <w:top w:w="0" w:type="dxa"/>
            <w:left w:w="108" w:type="dxa"/>
            <w:bottom w:w="0" w:type="dxa"/>
            <w:right w:w="108" w:type="dxa"/>
          </w:tblCellMar>
        </w:tblPrEx>
        <w:trPr>
          <w:trHeight w:val="680" w:hRule="atLeast"/>
        </w:trPr>
        <w:tc>
          <w:tcPr>
            <w:tcW w:w="735" w:type="dxa"/>
            <w:tcBorders>
              <w:top w:val="nil"/>
              <w:left w:val="single" w:color="auto" w:sz="4" w:space="0"/>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w:t>
            </w:r>
          </w:p>
        </w:tc>
        <w:tc>
          <w:tcPr>
            <w:tcW w:w="239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cs="宋体"/>
                <w:sz w:val="24"/>
                <w:szCs w:val="32"/>
              </w:rPr>
              <w:t>网络信息采集终端</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w:t>
            </w:r>
          </w:p>
        </w:tc>
        <w:tc>
          <w:tcPr>
            <w:tcW w:w="736" w:type="dxa"/>
            <w:tcBorders>
              <w:top w:val="nil"/>
              <w:left w:val="nil"/>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w:t>
            </w:r>
          </w:p>
        </w:tc>
        <w:tc>
          <w:tcPr>
            <w:tcW w:w="124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须附投标报价明细表</w:t>
            </w:r>
          </w:p>
        </w:tc>
      </w:tr>
      <w:tr>
        <w:tblPrEx>
          <w:tblCellMar>
            <w:top w:w="0" w:type="dxa"/>
            <w:left w:w="108" w:type="dxa"/>
            <w:bottom w:w="0" w:type="dxa"/>
            <w:right w:w="108" w:type="dxa"/>
          </w:tblCellMar>
        </w:tblPrEx>
        <w:trPr>
          <w:trHeight w:val="680" w:hRule="atLeast"/>
        </w:trPr>
        <w:tc>
          <w:tcPr>
            <w:tcW w:w="735" w:type="dxa"/>
            <w:tcBorders>
              <w:top w:val="nil"/>
              <w:left w:val="single" w:color="auto" w:sz="4" w:space="0"/>
              <w:bottom w:val="single" w:color="auto" w:sz="4" w:space="0"/>
              <w:right w:val="single" w:color="auto" w:sz="4" w:space="0"/>
            </w:tcBorders>
            <w:noWrap w:val="0"/>
            <w:vAlign w:val="bottom"/>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2392" w:type="dxa"/>
            <w:tcBorders>
              <w:top w:val="nil"/>
              <w:left w:val="nil"/>
              <w:bottom w:val="single" w:color="auto" w:sz="4" w:space="0"/>
              <w:right w:val="single" w:color="auto" w:sz="4" w:space="0"/>
            </w:tcBorders>
            <w:noWrap w:val="0"/>
            <w:vAlign w:val="bottom"/>
          </w:tcPr>
          <w:p>
            <w:pPr>
              <w:widowControl/>
              <w:jc w:val="left"/>
              <w:rPr>
                <w:rFonts w:hint="eastAsia" w:cs="宋体"/>
                <w:sz w:val="24"/>
                <w:szCs w:val="32"/>
              </w:rPr>
            </w:pPr>
            <w:r>
              <w:rPr>
                <w:rFonts w:hint="eastAsia" w:ascii="等线" w:hAnsi="等线" w:eastAsia="等线" w:cs="宋体"/>
                <w:color w:val="000000"/>
                <w:kern w:val="0"/>
                <w:sz w:val="20"/>
                <w:szCs w:val="20"/>
              </w:rPr>
              <w:t>**室配套设备</w:t>
            </w:r>
          </w:p>
        </w:tc>
        <w:tc>
          <w:tcPr>
            <w:tcW w:w="736"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w:t>
            </w:r>
          </w:p>
        </w:tc>
        <w:tc>
          <w:tcPr>
            <w:tcW w:w="736" w:type="dxa"/>
            <w:tcBorders>
              <w:top w:val="nil"/>
              <w:left w:val="nil"/>
              <w:bottom w:val="single" w:color="auto" w:sz="4" w:space="0"/>
              <w:right w:val="single" w:color="auto" w:sz="4" w:space="0"/>
            </w:tcBorders>
            <w:noWrap w:val="0"/>
            <w:vAlign w:val="bottom"/>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42"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color w:val="000000"/>
                <w:kern w:val="0"/>
                <w:sz w:val="22"/>
                <w:szCs w:val="22"/>
              </w:rPr>
            </w:pPr>
          </w:p>
        </w:tc>
        <w:tc>
          <w:tcPr>
            <w:tcW w:w="736"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color w:val="000000"/>
                <w:kern w:val="0"/>
                <w:sz w:val="22"/>
                <w:szCs w:val="22"/>
              </w:rPr>
            </w:pPr>
          </w:p>
        </w:tc>
        <w:tc>
          <w:tcPr>
            <w:tcW w:w="2666"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须附投标报价明细表</w:t>
            </w:r>
          </w:p>
        </w:tc>
      </w:tr>
      <w:tr>
        <w:tblPrEx>
          <w:tblCellMar>
            <w:top w:w="0" w:type="dxa"/>
            <w:left w:w="108" w:type="dxa"/>
            <w:bottom w:w="0" w:type="dxa"/>
            <w:right w:w="108" w:type="dxa"/>
          </w:tblCellMar>
        </w:tblPrEx>
        <w:trPr>
          <w:trHeight w:val="680" w:hRule="atLeast"/>
        </w:trPr>
        <w:tc>
          <w:tcPr>
            <w:tcW w:w="735" w:type="dxa"/>
            <w:tcBorders>
              <w:top w:val="nil"/>
              <w:left w:val="single" w:color="auto" w:sz="4" w:space="0"/>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239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等线" w:hAnsi="等线" w:eastAsia="等线" w:cs="宋体"/>
                <w:color w:val="000000"/>
                <w:kern w:val="0"/>
                <w:sz w:val="22"/>
                <w:szCs w:val="22"/>
              </w:rPr>
              <w:t>后端设备及其他</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w:t>
            </w:r>
          </w:p>
        </w:tc>
        <w:tc>
          <w:tcPr>
            <w:tcW w:w="736" w:type="dxa"/>
            <w:tcBorders>
              <w:top w:val="nil"/>
              <w:left w:val="nil"/>
              <w:bottom w:val="single" w:color="auto" w:sz="4" w:space="0"/>
              <w:right w:val="single" w:color="auto" w:sz="4" w:space="0"/>
            </w:tcBorders>
            <w:noWrap w:val="0"/>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w:t>
            </w:r>
          </w:p>
        </w:tc>
        <w:tc>
          <w:tcPr>
            <w:tcW w:w="1242"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3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6"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须附投标报价明细表</w:t>
            </w:r>
          </w:p>
        </w:tc>
      </w:tr>
    </w:tbl>
    <w:p>
      <w:pPr>
        <w:spacing w:line="600" w:lineRule="exact"/>
        <w:rPr>
          <w:rFonts w:hint="eastAsia"/>
          <w:b/>
          <w:color w:val="000000"/>
          <w:sz w:val="24"/>
          <w:u w:val="single"/>
        </w:rPr>
      </w:pPr>
      <w:r>
        <w:rPr>
          <w:rFonts w:hint="eastAsia"/>
          <w:b/>
          <w:color w:val="000000"/>
          <w:sz w:val="24"/>
          <w:u w:val="single"/>
        </w:rPr>
        <w:t>说明：1、综合单价为包含所有相关费用的单价。</w:t>
      </w:r>
    </w:p>
    <w:p>
      <w:pPr>
        <w:spacing w:line="600" w:lineRule="exact"/>
        <w:ind w:firstLine="723" w:firstLineChars="300"/>
        <w:rPr>
          <w:rFonts w:hint="eastAsia"/>
          <w:b/>
          <w:color w:val="000000"/>
          <w:sz w:val="24"/>
          <w:u w:val="single"/>
        </w:rPr>
      </w:pPr>
      <w:r>
        <w:rPr>
          <w:rFonts w:hint="eastAsia"/>
          <w:b/>
          <w:color w:val="000000"/>
          <w:sz w:val="24"/>
          <w:u w:val="single"/>
        </w:rPr>
        <w:t xml:space="preserve">2、必须附投标报价明细表，否则作无效标处理。 </w:t>
      </w:r>
    </w:p>
    <w:p>
      <w:pPr>
        <w:autoSpaceDE w:val="0"/>
        <w:autoSpaceDN w:val="0"/>
        <w:adjustRightInd w:val="0"/>
        <w:spacing w:line="600" w:lineRule="exact"/>
        <w:ind w:firstLine="723" w:firstLineChars="300"/>
        <w:rPr>
          <w:rFonts w:hint="eastAsia" w:ascii="宋体" w:hAnsi="宋体"/>
          <w:b/>
          <w:sz w:val="24"/>
          <w:u w:val="single"/>
        </w:rPr>
      </w:pPr>
      <w:r>
        <w:rPr>
          <w:rFonts w:hint="eastAsia" w:ascii="宋体" w:hAnsi="宋体"/>
          <w:b/>
          <w:sz w:val="24"/>
          <w:u w:val="single"/>
        </w:rPr>
        <w:t>3、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276" w:lineRule="auto"/>
        <w:ind w:firstLine="723" w:firstLineChars="300"/>
        <w:rPr>
          <w:rFonts w:ascii="宋体"/>
          <w:b/>
          <w:sz w:val="24"/>
          <w:u w:val="single"/>
        </w:rPr>
      </w:pPr>
      <w:r>
        <w:rPr>
          <w:rFonts w:hint="eastAsia" w:ascii="宋体"/>
          <w:b/>
          <w:sz w:val="24"/>
          <w:u w:val="single"/>
        </w:rPr>
        <w:t>4、价格按前端监控点位数量进行综合报价，后端存储设备及人脸分析相关配套价格包含在前端监控点位的综合单价里面。</w:t>
      </w:r>
    </w:p>
    <w:p>
      <w:pPr>
        <w:spacing w:line="600" w:lineRule="exact"/>
        <w:rPr>
          <w:rFonts w:hint="eastAsia"/>
          <w:color w:val="000000"/>
          <w:sz w:val="28"/>
        </w:rPr>
      </w:pPr>
    </w:p>
    <w:p>
      <w:pPr>
        <w:spacing w:line="600" w:lineRule="exact"/>
        <w:ind w:firstLine="3360" w:firstLineChars="1200"/>
        <w:rPr>
          <w:rFonts w:hint="eastAsia"/>
          <w:color w:val="000000"/>
          <w:sz w:val="28"/>
        </w:rPr>
      </w:pPr>
    </w:p>
    <w:p>
      <w:pPr>
        <w:rPr>
          <w:rFonts w:hint="eastAsia" w:ascii="宋体" w:hAnsi="宋体"/>
          <w:color w:val="000000"/>
          <w:sz w:val="24"/>
        </w:rPr>
      </w:pPr>
      <w:r>
        <w:rPr>
          <w:rFonts w:hint="eastAsia" w:ascii="宋体" w:hAnsi="宋体"/>
          <w:color w:val="000000"/>
          <w:sz w:val="24"/>
        </w:rPr>
        <w:t>供应商（盖章）：                法定代表人或其委托代理人（签字或盖章）：</w:t>
      </w:r>
    </w:p>
    <w:p>
      <w:pPr>
        <w:ind w:right="33"/>
        <w:rPr>
          <w:rFonts w:hint="eastAsia" w:ascii="宋体" w:hAnsi="宋体"/>
          <w:color w:val="000000"/>
          <w:sz w:val="24"/>
        </w:rPr>
      </w:pPr>
    </w:p>
    <w:p>
      <w:pPr>
        <w:jc w:val="right"/>
        <w:rPr>
          <w:rFonts w:hint="eastAsia" w:ascii="宋体" w:hAnsi="宋体" w:cs="宋体"/>
          <w:color w:val="000000"/>
          <w:kern w:val="0"/>
          <w:sz w:val="24"/>
        </w:rPr>
      </w:pPr>
      <w:r>
        <w:rPr>
          <w:rFonts w:hint="eastAsia" w:ascii="宋体" w:hAnsi="宋体"/>
          <w:color w:val="000000"/>
          <w:sz w:val="24"/>
        </w:rPr>
        <w:t>年   月   日</w:t>
      </w:r>
    </w:p>
    <w:p>
      <w:pPr>
        <w:spacing w:line="600" w:lineRule="exact"/>
        <w:rPr>
          <w:rFonts w:hint="eastAsia" w:ascii="宋体" w:hAnsi="宋体"/>
          <w:b/>
          <w:color w:val="000000"/>
          <w:sz w:val="44"/>
          <w:szCs w:val="44"/>
        </w:rPr>
      </w:pPr>
    </w:p>
    <w:p>
      <w:pPr>
        <w:spacing w:line="600" w:lineRule="exact"/>
        <w:rPr>
          <w:rFonts w:hint="eastAsia" w:ascii="宋体" w:hAnsi="宋体"/>
          <w:b/>
          <w:color w:val="000000"/>
          <w:sz w:val="44"/>
          <w:szCs w:val="44"/>
        </w:rPr>
      </w:pPr>
    </w:p>
    <w:p>
      <w:pPr>
        <w:spacing w:line="600" w:lineRule="exact"/>
        <w:rPr>
          <w:rFonts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32" w:name="_Toc46418589"/>
      <w:r>
        <w:rPr>
          <w:rFonts w:hint="eastAsia" w:ascii="宋体" w:hAnsi="宋体"/>
          <w:b w:val="0"/>
          <w:color w:val="000000"/>
        </w:rPr>
        <w:t>附件四：投标报价明细表</w:t>
      </w:r>
      <w:bookmarkEnd w:id="32"/>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color w:val="000000"/>
        </w:rPr>
      </w:pPr>
      <w:r>
        <w:rPr>
          <w:rFonts w:hint="eastAsia" w:ascii="宋体" w:hAnsi="宋体"/>
          <w:color w:val="000000"/>
          <w:sz w:val="24"/>
        </w:rPr>
        <w:t>采购编号：</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color w:val="000000"/>
          <w:sz w:val="24"/>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126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货物名称</w:t>
            </w:r>
          </w:p>
        </w:tc>
        <w:tc>
          <w:tcPr>
            <w:tcW w:w="1260" w:type="dxa"/>
            <w:gridSpan w:val="2"/>
            <w:vMerge w:val="restart"/>
            <w:noWrap w:val="0"/>
            <w:vAlign w:val="center"/>
          </w:tcPr>
          <w:p>
            <w:pPr>
              <w:jc w:val="center"/>
              <w:rPr>
                <w:rFonts w:hint="eastAsia" w:ascii="宋体" w:hAnsi="宋体"/>
                <w:color w:val="000000"/>
                <w:szCs w:val="21"/>
              </w:rPr>
            </w:pPr>
            <w:r>
              <w:rPr>
                <w:rFonts w:hint="eastAsia" w:ascii="宋体" w:hAnsi="宋体"/>
                <w:color w:val="000000"/>
                <w:szCs w:val="21"/>
              </w:rPr>
              <w:t>型号、规格</w:t>
            </w:r>
          </w:p>
        </w:tc>
        <w:tc>
          <w:tcPr>
            <w:tcW w:w="126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技术参数</w:t>
            </w:r>
          </w:p>
        </w:tc>
        <w:tc>
          <w:tcPr>
            <w:tcW w:w="1267"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生产厂家</w:t>
            </w:r>
          </w:p>
        </w:tc>
        <w:tc>
          <w:tcPr>
            <w:tcW w:w="1217"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品牌及其产地</w:t>
            </w:r>
          </w:p>
        </w:tc>
        <w:tc>
          <w:tcPr>
            <w:tcW w:w="851"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85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单位</w:t>
            </w:r>
          </w:p>
        </w:tc>
        <w:tc>
          <w:tcPr>
            <w:tcW w:w="1700" w:type="dxa"/>
            <w:gridSpan w:val="2"/>
            <w:noWrap w:val="0"/>
            <w:vAlign w:val="center"/>
          </w:tcPr>
          <w:p>
            <w:pPr>
              <w:jc w:val="center"/>
              <w:rPr>
                <w:rFonts w:hint="eastAsia" w:ascii="宋体" w:hAnsi="宋体"/>
                <w:color w:val="000000"/>
                <w:szCs w:val="21"/>
              </w:rPr>
            </w:pPr>
            <w:r>
              <w:rPr>
                <w:rFonts w:hint="eastAsia" w:ascii="宋体" w:hAnsi="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continue"/>
            <w:noWrap w:val="0"/>
            <w:vAlign w:val="center"/>
          </w:tcPr>
          <w:p>
            <w:pPr>
              <w:jc w:val="center"/>
              <w:rPr>
                <w:rFonts w:hint="eastAsia" w:ascii="宋体" w:hAnsi="宋体"/>
                <w:color w:val="000000"/>
                <w:szCs w:val="21"/>
              </w:rPr>
            </w:pPr>
          </w:p>
        </w:tc>
        <w:tc>
          <w:tcPr>
            <w:tcW w:w="1260" w:type="dxa"/>
            <w:vMerge w:val="continue"/>
            <w:noWrap w:val="0"/>
            <w:vAlign w:val="center"/>
          </w:tcPr>
          <w:p>
            <w:pPr>
              <w:jc w:val="center"/>
              <w:rPr>
                <w:rFonts w:hint="eastAsia" w:ascii="宋体" w:hAnsi="宋体"/>
                <w:color w:val="000000"/>
                <w:szCs w:val="21"/>
              </w:rPr>
            </w:pPr>
          </w:p>
        </w:tc>
        <w:tc>
          <w:tcPr>
            <w:tcW w:w="1260" w:type="dxa"/>
            <w:gridSpan w:val="2"/>
            <w:vMerge w:val="continue"/>
            <w:noWrap w:val="0"/>
            <w:vAlign w:val="center"/>
          </w:tcPr>
          <w:p>
            <w:pPr>
              <w:jc w:val="center"/>
              <w:rPr>
                <w:rFonts w:hint="eastAsia" w:ascii="宋体" w:hAnsi="宋体"/>
                <w:color w:val="000000"/>
                <w:szCs w:val="21"/>
              </w:rPr>
            </w:pPr>
          </w:p>
        </w:tc>
        <w:tc>
          <w:tcPr>
            <w:tcW w:w="1260" w:type="dxa"/>
            <w:vMerge w:val="continue"/>
            <w:noWrap w:val="0"/>
            <w:vAlign w:val="center"/>
          </w:tcPr>
          <w:p>
            <w:pPr>
              <w:jc w:val="center"/>
              <w:rPr>
                <w:rFonts w:hint="eastAsia" w:ascii="宋体" w:hAnsi="宋体"/>
                <w:color w:val="000000"/>
                <w:szCs w:val="21"/>
              </w:rPr>
            </w:pPr>
          </w:p>
        </w:tc>
        <w:tc>
          <w:tcPr>
            <w:tcW w:w="1267" w:type="dxa"/>
            <w:vMerge w:val="continue"/>
            <w:noWrap w:val="0"/>
            <w:vAlign w:val="center"/>
          </w:tcPr>
          <w:p>
            <w:pPr>
              <w:jc w:val="center"/>
              <w:rPr>
                <w:rFonts w:hint="eastAsia" w:ascii="宋体" w:hAnsi="宋体"/>
                <w:color w:val="000000"/>
                <w:szCs w:val="21"/>
              </w:rPr>
            </w:pPr>
          </w:p>
        </w:tc>
        <w:tc>
          <w:tcPr>
            <w:tcW w:w="1217" w:type="dxa"/>
            <w:vMerge w:val="continue"/>
            <w:noWrap w:val="0"/>
            <w:vAlign w:val="center"/>
          </w:tcPr>
          <w:p>
            <w:pPr>
              <w:jc w:val="center"/>
              <w:rPr>
                <w:rFonts w:hint="eastAsia" w:ascii="宋体" w:hAnsi="宋体"/>
                <w:color w:val="000000"/>
                <w:szCs w:val="21"/>
              </w:rPr>
            </w:pPr>
          </w:p>
        </w:tc>
        <w:tc>
          <w:tcPr>
            <w:tcW w:w="851" w:type="dxa"/>
            <w:vMerge w:val="continue"/>
            <w:noWrap w:val="0"/>
            <w:vAlign w:val="center"/>
          </w:tcPr>
          <w:p>
            <w:pPr>
              <w:jc w:val="center"/>
              <w:rPr>
                <w:rFonts w:hint="eastAsia" w:ascii="宋体" w:hAnsi="宋体"/>
                <w:color w:val="000000"/>
                <w:szCs w:val="21"/>
              </w:rPr>
            </w:pPr>
          </w:p>
        </w:tc>
        <w:tc>
          <w:tcPr>
            <w:tcW w:w="850"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r>
              <w:rPr>
                <w:rFonts w:hint="eastAsia" w:ascii="宋体" w:hAnsi="宋体"/>
                <w:color w:val="000000"/>
                <w:szCs w:val="21"/>
              </w:rPr>
              <w:t>综合单价</w:t>
            </w:r>
          </w:p>
        </w:tc>
        <w:tc>
          <w:tcPr>
            <w:tcW w:w="850" w:type="dxa"/>
            <w:noWrap w:val="0"/>
            <w:vAlign w:val="center"/>
          </w:tcPr>
          <w:p>
            <w:pPr>
              <w:jc w:val="center"/>
              <w:rPr>
                <w:rFonts w:hint="eastAsia" w:ascii="宋体" w:hAnsi="宋体"/>
                <w:color w:val="000000"/>
                <w:szCs w:val="21"/>
              </w:rPr>
            </w:pPr>
            <w:r>
              <w:rPr>
                <w:rFonts w:hint="eastAsia" w:ascii="宋体" w:hAnsi="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9" w:type="dxa"/>
            <w:gridSpan w:val="3"/>
            <w:vMerge w:val="restart"/>
            <w:noWrap w:val="0"/>
            <w:vAlign w:val="center"/>
          </w:tcPr>
          <w:p>
            <w:pPr>
              <w:jc w:val="center"/>
              <w:rPr>
                <w:rFonts w:hint="eastAsia" w:ascii="宋体" w:hAnsi="宋体"/>
                <w:color w:val="000000"/>
                <w:sz w:val="30"/>
                <w:szCs w:val="30"/>
              </w:rPr>
            </w:pPr>
            <w:r>
              <w:rPr>
                <w:rFonts w:hint="eastAsia" w:ascii="宋体" w:hAnsi="宋体"/>
                <w:color w:val="000000"/>
                <w:sz w:val="30"/>
                <w:szCs w:val="30"/>
              </w:rPr>
              <w:t>合 计</w:t>
            </w:r>
          </w:p>
        </w:tc>
        <w:tc>
          <w:tcPr>
            <w:tcW w:w="8334" w:type="dxa"/>
            <w:gridSpan w:val="8"/>
            <w:noWrap w:val="0"/>
            <w:vAlign w:val="center"/>
          </w:tcPr>
          <w:p>
            <w:pPr>
              <w:jc w:val="left"/>
              <w:rPr>
                <w:rFonts w:hint="eastAsia" w:ascii="宋体" w:hAnsi="宋体"/>
                <w:color w:val="000000"/>
                <w:sz w:val="28"/>
                <w:szCs w:val="28"/>
              </w:rPr>
            </w:pPr>
            <w:r>
              <w:rPr>
                <w:rFonts w:hint="eastAsia" w:ascii="宋体" w:hAnsi="宋体"/>
                <w:color w:val="000000"/>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9" w:type="dxa"/>
            <w:gridSpan w:val="3"/>
            <w:vMerge w:val="continue"/>
            <w:noWrap w:val="0"/>
            <w:vAlign w:val="center"/>
          </w:tcPr>
          <w:p>
            <w:pPr>
              <w:jc w:val="center"/>
              <w:rPr>
                <w:rFonts w:hint="eastAsia" w:ascii="宋体" w:hAnsi="宋体"/>
                <w:color w:val="000000"/>
                <w:szCs w:val="21"/>
              </w:rPr>
            </w:pPr>
          </w:p>
        </w:tc>
        <w:tc>
          <w:tcPr>
            <w:tcW w:w="8334" w:type="dxa"/>
            <w:gridSpan w:val="8"/>
            <w:noWrap w:val="0"/>
            <w:vAlign w:val="center"/>
          </w:tcPr>
          <w:p>
            <w:pPr>
              <w:jc w:val="left"/>
              <w:rPr>
                <w:rFonts w:hint="eastAsia" w:ascii="宋体" w:hAnsi="宋体"/>
                <w:color w:val="000000"/>
                <w:sz w:val="28"/>
                <w:szCs w:val="28"/>
              </w:rPr>
            </w:pPr>
            <w:r>
              <w:rPr>
                <w:rFonts w:hint="eastAsia" w:ascii="宋体" w:hAnsi="宋体"/>
                <w:color w:val="000000"/>
                <w:sz w:val="28"/>
                <w:szCs w:val="28"/>
              </w:rPr>
              <w:t>（大写）</w:t>
            </w:r>
          </w:p>
        </w:tc>
      </w:tr>
    </w:tbl>
    <w:p>
      <w:pPr>
        <w:spacing w:line="600" w:lineRule="exact"/>
        <w:rPr>
          <w:rFonts w:hint="eastAsia"/>
          <w:b/>
          <w:color w:val="000000"/>
          <w:sz w:val="24"/>
          <w:u w:val="single"/>
        </w:rPr>
      </w:pPr>
      <w:r>
        <w:rPr>
          <w:rFonts w:hint="eastAsia"/>
          <w:b/>
          <w:color w:val="000000"/>
          <w:sz w:val="24"/>
          <w:u w:val="single"/>
        </w:rPr>
        <w:t>注：1、本表格可自行扩展。</w:t>
      </w:r>
    </w:p>
    <w:p>
      <w:pPr>
        <w:spacing w:line="600" w:lineRule="exact"/>
        <w:ind w:firstLine="482" w:firstLineChars="200"/>
        <w:rPr>
          <w:rFonts w:hint="eastAsia"/>
          <w:b/>
          <w:color w:val="000000"/>
          <w:sz w:val="24"/>
          <w:u w:val="single"/>
        </w:rPr>
      </w:pPr>
      <w:r>
        <w:rPr>
          <w:rFonts w:hint="eastAsia"/>
          <w:b/>
          <w:color w:val="000000"/>
          <w:sz w:val="24"/>
          <w:u w:val="single"/>
        </w:rPr>
        <w:t>2、综合单价为包含所有相关费用的单价。</w:t>
      </w:r>
    </w:p>
    <w:p>
      <w:pPr>
        <w:spacing w:line="600" w:lineRule="exact"/>
        <w:ind w:firstLine="482" w:firstLineChars="200"/>
        <w:rPr>
          <w:rFonts w:hint="eastAsia"/>
          <w:b/>
          <w:color w:val="000000"/>
          <w:sz w:val="24"/>
          <w:u w:val="single"/>
        </w:rPr>
      </w:pPr>
      <w:r>
        <w:rPr>
          <w:rFonts w:hint="eastAsia"/>
          <w:b/>
          <w:color w:val="000000"/>
          <w:sz w:val="24"/>
          <w:u w:val="single"/>
        </w:rPr>
        <w:t>3、本表所填内容必须与附件六“投标设备材料详细清单”对应内容相一致。</w:t>
      </w:r>
    </w:p>
    <w:p>
      <w:pPr>
        <w:autoSpaceDE w:val="0"/>
        <w:autoSpaceDN w:val="0"/>
        <w:adjustRightInd w:val="0"/>
        <w:spacing w:line="600" w:lineRule="exact"/>
        <w:ind w:firstLine="482" w:firstLineChars="200"/>
        <w:rPr>
          <w:rFonts w:hint="eastAsia" w:ascii="宋体" w:hAnsi="宋体"/>
          <w:b/>
          <w:sz w:val="24"/>
        </w:rPr>
      </w:pPr>
      <w:r>
        <w:rPr>
          <w:rFonts w:hint="eastAsia" w:ascii="宋体" w:hAnsi="宋体"/>
          <w:b/>
          <w:sz w:val="24"/>
          <w:u w:val="single"/>
        </w:rPr>
        <w:t>4、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600" w:lineRule="exact"/>
        <w:ind w:firstLine="3360" w:firstLineChars="1200"/>
        <w:rPr>
          <w:rFonts w:hint="eastAsia"/>
          <w:color w:val="000000"/>
          <w:sz w:val="28"/>
        </w:rPr>
      </w:pPr>
    </w:p>
    <w:p>
      <w:pPr>
        <w:rPr>
          <w:rFonts w:hint="eastAsia" w:ascii="宋体" w:hAnsi="宋体"/>
          <w:color w:val="000000"/>
          <w:sz w:val="24"/>
        </w:rPr>
      </w:pPr>
      <w:r>
        <w:rPr>
          <w:rFonts w:hint="eastAsia" w:ascii="宋体" w:hAnsi="宋体"/>
          <w:color w:val="000000"/>
          <w:sz w:val="24"/>
        </w:rPr>
        <w:t>供应商（盖章）：              法定代表人或其委托代理人（签字或盖章）：</w:t>
      </w:r>
    </w:p>
    <w:p>
      <w:pPr>
        <w:ind w:right="33"/>
        <w:rPr>
          <w:rFonts w:hint="eastAsia" w:ascii="宋体" w:hAnsi="宋体"/>
          <w:color w:val="000000"/>
          <w:sz w:val="24"/>
        </w:rPr>
      </w:pPr>
    </w:p>
    <w:p>
      <w:pPr>
        <w:jc w:val="right"/>
        <w:rPr>
          <w:rFonts w:hint="eastAsia" w:ascii="宋体" w:hAnsi="宋体" w:cs="宋体"/>
          <w:color w:val="000000"/>
          <w:kern w:val="0"/>
          <w:sz w:val="24"/>
        </w:rPr>
      </w:pPr>
      <w:r>
        <w:rPr>
          <w:rFonts w:hint="eastAsia" w:ascii="宋体" w:hAnsi="宋体"/>
          <w:color w:val="000000"/>
          <w:sz w:val="24"/>
        </w:rPr>
        <w:t>年   月   日</w:t>
      </w:r>
    </w:p>
    <w:p>
      <w:pPr>
        <w:pStyle w:val="2"/>
        <w:numPr>
          <w:ilvl w:val="0"/>
          <w:numId w:val="0"/>
        </w:numPr>
        <w:spacing w:after="0" w:line="240" w:lineRule="auto"/>
        <w:jc w:val="center"/>
        <w:rPr>
          <w:rFonts w:hint="eastAsia" w:ascii="宋体" w:hAnsi="宋体"/>
          <w:b w:val="0"/>
          <w:color w:val="000000"/>
        </w:rPr>
      </w:pPr>
      <w:bookmarkStart w:id="33" w:name="_Toc390673262"/>
      <w:bookmarkStart w:id="34" w:name="_Toc46418590"/>
      <w:r>
        <w:rPr>
          <w:rFonts w:hint="eastAsia" w:ascii="宋体" w:hAnsi="宋体"/>
          <w:b w:val="0"/>
          <w:color w:val="000000"/>
        </w:rPr>
        <w:t>附件五：投标技术方案和人力资源安排</w:t>
      </w:r>
      <w:bookmarkEnd w:id="33"/>
      <w:bookmarkEnd w:id="34"/>
    </w:p>
    <w:p>
      <w:pPr>
        <w:spacing w:line="600" w:lineRule="exact"/>
        <w:ind w:firstLine="3360" w:firstLineChars="1200"/>
        <w:rPr>
          <w:rFonts w:hint="eastAsia"/>
          <w:bCs/>
          <w:color w:val="000000"/>
          <w:sz w:val="28"/>
        </w:rPr>
      </w:pPr>
      <w:r>
        <w:rPr>
          <w:rFonts w:hint="eastAsia"/>
          <w:color w:val="000000"/>
          <w:sz w:val="28"/>
        </w:rPr>
        <w:t>（由供应商自行填写）</w:t>
      </w:r>
      <w:bookmarkStart w:id="35" w:name="_Toc170177920"/>
    </w:p>
    <w:p>
      <w:pPr>
        <w:spacing w:line="600" w:lineRule="exact"/>
        <w:ind w:firstLine="560" w:firstLineChars="200"/>
        <w:jc w:val="left"/>
        <w:rPr>
          <w:rFonts w:hint="eastAsia"/>
          <w:color w:val="000000"/>
          <w:sz w:val="28"/>
        </w:rPr>
      </w:pPr>
      <w:r>
        <w:rPr>
          <w:rFonts w:hint="eastAsia"/>
          <w:color w:val="000000"/>
          <w:sz w:val="28"/>
        </w:rPr>
        <w:t>主要包括：对本项目技术要点阐述、安装技术方案、技术措施和人力资源安排等。</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autoSpaceDE w:val="0"/>
        <w:autoSpaceDN w:val="0"/>
        <w:adjustRightInd w:val="0"/>
        <w:spacing w:line="600" w:lineRule="exact"/>
        <w:ind w:firstLine="482" w:firstLineChars="200"/>
        <w:rPr>
          <w:rFonts w:ascii="宋体" w:hAnsi="宋体"/>
          <w:b/>
          <w:sz w:val="24"/>
        </w:rPr>
      </w:pPr>
      <w:r>
        <w:rPr>
          <w:rFonts w:hint="eastAsia" w:ascii="宋体" w:hAnsi="宋体"/>
          <w:b/>
          <w:sz w:val="24"/>
        </w:rPr>
        <w:t>说明：</w:t>
      </w:r>
      <w:r>
        <w:rPr>
          <w:rFonts w:hint="eastAsia" w:ascii="宋体" w:hAnsi="宋体"/>
          <w:b/>
          <w:sz w:val="24"/>
          <w:u w:val="single"/>
        </w:rPr>
        <w:t>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rPr>
          <w:rFonts w:hint="eastAsia"/>
          <w:color w:val="000000"/>
          <w:sz w:val="28"/>
        </w:rPr>
      </w:pPr>
    </w:p>
    <w:p>
      <w:pPr>
        <w:spacing w:line="600" w:lineRule="exact"/>
        <w:rPr>
          <w:rFonts w:hint="eastAsia"/>
          <w:color w:val="000000"/>
          <w:sz w:val="28"/>
        </w:rPr>
      </w:pPr>
    </w:p>
    <w:p>
      <w:pPr>
        <w:spacing w:line="600" w:lineRule="exact"/>
        <w:rPr>
          <w:rFonts w:hint="eastAsia"/>
          <w:color w:val="000000"/>
          <w:sz w:val="28"/>
        </w:rPr>
      </w:pPr>
      <w:r>
        <w:rPr>
          <w:rFonts w:hint="eastAsia"/>
          <w:color w:val="000000"/>
          <w:sz w:val="28"/>
        </w:rPr>
        <w:t>供应商（盖章）：       法定代表人或其委托代理人（签字或盖章）：</w:t>
      </w:r>
    </w:p>
    <w:p>
      <w:pPr>
        <w:spacing w:line="600" w:lineRule="exact"/>
        <w:ind w:right="560"/>
        <w:jc w:val="right"/>
        <w:rPr>
          <w:rFonts w:hint="eastAsia"/>
          <w:color w:val="000000"/>
          <w:sz w:val="28"/>
        </w:rPr>
      </w:pPr>
      <w:r>
        <w:rPr>
          <w:rFonts w:hint="eastAsia"/>
          <w:color w:val="000000"/>
          <w:sz w:val="28"/>
        </w:rPr>
        <w:t>年   月   日</w:t>
      </w:r>
    </w:p>
    <w:p>
      <w:pPr>
        <w:spacing w:line="200" w:lineRule="exact"/>
        <w:rPr>
          <w:rFonts w:hint="eastAsia" w:ascii="宋体" w:hAnsi="宋体"/>
          <w:color w:val="000000"/>
          <w:sz w:val="24"/>
        </w:rPr>
      </w:pPr>
    </w:p>
    <w:bookmarkEnd w:id="35"/>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36" w:name="_Toc46418591"/>
      <w:r>
        <w:rPr>
          <w:rFonts w:hint="eastAsia" w:ascii="宋体" w:hAnsi="宋体"/>
          <w:b w:val="0"/>
          <w:color w:val="000000"/>
        </w:rPr>
        <w:t>附件六：投标设备材料详细清单</w:t>
      </w:r>
      <w:bookmarkEnd w:id="36"/>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color w:val="000000"/>
        </w:rPr>
      </w:pPr>
      <w:r>
        <w:rPr>
          <w:rFonts w:hint="eastAsia" w:ascii="宋体" w:hAnsi="宋体"/>
          <w:color w:val="000000"/>
          <w:sz w:val="24"/>
        </w:rPr>
        <w:t>采购编号：</w:t>
      </w:r>
      <w:r>
        <w:rPr>
          <w:rFonts w:hint="eastAsia" w:ascii="宋体" w:hAnsi="宋体"/>
          <w:color w:val="000000"/>
          <w:sz w:val="24"/>
          <w:u w:val="singl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260"/>
        <w:gridCol w:w="1267"/>
        <w:gridCol w:w="1613"/>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8"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货物名称</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型号、规格</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技术参数</w:t>
            </w:r>
          </w:p>
        </w:tc>
        <w:tc>
          <w:tcPr>
            <w:tcW w:w="1267" w:type="dxa"/>
            <w:noWrap w:val="0"/>
            <w:vAlign w:val="center"/>
          </w:tcPr>
          <w:p>
            <w:pPr>
              <w:jc w:val="center"/>
              <w:rPr>
                <w:rFonts w:hint="eastAsia" w:ascii="宋体" w:hAnsi="宋体"/>
                <w:color w:val="000000"/>
                <w:szCs w:val="21"/>
              </w:rPr>
            </w:pPr>
            <w:r>
              <w:rPr>
                <w:rFonts w:hint="eastAsia" w:ascii="宋体" w:hAnsi="宋体"/>
                <w:color w:val="000000"/>
                <w:szCs w:val="21"/>
              </w:rPr>
              <w:t>生产厂家</w:t>
            </w:r>
          </w:p>
        </w:tc>
        <w:tc>
          <w:tcPr>
            <w:tcW w:w="1613" w:type="dxa"/>
            <w:noWrap w:val="0"/>
            <w:vAlign w:val="center"/>
          </w:tcPr>
          <w:p>
            <w:pPr>
              <w:jc w:val="center"/>
              <w:rPr>
                <w:rFonts w:hint="eastAsia" w:ascii="宋体" w:hAnsi="宋体"/>
                <w:color w:val="000000"/>
                <w:szCs w:val="21"/>
              </w:rPr>
            </w:pPr>
            <w:r>
              <w:rPr>
                <w:rFonts w:hint="eastAsia" w:ascii="宋体" w:hAnsi="宋体"/>
                <w:color w:val="000000"/>
                <w:szCs w:val="21"/>
              </w:rPr>
              <w:t>品牌及其产地</w:t>
            </w:r>
          </w:p>
        </w:tc>
        <w:tc>
          <w:tcPr>
            <w:tcW w:w="847" w:type="dxa"/>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848" w:type="dxa"/>
            <w:noWrap w:val="0"/>
            <w:vAlign w:val="center"/>
          </w:tcPr>
          <w:p>
            <w:pPr>
              <w:jc w:val="center"/>
              <w:rPr>
                <w:rFonts w:hint="eastAsia" w:ascii="宋体" w:hAnsi="宋体"/>
                <w:color w:val="000000"/>
                <w:szCs w:val="21"/>
              </w:rPr>
            </w:pPr>
            <w:r>
              <w:rPr>
                <w:rFonts w:hint="eastAsia" w:ascii="宋体" w:hAnsi="宋体"/>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rPr>
                <w:rFonts w:hint="eastAsia" w:ascii="宋体" w:hAnsi="宋体"/>
                <w:color w:val="000000"/>
                <w:szCs w:val="21"/>
              </w:rPr>
            </w:pPr>
          </w:p>
        </w:tc>
      </w:tr>
    </w:tbl>
    <w:p>
      <w:pPr>
        <w:rPr>
          <w:rFonts w:hint="eastAsia"/>
          <w:color w:val="000000"/>
        </w:rPr>
      </w:pPr>
    </w:p>
    <w:p>
      <w:pPr>
        <w:wordWrap w:val="0"/>
        <w:spacing w:line="360" w:lineRule="auto"/>
        <w:ind w:right="480" w:firstLine="5760" w:firstLineChars="2400"/>
        <w:rPr>
          <w:rFonts w:hint="eastAsia" w:ascii="宋体"/>
          <w:color w:val="000000"/>
          <w:sz w:val="24"/>
        </w:rPr>
      </w:pPr>
    </w:p>
    <w:p>
      <w:pPr>
        <w:spacing w:line="360" w:lineRule="auto"/>
        <w:rPr>
          <w:rFonts w:hint="eastAsia" w:ascii="宋体" w:hAnsi="宋体"/>
          <w:b/>
          <w:color w:val="000000"/>
          <w:sz w:val="24"/>
          <w:u w:val="single"/>
        </w:rPr>
      </w:pPr>
      <w:r>
        <w:rPr>
          <w:rFonts w:hint="eastAsia" w:ascii="宋体" w:hAnsi="宋体"/>
          <w:b/>
          <w:color w:val="000000"/>
          <w:sz w:val="24"/>
          <w:u w:val="single"/>
        </w:rPr>
        <w:t>注：1、本表格可自行扩展。</w:t>
      </w:r>
    </w:p>
    <w:p>
      <w:pPr>
        <w:spacing w:line="360" w:lineRule="auto"/>
        <w:ind w:firstLine="482" w:firstLineChars="200"/>
        <w:rPr>
          <w:rFonts w:hint="eastAsia" w:ascii="宋体" w:hAnsi="宋体"/>
          <w:b/>
          <w:color w:val="000000"/>
          <w:sz w:val="24"/>
          <w:u w:val="single"/>
        </w:rPr>
      </w:pPr>
      <w:r>
        <w:rPr>
          <w:rFonts w:hint="eastAsia" w:ascii="宋体" w:hAnsi="宋体"/>
          <w:b/>
          <w:color w:val="000000"/>
          <w:sz w:val="24"/>
          <w:u w:val="single"/>
        </w:rPr>
        <w:t>2、本表所填内容必须与附件四“投标报价明细表”对应内容相一致。</w:t>
      </w:r>
    </w:p>
    <w:p>
      <w:pPr>
        <w:autoSpaceDE w:val="0"/>
        <w:autoSpaceDN w:val="0"/>
        <w:adjustRightInd w:val="0"/>
        <w:spacing w:line="600" w:lineRule="exact"/>
        <w:ind w:firstLine="482" w:firstLineChars="200"/>
        <w:rPr>
          <w:rFonts w:ascii="宋体" w:hAnsi="宋体"/>
          <w:b/>
          <w:sz w:val="24"/>
        </w:rPr>
      </w:pPr>
      <w:r>
        <w:rPr>
          <w:rFonts w:hint="eastAsia" w:ascii="宋体" w:hAnsi="宋体"/>
          <w:b/>
          <w:sz w:val="24"/>
          <w:u w:val="single"/>
        </w:rPr>
        <w:t>3、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rPr>
          <w:rFonts w:hint="eastAsia"/>
          <w:color w:val="000000"/>
        </w:rPr>
      </w:pPr>
    </w:p>
    <w:p>
      <w:pPr>
        <w:pStyle w:val="15"/>
        <w:spacing w:line="360" w:lineRule="auto"/>
        <w:jc w:val="both"/>
        <w:rPr>
          <w:rFonts w:hint="eastAsia" w:ascii="宋体"/>
          <w:b w:val="0"/>
          <w:color w:val="000000"/>
          <w:sz w:val="24"/>
        </w:rPr>
      </w:pPr>
    </w:p>
    <w:p>
      <w:pPr>
        <w:pStyle w:val="15"/>
        <w:spacing w:line="360" w:lineRule="auto"/>
        <w:jc w:val="both"/>
        <w:rPr>
          <w:rFonts w:hint="eastAsia"/>
          <w:b w:val="0"/>
          <w:color w:val="000000"/>
          <w:sz w:val="24"/>
        </w:rPr>
      </w:pPr>
      <w:r>
        <w:rPr>
          <w:rFonts w:hint="eastAsia" w:ascii="宋体"/>
          <w:b w:val="0"/>
          <w:color w:val="000000"/>
          <w:sz w:val="24"/>
        </w:rPr>
        <w:t>供应商（盖章）：               法定代表人或其委托代理人（签字或盖章）：</w:t>
      </w:r>
    </w:p>
    <w:p>
      <w:pPr>
        <w:wordWrap w:val="0"/>
        <w:spacing w:line="360" w:lineRule="auto"/>
        <w:ind w:right="480" w:firstLine="5760" w:firstLineChars="2400"/>
        <w:rPr>
          <w:rFonts w:hint="eastAsia" w:ascii="宋体"/>
          <w:color w:val="000000"/>
          <w:sz w:val="24"/>
        </w:rPr>
      </w:pPr>
      <w:r>
        <w:rPr>
          <w:rFonts w:hint="eastAsia" w:ascii="宋体"/>
          <w:color w:val="000000"/>
          <w:sz w:val="24"/>
        </w:rPr>
        <w:t>年   月   日</w:t>
      </w:r>
    </w:p>
    <w:p>
      <w:pPr>
        <w:spacing w:line="600" w:lineRule="exact"/>
        <w:ind w:right="560"/>
        <w:rPr>
          <w:rFonts w:hint="eastAsia"/>
          <w:color w:val="000000"/>
          <w:sz w:val="28"/>
        </w:rPr>
      </w:pPr>
    </w:p>
    <w:p>
      <w:pPr>
        <w:pStyle w:val="2"/>
        <w:numPr>
          <w:ilvl w:val="0"/>
          <w:numId w:val="0"/>
        </w:numPr>
        <w:spacing w:after="0" w:line="240" w:lineRule="auto"/>
        <w:jc w:val="center"/>
        <w:rPr>
          <w:rFonts w:hint="eastAsia" w:ascii="宋体" w:hAnsi="宋体"/>
          <w:b w:val="0"/>
          <w:color w:val="000000"/>
        </w:rPr>
      </w:pPr>
      <w:bookmarkStart w:id="37" w:name="_Toc46418592"/>
      <w:r>
        <w:rPr>
          <w:rFonts w:hint="eastAsia" w:ascii="宋体" w:hAnsi="宋体"/>
          <w:b w:val="0"/>
          <w:color w:val="000000"/>
        </w:rPr>
        <w:t>附件七：投标设备主要技术参数说明</w:t>
      </w:r>
      <w:bookmarkEnd w:id="37"/>
    </w:p>
    <w:p>
      <w:pPr>
        <w:spacing w:after="120" w:line="360" w:lineRule="auto"/>
        <w:rPr>
          <w:rFonts w:hint="eastAsia" w:ascii="Arial" w:hAnsi="Arial" w:cs="Arial"/>
          <w:color w:val="000000"/>
          <w:sz w:val="24"/>
        </w:rPr>
      </w:pPr>
    </w:p>
    <w:p>
      <w:pPr>
        <w:spacing w:after="120" w:line="360" w:lineRule="auto"/>
        <w:rPr>
          <w:rFonts w:hint="eastAsia" w:ascii="Arial" w:hAnsi="Arial" w:cs="Arial"/>
          <w:color w:val="000000"/>
          <w:sz w:val="24"/>
        </w:rPr>
      </w:pPr>
      <w:r>
        <w:rPr>
          <w:rFonts w:hint="eastAsia" w:ascii="Arial" w:hAnsi="Arial" w:cs="Arial"/>
          <w:color w:val="000000"/>
          <w:sz w:val="24"/>
        </w:rPr>
        <w:t xml:space="preserve">投标设备名称(型号规格)：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47"/>
        <w:gridCol w:w="321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序号</w:t>
            </w:r>
          </w:p>
        </w:tc>
        <w:tc>
          <w:tcPr>
            <w:tcW w:w="2447" w:type="dxa"/>
            <w:noWrap w:val="0"/>
            <w:vAlign w:val="center"/>
          </w:tcPr>
          <w:p>
            <w:pPr>
              <w:jc w:val="center"/>
              <w:rPr>
                <w:rFonts w:hint="eastAsia" w:ascii="宋体" w:hAnsi="宋体" w:cs="Arial"/>
                <w:color w:val="000000"/>
                <w:sz w:val="24"/>
              </w:rPr>
            </w:pPr>
            <w:r>
              <w:rPr>
                <w:rFonts w:hint="eastAsia" w:ascii="宋体" w:hAnsi="宋体" w:cs="Arial"/>
                <w:color w:val="000000"/>
                <w:sz w:val="24"/>
              </w:rPr>
              <w:t>部件名称</w:t>
            </w:r>
          </w:p>
        </w:tc>
        <w:tc>
          <w:tcPr>
            <w:tcW w:w="3210" w:type="dxa"/>
            <w:noWrap w:val="0"/>
            <w:vAlign w:val="center"/>
          </w:tcPr>
          <w:p>
            <w:pPr>
              <w:jc w:val="center"/>
              <w:rPr>
                <w:rFonts w:hint="eastAsia" w:ascii="宋体" w:hAnsi="宋体" w:cs="Arial"/>
                <w:color w:val="000000"/>
                <w:sz w:val="24"/>
              </w:rPr>
            </w:pPr>
            <w:r>
              <w:rPr>
                <w:rFonts w:hint="eastAsia" w:ascii="宋体" w:hAnsi="宋体" w:cs="Arial"/>
                <w:color w:val="000000"/>
                <w:sz w:val="24"/>
              </w:rPr>
              <w:t>技术参数、性能、特点</w:t>
            </w:r>
          </w:p>
        </w:tc>
        <w:tc>
          <w:tcPr>
            <w:tcW w:w="2371" w:type="dxa"/>
            <w:noWrap w:val="0"/>
            <w:vAlign w:val="center"/>
          </w:tcPr>
          <w:p>
            <w:pPr>
              <w:jc w:val="center"/>
              <w:rPr>
                <w:rFonts w:hint="eastAsia" w:ascii="宋体" w:hAnsi="宋体" w:cs="Arial"/>
                <w:color w:val="000000"/>
                <w:sz w:val="24"/>
              </w:rPr>
            </w:pPr>
            <w:r>
              <w:rPr>
                <w:rFonts w:hint="eastAsia" w:ascii="宋体" w:hAnsi="宋体" w:cs="Arial"/>
                <w:color w:val="000000"/>
                <w:sz w:val="24"/>
              </w:rPr>
              <w:t>生产厂商、产地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pStyle w:val="33"/>
              <w:snapToGrid/>
              <w:spacing w:before="0" w:beforeLines="0" w:after="0" w:afterLines="0"/>
              <w:rPr>
                <w:rFonts w:ascii="宋体" w:hAnsi="宋体"/>
                <w:color w:val="000000"/>
              </w:rPr>
            </w:pPr>
            <w:r>
              <w:rPr>
                <w:rFonts w:ascii="宋体" w:hAnsi="宋体"/>
                <w:color w:val="000000"/>
              </w:rPr>
              <w:t>1</w:t>
            </w:r>
          </w:p>
        </w:tc>
        <w:tc>
          <w:tcPr>
            <w:tcW w:w="2447" w:type="dxa"/>
            <w:noWrap w:val="0"/>
            <w:vAlign w:val="center"/>
          </w:tcPr>
          <w:p>
            <w:pPr>
              <w:pStyle w:val="33"/>
              <w:snapToGrid/>
              <w:spacing w:before="0" w:beforeLines="0" w:after="0" w:afterLines="0"/>
              <w:rPr>
                <w:rFonts w:hint="eastAsia" w:ascii="宋体" w:hAnsi="宋体"/>
                <w:color w:val="000000"/>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2</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3</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4</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5</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6</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7</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8</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9</w:t>
            </w: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color w:val="000000"/>
                <w:sz w:val="24"/>
              </w:rPr>
            </w:pP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bl>
    <w:p>
      <w:pPr>
        <w:spacing w:before="120" w:beforeLines="50" w:after="120"/>
        <w:rPr>
          <w:rFonts w:hint="eastAsia"/>
          <w:b/>
          <w:color w:val="000000"/>
          <w:sz w:val="24"/>
          <w:u w:val="single"/>
        </w:rPr>
      </w:pPr>
      <w:r>
        <w:rPr>
          <w:rFonts w:hint="eastAsia"/>
          <w:b/>
          <w:color w:val="000000"/>
          <w:sz w:val="24"/>
          <w:u w:val="single"/>
        </w:rPr>
        <w:t>注：如果不同型号规格的部件有不同，应该依据此表分别填写，并注明投标设备(型号规格)。</w:t>
      </w:r>
    </w:p>
    <w:p>
      <w:pPr>
        <w:autoSpaceDE w:val="0"/>
        <w:autoSpaceDN w:val="0"/>
        <w:adjustRightInd w:val="0"/>
        <w:spacing w:line="600" w:lineRule="exact"/>
        <w:ind w:firstLine="482" w:firstLineChars="200"/>
        <w:rPr>
          <w:rFonts w:hint="eastAsia" w:ascii="宋体" w:hAnsi="宋体"/>
          <w:b/>
          <w:sz w:val="24"/>
        </w:rPr>
      </w:pPr>
      <w:r>
        <w:rPr>
          <w:rFonts w:hint="eastAsia" w:ascii="宋体" w:hAnsi="宋体"/>
          <w:b/>
          <w:sz w:val="24"/>
          <w:u w:val="single"/>
        </w:rPr>
        <w:t>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before="120" w:beforeLines="50" w:after="120"/>
        <w:rPr>
          <w:rFonts w:hint="eastAsia"/>
          <w:b/>
          <w:color w:val="000000"/>
          <w:sz w:val="24"/>
          <w:u w:val="single"/>
        </w:rPr>
      </w:pPr>
    </w:p>
    <w:p>
      <w:pPr>
        <w:rPr>
          <w:rFonts w:hint="eastAsia"/>
          <w:color w:val="000000"/>
        </w:rPr>
      </w:pPr>
    </w:p>
    <w:p>
      <w:pPr>
        <w:rPr>
          <w:rFonts w:hint="eastAsia"/>
          <w:color w:val="000000"/>
        </w:rPr>
      </w:pPr>
    </w:p>
    <w:p>
      <w:pPr>
        <w:pStyle w:val="15"/>
        <w:spacing w:line="400" w:lineRule="exact"/>
        <w:jc w:val="left"/>
        <w:rPr>
          <w:rFonts w:hint="eastAsia" w:ascii="宋体"/>
          <w:b w:val="0"/>
          <w:color w:val="000000"/>
          <w:sz w:val="24"/>
        </w:rPr>
      </w:pPr>
      <w:r>
        <w:rPr>
          <w:rFonts w:hint="eastAsia" w:ascii="宋体"/>
          <w:b w:val="0"/>
          <w:color w:val="000000"/>
          <w:sz w:val="24"/>
        </w:rPr>
        <w:t>供应商（盖章）：             法定代表人或其委托代理人（签字或盖章）：</w:t>
      </w:r>
    </w:p>
    <w:p>
      <w:pPr>
        <w:pStyle w:val="15"/>
        <w:spacing w:line="400" w:lineRule="exact"/>
        <w:jc w:val="left"/>
        <w:rPr>
          <w:rFonts w:hint="eastAsia"/>
          <w:color w:val="000000"/>
          <w:sz w:val="24"/>
        </w:rPr>
      </w:pPr>
    </w:p>
    <w:p>
      <w:pPr>
        <w:spacing w:line="400" w:lineRule="exact"/>
        <w:ind w:right="120" w:firstLine="6556" w:firstLineChars="2732"/>
        <w:jc w:val="right"/>
        <w:rPr>
          <w:rFonts w:hint="eastAsia" w:ascii="宋体"/>
          <w:color w:val="000000"/>
          <w:sz w:val="24"/>
        </w:rPr>
      </w:pPr>
      <w:r>
        <w:rPr>
          <w:rFonts w:hint="eastAsia" w:ascii="宋体"/>
          <w:color w:val="000000"/>
          <w:sz w:val="24"/>
        </w:rPr>
        <w:t>年   月   日</w:t>
      </w:r>
    </w:p>
    <w:p>
      <w:pPr>
        <w:pStyle w:val="2"/>
        <w:numPr>
          <w:ilvl w:val="0"/>
          <w:numId w:val="0"/>
        </w:numPr>
        <w:spacing w:after="0" w:line="240" w:lineRule="auto"/>
        <w:jc w:val="center"/>
        <w:rPr>
          <w:rFonts w:hint="eastAsia" w:ascii="宋体" w:hAnsi="宋体"/>
          <w:b w:val="0"/>
          <w:color w:val="000000"/>
        </w:rPr>
      </w:pPr>
      <w:bookmarkStart w:id="38" w:name="_Toc46418593"/>
      <w:r>
        <w:rPr>
          <w:rFonts w:hint="eastAsia" w:ascii="宋体" w:hAnsi="宋体"/>
          <w:b w:val="0"/>
          <w:color w:val="000000"/>
        </w:rPr>
        <w:t>附件八：技术偏离表</w:t>
      </w:r>
      <w:bookmarkEnd w:id="38"/>
    </w:p>
    <w:p>
      <w:pPr>
        <w:rPr>
          <w:rFonts w:hint="eastAsia"/>
          <w:color w:val="000000"/>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66"/>
        <w:gridCol w:w="1964"/>
        <w:gridCol w:w="196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r>
              <w:rPr>
                <w:rFonts w:hint="eastAsia" w:ascii="宋体" w:hAnsi="宋体"/>
                <w:color w:val="000000"/>
                <w:sz w:val="24"/>
              </w:rPr>
              <w:t>编号</w:t>
            </w:r>
          </w:p>
        </w:tc>
        <w:tc>
          <w:tcPr>
            <w:tcW w:w="2166" w:type="dxa"/>
            <w:noWrap w:val="0"/>
            <w:vAlign w:val="center"/>
          </w:tcPr>
          <w:p>
            <w:pPr>
              <w:jc w:val="center"/>
              <w:rPr>
                <w:rFonts w:hint="eastAsia" w:ascii="宋体" w:hAnsi="宋体"/>
                <w:color w:val="000000"/>
                <w:sz w:val="24"/>
              </w:rPr>
            </w:pPr>
            <w:r>
              <w:rPr>
                <w:rFonts w:hint="eastAsia" w:ascii="宋体" w:hAnsi="宋体"/>
                <w:color w:val="000000"/>
                <w:sz w:val="24"/>
              </w:rPr>
              <w:t>项目名称</w:t>
            </w:r>
          </w:p>
        </w:tc>
        <w:tc>
          <w:tcPr>
            <w:tcW w:w="1964" w:type="dxa"/>
            <w:noWrap w:val="0"/>
            <w:vAlign w:val="center"/>
          </w:tcPr>
          <w:p>
            <w:pPr>
              <w:jc w:val="center"/>
              <w:rPr>
                <w:rFonts w:hint="eastAsia" w:ascii="宋体" w:hAnsi="宋体"/>
                <w:color w:val="000000"/>
                <w:sz w:val="24"/>
              </w:rPr>
            </w:pPr>
            <w:r>
              <w:rPr>
                <w:rFonts w:hint="eastAsia" w:ascii="宋体" w:hAnsi="宋体"/>
                <w:color w:val="000000"/>
                <w:sz w:val="24"/>
              </w:rPr>
              <w:t>技术</w:t>
            </w:r>
          </w:p>
          <w:p>
            <w:pPr>
              <w:jc w:val="center"/>
              <w:rPr>
                <w:rFonts w:hint="eastAsia" w:ascii="宋体" w:hAnsi="宋体"/>
                <w:color w:val="000000"/>
                <w:sz w:val="24"/>
              </w:rPr>
            </w:pPr>
            <w:r>
              <w:rPr>
                <w:rFonts w:hint="eastAsia" w:ascii="宋体" w:hAnsi="宋体"/>
                <w:color w:val="000000"/>
                <w:sz w:val="24"/>
              </w:rPr>
              <w:t>参数要求</w:t>
            </w:r>
          </w:p>
        </w:tc>
        <w:tc>
          <w:tcPr>
            <w:tcW w:w="1964" w:type="dxa"/>
            <w:noWrap w:val="0"/>
            <w:vAlign w:val="center"/>
          </w:tcPr>
          <w:p>
            <w:pPr>
              <w:jc w:val="center"/>
              <w:rPr>
                <w:rFonts w:hint="eastAsia" w:ascii="宋体" w:hAnsi="宋体"/>
                <w:color w:val="000000"/>
                <w:sz w:val="24"/>
              </w:rPr>
            </w:pPr>
            <w:r>
              <w:rPr>
                <w:rFonts w:hint="eastAsia" w:ascii="宋体" w:hAnsi="宋体"/>
                <w:color w:val="000000"/>
                <w:sz w:val="24"/>
              </w:rPr>
              <w:t>投标技术</w:t>
            </w:r>
          </w:p>
          <w:p>
            <w:pPr>
              <w:jc w:val="center"/>
              <w:rPr>
                <w:rFonts w:hint="eastAsia" w:ascii="宋体" w:hAnsi="宋体"/>
                <w:color w:val="000000"/>
                <w:sz w:val="24"/>
              </w:rPr>
            </w:pPr>
            <w:r>
              <w:rPr>
                <w:rFonts w:hint="eastAsia" w:ascii="宋体" w:hAnsi="宋体"/>
                <w:color w:val="000000"/>
                <w:sz w:val="24"/>
              </w:rPr>
              <w:t>参数响应</w:t>
            </w:r>
          </w:p>
        </w:tc>
        <w:tc>
          <w:tcPr>
            <w:tcW w:w="1992" w:type="dxa"/>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bl>
    <w:p>
      <w:pPr>
        <w:autoSpaceDE w:val="0"/>
        <w:autoSpaceDN w:val="0"/>
        <w:adjustRightInd w:val="0"/>
        <w:spacing w:line="600" w:lineRule="exact"/>
        <w:ind w:firstLine="482" w:firstLineChars="200"/>
        <w:rPr>
          <w:rFonts w:ascii="宋体" w:hAnsi="宋体"/>
          <w:b/>
          <w:sz w:val="24"/>
        </w:rPr>
      </w:pPr>
      <w:r>
        <w:rPr>
          <w:rFonts w:hint="eastAsia" w:ascii="宋体" w:hAnsi="宋体"/>
          <w:b/>
          <w:sz w:val="24"/>
          <w:u w:val="single"/>
        </w:rPr>
        <w:t>说明：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600" w:lineRule="exact"/>
        <w:rPr>
          <w:rFonts w:hint="eastAsia"/>
          <w:color w:val="000000"/>
          <w:sz w:val="28"/>
        </w:rPr>
      </w:pPr>
    </w:p>
    <w:p>
      <w:pPr>
        <w:spacing w:line="600" w:lineRule="exact"/>
        <w:ind w:firstLine="3360" w:firstLineChars="1200"/>
        <w:rPr>
          <w:rFonts w:hint="eastAsia"/>
          <w:color w:val="000000"/>
          <w:sz w:val="28"/>
        </w:rPr>
      </w:pPr>
    </w:p>
    <w:p>
      <w:pPr>
        <w:spacing w:line="360" w:lineRule="auto"/>
        <w:jc w:val="left"/>
        <w:rPr>
          <w:rFonts w:hint="eastAsia" w:ascii="宋体" w:hAnsi="宋体"/>
          <w:color w:val="000000"/>
          <w:sz w:val="24"/>
        </w:rPr>
      </w:pPr>
      <w:r>
        <w:rPr>
          <w:rFonts w:hint="eastAsia" w:ascii="宋体" w:hAnsi="宋体"/>
          <w:bCs/>
          <w:color w:val="000000"/>
          <w:sz w:val="24"/>
        </w:rPr>
        <w:t>供应商</w:t>
      </w:r>
      <w:r>
        <w:rPr>
          <w:rFonts w:hint="eastAsia" w:ascii="宋体" w:hAnsi="宋体"/>
          <w:color w:val="000000"/>
          <w:sz w:val="24"/>
        </w:rPr>
        <w:t>（盖章）：                法定代表人或其委托代理人（签字或盖章）：</w:t>
      </w:r>
    </w:p>
    <w:p>
      <w:pPr>
        <w:spacing w:line="360" w:lineRule="auto"/>
        <w:ind w:firstLine="3600"/>
        <w:jc w:val="left"/>
        <w:rPr>
          <w:rFonts w:hint="eastAsia" w:ascii="宋体" w:hAnsi="宋体"/>
          <w:color w:val="000000"/>
          <w:sz w:val="24"/>
        </w:rPr>
      </w:pPr>
    </w:p>
    <w:p>
      <w:pPr>
        <w:spacing w:line="360" w:lineRule="auto"/>
        <w:ind w:firstLine="3600"/>
        <w:jc w:val="center"/>
        <w:rPr>
          <w:rFonts w:hint="eastAsia" w:ascii="宋体"/>
          <w:color w:val="000000"/>
          <w:sz w:val="24"/>
        </w:rPr>
      </w:pPr>
      <w:r>
        <w:rPr>
          <w:rFonts w:hint="eastAsia" w:ascii="宋体" w:hAnsi="宋体"/>
          <w:color w:val="000000"/>
          <w:sz w:val="24"/>
        </w:rPr>
        <w:t xml:space="preserve">                年   月   日</w:t>
      </w:r>
    </w:p>
    <w:p>
      <w:pPr>
        <w:pStyle w:val="2"/>
        <w:numPr>
          <w:ilvl w:val="0"/>
          <w:numId w:val="0"/>
        </w:numPr>
        <w:spacing w:after="0" w:line="240" w:lineRule="auto"/>
        <w:jc w:val="center"/>
        <w:rPr>
          <w:rFonts w:hint="eastAsia" w:ascii="宋体" w:hAnsi="宋体"/>
          <w:b w:val="0"/>
          <w:color w:val="000000"/>
        </w:rPr>
      </w:pPr>
      <w:bookmarkStart w:id="39" w:name="_Toc387308401"/>
      <w:bookmarkStart w:id="40" w:name="_Toc264116927"/>
      <w:bookmarkStart w:id="41" w:name="_Toc46418594"/>
      <w:r>
        <w:rPr>
          <w:rFonts w:hint="eastAsia" w:ascii="宋体" w:hAnsi="宋体"/>
          <w:b w:val="0"/>
          <w:color w:val="000000"/>
        </w:rPr>
        <w:t>附件九：投标承诺书</w:t>
      </w:r>
      <w:bookmarkEnd w:id="39"/>
      <w:bookmarkEnd w:id="40"/>
      <w:bookmarkEnd w:id="41"/>
    </w:p>
    <w:p>
      <w:pPr>
        <w:spacing w:line="600" w:lineRule="exact"/>
        <w:rPr>
          <w:rFonts w:hint="eastAsia" w:ascii="宋体" w:hAnsi="宋体"/>
          <w:color w:val="000000"/>
          <w:sz w:val="28"/>
        </w:rPr>
      </w:pPr>
      <w:r>
        <w:rPr>
          <w:rFonts w:hint="eastAsia" w:ascii="宋体" w:hAnsi="宋体"/>
          <w:color w:val="000000"/>
          <w:sz w:val="28"/>
          <w:u w:val="single"/>
        </w:rPr>
        <w:t xml:space="preserve">                     </w:t>
      </w:r>
      <w:r>
        <w:rPr>
          <w:rFonts w:hint="eastAsia" w:ascii="宋体" w:hAnsi="宋体"/>
          <w:color w:val="000000"/>
          <w:sz w:val="28"/>
        </w:rPr>
        <w:t>：</w:t>
      </w:r>
    </w:p>
    <w:p>
      <w:pPr>
        <w:spacing w:line="600" w:lineRule="exact"/>
        <w:ind w:firstLine="705"/>
        <w:rPr>
          <w:rFonts w:hint="eastAsia" w:ascii="宋体" w:hAnsi="宋体"/>
          <w:color w:val="000000"/>
          <w:sz w:val="24"/>
        </w:rPr>
      </w:pPr>
      <w:r>
        <w:rPr>
          <w:rFonts w:hint="eastAsia" w:ascii="宋体" w:hAnsi="宋体"/>
          <w:color w:val="000000"/>
          <w:sz w:val="28"/>
          <w:szCs w:val="28"/>
        </w:rPr>
        <w:t>我公司自愿参加</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的采购</w:t>
      </w:r>
      <w:r>
        <w:rPr>
          <w:rFonts w:hint="eastAsia" w:ascii="宋体"/>
          <w:color w:val="000000"/>
          <w:sz w:val="28"/>
        </w:rPr>
        <w:t>招标活动</w:t>
      </w:r>
      <w:r>
        <w:rPr>
          <w:rFonts w:hint="eastAsia" w:ascii="宋体" w:hAnsi="宋体"/>
          <w:color w:val="000000"/>
          <w:sz w:val="28"/>
          <w:szCs w:val="28"/>
        </w:rPr>
        <w:t>，完全遵守采购文件的所有要求，并作如下承诺</w:t>
      </w:r>
      <w:r>
        <w:rPr>
          <w:rFonts w:hint="eastAsia" w:ascii="宋体" w:hAnsi="宋体"/>
          <w:color w:val="000000"/>
          <w:sz w:val="24"/>
        </w:rPr>
        <w:t>：</w:t>
      </w:r>
    </w:p>
    <w:p>
      <w:pPr>
        <w:spacing w:line="600" w:lineRule="exact"/>
        <w:ind w:firstLine="705"/>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ind w:firstLine="560" w:firstLineChars="200"/>
        <w:rPr>
          <w:rFonts w:hint="eastAsia" w:ascii="宋体" w:hAnsi="宋体"/>
          <w:color w:val="000000"/>
          <w:sz w:val="24"/>
          <w:u w:val="single"/>
        </w:rPr>
      </w:pPr>
      <w:r>
        <w:rPr>
          <w:rFonts w:hint="eastAsia" w:ascii="宋体" w:hAnsi="宋体"/>
          <w:color w:val="000000"/>
          <w:sz w:val="28"/>
          <w:szCs w:val="28"/>
        </w:rPr>
        <w:t>我公司提供免费维修保养期后的维修保养办法及费用：</w:t>
      </w: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autoSpaceDE w:val="0"/>
        <w:autoSpaceDN w:val="0"/>
        <w:adjustRightInd w:val="0"/>
        <w:spacing w:line="600" w:lineRule="exact"/>
        <w:ind w:firstLine="482" w:firstLineChars="200"/>
        <w:rPr>
          <w:rFonts w:ascii="宋体" w:hAnsi="宋体"/>
          <w:b/>
          <w:sz w:val="24"/>
        </w:rPr>
      </w:pPr>
      <w:r>
        <w:rPr>
          <w:rFonts w:hint="eastAsia" w:ascii="宋体" w:hAnsi="宋体"/>
          <w:b/>
          <w:sz w:val="24"/>
          <w:u w:val="single"/>
        </w:rPr>
        <w:t>说明：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600" w:lineRule="exact"/>
        <w:jc w:val="left"/>
        <w:rPr>
          <w:rFonts w:hint="eastAsia" w:ascii="宋体"/>
          <w:color w:val="000000"/>
          <w:sz w:val="24"/>
        </w:rPr>
      </w:pPr>
    </w:p>
    <w:p>
      <w:pPr>
        <w:tabs>
          <w:tab w:val="left" w:pos="3855"/>
        </w:tabs>
        <w:spacing w:line="600" w:lineRule="exact"/>
        <w:jc w:val="left"/>
        <w:rPr>
          <w:rFonts w:hint="eastAsia" w:ascii="宋体"/>
          <w:color w:val="000000"/>
          <w:sz w:val="24"/>
        </w:rPr>
      </w:pPr>
      <w:r>
        <w:rPr>
          <w:rFonts w:ascii="宋体"/>
          <w:color w:val="000000"/>
          <w:sz w:val="24"/>
        </w:rPr>
        <w:tab/>
      </w:r>
    </w:p>
    <w:p>
      <w:pPr>
        <w:spacing w:line="600" w:lineRule="exact"/>
        <w:jc w:val="left"/>
        <w:rPr>
          <w:rFonts w:hint="eastAsia" w:ascii="宋体"/>
          <w:color w:val="000000"/>
          <w:sz w:val="24"/>
        </w:rPr>
      </w:pPr>
    </w:p>
    <w:p>
      <w:pPr>
        <w:spacing w:line="600" w:lineRule="exact"/>
        <w:jc w:val="left"/>
        <w:rPr>
          <w:rFonts w:hint="eastAsia" w:ascii="宋体"/>
          <w:color w:val="000000"/>
          <w:sz w:val="24"/>
        </w:rPr>
      </w:pPr>
      <w:r>
        <w:rPr>
          <w:rFonts w:hint="eastAsia" w:ascii="宋体"/>
          <w:color w:val="000000"/>
          <w:sz w:val="24"/>
        </w:rPr>
        <w:t>供应商（盖章）：                   法定代表人或其委托代理人（签字或盖章）：</w:t>
      </w:r>
    </w:p>
    <w:p>
      <w:pPr>
        <w:spacing w:line="600" w:lineRule="exact"/>
        <w:ind w:right="480"/>
        <w:jc w:val="right"/>
        <w:rPr>
          <w:rFonts w:hint="eastAsia" w:ascii="宋体" w:hAnsi="宋体"/>
          <w:color w:val="000000"/>
          <w:sz w:val="24"/>
          <w:u w:val="single"/>
        </w:rPr>
      </w:pPr>
      <w:r>
        <w:rPr>
          <w:rFonts w:hint="eastAsia" w:ascii="宋体"/>
          <w:color w:val="000000"/>
          <w:sz w:val="24"/>
          <w:u w:val="single"/>
        </w:rPr>
        <w:t xml:space="preserve">   年   月   日</w:t>
      </w:r>
    </w:p>
    <w:p>
      <w:pPr>
        <w:spacing w:line="600" w:lineRule="exact"/>
        <w:ind w:firstLine="5760" w:firstLineChars="2400"/>
        <w:rPr>
          <w:rFonts w:hint="eastAsia" w:ascii="宋体" w:hAnsi="宋体"/>
          <w:color w:val="000000"/>
          <w:sz w:val="24"/>
        </w:rPr>
      </w:pPr>
    </w:p>
    <w:p>
      <w:pPr>
        <w:spacing w:line="600" w:lineRule="exact"/>
        <w:ind w:firstLine="5760" w:firstLineChars="2400"/>
        <w:rPr>
          <w:rFonts w:hint="eastAsia" w:ascii="宋体" w:hAnsi="宋体"/>
          <w:color w:val="000000"/>
          <w:sz w:val="24"/>
        </w:rPr>
      </w:pPr>
    </w:p>
    <w:p>
      <w:pPr>
        <w:spacing w:line="600" w:lineRule="exact"/>
        <w:ind w:firstLine="5760" w:firstLineChars="2400"/>
        <w:rPr>
          <w:rFonts w:hint="eastAsia" w:ascii="宋体" w:hAnsi="宋体"/>
          <w:color w:val="000000"/>
          <w:sz w:val="24"/>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42" w:name="_Toc387308402"/>
      <w:bookmarkStart w:id="43" w:name="_Toc46418595"/>
      <w:bookmarkStart w:id="44" w:name="_Toc264116928"/>
      <w:bookmarkStart w:id="45" w:name="_Toc328644410"/>
      <w:r>
        <w:rPr>
          <w:rFonts w:hint="eastAsia" w:ascii="宋体" w:hAnsi="宋体"/>
          <w:b w:val="0"/>
          <w:color w:val="000000"/>
        </w:rPr>
        <w:t>附件十：投标提问书</w:t>
      </w:r>
      <w:bookmarkEnd w:id="42"/>
      <w:bookmarkEnd w:id="43"/>
    </w:p>
    <w:p>
      <w:pPr>
        <w:rPr>
          <w:rFonts w:hint="eastAsia"/>
          <w:color w:val="000000"/>
        </w:rPr>
      </w:pPr>
    </w:p>
    <w:p>
      <w:pPr>
        <w:rPr>
          <w:rFonts w:hint="eastAsia"/>
          <w:color w:val="000000"/>
        </w:rPr>
      </w:pPr>
      <w:r>
        <w:rPr>
          <w:rFonts w:hint="eastAsia"/>
          <w:color w:val="000000"/>
        </w:rPr>
        <w:t xml:space="preserve"> </w:t>
      </w:r>
      <w:r>
        <w:rPr>
          <w:rFonts w:hint="eastAsia"/>
          <w:color w:val="000000"/>
          <w:u w:val="single"/>
        </w:rPr>
        <w:t xml:space="preserve">                 </w:t>
      </w:r>
      <w:bookmarkStart w:id="46" w:name="_Toc19506"/>
      <w:r>
        <w:rPr>
          <w:rFonts w:hint="eastAsia"/>
          <w:color w:val="000000"/>
        </w:rPr>
        <w:t>：</w:t>
      </w:r>
      <w:bookmarkEnd w:id="46"/>
    </w:p>
    <w:p>
      <w:pPr>
        <w:pStyle w:val="145"/>
        <w:ind w:firstLine="538"/>
        <w:rPr>
          <w:rFonts w:hint="eastAsia"/>
        </w:rPr>
      </w:pPr>
      <w:bookmarkStart w:id="47" w:name="_Toc4000"/>
      <w:r>
        <w:rPr>
          <w:rFonts w:hint="eastAsia"/>
        </w:rPr>
        <w:t xml:space="preserve"> 我们认真阅读了</w:t>
      </w:r>
      <w:r>
        <w:rPr>
          <w:rFonts w:hint="eastAsia"/>
          <w:u w:val="single"/>
        </w:rPr>
        <w:t xml:space="preserve">                          </w:t>
      </w:r>
      <w:r>
        <w:rPr>
          <w:rFonts w:hint="eastAsia"/>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47"/>
    </w:p>
    <w:p>
      <w:pPr>
        <w:pStyle w:val="29"/>
        <w:spacing w:line="480" w:lineRule="auto"/>
        <w:ind w:firstLine="630"/>
        <w:rPr>
          <w:rFonts w:hint="eastAsia" w:ascii="宋体" w:hAnsi="宋体"/>
          <w:color w:val="000000"/>
          <w:spacing w:val="20"/>
          <w:sz w:val="24"/>
        </w:rPr>
      </w:pPr>
      <w:r>
        <w:rPr>
          <w:rFonts w:hint="eastAsia" w:ascii="宋体" w:hAnsi="宋体"/>
          <w:color w:val="000000"/>
          <w:spacing w:val="20"/>
          <w:sz w:val="24"/>
        </w:rPr>
        <w:t>需在投标中澄清、解答的问题：（可添页）</w:t>
      </w:r>
    </w:p>
    <w:p>
      <w:pPr>
        <w:pStyle w:val="29"/>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1、</w:t>
      </w:r>
      <w:r>
        <w:rPr>
          <w:rFonts w:hint="eastAsia" w:ascii="宋体" w:hAnsi="宋体"/>
          <w:color w:val="000000"/>
          <w:spacing w:val="20"/>
          <w:sz w:val="24"/>
          <w:u w:val="single"/>
        </w:rPr>
        <w:t xml:space="preserve">                                             </w:t>
      </w:r>
    </w:p>
    <w:p>
      <w:pPr>
        <w:pStyle w:val="29"/>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2、</w:t>
      </w:r>
      <w:r>
        <w:rPr>
          <w:rFonts w:hint="eastAsia" w:ascii="宋体" w:hAnsi="宋体"/>
          <w:color w:val="000000"/>
          <w:spacing w:val="20"/>
          <w:sz w:val="24"/>
          <w:u w:val="single"/>
        </w:rPr>
        <w:t xml:space="preserve">                                             </w:t>
      </w:r>
    </w:p>
    <w:p>
      <w:pPr>
        <w:pStyle w:val="29"/>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3、</w:t>
      </w:r>
      <w:r>
        <w:rPr>
          <w:rFonts w:hint="eastAsia" w:ascii="宋体" w:hAnsi="宋体"/>
          <w:color w:val="000000"/>
          <w:spacing w:val="20"/>
          <w:sz w:val="24"/>
          <w:u w:val="single"/>
        </w:rPr>
        <w:t xml:space="preserve">                                             </w:t>
      </w:r>
    </w:p>
    <w:p>
      <w:pPr>
        <w:pStyle w:val="29"/>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4、</w:t>
      </w:r>
      <w:r>
        <w:rPr>
          <w:rFonts w:hint="eastAsia" w:ascii="宋体" w:hAnsi="宋体"/>
          <w:color w:val="000000"/>
          <w:spacing w:val="20"/>
          <w:sz w:val="24"/>
          <w:u w:val="single"/>
        </w:rPr>
        <w:t xml:space="preserve">                                             </w:t>
      </w:r>
    </w:p>
    <w:p>
      <w:pPr>
        <w:spacing w:line="600" w:lineRule="exact"/>
        <w:rPr>
          <w:rFonts w:ascii="宋体" w:hAnsi="宋体"/>
          <w:b/>
          <w:sz w:val="24"/>
          <w:u w:val="single"/>
        </w:rPr>
      </w:pPr>
      <w:r>
        <w:rPr>
          <w:rFonts w:hint="eastAsia" w:ascii="宋体" w:hAnsi="宋体"/>
          <w:b/>
          <w:sz w:val="24"/>
        </w:rPr>
        <w:t>说明：</w:t>
      </w:r>
      <w:r>
        <w:rPr>
          <w:rFonts w:hint="eastAsia" w:ascii="宋体" w:hAnsi="宋体"/>
          <w:b/>
          <w:sz w:val="24"/>
          <w:u w:val="single"/>
        </w:rPr>
        <w:t>附件中涉及的经办人（签字或盖章）的内容，</w:t>
      </w:r>
      <w:r>
        <w:rPr>
          <w:rFonts w:hint="eastAsia" w:ascii="宋体" w:hAnsi="宋体" w:cs="宋体"/>
          <w:b/>
          <w:bCs/>
          <w:kern w:val="0"/>
          <w:sz w:val="24"/>
          <w:u w:val="single"/>
        </w:rPr>
        <w:t>投标供应商可以线下签字后扫描上传。</w:t>
      </w:r>
    </w:p>
    <w:p>
      <w:pPr>
        <w:pStyle w:val="29"/>
        <w:spacing w:line="480" w:lineRule="auto"/>
        <w:ind w:firstLine="630"/>
        <w:rPr>
          <w:rFonts w:hint="eastAsia" w:ascii="宋体" w:hAnsi="宋体"/>
          <w:color w:val="000000"/>
          <w:spacing w:val="20"/>
          <w:sz w:val="24"/>
          <w:u w:val="single"/>
        </w:rPr>
      </w:pPr>
    </w:p>
    <w:p>
      <w:pPr>
        <w:pStyle w:val="29"/>
        <w:spacing w:line="480" w:lineRule="auto"/>
        <w:jc w:val="left"/>
        <w:rPr>
          <w:rFonts w:hint="eastAsia" w:ascii="宋体" w:hAnsi="宋体"/>
          <w:color w:val="000000"/>
          <w:spacing w:val="20"/>
          <w:sz w:val="24"/>
          <w:u w:val="single"/>
        </w:rPr>
      </w:pPr>
      <w:r>
        <w:rPr>
          <w:rFonts w:hint="eastAsia" w:ascii="宋体" w:hAnsi="宋体"/>
          <w:color w:val="000000"/>
          <w:spacing w:val="20"/>
          <w:sz w:val="24"/>
        </w:rPr>
        <w:t>联系电话：</w:t>
      </w:r>
      <w:r>
        <w:rPr>
          <w:rFonts w:hint="eastAsia" w:ascii="宋体" w:hAnsi="宋体"/>
          <w:color w:val="000000"/>
          <w:spacing w:val="20"/>
          <w:sz w:val="24"/>
          <w:u w:val="single"/>
        </w:rPr>
        <w:t xml:space="preserve">            </w:t>
      </w:r>
      <w:r>
        <w:rPr>
          <w:rFonts w:hint="eastAsia" w:ascii="宋体" w:hAnsi="宋体"/>
          <w:color w:val="000000"/>
          <w:spacing w:val="20"/>
          <w:sz w:val="24"/>
        </w:rPr>
        <w:t xml:space="preserve">     投标供应商：（盖章）</w:t>
      </w:r>
      <w:r>
        <w:rPr>
          <w:rFonts w:hint="eastAsia" w:ascii="宋体" w:hAnsi="宋体"/>
          <w:color w:val="000000"/>
          <w:spacing w:val="20"/>
          <w:sz w:val="24"/>
          <w:u w:val="single"/>
        </w:rPr>
        <w:t xml:space="preserve">         </w:t>
      </w:r>
    </w:p>
    <w:p>
      <w:pPr>
        <w:pStyle w:val="29"/>
        <w:spacing w:line="480" w:lineRule="auto"/>
        <w:jc w:val="left"/>
        <w:rPr>
          <w:rFonts w:hint="eastAsia" w:ascii="宋体" w:hAnsi="宋体"/>
          <w:color w:val="000000"/>
          <w:spacing w:val="20"/>
          <w:sz w:val="24"/>
          <w:u w:val="single"/>
        </w:rPr>
      </w:pPr>
      <w:r>
        <w:rPr>
          <w:rFonts w:hint="eastAsia" w:ascii="宋体" w:hAnsi="宋体"/>
          <w:color w:val="000000"/>
          <w:spacing w:val="20"/>
          <w:sz w:val="24"/>
        </w:rPr>
        <w:t>传   真：</w:t>
      </w:r>
      <w:r>
        <w:rPr>
          <w:rFonts w:hint="eastAsia" w:ascii="宋体" w:hAnsi="宋体"/>
          <w:color w:val="000000"/>
          <w:spacing w:val="20"/>
          <w:sz w:val="24"/>
          <w:u w:val="single"/>
        </w:rPr>
        <w:t xml:space="preserve">             </w:t>
      </w:r>
      <w:r>
        <w:rPr>
          <w:rFonts w:hint="eastAsia" w:ascii="宋体" w:hAnsi="宋体"/>
          <w:color w:val="000000"/>
          <w:spacing w:val="20"/>
          <w:sz w:val="24"/>
        </w:rPr>
        <w:t xml:space="preserve">     经 办 人：（签字或盖章）</w:t>
      </w:r>
      <w:r>
        <w:rPr>
          <w:rFonts w:hint="eastAsia" w:ascii="宋体" w:hAnsi="宋体"/>
          <w:color w:val="000000"/>
          <w:spacing w:val="20"/>
          <w:sz w:val="24"/>
          <w:u w:val="single"/>
        </w:rPr>
        <w:t xml:space="preserve">         </w:t>
      </w:r>
    </w:p>
    <w:p>
      <w:pPr>
        <w:pStyle w:val="29"/>
        <w:spacing w:line="480" w:lineRule="auto"/>
        <w:jc w:val="left"/>
        <w:rPr>
          <w:rFonts w:hint="eastAsia" w:ascii="宋体" w:hAnsi="宋体"/>
          <w:color w:val="000000"/>
          <w:spacing w:val="20"/>
          <w:sz w:val="24"/>
          <w:u w:val="single"/>
        </w:rPr>
      </w:pPr>
    </w:p>
    <w:p>
      <w:pPr>
        <w:spacing w:line="480" w:lineRule="auto"/>
        <w:ind w:firstLine="5880" w:firstLineChars="2100"/>
        <w:rPr>
          <w:rFonts w:hint="eastAsia" w:ascii="宋体" w:hAnsi="宋体"/>
          <w:color w:val="000000"/>
          <w:spacing w:val="20"/>
          <w:sz w:val="24"/>
        </w:rPr>
      </w:pPr>
      <w:r>
        <w:rPr>
          <w:rFonts w:hint="eastAsia" w:ascii="宋体" w:hAnsi="宋体"/>
          <w:color w:val="000000"/>
          <w:spacing w:val="20"/>
          <w:sz w:val="24"/>
        </w:rPr>
        <w:t>年    月    日</w:t>
      </w:r>
      <w:bookmarkEnd w:id="44"/>
      <w:bookmarkEnd w:id="45"/>
    </w:p>
    <w:p>
      <w:pPr>
        <w:spacing w:line="480" w:lineRule="auto"/>
        <w:ind w:firstLine="5880" w:firstLineChars="2100"/>
        <w:rPr>
          <w:rFonts w:hint="eastAsia" w:ascii="宋体" w:hAnsi="宋体"/>
          <w:color w:val="000000"/>
          <w:spacing w:val="20"/>
          <w:sz w:val="24"/>
        </w:rPr>
      </w:pPr>
    </w:p>
    <w:p>
      <w:pPr>
        <w:spacing w:line="480" w:lineRule="auto"/>
        <w:rPr>
          <w:rFonts w:hint="eastAsia" w:ascii="宋体" w:hAnsi="宋体"/>
          <w:color w:val="000000"/>
          <w:spacing w:val="20"/>
          <w:sz w:val="24"/>
        </w:rPr>
      </w:pPr>
    </w:p>
    <w:p>
      <w:pPr>
        <w:pStyle w:val="2"/>
        <w:numPr>
          <w:ilvl w:val="0"/>
          <w:numId w:val="0"/>
        </w:numPr>
        <w:spacing w:after="0" w:line="240" w:lineRule="auto"/>
        <w:jc w:val="center"/>
        <w:rPr>
          <w:rFonts w:hint="eastAsia" w:ascii="宋体" w:hAnsi="宋体"/>
          <w:b w:val="0"/>
          <w:color w:val="000000"/>
          <w:sz w:val="30"/>
          <w:szCs w:val="30"/>
          <w:u w:val="single"/>
          <w14:shadow w14:blurRad="50800" w14:dist="38100" w14:dir="2700000" w14:sx="100000" w14:sy="100000" w14:kx="0" w14:ky="0" w14:algn="tl">
            <w14:srgbClr w14:val="000000">
              <w14:alpha w14:val="60000"/>
            </w14:srgbClr>
          </w14:shadow>
        </w:rPr>
      </w:pPr>
      <w:bookmarkStart w:id="48" w:name="_Toc46418596"/>
      <w:r>
        <w:rPr>
          <w:rFonts w:hint="eastAsia" w:ascii="宋体" w:hAnsi="宋体"/>
          <w:b w:val="0"/>
          <w:color w:val="000000"/>
        </w:rPr>
        <w:t>附件十一：答疑纪要</w:t>
      </w:r>
      <w:bookmarkEnd w:id="48"/>
    </w:p>
    <w:p>
      <w:pPr>
        <w:adjustRightInd w:val="0"/>
        <w:snapToGrid w:val="0"/>
        <w:spacing w:line="440" w:lineRule="exact"/>
        <w:jc w:val="center"/>
        <w:rPr>
          <w:rFonts w:hint="eastAsia" w:ascii="宋体" w:hAnsi="宋体"/>
          <w:b/>
          <w:color w:val="000000"/>
          <w:szCs w:val="21"/>
          <w14:shadow w14:blurRad="50800" w14:dist="38100" w14:dir="2700000" w14:sx="100000" w14:sy="100000" w14:kx="0" w14:ky="0" w14:algn="tl">
            <w14:srgbClr w14:val="000000">
              <w14:alpha w14:val="60000"/>
            </w14:srgbClr>
          </w14:shadow>
        </w:rPr>
      </w:pPr>
    </w:p>
    <w:p>
      <w:pPr>
        <w:adjustRightInd w:val="0"/>
        <w:snapToGrid w:val="0"/>
        <w:spacing w:line="440" w:lineRule="exact"/>
        <w:jc w:val="center"/>
        <w:rPr>
          <w:rFonts w:hint="eastAsia" w:ascii="宋体" w:hAnsi="宋体"/>
          <w:b/>
          <w:color w:val="000000"/>
          <w:szCs w:val="21"/>
          <w14:shadow w14:blurRad="50800" w14:dist="38100" w14:dir="2700000" w14:sx="100000" w14:sy="100000" w14:kx="0" w14:ky="0" w14:algn="tl">
            <w14:srgbClr w14:val="000000">
              <w14:alpha w14:val="60000"/>
            </w14:srgbClr>
          </w14:shadow>
        </w:rPr>
      </w:pPr>
    </w:p>
    <w:p>
      <w:pPr>
        <w:adjustRightInd w:val="0"/>
        <w:snapToGrid w:val="0"/>
        <w:spacing w:line="440" w:lineRule="exact"/>
        <w:ind w:firstLine="482"/>
        <w:rPr>
          <w:rFonts w:hint="eastAsia" w:ascii="宋体" w:hAnsi="宋体"/>
          <w:color w:val="000000"/>
          <w:sz w:val="24"/>
        </w:rPr>
      </w:pPr>
      <w:r>
        <w:rPr>
          <w:rFonts w:hint="eastAsia" w:ascii="宋体" w:hAnsi="宋体"/>
          <w:color w:val="000000"/>
          <w:sz w:val="24"/>
        </w:rPr>
        <w:t>各投标供应商在研究了</w:t>
      </w:r>
      <w:r>
        <w:rPr>
          <w:rFonts w:hint="eastAsia" w:ascii="宋体" w:hAnsi="宋体"/>
          <w:color w:val="000000"/>
          <w:sz w:val="24"/>
          <w:u w:val="single"/>
        </w:rPr>
        <w:t xml:space="preserve">                        采购</w:t>
      </w:r>
      <w:r>
        <w:rPr>
          <w:rFonts w:hint="eastAsia" w:ascii="宋体" w:hAnsi="宋体"/>
          <w:color w:val="000000"/>
          <w:sz w:val="24"/>
        </w:rPr>
        <w:t>项目的采购文件等有关资料后，各投标供应商于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16</w:t>
      </w:r>
      <w:r>
        <w:rPr>
          <w:rFonts w:hint="eastAsia" w:ascii="宋体" w:hAnsi="宋体"/>
          <w:color w:val="000000"/>
          <w:sz w:val="24"/>
        </w:rPr>
        <w:t>时前提交了投标提问书，现采购人对各投标供应商的提问和采购文件作如下说明：</w:t>
      </w:r>
    </w:p>
    <w:p>
      <w:pPr>
        <w:adjustRightInd w:val="0"/>
        <w:snapToGrid w:val="0"/>
        <w:spacing w:line="440" w:lineRule="exact"/>
        <w:ind w:firstLine="482"/>
        <w:rPr>
          <w:rFonts w:hint="eastAsia" w:ascii="宋体" w:hAnsi="宋体"/>
          <w:color w:val="000000"/>
          <w:sz w:val="24"/>
        </w:rPr>
      </w:pPr>
      <w:r>
        <w:rPr>
          <w:rFonts w:hint="eastAsia" w:ascii="宋体" w:hAnsi="宋体"/>
          <w:color w:val="000000"/>
          <w:sz w:val="24"/>
        </w:rPr>
        <w:t>一、对各投标供应商提问的回复：</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 xml:space="preserve">1、 </w:t>
      </w:r>
      <w:r>
        <w:rPr>
          <w:rFonts w:hint="eastAsia" w:ascii="宋体" w:hAnsi="宋体"/>
          <w:color w:val="000000"/>
          <w:sz w:val="24"/>
          <w:u w:val="single"/>
        </w:rPr>
        <w:t xml:space="preserve">                                                </w:t>
      </w:r>
    </w:p>
    <w:p>
      <w:pPr>
        <w:adjustRightInd w:val="0"/>
        <w:snapToGrid w:val="0"/>
        <w:spacing w:line="440" w:lineRule="exact"/>
        <w:ind w:firstLine="472" w:firstLineChars="196"/>
        <w:rPr>
          <w:rFonts w:hint="eastAsia" w:ascii="宋体" w:hAnsi="宋体"/>
          <w:b/>
          <w:color w:val="000000"/>
          <w:kern w:val="16"/>
          <w:sz w:val="24"/>
        </w:rPr>
      </w:pPr>
      <w:r>
        <w:rPr>
          <w:rFonts w:hint="eastAsia" w:ascii="宋体" w:hAnsi="宋体"/>
          <w:b/>
          <w:color w:val="000000"/>
          <w:kern w:val="16"/>
          <w:sz w:val="24"/>
        </w:rPr>
        <w:t>答：</w:t>
      </w:r>
      <w:r>
        <w:rPr>
          <w:rFonts w:hint="eastAsia" w:ascii="宋体" w:hAnsi="宋体"/>
          <w:b/>
          <w:color w:val="000000"/>
          <w:kern w:val="16"/>
          <w:sz w:val="24"/>
          <w:u w:val="single"/>
        </w:rPr>
        <w:t xml:space="preserve">                                                </w:t>
      </w: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 xml:space="preserve">2、 </w:t>
      </w:r>
      <w:r>
        <w:rPr>
          <w:rFonts w:hint="eastAsia" w:ascii="宋体" w:hAnsi="宋体"/>
          <w:color w:val="000000"/>
          <w:sz w:val="24"/>
          <w:u w:val="single"/>
        </w:rPr>
        <w:t xml:space="preserve">                                                </w:t>
      </w:r>
    </w:p>
    <w:p>
      <w:pPr>
        <w:adjustRightInd w:val="0"/>
        <w:snapToGrid w:val="0"/>
        <w:spacing w:line="440" w:lineRule="exact"/>
        <w:ind w:firstLine="472" w:firstLineChars="196"/>
        <w:rPr>
          <w:rFonts w:hint="eastAsia" w:ascii="宋体" w:hAnsi="宋体"/>
          <w:b/>
          <w:color w:val="000000"/>
          <w:sz w:val="24"/>
        </w:rPr>
      </w:pPr>
      <w:r>
        <w:rPr>
          <w:rFonts w:hint="eastAsia" w:ascii="宋体" w:hAnsi="宋体"/>
          <w:b/>
          <w:color w:val="000000"/>
          <w:sz w:val="24"/>
        </w:rPr>
        <w:t>答：</w:t>
      </w:r>
      <w:r>
        <w:rPr>
          <w:rFonts w:hint="eastAsia" w:ascii="宋体" w:hAnsi="宋体"/>
          <w:b/>
          <w:color w:val="000000"/>
          <w:sz w:val="24"/>
          <w:u w:val="single"/>
        </w:rPr>
        <w:t xml:space="preserve">                                                </w:t>
      </w: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二、对采购文件补充说明如下：</w:t>
      </w: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1、</w:t>
      </w:r>
      <w:r>
        <w:rPr>
          <w:rFonts w:hint="eastAsia" w:ascii="宋体" w:hAnsi="宋体"/>
          <w:color w:val="000000"/>
          <w:sz w:val="24"/>
          <w:u w:val="single"/>
        </w:rPr>
        <w:t xml:space="preserve">                                                 </w:t>
      </w:r>
    </w:p>
    <w:p>
      <w:pPr>
        <w:adjustRightInd w:val="0"/>
        <w:snapToGrid w:val="0"/>
        <w:spacing w:line="440" w:lineRule="exact"/>
        <w:ind w:firstLine="470" w:firstLineChars="196"/>
        <w:rPr>
          <w:rFonts w:hint="eastAsia" w:ascii="宋体" w:hAnsi="宋体"/>
          <w:color w:val="000000"/>
          <w:sz w:val="24"/>
          <w:u w:val="single"/>
        </w:rPr>
      </w:pPr>
      <w:r>
        <w:rPr>
          <w:rFonts w:hint="eastAsia" w:ascii="宋体" w:hAnsi="宋体"/>
          <w:color w:val="000000"/>
          <w:sz w:val="24"/>
        </w:rPr>
        <w:t>2、</w:t>
      </w:r>
      <w:r>
        <w:rPr>
          <w:rFonts w:hint="eastAsia" w:ascii="宋体" w:hAnsi="宋体"/>
          <w:color w:val="000000"/>
          <w:sz w:val="24"/>
          <w:u w:val="single"/>
        </w:rPr>
        <w:t xml:space="preserve">                                                 </w:t>
      </w: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right="480" w:firstLine="470" w:firstLineChars="196"/>
        <w:jc w:val="center"/>
        <w:rPr>
          <w:rFonts w:hint="eastAsia" w:ascii="宋体" w:hAnsi="宋体"/>
          <w:color w:val="000000"/>
          <w:sz w:val="24"/>
        </w:rPr>
      </w:pPr>
      <w:r>
        <w:rPr>
          <w:rFonts w:hint="eastAsia" w:ascii="宋体" w:hAnsi="宋体"/>
          <w:color w:val="000000"/>
          <w:sz w:val="24"/>
        </w:rPr>
        <w:t xml:space="preserve">                               采购人：</w:t>
      </w:r>
      <w:r>
        <w:rPr>
          <w:rFonts w:hint="eastAsia" w:ascii="宋体" w:hAnsi="宋体"/>
          <w:color w:val="000000"/>
          <w:sz w:val="24"/>
          <w:u w:val="single"/>
        </w:rPr>
        <w:t xml:space="preserve">                   </w:t>
      </w:r>
      <w:r>
        <w:rPr>
          <w:color w:val="000000"/>
          <w:szCs w:val="21"/>
        </w:rPr>
        <w:t>（盖单位章）</w:t>
      </w:r>
    </w:p>
    <w:p>
      <w:pPr>
        <w:spacing w:line="440" w:lineRule="exact"/>
        <w:jc w:val="center"/>
        <w:rPr>
          <w:rFonts w:hint="eastAsia" w:ascii="宋体" w:hAnsi="宋体"/>
          <w:color w:val="000000"/>
          <w:sz w:val="24"/>
        </w:rPr>
      </w:pPr>
      <w:r>
        <w:rPr>
          <w:rFonts w:hint="eastAsia" w:ascii="宋体" w:hAnsi="宋体"/>
          <w:color w:val="000000"/>
          <w:sz w:val="24"/>
        </w:rPr>
        <w:t xml:space="preserve">                               采购代理：</w:t>
      </w:r>
      <w:r>
        <w:rPr>
          <w:rFonts w:hint="eastAsia" w:ascii="宋体" w:hAnsi="宋体"/>
          <w:color w:val="000000"/>
          <w:sz w:val="24"/>
          <w:u w:val="single"/>
        </w:rPr>
        <w:t xml:space="preserve">                 </w:t>
      </w:r>
      <w:r>
        <w:rPr>
          <w:color w:val="000000"/>
          <w:szCs w:val="21"/>
        </w:rPr>
        <w:t>（盖单位章）</w:t>
      </w:r>
    </w:p>
    <w:p>
      <w:pPr>
        <w:pStyle w:val="21"/>
        <w:spacing w:line="440" w:lineRule="exact"/>
        <w:ind w:left="5250"/>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spacing w:line="600" w:lineRule="exact"/>
        <w:rPr>
          <w:rFonts w:hint="eastAsia" w:ascii="宋体" w:hAnsi="宋体"/>
          <w:b/>
          <w:color w:val="000000"/>
          <w:sz w:val="44"/>
          <w:szCs w:val="44"/>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49" w:name="_Toc46418597"/>
      <w:r>
        <w:rPr>
          <w:rFonts w:hint="eastAsia" w:ascii="宋体" w:hAnsi="宋体"/>
          <w:b w:val="0"/>
          <w:color w:val="000000"/>
        </w:rPr>
        <w:t>附件十二：采购范围和技术要求</w:t>
      </w:r>
      <w:bookmarkEnd w:id="49"/>
    </w:p>
    <w:p>
      <w:pPr>
        <w:pStyle w:val="3"/>
        <w:spacing w:before="0" w:after="0" w:line="440" w:lineRule="exact"/>
        <w:rPr>
          <w:rFonts w:ascii="宋体" w:hAnsi="宋体" w:eastAsia="宋体"/>
          <w:bCs w:val="0"/>
          <w:color w:val="000000"/>
          <w:sz w:val="24"/>
          <w:szCs w:val="24"/>
        </w:rPr>
      </w:pPr>
      <w:bookmarkStart w:id="50" w:name="_Toc20500876"/>
      <w:bookmarkStart w:id="51" w:name="_Toc46319039"/>
      <w:bookmarkStart w:id="52" w:name="_Toc46418598"/>
      <w:bookmarkStart w:id="53" w:name="_Toc20224691"/>
      <w:r>
        <w:rPr>
          <w:rFonts w:hint="eastAsia" w:ascii="宋体" w:hAnsi="宋体" w:eastAsia="宋体"/>
          <w:bCs w:val="0"/>
          <w:color w:val="000000"/>
          <w:sz w:val="24"/>
          <w:szCs w:val="24"/>
        </w:rPr>
        <w:t>12.1背景与现状</w:t>
      </w:r>
      <w:bookmarkEnd w:id="50"/>
      <w:bookmarkEnd w:id="51"/>
      <w:bookmarkEnd w:id="52"/>
      <w:bookmarkEnd w:id="53"/>
    </w:p>
    <w:p>
      <w:pPr>
        <w:pStyle w:val="4"/>
      </w:pPr>
      <w:bookmarkStart w:id="54" w:name="_Toc19886535"/>
      <w:bookmarkStart w:id="55" w:name="_Toc19920447"/>
      <w:bookmarkStart w:id="56" w:name="_Toc20500877"/>
      <w:bookmarkStart w:id="57" w:name="_Toc46319040"/>
      <w:bookmarkStart w:id="58" w:name="_Toc46418599"/>
      <w:r>
        <w:rPr>
          <w:rFonts w:hint="eastAsia"/>
        </w:rPr>
        <w:t>12.1.1建设背景</w:t>
      </w:r>
      <w:bookmarkEnd w:id="54"/>
      <w:bookmarkEnd w:id="55"/>
      <w:bookmarkEnd w:id="56"/>
      <w:bookmarkEnd w:id="57"/>
      <w:bookmarkEnd w:id="58"/>
    </w:p>
    <w:p>
      <w:pPr>
        <w:spacing w:line="360" w:lineRule="auto"/>
        <w:ind w:firstLine="480" w:firstLineChars="200"/>
        <w:rPr>
          <w:rFonts w:ascii="Arial" w:hAnsi="Arial" w:cs="宋体"/>
          <w:sz w:val="24"/>
          <w:szCs w:val="20"/>
        </w:rPr>
      </w:pPr>
      <w:r>
        <w:rPr>
          <w:rFonts w:hint="eastAsia" w:ascii="Arial" w:hAnsi="Arial" w:cs="宋体"/>
          <w:sz w:val="24"/>
          <w:szCs w:val="20"/>
        </w:rPr>
        <w:t>社区是城市社会的细胞，是城市的最基本组成单位。和谐社区建设是做好城市工作的基础平台。2013年科技部印发的《国家高新技术产业开发区创新驱动战略提升行动实施方案》，</w:t>
      </w:r>
      <w:r>
        <w:rPr>
          <w:rFonts w:ascii="Arial" w:hAnsi="Arial" w:cs="宋体"/>
          <w:sz w:val="24"/>
          <w:szCs w:val="20"/>
        </w:rPr>
        <w:t>该方案</w:t>
      </w:r>
      <w:r>
        <w:rPr>
          <w:rFonts w:hint="eastAsia" w:ascii="Arial" w:hAnsi="Arial" w:cs="宋体"/>
          <w:sz w:val="24"/>
          <w:szCs w:val="20"/>
        </w:rPr>
        <w:t>提出“要推广物联网、云计算等信息技术在智慧社区、智能医疗、智能家居等服务领域广泛应用”，是我国国家层面首次提及智慧社区的文件。2016年8月民政部下发《全国民政标准化“十三五”发展规划》，明确指出“应着重开展社区信息化和智慧社区建设等标准研制”，从国家层面引导智慧社区建立相关标准，进而实现规范化管理。</w:t>
      </w:r>
    </w:p>
    <w:p>
      <w:pPr>
        <w:spacing w:line="360" w:lineRule="auto"/>
        <w:ind w:firstLine="480" w:firstLineChars="200"/>
        <w:rPr>
          <w:rFonts w:ascii="Arial" w:hAnsi="Arial" w:cs="宋体"/>
          <w:sz w:val="24"/>
          <w:szCs w:val="20"/>
        </w:rPr>
      </w:pPr>
      <w:r>
        <w:rPr>
          <w:rFonts w:hint="eastAsia" w:ascii="Arial" w:hAnsi="Arial" w:cs="宋体"/>
          <w:sz w:val="24"/>
          <w:szCs w:val="20"/>
        </w:rPr>
        <w:t>2017年6月中共中央、国务院印发《关于加强和完善城乡社区治理的意见》。意见提出，到2020年，实施“互联网+社区”行动计划，加快互联网与社区治理和服务体系的深度融合，运用社区论坛、微博、微信、移动客户端等新媒体，引导社区居民密切日常交往、参与公共事务、开展协商活动、组织邻里互助，探索网络化社区治理和服务新模式。发展社区电子商务，按照分级分类推进新型智慧城市建设要求，务实推进智慧社区信息系统建设，积极开发智慧社区移动客户端，实现服务项目、资源和信息的多平台交互和多终端同步。</w:t>
      </w:r>
    </w:p>
    <w:p>
      <w:pPr>
        <w:pStyle w:val="4"/>
      </w:pPr>
      <w:bookmarkStart w:id="59" w:name="_Toc20500878"/>
      <w:bookmarkStart w:id="60" w:name="_Toc19886536"/>
      <w:bookmarkStart w:id="61" w:name="_Toc19920452"/>
      <w:bookmarkStart w:id="62" w:name="_Toc46319041"/>
      <w:bookmarkStart w:id="63" w:name="_Toc46418600"/>
      <w:r>
        <w:rPr>
          <w:rFonts w:hint="eastAsia"/>
        </w:rPr>
        <w:t>12.1.1建设</w:t>
      </w:r>
      <w:r>
        <w:t>现状</w:t>
      </w:r>
      <w:bookmarkEnd w:id="59"/>
      <w:bookmarkEnd w:id="60"/>
      <w:bookmarkEnd w:id="61"/>
      <w:bookmarkEnd w:id="62"/>
      <w:bookmarkEnd w:id="63"/>
    </w:p>
    <w:p>
      <w:pPr>
        <w:rPr>
          <w:b/>
        </w:rPr>
      </w:pPr>
      <w:bookmarkStart w:id="64" w:name="_Toc19920453"/>
      <w:bookmarkStart w:id="65" w:name="_Toc20500879"/>
      <w:r>
        <w:rPr>
          <w:rFonts w:hint="eastAsia"/>
          <w:b/>
        </w:rPr>
        <w:t>安全管理现状</w:t>
      </w:r>
      <w:bookmarkEnd w:id="64"/>
      <w:bookmarkEnd w:id="65"/>
    </w:p>
    <w:p>
      <w:pPr>
        <w:spacing w:line="360" w:lineRule="auto"/>
        <w:ind w:firstLine="480" w:firstLineChars="200"/>
        <w:rPr>
          <w:sz w:val="24"/>
          <w:szCs w:val="21"/>
        </w:rPr>
      </w:pPr>
      <w:r>
        <w:rPr>
          <w:rFonts w:hint="eastAsia"/>
          <w:sz w:val="24"/>
          <w:szCs w:val="21"/>
        </w:rPr>
        <w:t>近年来，随着改革的持续深化，城市化进程的加快，流动人口急剧增加，城市人口状况呈现基数大、流动性大、管控难度高的特点。随着社会的不断发展，新的违法犯罪形式不断出现，社会治安形态呈现复杂多样化的趋势，社区**工作短板和痛点也越来越凸显。受诸多因素影响，当前社区管理工作面临着以下几点问题：</w:t>
      </w:r>
    </w:p>
    <w:p>
      <w:pPr>
        <w:spacing w:line="360" w:lineRule="auto"/>
        <w:ind w:left="420"/>
        <w:rPr>
          <w:sz w:val="24"/>
          <w:szCs w:val="21"/>
        </w:rPr>
      </w:pPr>
      <w:r>
        <w:rPr>
          <w:rFonts w:hint="eastAsia"/>
          <w:sz w:val="24"/>
          <w:szCs w:val="21"/>
        </w:rPr>
        <w:t>数据采集效率低下。社区基础信息采集工作是社区治安防控和社会稳定的根基，目前社区民警的基础信息采集工作仍以传统的上门采集方式为主；故普遍存在准确信息采集难、采集效率低下，采集数据不鲜活的问题，对辖区内居住人员未登记、登记人员搬离的居住动态实时信息掌握难，动态信息更新滞后。</w:t>
      </w:r>
    </w:p>
    <w:p>
      <w:pPr>
        <w:spacing w:line="360" w:lineRule="auto"/>
        <w:ind w:left="420"/>
        <w:rPr>
          <w:sz w:val="24"/>
          <w:szCs w:val="21"/>
        </w:rPr>
      </w:pPr>
      <w:r>
        <w:rPr>
          <w:rFonts w:hint="eastAsia"/>
          <w:sz w:val="24"/>
          <w:szCs w:val="21"/>
        </w:rPr>
        <w:t>缺乏隐患预警预防机制。在社区内公共区域、学校、娱乐场所、沿街商铺等地点出现人员聚集、打架斗殴等异常情况时，无法及时获取消息；无法对社区内疑似盗窃等人员异常情形，疑似犯罪窝点等房屋异常情形，频繁夜间出行等车辆异常情形进行提前预警；采集数据无法与公安业务信息进行融合，为社区违法犯罪案件侦破，事后查证等业务提供应用支撑。</w:t>
      </w:r>
    </w:p>
    <w:p>
      <w:pPr>
        <w:spacing w:line="360" w:lineRule="auto"/>
        <w:ind w:left="420"/>
        <w:rPr>
          <w:sz w:val="24"/>
          <w:szCs w:val="21"/>
        </w:rPr>
      </w:pPr>
      <w:r>
        <w:rPr>
          <w:rFonts w:hint="eastAsia"/>
          <w:sz w:val="24"/>
          <w:szCs w:val="21"/>
        </w:rPr>
        <w:t>重点人员管控困难。社区重点人员管控面临监管范围大、人员流动性强、隐患行为发现难等一系列问题。如重点上访人员在重点时间段（如重要会议、重大活动期间）离开管辖区域，社区范围内肇事肇祸精神病人单独出行、接近社区重点区域（如人员密集区域、幼儿园/学校），社区涉毒人员、社区赌博案底人员、社区涉稳/涉恐人员社区范围内出行异常行为、行迹等， 无法及时有效掌控。</w:t>
      </w:r>
    </w:p>
    <w:p>
      <w:pPr>
        <w:spacing w:line="360" w:lineRule="auto"/>
        <w:ind w:left="420"/>
        <w:rPr>
          <w:sz w:val="24"/>
          <w:szCs w:val="21"/>
        </w:rPr>
      </w:pPr>
      <w:r>
        <w:rPr>
          <w:rFonts w:hint="eastAsia"/>
          <w:sz w:val="24"/>
          <w:szCs w:val="21"/>
        </w:rPr>
        <w:t>**基础设施设备落后。**室建设没有实现“民警办公室”向“群众服务室”的转变，信息化、科技化、智能化的警用设施装备、便民利民设备配备不到位；</w:t>
      </w:r>
    </w:p>
    <w:p>
      <w:pPr>
        <w:rPr>
          <w:b/>
        </w:rPr>
      </w:pPr>
      <w:bookmarkStart w:id="66" w:name="_Toc19920454"/>
      <w:bookmarkStart w:id="67" w:name="_Toc20500880"/>
      <w:r>
        <w:rPr>
          <w:rFonts w:hint="eastAsia"/>
          <w:b/>
        </w:rPr>
        <w:t>基层治理现状</w:t>
      </w:r>
      <w:bookmarkEnd w:id="66"/>
      <w:bookmarkEnd w:id="67"/>
    </w:p>
    <w:p>
      <w:pPr>
        <w:spacing w:line="360" w:lineRule="auto"/>
        <w:ind w:firstLine="480" w:firstLineChars="200"/>
        <w:rPr>
          <w:sz w:val="24"/>
          <w:szCs w:val="21"/>
        </w:rPr>
      </w:pPr>
      <w:r>
        <w:rPr>
          <w:rFonts w:hint="eastAsia"/>
          <w:sz w:val="24"/>
          <w:szCs w:val="21"/>
        </w:rPr>
        <w:t>随着经济的发展和社会的进步，我国政府执政理念也在不断更新，逐渐由传统的社会管理向社会治理转变。近年来，基层政府坚持持续探索和创新治理理念，立足各地实际不断优化治理模式。在此背景下，多元共治理念被广泛应用于基层治理领域，有效提升了社会治理能力。党的十九大报告提出，要“打造共建共治共享的社会治理格局”，为社会治理进一步指明了发展方向。当前基层治理工作的开展主要面临着以下几点问题：</w:t>
      </w:r>
    </w:p>
    <w:p>
      <w:pPr>
        <w:spacing w:line="360" w:lineRule="auto"/>
        <w:ind w:firstLine="480" w:firstLineChars="200"/>
        <w:rPr>
          <w:sz w:val="24"/>
          <w:szCs w:val="21"/>
        </w:rPr>
      </w:pPr>
      <w:r>
        <w:rPr>
          <w:rFonts w:hint="eastAsia"/>
          <w:sz w:val="24"/>
          <w:szCs w:val="21"/>
        </w:rPr>
        <w:t>党政宣传力度不佳。党政宣传是政府日常工作的重要环节，是政府形象对外展示的重要途径，但是当前宣传手段比较单一，无法做到居民的全覆盖。同时缺乏一个可为居民提供政民互通交流的渠道，且基层自治组织和居民没有充分交融，很多民间的意见没有办法汇聚上来，导致居民对社区党政工作的认同感不高。</w:t>
      </w:r>
    </w:p>
    <w:p>
      <w:pPr>
        <w:spacing w:line="360" w:lineRule="auto"/>
        <w:ind w:firstLine="480" w:firstLineChars="200"/>
        <w:rPr>
          <w:sz w:val="24"/>
          <w:szCs w:val="21"/>
        </w:rPr>
      </w:pPr>
      <w:r>
        <w:rPr>
          <w:rFonts w:hint="eastAsia"/>
          <w:sz w:val="24"/>
          <w:szCs w:val="21"/>
        </w:rPr>
        <w:t>社区重点关注人员关怀力度差。对于社区内部的重点关注人员，如社区矫正人员、老人、上访人员等，镇街政府无法实时了解到其日常动态，以至于无法在适当的时机前往探望给予政府关怀，常常会导致一些不良事件的发生。</w:t>
      </w:r>
    </w:p>
    <w:p>
      <w:pPr>
        <w:spacing w:line="360" w:lineRule="auto"/>
        <w:ind w:firstLine="480" w:firstLineChars="200"/>
        <w:rPr>
          <w:sz w:val="24"/>
          <w:szCs w:val="21"/>
        </w:rPr>
      </w:pPr>
      <w:r>
        <w:rPr>
          <w:rFonts w:hint="eastAsia"/>
          <w:sz w:val="24"/>
          <w:szCs w:val="21"/>
        </w:rPr>
        <w:t>统筹调动整体资源能力不足。社区各类人力、信息资源没有得到有效整合，社会面资源利用率低下，社区基层自治能力弱，导致政府投入力度大，然而整体治理效果却不佳的情况发生。</w:t>
      </w:r>
    </w:p>
    <w:p>
      <w:pPr>
        <w:spacing w:line="360" w:lineRule="auto"/>
        <w:ind w:firstLine="480" w:firstLineChars="200"/>
        <w:rPr>
          <w:sz w:val="24"/>
          <w:szCs w:val="21"/>
        </w:rPr>
      </w:pPr>
      <w:r>
        <w:rPr>
          <w:rFonts w:hint="eastAsia"/>
          <w:sz w:val="24"/>
          <w:szCs w:val="21"/>
        </w:rPr>
        <w:t>社区消防管控缺失。社区消防影响民生，政府对于社区消防安全方面关注程度较高，但是目前无法实时查询到各个社区的消防数据，导致无法根据现场情况及时采集合理的策略予以规避。</w:t>
      </w:r>
    </w:p>
    <w:p>
      <w:pPr>
        <w:rPr>
          <w:b/>
        </w:rPr>
      </w:pPr>
      <w:bookmarkStart w:id="68" w:name="_Toc19920455"/>
      <w:bookmarkStart w:id="69" w:name="_Toc20500881"/>
      <w:r>
        <w:rPr>
          <w:rFonts w:hint="eastAsia"/>
          <w:b/>
        </w:rPr>
        <w:t>物业管理现状</w:t>
      </w:r>
      <w:bookmarkEnd w:id="68"/>
      <w:bookmarkEnd w:id="69"/>
    </w:p>
    <w:p>
      <w:pPr>
        <w:spacing w:line="360" w:lineRule="auto"/>
        <w:ind w:firstLine="480" w:firstLineChars="200"/>
        <w:rPr>
          <w:sz w:val="24"/>
          <w:szCs w:val="21"/>
        </w:rPr>
      </w:pPr>
      <w:r>
        <w:rPr>
          <w:sz w:val="24"/>
          <w:szCs w:val="21"/>
        </w:rPr>
        <w:t>随着人民生活水平和生活质量的不断提高，居住的安全需求逐渐成为了大家关注的一个焦点问题。人们对居住的环境</w:t>
      </w:r>
      <w:r>
        <w:rPr>
          <w:rFonts w:hint="eastAsia"/>
          <w:sz w:val="24"/>
          <w:szCs w:val="21"/>
        </w:rPr>
        <w:t>的需求</w:t>
      </w:r>
      <w:r>
        <w:rPr>
          <w:sz w:val="24"/>
          <w:szCs w:val="21"/>
        </w:rPr>
        <w:t>，不再仅局限于小区的舒适性、住宅的装修等，对小区的</w:t>
      </w:r>
      <w:r>
        <w:rPr>
          <w:rFonts w:hint="eastAsia"/>
          <w:sz w:val="24"/>
          <w:szCs w:val="21"/>
        </w:rPr>
        <w:t>安全性</w:t>
      </w:r>
      <w:r>
        <w:rPr>
          <w:sz w:val="24"/>
          <w:szCs w:val="21"/>
        </w:rPr>
        <w:t>也开始愈来愈关心。城镇化进程促使越来越多的大型小区、高端住宅区的涌现，人流与车流日渐密集。人、财、物的聚集与频繁流动是现代化小区的显著特征，由此引起的众多问题也日益突现，如非法入侵行窃、寻仇挑衅、车辆刮擦纠纷、外来营销骚扰、老人儿童失踪等</w:t>
      </w:r>
      <w:r>
        <w:rPr>
          <w:rFonts w:hint="eastAsia"/>
          <w:sz w:val="24"/>
          <w:szCs w:val="21"/>
        </w:rPr>
        <w:t>，对物业管理工作带来了极大的挑战，目前物业管理主要有以下几点问题：</w:t>
      </w:r>
    </w:p>
    <w:p>
      <w:pPr>
        <w:spacing w:line="360" w:lineRule="auto"/>
        <w:ind w:firstLine="480" w:firstLineChars="200"/>
        <w:rPr>
          <w:sz w:val="24"/>
          <w:szCs w:val="21"/>
        </w:rPr>
      </w:pPr>
      <w:r>
        <w:rPr>
          <w:rFonts w:hint="eastAsia"/>
          <w:sz w:val="24"/>
          <w:szCs w:val="21"/>
        </w:rPr>
        <w:t>自成体系</w:t>
      </w:r>
      <w:r>
        <w:rPr>
          <w:sz w:val="24"/>
          <w:szCs w:val="21"/>
        </w:rPr>
        <w:t>，整合困难</w:t>
      </w:r>
    </w:p>
    <w:p>
      <w:pPr>
        <w:spacing w:line="360" w:lineRule="auto"/>
        <w:ind w:firstLine="480" w:firstLineChars="200"/>
        <w:rPr>
          <w:sz w:val="24"/>
          <w:szCs w:val="21"/>
        </w:rPr>
      </w:pPr>
      <w:r>
        <w:rPr>
          <w:sz w:val="24"/>
          <w:szCs w:val="21"/>
        </w:rPr>
        <w:t>小区安防系统涵盖的子系统越来越多，包括但不限于视频监控系统、入侵报警系统、车辆管理系统、可视对讲系统等，长期以来，技术安防领域众多分项系统各自为政，各厂家单一业务的产品规划，</w:t>
      </w:r>
      <w:r>
        <w:rPr>
          <w:rFonts w:hint="eastAsia"/>
          <w:sz w:val="24"/>
          <w:szCs w:val="21"/>
        </w:rPr>
        <w:t>接口</w:t>
      </w:r>
      <w:r>
        <w:rPr>
          <w:sz w:val="24"/>
          <w:szCs w:val="21"/>
        </w:rPr>
        <w:t>和协议不统一，造成</w:t>
      </w:r>
      <w:r>
        <w:rPr>
          <w:rFonts w:hint="eastAsia"/>
          <w:sz w:val="24"/>
          <w:szCs w:val="21"/>
        </w:rPr>
        <w:t>厂商</w:t>
      </w:r>
      <w:r>
        <w:rPr>
          <w:sz w:val="24"/>
          <w:szCs w:val="21"/>
        </w:rPr>
        <w:t>间系统的</w:t>
      </w:r>
      <w:r>
        <w:rPr>
          <w:rFonts w:hint="eastAsia"/>
          <w:sz w:val="24"/>
          <w:szCs w:val="21"/>
        </w:rPr>
        <w:t>对</w:t>
      </w:r>
      <w:r>
        <w:rPr>
          <w:sz w:val="24"/>
          <w:szCs w:val="21"/>
        </w:rPr>
        <w:t>接</w:t>
      </w:r>
      <w:r>
        <w:rPr>
          <w:rFonts w:hint="eastAsia"/>
          <w:sz w:val="24"/>
          <w:szCs w:val="21"/>
        </w:rPr>
        <w:t>困难</w:t>
      </w:r>
      <w:r>
        <w:rPr>
          <w:sz w:val="24"/>
          <w:szCs w:val="21"/>
        </w:rPr>
        <w:t>，在资源与业务整合上产生瓶颈</w:t>
      </w:r>
      <w:r>
        <w:rPr>
          <w:rFonts w:hint="eastAsia"/>
          <w:sz w:val="24"/>
          <w:szCs w:val="21"/>
        </w:rPr>
        <w:t>。</w:t>
      </w:r>
    </w:p>
    <w:p>
      <w:pPr>
        <w:spacing w:line="360" w:lineRule="auto"/>
        <w:ind w:firstLine="480" w:firstLineChars="200"/>
        <w:rPr>
          <w:sz w:val="24"/>
          <w:szCs w:val="21"/>
        </w:rPr>
      </w:pPr>
      <w:r>
        <w:rPr>
          <w:rFonts w:hint="eastAsia"/>
          <w:sz w:val="24"/>
          <w:szCs w:val="21"/>
        </w:rPr>
        <w:t>物业管理成本较高</w:t>
      </w:r>
    </w:p>
    <w:p>
      <w:pPr>
        <w:spacing w:line="360" w:lineRule="auto"/>
        <w:ind w:firstLine="480" w:firstLineChars="200"/>
        <w:rPr>
          <w:sz w:val="24"/>
          <w:szCs w:val="21"/>
        </w:rPr>
      </w:pPr>
      <w:r>
        <w:rPr>
          <w:rFonts w:hint="eastAsia"/>
          <w:sz w:val="24"/>
          <w:szCs w:val="21"/>
        </w:rPr>
        <w:t>物业需要从</w:t>
      </w:r>
      <w:r>
        <w:rPr>
          <w:sz w:val="24"/>
          <w:szCs w:val="21"/>
        </w:rPr>
        <w:t>不同厂商购买多个</w:t>
      </w:r>
      <w:r>
        <w:rPr>
          <w:rFonts w:hint="eastAsia"/>
          <w:sz w:val="24"/>
          <w:szCs w:val="21"/>
        </w:rPr>
        <w:t>系统</w:t>
      </w:r>
      <w:r>
        <w:rPr>
          <w:sz w:val="24"/>
          <w:szCs w:val="21"/>
        </w:rPr>
        <w:t>用来满足不同的安防需求，成本较高，</w:t>
      </w:r>
      <w:r>
        <w:rPr>
          <w:rFonts w:hint="eastAsia"/>
          <w:sz w:val="24"/>
          <w:szCs w:val="21"/>
        </w:rPr>
        <w:t>采购</w:t>
      </w:r>
      <w:r>
        <w:rPr>
          <w:sz w:val="24"/>
          <w:szCs w:val="21"/>
        </w:rPr>
        <w:t>复杂；</w:t>
      </w:r>
      <w:r>
        <w:rPr>
          <w:rFonts w:hint="eastAsia"/>
          <w:sz w:val="24"/>
          <w:szCs w:val="21"/>
        </w:rPr>
        <w:t>业</w:t>
      </w:r>
      <w:r>
        <w:rPr>
          <w:sz w:val="24"/>
          <w:szCs w:val="21"/>
        </w:rPr>
        <w:t>主</w:t>
      </w:r>
      <w:r>
        <w:rPr>
          <w:rFonts w:hint="eastAsia"/>
          <w:sz w:val="24"/>
          <w:szCs w:val="21"/>
        </w:rPr>
        <w:t>无</w:t>
      </w:r>
      <w:r>
        <w:rPr>
          <w:sz w:val="24"/>
          <w:szCs w:val="21"/>
        </w:rPr>
        <w:t>法</w:t>
      </w:r>
      <w:r>
        <w:rPr>
          <w:rFonts w:hint="eastAsia"/>
          <w:sz w:val="24"/>
          <w:szCs w:val="21"/>
        </w:rPr>
        <w:t>感受</w:t>
      </w:r>
      <w:r>
        <w:rPr>
          <w:sz w:val="24"/>
          <w:szCs w:val="21"/>
        </w:rPr>
        <w:t>到多个系统带来的舒适便捷，</w:t>
      </w:r>
      <w:r>
        <w:rPr>
          <w:rFonts w:hint="eastAsia"/>
          <w:sz w:val="24"/>
          <w:szCs w:val="21"/>
        </w:rPr>
        <w:t>用户</w:t>
      </w:r>
      <w:r>
        <w:rPr>
          <w:sz w:val="24"/>
          <w:szCs w:val="21"/>
        </w:rPr>
        <w:t>体验较差；</w:t>
      </w:r>
      <w:r>
        <w:rPr>
          <w:rFonts w:hint="eastAsia"/>
          <w:sz w:val="24"/>
          <w:szCs w:val="21"/>
        </w:rPr>
        <w:t>物业需要安排大</w:t>
      </w:r>
      <w:r>
        <w:rPr>
          <w:sz w:val="24"/>
          <w:szCs w:val="21"/>
        </w:rPr>
        <w:t>量的</w:t>
      </w:r>
      <w:r>
        <w:rPr>
          <w:rFonts w:hint="eastAsia"/>
          <w:sz w:val="24"/>
          <w:szCs w:val="21"/>
        </w:rPr>
        <w:t>人</w:t>
      </w:r>
      <w:r>
        <w:rPr>
          <w:sz w:val="24"/>
          <w:szCs w:val="21"/>
        </w:rPr>
        <w:t>力资</w:t>
      </w:r>
      <w:r>
        <w:rPr>
          <w:rFonts w:hint="eastAsia"/>
          <w:sz w:val="24"/>
          <w:szCs w:val="21"/>
        </w:rPr>
        <w:t>源来学习</w:t>
      </w:r>
      <w:r>
        <w:rPr>
          <w:sz w:val="24"/>
          <w:szCs w:val="21"/>
        </w:rPr>
        <w:t>并管理多个系统</w:t>
      </w:r>
      <w:r>
        <w:rPr>
          <w:rFonts w:hint="eastAsia"/>
          <w:sz w:val="24"/>
          <w:szCs w:val="21"/>
        </w:rPr>
        <w:t>，</w:t>
      </w:r>
      <w:r>
        <w:rPr>
          <w:sz w:val="24"/>
          <w:szCs w:val="21"/>
        </w:rPr>
        <w:t>人力成本较高</w:t>
      </w:r>
      <w:r>
        <w:rPr>
          <w:rFonts w:hint="eastAsia"/>
          <w:sz w:val="24"/>
          <w:szCs w:val="21"/>
        </w:rPr>
        <w:t>。在这</w:t>
      </w:r>
      <w:r>
        <w:rPr>
          <w:sz w:val="24"/>
          <w:szCs w:val="21"/>
        </w:rPr>
        <w:t>种情况下，如何将同一项目的多个弱电分项系统进行统畴规划，统一管理，建设一个居住安全舒适，服务功能齐全，同时满足管理人员高效、便捷管理的智能化小区，是房产投资方、物业管理人员以及小区用户日益关注的话题。</w:t>
      </w:r>
    </w:p>
    <w:p>
      <w:pPr>
        <w:spacing w:line="360" w:lineRule="auto"/>
        <w:ind w:firstLine="480" w:firstLineChars="200"/>
        <w:rPr>
          <w:sz w:val="24"/>
          <w:szCs w:val="21"/>
        </w:rPr>
      </w:pPr>
      <w:r>
        <w:rPr>
          <w:rFonts w:hint="eastAsia"/>
          <w:sz w:val="24"/>
          <w:szCs w:val="21"/>
        </w:rPr>
        <w:t>人员车辆管理困难</w:t>
      </w:r>
    </w:p>
    <w:p>
      <w:pPr>
        <w:spacing w:line="360" w:lineRule="auto"/>
        <w:ind w:firstLine="480" w:firstLineChars="200"/>
        <w:rPr>
          <w:sz w:val="24"/>
          <w:szCs w:val="21"/>
        </w:rPr>
      </w:pPr>
      <w:r>
        <w:rPr>
          <w:rFonts w:hint="eastAsia"/>
          <w:sz w:val="24"/>
          <w:szCs w:val="21"/>
        </w:rPr>
        <w:t>由于流动人口的急剧增加，社区入住人员日趋复杂，并且社区每天还有大量外部人员进出，如外卖、环卫、家政、施工等，导致人员出入管控难度进一步增加。部分社区甚至存在公共设施维护不到位，出现供暖、供水、供电等严重影响居民生活的问题。同时随着人均车辆保有量的提升，为人们提供了出行的便利，但也给物业的车辆管理带来更多挑战。</w:t>
      </w:r>
      <w:r>
        <w:rPr>
          <w:sz w:val="24"/>
          <w:szCs w:val="21"/>
        </w:rPr>
        <w:t xml:space="preserve"> </w:t>
      </w:r>
    </w:p>
    <w:p>
      <w:pPr>
        <w:spacing w:line="360" w:lineRule="auto"/>
        <w:ind w:firstLine="480" w:firstLineChars="200"/>
        <w:rPr>
          <w:sz w:val="24"/>
          <w:szCs w:val="21"/>
        </w:rPr>
      </w:pPr>
      <w:r>
        <w:rPr>
          <w:rFonts w:hint="eastAsia"/>
          <w:sz w:val="24"/>
          <w:szCs w:val="21"/>
        </w:rPr>
        <w:t>其他日常管理问题</w:t>
      </w:r>
    </w:p>
    <w:p>
      <w:pPr>
        <w:spacing w:line="360" w:lineRule="auto"/>
        <w:ind w:firstLine="480" w:firstLineChars="200"/>
        <w:rPr>
          <w:rFonts w:hint="eastAsia"/>
          <w:sz w:val="24"/>
          <w:szCs w:val="21"/>
        </w:rPr>
      </w:pPr>
      <w:r>
        <w:rPr>
          <w:rFonts w:hint="eastAsia"/>
          <w:sz w:val="24"/>
          <w:szCs w:val="21"/>
        </w:rPr>
        <w:t>物业管理还面临着诸多其他问题，如垃圾回收清运、日常设备检修与维护、环境监测等。繁多的管理类目，复杂的管理业务，都对物业的管理水平提出的更高的要求。</w:t>
      </w:r>
    </w:p>
    <w:p>
      <w:pPr>
        <w:rPr>
          <w:rFonts w:hint="eastAsia"/>
        </w:rPr>
      </w:pPr>
    </w:p>
    <w:p>
      <w:pPr>
        <w:pStyle w:val="3"/>
        <w:spacing w:before="0" w:after="0" w:line="440" w:lineRule="exact"/>
        <w:rPr>
          <w:rFonts w:ascii="宋体" w:hAnsi="宋体" w:eastAsia="宋体"/>
          <w:bCs w:val="0"/>
          <w:color w:val="000000"/>
          <w:sz w:val="24"/>
          <w:szCs w:val="24"/>
        </w:rPr>
      </w:pPr>
      <w:bookmarkStart w:id="70" w:name="_Toc46418601"/>
      <w:bookmarkStart w:id="71" w:name="_Toc43723016"/>
      <w:bookmarkStart w:id="72" w:name="_Toc46319042"/>
      <w:r>
        <w:rPr>
          <w:rFonts w:hint="eastAsia" w:ascii="宋体" w:hAnsi="宋体" w:eastAsia="宋体"/>
          <w:bCs w:val="0"/>
          <w:color w:val="000000"/>
          <w:sz w:val="24"/>
          <w:szCs w:val="24"/>
        </w:rPr>
        <w:t>12.2</w:t>
      </w:r>
      <w:r>
        <w:rPr>
          <w:rFonts w:ascii="宋体" w:hAnsi="宋体" w:eastAsia="宋体"/>
          <w:bCs w:val="0"/>
          <w:color w:val="000000"/>
          <w:sz w:val="24"/>
          <w:szCs w:val="24"/>
        </w:rPr>
        <w:t>需求</w:t>
      </w:r>
      <w:r>
        <w:rPr>
          <w:rFonts w:hint="eastAsia" w:ascii="宋体" w:hAnsi="宋体" w:eastAsia="宋体"/>
          <w:bCs w:val="0"/>
          <w:color w:val="000000"/>
          <w:sz w:val="24"/>
          <w:szCs w:val="24"/>
        </w:rPr>
        <w:t>与目标</w:t>
      </w:r>
      <w:bookmarkEnd w:id="70"/>
      <w:bookmarkEnd w:id="71"/>
      <w:bookmarkEnd w:id="72"/>
    </w:p>
    <w:p>
      <w:pPr>
        <w:pStyle w:val="4"/>
      </w:pPr>
      <w:bookmarkStart w:id="73" w:name="_Toc46418602"/>
      <w:bookmarkStart w:id="74" w:name="_Toc43723017"/>
      <w:bookmarkStart w:id="75" w:name="_Toc46319043"/>
      <w:r>
        <w:rPr>
          <w:rFonts w:hint="eastAsia"/>
        </w:rPr>
        <w:t>12.2.1需求分析</w:t>
      </w:r>
      <w:bookmarkEnd w:id="73"/>
      <w:bookmarkEnd w:id="74"/>
      <w:bookmarkEnd w:id="75"/>
    </w:p>
    <w:p>
      <w:pPr>
        <w:rPr>
          <w:b/>
        </w:rPr>
      </w:pPr>
      <w:bookmarkStart w:id="76" w:name="_Toc43723018"/>
      <w:r>
        <w:rPr>
          <w:rFonts w:hint="eastAsia"/>
          <w:b/>
        </w:rPr>
        <w:t>实有人口精细管控</w:t>
      </w:r>
      <w:r>
        <w:rPr>
          <w:b/>
        </w:rPr>
        <w:t>，</w:t>
      </w:r>
      <w:r>
        <w:rPr>
          <w:rFonts w:hint="eastAsia"/>
          <w:b/>
        </w:rPr>
        <w:t>确保</w:t>
      </w:r>
      <w:r>
        <w:rPr>
          <w:b/>
        </w:rPr>
        <w:t>数据鲜活</w:t>
      </w:r>
      <w:bookmarkEnd w:id="76"/>
    </w:p>
    <w:p>
      <w:pPr>
        <w:spacing w:line="360" w:lineRule="auto"/>
        <w:ind w:firstLine="480" w:firstLineChars="200"/>
        <w:rPr>
          <w:sz w:val="24"/>
        </w:rPr>
      </w:pPr>
      <w:r>
        <w:rPr>
          <w:sz w:val="24"/>
          <w:szCs w:val="21"/>
        </w:rPr>
        <w:t>结合小区物业</w:t>
      </w:r>
      <w:r>
        <w:rPr>
          <w:rFonts w:hint="eastAsia"/>
          <w:sz w:val="24"/>
          <w:szCs w:val="21"/>
        </w:rPr>
        <w:t>登记记录</w:t>
      </w:r>
      <w:r>
        <w:rPr>
          <w:sz w:val="24"/>
          <w:szCs w:val="21"/>
        </w:rPr>
        <w:t>、</w:t>
      </w:r>
      <w:r>
        <w:rPr>
          <w:rFonts w:hint="eastAsia"/>
          <w:sz w:val="24"/>
          <w:szCs w:val="21"/>
        </w:rPr>
        <w:t>辖区</w:t>
      </w:r>
      <w:r>
        <w:rPr>
          <w:sz w:val="24"/>
          <w:szCs w:val="21"/>
        </w:rPr>
        <w:t>一标三实</w:t>
      </w:r>
      <w:r>
        <w:rPr>
          <w:rFonts w:hint="eastAsia"/>
          <w:sz w:val="24"/>
          <w:szCs w:val="21"/>
        </w:rPr>
        <w:t>数据</w:t>
      </w:r>
      <w:r>
        <w:rPr>
          <w:sz w:val="24"/>
          <w:szCs w:val="21"/>
        </w:rPr>
        <w:t>，通过小区或单元楼出入口等核心出入区域人员、车辆通行记录</w:t>
      </w:r>
      <w:r>
        <w:rPr>
          <w:rFonts w:hint="eastAsia"/>
          <w:sz w:val="24"/>
          <w:szCs w:val="21"/>
        </w:rPr>
        <w:t>的</w:t>
      </w:r>
      <w:r>
        <w:rPr>
          <w:sz w:val="24"/>
          <w:szCs w:val="21"/>
        </w:rPr>
        <w:t>采集和分析，实现疑似居住未登记人员、疑似已登记搬离人员识别分析，根据研判信息核实、人工核查结果对人员进行入库处理</w:t>
      </w:r>
      <w:r>
        <w:rPr>
          <w:rFonts w:hint="eastAsia"/>
          <w:sz w:val="24"/>
          <w:szCs w:val="21"/>
        </w:rPr>
        <w:t>，</w:t>
      </w:r>
      <w:r>
        <w:rPr>
          <w:sz w:val="24"/>
          <w:szCs w:val="21"/>
        </w:rPr>
        <w:t>为公安“一标三实”平台名单库提供鲜活数据</w:t>
      </w:r>
      <w:r>
        <w:rPr>
          <w:rFonts w:hint="eastAsia"/>
          <w:sz w:val="24"/>
          <w:szCs w:val="21"/>
        </w:rPr>
        <w:t>。确保</w:t>
      </w:r>
      <w:r>
        <w:rPr>
          <w:rFonts w:hint="eastAsia"/>
          <w:sz w:val="24"/>
        </w:rPr>
        <w:t>业主与房屋关联信息、租客与房屋关联信息、业主与租客关联信息的</w:t>
      </w:r>
      <w:r>
        <w:rPr>
          <w:sz w:val="24"/>
        </w:rPr>
        <w:t>鲜活</w:t>
      </w:r>
      <w:r>
        <w:rPr>
          <w:rFonts w:hint="eastAsia"/>
          <w:sz w:val="24"/>
        </w:rPr>
        <w:t>，实现以人查落脚点的快速</w:t>
      </w:r>
      <w:r>
        <w:rPr>
          <w:sz w:val="24"/>
        </w:rPr>
        <w:t>准确</w:t>
      </w:r>
      <w:r>
        <w:rPr>
          <w:rFonts w:hint="eastAsia"/>
          <w:sz w:val="24"/>
        </w:rPr>
        <w:t>，推动基层</w:t>
      </w:r>
      <w:r>
        <w:rPr>
          <w:sz w:val="24"/>
        </w:rPr>
        <w:t>**</w:t>
      </w:r>
      <w:r>
        <w:rPr>
          <w:rFonts w:hint="eastAsia"/>
          <w:sz w:val="24"/>
        </w:rPr>
        <w:t>人口</w:t>
      </w:r>
      <w:r>
        <w:rPr>
          <w:sz w:val="24"/>
        </w:rPr>
        <w:t>管理</w:t>
      </w:r>
      <w:r>
        <w:rPr>
          <w:rFonts w:hint="eastAsia"/>
          <w:sz w:val="24"/>
        </w:rPr>
        <w:t>工作</w:t>
      </w:r>
      <w:r>
        <w:rPr>
          <w:sz w:val="24"/>
        </w:rPr>
        <w:t>机制转变</w:t>
      </w:r>
      <w:r>
        <w:rPr>
          <w:rFonts w:hint="eastAsia"/>
          <w:sz w:val="24"/>
        </w:rPr>
        <w:t>。</w:t>
      </w:r>
    </w:p>
    <w:p>
      <w:pPr>
        <w:rPr>
          <w:b/>
        </w:rPr>
      </w:pPr>
      <w:bookmarkStart w:id="77" w:name="_Toc43723019"/>
      <w:r>
        <w:rPr>
          <w:rFonts w:hint="eastAsia"/>
          <w:b/>
        </w:rPr>
        <w:t>案事件线索</w:t>
      </w:r>
      <w:r>
        <w:rPr>
          <w:b/>
        </w:rPr>
        <w:t>快速获取</w:t>
      </w:r>
      <w:r>
        <w:rPr>
          <w:rFonts w:hint="eastAsia"/>
          <w:b/>
        </w:rPr>
        <w:t>，提供证据</w:t>
      </w:r>
      <w:r>
        <w:rPr>
          <w:b/>
        </w:rPr>
        <w:t>支撑</w:t>
      </w:r>
      <w:bookmarkEnd w:id="77"/>
    </w:p>
    <w:p>
      <w:pPr>
        <w:spacing w:line="360" w:lineRule="auto"/>
        <w:ind w:firstLine="480" w:firstLineChars="200"/>
        <w:rPr>
          <w:sz w:val="24"/>
          <w:szCs w:val="21"/>
        </w:rPr>
      </w:pPr>
      <w:r>
        <w:rPr>
          <w:rFonts w:hint="eastAsia"/>
          <w:sz w:val="24"/>
          <w:szCs w:val="21"/>
        </w:rPr>
        <w:t>***民警可调阅辖属范围内的小区视频图像资源，包括实时预览、点播录像、</w:t>
      </w:r>
      <w:r>
        <w:rPr>
          <w:sz w:val="24"/>
          <w:szCs w:val="21"/>
        </w:rPr>
        <w:t>人</w:t>
      </w:r>
      <w:r>
        <w:rPr>
          <w:rFonts w:hint="eastAsia"/>
          <w:sz w:val="24"/>
          <w:szCs w:val="21"/>
        </w:rPr>
        <w:t>脸</w:t>
      </w:r>
      <w:r>
        <w:rPr>
          <w:sz w:val="24"/>
          <w:szCs w:val="21"/>
        </w:rPr>
        <w:t>检索</w:t>
      </w:r>
      <w:r>
        <w:rPr>
          <w:rFonts w:hint="eastAsia"/>
          <w:sz w:val="24"/>
          <w:szCs w:val="21"/>
        </w:rPr>
        <w:t>、</w:t>
      </w:r>
      <w:r>
        <w:rPr>
          <w:sz w:val="24"/>
          <w:szCs w:val="21"/>
        </w:rPr>
        <w:t>车辆查询等</w:t>
      </w:r>
      <w:r>
        <w:rPr>
          <w:rFonts w:hint="eastAsia"/>
          <w:sz w:val="24"/>
          <w:szCs w:val="21"/>
        </w:rPr>
        <w:t>，发生警情时快速掌握现场情况。实现实时视频巡逻，通过抓拍抓录与目标标注，及时将可疑视频、图像信息保存，彻底消除小区的视觉死角。对涉案小区视频图像资料进行平台在线采集和装备离线采集，提供证据支撑。</w:t>
      </w:r>
    </w:p>
    <w:p>
      <w:pPr>
        <w:rPr>
          <w:b/>
        </w:rPr>
      </w:pPr>
      <w:bookmarkStart w:id="78" w:name="_Toc43723020"/>
      <w:r>
        <w:rPr>
          <w:rFonts w:hint="eastAsia"/>
          <w:b/>
        </w:rPr>
        <w:t>重点</w:t>
      </w:r>
      <w:r>
        <w:rPr>
          <w:b/>
        </w:rPr>
        <w:t>人员</w:t>
      </w:r>
      <w:r>
        <w:rPr>
          <w:rFonts w:hint="eastAsia"/>
          <w:b/>
        </w:rPr>
        <w:t>服务管理，实现异常预警</w:t>
      </w:r>
      <w:bookmarkEnd w:id="78"/>
    </w:p>
    <w:p>
      <w:pPr>
        <w:spacing w:line="360" w:lineRule="auto"/>
        <w:ind w:firstLine="480" w:firstLineChars="200"/>
        <w:rPr>
          <w:sz w:val="24"/>
          <w:szCs w:val="21"/>
        </w:rPr>
      </w:pPr>
      <w:r>
        <w:rPr>
          <w:sz w:val="24"/>
          <w:szCs w:val="21"/>
        </w:rPr>
        <w:t>针对</w:t>
      </w:r>
      <w:r>
        <w:rPr>
          <w:rFonts w:hint="eastAsia"/>
          <w:sz w:val="24"/>
          <w:szCs w:val="21"/>
        </w:rPr>
        <w:t>小</w:t>
      </w:r>
      <w:r>
        <w:rPr>
          <w:sz w:val="24"/>
          <w:szCs w:val="21"/>
        </w:rPr>
        <w:t>区重点上访人员在重点时间段（如重要会议、重大活动期间）疑似离开管辖区域，</w:t>
      </w:r>
      <w:r>
        <w:rPr>
          <w:rFonts w:hint="eastAsia"/>
          <w:sz w:val="24"/>
          <w:szCs w:val="21"/>
        </w:rPr>
        <w:t>小</w:t>
      </w:r>
      <w:r>
        <w:rPr>
          <w:sz w:val="24"/>
          <w:szCs w:val="21"/>
        </w:rPr>
        <w:t>区范畴内肇事肇祸精神病人单独出行、接近</w:t>
      </w:r>
      <w:r>
        <w:rPr>
          <w:rFonts w:hint="eastAsia"/>
          <w:sz w:val="24"/>
          <w:szCs w:val="21"/>
        </w:rPr>
        <w:t>小</w:t>
      </w:r>
      <w:r>
        <w:rPr>
          <w:sz w:val="24"/>
          <w:szCs w:val="21"/>
        </w:rPr>
        <w:t>区重点区域（如人员密集区域、幼儿园/学校），</w:t>
      </w:r>
      <w:r>
        <w:rPr>
          <w:rFonts w:hint="eastAsia"/>
          <w:sz w:val="24"/>
          <w:szCs w:val="21"/>
        </w:rPr>
        <w:t>以及小区重点人员</w:t>
      </w:r>
      <w:r>
        <w:rPr>
          <w:sz w:val="24"/>
          <w:szCs w:val="21"/>
        </w:rPr>
        <w:t>出行异常、多日未出现等可疑行为，通过人脸识别、车辆识别等技术的应用，结合行为规律挖掘和针对性模型自动分析，及时掌控重点对象的动态，对有违法犯罪苗头的做到实时发现、及时采取措施依法管理、控制，从根本上遏制重点人员再次违法犯罪。</w:t>
      </w:r>
    </w:p>
    <w:p>
      <w:pPr>
        <w:pStyle w:val="4"/>
      </w:pPr>
      <w:bookmarkStart w:id="79" w:name="_Toc46319044"/>
      <w:bookmarkStart w:id="80" w:name="_Toc43723021"/>
      <w:bookmarkStart w:id="81" w:name="_Toc46418603"/>
      <w:r>
        <w:rPr>
          <w:rFonts w:hint="eastAsia"/>
        </w:rPr>
        <w:t>12.2.2建设目标</w:t>
      </w:r>
      <w:bookmarkEnd w:id="79"/>
      <w:bookmarkEnd w:id="80"/>
      <w:bookmarkEnd w:id="81"/>
    </w:p>
    <w:p>
      <w:pPr>
        <w:rPr>
          <w:b/>
        </w:rPr>
      </w:pPr>
      <w:bookmarkStart w:id="82" w:name="_Toc43723022"/>
      <w:r>
        <w:rPr>
          <w:rFonts w:hint="eastAsia"/>
          <w:b/>
        </w:rPr>
        <w:t>信息</w:t>
      </w:r>
      <w:r>
        <w:rPr>
          <w:b/>
        </w:rPr>
        <w:t>采集</w:t>
      </w:r>
      <w:r>
        <w:rPr>
          <w:rFonts w:hint="eastAsia"/>
          <w:b/>
        </w:rPr>
        <w:t>更智能</w:t>
      </w:r>
      <w:bookmarkEnd w:id="82"/>
    </w:p>
    <w:p>
      <w:pPr>
        <w:spacing w:line="360" w:lineRule="auto"/>
        <w:ind w:firstLine="480" w:firstLineChars="200"/>
        <w:rPr>
          <w:sz w:val="24"/>
        </w:rPr>
      </w:pPr>
      <w:r>
        <w:rPr>
          <w:rFonts w:hint="eastAsia"/>
          <w:sz w:val="24"/>
          <w:szCs w:val="21"/>
        </w:rPr>
        <w:t>利用</w:t>
      </w:r>
      <w:r>
        <w:rPr>
          <w:sz w:val="24"/>
          <w:szCs w:val="21"/>
        </w:rPr>
        <w:t>智慧安防小区</w:t>
      </w:r>
      <w:r>
        <w:rPr>
          <w:rFonts w:hint="eastAsia"/>
          <w:sz w:val="24"/>
          <w:szCs w:val="21"/>
        </w:rPr>
        <w:t>项目</w:t>
      </w:r>
      <w:r>
        <w:rPr>
          <w:sz w:val="24"/>
          <w:szCs w:val="21"/>
        </w:rPr>
        <w:t>建设</w:t>
      </w:r>
      <w:r>
        <w:rPr>
          <w:rFonts w:hint="eastAsia"/>
          <w:sz w:val="24"/>
          <w:szCs w:val="21"/>
        </w:rPr>
        <w:t>，</w:t>
      </w:r>
      <w:r>
        <w:rPr>
          <w:sz w:val="24"/>
          <w:szCs w:val="21"/>
        </w:rPr>
        <w:t>推动老旧小区的</w:t>
      </w:r>
      <w:r>
        <w:rPr>
          <w:rFonts w:hint="eastAsia"/>
          <w:sz w:val="24"/>
          <w:szCs w:val="21"/>
        </w:rPr>
        <w:t>整治</w:t>
      </w:r>
      <w:r>
        <w:rPr>
          <w:sz w:val="24"/>
          <w:szCs w:val="21"/>
        </w:rPr>
        <w:t>改造</w:t>
      </w:r>
      <w:r>
        <w:rPr>
          <w:rFonts w:hint="eastAsia"/>
          <w:sz w:val="24"/>
          <w:szCs w:val="21"/>
        </w:rPr>
        <w:t>，补充</w:t>
      </w:r>
      <w:r>
        <w:rPr>
          <w:sz w:val="24"/>
          <w:szCs w:val="21"/>
        </w:rPr>
        <w:t>小区的视频监控</w:t>
      </w:r>
      <w:r>
        <w:rPr>
          <w:rFonts w:hint="eastAsia"/>
          <w:sz w:val="24"/>
          <w:szCs w:val="21"/>
        </w:rPr>
        <w:t>、</w:t>
      </w:r>
      <w:r>
        <w:rPr>
          <w:sz w:val="24"/>
          <w:szCs w:val="21"/>
        </w:rPr>
        <w:t>人脸抓拍、车辆</w:t>
      </w:r>
      <w:r>
        <w:rPr>
          <w:rFonts w:hint="eastAsia"/>
          <w:sz w:val="24"/>
          <w:szCs w:val="21"/>
        </w:rPr>
        <w:t>抓拍</w:t>
      </w:r>
      <w:r>
        <w:rPr>
          <w:sz w:val="24"/>
          <w:szCs w:val="21"/>
        </w:rPr>
        <w:t>等</w:t>
      </w:r>
      <w:r>
        <w:rPr>
          <w:rFonts w:hint="eastAsia"/>
          <w:sz w:val="24"/>
          <w:szCs w:val="21"/>
        </w:rPr>
        <w:t>物联</w:t>
      </w:r>
      <w:r>
        <w:rPr>
          <w:sz w:val="24"/>
          <w:szCs w:val="21"/>
        </w:rPr>
        <w:t>数据采集设备</w:t>
      </w:r>
      <w:r>
        <w:rPr>
          <w:rFonts w:hint="eastAsia"/>
          <w:sz w:val="24"/>
          <w:szCs w:val="21"/>
        </w:rPr>
        <w:t>，</w:t>
      </w:r>
      <w:r>
        <w:rPr>
          <w:sz w:val="24"/>
          <w:szCs w:val="21"/>
        </w:rPr>
        <w:t>消除数据采集覆盖盲区。</w:t>
      </w:r>
      <w:r>
        <w:rPr>
          <w:rFonts w:hint="eastAsia"/>
          <w:sz w:val="24"/>
          <w:szCs w:val="21"/>
        </w:rPr>
        <w:t>从而全面、实时、</w:t>
      </w:r>
      <w:r>
        <w:rPr>
          <w:sz w:val="24"/>
          <w:szCs w:val="21"/>
        </w:rPr>
        <w:t>无感知地</w:t>
      </w:r>
      <w:r>
        <w:rPr>
          <w:rFonts w:hint="eastAsia"/>
          <w:sz w:val="24"/>
          <w:szCs w:val="21"/>
        </w:rPr>
        <w:t>采集进出小区的所有人员、车辆等信息，</w:t>
      </w:r>
      <w:r>
        <w:rPr>
          <w:rFonts w:hint="eastAsia"/>
          <w:sz w:val="24"/>
        </w:rPr>
        <w:t>实现基础信息自动采集，扭转社区信息采集上门难等实际问题。</w:t>
      </w:r>
    </w:p>
    <w:p>
      <w:pPr>
        <w:rPr>
          <w:b/>
        </w:rPr>
      </w:pPr>
      <w:bookmarkStart w:id="83" w:name="_Toc43723023"/>
      <w:r>
        <w:rPr>
          <w:rFonts w:hint="eastAsia"/>
          <w:b/>
        </w:rPr>
        <w:t>人口</w:t>
      </w:r>
      <w:r>
        <w:rPr>
          <w:b/>
        </w:rPr>
        <w:t>管理更细致</w:t>
      </w:r>
      <w:bookmarkEnd w:id="83"/>
    </w:p>
    <w:p>
      <w:pPr>
        <w:spacing w:line="360" w:lineRule="auto"/>
        <w:ind w:firstLine="480" w:firstLineChars="200"/>
        <w:rPr>
          <w:sz w:val="24"/>
        </w:rPr>
      </w:pPr>
      <w:r>
        <w:rPr>
          <w:rFonts w:hint="eastAsia"/>
          <w:sz w:val="24"/>
          <w:szCs w:val="21"/>
        </w:rPr>
        <w:t>通过对静态数据和动态数据的关联分析，结合实有人口信息采集管理系统，及时发现小区人员、房屋、车辆的变化流动情况，</w:t>
      </w:r>
      <w:r>
        <w:rPr>
          <w:sz w:val="24"/>
          <w:szCs w:val="21"/>
        </w:rPr>
        <w:t>动态更新</w:t>
      </w:r>
      <w:r>
        <w:rPr>
          <w:rFonts w:hint="eastAsia"/>
          <w:sz w:val="24"/>
          <w:szCs w:val="21"/>
        </w:rPr>
        <w:t>实有人口信息</w:t>
      </w:r>
      <w:r>
        <w:rPr>
          <w:sz w:val="24"/>
          <w:szCs w:val="21"/>
        </w:rPr>
        <w:t>管理数据</w:t>
      </w:r>
      <w:r>
        <w:rPr>
          <w:rFonts w:hint="eastAsia"/>
          <w:sz w:val="24"/>
          <w:szCs w:val="21"/>
        </w:rPr>
        <w:t>，</w:t>
      </w:r>
      <w:r>
        <w:rPr>
          <w:sz w:val="24"/>
          <w:szCs w:val="21"/>
        </w:rPr>
        <w:t>针对</w:t>
      </w:r>
      <w:r>
        <w:rPr>
          <w:rFonts w:hint="eastAsia"/>
          <w:sz w:val="24"/>
          <w:szCs w:val="21"/>
        </w:rPr>
        <w:t>人员</w:t>
      </w:r>
      <w:r>
        <w:rPr>
          <w:sz w:val="24"/>
          <w:szCs w:val="21"/>
        </w:rPr>
        <w:t>、房屋、车辆</w:t>
      </w:r>
      <w:r>
        <w:rPr>
          <w:rFonts w:hint="eastAsia"/>
          <w:sz w:val="24"/>
          <w:szCs w:val="21"/>
        </w:rPr>
        <w:t>建立精细化</w:t>
      </w:r>
      <w:r>
        <w:rPr>
          <w:sz w:val="24"/>
          <w:szCs w:val="21"/>
        </w:rPr>
        <w:t>的档案</w:t>
      </w:r>
      <w:r>
        <w:rPr>
          <w:rFonts w:hint="eastAsia"/>
          <w:sz w:val="24"/>
          <w:szCs w:val="21"/>
        </w:rPr>
        <w:t>关联，</w:t>
      </w:r>
      <w:r>
        <w:rPr>
          <w:sz w:val="24"/>
          <w:szCs w:val="21"/>
        </w:rPr>
        <w:t>实现人口动态</w:t>
      </w:r>
      <w:r>
        <w:rPr>
          <w:rFonts w:hint="eastAsia"/>
          <w:sz w:val="24"/>
          <w:szCs w:val="21"/>
        </w:rPr>
        <w:t>细致管理</w:t>
      </w:r>
      <w:r>
        <w:rPr>
          <w:sz w:val="24"/>
          <w:szCs w:val="21"/>
        </w:rPr>
        <w:t>，</w:t>
      </w:r>
      <w:r>
        <w:rPr>
          <w:rFonts w:hint="eastAsia"/>
          <w:sz w:val="24"/>
          <w:szCs w:val="21"/>
        </w:rPr>
        <w:t>为管理部门提供及时、准确的决策分析。</w:t>
      </w:r>
    </w:p>
    <w:p>
      <w:pPr>
        <w:rPr>
          <w:b/>
        </w:rPr>
      </w:pPr>
      <w:bookmarkStart w:id="84" w:name="_Toc43723024"/>
      <w:r>
        <w:rPr>
          <w:rFonts w:hint="eastAsia"/>
          <w:b/>
        </w:rPr>
        <w:t>打击</w:t>
      </w:r>
      <w:r>
        <w:rPr>
          <w:b/>
        </w:rPr>
        <w:t>防范更精准</w:t>
      </w:r>
      <w:bookmarkEnd w:id="84"/>
    </w:p>
    <w:p>
      <w:pPr>
        <w:rPr>
          <w:rFonts w:hint="eastAsia"/>
        </w:rPr>
      </w:pPr>
      <w:r>
        <w:rPr>
          <w:rFonts w:hint="eastAsia"/>
          <w:sz w:val="24"/>
          <w:szCs w:val="21"/>
        </w:rPr>
        <w:t>通过智能无感</w:t>
      </w:r>
      <w:r>
        <w:rPr>
          <w:sz w:val="24"/>
          <w:szCs w:val="21"/>
        </w:rPr>
        <w:t>采集</w:t>
      </w:r>
      <w:r>
        <w:rPr>
          <w:rFonts w:hint="eastAsia"/>
          <w:sz w:val="24"/>
          <w:szCs w:val="21"/>
        </w:rPr>
        <w:t>的基础</w:t>
      </w:r>
      <w:r>
        <w:rPr>
          <w:sz w:val="24"/>
          <w:szCs w:val="21"/>
        </w:rPr>
        <w:t>数据，</w:t>
      </w:r>
      <w:r>
        <w:rPr>
          <w:rFonts w:hint="eastAsia"/>
          <w:sz w:val="24"/>
          <w:szCs w:val="21"/>
        </w:rPr>
        <w:t>与公安等部门的信息库开展关联比对，有效实现对高危人群和违法犯罪人员的预警预防，通过</w:t>
      </w:r>
      <w:r>
        <w:rPr>
          <w:sz w:val="24"/>
          <w:szCs w:val="21"/>
        </w:rPr>
        <w:t>人员、车辆的布控预警，通过</w:t>
      </w:r>
      <w:r>
        <w:rPr>
          <w:rFonts w:hint="eastAsia"/>
          <w:sz w:val="24"/>
          <w:szCs w:val="21"/>
        </w:rPr>
        <w:t>异常</w:t>
      </w:r>
      <w:r>
        <w:rPr>
          <w:sz w:val="24"/>
          <w:szCs w:val="21"/>
        </w:rPr>
        <w:t>、危险行为的</w:t>
      </w:r>
      <w:r>
        <w:rPr>
          <w:rFonts w:hint="eastAsia"/>
          <w:sz w:val="24"/>
          <w:szCs w:val="21"/>
        </w:rPr>
        <w:t>分析</w:t>
      </w:r>
      <w:r>
        <w:rPr>
          <w:sz w:val="24"/>
          <w:szCs w:val="21"/>
        </w:rPr>
        <w:t>研判，</w:t>
      </w:r>
      <w:r>
        <w:rPr>
          <w:rFonts w:hint="eastAsia"/>
          <w:sz w:val="24"/>
        </w:rPr>
        <w:t>及时发现违法犯罪行为及存在的安全隐患，并有效地进行精准打击，解决社区安全防范难、打击难的现实难题。</w:t>
      </w:r>
    </w:p>
    <w:p>
      <w:pPr>
        <w:rPr>
          <w:rFonts w:hint="eastAsia"/>
        </w:rPr>
      </w:pPr>
    </w:p>
    <w:p>
      <w:pPr>
        <w:rPr>
          <w:rFonts w:hint="eastAsia"/>
        </w:rPr>
      </w:pPr>
    </w:p>
    <w:p>
      <w:pPr>
        <w:pStyle w:val="3"/>
        <w:spacing w:before="0" w:after="0" w:line="440" w:lineRule="exact"/>
        <w:rPr>
          <w:rFonts w:hint="eastAsia" w:ascii="宋体" w:hAnsi="宋体" w:eastAsia="宋体"/>
          <w:bCs w:val="0"/>
          <w:color w:val="000000"/>
          <w:sz w:val="24"/>
          <w:szCs w:val="24"/>
        </w:rPr>
      </w:pPr>
      <w:bookmarkStart w:id="85" w:name="_Toc46319045"/>
      <w:bookmarkStart w:id="86" w:name="_Toc43723025"/>
      <w:bookmarkStart w:id="87" w:name="_Toc46418604"/>
      <w:r>
        <w:rPr>
          <w:rFonts w:hint="eastAsia" w:ascii="宋体" w:hAnsi="宋体" w:eastAsia="宋体"/>
          <w:bCs w:val="0"/>
          <w:color w:val="000000"/>
          <w:sz w:val="24"/>
          <w:szCs w:val="24"/>
        </w:rPr>
        <w:t>12.3</w:t>
      </w:r>
      <w:r>
        <w:rPr>
          <w:rFonts w:ascii="宋体" w:hAnsi="宋体" w:eastAsia="宋体"/>
          <w:bCs w:val="0"/>
          <w:color w:val="000000"/>
          <w:sz w:val="24"/>
          <w:szCs w:val="24"/>
        </w:rPr>
        <w:t>总体架构</w:t>
      </w:r>
      <w:bookmarkEnd w:id="85"/>
      <w:bookmarkEnd w:id="86"/>
      <w:bookmarkEnd w:id="87"/>
    </w:p>
    <w:p>
      <w:r>
        <w:rPr>
          <w:rFonts w:hint="eastAsia"/>
        </w:rPr>
        <w:drawing>
          <wp:inline distT="0" distB="0" distL="114300" distR="114300">
            <wp:extent cx="5746115" cy="2526665"/>
            <wp:effectExtent l="0" t="0" r="6985" b="6985"/>
            <wp:docPr id="1" name="图片 1" descr="微信图片_2020072214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722144227"/>
                    <pic:cNvPicPr>
                      <a:picLocks noChangeAspect="1"/>
                    </pic:cNvPicPr>
                  </pic:nvPicPr>
                  <pic:blipFill>
                    <a:blip r:embed="rId8"/>
                    <a:stretch>
                      <a:fillRect/>
                    </a:stretch>
                  </pic:blipFill>
                  <pic:spPr>
                    <a:xfrm>
                      <a:off x="0" y="0"/>
                      <a:ext cx="5746115" cy="2526665"/>
                    </a:xfrm>
                    <a:prstGeom prst="rect">
                      <a:avLst/>
                    </a:prstGeom>
                    <a:noFill/>
                    <a:ln>
                      <a:noFill/>
                    </a:ln>
                  </pic:spPr>
                </pic:pic>
              </a:graphicData>
            </a:graphic>
          </wp:inline>
        </w:drawing>
      </w:r>
    </w:p>
    <w:p>
      <w:pPr>
        <w:rPr>
          <w:rFonts w:hint="eastAsia"/>
        </w:rPr>
      </w:pPr>
      <w:r>
        <w:rPr>
          <w:rFonts w:hint="eastAsia"/>
        </w:rPr>
        <w:t>总体技术方案参照《绍兴市公安机关“智安小区”建设技术规范》》</w:t>
      </w:r>
    </w:p>
    <w:p>
      <w:r>
        <w:rPr>
          <w:rFonts w:hint="eastAsia"/>
        </w:rPr>
        <w:t>社会面专网：</w:t>
      </w:r>
    </w:p>
    <w:p>
      <w:pPr>
        <w:spacing w:line="360" w:lineRule="auto"/>
        <w:ind w:firstLine="480" w:firstLineChars="200"/>
        <w:rPr>
          <w:sz w:val="24"/>
          <w:szCs w:val="21"/>
        </w:rPr>
      </w:pPr>
      <w:r>
        <w:rPr>
          <w:rFonts w:hint="eastAsia"/>
          <w:sz w:val="24"/>
          <w:szCs w:val="21"/>
        </w:rPr>
        <w:t>社会面专网上，主要用于汇聚部分小区的人脸数据、视频数据和车辆数据，部分数据先通过社会面数据汇聚平台汇聚。</w:t>
      </w:r>
      <w:r>
        <w:rPr>
          <w:sz w:val="24"/>
          <w:szCs w:val="21"/>
        </w:rPr>
        <w:t xml:space="preserve"> </w:t>
      </w:r>
    </w:p>
    <w:p>
      <w:pPr>
        <w:spacing w:line="360" w:lineRule="auto"/>
        <w:ind w:firstLine="480" w:firstLineChars="200"/>
        <w:rPr>
          <w:sz w:val="24"/>
          <w:szCs w:val="21"/>
        </w:rPr>
      </w:pPr>
      <w:r>
        <w:rPr>
          <w:rFonts w:hint="eastAsia"/>
          <w:sz w:val="24"/>
          <w:szCs w:val="21"/>
        </w:rPr>
        <w:t>部分车辆数据通过无线传输的方式，汇聚到第三方出入口汇聚模块，统一传输到社会面数据汇聚模块中。</w:t>
      </w:r>
    </w:p>
    <w:p>
      <w:r>
        <w:rPr>
          <w:rFonts w:hint="eastAsia"/>
        </w:rPr>
        <w:t>视频专网：</w:t>
      </w:r>
    </w:p>
    <w:p>
      <w:pPr>
        <w:numPr>
          <w:ilvl w:val="0"/>
          <w:numId w:val="6"/>
        </w:numPr>
        <w:spacing w:line="360" w:lineRule="auto"/>
        <w:ind w:left="0" w:firstLine="480" w:firstLineChars="200"/>
        <w:rPr>
          <w:sz w:val="24"/>
          <w:szCs w:val="21"/>
        </w:rPr>
      </w:pPr>
      <w:r>
        <w:rPr>
          <w:rFonts w:hint="eastAsia"/>
          <w:sz w:val="24"/>
          <w:szCs w:val="21"/>
        </w:rPr>
        <w:t>社区MAC采集设备建设在视频专网，通过MAC数据汇聚平台接入到柯桥区智安小区数据汇聚与管理平台。</w:t>
      </w:r>
    </w:p>
    <w:p>
      <w:pPr>
        <w:numPr>
          <w:ilvl w:val="0"/>
          <w:numId w:val="6"/>
        </w:numPr>
        <w:spacing w:line="360" w:lineRule="auto"/>
        <w:ind w:left="0" w:firstLine="480" w:firstLineChars="200"/>
        <w:rPr>
          <w:sz w:val="24"/>
          <w:szCs w:val="21"/>
        </w:rPr>
      </w:pPr>
      <w:r>
        <w:rPr>
          <w:rFonts w:hint="eastAsia"/>
          <w:sz w:val="24"/>
          <w:szCs w:val="21"/>
        </w:rPr>
        <w:t>人脸数据、车辆数据、视频数据通过安全边界接入视频专网现有视频平台，人脸数据通过</w:t>
      </w:r>
      <w:r>
        <w:rPr>
          <w:rFonts w:hint="eastAsia"/>
          <w:sz w:val="24"/>
        </w:rPr>
        <w:t>GA/T1400</w:t>
      </w:r>
      <w:r>
        <w:rPr>
          <w:rFonts w:hint="eastAsia"/>
          <w:sz w:val="24"/>
          <w:szCs w:val="21"/>
        </w:rPr>
        <w:t>协议传输到现有人脸算法平台，结果级数据传给柯桥区智安小区数据汇聚于管理平台。车辆数据和视频数据通过现有车辆平台汇聚后，统一传输给柯桥区智安小区数据汇聚于管理平台。</w:t>
      </w:r>
    </w:p>
    <w:p>
      <w:pPr>
        <w:numPr>
          <w:ilvl w:val="0"/>
          <w:numId w:val="6"/>
        </w:numPr>
        <w:spacing w:line="360" w:lineRule="auto"/>
        <w:ind w:left="0" w:firstLine="480" w:firstLineChars="200"/>
        <w:rPr>
          <w:rFonts w:hint="eastAsia"/>
          <w:sz w:val="24"/>
          <w:szCs w:val="21"/>
        </w:rPr>
      </w:pPr>
      <w:r>
        <w:rPr>
          <w:rFonts w:hint="eastAsia"/>
          <w:sz w:val="24"/>
          <w:szCs w:val="21"/>
        </w:rPr>
        <w:t>柯桥区智安小区数据汇聚于管理平台统一将数据传输给绍兴市智安小区数据汇聚与管理平台。</w:t>
      </w:r>
    </w:p>
    <w:p>
      <w:pPr>
        <w:pStyle w:val="3"/>
        <w:spacing w:before="0" w:after="0" w:line="440" w:lineRule="exact"/>
        <w:rPr>
          <w:rFonts w:ascii="宋体" w:hAnsi="宋体" w:eastAsia="宋体"/>
          <w:bCs w:val="0"/>
          <w:color w:val="000000"/>
          <w:sz w:val="24"/>
          <w:szCs w:val="24"/>
        </w:rPr>
      </w:pPr>
      <w:bookmarkStart w:id="88" w:name="_Toc43723039"/>
      <w:bookmarkStart w:id="89" w:name="_Toc46319046"/>
      <w:bookmarkStart w:id="90" w:name="_Toc46418605"/>
      <w:bookmarkStart w:id="91" w:name="_Toc20224692"/>
      <w:r>
        <w:rPr>
          <w:rFonts w:hint="eastAsia" w:ascii="宋体" w:hAnsi="宋体" w:eastAsia="宋体"/>
          <w:bCs w:val="0"/>
          <w:color w:val="000000"/>
          <w:sz w:val="24"/>
          <w:szCs w:val="24"/>
        </w:rPr>
        <w:t>12.4设计方案</w:t>
      </w:r>
      <w:bookmarkEnd w:id="88"/>
      <w:bookmarkEnd w:id="89"/>
      <w:bookmarkEnd w:id="90"/>
    </w:p>
    <w:p>
      <w:pPr>
        <w:pStyle w:val="4"/>
      </w:pPr>
      <w:bookmarkStart w:id="92" w:name="_Toc20224733"/>
      <w:bookmarkStart w:id="93" w:name="_Toc43723040"/>
      <w:bookmarkStart w:id="94" w:name="_Toc46319047"/>
      <w:bookmarkStart w:id="95" w:name="_Toc46418606"/>
      <w:r>
        <w:rPr>
          <w:rFonts w:hint="eastAsia"/>
        </w:rPr>
        <w:t>12.4.1物联感知网</w:t>
      </w:r>
      <w:bookmarkEnd w:id="92"/>
      <w:bookmarkEnd w:id="93"/>
      <w:bookmarkEnd w:id="94"/>
      <w:bookmarkEnd w:id="95"/>
    </w:p>
    <w:p>
      <w:pPr>
        <w:keepNext/>
        <w:keepLines/>
        <w:spacing w:line="360" w:lineRule="auto"/>
        <w:jc w:val="left"/>
        <w:outlineLvl w:val="3"/>
        <w:rPr>
          <w:rFonts w:eastAsia="黑体"/>
          <w:bCs/>
          <w:sz w:val="30"/>
          <w:szCs w:val="28"/>
        </w:rPr>
      </w:pPr>
      <w:r>
        <w:rPr>
          <w:rFonts w:hint="eastAsia" w:eastAsia="黑体"/>
          <w:bCs/>
          <w:sz w:val="32"/>
          <w:szCs w:val="32"/>
        </w:rPr>
        <w:t>12.4.1.1</w:t>
      </w:r>
      <w:r>
        <w:rPr>
          <w:rFonts w:hint="eastAsia" w:eastAsia="黑体"/>
          <w:bCs/>
          <w:sz w:val="30"/>
          <w:szCs w:val="28"/>
        </w:rPr>
        <w:t>视频</w:t>
      </w:r>
      <w:r>
        <w:rPr>
          <w:rFonts w:eastAsia="黑体"/>
          <w:bCs/>
          <w:sz w:val="30"/>
          <w:szCs w:val="28"/>
        </w:rPr>
        <w:t>监控</w:t>
      </w:r>
    </w:p>
    <w:p>
      <w:pPr>
        <w:spacing w:line="360" w:lineRule="auto"/>
        <w:ind w:firstLine="482" w:firstLineChars="200"/>
        <w:rPr>
          <w:b/>
          <w:sz w:val="24"/>
          <w:szCs w:val="21"/>
        </w:rPr>
      </w:pPr>
      <w:r>
        <w:rPr>
          <w:rFonts w:hint="eastAsia"/>
          <w:b/>
          <w:sz w:val="24"/>
          <w:szCs w:val="21"/>
        </w:rPr>
        <w:t>基本介绍</w:t>
      </w:r>
    </w:p>
    <w:p>
      <w:pPr>
        <w:spacing w:line="360" w:lineRule="auto"/>
        <w:ind w:firstLine="480" w:firstLineChars="200"/>
        <w:rPr>
          <w:sz w:val="24"/>
          <w:szCs w:val="21"/>
        </w:rPr>
      </w:pPr>
      <w:r>
        <w:rPr>
          <w:rFonts w:hint="eastAsia"/>
          <w:sz w:val="24"/>
          <w:szCs w:val="21"/>
        </w:rPr>
        <w:t>在小区主要通道、公共活动区域、周界等点位布设智能视频摄像机和人脸识别摄像机，利用视频技术探测、监视小区及其周界并实时显示、记录现场图像，抓拍过往人脸、识别人员体貌特征，实现小区全域实时监控，有效防止异常事件的发生，实现违法犯罪的预防、对往来人员的记录和监督、以及事件发生后的取证等。</w:t>
      </w:r>
    </w:p>
    <w:p>
      <w:pPr>
        <w:spacing w:line="360" w:lineRule="auto"/>
        <w:ind w:firstLine="482" w:firstLineChars="200"/>
        <w:rPr>
          <w:b/>
          <w:sz w:val="24"/>
          <w:szCs w:val="21"/>
        </w:rPr>
      </w:pPr>
      <w:r>
        <w:rPr>
          <w:rFonts w:hint="eastAsia"/>
          <w:b/>
          <w:sz w:val="24"/>
          <w:szCs w:val="21"/>
        </w:rPr>
        <w:t>设备组成</w:t>
      </w:r>
    </w:p>
    <w:p>
      <w:pPr>
        <w:spacing w:line="360" w:lineRule="auto"/>
        <w:ind w:firstLine="480" w:firstLineChars="200"/>
        <w:rPr>
          <w:sz w:val="24"/>
          <w:szCs w:val="21"/>
        </w:rPr>
      </w:pPr>
      <w:r>
        <w:rPr>
          <w:rFonts w:hint="eastAsia"/>
          <w:sz w:val="24"/>
          <w:szCs w:val="21"/>
        </w:rPr>
        <w:t>前端选型</w:t>
      </w:r>
    </w:p>
    <w:p>
      <w:pPr>
        <w:spacing w:line="360" w:lineRule="auto"/>
        <w:ind w:firstLine="480" w:firstLineChars="200"/>
        <w:rPr>
          <w:sz w:val="24"/>
        </w:rPr>
      </w:pPr>
      <w:r>
        <w:rPr>
          <w:rFonts w:hint="eastAsia"/>
          <w:sz w:val="24"/>
        </w:rPr>
        <w:t>推荐使用网络高清摄像机，通过其全新的硬件平台和最优的编码算法，提供高效的处理能力和丰富的功能应用。前端摄像机按照标准的音视频编码格式及标准的通信协议，接入网络并进行视频图像的传输。</w:t>
      </w:r>
    </w:p>
    <w:p>
      <w:pPr>
        <w:tabs>
          <w:tab w:val="left" w:pos="0"/>
        </w:tabs>
        <w:spacing w:line="360" w:lineRule="auto"/>
        <w:ind w:left="839" w:firstLine="480"/>
        <w:jc w:val="left"/>
        <w:rPr>
          <w:sz w:val="24"/>
          <w:szCs w:val="21"/>
        </w:rPr>
      </w:pPr>
      <w:r>
        <w:rPr>
          <w:rFonts w:hint="eastAsia"/>
          <w:sz w:val="24"/>
          <w:szCs w:val="21"/>
        </w:rPr>
        <w:t>前端设备满足以下标准：</w:t>
      </w:r>
    </w:p>
    <w:p>
      <w:pPr>
        <w:widowControl/>
        <w:numPr>
          <w:ilvl w:val="0"/>
          <w:numId w:val="7"/>
        </w:numPr>
        <w:spacing w:line="360" w:lineRule="auto"/>
        <w:ind w:firstLine="480" w:firstLineChars="200"/>
        <w:jc w:val="left"/>
        <w:rPr>
          <w:rFonts w:cs="宋体"/>
          <w:sz w:val="24"/>
          <w:szCs w:val="20"/>
        </w:rPr>
      </w:pPr>
      <w:r>
        <w:rPr>
          <w:rFonts w:hint="eastAsia" w:cs="宋体"/>
          <w:sz w:val="24"/>
          <w:szCs w:val="20"/>
        </w:rPr>
        <w:t>枪机：监控场景固定并且对效果要求较高，比如人员通道等。枪机可以自选镜头，并且需要选配室内</w:t>
      </w:r>
      <w:r>
        <w:rPr>
          <w:rFonts w:cs="宋体"/>
          <w:sz w:val="24"/>
          <w:szCs w:val="20"/>
        </w:rPr>
        <w:t>/</w:t>
      </w:r>
      <w:r>
        <w:rPr>
          <w:rFonts w:hint="eastAsia" w:cs="宋体"/>
          <w:sz w:val="24"/>
          <w:szCs w:val="20"/>
        </w:rPr>
        <w:t>室外护罩；</w:t>
      </w:r>
    </w:p>
    <w:p>
      <w:pPr>
        <w:widowControl/>
        <w:numPr>
          <w:ilvl w:val="0"/>
          <w:numId w:val="7"/>
        </w:numPr>
        <w:spacing w:line="360" w:lineRule="auto"/>
        <w:ind w:firstLine="480" w:firstLineChars="200"/>
        <w:jc w:val="left"/>
        <w:rPr>
          <w:rFonts w:cs="宋体"/>
          <w:sz w:val="24"/>
          <w:szCs w:val="20"/>
        </w:rPr>
      </w:pPr>
      <w:r>
        <w:rPr>
          <w:rFonts w:hint="eastAsia" w:cs="宋体"/>
          <w:sz w:val="24"/>
          <w:szCs w:val="20"/>
        </w:rPr>
        <w:t>球机：适用于需要切换场景对设备周边进行监控，如小区大门口，室外活动场所等。球机为一体化设备，可以控制云台进行转动，支持变倍和自动聚焦；</w:t>
      </w:r>
    </w:p>
    <w:p>
      <w:pPr>
        <w:widowControl/>
        <w:numPr>
          <w:ilvl w:val="0"/>
          <w:numId w:val="7"/>
        </w:numPr>
        <w:spacing w:line="360" w:lineRule="auto"/>
        <w:ind w:firstLine="480" w:firstLineChars="200"/>
        <w:jc w:val="left"/>
        <w:rPr>
          <w:rFonts w:cs="宋体"/>
          <w:sz w:val="24"/>
          <w:szCs w:val="20"/>
        </w:rPr>
      </w:pPr>
      <w:r>
        <w:rPr>
          <w:rFonts w:hint="eastAsia" w:cs="宋体"/>
          <w:sz w:val="24"/>
          <w:szCs w:val="20"/>
        </w:rPr>
        <w:t>筒机：固定监控场景，对效果没有特殊要求，如楼道，走廊等。相对枪机而言，筒机为一体化设计，不需要额外配置镜头和护罩。筒机的监控距离因镜头而异，一般从几米到几十米不等；</w:t>
      </w:r>
    </w:p>
    <w:p>
      <w:pPr>
        <w:tabs>
          <w:tab w:val="left" w:pos="0"/>
        </w:tabs>
        <w:spacing w:line="360" w:lineRule="auto"/>
        <w:ind w:left="839" w:firstLine="480"/>
        <w:jc w:val="left"/>
        <w:rPr>
          <w:sz w:val="24"/>
          <w:szCs w:val="21"/>
        </w:rPr>
      </w:pPr>
      <w:r>
        <w:rPr>
          <w:rFonts w:hint="eastAsia"/>
          <w:sz w:val="24"/>
          <w:szCs w:val="21"/>
        </w:rPr>
        <w:t>根据场景特性选择设备特性；</w:t>
      </w:r>
    </w:p>
    <w:p>
      <w:pPr>
        <w:widowControl/>
        <w:numPr>
          <w:ilvl w:val="0"/>
          <w:numId w:val="8"/>
        </w:numPr>
        <w:spacing w:line="360" w:lineRule="auto"/>
        <w:ind w:firstLine="480" w:firstLineChars="200"/>
        <w:jc w:val="left"/>
        <w:rPr>
          <w:rFonts w:cs="宋体"/>
          <w:sz w:val="24"/>
          <w:szCs w:val="20"/>
        </w:rPr>
      </w:pPr>
      <w:r>
        <w:rPr>
          <w:rFonts w:hint="eastAsia" w:cs="宋体"/>
          <w:sz w:val="24"/>
          <w:szCs w:val="20"/>
        </w:rPr>
        <w:t>低照度环境下进行低照度监控。</w:t>
      </w:r>
    </w:p>
    <w:p>
      <w:pPr>
        <w:widowControl/>
        <w:numPr>
          <w:ilvl w:val="0"/>
          <w:numId w:val="8"/>
        </w:numPr>
        <w:spacing w:line="360" w:lineRule="auto"/>
        <w:ind w:firstLine="480" w:firstLineChars="200"/>
        <w:jc w:val="left"/>
        <w:rPr>
          <w:rFonts w:cs="宋体"/>
          <w:sz w:val="24"/>
          <w:szCs w:val="20"/>
        </w:rPr>
      </w:pPr>
      <w:r>
        <w:rPr>
          <w:rFonts w:hint="eastAsia" w:cs="宋体"/>
          <w:sz w:val="24"/>
          <w:szCs w:val="20"/>
        </w:rPr>
        <w:t>低照度环境下普通监控，可选择红外设备；</w:t>
      </w:r>
    </w:p>
    <w:p>
      <w:pPr>
        <w:widowControl/>
        <w:numPr>
          <w:ilvl w:val="0"/>
          <w:numId w:val="8"/>
        </w:numPr>
        <w:spacing w:line="360" w:lineRule="auto"/>
        <w:ind w:firstLine="480" w:firstLineChars="200"/>
        <w:jc w:val="left"/>
        <w:rPr>
          <w:rFonts w:cs="宋体"/>
          <w:sz w:val="24"/>
          <w:szCs w:val="20"/>
        </w:rPr>
      </w:pPr>
      <w:r>
        <w:rPr>
          <w:rFonts w:hint="eastAsia" w:cs="宋体"/>
          <w:sz w:val="24"/>
          <w:szCs w:val="20"/>
        </w:rPr>
        <w:t>在夜间监控车辆道路、出入口等情况下，需要选择具有强光抑制功能的设备；</w:t>
      </w:r>
    </w:p>
    <w:p>
      <w:pPr>
        <w:widowControl/>
        <w:numPr>
          <w:ilvl w:val="0"/>
          <w:numId w:val="8"/>
        </w:numPr>
        <w:spacing w:line="360" w:lineRule="auto"/>
        <w:ind w:firstLine="480" w:firstLineChars="200"/>
        <w:jc w:val="left"/>
        <w:rPr>
          <w:rFonts w:cs="宋体"/>
          <w:sz w:val="24"/>
          <w:szCs w:val="20"/>
        </w:rPr>
      </w:pPr>
      <w:r>
        <w:rPr>
          <w:rFonts w:hint="eastAsia" w:cs="宋体"/>
          <w:sz w:val="24"/>
          <w:szCs w:val="20"/>
        </w:rPr>
        <w:t>在需要采集人脸、人体、车牌、车辆的场景，需要部署具有智能采集功能的设备，或者部署可搭配智能分析后端的设备；</w:t>
      </w:r>
    </w:p>
    <w:p>
      <w:pPr>
        <w:widowControl/>
        <w:numPr>
          <w:ilvl w:val="0"/>
          <w:numId w:val="8"/>
        </w:numPr>
        <w:spacing w:line="360" w:lineRule="auto"/>
        <w:ind w:firstLine="480" w:firstLineChars="200"/>
        <w:jc w:val="left"/>
        <w:rPr>
          <w:rFonts w:cs="宋体"/>
          <w:sz w:val="24"/>
          <w:szCs w:val="20"/>
        </w:rPr>
      </w:pPr>
      <w:r>
        <w:rPr>
          <w:rFonts w:hint="eastAsia" w:cs="宋体"/>
          <w:sz w:val="24"/>
          <w:szCs w:val="20"/>
        </w:rPr>
        <w:t>对大雾、树木遮挡或者极低照度下的场景监控，可以选择具有恶劣条件下成像功能的热成像设备；</w:t>
      </w:r>
    </w:p>
    <w:p>
      <w:pPr>
        <w:spacing w:line="360" w:lineRule="auto"/>
        <w:ind w:left="420" w:firstLine="480"/>
        <w:rPr>
          <w:sz w:val="24"/>
          <w:szCs w:val="21"/>
        </w:rPr>
      </w:pPr>
      <w:r>
        <w:rPr>
          <w:rFonts w:hint="eastAsia"/>
          <w:sz w:val="24"/>
          <w:szCs w:val="21"/>
        </w:rPr>
        <w:t>前端配套</w:t>
      </w:r>
    </w:p>
    <w:p>
      <w:pPr>
        <w:spacing w:line="360" w:lineRule="auto"/>
        <w:ind w:firstLine="480" w:firstLineChars="200"/>
        <w:rPr>
          <w:sz w:val="24"/>
          <w:szCs w:val="21"/>
        </w:rPr>
      </w:pPr>
      <w:r>
        <w:rPr>
          <w:rFonts w:hint="eastAsia"/>
          <w:sz w:val="24"/>
          <w:szCs w:val="21"/>
        </w:rPr>
        <w:t>支架及立杆</w:t>
      </w:r>
    </w:p>
    <w:p>
      <w:pPr>
        <w:spacing w:line="360" w:lineRule="auto"/>
        <w:ind w:firstLine="480" w:firstLineChars="200"/>
        <w:rPr>
          <w:sz w:val="24"/>
        </w:rPr>
      </w:pPr>
      <w:r>
        <w:rPr>
          <w:rFonts w:hint="eastAsia"/>
          <w:sz w:val="24"/>
        </w:rPr>
        <w:t>监控点根据现场实际情况，可采用立杆安装、抱箍安装、壁挂安装以及吊杆安装等方式。其中抱箍、壁挂支架以及吊杆支架有成套产品，根据现场选择符合要求的产品即可。</w:t>
      </w:r>
    </w:p>
    <w:p>
      <w:pPr>
        <w:numPr>
          <w:ilvl w:val="0"/>
          <w:numId w:val="9"/>
        </w:numPr>
        <w:spacing w:line="360" w:lineRule="auto"/>
        <w:ind w:firstLine="480" w:firstLineChars="200"/>
        <w:rPr>
          <w:rFonts w:ascii="Arial" w:hAnsi="Arial" w:cs="宋体"/>
          <w:sz w:val="24"/>
        </w:rPr>
      </w:pPr>
      <w:r>
        <w:rPr>
          <w:rFonts w:hint="eastAsia" w:ascii="Arial" w:hAnsi="Arial" w:cs="宋体"/>
          <w:sz w:val="24"/>
        </w:rPr>
        <w:t>室内：根据摄像机型号和现场情况可采用壁装、吊装及角装等多种形式的安装支架，安装高度不低于</w:t>
      </w:r>
      <w:r>
        <w:rPr>
          <w:rFonts w:ascii="Arial" w:hAnsi="Arial" w:cs="宋体"/>
          <w:sz w:val="24"/>
        </w:rPr>
        <w:t>2.5m</w:t>
      </w:r>
      <w:r>
        <w:rPr>
          <w:rFonts w:hint="eastAsia" w:ascii="Arial" w:hAnsi="Arial" w:cs="宋体"/>
          <w:sz w:val="24"/>
        </w:rPr>
        <w:t>。</w:t>
      </w:r>
    </w:p>
    <w:p>
      <w:pPr>
        <w:numPr>
          <w:ilvl w:val="0"/>
          <w:numId w:val="9"/>
        </w:numPr>
        <w:spacing w:line="360" w:lineRule="auto"/>
        <w:ind w:firstLine="480" w:firstLineChars="200"/>
        <w:rPr>
          <w:rFonts w:ascii="Arial" w:hAnsi="Arial" w:cs="宋体"/>
          <w:sz w:val="24"/>
        </w:rPr>
      </w:pPr>
      <w:r>
        <w:rPr>
          <w:rFonts w:hint="eastAsia" w:ascii="Arial" w:hAnsi="Arial" w:cs="宋体"/>
          <w:sz w:val="24"/>
        </w:rPr>
        <w:t>室外：当可借助建筑物附着安装时，选用相应的安装支架来安装；若无合适的建筑物供附着安装，则需要选用视频监控专用立杆，安装高度应不低于</w:t>
      </w:r>
      <w:r>
        <w:rPr>
          <w:rFonts w:ascii="Arial" w:hAnsi="Arial" w:cs="宋体"/>
          <w:sz w:val="24"/>
        </w:rPr>
        <w:t>3.5m</w:t>
      </w:r>
      <w:r>
        <w:rPr>
          <w:rFonts w:hint="eastAsia" w:ascii="Arial" w:hAnsi="Arial" w:cs="宋体"/>
          <w:sz w:val="24"/>
        </w:rPr>
        <w:t>。</w:t>
      </w:r>
    </w:p>
    <w:p>
      <w:pPr>
        <w:tabs>
          <w:tab w:val="left" w:pos="0"/>
        </w:tabs>
        <w:spacing w:line="360" w:lineRule="auto"/>
        <w:ind w:left="839" w:firstLine="480"/>
        <w:jc w:val="left"/>
        <w:rPr>
          <w:sz w:val="24"/>
          <w:szCs w:val="21"/>
        </w:rPr>
      </w:pPr>
      <w:r>
        <w:rPr>
          <w:rFonts w:hint="eastAsia"/>
          <w:sz w:val="24"/>
          <w:szCs w:val="21"/>
        </w:rPr>
        <w:t>室外机箱</w:t>
      </w:r>
    </w:p>
    <w:p>
      <w:pPr>
        <w:spacing w:line="360" w:lineRule="auto"/>
        <w:ind w:firstLine="480" w:firstLineChars="200"/>
        <w:rPr>
          <w:sz w:val="24"/>
        </w:rPr>
      </w:pPr>
      <w:r>
        <w:rPr>
          <w:rFonts w:hint="eastAsia"/>
          <w:sz w:val="24"/>
        </w:rPr>
        <w:t>室外摄像机的供电、信号等需要在室外进行汇集，需用专用的防水箱进行端接。端接箱内部安装架的设计充分考虑设备的安装位置，同时具有防雨、防尘、防高温、防盗等功能。不便于在立杆上部安装设备箱的，在地面设置设备机柜，其设计按照相关的规范标准执行，同时应具有防尘、防雨、防破坏等功能。</w:t>
      </w:r>
    </w:p>
    <w:p>
      <w:pPr>
        <w:tabs>
          <w:tab w:val="left" w:pos="0"/>
        </w:tabs>
        <w:spacing w:line="360" w:lineRule="auto"/>
        <w:ind w:left="839" w:firstLine="480"/>
        <w:jc w:val="left"/>
        <w:rPr>
          <w:sz w:val="24"/>
          <w:szCs w:val="21"/>
        </w:rPr>
      </w:pPr>
      <w:r>
        <w:rPr>
          <w:rFonts w:hint="eastAsia"/>
          <w:sz w:val="24"/>
          <w:szCs w:val="21"/>
        </w:rPr>
        <w:t>补光设备</w:t>
      </w:r>
    </w:p>
    <w:p>
      <w:pPr>
        <w:spacing w:line="360" w:lineRule="auto"/>
        <w:ind w:firstLine="480" w:firstLineChars="200"/>
        <w:rPr>
          <w:sz w:val="24"/>
        </w:rPr>
      </w:pPr>
      <w:r>
        <w:rPr>
          <w:rFonts w:hint="eastAsia"/>
          <w:sz w:val="24"/>
        </w:rPr>
        <w:t>在摄像监控中，为了使夜间得到正常的监控图像，可选择采用一定的补光措施。</w:t>
      </w:r>
    </w:p>
    <w:p>
      <w:pPr>
        <w:tabs>
          <w:tab w:val="left" w:pos="0"/>
        </w:tabs>
        <w:spacing w:line="360" w:lineRule="auto"/>
        <w:ind w:left="839" w:firstLine="480"/>
        <w:jc w:val="left"/>
        <w:rPr>
          <w:sz w:val="24"/>
          <w:szCs w:val="21"/>
        </w:rPr>
      </w:pPr>
      <w:r>
        <w:rPr>
          <w:rFonts w:hint="eastAsia"/>
          <w:sz w:val="24"/>
          <w:szCs w:val="21"/>
        </w:rPr>
        <w:t>防雷接地</w:t>
      </w:r>
    </w:p>
    <w:p>
      <w:pPr>
        <w:spacing w:line="360" w:lineRule="auto"/>
        <w:ind w:firstLine="480" w:firstLineChars="200"/>
        <w:rPr>
          <w:sz w:val="24"/>
        </w:rPr>
      </w:pPr>
      <w:r>
        <w:rPr>
          <w:rFonts w:hint="eastAsia"/>
          <w:sz w:val="24"/>
        </w:rPr>
        <w:t>对前端供电和控制部分，需要采取有效的避雷接地措施，充分保障前端的稳定性和可靠性，前端监控的防雷接地主要从以下三个方面进行。</w:t>
      </w:r>
    </w:p>
    <w:p>
      <w:pPr>
        <w:spacing w:line="360" w:lineRule="auto"/>
        <w:ind w:firstLine="480" w:firstLineChars="200"/>
        <w:rPr>
          <w:sz w:val="24"/>
        </w:rPr>
      </w:pPr>
      <w:r>
        <w:rPr>
          <w:rFonts w:hint="eastAsia"/>
          <w:sz w:val="24"/>
        </w:rPr>
        <w:t>击雷防护：在直击雷非防护区的每个视频监控点均配置预放电避雷针，安装于监控点立杆顶部。</w:t>
      </w:r>
    </w:p>
    <w:p>
      <w:pPr>
        <w:spacing w:line="360" w:lineRule="auto"/>
        <w:ind w:firstLine="480" w:firstLineChars="200"/>
        <w:rPr>
          <w:sz w:val="24"/>
        </w:rPr>
      </w:pPr>
      <w:r>
        <w:rPr>
          <w:rFonts w:hint="eastAsia"/>
          <w:sz w:val="24"/>
        </w:rPr>
        <w:t>供电设施的雷击电磁脉冲防护：电源防雷系统主要是防止雷电波通过电源对前端设备造成危害。</w:t>
      </w:r>
    </w:p>
    <w:p>
      <w:pPr>
        <w:spacing w:line="360" w:lineRule="auto"/>
        <w:ind w:firstLine="480" w:firstLineChars="200"/>
        <w:rPr>
          <w:sz w:val="24"/>
        </w:rPr>
      </w:pPr>
      <w:r>
        <w:rPr>
          <w:rFonts w:hint="eastAsia"/>
          <w:sz w:val="24"/>
        </w:rPr>
        <w:t>均压等电位连接：等电位连接是将正常不带电（或不带信息）的、未接地或未良好接地的设备金属外壳、电缆的金属外皮、金属构架、金属管线与接地系统作电气连接，防止在这此物件上由于感应雷电高压或接地装置上雷电入地高电位的传递造成对设备内部绝缘、电缆芯线的反击。</w:t>
      </w:r>
    </w:p>
    <w:p>
      <w:pPr>
        <w:spacing w:line="360" w:lineRule="auto"/>
        <w:ind w:firstLine="482" w:firstLineChars="200"/>
        <w:rPr>
          <w:b/>
          <w:sz w:val="24"/>
          <w:szCs w:val="21"/>
        </w:rPr>
      </w:pPr>
      <w:bookmarkStart w:id="96" w:name="_Toc509302022"/>
      <w:r>
        <w:rPr>
          <w:rFonts w:hint="eastAsia"/>
          <w:b/>
          <w:sz w:val="24"/>
          <w:szCs w:val="21"/>
        </w:rPr>
        <w:t>部署</w:t>
      </w:r>
      <w:bookmarkEnd w:id="96"/>
      <w:r>
        <w:rPr>
          <w:rFonts w:hint="eastAsia"/>
          <w:b/>
          <w:sz w:val="24"/>
          <w:szCs w:val="21"/>
        </w:rPr>
        <w:t>建议</w:t>
      </w:r>
    </w:p>
    <w:p>
      <w:pPr>
        <w:spacing w:line="360" w:lineRule="auto"/>
        <w:ind w:firstLine="480" w:firstLineChars="200"/>
        <w:rPr>
          <w:sz w:val="24"/>
          <w:szCs w:val="21"/>
        </w:rPr>
      </w:pPr>
      <w:r>
        <w:rPr>
          <w:rFonts w:hint="eastAsia"/>
          <w:sz w:val="24"/>
          <w:szCs w:val="21"/>
        </w:rPr>
        <w:t>公园、广场监控部署</w:t>
      </w:r>
    </w:p>
    <w:p>
      <w:pPr>
        <w:spacing w:line="360" w:lineRule="auto"/>
        <w:ind w:firstLine="480" w:firstLineChars="200"/>
        <w:rPr>
          <w:sz w:val="24"/>
          <w:szCs w:val="21"/>
        </w:rPr>
      </w:pPr>
      <w:r>
        <w:rPr>
          <w:rFonts w:hint="eastAsia"/>
          <w:sz w:val="24"/>
          <w:szCs w:val="21"/>
        </w:rPr>
        <w:t>对于公园、广场等室外公共场所，推荐使用球机进行监控。若只需要完成常规监控，则可以选择网络红外球；若需要夜间低照度监控，可以选用低照度相机。可以在广场、公园合适的地方立杆安装，也可以在附近的建筑物上通过支架进行安装。</w:t>
      </w:r>
    </w:p>
    <w:p>
      <w:pPr>
        <w:spacing w:line="360" w:lineRule="auto"/>
        <w:ind w:firstLine="480" w:firstLineChars="200"/>
        <w:rPr>
          <w:sz w:val="24"/>
          <w:szCs w:val="21"/>
        </w:rPr>
      </w:pPr>
      <w:r>
        <w:rPr>
          <w:rFonts w:hint="eastAsia"/>
          <w:sz w:val="24"/>
          <w:szCs w:val="21"/>
        </w:rPr>
        <w:t>机房、配电房监控部署</w:t>
      </w:r>
    </w:p>
    <w:p>
      <w:pPr>
        <w:spacing w:line="360" w:lineRule="auto"/>
        <w:ind w:firstLine="480" w:firstLineChars="200"/>
        <w:rPr>
          <w:sz w:val="24"/>
          <w:szCs w:val="21"/>
        </w:rPr>
      </w:pPr>
      <w:r>
        <w:rPr>
          <w:rFonts w:hint="eastAsia"/>
          <w:color w:val="000000"/>
          <w:sz w:val="24"/>
        </w:rPr>
        <w:t>机房</w:t>
      </w:r>
      <w:r>
        <w:rPr>
          <w:rFonts w:hint="eastAsia"/>
          <w:sz w:val="24"/>
          <w:szCs w:val="21"/>
        </w:rPr>
        <w:t>、配电房大部分环境下没有人员出入，且光线昏暗，推荐使用低照度筒机进行全天候监控。</w:t>
      </w:r>
    </w:p>
    <w:p>
      <w:pPr>
        <w:keepNext/>
        <w:keepLines/>
        <w:spacing w:line="360" w:lineRule="auto"/>
        <w:jc w:val="left"/>
        <w:outlineLvl w:val="3"/>
        <w:rPr>
          <w:rFonts w:eastAsia="黑体"/>
          <w:bCs/>
          <w:sz w:val="30"/>
          <w:szCs w:val="28"/>
        </w:rPr>
      </w:pPr>
      <w:r>
        <w:rPr>
          <w:rFonts w:hint="eastAsia" w:eastAsia="黑体"/>
          <w:bCs/>
          <w:sz w:val="30"/>
          <w:szCs w:val="28"/>
        </w:rPr>
        <w:t>12.4.1.2人脸抓拍</w:t>
      </w:r>
    </w:p>
    <w:p>
      <w:pPr>
        <w:spacing w:line="360" w:lineRule="auto"/>
        <w:ind w:firstLine="482" w:firstLineChars="200"/>
        <w:rPr>
          <w:b/>
          <w:sz w:val="24"/>
          <w:szCs w:val="21"/>
        </w:rPr>
      </w:pPr>
      <w:r>
        <w:rPr>
          <w:rFonts w:hint="eastAsia"/>
          <w:b/>
          <w:sz w:val="24"/>
          <w:szCs w:val="21"/>
        </w:rPr>
        <w:t>基本介绍</w:t>
      </w:r>
    </w:p>
    <w:p>
      <w:pPr>
        <w:spacing w:line="360" w:lineRule="auto"/>
        <w:ind w:firstLine="480" w:firstLineChars="200"/>
        <w:rPr>
          <w:sz w:val="24"/>
          <w:szCs w:val="21"/>
        </w:rPr>
      </w:pPr>
      <w:r>
        <w:rPr>
          <w:rFonts w:hint="eastAsia"/>
          <w:sz w:val="24"/>
          <w:szCs w:val="21"/>
        </w:rPr>
        <w:t>人脸信息采集子系统采用技术领先的人脸检测算法、人脸跟踪算法、人脸质量评分算法以及人脸识别算法，对城市各主要场所人员进出通道进行人脸抓拍、识别以及属性特征信息提取，建立海量人脸特征数据库，并以综治实战应用为核心，创新实战技战法。在重点场所或者主要通道设置人脸卡口，专门针对各类重点场所进出人员进行人脸抓拍、人脸特征的提取和分析识别。可以帮助管理部门快速人脸检索、定位、黑名单布控，找出人员的活动轨迹，识别出嫌疑人员。它是视频分析、运动跟踪、人脸检测和识别技术在视频监控领域的全新综合应用。</w:t>
      </w:r>
    </w:p>
    <w:p>
      <w:pPr>
        <w:spacing w:line="360" w:lineRule="auto"/>
        <w:ind w:firstLine="480" w:firstLineChars="200"/>
        <w:rPr>
          <w:sz w:val="24"/>
          <w:szCs w:val="21"/>
        </w:rPr>
      </w:pPr>
      <w:r>
        <w:rPr>
          <w:rFonts w:hint="eastAsia"/>
          <w:sz w:val="24"/>
          <w:szCs w:val="21"/>
        </w:rPr>
        <w:t>在社区出入口处设立人脸抓拍机，以采集各出入口处进出人员人脸信息；在单元楼、</w:t>
      </w:r>
      <w:r>
        <w:rPr>
          <w:sz w:val="24"/>
          <w:szCs w:val="21"/>
        </w:rPr>
        <w:t>公共区域、</w:t>
      </w:r>
      <w:r>
        <w:rPr>
          <w:rFonts w:hint="eastAsia"/>
          <w:sz w:val="24"/>
          <w:szCs w:val="21"/>
        </w:rPr>
        <w:t>重点</w:t>
      </w:r>
      <w:r>
        <w:rPr>
          <w:sz w:val="24"/>
          <w:szCs w:val="21"/>
        </w:rPr>
        <w:t>场所的出入口及重要通道设立人脸抓拍机，以采集通行人员人脸信息；在</w:t>
      </w:r>
      <w:r>
        <w:rPr>
          <w:rFonts w:hint="eastAsia"/>
          <w:sz w:val="24"/>
          <w:szCs w:val="21"/>
        </w:rPr>
        <w:t>社区门口及主要道路口等大场景处设计全局摄像机，实现大场景和细节监控、人脸抓拍，还可用于抓拍未经人员道闸出入入小区人员、如通过车辆道闸出入等情况进行记录</w:t>
      </w:r>
      <w:r>
        <w:rPr>
          <w:sz w:val="24"/>
          <w:szCs w:val="21"/>
        </w:rPr>
        <w:t>，强化社区出入口人员管控措施。</w:t>
      </w:r>
      <w:r>
        <w:rPr>
          <w:rFonts w:hint="eastAsia"/>
          <w:sz w:val="24"/>
          <w:szCs w:val="21"/>
        </w:rPr>
        <w:t>各抓拍人脸信息以供后端平台用作实时预警、检索以及数据碰撞等作用，前端设备数量详见清单，后端服务器建设在中心平台。</w:t>
      </w:r>
    </w:p>
    <w:p>
      <w:pPr>
        <w:spacing w:line="360" w:lineRule="auto"/>
        <w:ind w:firstLine="482" w:firstLineChars="200"/>
        <w:rPr>
          <w:b/>
          <w:sz w:val="24"/>
          <w:szCs w:val="21"/>
        </w:rPr>
      </w:pPr>
      <w:r>
        <w:rPr>
          <w:rFonts w:hint="eastAsia"/>
          <w:b/>
          <w:sz w:val="24"/>
          <w:szCs w:val="21"/>
        </w:rPr>
        <w:t>设备组成</w:t>
      </w:r>
    </w:p>
    <w:p>
      <w:pPr>
        <w:spacing w:line="360" w:lineRule="auto"/>
        <w:ind w:firstLine="480" w:firstLineChars="200"/>
        <w:rPr>
          <w:sz w:val="24"/>
          <w:szCs w:val="21"/>
        </w:rPr>
      </w:pPr>
      <w:r>
        <w:rPr>
          <w:rFonts w:hint="eastAsia"/>
          <w:sz w:val="24"/>
        </w:rPr>
        <w:t>前端设备建议选择具有</w:t>
      </w:r>
      <w:r>
        <w:rPr>
          <w:rFonts w:hint="eastAsia"/>
          <w:sz w:val="24"/>
          <w:szCs w:val="21"/>
        </w:rPr>
        <w:t>深度学习算法的人脸抓拍机对监控区域进行人脸抓拍。</w:t>
      </w:r>
    </w:p>
    <w:p>
      <w:pPr>
        <w:spacing w:line="360" w:lineRule="auto"/>
        <w:ind w:firstLine="482" w:firstLineChars="200"/>
        <w:rPr>
          <w:b/>
          <w:sz w:val="24"/>
          <w:szCs w:val="21"/>
        </w:rPr>
      </w:pPr>
      <w:r>
        <w:rPr>
          <w:rFonts w:hint="eastAsia"/>
          <w:b/>
          <w:sz w:val="24"/>
          <w:szCs w:val="21"/>
        </w:rPr>
        <w:t>部署建议</w:t>
      </w:r>
    </w:p>
    <w:p>
      <w:pPr>
        <w:spacing w:line="360" w:lineRule="auto"/>
        <w:ind w:firstLine="480" w:firstLineChars="200"/>
        <w:rPr>
          <w:sz w:val="24"/>
          <w:szCs w:val="21"/>
        </w:rPr>
      </w:pPr>
      <w:r>
        <w:rPr>
          <w:rFonts w:hint="eastAsia"/>
          <w:sz w:val="24"/>
          <w:szCs w:val="21"/>
        </w:rPr>
        <w:t>人脸识别准确率与</w:t>
      </w:r>
      <w:r>
        <w:rPr>
          <w:sz w:val="24"/>
          <w:szCs w:val="21"/>
        </w:rPr>
        <w:t>摄像机安装位置、现场环境</w:t>
      </w:r>
      <w:r>
        <w:rPr>
          <w:rFonts w:hint="eastAsia"/>
          <w:sz w:val="24"/>
          <w:szCs w:val="21"/>
        </w:rPr>
        <w:t>光线</w:t>
      </w:r>
      <w:r>
        <w:rPr>
          <w:sz w:val="24"/>
          <w:szCs w:val="21"/>
        </w:rPr>
        <w:t>（</w:t>
      </w:r>
      <w:r>
        <w:rPr>
          <w:rFonts w:hint="eastAsia"/>
          <w:sz w:val="24"/>
          <w:szCs w:val="21"/>
        </w:rPr>
        <w:t>如过暗</w:t>
      </w:r>
      <w:r>
        <w:rPr>
          <w:sz w:val="24"/>
          <w:szCs w:val="21"/>
        </w:rPr>
        <w:t>、过亮）</w:t>
      </w:r>
      <w:r>
        <w:rPr>
          <w:rFonts w:hint="eastAsia"/>
          <w:sz w:val="24"/>
          <w:szCs w:val="21"/>
        </w:rPr>
        <w:t>等因素</w:t>
      </w:r>
      <w:r>
        <w:rPr>
          <w:sz w:val="24"/>
          <w:szCs w:val="21"/>
        </w:rPr>
        <w:t>影响极大</w:t>
      </w:r>
      <w:r>
        <w:rPr>
          <w:rFonts w:hint="eastAsia"/>
          <w:sz w:val="24"/>
          <w:szCs w:val="21"/>
        </w:rPr>
        <w:t>。</w:t>
      </w:r>
    </w:p>
    <w:p>
      <w:pPr>
        <w:spacing w:line="360" w:lineRule="auto"/>
        <w:ind w:firstLine="480" w:firstLineChars="200"/>
        <w:rPr>
          <w:sz w:val="24"/>
          <w:szCs w:val="21"/>
        </w:rPr>
      </w:pPr>
      <w:r>
        <w:rPr>
          <w:rFonts w:hint="eastAsia"/>
          <w:sz w:val="24"/>
          <w:szCs w:val="21"/>
        </w:rPr>
        <w:t>需选择具有标准的人员通道或者出入口的安装环境，以规范人员具有唯一的通行方向，确保摄像机能够抓拍到该方向上所有进入或者离开人员的正脸。</w:t>
      </w:r>
    </w:p>
    <w:p>
      <w:pPr>
        <w:spacing w:line="360" w:lineRule="auto"/>
        <w:ind w:firstLine="480" w:firstLineChars="200"/>
        <w:rPr>
          <w:sz w:val="24"/>
          <w:szCs w:val="21"/>
        </w:rPr>
      </w:pPr>
      <w:r>
        <w:rPr>
          <w:rFonts w:hint="eastAsia"/>
          <w:sz w:val="24"/>
          <w:szCs w:val="21"/>
        </w:rPr>
        <w:t>需选择具有稳定、充足的光照环境，在背光条件及光线不足条件下要求补光，确保人脸特征的清晰可见。</w:t>
      </w:r>
    </w:p>
    <w:p>
      <w:pPr>
        <w:spacing w:line="360" w:lineRule="auto"/>
        <w:ind w:left="420" w:firstLine="480"/>
        <w:rPr>
          <w:sz w:val="24"/>
        </w:rPr>
      </w:pPr>
      <w:r>
        <w:rPr>
          <w:rFonts w:hint="eastAsia"/>
          <w:sz w:val="24"/>
        </w:rPr>
        <w:t>相机安装要求如下：</w:t>
      </w:r>
    </w:p>
    <w:p>
      <w:pPr>
        <w:spacing w:before="80" w:after="80" w:line="360" w:lineRule="auto"/>
        <w:ind w:firstLine="480" w:firstLineChars="200"/>
        <w:jc w:val="center"/>
        <w:rPr>
          <w:sz w:val="24"/>
          <w:szCs w:val="21"/>
        </w:rPr>
      </w:pPr>
      <w:r>
        <w:rPr>
          <w:sz w:val="24"/>
          <w:szCs w:val="21"/>
        </w:rPr>
        <w:drawing>
          <wp:inline distT="0" distB="0" distL="114300" distR="114300">
            <wp:extent cx="4302125" cy="2700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302125" cy="2700020"/>
                    </a:xfrm>
                    <a:prstGeom prst="rect">
                      <a:avLst/>
                    </a:prstGeom>
                    <a:noFill/>
                    <a:ln>
                      <a:noFill/>
                    </a:ln>
                  </pic:spPr>
                </pic:pic>
              </a:graphicData>
            </a:graphic>
          </wp:inline>
        </w:drawing>
      </w:r>
    </w:p>
    <w:p>
      <w:pPr>
        <w:spacing w:line="360" w:lineRule="auto"/>
        <w:ind w:left="2263" w:firstLine="480"/>
        <w:jc w:val="center"/>
        <w:rPr>
          <w:szCs w:val="21"/>
          <w:lang/>
        </w:rPr>
      </w:pPr>
      <w:bookmarkStart w:id="97" w:name="_Toc524774101"/>
      <w:bookmarkStart w:id="98" w:name="_Ref28610254"/>
      <w:r>
        <w:rPr>
          <w:rFonts w:hint="eastAsia"/>
          <w:szCs w:val="21"/>
          <w:lang/>
        </w:rPr>
        <w:t>人脸抓拍安装示意图</w:t>
      </w:r>
      <w:bookmarkEnd w:id="97"/>
      <w:bookmarkEnd w:id="98"/>
    </w:p>
    <w:p>
      <w:pPr>
        <w:spacing w:line="360" w:lineRule="auto"/>
        <w:ind w:firstLine="480" w:firstLineChars="200"/>
        <w:rPr>
          <w:sz w:val="24"/>
          <w:szCs w:val="21"/>
        </w:rPr>
      </w:pPr>
      <w:r>
        <w:rPr>
          <w:rFonts w:hint="eastAsia"/>
          <w:sz w:val="24"/>
          <w:szCs w:val="21"/>
        </w:rPr>
        <w:t>人脸抓拍摄像机安装位置选择规范如下：</w:t>
      </w:r>
    </w:p>
    <w:p>
      <w:pPr>
        <w:spacing w:line="360" w:lineRule="auto"/>
        <w:ind w:firstLine="480" w:firstLineChars="200"/>
        <w:rPr>
          <w:sz w:val="24"/>
          <w:szCs w:val="21"/>
        </w:rPr>
      </w:pPr>
      <w:r>
        <w:rPr>
          <w:rFonts w:hint="eastAsia"/>
          <w:sz w:val="24"/>
          <w:szCs w:val="21"/>
        </w:rPr>
        <w:t>摄像机设在通道正前方，正面抓拍人脸，水平方向偏转角度</w:t>
      </w:r>
      <w:r>
        <w:rPr>
          <w:sz w:val="24"/>
          <w:szCs w:val="21"/>
        </w:rPr>
        <w:t>&lt;</w:t>
      </w:r>
      <w:r>
        <w:rPr>
          <w:rFonts w:hint="eastAsia"/>
          <w:sz w:val="24"/>
          <w:szCs w:val="21"/>
        </w:rPr>
        <w:t>15°，越小越好。</w:t>
      </w:r>
    </w:p>
    <w:p>
      <w:pPr>
        <w:spacing w:line="360" w:lineRule="auto"/>
        <w:ind w:firstLine="480" w:firstLineChars="200"/>
        <w:rPr>
          <w:sz w:val="24"/>
          <w:szCs w:val="21"/>
        </w:rPr>
      </w:pPr>
      <w:r>
        <w:rPr>
          <w:rFonts w:hint="eastAsia"/>
          <w:sz w:val="24"/>
          <w:szCs w:val="21"/>
        </w:rPr>
        <w:t>摄像机安装需具有一定俯视角度，避免一前一后人员经过通道时后方人脸被遮挡，垂直方向俯视角度</w:t>
      </w:r>
      <w:r>
        <w:rPr>
          <w:sz w:val="24"/>
          <w:szCs w:val="21"/>
        </w:rPr>
        <w:t>α</w:t>
      </w:r>
      <w:r>
        <w:rPr>
          <w:rFonts w:hint="eastAsia"/>
          <w:sz w:val="24"/>
          <w:szCs w:val="21"/>
        </w:rPr>
        <w:t>=10°±3°。</w:t>
      </w:r>
    </w:p>
    <w:p>
      <w:pPr>
        <w:spacing w:line="360" w:lineRule="auto"/>
        <w:ind w:firstLine="480" w:firstLineChars="200"/>
        <w:rPr>
          <w:sz w:val="24"/>
          <w:szCs w:val="21"/>
        </w:rPr>
      </w:pPr>
      <w:r>
        <w:rPr>
          <w:rFonts w:hint="eastAsia"/>
          <w:sz w:val="24"/>
          <w:szCs w:val="21"/>
        </w:rPr>
        <w:t>抓拍图片中要辨清人脸细节要求人脸覆盖的像素达到120像素点（瞳距达到60像素点），400万</w:t>
      </w:r>
      <w:r>
        <w:rPr>
          <w:sz w:val="24"/>
          <w:szCs w:val="21"/>
        </w:rPr>
        <w:t>摄像机人脸检测位置的实际宽度</w:t>
      </w:r>
      <w:r>
        <w:rPr>
          <w:rFonts w:hint="eastAsia"/>
          <w:sz w:val="24"/>
          <w:szCs w:val="21"/>
        </w:rPr>
        <w:t>V≤3</w:t>
      </w:r>
      <w:r>
        <w:rPr>
          <w:sz w:val="24"/>
          <w:szCs w:val="21"/>
        </w:rPr>
        <w:t>.3</w:t>
      </w:r>
      <w:r>
        <w:rPr>
          <w:rFonts w:hint="eastAsia"/>
          <w:sz w:val="24"/>
          <w:szCs w:val="21"/>
        </w:rPr>
        <w:t>米。</w:t>
      </w:r>
      <w:r>
        <w:rPr>
          <w:sz w:val="24"/>
          <w:szCs w:val="21"/>
        </w:rPr>
        <w:t xml:space="preserve"> </w:t>
      </w:r>
    </w:p>
    <w:p>
      <w:pPr>
        <w:spacing w:line="360" w:lineRule="auto"/>
        <w:ind w:firstLine="480" w:firstLineChars="200"/>
        <w:rPr>
          <w:sz w:val="24"/>
          <w:szCs w:val="21"/>
        </w:rPr>
      </w:pPr>
      <w:r>
        <w:rPr>
          <w:rFonts w:hint="eastAsia"/>
          <w:sz w:val="24"/>
          <w:szCs w:val="21"/>
        </w:rPr>
        <w:t>摄像机镜头至人员通道出入口中间空旷、无遮挡。</w:t>
      </w:r>
    </w:p>
    <w:p>
      <w:pPr>
        <w:spacing w:line="360" w:lineRule="auto"/>
        <w:ind w:left="420"/>
        <w:rPr>
          <w:sz w:val="24"/>
          <w:szCs w:val="21"/>
        </w:rPr>
      </w:pPr>
      <w:bookmarkStart w:id="99" w:name="_Toc432581289"/>
      <w:bookmarkStart w:id="100" w:name="_Toc452727206"/>
      <w:bookmarkStart w:id="101" w:name="_Toc450159083"/>
      <w:bookmarkStart w:id="102" w:name="_Toc517259229"/>
      <w:bookmarkStart w:id="103" w:name="_Toc403640615"/>
      <w:bookmarkStart w:id="104" w:name="_Toc452726621"/>
      <w:bookmarkStart w:id="105" w:name="_Toc452727245"/>
      <w:r>
        <w:rPr>
          <w:rFonts w:hint="eastAsia"/>
          <w:sz w:val="24"/>
          <w:szCs w:val="21"/>
        </w:rPr>
        <w:t>摄像机镜头选择</w:t>
      </w:r>
      <w:bookmarkEnd w:id="99"/>
      <w:bookmarkEnd w:id="100"/>
      <w:bookmarkEnd w:id="101"/>
      <w:bookmarkEnd w:id="102"/>
      <w:bookmarkEnd w:id="103"/>
      <w:bookmarkEnd w:id="104"/>
      <w:bookmarkEnd w:id="105"/>
      <w:r>
        <w:rPr>
          <w:rFonts w:hint="eastAsia"/>
          <w:sz w:val="24"/>
          <w:szCs w:val="21"/>
        </w:rPr>
        <w:t>：</w:t>
      </w:r>
    </w:p>
    <w:p>
      <w:pPr>
        <w:spacing w:line="360" w:lineRule="auto"/>
        <w:ind w:firstLine="480" w:firstLineChars="200"/>
        <w:rPr>
          <w:sz w:val="24"/>
        </w:rPr>
      </w:pPr>
      <w:r>
        <w:rPr>
          <w:rFonts w:hint="eastAsia"/>
          <w:sz w:val="24"/>
          <w:szCs w:val="21"/>
        </w:rPr>
        <w:t xml:space="preserve">不同的相机、镜头焦距、监控的宽度也决定了其不同的监控距离和摄像机架设。其之间的换算关系如下  </w:t>
      </w:r>
      <w:r>
        <w:rPr>
          <w:rFonts w:hint="eastAsia"/>
          <w:sz w:val="24"/>
        </w:rPr>
        <w:t xml:space="preserve">              </w:t>
      </w:r>
    </w:p>
    <w:p>
      <w:pPr>
        <w:spacing w:line="360" w:lineRule="auto"/>
        <w:ind w:firstLine="480" w:firstLineChars="200"/>
        <w:rPr>
          <w:sz w:val="24"/>
          <w:szCs w:val="21"/>
        </w:rPr>
      </w:pPr>
      <w:r>
        <w:rPr>
          <w:rFonts w:hint="eastAsia"/>
          <w:sz w:val="24"/>
          <w:szCs w:val="21"/>
        </w:rPr>
        <w:t>镜头焦距选择：</w:t>
      </w:r>
      <w:r>
        <w:rPr>
          <w:sz w:val="24"/>
          <w:szCs w:val="21"/>
        </w:rPr>
        <w:drawing>
          <wp:inline distT="0" distB="0" distL="114300" distR="114300">
            <wp:extent cx="736600" cy="18415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36600" cy="184150"/>
                    </a:xfrm>
                    <a:prstGeom prst="rect">
                      <a:avLst/>
                    </a:prstGeom>
                    <a:noFill/>
                    <a:ln>
                      <a:noFill/>
                    </a:ln>
                  </pic:spPr>
                </pic:pic>
              </a:graphicData>
            </a:graphic>
          </wp:inline>
        </w:drawing>
      </w:r>
      <w:r>
        <w:rPr>
          <w:sz w:val="24"/>
          <w:szCs w:val="21"/>
        </w:rPr>
        <w:tab/>
      </w:r>
    </w:p>
    <w:p>
      <w:pPr>
        <w:spacing w:line="360" w:lineRule="auto"/>
        <w:ind w:firstLine="480" w:firstLineChars="200"/>
        <w:rPr>
          <w:sz w:val="24"/>
          <w:szCs w:val="21"/>
        </w:rPr>
      </w:pPr>
      <w:r>
        <w:rPr>
          <w:rFonts w:hint="eastAsia"/>
          <w:sz w:val="24"/>
          <w:szCs w:val="21"/>
        </w:rPr>
        <w:t>镜头架设高度为：</w:t>
      </w:r>
      <w:r>
        <w:rPr>
          <w:sz w:val="24"/>
          <w:szCs w:val="21"/>
        </w:rPr>
        <w:drawing>
          <wp:inline distT="0" distB="0" distL="114300" distR="114300">
            <wp:extent cx="1543685" cy="285115"/>
            <wp:effectExtent l="0" t="0" r="184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543685" cy="285115"/>
                    </a:xfrm>
                    <a:prstGeom prst="rect">
                      <a:avLst/>
                    </a:prstGeom>
                    <a:noFill/>
                    <a:ln>
                      <a:noFill/>
                    </a:ln>
                  </pic:spPr>
                </pic:pic>
              </a:graphicData>
            </a:graphic>
          </wp:inline>
        </w:drawing>
      </w:r>
      <w:r>
        <w:rPr>
          <w:rFonts w:hint="eastAsia"/>
          <w:sz w:val="24"/>
          <w:szCs w:val="21"/>
        </w:rPr>
        <w:t xml:space="preserve">                             </w:t>
      </w:r>
    </w:p>
    <w:p>
      <w:pPr>
        <w:spacing w:line="360" w:lineRule="auto"/>
        <w:ind w:firstLine="480" w:firstLineChars="200"/>
        <w:rPr>
          <w:sz w:val="24"/>
          <w:szCs w:val="21"/>
        </w:rPr>
      </w:pPr>
      <w:r>
        <w:rPr>
          <w:rFonts w:hint="eastAsia"/>
          <w:sz w:val="24"/>
          <w:szCs w:val="21"/>
        </w:rPr>
        <w:t>D为监控距离</w:t>
      </w:r>
    </w:p>
    <w:p>
      <w:pPr>
        <w:spacing w:line="360" w:lineRule="auto"/>
        <w:ind w:firstLine="480" w:firstLineChars="200"/>
        <w:rPr>
          <w:sz w:val="24"/>
          <w:szCs w:val="21"/>
        </w:rPr>
      </w:pPr>
      <w:r>
        <w:rPr>
          <w:rFonts w:hint="eastAsia"/>
          <w:sz w:val="24"/>
          <w:szCs w:val="21"/>
        </w:rPr>
        <w:t>人头部以下高度取平均值1.5米</w:t>
      </w:r>
    </w:p>
    <w:p>
      <w:pPr>
        <w:spacing w:line="360" w:lineRule="auto"/>
        <w:ind w:firstLine="480" w:firstLineChars="200"/>
        <w:rPr>
          <w:sz w:val="24"/>
          <w:szCs w:val="21"/>
        </w:rPr>
      </w:pPr>
      <w:r>
        <w:rPr>
          <w:sz w:val="24"/>
          <w:szCs w:val="21"/>
        </w:rPr>
        <w:t>α</w:t>
      </w:r>
      <w:r>
        <w:rPr>
          <w:rFonts w:hint="eastAsia"/>
          <w:sz w:val="24"/>
          <w:szCs w:val="21"/>
        </w:rPr>
        <w:t>为摄像机俯视角度，推荐俯视角度为10°，</w:t>
      </w:r>
      <w:r>
        <w:rPr>
          <w:sz w:val="24"/>
          <w:szCs w:val="21"/>
        </w:rPr>
        <w:drawing>
          <wp:inline distT="0" distB="0" distL="114300" distR="114300">
            <wp:extent cx="628650" cy="2851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628650" cy="285115"/>
                    </a:xfrm>
                    <a:prstGeom prst="rect">
                      <a:avLst/>
                    </a:prstGeom>
                    <a:noFill/>
                    <a:ln>
                      <a:noFill/>
                    </a:ln>
                  </pic:spPr>
                </pic:pic>
              </a:graphicData>
            </a:graphic>
          </wp:inline>
        </w:drawing>
      </w:r>
      <w:r>
        <w:rPr>
          <w:rFonts w:hint="eastAsia"/>
          <w:sz w:val="24"/>
          <w:szCs w:val="21"/>
        </w:rPr>
        <w:t>≈0.18</w:t>
      </w:r>
    </w:p>
    <w:p>
      <w:pPr>
        <w:keepNext/>
        <w:keepLines/>
        <w:spacing w:line="360" w:lineRule="auto"/>
        <w:jc w:val="left"/>
        <w:outlineLvl w:val="3"/>
        <w:rPr>
          <w:rFonts w:eastAsia="黑体"/>
          <w:bCs/>
          <w:sz w:val="30"/>
          <w:szCs w:val="28"/>
        </w:rPr>
      </w:pPr>
      <w:r>
        <w:rPr>
          <w:rFonts w:hint="eastAsia" w:eastAsia="黑体"/>
          <w:bCs/>
          <w:sz w:val="30"/>
          <w:szCs w:val="28"/>
        </w:rPr>
        <w:t>12.4.1.3车辆系统抓拍</w:t>
      </w:r>
    </w:p>
    <w:p>
      <w:pPr>
        <w:spacing w:line="360" w:lineRule="auto"/>
        <w:ind w:firstLine="482" w:firstLineChars="200"/>
        <w:rPr>
          <w:b/>
          <w:sz w:val="24"/>
          <w:szCs w:val="21"/>
        </w:rPr>
      </w:pPr>
      <w:r>
        <w:rPr>
          <w:rFonts w:hint="eastAsia"/>
          <w:b/>
          <w:sz w:val="24"/>
          <w:szCs w:val="21"/>
        </w:rPr>
        <w:t>基本介绍</w:t>
      </w:r>
    </w:p>
    <w:p>
      <w:pPr>
        <w:spacing w:line="480" w:lineRule="auto"/>
        <w:ind w:firstLine="480" w:firstLineChars="200"/>
        <w:rPr>
          <w:rFonts w:cs="宋体"/>
          <w:sz w:val="24"/>
          <w:szCs w:val="22"/>
        </w:rPr>
      </w:pPr>
      <w:r>
        <w:rPr>
          <w:rFonts w:hint="eastAsia" w:cs="宋体"/>
          <w:sz w:val="24"/>
          <w:szCs w:val="22"/>
        </w:rPr>
        <w:t xml:space="preserve">利用停车场已安装的管理系统，在不影响原有系统的情况下，加装车辆数据采集器，将停车场车辆信息实时采集输送至公安平台，此方案不需要重复安装相机和停车系统，不需要改变原停车场系统，可以对各品牌的相机实现数据采集，并通过4G无线路由器传输数据，达到无感施工、无感采集，效率高、成本低、速度快、全覆盖。 </w:t>
      </w:r>
    </w:p>
    <w:p>
      <w:pPr>
        <w:spacing w:before="120" w:beforeLines="50" w:after="120" w:afterLines="50" w:line="360" w:lineRule="auto"/>
        <w:ind w:firstLine="480" w:firstLineChars="200"/>
        <w:rPr>
          <w:sz w:val="24"/>
        </w:rPr>
      </w:pPr>
      <w:r>
        <w:rPr>
          <w:rFonts w:hint="eastAsia"/>
          <w:sz w:val="24"/>
        </w:rPr>
        <w:t>车辆信息采集</w:t>
      </w:r>
      <w:r>
        <w:rPr>
          <w:sz w:val="24"/>
        </w:rPr>
        <w:t>系统</w:t>
      </w:r>
      <w:r>
        <w:rPr>
          <w:rFonts w:hint="eastAsia"/>
          <w:sz w:val="24"/>
        </w:rPr>
        <w:t>总体</w:t>
      </w:r>
      <w:r>
        <w:rPr>
          <w:sz w:val="24"/>
        </w:rPr>
        <w:t>架构图如下：</w:t>
      </w:r>
    </w:p>
    <w:p>
      <w:pPr>
        <w:spacing w:before="120" w:beforeLines="50" w:after="120" w:afterLines="50" w:line="360" w:lineRule="auto"/>
        <w:ind w:firstLine="480" w:firstLineChars="200"/>
        <w:rPr>
          <w:sz w:val="24"/>
        </w:rPr>
      </w:pPr>
      <w:r>
        <w:rPr>
          <w:sz w:val="24"/>
          <w:lang/>
        </w:rPr>
        <w:drawing>
          <wp:inline distT="0" distB="0" distL="114300" distR="114300">
            <wp:extent cx="4861560" cy="3230880"/>
            <wp:effectExtent l="0" t="0" r="15240" b="7620"/>
            <wp:docPr id="6" name="图片 1" descr="说明: FAA1C3E3-044E-4595-A0D0-91CF604F5715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FAA1C3E3-044E-4595-A0D0-91CF604F5715 - 副本"/>
                    <pic:cNvPicPr>
                      <a:picLocks noChangeAspect="1"/>
                    </pic:cNvPicPr>
                  </pic:nvPicPr>
                  <pic:blipFill>
                    <a:blip r:embed="rId13"/>
                    <a:stretch>
                      <a:fillRect/>
                    </a:stretch>
                  </pic:blipFill>
                  <pic:spPr>
                    <a:xfrm>
                      <a:off x="0" y="0"/>
                      <a:ext cx="4861560" cy="3230880"/>
                    </a:xfrm>
                    <a:prstGeom prst="rect">
                      <a:avLst/>
                    </a:prstGeom>
                    <a:noFill/>
                    <a:ln>
                      <a:noFill/>
                    </a:ln>
                  </pic:spPr>
                </pic:pic>
              </a:graphicData>
            </a:graphic>
          </wp:inline>
        </w:drawing>
      </w:r>
    </w:p>
    <w:p>
      <w:pPr>
        <w:spacing w:before="156" w:after="156" w:line="480" w:lineRule="auto"/>
        <w:ind w:firstLine="480" w:firstLineChars="200"/>
        <w:jc w:val="center"/>
        <w:rPr>
          <w:rFonts w:cs="宋体"/>
          <w:sz w:val="24"/>
          <w:szCs w:val="22"/>
        </w:rPr>
      </w:pPr>
      <w:r>
        <w:rPr>
          <w:rFonts w:cs="宋体"/>
          <w:sz w:val="24"/>
          <w:szCs w:val="22"/>
        </w:rPr>
        <w:t>图一</w:t>
      </w:r>
      <w:r>
        <w:rPr>
          <w:rFonts w:hint="eastAsia" w:cs="宋体"/>
          <w:sz w:val="24"/>
          <w:szCs w:val="22"/>
        </w:rPr>
        <w:t xml:space="preserve"> 停车场信息采集</w:t>
      </w:r>
      <w:r>
        <w:rPr>
          <w:rFonts w:cs="宋体"/>
          <w:sz w:val="24"/>
          <w:szCs w:val="22"/>
        </w:rPr>
        <w:t>系统总体架构图</w:t>
      </w:r>
    </w:p>
    <w:p>
      <w:pPr>
        <w:spacing w:line="480" w:lineRule="auto"/>
        <w:ind w:firstLine="480" w:firstLineChars="200"/>
        <w:rPr>
          <w:rFonts w:cs="宋体"/>
          <w:sz w:val="24"/>
          <w:szCs w:val="22"/>
        </w:rPr>
      </w:pPr>
    </w:p>
    <w:p>
      <w:pPr>
        <w:spacing w:line="360" w:lineRule="auto"/>
        <w:ind w:firstLine="482" w:firstLineChars="200"/>
        <w:rPr>
          <w:b/>
          <w:sz w:val="24"/>
          <w:szCs w:val="21"/>
        </w:rPr>
      </w:pPr>
      <w:r>
        <w:rPr>
          <w:rFonts w:hint="eastAsia"/>
          <w:b/>
          <w:sz w:val="24"/>
          <w:szCs w:val="21"/>
        </w:rPr>
        <w:t>传输与链路</w:t>
      </w:r>
    </w:p>
    <w:p>
      <w:pPr>
        <w:spacing w:line="480" w:lineRule="auto"/>
        <w:ind w:firstLine="480" w:firstLineChars="200"/>
        <w:rPr>
          <w:rFonts w:cs="宋体"/>
          <w:sz w:val="24"/>
          <w:szCs w:val="22"/>
        </w:rPr>
      </w:pPr>
      <w:r>
        <w:rPr>
          <w:rFonts w:hint="eastAsia" w:cs="宋体"/>
          <w:sz w:val="24"/>
          <w:szCs w:val="22"/>
        </w:rPr>
        <w:t>采用VPDN专网对数据进行上传，不需要在停车场接入光纤或网线，施工安装便利，同时减少了网络传输的不利因素</w:t>
      </w:r>
      <w:r>
        <w:rPr>
          <w:rFonts w:cs="宋体"/>
          <w:sz w:val="24"/>
          <w:szCs w:val="22"/>
        </w:rPr>
        <w:t>(</w:t>
      </w:r>
      <w:r>
        <w:rPr>
          <w:rFonts w:hint="eastAsia" w:cs="宋体"/>
          <w:sz w:val="24"/>
          <w:szCs w:val="22"/>
        </w:rPr>
        <w:t>人为因素、自然因素</w:t>
      </w:r>
      <w:r>
        <w:rPr>
          <w:rFonts w:cs="宋体"/>
          <w:sz w:val="24"/>
          <w:szCs w:val="22"/>
        </w:rPr>
        <w:t>)</w:t>
      </w:r>
      <w:r>
        <w:rPr>
          <w:rFonts w:hint="eastAsia" w:cs="宋体"/>
          <w:sz w:val="24"/>
          <w:szCs w:val="22"/>
        </w:rPr>
        <w:t>，而且</w:t>
      </w:r>
      <w:r>
        <w:rPr>
          <w:rFonts w:cs="宋体"/>
          <w:sz w:val="24"/>
          <w:szCs w:val="22"/>
        </w:rPr>
        <w:t>VPDN</w:t>
      </w:r>
      <w:r>
        <w:rPr>
          <w:rFonts w:hint="eastAsia" w:cs="宋体"/>
          <w:sz w:val="24"/>
          <w:szCs w:val="22"/>
        </w:rPr>
        <w:t>专网可以保证数据的安全性与及时性。</w:t>
      </w:r>
    </w:p>
    <w:p>
      <w:pPr>
        <w:spacing w:line="480" w:lineRule="auto"/>
        <w:ind w:firstLine="480" w:firstLineChars="200"/>
        <w:rPr>
          <w:rFonts w:cs="宋体"/>
          <w:sz w:val="24"/>
          <w:szCs w:val="22"/>
        </w:rPr>
      </w:pPr>
      <w:r>
        <w:rPr>
          <w:rFonts w:hint="eastAsia" w:cs="宋体"/>
          <w:sz w:val="24"/>
          <w:szCs w:val="22"/>
        </w:rPr>
        <w:t>从成本及施工便利程度上均优于架设有线链路传输的方式。相比于拉光纤方式，</w:t>
      </w:r>
      <w:r>
        <w:rPr>
          <w:rFonts w:cs="宋体"/>
          <w:sz w:val="24"/>
          <w:szCs w:val="22"/>
        </w:rPr>
        <w:t xml:space="preserve">4G vpdn </w:t>
      </w:r>
      <w:r>
        <w:rPr>
          <w:rFonts w:hint="eastAsia" w:cs="宋体"/>
          <w:sz w:val="24"/>
          <w:szCs w:val="22"/>
        </w:rPr>
        <w:t>上传模式部署灵活，实施便捷，总体成本合理。停车场通道关闭、新增或者有迁改时，调整方便。</w:t>
      </w:r>
    </w:p>
    <w:p>
      <w:pPr>
        <w:spacing w:line="360" w:lineRule="auto"/>
        <w:ind w:firstLine="480" w:firstLineChars="200"/>
        <w:rPr>
          <w:sz w:val="24"/>
          <w:szCs w:val="21"/>
        </w:rPr>
      </w:pPr>
    </w:p>
    <w:p>
      <w:pPr>
        <w:pStyle w:val="4"/>
      </w:pPr>
      <w:bookmarkStart w:id="106" w:name="_Toc20500924"/>
      <w:bookmarkStart w:id="107" w:name="_Toc46418607"/>
      <w:bookmarkStart w:id="108" w:name="_Toc46319048"/>
      <w:bookmarkStart w:id="109" w:name="_Toc28638758"/>
      <w:bookmarkStart w:id="110" w:name="_Toc43723042"/>
      <w:r>
        <w:rPr>
          <w:rFonts w:hint="eastAsia"/>
        </w:rPr>
        <w:t>12.4.2感知建设要求</w:t>
      </w:r>
      <w:bookmarkEnd w:id="106"/>
      <w:bookmarkEnd w:id="107"/>
      <w:bookmarkEnd w:id="108"/>
      <w:bookmarkEnd w:id="109"/>
      <w:bookmarkEnd w:id="110"/>
    </w:p>
    <w:p>
      <w:pPr>
        <w:keepNext/>
        <w:keepLines/>
        <w:spacing w:line="360" w:lineRule="auto"/>
        <w:jc w:val="left"/>
        <w:outlineLvl w:val="3"/>
        <w:rPr>
          <w:rFonts w:eastAsia="黑体"/>
          <w:bCs/>
          <w:sz w:val="30"/>
          <w:szCs w:val="28"/>
        </w:rPr>
      </w:pPr>
      <w:r>
        <w:rPr>
          <w:rFonts w:hint="eastAsia" w:eastAsia="黑体"/>
          <w:bCs/>
          <w:sz w:val="30"/>
          <w:szCs w:val="28"/>
        </w:rPr>
        <w:t>12.4.2.1新建小区</w:t>
      </w:r>
    </w:p>
    <w:p>
      <w:pPr>
        <w:spacing w:line="360" w:lineRule="auto"/>
        <w:ind w:firstLine="480" w:firstLineChars="200"/>
        <w:rPr>
          <w:sz w:val="24"/>
          <w:szCs w:val="21"/>
        </w:rPr>
      </w:pPr>
      <w:r>
        <w:rPr>
          <w:rFonts w:hint="eastAsia"/>
          <w:sz w:val="24"/>
          <w:szCs w:val="21"/>
        </w:rPr>
        <w:t>特征：</w:t>
      </w:r>
    </w:p>
    <w:p>
      <w:pPr>
        <w:spacing w:line="360" w:lineRule="auto"/>
        <w:ind w:firstLine="480" w:firstLineChars="200"/>
        <w:rPr>
          <w:sz w:val="24"/>
          <w:szCs w:val="21"/>
        </w:rPr>
      </w:pPr>
      <w:r>
        <w:rPr>
          <w:rFonts w:hint="eastAsia"/>
          <w:sz w:val="24"/>
          <w:szCs w:val="21"/>
        </w:rPr>
        <w:t>新建小区，小区内区域规划详细，设施配套待建设，具备独立物业管理，可根据智慧安防小区建设标准来要求地产商进行建设。</w:t>
      </w:r>
    </w:p>
    <w:p>
      <w:pPr>
        <w:spacing w:line="360" w:lineRule="auto"/>
        <w:ind w:firstLine="480" w:firstLineChars="200"/>
        <w:rPr>
          <w:sz w:val="24"/>
          <w:szCs w:val="21"/>
        </w:rPr>
      </w:pPr>
      <w:r>
        <w:rPr>
          <w:rFonts w:hint="eastAsia"/>
          <w:sz w:val="24"/>
          <w:szCs w:val="21"/>
        </w:rPr>
        <w:t>建设思路：</w:t>
      </w:r>
    </w:p>
    <w:p>
      <w:pPr>
        <w:spacing w:line="360" w:lineRule="auto"/>
        <w:ind w:firstLine="480" w:firstLineChars="200"/>
        <w:rPr>
          <w:sz w:val="24"/>
          <w:szCs w:val="21"/>
        </w:rPr>
      </w:pPr>
      <w:r>
        <w:rPr>
          <w:rFonts w:hint="eastAsia"/>
          <w:sz w:val="24"/>
          <w:szCs w:val="21"/>
        </w:rPr>
        <w:t>以“圈点面线+中心”作为核心建设思路，全面考虑便民生活圈、周界防范圈、人员管理线、车辆管理线、全局感知面、区域防范点、智慧应用点的核心业务应用，再结合物管中心的管理诉求，打造“安全的、智慧的、宜居的”智慧小区。</w:t>
      </w:r>
    </w:p>
    <w:p>
      <w:pPr>
        <w:keepNext/>
        <w:keepLines/>
        <w:spacing w:line="360" w:lineRule="auto"/>
        <w:jc w:val="left"/>
        <w:outlineLvl w:val="3"/>
        <w:rPr>
          <w:rFonts w:eastAsia="黑体"/>
          <w:bCs/>
          <w:sz w:val="30"/>
          <w:szCs w:val="28"/>
        </w:rPr>
      </w:pPr>
      <w:r>
        <w:rPr>
          <w:rFonts w:hint="eastAsia" w:eastAsia="黑体"/>
          <w:bCs/>
          <w:sz w:val="30"/>
          <w:szCs w:val="28"/>
        </w:rPr>
        <w:t>12.4.2.2次新小区</w:t>
      </w:r>
    </w:p>
    <w:p>
      <w:pPr>
        <w:spacing w:line="360" w:lineRule="auto"/>
        <w:ind w:firstLine="480" w:firstLineChars="200"/>
        <w:rPr>
          <w:sz w:val="24"/>
          <w:szCs w:val="21"/>
        </w:rPr>
      </w:pPr>
      <w:r>
        <w:rPr>
          <w:rFonts w:hint="eastAsia"/>
          <w:sz w:val="24"/>
          <w:szCs w:val="21"/>
        </w:rPr>
        <w:t>特征：</w:t>
      </w:r>
    </w:p>
    <w:p>
      <w:pPr>
        <w:spacing w:line="360" w:lineRule="auto"/>
        <w:ind w:firstLine="480" w:firstLineChars="200"/>
        <w:rPr>
          <w:sz w:val="24"/>
          <w:szCs w:val="21"/>
        </w:rPr>
      </w:pPr>
      <w:r>
        <w:rPr>
          <w:rFonts w:hint="eastAsia"/>
          <w:sz w:val="24"/>
          <w:szCs w:val="21"/>
        </w:rPr>
        <w:t>次新小区，小区内区域规划详细，具备一定的功能设施配套，以及独立物业管理。具备基本的视频监控、出入口管理等设施，但先期缺少数据对接的标准。</w:t>
      </w:r>
    </w:p>
    <w:p>
      <w:pPr>
        <w:spacing w:line="360" w:lineRule="auto"/>
        <w:ind w:firstLine="480" w:firstLineChars="200"/>
        <w:rPr>
          <w:sz w:val="24"/>
          <w:szCs w:val="21"/>
        </w:rPr>
      </w:pPr>
      <w:r>
        <w:rPr>
          <w:rFonts w:hint="eastAsia"/>
          <w:sz w:val="24"/>
          <w:szCs w:val="21"/>
        </w:rPr>
        <w:t>建设思路：</w:t>
      </w:r>
    </w:p>
    <w:p>
      <w:pPr>
        <w:spacing w:line="360" w:lineRule="auto"/>
        <w:ind w:firstLine="480" w:firstLineChars="200"/>
        <w:rPr>
          <w:sz w:val="24"/>
          <w:szCs w:val="21"/>
        </w:rPr>
      </w:pPr>
      <w:r>
        <w:rPr>
          <w:rFonts w:hint="eastAsia"/>
          <w:sz w:val="24"/>
          <w:szCs w:val="21"/>
        </w:rPr>
        <w:t>按照整体布建思路进行全面、先进的智慧安防小区建设，重点守好“两道门”即小区出入口和</w:t>
      </w:r>
      <w:r>
        <w:rPr>
          <w:sz w:val="24"/>
          <w:szCs w:val="21"/>
        </w:rPr>
        <w:t>楼栋出入口</w:t>
      </w:r>
      <w:r>
        <w:rPr>
          <w:rFonts w:hint="eastAsia"/>
          <w:sz w:val="24"/>
          <w:szCs w:val="21"/>
        </w:rPr>
        <w:t>，并积极实践建设智慧安防集成社区**管理模式。</w:t>
      </w:r>
    </w:p>
    <w:p>
      <w:pPr>
        <w:spacing w:line="360" w:lineRule="auto"/>
        <w:ind w:firstLine="480" w:firstLineChars="200"/>
        <w:rPr>
          <w:sz w:val="24"/>
          <w:szCs w:val="21"/>
        </w:rPr>
      </w:pPr>
      <w:r>
        <w:rPr>
          <w:rFonts w:hint="eastAsia"/>
          <w:sz w:val="24"/>
          <w:szCs w:val="21"/>
        </w:rPr>
        <w:t>小区出入口：旁路安装人脸识别、车牌识别或具备人脸、车牌识别功能的出入通道装置，可直接接入视频专网。</w:t>
      </w:r>
    </w:p>
    <w:p>
      <w:pPr>
        <w:spacing w:line="360" w:lineRule="auto"/>
        <w:ind w:firstLine="480" w:firstLineChars="200"/>
        <w:rPr>
          <w:sz w:val="24"/>
          <w:szCs w:val="21"/>
        </w:rPr>
      </w:pPr>
      <w:r>
        <w:rPr>
          <w:rFonts w:hint="eastAsia"/>
          <w:sz w:val="24"/>
          <w:szCs w:val="21"/>
        </w:rPr>
        <w:t>系统改造：通过小区物业系统改造，支持数据联网标准，向公安</w:t>
      </w:r>
      <w:r>
        <w:rPr>
          <w:sz w:val="24"/>
          <w:szCs w:val="21"/>
        </w:rPr>
        <w:t>/</w:t>
      </w:r>
      <w:r>
        <w:rPr>
          <w:rFonts w:hint="eastAsia"/>
          <w:sz w:val="24"/>
          <w:szCs w:val="21"/>
        </w:rPr>
        <w:t>政府侧推送小区物联数据。</w:t>
      </w:r>
    </w:p>
    <w:p>
      <w:pPr>
        <w:keepNext/>
        <w:keepLines/>
        <w:spacing w:line="360" w:lineRule="auto"/>
        <w:jc w:val="left"/>
        <w:outlineLvl w:val="3"/>
        <w:rPr>
          <w:rFonts w:eastAsia="黑体"/>
          <w:bCs/>
          <w:sz w:val="30"/>
          <w:szCs w:val="28"/>
        </w:rPr>
      </w:pPr>
      <w:r>
        <w:rPr>
          <w:rFonts w:hint="eastAsia" w:eastAsia="黑体"/>
          <w:bCs/>
          <w:sz w:val="30"/>
          <w:szCs w:val="28"/>
        </w:rPr>
        <w:t>12.4.2.3回迁房/城中村</w:t>
      </w:r>
    </w:p>
    <w:p>
      <w:pPr>
        <w:spacing w:line="360" w:lineRule="auto"/>
        <w:ind w:firstLine="480" w:firstLineChars="200"/>
        <w:rPr>
          <w:sz w:val="24"/>
          <w:szCs w:val="21"/>
        </w:rPr>
      </w:pPr>
      <w:r>
        <w:rPr>
          <w:rFonts w:hint="eastAsia"/>
          <w:sz w:val="24"/>
          <w:szCs w:val="21"/>
        </w:rPr>
        <w:t>特征：</w:t>
      </w:r>
    </w:p>
    <w:p>
      <w:pPr>
        <w:spacing w:line="360" w:lineRule="auto"/>
        <w:ind w:firstLine="480" w:firstLineChars="200"/>
        <w:rPr>
          <w:sz w:val="24"/>
          <w:szCs w:val="21"/>
        </w:rPr>
      </w:pPr>
      <w:r>
        <w:rPr>
          <w:rFonts w:hint="eastAsia"/>
          <w:sz w:val="24"/>
          <w:szCs w:val="21"/>
        </w:rPr>
        <w:t>回迁房或城中村，此类社区具备开放性强，人员密集，环境较为复杂的特点，治安管控难度大。</w:t>
      </w:r>
    </w:p>
    <w:p>
      <w:pPr>
        <w:spacing w:line="360" w:lineRule="auto"/>
        <w:ind w:firstLine="480" w:firstLineChars="200"/>
        <w:rPr>
          <w:sz w:val="24"/>
          <w:szCs w:val="21"/>
        </w:rPr>
      </w:pPr>
      <w:r>
        <w:rPr>
          <w:rFonts w:hint="eastAsia"/>
          <w:sz w:val="24"/>
          <w:szCs w:val="21"/>
        </w:rPr>
        <w:t>建设思路：</w:t>
      </w:r>
    </w:p>
    <w:p>
      <w:pPr>
        <w:spacing w:line="360" w:lineRule="auto"/>
        <w:ind w:firstLine="480" w:firstLineChars="200"/>
        <w:rPr>
          <w:sz w:val="24"/>
          <w:szCs w:val="21"/>
        </w:rPr>
      </w:pPr>
      <w:r>
        <w:rPr>
          <w:rFonts w:hint="eastAsia"/>
          <w:sz w:val="24"/>
          <w:szCs w:val="21"/>
        </w:rPr>
        <w:t>其前端信息智能感知界面建设重点为边界防护圈、分格防护网和小区/楼栋出入口防护点。</w:t>
      </w:r>
    </w:p>
    <w:p>
      <w:pPr>
        <w:spacing w:line="360" w:lineRule="auto"/>
        <w:ind w:firstLine="480" w:firstLineChars="200"/>
        <w:rPr>
          <w:sz w:val="24"/>
          <w:szCs w:val="21"/>
        </w:rPr>
      </w:pPr>
      <w:r>
        <w:rPr>
          <w:rFonts w:hint="eastAsia"/>
          <w:sz w:val="24"/>
          <w:szCs w:val="21"/>
        </w:rPr>
        <w:t>边界防护圈/分格</w:t>
      </w:r>
      <w:r>
        <w:rPr>
          <w:sz w:val="24"/>
          <w:szCs w:val="21"/>
        </w:rPr>
        <w:t>防护网</w:t>
      </w:r>
      <w:r>
        <w:rPr>
          <w:rFonts w:hint="eastAsia"/>
          <w:sz w:val="24"/>
          <w:szCs w:val="21"/>
        </w:rPr>
        <w:t>：在进出小区（村居）的出入主干道路口、重要节点路段、公共复杂场地等重点部位和治安复杂、人员密集、关注人群集中等重点区域进行重点防护。在重点路段交叉口、村（社区）出入口、重点场所路口</w:t>
      </w:r>
      <w:r>
        <w:rPr>
          <w:sz w:val="24"/>
          <w:szCs w:val="21"/>
        </w:rPr>
        <w:t>部署</w:t>
      </w:r>
      <w:r>
        <w:rPr>
          <w:rFonts w:hint="eastAsia"/>
          <w:sz w:val="24"/>
          <w:szCs w:val="21"/>
        </w:rPr>
        <w:t>全结构化摄像机、全局摄像机、人车抓拍卡口。</w:t>
      </w:r>
    </w:p>
    <w:p>
      <w:pPr>
        <w:spacing w:line="360" w:lineRule="auto"/>
        <w:ind w:left="900"/>
        <w:rPr>
          <w:rFonts w:ascii="Arial" w:hAnsi="Arial" w:cs="宋体"/>
          <w:sz w:val="24"/>
          <w:szCs w:val="20"/>
        </w:rPr>
      </w:pPr>
    </w:p>
    <w:p>
      <w:pPr>
        <w:pStyle w:val="4"/>
      </w:pPr>
      <w:bookmarkStart w:id="111" w:name="_Toc46319049"/>
      <w:bookmarkStart w:id="112" w:name="_Toc43723043"/>
      <w:bookmarkStart w:id="113" w:name="_Toc20224736"/>
      <w:bookmarkStart w:id="114" w:name="_Toc46418608"/>
      <w:r>
        <w:rPr>
          <w:rFonts w:hint="eastAsia"/>
        </w:rPr>
        <w:t>12.4.3数据接入和存储设计</w:t>
      </w:r>
      <w:bookmarkEnd w:id="111"/>
      <w:bookmarkEnd w:id="112"/>
      <w:bookmarkEnd w:id="113"/>
      <w:bookmarkEnd w:id="114"/>
    </w:p>
    <w:p>
      <w:pPr>
        <w:spacing w:line="360" w:lineRule="auto"/>
        <w:ind w:firstLine="480" w:firstLineChars="200"/>
        <w:rPr>
          <w:sz w:val="24"/>
          <w:szCs w:val="21"/>
        </w:rPr>
      </w:pPr>
      <w:r>
        <w:rPr>
          <w:rFonts w:hint="eastAsia"/>
          <w:sz w:val="24"/>
          <w:szCs w:val="21"/>
        </w:rPr>
        <w:t>物联设备/软件平台接入以及数据接入过程中，会使用到公司企业标准，智慧安防</w:t>
      </w:r>
      <w:r>
        <w:rPr>
          <w:sz w:val="24"/>
          <w:szCs w:val="21"/>
        </w:rPr>
        <w:t>小区</w:t>
      </w:r>
      <w:r>
        <w:rPr>
          <w:rFonts w:hint="eastAsia"/>
          <w:sz w:val="24"/>
          <w:szCs w:val="21"/>
        </w:rPr>
        <w:t>相关的标准主要包含以下两部分：</w:t>
      </w:r>
    </w:p>
    <w:p>
      <w:pPr>
        <w:spacing w:line="360" w:lineRule="auto"/>
        <w:ind w:firstLine="480" w:firstLineChars="200"/>
        <w:rPr>
          <w:sz w:val="24"/>
          <w:szCs w:val="21"/>
        </w:rPr>
      </w:pPr>
      <w:r>
        <w:rPr>
          <w:rFonts w:hint="eastAsia"/>
          <w:sz w:val="24"/>
          <w:szCs w:val="21"/>
        </w:rPr>
        <w:t>智慧安防</w:t>
      </w:r>
      <w:r>
        <w:rPr>
          <w:sz w:val="24"/>
          <w:szCs w:val="21"/>
        </w:rPr>
        <w:t>小区</w:t>
      </w:r>
      <w:r>
        <w:rPr>
          <w:rFonts w:hint="eastAsia"/>
          <w:sz w:val="24"/>
          <w:szCs w:val="21"/>
        </w:rPr>
        <w:t>联网企业标准</w:t>
      </w:r>
    </w:p>
    <w:p>
      <w:pPr>
        <w:spacing w:line="360" w:lineRule="auto"/>
        <w:ind w:firstLine="480" w:firstLineChars="200"/>
        <w:rPr>
          <w:sz w:val="24"/>
          <w:szCs w:val="21"/>
        </w:rPr>
      </w:pPr>
      <w:r>
        <w:rPr>
          <w:rFonts w:hint="eastAsia"/>
          <w:sz w:val="24"/>
          <w:szCs w:val="21"/>
        </w:rPr>
        <w:t>需制定的智慧安防</w:t>
      </w:r>
      <w:r>
        <w:rPr>
          <w:sz w:val="24"/>
          <w:szCs w:val="21"/>
        </w:rPr>
        <w:t>小区</w:t>
      </w:r>
      <w:r>
        <w:rPr>
          <w:rFonts w:hint="eastAsia"/>
          <w:sz w:val="24"/>
          <w:szCs w:val="21"/>
        </w:rPr>
        <w:t>相关系统的联网标准，包含《门禁</w:t>
      </w:r>
      <w:r>
        <w:rPr>
          <w:rFonts w:hint="eastAsia" w:ascii="等线" w:hAnsi="等线" w:eastAsia="等线"/>
          <w:sz w:val="24"/>
        </w:rPr>
        <w:t>系统联网技术标准规范</w:t>
      </w:r>
      <w:r>
        <w:rPr>
          <w:rFonts w:hint="eastAsia"/>
          <w:sz w:val="24"/>
          <w:szCs w:val="21"/>
        </w:rPr>
        <w:t>》、《可视对讲</w:t>
      </w:r>
      <w:r>
        <w:rPr>
          <w:rFonts w:hint="eastAsia" w:ascii="等线" w:hAnsi="等线" w:eastAsia="等线"/>
          <w:sz w:val="24"/>
        </w:rPr>
        <w:t>系统联网技术标准规范</w:t>
      </w:r>
      <w:r>
        <w:rPr>
          <w:rFonts w:hint="eastAsia"/>
          <w:sz w:val="24"/>
          <w:szCs w:val="21"/>
        </w:rPr>
        <w:t>》、《访客</w:t>
      </w:r>
      <w:r>
        <w:rPr>
          <w:rFonts w:hint="eastAsia" w:ascii="等线" w:hAnsi="等线" w:eastAsia="等线"/>
          <w:sz w:val="24"/>
        </w:rPr>
        <w:t>系统联网技术标准规范</w:t>
      </w:r>
      <w:r>
        <w:rPr>
          <w:rFonts w:hint="eastAsia"/>
          <w:sz w:val="24"/>
          <w:szCs w:val="21"/>
        </w:rPr>
        <w:t>》、《停车场</w:t>
      </w:r>
      <w:r>
        <w:rPr>
          <w:rFonts w:hint="eastAsia" w:ascii="等线" w:hAnsi="等线" w:eastAsia="等线"/>
          <w:sz w:val="24"/>
        </w:rPr>
        <w:t>系统联网技术标准规范</w:t>
      </w:r>
      <w:r>
        <w:rPr>
          <w:rFonts w:hint="eastAsia"/>
          <w:sz w:val="24"/>
          <w:szCs w:val="21"/>
        </w:rPr>
        <w:t>》、《社区人房</w:t>
      </w:r>
      <w:r>
        <w:rPr>
          <w:rFonts w:hint="eastAsia" w:ascii="等线" w:hAnsi="等线" w:eastAsia="等线"/>
          <w:sz w:val="24"/>
        </w:rPr>
        <w:t>系统联网技术标准规范</w:t>
      </w:r>
      <w:r>
        <w:rPr>
          <w:rFonts w:hint="eastAsia"/>
          <w:sz w:val="24"/>
          <w:szCs w:val="21"/>
        </w:rPr>
        <w:t>》。</w:t>
      </w:r>
    </w:p>
    <w:p>
      <w:pPr>
        <w:spacing w:line="360" w:lineRule="auto"/>
        <w:ind w:firstLine="480" w:firstLineChars="200"/>
        <w:rPr>
          <w:sz w:val="24"/>
          <w:szCs w:val="21"/>
        </w:rPr>
      </w:pPr>
      <w:r>
        <w:rPr>
          <w:rFonts w:hint="eastAsia"/>
          <w:sz w:val="24"/>
          <w:szCs w:val="21"/>
        </w:rPr>
        <w:t>智慧安防</w:t>
      </w:r>
      <w:r>
        <w:rPr>
          <w:sz w:val="24"/>
          <w:szCs w:val="21"/>
        </w:rPr>
        <w:t>小区</w:t>
      </w:r>
      <w:r>
        <w:rPr>
          <w:rFonts w:hint="eastAsia"/>
          <w:sz w:val="24"/>
          <w:szCs w:val="21"/>
        </w:rPr>
        <w:t>扩展协议</w:t>
      </w:r>
    </w:p>
    <w:p>
      <w:pPr>
        <w:spacing w:line="360" w:lineRule="auto"/>
        <w:ind w:firstLine="480" w:firstLineChars="200"/>
        <w:rPr>
          <w:sz w:val="24"/>
          <w:szCs w:val="21"/>
        </w:rPr>
      </w:pPr>
      <w:r>
        <w:rPr>
          <w:rFonts w:hint="eastAsia"/>
          <w:sz w:val="24"/>
          <w:szCs w:val="21"/>
        </w:rPr>
        <w:t>在</w:t>
      </w:r>
      <w:r>
        <w:rPr>
          <w:rFonts w:hint="eastAsia"/>
          <w:sz w:val="24"/>
        </w:rPr>
        <w:t>GA/T1400</w:t>
      </w:r>
      <w:r>
        <w:rPr>
          <w:rFonts w:hint="eastAsia"/>
          <w:sz w:val="24"/>
          <w:szCs w:val="21"/>
        </w:rPr>
        <w:t>协议的基础上扩展了小区数据采集系统（如小区物业管理平台）与信息系统的数据传输标准，</w:t>
      </w:r>
      <w:r>
        <w:rPr>
          <w:rFonts w:hint="eastAsia" w:ascii="等线" w:hAnsi="等线" w:eastAsia="等线"/>
          <w:sz w:val="24"/>
          <w:szCs w:val="21"/>
          <w:lang w:bidi="ar"/>
        </w:rPr>
        <w:t>《公安视频图像信息应用系统（</w:t>
      </w:r>
      <w:r>
        <w:rPr>
          <w:rFonts w:hint="eastAsia"/>
          <w:sz w:val="24"/>
          <w:szCs w:val="21"/>
        </w:rPr>
        <w:t>智慧安防</w:t>
      </w:r>
      <w:r>
        <w:rPr>
          <w:sz w:val="24"/>
          <w:szCs w:val="21"/>
        </w:rPr>
        <w:t>小区</w:t>
      </w:r>
      <w:r>
        <w:rPr>
          <w:rFonts w:hint="eastAsia" w:ascii="等线" w:hAnsi="等线" w:eastAsia="等线"/>
          <w:sz w:val="24"/>
          <w:szCs w:val="21"/>
          <w:lang w:bidi="ar"/>
        </w:rPr>
        <w:t>平台扩展） 接口协议要求》。</w:t>
      </w:r>
    </w:p>
    <w:p>
      <w:pPr>
        <w:keepNext/>
        <w:keepLines/>
        <w:spacing w:line="360" w:lineRule="auto"/>
        <w:jc w:val="left"/>
        <w:outlineLvl w:val="3"/>
        <w:rPr>
          <w:rFonts w:eastAsia="黑体"/>
          <w:bCs/>
          <w:sz w:val="30"/>
          <w:szCs w:val="28"/>
        </w:rPr>
      </w:pPr>
      <w:bookmarkStart w:id="115" w:name="_Toc43723044"/>
      <w:bookmarkStart w:id="116" w:name="_Toc20224737"/>
      <w:bookmarkStart w:id="117" w:name="_Toc20500926"/>
      <w:bookmarkStart w:id="118" w:name="_Toc20161224"/>
      <w:r>
        <w:rPr>
          <w:rFonts w:hint="eastAsia" w:eastAsia="黑体"/>
          <w:bCs/>
          <w:sz w:val="30"/>
          <w:szCs w:val="28"/>
        </w:rPr>
        <w:t>12.4.3.1物联设备&amp;采集系统接入</w:t>
      </w:r>
      <w:bookmarkEnd w:id="115"/>
    </w:p>
    <w:p>
      <w:pPr>
        <w:spacing w:line="360" w:lineRule="auto"/>
        <w:ind w:firstLine="482" w:firstLineChars="200"/>
        <w:rPr>
          <w:b/>
          <w:sz w:val="24"/>
          <w:szCs w:val="21"/>
        </w:rPr>
      </w:pPr>
      <w:r>
        <w:rPr>
          <w:rFonts w:hint="eastAsia"/>
          <w:b/>
          <w:sz w:val="24"/>
          <w:szCs w:val="21"/>
        </w:rPr>
        <w:t>物联设备接入</w:t>
      </w:r>
    </w:p>
    <w:p>
      <w:pPr>
        <w:numPr>
          <w:ilvl w:val="0"/>
          <w:numId w:val="10"/>
        </w:numPr>
        <w:spacing w:line="360" w:lineRule="auto"/>
        <w:ind w:firstLine="480" w:firstLineChars="200"/>
        <w:rPr>
          <w:sz w:val="24"/>
          <w:szCs w:val="21"/>
        </w:rPr>
      </w:pPr>
      <w:r>
        <w:rPr>
          <w:rFonts w:hint="eastAsia"/>
          <w:sz w:val="24"/>
          <w:szCs w:val="21"/>
        </w:rPr>
        <w:t>视频、人脸抓拍、车辆抓拍设备接入</w:t>
      </w:r>
    </w:p>
    <w:p>
      <w:pPr>
        <w:numPr>
          <w:ilvl w:val="0"/>
          <w:numId w:val="11"/>
        </w:numPr>
        <w:tabs>
          <w:tab w:val="left" w:pos="0"/>
        </w:tabs>
        <w:spacing w:line="360" w:lineRule="auto"/>
        <w:ind w:firstLine="480" w:firstLineChars="200"/>
        <w:jc w:val="left"/>
        <w:rPr>
          <w:sz w:val="24"/>
          <w:szCs w:val="21"/>
        </w:rPr>
      </w:pPr>
      <w:r>
        <w:rPr>
          <w:rFonts w:hint="eastAsia"/>
          <w:sz w:val="24"/>
          <w:szCs w:val="21"/>
        </w:rPr>
        <w:t>采用SDK方式</w:t>
      </w:r>
      <w:r>
        <w:rPr>
          <w:sz w:val="24"/>
          <w:szCs w:val="21"/>
        </w:rPr>
        <w:t>接入，主要适用于</w:t>
      </w:r>
      <w:r>
        <w:rPr>
          <w:rFonts w:hint="eastAsia"/>
          <w:sz w:val="24"/>
          <w:szCs w:val="21"/>
        </w:rPr>
        <w:t>平台能通过固定IP与设备进行通信的场景</w:t>
      </w:r>
      <w:r>
        <w:rPr>
          <w:sz w:val="24"/>
          <w:szCs w:val="21"/>
        </w:rPr>
        <w:t>；</w:t>
      </w:r>
    </w:p>
    <w:p>
      <w:pPr>
        <w:tabs>
          <w:tab w:val="left" w:pos="0"/>
        </w:tabs>
        <w:spacing w:line="360" w:lineRule="auto"/>
        <w:ind w:left="839" w:firstLine="480"/>
        <w:jc w:val="left"/>
        <w:rPr>
          <w:sz w:val="24"/>
          <w:szCs w:val="21"/>
        </w:rPr>
      </w:pPr>
      <w:r>
        <w:rPr>
          <w:rFonts w:hint="eastAsia"/>
          <w:sz w:val="24"/>
          <w:szCs w:val="21"/>
        </w:rPr>
        <w:t>采用ISUP</w:t>
      </w:r>
      <w:r>
        <w:rPr>
          <w:sz w:val="24"/>
          <w:szCs w:val="21"/>
        </w:rPr>
        <w:t xml:space="preserve"> 5.0</w:t>
      </w:r>
      <w:r>
        <w:rPr>
          <w:rFonts w:hint="eastAsia"/>
          <w:sz w:val="24"/>
          <w:szCs w:val="21"/>
        </w:rPr>
        <w:t>方式</w:t>
      </w:r>
      <w:r>
        <w:rPr>
          <w:sz w:val="24"/>
          <w:szCs w:val="21"/>
        </w:rPr>
        <w:t>接入，主要适用于</w:t>
      </w:r>
      <w:r>
        <w:rPr>
          <w:rFonts w:hint="eastAsia"/>
          <w:sz w:val="24"/>
          <w:szCs w:val="21"/>
        </w:rPr>
        <w:t>平台无法通过固定IP与设备进行通信，需要设备主动上报信息的场景</w:t>
      </w:r>
      <w:r>
        <w:rPr>
          <w:sz w:val="24"/>
          <w:szCs w:val="21"/>
        </w:rPr>
        <w:t>；</w:t>
      </w:r>
    </w:p>
    <w:p>
      <w:pPr>
        <w:tabs>
          <w:tab w:val="left" w:pos="0"/>
        </w:tabs>
        <w:spacing w:line="360" w:lineRule="auto"/>
        <w:ind w:left="839" w:firstLine="480"/>
        <w:jc w:val="left"/>
        <w:rPr>
          <w:sz w:val="24"/>
          <w:szCs w:val="21"/>
        </w:rPr>
      </w:pPr>
      <w:r>
        <w:rPr>
          <w:rFonts w:hint="eastAsia"/>
          <w:sz w:val="24"/>
          <w:szCs w:val="21"/>
        </w:rPr>
        <w:t>采用其他方式接入，主要适用于设备利旧场景，平台无法通过固定IP与设备进行通信，需要设备主动上报信息，且设备不支持ISUP</w:t>
      </w:r>
      <w:r>
        <w:rPr>
          <w:sz w:val="24"/>
          <w:szCs w:val="21"/>
        </w:rPr>
        <w:t xml:space="preserve"> 5.0</w:t>
      </w:r>
      <w:r>
        <w:rPr>
          <w:rFonts w:hint="eastAsia"/>
          <w:sz w:val="24"/>
          <w:szCs w:val="21"/>
        </w:rPr>
        <w:t>协议。</w:t>
      </w:r>
    </w:p>
    <w:p>
      <w:pPr>
        <w:numPr>
          <w:ilvl w:val="0"/>
          <w:numId w:val="10"/>
        </w:numPr>
        <w:spacing w:line="360" w:lineRule="auto"/>
        <w:ind w:firstLine="480" w:firstLineChars="200"/>
        <w:rPr>
          <w:sz w:val="24"/>
          <w:szCs w:val="21"/>
        </w:rPr>
      </w:pPr>
      <w:r>
        <w:rPr>
          <w:rFonts w:hint="eastAsia"/>
          <w:sz w:val="24"/>
          <w:szCs w:val="21"/>
        </w:rPr>
        <w:t>第三方视频设备接入方式</w:t>
      </w:r>
    </w:p>
    <w:p>
      <w:pPr>
        <w:numPr>
          <w:ilvl w:val="0"/>
          <w:numId w:val="12"/>
        </w:numPr>
        <w:tabs>
          <w:tab w:val="left" w:pos="0"/>
        </w:tabs>
        <w:spacing w:line="360" w:lineRule="auto"/>
        <w:ind w:firstLine="480" w:firstLineChars="200"/>
        <w:jc w:val="left"/>
        <w:rPr>
          <w:sz w:val="24"/>
          <w:szCs w:val="21"/>
        </w:rPr>
      </w:pPr>
      <w:r>
        <w:rPr>
          <w:rFonts w:hint="eastAsia"/>
          <w:sz w:val="24"/>
          <w:szCs w:val="21"/>
        </w:rPr>
        <w:t>采用国标GB/T 28181-2016的标准方式接入；</w:t>
      </w:r>
    </w:p>
    <w:p>
      <w:pPr>
        <w:numPr>
          <w:ilvl w:val="0"/>
          <w:numId w:val="12"/>
        </w:numPr>
        <w:tabs>
          <w:tab w:val="left" w:pos="0"/>
        </w:tabs>
        <w:spacing w:line="360" w:lineRule="auto"/>
        <w:ind w:firstLine="480" w:firstLineChars="200"/>
        <w:jc w:val="left"/>
        <w:rPr>
          <w:sz w:val="24"/>
          <w:szCs w:val="21"/>
        </w:rPr>
      </w:pPr>
      <w:r>
        <w:rPr>
          <w:rFonts w:hint="eastAsia"/>
          <w:sz w:val="24"/>
          <w:szCs w:val="21"/>
        </w:rPr>
        <w:t>采用ONVIF协议接入；</w:t>
      </w:r>
    </w:p>
    <w:p>
      <w:pPr>
        <w:numPr>
          <w:ilvl w:val="0"/>
          <w:numId w:val="12"/>
        </w:numPr>
        <w:tabs>
          <w:tab w:val="left" w:pos="0"/>
        </w:tabs>
        <w:spacing w:line="360" w:lineRule="auto"/>
        <w:ind w:firstLine="480" w:firstLineChars="200"/>
        <w:jc w:val="left"/>
        <w:rPr>
          <w:sz w:val="24"/>
          <w:szCs w:val="21"/>
        </w:rPr>
      </w:pPr>
      <w:r>
        <w:rPr>
          <w:rFonts w:hint="eastAsia"/>
          <w:sz w:val="24"/>
          <w:szCs w:val="21"/>
        </w:rPr>
        <w:t>采用厂家SDK，可以通过开发新驱动接入。</w:t>
      </w:r>
    </w:p>
    <w:p>
      <w:pPr>
        <w:numPr>
          <w:ilvl w:val="0"/>
          <w:numId w:val="10"/>
        </w:numPr>
        <w:spacing w:line="360" w:lineRule="auto"/>
        <w:ind w:firstLine="480" w:firstLineChars="200"/>
        <w:rPr>
          <w:sz w:val="24"/>
          <w:szCs w:val="21"/>
        </w:rPr>
      </w:pPr>
      <w:r>
        <w:rPr>
          <w:rFonts w:hint="eastAsia"/>
          <w:sz w:val="24"/>
          <w:szCs w:val="21"/>
        </w:rPr>
        <w:t>第三方人脸抓拍设备接入方式</w:t>
      </w:r>
    </w:p>
    <w:p>
      <w:pPr>
        <w:numPr>
          <w:ilvl w:val="0"/>
          <w:numId w:val="13"/>
        </w:numPr>
        <w:tabs>
          <w:tab w:val="left" w:pos="0"/>
        </w:tabs>
        <w:spacing w:line="360" w:lineRule="auto"/>
        <w:ind w:firstLine="480" w:firstLineChars="200"/>
        <w:jc w:val="left"/>
        <w:rPr>
          <w:sz w:val="24"/>
          <w:szCs w:val="21"/>
        </w:rPr>
      </w:pPr>
      <w:r>
        <w:rPr>
          <w:rFonts w:hint="eastAsia"/>
          <w:sz w:val="24"/>
          <w:szCs w:val="21"/>
        </w:rPr>
        <w:t>采用GA/T 1400-2017的标准方式接入；</w:t>
      </w:r>
    </w:p>
    <w:p>
      <w:pPr>
        <w:numPr>
          <w:ilvl w:val="0"/>
          <w:numId w:val="13"/>
        </w:numPr>
        <w:tabs>
          <w:tab w:val="left" w:pos="0"/>
        </w:tabs>
        <w:spacing w:line="360" w:lineRule="auto"/>
        <w:ind w:firstLine="480" w:firstLineChars="200"/>
        <w:jc w:val="left"/>
        <w:rPr>
          <w:sz w:val="24"/>
          <w:szCs w:val="21"/>
        </w:rPr>
      </w:pPr>
      <w:r>
        <w:rPr>
          <w:rFonts w:hint="eastAsia"/>
          <w:sz w:val="24"/>
          <w:szCs w:val="21"/>
        </w:rPr>
        <w:t>采用厂家SDK，可以通过开发新驱动接入。</w:t>
      </w:r>
    </w:p>
    <w:p>
      <w:pPr>
        <w:numPr>
          <w:ilvl w:val="0"/>
          <w:numId w:val="10"/>
        </w:numPr>
        <w:spacing w:line="360" w:lineRule="auto"/>
        <w:ind w:firstLine="480" w:firstLineChars="200"/>
        <w:rPr>
          <w:sz w:val="24"/>
          <w:szCs w:val="21"/>
        </w:rPr>
      </w:pPr>
      <w:r>
        <w:rPr>
          <w:rFonts w:hint="eastAsia"/>
          <w:sz w:val="24"/>
          <w:szCs w:val="21"/>
        </w:rPr>
        <w:t>第三方微型卡口接入方式</w:t>
      </w:r>
    </w:p>
    <w:p>
      <w:pPr>
        <w:numPr>
          <w:ilvl w:val="0"/>
          <w:numId w:val="14"/>
        </w:numPr>
        <w:tabs>
          <w:tab w:val="left" w:pos="0"/>
        </w:tabs>
        <w:spacing w:line="360" w:lineRule="auto"/>
        <w:ind w:firstLine="480" w:firstLineChars="200"/>
        <w:jc w:val="left"/>
        <w:rPr>
          <w:sz w:val="24"/>
          <w:szCs w:val="21"/>
        </w:rPr>
      </w:pPr>
      <w:r>
        <w:rPr>
          <w:rFonts w:hint="eastAsia"/>
          <w:sz w:val="24"/>
          <w:szCs w:val="21"/>
        </w:rPr>
        <w:t>采用GA/T 1400-2017的标准方式接入；</w:t>
      </w:r>
    </w:p>
    <w:p>
      <w:pPr>
        <w:numPr>
          <w:ilvl w:val="0"/>
          <w:numId w:val="14"/>
        </w:numPr>
        <w:tabs>
          <w:tab w:val="left" w:pos="0"/>
        </w:tabs>
        <w:spacing w:line="360" w:lineRule="auto"/>
        <w:ind w:firstLine="480" w:firstLineChars="200"/>
        <w:jc w:val="left"/>
        <w:rPr>
          <w:sz w:val="24"/>
          <w:szCs w:val="21"/>
        </w:rPr>
      </w:pPr>
      <w:r>
        <w:rPr>
          <w:rFonts w:hint="eastAsia"/>
          <w:sz w:val="24"/>
          <w:szCs w:val="21"/>
        </w:rPr>
        <w:t>采用厂家SDK，可以通过开发新驱动接入。</w:t>
      </w:r>
    </w:p>
    <w:p>
      <w:pPr>
        <w:spacing w:line="360" w:lineRule="auto"/>
        <w:ind w:firstLine="482" w:firstLineChars="200"/>
        <w:rPr>
          <w:b/>
          <w:sz w:val="24"/>
          <w:szCs w:val="21"/>
        </w:rPr>
      </w:pPr>
      <w:r>
        <w:rPr>
          <w:rFonts w:hint="eastAsia"/>
          <w:b/>
          <w:sz w:val="24"/>
          <w:szCs w:val="21"/>
        </w:rPr>
        <w:t>子系统接入</w:t>
      </w:r>
    </w:p>
    <w:p>
      <w:pPr>
        <w:numPr>
          <w:ilvl w:val="0"/>
          <w:numId w:val="15"/>
        </w:numPr>
        <w:spacing w:line="360" w:lineRule="auto"/>
        <w:ind w:firstLine="480" w:firstLineChars="200"/>
        <w:rPr>
          <w:sz w:val="24"/>
          <w:szCs w:val="21"/>
        </w:rPr>
      </w:pPr>
      <w:r>
        <w:rPr>
          <w:rFonts w:hint="eastAsia"/>
          <w:sz w:val="24"/>
          <w:szCs w:val="21"/>
        </w:rPr>
        <w:t>第三方视频系统接入方式</w:t>
      </w:r>
    </w:p>
    <w:p>
      <w:pPr>
        <w:numPr>
          <w:ilvl w:val="0"/>
          <w:numId w:val="16"/>
        </w:numPr>
        <w:tabs>
          <w:tab w:val="left" w:pos="0"/>
        </w:tabs>
        <w:spacing w:line="360" w:lineRule="auto"/>
        <w:ind w:firstLine="480" w:firstLineChars="200"/>
        <w:jc w:val="left"/>
        <w:rPr>
          <w:sz w:val="24"/>
          <w:szCs w:val="21"/>
        </w:rPr>
      </w:pPr>
      <w:r>
        <w:rPr>
          <w:rFonts w:hint="eastAsia"/>
          <w:sz w:val="24"/>
          <w:szCs w:val="21"/>
        </w:rPr>
        <w:t>视频数据和信令推荐采用国标GB/T 28181-2016级联的方式接入；</w:t>
      </w:r>
    </w:p>
    <w:p>
      <w:pPr>
        <w:numPr>
          <w:ilvl w:val="0"/>
          <w:numId w:val="16"/>
        </w:numPr>
        <w:tabs>
          <w:tab w:val="left" w:pos="0"/>
        </w:tabs>
        <w:spacing w:line="360" w:lineRule="auto"/>
        <w:ind w:firstLine="480" w:firstLineChars="200"/>
        <w:jc w:val="left"/>
        <w:rPr>
          <w:sz w:val="24"/>
          <w:szCs w:val="21"/>
        </w:rPr>
      </w:pPr>
      <w:r>
        <w:rPr>
          <w:rFonts w:hint="eastAsia"/>
          <w:sz w:val="24"/>
          <w:szCs w:val="21"/>
        </w:rPr>
        <w:t>视频图像推荐采用GA/T 1400标准接入。</w:t>
      </w:r>
    </w:p>
    <w:p>
      <w:pPr>
        <w:numPr>
          <w:ilvl w:val="0"/>
          <w:numId w:val="15"/>
        </w:numPr>
        <w:spacing w:line="360" w:lineRule="auto"/>
        <w:ind w:firstLine="480" w:firstLineChars="200"/>
        <w:rPr>
          <w:sz w:val="24"/>
          <w:szCs w:val="21"/>
        </w:rPr>
      </w:pPr>
      <w:r>
        <w:rPr>
          <w:rFonts w:hint="eastAsia"/>
          <w:sz w:val="24"/>
          <w:szCs w:val="21"/>
        </w:rPr>
        <w:t>第三方门禁系统接入方式</w:t>
      </w:r>
    </w:p>
    <w:p>
      <w:pPr>
        <w:numPr>
          <w:ilvl w:val="0"/>
          <w:numId w:val="17"/>
        </w:numPr>
        <w:tabs>
          <w:tab w:val="left" w:pos="0"/>
        </w:tabs>
        <w:spacing w:line="360" w:lineRule="auto"/>
        <w:ind w:firstLine="480" w:firstLineChars="200"/>
        <w:jc w:val="left"/>
        <w:rPr>
          <w:sz w:val="24"/>
          <w:szCs w:val="21"/>
        </w:rPr>
      </w:pPr>
      <w:r>
        <w:rPr>
          <w:rFonts w:hint="eastAsia"/>
          <w:sz w:val="24"/>
          <w:szCs w:val="21"/>
        </w:rPr>
        <w:t>采用统一企业标准《门禁系统联网技术标准规范》对接</w:t>
      </w:r>
    </w:p>
    <w:p>
      <w:pPr>
        <w:numPr>
          <w:ilvl w:val="0"/>
          <w:numId w:val="17"/>
        </w:numPr>
        <w:tabs>
          <w:tab w:val="left" w:pos="0"/>
        </w:tabs>
        <w:spacing w:line="360" w:lineRule="auto"/>
        <w:ind w:firstLine="480" w:firstLineChars="200"/>
        <w:jc w:val="left"/>
        <w:rPr>
          <w:sz w:val="24"/>
          <w:szCs w:val="21"/>
        </w:rPr>
      </w:pPr>
      <w:r>
        <w:rPr>
          <w:rFonts w:hint="eastAsia"/>
          <w:sz w:val="24"/>
          <w:szCs w:val="21"/>
        </w:rPr>
        <w:t>采用GA/T 1400-2017的标准和平台门禁联网网关对接（将门禁事件转换为</w:t>
      </w:r>
      <w:r>
        <w:rPr>
          <w:rFonts w:hint="eastAsia"/>
          <w:sz w:val="24"/>
        </w:rPr>
        <w:t>GA/T1400</w:t>
      </w:r>
      <w:r>
        <w:rPr>
          <w:rFonts w:hint="eastAsia"/>
          <w:sz w:val="24"/>
          <w:szCs w:val="21"/>
        </w:rPr>
        <w:t>协议中的人脸C消息）</w:t>
      </w:r>
    </w:p>
    <w:p>
      <w:pPr>
        <w:numPr>
          <w:ilvl w:val="0"/>
          <w:numId w:val="17"/>
        </w:numPr>
        <w:tabs>
          <w:tab w:val="left" w:pos="0"/>
        </w:tabs>
        <w:spacing w:line="360" w:lineRule="auto"/>
        <w:ind w:firstLine="480" w:firstLineChars="200"/>
        <w:jc w:val="left"/>
        <w:rPr>
          <w:sz w:val="24"/>
          <w:szCs w:val="21"/>
        </w:rPr>
      </w:pPr>
      <w:r>
        <w:rPr>
          <w:rFonts w:hint="eastAsia"/>
          <w:sz w:val="24"/>
          <w:szCs w:val="21"/>
        </w:rPr>
        <w:t>系统厂家提供API或者开放数据库，开发事件采集驱动采集门禁刷卡事件</w:t>
      </w:r>
    </w:p>
    <w:p>
      <w:pPr>
        <w:numPr>
          <w:ilvl w:val="0"/>
          <w:numId w:val="15"/>
        </w:numPr>
        <w:spacing w:line="360" w:lineRule="auto"/>
        <w:ind w:firstLine="480" w:firstLineChars="200"/>
        <w:rPr>
          <w:sz w:val="24"/>
          <w:szCs w:val="21"/>
        </w:rPr>
      </w:pPr>
      <w:r>
        <w:rPr>
          <w:rFonts w:hint="eastAsia"/>
          <w:sz w:val="24"/>
          <w:szCs w:val="21"/>
        </w:rPr>
        <w:t>第三方停车场系统接入方式</w:t>
      </w:r>
    </w:p>
    <w:p>
      <w:pPr>
        <w:numPr>
          <w:ilvl w:val="0"/>
          <w:numId w:val="18"/>
        </w:numPr>
        <w:tabs>
          <w:tab w:val="left" w:pos="0"/>
        </w:tabs>
        <w:spacing w:line="360" w:lineRule="auto"/>
        <w:ind w:firstLine="480" w:firstLineChars="200"/>
        <w:jc w:val="left"/>
        <w:rPr>
          <w:sz w:val="24"/>
          <w:szCs w:val="21"/>
        </w:rPr>
      </w:pPr>
      <w:r>
        <w:rPr>
          <w:rFonts w:hint="eastAsia"/>
          <w:sz w:val="24"/>
          <w:szCs w:val="21"/>
        </w:rPr>
        <w:t>采用统一企业标准《停车场系统联网技术标准规范》对接</w:t>
      </w:r>
    </w:p>
    <w:p>
      <w:pPr>
        <w:numPr>
          <w:ilvl w:val="0"/>
          <w:numId w:val="18"/>
        </w:numPr>
        <w:tabs>
          <w:tab w:val="left" w:pos="0"/>
        </w:tabs>
        <w:spacing w:line="360" w:lineRule="auto"/>
        <w:ind w:firstLine="480" w:firstLineChars="200"/>
        <w:jc w:val="left"/>
        <w:rPr>
          <w:sz w:val="24"/>
          <w:szCs w:val="21"/>
        </w:rPr>
      </w:pPr>
      <w:r>
        <w:rPr>
          <w:rFonts w:hint="eastAsia"/>
          <w:sz w:val="24"/>
          <w:szCs w:val="21"/>
        </w:rPr>
        <w:t>采用GA/T 1400-2017的标准和平台停车场联网网关对接（将过车事件转换为1400协议中的机动车C消息）</w:t>
      </w:r>
    </w:p>
    <w:p>
      <w:pPr>
        <w:numPr>
          <w:ilvl w:val="0"/>
          <w:numId w:val="18"/>
        </w:numPr>
        <w:tabs>
          <w:tab w:val="left" w:pos="0"/>
        </w:tabs>
        <w:spacing w:line="360" w:lineRule="auto"/>
        <w:ind w:firstLine="480" w:firstLineChars="200"/>
        <w:jc w:val="left"/>
        <w:rPr>
          <w:sz w:val="24"/>
          <w:szCs w:val="21"/>
        </w:rPr>
      </w:pPr>
      <w:r>
        <w:rPr>
          <w:rFonts w:hint="eastAsia"/>
          <w:sz w:val="24"/>
          <w:szCs w:val="21"/>
        </w:rPr>
        <w:t>系统厂家提供API或者开放数据库，开发事件采集驱动采集车辆出入事件</w:t>
      </w:r>
    </w:p>
    <w:bookmarkEnd w:id="116"/>
    <w:bookmarkEnd w:id="117"/>
    <w:bookmarkEnd w:id="118"/>
    <w:p>
      <w:pPr>
        <w:keepNext/>
        <w:keepLines/>
        <w:spacing w:line="360" w:lineRule="auto"/>
        <w:jc w:val="left"/>
        <w:outlineLvl w:val="3"/>
        <w:rPr>
          <w:rFonts w:eastAsia="黑体"/>
          <w:bCs/>
          <w:sz w:val="30"/>
          <w:szCs w:val="28"/>
        </w:rPr>
      </w:pPr>
      <w:bookmarkStart w:id="119" w:name="_Toc20161225"/>
      <w:bookmarkStart w:id="120" w:name="_Toc20224738"/>
      <w:bookmarkStart w:id="121" w:name="_Toc43723045"/>
      <w:r>
        <w:rPr>
          <w:rFonts w:hint="eastAsia" w:eastAsia="黑体"/>
          <w:bCs/>
          <w:sz w:val="30"/>
          <w:szCs w:val="28"/>
        </w:rPr>
        <w:t>12.4.3.2数据汇聚</w:t>
      </w:r>
      <w:bookmarkEnd w:id="119"/>
      <w:bookmarkEnd w:id="120"/>
      <w:bookmarkEnd w:id="121"/>
    </w:p>
    <w:p>
      <w:pPr>
        <w:spacing w:line="360" w:lineRule="auto"/>
        <w:ind w:firstLine="482" w:firstLineChars="200"/>
        <w:rPr>
          <w:b/>
          <w:sz w:val="24"/>
          <w:szCs w:val="21"/>
        </w:rPr>
      </w:pPr>
      <w:r>
        <w:rPr>
          <w:rFonts w:hint="eastAsia"/>
          <w:b/>
          <w:sz w:val="24"/>
          <w:szCs w:val="21"/>
        </w:rPr>
        <w:t>数据</w:t>
      </w:r>
      <w:r>
        <w:rPr>
          <w:b/>
          <w:sz w:val="24"/>
          <w:szCs w:val="21"/>
        </w:rPr>
        <w:t>接入</w:t>
      </w:r>
    </w:p>
    <w:p>
      <w:pPr>
        <w:spacing w:line="360" w:lineRule="auto"/>
        <w:ind w:firstLine="480" w:firstLineChars="200"/>
        <w:rPr>
          <w:sz w:val="24"/>
          <w:szCs w:val="21"/>
        </w:rPr>
      </w:pPr>
      <w:r>
        <w:rPr>
          <w:rFonts w:hint="eastAsia"/>
          <w:sz w:val="24"/>
          <w:szCs w:val="21"/>
        </w:rPr>
        <w:t>在</w:t>
      </w:r>
      <w:r>
        <w:rPr>
          <w:sz w:val="24"/>
          <w:szCs w:val="21"/>
        </w:rPr>
        <w:t>视频专网，通过区县或</w:t>
      </w:r>
      <w:r>
        <w:rPr>
          <w:rFonts w:hint="eastAsia"/>
          <w:sz w:val="24"/>
          <w:szCs w:val="21"/>
        </w:rPr>
        <w:t>地市</w:t>
      </w:r>
      <w:r>
        <w:rPr>
          <w:sz w:val="24"/>
          <w:szCs w:val="21"/>
        </w:rPr>
        <w:t>智慧安防小区</w:t>
      </w:r>
      <w:r>
        <w:rPr>
          <w:rFonts w:hint="eastAsia"/>
          <w:sz w:val="24"/>
          <w:szCs w:val="21"/>
        </w:rPr>
        <w:t>平台</w:t>
      </w:r>
      <w:r>
        <w:rPr>
          <w:sz w:val="24"/>
          <w:szCs w:val="21"/>
        </w:rPr>
        <w:t>接入视频监控、人脸抓拍</w:t>
      </w:r>
      <w:r>
        <w:rPr>
          <w:rFonts w:hint="eastAsia"/>
          <w:sz w:val="24"/>
          <w:szCs w:val="21"/>
        </w:rPr>
        <w:t>数据</w:t>
      </w:r>
      <w:r>
        <w:rPr>
          <w:sz w:val="24"/>
          <w:szCs w:val="21"/>
        </w:rPr>
        <w:t>、</w:t>
      </w:r>
      <w:r>
        <w:rPr>
          <w:rFonts w:hint="eastAsia"/>
          <w:sz w:val="24"/>
          <w:szCs w:val="21"/>
        </w:rPr>
        <w:t>车辆</w:t>
      </w:r>
      <w:r>
        <w:rPr>
          <w:sz w:val="24"/>
          <w:szCs w:val="21"/>
        </w:rPr>
        <w:t>抓拍</w:t>
      </w:r>
      <w:r>
        <w:rPr>
          <w:rFonts w:hint="eastAsia"/>
          <w:sz w:val="24"/>
          <w:szCs w:val="21"/>
        </w:rPr>
        <w:t>数据。</w:t>
      </w:r>
      <w:r>
        <w:rPr>
          <w:sz w:val="24"/>
          <w:szCs w:val="21"/>
        </w:rPr>
        <w:t>支持通过</w:t>
      </w:r>
      <w:r>
        <w:rPr>
          <w:rFonts w:hint="eastAsia"/>
          <w:sz w:val="24"/>
          <w:szCs w:val="21"/>
        </w:rPr>
        <w:t>SDK、ISUP5.0协议等</w:t>
      </w:r>
      <w:r>
        <w:rPr>
          <w:sz w:val="24"/>
          <w:szCs w:val="21"/>
        </w:rPr>
        <w:t>方式接入视频监</w:t>
      </w:r>
      <w:r>
        <w:rPr>
          <w:rFonts w:hint="eastAsia"/>
          <w:sz w:val="24"/>
          <w:szCs w:val="21"/>
        </w:rPr>
        <w:t>数据</w:t>
      </w:r>
      <w:r>
        <w:rPr>
          <w:sz w:val="24"/>
          <w:szCs w:val="21"/>
        </w:rPr>
        <w:t>，支持通过</w:t>
      </w:r>
      <w:r>
        <w:rPr>
          <w:rFonts w:hint="eastAsia"/>
          <w:sz w:val="24"/>
          <w:szCs w:val="21"/>
        </w:rPr>
        <w:t>SDK、ISUP5.0、GA/T 1400协议等</w:t>
      </w:r>
      <w:r>
        <w:rPr>
          <w:sz w:val="24"/>
          <w:szCs w:val="21"/>
        </w:rPr>
        <w:t>方式接入人脸</w:t>
      </w:r>
      <w:r>
        <w:rPr>
          <w:rFonts w:hint="eastAsia"/>
          <w:sz w:val="24"/>
          <w:szCs w:val="21"/>
        </w:rPr>
        <w:t>抓拍</w:t>
      </w:r>
      <w:r>
        <w:rPr>
          <w:sz w:val="24"/>
          <w:szCs w:val="21"/>
        </w:rPr>
        <w:t>数据、</w:t>
      </w:r>
      <w:r>
        <w:rPr>
          <w:rFonts w:hint="eastAsia"/>
          <w:sz w:val="24"/>
          <w:szCs w:val="21"/>
        </w:rPr>
        <w:t>车辆</w:t>
      </w:r>
      <w:r>
        <w:rPr>
          <w:sz w:val="24"/>
          <w:szCs w:val="21"/>
        </w:rPr>
        <w:t>抓拍数据。</w:t>
      </w:r>
    </w:p>
    <w:p>
      <w:pPr>
        <w:spacing w:line="360" w:lineRule="auto"/>
        <w:ind w:firstLine="482" w:firstLineChars="200"/>
        <w:rPr>
          <w:b/>
          <w:sz w:val="24"/>
          <w:szCs w:val="21"/>
        </w:rPr>
      </w:pPr>
      <w:r>
        <w:rPr>
          <w:rFonts w:hint="eastAsia"/>
          <w:b/>
          <w:sz w:val="24"/>
          <w:szCs w:val="21"/>
        </w:rPr>
        <w:t>数据同网</w:t>
      </w:r>
      <w:r>
        <w:rPr>
          <w:b/>
          <w:sz w:val="24"/>
          <w:szCs w:val="21"/>
        </w:rPr>
        <w:t>级联</w:t>
      </w:r>
    </w:p>
    <w:p>
      <w:pPr>
        <w:spacing w:line="360" w:lineRule="auto"/>
        <w:ind w:firstLine="480" w:firstLineChars="200"/>
        <w:rPr>
          <w:sz w:val="24"/>
          <w:szCs w:val="21"/>
        </w:rPr>
      </w:pPr>
      <w:r>
        <w:rPr>
          <w:rFonts w:hint="eastAsia"/>
          <w:sz w:val="24"/>
          <w:szCs w:val="21"/>
        </w:rPr>
        <w:t>在</w:t>
      </w:r>
      <w:r>
        <w:rPr>
          <w:sz w:val="24"/>
          <w:szCs w:val="21"/>
        </w:rPr>
        <w:t>视频专网和公安信息网，</w:t>
      </w:r>
      <w:r>
        <w:rPr>
          <w:rFonts w:hint="eastAsia"/>
          <w:sz w:val="24"/>
          <w:szCs w:val="21"/>
        </w:rPr>
        <w:t>柯桥区智安小区</w:t>
      </w:r>
      <w:r>
        <w:rPr>
          <w:sz w:val="24"/>
          <w:szCs w:val="21"/>
        </w:rPr>
        <w:t>平台</w:t>
      </w:r>
      <w:r>
        <w:rPr>
          <w:rFonts w:hint="eastAsia"/>
          <w:sz w:val="24"/>
          <w:szCs w:val="21"/>
        </w:rPr>
        <w:t>支持</w:t>
      </w:r>
      <w:r>
        <w:rPr>
          <w:sz w:val="24"/>
          <w:szCs w:val="21"/>
        </w:rPr>
        <w:t>向上级</w:t>
      </w:r>
      <w:r>
        <w:rPr>
          <w:rFonts w:hint="eastAsia"/>
          <w:sz w:val="24"/>
          <w:szCs w:val="21"/>
        </w:rPr>
        <w:t>智慧安防小区</w:t>
      </w:r>
      <w:r>
        <w:rPr>
          <w:sz w:val="24"/>
          <w:szCs w:val="21"/>
        </w:rPr>
        <w:t>平台</w:t>
      </w:r>
      <w:r>
        <w:rPr>
          <w:rFonts w:hint="eastAsia"/>
          <w:sz w:val="24"/>
          <w:szCs w:val="21"/>
        </w:rPr>
        <w:t>推送</w:t>
      </w:r>
      <w:r>
        <w:rPr>
          <w:sz w:val="24"/>
          <w:szCs w:val="21"/>
        </w:rPr>
        <w:t>数据，采用</w:t>
      </w:r>
      <w:r>
        <w:rPr>
          <w:rFonts w:hint="eastAsia"/>
          <w:sz w:val="24"/>
          <w:szCs w:val="21"/>
        </w:rPr>
        <w:t>GB/T 28181协议推送视频数据，采用GA/T 1400协议推送视频图像结构化数据。柯桥区</w:t>
      </w:r>
      <w:r>
        <w:rPr>
          <w:sz w:val="24"/>
          <w:szCs w:val="21"/>
        </w:rPr>
        <w:t>平台</w:t>
      </w:r>
      <w:r>
        <w:rPr>
          <w:rFonts w:hint="eastAsia"/>
          <w:sz w:val="24"/>
          <w:szCs w:val="21"/>
        </w:rPr>
        <w:t>与上级</w:t>
      </w:r>
      <w:r>
        <w:rPr>
          <w:sz w:val="24"/>
          <w:szCs w:val="21"/>
        </w:rPr>
        <w:t>平台之间通过视图库网关</w:t>
      </w:r>
      <w:r>
        <w:rPr>
          <w:rFonts w:hint="eastAsia"/>
          <w:sz w:val="24"/>
          <w:szCs w:val="21"/>
        </w:rPr>
        <w:t>实现人脸</w:t>
      </w:r>
      <w:r>
        <w:rPr>
          <w:sz w:val="24"/>
          <w:szCs w:val="21"/>
        </w:rPr>
        <w:t>、车辆数据的</w:t>
      </w:r>
      <w:r>
        <w:rPr>
          <w:rFonts w:hint="eastAsia"/>
          <w:sz w:val="24"/>
          <w:szCs w:val="21"/>
        </w:rPr>
        <w:t>同网</w:t>
      </w:r>
      <w:r>
        <w:rPr>
          <w:sz w:val="24"/>
          <w:szCs w:val="21"/>
        </w:rPr>
        <w:t>级联。</w:t>
      </w:r>
    </w:p>
    <w:p>
      <w:pPr>
        <w:spacing w:line="360" w:lineRule="auto"/>
        <w:ind w:firstLine="482" w:firstLineChars="200"/>
        <w:rPr>
          <w:b/>
          <w:sz w:val="24"/>
          <w:szCs w:val="21"/>
        </w:rPr>
      </w:pPr>
      <w:r>
        <w:rPr>
          <w:rFonts w:hint="eastAsia"/>
          <w:b/>
          <w:sz w:val="24"/>
          <w:szCs w:val="21"/>
        </w:rPr>
        <w:t>数据</w:t>
      </w:r>
      <w:r>
        <w:rPr>
          <w:b/>
          <w:sz w:val="24"/>
          <w:szCs w:val="21"/>
        </w:rPr>
        <w:t>跨网级联</w:t>
      </w:r>
    </w:p>
    <w:p>
      <w:pPr>
        <w:spacing w:line="360" w:lineRule="auto"/>
        <w:ind w:firstLine="480"/>
        <w:rPr>
          <w:sz w:val="24"/>
          <w:szCs w:val="21"/>
        </w:rPr>
      </w:pPr>
      <w:r>
        <w:rPr>
          <w:rFonts w:hint="eastAsia"/>
          <w:sz w:val="24"/>
          <w:szCs w:val="21"/>
        </w:rPr>
        <w:t>系统</w:t>
      </w:r>
      <w:r>
        <w:rPr>
          <w:sz w:val="24"/>
          <w:szCs w:val="21"/>
        </w:rPr>
        <w:t>支持</w:t>
      </w:r>
      <w:r>
        <w:rPr>
          <w:rFonts w:hint="eastAsia"/>
          <w:sz w:val="24"/>
          <w:szCs w:val="21"/>
        </w:rPr>
        <w:t>视频</w:t>
      </w:r>
      <w:r>
        <w:rPr>
          <w:sz w:val="24"/>
          <w:szCs w:val="21"/>
        </w:rPr>
        <w:t>专网到公安信息网的数据跨网级联，采用</w:t>
      </w:r>
      <w:r>
        <w:rPr>
          <w:rFonts w:hint="eastAsia"/>
          <w:sz w:val="24"/>
          <w:szCs w:val="21"/>
        </w:rPr>
        <w:t>GB/T 28181协议推送视频数据，采用GA/T 1400协议推送视频图像结构化数据。视频</w:t>
      </w:r>
      <w:r>
        <w:rPr>
          <w:sz w:val="24"/>
          <w:szCs w:val="21"/>
        </w:rPr>
        <w:t>专网的</w:t>
      </w:r>
      <w:r>
        <w:rPr>
          <w:rFonts w:hint="eastAsia"/>
          <w:sz w:val="24"/>
          <w:szCs w:val="21"/>
        </w:rPr>
        <w:t>人脸</w:t>
      </w:r>
      <w:r>
        <w:rPr>
          <w:sz w:val="24"/>
          <w:szCs w:val="21"/>
        </w:rPr>
        <w:t>、</w:t>
      </w:r>
      <w:r>
        <w:rPr>
          <w:rFonts w:hint="eastAsia"/>
          <w:sz w:val="24"/>
          <w:szCs w:val="21"/>
        </w:rPr>
        <w:t>车辆</w:t>
      </w:r>
      <w:r>
        <w:rPr>
          <w:sz w:val="24"/>
          <w:szCs w:val="21"/>
        </w:rPr>
        <w:t>等数据通过</w:t>
      </w:r>
      <w:r>
        <w:rPr>
          <w:rFonts w:hint="eastAsia"/>
          <w:sz w:val="24"/>
          <w:szCs w:val="21"/>
        </w:rPr>
        <w:t>视图库</w:t>
      </w:r>
      <w:r>
        <w:rPr>
          <w:sz w:val="24"/>
          <w:szCs w:val="21"/>
        </w:rPr>
        <w:t>网关</w:t>
      </w:r>
      <w:r>
        <w:rPr>
          <w:rFonts w:hint="eastAsia"/>
          <w:sz w:val="24"/>
          <w:szCs w:val="21"/>
        </w:rPr>
        <w:t>和FTP服务器实现</w:t>
      </w:r>
      <w:r>
        <w:rPr>
          <w:sz w:val="24"/>
          <w:szCs w:val="21"/>
        </w:rPr>
        <w:t>数据的跨网级联，其中</w:t>
      </w:r>
      <w:r>
        <w:rPr>
          <w:rFonts w:hint="eastAsia"/>
          <w:sz w:val="24"/>
          <w:szCs w:val="21"/>
        </w:rPr>
        <w:t>数据</w:t>
      </w:r>
      <w:r>
        <w:rPr>
          <w:sz w:val="24"/>
          <w:szCs w:val="21"/>
        </w:rPr>
        <w:t>跨网摆渡</w:t>
      </w:r>
      <w:r>
        <w:rPr>
          <w:rFonts w:hint="eastAsia"/>
          <w:sz w:val="24"/>
          <w:szCs w:val="21"/>
        </w:rPr>
        <w:t>通过FTP服务器配合</w:t>
      </w:r>
      <w:r>
        <w:rPr>
          <w:sz w:val="24"/>
          <w:szCs w:val="21"/>
        </w:rPr>
        <w:t>安全边界</w:t>
      </w:r>
      <w:r>
        <w:rPr>
          <w:rFonts w:hint="eastAsia"/>
          <w:sz w:val="24"/>
          <w:szCs w:val="21"/>
        </w:rPr>
        <w:t>实现</w:t>
      </w:r>
      <w:r>
        <w:rPr>
          <w:sz w:val="24"/>
          <w:szCs w:val="21"/>
        </w:rPr>
        <w:t>。</w:t>
      </w:r>
    </w:p>
    <w:p>
      <w:pPr>
        <w:keepNext/>
        <w:keepLines/>
        <w:spacing w:line="360" w:lineRule="auto"/>
        <w:jc w:val="left"/>
        <w:outlineLvl w:val="3"/>
        <w:rPr>
          <w:rFonts w:eastAsia="黑体"/>
          <w:bCs/>
          <w:sz w:val="30"/>
          <w:szCs w:val="28"/>
        </w:rPr>
      </w:pPr>
      <w:bookmarkStart w:id="122" w:name="_Toc43723046"/>
      <w:bookmarkStart w:id="123" w:name="_Toc20161226"/>
      <w:bookmarkStart w:id="124" w:name="_Toc20224739"/>
      <w:r>
        <w:rPr>
          <w:rFonts w:hint="eastAsia" w:eastAsia="黑体"/>
          <w:bCs/>
          <w:sz w:val="30"/>
          <w:szCs w:val="28"/>
        </w:rPr>
        <w:t>12.4.3.3数据存储</w:t>
      </w:r>
      <w:bookmarkEnd w:id="122"/>
      <w:bookmarkEnd w:id="123"/>
      <w:bookmarkEnd w:id="124"/>
    </w:p>
    <w:p>
      <w:pPr>
        <w:spacing w:line="360" w:lineRule="auto"/>
        <w:ind w:firstLine="482" w:firstLineChars="200"/>
        <w:rPr>
          <w:b/>
          <w:sz w:val="24"/>
          <w:szCs w:val="21"/>
        </w:rPr>
      </w:pPr>
      <w:r>
        <w:rPr>
          <w:rFonts w:hint="eastAsia"/>
          <w:b/>
          <w:sz w:val="24"/>
          <w:szCs w:val="21"/>
        </w:rPr>
        <w:t>图片存储</w:t>
      </w:r>
    </w:p>
    <w:p>
      <w:pPr>
        <w:spacing w:line="360" w:lineRule="auto"/>
        <w:ind w:firstLine="480" w:firstLineChars="200"/>
        <w:rPr>
          <w:sz w:val="24"/>
          <w:szCs w:val="21"/>
        </w:rPr>
      </w:pPr>
      <w:r>
        <w:rPr>
          <w:rFonts w:hint="eastAsia"/>
          <w:sz w:val="24"/>
          <w:szCs w:val="21"/>
        </w:rPr>
        <w:t>社会面装网和VPN网络内部署云存储，当云存储存储空间足够时，复用已有的云存储；云存储空间不足时，扩展云存储容量。视频专网</w:t>
      </w:r>
      <w:r>
        <w:rPr>
          <w:sz w:val="24"/>
          <w:szCs w:val="21"/>
        </w:rPr>
        <w:t>/</w:t>
      </w:r>
      <w:r>
        <w:rPr>
          <w:rFonts w:hint="eastAsia"/>
          <w:sz w:val="24"/>
          <w:szCs w:val="21"/>
        </w:rPr>
        <w:t>公安信息网内未部署云存储时，推荐部署云存储进行图片存储。</w:t>
      </w:r>
    </w:p>
    <w:p>
      <w:pPr>
        <w:spacing w:line="360" w:lineRule="auto"/>
        <w:ind w:firstLine="482" w:firstLineChars="200"/>
        <w:rPr>
          <w:b/>
          <w:sz w:val="24"/>
          <w:szCs w:val="21"/>
        </w:rPr>
      </w:pPr>
      <w:r>
        <w:rPr>
          <w:rFonts w:hint="eastAsia"/>
          <w:b/>
          <w:sz w:val="24"/>
          <w:szCs w:val="21"/>
        </w:rPr>
        <w:t>视频存储</w:t>
      </w:r>
    </w:p>
    <w:p>
      <w:pPr>
        <w:spacing w:line="360" w:lineRule="auto"/>
        <w:ind w:firstLine="480" w:firstLineChars="200"/>
        <w:rPr>
          <w:sz w:val="24"/>
          <w:szCs w:val="21"/>
        </w:rPr>
      </w:pPr>
      <w:r>
        <w:rPr>
          <w:rFonts w:hint="eastAsia"/>
          <w:sz w:val="24"/>
          <w:szCs w:val="21"/>
        </w:rPr>
        <w:t>视频专网统一存储：视频共享平台视频数据统一存储，视频专网已部署云存储，复用已有的云存储，云存储空间不足时，扩展云存储容量；视频专网未部署云存储，推荐部署云存储进行视频存储。</w:t>
      </w:r>
    </w:p>
    <w:p>
      <w:pPr>
        <w:spacing w:line="360" w:lineRule="auto"/>
        <w:ind w:firstLine="482" w:firstLineChars="200"/>
        <w:rPr>
          <w:b/>
          <w:sz w:val="24"/>
          <w:szCs w:val="21"/>
        </w:rPr>
      </w:pPr>
      <w:r>
        <w:rPr>
          <w:rFonts w:hint="eastAsia"/>
          <w:b/>
          <w:sz w:val="24"/>
          <w:szCs w:val="21"/>
        </w:rPr>
        <w:t>结构化数据存储</w:t>
      </w:r>
    </w:p>
    <w:p>
      <w:pPr>
        <w:spacing w:line="360" w:lineRule="auto"/>
        <w:ind w:firstLine="480" w:firstLineChars="200"/>
        <w:rPr>
          <w:sz w:val="24"/>
          <w:szCs w:val="21"/>
        </w:rPr>
      </w:pPr>
      <w:r>
        <w:rPr>
          <w:rFonts w:hint="eastAsia"/>
          <w:sz w:val="24"/>
          <w:szCs w:val="21"/>
        </w:rPr>
        <w:t>在社会面专网和VPN网络内，结构化</w:t>
      </w:r>
      <w:r>
        <w:rPr>
          <w:sz w:val="24"/>
          <w:szCs w:val="21"/>
        </w:rPr>
        <w:t>数据主要包括人脸、车辆</w:t>
      </w:r>
      <w:r>
        <w:rPr>
          <w:rFonts w:hint="eastAsia"/>
          <w:sz w:val="24"/>
          <w:szCs w:val="21"/>
        </w:rPr>
        <w:t>等物联</w:t>
      </w:r>
      <w:r>
        <w:rPr>
          <w:sz w:val="24"/>
          <w:szCs w:val="21"/>
        </w:rPr>
        <w:t>感知数据</w:t>
      </w:r>
      <w:r>
        <w:rPr>
          <w:rFonts w:hint="eastAsia"/>
          <w:sz w:val="24"/>
          <w:szCs w:val="21"/>
        </w:rPr>
        <w:t>以及人员</w:t>
      </w:r>
      <w:r>
        <w:rPr>
          <w:sz w:val="24"/>
          <w:szCs w:val="21"/>
        </w:rPr>
        <w:t>登记、车辆登记、房屋登记等业务数据</w:t>
      </w:r>
      <w:r>
        <w:rPr>
          <w:rFonts w:hint="eastAsia"/>
          <w:sz w:val="24"/>
          <w:szCs w:val="21"/>
        </w:rPr>
        <w:t>。人脸</w:t>
      </w:r>
      <w:r>
        <w:rPr>
          <w:sz w:val="24"/>
          <w:szCs w:val="21"/>
        </w:rPr>
        <w:t>、</w:t>
      </w:r>
      <w:r>
        <w:rPr>
          <w:rFonts w:hint="eastAsia"/>
          <w:sz w:val="24"/>
          <w:szCs w:val="21"/>
        </w:rPr>
        <w:t>车辆等</w:t>
      </w:r>
      <w:r>
        <w:rPr>
          <w:sz w:val="24"/>
          <w:szCs w:val="21"/>
        </w:rPr>
        <w:t>物联感知数据在</w:t>
      </w:r>
      <w:r>
        <w:rPr>
          <w:rFonts w:hint="eastAsia"/>
          <w:sz w:val="24"/>
          <w:szCs w:val="21"/>
        </w:rPr>
        <w:t>感知</w:t>
      </w:r>
      <w:r>
        <w:rPr>
          <w:sz w:val="24"/>
          <w:szCs w:val="21"/>
        </w:rPr>
        <w:t>数据应用服务器中</w:t>
      </w:r>
      <w:r>
        <w:rPr>
          <w:rFonts w:hint="eastAsia"/>
          <w:sz w:val="24"/>
          <w:szCs w:val="21"/>
        </w:rPr>
        <w:t>进行存储，</w:t>
      </w:r>
      <w:r>
        <w:rPr>
          <w:sz w:val="24"/>
          <w:szCs w:val="21"/>
        </w:rPr>
        <w:t>提供基于人脸、车辆等的大数据服务</w:t>
      </w:r>
      <w:r>
        <w:rPr>
          <w:rFonts w:hint="eastAsia"/>
          <w:sz w:val="24"/>
          <w:szCs w:val="21"/>
        </w:rPr>
        <w:t>；其他</w:t>
      </w:r>
      <w:r>
        <w:rPr>
          <w:sz w:val="24"/>
          <w:szCs w:val="21"/>
        </w:rPr>
        <w:t>业务登记数据在</w:t>
      </w:r>
      <w:r>
        <w:rPr>
          <w:rFonts w:hint="eastAsia"/>
          <w:sz w:val="24"/>
          <w:szCs w:val="21"/>
        </w:rPr>
        <w:t>智慧</w:t>
      </w:r>
      <w:r>
        <w:rPr>
          <w:sz w:val="24"/>
          <w:szCs w:val="21"/>
        </w:rPr>
        <w:t>安防小区自带的</w:t>
      </w:r>
      <w:r>
        <w:rPr>
          <w:rFonts w:hint="eastAsia"/>
          <w:sz w:val="24"/>
          <w:szCs w:val="21"/>
        </w:rPr>
        <w:t>PGSQL数据库</w:t>
      </w:r>
      <w:r>
        <w:rPr>
          <w:sz w:val="24"/>
          <w:szCs w:val="21"/>
        </w:rPr>
        <w:t>中进行存储</w:t>
      </w:r>
      <w:r>
        <w:rPr>
          <w:rFonts w:hint="eastAsia"/>
          <w:sz w:val="24"/>
          <w:szCs w:val="21"/>
        </w:rPr>
        <w:t>。</w:t>
      </w:r>
    </w:p>
    <w:p>
      <w:pPr>
        <w:spacing w:line="360" w:lineRule="auto"/>
        <w:ind w:firstLine="482" w:firstLineChars="200"/>
        <w:rPr>
          <w:b/>
          <w:sz w:val="24"/>
          <w:szCs w:val="21"/>
        </w:rPr>
      </w:pPr>
      <w:r>
        <w:rPr>
          <w:rFonts w:hint="eastAsia"/>
          <w:b/>
          <w:sz w:val="24"/>
          <w:szCs w:val="21"/>
        </w:rPr>
        <w:t>数据存储计算过程</w:t>
      </w:r>
    </w:p>
    <w:p>
      <w:pPr>
        <w:spacing w:line="360" w:lineRule="auto"/>
        <w:ind w:firstLine="480" w:firstLineChars="200"/>
        <w:rPr>
          <w:sz w:val="24"/>
          <w:szCs w:val="21"/>
        </w:rPr>
      </w:pPr>
      <w:r>
        <w:rPr>
          <w:rFonts w:hint="eastAsia"/>
          <w:sz w:val="24"/>
          <w:szCs w:val="21"/>
        </w:rPr>
        <w:t>外场建设监控摄像机</w:t>
      </w:r>
      <w:r>
        <w:rPr>
          <w:sz w:val="24"/>
          <w:szCs w:val="21"/>
        </w:rPr>
        <w:t>74</w:t>
      </w:r>
      <w:r>
        <w:rPr>
          <w:rFonts w:hint="eastAsia"/>
          <w:sz w:val="24"/>
          <w:szCs w:val="21"/>
        </w:rPr>
        <w:t>台，按照6M码流计算，每日存储24小时，存储周期30天，共计需要实际存储资源</w:t>
      </w:r>
      <w:r>
        <w:rPr>
          <w:sz w:val="24"/>
          <w:szCs w:val="21"/>
        </w:rPr>
        <w:t>137</w:t>
      </w:r>
      <w:r>
        <w:rPr>
          <w:rFonts w:hint="eastAsia"/>
          <w:sz w:val="24"/>
          <w:szCs w:val="21"/>
        </w:rPr>
        <w:t>TB。</w:t>
      </w:r>
    </w:p>
    <w:p>
      <w:pPr>
        <w:spacing w:line="360" w:lineRule="auto"/>
        <w:ind w:firstLine="480" w:firstLineChars="200"/>
        <w:rPr>
          <w:sz w:val="24"/>
          <w:szCs w:val="21"/>
        </w:rPr>
      </w:pPr>
      <w:r>
        <w:rPr>
          <w:rFonts w:hint="eastAsia"/>
          <w:sz w:val="24"/>
          <w:szCs w:val="21"/>
        </w:rPr>
        <w:t>外场建设人脸抓拍机430台，同时存储视频，按照</w:t>
      </w:r>
      <w:r>
        <w:rPr>
          <w:sz w:val="24"/>
          <w:szCs w:val="21"/>
        </w:rPr>
        <w:t>6</w:t>
      </w:r>
      <w:r>
        <w:rPr>
          <w:rFonts w:hint="eastAsia"/>
          <w:sz w:val="24"/>
          <w:szCs w:val="21"/>
        </w:rPr>
        <w:t>M码流计算，视频每日存储24小时，存储周期30天，共计需要实际存储资源</w:t>
      </w:r>
      <w:r>
        <w:rPr>
          <w:sz w:val="24"/>
          <w:szCs w:val="21"/>
        </w:rPr>
        <w:t xml:space="preserve">798 </w:t>
      </w:r>
      <w:r>
        <w:rPr>
          <w:rFonts w:hint="eastAsia"/>
          <w:sz w:val="24"/>
          <w:szCs w:val="21"/>
        </w:rPr>
        <w:t>TB</w:t>
      </w:r>
    </w:p>
    <w:p>
      <w:pPr>
        <w:spacing w:line="360" w:lineRule="auto"/>
        <w:ind w:firstLine="480" w:firstLineChars="200"/>
        <w:rPr>
          <w:sz w:val="24"/>
          <w:szCs w:val="21"/>
        </w:rPr>
      </w:pPr>
      <w:r>
        <w:rPr>
          <w:rFonts w:hint="eastAsia"/>
          <w:sz w:val="24"/>
          <w:szCs w:val="21"/>
        </w:rPr>
        <w:t>外场共计新建51个车辆卡口，考虑到原有第三方卡口336个，共计387个卡口，每张图大小0.4M ,一天过车量为</w:t>
      </w:r>
      <w:r>
        <w:rPr>
          <w:sz w:val="24"/>
          <w:szCs w:val="21"/>
        </w:rPr>
        <w:t>6</w:t>
      </w:r>
      <w:r>
        <w:rPr>
          <w:rFonts w:hint="eastAsia"/>
          <w:sz w:val="24"/>
          <w:szCs w:val="21"/>
        </w:rPr>
        <w:t>00辆次，存储周期180天，因此实际存储大小为</w:t>
      </w:r>
      <w:r>
        <w:rPr>
          <w:sz w:val="24"/>
          <w:szCs w:val="21"/>
        </w:rPr>
        <w:t>16</w:t>
      </w:r>
      <w:r>
        <w:rPr>
          <w:rFonts w:hint="eastAsia"/>
          <w:sz w:val="24"/>
          <w:szCs w:val="21"/>
        </w:rPr>
        <w:t>TB。</w:t>
      </w:r>
    </w:p>
    <w:p>
      <w:pPr>
        <w:spacing w:line="360" w:lineRule="auto"/>
        <w:ind w:firstLine="480" w:firstLineChars="200"/>
        <w:rPr>
          <w:sz w:val="24"/>
          <w:szCs w:val="21"/>
        </w:rPr>
      </w:pPr>
      <w:r>
        <w:rPr>
          <w:rFonts w:hint="eastAsia"/>
          <w:sz w:val="24"/>
          <w:szCs w:val="21"/>
        </w:rPr>
        <w:t>共计实际存储大小为</w:t>
      </w:r>
      <w:r>
        <w:rPr>
          <w:sz w:val="24"/>
          <w:szCs w:val="21"/>
        </w:rPr>
        <w:t xml:space="preserve">951 </w:t>
      </w:r>
      <w:r>
        <w:rPr>
          <w:rFonts w:hint="eastAsia"/>
          <w:sz w:val="24"/>
          <w:szCs w:val="21"/>
        </w:rPr>
        <w:t>TB，结合考虑冗余，本系统存储所需的总容量为：</w:t>
      </w:r>
      <w:r>
        <w:rPr>
          <w:sz w:val="24"/>
          <w:szCs w:val="21"/>
          <w:u w:val="single"/>
        </w:rPr>
        <w:t>1310</w:t>
      </w:r>
      <w:r>
        <w:rPr>
          <w:rFonts w:hint="eastAsia"/>
          <w:sz w:val="24"/>
          <w:szCs w:val="21"/>
        </w:rPr>
        <w:t>TB。</w:t>
      </w:r>
    </w:p>
    <w:p>
      <w:pPr>
        <w:spacing w:line="360" w:lineRule="auto"/>
        <w:ind w:firstLine="480" w:firstLineChars="200"/>
        <w:rPr>
          <w:sz w:val="24"/>
          <w:szCs w:val="21"/>
        </w:rPr>
      </w:pPr>
      <w:r>
        <w:rPr>
          <w:rFonts w:hint="eastAsia"/>
          <w:sz w:val="24"/>
          <w:szCs w:val="21"/>
        </w:rPr>
        <w:t>计算公式：系统存储总容量=系统需求容量*（1+容量冗余率）（1+系统热备率）/（1-EC损耗率）</w:t>
      </w:r>
    </w:p>
    <w:p>
      <w:pPr>
        <w:spacing w:line="360" w:lineRule="auto"/>
        <w:ind w:firstLine="480" w:firstLineChars="200"/>
        <w:rPr>
          <w:sz w:val="24"/>
          <w:szCs w:val="21"/>
        </w:rPr>
      </w:pPr>
      <w:r>
        <w:rPr>
          <w:rFonts w:hint="eastAsia"/>
          <w:sz w:val="24"/>
          <w:szCs w:val="21"/>
        </w:rPr>
        <w:t>EC损耗率=</w:t>
      </w:r>
      <w:r>
        <w:rPr>
          <w:rFonts w:ascii="等线" w:eastAsia="等线"/>
          <w:color w:val="FFFFFF"/>
          <w:sz w:val="22"/>
          <w:szCs w:val="22"/>
        </w:rPr>
        <w:t xml:space="preserve"> </w:t>
      </w:r>
      <w:r>
        <w:rPr>
          <w:sz w:val="24"/>
          <w:szCs w:val="21"/>
        </w:rPr>
        <w:t>N/(N+M)</w:t>
      </w:r>
      <w:r>
        <w:rPr>
          <w:rFonts w:hint="eastAsia"/>
          <w:sz w:val="24"/>
          <w:szCs w:val="21"/>
        </w:rPr>
        <w:t>，本次N=</w:t>
      </w:r>
      <w:r>
        <w:rPr>
          <w:sz w:val="24"/>
          <w:szCs w:val="21"/>
        </w:rPr>
        <w:t xml:space="preserve">8 </w:t>
      </w:r>
      <w:r>
        <w:rPr>
          <w:rFonts w:hint="eastAsia"/>
          <w:sz w:val="24"/>
          <w:szCs w:val="21"/>
        </w:rPr>
        <w:t>M=2</w:t>
      </w:r>
      <w:r>
        <w:rPr>
          <w:sz w:val="24"/>
          <w:szCs w:val="21"/>
        </w:rPr>
        <w:t xml:space="preserve"> </w:t>
      </w:r>
      <w:r>
        <w:rPr>
          <w:rFonts w:hint="eastAsia"/>
          <w:sz w:val="24"/>
          <w:szCs w:val="21"/>
        </w:rPr>
        <w:t>K=1</w:t>
      </w:r>
    </w:p>
    <w:p>
      <w:pPr>
        <w:spacing w:line="360" w:lineRule="auto"/>
        <w:ind w:firstLine="480" w:firstLineChars="200"/>
        <w:rPr>
          <w:rFonts w:hint="eastAsia"/>
          <w:sz w:val="24"/>
          <w:szCs w:val="21"/>
        </w:rPr>
      </w:pPr>
      <w:r>
        <w:rPr>
          <w:rFonts w:hint="eastAsia"/>
          <w:sz w:val="24"/>
          <w:szCs w:val="21"/>
        </w:rPr>
        <w:t>因此需要48盘位6T盘云存储</w:t>
      </w:r>
      <w:r>
        <w:rPr>
          <w:sz w:val="24"/>
          <w:szCs w:val="21"/>
        </w:rPr>
        <w:t>5</w:t>
      </w:r>
      <w:r>
        <w:rPr>
          <w:rFonts w:hint="eastAsia"/>
          <w:sz w:val="24"/>
          <w:szCs w:val="21"/>
        </w:rPr>
        <w:t>台。管理节点3台。</w:t>
      </w:r>
    </w:p>
    <w:p>
      <w:pPr>
        <w:keepNext/>
        <w:keepLines/>
        <w:spacing w:line="360" w:lineRule="auto"/>
        <w:jc w:val="left"/>
        <w:outlineLvl w:val="3"/>
        <w:rPr>
          <w:rFonts w:eastAsia="黑体"/>
          <w:bCs/>
          <w:sz w:val="30"/>
          <w:szCs w:val="28"/>
        </w:rPr>
      </w:pPr>
      <w:r>
        <w:rPr>
          <w:rFonts w:hint="eastAsia" w:eastAsia="黑体"/>
          <w:bCs/>
          <w:sz w:val="30"/>
          <w:szCs w:val="28"/>
        </w:rPr>
        <w:t>12.4.3.4智安小区配套**室改造</w:t>
      </w:r>
    </w:p>
    <w:p>
      <w:pPr>
        <w:spacing w:line="360" w:lineRule="auto"/>
        <w:ind w:firstLine="480" w:firstLineChars="200"/>
        <w:rPr>
          <w:sz w:val="24"/>
          <w:szCs w:val="21"/>
        </w:rPr>
      </w:pPr>
      <w:r>
        <w:rPr>
          <w:rFonts w:hint="eastAsia" w:ascii="宋体"/>
          <w:sz w:val="24"/>
        </w:rPr>
        <w:t>智安小区**室作为智安小区的配套建设内容，在智安小区**室一定范围内，可以更好的服务智安小区**室周边居民，为居民提供更加便利的服务。</w:t>
      </w:r>
    </w:p>
    <w:bookmarkEnd w:id="91"/>
    <w:p>
      <w:pPr>
        <w:pStyle w:val="3"/>
        <w:rPr>
          <w:rFonts w:ascii="宋体" w:hAnsi="宋体"/>
          <w:bCs w:val="0"/>
          <w:color w:val="000000"/>
          <w:sz w:val="24"/>
          <w:szCs w:val="24"/>
        </w:rPr>
      </w:pPr>
      <w:bookmarkStart w:id="125" w:name="_Toc40254476"/>
      <w:bookmarkStart w:id="126" w:name="_Toc46319050"/>
      <w:bookmarkStart w:id="127" w:name="_Toc46418609"/>
      <w:bookmarkStart w:id="128" w:name="_Toc516676406"/>
      <w:bookmarkStart w:id="129" w:name="_Toc41663048"/>
      <w:bookmarkStart w:id="130" w:name="_Toc519605652"/>
      <w:bookmarkStart w:id="131" w:name="_Toc488577838"/>
      <w:bookmarkStart w:id="132" w:name="_Toc40254166"/>
      <w:bookmarkStart w:id="133" w:name="_Toc488577839"/>
      <w:r>
        <w:rPr>
          <w:rFonts w:hint="eastAsia" w:ascii="宋体" w:hAnsi="宋体"/>
          <w:bCs w:val="0"/>
          <w:color w:val="000000"/>
          <w:sz w:val="24"/>
          <w:szCs w:val="24"/>
        </w:rPr>
        <w:t>12.5 服务要求</w:t>
      </w:r>
      <w:bookmarkEnd w:id="125"/>
      <w:bookmarkEnd w:id="126"/>
      <w:bookmarkEnd w:id="127"/>
      <w:bookmarkEnd w:id="128"/>
      <w:bookmarkEnd w:id="129"/>
      <w:bookmarkEnd w:id="130"/>
      <w:bookmarkEnd w:id="131"/>
      <w:bookmarkEnd w:id="132"/>
    </w:p>
    <w:p>
      <w:pPr>
        <w:spacing w:line="440" w:lineRule="exact"/>
        <w:ind w:firstLine="482"/>
        <w:rPr>
          <w:rFonts w:hint="eastAsia" w:ascii="宋体" w:hAnsi="宋体"/>
          <w:b/>
          <w:color w:val="000000"/>
          <w:sz w:val="24"/>
        </w:rPr>
      </w:pPr>
      <w:bookmarkStart w:id="134" w:name="_Hlk523838209"/>
      <w:r>
        <w:rPr>
          <w:rFonts w:ascii="宋体" w:hAnsi="宋体"/>
          <w:b/>
          <w:color w:val="000000"/>
          <w:sz w:val="24"/>
        </w:rPr>
        <w:t>在项目整个</w:t>
      </w:r>
      <w:r>
        <w:rPr>
          <w:rFonts w:hint="eastAsia" w:ascii="宋体" w:hAnsi="宋体"/>
          <w:b/>
          <w:color w:val="000000"/>
          <w:sz w:val="24"/>
        </w:rPr>
        <w:t>三年服务期</w:t>
      </w:r>
      <w:r>
        <w:rPr>
          <w:rFonts w:ascii="宋体" w:hAnsi="宋体"/>
          <w:b/>
          <w:color w:val="000000"/>
          <w:sz w:val="24"/>
        </w:rPr>
        <w:t>内</w:t>
      </w:r>
      <w:r>
        <w:rPr>
          <w:rFonts w:hint="eastAsia" w:ascii="宋体" w:hAnsi="宋体"/>
          <w:b/>
          <w:color w:val="000000"/>
          <w:sz w:val="24"/>
        </w:rPr>
        <w:t>，确保整个系统的稳定运行，为保证整体项目服务质量，投标人必须承诺在三年服务期内提供驻点人员1名。</w:t>
      </w:r>
    </w:p>
    <w:p>
      <w:pPr>
        <w:pStyle w:val="3"/>
        <w:tabs>
          <w:tab w:val="left" w:pos="6833"/>
        </w:tabs>
        <w:rPr>
          <w:rFonts w:hint="eastAsia" w:ascii="宋体" w:hAnsi="宋体"/>
          <w:bCs w:val="0"/>
          <w:color w:val="000000"/>
          <w:sz w:val="24"/>
          <w:szCs w:val="24"/>
        </w:rPr>
      </w:pPr>
      <w:bookmarkStart w:id="135" w:name="_Toc46319051"/>
      <w:bookmarkStart w:id="136" w:name="_Toc46418610"/>
      <w:r>
        <w:rPr>
          <w:rFonts w:hint="eastAsia" w:ascii="宋体" w:hAnsi="宋体"/>
          <w:bCs w:val="0"/>
          <w:color w:val="000000"/>
          <w:sz w:val="24"/>
          <w:szCs w:val="24"/>
        </w:rPr>
        <w:t>12.6小区清单</w:t>
      </w:r>
      <w:bookmarkEnd w:id="135"/>
      <w:bookmarkEnd w:id="136"/>
      <w:r>
        <w:rPr>
          <w:rFonts w:ascii="宋体" w:hAnsi="宋体"/>
          <w:bCs w:val="0"/>
          <w:color w:val="000000"/>
          <w:sz w:val="24"/>
          <w:szCs w:val="24"/>
        </w:rPr>
        <w:tab/>
      </w:r>
    </w:p>
    <w:tbl>
      <w:tblPr>
        <w:tblStyle w:val="35"/>
        <w:tblW w:w="0" w:type="auto"/>
        <w:tblInd w:w="0" w:type="dxa"/>
        <w:tblLayout w:type="fixed"/>
        <w:tblCellMar>
          <w:top w:w="0" w:type="dxa"/>
          <w:left w:w="108" w:type="dxa"/>
          <w:bottom w:w="0" w:type="dxa"/>
          <w:right w:w="108" w:type="dxa"/>
        </w:tblCellMar>
      </w:tblPr>
      <w:tblGrid>
        <w:gridCol w:w="983"/>
        <w:gridCol w:w="1111"/>
        <w:gridCol w:w="1654"/>
        <w:gridCol w:w="982"/>
        <w:gridCol w:w="982"/>
        <w:gridCol w:w="982"/>
        <w:gridCol w:w="2549"/>
      </w:tblGrid>
      <w:tr>
        <w:tblPrEx>
          <w:tblCellMar>
            <w:top w:w="0" w:type="dxa"/>
            <w:left w:w="108" w:type="dxa"/>
            <w:bottom w:w="0" w:type="dxa"/>
            <w:right w:w="108" w:type="dxa"/>
          </w:tblCellMar>
        </w:tblPrEx>
        <w:trPr>
          <w:trHeight w:val="960"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11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辖区</w:t>
            </w:r>
          </w:p>
        </w:tc>
        <w:tc>
          <w:tcPr>
            <w:tcW w:w="165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小区名称</w:t>
            </w:r>
          </w:p>
        </w:tc>
        <w:tc>
          <w:tcPr>
            <w:tcW w:w="9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开放式小区</w:t>
            </w:r>
          </w:p>
        </w:tc>
        <w:tc>
          <w:tcPr>
            <w:tcW w:w="9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半封闭式小区</w:t>
            </w:r>
          </w:p>
        </w:tc>
        <w:tc>
          <w:tcPr>
            <w:tcW w:w="9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封闭式小区</w:t>
            </w:r>
          </w:p>
        </w:tc>
        <w:tc>
          <w:tcPr>
            <w:tcW w:w="254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共有几幢每幢几层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越仕苑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兴越西区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湖景花园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越华新村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望湖花园（西区）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望湖花园（中区）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5幢6层</w:t>
            </w:r>
          </w:p>
        </w:tc>
      </w:tr>
      <w:tr>
        <w:tblPrEx>
          <w:tblCellMar>
            <w:top w:w="0" w:type="dxa"/>
            <w:left w:w="108" w:type="dxa"/>
            <w:bottom w:w="0" w:type="dxa"/>
            <w:right w:w="108" w:type="dxa"/>
          </w:tblCellMar>
        </w:tblPrEx>
        <w:trPr>
          <w:trHeight w:val="48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鉴湖路132号（星洲花园）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5幢7层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镜湖新村（金桥园）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镜湖新村（三鑫园）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2幢5层</w:t>
            </w:r>
          </w:p>
        </w:tc>
      </w:tr>
      <w:tr>
        <w:tblPrEx>
          <w:tblCellMar>
            <w:top w:w="0" w:type="dxa"/>
            <w:left w:w="108" w:type="dxa"/>
            <w:bottom w:w="0" w:type="dxa"/>
            <w:right w:w="108" w:type="dxa"/>
          </w:tblCellMar>
        </w:tblPrEx>
        <w:trPr>
          <w:trHeight w:val="48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港越路219号（东芝小区）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10幢5层</w:t>
            </w:r>
          </w:p>
        </w:tc>
      </w:tr>
      <w:tr>
        <w:tblPrEx>
          <w:tblCellMar>
            <w:top w:w="0" w:type="dxa"/>
            <w:left w:w="108" w:type="dxa"/>
            <w:bottom w:w="0" w:type="dxa"/>
            <w:right w:w="108" w:type="dxa"/>
          </w:tblCellMar>
        </w:tblPrEx>
        <w:trPr>
          <w:trHeight w:val="48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港越路225号（金碧园）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万达小区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12幢32层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育才小区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东昉新村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锦江花园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27幢7层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百福园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丰泽嘉园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25幢</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日月潭花园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38/明秀4，明峰9，明辉3</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镜水苑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中泽嘉园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9幢24层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中泽新景园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18幢24层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梦景园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柯亭小区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13幢7层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碧水金柯小区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浙纤新村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万商京都花园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柯北花园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清水苑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望湖花园（东区）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望湖花园（南区）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九纺新村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湖滨花园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新世纪花园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笛福新村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金桥新村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16幢6层</w:t>
            </w:r>
          </w:p>
        </w:tc>
      </w:tr>
      <w:tr>
        <w:tblPrEx>
          <w:tblCellMar>
            <w:top w:w="0" w:type="dxa"/>
            <w:left w:w="108" w:type="dxa"/>
            <w:bottom w:w="0" w:type="dxa"/>
            <w:right w:w="108" w:type="dxa"/>
          </w:tblCellMar>
        </w:tblPrEx>
        <w:trPr>
          <w:trHeight w:val="48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鉴湖新村（鉴港园，华舍园）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柯福小区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金笛新村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17幢6层</w:t>
            </w:r>
          </w:p>
        </w:tc>
      </w:tr>
      <w:tr>
        <w:tblPrEx>
          <w:tblCellMar>
            <w:top w:w="0" w:type="dxa"/>
            <w:left w:w="108" w:type="dxa"/>
            <w:bottom w:w="0" w:type="dxa"/>
            <w:right w:w="108" w:type="dxa"/>
          </w:tblCellMar>
        </w:tblPrEx>
        <w:trPr>
          <w:trHeight w:val="48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滨港新村（滨港园，浙纤园）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福欣新村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金河新村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世纪之帆</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1幢24屋</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阳光绿园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乐清花园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世纪花园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新江新村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明珠花园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滨河花园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柯笛花园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亚太新村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港越新都（南区）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港越新都（北区）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港越别墅</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百舸公寓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香逸公寓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紫郡花园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和谐家园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12幢26层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瓜渚御景园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51幢8层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红升景园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11幢17层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后梅小区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翠泽苑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裕民西区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双川小区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瓜渚绿洲公寓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1-16幢5层,17-27幢11层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双梅小区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1-12幢5层,13-26幢6层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玲珑小筑花园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7幢8层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蓝天华都苑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金柯嘉园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8幢32层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华宇天庭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16幢16层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颐泽苑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9幢15层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大坂风情小区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20幢30层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泰港花园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嘉里花园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4幢13层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蓝宝石公寓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世茂名流小区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42幢11层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米兰公寓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裕民小区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梅川小区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香林花园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25幢17层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蝶庄</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30幢17层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香水湾小区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31幢11层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镜水湾</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5幢18层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诚园小区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1-7幢18层,8-11幢25层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坂湖明珠公寓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3幢20层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锦绣园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碧水苑东区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碧水苑西区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湖中园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红建新村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金色丽都花园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19幢27层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金色水岸</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10幢30层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翡翠公寓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6幢32层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福年花园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福立花园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管墅小区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管宁小区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状元名园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金色华庭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福东花园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夏家花园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柯越小区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梅巷小区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梅园小区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梅福小区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香湖郡小区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15幢15层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瓜渚景园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114幢3层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朗诗绿色家园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21幢25层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檀府</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8幢10层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翰林府</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31幢26层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翰泽苑小区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28幢18层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城市之星小区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4幢31层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镜中嘉苑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7幢21层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大溇嘉苑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8幢24层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中梅嘉苑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7幢21层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红丰嘉苑</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7幢21层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立新花园南区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立新花园北区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万商新村一纺园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万商新村乐富园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2幢6层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万商新村顺达园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6幢8层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浪琴湾公寓南区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7幢17层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新浪琴湾公馆</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浪琴湾桂花园公寓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15幢5层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111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柯桥街道</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明园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66幢23层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轻纺</w:t>
            </w: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东升花园</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10幢，9-16层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建材市场</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14幢，4层</w:t>
            </w:r>
          </w:p>
        </w:tc>
      </w:tr>
      <w:tr>
        <w:tblPrEx>
          <w:tblCellMar>
            <w:top w:w="0" w:type="dxa"/>
            <w:left w:w="108" w:type="dxa"/>
            <w:bottom w:w="0" w:type="dxa"/>
            <w:right w:w="108" w:type="dxa"/>
          </w:tblCellMar>
        </w:tblPrEx>
        <w:trPr>
          <w:trHeight w:val="270" w:hRule="atLeast"/>
        </w:trPr>
        <w:tc>
          <w:tcPr>
            <w:tcW w:w="9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6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港越坯布单身公寓</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3幢，5层</w:t>
            </w:r>
          </w:p>
        </w:tc>
      </w:tr>
    </w:tbl>
    <w:p/>
    <w:bookmarkEnd w:id="134"/>
    <w:p>
      <w:pPr>
        <w:pStyle w:val="3"/>
        <w:rPr>
          <w:rFonts w:ascii="宋体" w:hAnsi="宋体"/>
          <w:bCs w:val="0"/>
          <w:color w:val="000000"/>
          <w:sz w:val="24"/>
          <w:szCs w:val="24"/>
        </w:rPr>
      </w:pPr>
      <w:bookmarkStart w:id="137" w:name="_Toc40254167"/>
      <w:bookmarkStart w:id="138" w:name="_Toc40254477"/>
      <w:bookmarkStart w:id="139" w:name="_Toc41663049"/>
      <w:bookmarkStart w:id="140" w:name="_Toc46319052"/>
      <w:bookmarkStart w:id="141" w:name="_Toc46418611"/>
      <w:bookmarkStart w:id="142" w:name="_Toc516676407"/>
      <w:bookmarkStart w:id="143" w:name="_Toc519605653"/>
      <w:r>
        <w:rPr>
          <w:rFonts w:hint="eastAsia" w:ascii="宋体" w:hAnsi="宋体"/>
          <w:bCs w:val="0"/>
          <w:color w:val="000000"/>
          <w:sz w:val="24"/>
          <w:szCs w:val="24"/>
        </w:rPr>
        <w:t>12.7供货清单要求</w:t>
      </w:r>
      <w:bookmarkEnd w:id="133"/>
      <w:bookmarkEnd w:id="137"/>
      <w:bookmarkEnd w:id="138"/>
      <w:bookmarkEnd w:id="139"/>
      <w:bookmarkEnd w:id="140"/>
      <w:bookmarkEnd w:id="141"/>
      <w:bookmarkEnd w:id="142"/>
      <w:bookmarkEnd w:id="143"/>
    </w:p>
    <w:p>
      <w:pPr>
        <w:spacing w:line="440" w:lineRule="exact"/>
        <w:ind w:firstLine="482"/>
        <w:rPr>
          <w:rFonts w:hint="eastAsia" w:ascii="宋体" w:hAnsi="宋体"/>
          <w:color w:val="000000"/>
          <w:sz w:val="24"/>
        </w:rPr>
      </w:pPr>
      <w:r>
        <w:rPr>
          <w:rFonts w:hint="eastAsia" w:ascii="宋体"/>
          <w:bCs/>
          <w:sz w:val="24"/>
        </w:rPr>
        <w:t>本表为参考配置，可根据实际情况调整设备种类，整体方案实现所要求的功能即可</w:t>
      </w:r>
      <w:bookmarkStart w:id="144" w:name="_Toc382504213"/>
      <w:r>
        <w:rPr>
          <w:rFonts w:hint="eastAsia" w:ascii="宋体"/>
          <w:bCs/>
          <w:sz w:val="24"/>
        </w:rPr>
        <w:t>。</w:t>
      </w:r>
      <w:bookmarkEnd w:id="144"/>
    </w:p>
    <w:tbl>
      <w:tblPr>
        <w:tblStyle w:val="35"/>
        <w:tblW w:w="0" w:type="auto"/>
        <w:tblInd w:w="0" w:type="dxa"/>
        <w:tblLayout w:type="fixed"/>
        <w:tblCellMar>
          <w:top w:w="0" w:type="dxa"/>
          <w:left w:w="108" w:type="dxa"/>
          <w:bottom w:w="0" w:type="dxa"/>
          <w:right w:w="108" w:type="dxa"/>
        </w:tblCellMar>
      </w:tblPr>
      <w:tblGrid>
        <w:gridCol w:w="417"/>
        <w:gridCol w:w="516"/>
        <w:gridCol w:w="1116"/>
        <w:gridCol w:w="5154"/>
        <w:gridCol w:w="418"/>
        <w:gridCol w:w="568"/>
        <w:gridCol w:w="1054"/>
      </w:tblGrid>
      <w:tr>
        <w:tblPrEx>
          <w:tblCellMar>
            <w:top w:w="0" w:type="dxa"/>
            <w:left w:w="108" w:type="dxa"/>
            <w:bottom w:w="0" w:type="dxa"/>
            <w:right w:w="108" w:type="dxa"/>
          </w:tblCellMar>
        </w:tblPrEx>
        <w:trPr>
          <w:trHeight w:val="402" w:hRule="atLeast"/>
        </w:trPr>
        <w:tc>
          <w:tcPr>
            <w:tcW w:w="41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516"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货物名称</w:t>
            </w:r>
          </w:p>
        </w:tc>
        <w:tc>
          <w:tcPr>
            <w:tcW w:w="1116"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参考品牌</w:t>
            </w:r>
          </w:p>
        </w:tc>
        <w:tc>
          <w:tcPr>
            <w:tcW w:w="5154" w:type="dxa"/>
            <w:tcBorders>
              <w:top w:val="single" w:color="auto" w:sz="4" w:space="0"/>
              <w:left w:val="nil"/>
              <w:bottom w:val="single" w:color="auto" w:sz="4" w:space="0"/>
              <w:right w:val="single" w:color="auto" w:sz="4" w:space="0"/>
            </w:tcBorders>
            <w:shd w:val="clear" w:color="000000" w:fill="FFFFFF"/>
            <w:noWrap w:val="0"/>
            <w:vAlign w:val="top"/>
          </w:tcPr>
          <w:p>
            <w:pPr>
              <w:widowControl/>
              <w:ind w:firstLine="1707" w:firstLineChars="850"/>
              <w:jc w:val="left"/>
              <w:rPr>
                <w:rFonts w:ascii="宋体" w:hAnsi="宋体" w:cs="宋体"/>
                <w:b/>
                <w:bCs/>
                <w:color w:val="000000"/>
                <w:kern w:val="0"/>
                <w:sz w:val="20"/>
                <w:szCs w:val="20"/>
              </w:rPr>
            </w:pPr>
            <w:r>
              <w:rPr>
                <w:rFonts w:hint="eastAsia" w:ascii="宋体" w:hAnsi="宋体" w:cs="宋体"/>
                <w:b/>
                <w:bCs/>
                <w:color w:val="000000"/>
                <w:kern w:val="0"/>
                <w:sz w:val="20"/>
                <w:szCs w:val="20"/>
              </w:rPr>
              <w:t>技术规格参数</w:t>
            </w:r>
          </w:p>
        </w:tc>
        <w:tc>
          <w:tcPr>
            <w:tcW w:w="41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68"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054"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02" w:hRule="atLeast"/>
        </w:trPr>
        <w:tc>
          <w:tcPr>
            <w:tcW w:w="924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一、视频监控、人像采集</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视频监控摄像机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传感器类型1/1.8英寸CMOS；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最大分辨率2688×1520；最低照度0.001Lux（彩色模式）；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0.0001Lux（黑白模式）；0Lux（补光灯开启）；最大补光距离15m（人脸检测距离）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40m（视频监控距离）；镜头类型电动变焦；镜头焦距3.5mm~12mm；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通用行为分析物品遗留、物品搬移、热度图支持、周界防范绊线入侵、区域入侵、快速移动（三项均支持人车分类及精准检测）、徘徊检测、人员聚集、停车检测；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人脸检测支持跟踪、支持优选、支持抓拍、支持上报最优的人脸抓图、支持人脸增强、支持人脸曝光，支持人脸属性提取，支持7种属性8种表情：性别，年龄，眼镜，表情（高兴、惊讶、 正常、 愤怒、悲伤、厌恶、困惑、害怕），口罩，肤色，胡子；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支持分别对在监视画面中人脸抓拍进行数量统计，并支持WEB界面实时显示。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支持人脸抠图区域可设：人脸、单寸照、全身照、半身照；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供电方式DC12V/POE；防护等级IP67</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74</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包含相关的基础配套设施、护罩根据实际安装场景选择，三年维护。估算，按实际需求而定</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人像摄像机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像素800万；最大分辨率3840×2160；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为保障摄像机夜间效果，要求摄像机靶面尺寸≥1/1.2英寸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为保障摄像机夜间效果，要求摄像机最低照度：彩色：≤0.0002lx（AGC ON，RJ45输出，应能分辨反射式视频矩阵测试卡中彩色色块），黑白：≤0.0001lx（AGC ON，RJ45输出，能分辨反射式视频分辨率测试卡中圆形轮廓）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最大补光距离≥50m（人脸检测距离）≥80m（视频监控距离）；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镜头类型电动变焦；镜头焦距20mm~80mm；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虑到现场实施环境的复杂，摄像机安装位置会根据现场立杆位置而变化，为了不遗漏人脸信息，因此要求设备具有景深扩展模式选项，在相同图像参数、光圈设置的情况下，开启景深扩招功能，可使设置景深变大，使前后边缘处看到的景象更清晰，使人脸抓拍更清晰（提供公安部有效检测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 支持人脸侦测功能，可对经过设定区域的行人进行人脸检测，当检测到人脸后，可联动抓拍人脸图片、录像及给出报警提示，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支持对齐刘海遮挡眉毛、头发遮挡眼睛、戴普通眼睛、戴墨镜、戴彩色眼镜、戴帽子、戴头戴式耳机、半边人脸、戴口罩侧脸方式的人脸进行检测，3） 可对出现在监控场景内的两眼瞳距不小于16像素的人脸进行检测，同时叠加目标提示框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虑到部分小区出入口存在人流量较大的情况，因此要求设备支持人脸去重功能，开启人脸去重功能后，采用5人依次循环通行进行试验，通过速度不小于1m/s，人员通过时间间隔不小于1s，试验次数100人次，在设置的时间内，重复抓拍同一人脸次数不大于1次</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163</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包含相关的基础配套设施、护罩根据实际安装场景选择，三年维护。估算，按实际需求而定</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400万结构化人像采集卡口</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双云台双镜头双结构化球机</w:t>
            </w:r>
            <w:r>
              <w:rPr>
                <w:rFonts w:hint="eastAsia" w:ascii="宋体" w:hAnsi="宋体" w:cs="宋体"/>
                <w:kern w:val="0"/>
                <w:sz w:val="20"/>
                <w:szCs w:val="20"/>
              </w:rPr>
              <w:br w:type="textWrapping"/>
            </w:r>
            <w:r>
              <w:rPr>
                <w:rFonts w:hint="eastAsia" w:ascii="宋体" w:hAnsi="宋体" w:cs="宋体"/>
                <w:kern w:val="0"/>
                <w:sz w:val="20"/>
                <w:szCs w:val="20"/>
              </w:rPr>
              <w:t>全景细节都采用400万像素1/1.8英寸CMOS传感器</w:t>
            </w:r>
            <w:r>
              <w:rPr>
                <w:rFonts w:hint="eastAsia" w:ascii="宋体" w:hAnsi="宋体" w:cs="宋体"/>
                <w:kern w:val="0"/>
                <w:sz w:val="20"/>
                <w:szCs w:val="20"/>
              </w:rPr>
              <w:br w:type="textWrapping"/>
            </w:r>
            <w:r>
              <w:rPr>
                <w:rFonts w:hint="eastAsia" w:ascii="宋体" w:hAnsi="宋体" w:cs="宋体"/>
                <w:kern w:val="0"/>
                <w:sz w:val="20"/>
                <w:szCs w:val="20"/>
              </w:rPr>
              <w:t>镜头焦距：全景6mm，细节：10mm~50mm；</w:t>
            </w:r>
            <w:r>
              <w:rPr>
                <w:rFonts w:hint="eastAsia" w:ascii="宋体" w:hAnsi="宋体" w:cs="宋体"/>
                <w:kern w:val="0"/>
                <w:sz w:val="20"/>
                <w:szCs w:val="20"/>
              </w:rPr>
              <w:br w:type="textWrapping"/>
            </w:r>
            <w:r>
              <w:rPr>
                <w:rFonts w:hint="eastAsia" w:ascii="宋体" w:hAnsi="宋体" w:cs="宋体"/>
                <w:kern w:val="0"/>
                <w:sz w:val="20"/>
                <w:szCs w:val="20"/>
              </w:rPr>
              <w:t>内置GPU芯片，支持深度学习算法，有效提升检测准确率；</w:t>
            </w:r>
            <w:r>
              <w:rPr>
                <w:rFonts w:hint="eastAsia" w:ascii="宋体" w:hAnsi="宋体" w:cs="宋体"/>
                <w:kern w:val="0"/>
                <w:sz w:val="20"/>
                <w:szCs w:val="20"/>
              </w:rPr>
              <w:br w:type="textWrapping"/>
            </w:r>
            <w:r>
              <w:rPr>
                <w:rFonts w:hint="eastAsia" w:ascii="宋体" w:hAnsi="宋体" w:cs="宋体"/>
                <w:kern w:val="0"/>
                <w:sz w:val="20"/>
                <w:szCs w:val="20"/>
              </w:rPr>
              <w:t>支持视频结构化功能：支持机动车抓拍、机动车属性提取，支持非机动车抓拍、非机动车属性提取，支持人体抓拍、人体属性提取，支持人脸抓拍、人脸属性提取；</w:t>
            </w:r>
            <w:r>
              <w:rPr>
                <w:rFonts w:hint="eastAsia" w:ascii="宋体" w:hAnsi="宋体" w:cs="宋体"/>
                <w:kern w:val="0"/>
                <w:sz w:val="20"/>
                <w:szCs w:val="20"/>
              </w:rPr>
              <w:br w:type="textWrapping"/>
            </w:r>
            <w:r>
              <w:rPr>
                <w:rFonts w:hint="eastAsia" w:ascii="宋体" w:hAnsi="宋体" w:cs="宋体"/>
                <w:kern w:val="0"/>
                <w:sz w:val="20"/>
                <w:szCs w:val="20"/>
              </w:rPr>
              <w:t>支持机非人数量统计，支持人脸检测；</w:t>
            </w:r>
            <w:r>
              <w:rPr>
                <w:rFonts w:hint="eastAsia" w:ascii="宋体" w:hAnsi="宋体" w:cs="宋体"/>
                <w:kern w:val="0"/>
                <w:sz w:val="20"/>
                <w:szCs w:val="20"/>
              </w:rPr>
              <w:br w:type="textWrapping"/>
            </w:r>
            <w:r>
              <w:rPr>
                <w:rFonts w:hint="eastAsia" w:ascii="宋体" w:hAnsi="宋体" w:cs="宋体"/>
                <w:kern w:val="0"/>
                <w:sz w:val="20"/>
                <w:szCs w:val="20"/>
              </w:rPr>
              <w:t>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r>
              <w:rPr>
                <w:rFonts w:hint="eastAsia" w:ascii="宋体" w:hAnsi="宋体" w:cs="宋体"/>
                <w:kern w:val="0"/>
                <w:sz w:val="20"/>
                <w:szCs w:val="20"/>
              </w:rPr>
              <w:br w:type="textWrapping"/>
            </w:r>
            <w:r>
              <w:rPr>
                <w:rFonts w:hint="eastAsia" w:ascii="宋体" w:hAnsi="宋体" w:cs="宋体"/>
                <w:kern w:val="0"/>
                <w:sz w:val="20"/>
                <w:szCs w:val="20"/>
              </w:rPr>
              <w:t>▲考虑到现场实施环境的复杂，摄像机安装位置会根据现场立杆位置而变化，为了方便现场实施，且保障视频、人脸抓拍达到最佳效果，要求全景、细节两个通道且都支持云台转动位置，全景水平旋转范围：水平角度0～360°，细节水平旋转范围：水平角度0～250°（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针对出入人员、车辆较多的场景，要求摄像机可对多通道多场景的机动车、非机动车、行人进行巡航检测。能同时支持100个目标进行检测。</w:t>
            </w:r>
            <w:r>
              <w:rPr>
                <w:rFonts w:hint="eastAsia" w:ascii="宋体" w:hAnsi="宋体" w:cs="宋体"/>
                <w:kern w:val="0"/>
                <w:sz w:val="20"/>
                <w:szCs w:val="20"/>
              </w:rPr>
              <w:br w:type="textWrapping"/>
            </w:r>
            <w:r>
              <w:rPr>
                <w:rFonts w:hint="eastAsia" w:ascii="宋体" w:hAnsi="宋体" w:cs="宋体"/>
                <w:kern w:val="0"/>
                <w:sz w:val="20"/>
                <w:szCs w:val="20"/>
              </w:rPr>
              <w:t>▲为保证夜晚的监控及抓拍目标的效果，全景摄像机光圈需要≥F1.0，细节摄像机需要≥F1.35。（提供公安部有效检测报告）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实际使用中，全景镜头用于大场景的视频监控，细节镜头用于人脸跟踪抓拍，因此要求摄像机具备联动态和独立态两种模式。联动态：开启联动跟踪和视频结构化功能后，细节摄像机可对全景摄像机监控范围内出现的行人，机动车，非机动车进行检测和抓拍，并在IE浏览器上显示行人，机动车，非机动车属性；独立态：开启视频结构化功能后，全景摄像机和细节摄像机可分别对监控画面中出现的行人，机动车，非机动车进行检测和抓拍，并在IE浏览器上显示行人，机动车，非机动车属性。</w:t>
            </w:r>
            <w:r>
              <w:rPr>
                <w:rFonts w:hint="eastAsia" w:ascii="宋体" w:hAnsi="宋体" w:cs="宋体"/>
                <w:kern w:val="0"/>
                <w:sz w:val="20"/>
                <w:szCs w:val="20"/>
              </w:rPr>
              <w:br w:type="textWrapping"/>
            </w:r>
            <w:r>
              <w:rPr>
                <w:rFonts w:hint="eastAsia" w:ascii="宋体" w:hAnsi="宋体" w:cs="宋体"/>
                <w:kern w:val="0"/>
                <w:sz w:val="20"/>
                <w:szCs w:val="20"/>
              </w:rPr>
              <w:t>全景相机垂直范围： 0°～30°；</w:t>
            </w:r>
            <w:r>
              <w:rPr>
                <w:rFonts w:hint="eastAsia" w:ascii="宋体" w:hAnsi="宋体" w:cs="宋体"/>
                <w:kern w:val="0"/>
                <w:sz w:val="20"/>
                <w:szCs w:val="20"/>
              </w:rPr>
              <w:br w:type="textWrapping"/>
            </w:r>
            <w:r>
              <w:rPr>
                <w:rFonts w:hint="eastAsia" w:ascii="宋体" w:hAnsi="宋体" w:cs="宋体"/>
                <w:kern w:val="0"/>
                <w:sz w:val="20"/>
                <w:szCs w:val="20"/>
              </w:rPr>
              <w:t>细节相机垂直范围： -10°～90°；</w:t>
            </w:r>
            <w:r>
              <w:rPr>
                <w:rFonts w:hint="eastAsia" w:ascii="宋体" w:hAnsi="宋体" w:cs="宋体"/>
                <w:kern w:val="0"/>
                <w:sz w:val="20"/>
                <w:szCs w:val="20"/>
              </w:rPr>
              <w:br w:type="textWrapping"/>
            </w:r>
            <w:r>
              <w:rPr>
                <w:rFonts w:hint="eastAsia" w:ascii="宋体" w:hAnsi="宋体" w:cs="宋体"/>
                <w:kern w:val="0"/>
                <w:sz w:val="20"/>
                <w:szCs w:val="20"/>
              </w:rPr>
              <w:t>支持300个预置位，8条巡航路径，5条巡迹路径；</w:t>
            </w:r>
            <w:r>
              <w:rPr>
                <w:rFonts w:hint="eastAsia" w:ascii="宋体" w:hAnsi="宋体" w:cs="宋体"/>
                <w:kern w:val="0"/>
                <w:sz w:val="20"/>
                <w:szCs w:val="20"/>
              </w:rPr>
              <w:br w:type="textWrapping"/>
            </w:r>
            <w:r>
              <w:rPr>
                <w:rFonts w:hint="eastAsia" w:ascii="宋体" w:hAnsi="宋体" w:cs="宋体"/>
                <w:kern w:val="0"/>
                <w:sz w:val="20"/>
                <w:szCs w:val="20"/>
              </w:rPr>
              <w:t>支持IP67防护等级，8000V防雷、防浪涌和防突波保护</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267</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包含相关的基础配套设施、护罩根据实际安装场景选择，三年维护。估算，按实际需求而定</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线路租赁</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定制</w:t>
            </w:r>
          </w:p>
        </w:tc>
        <w:tc>
          <w:tcPr>
            <w:tcW w:w="5154" w:type="dxa"/>
            <w:tcBorders>
              <w:top w:val="nil"/>
              <w:left w:val="nil"/>
              <w:bottom w:val="single" w:color="auto" w:sz="4" w:space="0"/>
              <w:right w:val="single" w:color="auto" w:sz="4" w:space="0"/>
            </w:tcBorders>
            <w:shd w:val="clear" w:color="auto" w:fill="auto"/>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包含3年链路租费</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路</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504</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云存储节点</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8U机架式48盘位/64位多核处理器/16GB缓存/支持SATA硬盘/6个千兆网口/冗余电源/支持网络RAID/48块6T企业级IoT硬盘；</w:t>
            </w:r>
            <w:r>
              <w:rPr>
                <w:rFonts w:hint="eastAsia" w:ascii="宋体" w:hAnsi="宋体" w:cs="宋体"/>
                <w:kern w:val="0"/>
                <w:sz w:val="20"/>
                <w:szCs w:val="20"/>
              </w:rPr>
              <w:br w:type="textWrapping"/>
            </w:r>
            <w:r>
              <w:rPr>
                <w:rFonts w:hint="eastAsia" w:ascii="宋体" w:hAnsi="宋体" w:cs="宋体"/>
                <w:kern w:val="0"/>
                <w:sz w:val="20"/>
                <w:szCs w:val="20"/>
              </w:rPr>
              <w:t>可接入硬盘≥48块，支持SATA和SAS混插，并支持≥12级扩展柜级联扩展；</w:t>
            </w:r>
            <w:r>
              <w:rPr>
                <w:rFonts w:hint="eastAsia" w:ascii="宋体" w:hAnsi="宋体" w:cs="宋体"/>
                <w:kern w:val="0"/>
                <w:sz w:val="20"/>
                <w:szCs w:val="20"/>
              </w:rPr>
              <w:br w:type="textWrapping"/>
            </w:r>
            <w:r>
              <w:rPr>
                <w:rFonts w:hint="eastAsia" w:ascii="宋体" w:hAnsi="宋体" w:cs="宋体"/>
                <w:kern w:val="0"/>
                <w:sz w:val="20"/>
                <w:szCs w:val="20"/>
              </w:rPr>
              <w:t>系统由管理节点和/或存储节点组成，且系统可扩容，增加管理或存储节点。在多节点系统中，任何一个存储节点出现故障，应不影响数据的正常存取；支持控制流与数据流分离，数据的存储或读取由存储节点并行读写。</w:t>
            </w:r>
            <w:r>
              <w:rPr>
                <w:rFonts w:hint="eastAsia" w:ascii="宋体" w:hAnsi="宋体" w:cs="宋体"/>
                <w:kern w:val="0"/>
                <w:sz w:val="20"/>
                <w:szCs w:val="20"/>
              </w:rPr>
              <w:br w:type="textWrapping"/>
            </w:r>
            <w:r>
              <w:rPr>
                <w:rFonts w:hint="eastAsia" w:ascii="宋体" w:hAnsi="宋体" w:cs="宋体"/>
                <w:kern w:val="0"/>
                <w:sz w:val="20"/>
                <w:szCs w:val="20"/>
              </w:rPr>
              <w:t>▲支持按照接入任务数实现自动负载均衡，支持前端设备自动分配到存储节点。各节点间读写任务数差距±1（提供公安部有效检测报告）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数据分散存储到存储节点上，数据呈离散式分布。</w:t>
            </w:r>
            <w:r>
              <w:rPr>
                <w:rFonts w:hint="eastAsia" w:ascii="宋体" w:hAnsi="宋体" w:cs="宋体"/>
                <w:kern w:val="0"/>
                <w:sz w:val="20"/>
                <w:szCs w:val="20"/>
              </w:rPr>
              <w:br w:type="textWrapping"/>
            </w:r>
            <w:r>
              <w:rPr>
                <w:rFonts w:hint="eastAsia" w:ascii="宋体" w:hAnsi="宋体" w:cs="宋体"/>
                <w:kern w:val="0"/>
                <w:sz w:val="20"/>
                <w:szCs w:val="20"/>
              </w:rPr>
              <w:t>支持按照设备可用容量实现负载均衡，各存储节点上存储的数据量在稳定状态下保持均衡，差距小于5%；</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5</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云存储管理节点</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2U机架式服务器</w:t>
            </w:r>
            <w:r>
              <w:rPr>
                <w:rFonts w:hint="eastAsia" w:ascii="宋体" w:hAnsi="宋体" w:cs="宋体"/>
                <w:kern w:val="0"/>
                <w:sz w:val="20"/>
                <w:szCs w:val="20"/>
              </w:rPr>
              <w:br w:type="textWrapping"/>
            </w:r>
            <w:r>
              <w:rPr>
                <w:rFonts w:hint="eastAsia" w:ascii="宋体" w:hAnsi="宋体" w:cs="宋体"/>
                <w:kern w:val="0"/>
                <w:sz w:val="20"/>
                <w:szCs w:val="20"/>
              </w:rPr>
              <w:t>处理器：64位多核处理器（核数≧12）</w:t>
            </w:r>
            <w:r>
              <w:rPr>
                <w:rFonts w:hint="eastAsia" w:ascii="宋体" w:hAnsi="宋体" w:cs="宋体"/>
                <w:kern w:val="0"/>
                <w:sz w:val="20"/>
                <w:szCs w:val="20"/>
              </w:rPr>
              <w:br w:type="textWrapping"/>
            </w:r>
            <w:r>
              <w:rPr>
                <w:rFonts w:hint="eastAsia" w:ascii="宋体" w:hAnsi="宋体" w:cs="宋体"/>
                <w:kern w:val="0"/>
                <w:sz w:val="20"/>
                <w:szCs w:val="20"/>
              </w:rPr>
              <w:t>内存：DDR4，标配32GB内存，最大可扩展至256GB</w:t>
            </w:r>
            <w:r>
              <w:rPr>
                <w:rFonts w:hint="eastAsia" w:ascii="宋体" w:hAnsi="宋体" w:cs="宋体"/>
                <w:kern w:val="0"/>
                <w:sz w:val="20"/>
                <w:szCs w:val="20"/>
              </w:rPr>
              <w:br w:type="textWrapping"/>
            </w:r>
            <w:r>
              <w:rPr>
                <w:rFonts w:hint="eastAsia" w:ascii="宋体" w:hAnsi="宋体" w:cs="宋体"/>
                <w:kern w:val="0"/>
                <w:sz w:val="20"/>
                <w:szCs w:val="20"/>
              </w:rPr>
              <w:t>内置SSD硬盘：标配3个热插拔480GB SSD硬盘</w:t>
            </w:r>
            <w:r>
              <w:rPr>
                <w:rFonts w:hint="eastAsia" w:ascii="宋体" w:hAnsi="宋体" w:cs="宋体"/>
                <w:kern w:val="0"/>
                <w:sz w:val="20"/>
                <w:szCs w:val="20"/>
              </w:rPr>
              <w:br w:type="textWrapping"/>
            </w:r>
            <w:r>
              <w:rPr>
                <w:rFonts w:hint="eastAsia" w:ascii="宋体" w:hAnsi="宋体" w:cs="宋体"/>
                <w:kern w:val="0"/>
                <w:sz w:val="20"/>
                <w:szCs w:val="20"/>
              </w:rPr>
              <w:t>网口：2个千兆网口，可扩展20个千兆网口或10个万兆网口</w:t>
            </w:r>
            <w:r>
              <w:rPr>
                <w:rFonts w:hint="eastAsia" w:ascii="宋体" w:hAnsi="宋体" w:cs="宋体"/>
                <w:kern w:val="0"/>
                <w:sz w:val="20"/>
                <w:szCs w:val="20"/>
              </w:rPr>
              <w:br w:type="textWrapping"/>
            </w:r>
            <w:r>
              <w:rPr>
                <w:rFonts w:hint="eastAsia" w:ascii="宋体" w:hAnsi="宋体" w:cs="宋体"/>
                <w:kern w:val="0"/>
                <w:sz w:val="20"/>
                <w:szCs w:val="20"/>
              </w:rPr>
              <w:t>其它接口：1个RJ-45网络接口、6个USB 3.0接口、1个VGA接口</w:t>
            </w:r>
            <w:r>
              <w:rPr>
                <w:rFonts w:hint="eastAsia" w:ascii="宋体" w:hAnsi="宋体" w:cs="宋体"/>
                <w:kern w:val="0"/>
                <w:sz w:val="20"/>
                <w:szCs w:val="20"/>
              </w:rPr>
              <w:br w:type="textWrapping"/>
            </w:r>
            <w:r>
              <w:rPr>
                <w:rFonts w:hint="eastAsia" w:ascii="宋体" w:hAnsi="宋体" w:cs="宋体"/>
                <w:kern w:val="0"/>
                <w:sz w:val="20"/>
                <w:szCs w:val="20"/>
              </w:rPr>
              <w:t>电源：高效能550W铂金1+1冗余电源</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3</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云存储运维节点</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技术规格：</w:t>
            </w:r>
            <w:r>
              <w:rPr>
                <w:rFonts w:hint="eastAsia" w:ascii="宋体" w:hAnsi="宋体" w:cs="宋体"/>
                <w:kern w:val="0"/>
                <w:sz w:val="20"/>
                <w:szCs w:val="20"/>
              </w:rPr>
              <w:br w:type="textWrapping"/>
            </w:r>
            <w:r>
              <w:rPr>
                <w:rFonts w:hint="eastAsia" w:ascii="宋体" w:hAnsi="宋体" w:cs="宋体"/>
                <w:kern w:val="0"/>
                <w:sz w:val="20"/>
                <w:szCs w:val="20"/>
              </w:rPr>
              <w:t>64位CPU，核数≧12/16GB ECC内存/1颗SSD硬盘/热插拔/以太网口1Gx2/冗余电源/2U</w:t>
            </w:r>
            <w:r>
              <w:rPr>
                <w:rFonts w:hint="eastAsia" w:ascii="宋体" w:hAnsi="宋体" w:cs="宋体"/>
                <w:kern w:val="0"/>
                <w:sz w:val="20"/>
                <w:szCs w:val="20"/>
              </w:rPr>
              <w:br w:type="textWrapping"/>
            </w:r>
            <w:r>
              <w:rPr>
                <w:rFonts w:hint="eastAsia" w:ascii="宋体" w:hAnsi="宋体" w:cs="宋体"/>
                <w:kern w:val="0"/>
                <w:sz w:val="20"/>
                <w:szCs w:val="20"/>
              </w:rPr>
              <w:t>操作系统：CentOS7 64位</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云存储软件</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云存储基础管理软件，含基础运行模块，集群管理、计划管理、索引管理、负载均衡等功能。 2、支持视频、图片、对象数据存储，支持跨节点数据安全。</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套</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云存储交换机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全网管三层交换机，机架式，48个千兆电口，4个万兆SFP+光口；1个业务扩展槽，2个电源模块槽位，2个风扇模块槽位，交换容量598Gbps，包转发率252Mpps，1U高度，19英寸宽，工作温度：0℃～45℃，支持交直流供电，满负荷功耗88W（单交流电源情况下）；支持RIP/OSPF/BGP/IS-IS/VRRP，IPv6，VLAN，流量控制，ACL，QoS，端口镜像，环网RRPP/ERPS、支持SNMP V1/V2c/V3网管。</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动态人像平台解析软件</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海康、依图、旷视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xml:space="preserve">基于依图人像算法引擎，提供人像业务核心能力，支持动态解析、人像卡口布控报警、15天路人检索功能，及人像库管理，集群管理等系统功能。                     </w:t>
            </w:r>
            <w:r>
              <w:rPr>
                <w:rFonts w:hint="eastAsia" w:ascii="宋体" w:hAnsi="宋体" w:cs="宋体"/>
                <w:kern w:val="0"/>
                <w:sz w:val="20"/>
                <w:szCs w:val="20"/>
              </w:rPr>
              <w:br w:type="textWrapping"/>
            </w:r>
            <w:r>
              <w:rPr>
                <w:rFonts w:hint="eastAsia" w:ascii="宋体" w:hAnsi="宋体" w:cs="宋体"/>
                <w:kern w:val="0"/>
                <w:sz w:val="20"/>
                <w:szCs w:val="20"/>
              </w:rPr>
              <w:t>1.系统支持人像照片库管理，可以针对库做增删改查操作，可以显示上传未成功（系统未识别）的照片；建库照片支持采用证件照、生活照、抓拍照，支持jpg, bmp, png多种类型的图片，支持后缀名大小写，支持采用zip压缩包的方式实现批量上传图片，支持单张照片的增删改查功能；</w:t>
            </w:r>
            <w:r>
              <w:rPr>
                <w:rFonts w:hint="eastAsia" w:ascii="宋体" w:hAnsi="宋体" w:cs="宋体"/>
                <w:kern w:val="0"/>
                <w:sz w:val="20"/>
                <w:szCs w:val="20"/>
              </w:rPr>
              <w:br w:type="textWrapping"/>
            </w:r>
            <w:r>
              <w:rPr>
                <w:rFonts w:hint="eastAsia" w:ascii="宋体" w:hAnsi="宋体" w:cs="宋体"/>
                <w:kern w:val="0"/>
                <w:sz w:val="20"/>
                <w:szCs w:val="20"/>
              </w:rPr>
              <w:t xml:space="preserve">2.系统1:N比对在千万规模人像库下，监控照首位命中率不低于93%，入所照首位命中率不低于97.5%； </w:t>
            </w:r>
            <w:r>
              <w:rPr>
                <w:rFonts w:hint="eastAsia" w:ascii="宋体" w:hAnsi="宋体" w:cs="宋体"/>
                <w:kern w:val="0"/>
                <w:sz w:val="20"/>
                <w:szCs w:val="20"/>
              </w:rPr>
              <w:br w:type="textWrapping"/>
            </w:r>
            <w:r>
              <w:rPr>
                <w:rFonts w:hint="eastAsia" w:ascii="宋体" w:hAnsi="宋体" w:cs="宋体"/>
                <w:kern w:val="0"/>
                <w:sz w:val="20"/>
                <w:szCs w:val="20"/>
              </w:rPr>
              <w:t>3.静态人像需提供1:N、n:N比对查询功能，其中1:N比对查询结果按相似度从高到低方式展示，用于确认目标人员身份；</w:t>
            </w:r>
            <w:r>
              <w:rPr>
                <w:rFonts w:hint="eastAsia" w:ascii="宋体" w:hAnsi="宋体" w:cs="宋体"/>
                <w:kern w:val="0"/>
                <w:sz w:val="20"/>
                <w:szCs w:val="20"/>
              </w:rPr>
              <w:br w:type="textWrapping"/>
            </w:r>
            <w:r>
              <w:rPr>
                <w:rFonts w:hint="eastAsia" w:ascii="宋体" w:hAnsi="宋体" w:cs="宋体"/>
                <w:kern w:val="0"/>
                <w:sz w:val="20"/>
                <w:szCs w:val="20"/>
              </w:rPr>
              <w:t>4.系统支持对抓拍的路人图片进行属性识别；支持分析路人的年龄段，种族属性，性别，是否戴眼镜，是否维族人；</w:t>
            </w:r>
            <w:r>
              <w:rPr>
                <w:rFonts w:hint="eastAsia" w:ascii="宋体" w:hAnsi="宋体" w:cs="宋体"/>
                <w:kern w:val="0"/>
                <w:sz w:val="20"/>
                <w:szCs w:val="20"/>
              </w:rPr>
              <w:br w:type="textWrapping"/>
            </w:r>
            <w:r>
              <w:rPr>
                <w:rFonts w:hint="eastAsia" w:ascii="宋体" w:hAnsi="宋体" w:cs="宋体"/>
                <w:kern w:val="0"/>
                <w:sz w:val="20"/>
                <w:szCs w:val="20"/>
              </w:rPr>
              <w:t>5.系统支持特定民族人像矫正功能，在通过20张特定名族交叉比对，对照片进行矫正，提升特定人员比对效果，误报率1%时的通过率不低于95%；</w:t>
            </w:r>
            <w:r>
              <w:rPr>
                <w:rFonts w:hint="eastAsia" w:ascii="宋体" w:hAnsi="宋体" w:cs="宋体"/>
                <w:kern w:val="0"/>
                <w:sz w:val="20"/>
                <w:szCs w:val="20"/>
              </w:rPr>
              <w:br w:type="textWrapping"/>
            </w:r>
            <w:r>
              <w:rPr>
                <w:rFonts w:hint="eastAsia" w:ascii="宋体" w:hAnsi="宋体" w:cs="宋体"/>
                <w:kern w:val="0"/>
                <w:sz w:val="20"/>
                <w:szCs w:val="20"/>
              </w:rPr>
              <w:t>6.系统支持报警信息导出功能: 系统支持告警记录功能。包括：告警记录保存；告警记录导出；告警记录级联推送；按照不同告警相似度查看告警记录。</w:t>
            </w:r>
            <w:r>
              <w:rPr>
                <w:rFonts w:hint="eastAsia" w:ascii="宋体" w:hAnsi="宋体" w:cs="宋体"/>
                <w:kern w:val="0"/>
                <w:sz w:val="20"/>
                <w:szCs w:val="20"/>
              </w:rPr>
              <w:br w:type="textWrapping"/>
            </w:r>
            <w:r>
              <w:rPr>
                <w:rFonts w:hint="eastAsia" w:ascii="宋体" w:hAnsi="宋体" w:cs="宋体"/>
                <w:kern w:val="0"/>
                <w:sz w:val="20"/>
                <w:szCs w:val="20"/>
              </w:rPr>
              <w:t>7.▲人像辅助识别查询: 系统支持在网络端对过于模糊且无法识别的人像图片通过双目强制标注进行查询。提供公安部直属检测机构的认证测试报告复印件佐证；</w:t>
            </w:r>
            <w:r>
              <w:rPr>
                <w:rFonts w:hint="eastAsia" w:ascii="宋体" w:hAnsi="宋体" w:cs="宋体"/>
                <w:kern w:val="0"/>
                <w:sz w:val="20"/>
                <w:szCs w:val="20"/>
              </w:rPr>
              <w:br w:type="textWrapping"/>
            </w:r>
            <w:r>
              <w:rPr>
                <w:rFonts w:hint="eastAsia" w:ascii="宋体" w:hAnsi="宋体" w:cs="宋体"/>
                <w:kern w:val="0"/>
                <w:sz w:val="20"/>
                <w:szCs w:val="20"/>
              </w:rPr>
              <w:t>8.系统支持导图功能，支持单张或批量导入/导出黑名单图片及信息。</w:t>
            </w:r>
            <w:r>
              <w:rPr>
                <w:rFonts w:hint="eastAsia" w:ascii="宋体" w:hAnsi="宋体" w:cs="宋体"/>
                <w:kern w:val="0"/>
                <w:sz w:val="20"/>
                <w:szCs w:val="20"/>
              </w:rPr>
              <w:br w:type="textWrapping"/>
            </w:r>
            <w:r>
              <w:rPr>
                <w:rFonts w:hint="eastAsia" w:ascii="宋体" w:hAnsi="宋体" w:cs="宋体"/>
                <w:kern w:val="0"/>
                <w:sz w:val="20"/>
                <w:szCs w:val="20"/>
              </w:rPr>
              <w:t>9.系统支持用机器学习的方法处理眼镜、长刘海、披肩发、胡须等装饰造成的特征缺失的补偿算法，提高不同环境下的通过率，误报率1%时，通过率不低于95%；</w:t>
            </w:r>
            <w:r>
              <w:rPr>
                <w:rFonts w:hint="eastAsia" w:ascii="宋体" w:hAnsi="宋体" w:cs="宋体"/>
                <w:kern w:val="0"/>
                <w:sz w:val="20"/>
                <w:szCs w:val="20"/>
              </w:rPr>
              <w:br w:type="textWrapping"/>
            </w:r>
            <w:r>
              <w:rPr>
                <w:rFonts w:hint="eastAsia" w:ascii="宋体" w:hAnsi="宋体" w:cs="宋体"/>
                <w:kern w:val="0"/>
                <w:sz w:val="20"/>
                <w:szCs w:val="20"/>
              </w:rPr>
              <w:t>10.动态人像识别：单画面可提取大于等于40张有效人脸图像。</w:t>
            </w:r>
            <w:r>
              <w:rPr>
                <w:rFonts w:hint="eastAsia" w:ascii="宋体" w:hAnsi="宋体" w:cs="宋体"/>
                <w:kern w:val="0"/>
                <w:sz w:val="20"/>
                <w:szCs w:val="20"/>
              </w:rPr>
              <w:br w:type="textWrapping"/>
            </w:r>
            <w:r>
              <w:rPr>
                <w:rFonts w:hint="eastAsia" w:ascii="宋体" w:hAnsi="宋体" w:cs="宋体"/>
                <w:kern w:val="0"/>
                <w:sz w:val="20"/>
                <w:szCs w:val="20"/>
              </w:rPr>
              <w:t>11.系统可支持对特殊人像照片进行处理，在图片入库时可支持过滤掉侧脸照片（90°侧脸），可使侧脸图片入库率小于0.1%；</w:t>
            </w:r>
            <w:r>
              <w:rPr>
                <w:rFonts w:hint="eastAsia" w:ascii="宋体" w:hAnsi="宋体" w:cs="宋体"/>
                <w:kern w:val="0"/>
                <w:sz w:val="20"/>
                <w:szCs w:val="20"/>
              </w:rPr>
              <w:br w:type="textWrapping"/>
            </w:r>
            <w:r>
              <w:rPr>
                <w:rFonts w:hint="eastAsia" w:ascii="宋体" w:hAnsi="宋体" w:cs="宋体"/>
                <w:kern w:val="0"/>
                <w:sz w:val="20"/>
                <w:szCs w:val="20"/>
              </w:rPr>
              <w:t>12.人流量统计查询功能：系统支持统计在一定时间内出现在摄像头画面中的人像数量，并支持对抓拍人像做去重处理，得到真实人流数量；</w:t>
            </w:r>
            <w:r>
              <w:rPr>
                <w:rFonts w:hint="eastAsia" w:ascii="宋体" w:hAnsi="宋体" w:cs="宋体"/>
                <w:kern w:val="0"/>
                <w:sz w:val="20"/>
                <w:szCs w:val="20"/>
              </w:rPr>
              <w:br w:type="textWrapping"/>
            </w:r>
            <w:r>
              <w:rPr>
                <w:rFonts w:hint="eastAsia" w:ascii="宋体" w:hAnsi="宋体" w:cs="宋体"/>
                <w:kern w:val="0"/>
                <w:sz w:val="20"/>
                <w:szCs w:val="20"/>
              </w:rPr>
              <w:t>13.▲所投产品技术性能、平台方案需与柯桥区公安局人像大数据系统无缝对接。对接该系统所需的技术信息由投标供应商联系采购人自行现场踏勘了解。</w:t>
            </w:r>
            <w:r>
              <w:rPr>
                <w:rFonts w:hint="eastAsia" w:ascii="宋体" w:hAnsi="宋体" w:cs="宋体"/>
                <w:kern w:val="0"/>
                <w:sz w:val="20"/>
                <w:szCs w:val="20"/>
              </w:rPr>
              <w:br w:type="textWrapping"/>
            </w:r>
            <w:r>
              <w:rPr>
                <w:rFonts w:hint="eastAsia" w:ascii="宋体" w:hAnsi="宋体" w:cs="宋体"/>
                <w:kern w:val="0"/>
                <w:sz w:val="20"/>
                <w:szCs w:val="20"/>
              </w:rPr>
              <w:t>14.人脸识别算法（或产品）应具有快速的1：N算法速度，在2,000万人像库中以任意一张人像进行1：N比对，结果返回时间不超过1秒。</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路</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430</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视频网云存储管理软件</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海康、依图、旷视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满足视频网大小图存储180天</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套</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公安网云存储管理软件许可</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海康、依图、旷视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满足公安网人脸小图存储两年（支持51TB)</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套</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布控检索应用服务器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华为、华三、依图</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CPU：Gold 6126*2</w:t>
            </w:r>
            <w:r>
              <w:rPr>
                <w:rFonts w:hint="eastAsia" w:ascii="宋体" w:hAnsi="宋体" w:cs="宋体"/>
                <w:kern w:val="0"/>
                <w:sz w:val="20"/>
                <w:szCs w:val="20"/>
              </w:rPr>
              <w:br w:type="textWrapping"/>
            </w:r>
            <w:r>
              <w:rPr>
                <w:rFonts w:hint="eastAsia" w:ascii="宋体" w:hAnsi="宋体" w:cs="宋体"/>
                <w:kern w:val="0"/>
                <w:sz w:val="20"/>
                <w:szCs w:val="20"/>
              </w:rPr>
              <w:t>GPU：T4*4</w:t>
            </w:r>
            <w:r>
              <w:rPr>
                <w:rFonts w:hint="eastAsia" w:ascii="宋体" w:hAnsi="宋体" w:cs="宋体"/>
                <w:kern w:val="0"/>
                <w:sz w:val="20"/>
                <w:szCs w:val="20"/>
              </w:rPr>
              <w:br w:type="textWrapping"/>
            </w:r>
            <w:r>
              <w:rPr>
                <w:rFonts w:hint="eastAsia" w:ascii="宋体" w:hAnsi="宋体" w:cs="宋体"/>
                <w:kern w:val="0"/>
                <w:sz w:val="20"/>
                <w:szCs w:val="20"/>
              </w:rPr>
              <w:t>内存：256G</w:t>
            </w:r>
            <w:r>
              <w:rPr>
                <w:rFonts w:hint="eastAsia" w:ascii="宋体" w:hAnsi="宋体" w:cs="宋体"/>
                <w:kern w:val="0"/>
                <w:sz w:val="20"/>
                <w:szCs w:val="20"/>
              </w:rPr>
              <w:br w:type="textWrapping"/>
            </w:r>
            <w:r>
              <w:rPr>
                <w:rFonts w:hint="eastAsia" w:ascii="宋体" w:hAnsi="宋体" w:cs="宋体"/>
                <w:kern w:val="0"/>
                <w:sz w:val="20"/>
                <w:szCs w:val="20"/>
              </w:rPr>
              <w:t>系统盘：2*240G SSD (RAID1)</w:t>
            </w:r>
            <w:r>
              <w:rPr>
                <w:rFonts w:hint="eastAsia" w:ascii="宋体" w:hAnsi="宋体" w:cs="宋体"/>
                <w:kern w:val="0"/>
                <w:sz w:val="20"/>
                <w:szCs w:val="20"/>
              </w:rPr>
              <w:br w:type="textWrapping"/>
            </w:r>
            <w:r>
              <w:rPr>
                <w:rFonts w:hint="eastAsia" w:ascii="宋体" w:hAnsi="宋体" w:cs="宋体"/>
                <w:kern w:val="0"/>
                <w:sz w:val="20"/>
                <w:szCs w:val="20"/>
              </w:rPr>
              <w:t>数据盘：6*1.92TB SSD，8*8TB HDD</w:t>
            </w:r>
            <w:r>
              <w:rPr>
                <w:rFonts w:hint="eastAsia" w:ascii="宋体" w:hAnsi="宋体" w:cs="宋体"/>
                <w:kern w:val="0"/>
                <w:sz w:val="20"/>
                <w:szCs w:val="20"/>
              </w:rPr>
              <w:br w:type="textWrapping"/>
            </w:r>
            <w:r>
              <w:rPr>
                <w:rFonts w:hint="eastAsia" w:ascii="宋体" w:hAnsi="宋体" w:cs="宋体"/>
                <w:color w:val="000000"/>
                <w:kern w:val="0"/>
                <w:sz w:val="20"/>
                <w:szCs w:val="20"/>
              </w:rPr>
              <w:t>网口：2*10GE光口</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动态解析服务器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华为、华三、依图</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1U机架式服务器</w:t>
            </w:r>
            <w:r>
              <w:rPr>
                <w:rFonts w:hint="eastAsia" w:ascii="宋体" w:hAnsi="宋体" w:cs="宋体"/>
                <w:kern w:val="0"/>
                <w:sz w:val="20"/>
                <w:szCs w:val="20"/>
              </w:rPr>
              <w:br w:type="textWrapping"/>
            </w:r>
            <w:r>
              <w:rPr>
                <w:rFonts w:hint="eastAsia" w:ascii="宋体" w:hAnsi="宋体" w:cs="宋体"/>
                <w:kern w:val="0"/>
                <w:sz w:val="20"/>
                <w:szCs w:val="20"/>
              </w:rPr>
              <w:t xml:space="preserve">芯片：“求索 QuestCoreTM”*6 </w:t>
            </w:r>
            <w:r>
              <w:rPr>
                <w:rFonts w:hint="eastAsia" w:ascii="宋体" w:hAnsi="宋体" w:cs="宋体"/>
                <w:kern w:val="0"/>
                <w:sz w:val="20"/>
                <w:szCs w:val="20"/>
              </w:rPr>
              <w:br w:type="textWrapping"/>
            </w:r>
            <w:r>
              <w:rPr>
                <w:rFonts w:hint="eastAsia" w:ascii="宋体" w:hAnsi="宋体" w:cs="宋体"/>
                <w:kern w:val="0"/>
                <w:sz w:val="20"/>
                <w:szCs w:val="20"/>
              </w:rPr>
              <w:t>网络：千兆网口</w:t>
            </w:r>
            <w:r>
              <w:rPr>
                <w:rFonts w:hint="eastAsia" w:ascii="宋体" w:hAnsi="宋体" w:cs="宋体"/>
                <w:kern w:val="0"/>
                <w:sz w:val="20"/>
                <w:szCs w:val="20"/>
              </w:rPr>
              <w:br w:type="textWrapping"/>
            </w:r>
            <w:r>
              <w:rPr>
                <w:rFonts w:hint="eastAsia" w:ascii="宋体" w:hAnsi="宋体" w:cs="宋体"/>
                <w:kern w:val="0"/>
                <w:sz w:val="20"/>
                <w:szCs w:val="20"/>
              </w:rPr>
              <w:t>功耗：200W MAX</w:t>
            </w:r>
            <w:r>
              <w:rPr>
                <w:rFonts w:hint="eastAsia" w:ascii="宋体" w:hAnsi="宋体" w:cs="宋体"/>
                <w:kern w:val="0"/>
                <w:sz w:val="20"/>
                <w:szCs w:val="20"/>
              </w:rPr>
              <w:br w:type="textWrapping"/>
            </w:r>
            <w:r>
              <w:rPr>
                <w:rFonts w:hint="eastAsia" w:ascii="宋体" w:hAnsi="宋体" w:cs="宋体"/>
                <w:kern w:val="0"/>
                <w:sz w:val="20"/>
                <w:szCs w:val="20"/>
              </w:rPr>
              <w:t>电源：冗余电源</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视频网存储服务器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华为、华三、依图</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CPU：2*Silver 4114；</w:t>
            </w:r>
            <w:r>
              <w:rPr>
                <w:rFonts w:hint="eastAsia" w:ascii="宋体" w:hAnsi="宋体" w:cs="宋体"/>
                <w:kern w:val="0"/>
                <w:sz w:val="20"/>
                <w:szCs w:val="20"/>
              </w:rPr>
              <w:br w:type="textWrapping"/>
            </w:r>
            <w:r>
              <w:rPr>
                <w:rFonts w:hint="eastAsia" w:ascii="宋体" w:hAnsi="宋体" w:cs="宋体"/>
                <w:kern w:val="0"/>
                <w:sz w:val="20"/>
                <w:szCs w:val="20"/>
              </w:rPr>
              <w:t>内存：256GB DDR4；</w:t>
            </w:r>
            <w:r>
              <w:rPr>
                <w:rFonts w:hint="eastAsia" w:ascii="宋体" w:hAnsi="宋体" w:cs="宋体"/>
                <w:kern w:val="0"/>
                <w:sz w:val="20"/>
                <w:szCs w:val="20"/>
              </w:rPr>
              <w:br w:type="textWrapping"/>
            </w:r>
            <w:r>
              <w:rPr>
                <w:rFonts w:hint="eastAsia" w:ascii="宋体" w:hAnsi="宋体" w:cs="宋体"/>
                <w:kern w:val="0"/>
                <w:sz w:val="20"/>
                <w:szCs w:val="20"/>
              </w:rPr>
              <w:t>硬盘：2*240G SSD，33*8TB SATA，3*1.92TB SSD；</w:t>
            </w:r>
            <w:r>
              <w:rPr>
                <w:rFonts w:hint="eastAsia" w:ascii="宋体" w:hAnsi="宋体" w:cs="宋体"/>
                <w:kern w:val="0"/>
                <w:sz w:val="20"/>
                <w:szCs w:val="20"/>
              </w:rPr>
              <w:br w:type="textWrapping"/>
            </w:r>
            <w:r>
              <w:rPr>
                <w:rFonts w:hint="eastAsia" w:ascii="宋体" w:hAnsi="宋体" w:cs="宋体"/>
                <w:color w:val="000000"/>
                <w:kern w:val="0"/>
                <w:sz w:val="20"/>
                <w:szCs w:val="20"/>
              </w:rPr>
              <w:t>网卡：2个万兆网口；</w:t>
            </w:r>
            <w:r>
              <w:rPr>
                <w:rFonts w:hint="eastAsia" w:ascii="宋体" w:hAnsi="宋体" w:cs="宋体"/>
                <w:kern w:val="0"/>
                <w:sz w:val="20"/>
                <w:szCs w:val="20"/>
              </w:rPr>
              <w:br w:type="textWrapping"/>
            </w:r>
            <w:r>
              <w:rPr>
                <w:rFonts w:hint="eastAsia" w:ascii="宋体" w:hAnsi="宋体" w:cs="宋体"/>
                <w:kern w:val="0"/>
                <w:sz w:val="20"/>
                <w:szCs w:val="20"/>
              </w:rPr>
              <w:t>电源：1+1冗余；</w:t>
            </w:r>
            <w:r>
              <w:rPr>
                <w:rFonts w:hint="eastAsia" w:ascii="宋体" w:hAnsi="宋体" w:cs="宋体"/>
                <w:kern w:val="0"/>
                <w:sz w:val="20"/>
                <w:szCs w:val="20"/>
              </w:rPr>
              <w:br w:type="textWrapping"/>
            </w:r>
            <w:r>
              <w:rPr>
                <w:rFonts w:hint="eastAsia" w:ascii="宋体" w:hAnsi="宋体" w:cs="宋体"/>
                <w:kern w:val="0"/>
                <w:sz w:val="20"/>
                <w:szCs w:val="20"/>
              </w:rPr>
              <w:t>尺寸：4U</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公安网存储服务器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华为、华三、依图</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CPU: Gold 4114 * 2</w:t>
            </w:r>
            <w:r>
              <w:rPr>
                <w:rFonts w:hint="eastAsia" w:ascii="宋体" w:hAnsi="宋体" w:cs="宋体"/>
                <w:kern w:val="0"/>
                <w:sz w:val="20"/>
                <w:szCs w:val="20"/>
              </w:rPr>
              <w:br w:type="textWrapping"/>
            </w:r>
            <w:r>
              <w:rPr>
                <w:rFonts w:hint="eastAsia" w:ascii="宋体" w:hAnsi="宋体" w:cs="宋体"/>
                <w:kern w:val="0"/>
                <w:sz w:val="20"/>
                <w:szCs w:val="20"/>
              </w:rPr>
              <w:t>内存：128GB</w:t>
            </w:r>
            <w:r>
              <w:rPr>
                <w:rFonts w:hint="eastAsia" w:ascii="宋体" w:hAnsi="宋体" w:cs="宋体"/>
                <w:kern w:val="0"/>
                <w:sz w:val="20"/>
                <w:szCs w:val="20"/>
              </w:rPr>
              <w:br w:type="textWrapping"/>
            </w:r>
            <w:r>
              <w:rPr>
                <w:rFonts w:hint="eastAsia" w:ascii="宋体" w:hAnsi="宋体" w:cs="宋体"/>
                <w:kern w:val="0"/>
                <w:sz w:val="20"/>
                <w:szCs w:val="20"/>
              </w:rPr>
              <w:t>系统盘：240G SSD * 2</w:t>
            </w:r>
            <w:r>
              <w:rPr>
                <w:rFonts w:hint="eastAsia" w:ascii="宋体" w:hAnsi="宋体" w:cs="宋体"/>
                <w:kern w:val="0"/>
                <w:sz w:val="20"/>
                <w:szCs w:val="20"/>
              </w:rPr>
              <w:br w:type="textWrapping"/>
            </w:r>
            <w:r>
              <w:rPr>
                <w:rFonts w:hint="eastAsia" w:ascii="宋体" w:hAnsi="宋体" w:cs="宋体"/>
                <w:kern w:val="0"/>
                <w:sz w:val="20"/>
                <w:szCs w:val="20"/>
              </w:rPr>
              <w:t>数据盘10*8TB 6G SATA +2*1.92TB  SSD；</w:t>
            </w:r>
            <w:r>
              <w:rPr>
                <w:rFonts w:hint="eastAsia" w:ascii="宋体" w:hAnsi="宋体" w:cs="宋体"/>
                <w:kern w:val="0"/>
                <w:sz w:val="20"/>
                <w:szCs w:val="20"/>
              </w:rPr>
              <w:br w:type="textWrapping"/>
            </w:r>
            <w:r>
              <w:rPr>
                <w:rFonts w:hint="eastAsia" w:ascii="宋体" w:hAnsi="宋体" w:cs="宋体"/>
                <w:color w:val="000000"/>
                <w:kern w:val="0"/>
                <w:sz w:val="20"/>
                <w:szCs w:val="20"/>
              </w:rPr>
              <w:t>网口：2*10GE光口</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9243"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二、车辆信息采集</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车辆卡口</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包含：防护罩、镜头、摄像机、2个LED补光灯等分辨率：200万，1920*1200</w:t>
            </w:r>
          </w:p>
          <w:p>
            <w:pPr>
              <w:widowControl/>
              <w:jc w:val="left"/>
              <w:rPr>
                <w:rFonts w:hint="eastAsia" w:ascii="宋体" w:hAnsi="宋体" w:cs="宋体"/>
                <w:kern w:val="0"/>
                <w:sz w:val="20"/>
                <w:szCs w:val="20"/>
              </w:rPr>
            </w:pPr>
            <w:r>
              <w:rPr>
                <w:rFonts w:hint="eastAsia" w:ascii="宋体" w:hAnsi="宋体" w:cs="宋体"/>
                <w:kern w:val="0"/>
                <w:sz w:val="20"/>
                <w:szCs w:val="20"/>
              </w:rPr>
              <w:t>帧率：25fps(1920*1080)</w:t>
            </w:r>
          </w:p>
          <w:p>
            <w:pPr>
              <w:widowControl/>
              <w:jc w:val="left"/>
              <w:rPr>
                <w:rFonts w:hint="eastAsia" w:ascii="宋体" w:hAnsi="宋体" w:cs="宋体"/>
                <w:kern w:val="0"/>
                <w:sz w:val="20"/>
                <w:szCs w:val="20"/>
              </w:rPr>
            </w:pPr>
            <w:r>
              <w:rPr>
                <w:rFonts w:hint="eastAsia" w:ascii="宋体" w:hAnsi="宋体" w:cs="宋体"/>
                <w:kern w:val="0"/>
                <w:sz w:val="20"/>
                <w:szCs w:val="20"/>
              </w:rPr>
              <w:t>传感器类型：1/3"  Progressive Scan CMOS</w:t>
            </w:r>
          </w:p>
          <w:p>
            <w:pPr>
              <w:widowControl/>
              <w:jc w:val="left"/>
              <w:rPr>
                <w:rFonts w:hint="eastAsia" w:ascii="宋体" w:hAnsi="宋体" w:cs="宋体"/>
                <w:kern w:val="0"/>
                <w:sz w:val="20"/>
                <w:szCs w:val="20"/>
              </w:rPr>
            </w:pPr>
            <w:r>
              <w:rPr>
                <w:rFonts w:hint="eastAsia" w:ascii="宋体" w:hAnsi="宋体" w:cs="宋体"/>
                <w:kern w:val="0"/>
                <w:sz w:val="20"/>
                <w:szCs w:val="20"/>
              </w:rPr>
              <w:t>最小照度：彩色0.002Lux@(F1.2,AGC ON)，黑白0.0002Lux @(F1.2,AGC ON)</w:t>
            </w:r>
          </w:p>
          <w:p>
            <w:pPr>
              <w:widowControl/>
              <w:jc w:val="left"/>
              <w:rPr>
                <w:rFonts w:hint="eastAsia" w:ascii="宋体" w:hAnsi="宋体" w:cs="宋体"/>
                <w:kern w:val="0"/>
                <w:sz w:val="20"/>
                <w:szCs w:val="20"/>
              </w:rPr>
            </w:pPr>
            <w:r>
              <w:rPr>
                <w:rFonts w:hint="eastAsia" w:ascii="宋体" w:hAnsi="宋体" w:cs="宋体"/>
                <w:kern w:val="0"/>
                <w:sz w:val="20"/>
                <w:szCs w:val="20"/>
              </w:rPr>
              <w:t>镜头：3.1-9mm电动变焦镜头，支持软件自动调焦</w:t>
            </w:r>
          </w:p>
          <w:p>
            <w:pPr>
              <w:widowControl/>
              <w:jc w:val="left"/>
              <w:rPr>
                <w:rFonts w:hint="eastAsia" w:ascii="宋体" w:hAnsi="宋体" w:cs="宋体"/>
                <w:kern w:val="0"/>
                <w:sz w:val="20"/>
                <w:szCs w:val="20"/>
              </w:rPr>
            </w:pPr>
            <w:r>
              <w:rPr>
                <w:rFonts w:hint="eastAsia" w:ascii="宋体" w:hAnsi="宋体" w:cs="宋体"/>
                <w:kern w:val="0"/>
                <w:sz w:val="20"/>
                <w:szCs w:val="20"/>
              </w:rPr>
              <w:t>补光灯：内置2颗LED补光灯，2颗灯珠颜色保持一致，红外/白光可配置切换</w:t>
            </w:r>
          </w:p>
          <w:p>
            <w:pPr>
              <w:widowControl/>
              <w:jc w:val="left"/>
              <w:rPr>
                <w:rFonts w:hint="eastAsia" w:ascii="宋体" w:hAnsi="宋体" w:cs="宋体"/>
                <w:kern w:val="0"/>
                <w:sz w:val="20"/>
                <w:szCs w:val="20"/>
              </w:rPr>
            </w:pPr>
            <w:r>
              <w:rPr>
                <w:rFonts w:hint="eastAsia" w:ascii="宋体" w:hAnsi="宋体" w:cs="宋体"/>
                <w:kern w:val="0"/>
                <w:sz w:val="20"/>
                <w:szCs w:val="20"/>
              </w:rPr>
              <w:t>自动光圈：DC驱动</w:t>
            </w:r>
            <w:r>
              <w:rPr>
                <w:rFonts w:hint="eastAsia" w:ascii="宋体" w:hAnsi="宋体" w:cs="宋体"/>
                <w:kern w:val="0"/>
                <w:sz w:val="20"/>
                <w:szCs w:val="20"/>
              </w:rPr>
              <w:br w:type="textWrapping"/>
            </w:r>
            <w:r>
              <w:rPr>
                <w:rFonts w:hint="eastAsia" w:ascii="宋体" w:hAnsi="宋体" w:cs="宋体"/>
                <w:kern w:val="0"/>
                <w:sz w:val="20"/>
                <w:szCs w:val="20"/>
              </w:rPr>
              <w:t>ICR切换：支持</w:t>
            </w:r>
          </w:p>
          <w:p>
            <w:pPr>
              <w:widowControl/>
              <w:jc w:val="left"/>
              <w:rPr>
                <w:rFonts w:hint="eastAsia" w:ascii="宋体" w:hAnsi="宋体" w:cs="宋体"/>
                <w:kern w:val="0"/>
                <w:sz w:val="20"/>
                <w:szCs w:val="20"/>
              </w:rPr>
            </w:pPr>
            <w:r>
              <w:rPr>
                <w:rFonts w:hint="eastAsia" w:ascii="宋体" w:hAnsi="宋体" w:cs="宋体"/>
                <w:kern w:val="0"/>
                <w:sz w:val="20"/>
                <w:szCs w:val="20"/>
              </w:rPr>
              <w:t>视频压缩标准：H.264/H.265/MJPEG</w:t>
            </w:r>
          </w:p>
          <w:p>
            <w:pPr>
              <w:widowControl/>
              <w:jc w:val="left"/>
              <w:rPr>
                <w:rFonts w:hint="eastAsia" w:ascii="宋体" w:hAnsi="宋体" w:cs="宋体"/>
                <w:kern w:val="0"/>
                <w:sz w:val="20"/>
                <w:szCs w:val="20"/>
              </w:rPr>
            </w:pPr>
            <w:r>
              <w:rPr>
                <w:rFonts w:hint="eastAsia" w:ascii="宋体" w:hAnsi="宋体" w:cs="宋体"/>
                <w:kern w:val="0"/>
                <w:sz w:val="20"/>
                <w:szCs w:val="20"/>
              </w:rPr>
              <w:t>图像设置：饱和度,亮度,对比度,白平衡,增益,3D降噪通过软件可调</w:t>
            </w:r>
          </w:p>
          <w:p>
            <w:pPr>
              <w:widowControl/>
              <w:jc w:val="left"/>
              <w:rPr>
                <w:rFonts w:hint="eastAsia" w:ascii="宋体" w:hAnsi="宋体" w:cs="宋体"/>
                <w:kern w:val="0"/>
                <w:sz w:val="20"/>
                <w:szCs w:val="20"/>
              </w:rPr>
            </w:pPr>
            <w:r>
              <w:rPr>
                <w:rFonts w:hint="eastAsia" w:ascii="宋体" w:hAnsi="宋体" w:cs="宋体"/>
                <w:kern w:val="0"/>
                <w:sz w:val="20"/>
                <w:szCs w:val="20"/>
              </w:rPr>
              <w:t>存储功能：内置TF卡槽</w:t>
            </w:r>
          </w:p>
          <w:p>
            <w:pPr>
              <w:widowControl/>
              <w:jc w:val="left"/>
              <w:rPr>
                <w:rFonts w:hint="eastAsia" w:ascii="宋体" w:hAnsi="宋体" w:cs="宋体"/>
                <w:kern w:val="0"/>
                <w:sz w:val="20"/>
                <w:szCs w:val="20"/>
              </w:rPr>
            </w:pPr>
            <w:r>
              <w:rPr>
                <w:rFonts w:hint="eastAsia" w:ascii="宋体" w:hAnsi="宋体" w:cs="宋体"/>
                <w:kern w:val="0"/>
                <w:sz w:val="20"/>
                <w:szCs w:val="20"/>
              </w:rPr>
              <w:t>智能识别：车牌识别、车型识别、车标识别、车身颜色识别</w:t>
            </w:r>
          </w:p>
          <w:p>
            <w:pPr>
              <w:widowControl/>
              <w:jc w:val="left"/>
              <w:rPr>
                <w:rFonts w:hint="eastAsia" w:ascii="宋体" w:hAnsi="宋体" w:cs="宋体"/>
                <w:kern w:val="0"/>
                <w:sz w:val="20"/>
                <w:szCs w:val="20"/>
              </w:rPr>
            </w:pPr>
            <w:r>
              <w:rPr>
                <w:rFonts w:hint="eastAsia" w:ascii="宋体" w:hAnsi="宋体" w:cs="宋体"/>
                <w:kern w:val="0"/>
                <w:sz w:val="20"/>
                <w:szCs w:val="20"/>
              </w:rPr>
              <w:t>补光灯控制：补光灯自动光控、时控可选</w:t>
            </w:r>
          </w:p>
          <w:p>
            <w:pPr>
              <w:widowControl/>
              <w:jc w:val="left"/>
              <w:rPr>
                <w:rFonts w:hint="eastAsia" w:ascii="宋体" w:hAnsi="宋体" w:cs="宋体"/>
                <w:kern w:val="0"/>
                <w:sz w:val="20"/>
                <w:szCs w:val="20"/>
              </w:rPr>
            </w:pPr>
            <w:r>
              <w:rPr>
                <w:rFonts w:hint="eastAsia" w:ascii="宋体" w:hAnsi="宋体" w:cs="宋体"/>
                <w:kern w:val="0"/>
                <w:sz w:val="20"/>
                <w:szCs w:val="20"/>
              </w:rPr>
              <w:t>接口：1 个RJ45 10M/100M/1000M 自适应以太网口，1个 RS-485 接口，1个RS-232接口，1路音频输入，1路音频输出，3路触发输入，2路继电器输出</w:t>
            </w:r>
          </w:p>
          <w:p>
            <w:pPr>
              <w:widowControl/>
              <w:jc w:val="left"/>
              <w:rPr>
                <w:rFonts w:hint="eastAsia" w:ascii="宋体" w:hAnsi="宋体" w:cs="宋体"/>
                <w:kern w:val="0"/>
                <w:sz w:val="20"/>
                <w:szCs w:val="20"/>
              </w:rPr>
            </w:pPr>
            <w:r>
              <w:rPr>
                <w:rFonts w:hint="eastAsia" w:ascii="宋体" w:hAnsi="宋体" w:cs="宋体"/>
                <w:kern w:val="0"/>
                <w:sz w:val="20"/>
                <w:szCs w:val="20"/>
              </w:rPr>
              <w:t>无线模块：（型号带4，表示支持4G传输）</w:t>
            </w:r>
          </w:p>
          <w:p>
            <w:pPr>
              <w:widowControl/>
              <w:jc w:val="left"/>
              <w:rPr>
                <w:rFonts w:hint="eastAsia" w:ascii="宋体" w:hAnsi="宋体" w:cs="宋体"/>
                <w:kern w:val="0"/>
                <w:sz w:val="20"/>
                <w:szCs w:val="20"/>
              </w:rPr>
            </w:pPr>
            <w:r>
              <w:rPr>
                <w:rFonts w:hint="eastAsia" w:ascii="宋体" w:hAnsi="宋体" w:cs="宋体"/>
                <w:kern w:val="0"/>
                <w:sz w:val="20"/>
                <w:szCs w:val="20"/>
              </w:rPr>
              <w:t>功能特性：外接道闸，布防状态下可根据存储黑白名单自动控制外接道闸开/关；车辆抓拍：支持车牌、车型、车标、车身颜色识别，电动变焦、自动光圈，内置LED补光灯，同步补光，同步录像，黑白名单控制，视频触发</w:t>
            </w:r>
          </w:p>
          <w:p>
            <w:pPr>
              <w:widowControl/>
              <w:jc w:val="left"/>
              <w:rPr>
                <w:rFonts w:ascii="宋体" w:hAnsi="宋体" w:cs="宋体"/>
                <w:kern w:val="0"/>
                <w:sz w:val="20"/>
                <w:szCs w:val="20"/>
              </w:rPr>
            </w:pPr>
            <w:r>
              <w:rPr>
                <w:rFonts w:hint="eastAsia" w:ascii="宋体" w:hAnsi="宋体" w:cs="宋体"/>
                <w:kern w:val="0"/>
                <w:sz w:val="20"/>
                <w:szCs w:val="20"/>
              </w:rPr>
              <w:t>电源供应：AC100V-240V</w:t>
            </w:r>
            <w:r>
              <w:rPr>
                <w:rFonts w:hint="eastAsia" w:ascii="宋体" w:hAnsi="宋体" w:cs="宋体"/>
                <w:kern w:val="0"/>
                <w:sz w:val="20"/>
                <w:szCs w:val="20"/>
              </w:rPr>
              <w:br w:type="textWrapping"/>
            </w:r>
            <w:r>
              <w:rPr>
                <w:rFonts w:hint="eastAsia" w:ascii="宋体" w:hAnsi="宋体" w:cs="宋体"/>
                <w:kern w:val="0"/>
                <w:sz w:val="20"/>
                <w:szCs w:val="20"/>
              </w:rPr>
              <w:t>▲车辆捕获率：白天≥99%，夜间≥99%（提供公安部有效检测报告）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▲车牌识别率：白天≥99%，夜间≥99%（提供公安部有效检测报告）</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w:t>
            </w:r>
          </w:p>
        </w:tc>
        <w:tc>
          <w:tcPr>
            <w:tcW w:w="10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包含相关的基础配套设施、护罩根据实际安装场景选择，三年维护。估算，按实际需求而定</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516" w:type="dxa"/>
            <w:tcBorders>
              <w:top w:val="nil"/>
              <w:left w:val="nil"/>
              <w:bottom w:val="single" w:color="auto" w:sz="4" w:space="0"/>
              <w:right w:val="single" w:color="auto" w:sz="4" w:space="0"/>
            </w:tcBorders>
            <w:shd w:val="clear" w:color="auto" w:fill="auto"/>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车辆抓拍机立柱</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海康、大华、宇视</w:t>
            </w:r>
          </w:p>
        </w:tc>
        <w:tc>
          <w:tcPr>
            <w:tcW w:w="51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立柱高度：1.3米</w:t>
            </w:r>
            <w:r>
              <w:rPr>
                <w:rFonts w:hint="eastAsia" w:ascii="等线" w:hAnsi="等线" w:eastAsia="等线" w:cs="宋体"/>
                <w:color w:val="000000"/>
                <w:kern w:val="0"/>
                <w:sz w:val="20"/>
                <w:szCs w:val="20"/>
              </w:rPr>
              <w:br w:type="textWrapping"/>
            </w:r>
            <w:r>
              <w:rPr>
                <w:rFonts w:hint="eastAsia" w:ascii="等线" w:hAnsi="等线" w:eastAsia="等线" w:cs="宋体"/>
                <w:color w:val="000000"/>
                <w:kern w:val="0"/>
                <w:sz w:val="20"/>
                <w:szCs w:val="20"/>
              </w:rPr>
              <w:t>立柱直径：60mm</w:t>
            </w:r>
            <w:r>
              <w:rPr>
                <w:rFonts w:hint="eastAsia" w:ascii="等线" w:hAnsi="等线" w:eastAsia="等线" w:cs="宋体"/>
                <w:color w:val="000000"/>
                <w:kern w:val="0"/>
                <w:sz w:val="20"/>
                <w:szCs w:val="20"/>
              </w:rPr>
              <w:br w:type="textWrapping"/>
            </w:r>
            <w:r>
              <w:rPr>
                <w:rFonts w:hint="eastAsia" w:ascii="等线" w:hAnsi="等线" w:eastAsia="等线" w:cs="宋体"/>
                <w:color w:val="000000"/>
                <w:kern w:val="0"/>
                <w:sz w:val="20"/>
                <w:szCs w:val="20"/>
              </w:rPr>
              <w:t>1.3米处可安装一体机</w:t>
            </w:r>
          </w:p>
        </w:tc>
        <w:tc>
          <w:tcPr>
            <w:tcW w:w="41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56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51</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516"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车辆数据采集 </w:t>
            </w:r>
          </w:p>
        </w:tc>
        <w:tc>
          <w:tcPr>
            <w:tcW w:w="1116"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定制</w:t>
            </w:r>
          </w:p>
        </w:tc>
        <w:tc>
          <w:tcPr>
            <w:tcW w:w="51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充分利用现有道闸摄像机，采集车辆抓拍图片，按接入路数计算</w:t>
            </w:r>
          </w:p>
        </w:tc>
        <w:tc>
          <w:tcPr>
            <w:tcW w:w="41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路</w:t>
            </w:r>
          </w:p>
        </w:tc>
        <w:tc>
          <w:tcPr>
            <w:tcW w:w="56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336</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516"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车辆数据采集平台</w:t>
            </w:r>
          </w:p>
        </w:tc>
        <w:tc>
          <w:tcPr>
            <w:tcW w:w="1116"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定制</w:t>
            </w:r>
          </w:p>
        </w:tc>
        <w:tc>
          <w:tcPr>
            <w:tcW w:w="51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将采集车辆数据进行汇总转发</w:t>
            </w:r>
          </w:p>
        </w:tc>
        <w:tc>
          <w:tcPr>
            <w:tcW w:w="41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套</w:t>
            </w:r>
          </w:p>
        </w:tc>
        <w:tc>
          <w:tcPr>
            <w:tcW w:w="56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车辆数据汇聚服务器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海康、大华、华为</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4210×2/128G DDR4/480G SSD×4(RAID_10)/SAS_HBA/1GbE×2/10GbEx2/550W(1+1)/2U/16DIMM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2U双路标准机架式服务器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CPU：2颗Xeon® Silver 4210（10核，2.2GHz）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内存：32G*4 DDR4，16根内存插槽，最大支持扩展至2TB内存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硬盘：4块480G SSD 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阵列卡：SAS_HBA卡, 支持RAID 0/1/10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PCIE扩展：最大可支持6个PCIE扩展插槽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网口：2个千兆电口，2个万兆光口</w:t>
            </w:r>
            <w:r>
              <w:rPr>
                <w:rFonts w:hint="eastAsia" w:ascii="宋体" w:hAnsi="宋体" w:cs="宋体"/>
                <w:color w:val="FF0000"/>
                <w:kern w:val="0"/>
                <w:sz w:val="20"/>
                <w:szCs w:val="20"/>
              </w:rPr>
              <w:br w:type="textWrapping"/>
            </w:r>
            <w:r>
              <w:rPr>
                <w:rFonts w:hint="eastAsia" w:ascii="宋体" w:hAnsi="宋体" w:cs="宋体"/>
                <w:color w:val="000000"/>
                <w:kern w:val="0"/>
                <w:sz w:val="20"/>
                <w:szCs w:val="20"/>
              </w:rPr>
              <w:t>其他接口：1个RJ45管理接口，4个USB 3.0接口，1个VGA接口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电源：标配550W（1+1）高效铂金CRPS冗余电源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机箱规格：87.8mm(高)x 448mm(宽)x729.8mm(深)</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auto" w:fill="auto"/>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车辆平台模块搭建服务器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海康、大华、华为</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4210×2/128G DDR4/480G SSD×4(RAID_10)/SAS_HBA/1GbE×2/10GbEx2/550W(1+1)/2U/16DIMM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2U双路标准机架式服务器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CPU：2颗Xeon® Silver 4210（10核，2.2GHz）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内存：32G*4 DDR4，16根内存插槽，最大支持扩展至2TB内存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硬盘：4块480G SSD 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阵列卡：SAS_HBA卡, 支持RAID 0/1/10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PCIE扩展：最大可支持6个PCIE扩展插槽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网口：2个千兆电口，2个万兆光口</w:t>
            </w:r>
            <w:r>
              <w:rPr>
                <w:rFonts w:hint="eastAsia" w:ascii="宋体" w:hAnsi="宋体" w:cs="宋体"/>
                <w:color w:val="FF0000"/>
                <w:kern w:val="0"/>
                <w:sz w:val="20"/>
                <w:szCs w:val="20"/>
              </w:rPr>
              <w:br w:type="textWrapping"/>
            </w:r>
            <w:r>
              <w:rPr>
                <w:rFonts w:hint="eastAsia" w:ascii="宋体" w:hAnsi="宋体" w:cs="宋体"/>
                <w:color w:val="000000"/>
                <w:kern w:val="0"/>
                <w:sz w:val="20"/>
                <w:szCs w:val="20"/>
              </w:rPr>
              <w:t>其他接口：1个RJ45管理接口，4个USB 3.0接口，1个VGA接口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电源：标配550W（1+1）高效铂金CRPS冗余电源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机箱规格：87.8mm(高)x 448mm(宽)x729.8mm(深)</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线路租赁</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定制</w:t>
            </w:r>
          </w:p>
        </w:tc>
        <w:tc>
          <w:tcPr>
            <w:tcW w:w="51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包含3年链路租费</w:t>
            </w:r>
          </w:p>
        </w:tc>
        <w:tc>
          <w:tcPr>
            <w:tcW w:w="41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路</w:t>
            </w:r>
          </w:p>
        </w:tc>
        <w:tc>
          <w:tcPr>
            <w:tcW w:w="568"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387</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02" w:hRule="atLeast"/>
        </w:trPr>
        <w:tc>
          <w:tcPr>
            <w:tcW w:w="9243" w:type="dxa"/>
            <w:gridSpan w:val="7"/>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三、**室配套设备</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国产</w:t>
            </w:r>
          </w:p>
        </w:tc>
        <w:tc>
          <w:tcPr>
            <w:tcW w:w="5154"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窄边55寸液晶监视器</w:t>
            </w:r>
          </w:p>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接口：HDMI输入*1、VGA输入*1、DVI输入*1、BNC输入*1、BNC输出*1、Audio输入*1、USB*1</w:t>
            </w:r>
          </w:p>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包含视频数据线、支架及安装</w:t>
            </w:r>
          </w:p>
        </w:tc>
        <w:tc>
          <w:tcPr>
            <w:tcW w:w="41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台</w:t>
            </w:r>
          </w:p>
        </w:tc>
        <w:tc>
          <w:tcPr>
            <w:tcW w:w="56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2</w:t>
            </w:r>
          </w:p>
        </w:tc>
        <w:tc>
          <w:tcPr>
            <w:tcW w:w="1054"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000000"/>
                <w:kern w:val="0"/>
                <w:sz w:val="20"/>
                <w:szCs w:val="20"/>
              </w:rPr>
            </w:pPr>
            <w:r>
              <w:rPr>
                <w:rFonts w:hint="eastAsia" w:ascii="宋体" w:hAnsi="宋体" w:cs="宋体"/>
                <w:kern w:val="0"/>
                <w:sz w:val="16"/>
                <w:szCs w:val="16"/>
              </w:rPr>
              <w:t>视频监控终端</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kern w:val="0"/>
                <w:sz w:val="20"/>
                <w:szCs w:val="20"/>
              </w:rPr>
            </w:pPr>
            <w:r>
              <w:rPr>
                <w:rFonts w:hint="eastAsia" w:ascii="宋体" w:hAnsi="宋体" w:cs="宋体"/>
                <w:kern w:val="0"/>
                <w:sz w:val="16"/>
                <w:szCs w:val="16"/>
              </w:rPr>
              <w:t>联想、戴尔、惠普</w:t>
            </w:r>
          </w:p>
        </w:tc>
        <w:tc>
          <w:tcPr>
            <w:tcW w:w="5154"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Cs w:val="21"/>
              </w:rPr>
            </w:pPr>
            <w:r>
              <w:rPr>
                <w:rFonts w:ascii="宋体" w:hAnsi="宋体" w:cs="宋体"/>
                <w:kern w:val="0"/>
                <w:szCs w:val="21"/>
              </w:rPr>
              <w:t>I5-10400/8G/1</w:t>
            </w:r>
            <w:r>
              <w:rPr>
                <w:rFonts w:hint="eastAsia" w:ascii="宋体" w:hAnsi="宋体" w:cs="宋体"/>
                <w:kern w:val="0"/>
                <w:szCs w:val="21"/>
              </w:rPr>
              <w:t>T</w:t>
            </w:r>
            <w:r>
              <w:rPr>
                <w:rFonts w:hint="eastAsia" w:ascii="Segoe UI Emoji" w:hAnsi="Segoe UI Emoji" w:cs="Segoe UI Emoji"/>
                <w:kern w:val="0"/>
                <w:szCs w:val="21"/>
              </w:rPr>
              <w:t>+</w:t>
            </w:r>
            <w:r>
              <w:rPr>
                <w:rFonts w:ascii="宋体" w:hAnsi="宋体" w:cs="宋体"/>
                <w:kern w:val="0"/>
                <w:szCs w:val="21"/>
              </w:rPr>
              <w:t>256 G/730</w:t>
            </w:r>
            <w:r>
              <w:rPr>
                <w:rFonts w:hint="eastAsia" w:ascii="宋体" w:hAnsi="宋体" w:cs="宋体"/>
                <w:kern w:val="0"/>
                <w:szCs w:val="21"/>
              </w:rPr>
              <w:t>显卡</w:t>
            </w:r>
            <w:r>
              <w:rPr>
                <w:rFonts w:ascii="宋体" w:hAnsi="宋体" w:cs="宋体"/>
                <w:kern w:val="0"/>
                <w:szCs w:val="21"/>
              </w:rPr>
              <w:t>/23.8</w:t>
            </w:r>
            <w:r>
              <w:rPr>
                <w:rFonts w:hint="eastAsia" w:ascii="宋体" w:hAnsi="宋体" w:cs="宋体"/>
                <w:kern w:val="0"/>
                <w:szCs w:val="21"/>
              </w:rPr>
              <w:t>寸显示器</w:t>
            </w:r>
          </w:p>
        </w:tc>
        <w:tc>
          <w:tcPr>
            <w:tcW w:w="41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台</w:t>
            </w:r>
          </w:p>
        </w:tc>
        <w:tc>
          <w:tcPr>
            <w:tcW w:w="56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2</w:t>
            </w:r>
          </w:p>
        </w:tc>
        <w:tc>
          <w:tcPr>
            <w:tcW w:w="1054"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线路租赁</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宋体" w:hAnsi="宋体" w:cs="宋体"/>
                <w:kern w:val="0"/>
                <w:sz w:val="16"/>
                <w:szCs w:val="16"/>
              </w:rPr>
            </w:pPr>
            <w:r>
              <w:rPr>
                <w:rFonts w:hint="eastAsia" w:ascii="宋体" w:hAnsi="宋体" w:cs="宋体"/>
                <w:kern w:val="0"/>
                <w:sz w:val="16"/>
                <w:szCs w:val="16"/>
              </w:rPr>
              <w:t>定制</w:t>
            </w:r>
          </w:p>
        </w:tc>
        <w:tc>
          <w:tcPr>
            <w:tcW w:w="515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1"/>
              </w:rPr>
            </w:pPr>
            <w:r>
              <w:rPr>
                <w:rFonts w:cs="Calibri"/>
                <w:kern w:val="0"/>
                <w:szCs w:val="21"/>
              </w:rPr>
              <w:t>包含3</w:t>
            </w:r>
            <w:r>
              <w:rPr>
                <w:rFonts w:hint="eastAsia" w:ascii="宋体" w:hAnsi="宋体" w:cs="Calibri"/>
                <w:kern w:val="0"/>
                <w:szCs w:val="21"/>
              </w:rPr>
              <w:t>年链路租费、该线路为公安视频专线</w:t>
            </w:r>
          </w:p>
        </w:tc>
        <w:tc>
          <w:tcPr>
            <w:tcW w:w="41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条</w:t>
            </w:r>
          </w:p>
        </w:tc>
        <w:tc>
          <w:tcPr>
            <w:tcW w:w="568"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3</w:t>
            </w:r>
          </w:p>
        </w:tc>
        <w:tc>
          <w:tcPr>
            <w:tcW w:w="1054" w:type="dxa"/>
            <w:tcBorders>
              <w:top w:val="nil"/>
              <w:left w:val="nil"/>
              <w:bottom w:val="single" w:color="auto" w:sz="4" w:space="0"/>
              <w:right w:val="single" w:color="auto" w:sz="4" w:space="0"/>
            </w:tcBorders>
            <w:noWrap w:val="0"/>
            <w:vAlign w:val="top"/>
          </w:tcPr>
          <w:p>
            <w:pPr>
              <w:widowControl/>
              <w:jc w:val="left"/>
              <w:rPr>
                <w:rFonts w:hint="eastAsia" w:ascii="等线" w:hAnsi="等线" w:eastAsia="等线" w:cs="宋体"/>
                <w:kern w:val="0"/>
                <w:sz w:val="20"/>
                <w:szCs w:val="20"/>
              </w:rPr>
            </w:pPr>
          </w:p>
        </w:tc>
      </w:tr>
      <w:tr>
        <w:tblPrEx>
          <w:tblCellMar>
            <w:top w:w="0" w:type="dxa"/>
            <w:left w:w="108" w:type="dxa"/>
            <w:bottom w:w="0" w:type="dxa"/>
            <w:right w:w="108" w:type="dxa"/>
          </w:tblCellMar>
        </w:tblPrEx>
        <w:trPr>
          <w:trHeight w:val="402" w:hRule="atLeast"/>
        </w:trPr>
        <w:tc>
          <w:tcPr>
            <w:tcW w:w="9243"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四、后端设备及其他</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视频专网存储服务器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xml:space="preserve">4U机架式24盘位；双64位多核处理器；16GB缓存；冗余电源；支持SATA硬盘；4个千兆网口；1个系统SSD盘；支持外接扩展柜，内置1颗SSD图片加速盘；内置24块4TB企业级硬盘； </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2</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全分析服务器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海康、大华、华为</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19英寸机架式标准机箱</w:t>
            </w:r>
            <w:r>
              <w:rPr>
                <w:rFonts w:hint="eastAsia" w:ascii="宋体" w:hAnsi="宋体" w:cs="宋体"/>
                <w:kern w:val="0"/>
                <w:sz w:val="20"/>
                <w:szCs w:val="20"/>
              </w:rPr>
              <w:br w:type="textWrapping"/>
            </w:r>
            <w:r>
              <w:rPr>
                <w:rFonts w:hint="eastAsia" w:ascii="宋体" w:hAnsi="宋体" w:cs="宋体"/>
                <w:kern w:val="0"/>
                <w:sz w:val="20"/>
                <w:szCs w:val="20"/>
              </w:rPr>
              <w:t>支持热拔插高效冗余电源模块</w:t>
            </w:r>
            <w:r>
              <w:rPr>
                <w:rFonts w:hint="eastAsia" w:ascii="宋体" w:hAnsi="宋体" w:cs="宋体"/>
                <w:kern w:val="0"/>
                <w:sz w:val="20"/>
                <w:szCs w:val="20"/>
              </w:rPr>
              <w:br w:type="textWrapping"/>
            </w:r>
            <w:r>
              <w:rPr>
                <w:rFonts w:hint="eastAsia" w:ascii="宋体" w:hAnsi="宋体" w:cs="宋体"/>
                <w:kern w:val="0"/>
                <w:sz w:val="20"/>
                <w:szCs w:val="20"/>
              </w:rPr>
              <w:t>▲支持通过界面展示查看算法仓库支持的算法列表，包括算法名称、分析类型、分析目标、算法厂商、芯片平台、算法版本和详情信息，算法仓库支持的算法包括人车分析算法，人脸检测算法、人脸分析算法、车辆分析算法和卡口车辆分析算法，并支持对算法进行查询，支持集成运行第三方算法，并支持对算法进行管理（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支持通过授权的形式去调用算法仓库中的不同的算法，实现全分析，支持同一时间并发运行多种不同的算法，支持对视频、图片进行人脸、人体、车辆的全分析</w:t>
            </w:r>
            <w:r>
              <w:rPr>
                <w:rFonts w:hint="eastAsia" w:ascii="宋体" w:hAnsi="宋体" w:cs="宋体"/>
                <w:kern w:val="0"/>
                <w:sz w:val="20"/>
                <w:szCs w:val="20"/>
              </w:rPr>
              <w:br w:type="textWrapping"/>
            </w:r>
            <w:r>
              <w:rPr>
                <w:rFonts w:hint="eastAsia" w:ascii="宋体" w:hAnsi="宋体" w:cs="宋体"/>
                <w:kern w:val="0"/>
                <w:sz w:val="20"/>
                <w:szCs w:val="20"/>
              </w:rPr>
              <w:t>兼容物理服务器、虚拟机、Docker等多种资源平台</w:t>
            </w:r>
            <w:r>
              <w:rPr>
                <w:rFonts w:hint="eastAsia" w:ascii="宋体" w:hAnsi="宋体" w:cs="宋体"/>
                <w:kern w:val="0"/>
                <w:sz w:val="20"/>
                <w:szCs w:val="20"/>
              </w:rPr>
              <w:br w:type="textWrapping"/>
            </w:r>
            <w:r>
              <w:rPr>
                <w:rFonts w:hint="eastAsia" w:ascii="宋体" w:hAnsi="宋体" w:cs="宋体"/>
                <w:kern w:val="0"/>
                <w:sz w:val="20"/>
                <w:szCs w:val="20"/>
              </w:rPr>
              <w:t>支持通过协议将服务开放给第三方</w:t>
            </w:r>
            <w:r>
              <w:rPr>
                <w:rFonts w:hint="eastAsia" w:ascii="宋体" w:hAnsi="宋体" w:cs="宋体"/>
                <w:kern w:val="0"/>
                <w:sz w:val="20"/>
                <w:szCs w:val="20"/>
              </w:rPr>
              <w:br w:type="textWrapping"/>
            </w:r>
            <w:r>
              <w:rPr>
                <w:rFonts w:hint="eastAsia" w:ascii="宋体" w:hAnsi="宋体" w:cs="宋体"/>
                <w:kern w:val="0"/>
                <w:sz w:val="20"/>
                <w:szCs w:val="20"/>
              </w:rPr>
              <w:t>支持对人脸图片在人脸被遮挡住半边脸的情况下，可正确检测人脸，检出率不小于99%</w:t>
            </w:r>
            <w:r>
              <w:rPr>
                <w:rFonts w:hint="eastAsia" w:ascii="宋体" w:hAnsi="宋体" w:cs="宋体"/>
                <w:kern w:val="0"/>
                <w:sz w:val="20"/>
                <w:szCs w:val="20"/>
              </w:rPr>
              <w:br w:type="textWrapping"/>
            </w:r>
            <w:r>
              <w:rPr>
                <w:rFonts w:hint="eastAsia" w:ascii="宋体" w:hAnsi="宋体" w:cs="宋体"/>
                <w:kern w:val="0"/>
                <w:sz w:val="20"/>
                <w:szCs w:val="20"/>
              </w:rPr>
              <w:t>支持jpg、jpeg、png、gif、bmp，tif图片格式</w:t>
            </w:r>
            <w:r>
              <w:rPr>
                <w:rFonts w:hint="eastAsia" w:ascii="宋体" w:hAnsi="宋体" w:cs="宋体"/>
                <w:kern w:val="0"/>
                <w:sz w:val="20"/>
                <w:szCs w:val="20"/>
              </w:rPr>
              <w:br w:type="textWrapping"/>
            </w:r>
            <w:r>
              <w:rPr>
                <w:rFonts w:hint="eastAsia" w:ascii="宋体" w:hAnsi="宋体" w:cs="宋体"/>
                <w:kern w:val="0"/>
                <w:sz w:val="20"/>
                <w:szCs w:val="20"/>
              </w:rPr>
              <w:t>单台服务器，大数据写入情况下，人脸图片建模速度不低于200张/s</w:t>
            </w:r>
            <w:r>
              <w:rPr>
                <w:rFonts w:hint="eastAsia" w:ascii="宋体" w:hAnsi="宋体" w:cs="宋体"/>
                <w:kern w:val="0"/>
                <w:sz w:val="20"/>
                <w:szCs w:val="20"/>
              </w:rPr>
              <w:br w:type="textWrapping"/>
            </w:r>
            <w:r>
              <w:rPr>
                <w:rFonts w:hint="eastAsia" w:ascii="宋体" w:hAnsi="宋体" w:cs="宋体"/>
                <w:kern w:val="0"/>
                <w:sz w:val="20"/>
                <w:szCs w:val="20"/>
              </w:rPr>
              <w:t>支持检出水平转动不超过60度，俯仰角度不超过45度的人脸</w:t>
            </w:r>
            <w:r>
              <w:rPr>
                <w:rFonts w:hint="eastAsia" w:ascii="宋体" w:hAnsi="宋体" w:cs="宋体"/>
                <w:kern w:val="0"/>
                <w:sz w:val="20"/>
                <w:szCs w:val="20"/>
              </w:rPr>
              <w:br w:type="textWrapping"/>
            </w:r>
            <w:r>
              <w:rPr>
                <w:rFonts w:hint="eastAsia" w:ascii="宋体" w:hAnsi="宋体" w:cs="宋体"/>
                <w:kern w:val="0"/>
                <w:sz w:val="20"/>
                <w:szCs w:val="20"/>
              </w:rPr>
              <w:t>支持不同表情条件下人脸检出（微笑、大笑、瞪眼、闭眼、张嘴、歪嘴、吐舌头等），支持检出长刘海、披肩长发、齐刘海遮挡眉毛、头发遮挡眼睛、胡须、戴普通眼镜、戴墨镜、戴彩色眼镜、戴棒球帽、戴雷锋帽、戴普通帽子、戴头戴式耳机等遮挡方式的人脸，支持检出黄色人种、白色人种、黑色人种、棕色人种等不同人种的人脸，支持不同光照条件下人脸检出（过曝、欠曝、阴阳脸、逆光下等）</w:t>
            </w:r>
            <w:r>
              <w:rPr>
                <w:rFonts w:hint="eastAsia" w:ascii="宋体" w:hAnsi="宋体" w:cs="宋体"/>
                <w:kern w:val="0"/>
                <w:sz w:val="20"/>
                <w:szCs w:val="20"/>
              </w:rPr>
              <w:br w:type="textWrapping"/>
            </w:r>
            <w:r>
              <w:rPr>
                <w:rFonts w:hint="eastAsia" w:ascii="宋体" w:hAnsi="宋体" w:cs="宋体"/>
                <w:kern w:val="0"/>
                <w:sz w:val="20"/>
                <w:szCs w:val="20"/>
              </w:rPr>
              <w:t>单个人脸检测结果，系统存储的人像特征数据大小不大于1K字节</w:t>
            </w:r>
            <w:r>
              <w:rPr>
                <w:rFonts w:hint="eastAsia" w:ascii="宋体" w:hAnsi="宋体" w:cs="宋体"/>
                <w:kern w:val="0"/>
                <w:sz w:val="20"/>
                <w:szCs w:val="20"/>
              </w:rPr>
              <w:br w:type="textWrapping"/>
            </w:r>
            <w:r>
              <w:rPr>
                <w:rFonts w:hint="eastAsia" w:ascii="宋体" w:hAnsi="宋体" w:cs="宋体"/>
                <w:kern w:val="0"/>
                <w:sz w:val="20"/>
                <w:szCs w:val="20"/>
              </w:rPr>
              <w:t>支持识别102×126～1600万像素、≤8MB、两眼瞳距≥18像素点、比对水平偏转≤60度，俯仰角度≤45度的人脸图片</w:t>
            </w:r>
            <w:r>
              <w:rPr>
                <w:rFonts w:hint="eastAsia" w:ascii="宋体" w:hAnsi="宋体" w:cs="宋体"/>
                <w:kern w:val="0"/>
                <w:sz w:val="20"/>
                <w:szCs w:val="20"/>
              </w:rPr>
              <w:br w:type="textWrapping"/>
            </w:r>
            <w:r>
              <w:rPr>
                <w:rFonts w:hint="eastAsia" w:ascii="宋体" w:hAnsi="宋体" w:cs="宋体"/>
                <w:kern w:val="0"/>
                <w:sz w:val="20"/>
                <w:szCs w:val="20"/>
              </w:rPr>
              <w:t>支持对人脸图片识别人脸性别，检出率不低于99%，识别准确率不低于99%</w:t>
            </w:r>
            <w:r>
              <w:rPr>
                <w:rFonts w:hint="eastAsia" w:ascii="宋体" w:hAnsi="宋体" w:cs="宋体"/>
                <w:kern w:val="0"/>
                <w:sz w:val="20"/>
                <w:szCs w:val="20"/>
              </w:rPr>
              <w:br w:type="textWrapping"/>
            </w:r>
            <w:r>
              <w:rPr>
                <w:rFonts w:hint="eastAsia" w:ascii="宋体" w:hAnsi="宋体" w:cs="宋体"/>
                <w:kern w:val="0"/>
                <w:sz w:val="20"/>
                <w:szCs w:val="20"/>
              </w:rPr>
              <w:t>支持对人脸图片识别人脸年龄段（童年、少年、青年、中年、老年）</w:t>
            </w:r>
            <w:r>
              <w:rPr>
                <w:rFonts w:hint="eastAsia" w:ascii="宋体" w:hAnsi="宋体" w:cs="宋体"/>
                <w:kern w:val="0"/>
                <w:sz w:val="20"/>
                <w:szCs w:val="20"/>
              </w:rPr>
              <w:br w:type="textWrapping"/>
            </w:r>
            <w:r>
              <w:rPr>
                <w:rFonts w:hint="eastAsia" w:ascii="宋体" w:hAnsi="宋体" w:cs="宋体"/>
                <w:kern w:val="0"/>
                <w:sz w:val="20"/>
                <w:szCs w:val="20"/>
              </w:rPr>
              <w:t>支持对人脸图片识别人脸是否戴眼镜，检出率不低于99%，识别准确率不低于99%</w:t>
            </w:r>
            <w:r>
              <w:rPr>
                <w:rFonts w:hint="eastAsia" w:ascii="宋体" w:hAnsi="宋体" w:cs="宋体"/>
                <w:kern w:val="0"/>
                <w:sz w:val="20"/>
                <w:szCs w:val="20"/>
              </w:rPr>
              <w:br w:type="textWrapping"/>
            </w:r>
            <w:r>
              <w:rPr>
                <w:rFonts w:hint="eastAsia" w:ascii="宋体" w:hAnsi="宋体" w:cs="宋体"/>
                <w:kern w:val="0"/>
                <w:sz w:val="20"/>
                <w:szCs w:val="20"/>
              </w:rPr>
              <w:t>支持对人脸图片识别人脸是否微笑，检出率不低于99%</w:t>
            </w:r>
            <w:r>
              <w:rPr>
                <w:rFonts w:hint="eastAsia" w:ascii="宋体" w:hAnsi="宋体" w:cs="宋体"/>
                <w:kern w:val="0"/>
                <w:sz w:val="20"/>
                <w:szCs w:val="20"/>
              </w:rPr>
              <w:br w:type="textWrapping"/>
            </w:r>
            <w:r>
              <w:rPr>
                <w:rFonts w:hint="eastAsia" w:ascii="宋体" w:hAnsi="宋体" w:cs="宋体"/>
                <w:kern w:val="0"/>
                <w:sz w:val="20"/>
                <w:szCs w:val="20"/>
              </w:rPr>
              <w:t>黑名单报警：设备对抓拍的人脸图片进行分析，将分析后的结果与关联的黑名单库进行比较，比对成功时触发报警，并产生报警提示。支持黑名单库容量200万张图片，支持将黑名单库分为16个库分别管理，每个库设置不同报警阈值或关联相机</w:t>
            </w:r>
            <w:r>
              <w:rPr>
                <w:rFonts w:hint="eastAsia" w:ascii="宋体" w:hAnsi="宋体" w:cs="宋体"/>
                <w:kern w:val="0"/>
                <w:sz w:val="20"/>
                <w:szCs w:val="20"/>
              </w:rPr>
              <w:br w:type="textWrapping"/>
            </w:r>
            <w:r>
              <w:rPr>
                <w:rFonts w:hint="eastAsia" w:ascii="宋体" w:hAnsi="宋体" w:cs="宋体"/>
                <w:kern w:val="0"/>
                <w:sz w:val="20"/>
                <w:szCs w:val="20"/>
              </w:rPr>
              <w:t>黑名单实时报警首位命中准确率不低于99%，实时报警误报率不超过1%，实时报警漏报率不超过1%</w:t>
            </w:r>
            <w:r>
              <w:rPr>
                <w:rFonts w:hint="eastAsia" w:ascii="宋体" w:hAnsi="宋体" w:cs="宋体"/>
                <w:kern w:val="0"/>
                <w:sz w:val="20"/>
                <w:szCs w:val="20"/>
              </w:rPr>
              <w:br w:type="textWrapping"/>
            </w:r>
            <w:r>
              <w:rPr>
                <w:rFonts w:hint="eastAsia" w:ascii="宋体" w:hAnsi="宋体" w:cs="宋体"/>
                <w:kern w:val="0"/>
                <w:sz w:val="20"/>
                <w:szCs w:val="20"/>
              </w:rPr>
              <w:t>单台服务器，支持对抓拍图片进行分析（检测、结构化、建模、与人脸库做比对），速度不少于200张/s</w:t>
            </w:r>
            <w:r>
              <w:rPr>
                <w:rFonts w:hint="eastAsia" w:ascii="宋体" w:hAnsi="宋体" w:cs="宋体"/>
                <w:kern w:val="0"/>
                <w:sz w:val="20"/>
                <w:szCs w:val="20"/>
              </w:rPr>
              <w:br w:type="textWrapping"/>
            </w:r>
            <w:r>
              <w:rPr>
                <w:rFonts w:hint="eastAsia" w:ascii="宋体" w:hAnsi="宋体" w:cs="宋体"/>
                <w:kern w:val="0"/>
                <w:sz w:val="20"/>
                <w:szCs w:val="20"/>
              </w:rPr>
              <w:t>支持导入两张人脸照片进行一对一比对，输出比对相似度，单台服务器，比对速度不低于80次/s，1V1平均响应时间不超过1秒</w:t>
            </w:r>
            <w:r>
              <w:rPr>
                <w:rFonts w:hint="eastAsia" w:ascii="宋体" w:hAnsi="宋体" w:cs="宋体"/>
                <w:kern w:val="0"/>
                <w:sz w:val="20"/>
                <w:szCs w:val="20"/>
              </w:rPr>
              <w:br w:type="textWrapping"/>
            </w:r>
            <w:r>
              <w:rPr>
                <w:rFonts w:hint="eastAsia" w:ascii="宋体" w:hAnsi="宋体" w:cs="宋体"/>
                <w:kern w:val="0"/>
                <w:sz w:val="20"/>
                <w:szCs w:val="20"/>
              </w:rPr>
              <w:t>支持接入符合标准H.264和具有H.265设置选项的IPC设备，并对获取的视频流进行人脸抓拍</w:t>
            </w:r>
            <w:r>
              <w:rPr>
                <w:rFonts w:hint="eastAsia" w:ascii="宋体" w:hAnsi="宋体" w:cs="宋体"/>
                <w:kern w:val="0"/>
                <w:sz w:val="20"/>
                <w:szCs w:val="20"/>
              </w:rPr>
              <w:br w:type="textWrapping"/>
            </w:r>
            <w:r>
              <w:rPr>
                <w:rFonts w:hint="eastAsia" w:ascii="宋体" w:hAnsi="宋体" w:cs="宋体"/>
                <w:kern w:val="0"/>
                <w:sz w:val="20"/>
                <w:szCs w:val="20"/>
              </w:rPr>
              <w:t>支持对图片中的正、背向车辆进行以图搜图建模功能</w:t>
            </w:r>
            <w:r>
              <w:rPr>
                <w:rFonts w:hint="eastAsia" w:ascii="宋体" w:hAnsi="宋体" w:cs="宋体"/>
                <w:kern w:val="0"/>
                <w:sz w:val="20"/>
                <w:szCs w:val="20"/>
              </w:rPr>
              <w:br w:type="textWrapping"/>
            </w:r>
            <w:r>
              <w:rPr>
                <w:rFonts w:hint="eastAsia" w:ascii="宋体" w:hAnsi="宋体" w:cs="宋体"/>
                <w:kern w:val="0"/>
                <w:sz w:val="20"/>
                <w:szCs w:val="20"/>
              </w:rPr>
              <w:t>支持对车辆图片进行特征搜车，上传车辆的图片并选定特征区域，比对后可输出达到设定相似度的过车图片</w:t>
            </w:r>
            <w:r>
              <w:rPr>
                <w:rFonts w:hint="eastAsia" w:ascii="宋体" w:hAnsi="宋体" w:cs="宋体"/>
                <w:kern w:val="0"/>
                <w:sz w:val="20"/>
                <w:szCs w:val="20"/>
              </w:rPr>
              <w:br w:type="textWrapping"/>
            </w:r>
            <w:r>
              <w:rPr>
                <w:rFonts w:hint="eastAsia" w:ascii="宋体" w:hAnsi="宋体" w:cs="宋体"/>
                <w:kern w:val="0"/>
                <w:sz w:val="20"/>
                <w:szCs w:val="20"/>
              </w:rPr>
              <w:t>支持识别一张图片中的多辆车辆信息</w:t>
            </w:r>
            <w:r>
              <w:rPr>
                <w:rFonts w:hint="eastAsia" w:ascii="宋体" w:hAnsi="宋体" w:cs="宋体"/>
                <w:kern w:val="0"/>
                <w:sz w:val="20"/>
                <w:szCs w:val="20"/>
              </w:rPr>
              <w:br w:type="textWrapping"/>
            </w:r>
            <w:r>
              <w:rPr>
                <w:rFonts w:hint="eastAsia" w:ascii="宋体" w:hAnsi="宋体" w:cs="宋体"/>
                <w:kern w:val="0"/>
                <w:sz w:val="20"/>
                <w:szCs w:val="20"/>
              </w:rPr>
              <w:t>支持对人体、车辆和活动目标（人车混合）图片进行结构化分析处理，车辆图片处理速度不低于1.8万张/min，人体图片处理速度不低于3.0万张/min，活动目标处理速度不低于2.4万张/min</w:t>
            </w:r>
            <w:r>
              <w:rPr>
                <w:rFonts w:hint="eastAsia" w:ascii="宋体" w:hAnsi="宋体" w:cs="宋体"/>
                <w:kern w:val="0"/>
                <w:sz w:val="20"/>
                <w:szCs w:val="20"/>
              </w:rPr>
              <w:br w:type="textWrapping"/>
            </w:r>
            <w:r>
              <w:rPr>
                <w:rFonts w:hint="eastAsia" w:ascii="宋体" w:hAnsi="宋体" w:cs="宋体"/>
                <w:kern w:val="0"/>
                <w:sz w:val="20"/>
                <w:szCs w:val="20"/>
              </w:rPr>
              <w:t>支持900万像素及以下图片的结构化处理</w:t>
            </w:r>
            <w:r>
              <w:rPr>
                <w:rFonts w:hint="eastAsia" w:ascii="宋体" w:hAnsi="宋体" w:cs="宋体"/>
                <w:kern w:val="0"/>
                <w:sz w:val="20"/>
                <w:szCs w:val="20"/>
              </w:rPr>
              <w:br w:type="textWrapping"/>
            </w:r>
            <w:r>
              <w:rPr>
                <w:rFonts w:hint="eastAsia" w:ascii="宋体" w:hAnsi="宋体" w:cs="宋体"/>
                <w:kern w:val="0"/>
                <w:sz w:val="20"/>
                <w:szCs w:val="20"/>
              </w:rPr>
              <w:t>支持图片中车辆内挂件、天窗站人、副驾驶怀抱婴幼儿、渣土车是否盖板、卡片/出入证、是否有备胎、三轮车无蓬载人、三轮车有无蓬、是否有行李架、前排纸巾盒、车身是否喷字、车辆标贴的检测识别</w:t>
            </w:r>
            <w:r>
              <w:rPr>
                <w:rFonts w:hint="eastAsia" w:ascii="宋体" w:hAnsi="宋体" w:cs="宋体"/>
                <w:kern w:val="0"/>
                <w:sz w:val="20"/>
                <w:szCs w:val="20"/>
              </w:rPr>
              <w:br w:type="textWrapping"/>
            </w:r>
            <w:r>
              <w:rPr>
                <w:rFonts w:hint="eastAsia" w:ascii="宋体" w:hAnsi="宋体" w:cs="宋体"/>
                <w:kern w:val="0"/>
                <w:sz w:val="20"/>
                <w:szCs w:val="20"/>
              </w:rPr>
              <w:t>支持对图片中的背向车辆进行检测识别，支持图片中背向车辆颜色、车辆类型、车辆子品牌识别</w:t>
            </w:r>
            <w:r>
              <w:rPr>
                <w:rFonts w:hint="eastAsia" w:ascii="宋体" w:hAnsi="宋体" w:cs="宋体"/>
                <w:kern w:val="0"/>
                <w:sz w:val="20"/>
                <w:szCs w:val="20"/>
              </w:rPr>
              <w:br w:type="textWrapping"/>
            </w:r>
            <w:r>
              <w:rPr>
                <w:rFonts w:hint="eastAsia" w:ascii="宋体" w:hAnsi="宋体" w:cs="宋体"/>
                <w:kern w:val="0"/>
                <w:sz w:val="20"/>
                <w:szCs w:val="20"/>
              </w:rPr>
              <w:t>▲支持对图片中的车辆进行车牌颜色识别，支持黑、白、蓝、黄、绿五种车牌颜色的识别，识别准确率，白天（光线正常）不低于99%；夜晚（补光正常）不低于99%（提供公安部有效检测报告）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支持对视频和图片中车辆的子品牌进行识别，图片识别支持不少于5300种车辆子品牌和年款的识别（正向），支持不少于2800种车辆子品牌和年款的识别（背向），视频识别支持不少于2000种车辆子品牌和年款的识别，光线正常，图片车辆子品牌识别白天正向准确率不低于99%，背向准确率不低于95%（提供公安部有效检测报告）</w:t>
            </w:r>
            <w:r>
              <w:rPr>
                <w:rFonts w:hint="eastAsia" w:ascii="宋体" w:hAnsi="宋体" w:cs="宋体"/>
                <w:kern w:val="0"/>
                <w:sz w:val="20"/>
                <w:szCs w:val="20"/>
              </w:rPr>
              <w:br w:type="textWrapping"/>
            </w:r>
            <w:r>
              <w:rPr>
                <w:rFonts w:hint="eastAsia" w:ascii="宋体" w:hAnsi="宋体" w:cs="宋体"/>
                <w:kern w:val="0"/>
                <w:sz w:val="20"/>
                <w:szCs w:val="20"/>
              </w:rPr>
              <w:t>支持多个设备智能分析单元通过级联方式形成集群系统</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3</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融合大数据</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海康、大华、宇视</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车辆、人体、WiFi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热数据和冷数据：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单台：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冷数据：车辆20亿/人体10亿/WiFi 40亿条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集群：（N表示台数）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冷数据：车辆20亿* N/人体10亿* N/WiFi 40亿 * N</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注：热数据的规格配置参考配单选型链接：http://10.19.134.10:626/deploy/</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多种数据的时候按比例折算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硬件规格：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机箱规格：19英寸2U标准机架式，87.8mm(高)x 482mm(宽)x 801.2mm(深)；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处理器：2 * Intel 4114 CPU</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内存：256GB DDR4；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硬盘：240G M.2×1+240G SSD×1+ 480G SSD×6+2T 7.2K SATA×4；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数据接口：2个 万兆光口+ 2个千兆电口，4个 USB 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额定功耗：高效能550W铂金1+1 CRPS冗余电源；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数据应用数据应用（基于感知数据服务软件实现）：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1、车辆数据应用：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过车查询、轨迹查询、夜间面部遮挡、卡口流量预测、初次入城、频繁出入、区域碰撞、跟车关联；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落脚点、隐匿车、昼伏夜出、空降车、车辆分组统计、以图搜图、套牌车分析、一车一档、模型布控、红名单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2、人体数据应用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属性检索、统计分析、以图搜图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3、WIFI数据应用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属性查询、区域碰撞、伴随分析、轨迹查询、数据统计</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054" w:type="dxa"/>
            <w:tcBorders>
              <w:top w:val="nil"/>
              <w:left w:val="nil"/>
              <w:bottom w:val="single" w:color="auto" w:sz="4" w:space="0"/>
              <w:right w:val="single" w:color="auto" w:sz="4" w:space="0"/>
            </w:tcBorders>
            <w:noWrap w:val="0"/>
            <w:vAlign w:val="top"/>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4</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核心交换机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华为、华三、思科</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交换容量≥512Tbps(官网X/Y值以X值为准),包转发率≥28800Mpps，主控槽位数≥2个，独立交换网板槽位数≥4个，业务板卡槽位数≥8个，可插拔风扇框槽位数≥4个，独立监控板槽位≥2个，采用机箱后出风的散热架构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2、考虑运维方便性，要求主控、交换网板、业务板卡、监控板等都统一单侧维护（统一前侧维护或统一后侧维护）；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3、本次实际配置冗余电源，为保证设备电源稳定运行，要求单电源功率≥3000W，保证一个电源故障后单电源仍然能承担整机工作；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4、支持RIP V1/V2、OSPF、IS-IS、BGP，支持用户管理功能，支持802.1X/ MAC/Portal/PPPOE等认证方式终结，支持扁平化设计；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5、▲采用ARM架构CPU和交换芯片，支持五万用户在线 </w:t>
            </w:r>
            <w:r>
              <w:rPr>
                <w:rFonts w:ascii="宋体" w:hAnsi="宋体" w:cs="宋体"/>
                <w:color w:val="000000"/>
                <w:kern w:val="0"/>
                <w:sz w:val="20"/>
                <w:szCs w:val="20"/>
              </w:rPr>
              <w:t xml:space="preserve">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6、支持10G/100G等端口全线速，双向流量零丢包，在64、128、256、512、1024、1518等字节下依然保持全线速；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7、支持MAC表项≥500K，组播路由表项≥64K，支持路由表项/FIB≥500K；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8、支持ARP表项≥250K，ACL规则数≥5K；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9、支持VXLAN、telemetry等数据中心特性，支持每槽位100G端口≥24个，保证后期扩容；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10、环网故障倒换时间≤14ms，快速重路由时间≤7ms，支持硬件故障监控；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11、支持ARP学习速率≥950个/秒，MAC地址学习速率≥7500个/秒，支持Microsoft网络负载均衡（NLB）的组播ARP；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12、支持随时随地逐点实时检测网络质量，能够基于真实的数据流量进行检测，直接对业务报文染色进行丢包性能统计，无需额外增加测量流量，能够实现点到点、多点到多点网络的丢包性能统计；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 支持多级H-QoS调度，可以精细地标识用户及其业务，提供基于业务、用户、端口队列、端口等层次化的多级调度，保证高级用户的高优先级业务体验；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本次产品配置：双主控，双交换网板，双3000W电源模块；千兆以太网电口≥48个（与光端口物理分离），万兆以太网光口≥24个（与电端口物理分离），千兆以太网光口≥24个（与电端口物理分离）及万兆单模10KM模块≥4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15、配置原厂3年维保，签订合同后提供原厂售后服务承诺函及针对此项目授权函；</w:t>
            </w:r>
            <w:r>
              <w:rPr>
                <w:rFonts w:ascii="宋体" w:hAnsi="宋体" w:cs="宋体"/>
                <w:color w:val="000000"/>
                <w:kern w:val="0"/>
                <w:sz w:val="20"/>
                <w:szCs w:val="20"/>
              </w:rPr>
              <w:t xml:space="preserve"> </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5</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汇聚交换机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华为、华三、思科</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交换容量≥2.5Tbps,包转发率≥1050Mpps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提供千兆/万兆自适应光口≥48，40G QSFP+端口≥2，支持2个扩展插槽，扩展后最大可支持6个QSFP+端口，提供官网截图和链接作为证明，配置2端口QSFP+板卡一块。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支持模块化热插拔冗余电源，配置双电源模块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▲考虑到网络的安全性，设备支持安全插卡保障业务安全可靠的运行，提供支持多类型子卡特性的第三方测试报告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叠链路冗余保护收敛时间小于50ms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支持静态路由、RIP、RIPng、OSPF、OSPFv3、BGP、BGP4+、ISIS、ISISv6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支持9台设备堆叠同时堆叠后可以实现本地负载功能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支持VxLAN二三层网关，支持EVP分布式网关二三层互通功能</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6</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光纤通道交换机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w:t>
            </w:r>
            <w:r>
              <w:rPr>
                <w:rFonts w:hint="eastAsia" w:ascii="宋体" w:hAnsi="宋体" w:cs="宋体"/>
                <w:kern w:val="0"/>
                <w:sz w:val="20"/>
                <w:szCs w:val="20"/>
              </w:rPr>
              <w:br w:type="textWrapping"/>
            </w:r>
            <w:r>
              <w:rPr>
                <w:rFonts w:hint="eastAsia" w:ascii="宋体" w:hAnsi="宋体" w:cs="宋体"/>
                <w:kern w:val="0"/>
                <w:sz w:val="20"/>
                <w:szCs w:val="20"/>
              </w:rPr>
              <w:t>BROCADE</w:t>
            </w:r>
            <w:r>
              <w:rPr>
                <w:rFonts w:hint="eastAsia" w:ascii="宋体" w:hAnsi="宋体" w:cs="宋体"/>
                <w:kern w:val="0"/>
                <w:sz w:val="20"/>
                <w:szCs w:val="20"/>
              </w:rPr>
              <w:br w:type="textWrapping"/>
            </w:r>
            <w:r>
              <w:rPr>
                <w:rFonts w:hint="eastAsia" w:ascii="宋体" w:hAnsi="宋体" w:cs="宋体"/>
                <w:kern w:val="0"/>
                <w:sz w:val="20"/>
                <w:szCs w:val="20"/>
              </w:rPr>
              <w:t>、DELL</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24端口(12端口激活,含12*16Gb多模SFP)-双电源(交流)；FC单模光模块-16Gbps-10KM</w:t>
            </w:r>
            <w:r>
              <w:rPr>
                <w:rFonts w:ascii="宋体" w:hAnsi="宋体" w:cs="宋体"/>
                <w:color w:val="000000"/>
                <w:kern w:val="0"/>
                <w:sz w:val="20"/>
                <w:szCs w:val="20"/>
              </w:rPr>
              <w:t>*12</w:t>
            </w:r>
            <w:r>
              <w:rPr>
                <w:rFonts w:hint="eastAsia" w:ascii="宋体" w:hAnsi="宋体" w:cs="宋体"/>
                <w:color w:val="000000"/>
                <w:kern w:val="0"/>
                <w:sz w:val="20"/>
                <w:szCs w:val="20"/>
              </w:rPr>
              <w:t>；端口扩容-12端口激活(含10*16Gb多模SFP)；-License-长距离传输；保证柯桥公安分局7楼老机房及实战指挥中心机房之间的互通。</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7</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存储备份一体机</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华为、Veritas、爱数</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标配单路CPU (Intel Bronze 3106 , 1.7GHz/8-core/11MB/85W)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标配32GB内存 (16GB DDR4 * 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标配系统盘 240GB SSD * 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标配2个千兆以太网口 , 2个万兆光口(不含光模块)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固定配置8块8TB磁盘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支持按节点进行集群扩展，最大可支持3节点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可通过配置高级授权支持CDP、重删、永久增量备份、LAN-Free、D2T、D2D2T、远程复制、云备份、SAP HANA、Hadoop等功能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本次默认包含定时备份永久授权，不限制前端主机类型及数量（UNIX及小型机除外）</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UNIX客户端备份代理、基础支持服务3年、AnyBackup 交付服务</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8</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安全数据交换系统</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合众、辰锐、 国保金泰</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硬件配置：标准机架式机箱，双服务器主机架构。内网接口：标配1个100/1000M Base-TX管理接口，1个100/1000M Base-TX网闸接口，2个100/1000M Base-TX网络接口。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外网接口：标配1个100/1000M Base-TX管理接口，1个100/1000M Base-TX网闸接口，2个100/1000M Base-TX网络接口。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专用安全加固Linux操作系统。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服务器专用冗余电源。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性能参数：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性能参数：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稳定性运行时间(MTBF)&gt;50000小时；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交换能力≥600Mbps；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并发会话6000个；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数据库到数据库交换记录数（&gt;100Kb/记录）≥2000条/秒；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数据文件处理文件数（&gt;100Kb/记录）≥1500个/秒；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数据文件处理吞吐量≥600Mbps；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应用层数据交换速度（FTP）≥600Mbps；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最大数据文件≥30G；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最大支持服务≥60；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目录监控触发时间&lt;1秒；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最大传输延时&lt;40ms；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数据库交换功能：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1、支持主流数据库交换，包括：Oracle、DB2、SQL Server、Sybase及MYSQL的各种版本，支持国产数据库如：达梦、神舟通用等；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2、支持多种数据库获取方式，包括：全表镜像模式、有序增量模式、快照日志模式、触发器模式和同表双向模式；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3、支持各种数据库之间的异构数据转换，包括：不同数据库、同类数据库不同版本的转换、异构表、异构字段名、异构字段类型的转换、异构字符类型、异构数据库字符集的转换、大字段的异构等；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4、支持数据合并与分发；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5、支持基于触发器或者日志方式的同表双向（提供功能配置页面截图）；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6、支持条件选择交换。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文件交换功能：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1、支持共享、客户端、FTP等多种模式的文件同步服务，支持文件实时同步（提供功能配置页面截图）；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2、支持灵活的文件交换冲突选项，包括：重名策略，覆盖、放弃、重命名等处理模式。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1、必须进行身份认证，包括：内外网交换服务器之间的身份认证和交换服务器与数据交换对象之间的身份认证；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2、要求对传输数据进行加密；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3、要求对所传输的文件格式进行检查；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4、能够通过流杀毒引擎对所交换的数据进行过滤，阻断含有病毒或木马的数据进行交换；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5、能够自动识别所交换内容中的SQL语句。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异常处理功能：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1、具有断网重连功能，能够保证各种异常情况可以自动恢复，交换过程不丢失数据；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2、具有故障事后恢复功能；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3、数据交换过程出现故障时，系统能够及时向管理员报警。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4、安全数据交换系统支持多网闸容错，当一台网闸出现故障，数据交换系统会自动选择无故障的网闸继续运行，不影响数据的正常交换。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5、安全数据交换系统支持交换对象的密级配置，低密级对象只能向高密级对象交换数据，高密级无法向低密级交换。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1、符合等级保护的要求，具有三权分立的管理功能；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2、可以实时监控某个业务当前状态，包括：流量、每分钟传输数、运行状态等；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3、能够实现对用户业务运行环境的实时监测，如用户数据库系统、文件系统的响应时间、当前性能、CPU/内存/共享缓冲区占用状态等；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4、可以实时监控外网交换服务器和内网交换服务器的设备状态，如CPU使用、内存使用、硬盘使用、虚拟内存使用等；5、能够通过曲线图或者柱状图等方式，统计过去任一段时间内所交换数据流量或者交换次数；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6、支持将日志信息以标准格式(SYSLOG格式)导出给第三方系统备、分析。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7、安全数据交换系统支持对网闸的实时流量和延时进行监控分析（提供功能配置页面截图）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1.硬件形态：标准2U机箱，标配单电源；配备液晶屏和整机健康监控声光报警装置。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2.内网接口：标配2个10/100/1000M Base-TX网络接口，2个SFP插槽，1个10/100/1000M Base-TX管理接口，1个10/100/1000M Base-TX HA接口（双机热备口）。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外网接口：标配2个10/100/1000M Base-TX网络接口，2个SFP插槽，1个10/100/1000M Base-TX管理接口，1个10/100/1000M Base-TX HA接口（双机热备口）。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3.硬件开关切换时间小于5ns，交换能力≥700m；并发会话≥20000个；数据文件处理吞吐量≥700m；传输延迟＜50ms。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4．提供销售许可证，提供原厂3年质保 。</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9</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视频安全接入系统</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合众、辰锐、 国保金泰</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1、硬件形态：标准机架式机箱，专用安全加固Linux操作系统。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硬件配置：视频安全隔离设备、视频接入认证服务器、视频用户认证服务器三个设备组成；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视频安全隔离设备内外网各接口：必配1个100/1000M Base-TX管理接口，5个100/1000M Base-TX网络接口，2个10000M Base-FX网络接口；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视频用户认证服务器网络接口：必配1个100/1000M Base-TX管理接口，5个100/1000M Base-TX网络接口，2个10000M Base-FX网络接口；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视频接入认证服务器网络接口：必配1个100/1000M Base-TX管理接口，5个100/1000M Base-TX网络接口，2个10000M Base-FX网络接口；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2、数据吞吐量≥4000Mbps，传输延时≤20ms；内外网各6个千兆网络接口，2个万兆光口；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3、满足海康、大华、宇视、立元、信产、科达 、互信互通、华为、先进视讯、天视、博康、博路、贝尔等40多种视频控制协议，可对常见视频协议的命令和参数进行分析和过滤，并可观看视频的实况、回放和云台的控制； 可根据用户的IP 将用户分为普通和特权用户，普通用户只能访问一个视频系统，特权可以自定义访问多个视频系统；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4、能够直接识别各种主流的视频格式，仅允许合法的视频数据通过； </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10</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路由器</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华为、华三、思科</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包转发率≥360Mpps，交换容量≥670Gbps，支持6个扩展插槽，实际配置10个千兆（Combo口）+8个千兆光接口+4个万兆光口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后出风设计，避免影响左右机柜散热效果，符合主流机房设计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控制转发物理分离，独立冗余主控、独立冗余转发板,提供产品主控及转发板截图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▲支持虚拟化特性，将物理上两台设备虚拟化成一台逻辑设备，第三方机构的测试报告；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支持OAA开放式应用架构，支持云业务平台CVK、VMWARE、广域网优化（WAN）、Lync协同办公、客户第三方的业务等开放式应用。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支持记录终端用户访问互联网的日志，包括：用户名、源/目的IP地址、时间、访问的域名、URL等；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支持无线控制器功能，对下挂瘦AP设备进行注册、配置管理、版本管理、流量转发等统一控制；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支持Web cache技术，是将用户通过HTTP协议访问过的指定地址服务器的Web页面内容，缓存在本地，在缓存文件的老化时间内用户访问相同内容时，直接从本地响应的一种缓存功能，从而减少设备到服务器的访问流量、降低传输成本、缓解目的端服务器压力，同时提高了用户访问网站的速度及响应时间，增强了用户体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Segment Routing，控制流量按照预先设置的网络节点逐跳转发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支持对已知网络攻击进行安全防御，提高网络安全性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要求支持TCP传输优化，数据压缩解压，冗余数据消除等技术对广域网流量传输优化，提高广域网带宽利用率和减少链路抖动和延迟。</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11</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防火墙</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360、华三、安恒</w:t>
            </w:r>
          </w:p>
        </w:tc>
        <w:tc>
          <w:tcPr>
            <w:tcW w:w="515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采用非X86多核架构，具备可插拔冗余电源模块，可插拔冗余风扇模块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配4个千兆Combo接口,8个千兆电口*</w:t>
            </w:r>
            <w:r>
              <w:rPr>
                <w:rFonts w:ascii="宋体" w:hAnsi="宋体" w:cs="宋体"/>
                <w:color w:val="000000"/>
                <w:kern w:val="0"/>
                <w:sz w:val="20"/>
                <w:szCs w:val="20"/>
              </w:rPr>
              <w:t>2</w:t>
            </w:r>
            <w:r>
              <w:rPr>
                <w:rFonts w:hint="eastAsia" w:ascii="宋体" w:hAnsi="宋体" w:cs="宋体"/>
                <w:color w:val="000000"/>
                <w:kern w:val="0"/>
                <w:sz w:val="20"/>
                <w:szCs w:val="20"/>
              </w:rPr>
              <w:t>,8个万兆接口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性能要求 整机吞吐量≥30G,并发连接数≥1600万，每秒新建连接数≥50/s，并配置防病毒，IPS功能三年升级授权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支持实现路由模式、透明（网桥）模式、混合模式,支持静态路由、策略路由、RIP、OSPF、BGP等路由协议,支持实现一对一、多对一、多对多等多种形式的NAT，实现DNS、FTP、H.323等多种NAT ALG功能。 NAT地址池支持动态探测和可用地址分配。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实现高性能IPSec、L2TP、GRE VPN、SSL VPN等功能。支持IPsec VPN隧道自动建立，无需流量触发；支持IPsec VPN智能选路，根据应用和隧道质量调度流量。（提供功能截图）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可针对HTTP/HTTPS的安全策略来专门为Web应用提供保护。对来自Web应用程序客户端的各类请求进行内容检测和验证，确保其安全性与合法性，对非法的请求予以实时阻断，从而对各类网站进行有效防护。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支持sql注入、跨站脚本、远程代码执行、字符编码等攻击的防护，支持对网络设备、网页服务器、数据库等设备的专属特征分类，支持CC攻击防护，可基于检测请求报文头的X-forward-for字段，以获取真正的源IP地址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▲支持至少5000条以上的应用识别，且提示风险类型及风险级别，便于用户根据实际情况进行上网行为管理。（提供产品配置界面截图）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当终端流量流经设备时，设备可以分析并提取出终端信息，例如终端的厂商、型号等，并支持在终端信息发生变更时（比如将原厂商的摄像头换为其他厂商的摄像头）向用户发送日志，提示用户。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支持云端防病毒，为保证检测时效性，特征缓存数至少保证20万条且缓存保留时间不应少于700分钟（提供产品配置界面截图）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HTTPS加密流量的安全检测，支持TCP代理和SSL代理，且代理策略中可同时配置多类过滤条件，具体包括：源安全域、目的安全域、源地址、目的地址、用户和服务。一类过滤条件可以配置多个匹配项（提供产品配置界面截图）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支持多出口智能选路，支持基于链路权重、带宽、配置优先级、链路质量、用户业务、运营商、域名、时间、DSCP、PPPoE、DNS、地址加权HASH等智能选路方式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支持DNS透明代理功能，可基于负载均衡算法代理内网用户进行DNS请求转发，避免单运营商DNS解析出现单一链路流量过载，平衡多条运营商线路的带宽利用率。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支持全局负载功能，支持就近性探测末班的配置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支持流量自学习功能，可设置自学习时间，并自动生成DDoS防范策略。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支持基于接口及IP的报文捕获，并将捕获到的报文生成Wireshark（一种网络封包分析软件）可识别的.cap后缀文件，保存到本地或外部服务器，供用户分析诊断出入设备的流量。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支持丢包统计功能，用与分析和记录设备的转发流程和安全业务模块（如：攻击防范、会话管理和连接数限制等）丢弃报文的详细原因，通过查看各个模块丢弃报文的详细原因，有利于管理员对网络故障的快速排查和定位）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支持IPsec故障诊断功能，应支持至少三种诊断模式：数据流、接口、IP地址。用于检测IPsec连接的状态，当IPsec连接发生故障时，可以协助用户排查IPsec配置中的问题，并提供可能的原因。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国密算法 支持国密SM2/3/4算法。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所投设备须支持虚拟防火墙功能：支持虚拟防火墙的创建、启动、关闭、删除功能；可独立分配CPU/内存等计算资源；虚拟防火墙可独立管理，独立保存配置；虚拟防火墙具备独立会话管理、NAT、路由等功能，支持2台设备堆叠成一台设备使用，实现统一管理，统一配置，所投设备支持高可靠性（包含主备/主主模式）部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提供开放API接口（RESTful，NetConf），可编程管理防火墙，不再仅依赖网管软件。 </w:t>
            </w:r>
          </w:p>
          <w:p>
            <w:pPr>
              <w:widowControl/>
              <w:jc w:val="left"/>
              <w:rPr>
                <w:rFonts w:hint="eastAsia" w:ascii="等线" w:hAnsi="等线" w:eastAsia="等线" w:cs="宋体"/>
                <w:color w:val="000000"/>
                <w:kern w:val="0"/>
                <w:sz w:val="20"/>
                <w:szCs w:val="20"/>
              </w:rPr>
            </w:pPr>
            <w:r>
              <w:rPr>
                <w:rFonts w:ascii="等线" w:hAnsi="等线" w:eastAsia="等线" w:cs="宋体"/>
                <w:color w:val="000000"/>
                <w:kern w:val="0"/>
                <w:sz w:val="20"/>
                <w:szCs w:val="20"/>
              </w:rPr>
              <w:t>支持防病毒功能</w:t>
            </w:r>
            <w:r>
              <w:rPr>
                <w:rFonts w:hint="eastAsia" w:ascii="等线" w:hAnsi="等线" w:eastAsia="等线" w:cs="宋体"/>
                <w:color w:val="000000"/>
                <w:kern w:val="0"/>
                <w:sz w:val="20"/>
                <w:szCs w:val="20"/>
              </w:rPr>
              <w:t>3年及升级、支持入侵检测功能3年及升级</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台</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02" w:hRule="atLeast"/>
        </w:trPr>
        <w:tc>
          <w:tcPr>
            <w:tcW w:w="417" w:type="dxa"/>
            <w:tcBorders>
              <w:top w:val="nil"/>
              <w:left w:val="single" w:color="auto" w:sz="4" w:space="0"/>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12</w:t>
            </w:r>
          </w:p>
        </w:tc>
        <w:tc>
          <w:tcPr>
            <w:tcW w:w="5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机房机柜</w:t>
            </w:r>
          </w:p>
        </w:tc>
        <w:tc>
          <w:tcPr>
            <w:tcW w:w="1116"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图腾、IBM、华为</w:t>
            </w:r>
          </w:p>
        </w:tc>
        <w:tc>
          <w:tcPr>
            <w:tcW w:w="5154"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2000*800*1100，并提供机房环境。如供应商已针对本项目有已配机柜，则只需要满足本次项目所需空间即可</w:t>
            </w:r>
          </w:p>
        </w:tc>
        <w:tc>
          <w:tcPr>
            <w:tcW w:w="41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只</w:t>
            </w:r>
          </w:p>
        </w:tc>
        <w:tc>
          <w:tcPr>
            <w:tcW w:w="568" w:type="dxa"/>
            <w:tcBorders>
              <w:top w:val="nil"/>
              <w:left w:val="nil"/>
              <w:bottom w:val="single" w:color="auto" w:sz="4" w:space="0"/>
              <w:right w:val="single" w:color="auto" w:sz="4" w:space="0"/>
            </w:tcBorders>
            <w:shd w:val="clear" w:color="000000" w:fill="FFFFFF"/>
            <w:noWrap w:val="0"/>
            <w:vAlign w:val="top"/>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1054" w:type="dxa"/>
            <w:tcBorders>
              <w:top w:val="nil"/>
              <w:left w:val="nil"/>
              <w:bottom w:val="single" w:color="auto" w:sz="4" w:space="0"/>
              <w:right w:val="single" w:color="auto" w:sz="4" w:space="0"/>
            </w:tcBorders>
            <w:noWrap w:val="0"/>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pStyle w:val="3"/>
        <w:rPr>
          <w:rFonts w:hint="eastAsia" w:ascii="宋体" w:hAnsi="宋体"/>
          <w:bCs w:val="0"/>
          <w:color w:val="000000"/>
          <w:sz w:val="24"/>
          <w:szCs w:val="24"/>
        </w:rPr>
      </w:pPr>
      <w:bookmarkStart w:id="145" w:name="_Toc47022278"/>
      <w:r>
        <w:rPr>
          <w:rFonts w:hint="eastAsia" w:ascii="宋体" w:hAnsi="宋体"/>
          <w:bCs w:val="0"/>
          <w:color w:val="000000"/>
          <w:sz w:val="24"/>
          <w:szCs w:val="24"/>
        </w:rPr>
        <w:t>12.8特别说明：</w:t>
      </w:r>
      <w:bookmarkEnd w:id="145"/>
    </w:p>
    <w:p>
      <w:pPr>
        <w:widowControl/>
        <w:snapToGrid w:val="0"/>
        <w:spacing w:line="440" w:lineRule="exact"/>
        <w:ind w:firstLine="470" w:firstLineChars="196"/>
        <w:rPr>
          <w:rFonts w:hint="eastAsia" w:ascii="宋体"/>
          <w:bCs/>
          <w:sz w:val="24"/>
        </w:rPr>
      </w:pPr>
      <w:r>
        <w:rPr>
          <w:rFonts w:hint="eastAsia" w:ascii="宋体"/>
          <w:bCs/>
          <w:sz w:val="24"/>
        </w:rPr>
        <w:t>12.8.1本技术规格只是对该项目建设原则性的要求，并非详尽的要求，供应商有责任对设计的实施符合技术规范负责，并有责任提出在本技术规格中未阐述的但为保证系</w:t>
      </w:r>
      <w:bookmarkStart w:id="146" w:name="_Toc382504215"/>
      <w:r>
        <w:rPr>
          <w:rFonts w:hint="eastAsia" w:ascii="宋体"/>
          <w:bCs/>
          <w:sz w:val="24"/>
        </w:rPr>
        <w:t>统建成后能</w:t>
      </w:r>
      <w:bookmarkEnd w:id="146"/>
      <w:r>
        <w:rPr>
          <w:rFonts w:hint="eastAsia" w:ascii="宋体"/>
          <w:bCs/>
          <w:sz w:val="24"/>
        </w:rPr>
        <w:t>一次性通过验收及保证正常运行所必须的建议和要求，并落实在方案和投标报价之中，为实现本标书功能，如有设备与软件遗漏的，由供应商无偿采购。</w:t>
      </w:r>
    </w:p>
    <w:p>
      <w:pPr>
        <w:snapToGrid w:val="0"/>
        <w:spacing w:line="440" w:lineRule="exact"/>
        <w:ind w:firstLine="482" w:firstLineChars="200"/>
        <w:jc w:val="left"/>
        <w:rPr>
          <w:rFonts w:hint="eastAsia" w:ascii="宋体"/>
          <w:b/>
          <w:bCs/>
          <w:sz w:val="24"/>
        </w:rPr>
      </w:pPr>
      <w:r>
        <w:rPr>
          <w:rFonts w:hint="eastAsia" w:ascii="宋体"/>
          <w:b/>
          <w:bCs/>
          <w:sz w:val="24"/>
        </w:rPr>
        <w:t>12.8.2本采购文件如涉及各类品牌、型号是结合实际现有情况的推荐性参考方案，投标供应商也可根据招标文件的要求推荐性能相当或高于、服务条款相等或高于、符合采购方实际业务需求其他同档次优质品牌的产品，进行方案优化。</w:t>
      </w: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ind w:firstLine="482" w:firstLineChars="200"/>
        <w:jc w:val="left"/>
        <w:rPr>
          <w:rFonts w:hint="eastAsia" w:ascii="宋体"/>
          <w:b/>
          <w:bCs/>
          <w:sz w:val="24"/>
        </w:rPr>
      </w:pPr>
    </w:p>
    <w:p>
      <w:pPr>
        <w:snapToGrid w:val="0"/>
        <w:spacing w:line="440" w:lineRule="exact"/>
        <w:jc w:val="left"/>
        <w:rPr>
          <w:rFonts w:hint="eastAsia" w:ascii="宋体"/>
          <w:b/>
          <w:bCs/>
          <w:sz w:val="24"/>
        </w:rPr>
      </w:pPr>
    </w:p>
    <w:p>
      <w:pPr>
        <w:snapToGrid w:val="0"/>
        <w:spacing w:line="440" w:lineRule="exact"/>
        <w:ind w:firstLine="482" w:firstLineChars="200"/>
        <w:jc w:val="left"/>
        <w:rPr>
          <w:rFonts w:hint="eastAsia" w:ascii="宋体"/>
          <w:b/>
          <w:bCs/>
          <w:sz w:val="24"/>
        </w:rPr>
      </w:pPr>
    </w:p>
    <w:p>
      <w:pPr>
        <w:pStyle w:val="2"/>
        <w:numPr>
          <w:ilvl w:val="0"/>
          <w:numId w:val="0"/>
        </w:numPr>
        <w:spacing w:after="0" w:line="240" w:lineRule="auto"/>
        <w:jc w:val="center"/>
        <w:rPr>
          <w:rFonts w:ascii="宋体" w:hAnsi="宋体"/>
          <w:b w:val="0"/>
          <w:color w:val="000000"/>
        </w:rPr>
      </w:pPr>
      <w:bookmarkStart w:id="147" w:name="_Toc46418612"/>
      <w:bookmarkStart w:id="148" w:name="_Toc516676414"/>
      <w:bookmarkStart w:id="149" w:name="_Toc46319053"/>
      <w:r>
        <w:rPr>
          <w:rFonts w:hint="eastAsia" w:ascii="宋体" w:hAnsi="宋体"/>
          <w:b w:val="0"/>
          <w:color w:val="000000"/>
        </w:rPr>
        <w:t>附件十三：技术补充文件</w:t>
      </w:r>
      <w:bookmarkEnd w:id="147"/>
      <w:bookmarkEnd w:id="148"/>
      <w:bookmarkEnd w:id="149"/>
    </w:p>
    <w:p>
      <w:pPr>
        <w:spacing w:line="400" w:lineRule="exact"/>
        <w:ind w:firstLine="482"/>
        <w:rPr>
          <w:rFonts w:hAnsi="宋体"/>
          <w:b/>
          <w:bCs/>
          <w:color w:val="000000"/>
        </w:rPr>
      </w:pPr>
    </w:p>
    <w:p>
      <w:pPr>
        <w:spacing w:line="400" w:lineRule="exact"/>
        <w:ind w:firstLine="482"/>
        <w:rPr>
          <w:rFonts w:hAnsi="宋体"/>
          <w:b/>
          <w:bCs/>
          <w:color w:val="000000"/>
        </w:rPr>
      </w:pPr>
      <w:r>
        <w:rPr>
          <w:rFonts w:hint="eastAsia" w:hAnsi="宋体"/>
          <w:b/>
          <w:bCs/>
          <w:color w:val="000000"/>
        </w:rPr>
        <w:t>本项目还有一份《技术补充文件》需领取。</w:t>
      </w:r>
    </w:p>
    <w:p>
      <w:pPr>
        <w:widowControl/>
        <w:spacing w:line="500" w:lineRule="exact"/>
        <w:ind w:firstLine="474" w:firstLineChars="225"/>
        <w:jc w:val="left"/>
        <w:rPr>
          <w:rFonts w:hint="eastAsia"/>
          <w:b/>
        </w:rPr>
      </w:pPr>
      <w:r>
        <w:rPr>
          <w:rFonts w:hint="eastAsia" w:hAnsi="宋体"/>
          <w:b/>
          <w:bCs/>
          <w:color w:val="000000"/>
        </w:rPr>
        <w:t>请各投标商于2020年11月  2日16:00时前</w:t>
      </w:r>
      <w:r>
        <w:rPr>
          <w:rFonts w:hint="eastAsia" w:ascii="Times New Roman" w:hAnsi="宋体"/>
          <w:b/>
          <w:bCs/>
        </w:rPr>
        <w:t>到绍兴市公安局柯桥区分局311办公室韩炜正处领取“技术补充文件”，填写补充文件第三部分“回执”并加盖公章后，于三个工作日内将补充文件交回原领取处，逾期未交者视作放弃本项目投标资格。联系电话：</w:t>
      </w:r>
      <w:r>
        <w:rPr>
          <w:rFonts w:hint="eastAsia" w:ascii="宋体" w:hAnsi="宋体"/>
          <w:szCs w:val="21"/>
          <w:u w:val="single"/>
        </w:rPr>
        <w:t xml:space="preserve">0575-85596052  </w:t>
      </w:r>
      <w:r>
        <w:rPr>
          <w:rFonts w:hint="eastAsia" w:ascii="Times New Roman" w:hAnsi="宋体"/>
          <w:b/>
          <w:bCs/>
        </w:rPr>
        <w:t>。</w:t>
      </w:r>
    </w:p>
    <w:p>
      <w:pPr>
        <w:spacing w:line="400" w:lineRule="exact"/>
        <w:ind w:firstLine="482"/>
        <w:rPr>
          <w:rFonts w:hint="eastAsia"/>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tabs>
          <w:tab w:val="left" w:pos="2310"/>
        </w:tabs>
        <w:rPr>
          <w:rFonts w:hint="eastAsia"/>
          <w:color w:val="000000"/>
        </w:rPr>
      </w:pPr>
    </w:p>
    <w:p>
      <w:pPr>
        <w:pStyle w:val="2"/>
        <w:numPr>
          <w:ilvl w:val="0"/>
          <w:numId w:val="0"/>
        </w:numPr>
        <w:spacing w:after="0" w:line="240" w:lineRule="auto"/>
        <w:jc w:val="center"/>
        <w:rPr>
          <w:rFonts w:hint="eastAsia" w:ascii="宋体" w:hAnsi="宋体"/>
          <w:b w:val="0"/>
          <w:color w:val="000000"/>
        </w:rPr>
      </w:pPr>
      <w:bookmarkStart w:id="150" w:name="_Toc46418613"/>
      <w:bookmarkStart w:id="151" w:name="_Toc46319054"/>
      <w:r>
        <w:rPr>
          <w:rFonts w:hint="eastAsia" w:ascii="宋体" w:hAnsi="宋体"/>
          <w:b w:val="0"/>
          <w:color w:val="000000"/>
        </w:rPr>
        <w:t>附件十四：</w:t>
      </w:r>
      <w:bookmarkStart w:id="152" w:name="_Toc386486784"/>
      <w:r>
        <w:rPr>
          <w:rFonts w:hint="eastAsia" w:ascii="宋体" w:hAnsi="宋体"/>
          <w:b w:val="0"/>
          <w:color w:val="000000"/>
        </w:rPr>
        <w:t>评标办法</w:t>
      </w:r>
      <w:bookmarkEnd w:id="150"/>
      <w:bookmarkEnd w:id="151"/>
      <w:bookmarkEnd w:id="152"/>
    </w:p>
    <w:p>
      <w:pPr>
        <w:spacing w:line="440" w:lineRule="exact"/>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根据《中华人民共和国政府采购法》等有关法律法规，结合本项目的实际，按照公正、公平、科学的原则择优选择中标供应商，特制定本评标办法。</w:t>
      </w:r>
    </w:p>
    <w:p>
      <w:pPr>
        <w:spacing w:line="360" w:lineRule="auto"/>
        <w:ind w:firstLine="480" w:firstLineChars="200"/>
        <w:rPr>
          <w:rFonts w:ascii="宋体" w:hAnsi="宋体"/>
          <w:color w:val="000000"/>
          <w:sz w:val="24"/>
        </w:rPr>
      </w:pPr>
      <w:r>
        <w:rPr>
          <w:rFonts w:hint="eastAsia" w:ascii="宋体" w:hAnsi="宋体"/>
          <w:color w:val="000000"/>
          <w:sz w:val="24"/>
        </w:rPr>
        <w:t>一、总</w:t>
      </w:r>
      <w:r>
        <w:rPr>
          <w:rFonts w:ascii="宋体" w:hAnsi="宋体"/>
          <w:color w:val="000000"/>
          <w:sz w:val="24"/>
        </w:rPr>
        <w:t xml:space="preserve"> </w:t>
      </w:r>
      <w:r>
        <w:rPr>
          <w:rFonts w:hint="eastAsia" w:ascii="宋体" w:hAnsi="宋体"/>
          <w:color w:val="000000"/>
          <w:sz w:val="24"/>
        </w:rPr>
        <w:t>则</w:t>
      </w:r>
    </w:p>
    <w:p>
      <w:pPr>
        <w:spacing w:line="360" w:lineRule="auto"/>
        <w:ind w:firstLine="480" w:firstLineChars="200"/>
        <w:rPr>
          <w:rFonts w:ascii="宋体" w:hAnsi="宋体"/>
          <w:color w:val="000000"/>
          <w:sz w:val="24"/>
        </w:rPr>
      </w:pPr>
      <w:r>
        <w:rPr>
          <w:rFonts w:hint="eastAsia" w:ascii="宋体" w:hAnsi="宋体"/>
          <w:color w:val="000000"/>
          <w:sz w:val="24"/>
        </w:rPr>
        <w:t>评标工作必须遵循公平、公正的竞争原则。最大限度地保护当事人的权益，评标委员会应严格按照采购文件的</w:t>
      </w:r>
      <w:r>
        <w:rPr>
          <w:rFonts w:hint="eastAsia" w:ascii="宋体" w:hAnsi="宋体"/>
          <w:color w:val="000000"/>
          <w:sz w:val="24"/>
          <w:u w:val="single"/>
        </w:rPr>
        <w:t>商务技术标、价格标</w:t>
      </w:r>
      <w:r>
        <w:rPr>
          <w:rFonts w:hint="eastAsia" w:ascii="宋体" w:hAnsi="宋体"/>
          <w:color w:val="000000"/>
          <w:sz w:val="24"/>
        </w:rPr>
        <w:t>要求，对投标文件进行综合分析评价。评标人员必须严格遵守保密规定，不得泄露评标有关的情况，不得索贿，不得参加影响评标的任何活动。</w:t>
      </w:r>
    </w:p>
    <w:p>
      <w:pPr>
        <w:spacing w:line="360" w:lineRule="auto"/>
        <w:ind w:firstLine="480" w:firstLineChars="200"/>
        <w:rPr>
          <w:rFonts w:ascii="宋体" w:hAnsi="宋体"/>
          <w:color w:val="000000"/>
          <w:sz w:val="24"/>
        </w:rPr>
      </w:pPr>
      <w:r>
        <w:rPr>
          <w:rFonts w:hint="eastAsia" w:ascii="宋体" w:hAnsi="宋体"/>
          <w:color w:val="000000"/>
          <w:sz w:val="24"/>
        </w:rPr>
        <w:t>二、评标组织</w:t>
      </w:r>
    </w:p>
    <w:p>
      <w:pPr>
        <w:spacing w:line="360" w:lineRule="auto"/>
        <w:ind w:firstLine="480" w:firstLineChars="200"/>
        <w:rPr>
          <w:rFonts w:ascii="宋体" w:hAnsi="宋体"/>
          <w:color w:val="000000"/>
          <w:sz w:val="24"/>
        </w:rPr>
      </w:pPr>
      <w:r>
        <w:rPr>
          <w:rFonts w:hint="eastAsia" w:ascii="宋体" w:hAnsi="宋体"/>
          <w:color w:val="000000"/>
          <w:sz w:val="24"/>
        </w:rPr>
        <w:t>评标委员会：评标委员会按相关规定共由</w:t>
      </w:r>
      <w:r>
        <w:rPr>
          <w:rFonts w:ascii="宋体" w:hAnsi="宋体"/>
          <w:color w:val="000000"/>
          <w:sz w:val="24"/>
        </w:rPr>
        <w:t>5</w:t>
      </w:r>
      <w:r>
        <w:rPr>
          <w:rFonts w:hint="eastAsia" w:ascii="宋体" w:hAnsi="宋体"/>
          <w:color w:val="000000"/>
          <w:sz w:val="24"/>
        </w:rPr>
        <w:t>人及以上单数组成。</w:t>
      </w:r>
    </w:p>
    <w:p>
      <w:pPr>
        <w:spacing w:line="360" w:lineRule="auto"/>
        <w:ind w:firstLine="480" w:firstLineChars="200"/>
        <w:rPr>
          <w:rFonts w:ascii="宋体" w:hAnsi="宋体"/>
          <w:color w:val="000000"/>
          <w:sz w:val="24"/>
        </w:rPr>
      </w:pPr>
      <w:r>
        <w:rPr>
          <w:rFonts w:hint="eastAsia" w:ascii="宋体" w:hAnsi="宋体"/>
          <w:color w:val="000000"/>
          <w:sz w:val="24"/>
        </w:rPr>
        <w:t>三、评标程序</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采用综合评分法，评标委员会委员将根据供应商的商务技术标等内容对投标文件进行分析、评议、打分，如有疑问，将对供应商进行询标，供应商要向评标委员会澄清有关问题，并最终以书面形式进行答复。商务技术标评审结束后，依次开价格标，评标委员会委员审核价格标，并计算分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、具体评审步骤和方法：</w:t>
      </w:r>
    </w:p>
    <w:p>
      <w:pPr>
        <w:spacing w:line="360" w:lineRule="auto"/>
        <w:ind w:firstLine="480" w:firstLineChars="200"/>
        <w:rPr>
          <w:rFonts w:ascii="宋体" w:hAnsi="宋体"/>
          <w:color w:val="000000"/>
          <w:sz w:val="24"/>
        </w:rPr>
      </w:pPr>
      <w:r>
        <w:rPr>
          <w:rFonts w:hint="eastAsia" w:ascii="宋体" w:hAnsi="宋体"/>
          <w:color w:val="000000"/>
          <w:sz w:val="24"/>
        </w:rPr>
        <w:t>①第一步，由评标委员会对通过资格审查的供应商的商务技术标进行评审打分。评审打分完成后向供应商公布商务技术标分值。</w:t>
      </w:r>
    </w:p>
    <w:p>
      <w:pPr>
        <w:spacing w:line="360" w:lineRule="auto"/>
        <w:ind w:firstLine="480" w:firstLineChars="200"/>
        <w:rPr>
          <w:rFonts w:ascii="宋体" w:hAnsi="宋体"/>
          <w:color w:val="000000"/>
          <w:sz w:val="24"/>
        </w:rPr>
      </w:pPr>
      <w:r>
        <w:rPr>
          <w:rFonts w:hint="eastAsia" w:ascii="宋体" w:hAnsi="宋体"/>
          <w:color w:val="000000"/>
          <w:sz w:val="24"/>
        </w:rPr>
        <w:t>②第二步，开启价格标，对各供应商的价格标由评标委员会统一评审进行计算评分。</w:t>
      </w:r>
    </w:p>
    <w:p>
      <w:pPr>
        <w:spacing w:line="360" w:lineRule="auto"/>
        <w:ind w:firstLine="480" w:firstLineChars="200"/>
        <w:rPr>
          <w:rFonts w:ascii="宋体" w:hAnsi="宋体"/>
          <w:color w:val="000000"/>
          <w:sz w:val="24"/>
        </w:rPr>
      </w:pPr>
      <w:r>
        <w:rPr>
          <w:rFonts w:hint="eastAsia" w:ascii="宋体" w:hAnsi="宋体"/>
          <w:color w:val="000000"/>
          <w:sz w:val="24"/>
        </w:rPr>
        <w:t>③第三步，计算出各供应商的总得分。</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、编写评标报告。</w:t>
      </w:r>
    </w:p>
    <w:p>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、根据中标结果在柯桥区公共资源交易中心指定的媒体上公示。</w:t>
      </w:r>
    </w:p>
    <w:p>
      <w:pPr>
        <w:spacing w:line="360" w:lineRule="auto"/>
        <w:ind w:firstLine="480" w:firstLineChars="200"/>
        <w:rPr>
          <w:rFonts w:ascii="宋体" w:hAnsi="宋体"/>
          <w:color w:val="000000"/>
          <w:sz w:val="24"/>
        </w:rPr>
      </w:pPr>
      <w:r>
        <w:rPr>
          <w:rFonts w:hint="eastAsia" w:ascii="宋体" w:hAnsi="宋体"/>
          <w:color w:val="000000"/>
          <w:sz w:val="24"/>
        </w:rPr>
        <w:t>四、评分项目说明</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、商务技术分</w:t>
      </w:r>
      <w:r>
        <w:rPr>
          <w:rFonts w:ascii="宋体" w:hAnsi="宋体"/>
          <w:color w:val="000000"/>
          <w:sz w:val="24"/>
        </w:rPr>
        <w:t>+</w:t>
      </w:r>
      <w:r>
        <w:rPr>
          <w:rFonts w:hint="eastAsia" w:ascii="宋体" w:hAnsi="宋体"/>
          <w:color w:val="000000"/>
          <w:sz w:val="24"/>
        </w:rPr>
        <w:t>价格分总分为</w:t>
      </w:r>
      <w:r>
        <w:rPr>
          <w:rFonts w:ascii="宋体" w:hAnsi="宋体"/>
          <w:color w:val="000000"/>
          <w:sz w:val="24"/>
        </w:rPr>
        <w:t>100</w:t>
      </w:r>
      <w:r>
        <w:rPr>
          <w:rFonts w:hint="eastAsia" w:ascii="宋体" w:hAnsi="宋体"/>
          <w:color w:val="000000"/>
          <w:sz w:val="24"/>
        </w:rPr>
        <w:t>分，评标委员会成员评分在得分栏中填上分值。</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hint="eastAsia" w:ascii="宋体" w:hAnsi="宋体"/>
          <w:color w:val="000000"/>
          <w:sz w:val="24"/>
          <w:u w:val="single"/>
        </w:rPr>
        <w:t>商务技术标</w:t>
      </w:r>
      <w:r>
        <w:rPr>
          <w:rFonts w:ascii="宋体" w:hAnsi="宋体"/>
          <w:color w:val="000000"/>
          <w:sz w:val="24"/>
          <w:u w:val="single"/>
        </w:rPr>
        <w:t>7</w:t>
      </w:r>
      <w:r>
        <w:rPr>
          <w:rFonts w:hint="eastAsia" w:ascii="宋体" w:hAnsi="宋体"/>
          <w:color w:val="000000"/>
          <w:sz w:val="24"/>
          <w:u w:val="single"/>
        </w:rPr>
        <w:t>0</w:t>
      </w:r>
      <w:r>
        <w:rPr>
          <w:rFonts w:ascii="宋体" w:hAnsi="宋体"/>
          <w:color w:val="000000"/>
          <w:sz w:val="24"/>
          <w:u w:val="single"/>
        </w:rPr>
        <w:t>%</w:t>
      </w:r>
      <w:r>
        <w:rPr>
          <w:rFonts w:hint="eastAsia" w:ascii="宋体" w:hAnsi="宋体"/>
          <w:color w:val="000000"/>
          <w:sz w:val="24"/>
          <w:u w:val="single"/>
        </w:rPr>
        <w:t>，即满分</w:t>
      </w:r>
      <w:r>
        <w:rPr>
          <w:rFonts w:ascii="宋体" w:hAnsi="宋体"/>
          <w:color w:val="000000"/>
          <w:sz w:val="24"/>
          <w:u w:val="single"/>
        </w:rPr>
        <w:t>7</w:t>
      </w:r>
      <w:r>
        <w:rPr>
          <w:rFonts w:hint="eastAsia" w:ascii="宋体" w:hAnsi="宋体"/>
          <w:color w:val="000000"/>
          <w:sz w:val="24"/>
          <w:u w:val="single"/>
        </w:rPr>
        <w:t>0分。</w:t>
      </w:r>
      <w:r>
        <w:rPr>
          <w:rFonts w:hint="eastAsia" w:ascii="宋体" w:hAnsi="宋体"/>
          <w:color w:val="000000"/>
          <w:sz w:val="24"/>
        </w:rPr>
        <w:t>评标委员会成员按各供应商的商务技术标内容充分审核、讨论、评议后，按评分细则进行独立评判、打分。各供应商商务技术标的最终评分值为评标委员会各成员评分值的算术平均值。</w:t>
      </w:r>
    </w:p>
    <w:p>
      <w:pPr>
        <w:spacing w:line="360" w:lineRule="auto"/>
        <w:ind w:firstLine="480" w:firstLineChars="200"/>
        <w:rPr>
          <w:rFonts w:ascii="宋体" w:hAnsi="宋体"/>
          <w:color w:val="000000"/>
          <w:sz w:val="24"/>
        </w:rPr>
      </w:pPr>
      <w:r>
        <w:rPr>
          <w:rFonts w:ascii="宋体" w:hAnsi="宋体"/>
          <w:color w:val="000000"/>
          <w:sz w:val="24"/>
          <w:u w:val="single"/>
        </w:rPr>
        <w:t>3</w:t>
      </w:r>
      <w:r>
        <w:rPr>
          <w:rFonts w:hint="eastAsia" w:ascii="宋体" w:hAnsi="宋体"/>
          <w:color w:val="000000"/>
          <w:sz w:val="24"/>
          <w:u w:val="single"/>
        </w:rPr>
        <w:t>、价格标30</w:t>
      </w:r>
      <w:r>
        <w:rPr>
          <w:rFonts w:ascii="宋体" w:hAnsi="宋体"/>
          <w:color w:val="000000"/>
          <w:sz w:val="24"/>
          <w:u w:val="single"/>
        </w:rPr>
        <w:t>%</w:t>
      </w:r>
      <w:r>
        <w:rPr>
          <w:rFonts w:hint="eastAsia" w:ascii="宋体" w:hAnsi="宋体"/>
          <w:color w:val="000000"/>
          <w:sz w:val="24"/>
          <w:u w:val="single"/>
        </w:rPr>
        <w:t>，即满分30分。</w:t>
      </w:r>
      <w:r>
        <w:rPr>
          <w:rFonts w:hint="eastAsia" w:ascii="宋体" w:hAnsi="宋体"/>
          <w:color w:val="000000"/>
          <w:sz w:val="24"/>
        </w:rPr>
        <w:t>评标委员会成员按评分细则对各供应商的报价进行统一计算评分。</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、专家打分分值保留小数点后</w:t>
      </w:r>
      <w:r>
        <w:rPr>
          <w:rFonts w:ascii="宋体" w:hAnsi="宋体"/>
          <w:color w:val="000000"/>
          <w:sz w:val="24"/>
        </w:rPr>
        <w:t>1</w:t>
      </w:r>
      <w:r>
        <w:rPr>
          <w:rFonts w:hint="eastAsia" w:ascii="宋体" w:hAnsi="宋体"/>
          <w:color w:val="000000"/>
          <w:sz w:val="24"/>
        </w:rPr>
        <w:t>位。统计或计算分值时的精度最终精确到小数点后</w:t>
      </w:r>
      <w:r>
        <w:rPr>
          <w:rFonts w:ascii="宋体" w:hAnsi="宋体"/>
          <w:color w:val="000000"/>
          <w:sz w:val="24"/>
        </w:rPr>
        <w:t>2</w:t>
      </w:r>
      <w:r>
        <w:rPr>
          <w:rFonts w:hint="eastAsia" w:ascii="宋体" w:hAnsi="宋体"/>
          <w:color w:val="000000"/>
          <w:sz w:val="24"/>
        </w:rPr>
        <w:t>位。</w:t>
      </w:r>
    </w:p>
    <w:p>
      <w:pPr>
        <w:spacing w:line="360" w:lineRule="auto"/>
        <w:ind w:firstLine="480" w:firstLineChars="200"/>
        <w:rPr>
          <w:rFonts w:ascii="宋体" w:hAnsi="宋体"/>
          <w:color w:val="000000"/>
          <w:sz w:val="24"/>
        </w:rPr>
      </w:pPr>
      <w:r>
        <w:rPr>
          <w:rFonts w:hint="eastAsia" w:ascii="宋体" w:hAnsi="宋体"/>
          <w:color w:val="000000"/>
          <w:sz w:val="24"/>
        </w:rPr>
        <w:t>五、评分细则</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u w:val="single"/>
        </w:rPr>
        <w:t xml:space="preserve">商务技术标评分标准（ </w:t>
      </w:r>
      <w:r>
        <w:rPr>
          <w:rFonts w:ascii="宋体" w:hAnsi="宋体"/>
          <w:color w:val="000000"/>
          <w:sz w:val="24"/>
          <w:u w:val="single"/>
        </w:rPr>
        <w:t>7</w:t>
      </w:r>
      <w:r>
        <w:rPr>
          <w:rFonts w:hint="eastAsia" w:ascii="宋体" w:hAnsi="宋体"/>
          <w:color w:val="000000"/>
          <w:sz w:val="24"/>
          <w:u w:val="single"/>
        </w:rPr>
        <w:t>0分）</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335"/>
        <w:gridCol w:w="6514"/>
        <w:gridCol w:w="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4" w:type="dxa"/>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序号</w:t>
            </w:r>
          </w:p>
        </w:tc>
        <w:tc>
          <w:tcPr>
            <w:tcW w:w="1335" w:type="dxa"/>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评分内容</w:t>
            </w:r>
          </w:p>
        </w:tc>
        <w:tc>
          <w:tcPr>
            <w:tcW w:w="6514" w:type="dxa"/>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评审细则</w:t>
            </w:r>
          </w:p>
        </w:tc>
        <w:tc>
          <w:tcPr>
            <w:tcW w:w="690" w:type="dxa"/>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restart"/>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1</w:t>
            </w:r>
          </w:p>
        </w:tc>
        <w:tc>
          <w:tcPr>
            <w:tcW w:w="1335" w:type="dxa"/>
            <w:vMerge w:val="restart"/>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企业证书及业绩</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具有《ISO9001质量管理体系认证证书》的得1分，没有不得分。须提供证书复印件并加盖公章。</w:t>
            </w:r>
          </w:p>
        </w:tc>
        <w:tc>
          <w:tcPr>
            <w:tcW w:w="690" w:type="dxa"/>
            <w:vMerge w:val="restart"/>
            <w:shd w:val="clear" w:color="auto" w:fill="FFFFFF"/>
            <w:noWrap w:val="0"/>
            <w:vAlign w:val="center"/>
          </w:tcPr>
          <w:p>
            <w:pPr>
              <w:spacing w:line="276" w:lineRule="auto"/>
              <w:jc w:val="left"/>
              <w:rPr>
                <w:rFonts w:hint="eastAsia" w:ascii="宋体" w:hAnsi="宋体" w:cs="宋体"/>
                <w:kern w:val="0"/>
                <w:sz w:val="22"/>
                <w:szCs w:val="22"/>
              </w:rPr>
            </w:pPr>
            <w:r>
              <w:rPr>
                <w:rFonts w:hint="eastAsia" w:ascii="宋体" w:hAnsi="宋体" w:cs="宋体"/>
                <w:kern w:val="0"/>
                <w:sz w:val="22"/>
                <w:szCs w:val="22"/>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hint="eastAsia"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hint="eastAsia" w:ascii="宋体" w:hAnsi="宋体" w:cs="宋体"/>
                <w:kern w:val="0"/>
                <w:sz w:val="22"/>
                <w:szCs w:val="22"/>
              </w:rPr>
            </w:pPr>
          </w:p>
        </w:tc>
        <w:tc>
          <w:tcPr>
            <w:tcW w:w="6514" w:type="dxa"/>
            <w:shd w:val="clear" w:color="auto" w:fill="FFFFFF"/>
            <w:noWrap w:val="0"/>
            <w:vAlign w:val="center"/>
          </w:tcPr>
          <w:p>
            <w:pPr>
              <w:spacing w:line="276" w:lineRule="auto"/>
              <w:jc w:val="left"/>
              <w:rPr>
                <w:rFonts w:hint="eastAsia" w:ascii="宋体" w:hAnsi="宋体" w:cs="宋体"/>
                <w:kern w:val="0"/>
                <w:sz w:val="22"/>
                <w:szCs w:val="22"/>
              </w:rPr>
            </w:pPr>
            <w:r>
              <w:rPr>
                <w:rFonts w:hint="eastAsia" w:ascii="宋体" w:hAnsi="宋体" w:cs="宋体"/>
                <w:kern w:val="0"/>
                <w:sz w:val="22"/>
                <w:szCs w:val="22"/>
              </w:rPr>
              <w:t>具有《ISO</w:t>
            </w:r>
            <w:r>
              <w:rPr>
                <w:rFonts w:ascii="宋体" w:hAnsi="宋体" w:cs="宋体"/>
                <w:kern w:val="0"/>
                <w:sz w:val="22"/>
                <w:szCs w:val="22"/>
              </w:rPr>
              <w:t>14001</w:t>
            </w:r>
            <w:r>
              <w:rPr>
                <w:rFonts w:hint="eastAsia" w:ascii="宋体" w:hAnsi="宋体" w:cs="宋体"/>
                <w:kern w:val="0"/>
                <w:sz w:val="22"/>
                <w:szCs w:val="22"/>
              </w:rPr>
              <w:t>环境管理体系认证证书》的得1分，没有不得分。须提供证书复印件并加盖公章。</w:t>
            </w:r>
          </w:p>
        </w:tc>
        <w:tc>
          <w:tcPr>
            <w:tcW w:w="690" w:type="dxa"/>
            <w:vMerge w:val="continue"/>
            <w:shd w:val="clear" w:color="auto" w:fill="FFFFFF"/>
            <w:noWrap w:val="0"/>
            <w:vAlign w:val="center"/>
          </w:tcPr>
          <w:p>
            <w:pPr>
              <w:spacing w:line="276" w:lineRule="auto"/>
              <w:jc w:val="left"/>
              <w:rPr>
                <w:rFonts w:hint="eastAsia" w:ascii="宋体" w:hAnsi="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hint="eastAsia"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hint="eastAsia" w:ascii="宋体" w:hAnsi="宋体" w:cs="宋体"/>
                <w:kern w:val="0"/>
                <w:sz w:val="22"/>
                <w:szCs w:val="22"/>
              </w:rPr>
            </w:pPr>
          </w:p>
        </w:tc>
        <w:tc>
          <w:tcPr>
            <w:tcW w:w="6514" w:type="dxa"/>
            <w:shd w:val="clear" w:color="auto" w:fill="FFFFFF"/>
            <w:noWrap w:val="0"/>
            <w:vAlign w:val="center"/>
          </w:tcPr>
          <w:p>
            <w:pPr>
              <w:spacing w:line="276" w:lineRule="auto"/>
              <w:jc w:val="left"/>
              <w:rPr>
                <w:rFonts w:hint="eastAsia" w:ascii="宋体" w:hAnsi="宋体" w:cs="宋体"/>
                <w:kern w:val="0"/>
                <w:sz w:val="22"/>
                <w:szCs w:val="22"/>
              </w:rPr>
            </w:pPr>
            <w:r>
              <w:rPr>
                <w:rFonts w:hint="eastAsia" w:ascii="宋体" w:hAnsi="宋体" w:cs="宋体"/>
                <w:kern w:val="0"/>
                <w:sz w:val="22"/>
                <w:szCs w:val="22"/>
              </w:rPr>
              <w:t>具有《ISO20000信息技术服务管理体系认证证书》的得1分，没有不得分。须提供证书复印件并加盖公章。</w:t>
            </w:r>
          </w:p>
        </w:tc>
        <w:tc>
          <w:tcPr>
            <w:tcW w:w="690" w:type="dxa"/>
            <w:vMerge w:val="continue"/>
            <w:shd w:val="clear" w:color="auto" w:fill="FFFFFF"/>
            <w:noWrap w:val="0"/>
            <w:vAlign w:val="center"/>
          </w:tcPr>
          <w:p>
            <w:pPr>
              <w:spacing w:line="276" w:lineRule="auto"/>
              <w:jc w:val="left"/>
              <w:rPr>
                <w:rFonts w:hint="eastAsia" w:ascii="宋体" w:hAnsi="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ascii="宋体" w:hAnsi="宋体" w:cs="宋体"/>
                <w:kern w:val="0"/>
                <w:sz w:val="22"/>
                <w:szCs w:val="22"/>
              </w:rPr>
            </w:pP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项目实施区域项目经理及专业技术人员要求：项目团队中具有CISP 信息安全认证工程师至少1名，满足得1分，没有不得分。</w:t>
            </w:r>
            <w:r>
              <w:rPr>
                <w:rFonts w:hint="eastAsia" w:ascii="宋体" w:hAnsi="宋体" w:cs="宋体"/>
                <w:kern w:val="0"/>
                <w:sz w:val="22"/>
                <w:szCs w:val="22"/>
              </w:rPr>
              <w:br w:type="textWrapping"/>
            </w:r>
            <w:r>
              <w:rPr>
                <w:rFonts w:hint="eastAsia" w:ascii="宋体" w:hAnsi="宋体" w:cs="宋体"/>
                <w:kern w:val="0"/>
                <w:sz w:val="22"/>
                <w:szCs w:val="22"/>
              </w:rPr>
              <w:t>本项目以上所列项目技术队伍须为投标单位的在职员工（投标文件中提供上述证书复印件和近三月社保证明复印件并加盖公章）。</w:t>
            </w:r>
          </w:p>
        </w:tc>
        <w:tc>
          <w:tcPr>
            <w:tcW w:w="690" w:type="dxa"/>
            <w:vMerge w:val="continue"/>
            <w:shd w:val="clear" w:color="auto" w:fill="FFFFFF"/>
            <w:noWrap w:val="0"/>
            <w:vAlign w:val="center"/>
          </w:tcPr>
          <w:p>
            <w:pPr>
              <w:spacing w:line="276" w:lineRule="auto"/>
              <w:jc w:val="left"/>
              <w:rPr>
                <w:rFonts w:ascii="宋体" w:hAnsi="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ascii="宋体" w:hAnsi="宋体" w:cs="宋体"/>
                <w:kern w:val="0"/>
                <w:sz w:val="22"/>
                <w:szCs w:val="22"/>
              </w:rPr>
            </w:pP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从2017年1月</w:t>
            </w:r>
            <w:r>
              <w:rPr>
                <w:rFonts w:hint="eastAsia" w:ascii="宋体" w:hAnsi="宋体" w:cs="宋体"/>
                <w:kern w:val="0"/>
                <w:sz w:val="22"/>
                <w:szCs w:val="22"/>
              </w:rPr>
              <w:t>1日至今</w:t>
            </w:r>
            <w:r>
              <w:rPr>
                <w:rFonts w:ascii="宋体" w:hAnsi="宋体" w:cs="宋体"/>
                <w:kern w:val="0"/>
                <w:sz w:val="22"/>
                <w:szCs w:val="22"/>
              </w:rPr>
              <w:t>，</w:t>
            </w:r>
            <w:r>
              <w:rPr>
                <w:rFonts w:hint="eastAsia" w:ascii="宋体" w:hAnsi="宋体" w:cs="宋体"/>
                <w:kern w:val="0"/>
                <w:sz w:val="22"/>
                <w:szCs w:val="22"/>
              </w:rPr>
              <w:t>具有视频监控项目业绩的，投标供应商提供的同类项目单个合同金额大于600万元（租赁类项目按年租费×租赁周期计算金额），每个得1分，最高得2分，没有不得分。（投标文件中放入合同复印件）</w:t>
            </w:r>
          </w:p>
        </w:tc>
        <w:tc>
          <w:tcPr>
            <w:tcW w:w="690" w:type="dxa"/>
            <w:vMerge w:val="continue"/>
            <w:shd w:val="clear" w:color="auto" w:fill="FFFFFF"/>
            <w:noWrap w:val="0"/>
            <w:vAlign w:val="center"/>
          </w:tcPr>
          <w:p>
            <w:pPr>
              <w:spacing w:line="276" w:lineRule="auto"/>
              <w:jc w:val="left"/>
              <w:rPr>
                <w:rFonts w:ascii="宋体" w:hAnsi="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restart"/>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2</w:t>
            </w:r>
          </w:p>
        </w:tc>
        <w:tc>
          <w:tcPr>
            <w:tcW w:w="1335" w:type="dxa"/>
            <w:vMerge w:val="restart"/>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技术方案</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云存储方案设计无明显单点故障，视频数据可靠、安全，扩容方便，能实现秒级检索，方案合理兼容性好的得</w:t>
            </w:r>
            <w:r>
              <w:rPr>
                <w:rFonts w:ascii="宋体" w:hAnsi="宋体" w:cs="宋体"/>
                <w:kern w:val="0"/>
                <w:sz w:val="22"/>
                <w:szCs w:val="22"/>
              </w:rPr>
              <w:t>3</w:t>
            </w:r>
            <w:r>
              <w:rPr>
                <w:rFonts w:hint="eastAsia" w:ascii="宋体" w:hAnsi="宋体" w:cs="宋体"/>
                <w:kern w:val="0"/>
                <w:sz w:val="22"/>
                <w:szCs w:val="22"/>
              </w:rPr>
              <w:t>分，一般得2分，差得1分</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ascii="宋体" w:hAnsi="宋体" w:cs="宋体"/>
                <w:kern w:val="0"/>
                <w:sz w:val="22"/>
                <w:szCs w:val="22"/>
              </w:rPr>
            </w:pP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 xml:space="preserve">融合大数据设计安全可靠，并发能力高，具有较先进的独创性并能根据业务需要快速扩容，方案设计先进合理，好的得 3分，一般得2分，差得1分 </w:t>
            </w:r>
            <w:r>
              <w:rPr>
                <w:rFonts w:ascii="宋体" w:hAnsi="宋体" w:cs="宋体"/>
                <w:kern w:val="0"/>
                <w:sz w:val="22"/>
                <w:szCs w:val="22"/>
              </w:rPr>
              <w:t xml:space="preserve">  </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vMerge w:val="continue"/>
            <w:shd w:val="clear" w:color="auto" w:fill="auto"/>
            <w:noWrap w:val="0"/>
            <w:vAlign w:val="center"/>
          </w:tcPr>
          <w:p>
            <w:pPr>
              <w:spacing w:line="276" w:lineRule="auto"/>
              <w:jc w:val="left"/>
              <w:rPr>
                <w:rFonts w:ascii="宋体" w:hAnsi="宋体" w:cs="宋体"/>
                <w:kern w:val="0"/>
                <w:sz w:val="22"/>
                <w:szCs w:val="22"/>
              </w:rPr>
            </w:pPr>
          </w:p>
        </w:tc>
        <w:tc>
          <w:tcPr>
            <w:tcW w:w="1335" w:type="dxa"/>
            <w:vMerge w:val="continue"/>
            <w:shd w:val="clear" w:color="auto" w:fill="auto"/>
            <w:noWrap w:val="0"/>
            <w:vAlign w:val="center"/>
          </w:tcPr>
          <w:p>
            <w:pPr>
              <w:spacing w:line="276" w:lineRule="auto"/>
              <w:jc w:val="left"/>
              <w:rPr>
                <w:rFonts w:ascii="宋体" w:hAnsi="宋体" w:cs="宋体"/>
                <w:kern w:val="0"/>
                <w:sz w:val="22"/>
                <w:szCs w:val="22"/>
              </w:rPr>
            </w:pP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前端监控点图纸要求（以127个小区为准）（26分）</w:t>
            </w:r>
            <w:r>
              <w:rPr>
                <w:rFonts w:hint="eastAsia" w:ascii="宋体" w:hAnsi="宋体" w:cs="宋体"/>
                <w:kern w:val="0"/>
                <w:sz w:val="22"/>
                <w:szCs w:val="22"/>
              </w:rPr>
              <w:br w:type="textWrapping"/>
            </w:r>
            <w:r>
              <w:rPr>
                <w:rFonts w:hint="eastAsia" w:ascii="宋体" w:hAnsi="宋体" w:cs="宋体"/>
                <w:kern w:val="0"/>
                <w:sz w:val="22"/>
                <w:szCs w:val="22"/>
              </w:rPr>
              <w:t xml:space="preserve">   依据前端监控点位图纸的质量及数量进行综合评定，评定依据为：得分=总分*K1*K2。总分为26分，K1 为图纸质量系数，K2 为图纸数量系数。</w:t>
            </w:r>
            <w:r>
              <w:rPr>
                <w:rFonts w:hint="eastAsia" w:ascii="宋体" w:hAnsi="宋体" w:cs="宋体"/>
                <w:kern w:val="0"/>
                <w:sz w:val="22"/>
                <w:szCs w:val="22"/>
              </w:rPr>
              <w:br w:type="textWrapping"/>
            </w:r>
            <w:r>
              <w:rPr>
                <w:rFonts w:hint="eastAsia" w:ascii="宋体" w:hAnsi="宋体" w:cs="宋体"/>
                <w:kern w:val="0"/>
                <w:sz w:val="22"/>
                <w:szCs w:val="22"/>
              </w:rPr>
              <w:t>K1、K2的取值范围如下：</w:t>
            </w:r>
            <w:r>
              <w:rPr>
                <w:rFonts w:hint="eastAsia" w:ascii="宋体" w:hAnsi="宋体" w:cs="宋体"/>
                <w:kern w:val="0"/>
                <w:sz w:val="22"/>
                <w:szCs w:val="22"/>
              </w:rPr>
              <w:br w:type="textWrapping"/>
            </w:r>
            <w:r>
              <w:rPr>
                <w:rFonts w:hint="eastAsia" w:ascii="宋体" w:hAnsi="宋体" w:cs="宋体"/>
                <w:kern w:val="0"/>
                <w:sz w:val="22"/>
                <w:szCs w:val="22"/>
              </w:rPr>
              <w:t xml:space="preserve">   K1(图纸质量)得分：前端监控点位经过实地踏勘且布局合理、图纸设计准确、合理、美观，相比好的得1分，相比一般得0.7分，相比差的得0.3分；</w:t>
            </w:r>
            <w:r>
              <w:rPr>
                <w:rFonts w:hint="eastAsia" w:ascii="宋体" w:hAnsi="宋体" w:cs="宋体"/>
                <w:kern w:val="0"/>
                <w:sz w:val="22"/>
                <w:szCs w:val="22"/>
              </w:rPr>
              <w:br w:type="textWrapping"/>
            </w:r>
            <w:r>
              <w:rPr>
                <w:rFonts w:hint="eastAsia" w:ascii="宋体" w:hAnsi="宋体" w:cs="宋体"/>
                <w:kern w:val="0"/>
                <w:sz w:val="22"/>
                <w:szCs w:val="22"/>
              </w:rPr>
              <w:t xml:space="preserve">   K2(图纸数量)：监控点位的图纸完整率达到项目总数 70%及以上的得1分，完整率在 50%-70%（不含）的得0.8分，完整率在 30%-50%（不含）的得0.3分，完整率在 30%（不含）以下的得0.1分。</w:t>
            </w:r>
          </w:p>
        </w:tc>
        <w:tc>
          <w:tcPr>
            <w:tcW w:w="690" w:type="dxa"/>
            <w:shd w:val="clear" w:color="auto" w:fill="FFFFFF"/>
            <w:noWrap w:val="0"/>
            <w:vAlign w:val="center"/>
          </w:tcPr>
          <w:p>
            <w:pPr>
              <w:spacing w:line="276" w:lineRule="auto"/>
              <w:jc w:val="left"/>
              <w:rPr>
                <w:rFonts w:hint="eastAsia" w:ascii="宋体" w:hAnsi="宋体" w:cs="宋体"/>
                <w:kern w:val="0"/>
                <w:sz w:val="22"/>
                <w:szCs w:val="22"/>
              </w:rPr>
            </w:pPr>
            <w:r>
              <w:rPr>
                <w:rFonts w:hint="eastAsia" w:ascii="宋体" w:hAnsi="宋体" w:cs="宋体"/>
                <w:kern w:val="0"/>
                <w:sz w:val="22"/>
                <w:szCs w:val="22"/>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3</w:t>
            </w:r>
          </w:p>
        </w:tc>
        <w:tc>
          <w:tcPr>
            <w:tcW w:w="1335" w:type="dxa"/>
            <w:shd w:val="clear" w:color="auto" w:fill="auto"/>
            <w:noWrap w:val="0"/>
            <w:vAlign w:val="bottom"/>
          </w:tcPr>
          <w:p>
            <w:pPr>
              <w:spacing w:line="276" w:lineRule="auto"/>
              <w:jc w:val="left"/>
              <w:rPr>
                <w:rFonts w:ascii="宋体" w:hAnsi="宋体" w:cs="宋体"/>
                <w:kern w:val="0"/>
                <w:sz w:val="22"/>
                <w:szCs w:val="22"/>
              </w:rPr>
            </w:pPr>
            <w:r>
              <w:rPr>
                <w:rFonts w:hint="eastAsia" w:ascii="宋体" w:hAnsi="宋体" w:cs="宋体"/>
                <w:kern w:val="0"/>
                <w:sz w:val="22"/>
                <w:szCs w:val="22"/>
              </w:rPr>
              <w:t>产品技术要求</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基本技术参数配置及性能、功能要求等：完全满足标文技术参数配置要求得基本分18分。技术指标含</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w:t>
            </w:r>
            <w:r>
              <w:rPr>
                <w:rFonts w:hint="eastAsia" w:ascii="宋体" w:hAnsi="宋体" w:cs="宋体"/>
                <w:kern w:val="0"/>
                <w:sz w:val="22"/>
                <w:szCs w:val="22"/>
              </w:rPr>
              <w:t>出现负偏离每一项扣</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其他项每项扣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扣完为止。</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4</w:t>
            </w:r>
          </w:p>
        </w:tc>
        <w:tc>
          <w:tcPr>
            <w:tcW w:w="1335"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施工组织能力</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施工计划组织合理科学，好的得3分，一般的得</w:t>
            </w:r>
            <w:r>
              <w:rPr>
                <w:rFonts w:ascii="宋体" w:hAnsi="宋体" w:cs="宋体"/>
                <w:kern w:val="0"/>
                <w:sz w:val="22"/>
                <w:szCs w:val="22"/>
              </w:rPr>
              <w:t>2</w:t>
            </w:r>
            <w:r>
              <w:rPr>
                <w:rFonts w:hint="eastAsia" w:ascii="宋体" w:hAnsi="宋体" w:cs="宋体"/>
                <w:kern w:val="0"/>
                <w:sz w:val="22"/>
                <w:szCs w:val="22"/>
              </w:rPr>
              <w:t>分，差的得</w:t>
            </w:r>
            <w:r>
              <w:rPr>
                <w:rFonts w:ascii="宋体" w:hAnsi="宋体" w:cs="宋体"/>
                <w:kern w:val="0"/>
                <w:sz w:val="22"/>
                <w:szCs w:val="22"/>
              </w:rPr>
              <w:t>1</w:t>
            </w:r>
            <w:r>
              <w:rPr>
                <w:rFonts w:hint="eastAsia" w:ascii="宋体" w:hAnsi="宋体" w:cs="宋体"/>
                <w:kern w:val="0"/>
                <w:sz w:val="22"/>
                <w:szCs w:val="22"/>
              </w:rPr>
              <w:t>分。</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5</w:t>
            </w:r>
          </w:p>
        </w:tc>
        <w:tc>
          <w:tcPr>
            <w:tcW w:w="1335"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中心机房托管服务</w:t>
            </w:r>
          </w:p>
        </w:tc>
        <w:tc>
          <w:tcPr>
            <w:tcW w:w="6514" w:type="dxa"/>
            <w:shd w:val="clear" w:color="auto" w:fill="FFFFFF"/>
            <w:noWrap w:val="0"/>
            <w:vAlign w:val="bottom"/>
          </w:tcPr>
          <w:p>
            <w:pPr>
              <w:spacing w:line="276" w:lineRule="auto"/>
              <w:jc w:val="left"/>
              <w:rPr>
                <w:rFonts w:ascii="宋体" w:hAnsi="宋体" w:cs="宋体"/>
                <w:kern w:val="0"/>
                <w:sz w:val="22"/>
                <w:szCs w:val="22"/>
              </w:rPr>
            </w:pPr>
            <w:r>
              <w:rPr>
                <w:rFonts w:hint="eastAsia" w:ascii="宋体" w:hAnsi="宋体" w:cs="宋体"/>
                <w:kern w:val="0"/>
                <w:sz w:val="22"/>
                <w:szCs w:val="22"/>
              </w:rPr>
              <w:t>中心托管机房要求：</w:t>
            </w:r>
          </w:p>
          <w:p>
            <w:pPr>
              <w:spacing w:line="276" w:lineRule="auto"/>
              <w:jc w:val="left"/>
              <w:rPr>
                <w:rFonts w:ascii="宋体" w:hAnsi="宋体" w:cs="宋体"/>
                <w:kern w:val="0"/>
                <w:sz w:val="22"/>
                <w:szCs w:val="22"/>
              </w:rPr>
            </w:pPr>
            <w:r>
              <w:rPr>
                <w:rFonts w:hint="eastAsia" w:ascii="宋体" w:hAnsi="宋体" w:cs="宋体"/>
                <w:kern w:val="0"/>
                <w:sz w:val="22"/>
                <w:szCs w:val="22"/>
              </w:rPr>
              <w:t>在绍兴市柯桥区范围内有专门为此项目预留的专业机房（中标后不得变更），已有专业公安机房的得2分；未有机房，但承诺为本项目预留公安机房的得1分，未有机房且不承诺预留公安机房的不得分。</w:t>
            </w:r>
            <w:r>
              <w:rPr>
                <w:rFonts w:hint="eastAsia"/>
              </w:rPr>
              <w:t>提供相关的机房设计图纸或承诺书。</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3"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6</w:t>
            </w:r>
          </w:p>
        </w:tc>
        <w:tc>
          <w:tcPr>
            <w:tcW w:w="1335"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服务履约能力及售后服务</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提供本项目的服务方案，服务方案详尽，可行性强，对突发事件有应对措施，且组织机构健全、协调能力强，人员配置到位。具体包括以下几部分。</w:t>
            </w:r>
          </w:p>
          <w:p>
            <w:pPr>
              <w:spacing w:line="276" w:lineRule="auto"/>
              <w:jc w:val="left"/>
              <w:rPr>
                <w:rFonts w:ascii="宋体" w:hAnsi="宋体" w:cs="宋体"/>
                <w:kern w:val="0"/>
                <w:sz w:val="22"/>
                <w:szCs w:val="22"/>
              </w:rPr>
            </w:pPr>
            <w:r>
              <w:rPr>
                <w:rFonts w:hint="eastAsia" w:ascii="宋体" w:hAnsi="宋体" w:cs="宋体"/>
                <w:kern w:val="0"/>
                <w:sz w:val="22"/>
                <w:szCs w:val="22"/>
              </w:rPr>
              <w:t>1）有详细服务方案，包括应急预案，方案合理、可行。好的得</w:t>
            </w:r>
            <w:r>
              <w:rPr>
                <w:rFonts w:ascii="宋体" w:hAnsi="宋体" w:cs="宋体"/>
                <w:kern w:val="0"/>
                <w:sz w:val="22"/>
                <w:szCs w:val="22"/>
              </w:rPr>
              <w:t>2</w:t>
            </w:r>
            <w:r>
              <w:rPr>
                <w:rFonts w:hint="eastAsia" w:ascii="宋体" w:hAnsi="宋体" w:cs="宋体"/>
                <w:kern w:val="0"/>
                <w:sz w:val="22"/>
                <w:szCs w:val="22"/>
              </w:rPr>
              <w:t>分，一般的得</w:t>
            </w:r>
            <w:r>
              <w:rPr>
                <w:rFonts w:ascii="宋体" w:hAnsi="宋体" w:cs="宋体"/>
                <w:kern w:val="0"/>
                <w:sz w:val="22"/>
                <w:szCs w:val="22"/>
              </w:rPr>
              <w:t>1</w:t>
            </w:r>
            <w:r>
              <w:rPr>
                <w:rFonts w:hint="eastAsia" w:ascii="宋体" w:hAnsi="宋体" w:cs="宋体"/>
                <w:kern w:val="0"/>
                <w:sz w:val="22"/>
                <w:szCs w:val="22"/>
              </w:rPr>
              <w:t xml:space="preserve">分，差的不得分。 </w:t>
            </w:r>
          </w:p>
          <w:p>
            <w:pPr>
              <w:spacing w:line="276" w:lineRule="auto"/>
              <w:jc w:val="left"/>
              <w:rPr>
                <w:rFonts w:ascii="宋体" w:hAnsi="宋体" w:cs="宋体"/>
                <w:kern w:val="0"/>
                <w:sz w:val="22"/>
                <w:szCs w:val="22"/>
              </w:rPr>
            </w:pPr>
            <w:r>
              <w:rPr>
                <w:rFonts w:hint="eastAsia" w:ascii="宋体" w:hAnsi="宋体" w:cs="宋体"/>
                <w:kern w:val="0"/>
                <w:sz w:val="22"/>
                <w:szCs w:val="22"/>
              </w:rPr>
              <w:t>2）该组织机构在当地有较强的组织协调能力，能为该项目的实施提供强有力的支撑。服务组织机构要求，根据投标主体及其下属的运行维护机构（以投标人权属的运行维护机构的房产证或房屋租赁合同为准）的综合力量和项目实施区域距离远近，横向对比，好的得</w:t>
            </w:r>
            <w:r>
              <w:rPr>
                <w:rFonts w:ascii="宋体" w:hAnsi="宋体" w:cs="宋体"/>
                <w:kern w:val="0"/>
                <w:sz w:val="22"/>
                <w:szCs w:val="22"/>
              </w:rPr>
              <w:t>2</w:t>
            </w:r>
            <w:r>
              <w:rPr>
                <w:rFonts w:hint="eastAsia" w:ascii="宋体" w:hAnsi="宋体" w:cs="宋体"/>
                <w:kern w:val="0"/>
                <w:sz w:val="22"/>
                <w:szCs w:val="22"/>
              </w:rPr>
              <w:t>分，一般得</w:t>
            </w:r>
            <w:r>
              <w:rPr>
                <w:rFonts w:ascii="宋体" w:hAnsi="宋体" w:cs="宋体"/>
                <w:kern w:val="0"/>
                <w:sz w:val="22"/>
                <w:szCs w:val="22"/>
              </w:rPr>
              <w:t>1</w:t>
            </w:r>
            <w:r>
              <w:rPr>
                <w:rFonts w:hint="eastAsia" w:ascii="宋体" w:hAnsi="宋体" w:cs="宋体"/>
                <w:kern w:val="0"/>
                <w:sz w:val="22"/>
                <w:szCs w:val="22"/>
              </w:rPr>
              <w:t>分，差的不得分。</w:t>
            </w:r>
          </w:p>
          <w:p>
            <w:pPr>
              <w:spacing w:line="276" w:lineRule="auto"/>
              <w:jc w:val="left"/>
              <w:rPr>
                <w:rFonts w:ascii="宋体" w:hAnsi="宋体" w:cs="宋体"/>
                <w:kern w:val="0"/>
                <w:sz w:val="22"/>
                <w:szCs w:val="22"/>
              </w:rPr>
            </w:pPr>
            <w:r>
              <w:rPr>
                <w:rFonts w:hint="eastAsia" w:ascii="宋体" w:hAnsi="宋体" w:cs="宋体"/>
                <w:kern w:val="0"/>
                <w:sz w:val="22"/>
                <w:szCs w:val="22"/>
              </w:rPr>
              <w:t>3）服务组织的运维工程车辆要求：针对本项目配备运维工程车辆（允许自有或租赁车辆，自有的提供车辆行驶证复印件，租赁的提供租赁合同和所对应租赁车辆的行驶证复印件）。5台及5台车以上得3分，3-4台车得2分，1-2台车得1分，没有不得分。</w:t>
            </w:r>
          </w:p>
        </w:tc>
        <w:tc>
          <w:tcPr>
            <w:tcW w:w="690" w:type="dxa"/>
            <w:shd w:val="clear" w:color="auto" w:fill="FFFFFF"/>
            <w:noWrap w:val="0"/>
            <w:vAlign w:val="center"/>
          </w:tcPr>
          <w:p>
            <w:pPr>
              <w:spacing w:line="276" w:lineRule="auto"/>
              <w:jc w:val="left"/>
              <w:rPr>
                <w:rFonts w:hint="eastAsia" w:ascii="宋体" w:hAnsi="宋体" w:cs="宋体"/>
                <w:kern w:val="0"/>
                <w:sz w:val="22"/>
                <w:szCs w:val="22"/>
              </w:rPr>
            </w:pPr>
            <w:r>
              <w:rPr>
                <w:rFonts w:hint="eastAsia" w:ascii="宋体" w:hAnsi="宋体" w:cs="宋体"/>
                <w:kern w:val="0"/>
                <w:sz w:val="22"/>
                <w:szCs w:val="22"/>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7</w:t>
            </w:r>
          </w:p>
        </w:tc>
        <w:tc>
          <w:tcPr>
            <w:tcW w:w="1335"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合理化建议</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合理化建议的科学性、合理性，为采购人考虑的周到性、全面性，由评委进行分析比较、评议、打分酌情打分 （0-</w:t>
            </w:r>
            <w:r>
              <w:rPr>
                <w:rFonts w:ascii="宋体" w:hAnsi="宋体" w:cs="宋体"/>
                <w:kern w:val="0"/>
                <w:sz w:val="22"/>
                <w:szCs w:val="22"/>
              </w:rPr>
              <w:t>1</w:t>
            </w:r>
            <w:r>
              <w:rPr>
                <w:rFonts w:hint="eastAsia" w:ascii="宋体" w:hAnsi="宋体" w:cs="宋体"/>
                <w:kern w:val="0"/>
                <w:sz w:val="22"/>
                <w:szCs w:val="22"/>
              </w:rPr>
              <w:t>）分。</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704" w:type="dxa"/>
            <w:shd w:val="clear" w:color="auto" w:fill="auto"/>
            <w:noWrap w:val="0"/>
            <w:vAlign w:val="center"/>
          </w:tcPr>
          <w:p>
            <w:pPr>
              <w:spacing w:line="276" w:lineRule="auto"/>
              <w:jc w:val="left"/>
              <w:rPr>
                <w:rFonts w:ascii="宋体" w:hAnsi="宋体" w:cs="宋体"/>
                <w:kern w:val="0"/>
                <w:sz w:val="22"/>
                <w:szCs w:val="22"/>
              </w:rPr>
            </w:pPr>
            <w:r>
              <w:rPr>
                <w:rFonts w:ascii="宋体" w:hAnsi="宋体" w:cs="宋体"/>
                <w:kern w:val="0"/>
                <w:sz w:val="22"/>
                <w:szCs w:val="22"/>
              </w:rPr>
              <w:t>8</w:t>
            </w:r>
          </w:p>
        </w:tc>
        <w:tc>
          <w:tcPr>
            <w:tcW w:w="1335" w:type="dxa"/>
            <w:shd w:val="clear" w:color="auto" w:fill="auto"/>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投标文件制作</w:t>
            </w:r>
          </w:p>
        </w:tc>
        <w:tc>
          <w:tcPr>
            <w:tcW w:w="6514"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投标文件编制完整，格式规范、装订整齐、符合招标文件要求，由评委酌情打分（0-1）分。</w:t>
            </w:r>
          </w:p>
        </w:tc>
        <w:tc>
          <w:tcPr>
            <w:tcW w:w="690" w:type="dxa"/>
            <w:shd w:val="clear" w:color="auto" w:fill="FFFFFF"/>
            <w:noWrap w:val="0"/>
            <w:vAlign w:val="center"/>
          </w:tcPr>
          <w:p>
            <w:pPr>
              <w:spacing w:line="276" w:lineRule="auto"/>
              <w:jc w:val="left"/>
              <w:rPr>
                <w:rFonts w:ascii="宋体" w:hAnsi="宋体" w:cs="宋体"/>
                <w:kern w:val="0"/>
                <w:sz w:val="22"/>
                <w:szCs w:val="22"/>
              </w:rPr>
            </w:pPr>
            <w:r>
              <w:rPr>
                <w:rFonts w:hint="eastAsia" w:ascii="宋体" w:hAnsi="宋体" w:cs="宋体"/>
                <w:kern w:val="0"/>
                <w:sz w:val="22"/>
                <w:szCs w:val="22"/>
              </w:rPr>
              <w:t>1</w:t>
            </w:r>
          </w:p>
        </w:tc>
      </w:tr>
    </w:tbl>
    <w:p>
      <w:pPr>
        <w:spacing w:line="360" w:lineRule="auto"/>
        <w:ind w:firstLine="480" w:firstLineChars="200"/>
        <w:rPr>
          <w:rFonts w:hint="eastAsia" w:ascii="宋体" w:hAnsi="宋体"/>
          <w:color w:val="000000"/>
          <w:sz w:val="24"/>
        </w:rPr>
      </w:pPr>
    </w:p>
    <w:p>
      <w:pPr>
        <w:spacing w:line="440" w:lineRule="exact"/>
        <w:ind w:firstLine="600" w:firstLineChars="250"/>
        <w:rPr>
          <w:rFonts w:ascii="宋体" w:hAnsi="宋体"/>
          <w:color w:val="000000"/>
          <w:sz w:val="24"/>
        </w:rPr>
      </w:pPr>
      <w:r>
        <w:rPr>
          <w:rFonts w:hint="eastAsia" w:ascii="宋体" w:hAnsi="宋体"/>
          <w:color w:val="000000"/>
          <w:sz w:val="24"/>
        </w:rPr>
        <w:t>2、价格分评分标准</w:t>
      </w:r>
    </w:p>
    <w:p>
      <w:pPr>
        <w:spacing w:line="360" w:lineRule="auto"/>
        <w:ind w:firstLine="600" w:firstLineChars="250"/>
        <w:rPr>
          <w:rFonts w:ascii="宋体" w:hAnsi="宋体"/>
          <w:color w:val="000000"/>
          <w:sz w:val="24"/>
          <w:u w:val="single"/>
        </w:rPr>
      </w:pPr>
      <w:r>
        <w:rPr>
          <w:rFonts w:hint="eastAsia" w:ascii="宋体" w:hAnsi="宋体"/>
          <w:color w:val="000000"/>
          <w:sz w:val="24"/>
          <w:u w:val="single"/>
        </w:rPr>
        <w:t>价格标30</w:t>
      </w:r>
      <w:r>
        <w:rPr>
          <w:rFonts w:ascii="宋体" w:hAnsi="宋体"/>
          <w:color w:val="000000"/>
          <w:sz w:val="24"/>
          <w:u w:val="single"/>
        </w:rPr>
        <w:t>%</w:t>
      </w:r>
      <w:r>
        <w:rPr>
          <w:rFonts w:hint="eastAsia" w:ascii="宋体" w:hAnsi="宋体"/>
          <w:color w:val="000000"/>
          <w:sz w:val="24"/>
          <w:u w:val="single"/>
        </w:rPr>
        <w:t>，即满分30分。</w:t>
      </w:r>
    </w:p>
    <w:p>
      <w:pPr>
        <w:spacing w:line="360" w:lineRule="auto"/>
        <w:ind w:firstLine="480" w:firstLineChars="200"/>
        <w:rPr>
          <w:rFonts w:ascii="宋体" w:hAnsi="宋体"/>
          <w:color w:val="000000"/>
          <w:sz w:val="24"/>
        </w:rPr>
      </w:pPr>
      <w:r>
        <w:rPr>
          <w:rFonts w:hint="eastAsia" w:ascii="宋体" w:hAnsi="宋体"/>
          <w:color w:val="000000"/>
          <w:sz w:val="24"/>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600" w:firstLineChars="250"/>
        <w:rPr>
          <w:rFonts w:hint="eastAsia" w:ascii="宋体" w:hAnsi="宋体"/>
          <w:color w:val="000000"/>
          <w:sz w:val="24"/>
        </w:rPr>
      </w:pPr>
      <w:r>
        <w:rPr>
          <w:rFonts w:hint="eastAsia" w:ascii="宋体" w:hAnsi="宋体"/>
          <w:color w:val="000000"/>
          <w:sz w:val="24"/>
        </w:rPr>
        <w:t>价格评分采用低价优先法计算，即在有效报价中，满足采购文件要求且投标价格最低的投标报价为评标基准价，</w:t>
      </w:r>
      <w:r>
        <w:rPr>
          <w:rFonts w:hint="eastAsia" w:ascii="宋体" w:hAnsi="宋体"/>
          <w:color w:val="000000"/>
          <w:sz w:val="24"/>
          <w:u w:val="single"/>
        </w:rPr>
        <w:t>其价格分为满分30分。</w:t>
      </w:r>
      <w:r>
        <w:rPr>
          <w:rFonts w:hint="eastAsia" w:ascii="宋体" w:hAnsi="宋体"/>
          <w:color w:val="000000"/>
          <w:sz w:val="24"/>
        </w:rPr>
        <w:t>其他供应商的价格分统一按照下列公式计算：</w:t>
      </w:r>
      <w:r>
        <w:rPr>
          <w:rFonts w:hint="eastAsia" w:ascii="宋体" w:hAnsi="宋体"/>
          <w:color w:val="000000"/>
          <w:sz w:val="24"/>
          <w:u w:val="single"/>
        </w:rPr>
        <w:t>投标报价得分</w:t>
      </w:r>
      <w:r>
        <w:rPr>
          <w:rFonts w:ascii="宋体" w:hAnsi="宋体"/>
          <w:color w:val="000000"/>
          <w:sz w:val="24"/>
          <w:u w:val="single"/>
        </w:rPr>
        <w:t>=</w:t>
      </w:r>
      <w:r>
        <w:rPr>
          <w:rFonts w:hint="eastAsia" w:ascii="宋体" w:hAnsi="宋体"/>
          <w:color w:val="000000"/>
          <w:sz w:val="24"/>
          <w:u w:val="single"/>
        </w:rPr>
        <w:t>（评标基准价</w:t>
      </w:r>
      <w:r>
        <w:rPr>
          <w:rFonts w:ascii="宋体" w:hAnsi="宋体"/>
          <w:color w:val="000000"/>
          <w:sz w:val="24"/>
          <w:u w:val="single"/>
        </w:rPr>
        <w:t>/</w:t>
      </w:r>
      <w:r>
        <w:rPr>
          <w:rFonts w:hint="eastAsia" w:ascii="宋体" w:hAnsi="宋体"/>
          <w:color w:val="000000"/>
          <w:sz w:val="24"/>
          <w:u w:val="single"/>
        </w:rPr>
        <w:t>投标报价）×30</w:t>
      </w:r>
      <w:r>
        <w:rPr>
          <w:rFonts w:ascii="宋体" w:hAnsi="宋体"/>
          <w:color w:val="000000"/>
          <w:sz w:val="24"/>
          <w:u w:val="single"/>
        </w:rPr>
        <w:t>%</w:t>
      </w:r>
      <w:r>
        <w:rPr>
          <w:rFonts w:hint="eastAsia" w:ascii="宋体" w:hAnsi="宋体"/>
          <w:color w:val="000000"/>
          <w:sz w:val="24"/>
          <w:u w:val="single"/>
        </w:rPr>
        <w:t>×</w:t>
      </w:r>
      <w:r>
        <w:rPr>
          <w:rFonts w:ascii="宋体" w:hAnsi="宋体"/>
          <w:color w:val="000000"/>
          <w:sz w:val="24"/>
          <w:u w:val="single"/>
        </w:rPr>
        <w:t>100</w:t>
      </w:r>
      <w:r>
        <w:rPr>
          <w:rFonts w:hint="eastAsia" w:ascii="宋体" w:hAnsi="宋体"/>
          <w:color w:val="000000"/>
          <w:sz w:val="24"/>
        </w:rPr>
        <w:t>。小数点保留2位。</w:t>
      </w:r>
    </w:p>
    <w:p>
      <w:pPr>
        <w:pStyle w:val="15"/>
        <w:spacing w:before="34" w:line="355" w:lineRule="auto"/>
        <w:ind w:right="116" w:firstLine="482" w:firstLineChars="200"/>
        <w:jc w:val="left"/>
        <w:rPr>
          <w:rFonts w:hint="eastAsia" w:ascii="宋体" w:hAnsi="宋体"/>
          <w:b w:val="0"/>
          <w:bCs w:val="0"/>
          <w:sz w:val="24"/>
          <w:u w:val="single"/>
        </w:rPr>
      </w:pPr>
      <w:r>
        <w:rPr>
          <w:rFonts w:hint="eastAsia" w:ascii="宋体" w:hAnsi="宋体"/>
          <w:color w:val="000000"/>
          <w:sz w:val="24"/>
        </w:rPr>
        <w:t>有效报价是指小于或等于采购人上限价的报价。</w:t>
      </w:r>
      <w:r>
        <w:rPr>
          <w:rFonts w:hint="eastAsia" w:ascii="宋体" w:hAnsi="宋体"/>
          <w:b w:val="0"/>
          <w:bCs w:val="0"/>
          <w:sz w:val="24"/>
          <w:u w:val="single"/>
        </w:rPr>
        <w:t>上限价为2297万元，超过上限价的报价作无效标处理，直接予以淘汰。</w:t>
      </w:r>
      <w:r>
        <w:rPr>
          <w:rFonts w:ascii="宋体" w:hAnsi="宋体"/>
          <w:b w:val="0"/>
          <w:bCs w:val="0"/>
          <w:sz w:val="24"/>
          <w:u w:val="single"/>
        </w:rPr>
        <w:t>当有效报价不足3家时，开标终止，重新组织招标。</w:t>
      </w:r>
    </w:p>
    <w:p>
      <w:pPr>
        <w:spacing w:line="360" w:lineRule="auto"/>
        <w:ind w:firstLine="600" w:firstLineChars="250"/>
        <w:rPr>
          <w:rFonts w:hint="eastAsia" w:ascii="宋体" w:hAnsi="宋体"/>
          <w:color w:val="000000"/>
          <w:sz w:val="24"/>
        </w:rPr>
      </w:pPr>
      <w:r>
        <w:rPr>
          <w:rFonts w:ascii="宋体" w:hAnsi="宋体"/>
          <w:color w:val="00000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000000"/>
          <w:sz w:val="24"/>
        </w:rPr>
        <w:t>。</w:t>
      </w:r>
    </w:p>
    <w:bookmarkEnd w:id="29"/>
    <w:p>
      <w:pPr>
        <w:spacing w:line="480" w:lineRule="auto"/>
        <w:rPr>
          <w:rFonts w:ascii="宋体"/>
          <w:color w:val="000000"/>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6255"/>
        </w:tabs>
        <w:rPr>
          <w:rFonts w:hint="eastAsia" w:ascii="宋体"/>
          <w:sz w:val="24"/>
        </w:rPr>
      </w:pPr>
      <w:r>
        <w:rPr>
          <w:rFonts w:ascii="宋体"/>
          <w:sz w:val="24"/>
        </w:rPr>
        <w:tab/>
      </w:r>
    </w:p>
    <w:sectPr>
      <w:footerReference r:id="rId6" w:type="first"/>
      <w:headerReference r:id="rId3" w:type="default"/>
      <w:footerReference r:id="rId4" w:type="default"/>
      <w:footerReference r:id="rId5" w:type="even"/>
      <w:pgSz w:w="11907" w:h="16840"/>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rPr>
    </w:pPr>
    <w:r>
      <w:fldChar w:fldCharType="begin"/>
    </w:r>
    <w:r>
      <w:instrText xml:space="preserve"> PAGE   \* MERGEFORMAT </w:instrText>
    </w:r>
    <w:r>
      <w:fldChar w:fldCharType="separate"/>
    </w:r>
    <w:r>
      <w:rPr>
        <w:lang w:val="zh-CN"/>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9"/>
      </w:rPr>
    </w:pPr>
    <w:r>
      <w:fldChar w:fldCharType="begin"/>
    </w:r>
    <w:r>
      <w:rPr>
        <w:rStyle w:val="39"/>
      </w:rPr>
      <w:instrText xml:space="preserve">PAGE  </w:instrText>
    </w:r>
    <w:r>
      <w:fldChar w:fldCharType="separate"/>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u w:val="single"/>
      </w:rPr>
    </w:pPr>
    <w:r>
      <w:rPr>
        <w:rFonts w:hint="eastAsia"/>
        <w:u w:val="single"/>
      </w:rPr>
      <w:t>绍柯采[2020]3210号</w:t>
    </w:r>
    <w:r>
      <w:rPr>
        <w:u w:val="single"/>
      </w:rPr>
      <w:t xml:space="preserve">    </w:t>
    </w:r>
    <w:r>
      <w:rPr>
        <w:rFonts w:hint="eastAsia"/>
        <w:u w:val="single"/>
      </w:rPr>
      <w:t xml:space="preserve">       绍兴市公安局柯桥区分局”智慧安防小区”（主城区）建设项目      </w:t>
    </w:r>
    <w:r>
      <w:rPr>
        <w:u w:val="single"/>
      </w:rPr>
      <w:t xml:space="preserve"> </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1."/>
      <w:lvlJc w:val="left"/>
      <w:pPr>
        <w:tabs>
          <w:tab w:val="left" w:pos="851"/>
        </w:tabs>
        <w:ind w:left="851" w:hanging="851"/>
      </w:pPr>
      <w:rPr>
        <w:b/>
        <w:i w:val="0"/>
        <w:sz w:val="28"/>
      </w:rPr>
    </w:lvl>
    <w:lvl w:ilvl="1" w:tentative="0">
      <w:start w:val="1"/>
      <w:numFmt w:val="decimal"/>
      <w:pStyle w:val="84"/>
      <w:lvlText w:val="%1.%2."/>
      <w:lvlJc w:val="left"/>
      <w:pPr>
        <w:tabs>
          <w:tab w:val="left" w:pos="851"/>
        </w:tabs>
        <w:ind w:left="851" w:hanging="851"/>
      </w:pPr>
      <w:rPr>
        <w:b w:val="0"/>
        <w:i w:val="0"/>
        <w:sz w:val="24"/>
      </w:rPr>
    </w:lvl>
    <w:lvl w:ilvl="2" w:tentative="0">
      <w:start w:val="1"/>
      <w:numFmt w:val="decimal"/>
      <w:pStyle w:val="48"/>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pStyle w:val="122"/>
      <w:lvlText w:val="%1.%2.%3.%4.%5.%6."/>
      <w:lvlJc w:val="left"/>
      <w:pPr>
        <w:tabs>
          <w:tab w:val="left" w:pos="2880"/>
        </w:tabs>
        <w:ind w:left="2736" w:hanging="936"/>
      </w:pPr>
    </w:lvl>
    <w:lvl w:ilvl="6" w:tentative="0">
      <w:start w:val="1"/>
      <w:numFmt w:val="decimal"/>
      <w:pStyle w:val="150"/>
      <w:lvlText w:val="%1.%2.%3.%4.%5.%6.%7."/>
      <w:lvlJc w:val="left"/>
      <w:pPr>
        <w:tabs>
          <w:tab w:val="left" w:pos="3600"/>
        </w:tabs>
        <w:ind w:left="3240" w:hanging="1080"/>
      </w:pPr>
    </w:lvl>
    <w:lvl w:ilvl="7" w:tentative="0">
      <w:start w:val="1"/>
      <w:numFmt w:val="decimal"/>
      <w:pStyle w:val="121"/>
      <w:lvlText w:val="%1.%2.%3.%4.%5.%6.%7.%8."/>
      <w:lvlJc w:val="left"/>
      <w:pPr>
        <w:tabs>
          <w:tab w:val="left" w:pos="3960"/>
        </w:tabs>
        <w:ind w:left="3744" w:hanging="1224"/>
      </w:pPr>
    </w:lvl>
    <w:lvl w:ilvl="8" w:tentative="0">
      <w:start w:val="1"/>
      <w:numFmt w:val="decimal"/>
      <w:pStyle w:val="131"/>
      <w:lvlText w:val="%1.%2.%3.%4.%5.%6.%7.%8.%9."/>
      <w:lvlJc w:val="left"/>
      <w:pPr>
        <w:tabs>
          <w:tab w:val="left" w:pos="4680"/>
        </w:tabs>
        <w:ind w:left="4320" w:hanging="1440"/>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132"/>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2">
    <w:nsid w:val="00000002"/>
    <w:multiLevelType w:val="multilevel"/>
    <w:tmpl w:val="00000002"/>
    <w:lvl w:ilvl="0" w:tentative="0">
      <w:start w:val="1"/>
      <w:numFmt w:val="lowerLetter"/>
      <w:lvlText w:val="%1)"/>
      <w:lvlJc w:val="left"/>
      <w:pPr>
        <w:ind w:left="1554"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00000003"/>
    <w:multiLevelType w:val="multilevel"/>
    <w:tmpl w:val="00000003"/>
    <w:lvl w:ilvl="0" w:tentative="0">
      <w:start w:val="1"/>
      <w:numFmt w:val="lowerLetter"/>
      <w:lvlText w:val="%1)"/>
      <w:lvlJc w:val="left"/>
      <w:pPr>
        <w:ind w:left="1554"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00000004"/>
    <w:multiLevelType w:val="multilevel"/>
    <w:tmpl w:val="00000004"/>
    <w:lvl w:ilvl="0" w:tentative="0">
      <w:start w:val="1"/>
      <w:numFmt w:val="decimal"/>
      <w:pStyle w:val="114"/>
      <w:lvlText w:val="%1"/>
      <w:lvlJc w:val="left"/>
      <w:pPr>
        <w:ind w:left="425" w:hanging="425"/>
      </w:pPr>
      <w:rPr>
        <w:rFonts w:hint="eastAsia"/>
      </w:rPr>
    </w:lvl>
    <w:lvl w:ilvl="1" w:tentative="0">
      <w:start w:val="1"/>
      <w:numFmt w:val="decimal"/>
      <w:pStyle w:val="113"/>
      <w:lvlText w:val="%1.%2"/>
      <w:lvlJc w:val="left"/>
      <w:pPr>
        <w:ind w:left="992" w:hanging="567"/>
      </w:pPr>
      <w:rPr>
        <w:rFonts w:hint="eastAsia"/>
      </w:rPr>
    </w:lvl>
    <w:lvl w:ilvl="2" w:tentative="0">
      <w:start w:val="1"/>
      <w:numFmt w:val="decimal"/>
      <w:pStyle w:val="115"/>
      <w:lvlText w:val="%1.%2.%3"/>
      <w:lvlJc w:val="left"/>
      <w:pPr>
        <w:ind w:left="1418" w:hanging="567"/>
      </w:pPr>
      <w:rPr>
        <w:rFonts w:hint="eastAsia"/>
      </w:rPr>
    </w:lvl>
    <w:lvl w:ilvl="3" w:tentative="0">
      <w:start w:val="1"/>
      <w:numFmt w:val="decimal"/>
      <w:pStyle w:val="11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0000005"/>
    <w:multiLevelType w:val="multilevel"/>
    <w:tmpl w:val="00000005"/>
    <w:lvl w:ilvl="0" w:tentative="0">
      <w:start w:val="1"/>
      <w:numFmt w:val="decimal"/>
      <w:pStyle w:val="118"/>
      <w:suff w:val="nothing"/>
      <w:lvlText w:val="（%1）"/>
      <w:lvlJc w:val="left"/>
      <w:pPr>
        <w:ind w:left="42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2）"/>
      <w:lvlJc w:val="left"/>
      <w:pPr>
        <w:ind w:left="840" w:firstLine="0"/>
      </w:pPr>
      <w:rPr>
        <w:rFonts w:hint="eastAsia"/>
        <w:sz w:val="22"/>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6">
    <w:nsid w:val="00000006"/>
    <w:multiLevelType w:val="multilevel"/>
    <w:tmpl w:val="00000006"/>
    <w:lvl w:ilvl="0" w:tentative="0">
      <w:start w:val="1"/>
      <w:numFmt w:val="decimal"/>
      <w:lvlText w:val="（%1）"/>
      <w:lvlJc w:val="left"/>
      <w:pPr>
        <w:ind w:left="420" w:firstLine="0"/>
      </w:pPr>
      <w:rPr>
        <w:rFonts w:hint="default"/>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00000007"/>
    <w:multiLevelType w:val="multilevel"/>
    <w:tmpl w:val="0000000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08"/>
    <w:multiLevelType w:val="multilevel"/>
    <w:tmpl w:val="00000008"/>
    <w:lvl w:ilvl="0" w:tentative="0">
      <w:start w:val="1"/>
      <w:numFmt w:val="lowerLetter"/>
      <w:lvlText w:val="%1)"/>
      <w:lvlJc w:val="left"/>
      <w:pPr>
        <w:ind w:left="1412" w:hanging="420"/>
      </w:pPr>
      <w:rPr>
        <w:rFonts w:hint="default"/>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9">
    <w:nsid w:val="00000009"/>
    <w:multiLevelType w:val="multilevel"/>
    <w:tmpl w:val="00000009"/>
    <w:lvl w:ilvl="0" w:tentative="0">
      <w:start w:val="1"/>
      <w:numFmt w:val="decimal"/>
      <w:pStyle w:val="142"/>
      <w:suff w:val="nothing"/>
      <w:lvlText w:val="%1）"/>
      <w:lvlJc w:val="left"/>
      <w:pPr>
        <w:ind w:left="1418"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suff w:val="space"/>
      <w:lvlText w:val="%2)"/>
      <w:lvlJc w:val="left"/>
      <w:pPr>
        <w:ind w:left="1804" w:firstLine="0"/>
      </w:pPr>
      <w:rPr>
        <w:rFonts w:hint="eastAsia"/>
      </w:rPr>
    </w:lvl>
    <w:lvl w:ilvl="2" w:tentative="0">
      <w:start w:val="1"/>
      <w:numFmt w:val="lowerRoman"/>
      <w:lvlText w:val="%3."/>
      <w:lvlJc w:val="right"/>
      <w:pPr>
        <w:tabs>
          <w:tab w:val="left" w:pos="1385"/>
        </w:tabs>
        <w:ind w:left="2190" w:firstLine="0"/>
      </w:pPr>
      <w:rPr>
        <w:rFonts w:hint="eastAsia"/>
      </w:rPr>
    </w:lvl>
    <w:lvl w:ilvl="3" w:tentative="0">
      <w:start w:val="1"/>
      <w:numFmt w:val="decimal"/>
      <w:lvlText w:val="%4."/>
      <w:lvlJc w:val="left"/>
      <w:pPr>
        <w:tabs>
          <w:tab w:val="left" w:pos="1578"/>
        </w:tabs>
        <w:ind w:left="2576" w:firstLine="0"/>
      </w:pPr>
      <w:rPr>
        <w:rFonts w:hint="eastAsia"/>
      </w:rPr>
    </w:lvl>
    <w:lvl w:ilvl="4" w:tentative="0">
      <w:start w:val="1"/>
      <w:numFmt w:val="lowerLetter"/>
      <w:lvlText w:val="%5)"/>
      <w:lvlJc w:val="left"/>
      <w:pPr>
        <w:tabs>
          <w:tab w:val="left" w:pos="1771"/>
        </w:tabs>
        <w:ind w:left="2962" w:firstLine="0"/>
      </w:pPr>
      <w:rPr>
        <w:rFonts w:hint="eastAsia"/>
      </w:rPr>
    </w:lvl>
    <w:lvl w:ilvl="5" w:tentative="0">
      <w:start w:val="1"/>
      <w:numFmt w:val="lowerRoman"/>
      <w:lvlText w:val="%6."/>
      <w:lvlJc w:val="right"/>
      <w:pPr>
        <w:tabs>
          <w:tab w:val="left" w:pos="1964"/>
        </w:tabs>
        <w:ind w:left="3348" w:firstLine="0"/>
      </w:pPr>
      <w:rPr>
        <w:rFonts w:hint="eastAsia"/>
      </w:rPr>
    </w:lvl>
    <w:lvl w:ilvl="6" w:tentative="0">
      <w:start w:val="1"/>
      <w:numFmt w:val="decimal"/>
      <w:lvlText w:val="%7."/>
      <w:lvlJc w:val="left"/>
      <w:pPr>
        <w:tabs>
          <w:tab w:val="left" w:pos="2157"/>
        </w:tabs>
        <w:ind w:left="3734" w:firstLine="0"/>
      </w:pPr>
      <w:rPr>
        <w:rFonts w:hint="eastAsia"/>
      </w:rPr>
    </w:lvl>
    <w:lvl w:ilvl="7" w:tentative="0">
      <w:start w:val="1"/>
      <w:numFmt w:val="lowerLetter"/>
      <w:lvlText w:val="%8)"/>
      <w:lvlJc w:val="left"/>
      <w:pPr>
        <w:tabs>
          <w:tab w:val="left" w:pos="2350"/>
        </w:tabs>
        <w:ind w:left="4120" w:firstLine="0"/>
      </w:pPr>
      <w:rPr>
        <w:rFonts w:hint="eastAsia"/>
      </w:rPr>
    </w:lvl>
    <w:lvl w:ilvl="8" w:tentative="0">
      <w:start w:val="1"/>
      <w:numFmt w:val="lowerRoman"/>
      <w:lvlText w:val="%9."/>
      <w:lvlJc w:val="right"/>
      <w:pPr>
        <w:tabs>
          <w:tab w:val="left" w:pos="2543"/>
        </w:tabs>
        <w:ind w:left="4506" w:firstLine="0"/>
      </w:pPr>
      <w:rPr>
        <w:rFonts w:hint="eastAsia"/>
      </w:rPr>
    </w:lvl>
  </w:abstractNum>
  <w:num w:numId="1">
    <w:abstractNumId w:val="0"/>
  </w:num>
  <w:num w:numId="2">
    <w:abstractNumId w:val="4"/>
  </w:num>
  <w:num w:numId="3">
    <w:abstractNumId w:val="5"/>
  </w:num>
  <w:num w:numId="4">
    <w:abstractNumId w:val="1"/>
  </w:num>
  <w:num w:numId="5">
    <w:abstractNumId w:val="9"/>
  </w:num>
  <w:num w:numId="6">
    <w:abstractNumId w:val="7"/>
  </w:num>
  <w:num w:numId="7">
    <w:abstractNumId w:val="2"/>
  </w:num>
  <w:num w:numId="8">
    <w:abstractNumId w:val="3"/>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5"/>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5D"/>
    <w:rsid w:val="00086ACD"/>
    <w:rsid w:val="000A2047"/>
    <w:rsid w:val="000B44CC"/>
    <w:rsid w:val="000D137F"/>
    <w:rsid w:val="000F5CCE"/>
    <w:rsid w:val="00143139"/>
    <w:rsid w:val="00186E91"/>
    <w:rsid w:val="00186E95"/>
    <w:rsid w:val="00214E1E"/>
    <w:rsid w:val="002156DF"/>
    <w:rsid w:val="002F0FE8"/>
    <w:rsid w:val="003511A5"/>
    <w:rsid w:val="003A4F39"/>
    <w:rsid w:val="004A01CD"/>
    <w:rsid w:val="0057163A"/>
    <w:rsid w:val="005D5B24"/>
    <w:rsid w:val="005D76A4"/>
    <w:rsid w:val="006F3566"/>
    <w:rsid w:val="006F6986"/>
    <w:rsid w:val="007006C3"/>
    <w:rsid w:val="00703618"/>
    <w:rsid w:val="00724F65"/>
    <w:rsid w:val="00760456"/>
    <w:rsid w:val="007622F0"/>
    <w:rsid w:val="0077134D"/>
    <w:rsid w:val="007C2D3A"/>
    <w:rsid w:val="007F17D4"/>
    <w:rsid w:val="00833639"/>
    <w:rsid w:val="008905CB"/>
    <w:rsid w:val="008C7D2C"/>
    <w:rsid w:val="008D51C5"/>
    <w:rsid w:val="008F6688"/>
    <w:rsid w:val="00946048"/>
    <w:rsid w:val="009460C7"/>
    <w:rsid w:val="009A57D1"/>
    <w:rsid w:val="009E4C59"/>
    <w:rsid w:val="009F3B72"/>
    <w:rsid w:val="00A07918"/>
    <w:rsid w:val="00A26706"/>
    <w:rsid w:val="00A723BC"/>
    <w:rsid w:val="00B7796E"/>
    <w:rsid w:val="00B9204D"/>
    <w:rsid w:val="00BC4A0D"/>
    <w:rsid w:val="00C123A8"/>
    <w:rsid w:val="00C507D8"/>
    <w:rsid w:val="00DC53FB"/>
    <w:rsid w:val="00E56A9D"/>
    <w:rsid w:val="00F11870"/>
    <w:rsid w:val="00F37A59"/>
    <w:rsid w:val="00F618A9"/>
    <w:rsid w:val="00FE11D0"/>
    <w:rsid w:val="0999005F"/>
    <w:rsid w:val="149E5BFD"/>
    <w:rsid w:val="1C794F91"/>
    <w:rsid w:val="56B20EAF"/>
    <w:rsid w:val="7CD313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76"/>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3">
    <w:name w:val="heading 2"/>
    <w:basedOn w:val="1"/>
    <w:next w:val="1"/>
    <w:link w:val="10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outlineLvl w:val="2"/>
    </w:pPr>
    <w:rPr>
      <w:b/>
      <w:bCs/>
      <w:sz w:val="32"/>
      <w:szCs w:val="32"/>
    </w:rPr>
  </w:style>
  <w:style w:type="paragraph" w:styleId="5">
    <w:name w:val="heading 4"/>
    <w:basedOn w:val="1"/>
    <w:next w:val="1"/>
    <w:link w:val="53"/>
    <w:qFormat/>
    <w:uiPriority w:val="0"/>
    <w:pPr>
      <w:keepNext/>
      <w:keepLines/>
      <w:outlineLvl w:val="3"/>
    </w:pPr>
    <w:rPr>
      <w:rFonts w:ascii="Cambria" w:hAnsi="Cambria"/>
      <w:b/>
      <w:bCs/>
      <w:sz w:val="28"/>
      <w:szCs w:val="28"/>
    </w:rPr>
  </w:style>
  <w:style w:type="paragraph" w:styleId="6">
    <w:name w:val="heading 5"/>
    <w:basedOn w:val="1"/>
    <w:next w:val="1"/>
    <w:link w:val="52"/>
    <w:qFormat/>
    <w:uiPriority w:val="0"/>
    <w:pPr>
      <w:keepNext/>
      <w:keepLines/>
      <w:spacing w:before="280" w:beforeLines="0" w:after="290" w:afterLines="0" w:line="377" w:lineRule="auto"/>
      <w:ind w:left="850" w:hanging="850"/>
      <w:jc w:val="left"/>
      <w:outlineLvl w:val="4"/>
    </w:pPr>
    <w:rPr>
      <w:b/>
      <w:bCs/>
      <w:sz w:val="28"/>
      <w:szCs w:val="28"/>
    </w:rPr>
  </w:style>
  <w:style w:type="paragraph" w:styleId="7">
    <w:name w:val="heading 6"/>
    <w:basedOn w:val="1"/>
    <w:next w:val="1"/>
    <w:link w:val="89"/>
    <w:qFormat/>
    <w:uiPriority w:val="0"/>
    <w:pPr>
      <w:keepNext/>
      <w:keepLines/>
      <w:spacing w:before="240" w:beforeLines="0" w:after="64" w:afterLines="0" w:line="317" w:lineRule="auto"/>
      <w:ind w:left="3260" w:hanging="1134"/>
      <w:jc w:val="left"/>
      <w:outlineLvl w:val="5"/>
    </w:pPr>
    <w:rPr>
      <w:rFonts w:ascii="等线 Light" w:hAnsi="等线 Light" w:eastAsia="等线 Light"/>
      <w:b/>
      <w:bCs/>
      <w:sz w:val="24"/>
    </w:rPr>
  </w:style>
  <w:style w:type="paragraph" w:styleId="8">
    <w:name w:val="heading 7"/>
    <w:basedOn w:val="1"/>
    <w:next w:val="1"/>
    <w:link w:val="92"/>
    <w:qFormat/>
    <w:uiPriority w:val="0"/>
    <w:pPr>
      <w:keepNext/>
      <w:keepLines/>
      <w:spacing w:before="240" w:beforeLines="0" w:after="64" w:afterLines="0"/>
      <w:ind w:left="3827" w:hanging="1276"/>
      <w:jc w:val="left"/>
      <w:outlineLvl w:val="6"/>
    </w:pPr>
    <w:rPr>
      <w:b/>
      <w:bCs/>
      <w:sz w:val="24"/>
    </w:rPr>
  </w:style>
  <w:style w:type="paragraph" w:styleId="9">
    <w:name w:val="heading 8"/>
    <w:basedOn w:val="1"/>
    <w:next w:val="1"/>
    <w:link w:val="64"/>
    <w:qFormat/>
    <w:uiPriority w:val="0"/>
    <w:pPr>
      <w:keepNext/>
      <w:keepLines/>
      <w:spacing w:line="360" w:lineRule="auto"/>
      <w:jc w:val="left"/>
      <w:outlineLvl w:val="7"/>
    </w:pPr>
    <w:rPr>
      <w:sz w:val="24"/>
      <w:lang w:eastAsia="en-US"/>
    </w:rPr>
  </w:style>
  <w:style w:type="paragraph" w:styleId="10">
    <w:name w:val="heading 9"/>
    <w:basedOn w:val="1"/>
    <w:next w:val="1"/>
    <w:link w:val="44"/>
    <w:qFormat/>
    <w:uiPriority w:val="0"/>
    <w:pPr>
      <w:keepNext/>
      <w:keepLines/>
      <w:spacing w:line="360" w:lineRule="auto"/>
      <w:jc w:val="left"/>
      <w:outlineLvl w:val="8"/>
    </w:pPr>
    <w:rPr>
      <w:sz w:val="24"/>
      <w:szCs w:val="21"/>
      <w:lang w:eastAsia="en-US"/>
    </w:rPr>
  </w:style>
  <w:style w:type="character" w:default="1" w:styleId="37">
    <w:name w:val="Default Paragraph Font"/>
    <w:uiPriority w:val="0"/>
  </w:style>
  <w:style w:type="table" w:default="1" w:styleId="35">
    <w:name w:val="Normal Table"/>
    <w:semiHidden/>
    <w:uiPriority w:val="0"/>
    <w:tblPr>
      <w:tblStyle w:val="35"/>
      <w:tblCellMar>
        <w:top w:w="0" w:type="dxa"/>
        <w:left w:w="108" w:type="dxa"/>
        <w:bottom w:w="0" w:type="dxa"/>
        <w:right w:w="108" w:type="dxa"/>
      </w:tblCellMar>
    </w:tblPr>
  </w:style>
  <w:style w:type="paragraph" w:styleId="11">
    <w:name w:val="toc 7"/>
    <w:basedOn w:val="1"/>
    <w:next w:val="1"/>
    <w:uiPriority w:val="0"/>
    <w:pPr>
      <w:widowControl/>
      <w:spacing w:line="360" w:lineRule="auto"/>
      <w:ind w:left="1440" w:firstLine="200" w:firstLineChars="200"/>
      <w:jc w:val="left"/>
    </w:pPr>
    <w:rPr>
      <w:rFonts w:ascii="等线" w:hAnsi="Calibri" w:eastAsia="等线" w:cs="Calibri"/>
      <w:color w:val="000000"/>
      <w:sz w:val="18"/>
      <w:szCs w:val="18"/>
    </w:rPr>
  </w:style>
  <w:style w:type="paragraph" w:styleId="12">
    <w:name w:val="Normal Indent"/>
    <w:basedOn w:val="1"/>
    <w:link w:val="72"/>
    <w:uiPriority w:val="0"/>
    <w:pPr>
      <w:ind w:firstLine="420"/>
    </w:pPr>
    <w:rPr>
      <w:szCs w:val="20"/>
    </w:rPr>
  </w:style>
  <w:style w:type="paragraph" w:styleId="13">
    <w:name w:val="Document Map"/>
    <w:basedOn w:val="1"/>
    <w:link w:val="59"/>
    <w:uiPriority w:val="0"/>
    <w:pPr>
      <w:shd w:val="clear" w:color="auto" w:fill="000080"/>
    </w:pPr>
    <w:rPr>
      <w:shd w:val="clear" w:color="auto" w:fill="000080"/>
    </w:rPr>
  </w:style>
  <w:style w:type="paragraph" w:styleId="14">
    <w:name w:val="annotation text"/>
    <w:basedOn w:val="1"/>
    <w:link w:val="74"/>
    <w:uiPriority w:val="0"/>
    <w:pPr>
      <w:jc w:val="left"/>
    </w:pPr>
  </w:style>
  <w:style w:type="paragraph" w:styleId="15">
    <w:name w:val="Body Text"/>
    <w:basedOn w:val="1"/>
    <w:link w:val="93"/>
    <w:uiPriority w:val="0"/>
    <w:pPr>
      <w:jc w:val="center"/>
    </w:pPr>
    <w:rPr>
      <w:b/>
      <w:bCs/>
      <w:sz w:val="52"/>
    </w:rPr>
  </w:style>
  <w:style w:type="paragraph" w:styleId="16">
    <w:name w:val="Body Text Indent"/>
    <w:basedOn w:val="1"/>
    <w:link w:val="50"/>
    <w:uiPriority w:val="0"/>
    <w:pPr>
      <w:spacing w:after="120" w:afterLines="0"/>
      <w:ind w:left="420" w:leftChars="200"/>
    </w:pPr>
  </w:style>
  <w:style w:type="paragraph" w:styleId="17">
    <w:name w:val="toc 5"/>
    <w:basedOn w:val="1"/>
    <w:next w:val="1"/>
    <w:uiPriority w:val="0"/>
    <w:pPr>
      <w:widowControl/>
      <w:spacing w:line="360" w:lineRule="auto"/>
      <w:ind w:left="960" w:firstLine="200" w:firstLineChars="200"/>
      <w:jc w:val="left"/>
    </w:pPr>
    <w:rPr>
      <w:rFonts w:ascii="等线" w:hAnsi="Calibri" w:eastAsia="等线" w:cs="Calibri"/>
      <w:color w:val="000000"/>
      <w:sz w:val="18"/>
      <w:szCs w:val="18"/>
    </w:rPr>
  </w:style>
  <w:style w:type="paragraph" w:styleId="18">
    <w:name w:val="toc 3"/>
    <w:basedOn w:val="1"/>
    <w:next w:val="1"/>
    <w:uiPriority w:val="0"/>
    <w:pPr>
      <w:ind w:left="840" w:leftChars="400"/>
    </w:pPr>
  </w:style>
  <w:style w:type="paragraph" w:styleId="19">
    <w:name w:val="Plain Text"/>
    <w:basedOn w:val="1"/>
    <w:link w:val="63"/>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uiPriority w:val="0"/>
    <w:pPr>
      <w:widowControl/>
      <w:spacing w:line="360" w:lineRule="auto"/>
      <w:ind w:left="1680" w:firstLine="200" w:firstLineChars="200"/>
      <w:jc w:val="left"/>
    </w:pPr>
    <w:rPr>
      <w:rFonts w:ascii="等线" w:hAnsi="Calibri" w:eastAsia="等线" w:cs="Calibri"/>
      <w:color w:val="000000"/>
      <w:sz w:val="18"/>
      <w:szCs w:val="18"/>
    </w:rPr>
  </w:style>
  <w:style w:type="paragraph" w:styleId="21">
    <w:name w:val="Date"/>
    <w:basedOn w:val="1"/>
    <w:next w:val="1"/>
    <w:link w:val="90"/>
    <w:uiPriority w:val="0"/>
    <w:pPr>
      <w:ind w:left="100" w:leftChars="2500"/>
    </w:pPr>
  </w:style>
  <w:style w:type="paragraph" w:styleId="22">
    <w:name w:val="Body Text Indent 2"/>
    <w:basedOn w:val="1"/>
    <w:uiPriority w:val="0"/>
    <w:pPr>
      <w:spacing w:after="120" w:afterLines="0" w:line="480" w:lineRule="auto"/>
      <w:ind w:left="420" w:leftChars="200"/>
    </w:pPr>
  </w:style>
  <w:style w:type="paragraph" w:styleId="23">
    <w:name w:val="Balloon Text"/>
    <w:basedOn w:val="1"/>
    <w:link w:val="91"/>
    <w:uiPriority w:val="0"/>
    <w:rPr>
      <w:sz w:val="18"/>
      <w:szCs w:val="18"/>
    </w:rPr>
  </w:style>
  <w:style w:type="paragraph" w:styleId="24">
    <w:name w:val="footer"/>
    <w:basedOn w:val="1"/>
    <w:link w:val="69"/>
    <w:uiPriority w:val="0"/>
    <w:pPr>
      <w:tabs>
        <w:tab w:val="center" w:pos="4153"/>
        <w:tab w:val="right" w:pos="8306"/>
      </w:tabs>
      <w:snapToGrid w:val="0"/>
      <w:jc w:val="left"/>
    </w:pPr>
    <w:rPr>
      <w:sz w:val="18"/>
      <w:szCs w:val="18"/>
    </w:rPr>
  </w:style>
  <w:style w:type="paragraph" w:styleId="25">
    <w:name w:val="header"/>
    <w:basedOn w:val="1"/>
    <w:link w:val="66"/>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0"/>
    <w:pPr>
      <w:tabs>
        <w:tab w:val="right" w:leader="dot" w:pos="8280"/>
      </w:tabs>
      <w:spacing w:line="360" w:lineRule="auto"/>
    </w:pPr>
  </w:style>
  <w:style w:type="paragraph" w:styleId="27">
    <w:name w:val="toc 4"/>
    <w:basedOn w:val="1"/>
    <w:next w:val="1"/>
    <w:uiPriority w:val="0"/>
    <w:pPr>
      <w:widowControl/>
      <w:spacing w:line="360" w:lineRule="auto"/>
      <w:ind w:left="720" w:firstLine="200" w:firstLineChars="200"/>
      <w:jc w:val="left"/>
    </w:pPr>
    <w:rPr>
      <w:rFonts w:ascii="等线" w:hAnsi="Calibri" w:eastAsia="等线" w:cs="Calibri"/>
      <w:color w:val="000000"/>
      <w:sz w:val="18"/>
      <w:szCs w:val="18"/>
    </w:rPr>
  </w:style>
  <w:style w:type="paragraph" w:styleId="28">
    <w:name w:val="toc 6"/>
    <w:basedOn w:val="1"/>
    <w:next w:val="1"/>
    <w:uiPriority w:val="0"/>
    <w:pPr>
      <w:widowControl/>
      <w:spacing w:line="360" w:lineRule="auto"/>
      <w:ind w:left="1200" w:firstLine="200" w:firstLineChars="200"/>
      <w:jc w:val="left"/>
    </w:pPr>
    <w:rPr>
      <w:rFonts w:ascii="等线" w:hAnsi="Calibri" w:eastAsia="等线" w:cs="Calibri"/>
      <w:color w:val="000000"/>
      <w:sz w:val="18"/>
      <w:szCs w:val="18"/>
    </w:rPr>
  </w:style>
  <w:style w:type="paragraph" w:styleId="29">
    <w:name w:val="Body Text Indent 3"/>
    <w:basedOn w:val="1"/>
    <w:uiPriority w:val="0"/>
    <w:pPr>
      <w:spacing w:after="120" w:afterLines="0"/>
      <w:ind w:left="420" w:leftChars="200"/>
    </w:pPr>
    <w:rPr>
      <w:sz w:val="16"/>
      <w:szCs w:val="16"/>
    </w:rPr>
  </w:style>
  <w:style w:type="paragraph" w:styleId="30">
    <w:name w:val="toc 2"/>
    <w:basedOn w:val="1"/>
    <w:next w:val="1"/>
    <w:uiPriority w:val="0"/>
    <w:pPr>
      <w:ind w:left="420" w:leftChars="200"/>
    </w:pPr>
  </w:style>
  <w:style w:type="paragraph" w:styleId="31">
    <w:name w:val="toc 9"/>
    <w:basedOn w:val="1"/>
    <w:next w:val="1"/>
    <w:uiPriority w:val="0"/>
    <w:pPr>
      <w:widowControl/>
      <w:spacing w:line="360" w:lineRule="auto"/>
      <w:ind w:left="1920" w:firstLine="200" w:firstLineChars="200"/>
      <w:jc w:val="left"/>
    </w:pPr>
    <w:rPr>
      <w:rFonts w:ascii="等线" w:hAnsi="Calibri" w:eastAsia="等线" w:cs="Calibri"/>
      <w:color w:val="000000"/>
      <w:sz w:val="18"/>
      <w:szCs w:val="18"/>
    </w:rPr>
  </w:style>
  <w:style w:type="paragraph" w:styleId="32">
    <w:name w:val="Normal (Web)"/>
    <w:basedOn w:val="1"/>
    <w:uiPriority w:val="99"/>
    <w:rPr>
      <w:sz w:val="24"/>
    </w:rPr>
  </w:style>
  <w:style w:type="paragraph" w:styleId="33">
    <w:name w:val="index 1"/>
    <w:basedOn w:val="1"/>
    <w:next w:val="1"/>
    <w:uiPriority w:val="0"/>
    <w:pPr>
      <w:widowControl/>
      <w:snapToGrid w:val="0"/>
      <w:spacing w:before="156" w:beforeLines="50" w:after="156" w:afterLines="50"/>
      <w:jc w:val="center"/>
    </w:pPr>
    <w:rPr>
      <w:rFonts w:ascii="Arial" w:hAnsi="Arial" w:cs="Arial"/>
      <w:color w:val="FF0000"/>
      <w:kern w:val="0"/>
      <w:sz w:val="24"/>
    </w:rPr>
  </w:style>
  <w:style w:type="paragraph" w:styleId="34">
    <w:name w:val="annotation subject"/>
    <w:basedOn w:val="14"/>
    <w:next w:val="14"/>
    <w:link w:val="101"/>
    <w:uiPriority w:val="0"/>
    <w:rPr>
      <w:b/>
      <w:bCs/>
    </w:rPr>
  </w:style>
  <w:style w:type="table" w:styleId="36">
    <w:name w:val="Table Grid"/>
    <w:basedOn w:val="35"/>
    <w:uiPriority w:val="0"/>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uiPriority w:val="0"/>
  </w:style>
  <w:style w:type="character" w:styleId="40">
    <w:name w:val="FollowedHyperlink"/>
    <w:uiPriority w:val="0"/>
    <w:rPr>
      <w:color w:val="800080"/>
      <w:u w:val="single"/>
    </w:rPr>
  </w:style>
  <w:style w:type="character" w:styleId="41">
    <w:name w:val="Emphasis"/>
    <w:qFormat/>
    <w:uiPriority w:val="0"/>
    <w:rPr>
      <w:color w:val="CC0000"/>
    </w:rPr>
  </w:style>
  <w:style w:type="character" w:styleId="42">
    <w:name w:val="Hyperlink"/>
    <w:uiPriority w:val="0"/>
    <w:rPr>
      <w:color w:val="0000FF"/>
      <w:u w:val="single"/>
    </w:rPr>
  </w:style>
  <w:style w:type="character" w:styleId="43">
    <w:name w:val="annotation reference"/>
    <w:uiPriority w:val="0"/>
    <w:rPr>
      <w:sz w:val="21"/>
    </w:rPr>
  </w:style>
  <w:style w:type="character" w:customStyle="1" w:styleId="44">
    <w:name w:val="标题 9 Char"/>
    <w:link w:val="10"/>
    <w:uiPriority w:val="0"/>
    <w:rPr>
      <w:kern w:val="2"/>
      <w:sz w:val="24"/>
      <w:szCs w:val="21"/>
      <w:lang w:eastAsia="en-US"/>
    </w:rPr>
  </w:style>
  <w:style w:type="character" w:customStyle="1" w:styleId="45">
    <w:name w:val="样式 方案正文 + 首行缩进:  2 字符 Char Char"/>
    <w:uiPriority w:val="0"/>
    <w:rPr>
      <w:rFonts w:ascii="宋体" w:hAnsi="宋体" w:eastAsia="宋体"/>
      <w:color w:val="000000"/>
      <w:kern w:val="2"/>
      <w:sz w:val="24"/>
      <w:lang w:val="en-US" w:eastAsia="zh-CN" w:bidi="ar-SA"/>
    </w:rPr>
  </w:style>
  <w:style w:type="character" w:customStyle="1" w:styleId="46">
    <w:name w:val="标题 7 Char"/>
    <w:uiPriority w:val="0"/>
    <w:rPr>
      <w:b/>
      <w:bCs/>
      <w:kern w:val="2"/>
      <w:sz w:val="24"/>
      <w:szCs w:val="24"/>
    </w:rPr>
  </w:style>
  <w:style w:type="character" w:customStyle="1" w:styleId="47">
    <w:name w:val="GW-标题3 Char"/>
    <w:link w:val="48"/>
    <w:uiPriority w:val="0"/>
    <w:rPr>
      <w:rFonts w:ascii="黑体" w:hAnsi="黑体" w:eastAsia="黑体"/>
      <w:bCs/>
      <w:kern w:val="2"/>
      <w:sz w:val="28"/>
      <w:szCs w:val="32"/>
    </w:rPr>
  </w:style>
  <w:style w:type="paragraph" w:customStyle="1" w:styleId="48">
    <w:name w:val="GW-标题3"/>
    <w:basedOn w:val="4"/>
    <w:next w:val="1"/>
    <w:link w:val="47"/>
    <w:uiPriority w:val="0"/>
    <w:pPr>
      <w:numPr>
        <w:ilvl w:val="2"/>
        <w:numId w:val="1"/>
      </w:numPr>
      <w:spacing w:line="415" w:lineRule="auto"/>
    </w:pPr>
    <w:rPr>
      <w:rFonts w:ascii="黑体" w:hAnsi="黑体" w:eastAsia="黑体"/>
      <w:b w:val="0"/>
      <w:sz w:val="28"/>
    </w:rPr>
  </w:style>
  <w:style w:type="character" w:customStyle="1" w:styleId="49">
    <w:name w:val=" Char Char"/>
    <w:uiPriority w:val="0"/>
    <w:rPr>
      <w:rFonts w:eastAsia="宋体"/>
      <w:kern w:val="2"/>
      <w:sz w:val="18"/>
      <w:szCs w:val="18"/>
      <w:lang w:val="en-US" w:eastAsia="zh-CN" w:bidi="ar-SA"/>
    </w:rPr>
  </w:style>
  <w:style w:type="character" w:customStyle="1" w:styleId="50">
    <w:name w:val="正文文本缩进 Char"/>
    <w:link w:val="16"/>
    <w:uiPriority w:val="0"/>
    <w:rPr>
      <w:kern w:val="2"/>
      <w:sz w:val="21"/>
      <w:szCs w:val="24"/>
    </w:rPr>
  </w:style>
  <w:style w:type="character" w:customStyle="1" w:styleId="51">
    <w:name w:val="页脚 字符"/>
    <w:uiPriority w:val="0"/>
    <w:rPr>
      <w:rFonts w:ascii="宋体" w:cs="Calibri"/>
      <w:color w:val="000000"/>
      <w:kern w:val="2"/>
      <w:sz w:val="18"/>
      <w:szCs w:val="18"/>
    </w:rPr>
  </w:style>
  <w:style w:type="character" w:customStyle="1" w:styleId="52">
    <w:name w:val="标题 5 Char1"/>
    <w:link w:val="6"/>
    <w:uiPriority w:val="0"/>
    <w:rPr>
      <w:b/>
      <w:bCs/>
      <w:kern w:val="2"/>
      <w:sz w:val="28"/>
      <w:szCs w:val="28"/>
    </w:rPr>
  </w:style>
  <w:style w:type="character" w:customStyle="1" w:styleId="53">
    <w:name w:val="标题 4 Char"/>
    <w:link w:val="5"/>
    <w:uiPriority w:val="0"/>
    <w:rPr>
      <w:rFonts w:ascii="Cambria" w:hAnsi="Cambria"/>
      <w:b/>
      <w:bCs/>
      <w:kern w:val="2"/>
      <w:sz w:val="28"/>
      <w:szCs w:val="28"/>
    </w:rPr>
  </w:style>
  <w:style w:type="character" w:customStyle="1" w:styleId="54">
    <w:name w:val="纯文本 Char2"/>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小 Char"/>
    <w:uiPriority w:val="0"/>
    <w:rPr>
      <w:rFonts w:ascii="宋体" w:hAnsi="Courier New" w:cs="Courier New"/>
      <w:kern w:val="2"/>
      <w:sz w:val="21"/>
      <w:szCs w:val="21"/>
    </w:rPr>
  </w:style>
  <w:style w:type="character" w:customStyle="1" w:styleId="55">
    <w:name w:val="列出段落 字符"/>
    <w:link w:val="56"/>
    <w:uiPriority w:val="0"/>
    <w:rPr>
      <w:kern w:val="2"/>
      <w:sz w:val="24"/>
      <w:szCs w:val="22"/>
    </w:rPr>
  </w:style>
  <w:style w:type="paragraph" w:customStyle="1" w:styleId="56">
    <w:name w:val="列出段落1"/>
    <w:basedOn w:val="1"/>
    <w:link w:val="55"/>
    <w:uiPriority w:val="0"/>
    <w:pPr>
      <w:spacing w:line="360" w:lineRule="auto"/>
      <w:ind w:firstLine="420" w:firstLineChars="200"/>
    </w:pPr>
    <w:rPr>
      <w:sz w:val="24"/>
      <w:szCs w:val="22"/>
    </w:rPr>
  </w:style>
  <w:style w:type="character" w:customStyle="1" w:styleId="57">
    <w:name w:val="font71"/>
    <w:uiPriority w:val="0"/>
    <w:rPr>
      <w:rFonts w:hint="eastAsia" w:ascii="宋体" w:hAnsi="宋体" w:eastAsia="宋体" w:cs="宋体"/>
      <w:b/>
      <w:color w:val="000000"/>
      <w:sz w:val="18"/>
      <w:szCs w:val="18"/>
      <w:u w:val="none"/>
    </w:rPr>
  </w:style>
  <w:style w:type="character" w:customStyle="1" w:styleId="58">
    <w:name w:val="标题 3 Char1"/>
    <w:link w:val="4"/>
    <w:uiPriority w:val="0"/>
    <w:rPr>
      <w:b/>
      <w:bCs/>
      <w:kern w:val="2"/>
      <w:sz w:val="32"/>
      <w:szCs w:val="32"/>
    </w:rPr>
  </w:style>
  <w:style w:type="character" w:customStyle="1" w:styleId="59">
    <w:name w:val="文档结构图 Char"/>
    <w:link w:val="13"/>
    <w:uiPriority w:val="0"/>
    <w:rPr>
      <w:kern w:val="2"/>
      <w:sz w:val="21"/>
      <w:szCs w:val="24"/>
      <w:shd w:val="clear" w:color="auto" w:fill="000080"/>
    </w:rPr>
  </w:style>
  <w:style w:type="character" w:customStyle="1" w:styleId="60">
    <w:name w:val="标题 2 Char"/>
    <w:uiPriority w:val="0"/>
    <w:rPr>
      <w:rFonts w:ascii="Calibri Light" w:hAnsi="Calibri Light" w:eastAsia="宋体" w:cs="Times New Roman"/>
      <w:b/>
      <w:bCs/>
      <w:color w:val="000000"/>
      <w:sz w:val="32"/>
      <w:szCs w:val="32"/>
    </w:rPr>
  </w:style>
  <w:style w:type="character" w:customStyle="1" w:styleId="61">
    <w:name w:val="font41"/>
    <w:uiPriority w:val="0"/>
    <w:rPr>
      <w:rFonts w:hint="eastAsia" w:ascii="微软雅黑" w:hAnsi="微软雅黑" w:eastAsia="微软雅黑" w:cs="微软雅黑"/>
      <w:color w:val="000000"/>
      <w:sz w:val="18"/>
      <w:szCs w:val="18"/>
      <w:u w:val="none"/>
    </w:rPr>
  </w:style>
  <w:style w:type="character" w:customStyle="1" w:styleId="62">
    <w:name w:val=" Char Char Char"/>
    <w:uiPriority w:val="0"/>
    <w:rPr>
      <w:b/>
      <w:bCs/>
      <w:kern w:val="2"/>
      <w:sz w:val="21"/>
      <w:szCs w:val="24"/>
    </w:rPr>
  </w:style>
  <w:style w:type="character" w:customStyle="1" w:styleId="63">
    <w:name w:val="纯文本 Char"/>
    <w:link w:val="19"/>
    <w:uiPriority w:val="0"/>
    <w:rPr>
      <w:rFonts w:ascii="宋体" w:hAnsi="Courier New" w:eastAsia="宋体"/>
      <w:sz w:val="21"/>
      <w:szCs w:val="21"/>
      <w:lang w:val="en-US" w:eastAsia="zh-CN" w:bidi="ar-SA"/>
    </w:rPr>
  </w:style>
  <w:style w:type="character" w:customStyle="1" w:styleId="64">
    <w:name w:val="标题 8 Char"/>
    <w:link w:val="9"/>
    <w:uiPriority w:val="0"/>
    <w:rPr>
      <w:kern w:val="2"/>
      <w:sz w:val="24"/>
      <w:szCs w:val="24"/>
      <w:lang w:eastAsia="en-US"/>
    </w:rPr>
  </w:style>
  <w:style w:type="character" w:customStyle="1" w:styleId="65">
    <w:name w:val="font21"/>
    <w:uiPriority w:val="0"/>
    <w:rPr>
      <w:rFonts w:ascii="Arial" w:hAnsi="Arial" w:cs="Arial"/>
      <w:b/>
      <w:color w:val="000000"/>
      <w:sz w:val="18"/>
      <w:szCs w:val="18"/>
      <w:u w:val="none"/>
    </w:rPr>
  </w:style>
  <w:style w:type="character" w:customStyle="1" w:styleId="66">
    <w:name w:val="页眉 Char"/>
    <w:link w:val="25"/>
    <w:uiPriority w:val="0"/>
    <w:rPr>
      <w:kern w:val="2"/>
      <w:sz w:val="18"/>
      <w:szCs w:val="18"/>
    </w:rPr>
  </w:style>
  <w:style w:type="character" w:customStyle="1" w:styleId="67">
    <w:name w:val="页眉 字符"/>
    <w:uiPriority w:val="0"/>
    <w:rPr>
      <w:rFonts w:eastAsia="Calibri" w:cs="Calibri"/>
      <w:color w:val="000000"/>
      <w:kern w:val="2"/>
      <w:sz w:val="18"/>
      <w:szCs w:val="18"/>
    </w:rPr>
  </w:style>
  <w:style w:type="character" w:customStyle="1" w:styleId="68">
    <w:name w:val="标题 6 Char"/>
    <w:uiPriority w:val="0"/>
    <w:rPr>
      <w:rFonts w:ascii="Cambria" w:hAnsi="Cambria" w:eastAsia="宋体" w:cs="Times New Roman"/>
      <w:b/>
      <w:bCs/>
      <w:kern w:val="2"/>
      <w:sz w:val="24"/>
      <w:szCs w:val="24"/>
    </w:rPr>
  </w:style>
  <w:style w:type="character" w:customStyle="1" w:styleId="69">
    <w:name w:val="页脚 Char"/>
    <w:link w:val="24"/>
    <w:uiPriority w:val="0"/>
    <w:rPr>
      <w:rFonts w:eastAsia="宋体"/>
      <w:kern w:val="2"/>
      <w:sz w:val="18"/>
      <w:szCs w:val="18"/>
      <w:lang w:val="en-US" w:eastAsia="zh-CN" w:bidi="ar-SA"/>
    </w:rPr>
  </w:style>
  <w:style w:type="character" w:customStyle="1" w:styleId="70">
    <w:name w:val="标题 1 Char"/>
    <w:uiPriority w:val="0"/>
    <w:rPr>
      <w:rFonts w:ascii="宋体" w:hAnsi="Calibri" w:eastAsia="宋体" w:cs="Calibri"/>
      <w:b/>
      <w:bCs/>
      <w:color w:val="000000"/>
      <w:kern w:val="44"/>
      <w:sz w:val="44"/>
      <w:szCs w:val="44"/>
    </w:rPr>
  </w:style>
  <w:style w:type="character" w:customStyle="1" w:styleId="71">
    <w:name w:val="标题 5 Char"/>
    <w:uiPriority w:val="0"/>
    <w:rPr>
      <w:b/>
      <w:bCs/>
      <w:kern w:val="2"/>
      <w:sz w:val="28"/>
      <w:szCs w:val="28"/>
    </w:rPr>
  </w:style>
  <w:style w:type="character" w:customStyle="1" w:styleId="72">
    <w:name w:val="正文缩进 Char"/>
    <w:link w:val="12"/>
    <w:uiPriority w:val="0"/>
    <w:rPr>
      <w:kern w:val="2"/>
      <w:sz w:val="21"/>
    </w:rPr>
  </w:style>
  <w:style w:type="character" w:customStyle="1" w:styleId="73">
    <w:name w:val=" Char Char1"/>
    <w:uiPriority w:val="0"/>
    <w:rPr>
      <w:kern w:val="2"/>
      <w:sz w:val="21"/>
      <w:szCs w:val="24"/>
    </w:rPr>
  </w:style>
  <w:style w:type="character" w:customStyle="1" w:styleId="74">
    <w:name w:val="批注文字 Char1"/>
    <w:link w:val="14"/>
    <w:uiPriority w:val="0"/>
    <w:rPr>
      <w:kern w:val="2"/>
      <w:sz w:val="21"/>
      <w:szCs w:val="24"/>
    </w:rPr>
  </w:style>
  <w:style w:type="character" w:customStyle="1" w:styleId="75">
    <w:name w:val="font51"/>
    <w:uiPriority w:val="0"/>
    <w:rPr>
      <w:rFonts w:hint="eastAsia" w:ascii="微软雅黑" w:hAnsi="微软雅黑" w:eastAsia="微软雅黑" w:cs="微软雅黑"/>
      <w:color w:val="000000"/>
      <w:sz w:val="20"/>
      <w:szCs w:val="20"/>
      <w:u w:val="none"/>
    </w:rPr>
  </w:style>
  <w:style w:type="character" w:customStyle="1" w:styleId="76">
    <w:name w:val="标题 1 Char1"/>
    <w:link w:val="2"/>
    <w:uiPriority w:val="0"/>
    <w:rPr>
      <w:b/>
      <w:bCs/>
      <w:kern w:val="44"/>
      <w:sz w:val="44"/>
      <w:szCs w:val="44"/>
    </w:rPr>
  </w:style>
  <w:style w:type="character" w:customStyle="1" w:styleId="77">
    <w:name w:val="标题 3 Char"/>
    <w:uiPriority w:val="0"/>
    <w:rPr>
      <w:rFonts w:ascii="宋体" w:hAnsi="Calibri" w:eastAsia="宋体" w:cs="Calibri"/>
      <w:b/>
      <w:bCs/>
      <w:color w:val="000000"/>
      <w:sz w:val="32"/>
      <w:szCs w:val="32"/>
    </w:rPr>
  </w:style>
  <w:style w:type="character" w:customStyle="1" w:styleId="78">
    <w:name w:val="列出段落 Char"/>
    <w:link w:val="79"/>
    <w:uiPriority w:val="0"/>
    <w:rPr>
      <w:rFonts w:ascii="等线" w:hAnsi="等线" w:eastAsia="等线"/>
      <w:kern w:val="2"/>
      <w:sz w:val="21"/>
      <w:szCs w:val="22"/>
    </w:rPr>
  </w:style>
  <w:style w:type="paragraph" w:styleId="79">
    <w:name w:val="List Paragraph"/>
    <w:basedOn w:val="1"/>
    <w:link w:val="78"/>
    <w:qFormat/>
    <w:uiPriority w:val="0"/>
    <w:pPr>
      <w:ind w:firstLine="420" w:firstLineChars="200"/>
    </w:pPr>
    <w:rPr>
      <w:rFonts w:ascii="等线" w:hAnsi="等线" w:eastAsia="等线"/>
      <w:szCs w:val="22"/>
    </w:rPr>
  </w:style>
  <w:style w:type="character" w:customStyle="1" w:styleId="80">
    <w:name w:val="批注文字 Char"/>
    <w:uiPriority w:val="0"/>
    <w:rPr>
      <w:rFonts w:ascii="宋体" w:hAnsi="Calibri" w:eastAsia="宋体" w:cs="Calibri"/>
      <w:color w:val="000000"/>
      <w:sz w:val="24"/>
    </w:rPr>
  </w:style>
  <w:style w:type="character" w:customStyle="1" w:styleId="81">
    <w:name w:val="正文文本缩进 Char Char"/>
    <w:link w:val="82"/>
    <w:uiPriority w:val="0"/>
    <w:rPr>
      <w:kern w:val="2"/>
      <w:sz w:val="21"/>
      <w:szCs w:val="24"/>
    </w:rPr>
  </w:style>
  <w:style w:type="paragraph" w:customStyle="1" w:styleId="82">
    <w:name w:val="正文文本缩进1"/>
    <w:basedOn w:val="1"/>
    <w:link w:val="81"/>
    <w:uiPriority w:val="0"/>
    <w:pPr>
      <w:spacing w:after="120" w:afterLines="0"/>
      <w:ind w:left="420" w:leftChars="200"/>
    </w:pPr>
  </w:style>
  <w:style w:type="character" w:customStyle="1" w:styleId="83">
    <w:name w:val="GW-标题2 Char"/>
    <w:link w:val="84"/>
    <w:uiPriority w:val="0"/>
    <w:rPr>
      <w:rFonts w:ascii="黑体" w:hAnsi="黑体" w:eastAsia="黑体"/>
      <w:b/>
      <w:bCs/>
      <w:kern w:val="44"/>
      <w:sz w:val="30"/>
      <w:szCs w:val="30"/>
    </w:rPr>
  </w:style>
  <w:style w:type="paragraph" w:customStyle="1" w:styleId="84">
    <w:name w:val="GW-标题2"/>
    <w:basedOn w:val="85"/>
    <w:next w:val="1"/>
    <w:link w:val="83"/>
    <w:uiPriority w:val="0"/>
    <w:pPr>
      <w:numPr>
        <w:ilvl w:val="1"/>
        <w:numId w:val="1"/>
      </w:numPr>
      <w:spacing w:before="240" w:beforeLines="0" w:after="240" w:afterLines="0"/>
      <w:ind w:left="0" w:firstLine="0"/>
      <w:outlineLvl w:val="1"/>
    </w:pPr>
    <w:rPr>
      <w:rFonts w:ascii="黑体" w:hAnsi="黑体" w:eastAsia="黑体"/>
      <w:sz w:val="30"/>
      <w:szCs w:val="30"/>
    </w:rPr>
  </w:style>
  <w:style w:type="paragraph" w:customStyle="1" w:styleId="85">
    <w:name w:val="GW-标题1"/>
    <w:basedOn w:val="2"/>
    <w:next w:val="1"/>
    <w:uiPriority w:val="0"/>
    <w:pPr>
      <w:tabs>
        <w:tab w:val="clear" w:pos="851"/>
      </w:tabs>
      <w:spacing w:before="312" w:beforeLines="100" w:after="312" w:afterLines="100" w:line="360" w:lineRule="auto"/>
      <w:ind w:left="0" w:firstLine="0"/>
      <w:jc w:val="left"/>
    </w:pPr>
    <w:rPr>
      <w:rFonts w:ascii="宋体" w:hAnsi="Calibri"/>
      <w:sz w:val="32"/>
    </w:rPr>
  </w:style>
  <w:style w:type="character" w:customStyle="1" w:styleId="86">
    <w:name w:val="*正文 Char"/>
    <w:link w:val="87"/>
    <w:uiPriority w:val="0"/>
    <w:rPr>
      <w:rFonts w:ascii="宋体" w:hAnsi="宋体"/>
      <w:sz w:val="24"/>
    </w:rPr>
  </w:style>
  <w:style w:type="paragraph" w:customStyle="1" w:styleId="87">
    <w:name w:val="*正文"/>
    <w:basedOn w:val="1"/>
    <w:link w:val="86"/>
    <w:uiPriority w:val="0"/>
    <w:pPr>
      <w:spacing w:line="360" w:lineRule="auto"/>
      <w:ind w:firstLine="480" w:firstLineChars="200"/>
    </w:pPr>
    <w:rPr>
      <w:rFonts w:ascii="宋体" w:hAnsi="宋体"/>
      <w:kern w:val="0"/>
      <w:sz w:val="24"/>
      <w:szCs w:val="20"/>
    </w:rPr>
  </w:style>
  <w:style w:type="character" w:customStyle="1" w:styleId="88">
    <w:name w:val=" Char Char7"/>
    <w:uiPriority w:val="0"/>
    <w:rPr>
      <w:rFonts w:ascii="宋体" w:hAnsi="Courier New" w:cs="Courier New"/>
      <w:kern w:val="2"/>
      <w:sz w:val="21"/>
      <w:szCs w:val="21"/>
    </w:rPr>
  </w:style>
  <w:style w:type="character" w:customStyle="1" w:styleId="89">
    <w:name w:val="标题 6 Char1"/>
    <w:link w:val="7"/>
    <w:uiPriority w:val="0"/>
    <w:rPr>
      <w:rFonts w:ascii="等线 Light" w:hAnsi="等线 Light" w:eastAsia="等线 Light"/>
      <w:b/>
      <w:bCs/>
      <w:kern w:val="2"/>
      <w:sz w:val="24"/>
      <w:szCs w:val="24"/>
    </w:rPr>
  </w:style>
  <w:style w:type="character" w:customStyle="1" w:styleId="90">
    <w:name w:val="日期 Char"/>
    <w:link w:val="21"/>
    <w:uiPriority w:val="0"/>
    <w:rPr>
      <w:kern w:val="2"/>
      <w:sz w:val="21"/>
      <w:szCs w:val="24"/>
    </w:rPr>
  </w:style>
  <w:style w:type="character" w:customStyle="1" w:styleId="91">
    <w:name w:val="批注框文本 Char"/>
    <w:link w:val="23"/>
    <w:uiPriority w:val="0"/>
    <w:rPr>
      <w:kern w:val="2"/>
      <w:sz w:val="18"/>
      <w:szCs w:val="18"/>
    </w:rPr>
  </w:style>
  <w:style w:type="character" w:customStyle="1" w:styleId="92">
    <w:name w:val="标题 7 Char1"/>
    <w:link w:val="8"/>
    <w:uiPriority w:val="0"/>
    <w:rPr>
      <w:b/>
      <w:bCs/>
      <w:kern w:val="2"/>
      <w:sz w:val="24"/>
      <w:szCs w:val="24"/>
    </w:rPr>
  </w:style>
  <w:style w:type="character" w:customStyle="1" w:styleId="93">
    <w:name w:val="正文文本 Char"/>
    <w:link w:val="15"/>
    <w:uiPriority w:val="0"/>
    <w:rPr>
      <w:b/>
      <w:bCs/>
      <w:kern w:val="2"/>
      <w:sz w:val="52"/>
      <w:szCs w:val="24"/>
    </w:rPr>
  </w:style>
  <w:style w:type="character" w:customStyle="1" w:styleId="94">
    <w:name w:val="标题 4 字符"/>
    <w:uiPriority w:val="0"/>
    <w:rPr>
      <w:rFonts w:ascii="等线 Light" w:hAnsi="等线 Light" w:eastAsia="等线 Light"/>
      <w:b/>
      <w:bCs/>
      <w:kern w:val="2"/>
      <w:sz w:val="28"/>
      <w:szCs w:val="28"/>
    </w:rPr>
  </w:style>
  <w:style w:type="character" w:customStyle="1" w:styleId="95">
    <w:name w:val="批注文字 字符1"/>
    <w:uiPriority w:val="0"/>
    <w:rPr>
      <w:rFonts w:ascii="宋体" w:hAnsi="Calibri" w:eastAsia="宋体" w:cs="Calibri"/>
      <w:color w:val="000000"/>
      <w:sz w:val="24"/>
    </w:rPr>
  </w:style>
  <w:style w:type="character" w:customStyle="1" w:styleId="96">
    <w:name w:val="value"/>
    <w:uiPriority w:val="0"/>
  </w:style>
  <w:style w:type="character" w:customStyle="1" w:styleId="97">
    <w:name w:val="apple-converted-space"/>
    <w:basedOn w:val="37"/>
    <w:uiPriority w:val="0"/>
  </w:style>
  <w:style w:type="character" w:customStyle="1" w:styleId="98">
    <w:name w:val="font31"/>
    <w:uiPriority w:val="0"/>
    <w:rPr>
      <w:rFonts w:hint="eastAsia" w:ascii="微软雅黑" w:hAnsi="微软雅黑" w:eastAsia="微软雅黑" w:cs="微软雅黑"/>
      <w:b/>
      <w:color w:val="000000"/>
      <w:sz w:val="18"/>
      <w:szCs w:val="18"/>
      <w:u w:val="none"/>
    </w:rPr>
  </w:style>
  <w:style w:type="character" w:customStyle="1" w:styleId="99">
    <w:name w:val=" Char Char3"/>
    <w:uiPriority w:val="0"/>
    <w:rPr>
      <w:rFonts w:ascii="Arial" w:hAnsi="Arial" w:eastAsia="黑体"/>
      <w:b/>
      <w:bCs/>
      <w:kern w:val="2"/>
      <w:sz w:val="32"/>
      <w:szCs w:val="32"/>
      <w:lang w:val="en-US" w:eastAsia="zh-CN" w:bidi="ar-SA"/>
    </w:rPr>
  </w:style>
  <w:style w:type="character" w:customStyle="1" w:styleId="100">
    <w:name w:val="标题 2 Char1"/>
    <w:link w:val="3"/>
    <w:uiPriority w:val="0"/>
    <w:rPr>
      <w:rFonts w:ascii="Arial" w:hAnsi="Arial" w:eastAsia="黑体"/>
      <w:b/>
      <w:bCs/>
      <w:kern w:val="2"/>
      <w:sz w:val="32"/>
      <w:szCs w:val="32"/>
    </w:rPr>
  </w:style>
  <w:style w:type="character" w:customStyle="1" w:styleId="101">
    <w:name w:val="批注主题 Char"/>
    <w:link w:val="34"/>
    <w:uiPriority w:val="0"/>
    <w:rPr>
      <w:b/>
      <w:bCs/>
      <w:kern w:val="2"/>
      <w:sz w:val="21"/>
      <w:szCs w:val="24"/>
    </w:rPr>
  </w:style>
  <w:style w:type="paragraph" w:customStyle="1" w:styleId="102">
    <w:name w:val="纯文本1"/>
    <w:basedOn w:val="1"/>
    <w:uiPriority w:val="0"/>
    <w:rPr>
      <w:rFonts w:ascii="宋体" w:hAnsi="Courier New"/>
      <w:szCs w:val="20"/>
    </w:rPr>
  </w:style>
  <w:style w:type="paragraph" w:customStyle="1" w:styleId="103">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104">
    <w:name w:val="Table Paragraph"/>
    <w:basedOn w:val="1"/>
    <w:uiPriority w:val="0"/>
    <w:pPr>
      <w:jc w:val="left"/>
    </w:pPr>
    <w:rPr>
      <w:rFonts w:ascii="Calibri" w:hAnsi="Calibri"/>
      <w:kern w:val="0"/>
      <w:sz w:val="22"/>
      <w:szCs w:val="22"/>
      <w:lang w:eastAsia="en-US"/>
    </w:rPr>
  </w:style>
  <w:style w:type="paragraph" w:customStyle="1" w:styleId="105">
    <w:name w:val="p0"/>
    <w:basedOn w:val="1"/>
    <w:uiPriority w:val="0"/>
    <w:pPr>
      <w:widowControl/>
      <w:snapToGrid w:val="0"/>
      <w:spacing w:after="200" w:afterLines="0"/>
      <w:jc w:val="left"/>
    </w:pPr>
    <w:rPr>
      <w:rFonts w:ascii="Tahoma" w:hAnsi="Tahoma" w:cs="Tahoma"/>
      <w:kern w:val="0"/>
      <w:sz w:val="22"/>
      <w:szCs w:val="22"/>
    </w:rPr>
  </w:style>
  <w:style w:type="paragraph" w:customStyle="1" w:styleId="106">
    <w:name w:val="样式 样式 行距: 1.5 倍行距 + 首行缩进:  2 字符"/>
    <w:basedOn w:val="1"/>
    <w:uiPriority w:val="0"/>
    <w:pPr>
      <w:spacing w:line="360" w:lineRule="auto"/>
      <w:ind w:firstLine="480" w:firstLineChars="200"/>
    </w:pPr>
    <w:rPr>
      <w:rFonts w:cs="宋体"/>
      <w:szCs w:val="20"/>
    </w:rPr>
  </w:style>
  <w:style w:type="paragraph" w:customStyle="1" w:styleId="107">
    <w:name w:val=" Char"/>
    <w:basedOn w:val="1"/>
    <w:uiPriority w:val="0"/>
    <w:pPr>
      <w:tabs>
        <w:tab w:val="left" w:pos="360"/>
      </w:tabs>
    </w:pPr>
    <w:rPr>
      <w:sz w:val="24"/>
    </w:rPr>
  </w:style>
  <w:style w:type="paragraph" w:customStyle="1" w:styleId="108">
    <w:name w:val="Char Char Char Char1"/>
    <w:basedOn w:val="1"/>
    <w:uiPriority w:val="0"/>
  </w:style>
  <w:style w:type="paragraph" w:customStyle="1" w:styleId="109">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11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11">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112">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13">
    <w:name w:val="第2级标题"/>
    <w:basedOn w:val="114"/>
    <w:next w:val="115"/>
    <w:uiPriority w:val="0"/>
    <w:pPr>
      <w:numPr>
        <w:ilvl w:val="1"/>
        <w:numId w:val="2"/>
      </w:numPr>
      <w:outlineLvl w:val="1"/>
    </w:pPr>
    <w:rPr>
      <w:sz w:val="28"/>
    </w:rPr>
  </w:style>
  <w:style w:type="paragraph" w:customStyle="1" w:styleId="114">
    <w:name w:val="第1级标题"/>
    <w:next w:val="113"/>
    <w:uiPriority w:val="0"/>
    <w:pPr>
      <w:numPr>
        <w:ilvl w:val="0"/>
        <w:numId w:val="2"/>
      </w:numPr>
      <w:spacing w:line="360" w:lineRule="auto"/>
      <w:outlineLvl w:val="0"/>
    </w:pPr>
    <w:rPr>
      <w:rFonts w:hAnsi="Arial" w:eastAsia="黑体" w:cs="Arial"/>
      <w:b/>
      <w:kern w:val="2"/>
      <w:sz w:val="32"/>
      <w:szCs w:val="21"/>
      <w:lang w:val="en-US" w:eastAsia="zh-CN" w:bidi="ar-SA"/>
    </w:rPr>
  </w:style>
  <w:style w:type="paragraph" w:customStyle="1" w:styleId="115">
    <w:name w:val="第3级标题"/>
    <w:basedOn w:val="113"/>
    <w:next w:val="116"/>
    <w:uiPriority w:val="0"/>
    <w:pPr>
      <w:numPr>
        <w:ilvl w:val="2"/>
        <w:numId w:val="2"/>
      </w:numPr>
      <w:outlineLvl w:val="2"/>
    </w:pPr>
    <w:rPr>
      <w:sz w:val="24"/>
      <w:szCs w:val="24"/>
    </w:rPr>
  </w:style>
  <w:style w:type="paragraph" w:customStyle="1" w:styleId="116">
    <w:name w:val="第4级标题"/>
    <w:basedOn w:val="115"/>
    <w:uiPriority w:val="0"/>
    <w:pPr>
      <w:numPr>
        <w:ilvl w:val="3"/>
        <w:numId w:val="2"/>
      </w:numPr>
      <w:outlineLvl w:val="3"/>
    </w:pPr>
  </w:style>
  <w:style w:type="paragraph" w:customStyle="1" w:styleId="117">
    <w:name w:val=" 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18">
    <w:name w:val="正文（1）"/>
    <w:basedOn w:val="1"/>
    <w:uiPriority w:val="0"/>
    <w:pPr>
      <w:numPr>
        <w:ilvl w:val="0"/>
        <w:numId w:val="3"/>
      </w:numPr>
      <w:tabs>
        <w:tab w:val="left" w:pos="420"/>
      </w:tabs>
      <w:spacing w:line="360" w:lineRule="auto"/>
      <w:ind w:hanging="420"/>
    </w:pPr>
    <w:rPr>
      <w:rFonts w:cs="Times New Roman"/>
      <w:sz w:val="24"/>
      <w:szCs w:val="21"/>
    </w:rPr>
  </w:style>
  <w:style w:type="paragraph" w:customStyle="1" w:styleId="119">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20">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121">
    <w:name w:val="GW-标题5"/>
    <w:basedOn w:val="122"/>
    <w:next w:val="1"/>
    <w:uiPriority w:val="0"/>
    <w:pPr>
      <w:numPr>
        <w:ilvl w:val="7"/>
        <w:numId w:val="1"/>
      </w:numPr>
      <w:tabs>
        <w:tab w:val="left" w:pos="360"/>
        <w:tab w:val="clear" w:pos="3960"/>
      </w:tabs>
      <w:ind w:left="0" w:firstLine="0"/>
      <w:outlineLvl w:val="4"/>
    </w:pPr>
    <w:rPr>
      <w:sz w:val="28"/>
    </w:rPr>
  </w:style>
  <w:style w:type="paragraph" w:customStyle="1" w:styleId="122">
    <w:name w:val="GW-标题4"/>
    <w:basedOn w:val="48"/>
    <w:next w:val="1"/>
    <w:uiPriority w:val="0"/>
    <w:pPr>
      <w:numPr>
        <w:ilvl w:val="5"/>
        <w:numId w:val="1"/>
      </w:numPr>
      <w:spacing w:before="156" w:beforeLines="0" w:after="156" w:afterLines="0"/>
      <w:ind w:left="2268" w:hanging="2972"/>
      <w:jc w:val="left"/>
      <w:outlineLvl w:val="3"/>
    </w:pPr>
    <w:rPr>
      <w:sz w:val="30"/>
    </w:rPr>
  </w:style>
  <w:style w:type="paragraph" w:customStyle="1" w:styleId="123">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4">
    <w:name w:val="列出段落2"/>
    <w:basedOn w:val="1"/>
    <w:uiPriority w:val="0"/>
    <w:pPr>
      <w:widowControl/>
      <w:spacing w:line="360" w:lineRule="auto"/>
      <w:ind w:firstLine="420" w:firstLineChars="200"/>
    </w:pPr>
    <w:rPr>
      <w:rFonts w:ascii="宋体" w:hAnsi="Calibri" w:cs="Calibri"/>
      <w:color w:val="000000"/>
      <w:sz w:val="24"/>
    </w:rPr>
  </w:style>
  <w:style w:type="paragraph" w:customStyle="1" w:styleId="125">
    <w:name w:val="表格标题"/>
    <w:basedOn w:val="126"/>
    <w:uiPriority w:val="0"/>
    <w:pPr>
      <w:keepNext/>
      <w:jc w:val="center"/>
    </w:pPr>
    <w:rPr>
      <w:b/>
      <w:bCs/>
    </w:rPr>
  </w:style>
  <w:style w:type="paragraph" w:customStyle="1" w:styleId="126">
    <w:name w:val="表格文字"/>
    <w:basedOn w:val="19"/>
    <w:uiPriority w:val="0"/>
    <w:pPr>
      <w:widowControl w:val="0"/>
      <w:overflowPunct/>
      <w:autoSpaceDE/>
      <w:autoSpaceDN/>
      <w:adjustRightInd/>
      <w:textAlignment w:val="auto"/>
    </w:pPr>
    <w:rPr>
      <w:kern w:val="2"/>
      <w:sz w:val="24"/>
      <w:szCs w:val="20"/>
    </w:rPr>
  </w:style>
  <w:style w:type="paragraph" w:customStyle="1" w:styleId="127">
    <w:name w:val=" Char4"/>
    <w:basedOn w:val="12"/>
    <w:uiPriority w:val="0"/>
    <w:pPr>
      <w:widowControl/>
      <w:spacing w:after="156" w:afterLines="50" w:line="360" w:lineRule="auto"/>
      <w:ind w:firstLine="480"/>
      <w:jc w:val="left"/>
    </w:pPr>
    <w:rPr>
      <w:szCs w:val="20"/>
    </w:rPr>
  </w:style>
  <w:style w:type="paragraph" w:customStyle="1" w:styleId="128">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黑体" w:hAnsi="黑体" w:eastAsia="黑体" w:cs="宋体"/>
      <w:color w:val="000000"/>
      <w:kern w:val="0"/>
      <w:sz w:val="20"/>
      <w:szCs w:val="20"/>
    </w:rPr>
  </w:style>
  <w:style w:type="paragraph" w:customStyle="1" w:styleId="129">
    <w:name w:val="默认段落字体 Para Char Char Char Char"/>
    <w:basedOn w:val="1"/>
    <w:uiPriority w:val="0"/>
  </w:style>
  <w:style w:type="paragraph" w:customStyle="1" w:styleId="130">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31">
    <w:name w:val="GW-标题6"/>
    <w:basedOn w:val="121"/>
    <w:next w:val="1"/>
    <w:uiPriority w:val="0"/>
    <w:pPr>
      <w:numPr>
        <w:ilvl w:val="8"/>
        <w:numId w:val="1"/>
      </w:numPr>
      <w:tabs>
        <w:tab w:val="left" w:pos="3000"/>
        <w:tab w:val="clear" w:pos="4680"/>
        <w:tab w:val="clear" w:pos="360"/>
      </w:tabs>
      <w:ind w:left="3000" w:firstLine="0"/>
      <w:outlineLvl w:val="5"/>
    </w:pPr>
    <w:rPr>
      <w:sz w:val="24"/>
    </w:rPr>
  </w:style>
  <w:style w:type="paragraph" w:customStyle="1" w:styleId="132">
    <w:name w:val="样式 样式 标题 3 + 加粗 + 加粗"/>
    <w:basedOn w:val="1"/>
    <w:uiPriority w:val="0"/>
    <w:pPr>
      <w:numPr>
        <w:ilvl w:val="3"/>
        <w:numId w:val="4"/>
      </w:numPr>
    </w:pPr>
    <w:rPr>
      <w:szCs w:val="24"/>
    </w:rPr>
  </w:style>
  <w:style w:type="paragraph" w:customStyle="1" w:styleId="133">
    <w:name w:val="xl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34">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5">
    <w:name w:val="_Style 22"/>
    <w:basedOn w:val="1"/>
    <w:uiPriority w:val="0"/>
  </w:style>
  <w:style w:type="paragraph" w:customStyle="1" w:styleId="136">
    <w:name w:val="样式 方案正文 + 首行缩进:  2 字符"/>
    <w:basedOn w:val="1"/>
    <w:uiPriority w:val="0"/>
    <w:pPr>
      <w:spacing w:line="360" w:lineRule="auto"/>
      <w:ind w:firstLine="470" w:firstLineChars="196"/>
    </w:pPr>
    <w:rPr>
      <w:rFonts w:ascii="宋体" w:hAnsi="宋体" w:eastAsia="宋体"/>
      <w:color w:val="000000"/>
      <w:kern w:val="2"/>
      <w:sz w:val="24"/>
      <w:lang w:val="en-US" w:eastAsia="zh-CN" w:bidi="ar-SA"/>
    </w:rPr>
  </w:style>
  <w:style w:type="paragraph" w:customStyle="1" w:styleId="137">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38">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39">
    <w:name w:val="xl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0">
    <w:name w:val="font5"/>
    <w:basedOn w:val="1"/>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141">
    <w:name w:val="xl8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142">
    <w:name w:val="正文1）"/>
    <w:basedOn w:val="1"/>
    <w:uiPriority w:val="0"/>
    <w:pPr>
      <w:numPr>
        <w:ilvl w:val="0"/>
        <w:numId w:val="5"/>
      </w:numPr>
      <w:tabs>
        <w:tab w:val="left" w:pos="0"/>
      </w:tabs>
      <w:spacing w:line="360" w:lineRule="auto"/>
      <w:ind w:left="420" w:hanging="420"/>
      <w:jc w:val="left"/>
    </w:pPr>
    <w:rPr>
      <w:rFonts w:cs="Times New Roman"/>
      <w:sz w:val="24"/>
      <w:szCs w:val="21"/>
    </w:rPr>
  </w:style>
  <w:style w:type="paragraph" w:customStyle="1" w:styleId="143">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44">
    <w:name w:val="Char Char13 Char Char Char Char"/>
    <w:basedOn w:val="1"/>
    <w:uiPriority w:val="0"/>
    <w:rPr>
      <w:rFonts w:ascii="仿宋_GB2312" w:eastAsia="仿宋_GB2312"/>
      <w:b/>
      <w:sz w:val="32"/>
      <w:szCs w:val="32"/>
    </w:rPr>
  </w:style>
  <w:style w:type="paragraph" w:customStyle="1" w:styleId="145">
    <w:name w:val="标书正文"/>
    <w:basedOn w:val="1"/>
    <w:uiPriority w:val="0"/>
    <w:pPr>
      <w:adjustRightInd w:val="0"/>
      <w:snapToGrid w:val="0"/>
      <w:spacing w:before="120" w:beforeLines="0" w:after="120" w:afterLines="0" w:line="360" w:lineRule="auto"/>
      <w:ind w:firstLine="540" w:firstLineChars="192"/>
    </w:pPr>
    <w:rPr>
      <w:rFonts w:ascii="华文中宋" w:hAnsi="宋体" w:cs="宋体"/>
      <w:color w:val="000000"/>
      <w:kern w:val="0"/>
      <w:sz w:val="28"/>
      <w:szCs w:val="28"/>
    </w:rPr>
  </w:style>
  <w:style w:type="paragraph" w:customStyle="1" w:styleId="146">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黑体" w:hAnsi="黑体" w:eastAsia="黑体" w:cs="宋体"/>
      <w:kern w:val="0"/>
      <w:sz w:val="20"/>
      <w:szCs w:val="20"/>
    </w:rPr>
  </w:style>
  <w:style w:type="paragraph" w:customStyle="1" w:styleId="147">
    <w:name w:val="Char"/>
    <w:basedOn w:val="1"/>
    <w:uiPriority w:val="0"/>
    <w:rPr>
      <w:rFonts w:ascii="仿宋_GB2312" w:eastAsia="仿宋_GB2312"/>
      <w:b/>
      <w:sz w:val="32"/>
      <w:szCs w:val="32"/>
    </w:rPr>
  </w:style>
  <w:style w:type="paragraph" w:customStyle="1" w:styleId="148">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149">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50">
    <w:name w:val="GW-标题7"/>
    <w:basedOn w:val="131"/>
    <w:next w:val="1"/>
    <w:uiPriority w:val="0"/>
    <w:pPr>
      <w:numPr>
        <w:ilvl w:val="6"/>
        <w:numId w:val="1"/>
      </w:numPr>
      <w:tabs>
        <w:tab w:val="left" w:pos="3420"/>
        <w:tab w:val="clear" w:pos="3600"/>
        <w:tab w:val="clear" w:pos="3000"/>
      </w:tabs>
      <w:ind w:left="3420" w:firstLine="0"/>
      <w:outlineLvl w:val="6"/>
    </w:pPr>
    <w:rPr>
      <w:sz w:val="21"/>
    </w:rPr>
  </w:style>
  <w:style w:type="character" w:customStyle="1" w:styleId="151">
    <w:name w:val="bookmark-item"/>
    <w:basedOn w:val="37"/>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wmf" Type="http://schemas.openxmlformats.org/officeDocument/2006/relationships/image"/><Relationship Id="rId11" Target="media/image4.wmf" Type="http://schemas.openxmlformats.org/officeDocument/2006/relationships/image"/><Relationship Id="rId12" Target="media/image5.wmf" Type="http://schemas.openxmlformats.org/officeDocument/2006/relationships/image"/><Relationship Id="rId13" Target="media/image6.png" Type="http://schemas.openxmlformats.org/officeDocument/2006/relationships/imag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72</Pages>
  <Words>8624</Words>
  <Characters>49157</Characters>
  <Lines>409</Lines>
  <Paragraphs>115</Paragraphs>
  <TotalTime>0</TotalTime>
  <ScaleCrop>false</ScaleCrop>
  <LinksUpToDate>false</LinksUpToDate>
  <CharactersWithSpaces>57666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2020-09-22T02:04:00Z</dcterms:created>
  <dc:creator>heyl</dc:creator>
  <cp:lastModifiedBy>WPS_1701756769</cp:lastModifiedBy>
  <cp:lastPrinted>2020-05-29T08:43:00Z</cp:lastPrinted>
  <dcterms:modified xsi:type="dcterms:W3CDTF">2024-02-26T02:08:41Z</dcterms:modified>
  <cp:revision>26</cp:revision>
  <dc:title>绍兴县水务集团客户服务信息系统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6EBEFF937DD342AE829D007F00F28065_13</vt:lpwstr>
  </property>
</Properties>
</file>