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color w:val="auto"/>
          <w:sz w:val="52"/>
          <w:szCs w:val="52"/>
          <w:highlight w:val="none"/>
        </w:rPr>
      </w:pPr>
      <w:r>
        <w:rPr>
          <w:rFonts w:hint="eastAsia" w:ascii="仿宋" w:eastAsia="仿宋"/>
          <w:b/>
          <w:bCs/>
          <w:color w:val="auto"/>
          <w:sz w:val="52"/>
          <w:szCs w:val="52"/>
          <w:highlight w:val="none"/>
          <w:u w:val="single"/>
          <w:lang w:eastAsia="zh-CN"/>
        </w:rPr>
        <w:t>灵芝街道2023年度街道食堂管理服务外包</w:t>
      </w:r>
      <w:r>
        <w:rPr>
          <w:rFonts w:hint="eastAsia" w:ascii="仿宋" w:eastAsia="仿宋"/>
          <w:b/>
          <w:bCs/>
          <w:color w:val="auto"/>
          <w:sz w:val="52"/>
          <w:szCs w:val="52"/>
          <w:highlight w:val="none"/>
        </w:rPr>
        <w:t>项目</w:t>
      </w:r>
    </w:p>
    <w:p>
      <w:pPr>
        <w:rPr>
          <w:rFonts w:hint="eastAsia" w:ascii="仿宋" w:eastAsia="仿宋"/>
          <w:color w:val="auto"/>
          <w:sz w:val="36"/>
          <w:szCs w:val="36"/>
          <w:highlight w:val="none"/>
        </w:rPr>
      </w:pPr>
    </w:p>
    <w:p>
      <w:pPr>
        <w:rPr>
          <w:rFonts w:hint="eastAsia" w:ascii="仿宋" w:eastAsia="仿宋"/>
          <w:color w:val="auto"/>
          <w:sz w:val="36"/>
          <w:szCs w:val="36"/>
          <w:highlight w:val="none"/>
        </w:rPr>
      </w:pPr>
    </w:p>
    <w:p>
      <w:pPr>
        <w:rPr>
          <w:rFonts w:hint="eastAsia" w:ascii="仿宋" w:eastAsia="仿宋"/>
          <w:color w:val="auto"/>
          <w:sz w:val="36"/>
          <w:szCs w:val="36"/>
          <w:highlight w:val="none"/>
        </w:rPr>
      </w:pP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pPr>
        <w:rPr>
          <w:rFonts w:hint="eastAsia" w:ascii="仿宋" w:eastAsia="仿宋"/>
          <w:b/>
          <w:bCs/>
          <w:color w:val="auto"/>
          <w:sz w:val="36"/>
          <w:szCs w:val="36"/>
          <w:highlight w:val="none"/>
        </w:rPr>
      </w:pPr>
    </w:p>
    <w:p>
      <w:pPr>
        <w:rPr>
          <w:rFonts w:hint="eastAsia" w:ascii="仿宋" w:eastAsia="仿宋"/>
          <w:color w:val="auto"/>
          <w:sz w:val="36"/>
          <w:szCs w:val="36"/>
          <w:highlight w:val="none"/>
        </w:rPr>
      </w:pPr>
    </w:p>
    <w:p>
      <w:pPr>
        <w:rPr>
          <w:rFonts w:hint="eastAsia" w:ascii="仿宋" w:eastAsia="仿宋"/>
          <w:color w:val="auto"/>
          <w:sz w:val="36"/>
          <w:szCs w:val="36"/>
          <w:highlight w:val="none"/>
        </w:rPr>
      </w:pPr>
    </w:p>
    <w:tbl>
      <w:tblPr>
        <w:tblStyle w:val="30"/>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default" w:ascii="仿宋" w:eastAsia="仿宋"/>
                <w:color w:val="auto"/>
                <w:sz w:val="28"/>
                <w:highlight w:val="none"/>
                <w:u w:val="single"/>
                <w:lang w:val="en-US" w:eastAsia="zh-CN"/>
              </w:rPr>
            </w:pPr>
            <w:r>
              <w:rPr>
                <w:rFonts w:hint="eastAsia" w:ascii="仿宋" w:eastAsia="仿宋"/>
                <w:color w:val="auto"/>
                <w:sz w:val="28"/>
                <w:highlight w:val="none"/>
                <w:u w:val="single"/>
                <w:lang w:val="en-US" w:eastAsia="zh-CN"/>
              </w:rPr>
              <w:t>SXLZ-JY-20221202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绍兴市越城区灵芝街道办事处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eastAsia="zh-CN"/>
              </w:rPr>
            </w:pPr>
            <w:r>
              <w:rPr>
                <w:rFonts w:hint="eastAsia" w:ascii="仿宋" w:eastAsia="仿宋"/>
                <w:color w:val="auto"/>
                <w:sz w:val="28"/>
                <w:highlight w:val="none"/>
                <w:lang w:eastAsia="zh-CN"/>
              </w:rPr>
              <w:t xml:space="preserve">浙江建元工程管理有限公司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pPr>
        <w:jc w:val="center"/>
        <w:rPr>
          <w:rFonts w:hint="eastAsia" w:ascii="仿宋" w:eastAsia="仿宋"/>
          <w:color w:val="auto"/>
          <w:sz w:val="28"/>
          <w:highlight w:val="none"/>
        </w:rPr>
      </w:pPr>
    </w:p>
    <w:p>
      <w:pPr>
        <w:jc w:val="center"/>
        <w:rPr>
          <w:rFonts w:hint="eastAsia" w:ascii="仿宋" w:eastAsia="仿宋"/>
          <w:color w:val="auto"/>
          <w:sz w:val="28"/>
          <w:highlight w:val="none"/>
        </w:rPr>
      </w:pPr>
    </w:p>
    <w:p>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2022</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十二</w:t>
      </w:r>
      <w:r>
        <w:rPr>
          <w:rFonts w:hint="eastAsia" w:ascii="仿宋" w:eastAsia="仿宋"/>
          <w:color w:val="auto"/>
          <w:sz w:val="28"/>
          <w:highlight w:val="none"/>
        </w:rPr>
        <w:t>月</w:t>
      </w:r>
    </w:p>
    <w:p>
      <w:pPr>
        <w:rPr>
          <w:rFonts w:hint="eastAsia" w:ascii="仿宋" w:eastAsia="仿宋"/>
          <w:color w:val="auto"/>
          <w:sz w:val="28"/>
          <w:highlight w:val="none"/>
        </w:rPr>
      </w:pPr>
    </w:p>
    <w:p>
      <w:pPr>
        <w:rPr>
          <w:rFonts w:hint="eastAsia" w:ascii="仿宋" w:eastAsia="仿宋"/>
          <w:color w:val="auto"/>
          <w:sz w:val="28"/>
          <w:highlight w:val="none"/>
        </w:rPr>
      </w:pPr>
    </w:p>
    <w:p>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pPr>
        <w:jc w:val="center"/>
        <w:rPr>
          <w:rFonts w:hint="eastAsia" w:ascii="仿宋" w:eastAsia="仿宋"/>
          <w:b/>
          <w:color w:val="auto"/>
          <w:sz w:val="44"/>
          <w:szCs w:val="44"/>
          <w:highlight w:val="none"/>
        </w:rPr>
      </w:pPr>
    </w:p>
    <w:p>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6"/>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pPr>
        <w:rPr>
          <w:rFonts w:hint="eastAsia" w:ascii="仿宋" w:hAnsi="仿宋" w:eastAsia="仿宋" w:cs="仿宋"/>
          <w:color w:val="auto"/>
          <w:sz w:val="28"/>
          <w:szCs w:val="28"/>
          <w:highlight w:val="none"/>
        </w:rPr>
      </w:pPr>
    </w:p>
    <w:p>
      <w:pPr>
        <w:pStyle w:val="3"/>
        <w:rPr>
          <w:rFonts w:hint="eastAsia" w:ascii="仿宋" w:hAnsi="仿宋" w:eastAsia="仿宋" w:cs="仿宋"/>
          <w:color w:val="auto"/>
          <w:sz w:val="28"/>
          <w:szCs w:val="28"/>
          <w:highlight w:val="none"/>
        </w:rPr>
        <w:sectPr>
          <w:footerReference r:id="rId5" w:type="default"/>
          <w:pgSz w:w="11907" w:h="16840"/>
          <w:pgMar w:top="1440" w:right="1463" w:bottom="1440" w:left="1803" w:header="851" w:footer="992" w:gutter="0"/>
          <w:cols w:space="720" w:num="1"/>
          <w:docGrid w:type="lines" w:linePitch="312" w:charSpace="0"/>
        </w:sectPr>
      </w:pPr>
    </w:p>
    <w:p>
      <w:pPr>
        <w:pStyle w:val="3"/>
        <w:rPr>
          <w:rFonts w:hint="eastAsia" w:ascii="仿宋"/>
          <w:color w:val="auto"/>
          <w:highlight w:val="none"/>
        </w:rPr>
      </w:pPr>
      <w:bookmarkStart w:id="0" w:name="_Toc27216"/>
      <w:r>
        <w:rPr>
          <w:rFonts w:hint="eastAsia" w:ascii="仿宋"/>
          <w:color w:val="auto"/>
          <w:highlight w:val="none"/>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u w:val="single"/>
          <w:lang w:eastAsia="zh-CN"/>
        </w:rPr>
        <w:t>灵芝街道2023年度街道食堂管理服务外包</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2022</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22</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00</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pPr>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28359002"/>
      <w:bookmarkStart w:id="2" w:name="_Toc28359079"/>
      <w:bookmarkStart w:id="3" w:name="_Toc35393790"/>
      <w:bookmarkStart w:id="4" w:name="_Toc35393621"/>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lang w:eastAsia="zh-CN"/>
        </w:rPr>
        <w:t>SXLZ-JY-20221202</w:t>
      </w:r>
    </w:p>
    <w:p>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lang w:eastAsia="zh-CN"/>
        </w:rPr>
        <w:t>灵芝街道2023年度街道食堂管理服务外包</w:t>
      </w:r>
    </w:p>
    <w:bookmarkEnd w:id="5"/>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1200000</w:t>
      </w:r>
    </w:p>
    <w:p>
      <w:pPr>
        <w:spacing w:line="360" w:lineRule="auto"/>
        <w:ind w:firstLine="540"/>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1200000</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eastAsia="zh-CN"/>
        </w:rPr>
        <w:t>灵芝街道2023年度街道食堂管理服务外包</w:t>
      </w:r>
    </w:p>
    <w:p>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w:t>
      </w:r>
    </w:p>
    <w:p>
      <w:pPr>
        <w:spacing w:line="360" w:lineRule="auto"/>
        <w:ind w:firstLine="540"/>
        <w:rPr>
          <w:rFonts w:hint="default" w:ascii="仿宋" w:eastAsia="仿宋" w:cs="宋体"/>
          <w:bCs/>
          <w:color w:val="auto"/>
          <w:sz w:val="24"/>
          <w:highlight w:val="none"/>
          <w:lang w:val="en-US" w:eastAsia="zh-CN"/>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1200000</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lang w:val="en-US" w:eastAsia="zh-CN"/>
        </w:rPr>
        <w:t>一年。</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35393622"/>
      <w:bookmarkStart w:id="7" w:name="_Toc28359080"/>
      <w:bookmarkStart w:id="8" w:name="_Toc28359003"/>
      <w:bookmarkStart w:id="9" w:name="_Toc35393791"/>
      <w:r>
        <w:rPr>
          <w:rFonts w:hint="eastAsia" w:ascii="仿宋" w:hAnsi="仿宋" w:eastAsia="仿宋" w:cs="仿宋"/>
          <w:b/>
          <w:bCs/>
          <w:color w:val="auto"/>
          <w:sz w:val="24"/>
          <w:szCs w:val="24"/>
          <w:highlight w:val="none"/>
        </w:rPr>
        <w:t>二、申请人的资格要求：</w:t>
      </w:r>
      <w:bookmarkEnd w:id="6"/>
      <w:bookmarkEnd w:id="7"/>
      <w:bookmarkEnd w:id="8"/>
      <w:bookmarkEnd w:id="9"/>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供应商为中小企业/小微企业</w:t>
      </w:r>
      <w:r>
        <w:rPr>
          <w:rFonts w:hint="eastAsia" w:ascii="仿宋" w:eastAsia="仿宋" w:cs="宋体"/>
          <w:bCs/>
          <w:color w:val="auto"/>
          <w:sz w:val="24"/>
          <w:szCs w:val="24"/>
          <w:highlight w:val="none"/>
          <w:u w:val="single"/>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lang w:val="en-US"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lang w:val="en-US" w:eastAsia="zh-CN"/>
        </w:rPr>
        <w:t>2022</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12</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22</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lang w:val="en-US" w:eastAsia="zh-CN"/>
        </w:rPr>
        <w:t>2022</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22</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00</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lang w:val="en-US" w:eastAsia="zh-CN"/>
        </w:rPr>
        <w:t>2022</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12</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22</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00</w:t>
      </w:r>
      <w:r>
        <w:rPr>
          <w:rFonts w:ascii="仿宋" w:eastAsia="仿宋"/>
          <w:bCs/>
          <w:color w:val="auto"/>
          <w:sz w:val="24"/>
          <w:szCs w:val="24"/>
          <w:highlight w:val="none"/>
          <w:u w:val="single"/>
        </w:rPr>
        <w:t xml:space="preserve"> </w:t>
      </w:r>
    </w:p>
    <w:p>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；现场开标地点：浙江省绍兴市越城区</w:t>
      </w:r>
      <w:r>
        <w:rPr>
          <w:rFonts w:hint="eastAsia" w:ascii="仿宋" w:eastAsia="仿宋"/>
          <w:b w:val="0"/>
          <w:bCs w:val="0"/>
          <w:i w:val="0"/>
          <w:iCs w:val="0"/>
          <w:caps w:val="0"/>
          <w:smallCaps w:val="0"/>
          <w:color w:val="auto"/>
          <w:spacing w:val="0"/>
          <w:sz w:val="24"/>
          <w:szCs w:val="24"/>
          <w:highlight w:val="none"/>
        </w:rPr>
        <w:t>张市路38号</w:t>
      </w:r>
      <w:r>
        <w:rPr>
          <w:rFonts w:ascii="仿宋" w:eastAsia="仿宋"/>
          <w:b w:val="0"/>
          <w:bCs w:val="0"/>
          <w:i w:val="0"/>
          <w:iCs w:val="0"/>
          <w:caps w:val="0"/>
          <w:smallCaps w:val="0"/>
          <w:color w:val="auto"/>
          <w:spacing w:val="0"/>
          <w:sz w:val="24"/>
          <w:szCs w:val="24"/>
          <w:highlight w:val="none"/>
        </w:rPr>
        <w:t>绍兴市</w:t>
      </w:r>
      <w:r>
        <w:rPr>
          <w:rFonts w:hint="eastAsia" w:ascii="仿宋" w:eastAsia="仿宋"/>
          <w:b w:val="0"/>
          <w:bCs w:val="0"/>
          <w:i w:val="0"/>
          <w:iCs w:val="0"/>
          <w:caps w:val="0"/>
          <w:smallCaps w:val="0"/>
          <w:color w:val="auto"/>
          <w:spacing w:val="0"/>
          <w:sz w:val="24"/>
          <w:szCs w:val="24"/>
          <w:highlight w:val="none"/>
          <w:lang w:val="en-US" w:eastAsia="zh-CN"/>
        </w:rPr>
        <w:t>越城区灵芝街道办事处4号楼</w:t>
      </w:r>
      <w:r>
        <w:rPr>
          <w:rFonts w:ascii="仿宋" w:eastAsia="仿宋"/>
          <w:b w:val="0"/>
          <w:bCs w:val="0"/>
          <w:i w:val="0"/>
          <w:iCs w:val="0"/>
          <w:caps w:val="0"/>
          <w:smallCaps w:val="0"/>
          <w:color w:val="auto"/>
          <w:spacing w:val="0"/>
          <w:sz w:val="24"/>
          <w:szCs w:val="24"/>
          <w:highlight w:val="none"/>
        </w:rPr>
        <w:t xml:space="preserve"> </w:t>
      </w:r>
      <w:r>
        <w:rPr>
          <w:rFonts w:hint="eastAsia" w:ascii="仿宋" w:eastAsia="仿宋"/>
          <w:b w:val="0"/>
          <w:bCs w:val="0"/>
          <w:i w:val="0"/>
          <w:iCs w:val="0"/>
          <w:caps w:val="0"/>
          <w:smallCaps w:val="0"/>
          <w:color w:val="auto"/>
          <w:spacing w:val="0"/>
          <w:sz w:val="24"/>
          <w:szCs w:val="24"/>
          <w:highlight w:val="none"/>
          <w:u w:val="single"/>
          <w:lang w:val="en-US" w:eastAsia="zh-CN"/>
        </w:rPr>
        <w:t>201</w:t>
      </w:r>
      <w:r>
        <w:rPr>
          <w:rFonts w:ascii="仿宋" w:eastAsia="仿宋"/>
          <w:b w:val="0"/>
          <w:bCs w:val="0"/>
          <w:i w:val="0"/>
          <w:iCs w:val="0"/>
          <w:caps w:val="0"/>
          <w:smallCaps w:val="0"/>
          <w:color w:val="auto"/>
          <w:spacing w:val="0"/>
          <w:sz w:val="24"/>
          <w:szCs w:val="24"/>
          <w:highlight w:val="none"/>
        </w:rPr>
        <w:t>室。</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35393794"/>
      <w:bookmarkStart w:id="19" w:name="_Toc28359084"/>
      <w:bookmarkStart w:id="20" w:name="_Toc35393625"/>
      <w:bookmarkStart w:id="21" w:name="_Toc28359007"/>
      <w:r>
        <w:rPr>
          <w:rFonts w:hint="eastAsia" w:ascii="仿宋" w:hAnsi="仿宋" w:eastAsia="仿宋" w:cs="仿宋"/>
          <w:b/>
          <w:bCs/>
          <w:color w:val="auto"/>
          <w:sz w:val="24"/>
          <w:szCs w:val="24"/>
          <w:highlight w:val="none"/>
        </w:rPr>
        <w:t>五、公告期限</w:t>
      </w:r>
      <w:bookmarkEnd w:id="18"/>
      <w:bookmarkEnd w:id="19"/>
      <w:bookmarkEnd w:id="20"/>
      <w:bookmarkEnd w:id="21"/>
    </w:p>
    <w:p>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28359008"/>
      <w:bookmarkStart w:id="25" w:name="_Toc28359085"/>
      <w:bookmarkStart w:id="26" w:name="_Toc35393796"/>
      <w:bookmarkStart w:id="27" w:name="_Toc35393627"/>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pPr>
        <w:spacing w:line="360" w:lineRule="auto"/>
        <w:ind w:left="1079" w:leftChars="371" w:hanging="300" w:hangingChars="125"/>
        <w:jc w:val="left"/>
        <w:rPr>
          <w:rFonts w:hint="default" w:ascii="仿宋" w:eastAsia="仿宋"/>
          <w:color w:val="auto"/>
          <w:sz w:val="24"/>
          <w:szCs w:val="24"/>
          <w:highlight w:val="none"/>
          <w:lang w:val="en-US" w:eastAsia="zh-CN"/>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lang w:val="en-US" w:eastAsia="zh-CN"/>
        </w:rPr>
        <w:t>绍兴市越城区灵芝街道办事处</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绍兴市越城区洋江西路1399号灵芝街道办事处</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xml:space="preserve"> </w:t>
      </w:r>
      <w:bookmarkStart w:id="28" w:name="_Toc28359086"/>
      <w:bookmarkStart w:id="29" w:name="_Toc28359009"/>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范顺强</w:t>
      </w:r>
    </w:p>
    <w:p>
      <w:pPr>
        <w:spacing w:line="360" w:lineRule="auto"/>
        <w:ind w:left="1079" w:leftChars="371" w:hanging="300" w:hangingChars="125"/>
        <w:jc w:val="left"/>
        <w:rPr>
          <w:rFonts w:hint="default" w:ascii="仿宋" w:eastAsia="仿宋"/>
          <w:color w:val="auto"/>
          <w:sz w:val="24"/>
          <w:szCs w:val="24"/>
          <w:highlight w:val="none"/>
          <w:lang w:val="en-US" w:eastAsia="zh-CN"/>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lang w:val="en-US" w:eastAsia="zh-CN"/>
        </w:rPr>
        <w:t>13065791120</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诸淑颖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16605852998 </w:t>
      </w:r>
    </w:p>
    <w:p>
      <w:pPr>
        <w:spacing w:line="360" w:lineRule="auto"/>
        <w:ind w:left="1079" w:leftChars="371" w:hanging="300" w:hangingChars="125"/>
        <w:jc w:val="left"/>
        <w:rPr>
          <w:rFonts w:ascii="仿宋" w:eastAsia="仿宋"/>
          <w:color w:val="auto"/>
          <w:sz w:val="24"/>
          <w:szCs w:val="24"/>
          <w:highlight w:val="none"/>
          <w:u w:val="single"/>
        </w:rPr>
      </w:pP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pPr>
        <w:spacing w:line="360" w:lineRule="auto"/>
        <w:ind w:left="1079" w:leftChars="371" w:hanging="300" w:hangingChars="125"/>
        <w:jc w:val="left"/>
        <w:rPr>
          <w:rFonts w:hint="eastAsia" w:ascii="仿宋" w:eastAsia="仿宋"/>
          <w:color w:val="auto"/>
          <w:sz w:val="24"/>
          <w:szCs w:val="24"/>
          <w:highlight w:val="none"/>
          <w:lang w:eastAsia="zh-CN"/>
        </w:rPr>
      </w:pPr>
      <w:bookmarkStart w:id="30" w:name="_Toc28359010"/>
      <w:bookmarkStart w:id="31" w:name="_Toc28359087"/>
      <w:r>
        <w:rPr>
          <w:rFonts w:hint="eastAsia" w:ascii="仿宋" w:eastAsia="仿宋"/>
          <w:color w:val="auto"/>
          <w:sz w:val="24"/>
          <w:szCs w:val="24"/>
          <w:highlight w:val="none"/>
        </w:rPr>
        <w:t>名 称：</w:t>
      </w:r>
      <w:r>
        <w:rPr>
          <w:rFonts w:hint="eastAsia" w:ascii="仿宋" w:eastAsia="仿宋"/>
          <w:color w:val="auto"/>
          <w:sz w:val="24"/>
          <w:szCs w:val="24"/>
          <w:highlight w:val="none"/>
          <w:u w:val="single"/>
          <w:lang w:eastAsia="zh-CN"/>
        </w:rPr>
        <w:t xml:space="preserve">浙江建元工程管理有限公司 </w:t>
      </w:r>
    </w:p>
    <w:p>
      <w:pPr>
        <w:spacing w:line="360" w:lineRule="auto"/>
        <w:ind w:left="1079" w:leftChars="371" w:hanging="300" w:hangingChars="125"/>
        <w:jc w:val="left"/>
        <w:rPr>
          <w:rFonts w:hint="eastAsia" w:ascii="仿宋" w:eastAsia="仿宋"/>
          <w:color w:val="auto"/>
          <w:sz w:val="24"/>
          <w:szCs w:val="24"/>
          <w:highlight w:val="none"/>
          <w:lang w:eastAsia="zh-CN"/>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lang w:eastAsia="zh-CN"/>
        </w:rPr>
        <w:t xml:space="preserve">越城区天姥路18号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xml:space="preserve">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eastAsia="zh-CN"/>
        </w:rPr>
        <w:t>章林峰</w:t>
      </w:r>
      <w:r>
        <w:rPr>
          <w:rFonts w:hint="eastAsia" w:ascii="仿宋" w:eastAsia="仿宋"/>
          <w:color w:val="auto"/>
          <w:sz w:val="24"/>
          <w:szCs w:val="24"/>
          <w:highlight w:val="none"/>
          <w:u w:val="single"/>
        </w:rPr>
        <w:t xml:space="preserve"> </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eastAsia="zh-CN"/>
        </w:rPr>
        <w:t>17858111962</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eastAsia="zh-CN"/>
        </w:rPr>
        <w:t>周海鹰</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eastAsia="zh-CN"/>
        </w:rPr>
        <w:t>13858401177</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xml:space="preserve">　 </w:t>
      </w:r>
    </w:p>
    <w:p>
      <w:pPr>
        <w:spacing w:line="360" w:lineRule="auto"/>
        <w:ind w:firstLine="720" w:firstLineChars="300"/>
        <w:rPr>
          <w:rFonts w:ascii="仿宋" w:eastAsia="仿宋"/>
          <w:color w:val="auto"/>
          <w:sz w:val="24"/>
          <w:szCs w:val="24"/>
          <w:highlight w:val="none"/>
        </w:rPr>
      </w:pPr>
    </w:p>
    <w:p>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ascii="仿宋" w:eastAsia="仿宋"/>
          <w:color w:val="auto"/>
          <w:sz w:val="24"/>
          <w:szCs w:val="24"/>
          <w:highlight w:val="none"/>
          <w:u w:val="single"/>
        </w:rPr>
        <w:t>绍兴市越城区财政局</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ascii="仿宋" w:eastAsia="仿宋"/>
          <w:color w:val="auto"/>
          <w:sz w:val="24"/>
          <w:szCs w:val="24"/>
          <w:highlight w:val="none"/>
          <w:u w:val="single"/>
        </w:rPr>
        <w:t>浙江省绍兴市人民东路1187号</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pPr>
        <w:pStyle w:val="19"/>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联系人：</w:t>
      </w:r>
      <w:r>
        <w:rPr>
          <w:rFonts w:ascii="仿宋" w:eastAsia="仿宋"/>
          <w:color w:val="auto"/>
          <w:sz w:val="24"/>
          <w:szCs w:val="24"/>
          <w:highlight w:val="none"/>
          <w:u w:val="single"/>
        </w:rPr>
        <w:t>季扬</w:t>
      </w:r>
    </w:p>
    <w:p>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ascii="仿宋" w:eastAsia="仿宋"/>
          <w:color w:val="auto"/>
          <w:sz w:val="24"/>
          <w:szCs w:val="24"/>
          <w:highlight w:val="none"/>
          <w:u w:val="single"/>
        </w:rPr>
        <w:t>0575-85221643</w:t>
      </w:r>
      <w:r>
        <w:rPr>
          <w:rFonts w:hint="eastAsia" w:ascii="仿宋" w:eastAsia="仿宋"/>
          <w:color w:val="auto"/>
          <w:sz w:val="24"/>
          <w:szCs w:val="24"/>
          <w:highlight w:val="none"/>
          <w:u w:val="single"/>
        </w:rPr>
        <w:t>　　　</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pPr>
        <w:widowControl/>
        <w:jc w:val="left"/>
        <w:rPr>
          <w:rFonts w:ascii="仿宋" w:eastAsia="仿宋"/>
          <w:color w:val="auto"/>
          <w:sz w:val="28"/>
          <w:szCs w:val="28"/>
          <w:highlight w:val="none"/>
        </w:rPr>
      </w:pPr>
    </w:p>
    <w:p>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hAnsi="Times New Roman" w:eastAsia="仿宋" w:cs="Arial"/>
          <w:b/>
          <w:bCs/>
          <w:color w:val="auto"/>
          <w:sz w:val="24"/>
          <w:highlight w:val="none"/>
          <w:u w:val="single"/>
          <w:lang w:val="en-US" w:eastAsia="zh-CN"/>
        </w:rPr>
        <w:t>分散采购</w:t>
      </w:r>
      <w:r>
        <w:rPr>
          <w:rFonts w:ascii="仿宋" w:eastAsia="仿宋" w:cs="Arial"/>
          <w:bCs/>
          <w:color w:val="auto"/>
          <w:sz w:val="24"/>
          <w:highlight w:val="none"/>
          <w:u w:val="single"/>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服</w:t>
      </w:r>
      <w:r>
        <w:rPr>
          <w:rFonts w:hint="eastAsia" w:ascii="仿宋" w:eastAsia="仿宋" w:cs="Arial"/>
          <w:b/>
          <w:bCs/>
          <w:color w:val="auto"/>
          <w:sz w:val="24"/>
          <w:highlight w:val="none"/>
          <w:u w:val="single"/>
          <w:lang w:val="en-US" w:eastAsia="zh-CN"/>
        </w:rPr>
        <w:t xml:space="preserve"> </w:t>
      </w:r>
      <w:r>
        <w:rPr>
          <w:rFonts w:ascii="仿宋" w:eastAsia="仿宋" w:cs="Arial"/>
          <w:b/>
          <w:bCs/>
          <w:color w:val="auto"/>
          <w:sz w:val="24"/>
          <w:highlight w:val="none"/>
          <w:u w:val="single"/>
        </w:rPr>
        <w:t xml:space="preserve">务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20" w:lineRule="exact"/>
        <w:ind w:firstLine="464" w:firstLineChars="200"/>
        <w:textAlignment w:val="auto"/>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6"/>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6"/>
          <w:rFonts w:hint="eastAsia" w:ascii="仿宋" w:eastAsia="仿宋"/>
          <w:color w:val="auto"/>
          <w:spacing w:val="-4"/>
          <w:sz w:val="24"/>
          <w:highlight w:val="none"/>
        </w:rPr>
        <w:fldChar w:fldCharType="separate"/>
      </w:r>
      <w:r>
        <w:rPr>
          <w:rStyle w:val="36"/>
          <w:rFonts w:hint="eastAsia" w:ascii="仿宋" w:eastAsia="仿宋"/>
          <w:color w:val="auto"/>
          <w:spacing w:val="-4"/>
          <w:sz w:val="24"/>
          <w:highlight w:val="none"/>
        </w:rPr>
        <w:t>http://www.sxyc.gov.cn/art/2019/9/11/art_1559761_38044415.html</w:t>
      </w:r>
      <w:r>
        <w:rPr>
          <w:rStyle w:val="36"/>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420" w:lineRule="exact"/>
        <w:ind w:left="0" w:firstLine="464" w:firstLineChars="200"/>
        <w:contextualSpacing w:val="0"/>
        <w:textAlignment w:val="auto"/>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6"/>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pPr>
        <w:keepNext w:val="0"/>
        <w:keepLines w:val="0"/>
        <w:pageBreakBefore w:val="0"/>
        <w:widowControl w:val="0"/>
        <w:kinsoku/>
        <w:wordWrap/>
        <w:overflowPunct/>
        <w:topLinePunct w:val="0"/>
        <w:autoSpaceDE/>
        <w:autoSpaceDN/>
        <w:bidi w:val="0"/>
        <w:adjustRightInd/>
        <w:snapToGrid/>
        <w:spacing w:line="420" w:lineRule="exact"/>
        <w:ind w:left="0" w:firstLine="482" w:firstLineChars="200"/>
        <w:textAlignment w:val="auto"/>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pPr>
        <w:keepNext w:val="0"/>
        <w:keepLines w:val="0"/>
        <w:pageBreakBefore w:val="0"/>
        <w:widowControl w:val="0"/>
        <w:kinsoku/>
        <w:wordWrap/>
        <w:overflowPunct/>
        <w:topLinePunct w:val="0"/>
        <w:autoSpaceDE/>
        <w:autoSpaceDN/>
        <w:bidi w:val="0"/>
        <w:adjustRightInd/>
        <w:snapToGrid/>
        <w:spacing w:line="420" w:lineRule="exact"/>
        <w:ind w:left="0" w:firstLine="482" w:firstLineChars="200"/>
        <w:textAlignment w:val="auto"/>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pPr>
        <w:keepNext w:val="0"/>
        <w:keepLines w:val="0"/>
        <w:pageBreakBefore w:val="0"/>
        <w:widowControl w:val="0"/>
        <w:kinsoku/>
        <w:wordWrap/>
        <w:overflowPunct/>
        <w:topLinePunct w:val="0"/>
        <w:autoSpaceDE/>
        <w:autoSpaceDN/>
        <w:bidi w:val="0"/>
        <w:adjustRightInd/>
        <w:snapToGrid/>
        <w:spacing w:line="420" w:lineRule="exact"/>
        <w:ind w:left="0" w:firstLine="349" w:firstLineChars="150"/>
        <w:textAlignment w:val="auto"/>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eastAsia="仿宋"/>
          <w:color w:val="auto"/>
          <w:sz w:val="24"/>
          <w:highlight w:val="none"/>
        </w:rPr>
      </w:pPr>
      <w:r>
        <w:rPr>
          <w:rFonts w:hint="eastAsia" w:ascii="仿宋" w:eastAsia="仿宋"/>
          <w:b/>
          <w:bCs/>
          <w:color w:val="auto"/>
          <w:sz w:val="24"/>
          <w:highlight w:val="none"/>
        </w:rPr>
        <w:t>供应商入驻操作指南：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pPr>
        <w:pStyle w:val="3"/>
        <w:rPr>
          <w:rFonts w:hint="eastAsia" w:ascii="仿宋"/>
          <w:color w:val="auto"/>
          <w:highlight w:val="none"/>
        </w:rPr>
      </w:pPr>
      <w:bookmarkStart w:id="34" w:name="_Toc1678"/>
      <w:r>
        <w:rPr>
          <w:rFonts w:hint="eastAsia" w:ascii="仿宋"/>
          <w:color w:val="auto"/>
          <w:highlight w:val="none"/>
        </w:rPr>
        <w:t>第二章  投标人须知</w:t>
      </w:r>
      <w:bookmarkEnd w:id="34"/>
    </w:p>
    <w:p>
      <w:pPr>
        <w:pStyle w:val="4"/>
        <w:rPr>
          <w:rFonts w:hint="eastAsia" w:ascii="仿宋"/>
          <w:color w:val="auto"/>
          <w:highlight w:val="none"/>
        </w:rPr>
      </w:pPr>
      <w:bookmarkStart w:id="35" w:name="_Toc4885"/>
      <w:r>
        <w:rPr>
          <w:rFonts w:hint="eastAsia" w:ascii="仿宋"/>
          <w:color w:val="auto"/>
          <w:highlight w:val="none"/>
        </w:rPr>
        <w:t>一、前附表</w:t>
      </w:r>
      <w:bookmarkEnd w:id="35"/>
    </w:p>
    <w:tbl>
      <w:tblPr>
        <w:tblStyle w:val="3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auto"/>
                <w:sz w:val="24"/>
                <w:highlight w:val="none"/>
                <w:lang w:eastAsia="zh-CN"/>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lang w:eastAsia="zh-CN"/>
              </w:rPr>
              <w:t>灵芝街道2023年度街道食堂管理服务外包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pPr>
              <w:spacing w:line="500" w:lineRule="exact"/>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中标合同金额的</w:t>
            </w:r>
            <w:r>
              <w:rPr>
                <w:rFonts w:ascii="仿宋" w:eastAsia="仿宋"/>
                <w:color w:val="auto"/>
                <w:sz w:val="24"/>
                <w:highlight w:val="none"/>
                <w:u w:val="single"/>
              </w:rPr>
              <w:t>1</w:t>
            </w:r>
            <w:r>
              <w:rPr>
                <w:rFonts w:hint="eastAsia" w:ascii="仿宋" w:eastAsia="仿宋"/>
                <w:color w:val="auto"/>
                <w:sz w:val="24"/>
                <w:highlight w:val="none"/>
                <w:u w:val="single"/>
              </w:rPr>
              <w:t xml:space="preserve">%    </w:t>
            </w:r>
          </w:p>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31"/>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灵芝街道2023年度街道食堂管理服务外包</w:t>
                  </w:r>
                </w:p>
              </w:tc>
              <w:tc>
                <w:tcPr>
                  <w:tcW w:w="4078" w:type="dxa"/>
                  <w:vAlign w:val="center"/>
                </w:tcPr>
                <w:p>
                  <w:pPr>
                    <w:snapToGrid w:val="0"/>
                    <w:jc w:val="center"/>
                    <w:rPr>
                      <w:rFonts w:hint="default" w:ascii="仿宋" w:eastAsia="仿宋"/>
                      <w:b/>
                      <w:bCs/>
                      <w:color w:val="auto"/>
                      <w:sz w:val="24"/>
                      <w:highlight w:val="none"/>
                      <w:vertAlign w:val="baseline"/>
                      <w:lang w:val="en-US" w:eastAsia="zh-CN"/>
                    </w:rPr>
                  </w:pPr>
                  <w:r>
                    <w:rPr>
                      <w:rFonts w:hint="default" w:ascii="仿宋" w:eastAsia="仿宋"/>
                      <w:b/>
                      <w:bCs/>
                      <w:color w:val="auto"/>
                      <w:sz w:val="24"/>
                      <w:highlight w:val="none"/>
                      <w:vertAlign w:val="baseline"/>
                      <w:lang w:val="en-US" w:eastAsia="zh-CN"/>
                    </w:rPr>
                    <w:t>餐饮业行业</w:t>
                  </w:r>
                </w:p>
              </w:tc>
            </w:tr>
          </w:tbl>
          <w:p>
            <w:pPr>
              <w:snapToGrid w:val="0"/>
              <w:jc w:val="left"/>
              <w:rPr>
                <w:rFonts w:hint="default" w:ascii="仿宋" w:eastAsia="仿宋"/>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pPr>
              <w:spacing w:line="500" w:lineRule="exact"/>
              <w:jc w:val="left"/>
              <w:rPr>
                <w:rFonts w:hint="eastAsia" w:ascii="仿宋" w:eastAsia="仿宋" w:cs="仿宋_GB2312"/>
                <w:b/>
                <w:bCs/>
                <w:color w:val="auto"/>
                <w:sz w:val="24"/>
                <w:highlight w:val="none"/>
                <w:u w:val="single"/>
              </w:rPr>
            </w:pPr>
            <w:r>
              <w:rPr>
                <w:rFonts w:hint="eastAsia" w:ascii="仿宋" w:eastAsia="仿宋" w:cs="仿宋_GB2312"/>
                <w:b/>
                <w:bCs/>
                <w:color w:val="auto"/>
                <w:sz w:val="24"/>
                <w:highlight w:val="none"/>
                <w:u w:val="single"/>
              </w:rPr>
              <w:t>（1）以中标通知中确定的中标总金额作为服务费的计算基数，收费标准参照《国家计委关于印发&lt;招标代理服务费管理暂行办法&gt;的通知》（计价格[2002]1980号）规定标准的收费，低于3000元按3000元收取。</w:t>
            </w:r>
          </w:p>
          <w:p>
            <w:pPr>
              <w:spacing w:line="500" w:lineRule="exact"/>
              <w:jc w:val="left"/>
              <w:rPr>
                <w:rFonts w:hint="eastAsia" w:ascii="仿宋" w:eastAsia="仿宋" w:cs="仿宋_GB2312"/>
                <w:color w:val="auto"/>
                <w:sz w:val="24"/>
                <w:highlight w:val="none"/>
              </w:rPr>
            </w:pPr>
            <w:r>
              <w:rPr>
                <w:rFonts w:hint="eastAsia" w:ascii="仿宋" w:eastAsia="仿宋" w:cs="仿宋_GB2312"/>
                <w:b/>
                <w:bCs/>
                <w:color w:val="auto"/>
                <w:sz w:val="24"/>
                <w:highlight w:val="none"/>
                <w:u w:val="single"/>
              </w:rPr>
              <w:t>（2）代理服务费在领取中标通知书前交纳。</w:t>
            </w:r>
            <w:r>
              <w:rPr>
                <w:rFonts w:hint="eastAsia" w:ascii="仿宋" w:eastAsia="仿宋" w:cs="仿宋_GB2312"/>
                <w:color w:val="auto"/>
                <w:sz w:val="24"/>
                <w:highlight w:val="none"/>
                <w:u w:val="single"/>
              </w:rPr>
              <w:t xml:space="preserve"> </w:t>
            </w:r>
          </w:p>
        </w:tc>
      </w:tr>
    </w:tbl>
    <w:p>
      <w:pPr>
        <w:ind w:left="238"/>
        <w:jc w:val="center"/>
        <w:rPr>
          <w:rFonts w:hint="eastAsia" w:ascii="仿宋" w:eastAsia="仿宋"/>
          <w:color w:val="auto"/>
          <w:sz w:val="24"/>
          <w:highlight w:val="none"/>
        </w:rPr>
      </w:pPr>
    </w:p>
    <w:p>
      <w:pPr>
        <w:ind w:left="238"/>
        <w:jc w:val="center"/>
        <w:rPr>
          <w:rFonts w:hint="eastAsia" w:ascii="仿宋" w:eastAsia="仿宋"/>
          <w:color w:val="auto"/>
          <w:sz w:val="24"/>
          <w:highlight w:val="none"/>
        </w:rPr>
      </w:pPr>
    </w:p>
    <w:p>
      <w:pPr>
        <w:ind w:left="238"/>
        <w:jc w:val="center"/>
        <w:rPr>
          <w:rFonts w:hint="eastAsia" w:ascii="仿宋" w:eastAsia="仿宋"/>
          <w:color w:val="auto"/>
          <w:sz w:val="24"/>
          <w:highlight w:val="none"/>
        </w:rPr>
      </w:pPr>
    </w:p>
    <w:p>
      <w:pPr>
        <w:pStyle w:val="4"/>
        <w:spacing w:line="415" w:lineRule="auto"/>
        <w:jc w:val="center"/>
        <w:rPr>
          <w:rFonts w:hint="eastAsia" w:ascii="仿宋"/>
          <w:color w:val="auto"/>
          <w:highlight w:val="none"/>
        </w:rPr>
      </w:pPr>
      <w:bookmarkStart w:id="36" w:name="_Toc4902"/>
      <w:r>
        <w:rPr>
          <w:rFonts w:hint="eastAsia" w:ascii="仿宋"/>
          <w:color w:val="auto"/>
          <w:highlight w:val="none"/>
        </w:rPr>
        <w:t>二、采购文件</w:t>
      </w:r>
      <w:bookmarkEnd w:id="36"/>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pPr>
        <w:snapToGrid w:val="0"/>
        <w:spacing w:line="440" w:lineRule="exact"/>
        <w:ind w:firstLine="480" w:firstLineChars="200"/>
        <w:jc w:val="left"/>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pPr>
        <w:pStyle w:val="9"/>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4"/>
        <w:spacing w:line="415" w:lineRule="auto"/>
        <w:jc w:val="center"/>
        <w:rPr>
          <w:rFonts w:hint="eastAsia" w:ascii="仿宋"/>
          <w:color w:val="auto"/>
          <w:highlight w:val="none"/>
        </w:rPr>
      </w:pPr>
      <w:bookmarkStart w:id="37" w:name="_Toc1461"/>
      <w:r>
        <w:rPr>
          <w:rFonts w:hint="eastAsia" w:ascii="仿宋"/>
          <w:color w:val="auto"/>
          <w:highlight w:val="none"/>
        </w:rPr>
        <w:t>三、投标文件</w:t>
      </w:r>
      <w:bookmarkEnd w:id="37"/>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2.1.3法定代表人授权委托书（个体工商户需经营者参与投标，不得授权）</w:t>
      </w:r>
      <w:r>
        <w:rPr>
          <w:rFonts w:hint="eastAsia" w:ascii="仿宋" w:eastAsia="仿宋" w:cs="Arial"/>
          <w:bCs/>
          <w:color w:val="auto"/>
          <w:sz w:val="24"/>
          <w:highlight w:val="none"/>
          <w:lang w:bidi="ar-SA"/>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2.1.4法定代表人及其授权代表的身份证；</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ascii="仿宋" w:eastAsia="仿宋"/>
          <w:color w:val="auto"/>
          <w:sz w:val="24"/>
          <w:highlight w:val="none"/>
        </w:rPr>
        <w:t>5</w:t>
      </w:r>
      <w:r>
        <w:rPr>
          <w:rFonts w:hint="eastAsia" w:ascii="仿宋" w:eastAsia="仿宋"/>
          <w:color w:val="auto"/>
          <w:sz w:val="24"/>
          <w:highlight w:val="none"/>
        </w:rPr>
        <w:t xml:space="preserve"> 资格条件证明材料：</w:t>
      </w:r>
    </w:p>
    <w:p>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ascii="仿宋" w:eastAsia="仿宋"/>
          <w:color w:val="auto"/>
          <w:sz w:val="24"/>
          <w:highlight w:val="none"/>
        </w:rPr>
        <w:t>5</w:t>
      </w:r>
      <w:r>
        <w:rPr>
          <w:rFonts w:hint="eastAsia" w:ascii="仿宋" w:eastAsia="仿宋"/>
          <w:color w:val="auto"/>
          <w:sz w:val="24"/>
          <w:highlight w:val="none"/>
        </w:rPr>
        <w:t>.1营业执照或事业单位法人登记证书；</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ascii="仿宋" w:eastAsia="仿宋"/>
          <w:color w:val="auto"/>
          <w:sz w:val="24"/>
          <w:highlight w:val="none"/>
        </w:rPr>
        <w:t>5</w:t>
      </w:r>
      <w:r>
        <w:rPr>
          <w:rFonts w:hint="eastAsia" w:ascii="仿宋" w:eastAsia="仿宋"/>
          <w:color w:val="auto"/>
          <w:sz w:val="24"/>
          <w:highlight w:val="none"/>
        </w:rPr>
        <w:t>.2特定资格条件证明材料（如有）。</w:t>
      </w:r>
    </w:p>
    <w:p>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2.1.6</w:t>
      </w:r>
      <w:r>
        <w:rPr>
          <w:rFonts w:hint="eastAsia" w:ascii="仿宋" w:eastAsia="仿宋"/>
          <w:color w:val="auto"/>
          <w:sz w:val="24"/>
          <w:highlight w:val="none"/>
        </w:rPr>
        <w:t>中小企业声明函（如有）；</w:t>
      </w:r>
    </w:p>
    <w:p>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残疾人福利性单位声明函（如有）；</w:t>
      </w:r>
    </w:p>
    <w:p>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，2.1.4-2.1.5均为原件扫描件或彩色图片，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pPr>
        <w:pStyle w:val="43"/>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pPr>
        <w:pStyle w:val="43"/>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注：“商务和技术文件”可在采购文件格式的基础上适当调整，以使内容更加完备。供应商自有的各类证书、业绩等证明材料均为原件彩色扫描件或图片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ascii="仿宋" w:eastAsia="仿宋"/>
          <w:b/>
          <w:bCs/>
          <w:color w:val="auto"/>
          <w:sz w:val="32"/>
          <w:szCs w:val="32"/>
          <w:highlight w:val="none"/>
          <w:u w:val="single"/>
        </w:rPr>
        <w:t>报价</w:t>
      </w:r>
      <w:r>
        <w:rPr>
          <w:rFonts w:hint="eastAsia" w:ascii="仿宋" w:eastAsia="仿宋"/>
          <w:b/>
          <w:bCs/>
          <w:color w:val="auto"/>
          <w:sz w:val="32"/>
          <w:szCs w:val="32"/>
          <w:highlight w:val="none"/>
          <w:u w:val="single"/>
        </w:rPr>
        <w:t>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作无效投标处理</w:t>
      </w:r>
      <w:r>
        <w:rPr>
          <w:rFonts w:hint="eastAsia" w:ascii="仿宋" w:eastAsia="仿宋"/>
          <w:b/>
          <w:bCs/>
          <w:color w:val="auto"/>
          <w:sz w:val="32"/>
          <w:szCs w:val="32"/>
          <w:highlight w:val="none"/>
          <w:u w:val="singl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highlight w:val="none"/>
          <w:u w:val="single"/>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9"/>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pPr>
        <w:pStyle w:val="9"/>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pPr>
        <w:pStyle w:val="4"/>
        <w:spacing w:line="415" w:lineRule="auto"/>
        <w:jc w:val="center"/>
        <w:rPr>
          <w:rFonts w:hint="eastAsia" w:ascii="仿宋"/>
          <w:color w:val="auto"/>
          <w:highlight w:val="none"/>
        </w:rPr>
      </w:pPr>
      <w:bookmarkStart w:id="38" w:name="_Toc27317"/>
      <w:r>
        <w:rPr>
          <w:rFonts w:hint="eastAsia" w:ascii="仿宋"/>
          <w:color w:val="auto"/>
          <w:highlight w:val="none"/>
        </w:rPr>
        <w:t>四、开标评标</w:t>
      </w:r>
      <w:bookmarkEnd w:id="38"/>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r>
        <w:rPr>
          <w:rFonts w:hint="eastAsia" w:ascii="仿宋" w:eastAsia="仿宋"/>
          <w:b/>
          <w:bCs/>
          <w:color w:val="auto"/>
          <w:sz w:val="24"/>
          <w:highlight w:val="none"/>
          <w:lang w:eastAsia="zh-CN"/>
        </w:rPr>
        <w:t>中小企业资格认定详见“二、采购文件”中“</w:t>
      </w:r>
      <w:r>
        <w:rPr>
          <w:rFonts w:hint="eastAsia" w:ascii="仿宋" w:eastAsia="仿宋"/>
          <w:b/>
          <w:bCs/>
          <w:color w:val="auto"/>
          <w:sz w:val="24"/>
          <w:highlight w:val="none"/>
        </w:rPr>
        <w:t>3、政府采购政策性规定</w:t>
      </w:r>
      <w:r>
        <w:rPr>
          <w:rFonts w:hint="eastAsia" w:ascii="仿宋" w:eastAsia="仿宋"/>
          <w:b/>
          <w:bCs/>
          <w:color w:val="auto"/>
          <w:sz w:val="24"/>
          <w:highlight w:val="none"/>
          <w:lang w:eastAsia="zh-CN"/>
        </w:rPr>
        <w:t>”。</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pPr>
        <w:pStyle w:val="19"/>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pPr>
        <w:pStyle w:val="19"/>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6.18供应商违反政府采购政策性规定；</w:t>
      </w:r>
    </w:p>
    <w:p>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6.19违反法律、法规及本采购文件规定的其他无效投标情形。</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pPr>
        <w:widowControl/>
        <w:snapToGrid w:val="0"/>
        <w:spacing w:line="480" w:lineRule="exact"/>
        <w:ind w:firstLine="488"/>
        <w:rPr>
          <w:rFonts w:hint="eastAsia"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hint="eastAsia" w:ascii="仿宋" w:eastAsia="仿宋"/>
          <w:color w:val="auto"/>
          <w:kern w:val="0"/>
          <w:sz w:val="24"/>
          <w:highlight w:val="none"/>
        </w:rPr>
      </w:pPr>
    </w:p>
    <w:p>
      <w:pPr>
        <w:pStyle w:val="4"/>
        <w:spacing w:line="415" w:lineRule="auto"/>
        <w:jc w:val="center"/>
        <w:rPr>
          <w:rFonts w:hint="eastAsia" w:ascii="仿宋"/>
          <w:color w:val="auto"/>
          <w:highlight w:val="none"/>
        </w:rPr>
      </w:pPr>
      <w:bookmarkStart w:id="39" w:name="_Toc1753"/>
      <w:r>
        <w:rPr>
          <w:rFonts w:hint="eastAsia" w:ascii="仿宋"/>
          <w:color w:val="auto"/>
          <w:highlight w:val="none"/>
        </w:rPr>
        <w:t>五、合同签订及履约</w:t>
      </w:r>
      <w:bookmarkEnd w:id="39"/>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2.2供应商在履行完合同约定事项后，采购人应及时退还履约保证金。采购人验收不合格的，不予退还履约保证金。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pPr>
        <w:widowControl/>
        <w:snapToGrid w:val="0"/>
        <w:spacing w:line="480" w:lineRule="exact"/>
        <w:rPr>
          <w:rFonts w:hint="eastAsia" w:ascii="仿宋" w:eastAsia="仿宋"/>
          <w:color w:val="auto"/>
          <w:kern w:val="0"/>
          <w:sz w:val="24"/>
          <w:highlight w:val="none"/>
        </w:rPr>
      </w:pPr>
    </w:p>
    <w:p>
      <w:pPr>
        <w:pStyle w:val="3"/>
        <w:jc w:val="center"/>
        <w:rPr>
          <w:rFonts w:hint="eastAsia" w:ascii="仿宋"/>
          <w:color w:val="auto"/>
          <w:highlight w:val="none"/>
        </w:rPr>
      </w:pPr>
      <w:bookmarkStart w:id="40" w:name="_Toc3442"/>
    </w:p>
    <w:p>
      <w:pPr>
        <w:pStyle w:val="3"/>
        <w:jc w:val="center"/>
        <w:rPr>
          <w:rFonts w:hint="eastAsia" w:ascii="仿宋"/>
          <w:color w:val="auto"/>
          <w:highlight w:val="none"/>
        </w:rPr>
      </w:pPr>
    </w:p>
    <w:p>
      <w:pPr>
        <w:pStyle w:val="3"/>
        <w:jc w:val="center"/>
        <w:rPr>
          <w:rFonts w:hint="eastAsia" w:ascii="仿宋"/>
          <w:color w:val="auto"/>
          <w:highlight w:val="none"/>
        </w:rPr>
      </w:pPr>
    </w:p>
    <w:p>
      <w:pPr>
        <w:rPr>
          <w:rFonts w:hint="eastAsia"/>
          <w:color w:val="auto"/>
          <w:highlight w:val="none"/>
        </w:rPr>
      </w:pPr>
    </w:p>
    <w:p>
      <w:pPr>
        <w:pStyle w:val="3"/>
        <w:jc w:val="center"/>
        <w:rPr>
          <w:rFonts w:hint="eastAsia" w:ascii="仿宋"/>
          <w:color w:val="auto"/>
          <w:highlight w:val="none"/>
        </w:rPr>
      </w:pPr>
    </w:p>
    <w:p>
      <w:pPr>
        <w:pStyle w:val="3"/>
        <w:jc w:val="center"/>
        <w:rPr>
          <w:rFonts w:hint="eastAsia" w:ascii="仿宋"/>
          <w:color w:val="auto"/>
          <w:highlight w:val="none"/>
        </w:rPr>
      </w:pPr>
    </w:p>
    <w:p>
      <w:pPr>
        <w:pStyle w:val="3"/>
        <w:jc w:val="center"/>
        <w:rPr>
          <w:rFonts w:hint="eastAsia" w:ascii="仿宋"/>
          <w:color w:val="auto"/>
          <w:highlight w:val="none"/>
        </w:rPr>
      </w:pPr>
    </w:p>
    <w:p>
      <w:pPr>
        <w:rPr>
          <w:rFonts w:hint="eastAsia"/>
          <w:color w:val="auto"/>
          <w:highlight w:val="none"/>
        </w:rPr>
      </w:pPr>
    </w:p>
    <w:p>
      <w:pPr>
        <w:pStyle w:val="3"/>
        <w:jc w:val="center"/>
        <w:rPr>
          <w:rFonts w:hint="eastAsia" w:ascii="仿宋"/>
          <w:color w:val="auto"/>
          <w:highlight w:val="none"/>
        </w:rPr>
      </w:pPr>
    </w:p>
    <w:p>
      <w:pPr>
        <w:rPr>
          <w:rFonts w:hint="eastAsia"/>
          <w:color w:val="auto"/>
          <w:highlight w:val="none"/>
        </w:rPr>
      </w:pPr>
    </w:p>
    <w:p>
      <w:pPr>
        <w:pStyle w:val="3"/>
        <w:jc w:val="center"/>
        <w:rPr>
          <w:rFonts w:hint="eastAsia" w:ascii="仿宋"/>
          <w:color w:val="auto"/>
          <w:highlight w:val="none"/>
        </w:rPr>
      </w:pPr>
      <w:r>
        <w:rPr>
          <w:rFonts w:hint="eastAsia" w:ascii="仿宋"/>
          <w:color w:val="auto"/>
          <w:highlight w:val="none"/>
        </w:rPr>
        <w:t>第三章  采购需求</w:t>
      </w:r>
      <w:bookmarkEnd w:id="40"/>
    </w:p>
    <w:p>
      <w:pPr>
        <w:pStyle w:val="4"/>
        <w:keepNext/>
        <w:keepLines/>
        <w:pageBreakBefore w:val="0"/>
        <w:widowControl w:val="0"/>
        <w:suppressLineNumbers w:val="0"/>
        <w:suppressAutoHyphens w:val="0"/>
        <w:spacing w:line="415" w:lineRule="auto"/>
        <w:rPr>
          <w:rFonts w:hint="eastAsia" w:ascii="仿宋"/>
          <w:color w:val="auto"/>
          <w:highlight w:val="none"/>
        </w:rPr>
      </w:pPr>
      <w:bookmarkStart w:id="41" w:name="_Toc29517"/>
      <w:r>
        <w:rPr>
          <w:rFonts w:hint="eastAsia" w:ascii="仿宋"/>
          <w:color w:val="auto"/>
          <w:highlight w:val="none"/>
        </w:rPr>
        <w:t>一、服务清单及要求</w:t>
      </w:r>
      <w:bookmarkEnd w:id="41"/>
    </w:p>
    <w:p>
      <w:pPr>
        <w:spacing w:line="440" w:lineRule="exact"/>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val="en-US" w:eastAsia="zh-CN"/>
        </w:rPr>
        <w:t>1.1</w:t>
      </w:r>
      <w:r>
        <w:rPr>
          <w:rFonts w:hint="eastAsia" w:ascii="仿宋" w:hAnsi="仿宋" w:eastAsia="仿宋" w:cs="仿宋"/>
          <w:b/>
          <w:bCs/>
          <w:color w:val="auto"/>
          <w:kern w:val="0"/>
          <w:sz w:val="24"/>
          <w:highlight w:val="none"/>
        </w:rPr>
        <w:t>项目名称：</w:t>
      </w:r>
    </w:p>
    <w:p>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灵芝街道2023年度街道食堂管理服务外包</w:t>
      </w:r>
      <w:r>
        <w:rPr>
          <w:rFonts w:hint="eastAsia" w:ascii="仿宋" w:hAnsi="仿宋" w:eastAsia="仿宋" w:cs="仿宋"/>
          <w:color w:val="auto"/>
          <w:sz w:val="24"/>
          <w:highlight w:val="none"/>
        </w:rPr>
        <w:t>项目</w:t>
      </w:r>
    </w:p>
    <w:p>
      <w:pPr>
        <w:spacing w:line="440" w:lineRule="exact"/>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val="en-US" w:eastAsia="zh-CN"/>
        </w:rPr>
        <w:t>1.2</w:t>
      </w:r>
      <w:r>
        <w:rPr>
          <w:rFonts w:hint="eastAsia" w:ascii="仿宋" w:hAnsi="仿宋" w:eastAsia="仿宋" w:cs="仿宋"/>
          <w:b/>
          <w:bCs/>
          <w:color w:val="auto"/>
          <w:kern w:val="0"/>
          <w:sz w:val="24"/>
          <w:highlight w:val="none"/>
        </w:rPr>
        <w:t>基本情况：</w:t>
      </w:r>
    </w:p>
    <w:p>
      <w:pPr>
        <w:spacing w:line="44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绍兴市越城区灵芝街道办事处位于张市路</w:t>
      </w:r>
      <w:r>
        <w:rPr>
          <w:rFonts w:hint="eastAsia" w:ascii="仿宋" w:hAnsi="仿宋" w:eastAsia="仿宋" w:cs="仿宋"/>
          <w:color w:val="auto"/>
          <w:sz w:val="24"/>
          <w:highlight w:val="none"/>
          <w:lang w:val="en-US" w:eastAsia="zh-CN"/>
        </w:rPr>
        <w:t>38号</w:t>
      </w:r>
      <w:r>
        <w:rPr>
          <w:rFonts w:hint="eastAsia" w:ascii="仿宋" w:hAnsi="仿宋" w:eastAsia="仿宋" w:cs="仿宋"/>
          <w:color w:val="auto"/>
          <w:sz w:val="24"/>
          <w:highlight w:val="none"/>
          <w:lang w:eastAsia="zh-CN"/>
        </w:rPr>
        <w:t>，西区食堂位于</w:t>
      </w:r>
      <w:r>
        <w:rPr>
          <w:rFonts w:hint="eastAsia" w:ascii="仿宋" w:hAnsi="仿宋" w:eastAsia="仿宋" w:cs="仿宋"/>
          <w:color w:val="auto"/>
          <w:sz w:val="24"/>
          <w:highlight w:val="none"/>
          <w:u w:val="single"/>
          <w:lang w:val="en-US" w:eastAsia="zh-CN"/>
        </w:rPr>
        <w:t>越城区洋江西路1399号（张市村委旁）</w:t>
      </w:r>
      <w:r>
        <w:rPr>
          <w:rFonts w:hint="eastAsia" w:ascii="仿宋" w:hAnsi="仿宋" w:eastAsia="仿宋" w:cs="仿宋"/>
          <w:color w:val="auto"/>
          <w:sz w:val="24"/>
          <w:highlight w:val="none"/>
          <w:lang w:eastAsia="zh-CN"/>
        </w:rPr>
        <w:t>，200人左右就餐；东区食堂位于</w:t>
      </w:r>
      <w:r>
        <w:rPr>
          <w:rFonts w:hint="eastAsia" w:ascii="仿宋" w:hAnsi="仿宋" w:eastAsia="仿宋" w:cs="仿宋"/>
          <w:color w:val="auto"/>
          <w:sz w:val="24"/>
          <w:highlight w:val="none"/>
          <w:u w:val="single"/>
          <w:lang w:val="en-US" w:eastAsia="zh-CN"/>
        </w:rPr>
        <w:t>越城区解放大道649号北辰商务大厦23楼</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lang w:eastAsia="zh-CN"/>
        </w:rPr>
        <w:t>人左右就餐。食堂每日所需物料由采购单位指定单位统一配送。销售菜品菜价由采购单位核定。</w:t>
      </w:r>
    </w:p>
    <w:p>
      <w:pPr>
        <w:spacing w:line="440" w:lineRule="exact"/>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val="en-US" w:eastAsia="zh-CN"/>
        </w:rPr>
        <w:t>1.3</w:t>
      </w:r>
      <w:r>
        <w:rPr>
          <w:rFonts w:hint="eastAsia" w:ascii="仿宋" w:hAnsi="仿宋" w:eastAsia="仿宋" w:cs="仿宋"/>
          <w:b/>
          <w:bCs/>
          <w:color w:val="auto"/>
          <w:kern w:val="0"/>
          <w:sz w:val="24"/>
          <w:highlight w:val="none"/>
        </w:rPr>
        <w:t>服务</w:t>
      </w:r>
      <w:r>
        <w:rPr>
          <w:rFonts w:hint="eastAsia" w:ascii="仿宋" w:hAnsi="仿宋" w:eastAsia="仿宋" w:cs="仿宋"/>
          <w:b/>
          <w:bCs/>
          <w:color w:val="auto"/>
          <w:kern w:val="0"/>
          <w:sz w:val="24"/>
          <w:highlight w:val="none"/>
          <w:lang w:eastAsia="zh-CN"/>
        </w:rPr>
        <w:t>内容</w:t>
      </w:r>
      <w:r>
        <w:rPr>
          <w:rFonts w:hint="eastAsia" w:ascii="仿宋" w:hAnsi="仿宋" w:eastAsia="仿宋" w:cs="仿宋"/>
          <w:b/>
          <w:bCs/>
          <w:color w:val="auto"/>
          <w:kern w:val="0"/>
          <w:sz w:val="24"/>
          <w:highlight w:val="none"/>
        </w:rPr>
        <w:t>：</w:t>
      </w:r>
    </w:p>
    <w:p>
      <w:pPr>
        <w:spacing w:line="44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餐厅功能：绍兴市越城区灵芝街道办事处食堂</w:t>
      </w:r>
      <w:r>
        <w:rPr>
          <w:rFonts w:hint="eastAsia" w:ascii="仿宋" w:hAnsi="仿宋" w:eastAsia="仿宋" w:cs="仿宋"/>
          <w:color w:val="auto"/>
          <w:sz w:val="24"/>
          <w:highlight w:val="none"/>
          <w:lang w:val="en-US" w:eastAsia="zh-CN"/>
        </w:rPr>
        <w:t>全年工作日（包括双休日及法定节假日）</w:t>
      </w:r>
      <w:r>
        <w:rPr>
          <w:rFonts w:hint="eastAsia" w:ascii="仿宋" w:hAnsi="仿宋" w:eastAsia="仿宋" w:cs="仿宋"/>
          <w:color w:val="auto"/>
          <w:sz w:val="24"/>
          <w:highlight w:val="none"/>
          <w:lang w:eastAsia="zh-CN"/>
        </w:rPr>
        <w:t>提供早、中、晚3餐，以快餐或自助餐形式为主。根据实际情况，待条件成熟，适时推出炒菜、外卖盒饭和净菜供应等。如遇如防汛抗台、响应备勤等特殊情况，食堂需</w:t>
      </w:r>
      <w:r>
        <w:rPr>
          <w:rFonts w:hint="eastAsia" w:ascii="仿宋" w:hAnsi="仿宋" w:eastAsia="仿宋" w:cs="仿宋"/>
          <w:color w:val="auto"/>
          <w:sz w:val="24"/>
          <w:highlight w:val="none"/>
          <w:lang w:val="en-US" w:eastAsia="zh-CN"/>
        </w:rPr>
        <w:t>24小时轮班待命</w:t>
      </w:r>
      <w:r>
        <w:rPr>
          <w:rFonts w:hint="eastAsia" w:ascii="仿宋" w:hAnsi="仿宋" w:eastAsia="仿宋" w:cs="仿宋"/>
          <w:color w:val="auto"/>
          <w:sz w:val="24"/>
          <w:highlight w:val="none"/>
          <w:lang w:eastAsia="zh-CN"/>
        </w:rPr>
        <w:t>。</w:t>
      </w:r>
    </w:p>
    <w:p>
      <w:pPr>
        <w:spacing w:line="44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供餐时间：(每年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月起至次年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月止，具体时间等待区级部门通知)早上7:20—8:2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lang w:eastAsia="zh-CN"/>
        </w:rPr>
        <w:t>；中餐</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lang w:eastAsia="zh-CN"/>
        </w:rPr>
        <w:t>—13:00；晚餐：17:00—18:00。（每年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月起至9月止，具体时间等待区级部门通知）早上7:20—8:25；中餐</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lang w:eastAsia="zh-CN"/>
        </w:rPr>
        <w:t>—13:00；晚餐：17:30—18:30。如有变化，要根据实际</w:t>
      </w:r>
      <w:r>
        <w:rPr>
          <w:rFonts w:hint="eastAsia" w:ascii="仿宋" w:hAnsi="仿宋" w:eastAsia="仿宋" w:cs="仿宋"/>
          <w:color w:val="auto"/>
          <w:sz w:val="24"/>
          <w:highlight w:val="none"/>
          <w:lang w:val="en-US" w:eastAsia="zh-CN"/>
        </w:rPr>
        <w:t>变动</w:t>
      </w:r>
      <w:r>
        <w:rPr>
          <w:rFonts w:hint="eastAsia" w:ascii="仿宋" w:hAnsi="仿宋" w:eastAsia="仿宋" w:cs="仿宋"/>
          <w:color w:val="auto"/>
          <w:sz w:val="24"/>
          <w:highlight w:val="none"/>
          <w:lang w:eastAsia="zh-CN"/>
        </w:rPr>
        <w:t>。</w:t>
      </w:r>
    </w:p>
    <w:p>
      <w:pPr>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人员服务：保证正常供餐的工作，西区食堂工作人员配置</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人（包括厨师长（兼负责人）1名、副厨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名、面点师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名、窗口服务员</w:t>
      </w:r>
      <w:r>
        <w:rPr>
          <w:rFonts w:hint="eastAsia" w:ascii="仿宋" w:hAnsi="仿宋" w:eastAsia="仿宋" w:cs="仿宋"/>
          <w:color w:val="auto"/>
          <w:sz w:val="24"/>
          <w:highlight w:val="none"/>
          <w:lang w:val="en-US" w:eastAsia="zh-CN"/>
        </w:rPr>
        <w:t>3名、</w:t>
      </w:r>
      <w:r>
        <w:rPr>
          <w:rFonts w:hint="eastAsia" w:ascii="仿宋" w:hAnsi="仿宋" w:eastAsia="仿宋" w:cs="仿宋"/>
          <w:color w:val="auto"/>
          <w:sz w:val="24"/>
          <w:highlight w:val="none"/>
          <w:lang w:eastAsia="zh-CN"/>
        </w:rPr>
        <w:t>洗菜帮工</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名）；东区食堂配置</w:t>
      </w:r>
      <w:r>
        <w:rPr>
          <w:rFonts w:hint="eastAsia" w:ascii="仿宋" w:hAnsi="仿宋" w:eastAsia="仿宋" w:cs="仿宋"/>
          <w:color w:val="auto"/>
          <w:sz w:val="24"/>
          <w:highlight w:val="none"/>
          <w:lang w:val="en-US" w:eastAsia="zh-CN"/>
        </w:rPr>
        <w:t>5人（包括主厨1名、面点师1名、窗口服务员2名、洗菜帮工1名），东、西。</w:t>
      </w:r>
    </w:p>
    <w:p>
      <w:pPr>
        <w:spacing w:line="440" w:lineRule="exact"/>
        <w:jc w:val="left"/>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4、最低工资保证：</w:t>
      </w:r>
      <w:r>
        <w:rPr>
          <w:rFonts w:hint="eastAsia" w:ascii="仿宋" w:hAnsi="仿宋" w:eastAsia="仿宋" w:cs="仿宋"/>
          <w:b/>
          <w:bCs/>
          <w:color w:val="auto"/>
          <w:highlight w:val="none"/>
        </w:rPr>
        <w:t xml:space="preserve">                                 </w:t>
      </w:r>
    </w:p>
    <w:tbl>
      <w:tblPr>
        <w:tblStyle w:val="30"/>
        <w:tblW w:w="4998" w:type="pct"/>
        <w:jc w:val="center"/>
        <w:tblLayout w:type="autofit"/>
        <w:tblCellMar>
          <w:top w:w="15" w:type="dxa"/>
          <w:left w:w="15" w:type="dxa"/>
          <w:bottom w:w="15" w:type="dxa"/>
          <w:right w:w="15" w:type="dxa"/>
        </w:tblCellMar>
      </w:tblPr>
      <w:tblGrid>
        <w:gridCol w:w="2703"/>
        <w:gridCol w:w="633"/>
        <w:gridCol w:w="40"/>
        <w:gridCol w:w="1638"/>
        <w:gridCol w:w="1803"/>
        <w:gridCol w:w="1851"/>
      </w:tblGrid>
      <w:tr>
        <w:tblPrEx>
          <w:tblCellMar>
            <w:top w:w="15" w:type="dxa"/>
            <w:left w:w="15" w:type="dxa"/>
            <w:bottom w:w="15" w:type="dxa"/>
            <w:right w:w="15" w:type="dxa"/>
          </w:tblCellMar>
        </w:tblPrEx>
        <w:trPr>
          <w:trHeight w:val="48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241" w:firstLineChars="100"/>
              <w:jc w:val="left"/>
              <w:textAlignment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西区食堂：</w:t>
            </w:r>
          </w:p>
        </w:tc>
      </w:tr>
      <w:tr>
        <w:tblPrEx>
          <w:tblCellMar>
            <w:top w:w="15" w:type="dxa"/>
            <w:left w:w="15" w:type="dxa"/>
            <w:bottom w:w="15" w:type="dxa"/>
            <w:right w:w="15" w:type="dxa"/>
          </w:tblCellMar>
        </w:tblPrEx>
        <w:trPr>
          <w:trHeight w:val="480" w:hRule="atLeast"/>
          <w:jc w:val="center"/>
        </w:trPr>
        <w:tc>
          <w:tcPr>
            <w:tcW w:w="155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项目</w:t>
            </w:r>
          </w:p>
        </w:tc>
        <w:tc>
          <w:tcPr>
            <w:tcW w:w="1333"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金额</w:t>
            </w:r>
          </w:p>
        </w:tc>
        <w:tc>
          <w:tcPr>
            <w:tcW w:w="10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数量</w:t>
            </w:r>
          </w:p>
        </w:tc>
        <w:tc>
          <w:tcPr>
            <w:tcW w:w="10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年工资总额</w:t>
            </w:r>
          </w:p>
          <w:p>
            <w:pPr>
              <w:widowControl/>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元/年</w:t>
            </w:r>
            <w:r>
              <w:rPr>
                <w:rFonts w:hint="eastAsia" w:ascii="仿宋" w:hAnsi="仿宋" w:eastAsia="仿宋" w:cs="仿宋"/>
                <w:b/>
                <w:bCs/>
                <w:color w:val="auto"/>
                <w:kern w:val="0"/>
                <w:sz w:val="24"/>
                <w:szCs w:val="24"/>
                <w:highlight w:val="none"/>
                <w:lang w:eastAsia="zh-CN"/>
              </w:rPr>
              <w:t>）</w:t>
            </w:r>
          </w:p>
        </w:tc>
      </w:tr>
      <w:tr>
        <w:tblPrEx>
          <w:tblCellMar>
            <w:top w:w="15" w:type="dxa"/>
            <w:left w:w="15" w:type="dxa"/>
            <w:bottom w:w="15" w:type="dxa"/>
            <w:right w:w="15" w:type="dxa"/>
          </w:tblCellMar>
        </w:tblPrEx>
        <w:trPr>
          <w:trHeight w:val="90" w:hRule="atLeast"/>
          <w:jc w:val="center"/>
        </w:trPr>
        <w:tc>
          <w:tcPr>
            <w:tcW w:w="155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241" w:firstLineChars="100"/>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1.厨师长</w:t>
            </w:r>
            <w:r>
              <w:rPr>
                <w:rFonts w:hint="eastAsia" w:ascii="仿宋" w:hAnsi="仿宋" w:eastAsia="仿宋" w:cs="仿宋"/>
                <w:b/>
                <w:bCs/>
                <w:color w:val="auto"/>
                <w:kern w:val="0"/>
                <w:sz w:val="24"/>
                <w:szCs w:val="24"/>
                <w:highlight w:val="none"/>
                <w:lang w:eastAsia="zh-CN"/>
              </w:rPr>
              <w:t>（兼负责人）</w:t>
            </w:r>
            <w:r>
              <w:rPr>
                <w:rFonts w:hint="eastAsia" w:ascii="仿宋" w:hAnsi="仿宋" w:eastAsia="仿宋" w:cs="仿宋"/>
                <w:b/>
                <w:bCs/>
                <w:color w:val="auto"/>
                <w:kern w:val="0"/>
                <w:sz w:val="24"/>
                <w:szCs w:val="24"/>
                <w:highlight w:val="none"/>
              </w:rPr>
              <w:t>：</w:t>
            </w:r>
          </w:p>
        </w:tc>
        <w:tc>
          <w:tcPr>
            <w:tcW w:w="365" w:type="pct"/>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工资</w:t>
            </w:r>
          </w:p>
        </w:tc>
        <w:tc>
          <w:tcPr>
            <w:tcW w:w="967"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7500</w:t>
            </w:r>
            <w:r>
              <w:rPr>
                <w:rFonts w:hint="eastAsia" w:ascii="仿宋" w:hAnsi="仿宋" w:eastAsia="仿宋" w:cs="仿宋"/>
                <w:color w:val="auto"/>
                <w:sz w:val="24"/>
                <w:szCs w:val="24"/>
                <w:highlight w:val="none"/>
              </w:rPr>
              <w:t>元/月</w:t>
            </w:r>
          </w:p>
        </w:tc>
        <w:tc>
          <w:tcPr>
            <w:tcW w:w="10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1人</w:t>
            </w:r>
          </w:p>
        </w:tc>
        <w:tc>
          <w:tcPr>
            <w:tcW w:w="10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90000</w:t>
            </w:r>
          </w:p>
        </w:tc>
      </w:tr>
      <w:tr>
        <w:tblPrEx>
          <w:tblCellMar>
            <w:top w:w="15" w:type="dxa"/>
            <w:left w:w="15" w:type="dxa"/>
            <w:bottom w:w="15" w:type="dxa"/>
            <w:right w:w="15" w:type="dxa"/>
          </w:tblCellMar>
        </w:tblPrEx>
        <w:trPr>
          <w:trHeight w:val="90" w:hRule="atLeast"/>
          <w:jc w:val="center"/>
        </w:trPr>
        <w:tc>
          <w:tcPr>
            <w:tcW w:w="155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241" w:firstLineChars="100"/>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w:t>
            </w:r>
            <w:r>
              <w:rPr>
                <w:rFonts w:hint="eastAsia" w:ascii="仿宋" w:hAnsi="仿宋" w:eastAsia="仿宋" w:cs="仿宋"/>
                <w:b/>
                <w:bCs/>
                <w:color w:val="auto"/>
                <w:kern w:val="0"/>
                <w:sz w:val="24"/>
                <w:szCs w:val="24"/>
                <w:highlight w:val="none"/>
                <w:lang w:eastAsia="zh-CN"/>
              </w:rPr>
              <w:t>副厨</w:t>
            </w:r>
            <w:r>
              <w:rPr>
                <w:rFonts w:hint="eastAsia" w:ascii="仿宋" w:hAnsi="仿宋" w:eastAsia="仿宋" w:cs="仿宋"/>
                <w:b/>
                <w:bCs/>
                <w:color w:val="auto"/>
                <w:kern w:val="0"/>
                <w:sz w:val="24"/>
                <w:szCs w:val="24"/>
                <w:highlight w:val="none"/>
              </w:rPr>
              <w:t>：</w:t>
            </w:r>
          </w:p>
        </w:tc>
        <w:tc>
          <w:tcPr>
            <w:tcW w:w="365" w:type="pct"/>
            <w:vMerge w:val="continue"/>
            <w:tcBorders>
              <w:left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rPr>
            </w:pPr>
          </w:p>
        </w:tc>
        <w:tc>
          <w:tcPr>
            <w:tcW w:w="967" w:type="pct"/>
            <w:gridSpan w:val="2"/>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6500</w:t>
            </w:r>
            <w:r>
              <w:rPr>
                <w:rFonts w:hint="eastAsia" w:ascii="仿宋" w:hAnsi="仿宋" w:eastAsia="仿宋" w:cs="仿宋"/>
                <w:color w:val="auto"/>
                <w:kern w:val="0"/>
                <w:sz w:val="24"/>
                <w:szCs w:val="24"/>
                <w:highlight w:val="none"/>
              </w:rPr>
              <w:t>元/月</w:t>
            </w:r>
          </w:p>
        </w:tc>
        <w:tc>
          <w:tcPr>
            <w:tcW w:w="10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1人</w:t>
            </w:r>
          </w:p>
        </w:tc>
        <w:tc>
          <w:tcPr>
            <w:tcW w:w="10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78000</w:t>
            </w:r>
          </w:p>
        </w:tc>
      </w:tr>
      <w:tr>
        <w:tblPrEx>
          <w:tblCellMar>
            <w:top w:w="15" w:type="dxa"/>
            <w:left w:w="15" w:type="dxa"/>
            <w:bottom w:w="15" w:type="dxa"/>
            <w:right w:w="15" w:type="dxa"/>
          </w:tblCellMar>
        </w:tblPrEx>
        <w:trPr>
          <w:trHeight w:val="90" w:hRule="atLeast"/>
          <w:jc w:val="center"/>
        </w:trPr>
        <w:tc>
          <w:tcPr>
            <w:tcW w:w="155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241" w:firstLineChars="100"/>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.面点师：</w:t>
            </w:r>
          </w:p>
        </w:tc>
        <w:tc>
          <w:tcPr>
            <w:tcW w:w="365" w:type="pct"/>
            <w:vMerge w:val="continue"/>
            <w:tcBorders>
              <w:left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rPr>
            </w:pPr>
          </w:p>
        </w:tc>
        <w:tc>
          <w:tcPr>
            <w:tcW w:w="967" w:type="pct"/>
            <w:gridSpan w:val="2"/>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5000</w:t>
            </w:r>
            <w:r>
              <w:rPr>
                <w:rFonts w:hint="eastAsia" w:ascii="仿宋" w:hAnsi="仿宋" w:eastAsia="仿宋" w:cs="仿宋"/>
                <w:color w:val="auto"/>
                <w:kern w:val="0"/>
                <w:sz w:val="24"/>
                <w:szCs w:val="24"/>
                <w:highlight w:val="none"/>
              </w:rPr>
              <w:t>元/月</w:t>
            </w:r>
          </w:p>
        </w:tc>
        <w:tc>
          <w:tcPr>
            <w:tcW w:w="10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2人</w:t>
            </w:r>
          </w:p>
        </w:tc>
        <w:tc>
          <w:tcPr>
            <w:tcW w:w="10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120000</w:t>
            </w:r>
          </w:p>
        </w:tc>
      </w:tr>
      <w:tr>
        <w:tblPrEx>
          <w:tblCellMar>
            <w:top w:w="15" w:type="dxa"/>
            <w:left w:w="15" w:type="dxa"/>
            <w:bottom w:w="15" w:type="dxa"/>
            <w:right w:w="15" w:type="dxa"/>
          </w:tblCellMar>
        </w:tblPrEx>
        <w:trPr>
          <w:trHeight w:val="480" w:hRule="atLeast"/>
          <w:jc w:val="center"/>
        </w:trPr>
        <w:tc>
          <w:tcPr>
            <w:tcW w:w="155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241" w:firstLineChars="100"/>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eastAsia="zh-CN"/>
              </w:rPr>
              <w:t>窗口服务员</w:t>
            </w:r>
            <w:r>
              <w:rPr>
                <w:rFonts w:hint="eastAsia" w:ascii="仿宋" w:hAnsi="仿宋" w:eastAsia="仿宋" w:cs="仿宋"/>
                <w:b/>
                <w:bCs/>
                <w:color w:val="auto"/>
                <w:kern w:val="0"/>
                <w:sz w:val="24"/>
                <w:szCs w:val="24"/>
                <w:highlight w:val="none"/>
              </w:rPr>
              <w:t>：</w:t>
            </w:r>
          </w:p>
        </w:tc>
        <w:tc>
          <w:tcPr>
            <w:tcW w:w="365" w:type="pct"/>
            <w:vMerge w:val="continue"/>
            <w:tcBorders>
              <w:left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p>
        </w:tc>
        <w:tc>
          <w:tcPr>
            <w:tcW w:w="967" w:type="pct"/>
            <w:gridSpan w:val="2"/>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4000</w:t>
            </w:r>
            <w:r>
              <w:rPr>
                <w:rFonts w:hint="eastAsia" w:ascii="仿宋" w:hAnsi="仿宋" w:eastAsia="仿宋" w:cs="仿宋"/>
                <w:color w:val="auto"/>
                <w:kern w:val="0"/>
                <w:sz w:val="24"/>
                <w:szCs w:val="24"/>
                <w:highlight w:val="none"/>
              </w:rPr>
              <w:t>元/月</w:t>
            </w:r>
          </w:p>
        </w:tc>
        <w:tc>
          <w:tcPr>
            <w:tcW w:w="10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人</w:t>
            </w:r>
          </w:p>
        </w:tc>
        <w:tc>
          <w:tcPr>
            <w:tcW w:w="10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144000</w:t>
            </w:r>
          </w:p>
        </w:tc>
      </w:tr>
      <w:tr>
        <w:tblPrEx>
          <w:tblCellMar>
            <w:top w:w="15" w:type="dxa"/>
            <w:left w:w="15" w:type="dxa"/>
            <w:bottom w:w="15" w:type="dxa"/>
            <w:right w:w="15" w:type="dxa"/>
          </w:tblCellMar>
        </w:tblPrEx>
        <w:trPr>
          <w:trHeight w:val="480" w:hRule="atLeast"/>
          <w:jc w:val="center"/>
        </w:trPr>
        <w:tc>
          <w:tcPr>
            <w:tcW w:w="155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241" w:firstLineChars="100"/>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eastAsia="zh-CN"/>
              </w:rPr>
              <w:t>洗菜帮工</w:t>
            </w:r>
            <w:r>
              <w:rPr>
                <w:rFonts w:hint="eastAsia" w:ascii="仿宋" w:hAnsi="仿宋" w:eastAsia="仿宋" w:cs="仿宋"/>
                <w:b/>
                <w:bCs/>
                <w:color w:val="auto"/>
                <w:kern w:val="0"/>
                <w:sz w:val="24"/>
                <w:szCs w:val="24"/>
                <w:highlight w:val="none"/>
              </w:rPr>
              <w:t>：</w:t>
            </w:r>
          </w:p>
        </w:tc>
        <w:tc>
          <w:tcPr>
            <w:tcW w:w="365" w:type="pct"/>
            <w:vMerge w:val="continue"/>
            <w:tcBorders>
              <w:left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rPr>
            </w:pPr>
          </w:p>
        </w:tc>
        <w:tc>
          <w:tcPr>
            <w:tcW w:w="967" w:type="pct"/>
            <w:gridSpan w:val="2"/>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3200</w:t>
            </w:r>
            <w:r>
              <w:rPr>
                <w:rFonts w:hint="eastAsia" w:ascii="仿宋" w:hAnsi="仿宋" w:eastAsia="仿宋" w:cs="仿宋"/>
                <w:color w:val="auto"/>
                <w:kern w:val="0"/>
                <w:sz w:val="24"/>
                <w:szCs w:val="24"/>
                <w:highlight w:val="none"/>
              </w:rPr>
              <w:t>元/月</w:t>
            </w:r>
          </w:p>
        </w:tc>
        <w:tc>
          <w:tcPr>
            <w:tcW w:w="10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人</w:t>
            </w:r>
          </w:p>
        </w:tc>
        <w:tc>
          <w:tcPr>
            <w:tcW w:w="10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115200</w:t>
            </w:r>
          </w:p>
        </w:tc>
      </w:tr>
      <w:tr>
        <w:tblPrEx>
          <w:tblCellMar>
            <w:top w:w="15" w:type="dxa"/>
            <w:left w:w="15" w:type="dxa"/>
            <w:bottom w:w="15" w:type="dxa"/>
            <w:right w:w="15" w:type="dxa"/>
          </w:tblCellMar>
        </w:tblPrEx>
        <w:trPr>
          <w:trHeight w:val="480" w:hRule="atLeast"/>
          <w:jc w:val="center"/>
        </w:trPr>
        <w:tc>
          <w:tcPr>
            <w:tcW w:w="155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社会保险</w:t>
            </w:r>
          </w:p>
        </w:tc>
        <w:tc>
          <w:tcPr>
            <w:tcW w:w="1333"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800</w:t>
            </w:r>
            <w:r>
              <w:rPr>
                <w:rFonts w:hint="eastAsia" w:ascii="仿宋" w:hAnsi="仿宋" w:eastAsia="仿宋" w:cs="仿宋"/>
                <w:color w:val="auto"/>
                <w:kern w:val="0"/>
                <w:sz w:val="24"/>
                <w:szCs w:val="24"/>
                <w:highlight w:val="none"/>
              </w:rPr>
              <w:t>元/月</w:t>
            </w:r>
          </w:p>
        </w:tc>
        <w:tc>
          <w:tcPr>
            <w:tcW w:w="10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人</w:t>
            </w:r>
          </w:p>
        </w:tc>
        <w:tc>
          <w:tcPr>
            <w:tcW w:w="10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96000</w:t>
            </w:r>
          </w:p>
        </w:tc>
      </w:tr>
      <w:tr>
        <w:tblPrEx>
          <w:tblCellMar>
            <w:top w:w="15" w:type="dxa"/>
            <w:left w:w="15" w:type="dxa"/>
            <w:bottom w:w="15" w:type="dxa"/>
            <w:right w:w="15" w:type="dxa"/>
          </w:tblCellMar>
        </w:tblPrEx>
        <w:trPr>
          <w:trHeight w:val="480" w:hRule="atLeast"/>
          <w:jc w:val="center"/>
        </w:trPr>
        <w:tc>
          <w:tcPr>
            <w:tcW w:w="155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福利</w:t>
            </w:r>
          </w:p>
        </w:tc>
        <w:tc>
          <w:tcPr>
            <w:tcW w:w="1333"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600元/人/年</w:t>
            </w:r>
          </w:p>
        </w:tc>
        <w:tc>
          <w:tcPr>
            <w:tcW w:w="10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10人</w:t>
            </w:r>
          </w:p>
        </w:tc>
        <w:tc>
          <w:tcPr>
            <w:tcW w:w="10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6000</w:t>
            </w:r>
          </w:p>
        </w:tc>
      </w:tr>
      <w:tr>
        <w:tblPrEx>
          <w:tblCellMar>
            <w:top w:w="15" w:type="dxa"/>
            <w:left w:w="15" w:type="dxa"/>
            <w:bottom w:w="15" w:type="dxa"/>
            <w:right w:w="15" w:type="dxa"/>
          </w:tblCellMar>
        </w:tblPrEx>
        <w:trPr>
          <w:trHeight w:val="480" w:hRule="atLeast"/>
          <w:jc w:val="center"/>
        </w:trPr>
        <w:tc>
          <w:tcPr>
            <w:tcW w:w="155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服装</w:t>
            </w:r>
          </w:p>
        </w:tc>
        <w:tc>
          <w:tcPr>
            <w:tcW w:w="1333"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500元/人/年</w:t>
            </w:r>
          </w:p>
        </w:tc>
        <w:tc>
          <w:tcPr>
            <w:tcW w:w="10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10人</w:t>
            </w:r>
          </w:p>
        </w:tc>
        <w:tc>
          <w:tcPr>
            <w:tcW w:w="10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5000</w:t>
            </w:r>
          </w:p>
        </w:tc>
      </w:tr>
      <w:tr>
        <w:tblPrEx>
          <w:tblCellMar>
            <w:top w:w="15" w:type="dxa"/>
            <w:left w:w="15" w:type="dxa"/>
            <w:bottom w:w="15" w:type="dxa"/>
            <w:right w:w="15" w:type="dxa"/>
          </w:tblCellMar>
        </w:tblPrEx>
        <w:trPr>
          <w:trHeight w:val="48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2" w:firstLineChars="200"/>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eastAsia="zh-CN"/>
              </w:rPr>
              <w:t xml:space="preserve">东区食堂： </w:t>
            </w:r>
          </w:p>
        </w:tc>
      </w:tr>
      <w:tr>
        <w:tblPrEx>
          <w:tblCellMar>
            <w:top w:w="15" w:type="dxa"/>
            <w:left w:w="15" w:type="dxa"/>
            <w:bottom w:w="15" w:type="dxa"/>
            <w:right w:w="15" w:type="dxa"/>
          </w:tblCellMar>
        </w:tblPrEx>
        <w:trPr>
          <w:trHeight w:val="480" w:hRule="atLeast"/>
          <w:jc w:val="center"/>
        </w:trPr>
        <w:tc>
          <w:tcPr>
            <w:tcW w:w="155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241" w:firstLineChars="100"/>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1.</w:t>
            </w:r>
            <w:r>
              <w:rPr>
                <w:rFonts w:hint="eastAsia" w:ascii="仿宋" w:hAnsi="仿宋" w:eastAsia="仿宋" w:cs="仿宋"/>
                <w:b/>
                <w:bCs/>
                <w:color w:val="auto"/>
                <w:kern w:val="0"/>
                <w:sz w:val="24"/>
                <w:szCs w:val="24"/>
                <w:highlight w:val="none"/>
                <w:lang w:eastAsia="zh-CN"/>
              </w:rPr>
              <w:t>主厨</w:t>
            </w:r>
            <w:r>
              <w:rPr>
                <w:rFonts w:hint="eastAsia" w:ascii="仿宋" w:hAnsi="仿宋" w:eastAsia="仿宋" w:cs="仿宋"/>
                <w:b/>
                <w:bCs/>
                <w:color w:val="auto"/>
                <w:kern w:val="0"/>
                <w:sz w:val="24"/>
                <w:szCs w:val="24"/>
                <w:highlight w:val="none"/>
              </w:rPr>
              <w:t>：</w:t>
            </w:r>
          </w:p>
        </w:tc>
        <w:tc>
          <w:tcPr>
            <w:tcW w:w="388" w:type="pct"/>
            <w:gridSpan w:val="2"/>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工资</w:t>
            </w:r>
          </w:p>
        </w:tc>
        <w:tc>
          <w:tcPr>
            <w:tcW w:w="94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7000</w:t>
            </w:r>
            <w:r>
              <w:rPr>
                <w:rFonts w:hint="eastAsia" w:ascii="仿宋" w:hAnsi="仿宋" w:eastAsia="仿宋" w:cs="仿宋"/>
                <w:color w:val="auto"/>
                <w:sz w:val="24"/>
                <w:szCs w:val="24"/>
                <w:highlight w:val="none"/>
              </w:rPr>
              <w:t>元/月</w:t>
            </w:r>
          </w:p>
        </w:tc>
        <w:tc>
          <w:tcPr>
            <w:tcW w:w="10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1人</w:t>
            </w:r>
          </w:p>
        </w:tc>
        <w:tc>
          <w:tcPr>
            <w:tcW w:w="10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84000</w:t>
            </w:r>
          </w:p>
        </w:tc>
      </w:tr>
      <w:tr>
        <w:tblPrEx>
          <w:tblCellMar>
            <w:top w:w="15" w:type="dxa"/>
            <w:left w:w="15" w:type="dxa"/>
            <w:bottom w:w="15" w:type="dxa"/>
            <w:right w:w="15" w:type="dxa"/>
          </w:tblCellMar>
        </w:tblPrEx>
        <w:trPr>
          <w:trHeight w:val="480" w:hRule="atLeast"/>
          <w:jc w:val="center"/>
        </w:trPr>
        <w:tc>
          <w:tcPr>
            <w:tcW w:w="155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241" w:firstLineChars="100"/>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.面点师：</w:t>
            </w:r>
          </w:p>
        </w:tc>
        <w:tc>
          <w:tcPr>
            <w:tcW w:w="388" w:type="pct"/>
            <w:gridSpan w:val="2"/>
            <w:vMerge w:val="continue"/>
            <w:tcBorders>
              <w:left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sz w:val="24"/>
                <w:szCs w:val="24"/>
                <w:highlight w:val="none"/>
              </w:rPr>
            </w:pPr>
          </w:p>
        </w:tc>
        <w:tc>
          <w:tcPr>
            <w:tcW w:w="94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5000</w:t>
            </w:r>
            <w:r>
              <w:rPr>
                <w:rFonts w:hint="eastAsia" w:ascii="仿宋" w:hAnsi="仿宋" w:eastAsia="仿宋" w:cs="仿宋"/>
                <w:color w:val="auto"/>
                <w:kern w:val="0"/>
                <w:sz w:val="24"/>
                <w:szCs w:val="24"/>
                <w:highlight w:val="none"/>
              </w:rPr>
              <w:t>元/月</w:t>
            </w:r>
          </w:p>
        </w:tc>
        <w:tc>
          <w:tcPr>
            <w:tcW w:w="10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人</w:t>
            </w:r>
          </w:p>
        </w:tc>
        <w:tc>
          <w:tcPr>
            <w:tcW w:w="10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60000</w:t>
            </w:r>
          </w:p>
        </w:tc>
      </w:tr>
      <w:tr>
        <w:tblPrEx>
          <w:tblCellMar>
            <w:top w:w="15" w:type="dxa"/>
            <w:left w:w="15" w:type="dxa"/>
            <w:bottom w:w="15" w:type="dxa"/>
            <w:right w:w="15" w:type="dxa"/>
          </w:tblCellMar>
        </w:tblPrEx>
        <w:trPr>
          <w:trHeight w:val="480" w:hRule="atLeast"/>
          <w:jc w:val="center"/>
        </w:trPr>
        <w:tc>
          <w:tcPr>
            <w:tcW w:w="155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241" w:firstLineChars="100"/>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eastAsia="zh-CN"/>
              </w:rPr>
              <w:t>窗口服务员</w:t>
            </w:r>
            <w:r>
              <w:rPr>
                <w:rFonts w:hint="eastAsia" w:ascii="仿宋" w:hAnsi="仿宋" w:eastAsia="仿宋" w:cs="仿宋"/>
                <w:b/>
                <w:bCs/>
                <w:color w:val="auto"/>
                <w:kern w:val="0"/>
                <w:sz w:val="24"/>
                <w:szCs w:val="24"/>
                <w:highlight w:val="none"/>
              </w:rPr>
              <w:t>：</w:t>
            </w:r>
          </w:p>
        </w:tc>
        <w:tc>
          <w:tcPr>
            <w:tcW w:w="388" w:type="pct"/>
            <w:gridSpan w:val="2"/>
            <w:vMerge w:val="continue"/>
            <w:tcBorders>
              <w:left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rPr>
            </w:pPr>
          </w:p>
        </w:tc>
        <w:tc>
          <w:tcPr>
            <w:tcW w:w="94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4000</w:t>
            </w:r>
            <w:r>
              <w:rPr>
                <w:rFonts w:hint="eastAsia" w:ascii="仿宋" w:hAnsi="仿宋" w:eastAsia="仿宋" w:cs="仿宋"/>
                <w:color w:val="auto"/>
                <w:kern w:val="0"/>
                <w:sz w:val="24"/>
                <w:szCs w:val="24"/>
                <w:highlight w:val="none"/>
              </w:rPr>
              <w:t>元/月</w:t>
            </w:r>
          </w:p>
        </w:tc>
        <w:tc>
          <w:tcPr>
            <w:tcW w:w="10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人</w:t>
            </w:r>
          </w:p>
        </w:tc>
        <w:tc>
          <w:tcPr>
            <w:tcW w:w="10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96000</w:t>
            </w:r>
          </w:p>
        </w:tc>
      </w:tr>
      <w:tr>
        <w:tblPrEx>
          <w:tblCellMar>
            <w:top w:w="15" w:type="dxa"/>
            <w:left w:w="15" w:type="dxa"/>
            <w:bottom w:w="15" w:type="dxa"/>
            <w:right w:w="15" w:type="dxa"/>
          </w:tblCellMar>
        </w:tblPrEx>
        <w:trPr>
          <w:trHeight w:val="480" w:hRule="atLeast"/>
          <w:jc w:val="center"/>
        </w:trPr>
        <w:tc>
          <w:tcPr>
            <w:tcW w:w="155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241" w:firstLineChars="100"/>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eastAsia="zh-CN"/>
              </w:rPr>
              <w:t>洗菜帮工</w:t>
            </w:r>
            <w:r>
              <w:rPr>
                <w:rFonts w:hint="eastAsia" w:ascii="仿宋" w:hAnsi="仿宋" w:eastAsia="仿宋" w:cs="仿宋"/>
                <w:b/>
                <w:bCs/>
                <w:color w:val="auto"/>
                <w:kern w:val="0"/>
                <w:sz w:val="24"/>
                <w:szCs w:val="24"/>
                <w:highlight w:val="none"/>
              </w:rPr>
              <w:t>：</w:t>
            </w:r>
          </w:p>
        </w:tc>
        <w:tc>
          <w:tcPr>
            <w:tcW w:w="388" w:type="pct"/>
            <w:gridSpan w:val="2"/>
            <w:vMerge w:val="continue"/>
            <w:tcBorders>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p>
        </w:tc>
        <w:tc>
          <w:tcPr>
            <w:tcW w:w="94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3200</w:t>
            </w:r>
            <w:r>
              <w:rPr>
                <w:rFonts w:hint="eastAsia" w:ascii="仿宋" w:hAnsi="仿宋" w:eastAsia="仿宋" w:cs="仿宋"/>
                <w:color w:val="auto"/>
                <w:kern w:val="0"/>
                <w:sz w:val="24"/>
                <w:szCs w:val="24"/>
                <w:highlight w:val="none"/>
              </w:rPr>
              <w:t>元/月</w:t>
            </w:r>
          </w:p>
        </w:tc>
        <w:tc>
          <w:tcPr>
            <w:tcW w:w="10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人</w:t>
            </w:r>
          </w:p>
        </w:tc>
        <w:tc>
          <w:tcPr>
            <w:tcW w:w="10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38400</w:t>
            </w:r>
          </w:p>
        </w:tc>
      </w:tr>
      <w:tr>
        <w:tblPrEx>
          <w:tblCellMar>
            <w:top w:w="15" w:type="dxa"/>
            <w:left w:w="15" w:type="dxa"/>
            <w:bottom w:w="15" w:type="dxa"/>
            <w:right w:w="15" w:type="dxa"/>
          </w:tblCellMar>
        </w:tblPrEx>
        <w:trPr>
          <w:trHeight w:val="480" w:hRule="atLeast"/>
          <w:jc w:val="center"/>
        </w:trPr>
        <w:tc>
          <w:tcPr>
            <w:tcW w:w="155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社会保险</w:t>
            </w:r>
          </w:p>
        </w:tc>
        <w:tc>
          <w:tcPr>
            <w:tcW w:w="1333"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800</w:t>
            </w:r>
            <w:r>
              <w:rPr>
                <w:rFonts w:hint="eastAsia" w:ascii="仿宋" w:hAnsi="仿宋" w:eastAsia="仿宋" w:cs="仿宋"/>
                <w:color w:val="auto"/>
                <w:kern w:val="0"/>
                <w:sz w:val="24"/>
                <w:szCs w:val="24"/>
                <w:highlight w:val="none"/>
              </w:rPr>
              <w:t>元/月</w:t>
            </w:r>
          </w:p>
        </w:tc>
        <w:tc>
          <w:tcPr>
            <w:tcW w:w="10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人</w:t>
            </w:r>
          </w:p>
        </w:tc>
        <w:tc>
          <w:tcPr>
            <w:tcW w:w="10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48000</w:t>
            </w:r>
          </w:p>
        </w:tc>
      </w:tr>
      <w:tr>
        <w:tblPrEx>
          <w:tblCellMar>
            <w:top w:w="15" w:type="dxa"/>
            <w:left w:w="15" w:type="dxa"/>
            <w:bottom w:w="15" w:type="dxa"/>
            <w:right w:w="15" w:type="dxa"/>
          </w:tblCellMar>
        </w:tblPrEx>
        <w:trPr>
          <w:trHeight w:val="480" w:hRule="atLeast"/>
          <w:jc w:val="center"/>
        </w:trPr>
        <w:tc>
          <w:tcPr>
            <w:tcW w:w="155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eastAsia="zh-CN"/>
              </w:rPr>
              <w:t>福利</w:t>
            </w:r>
          </w:p>
        </w:tc>
        <w:tc>
          <w:tcPr>
            <w:tcW w:w="1333"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600元/年</w:t>
            </w:r>
          </w:p>
        </w:tc>
        <w:tc>
          <w:tcPr>
            <w:tcW w:w="10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5人</w:t>
            </w:r>
          </w:p>
        </w:tc>
        <w:tc>
          <w:tcPr>
            <w:tcW w:w="10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3000</w:t>
            </w:r>
          </w:p>
        </w:tc>
      </w:tr>
      <w:tr>
        <w:tblPrEx>
          <w:tblCellMar>
            <w:top w:w="15" w:type="dxa"/>
            <w:left w:w="15" w:type="dxa"/>
            <w:bottom w:w="15" w:type="dxa"/>
            <w:right w:w="15" w:type="dxa"/>
          </w:tblCellMar>
        </w:tblPrEx>
        <w:trPr>
          <w:trHeight w:val="480" w:hRule="atLeast"/>
          <w:jc w:val="center"/>
        </w:trPr>
        <w:tc>
          <w:tcPr>
            <w:tcW w:w="155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eastAsia="zh-CN"/>
              </w:rPr>
              <w:t>服装</w:t>
            </w:r>
          </w:p>
        </w:tc>
        <w:tc>
          <w:tcPr>
            <w:tcW w:w="1333"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500元/人/年</w:t>
            </w:r>
          </w:p>
        </w:tc>
        <w:tc>
          <w:tcPr>
            <w:tcW w:w="104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5人</w:t>
            </w:r>
          </w:p>
        </w:tc>
        <w:tc>
          <w:tcPr>
            <w:tcW w:w="106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2500</w:t>
            </w:r>
          </w:p>
        </w:tc>
      </w:tr>
      <w:tr>
        <w:tblPrEx>
          <w:tblCellMar>
            <w:top w:w="15" w:type="dxa"/>
            <w:left w:w="15" w:type="dxa"/>
            <w:bottom w:w="15" w:type="dxa"/>
            <w:right w:w="15" w:type="dxa"/>
          </w:tblCellMar>
        </w:tblPrEx>
        <w:trPr>
          <w:trHeight w:val="48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管理费、税金等由投标人自行考虑</w:t>
            </w:r>
            <w:r>
              <w:rPr>
                <w:rFonts w:hint="eastAsia" w:ascii="仿宋" w:hAnsi="仿宋" w:eastAsia="仿宋" w:cs="仿宋"/>
                <w:color w:val="auto"/>
                <w:sz w:val="24"/>
                <w:szCs w:val="24"/>
                <w:highlight w:val="none"/>
                <w:lang w:eastAsia="zh-CN"/>
              </w:rPr>
              <w:t>。</w:t>
            </w:r>
          </w:p>
        </w:tc>
      </w:tr>
    </w:tbl>
    <w:p>
      <w:pPr>
        <w:spacing w:line="440" w:lineRule="exact"/>
        <w:ind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注：供应商应承诺按时发放工作人员的基本工资、补贴、绩效考核奖、社保五险一金、节日福利等。第三方服务人员劳动合同与该供应商签订。</w:t>
      </w:r>
    </w:p>
    <w:p>
      <w:pPr>
        <w:numPr>
          <w:ilvl w:val="0"/>
          <w:numId w:val="0"/>
        </w:numPr>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5.配置人员年龄要求：男性</w:t>
      </w:r>
      <w:r>
        <w:rPr>
          <w:rFonts w:hint="default" w:ascii="仿宋" w:hAnsi="仿宋" w:eastAsia="仿宋" w:cs="仿宋"/>
          <w:color w:val="auto"/>
          <w:sz w:val="24"/>
          <w:highlight w:val="none"/>
          <w:lang w:val="en-US" w:eastAsia="zh-CN"/>
        </w:rPr>
        <w:t>60</w:t>
      </w:r>
      <w:r>
        <w:rPr>
          <w:rFonts w:hint="eastAsia" w:ascii="仿宋" w:hAnsi="仿宋" w:eastAsia="仿宋" w:cs="仿宋"/>
          <w:color w:val="auto"/>
          <w:sz w:val="24"/>
          <w:highlight w:val="none"/>
          <w:lang w:val="en-US" w:eastAsia="zh-CN"/>
        </w:rPr>
        <w:t>周岁以下，女性</w:t>
      </w:r>
      <w:r>
        <w:rPr>
          <w:rFonts w:hint="default" w:ascii="仿宋" w:hAnsi="仿宋" w:eastAsia="仿宋" w:cs="仿宋"/>
          <w:color w:val="auto"/>
          <w:sz w:val="24"/>
          <w:highlight w:val="none"/>
          <w:lang w:val="en-US" w:eastAsia="zh-CN"/>
        </w:rPr>
        <w:t>55</w:t>
      </w:r>
      <w:r>
        <w:rPr>
          <w:rFonts w:hint="eastAsia" w:ascii="仿宋" w:hAnsi="仿宋" w:eastAsia="仿宋" w:cs="仿宋"/>
          <w:color w:val="auto"/>
          <w:sz w:val="24"/>
          <w:highlight w:val="none"/>
          <w:lang w:val="en-US" w:eastAsia="zh-CN"/>
        </w:rPr>
        <w:t>周岁以下。工作日服务窗口能满足职工用餐需要。员工具备食品安全知识、健康证等相关证件。</w:t>
      </w:r>
    </w:p>
    <w:p>
      <w:pPr>
        <w:numPr>
          <w:ilvl w:val="0"/>
          <w:numId w:val="0"/>
        </w:numPr>
        <w:spacing w:line="44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供应商在开始营业前必须向采购方递交食堂工作人员花名册、岗位分工情况表、员工劳动合同复印件、健康证复印件等证件。供应商需按《劳动合同法》要求与其指派的劳务人员签订劳动合同，进行培训、体检，缴纳社保费用等，保证依法用工。若发生劳动争议、工伤等，均由供应商负责处理解决并承担全部责任，若因此导致采购方承担相关费用的，供应商必须向采购方全额赔偿。</w:t>
      </w:r>
    </w:p>
    <w:p>
      <w:pPr>
        <w:spacing w:line="44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7.灵芝街道办事处食堂</w:t>
      </w:r>
      <w:r>
        <w:rPr>
          <w:rFonts w:hint="eastAsia" w:ascii="仿宋" w:hAnsi="仿宋" w:eastAsia="仿宋" w:cs="仿宋"/>
          <w:color w:val="auto"/>
          <w:sz w:val="24"/>
          <w:highlight w:val="none"/>
          <w:lang w:eastAsia="zh-CN"/>
        </w:rPr>
        <w:t>必要时提供包厢的来客接待服务。</w:t>
      </w:r>
    </w:p>
    <w:p>
      <w:pPr>
        <w:spacing w:line="44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完成重大会议用餐保障及各单位交付的临时性用餐服务。</w:t>
      </w:r>
    </w:p>
    <w:p>
      <w:pPr>
        <w:spacing w:line="44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以上服务供应如果需要变化按照采购人的要求进行协商调整。</w:t>
      </w:r>
    </w:p>
    <w:p>
      <w:pPr>
        <w:spacing w:line="440" w:lineRule="exact"/>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1.4</w:t>
      </w:r>
      <w:r>
        <w:rPr>
          <w:rFonts w:hint="eastAsia" w:ascii="仿宋" w:hAnsi="仿宋" w:eastAsia="仿宋" w:cs="仿宋"/>
          <w:b/>
          <w:bCs/>
          <w:color w:val="auto"/>
          <w:kern w:val="0"/>
          <w:sz w:val="24"/>
          <w:highlight w:val="none"/>
        </w:rPr>
        <w:t>菜肴品质方面</w:t>
      </w:r>
    </w:p>
    <w:p>
      <w:pPr>
        <w:spacing w:line="44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丰富菜肴品种，不断推陈出新。根据采购人需求适时更换厨师，每周须推出1-2个创新菜。菜肴精致可口，适合机关干部口味。公务接待按照要求以绍兴特色家常菜为主，保证采购食材的优质，烧制口味的鲜美，供应菜品的多样，全力做好就餐接待服务。配合采购人做好特质菜品的采购，实地考察形成“优质菜品采购圈”，保证随时供应。</w:t>
      </w:r>
    </w:p>
    <w:p>
      <w:pPr>
        <w:spacing w:line="44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2.灵芝街道办事处</w:t>
      </w:r>
      <w:r>
        <w:rPr>
          <w:rFonts w:hint="eastAsia" w:ascii="仿宋" w:hAnsi="仿宋" w:eastAsia="仿宋" w:cs="仿宋"/>
          <w:color w:val="auto"/>
          <w:sz w:val="24"/>
          <w:highlight w:val="none"/>
          <w:lang w:eastAsia="zh-CN"/>
        </w:rPr>
        <w:t>食堂早餐须提供粥、面条、豆浆、馄饨、包子等早点，花色品种不少于</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个，另要有</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只以上的小菜；中餐菜肴不少于</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个品种，中餐菜肴品种在开制“周菜单”时保证每日菜品不同；另供适量的粗杂粮点心等；晚餐菜肴不少于</w:t>
      </w:r>
      <w:r>
        <w:rPr>
          <w:rFonts w:hint="default"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个品种；主打菜一周内不重复，按季节及时调整时令菜品，定期推出特色菜或新菜，每餐菜肴荤素搭配均衡、营养安排合理。</w:t>
      </w:r>
    </w:p>
    <w:p>
      <w:pPr>
        <w:spacing w:line="440" w:lineRule="exact"/>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1.5</w:t>
      </w:r>
      <w:r>
        <w:rPr>
          <w:rFonts w:hint="eastAsia" w:ascii="仿宋" w:hAnsi="仿宋" w:eastAsia="仿宋" w:cs="仿宋"/>
          <w:b/>
          <w:bCs/>
          <w:color w:val="auto"/>
          <w:kern w:val="0"/>
          <w:sz w:val="24"/>
          <w:highlight w:val="none"/>
        </w:rPr>
        <w:t>具体要求</w:t>
      </w:r>
    </w:p>
    <w:p>
      <w:pPr>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在采购方组织和领导下，负责日常的监管与考核工作，明确专人参与监督。</w:t>
      </w:r>
    </w:p>
    <w:p>
      <w:pPr>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采购方将按实际所需配置、</w:t>
      </w:r>
      <w:r>
        <w:rPr>
          <w:rFonts w:hint="eastAsia" w:ascii="仿宋" w:hAnsi="仿宋" w:eastAsia="仿宋" w:cs="仿宋"/>
          <w:color w:val="auto"/>
          <w:sz w:val="24"/>
          <w:highlight w:val="none"/>
          <w:lang w:val="en-US" w:eastAsia="zh-CN"/>
        </w:rPr>
        <w:t>更改</w:t>
      </w:r>
      <w:r>
        <w:rPr>
          <w:rFonts w:hint="eastAsia" w:ascii="仿宋" w:hAnsi="仿宋" w:eastAsia="仿宋" w:cs="仿宋"/>
          <w:color w:val="auto"/>
          <w:sz w:val="24"/>
          <w:highlight w:val="none"/>
          <w:lang w:val="zh-CN" w:eastAsia="zh-CN"/>
        </w:rPr>
        <w:t>管理人员及提供维修保障，如遇工作人员更换问题，采购方将提前一周告知，不得出现人员断档情况。</w:t>
      </w:r>
    </w:p>
    <w:p>
      <w:pPr>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对食堂监管、食品安全、原料采购、成本核算、伙食价格、费用结算与仓库保管等主要环节由采购方专人负责，并对日常工作进行检查与考核等。</w:t>
      </w:r>
    </w:p>
    <w:p>
      <w:pPr>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zh-CN" w:eastAsia="zh-CN"/>
        </w:rPr>
        <w:t>中标单位根据合同要求，指派相应的负责人（兼厨师长）、洗菜工等人员。中标单位与劳务人员建立相应的劳动关系</w:t>
      </w:r>
      <w:r>
        <w:rPr>
          <w:rFonts w:hint="eastAsia" w:ascii="仿宋" w:hAnsi="仿宋" w:eastAsia="仿宋" w:cs="仿宋"/>
          <w:color w:val="auto"/>
          <w:kern w:val="0"/>
          <w:sz w:val="24"/>
          <w:highlight w:val="none"/>
        </w:rPr>
        <w:t>。</w:t>
      </w:r>
    </w:p>
    <w:p>
      <w:pPr>
        <w:spacing w:line="440" w:lineRule="exact"/>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中标单位确定一名负责人，负责对指派人员的管理与业务技术指导，同时积极参与并配合采购方做好食堂事务管理。中标单位要负责制订每周菜谱；负责日常菜肴等食品制作；负责粗加工、清洗等厨房前后道工作；负责食堂每天生产的垃圾处理（食堂区域产生的垃圾按规定运送到指定地点）以及食堂区域内的安全、卫生保洁等工作。按监管部门规定做好食堂食品安全和食堂区域内的其他安全工作</w:t>
      </w:r>
      <w:r>
        <w:rPr>
          <w:rFonts w:hint="eastAsia" w:ascii="仿宋" w:hAnsi="仿宋" w:eastAsia="仿宋" w:cs="仿宋"/>
          <w:color w:val="auto"/>
          <w:kern w:val="0"/>
          <w:sz w:val="24"/>
          <w:highlight w:val="none"/>
          <w:lang w:val="zh-CN"/>
        </w:rPr>
        <w:t>。</w:t>
      </w:r>
    </w:p>
    <w:p>
      <w:pPr>
        <w:spacing w:line="440" w:lineRule="exact"/>
        <w:jc w:val="lef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6.</w:t>
      </w:r>
      <w:r>
        <w:rPr>
          <w:rFonts w:hint="eastAsia" w:ascii="仿宋" w:hAnsi="仿宋" w:eastAsia="仿宋" w:cs="仿宋"/>
          <w:b w:val="0"/>
          <w:bCs/>
          <w:color w:val="auto"/>
          <w:sz w:val="24"/>
          <w:highlight w:val="none"/>
          <w:lang w:val="zh-CN"/>
        </w:rPr>
        <w:t>食堂如遇特殊情况下（如防台、抗寒、政府和重大活动、值班备勤、突发性事件应急处置等情形）的供餐服务，需要食堂员工加班继续开放的，采购人提前通知，食堂工作人员需配合等候，并保证菜品供应。如因此产生加班等费用，由中标单位自行保障。</w:t>
      </w:r>
    </w:p>
    <w:p>
      <w:pPr>
        <w:spacing w:line="440" w:lineRule="exact"/>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en-US" w:eastAsia="zh-CN"/>
        </w:rPr>
        <w:t>1.6</w:t>
      </w:r>
      <w:r>
        <w:rPr>
          <w:rFonts w:hint="eastAsia" w:ascii="仿宋" w:hAnsi="仿宋" w:eastAsia="仿宋" w:cs="仿宋"/>
          <w:b/>
          <w:bCs/>
          <w:color w:val="auto"/>
          <w:kern w:val="0"/>
          <w:sz w:val="24"/>
          <w:highlight w:val="none"/>
          <w:lang w:val="zh-CN"/>
        </w:rPr>
        <w:t>食堂考核实施细则</w:t>
      </w:r>
    </w:p>
    <w:p>
      <w:pPr>
        <w:spacing w:line="440" w:lineRule="exact"/>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为加强街道食堂管理，提高服务质量与管理水平，根据街道后勤管理有关制度，特制订本考核细则。</w:t>
      </w:r>
    </w:p>
    <w:p>
      <w:pPr>
        <w:spacing w:line="440" w:lineRule="exact"/>
        <w:jc w:val="left"/>
        <w:rPr>
          <w:rFonts w:hint="eastAsia" w:ascii="仿宋" w:hAnsi="仿宋" w:eastAsia="仿宋" w:cs="仿宋"/>
          <w:color w:val="auto"/>
          <w:sz w:val="24"/>
          <w:highlight w:val="none"/>
          <w:lang w:val="zh-CN"/>
        </w:rPr>
      </w:pPr>
      <w:r>
        <w:rPr>
          <w:rFonts w:hint="eastAsia" w:ascii="仿宋" w:hAnsi="仿宋" w:eastAsia="仿宋" w:cs="仿宋"/>
          <w:color w:val="auto"/>
          <w:sz w:val="24"/>
          <w:szCs w:val="24"/>
          <w:highlight w:val="none"/>
          <w:lang w:val="zh-CN"/>
        </w:rPr>
        <w:t>附：《街道食堂考核标准》</w:t>
      </w:r>
    </w:p>
    <w:tbl>
      <w:tblPr>
        <w:tblStyle w:val="30"/>
        <w:tblW w:w="8908" w:type="dxa"/>
        <w:tblInd w:w="0" w:type="dxa"/>
        <w:tblLayout w:type="fixed"/>
        <w:tblCellMar>
          <w:top w:w="0" w:type="dxa"/>
          <w:left w:w="10" w:type="dxa"/>
          <w:bottom w:w="0" w:type="dxa"/>
          <w:right w:w="10" w:type="dxa"/>
        </w:tblCellMar>
      </w:tblPr>
      <w:tblGrid>
        <w:gridCol w:w="896"/>
        <w:gridCol w:w="6139"/>
        <w:gridCol w:w="1873"/>
      </w:tblGrid>
      <w:tr>
        <w:tblPrEx>
          <w:tblCellMar>
            <w:top w:w="0" w:type="dxa"/>
            <w:left w:w="10" w:type="dxa"/>
            <w:bottom w:w="0" w:type="dxa"/>
            <w:right w:w="10" w:type="dxa"/>
          </w:tblCellMar>
        </w:tblPrEx>
        <w:trPr>
          <w:trHeight w:val="421"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6139"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考核内容</w:t>
            </w:r>
          </w:p>
        </w:tc>
        <w:tc>
          <w:tcPr>
            <w:tcW w:w="1873"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扣、奖</w:t>
            </w:r>
          </w:p>
        </w:tc>
      </w:tr>
      <w:tr>
        <w:tblPrEx>
          <w:tblCellMar>
            <w:top w:w="0" w:type="dxa"/>
            <w:left w:w="10" w:type="dxa"/>
            <w:bottom w:w="0" w:type="dxa"/>
            <w:right w:w="10" w:type="dxa"/>
          </w:tblCellMar>
        </w:tblPrEx>
        <w:trPr>
          <w:trHeight w:val="421"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6139"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未按规定穿戴上岗或工作服明显不洁</w:t>
            </w:r>
          </w:p>
        </w:tc>
        <w:tc>
          <w:tcPr>
            <w:tcW w:w="1873"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扣50元/人</w:t>
            </w:r>
          </w:p>
        </w:tc>
      </w:tr>
      <w:tr>
        <w:tblPrEx>
          <w:tblCellMar>
            <w:top w:w="0" w:type="dxa"/>
            <w:left w:w="10" w:type="dxa"/>
            <w:bottom w:w="0" w:type="dxa"/>
            <w:right w:w="10" w:type="dxa"/>
          </w:tblCellMar>
        </w:tblPrEx>
        <w:trPr>
          <w:trHeight w:val="452"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6139"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工作人员在食堂餐厅内吸烟</w:t>
            </w:r>
          </w:p>
        </w:tc>
        <w:tc>
          <w:tcPr>
            <w:tcW w:w="1873"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扣50元/人</w:t>
            </w:r>
          </w:p>
        </w:tc>
      </w:tr>
      <w:tr>
        <w:tblPrEx>
          <w:tblCellMar>
            <w:top w:w="0" w:type="dxa"/>
            <w:left w:w="10" w:type="dxa"/>
            <w:bottom w:w="0" w:type="dxa"/>
            <w:right w:w="10" w:type="dxa"/>
          </w:tblCellMar>
        </w:tblPrEx>
        <w:trPr>
          <w:trHeight w:val="589"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6139"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下班后没有及时关灯、关空调</w:t>
            </w:r>
          </w:p>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离开岗位没有关水龙头且未造成其他影响</w:t>
            </w:r>
          </w:p>
        </w:tc>
        <w:tc>
          <w:tcPr>
            <w:tcW w:w="1873"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扣50元/次</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碗、筷、盘等餐具留有食物残渣或不洁</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扣50元/次</w:t>
            </w:r>
          </w:p>
        </w:tc>
      </w:tr>
      <w:tr>
        <w:tblPrEx>
          <w:tblCellMar>
            <w:top w:w="0" w:type="dxa"/>
            <w:left w:w="10" w:type="dxa"/>
            <w:bottom w:w="0" w:type="dxa"/>
            <w:right w:w="10" w:type="dxa"/>
          </w:tblCellMar>
        </w:tblPrEx>
        <w:trPr>
          <w:trHeight w:val="876"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没有及时清理餐桌与地面卫生</w:t>
            </w:r>
          </w:p>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操作间乱堆乱放、地面积水较重</w:t>
            </w:r>
          </w:p>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区域卫生没有及时打扫</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扣50元/次</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在烹饪区及打菜区域发现苍蝇、蟑螂、老鼠</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扣100元/次</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不按要求留样</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扣100元/次</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隔餐饭菜未按规定处理上柜供应且未造成其他影响</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扣100元/次</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在饭菜中发现有头发丝、清洁球丝等异物</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扣100元/次</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餐具、炊具未按程序清洗、消毒、存放</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扣100元/次</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与就餐人员、同事等发生争吵</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扣100元/次</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人为贻误开饭时间10分钟以上</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扣100元/次</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擅离工作岗位，工作失职造成一定影响</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扣200元/次</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无正当理由不服从甲方人员监督管理，造成一定影响</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扣200元/次</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饭菜准备不够，导致干部职工5人以上无法就餐</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扣200元/次</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饭菜准备太多，导致15份以上浪费</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扣200元/次</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人为过意造成原材料浪费</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扣原值的2倍</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有私自拿食品原材料（含熟食）与其他物品，或做人情</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扣原值的5倍</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主观原因造成食物中毒、人员伤害等安全事故</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负全责</w:t>
            </w:r>
          </w:p>
        </w:tc>
      </w:tr>
      <w:tr>
        <w:tblPrEx>
          <w:tblCellMar>
            <w:top w:w="0" w:type="dxa"/>
            <w:left w:w="10" w:type="dxa"/>
            <w:bottom w:w="0" w:type="dxa"/>
            <w:right w:w="10" w:type="dxa"/>
          </w:tblCellMar>
        </w:tblPrEx>
        <w:trPr>
          <w:trHeight w:val="612"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违反食堂与其他规定的</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按有关规定处理</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向食堂提供合理化建议而被采纳</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酌情奖励</w:t>
            </w:r>
          </w:p>
        </w:tc>
      </w:tr>
      <w:tr>
        <w:tblPrEx>
          <w:tblCellMar>
            <w:top w:w="0" w:type="dxa"/>
            <w:left w:w="10" w:type="dxa"/>
            <w:bottom w:w="0" w:type="dxa"/>
            <w:right w:w="10" w:type="dxa"/>
          </w:tblCellMar>
        </w:tblPrEx>
        <w:trPr>
          <w:trHeight w:val="477"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厉行节约，成效明显</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酌情奖励</w:t>
            </w:r>
          </w:p>
        </w:tc>
      </w:tr>
      <w:tr>
        <w:tblPrEx>
          <w:tblCellMar>
            <w:top w:w="0" w:type="dxa"/>
            <w:left w:w="10" w:type="dxa"/>
            <w:bottom w:w="0" w:type="dxa"/>
            <w:right w:w="10" w:type="dxa"/>
          </w:tblCellMar>
        </w:tblPrEx>
        <w:trPr>
          <w:trHeight w:val="492"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w:t>
            </w:r>
          </w:p>
        </w:tc>
        <w:tc>
          <w:tcPr>
            <w:tcW w:w="6139"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服务满意度在90%以上</w:t>
            </w:r>
          </w:p>
        </w:tc>
        <w:tc>
          <w:tcPr>
            <w:tcW w:w="187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酌情奖励</w:t>
            </w:r>
          </w:p>
        </w:tc>
      </w:tr>
    </w:tbl>
    <w:p>
      <w:pPr>
        <w:spacing w:line="440" w:lineRule="exact"/>
        <w:ind w:firstLine="480" w:firstLineChars="200"/>
        <w:jc w:val="left"/>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考核形式：采购人采用定期和不定期检查的方式，按照《考核内容》组织考核，发现问题及时记录，并当场告知</w:t>
      </w:r>
      <w:r>
        <w:rPr>
          <w:rFonts w:hint="eastAsia" w:ascii="仿宋" w:hAnsi="仿宋" w:eastAsia="仿宋" w:cs="仿宋"/>
          <w:color w:val="auto"/>
          <w:sz w:val="24"/>
          <w:highlight w:val="none"/>
          <w:lang w:val="zh-CN" w:eastAsia="zh-CN"/>
        </w:rPr>
        <w:t>乙方</w:t>
      </w:r>
      <w:r>
        <w:rPr>
          <w:rFonts w:hint="eastAsia" w:ascii="仿宋" w:hAnsi="仿宋" w:eastAsia="仿宋" w:cs="仿宋"/>
          <w:color w:val="auto"/>
          <w:kern w:val="0"/>
          <w:sz w:val="24"/>
          <w:highlight w:val="none"/>
          <w:u w:val="none"/>
          <w:lang w:val="zh-CN"/>
        </w:rPr>
        <w:t>管理人员，奖扣情况在当月处理。经采购人考核不能胜任岗位工作要求的人员，采购人有权向供应商提出要求，辞退该服务人员。合同有规定的，按合同规定执行。</w:t>
      </w:r>
    </w:p>
    <w:p>
      <w:pPr>
        <w:pStyle w:val="4"/>
        <w:keepNext/>
        <w:keepLines/>
        <w:pageBreakBefore w:val="0"/>
        <w:widowControl w:val="0"/>
        <w:suppressLineNumbers w:val="0"/>
        <w:suppressAutoHyphens w:val="0"/>
        <w:spacing w:line="415" w:lineRule="auto"/>
        <w:rPr>
          <w:rFonts w:hint="eastAsia" w:ascii="仿宋" w:eastAsia="仿宋"/>
          <w:color w:val="auto"/>
          <w:sz w:val="24"/>
          <w:szCs w:val="24"/>
          <w:highlight w:val="none"/>
        </w:rPr>
      </w:pPr>
      <w:bookmarkStart w:id="42" w:name="_Toc29878"/>
      <w:r>
        <w:rPr>
          <w:rFonts w:hint="eastAsia" w:ascii="仿宋"/>
          <w:color w:val="auto"/>
          <w:highlight w:val="none"/>
        </w:rPr>
        <w:t>二、商务要求</w:t>
      </w:r>
      <w:bookmarkEnd w:id="42"/>
    </w:p>
    <w:p>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★2.1服务期限</w:t>
      </w:r>
    </w:p>
    <w:p>
      <w:pPr>
        <w:widowControl/>
        <w:snapToGrid w:val="0"/>
        <w:spacing w:line="480" w:lineRule="exact"/>
        <w:ind w:firstLine="480" w:firstLineChars="200"/>
        <w:rPr>
          <w:rFonts w:hint="eastAsia"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服务期限:一年为一个招标合同周期。</w:t>
      </w:r>
    </w:p>
    <w:p>
      <w:pPr>
        <w:widowControl/>
        <w:snapToGrid w:val="0"/>
        <w:spacing w:line="480" w:lineRule="exact"/>
        <w:ind w:firstLine="480" w:firstLineChars="200"/>
        <w:rPr>
          <w:rFonts w:hint="eastAsia"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若在合同期内，中标单位未经采购单位同意，无正当理由要求解除合同的，采购单位可少支付一个月服务费，并不再返还履约保证金。同时，中标单位应向采购单位支付一年合同金额20%的违约金和承担采购单位由此产生的一切损失。</w:t>
      </w:r>
    </w:p>
    <w:p>
      <w:pPr>
        <w:widowControl/>
        <w:snapToGrid w:val="0"/>
        <w:spacing w:line="480" w:lineRule="exact"/>
        <w:ind w:firstLine="480" w:firstLineChars="200"/>
        <w:rPr>
          <w:rFonts w:hint="eastAsia"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采购单位在合同期内，无正当理由不得解除合同(上级有统一要求或不可抗拒因素除外)。如无正当理由解除合同的，应退还履约保证金，并支付一年合同额20%的违约金。其他纠纷事项由双方协商解决，未能协商解决的通过法院解决。</w:t>
      </w:r>
    </w:p>
    <w:p>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2.2技术培训</w:t>
      </w:r>
    </w:p>
    <w:p>
      <w:pPr>
        <w:spacing w:line="440" w:lineRule="exact"/>
        <w:ind w:firstLine="480" w:firstLineChars="200"/>
        <w:jc w:val="left"/>
        <w:rPr>
          <w:rFonts w:hint="eastAsia" w:ascii="仿宋" w:hAnsi="Times New Roman" w:eastAsia="仿宋" w:cs="Times New Roman"/>
          <w:color w:val="auto"/>
          <w:sz w:val="24"/>
          <w:highlight w:val="none"/>
          <w:lang w:val="zh-CN" w:eastAsia="zh-CN"/>
        </w:rPr>
      </w:pPr>
      <w:r>
        <w:rPr>
          <w:rFonts w:hint="eastAsia" w:ascii="仿宋" w:hAnsi="Times New Roman" w:eastAsia="仿宋" w:cs="Times New Roman"/>
          <w:color w:val="auto"/>
          <w:sz w:val="24"/>
          <w:highlight w:val="none"/>
          <w:lang w:val="zh-CN" w:eastAsia="zh-CN"/>
        </w:rPr>
        <w:t>根据干部、职工的意见和建议，采取食材甲供为主，与劳务外包相结合的运行模式。即：采购、定价、监管等由采购单位负责；食堂工作人员采用劳务外包的形式。以提升服务质量为目标，让干部职工买得放心、吃得安心。</w:t>
      </w:r>
    </w:p>
    <w:p>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2.3数量调整</w:t>
      </w:r>
    </w:p>
    <w:p>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2.4验收</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u w:val="none"/>
        </w:rPr>
        <w:t>）进行。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kern w:val="0"/>
          <w:sz w:val="24"/>
          <w:highlight w:val="none"/>
        </w:rPr>
        <w:t>★</w:t>
      </w:r>
      <w:r>
        <w:rPr>
          <w:rFonts w:hint="eastAsia" w:ascii="仿宋" w:eastAsia="仿宋"/>
          <w:b/>
          <w:bCs/>
          <w:color w:val="auto"/>
          <w:kern w:val="0"/>
          <w:sz w:val="24"/>
          <w:highlight w:val="none"/>
          <w:u w:val="none"/>
        </w:rPr>
        <w:t>2.5付款方式</w:t>
      </w:r>
    </w:p>
    <w:p>
      <w:pPr>
        <w:widowControl/>
        <w:snapToGrid w:val="0"/>
        <w:spacing w:line="480" w:lineRule="exact"/>
        <w:ind w:firstLine="480" w:firstLineChars="200"/>
        <w:rPr>
          <w:rFonts w:hint="eastAsia"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1.合同价按季分期支付，同时扣除季度考核扣款；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合同期内采购方对服务单位的服务质量按</w:t>
      </w:r>
      <w:r>
        <w:rPr>
          <w:rFonts w:hint="eastAsia" w:ascii="仿宋" w:eastAsia="仿宋"/>
          <w:color w:val="auto"/>
          <w:kern w:val="0"/>
          <w:sz w:val="24"/>
          <w:highlight w:val="none"/>
          <w:lang w:eastAsia="zh-CN"/>
        </w:rPr>
        <w:t>季</w:t>
      </w:r>
      <w:r>
        <w:rPr>
          <w:rFonts w:hint="eastAsia" w:ascii="仿宋" w:eastAsia="仿宋"/>
          <w:color w:val="auto"/>
          <w:kern w:val="0"/>
          <w:sz w:val="24"/>
          <w:highlight w:val="none"/>
        </w:rPr>
        <w:t>进行考核，并按照考核结果在</w:t>
      </w:r>
      <w:r>
        <w:rPr>
          <w:rFonts w:hint="eastAsia" w:ascii="仿宋" w:eastAsia="仿宋"/>
          <w:color w:val="auto"/>
          <w:kern w:val="0"/>
          <w:sz w:val="24"/>
          <w:highlight w:val="none"/>
          <w:lang w:eastAsia="zh-CN"/>
        </w:rPr>
        <w:t>下季度</w:t>
      </w:r>
      <w:r>
        <w:rPr>
          <w:rFonts w:hint="eastAsia" w:ascii="仿宋" w:eastAsia="仿宋"/>
          <w:color w:val="auto"/>
          <w:kern w:val="0"/>
          <w:sz w:val="24"/>
          <w:highlight w:val="none"/>
          <w:lang w:val="en-US" w:eastAsia="zh-CN"/>
        </w:rPr>
        <w:t>20</w:t>
      </w:r>
      <w:r>
        <w:rPr>
          <w:rFonts w:hint="eastAsia" w:ascii="仿宋" w:eastAsia="仿宋"/>
          <w:color w:val="auto"/>
          <w:kern w:val="0"/>
          <w:sz w:val="24"/>
          <w:highlight w:val="none"/>
        </w:rPr>
        <w:t>日前支付上</w:t>
      </w:r>
      <w:r>
        <w:rPr>
          <w:rFonts w:hint="eastAsia" w:ascii="仿宋" w:eastAsia="仿宋"/>
          <w:color w:val="auto"/>
          <w:kern w:val="0"/>
          <w:sz w:val="24"/>
          <w:highlight w:val="none"/>
          <w:lang w:eastAsia="zh-CN"/>
        </w:rPr>
        <w:t>季度</w:t>
      </w:r>
      <w:r>
        <w:rPr>
          <w:rFonts w:hint="eastAsia" w:ascii="仿宋" w:eastAsia="仿宋"/>
          <w:color w:val="auto"/>
          <w:kern w:val="0"/>
          <w:sz w:val="24"/>
          <w:highlight w:val="none"/>
        </w:rPr>
        <w:t>服务费用。</w:t>
      </w: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widowControl/>
        <w:snapToGrid w:val="0"/>
        <w:spacing w:line="480" w:lineRule="exact"/>
        <w:ind w:firstLine="0"/>
        <w:rPr>
          <w:rFonts w:ascii="仿宋" w:eastAsia="仿宋"/>
          <w:color w:val="auto"/>
          <w:kern w:val="0"/>
          <w:sz w:val="24"/>
          <w:highlight w:val="none"/>
        </w:rPr>
      </w:pPr>
    </w:p>
    <w:p>
      <w:pPr>
        <w:pStyle w:val="3"/>
        <w:keepNext/>
        <w:keepLines/>
        <w:pageBreakBefore/>
        <w:widowControl/>
        <w:suppressLineNumbers w:val="0"/>
        <w:suppressAutoHyphens w:val="0"/>
        <w:kinsoku/>
        <w:wordWrap/>
        <w:overflowPunct/>
        <w:topLinePunct w:val="0"/>
        <w:autoSpaceDE/>
        <w:autoSpaceDN/>
        <w:bidi w:val="0"/>
        <w:adjustRightInd/>
        <w:snapToGrid/>
        <w:spacing w:line="579" w:lineRule="auto"/>
        <w:jc w:val="center"/>
        <w:textAlignment w:val="auto"/>
        <w:rPr>
          <w:rFonts w:hint="eastAsia" w:ascii="仿宋"/>
          <w:color w:val="auto"/>
          <w:highlight w:val="none"/>
        </w:rPr>
      </w:pPr>
      <w:bookmarkStart w:id="43" w:name="_Toc14268"/>
      <w:r>
        <w:rPr>
          <w:rFonts w:hint="eastAsia" w:ascii="仿宋"/>
          <w:color w:val="auto"/>
          <w:highlight w:val="none"/>
        </w:rPr>
        <w:t>第四章  拟签订合同的主要条款</w:t>
      </w:r>
      <w:bookmarkEnd w:id="43"/>
    </w:p>
    <w:p>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pPr>
        <w:widowControl/>
        <w:snapToGrid w:val="0"/>
        <w:spacing w:line="480" w:lineRule="exact"/>
        <w:ind w:firstLine="482" w:firstLineChars="200"/>
        <w:rPr>
          <w:rFonts w:hint="eastAsia" w:ascii="楷体_GB2312" w:hAnsi="宋体" w:eastAsia="楷体_GB2312" w:cs="宋体"/>
          <w:b/>
          <w:bCs/>
          <w:color w:val="auto"/>
          <w:kern w:val="0"/>
          <w:sz w:val="24"/>
          <w:highlight w:val="none"/>
        </w:rPr>
      </w:pPr>
      <w:r>
        <w:rPr>
          <w:rFonts w:hint="eastAsia" w:ascii="楷体_GB2312" w:hAnsi="_5b8b_4f53" w:eastAsia="楷体_GB2312" w:cs="宋体"/>
          <w:b/>
          <w:bCs/>
          <w:color w:val="auto"/>
          <w:kern w:val="0"/>
          <w:sz w:val="24"/>
          <w:highlight w:val="none"/>
        </w:rPr>
        <w:t>（一）</w:t>
      </w:r>
      <w:r>
        <w:rPr>
          <w:rFonts w:hint="eastAsia" w:ascii="楷体_GB2312" w:hAnsi="_5b8b_4f53" w:eastAsia="楷体_GB2312" w:cs="宋体"/>
          <w:b/>
          <w:bCs/>
          <w:color w:val="auto"/>
          <w:kern w:val="0"/>
          <w:sz w:val="24"/>
          <w:highlight w:val="none"/>
          <w:lang w:val="zh-CN"/>
        </w:rPr>
        <w:t>服务</w:t>
      </w:r>
      <w:r>
        <w:rPr>
          <w:rFonts w:hint="eastAsia" w:ascii="楷体_GB2312" w:hAnsi="_5b8b_4f53" w:eastAsia="楷体_GB2312" w:cs="宋体"/>
          <w:b/>
          <w:bCs/>
          <w:color w:val="auto"/>
          <w:kern w:val="0"/>
          <w:sz w:val="24"/>
          <w:highlight w:val="none"/>
        </w:rPr>
        <w:t>要求</w:t>
      </w:r>
    </w:p>
    <w:p>
      <w:pPr>
        <w:widowControl/>
        <w:snapToGrid w:val="0"/>
        <w:spacing w:line="480" w:lineRule="exact"/>
        <w:ind w:firstLine="480" w:firstLineChars="200"/>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highlight w:val="none"/>
          <w:lang w:val="zh-CN"/>
        </w:rPr>
        <w:t>1</w:t>
      </w:r>
      <w:r>
        <w:rPr>
          <w:rFonts w:hint="eastAsia" w:ascii="仿宋" w:hAnsi="仿宋" w:eastAsia="仿宋" w:cs="仿宋"/>
          <w:b w:val="0"/>
          <w:bCs w:val="0"/>
          <w:color w:val="auto"/>
          <w:kern w:val="0"/>
          <w:sz w:val="24"/>
          <w:highlight w:val="none"/>
          <w:lang w:val="en-US" w:eastAsia="zh-CN"/>
        </w:rPr>
        <w:t>.</w:t>
      </w:r>
      <w:r>
        <w:rPr>
          <w:rFonts w:hint="eastAsia" w:ascii="仿宋" w:hAnsi="仿宋" w:eastAsia="仿宋" w:cs="仿宋"/>
          <w:b w:val="0"/>
          <w:bCs w:val="0"/>
          <w:color w:val="auto"/>
          <w:kern w:val="0"/>
          <w:sz w:val="24"/>
          <w:highlight w:val="none"/>
          <w:lang w:val="zh-CN"/>
        </w:rPr>
        <w:t>乙方不得</w:t>
      </w:r>
      <w:r>
        <w:rPr>
          <w:rFonts w:hint="eastAsia" w:ascii="仿宋" w:hAnsi="仿宋" w:eastAsia="仿宋" w:cs="仿宋"/>
          <w:color w:val="auto"/>
          <w:kern w:val="0"/>
          <w:sz w:val="24"/>
          <w:highlight w:val="none"/>
          <w:u w:val="none"/>
          <w:lang w:val="zh-CN"/>
        </w:rPr>
        <w:t>将劳务合同转包给他人，并能按双方签订的合同要求，保质保量做好服务工作</w:t>
      </w:r>
      <w:r>
        <w:rPr>
          <w:rFonts w:hint="eastAsia" w:ascii="仿宋" w:hAnsi="仿宋" w:eastAsia="仿宋" w:cs="仿宋"/>
          <w:b w:val="0"/>
          <w:bCs w:val="0"/>
          <w:color w:val="auto"/>
          <w:kern w:val="0"/>
          <w:sz w:val="24"/>
          <w:highlight w:val="none"/>
          <w:lang w:val="zh-CN"/>
        </w:rPr>
        <w:t>。</w:t>
      </w:r>
    </w:p>
    <w:p>
      <w:pPr>
        <w:widowControl/>
        <w:snapToGrid w:val="0"/>
        <w:spacing w:line="480" w:lineRule="exact"/>
        <w:ind w:firstLine="480" w:firstLineChars="200"/>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highlight w:val="none"/>
          <w:lang w:val="zh-CN"/>
        </w:rPr>
        <w:t>2</w:t>
      </w:r>
      <w:r>
        <w:rPr>
          <w:rFonts w:hint="eastAsia" w:ascii="仿宋" w:hAnsi="仿宋" w:eastAsia="仿宋" w:cs="仿宋"/>
          <w:b w:val="0"/>
          <w:bCs w:val="0"/>
          <w:color w:val="auto"/>
          <w:kern w:val="0"/>
          <w:sz w:val="24"/>
          <w:highlight w:val="none"/>
          <w:lang w:val="en-US" w:eastAsia="zh-CN"/>
        </w:rPr>
        <w:t>.</w:t>
      </w:r>
      <w:r>
        <w:rPr>
          <w:rFonts w:hint="eastAsia" w:ascii="仿宋" w:hAnsi="仿宋" w:eastAsia="仿宋" w:cs="仿宋"/>
          <w:b w:val="0"/>
          <w:bCs w:val="0"/>
          <w:color w:val="auto"/>
          <w:kern w:val="0"/>
          <w:sz w:val="24"/>
          <w:highlight w:val="none"/>
          <w:lang w:val="zh-CN"/>
        </w:rPr>
        <w:t>乙方</w:t>
      </w:r>
      <w:r>
        <w:rPr>
          <w:rFonts w:hint="eastAsia" w:ascii="仿宋" w:hAnsi="仿宋" w:eastAsia="仿宋" w:cs="仿宋"/>
          <w:color w:val="auto"/>
          <w:kern w:val="0"/>
          <w:sz w:val="24"/>
          <w:highlight w:val="none"/>
          <w:u w:val="none"/>
          <w:lang w:val="zh-CN"/>
        </w:rPr>
        <w:t>自觉遵守甲方食堂的有关规章制度，并服从甲方的监督和管理。</w:t>
      </w:r>
    </w:p>
    <w:p>
      <w:pPr>
        <w:widowControl/>
        <w:snapToGrid w:val="0"/>
        <w:spacing w:line="480" w:lineRule="exact"/>
        <w:ind w:firstLine="480" w:firstLineChars="200"/>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highlight w:val="none"/>
          <w:lang w:val="zh-CN"/>
        </w:rPr>
        <w:t>3</w:t>
      </w:r>
      <w:r>
        <w:rPr>
          <w:rFonts w:hint="eastAsia" w:ascii="仿宋" w:hAnsi="仿宋" w:eastAsia="仿宋" w:cs="仿宋"/>
          <w:b w:val="0"/>
          <w:bCs w:val="0"/>
          <w:color w:val="auto"/>
          <w:kern w:val="0"/>
          <w:sz w:val="24"/>
          <w:highlight w:val="none"/>
          <w:lang w:val="en-US" w:eastAsia="zh-CN"/>
        </w:rPr>
        <w:t>.</w:t>
      </w:r>
      <w:r>
        <w:rPr>
          <w:rFonts w:hint="eastAsia" w:ascii="仿宋" w:hAnsi="仿宋" w:eastAsia="仿宋" w:cs="仿宋"/>
          <w:b w:val="0"/>
          <w:bCs w:val="0"/>
          <w:color w:val="auto"/>
          <w:kern w:val="0"/>
          <w:sz w:val="24"/>
          <w:highlight w:val="none"/>
          <w:lang w:val="zh-CN"/>
        </w:rPr>
        <w:t>乙方应正常保证本服务工作所需的各类人员，确保食堂安全有序正常运行，严把食品安全关，及时提供相关意见建议，确保制作菜肴放心、可靠。</w:t>
      </w:r>
    </w:p>
    <w:p>
      <w:pPr>
        <w:widowControl/>
        <w:snapToGrid w:val="0"/>
        <w:spacing w:line="480" w:lineRule="exact"/>
        <w:ind w:firstLine="480" w:firstLineChars="200"/>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highlight w:val="none"/>
          <w:lang w:val="zh-CN"/>
        </w:rPr>
        <w:t>4</w:t>
      </w:r>
      <w:r>
        <w:rPr>
          <w:rFonts w:hint="eastAsia" w:ascii="仿宋" w:hAnsi="仿宋" w:eastAsia="仿宋" w:cs="仿宋"/>
          <w:b w:val="0"/>
          <w:bCs w:val="0"/>
          <w:color w:val="auto"/>
          <w:kern w:val="0"/>
          <w:sz w:val="24"/>
          <w:highlight w:val="none"/>
          <w:lang w:val="en-US" w:eastAsia="zh-CN"/>
        </w:rPr>
        <w:t>.</w:t>
      </w:r>
      <w:r>
        <w:rPr>
          <w:rFonts w:hint="eastAsia" w:ascii="仿宋" w:hAnsi="仿宋" w:eastAsia="仿宋" w:cs="仿宋"/>
          <w:b w:val="0"/>
          <w:bCs w:val="0"/>
          <w:color w:val="auto"/>
          <w:kern w:val="0"/>
          <w:sz w:val="24"/>
          <w:highlight w:val="none"/>
          <w:lang w:val="zh-CN"/>
        </w:rPr>
        <w:t>乙方应对食堂设施设备进行日常维护保养，人为造成损坏按原价赔偿或更换。需要添置或更新设备、用品，必须提前提出申请，由甲方视实际情况决定，乙方不得以任何理由停止工作。</w:t>
      </w:r>
    </w:p>
    <w:p>
      <w:pPr>
        <w:widowControl/>
        <w:snapToGrid w:val="0"/>
        <w:spacing w:line="480" w:lineRule="exact"/>
        <w:ind w:firstLine="480" w:firstLineChars="200"/>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highlight w:val="none"/>
          <w:lang w:val="zh-CN"/>
        </w:rPr>
        <w:t>5</w:t>
      </w:r>
      <w:r>
        <w:rPr>
          <w:rFonts w:hint="eastAsia" w:ascii="仿宋" w:hAnsi="仿宋" w:eastAsia="仿宋" w:cs="仿宋"/>
          <w:b w:val="0"/>
          <w:bCs w:val="0"/>
          <w:color w:val="auto"/>
          <w:kern w:val="0"/>
          <w:sz w:val="24"/>
          <w:highlight w:val="none"/>
          <w:lang w:val="en-US" w:eastAsia="zh-CN"/>
        </w:rPr>
        <w:t>.</w:t>
      </w:r>
      <w:r>
        <w:rPr>
          <w:rFonts w:hint="eastAsia" w:ascii="仿宋" w:hAnsi="仿宋" w:eastAsia="仿宋" w:cs="仿宋"/>
          <w:b w:val="0"/>
          <w:bCs w:val="0"/>
          <w:color w:val="auto"/>
          <w:kern w:val="0"/>
          <w:sz w:val="24"/>
          <w:highlight w:val="none"/>
          <w:lang w:val="zh-CN"/>
        </w:rPr>
        <w:t>乙方有</w:t>
      </w:r>
      <w:r>
        <w:rPr>
          <w:rFonts w:hint="eastAsia" w:ascii="仿宋" w:hAnsi="Times New Roman" w:eastAsia="仿宋" w:cs="Times New Roman"/>
          <w:color w:val="auto"/>
          <w:kern w:val="0"/>
          <w:sz w:val="24"/>
          <w:highlight w:val="none"/>
          <w:u w:val="none"/>
          <w:lang w:val="zh-CN"/>
        </w:rPr>
        <w:t>完善</w:t>
      </w:r>
      <w:r>
        <w:rPr>
          <w:rFonts w:hint="eastAsia" w:ascii="仿宋" w:hAnsi="仿宋" w:eastAsia="仿宋" w:cs="仿宋"/>
          <w:b w:val="0"/>
          <w:bCs w:val="0"/>
          <w:color w:val="auto"/>
          <w:kern w:val="0"/>
          <w:sz w:val="24"/>
          <w:highlight w:val="none"/>
          <w:lang w:val="zh-CN"/>
        </w:rPr>
        <w:t>的管理结构、员工考核办法、安全卫生管理制度与应急预防方案，其流程清晰，职责明确。有服务优先的管理理念与明确的服务定位和目标方案。</w:t>
      </w:r>
    </w:p>
    <w:p>
      <w:pPr>
        <w:widowControl/>
        <w:snapToGrid w:val="0"/>
        <w:spacing w:line="480" w:lineRule="exact"/>
        <w:ind w:firstLine="480" w:firstLineChars="200"/>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highlight w:val="none"/>
          <w:lang w:val="zh-CN"/>
        </w:rPr>
        <w:t>6</w:t>
      </w:r>
      <w:r>
        <w:rPr>
          <w:rFonts w:hint="eastAsia" w:ascii="仿宋" w:hAnsi="仿宋" w:eastAsia="仿宋" w:cs="仿宋"/>
          <w:b w:val="0"/>
          <w:bCs w:val="0"/>
          <w:color w:val="auto"/>
          <w:kern w:val="0"/>
          <w:sz w:val="24"/>
          <w:highlight w:val="none"/>
          <w:lang w:val="en-US" w:eastAsia="zh-CN"/>
        </w:rPr>
        <w:t>.</w:t>
      </w:r>
      <w:r>
        <w:rPr>
          <w:rFonts w:hint="eastAsia" w:ascii="仿宋" w:hAnsi="仿宋" w:eastAsia="仿宋" w:cs="仿宋"/>
          <w:b w:val="0"/>
          <w:bCs w:val="0"/>
          <w:color w:val="auto"/>
          <w:kern w:val="0"/>
          <w:sz w:val="24"/>
          <w:highlight w:val="none"/>
          <w:lang w:val="zh-CN"/>
        </w:rPr>
        <w:t>乙方应对劳务人员能进行有效管理，并按《劳动合同法》要求对劳务人员进行培训、体检，缴纳社保等，若发生劳动争议或工伤时，均由乙方负责处理解决并承担全部责任。</w:t>
      </w:r>
    </w:p>
    <w:p>
      <w:pPr>
        <w:widowControl/>
        <w:snapToGrid w:val="0"/>
        <w:spacing w:line="480" w:lineRule="exact"/>
        <w:ind w:firstLine="480" w:firstLineChars="200"/>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kern w:val="0"/>
          <w:sz w:val="24"/>
          <w:highlight w:val="none"/>
          <w:lang w:val="zh-CN"/>
        </w:rPr>
        <w:t>7</w:t>
      </w:r>
      <w:r>
        <w:rPr>
          <w:rFonts w:hint="eastAsia" w:ascii="仿宋" w:hAnsi="仿宋" w:eastAsia="仿宋" w:cs="仿宋"/>
          <w:b w:val="0"/>
          <w:bCs w:val="0"/>
          <w:color w:val="auto"/>
          <w:kern w:val="0"/>
          <w:sz w:val="24"/>
          <w:highlight w:val="none"/>
          <w:lang w:val="en-US" w:eastAsia="zh-CN"/>
        </w:rPr>
        <w:t>.</w:t>
      </w:r>
      <w:r>
        <w:rPr>
          <w:rFonts w:hint="eastAsia" w:ascii="仿宋" w:hAnsi="仿宋" w:eastAsia="仿宋" w:cs="仿宋"/>
          <w:b w:val="0"/>
          <w:bCs w:val="0"/>
          <w:color w:val="auto"/>
          <w:kern w:val="0"/>
          <w:sz w:val="24"/>
          <w:highlight w:val="none"/>
          <w:lang w:val="zh-CN"/>
        </w:rPr>
        <w:t>乙方在履行期间无特殊情况，主要劳务技术人员不能随意更换，如变动要事先征得甲方同意后方可调整。若擅自更换服务团队的主要技术人员，由此影响工作，甲方有权扣除服务费，若未能及时落实甲方意见的可以解除合同，违约责任及由此造成的损失由乙方承担赔偿。</w:t>
      </w:r>
    </w:p>
    <w:p>
      <w:pPr>
        <w:widowControl/>
        <w:snapToGrid w:val="0"/>
        <w:spacing w:line="48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（二）甲方权利及义务</w:t>
      </w:r>
    </w:p>
    <w:p>
      <w:pPr>
        <w:widowControl/>
        <w:snapToGrid w:val="0"/>
        <w:spacing w:line="48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eastAsia="zh-CN"/>
        </w:rPr>
        <w:t>绍兴市越城区</w:t>
      </w:r>
      <w:r>
        <w:rPr>
          <w:rFonts w:hint="eastAsia" w:ascii="仿宋" w:hAnsi="仿宋" w:eastAsia="仿宋" w:cs="仿宋"/>
          <w:color w:val="auto"/>
          <w:kern w:val="0"/>
          <w:sz w:val="24"/>
          <w:highlight w:val="none"/>
          <w:lang w:val="en-US" w:eastAsia="zh-CN"/>
        </w:rPr>
        <w:t>灵芝</w:t>
      </w:r>
      <w:r>
        <w:rPr>
          <w:rFonts w:hint="eastAsia" w:ascii="仿宋" w:hAnsi="Times New Roman" w:eastAsia="仿宋" w:cs="Times New Roman"/>
          <w:color w:val="auto"/>
          <w:kern w:val="0"/>
          <w:sz w:val="24"/>
          <w:highlight w:val="none"/>
          <w:u w:val="none"/>
          <w:lang w:val="en-US" w:eastAsia="zh-CN"/>
        </w:rPr>
        <w:t>街道</w:t>
      </w:r>
      <w:r>
        <w:rPr>
          <w:rFonts w:hint="eastAsia" w:ascii="仿宋" w:hAnsi="仿宋" w:eastAsia="仿宋" w:cs="仿宋"/>
          <w:color w:val="auto"/>
          <w:kern w:val="0"/>
          <w:sz w:val="24"/>
          <w:highlight w:val="none"/>
          <w:lang w:val="en-US" w:eastAsia="zh-CN"/>
        </w:rPr>
        <w:t>办事处</w:t>
      </w:r>
      <w:r>
        <w:rPr>
          <w:rFonts w:hint="eastAsia" w:ascii="仿宋" w:hAnsi="仿宋" w:eastAsia="仿宋" w:cs="仿宋"/>
          <w:color w:val="auto"/>
          <w:kern w:val="0"/>
          <w:sz w:val="24"/>
          <w:highlight w:val="none"/>
        </w:rPr>
        <w:t>（下称甲方）</w:t>
      </w:r>
      <w:r>
        <w:rPr>
          <w:rFonts w:hint="eastAsia" w:ascii="仿宋" w:hAnsi="仿宋" w:eastAsia="仿宋" w:cs="仿宋"/>
          <w:color w:val="auto"/>
          <w:kern w:val="0"/>
          <w:sz w:val="24"/>
          <w:highlight w:val="none"/>
          <w:lang w:val="zh-CN"/>
        </w:rPr>
        <w:t>负责提供食堂所需的用房与水、电、气等，并负责做好食堂有关硬件设施的配备和日常维修工作，费用由甲方负责。</w:t>
      </w:r>
    </w:p>
    <w:p>
      <w:pPr>
        <w:widowControl/>
        <w:snapToGrid w:val="0"/>
        <w:spacing w:line="48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甲方负责食用原材料与日用品的统一采购与配送，并负责物品物资进出的日常管理。</w:t>
      </w:r>
    </w:p>
    <w:p>
      <w:pPr>
        <w:widowControl/>
        <w:snapToGrid w:val="0"/>
        <w:spacing w:line="48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甲方有权对乙方</w:t>
      </w:r>
      <w:r>
        <w:rPr>
          <w:rFonts w:hint="eastAsia" w:ascii="仿宋" w:hAnsi="Times New Roman" w:eastAsia="仿宋" w:cs="Times New Roman"/>
          <w:color w:val="auto"/>
          <w:kern w:val="0"/>
          <w:sz w:val="24"/>
          <w:highlight w:val="none"/>
          <w:u w:val="none"/>
          <w:lang w:val="zh-CN"/>
        </w:rPr>
        <w:t>任何</w:t>
      </w:r>
      <w:r>
        <w:rPr>
          <w:rFonts w:hint="eastAsia" w:ascii="仿宋" w:hAnsi="仿宋" w:eastAsia="仿宋" w:cs="仿宋"/>
          <w:color w:val="auto"/>
          <w:kern w:val="0"/>
          <w:sz w:val="24"/>
          <w:highlight w:val="none"/>
          <w:lang w:val="zh-CN"/>
        </w:rPr>
        <w:t>指派人员进行必要的监管，在正当理由下，有权向乙方提出更换指派人员的要求。</w:t>
      </w:r>
    </w:p>
    <w:p>
      <w:pPr>
        <w:widowControl/>
        <w:snapToGrid w:val="0"/>
        <w:spacing w:line="48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诚邀食品卫生</w:t>
      </w:r>
      <w:r>
        <w:rPr>
          <w:rFonts w:hint="eastAsia" w:ascii="仿宋" w:hAnsi="Times New Roman" w:eastAsia="仿宋" w:cs="Times New Roman"/>
          <w:color w:val="auto"/>
          <w:kern w:val="0"/>
          <w:sz w:val="24"/>
          <w:highlight w:val="none"/>
          <w:u w:val="none"/>
          <w:lang w:val="zh-CN"/>
        </w:rPr>
        <w:t>监督</w:t>
      </w:r>
      <w:r>
        <w:rPr>
          <w:rFonts w:hint="eastAsia" w:ascii="仿宋" w:hAnsi="仿宋" w:eastAsia="仿宋" w:cs="仿宋"/>
          <w:color w:val="auto"/>
          <w:kern w:val="0"/>
          <w:sz w:val="24"/>
          <w:highlight w:val="none"/>
          <w:lang w:val="zh-CN"/>
        </w:rPr>
        <w:t>机构定期或不定期抽检，并组织培训相关食品安全等知识，乙方从业人员无条件协助和参与。</w:t>
      </w:r>
    </w:p>
    <w:p>
      <w:pPr>
        <w:widowControl/>
        <w:snapToGrid w:val="0"/>
        <w:spacing w:line="48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甲方根据实际</w:t>
      </w:r>
      <w:r>
        <w:rPr>
          <w:rFonts w:hint="eastAsia" w:ascii="仿宋" w:hAnsi="Times New Roman" w:eastAsia="仿宋" w:cs="Times New Roman"/>
          <w:color w:val="auto"/>
          <w:kern w:val="0"/>
          <w:sz w:val="24"/>
          <w:highlight w:val="none"/>
          <w:u w:val="none"/>
          <w:lang w:val="zh-CN"/>
        </w:rPr>
        <w:t>考核</w:t>
      </w:r>
      <w:r>
        <w:rPr>
          <w:rFonts w:hint="eastAsia" w:ascii="仿宋" w:hAnsi="仿宋" w:eastAsia="仿宋" w:cs="仿宋"/>
          <w:color w:val="auto"/>
          <w:kern w:val="0"/>
          <w:sz w:val="24"/>
          <w:highlight w:val="none"/>
          <w:lang w:val="zh-CN"/>
        </w:rPr>
        <w:t>结果，按季向乙方支付服务费，无特殊情况，在</w:t>
      </w:r>
      <w:r>
        <w:rPr>
          <w:rFonts w:hint="eastAsia" w:ascii="仿宋" w:eastAsia="仿宋"/>
          <w:color w:val="auto"/>
          <w:kern w:val="0"/>
          <w:sz w:val="24"/>
          <w:highlight w:val="none"/>
          <w:lang w:eastAsia="zh-CN"/>
        </w:rPr>
        <w:t>下季度</w:t>
      </w:r>
      <w:r>
        <w:rPr>
          <w:rFonts w:hint="eastAsia" w:ascii="仿宋" w:eastAsia="仿宋"/>
          <w:color w:val="auto"/>
          <w:kern w:val="0"/>
          <w:sz w:val="24"/>
          <w:highlight w:val="none"/>
          <w:lang w:val="en-US" w:eastAsia="zh-CN"/>
        </w:rPr>
        <w:t>20</w:t>
      </w:r>
      <w:r>
        <w:rPr>
          <w:rFonts w:hint="eastAsia" w:ascii="仿宋" w:eastAsia="仿宋"/>
          <w:color w:val="auto"/>
          <w:kern w:val="0"/>
          <w:sz w:val="24"/>
          <w:highlight w:val="none"/>
        </w:rPr>
        <w:t>日前支付上</w:t>
      </w:r>
      <w:r>
        <w:rPr>
          <w:rFonts w:hint="eastAsia" w:ascii="仿宋" w:eastAsia="仿宋"/>
          <w:color w:val="auto"/>
          <w:kern w:val="0"/>
          <w:sz w:val="24"/>
          <w:highlight w:val="none"/>
          <w:lang w:eastAsia="zh-CN"/>
        </w:rPr>
        <w:t>季度</w:t>
      </w:r>
      <w:r>
        <w:rPr>
          <w:rFonts w:hint="eastAsia" w:ascii="仿宋" w:eastAsia="仿宋"/>
          <w:color w:val="auto"/>
          <w:kern w:val="0"/>
          <w:sz w:val="24"/>
          <w:highlight w:val="none"/>
        </w:rPr>
        <w:t>服务费用</w:t>
      </w:r>
      <w:r>
        <w:rPr>
          <w:rFonts w:hint="eastAsia" w:ascii="仿宋" w:hAnsi="仿宋" w:eastAsia="仿宋" w:cs="仿宋"/>
          <w:color w:val="auto"/>
          <w:kern w:val="0"/>
          <w:sz w:val="24"/>
          <w:highlight w:val="none"/>
          <w:lang w:val="zh-CN"/>
        </w:rPr>
        <w:t>。</w:t>
      </w:r>
    </w:p>
    <w:p>
      <w:pPr>
        <w:widowControl/>
        <w:snapToGrid w:val="0"/>
        <w:spacing w:line="48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（三）乙方权利及义务</w:t>
      </w:r>
    </w:p>
    <w:p>
      <w:pPr>
        <w:widowControl/>
        <w:snapToGrid w:val="0"/>
        <w:spacing w:line="48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zh-CN"/>
        </w:rPr>
        <w:t>中标单位（下称乙方）应在中标后</w:t>
      </w:r>
      <w:r>
        <w:rPr>
          <w:rFonts w:hint="eastAsia" w:ascii="仿宋" w:hAnsi="仿宋" w:eastAsia="仿宋" w:cs="仿宋"/>
          <w:color w:val="auto"/>
          <w:sz w:val="24"/>
          <w:highlight w:val="none"/>
          <w:lang w:val="en-US" w:eastAsia="zh-CN"/>
        </w:rPr>
        <w:t>签订合同前</w:t>
      </w:r>
      <w:r>
        <w:rPr>
          <w:rFonts w:hint="eastAsia" w:ascii="仿宋" w:hAnsi="仿宋" w:eastAsia="仿宋" w:cs="仿宋"/>
          <w:color w:val="auto"/>
          <w:sz w:val="24"/>
          <w:highlight w:val="none"/>
          <w:lang w:val="zh-CN"/>
        </w:rPr>
        <w:t>向甲方一次性缴纳合同金额</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%的履约保证金，乙方按约履行合同的，履约保证金至合同期结束后全额归还，不计息。</w:t>
      </w:r>
    </w:p>
    <w:p>
      <w:pPr>
        <w:widowControl/>
        <w:snapToGrid w:val="0"/>
        <w:spacing w:line="48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zh-CN"/>
        </w:rPr>
        <w:t>乙方应在每周四前制定好下</w:t>
      </w:r>
      <w:r>
        <w:rPr>
          <w:rFonts w:hint="eastAsia" w:ascii="仿宋" w:hAnsi="Times New Roman" w:eastAsia="仿宋" w:cs="Times New Roman"/>
          <w:color w:val="auto"/>
          <w:kern w:val="0"/>
          <w:sz w:val="24"/>
          <w:highlight w:val="none"/>
          <w:u w:val="none"/>
          <w:lang w:val="zh-CN"/>
        </w:rPr>
        <w:t>一周</w:t>
      </w:r>
      <w:r>
        <w:rPr>
          <w:rFonts w:hint="eastAsia" w:ascii="仿宋" w:hAnsi="仿宋" w:eastAsia="仿宋" w:cs="仿宋"/>
          <w:color w:val="auto"/>
          <w:sz w:val="24"/>
          <w:highlight w:val="none"/>
          <w:lang w:val="zh-CN"/>
        </w:rPr>
        <w:t>的菜单，并提前一天提供次日所需的原材料品种、数量等，交甲方指定人员确认。对公务接待用餐，要根据用餐人数和要求，及时提供菜单。</w:t>
      </w:r>
    </w:p>
    <w:p>
      <w:pPr>
        <w:widowControl/>
        <w:snapToGrid w:val="0"/>
        <w:spacing w:line="48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zh-CN"/>
        </w:rPr>
        <w:t>乙方人为造成</w:t>
      </w:r>
      <w:r>
        <w:rPr>
          <w:rFonts w:hint="eastAsia" w:ascii="仿宋" w:hAnsi="Times New Roman" w:eastAsia="仿宋" w:cs="Times New Roman"/>
          <w:color w:val="auto"/>
          <w:kern w:val="0"/>
          <w:sz w:val="24"/>
          <w:highlight w:val="none"/>
          <w:u w:val="none"/>
          <w:lang w:val="zh-CN"/>
        </w:rPr>
        <w:t>原材料</w:t>
      </w:r>
      <w:r>
        <w:rPr>
          <w:rFonts w:hint="eastAsia" w:ascii="仿宋" w:hAnsi="仿宋" w:eastAsia="仿宋" w:cs="仿宋"/>
          <w:color w:val="auto"/>
          <w:sz w:val="24"/>
          <w:highlight w:val="none"/>
          <w:lang w:val="zh-CN"/>
        </w:rPr>
        <w:t>和日常用品的浪费，按原值的2倍赔偿，发现个人私拿原材料等物品或做人情的，按原值的5倍赔偿，甲方在当季的服务费中扣除。</w:t>
      </w:r>
    </w:p>
    <w:p>
      <w:pPr>
        <w:widowControl/>
        <w:snapToGrid w:val="0"/>
        <w:spacing w:line="48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zh-CN"/>
        </w:rPr>
        <w:t>乙方应指定相关人员与甲方指定人员核实原材料进出的数量和质量等，由双方签字确认。</w:t>
      </w:r>
    </w:p>
    <w:p>
      <w:pPr>
        <w:widowControl/>
        <w:snapToGrid w:val="0"/>
        <w:spacing w:line="48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rPr>
        <w:t>乙方应对指派人员经常进行培训、教育，做到操作规范，文明礼貌，热情周到，优质服务。并要统一规范着装与持证上岗。</w:t>
      </w:r>
    </w:p>
    <w:p>
      <w:pPr>
        <w:widowControl/>
        <w:snapToGrid w:val="0"/>
        <w:spacing w:line="48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乙方应想方设法提高餐饮服务质量，注重菜肴的色、香、味、美、鲜，做到品种多样化，对干部职工提出的合理要求与建议意见要及时改进，确保服务满意度在80%以上。</w:t>
      </w:r>
    </w:p>
    <w:p>
      <w:pPr>
        <w:widowControl/>
        <w:snapToGrid w:val="0"/>
        <w:spacing w:line="48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乙方应自觉</w:t>
      </w:r>
      <w:r>
        <w:rPr>
          <w:rFonts w:hint="eastAsia" w:ascii="仿宋" w:hAnsi="Times New Roman" w:eastAsia="仿宋" w:cs="Times New Roman"/>
          <w:color w:val="auto"/>
          <w:kern w:val="0"/>
          <w:sz w:val="24"/>
          <w:highlight w:val="none"/>
          <w:u w:val="none"/>
          <w:lang w:val="zh-CN"/>
        </w:rPr>
        <w:t>接受</w:t>
      </w:r>
      <w:r>
        <w:rPr>
          <w:rFonts w:hint="eastAsia" w:ascii="仿宋" w:hAnsi="仿宋" w:eastAsia="仿宋" w:cs="仿宋"/>
          <w:color w:val="auto"/>
          <w:sz w:val="24"/>
          <w:highlight w:val="none"/>
          <w:lang w:val="zh-CN"/>
        </w:rPr>
        <w:t>甲方和卫生防疫等职能部门的监督检查。加强对食品卫生的管理，确保食品安全无事故。若因派遣人员工作失误或派遣单位管理不力，发生食品安全事故，由此造成的损失与责任，均由乙方负责赔偿与承担。</w:t>
      </w:r>
    </w:p>
    <w:p>
      <w:pPr>
        <w:widowControl/>
        <w:snapToGrid w:val="0"/>
        <w:spacing w:line="48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乙方应严格</w:t>
      </w:r>
      <w:r>
        <w:rPr>
          <w:rFonts w:hint="eastAsia" w:ascii="仿宋" w:hAnsi="Times New Roman" w:eastAsia="仿宋" w:cs="Times New Roman"/>
          <w:color w:val="auto"/>
          <w:kern w:val="0"/>
          <w:sz w:val="24"/>
          <w:highlight w:val="none"/>
          <w:u w:val="none"/>
          <w:lang w:val="zh-CN"/>
        </w:rPr>
        <w:t>按照</w:t>
      </w:r>
      <w:r>
        <w:rPr>
          <w:rFonts w:hint="eastAsia" w:ascii="仿宋" w:hAnsi="仿宋" w:eastAsia="仿宋" w:cs="仿宋"/>
          <w:color w:val="auto"/>
          <w:sz w:val="24"/>
          <w:highlight w:val="none"/>
          <w:lang w:val="zh-CN"/>
        </w:rPr>
        <w:t>食堂“五常法”管理的要求，认真做好厨具、餐具的消毒工作，对食堂所辖的环境卫生做到每日打扫、一周一大扫，实行定岗、定位实时保洁。</w:t>
      </w:r>
    </w:p>
    <w:p>
      <w:pPr>
        <w:widowControl/>
        <w:snapToGrid w:val="0"/>
        <w:spacing w:line="48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乙方应按餐饮行业有关规定和甲方要求，做好用电、用水、用气安全教育工作，预防发生此类</w:t>
      </w:r>
      <w:r>
        <w:rPr>
          <w:rFonts w:hint="eastAsia" w:ascii="仿宋" w:hAnsi="Times New Roman" w:eastAsia="仿宋" w:cs="Times New Roman"/>
          <w:color w:val="auto"/>
          <w:kern w:val="0"/>
          <w:sz w:val="24"/>
          <w:highlight w:val="none"/>
          <w:u w:val="none"/>
          <w:lang w:val="zh-CN"/>
        </w:rPr>
        <w:t>引发</w:t>
      </w:r>
      <w:r>
        <w:rPr>
          <w:rFonts w:hint="eastAsia" w:ascii="仿宋" w:hAnsi="仿宋" w:eastAsia="仿宋" w:cs="仿宋"/>
          <w:color w:val="auto"/>
          <w:sz w:val="24"/>
          <w:highlight w:val="none"/>
          <w:lang w:val="zh-CN"/>
        </w:rPr>
        <w:t>的事故，若人为原因造成损失的，乙方承担一切责任并赔偿相应损失。</w:t>
      </w:r>
    </w:p>
    <w:p>
      <w:pPr>
        <w:widowControl/>
        <w:snapToGrid w:val="0"/>
        <w:spacing w:line="480" w:lineRule="exact"/>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10.除工作日以外，根据甲方</w:t>
      </w:r>
      <w:r>
        <w:rPr>
          <w:rFonts w:hint="eastAsia" w:ascii="仿宋" w:hAnsi="仿宋" w:eastAsia="仿宋" w:cs="仿宋"/>
          <w:color w:val="auto"/>
          <w:kern w:val="0"/>
          <w:sz w:val="24"/>
          <w:highlight w:val="none"/>
          <w:lang w:eastAsia="zh-CN"/>
        </w:rPr>
        <w:t>工作需求</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乙方需</w:t>
      </w:r>
      <w:r>
        <w:rPr>
          <w:rFonts w:hint="eastAsia" w:ascii="仿宋" w:hAnsi="仿宋" w:eastAsia="仿宋" w:cs="仿宋"/>
          <w:color w:val="auto"/>
          <w:kern w:val="0"/>
          <w:sz w:val="24"/>
          <w:highlight w:val="none"/>
        </w:rPr>
        <w:t>在双休日或者国家法定节假日提供餐饮服务。</w:t>
      </w:r>
    </w:p>
    <w:p>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w:t>
      </w:r>
      <w:r>
        <w:rPr>
          <w:rFonts w:hint="eastAsia" w:ascii="仿宋" w:eastAsia="仿宋"/>
          <w:color w:val="auto"/>
          <w:kern w:val="0"/>
          <w:sz w:val="24"/>
          <w:highlight w:val="none"/>
          <w:u w:val="none"/>
          <w:lang w:val="en-US" w:eastAsia="zh-CN"/>
        </w:rPr>
        <w:t>.</w:t>
      </w:r>
      <w:r>
        <w:rPr>
          <w:rFonts w:hint="eastAsia" w:ascii="仿宋" w:eastAsia="仿宋"/>
          <w:color w:val="auto"/>
          <w:kern w:val="0"/>
          <w:sz w:val="24"/>
          <w:highlight w:val="none"/>
          <w:u w:val="none"/>
        </w:rPr>
        <w:t>乙方应保证所提供的货物与服务均不会侵犯任何第三方的知识产权。</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w:t>
      </w:r>
      <w:r>
        <w:rPr>
          <w:rFonts w:hint="eastAsia" w:ascii="仿宋" w:eastAsia="仿宋"/>
          <w:color w:val="auto"/>
          <w:kern w:val="0"/>
          <w:sz w:val="24"/>
          <w:highlight w:val="none"/>
          <w:u w:val="none"/>
          <w:lang w:val="en-US" w:eastAsia="zh-CN"/>
        </w:rPr>
        <w:t>.</w:t>
      </w:r>
      <w:r>
        <w:rPr>
          <w:rFonts w:hint="eastAsia" w:ascii="仿宋" w:eastAsia="仿宋"/>
          <w:color w:val="auto"/>
          <w:kern w:val="0"/>
          <w:sz w:val="24"/>
          <w:highlight w:val="none"/>
          <w:u w:val="none"/>
        </w:rPr>
        <w:t>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5.解除合同应按《浙江省合同管理办法》向财政备案。</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pPr>
        <w:pStyle w:val="3"/>
        <w:keepNext/>
        <w:keepLines/>
        <w:pageBreakBefore/>
        <w:widowControl/>
        <w:suppressLineNumbers w:val="0"/>
        <w:suppressAutoHyphens w:val="0"/>
        <w:kinsoku/>
        <w:wordWrap/>
        <w:overflowPunct/>
        <w:topLinePunct w:val="0"/>
        <w:autoSpaceDE/>
        <w:autoSpaceDN/>
        <w:bidi w:val="0"/>
        <w:adjustRightInd/>
        <w:snapToGrid/>
        <w:spacing w:line="579" w:lineRule="auto"/>
        <w:jc w:val="center"/>
        <w:textAlignment w:val="auto"/>
        <w:rPr>
          <w:rFonts w:hint="eastAsia" w:ascii="仿宋"/>
          <w:color w:val="auto"/>
          <w:highlight w:val="none"/>
        </w:rPr>
      </w:pPr>
      <w:bookmarkStart w:id="44" w:name="_Toc14424"/>
      <w:r>
        <w:rPr>
          <w:rFonts w:hint="eastAsia" w:ascii="仿宋"/>
          <w:color w:val="auto"/>
          <w:highlight w:val="none"/>
        </w:rPr>
        <w:t>第五章  评标办法及标准</w:t>
      </w:r>
      <w:bookmarkEnd w:id="44"/>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30"/>
        <w:tblW w:w="53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886"/>
        <w:gridCol w:w="711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6" w:type="pct"/>
            <w:vAlign w:val="center"/>
          </w:tcPr>
          <w:p>
            <w:pPr>
              <w:widowControl/>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序号</w:t>
            </w:r>
          </w:p>
        </w:tc>
        <w:tc>
          <w:tcPr>
            <w:tcW w:w="468" w:type="pct"/>
            <w:vAlign w:val="center"/>
          </w:tcPr>
          <w:p>
            <w:pPr>
              <w:widowControl/>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w:t>
            </w:r>
          </w:p>
        </w:tc>
        <w:tc>
          <w:tcPr>
            <w:tcW w:w="3760" w:type="pct"/>
            <w:vAlign w:val="center"/>
          </w:tcPr>
          <w:p>
            <w:pPr>
              <w:widowControl/>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评分细则</w:t>
            </w:r>
          </w:p>
        </w:tc>
        <w:tc>
          <w:tcPr>
            <w:tcW w:w="403" w:type="pct"/>
            <w:vAlign w:val="center"/>
          </w:tcPr>
          <w:p>
            <w:pPr>
              <w:widowControl/>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366" w:type="pct"/>
            <w:vAlign w:val="center"/>
          </w:tcPr>
          <w:p>
            <w:pPr>
              <w:widowControl/>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468" w:type="pct"/>
            <w:vAlign w:val="center"/>
          </w:tcPr>
          <w:p>
            <w:pPr>
              <w:widowControl/>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企业</w:t>
            </w:r>
          </w:p>
          <w:p>
            <w:pPr>
              <w:widowControl/>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资质</w:t>
            </w:r>
          </w:p>
        </w:tc>
        <w:tc>
          <w:tcPr>
            <w:tcW w:w="3760" w:type="pct"/>
            <w:vAlign w:val="center"/>
          </w:tcPr>
          <w:p>
            <w:pPr>
              <w:widowControl/>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投标单位具有ISO9001质量管理体系认证证书的得1分；</w:t>
            </w:r>
          </w:p>
          <w:p>
            <w:pPr>
              <w:widowControl/>
              <w:spacing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2.投标单位具有ISO45001职业健康安全管理体系认证证书的得1分；</w:t>
            </w:r>
          </w:p>
          <w:p>
            <w:pPr>
              <w:widowControl/>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投标单位具有ISO14001环境管理体系认证证书的得1分；</w:t>
            </w:r>
          </w:p>
          <w:p>
            <w:pPr>
              <w:widowControl/>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投标单位具有ISO22000食品安全管理体系证书的得1分；</w:t>
            </w:r>
          </w:p>
          <w:p>
            <w:pPr>
              <w:widowControl/>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投标单位具有HACCP管理体系证书的得1分；</w:t>
            </w:r>
          </w:p>
          <w:p>
            <w:pPr>
              <w:widowControl/>
              <w:spacing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6.投标单位具有RB/T309-2017餐饮服务认证证书的得1分。</w:t>
            </w:r>
          </w:p>
          <w:p>
            <w:pPr>
              <w:widowControl/>
              <w:spacing w:line="24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rPr>
              <w:t>（投标文件中提供有效期内证书原件扫描件或复印件</w:t>
            </w:r>
            <w:r>
              <w:rPr>
                <w:rFonts w:hint="eastAsia" w:ascii="仿宋" w:hAnsi="仿宋" w:eastAsia="仿宋" w:cs="仿宋"/>
                <w:b/>
                <w:bCs/>
                <w:color w:val="auto"/>
                <w:sz w:val="21"/>
                <w:szCs w:val="21"/>
                <w:highlight w:val="none"/>
                <w:lang w:eastAsia="zh-CN"/>
              </w:rPr>
              <w:t>并附全国认证认可信息公共服务平台http：//cx.cnca.cn网站查询截图，</w:t>
            </w:r>
            <w:r>
              <w:rPr>
                <w:rFonts w:hint="eastAsia" w:ascii="仿宋" w:hAnsi="仿宋" w:eastAsia="仿宋" w:cs="仿宋"/>
                <w:b/>
                <w:bCs/>
                <w:color w:val="auto"/>
                <w:sz w:val="21"/>
                <w:szCs w:val="21"/>
                <w:highlight w:val="none"/>
              </w:rPr>
              <w:t>加盖投标单位公章</w:t>
            </w:r>
            <w:r>
              <w:rPr>
                <w:rFonts w:hint="eastAsia" w:ascii="仿宋" w:hAnsi="仿宋" w:eastAsia="仿宋" w:cs="仿宋"/>
                <w:b/>
                <w:bCs/>
                <w:color w:val="auto"/>
                <w:sz w:val="21"/>
                <w:szCs w:val="21"/>
                <w:highlight w:val="none"/>
                <w:lang w:eastAsia="zh-CN"/>
              </w:rPr>
              <w:t>；所有证书认证范围应与餐饮服务或热食类食品制售等有关，否则无效。</w:t>
            </w:r>
            <w:r>
              <w:rPr>
                <w:rFonts w:hint="eastAsia" w:ascii="仿宋" w:hAnsi="仿宋" w:eastAsia="仿宋" w:cs="仿宋"/>
                <w:b/>
                <w:bCs/>
                <w:color w:val="auto"/>
                <w:sz w:val="21"/>
                <w:szCs w:val="21"/>
                <w:highlight w:val="none"/>
              </w:rPr>
              <w:t>）</w:t>
            </w:r>
          </w:p>
        </w:tc>
        <w:tc>
          <w:tcPr>
            <w:tcW w:w="403" w:type="pct"/>
            <w:vAlign w:val="center"/>
          </w:tcPr>
          <w:p>
            <w:pPr>
              <w:widowControl/>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Align w:val="center"/>
          </w:tcPr>
          <w:p>
            <w:pPr>
              <w:widowControl/>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468" w:type="pct"/>
            <w:vAlign w:val="center"/>
          </w:tcPr>
          <w:p>
            <w:pPr>
              <w:widowControl/>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安全</w:t>
            </w:r>
          </w:p>
          <w:p>
            <w:pPr>
              <w:widowControl/>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保障</w:t>
            </w:r>
          </w:p>
        </w:tc>
        <w:tc>
          <w:tcPr>
            <w:tcW w:w="3760" w:type="pct"/>
            <w:vAlign w:val="center"/>
          </w:tcPr>
          <w:p>
            <w:pPr>
              <w:widowControl/>
              <w:numPr>
                <w:ilvl w:val="0"/>
                <w:numId w:val="0"/>
              </w:numPr>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投标单位投保的食品安全责任保险总保额达到</w:t>
            </w:r>
            <w:r>
              <w:rPr>
                <w:rFonts w:hint="eastAsia" w:ascii="仿宋" w:hAnsi="仿宋" w:eastAsia="仿宋" w:cs="仿宋"/>
                <w:color w:val="auto"/>
                <w:sz w:val="21"/>
                <w:szCs w:val="21"/>
                <w:highlight w:val="none"/>
                <w:lang w:val="en-US" w:eastAsia="zh-CN"/>
              </w:rPr>
              <w:t>1000</w:t>
            </w:r>
            <w:r>
              <w:rPr>
                <w:rFonts w:hint="eastAsia" w:ascii="仿宋" w:hAnsi="仿宋" w:eastAsia="仿宋" w:cs="仿宋"/>
                <w:color w:val="auto"/>
                <w:sz w:val="21"/>
                <w:szCs w:val="21"/>
                <w:highlight w:val="none"/>
              </w:rPr>
              <w:t>万的得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分，每增加</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00万元得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pPr>
              <w:widowControl/>
              <w:numPr>
                <w:ilvl w:val="0"/>
                <w:numId w:val="0"/>
              </w:numPr>
              <w:spacing w:line="240" w:lineRule="auto"/>
              <w:ind w:lef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2.投标单位投保团体人身意外伤害保险（雇主责任险）的，投保人数50人以上得1分，每增加40人得0.5分，最高得2分。</w:t>
            </w:r>
          </w:p>
          <w:p>
            <w:pPr>
              <w:widowControl/>
              <w:numPr>
                <w:ilvl w:val="0"/>
                <w:numId w:val="0"/>
              </w:numPr>
              <w:spacing w:line="240" w:lineRule="auto"/>
              <w:ind w:lef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投标单位投保公众责任保险的，得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pPr>
              <w:widowControl/>
              <w:numPr>
                <w:ilvl w:val="0"/>
                <w:numId w:val="0"/>
              </w:numPr>
              <w:spacing w:line="240" w:lineRule="auto"/>
              <w:ind w:leftChars="0"/>
              <w:jc w:val="lef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（投标文件中提供有效期内的食品安全管理责任保险</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团体人身意外伤害保险</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雇主责任险</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公众责任保险的保单原件扫描件或复印件</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加盖投标单位公章）</w:t>
            </w:r>
          </w:p>
        </w:tc>
        <w:tc>
          <w:tcPr>
            <w:tcW w:w="403" w:type="pct"/>
            <w:vAlign w:val="center"/>
          </w:tcPr>
          <w:p>
            <w:pPr>
              <w:widowControl/>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Align w:val="center"/>
          </w:tcPr>
          <w:p>
            <w:pPr>
              <w:widowControl/>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468" w:type="pct"/>
            <w:vAlign w:val="center"/>
          </w:tcPr>
          <w:p>
            <w:pPr>
              <w:widowControl/>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类似</w:t>
            </w:r>
          </w:p>
          <w:p>
            <w:pPr>
              <w:widowControl/>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业绩</w:t>
            </w:r>
          </w:p>
        </w:tc>
        <w:tc>
          <w:tcPr>
            <w:tcW w:w="3760" w:type="pct"/>
            <w:vAlign w:val="center"/>
          </w:tcPr>
          <w:p>
            <w:pPr>
              <w:widowControl/>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投标单位自2019年1月1日至今（以合同签订时间为准），具有同类机关、事业单位餐饮服务</w:t>
            </w:r>
            <w:r>
              <w:rPr>
                <w:rFonts w:hint="eastAsia" w:ascii="仿宋" w:hAnsi="仿宋" w:eastAsia="仿宋" w:cs="仿宋"/>
                <w:color w:val="auto"/>
                <w:sz w:val="21"/>
                <w:szCs w:val="21"/>
                <w:highlight w:val="none"/>
                <w:lang w:eastAsia="zh-CN"/>
              </w:rPr>
              <w:t>类似</w:t>
            </w:r>
            <w:r>
              <w:rPr>
                <w:rFonts w:hint="eastAsia" w:ascii="仿宋" w:hAnsi="仿宋" w:eastAsia="仿宋" w:cs="仿宋"/>
                <w:color w:val="auto"/>
                <w:sz w:val="21"/>
                <w:szCs w:val="21"/>
                <w:highlight w:val="none"/>
              </w:rPr>
              <w:t>业绩的，每提供1个得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分（同一业主单位不累计，窗口及风味餐厅的经营协议不得分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pPr>
              <w:widowControl/>
              <w:spacing w:line="240"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eastAsia="zh-CN"/>
              </w:rPr>
              <w:t>（投标文件中</w:t>
            </w:r>
            <w:r>
              <w:rPr>
                <w:rFonts w:hint="eastAsia" w:ascii="仿宋" w:hAnsi="仿宋" w:eastAsia="仿宋" w:cs="仿宋"/>
                <w:b/>
                <w:bCs/>
                <w:color w:val="auto"/>
                <w:sz w:val="21"/>
                <w:szCs w:val="21"/>
                <w:highlight w:val="none"/>
              </w:rPr>
              <w:t>提供中标通知书和合同原件扫描件或复印件</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加盖投标单位公章）</w:t>
            </w:r>
          </w:p>
        </w:tc>
        <w:tc>
          <w:tcPr>
            <w:tcW w:w="403" w:type="pct"/>
            <w:vAlign w:val="center"/>
          </w:tcPr>
          <w:p>
            <w:pPr>
              <w:widowControl/>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6" w:type="pct"/>
            <w:vAlign w:val="center"/>
          </w:tcPr>
          <w:p>
            <w:pPr>
              <w:widowControl/>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468" w:type="pct"/>
            <w:vAlign w:val="center"/>
          </w:tcPr>
          <w:p>
            <w:pPr>
              <w:widowControl/>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人员</w:t>
            </w:r>
          </w:p>
          <w:p>
            <w:pPr>
              <w:widowControl/>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方案</w:t>
            </w:r>
          </w:p>
        </w:tc>
        <w:tc>
          <w:tcPr>
            <w:tcW w:w="3760" w:type="pct"/>
            <w:vAlign w:val="center"/>
          </w:tcPr>
          <w:p>
            <w:pPr>
              <w:widowControl/>
              <w:numPr>
                <w:ilvl w:val="0"/>
                <w:numId w:val="0"/>
              </w:num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拟任厨师长（兼负责人）</w:t>
            </w:r>
            <w:r>
              <w:rPr>
                <w:rFonts w:hint="eastAsia" w:ascii="仿宋" w:hAnsi="仿宋" w:eastAsia="仿宋" w:cs="仿宋"/>
                <w:color w:val="auto"/>
                <w:sz w:val="21"/>
                <w:szCs w:val="21"/>
                <w:highlight w:val="none"/>
              </w:rPr>
              <w:t>：具有餐饮业职业经理人</w:t>
            </w:r>
            <w:r>
              <w:rPr>
                <w:rFonts w:hint="eastAsia" w:ascii="仿宋" w:hAnsi="仿宋" w:eastAsia="仿宋" w:cs="仿宋"/>
                <w:color w:val="auto"/>
                <w:sz w:val="21"/>
                <w:szCs w:val="21"/>
                <w:highlight w:val="none"/>
                <w:lang w:eastAsia="zh-CN"/>
              </w:rPr>
              <w:t>资格</w:t>
            </w:r>
            <w:r>
              <w:rPr>
                <w:rFonts w:hint="eastAsia" w:ascii="仿宋" w:hAnsi="仿宋" w:eastAsia="仿宋" w:cs="仿宋"/>
                <w:color w:val="auto"/>
                <w:sz w:val="21"/>
                <w:szCs w:val="21"/>
                <w:highlight w:val="none"/>
              </w:rPr>
              <w:t>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pPr>
              <w:widowControl/>
              <w:numPr>
                <w:ilvl w:val="0"/>
                <w:numId w:val="0"/>
              </w:num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具有高级公共营养师证书得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pPr>
              <w:widowControl/>
              <w:numPr>
                <w:ilvl w:val="0"/>
                <w:numId w:val="0"/>
              </w:num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具有营养配餐员证书得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pPr>
              <w:widowControl/>
              <w:numPr>
                <w:ilvl w:val="0"/>
                <w:numId w:val="0"/>
              </w:num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具有食品安全管理师得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pPr>
              <w:widowControl/>
              <w:numPr>
                <w:ilvl w:val="0"/>
                <w:numId w:val="0"/>
              </w:numPr>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具有高级技能（国家职业资格三级）</w:t>
            </w:r>
            <w:r>
              <w:rPr>
                <w:rFonts w:hint="eastAsia" w:ascii="仿宋" w:hAnsi="仿宋" w:eastAsia="仿宋" w:cs="仿宋"/>
                <w:color w:val="auto"/>
                <w:sz w:val="21"/>
                <w:szCs w:val="21"/>
                <w:highlight w:val="none"/>
                <w:lang w:val="en-US" w:eastAsia="zh-CN"/>
              </w:rPr>
              <w:t>中式</w:t>
            </w:r>
            <w:r>
              <w:rPr>
                <w:rFonts w:hint="eastAsia" w:ascii="仿宋" w:hAnsi="仿宋" w:eastAsia="仿宋" w:cs="仿宋"/>
                <w:color w:val="auto"/>
                <w:sz w:val="21"/>
                <w:szCs w:val="21"/>
                <w:highlight w:val="none"/>
              </w:rPr>
              <w:t>烹调师等级证书得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或</w:t>
            </w:r>
            <w:r>
              <w:rPr>
                <w:rFonts w:hint="eastAsia" w:ascii="仿宋" w:hAnsi="仿宋" w:eastAsia="仿宋" w:cs="仿宋"/>
                <w:color w:val="auto"/>
                <w:sz w:val="21"/>
                <w:szCs w:val="21"/>
                <w:highlight w:val="none"/>
              </w:rPr>
              <w:t>具有技师技能（国家职业资格</w:t>
            </w:r>
            <w:r>
              <w:rPr>
                <w:rFonts w:hint="eastAsia" w:ascii="仿宋" w:hAnsi="仿宋" w:eastAsia="仿宋" w:cs="仿宋"/>
                <w:color w:val="auto"/>
                <w:sz w:val="21"/>
                <w:szCs w:val="21"/>
                <w:highlight w:val="none"/>
                <w:lang w:val="en-US" w:eastAsia="zh-CN"/>
              </w:rPr>
              <w:t>二</w:t>
            </w:r>
            <w:r>
              <w:rPr>
                <w:rFonts w:hint="eastAsia" w:ascii="仿宋" w:hAnsi="仿宋" w:eastAsia="仿宋" w:cs="仿宋"/>
                <w:color w:val="auto"/>
                <w:sz w:val="21"/>
                <w:szCs w:val="21"/>
                <w:highlight w:val="none"/>
              </w:rPr>
              <w:t>级）</w:t>
            </w:r>
            <w:r>
              <w:rPr>
                <w:rFonts w:hint="eastAsia" w:ascii="仿宋" w:hAnsi="仿宋" w:eastAsia="仿宋" w:cs="仿宋"/>
                <w:color w:val="auto"/>
                <w:sz w:val="21"/>
                <w:szCs w:val="21"/>
                <w:highlight w:val="none"/>
                <w:lang w:val="en-US" w:eastAsia="zh-CN"/>
              </w:rPr>
              <w:t>及以上中式</w:t>
            </w:r>
            <w:r>
              <w:rPr>
                <w:rFonts w:hint="eastAsia" w:ascii="仿宋" w:hAnsi="仿宋" w:eastAsia="仿宋" w:cs="仿宋"/>
                <w:color w:val="auto"/>
                <w:sz w:val="21"/>
                <w:szCs w:val="21"/>
                <w:highlight w:val="none"/>
              </w:rPr>
              <w:t>烹调师等级证书得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pPr>
              <w:widowControl/>
              <w:numPr>
                <w:ilvl w:val="0"/>
                <w:numId w:val="0"/>
              </w:numPr>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本项</w:t>
            </w:r>
            <w:r>
              <w:rPr>
                <w:rFonts w:hint="eastAsia" w:ascii="仿宋" w:hAnsi="仿宋" w:eastAsia="仿宋" w:cs="仿宋"/>
                <w:color w:val="auto"/>
                <w:sz w:val="21"/>
                <w:szCs w:val="21"/>
                <w:highlight w:val="none"/>
                <w:lang w:eastAsia="zh-CN"/>
              </w:rPr>
              <w:t>最高得7分；</w:t>
            </w:r>
          </w:p>
          <w:p>
            <w:pPr>
              <w:widowControl/>
              <w:spacing w:line="24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.拟任</w:t>
            </w:r>
            <w:r>
              <w:rPr>
                <w:rFonts w:hint="eastAsia" w:ascii="仿宋" w:hAnsi="仿宋" w:eastAsia="仿宋" w:cs="仿宋"/>
                <w:color w:val="auto"/>
                <w:kern w:val="0"/>
                <w:sz w:val="21"/>
                <w:szCs w:val="21"/>
                <w:highlight w:val="none"/>
              </w:rPr>
              <w:t>主厨：具有技师技能（国家职业资格二级）及以上中式烹调师等级证书得</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分；</w:t>
            </w:r>
          </w:p>
          <w:p>
            <w:pPr>
              <w:widowControl/>
              <w:spacing w:line="240" w:lineRule="auto"/>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2"/>
                <w:sz w:val="21"/>
                <w:szCs w:val="21"/>
                <w:highlight w:val="none"/>
              </w:rPr>
              <w:t>3</w:t>
            </w:r>
            <w:r>
              <w:rPr>
                <w:rFonts w:hint="eastAsia" w:ascii="仿宋" w:hAnsi="仿宋" w:eastAsia="仿宋" w:cs="仿宋"/>
                <w:color w:val="auto"/>
                <w:sz w:val="21"/>
                <w:szCs w:val="21"/>
                <w:highlight w:val="none"/>
                <w:lang w:eastAsia="zh-CN"/>
              </w:rPr>
              <w:t>.拟任</w:t>
            </w:r>
            <w:r>
              <w:rPr>
                <w:rFonts w:hint="eastAsia" w:ascii="仿宋" w:hAnsi="仿宋" w:eastAsia="仿宋" w:cs="仿宋"/>
                <w:color w:val="auto"/>
                <w:kern w:val="2"/>
                <w:sz w:val="21"/>
                <w:szCs w:val="21"/>
                <w:highlight w:val="none"/>
              </w:rPr>
              <w:t>副厨：具有高级技能（国家职业资格三级）</w:t>
            </w:r>
            <w:r>
              <w:rPr>
                <w:rFonts w:hint="eastAsia" w:ascii="仿宋" w:hAnsi="仿宋" w:eastAsia="仿宋" w:cs="仿宋"/>
                <w:color w:val="auto"/>
                <w:kern w:val="0"/>
                <w:sz w:val="21"/>
                <w:szCs w:val="21"/>
                <w:highlight w:val="none"/>
              </w:rPr>
              <w:t>及以上</w:t>
            </w:r>
            <w:r>
              <w:rPr>
                <w:rFonts w:hint="eastAsia" w:ascii="仿宋" w:hAnsi="仿宋" w:eastAsia="仿宋" w:cs="仿宋"/>
                <w:color w:val="auto"/>
                <w:kern w:val="2"/>
                <w:sz w:val="21"/>
                <w:szCs w:val="21"/>
                <w:highlight w:val="none"/>
              </w:rPr>
              <w:t>中式烹调师等级证书</w:t>
            </w:r>
            <w:r>
              <w:rPr>
                <w:rFonts w:hint="eastAsia" w:ascii="仿宋" w:hAnsi="仿宋" w:eastAsia="仿宋" w:cs="仿宋"/>
                <w:color w:val="auto"/>
                <w:kern w:val="0"/>
                <w:sz w:val="21"/>
                <w:szCs w:val="21"/>
                <w:highlight w:val="none"/>
              </w:rPr>
              <w:t>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r>
              <w:rPr>
                <w:rFonts w:hint="eastAsia" w:ascii="仿宋" w:hAnsi="仿宋" w:eastAsia="仿宋" w:cs="仿宋"/>
                <w:color w:val="auto"/>
                <w:kern w:val="0"/>
                <w:sz w:val="21"/>
                <w:szCs w:val="21"/>
                <w:highlight w:val="none"/>
                <w:lang w:eastAsia="zh-CN"/>
              </w:rPr>
              <w:t>；</w:t>
            </w:r>
          </w:p>
          <w:p>
            <w:pPr>
              <w:widowControl/>
              <w:spacing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sz w:val="21"/>
                <w:szCs w:val="21"/>
                <w:highlight w:val="none"/>
                <w:lang w:eastAsia="zh-CN"/>
              </w:rPr>
              <w:t>拟任</w:t>
            </w:r>
            <w:r>
              <w:rPr>
                <w:rFonts w:hint="eastAsia" w:ascii="仿宋" w:hAnsi="仿宋" w:eastAsia="仿宋" w:cs="仿宋"/>
                <w:color w:val="auto"/>
                <w:kern w:val="0"/>
                <w:sz w:val="21"/>
                <w:szCs w:val="21"/>
                <w:highlight w:val="none"/>
                <w:lang w:val="en-US" w:eastAsia="zh-CN"/>
              </w:rPr>
              <w:t>面点师：具有高级技能（国家职业资格三级）及以上面点师证书，提供一人得0.5分，最高的1分。</w:t>
            </w:r>
          </w:p>
          <w:p>
            <w:pPr>
              <w:pStyle w:val="14"/>
              <w:widowControl/>
              <w:spacing w:after="0" w:line="240"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（投标文件中提供有效期内的</w:t>
            </w:r>
            <w:r>
              <w:rPr>
                <w:rFonts w:hint="eastAsia" w:ascii="仿宋" w:hAnsi="仿宋" w:eastAsia="仿宋" w:cs="仿宋"/>
                <w:b/>
                <w:bCs/>
                <w:color w:val="auto"/>
                <w:sz w:val="21"/>
                <w:szCs w:val="21"/>
                <w:highlight w:val="none"/>
                <w:lang w:eastAsia="zh-CN"/>
              </w:rPr>
              <w:t>各类证书及</w:t>
            </w:r>
            <w:r>
              <w:rPr>
                <w:rFonts w:hint="eastAsia" w:ascii="仿宋" w:hAnsi="仿宋" w:eastAsia="仿宋" w:cs="仿宋"/>
                <w:b/>
                <w:bCs/>
                <w:color w:val="auto"/>
                <w:sz w:val="21"/>
                <w:szCs w:val="21"/>
                <w:highlight w:val="none"/>
                <w:lang w:val="en-US" w:eastAsia="zh-CN"/>
              </w:rPr>
              <w:t>2022年6月至2022年11月本单位</w:t>
            </w:r>
            <w:r>
              <w:rPr>
                <w:rFonts w:hint="eastAsia" w:ascii="仿宋" w:hAnsi="仿宋" w:eastAsia="仿宋" w:cs="仿宋"/>
                <w:b/>
                <w:bCs/>
                <w:color w:val="auto"/>
                <w:sz w:val="21"/>
                <w:szCs w:val="21"/>
                <w:highlight w:val="none"/>
              </w:rPr>
              <w:t>缴纳</w:t>
            </w:r>
            <w:r>
              <w:rPr>
                <w:rFonts w:hint="eastAsia" w:ascii="仿宋" w:hAnsi="仿宋" w:eastAsia="仿宋" w:cs="仿宋"/>
                <w:b/>
                <w:bCs/>
                <w:color w:val="auto"/>
                <w:sz w:val="21"/>
                <w:szCs w:val="21"/>
                <w:highlight w:val="none"/>
                <w:lang w:eastAsia="zh-CN"/>
              </w:rPr>
              <w:t>的</w:t>
            </w:r>
            <w:r>
              <w:rPr>
                <w:rFonts w:hint="eastAsia" w:ascii="仿宋" w:hAnsi="仿宋" w:eastAsia="仿宋" w:cs="仿宋"/>
                <w:b/>
                <w:bCs/>
                <w:color w:val="auto"/>
                <w:sz w:val="21"/>
                <w:szCs w:val="21"/>
                <w:highlight w:val="none"/>
              </w:rPr>
              <w:t>社保证明及证书扫描件并加盖投标单位公章）</w:t>
            </w:r>
          </w:p>
        </w:tc>
        <w:tc>
          <w:tcPr>
            <w:tcW w:w="403" w:type="pct"/>
            <w:vAlign w:val="center"/>
          </w:tcPr>
          <w:p>
            <w:pPr>
              <w:widowControl/>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66" w:type="pct"/>
            <w:vAlign w:val="center"/>
          </w:tcPr>
          <w:p>
            <w:pPr>
              <w:widowControl/>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468" w:type="pct"/>
            <w:vAlign w:val="center"/>
          </w:tcPr>
          <w:p>
            <w:pPr>
              <w:widowControl/>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w:t>
            </w:r>
          </w:p>
          <w:p>
            <w:pPr>
              <w:widowControl/>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实力</w:t>
            </w:r>
          </w:p>
        </w:tc>
        <w:tc>
          <w:tcPr>
            <w:tcW w:w="3760" w:type="pct"/>
            <w:vAlign w:val="center"/>
          </w:tcPr>
          <w:p>
            <w:pPr>
              <w:widowControl/>
              <w:numPr>
                <w:ilvl w:val="0"/>
                <w:numId w:val="0"/>
              </w:numPr>
              <w:spacing w:line="24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投标单位具有食品经营许可证</w:t>
            </w:r>
            <w:r>
              <w:rPr>
                <w:rFonts w:hint="eastAsia" w:ascii="仿宋" w:hAnsi="仿宋" w:eastAsia="仿宋" w:cs="仿宋"/>
                <w:color w:val="auto"/>
                <w:sz w:val="21"/>
                <w:szCs w:val="21"/>
                <w:highlight w:val="none"/>
                <w:lang w:val="en-US" w:eastAsia="zh-CN"/>
              </w:rPr>
              <w:t>同时</w:t>
            </w:r>
            <w:r>
              <w:rPr>
                <w:rFonts w:hint="eastAsia" w:ascii="仿宋" w:hAnsi="仿宋" w:eastAsia="仿宋" w:cs="仿宋"/>
                <w:color w:val="auto"/>
                <w:sz w:val="21"/>
                <w:szCs w:val="21"/>
                <w:highlight w:val="none"/>
                <w:lang w:eastAsia="zh-CN"/>
              </w:rPr>
              <w:t>拥有集体用餐配送资质</w:t>
            </w:r>
            <w:r>
              <w:rPr>
                <w:rFonts w:hint="eastAsia" w:ascii="仿宋" w:hAnsi="仿宋" w:eastAsia="仿宋" w:cs="仿宋"/>
                <w:color w:val="auto"/>
                <w:sz w:val="21"/>
                <w:szCs w:val="21"/>
                <w:highlight w:val="none"/>
                <w:lang w:val="en-US" w:eastAsia="zh-CN"/>
              </w:rPr>
              <w:t>得1分；</w:t>
            </w:r>
            <w:r>
              <w:rPr>
                <w:rFonts w:hint="eastAsia" w:ascii="仿宋" w:hAnsi="仿宋" w:eastAsia="仿宋" w:cs="仿宋"/>
                <w:color w:val="auto"/>
                <w:sz w:val="21"/>
                <w:szCs w:val="21"/>
                <w:highlight w:val="none"/>
              </w:rPr>
              <w:t>具有劳务派遣经营许可证得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分（许可证单位名称与投标单位名称须一致）</w:t>
            </w:r>
            <w:r>
              <w:rPr>
                <w:rFonts w:hint="eastAsia" w:ascii="仿宋" w:hAnsi="仿宋" w:eastAsia="仿宋" w:cs="仿宋"/>
                <w:color w:val="auto"/>
                <w:sz w:val="21"/>
                <w:szCs w:val="21"/>
                <w:highlight w:val="none"/>
                <w:lang w:eastAsia="zh-CN"/>
              </w:rPr>
              <w:t>；</w:t>
            </w:r>
          </w:p>
          <w:p>
            <w:pPr>
              <w:widowControl/>
              <w:numPr>
                <w:ilvl w:val="0"/>
                <w:numId w:val="0"/>
              </w:numPr>
              <w:spacing w:line="24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投标单位自2019年1月1日至今（以合同签订时间为准），</w:t>
            </w:r>
            <w:r>
              <w:rPr>
                <w:rFonts w:hint="eastAsia" w:ascii="仿宋" w:hAnsi="仿宋" w:eastAsia="仿宋" w:cs="仿宋"/>
                <w:color w:val="auto"/>
                <w:sz w:val="21"/>
                <w:szCs w:val="21"/>
                <w:highlight w:val="none"/>
                <w:lang w:val="en-US" w:eastAsia="zh-CN"/>
              </w:rPr>
              <w:t>自身或</w:t>
            </w:r>
            <w:r>
              <w:rPr>
                <w:rFonts w:hint="eastAsia" w:ascii="仿宋" w:hAnsi="仿宋" w:eastAsia="仿宋" w:cs="仿宋"/>
                <w:color w:val="auto"/>
                <w:sz w:val="21"/>
                <w:szCs w:val="21"/>
                <w:highlight w:val="none"/>
                <w:lang w:eastAsia="zh-CN"/>
              </w:rPr>
              <w:t>所服务食堂在服务期内被市场监督管理部门评定为餐饮服务食品安全监督量化分级管理A级的，每提供1个1分，最高得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分；</w:t>
            </w:r>
          </w:p>
          <w:p>
            <w:pPr>
              <w:widowControl/>
              <w:numPr>
                <w:ilvl w:val="0"/>
                <w:numId w:val="0"/>
              </w:numPr>
              <w:spacing w:line="24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投标单位自2019年1月1日至今（以合同签订时间为准），</w:t>
            </w:r>
            <w:r>
              <w:rPr>
                <w:rFonts w:hint="eastAsia" w:ascii="仿宋" w:hAnsi="仿宋" w:eastAsia="仿宋" w:cs="仿宋"/>
                <w:color w:val="auto"/>
                <w:sz w:val="21"/>
                <w:szCs w:val="21"/>
                <w:highlight w:val="none"/>
                <w:lang w:val="en-US" w:eastAsia="zh-CN"/>
              </w:rPr>
              <w:t>自身或</w:t>
            </w:r>
            <w:r>
              <w:rPr>
                <w:rFonts w:hint="eastAsia" w:ascii="仿宋" w:hAnsi="仿宋" w:eastAsia="仿宋" w:cs="仿宋"/>
                <w:color w:val="auto"/>
                <w:sz w:val="21"/>
                <w:szCs w:val="21"/>
                <w:highlight w:val="none"/>
                <w:lang w:eastAsia="zh-CN"/>
              </w:rPr>
              <w:t>所服务食堂在服务期内获得市场监督管理部门颁发的省级及以上放心消费示范单位的，每提供1个1分，最高得2分。</w:t>
            </w:r>
          </w:p>
          <w:p>
            <w:pPr>
              <w:widowControl/>
              <w:numPr>
                <w:ilvl w:val="0"/>
                <w:numId w:val="0"/>
              </w:numPr>
              <w:spacing w:line="24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5.投标单位自2019年1月1日至今（以合同签订时间为准），自身或</w:t>
            </w:r>
            <w:r>
              <w:rPr>
                <w:rFonts w:hint="eastAsia" w:ascii="仿宋" w:hAnsi="仿宋" w:eastAsia="仿宋" w:cs="仿宋"/>
                <w:color w:val="auto"/>
                <w:sz w:val="21"/>
                <w:szCs w:val="21"/>
                <w:highlight w:val="none"/>
                <w:lang w:eastAsia="zh-CN"/>
              </w:rPr>
              <w:t>所服务食堂在服务期内</w:t>
            </w:r>
            <w:r>
              <w:rPr>
                <w:rFonts w:hint="eastAsia" w:ascii="仿宋" w:hAnsi="仿宋" w:eastAsia="仿宋" w:cs="仿宋"/>
                <w:b w:val="0"/>
                <w:bCs w:val="0"/>
                <w:color w:val="auto"/>
                <w:sz w:val="21"/>
                <w:szCs w:val="21"/>
                <w:highlight w:val="none"/>
                <w:lang w:val="en-US" w:eastAsia="zh-CN"/>
              </w:rPr>
              <w:t>获得餐饮行业协会颁发的“放心健康食堂”或“健康餐厅”荣誉的，每个省级得1分、国家级得2分，最高得2分。</w:t>
            </w:r>
          </w:p>
          <w:p>
            <w:pPr>
              <w:widowControl/>
              <w:numPr>
                <w:ilvl w:val="0"/>
                <w:numId w:val="0"/>
              </w:num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（投标文件中提供有效期内的相关证明材料原件扫描件或复印件，加盖投标单位公章）</w:t>
            </w:r>
          </w:p>
        </w:tc>
        <w:tc>
          <w:tcPr>
            <w:tcW w:w="403" w:type="pct"/>
            <w:vAlign w:val="center"/>
          </w:tcPr>
          <w:p>
            <w:pPr>
              <w:widowControl/>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66" w:type="pct"/>
            <w:vAlign w:val="center"/>
          </w:tcPr>
          <w:p>
            <w:pPr>
              <w:widowControl/>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468" w:type="pct"/>
            <w:vAlign w:val="center"/>
          </w:tcPr>
          <w:p>
            <w:pPr>
              <w:widowControl/>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整体</w:t>
            </w:r>
          </w:p>
          <w:p>
            <w:pPr>
              <w:widowControl/>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w:t>
            </w:r>
          </w:p>
        </w:tc>
        <w:tc>
          <w:tcPr>
            <w:tcW w:w="3760" w:type="pct"/>
            <w:vAlign w:val="center"/>
          </w:tcPr>
          <w:p>
            <w:pPr>
              <w:widowControl/>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针对本项目设计一套整体的可行性方案：包括服务时间、窗口开设率、花色品种以及提供特色服务等</w:t>
            </w:r>
            <w:r>
              <w:rPr>
                <w:rFonts w:hint="eastAsia" w:ascii="仿宋" w:hAnsi="仿宋" w:eastAsia="仿宋" w:cs="仿宋"/>
                <w:color w:val="auto"/>
                <w:sz w:val="21"/>
                <w:szCs w:val="21"/>
                <w:highlight w:val="none"/>
                <w:lang w:val="en-US" w:eastAsia="zh-CN"/>
              </w:rPr>
              <w:t>方案</w:t>
            </w:r>
            <w:r>
              <w:rPr>
                <w:rFonts w:hint="eastAsia" w:ascii="仿宋" w:hAnsi="仿宋" w:eastAsia="仿宋" w:cs="仿宋"/>
                <w:color w:val="auto"/>
                <w:sz w:val="21"/>
                <w:szCs w:val="21"/>
                <w:highlight w:val="none"/>
              </w:rPr>
              <w:t>。评委根据方案的完整性及对食堂服务需求的针对性进行综合评价。</w:t>
            </w:r>
          </w:p>
          <w:p>
            <w:pPr>
              <w:widowControl/>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优</w:t>
            </w:r>
            <w:r>
              <w:rPr>
                <w:rFonts w:hint="eastAsia" w:ascii="仿宋" w:hAnsi="仿宋" w:eastAsia="仿宋" w:cs="仿宋"/>
                <w:color w:val="auto"/>
                <w:sz w:val="21"/>
                <w:szCs w:val="21"/>
                <w:highlight w:val="none"/>
                <w:lang w:val="en-US" w:eastAsia="zh-CN"/>
              </w:rPr>
              <w:t>9-6.1</w:t>
            </w:r>
            <w:r>
              <w:rPr>
                <w:rFonts w:hint="eastAsia" w:ascii="仿宋" w:hAnsi="仿宋" w:eastAsia="仿宋" w:cs="仿宋"/>
                <w:color w:val="auto"/>
                <w:sz w:val="21"/>
                <w:szCs w:val="21"/>
                <w:highlight w:val="none"/>
              </w:rPr>
              <w:t>分；良</w:t>
            </w:r>
            <w:r>
              <w:rPr>
                <w:rFonts w:hint="eastAsia" w:ascii="仿宋" w:hAnsi="仿宋" w:eastAsia="仿宋" w:cs="仿宋"/>
                <w:color w:val="auto"/>
                <w:sz w:val="21"/>
                <w:szCs w:val="21"/>
                <w:highlight w:val="none"/>
                <w:lang w:val="en-US" w:eastAsia="zh-CN"/>
              </w:rPr>
              <w:t>6.0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.1分；一般得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-0.5分；不提供不得分0分。</w:t>
            </w:r>
          </w:p>
        </w:tc>
        <w:tc>
          <w:tcPr>
            <w:tcW w:w="403" w:type="pct"/>
            <w:vAlign w:val="center"/>
          </w:tcPr>
          <w:p>
            <w:pPr>
              <w:widowControl/>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66" w:type="pct"/>
            <w:vAlign w:val="center"/>
          </w:tcPr>
          <w:p>
            <w:pPr>
              <w:widowControl/>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468" w:type="pct"/>
            <w:vAlign w:val="center"/>
          </w:tcPr>
          <w:p>
            <w:pPr>
              <w:widowControl/>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质量保证方案</w:t>
            </w:r>
          </w:p>
        </w:tc>
        <w:tc>
          <w:tcPr>
            <w:tcW w:w="3760" w:type="pct"/>
            <w:vAlign w:val="center"/>
          </w:tcPr>
          <w:p>
            <w:pPr>
              <w:widowControl/>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提供针对本项目服务质量保证及原材料控制方案：评委根据企业对餐厅服务的定位、管理、如何保证原材料合理使用减少浪费等方面进行综合评分。</w:t>
            </w:r>
          </w:p>
          <w:p>
            <w:pPr>
              <w:widowControl/>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优</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分；良</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-1.1分；一般得1-0.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分；不提供不得分0分。</w:t>
            </w:r>
          </w:p>
        </w:tc>
        <w:tc>
          <w:tcPr>
            <w:tcW w:w="403" w:type="pct"/>
            <w:vAlign w:val="center"/>
          </w:tcPr>
          <w:p>
            <w:pPr>
              <w:widowControl/>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66" w:type="pct"/>
            <w:vAlign w:val="center"/>
          </w:tcPr>
          <w:p>
            <w:pPr>
              <w:widowControl/>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468" w:type="pct"/>
            <w:vAlign w:val="center"/>
          </w:tcPr>
          <w:p>
            <w:pPr>
              <w:widowControl/>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安全卫生建设方案</w:t>
            </w:r>
          </w:p>
        </w:tc>
        <w:tc>
          <w:tcPr>
            <w:tcW w:w="3760" w:type="pct"/>
            <w:vAlign w:val="center"/>
          </w:tcPr>
          <w:p>
            <w:pPr>
              <w:widowControl/>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针对本项目</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安全卫生</w:t>
            </w:r>
            <w:r>
              <w:rPr>
                <w:rFonts w:hint="eastAsia" w:ascii="仿宋" w:hAnsi="仿宋" w:eastAsia="仿宋" w:cs="仿宋"/>
                <w:color w:val="auto"/>
                <w:sz w:val="21"/>
                <w:szCs w:val="21"/>
                <w:highlight w:val="none"/>
                <w:lang w:val="en-US" w:eastAsia="zh-CN"/>
              </w:rPr>
              <w:t>保障，在发生如食品安全、消防安全、投诉事件及其他影响重大的突发事件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提供</w:t>
            </w:r>
            <w:r>
              <w:rPr>
                <w:rFonts w:hint="eastAsia" w:ascii="仿宋" w:hAnsi="仿宋" w:eastAsia="仿宋" w:cs="仿宋"/>
                <w:color w:val="auto"/>
                <w:sz w:val="21"/>
                <w:szCs w:val="21"/>
                <w:highlight w:val="none"/>
              </w:rPr>
              <w:t>安全生产方案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食堂卫生管理方案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疫情防控方案</w:t>
            </w:r>
            <w:r>
              <w:rPr>
                <w:rFonts w:hint="eastAsia" w:ascii="仿宋" w:hAnsi="仿宋" w:eastAsia="仿宋" w:cs="仿宋"/>
                <w:color w:val="auto"/>
                <w:sz w:val="21"/>
                <w:szCs w:val="21"/>
                <w:highlight w:val="none"/>
                <w:lang w:val="en-US" w:eastAsia="zh-CN"/>
              </w:rPr>
              <w:t>、应急处理方案等方案。</w:t>
            </w:r>
          </w:p>
          <w:p>
            <w:pPr>
              <w:widowControl/>
              <w:spacing w:line="24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优</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4.1</w:t>
            </w:r>
            <w:r>
              <w:rPr>
                <w:rFonts w:hint="eastAsia" w:ascii="仿宋" w:hAnsi="仿宋" w:eastAsia="仿宋" w:cs="仿宋"/>
                <w:color w:val="auto"/>
                <w:sz w:val="21"/>
                <w:szCs w:val="21"/>
                <w:highlight w:val="none"/>
              </w:rPr>
              <w:t>分；良</w:t>
            </w:r>
            <w:r>
              <w:rPr>
                <w:rFonts w:hint="eastAsia" w:ascii="仿宋" w:hAnsi="仿宋" w:eastAsia="仿宋" w:cs="仿宋"/>
                <w:color w:val="auto"/>
                <w:sz w:val="21"/>
                <w:szCs w:val="21"/>
                <w:highlight w:val="none"/>
                <w:lang w:val="en-US" w:eastAsia="zh-CN"/>
              </w:rPr>
              <w:t>4.0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2.1</w:t>
            </w:r>
            <w:r>
              <w:rPr>
                <w:rFonts w:hint="eastAsia" w:ascii="仿宋" w:hAnsi="仿宋" w:eastAsia="仿宋" w:cs="仿宋"/>
                <w:color w:val="auto"/>
                <w:sz w:val="21"/>
                <w:szCs w:val="21"/>
                <w:highlight w:val="none"/>
              </w:rPr>
              <w:t>分；一般得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分；不提供不得分0分。</w:t>
            </w:r>
          </w:p>
        </w:tc>
        <w:tc>
          <w:tcPr>
            <w:tcW w:w="403" w:type="pct"/>
            <w:vAlign w:val="center"/>
          </w:tcPr>
          <w:p>
            <w:pPr>
              <w:widowControl/>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66" w:type="pct"/>
            <w:vAlign w:val="center"/>
          </w:tcPr>
          <w:p>
            <w:pPr>
              <w:widowControl/>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468" w:type="pct"/>
            <w:vAlign w:val="center"/>
          </w:tcPr>
          <w:p>
            <w:pPr>
              <w:widowControl/>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服务</w:t>
            </w:r>
          </w:p>
          <w:p>
            <w:pPr>
              <w:widowControl/>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方案</w:t>
            </w:r>
          </w:p>
        </w:tc>
        <w:tc>
          <w:tcPr>
            <w:tcW w:w="3760" w:type="pct"/>
            <w:vAlign w:val="center"/>
          </w:tcPr>
          <w:p>
            <w:pPr>
              <w:widowControl/>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提供针对本项目的服务方案，按“礼貌服务、文明用语”、“绿色、健康、安全”、“厉行节约、反对浪费”等方面进行综合评价</w:t>
            </w:r>
            <w:r>
              <w:rPr>
                <w:rFonts w:hint="eastAsia" w:ascii="仿宋" w:hAnsi="仿宋" w:eastAsia="仿宋" w:cs="仿宋"/>
                <w:color w:val="auto"/>
                <w:sz w:val="21"/>
                <w:szCs w:val="21"/>
                <w:highlight w:val="none"/>
                <w:lang w:eastAsia="zh-CN"/>
              </w:rPr>
              <w:t>。</w:t>
            </w:r>
          </w:p>
          <w:p>
            <w:pPr>
              <w:widowControl/>
              <w:spacing w:line="240" w:lineRule="auto"/>
              <w:rPr>
                <w:rFonts w:hint="eastAsia"/>
                <w:color w:val="auto"/>
                <w:highlight w:val="none"/>
                <w:lang w:eastAsia="zh-CN"/>
              </w:rPr>
            </w:pPr>
            <w:r>
              <w:rPr>
                <w:rFonts w:hint="eastAsia" w:ascii="仿宋" w:hAnsi="仿宋" w:eastAsia="仿宋" w:cs="仿宋"/>
                <w:color w:val="auto"/>
                <w:sz w:val="21"/>
                <w:szCs w:val="21"/>
                <w:highlight w:val="none"/>
              </w:rPr>
              <w:t>优</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分；良</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-1.1分；一般得1-0.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分；不提供不得分0分。</w:t>
            </w:r>
          </w:p>
        </w:tc>
        <w:tc>
          <w:tcPr>
            <w:tcW w:w="403" w:type="pct"/>
            <w:vAlign w:val="center"/>
          </w:tcPr>
          <w:p>
            <w:pPr>
              <w:widowControl/>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66" w:type="pct"/>
            <w:vAlign w:val="center"/>
          </w:tcPr>
          <w:p>
            <w:pPr>
              <w:widowControl/>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468" w:type="pct"/>
            <w:vAlign w:val="center"/>
          </w:tcPr>
          <w:p>
            <w:pPr>
              <w:widowControl/>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稳定员工队伍的措施</w:t>
            </w:r>
          </w:p>
        </w:tc>
        <w:tc>
          <w:tcPr>
            <w:tcW w:w="3760" w:type="pct"/>
            <w:vAlign w:val="center"/>
          </w:tcPr>
          <w:p>
            <w:pPr>
              <w:widowControl/>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根据稳定员工队伍的措施的可行性等方面等方面进行综合评价。</w:t>
            </w:r>
          </w:p>
          <w:p>
            <w:pPr>
              <w:widowControl/>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优</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分；良</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-1.1分；一般得1-0.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分；不提供不得分0分。</w:t>
            </w:r>
          </w:p>
        </w:tc>
        <w:tc>
          <w:tcPr>
            <w:tcW w:w="403" w:type="pct"/>
            <w:vAlign w:val="center"/>
          </w:tcPr>
          <w:p>
            <w:pPr>
              <w:widowControl/>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66" w:type="pct"/>
            <w:vAlign w:val="center"/>
          </w:tcPr>
          <w:p>
            <w:pPr>
              <w:widowControl/>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11</w:t>
            </w:r>
          </w:p>
        </w:tc>
        <w:tc>
          <w:tcPr>
            <w:tcW w:w="468" w:type="pct"/>
            <w:vAlign w:val="center"/>
          </w:tcPr>
          <w:p>
            <w:pPr>
              <w:widowControl/>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合理化建议</w:t>
            </w:r>
          </w:p>
        </w:tc>
        <w:tc>
          <w:tcPr>
            <w:tcW w:w="3760" w:type="pct"/>
            <w:vAlign w:val="center"/>
          </w:tcPr>
          <w:p>
            <w:pPr>
              <w:widowControl/>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提供对食堂规划的合理化建议（主要是数字化改革、自助餐改革等方面），由评委进行综合评分</w:t>
            </w:r>
            <w:r>
              <w:rPr>
                <w:rFonts w:hint="eastAsia" w:ascii="仿宋" w:hAnsi="仿宋" w:eastAsia="仿宋" w:cs="仿宋"/>
                <w:color w:val="auto"/>
                <w:sz w:val="21"/>
                <w:szCs w:val="21"/>
                <w:highlight w:val="none"/>
                <w:lang w:eastAsia="zh-CN"/>
              </w:rPr>
              <w:t>。</w:t>
            </w:r>
          </w:p>
          <w:p>
            <w:pPr>
              <w:widowControl/>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优</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分；良</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-1.1分；一般得1-0.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分；不提供不得分0分。</w:t>
            </w:r>
          </w:p>
        </w:tc>
        <w:tc>
          <w:tcPr>
            <w:tcW w:w="403" w:type="pct"/>
            <w:vAlign w:val="center"/>
          </w:tcPr>
          <w:p>
            <w:pPr>
              <w:widowControl/>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66" w:type="pct"/>
            <w:vAlign w:val="center"/>
          </w:tcPr>
          <w:p>
            <w:pPr>
              <w:widowControl/>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468" w:type="pct"/>
            <w:vAlign w:val="center"/>
          </w:tcPr>
          <w:p>
            <w:pPr>
              <w:widowControl/>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w:t>
            </w:r>
          </w:p>
          <w:p>
            <w:pPr>
              <w:widowControl/>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承诺</w:t>
            </w:r>
          </w:p>
        </w:tc>
        <w:tc>
          <w:tcPr>
            <w:tcW w:w="3760" w:type="pct"/>
            <w:vAlign w:val="center"/>
          </w:tcPr>
          <w:p>
            <w:pPr>
              <w:widowControl/>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承诺如下：</w:t>
            </w:r>
          </w:p>
          <w:p>
            <w:pPr>
              <w:widowControl/>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对托管食堂实行直营管理，不挂靠，不转让；</w:t>
            </w:r>
          </w:p>
          <w:p>
            <w:pPr>
              <w:widowControl/>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承诺按《劳动法》要求对食堂员工进行培训、体检和缴纳社会保险，同时独立解决今后与食堂员工有关的劳资、工伤等纠纷；</w:t>
            </w:r>
          </w:p>
          <w:p>
            <w:pPr>
              <w:widowControl/>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中标</w:t>
            </w:r>
            <w:r>
              <w:rPr>
                <w:rFonts w:hint="eastAsia" w:ascii="仿宋" w:hAnsi="仿宋" w:eastAsia="仿宋" w:cs="仿宋"/>
                <w:color w:val="auto"/>
                <w:sz w:val="21"/>
                <w:szCs w:val="21"/>
                <w:highlight w:val="none"/>
                <w:lang w:eastAsia="zh-CN"/>
              </w:rPr>
              <w:t>单位</w:t>
            </w:r>
            <w:r>
              <w:rPr>
                <w:rFonts w:hint="eastAsia" w:ascii="仿宋" w:hAnsi="仿宋" w:eastAsia="仿宋" w:cs="仿宋"/>
                <w:color w:val="auto"/>
                <w:sz w:val="21"/>
                <w:szCs w:val="21"/>
                <w:highlight w:val="none"/>
              </w:rPr>
              <w:t>按双方签订的合同要求规范经营管理，保质保量做好食堂早餐、中餐、晚餐的供应，以及采购方临时所需的服务工作。</w:t>
            </w:r>
          </w:p>
          <w:p>
            <w:pPr>
              <w:widowControl/>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承诺一项得1分，最高得3分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未承诺的不得分。</w:t>
            </w:r>
            <w:bookmarkStart w:id="85" w:name="_GoBack"/>
            <w:bookmarkEnd w:id="85"/>
          </w:p>
          <w:p>
            <w:pPr>
              <w:widowControl/>
              <w:spacing w:line="240" w:lineRule="auto"/>
              <w:rPr>
                <w:rFonts w:hint="eastAsia"/>
              </w:rPr>
            </w:pPr>
            <w:r>
              <w:rPr>
                <w:rFonts w:hint="eastAsia" w:ascii="仿宋" w:hAnsi="仿宋" w:eastAsia="仿宋" w:cs="仿宋"/>
                <w:b/>
                <w:bCs/>
                <w:color w:val="auto"/>
                <w:sz w:val="21"/>
                <w:szCs w:val="21"/>
                <w:highlight w:val="none"/>
              </w:rPr>
              <w:t>（投标文件中提供承诺函原件加盖投标单位公章）</w:t>
            </w:r>
          </w:p>
        </w:tc>
        <w:tc>
          <w:tcPr>
            <w:tcW w:w="403" w:type="pct"/>
            <w:vAlign w:val="center"/>
          </w:tcPr>
          <w:p>
            <w:pPr>
              <w:widowControl/>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Align w:val="center"/>
          </w:tcPr>
          <w:p>
            <w:pPr>
              <w:widowControl/>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468" w:type="pct"/>
            <w:vAlign w:val="center"/>
          </w:tcPr>
          <w:p>
            <w:pPr>
              <w:widowControl/>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售后</w:t>
            </w:r>
          </w:p>
          <w:p>
            <w:pPr>
              <w:widowControl/>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w:t>
            </w:r>
          </w:p>
        </w:tc>
        <w:tc>
          <w:tcPr>
            <w:tcW w:w="3760" w:type="pct"/>
            <w:vAlign w:val="center"/>
          </w:tcPr>
          <w:p>
            <w:pPr>
              <w:widowControl/>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投标单位具有位于绍兴市越城区常驻售后服务机构得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分，承诺中标后在绍兴市越城区设立售后服务机构得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分。其余不得分。</w:t>
            </w:r>
          </w:p>
          <w:p>
            <w:pPr>
              <w:widowControl/>
              <w:spacing w:line="240"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（投标文件中提供相关证明材料扫描件加盖投标单位公章）</w:t>
            </w:r>
          </w:p>
        </w:tc>
        <w:tc>
          <w:tcPr>
            <w:tcW w:w="403" w:type="pct"/>
            <w:vAlign w:val="center"/>
          </w:tcPr>
          <w:p>
            <w:pPr>
              <w:widowControl/>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3</w:t>
            </w:r>
          </w:p>
        </w:tc>
      </w:tr>
    </w:tbl>
    <w:p>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pPr>
        <w:spacing w:line="400" w:lineRule="exact"/>
        <w:rPr>
          <w:rFonts w:hint="eastAsia" w:ascii="仿宋" w:eastAsia="仿宋"/>
          <w:b/>
          <w:color w:val="auto"/>
          <w:sz w:val="24"/>
          <w:highlight w:val="none"/>
          <w:bdr w:val="single" w:color="auto" w:sz="4" w:space="0"/>
        </w:rPr>
      </w:pPr>
    </w:p>
    <w:p>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pPr>
        <w:widowControl/>
        <w:snapToGrid w:val="0"/>
        <w:spacing w:line="480" w:lineRule="exact"/>
        <w:ind w:left="0"/>
        <w:rPr>
          <w:rFonts w:hint="eastAsia"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 xml:space="preserve"> </w:t>
      </w:r>
      <w:r>
        <w:rPr>
          <w:rFonts w:hint="eastAsia" w:ascii="仿宋" w:eastAsia="仿宋"/>
          <w:bCs/>
          <w:iCs/>
          <w:color w:val="auto"/>
          <w:sz w:val="24"/>
          <w:highlight w:val="none"/>
          <w:u w:val="single"/>
          <w:lang w:val="en-US" w:eastAsia="zh-CN"/>
        </w:rPr>
        <w:t>30</w:t>
      </w:r>
      <w:r>
        <w:rPr>
          <w:rFonts w:hint="eastAsia" w:ascii="仿宋" w:eastAsia="仿宋"/>
          <w:bCs/>
          <w:iCs/>
          <w:color w:val="auto"/>
          <w:sz w:val="24"/>
          <w:highlight w:val="none"/>
          <w:u w:val="single"/>
        </w:rPr>
        <w:t xml:space="preserve"> </w:t>
      </w:r>
    </w:p>
    <w:p>
      <w:pPr>
        <w:pStyle w:val="3"/>
        <w:keepNext/>
        <w:keepLines/>
        <w:pageBreakBefore/>
        <w:widowControl/>
        <w:suppressLineNumbers w:val="0"/>
        <w:suppressAutoHyphens w:val="0"/>
        <w:kinsoku/>
        <w:wordWrap/>
        <w:overflowPunct/>
        <w:topLinePunct w:val="0"/>
        <w:autoSpaceDE/>
        <w:autoSpaceDN/>
        <w:bidi w:val="0"/>
        <w:adjustRightInd/>
        <w:snapToGrid/>
        <w:spacing w:line="579" w:lineRule="auto"/>
        <w:jc w:val="center"/>
        <w:textAlignment w:val="auto"/>
        <w:rPr>
          <w:rFonts w:hint="eastAsia" w:ascii="仿宋"/>
          <w:color w:val="auto"/>
          <w:highlight w:val="none"/>
        </w:rPr>
      </w:pPr>
      <w:bookmarkStart w:id="45" w:name="_Toc15148"/>
      <w:r>
        <w:rPr>
          <w:rFonts w:hint="eastAsia" w:ascii="仿宋"/>
          <w:color w:val="auto"/>
          <w:highlight w:val="none"/>
        </w:rPr>
        <w:t>第六章  投标文件格式附件</w:t>
      </w:r>
      <w:bookmarkEnd w:id="45"/>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p>
    <w:p>
      <w:pPr>
        <w:keepNext w:val="0"/>
        <w:keepLines w:val="0"/>
        <w:pageBreakBefore/>
        <w:widowControl/>
        <w:kinsoku/>
        <w:wordWrap/>
        <w:overflowPunct/>
        <w:topLinePunct w:val="0"/>
        <w:autoSpaceDE/>
        <w:autoSpaceDN/>
        <w:bidi w:val="0"/>
        <w:adjustRightInd/>
        <w:snapToGrid w:val="0"/>
        <w:spacing w:before="156" w:beforeLines="50" w:after="50"/>
        <w:jc w:val="left"/>
        <w:textAlignment w:val="auto"/>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156" w:beforeLines="50" w:after="50"/>
        <w:jc w:val="right"/>
        <w:rPr>
          <w:rFonts w:hint="eastAsia" w:ascii="仿宋" w:eastAsia="仿宋"/>
          <w:b/>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hint="eastAsia" w:ascii="仿宋" w:eastAsia="仿宋"/>
          <w:color w:val="auto"/>
          <w:sz w:val="72"/>
          <w:szCs w:val="72"/>
          <w:highlight w:val="none"/>
        </w:rPr>
      </w:pPr>
    </w:p>
    <w:p>
      <w:pPr>
        <w:spacing w:line="500" w:lineRule="exact"/>
        <w:ind w:right="7"/>
        <w:jc w:val="center"/>
        <w:rPr>
          <w:rFonts w:hint="eastAsia" w:ascii="仿宋" w:eastAsia="仿宋"/>
          <w:color w:val="auto"/>
          <w:sz w:val="36"/>
          <w:szCs w:val="36"/>
          <w:highlight w:val="none"/>
        </w:rPr>
      </w:pP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156" w:beforeLines="50" w:after="50"/>
        <w:jc w:val="center"/>
        <w:rPr>
          <w:rFonts w:hint="eastAsia" w:ascii="仿宋" w:eastAsia="仿宋" w:cs="仿宋_GB2312"/>
          <w:color w:val="auto"/>
          <w:sz w:val="30"/>
          <w:szCs w:val="30"/>
          <w:highlight w:val="none"/>
        </w:rPr>
      </w:pPr>
      <w:bookmarkStart w:id="46" w:name="_Toc64369786"/>
      <w:r>
        <w:rPr>
          <w:rFonts w:hint="eastAsia" w:ascii="仿宋" w:eastAsia="仿宋" w:cs="仿宋_GB2312"/>
          <w:color w:val="auto"/>
          <w:sz w:val="30"/>
          <w:szCs w:val="30"/>
          <w:highlight w:val="none"/>
        </w:rPr>
        <w:t>目 录</w:t>
      </w:r>
      <w:bookmarkEnd w:id="46"/>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3.法定代表人授权委托书……………………………………………………（页码）</w:t>
      </w:r>
    </w:p>
    <w:p>
      <w:pPr>
        <w:pStyle w:val="43"/>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4</w:t>
      </w:r>
      <w:r>
        <w:rPr>
          <w:rFonts w:hint="eastAsia" w:ascii="仿宋" w:eastAsia="仿宋" w:cs="仿宋_GB2312"/>
          <w:color w:val="auto"/>
          <w:highlight w:val="none"/>
        </w:rPr>
        <w:t>.法定代表人及其授权代表身份证…………………………………………（页码）</w:t>
      </w:r>
    </w:p>
    <w:p>
      <w:pPr>
        <w:pStyle w:val="43"/>
        <w:spacing w:line="360" w:lineRule="auto"/>
        <w:ind w:firstLine="0" w:firstLineChars="0"/>
        <w:jc w:val="left"/>
        <w:rPr>
          <w:rFonts w:hint="eastAsia" w:ascii="仿宋" w:eastAsia="仿宋" w:cs="仿宋_GB2312"/>
          <w:color w:val="auto"/>
          <w:sz w:val="24"/>
          <w:szCs w:val="24"/>
          <w:highlight w:val="none"/>
        </w:rPr>
      </w:pPr>
      <w:r>
        <w:rPr>
          <w:rFonts w:ascii="仿宋" w:eastAsia="仿宋" w:cs="仿宋_GB2312"/>
          <w:color w:val="auto"/>
          <w:sz w:val="24"/>
          <w:szCs w:val="24"/>
          <w:highlight w:val="none"/>
        </w:rPr>
        <w:t>5</w:t>
      </w:r>
      <w:r>
        <w:rPr>
          <w:rFonts w:hint="eastAsia" w:ascii="仿宋" w:eastAsia="仿宋" w:cs="仿宋_GB2312"/>
          <w:color w:val="auto"/>
          <w:sz w:val="24"/>
          <w:szCs w:val="24"/>
          <w:highlight w:val="none"/>
        </w:rPr>
        <w:t>.资格条件证明材料</w:t>
      </w:r>
    </w:p>
    <w:p>
      <w:pPr>
        <w:pStyle w:val="43"/>
        <w:spacing w:line="360" w:lineRule="auto"/>
        <w:ind w:firstLine="240" w:firstLineChars="100"/>
        <w:jc w:val="left"/>
        <w:rPr>
          <w:rFonts w:hint="eastAsia" w:ascii="仿宋" w:eastAsia="仿宋" w:cs="仿宋_GB2312"/>
          <w:color w:val="auto"/>
          <w:highlight w:val="none"/>
        </w:rPr>
      </w:pPr>
      <w:bookmarkStart w:id="47" w:name="_Toc64369787"/>
      <w:r>
        <w:rPr>
          <w:rFonts w:ascii="仿宋" w:eastAsia="仿宋" w:cs="仿宋_GB2312"/>
          <w:color w:val="auto"/>
          <w:highlight w:val="none"/>
        </w:rPr>
        <w:t>5</w:t>
      </w:r>
      <w:r>
        <w:rPr>
          <w:rFonts w:hint="eastAsia" w:ascii="仿宋" w:eastAsia="仿宋" w:cs="仿宋_GB2312"/>
          <w:color w:val="auto"/>
          <w:highlight w:val="none"/>
        </w:rPr>
        <w:t>.1营业执照(或事业法人登记证书)………………………………………（页码）</w:t>
      </w:r>
      <w:bookmarkEnd w:id="47"/>
    </w:p>
    <w:p>
      <w:pPr>
        <w:pStyle w:val="43"/>
        <w:spacing w:line="360" w:lineRule="auto"/>
        <w:ind w:firstLine="240" w:firstLineChars="100"/>
        <w:jc w:val="left"/>
        <w:rPr>
          <w:rFonts w:hint="eastAsia" w:ascii="仿宋" w:eastAsia="仿宋" w:cs="仿宋_GB2312"/>
          <w:color w:val="auto"/>
          <w:highlight w:val="none"/>
        </w:rPr>
      </w:pPr>
      <w:r>
        <w:rPr>
          <w:rFonts w:ascii="仿宋" w:eastAsia="仿宋" w:cs="仿宋_GB2312"/>
          <w:color w:val="auto"/>
          <w:highlight w:val="none"/>
        </w:rPr>
        <w:t>5</w:t>
      </w:r>
      <w:r>
        <w:rPr>
          <w:rFonts w:hint="eastAsia" w:ascii="仿宋" w:eastAsia="仿宋" w:cs="仿宋_GB2312"/>
          <w:color w:val="auto"/>
          <w:highlight w:val="none"/>
        </w:rPr>
        <w:t>.2</w:t>
      </w:r>
      <w:bookmarkStart w:id="48" w:name="_Toc64369788"/>
      <w:r>
        <w:rPr>
          <w:rFonts w:hint="eastAsia" w:ascii="仿宋" w:eastAsia="仿宋" w:cs="仿宋_GB2312"/>
          <w:color w:val="auto"/>
          <w:highlight w:val="none"/>
        </w:rPr>
        <w:t>特定资格条件的有关证明材料（如有）………………………………（页码）</w:t>
      </w:r>
      <w:bookmarkEnd w:id="48"/>
    </w:p>
    <w:p>
      <w:pPr>
        <w:pStyle w:val="43"/>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6</w:t>
      </w:r>
      <w:r>
        <w:rPr>
          <w:rFonts w:hint="eastAsia" w:ascii="仿宋" w:eastAsia="仿宋" w:cs="仿宋_GB2312"/>
          <w:color w:val="auto"/>
          <w:highlight w:val="none"/>
        </w:rPr>
        <w:t>.中小企业声明函（如有）…………………………………………………（页码）</w:t>
      </w:r>
    </w:p>
    <w:p>
      <w:pPr>
        <w:pStyle w:val="43"/>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7</w:t>
      </w:r>
      <w:r>
        <w:rPr>
          <w:rFonts w:hint="eastAsia" w:ascii="仿宋" w:eastAsia="仿宋" w:cs="仿宋_GB2312"/>
          <w:color w:val="auto"/>
          <w:highlight w:val="none"/>
        </w:rPr>
        <w:t>.残疾人福利性单位声明函（如有）………………………………………（页码）</w:t>
      </w:r>
    </w:p>
    <w:p>
      <w:pPr>
        <w:spacing w:line="360" w:lineRule="auto"/>
        <w:jc w:val="left"/>
        <w:rPr>
          <w:rFonts w:hint="eastAsia" w:ascii="仿宋" w:eastAsia="仿宋" w:cs="仿宋_GB2312"/>
          <w:b/>
          <w:bCs/>
          <w:color w:val="auto"/>
          <w:sz w:val="24"/>
          <w:highlight w:val="none"/>
        </w:rPr>
      </w:pPr>
    </w:p>
    <w:p>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pPr>
        <w:pStyle w:val="39"/>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39"/>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pPr>
        <w:pStyle w:val="39"/>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pPr>
        <w:pStyle w:val="8"/>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pPr>
        <w:pStyle w:val="39"/>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pPr>
        <w:pStyle w:val="39"/>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9"/>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pPr>
        <w:pStyle w:val="8"/>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pPr>
        <w:pStyle w:val="39"/>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39"/>
        <w:spacing w:after="50" w:afterLines="0" w:line="440" w:lineRule="exact"/>
        <w:rPr>
          <w:rFonts w:hint="eastAsia" w:ascii="仿宋" w:eastAsia="仿宋"/>
          <w:color w:val="auto"/>
          <w:szCs w:val="24"/>
          <w:highlight w:val="none"/>
        </w:rPr>
      </w:pPr>
    </w:p>
    <w:p>
      <w:pPr>
        <w:pStyle w:val="39"/>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pPr>
        <w:pStyle w:val="39"/>
        <w:spacing w:after="50" w:afterLines="0" w:line="440" w:lineRule="exact"/>
        <w:rPr>
          <w:rFonts w:hint="eastAsia" w:ascii="仿宋" w:eastAsia="仿宋"/>
          <w:color w:val="auto"/>
          <w:szCs w:val="24"/>
          <w:highlight w:val="none"/>
        </w:rPr>
      </w:pPr>
    </w:p>
    <w:p>
      <w:pPr>
        <w:pStyle w:val="39"/>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pPr>
        <w:pStyle w:val="39"/>
        <w:spacing w:after="50" w:afterLines="0" w:line="440" w:lineRule="exact"/>
        <w:rPr>
          <w:rFonts w:hint="eastAsia" w:ascii="仿宋" w:eastAsia="仿宋"/>
          <w:color w:val="auto"/>
          <w:szCs w:val="24"/>
          <w:highlight w:val="none"/>
        </w:rPr>
      </w:pPr>
    </w:p>
    <w:p>
      <w:pPr>
        <w:pStyle w:val="39"/>
        <w:spacing w:after="50" w:afterLines="0" w:line="440" w:lineRule="exact"/>
        <w:rPr>
          <w:rFonts w:hint="eastAsia" w:ascii="仿宋" w:eastAsia="仿宋"/>
          <w:color w:val="auto"/>
          <w:szCs w:val="24"/>
          <w:highlight w:val="none"/>
        </w:rPr>
      </w:pPr>
    </w:p>
    <w:p>
      <w:pPr>
        <w:pStyle w:val="39"/>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pPr>
        <w:pStyle w:val="10"/>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pPr>
        <w:pStyle w:val="10"/>
        <w:numPr>
          <w:ilvl w:val="0"/>
          <w:numId w:val="6"/>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pPr>
        <w:pStyle w:val="10"/>
        <w:numPr>
          <w:ilvl w:val="0"/>
          <w:numId w:val="6"/>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pPr>
        <w:pStyle w:val="10"/>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pPr>
        <w:pStyle w:val="10"/>
        <w:overflowPunct w:val="0"/>
        <w:spacing w:line="460" w:lineRule="exact"/>
        <w:ind w:firstLine="513" w:firstLineChars="214"/>
        <w:rPr>
          <w:rFonts w:hint="eastAsia" w:ascii="仿宋" w:eastAsia="仿宋"/>
          <w:color w:val="auto"/>
          <w:sz w:val="24"/>
          <w:szCs w:val="24"/>
          <w:highlight w:val="none"/>
        </w:rPr>
      </w:pPr>
    </w:p>
    <w:p>
      <w:pPr>
        <w:pStyle w:val="10"/>
        <w:overflowPunct w:val="0"/>
        <w:spacing w:line="460" w:lineRule="exact"/>
        <w:ind w:firstLine="513" w:firstLineChars="214"/>
        <w:rPr>
          <w:rFonts w:hint="eastAsia" w:ascii="仿宋" w:eastAsia="仿宋"/>
          <w:color w:val="auto"/>
          <w:sz w:val="24"/>
          <w:szCs w:val="24"/>
          <w:highlight w:val="none"/>
        </w:rPr>
      </w:pP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pPr>
        <w:pStyle w:val="39"/>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附件5：法定代表人授权委托书</w:t>
      </w:r>
    </w:p>
    <w:p>
      <w:pPr>
        <w:snapToGrid w:val="0"/>
        <w:spacing w:before="50" w:after="50"/>
        <w:jc w:val="center"/>
        <w:rPr>
          <w:rFonts w:hint="eastAsia" w:ascii="仿宋" w:eastAsia="仿宋"/>
          <w:b/>
          <w:color w:val="auto"/>
          <w:sz w:val="36"/>
          <w:szCs w:val="36"/>
          <w:highlight w:val="none"/>
        </w:rPr>
      </w:pP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156" w:beforeLines="50" w:after="50" w:line="460" w:lineRule="exact"/>
        <w:ind w:firstLine="480"/>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pPr>
        <w:widowControl/>
        <w:jc w:val="left"/>
        <w:rPr>
          <w:rFonts w:hint="eastAsia" w:ascii="仿宋" w:eastAsia="仿宋"/>
          <w:color w:val="auto"/>
          <w:sz w:val="24"/>
          <w:szCs w:val="24"/>
          <w:highlight w:val="none"/>
          <w:u w:val="single"/>
        </w:rPr>
      </w:pPr>
    </w:p>
    <w:p>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pPr>
        <w:snapToGrid w:val="0"/>
        <w:spacing w:before="50" w:after="50"/>
        <w:jc w:val="left"/>
        <w:rPr>
          <w:rFonts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pStyle w:val="39"/>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ascii="仿宋" w:eastAsia="仿宋"/>
          <w:b/>
          <w:bCs/>
          <w:color w:val="auto"/>
          <w:sz w:val="28"/>
          <w:szCs w:val="28"/>
          <w:highlight w:val="none"/>
        </w:rPr>
        <w:t>6</w:t>
      </w:r>
      <w:r>
        <w:rPr>
          <w:rFonts w:hint="eastAsia" w:ascii="仿宋" w:eastAsia="仿宋"/>
          <w:b/>
          <w:bCs/>
          <w:color w:val="auto"/>
          <w:sz w:val="28"/>
          <w:szCs w:val="28"/>
          <w:highlight w:val="none"/>
        </w:rPr>
        <w:t>：法定代表人及其授权代表身份证</w:t>
      </w:r>
    </w:p>
    <w:p>
      <w:pPr>
        <w:pStyle w:val="39"/>
        <w:spacing w:after="50" w:afterLines="0" w:line="440" w:lineRule="exact"/>
        <w:ind w:left="0" w:firstLine="0" w:firstLineChars="0"/>
        <w:rPr>
          <w:rFonts w:hint="eastAsia" w:ascii="仿宋" w:eastAsia="仿宋"/>
          <w:b/>
          <w:bCs/>
          <w:color w:val="auto"/>
          <w:sz w:val="28"/>
          <w:szCs w:val="28"/>
          <w:highlight w:val="none"/>
        </w:rPr>
      </w:pPr>
    </w:p>
    <w:p>
      <w:pPr>
        <w:pStyle w:val="39"/>
        <w:spacing w:after="50" w:afterLines="0" w:line="440" w:lineRule="exact"/>
        <w:ind w:left="0" w:firstLine="0" w:firstLineChars="0"/>
        <w:rPr>
          <w:rFonts w:hint="eastAsia" w:ascii="仿宋" w:eastAsia="仿宋"/>
          <w:b/>
          <w:bCs/>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pPr>
        <w:pStyle w:val="39"/>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pPr>
        <w:pStyle w:val="39"/>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pPr>
        <w:pStyle w:val="39"/>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pStyle w:val="39"/>
        <w:spacing w:after="50" w:afterLines="0" w:line="440" w:lineRule="exact"/>
        <w:ind w:left="0" w:firstLine="0" w:firstLineChars="0"/>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ascii="仿宋" w:eastAsia="仿宋"/>
          <w:b/>
          <w:bCs/>
          <w:color w:val="auto"/>
          <w:sz w:val="30"/>
          <w:szCs w:val="30"/>
          <w:highlight w:val="none"/>
        </w:rPr>
        <w:t>7</w:t>
      </w:r>
      <w:r>
        <w:rPr>
          <w:rFonts w:hint="eastAsia" w:ascii="仿宋" w:eastAsia="仿宋"/>
          <w:b/>
          <w:bCs/>
          <w:color w:val="auto"/>
          <w:sz w:val="30"/>
          <w:szCs w:val="30"/>
          <w:highlight w:val="none"/>
        </w:rPr>
        <w:t>（如有）：</w:t>
      </w:r>
    </w:p>
    <w:p>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pPr>
        <w:snapToGrid w:val="0"/>
        <w:spacing w:before="50" w:after="50"/>
        <w:jc w:val="left"/>
        <w:rPr>
          <w:rFonts w:ascii="仿宋" w:eastAsia="仿宋"/>
          <w:b/>
          <w:bCs/>
          <w:color w:val="auto"/>
          <w:sz w:val="24"/>
          <w:szCs w:val="24"/>
          <w:highlight w:val="none"/>
        </w:rPr>
      </w:pPr>
    </w:p>
    <w:p>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pPr>
        <w:numPr>
          <w:ilvl w:val="0"/>
          <w:numId w:val="8"/>
        </w:numPr>
        <w:snapToGrid w:val="0"/>
        <w:spacing w:before="50" w:after="50" w:line="240" w:lineRule="auto"/>
        <w:jc w:val="left"/>
        <w:rPr>
          <w:rFonts w:ascii="仿宋" w:eastAsia="仿宋"/>
          <w:b/>
          <w:bCs/>
          <w:color w:val="auto"/>
          <w:sz w:val="24"/>
          <w:szCs w:val="24"/>
          <w:highlight w:val="none"/>
          <w:u w:val="single"/>
        </w:rPr>
      </w:pPr>
      <w:r>
        <w:rPr>
          <w:rFonts w:hint="eastAsia" w:ascii="仿宋" w:eastAsia="仿宋" w:cs="仿宋_GB2312"/>
          <w:b/>
          <w:bCs/>
          <w:color w:val="auto"/>
          <w:sz w:val="24"/>
          <w:highlight w:val="none"/>
          <w:u w:val="single"/>
          <w:lang w:eastAsia="zh-CN"/>
        </w:rPr>
        <w:t>“标的名称”、“所属行业”按前附表所列填写，否则资格审查不通过。</w:t>
      </w:r>
    </w:p>
    <w:p>
      <w:pPr>
        <w:snapToGrid w:val="0"/>
        <w:spacing w:before="50" w:after="50"/>
        <w:ind w:left="840"/>
        <w:jc w:val="left"/>
        <w:rPr>
          <w:rFonts w:ascii="仿宋" w:eastAsia="仿宋"/>
          <w:b/>
          <w:bCs/>
          <w:color w:val="auto"/>
          <w:sz w:val="24"/>
          <w:szCs w:val="24"/>
          <w:highlight w:val="none"/>
        </w:rPr>
      </w:pPr>
    </w:p>
    <w:p>
      <w:pPr>
        <w:spacing w:line="588" w:lineRule="exact"/>
        <w:rPr>
          <w:rFonts w:hint="eastAsia" w:ascii="仿宋" w:eastAsia="仿宋"/>
          <w:b/>
          <w:color w:val="auto"/>
          <w:spacing w:val="6"/>
          <w:sz w:val="30"/>
          <w:szCs w:val="30"/>
          <w:highlight w:val="none"/>
        </w:rPr>
      </w:pPr>
      <w:bookmarkStart w:id="49" w:name="_Hlk523382353"/>
      <w:r>
        <w:rPr>
          <w:rFonts w:hint="eastAsia" w:ascii="仿宋" w:eastAsia="仿宋"/>
          <w:b/>
          <w:color w:val="auto"/>
          <w:spacing w:val="6"/>
          <w:sz w:val="30"/>
          <w:szCs w:val="30"/>
          <w:highlight w:val="none"/>
        </w:rPr>
        <w:t>附件</w:t>
      </w:r>
      <w:r>
        <w:rPr>
          <w:rFonts w:ascii="仿宋" w:eastAsia="仿宋"/>
          <w:b/>
          <w:color w:val="auto"/>
          <w:spacing w:val="6"/>
          <w:sz w:val="30"/>
          <w:szCs w:val="30"/>
          <w:highlight w:val="none"/>
        </w:rPr>
        <w:t>8</w:t>
      </w:r>
      <w:r>
        <w:rPr>
          <w:rFonts w:hint="eastAsia" w:ascii="仿宋" w:eastAsia="仿宋"/>
          <w:b/>
          <w:color w:val="auto"/>
          <w:spacing w:val="6"/>
          <w:sz w:val="30"/>
          <w:szCs w:val="30"/>
          <w:highlight w:val="none"/>
        </w:rPr>
        <w:t>（如有）：</w:t>
      </w:r>
    </w:p>
    <w:bookmarkEnd w:id="49"/>
    <w:p>
      <w:pPr>
        <w:spacing w:line="588" w:lineRule="exact"/>
        <w:ind w:firstLine="667"/>
        <w:jc w:val="center"/>
        <w:rPr>
          <w:rFonts w:hint="eastAsia" w:ascii="仿宋" w:eastAsia="仿宋"/>
          <w:b/>
          <w:color w:val="auto"/>
          <w:spacing w:val="6"/>
          <w:sz w:val="32"/>
          <w:szCs w:val="32"/>
          <w:highlight w:val="none"/>
        </w:rPr>
      </w:pPr>
    </w:p>
    <w:p>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pPr>
        <w:spacing w:line="588" w:lineRule="exact"/>
        <w:ind w:firstLine="626"/>
        <w:rPr>
          <w:rFonts w:hint="eastAsia" w:ascii="仿宋" w:eastAsia="仿宋"/>
          <w:b/>
          <w:color w:val="auto"/>
          <w:spacing w:val="6"/>
          <w:sz w:val="30"/>
          <w:szCs w:val="30"/>
          <w:highlight w:val="none"/>
        </w:rPr>
      </w:pP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pPr>
        <w:ind w:firstLine="480"/>
        <w:rPr>
          <w:rFonts w:hint="eastAsia" w:ascii="仿宋" w:eastAsia="仿宋" w:cs="仿宋_GB2312"/>
          <w:color w:val="auto"/>
          <w:sz w:val="24"/>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pPr>
        <w:ind w:firstLine="420"/>
        <w:rPr>
          <w:rFonts w:hint="eastAsia" w:ascii="仿宋" w:eastAsia="仿宋"/>
          <w:color w:val="auto"/>
          <w:highlight w:val="none"/>
        </w:rPr>
      </w:pPr>
    </w:p>
    <w:p>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9</w:t>
      </w:r>
      <w:r>
        <w:rPr>
          <w:rFonts w:hint="eastAsia" w:ascii="仿宋" w:eastAsia="仿宋"/>
          <w:b/>
          <w:color w:val="auto"/>
          <w:sz w:val="30"/>
          <w:szCs w:val="30"/>
          <w:highlight w:val="none"/>
        </w:rPr>
        <w:t>：商务和技术文件封面</w:t>
      </w:r>
    </w:p>
    <w:p>
      <w:pPr>
        <w:snapToGrid w:val="0"/>
        <w:spacing w:before="156" w:beforeLines="50" w:after="50"/>
        <w:jc w:val="center"/>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10</w:t>
      </w:r>
      <w:r>
        <w:rPr>
          <w:rFonts w:hint="eastAsia" w:ascii="仿宋" w:eastAsia="仿宋"/>
          <w:b/>
          <w:bCs/>
          <w:color w:val="auto"/>
          <w:sz w:val="30"/>
          <w:szCs w:val="30"/>
          <w:highlight w:val="none"/>
        </w:rPr>
        <w:t>：商务和技术文件目录</w:t>
      </w:r>
    </w:p>
    <w:p>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43"/>
        <w:spacing w:line="360" w:lineRule="auto"/>
        <w:ind w:firstLine="0" w:firstLineChars="0"/>
        <w:jc w:val="left"/>
        <w:rPr>
          <w:rFonts w:hint="eastAsia" w:ascii="仿宋" w:eastAsia="仿宋" w:cs="仿宋_GB2312"/>
          <w:color w:val="auto"/>
          <w:highlight w:val="none"/>
        </w:rPr>
      </w:pPr>
      <w:bookmarkStart w:id="50"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0"/>
    </w:p>
    <w:p>
      <w:pPr>
        <w:pStyle w:val="43"/>
        <w:spacing w:line="360" w:lineRule="auto"/>
        <w:ind w:firstLine="0" w:firstLineChars="0"/>
        <w:jc w:val="left"/>
        <w:rPr>
          <w:rFonts w:hint="eastAsia" w:ascii="仿宋" w:eastAsia="仿宋" w:cs="仿宋_GB2312"/>
          <w:color w:val="auto"/>
          <w:highlight w:val="none"/>
        </w:rPr>
      </w:pPr>
      <w:bookmarkStart w:id="51" w:name="_Toc64369790"/>
      <w:r>
        <w:rPr>
          <w:rFonts w:hint="eastAsia" w:ascii="仿宋" w:eastAsia="仿宋" w:cs="仿宋_GB2312"/>
          <w:color w:val="auto"/>
          <w:highlight w:val="none"/>
        </w:rPr>
        <w:t>2.技术响应表…………………………………………………………………（页码）</w:t>
      </w:r>
      <w:bookmarkEnd w:id="51"/>
    </w:p>
    <w:p>
      <w:pPr>
        <w:pStyle w:val="43"/>
        <w:spacing w:line="360" w:lineRule="auto"/>
        <w:ind w:firstLine="0" w:firstLineChars="0"/>
        <w:jc w:val="left"/>
        <w:rPr>
          <w:rFonts w:hint="eastAsia" w:ascii="仿宋" w:eastAsia="仿宋" w:cs="仿宋_GB2312"/>
          <w:color w:val="auto"/>
          <w:highlight w:val="none"/>
        </w:rPr>
      </w:pPr>
      <w:bookmarkStart w:id="52" w:name="_Toc64369791"/>
      <w:r>
        <w:rPr>
          <w:rFonts w:hint="eastAsia" w:ascii="仿宋" w:eastAsia="仿宋" w:cs="仿宋_GB2312"/>
          <w:color w:val="auto"/>
          <w:highlight w:val="none"/>
        </w:rPr>
        <w:t>3.商务响应表…………………………………………………………………（页码）</w:t>
      </w:r>
      <w:bookmarkEnd w:id="52"/>
    </w:p>
    <w:p>
      <w:pPr>
        <w:pStyle w:val="43"/>
        <w:spacing w:line="360" w:lineRule="auto"/>
        <w:ind w:firstLine="0" w:firstLineChars="0"/>
        <w:jc w:val="left"/>
        <w:rPr>
          <w:rFonts w:hint="eastAsia" w:ascii="仿宋" w:eastAsia="仿宋" w:cs="仿宋_GB2312"/>
          <w:color w:val="auto"/>
          <w:highlight w:val="none"/>
        </w:rPr>
      </w:pPr>
      <w:bookmarkStart w:id="53"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pPr>
        <w:pStyle w:val="43"/>
        <w:spacing w:line="360" w:lineRule="auto"/>
        <w:ind w:firstLine="0" w:firstLineChars="0"/>
        <w:jc w:val="left"/>
        <w:rPr>
          <w:rFonts w:hint="eastAsia" w:ascii="仿宋" w:eastAsia="仿宋" w:cs="仿宋_GB2312"/>
          <w:color w:val="auto"/>
          <w:highlight w:val="none"/>
        </w:rPr>
      </w:pPr>
      <w:bookmarkStart w:id="54"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pPr>
        <w:pStyle w:val="43"/>
        <w:spacing w:line="360" w:lineRule="auto"/>
        <w:ind w:firstLine="0" w:firstLineChars="0"/>
        <w:jc w:val="left"/>
        <w:rPr>
          <w:rFonts w:ascii="仿宋" w:eastAsia="仿宋" w:cs="仿宋_GB2312"/>
          <w:color w:val="auto"/>
          <w:highlight w:val="none"/>
        </w:rPr>
      </w:pPr>
      <w:bookmarkStart w:id="55"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pPr>
        <w:pStyle w:val="42"/>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pPr>
        <w:pStyle w:val="43"/>
        <w:spacing w:line="360" w:lineRule="auto"/>
        <w:ind w:firstLine="0" w:firstLineChars="0"/>
        <w:jc w:val="left"/>
        <w:rPr>
          <w:rFonts w:hint="eastAsia" w:ascii="仿宋" w:eastAsia="仿宋" w:cs="仿宋_GB2312"/>
          <w:color w:val="auto"/>
          <w:highlight w:val="none"/>
        </w:rPr>
      </w:pPr>
      <w:bookmarkStart w:id="56"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pPr>
        <w:pStyle w:val="43"/>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43"/>
        <w:spacing w:line="360" w:lineRule="auto"/>
        <w:ind w:firstLine="0" w:firstLineChars="0"/>
        <w:jc w:val="left"/>
        <w:rPr>
          <w:rFonts w:hint="eastAsia" w:ascii="仿宋" w:eastAsia="仿宋" w:cs="仿宋_GB2312"/>
          <w:color w:val="auto"/>
          <w:highlight w:val="none"/>
        </w:rPr>
      </w:pPr>
      <w:bookmarkStart w:id="57"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pPr>
        <w:pStyle w:val="42"/>
        <w:numPr>
          <w:ilvl w:val="0"/>
          <w:numId w:val="0"/>
        </w:numPr>
        <w:spacing w:line="240" w:lineRule="auto"/>
        <w:ind w:left="0" w:firstLine="0"/>
        <w:rPr>
          <w:rFonts w:hint="eastAsia" w:ascii="仿宋" w:eastAsia="仿宋"/>
          <w:color w:val="auto"/>
          <w:highlight w:val="none"/>
        </w:rPr>
      </w:pPr>
    </w:p>
    <w:p>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pStyle w:val="39"/>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ascii="仿宋" w:eastAsia="仿宋"/>
          <w:b/>
          <w:bCs/>
          <w:color w:val="auto"/>
          <w:sz w:val="28"/>
          <w:szCs w:val="28"/>
          <w:highlight w:val="none"/>
        </w:rPr>
        <w:t>11</w:t>
      </w:r>
      <w:r>
        <w:rPr>
          <w:rFonts w:hint="eastAsia" w:ascii="仿宋" w:eastAsia="仿宋"/>
          <w:b/>
          <w:bCs/>
          <w:color w:val="auto"/>
          <w:sz w:val="28"/>
          <w:szCs w:val="28"/>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p>
    <w:p>
      <w:pPr>
        <w:pStyle w:val="11"/>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3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pStyle w:val="11"/>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156" w:beforeLines="50"/>
        <w:rPr>
          <w:rFonts w:hint="eastAsia" w:ascii="仿宋" w:eastAsia="仿宋"/>
          <w:color w:val="auto"/>
          <w:sz w:val="30"/>
          <w:szCs w:val="30"/>
          <w:highlight w:val="none"/>
        </w:rPr>
      </w:pP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12</w:t>
      </w:r>
      <w:r>
        <w:rPr>
          <w:rFonts w:hint="eastAsia" w:ascii="仿宋" w:eastAsia="仿宋"/>
          <w:b/>
          <w:bCs/>
          <w:color w:val="auto"/>
          <w:sz w:val="30"/>
          <w:szCs w:val="30"/>
          <w:highlight w:val="none"/>
        </w:rPr>
        <w:t>：技术响应表</w:t>
      </w:r>
    </w:p>
    <w:p>
      <w:pPr>
        <w:snapToGrid w:val="0"/>
        <w:spacing w:before="50" w:after="50"/>
        <w:rPr>
          <w:rFonts w:hint="eastAsia" w:ascii="仿宋" w:eastAsia="仿宋"/>
          <w:b/>
          <w:bCs/>
          <w:color w:val="auto"/>
          <w:sz w:val="30"/>
          <w:szCs w:val="30"/>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156" w:afterLines="50"/>
        <w:jc w:val="center"/>
        <w:rPr>
          <w:rFonts w:hint="eastAsia" w:ascii="仿宋" w:eastAsia="仿宋"/>
          <w:b/>
          <w:color w:val="auto"/>
          <w:spacing w:val="40"/>
          <w:kern w:val="0"/>
          <w:sz w:val="36"/>
          <w:szCs w:val="36"/>
          <w:highlight w:val="none"/>
        </w:rPr>
      </w:pPr>
    </w:p>
    <w:p>
      <w:pPr>
        <w:pStyle w:val="11"/>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pPr>
        <w:pStyle w:val="11"/>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30"/>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58" w:name="_Toc64369807"/>
            <w:r>
              <w:rPr>
                <w:rFonts w:hint="eastAsia" w:ascii="仿宋" w:eastAsia="仿宋"/>
                <w:color w:val="auto"/>
                <w:spacing w:val="20"/>
                <w:sz w:val="24"/>
                <w:szCs w:val="24"/>
                <w:highlight w:val="none"/>
              </w:rPr>
              <w:t>服务部分</w:t>
            </w:r>
            <w:bookmarkEnd w:id="5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59" w:name="_Toc64369800"/>
            <w:r>
              <w:rPr>
                <w:rFonts w:hint="eastAsia" w:ascii="仿宋" w:eastAsia="仿宋"/>
                <w:color w:val="auto"/>
                <w:spacing w:val="20"/>
                <w:sz w:val="24"/>
                <w:szCs w:val="24"/>
                <w:highlight w:val="none"/>
              </w:rPr>
              <w:t>序号</w:t>
            </w:r>
            <w:bookmarkEnd w:id="59"/>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60" w:name="_Toc64369801"/>
            <w:bookmarkStart w:id="61" w:name="_Toc64369802"/>
            <w:r>
              <w:rPr>
                <w:rFonts w:hint="eastAsia" w:ascii="仿宋" w:eastAsia="仿宋"/>
                <w:color w:val="auto"/>
                <w:spacing w:val="20"/>
                <w:sz w:val="24"/>
                <w:szCs w:val="24"/>
                <w:highlight w:val="none"/>
              </w:rPr>
              <w:t>采购文件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0"/>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1"/>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62" w:name="_Toc64369803"/>
            <w:r>
              <w:rPr>
                <w:rFonts w:hint="eastAsia" w:ascii="仿宋" w:eastAsia="仿宋"/>
                <w:color w:val="auto"/>
                <w:spacing w:val="20"/>
                <w:sz w:val="24"/>
                <w:szCs w:val="24"/>
                <w:highlight w:val="none"/>
              </w:rPr>
              <w:t>偏离</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3" w:name="_Toc64369804"/>
            <w:r>
              <w:rPr>
                <w:rFonts w:hint="eastAsia" w:ascii="仿宋" w:eastAsia="仿宋"/>
                <w:color w:val="auto"/>
                <w:spacing w:val="20"/>
                <w:sz w:val="24"/>
                <w:szCs w:val="24"/>
                <w:highlight w:val="none"/>
              </w:rPr>
              <w:t>1</w:t>
            </w:r>
            <w:bookmarkEnd w:id="63"/>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4" w:name="_Toc64369805"/>
            <w:r>
              <w:rPr>
                <w:rFonts w:hint="eastAsia" w:ascii="仿宋" w:eastAsia="仿宋"/>
                <w:color w:val="auto"/>
                <w:spacing w:val="20"/>
                <w:sz w:val="24"/>
                <w:szCs w:val="24"/>
                <w:highlight w:val="none"/>
              </w:rPr>
              <w:t>2</w:t>
            </w:r>
            <w:bookmarkEnd w:id="64"/>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5" w:name="_Toc64369806"/>
            <w:bookmarkEnd w:id="65"/>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66"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6"/>
            <w:r>
              <w:rPr>
                <w:rFonts w:hint="eastAsia" w:ascii="仿宋" w:eastAsia="仿宋"/>
                <w:color w:val="auto"/>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67" w:name="_Toc64369808"/>
            <w:r>
              <w:rPr>
                <w:rFonts w:hint="eastAsia" w:ascii="仿宋" w:eastAsia="仿宋"/>
                <w:color w:val="auto"/>
                <w:spacing w:val="20"/>
                <w:sz w:val="24"/>
                <w:szCs w:val="24"/>
                <w:highlight w:val="none"/>
              </w:rPr>
              <w:t>序号</w:t>
            </w:r>
            <w:bookmarkEnd w:id="67"/>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68" w:name="_Toc64369809"/>
            <w:bookmarkStart w:id="69" w:name="_Toc64369810"/>
            <w:r>
              <w:rPr>
                <w:rFonts w:hint="eastAsia" w:ascii="仿宋" w:eastAsia="仿宋"/>
                <w:color w:val="auto"/>
                <w:spacing w:val="20"/>
                <w:sz w:val="24"/>
                <w:szCs w:val="24"/>
                <w:highlight w:val="none"/>
              </w:rPr>
              <w:t>采购文件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8"/>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9"/>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highlight w:val="none"/>
              </w:rPr>
            </w:pPr>
            <w:bookmarkStart w:id="70" w:name="_Toc64369811"/>
            <w:r>
              <w:rPr>
                <w:rFonts w:hint="eastAsia" w:ascii="仿宋" w:eastAsia="仿宋"/>
                <w:color w:val="auto"/>
                <w:spacing w:val="20"/>
                <w:sz w:val="24"/>
                <w:szCs w:val="24"/>
                <w:highlight w:val="none"/>
              </w:rPr>
              <w:t>偏离</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71" w:name="_Toc64369814"/>
            <w:r>
              <w:rPr>
                <w:rFonts w:hint="eastAsia" w:ascii="仿宋" w:eastAsia="仿宋"/>
                <w:color w:val="auto"/>
                <w:spacing w:val="20"/>
                <w:sz w:val="24"/>
                <w:szCs w:val="24"/>
                <w:highlight w:val="none"/>
              </w:rPr>
              <w:t>…</w:t>
            </w:r>
            <w:bookmarkEnd w:id="71"/>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bl>
    <w:p>
      <w:pPr>
        <w:pStyle w:val="13"/>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color w:val="auto"/>
          <w:spacing w:val="20"/>
          <w:sz w:val="30"/>
          <w:szCs w:val="30"/>
          <w:highlight w:val="none"/>
        </w:rPr>
      </w:pPr>
    </w:p>
    <w:p>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pPr>
        <w:snapToGrid w:val="0"/>
        <w:spacing w:before="156" w:beforeLines="50"/>
        <w:rPr>
          <w:rFonts w:hint="eastAsia" w:ascii="仿宋" w:eastAsia="仿宋"/>
          <w:color w:val="auto"/>
          <w:sz w:val="24"/>
          <w:szCs w:val="24"/>
          <w:highlight w:val="none"/>
        </w:rPr>
      </w:pPr>
    </w:p>
    <w:p>
      <w:pPr>
        <w:snapToGrid w:val="0"/>
        <w:spacing w:before="156" w:beforeLines="50"/>
        <w:rPr>
          <w:rFonts w:hint="eastAsia" w:ascii="仿宋" w:eastAsia="仿宋"/>
          <w:color w:val="auto"/>
          <w:sz w:val="24"/>
          <w:szCs w:val="24"/>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3</w:t>
      </w:r>
      <w:r>
        <w:rPr>
          <w:rFonts w:hint="eastAsia" w:ascii="仿宋" w:eastAsia="仿宋"/>
          <w:b/>
          <w:bCs/>
          <w:color w:val="auto"/>
          <w:sz w:val="30"/>
          <w:szCs w:val="30"/>
          <w:highlight w:val="none"/>
        </w:rPr>
        <w:t>：商务响应表</w:t>
      </w:r>
    </w:p>
    <w:p>
      <w:pPr>
        <w:snapToGrid w:val="0"/>
        <w:spacing w:before="50" w:after="156" w:afterLines="50"/>
        <w:jc w:val="center"/>
        <w:rPr>
          <w:rFonts w:hint="eastAsia" w:ascii="仿宋" w:eastAsia="仿宋"/>
          <w:b/>
          <w:color w:val="auto"/>
          <w:spacing w:val="40"/>
          <w:kern w:val="0"/>
          <w:sz w:val="36"/>
          <w:szCs w:val="36"/>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pPr>
        <w:snapToGrid w:val="0"/>
        <w:spacing w:before="50" w:after="156" w:afterLines="50"/>
        <w:jc w:val="center"/>
        <w:rPr>
          <w:rFonts w:hint="eastAsia" w:ascii="仿宋" w:eastAsia="仿宋"/>
          <w:b/>
          <w:color w:val="auto"/>
          <w:sz w:val="32"/>
          <w:szCs w:val="32"/>
          <w:highlight w:val="none"/>
        </w:rPr>
      </w:pPr>
    </w:p>
    <w:p>
      <w:pPr>
        <w:pStyle w:val="11"/>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1"/>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30"/>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color w:val="auto"/>
                <w:spacing w:val="20"/>
                <w:sz w:val="28"/>
                <w:szCs w:val="28"/>
                <w:highlight w:val="none"/>
              </w:rPr>
            </w:pPr>
            <w:bookmarkStart w:id="72" w:name="_Toc64369815"/>
            <w:r>
              <w:rPr>
                <w:rFonts w:hint="eastAsia" w:ascii="仿宋" w:eastAsia="仿宋" w:cs="仿宋_GB2312"/>
                <w:color w:val="auto"/>
                <w:spacing w:val="20"/>
                <w:sz w:val="28"/>
                <w:szCs w:val="28"/>
                <w:highlight w:val="none"/>
              </w:rPr>
              <w:t>类别</w:t>
            </w:r>
            <w:bookmarkEnd w:id="72"/>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73" w:name="_Toc64369816"/>
            <w:r>
              <w:rPr>
                <w:rFonts w:hint="eastAsia" w:ascii="仿宋" w:eastAsia="仿宋" w:cs="仿宋_GB2312"/>
                <w:color w:val="auto"/>
                <w:sz w:val="30"/>
                <w:szCs w:val="30"/>
                <w:highlight w:val="none"/>
              </w:rPr>
              <w:t>采购文件要求</w:t>
            </w:r>
            <w:bookmarkEnd w:id="73"/>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74" w:name="_Toc64369817"/>
            <w:r>
              <w:rPr>
                <w:rFonts w:hint="eastAsia" w:ascii="仿宋" w:eastAsia="仿宋" w:cs="仿宋_GB2312"/>
                <w:color w:val="auto"/>
                <w:sz w:val="30"/>
                <w:szCs w:val="30"/>
                <w:highlight w:val="none"/>
              </w:rPr>
              <w:t>投标文件响应</w:t>
            </w:r>
            <w:bookmarkEnd w:id="74"/>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75" w:name="_Toc64369818"/>
            <w:r>
              <w:rPr>
                <w:rFonts w:hint="eastAsia" w:ascii="仿宋" w:eastAsia="仿宋" w:cs="仿宋_GB2312"/>
                <w:color w:val="auto"/>
                <w:sz w:val="30"/>
                <w:szCs w:val="30"/>
                <w:highlight w:val="none"/>
              </w:rPr>
              <w:t>偏离情况</w:t>
            </w:r>
            <w:bookmarkEnd w:id="7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bookmarkStart w:id="76" w:name="_Toc64369823"/>
            <w:bookmarkStart w:id="77" w:name="_Toc64369819"/>
            <w:r>
              <w:rPr>
                <w:rFonts w:hint="eastAsia" w:ascii="仿宋" w:eastAsia="仿宋"/>
                <w:color w:val="auto"/>
                <w:spacing w:val="20"/>
                <w:sz w:val="28"/>
                <w:szCs w:val="28"/>
                <w:highlight w:val="none"/>
              </w:rPr>
              <w:t>付款方式</w:t>
            </w:r>
            <w:bookmarkEnd w:id="76"/>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9"/>
              <w:snapToGrid w:val="0"/>
              <w:spacing w:before="120" w:after="120" w:line="240" w:lineRule="auto"/>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line="240" w:lineRule="auto"/>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hint="eastAsia" w:ascii="仿宋" w:eastAsia="仿宋"/>
                <w:color w:val="auto"/>
                <w:sz w:val="28"/>
                <w:szCs w:val="28"/>
                <w:highlight w:val="none"/>
              </w:rPr>
            </w:pPr>
          </w:p>
        </w:tc>
      </w:tr>
    </w:tbl>
    <w:p>
      <w:pPr>
        <w:pStyle w:val="13"/>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156" w:beforeLines="50"/>
        <w:rPr>
          <w:rFonts w:hint="eastAsia" w:ascii="仿宋" w:eastAsia="仿宋"/>
          <w:color w:val="auto"/>
          <w:sz w:val="28"/>
          <w:szCs w:val="28"/>
          <w:highlight w:val="none"/>
        </w:rPr>
      </w:pPr>
    </w:p>
    <w:p>
      <w:pPr>
        <w:snapToGrid w:val="0"/>
        <w:spacing w:before="156" w:beforeLines="50"/>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4</w:t>
      </w:r>
      <w:r>
        <w:rPr>
          <w:rFonts w:hint="eastAsia" w:ascii="仿宋" w:eastAsia="仿宋"/>
          <w:b/>
          <w:bCs/>
          <w:color w:val="auto"/>
          <w:sz w:val="30"/>
          <w:szCs w:val="30"/>
          <w:highlight w:val="none"/>
        </w:rPr>
        <w:t>：项目实施人员清单</w:t>
      </w:r>
    </w:p>
    <w:p>
      <w:pPr>
        <w:snapToGrid w:val="0"/>
        <w:spacing w:before="50" w:after="156" w:afterLines="50"/>
        <w:jc w:val="center"/>
        <w:rPr>
          <w:rFonts w:hint="eastAsia" w:ascii="仿宋" w:eastAsia="仿宋"/>
          <w:b/>
          <w:color w:val="auto"/>
          <w:kern w:val="0"/>
          <w:sz w:val="36"/>
          <w:szCs w:val="36"/>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pPr>
        <w:pStyle w:val="11"/>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1"/>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30"/>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20"/>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bl>
    <w:p>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color w:val="auto"/>
          <w:sz w:val="28"/>
          <w:szCs w:val="28"/>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156" w:afterLines="50" w:line="460" w:lineRule="exact"/>
        <w:jc w:val="left"/>
        <w:rPr>
          <w:rFonts w:hint="eastAsia" w:ascii="仿宋" w:eastAsia="仿宋"/>
          <w:color w:val="auto"/>
          <w:sz w:val="28"/>
          <w:szCs w:val="28"/>
          <w:highlight w:val="none"/>
        </w:rPr>
      </w:pPr>
    </w:p>
    <w:p>
      <w:pPr>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5</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pPr>
        <w:snapToGrid w:val="0"/>
        <w:spacing w:before="50" w:after="50"/>
        <w:jc w:val="left"/>
        <w:rPr>
          <w:rFonts w:hint="eastAsia" w:ascii="仿宋" w:eastAsia="仿宋"/>
          <w:color w:val="auto"/>
          <w:sz w:val="30"/>
          <w:szCs w:val="30"/>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pPr>
        <w:pStyle w:val="11"/>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pPr>
        <w:pStyle w:val="11"/>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pPr>
        <w:rPr>
          <w:rFonts w:hint="eastAsia" w:ascii="仿宋" w:eastAsia="仿宋"/>
          <w:color w:val="auto"/>
          <w:highlight w:val="none"/>
        </w:rPr>
      </w:pPr>
    </w:p>
    <w:tbl>
      <w:tblPr>
        <w:tblStyle w:val="30"/>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pPr>
        <w:numPr>
          <w:ilvl w:val="0"/>
          <w:numId w:val="9"/>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pPr>
        <w:numPr>
          <w:ilvl w:val="0"/>
          <w:numId w:val="9"/>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6</w:t>
      </w:r>
      <w:r>
        <w:rPr>
          <w:rFonts w:hint="eastAsia" w:ascii="仿宋" w:eastAsia="仿宋"/>
          <w:b/>
          <w:bCs/>
          <w:color w:val="auto"/>
          <w:sz w:val="30"/>
          <w:szCs w:val="30"/>
          <w:highlight w:val="none"/>
        </w:rPr>
        <w:t>（如有）：</w:t>
      </w:r>
    </w:p>
    <w:p>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pPr>
        <w:pStyle w:val="19"/>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30"/>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r>
    </w:tbl>
    <w:p>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pPr>
        <w:pStyle w:val="19"/>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hint="eastAsia" w:ascii="仿宋" w:eastAsia="仿宋"/>
          <w:color w:val="auto"/>
          <w:spacing w:val="20"/>
          <w:sz w:val="24"/>
          <w:szCs w:val="24"/>
          <w:highlight w:val="none"/>
        </w:rPr>
      </w:pPr>
    </w:p>
    <w:p>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pPr>
        <w:rPr>
          <w:rFonts w:hint="eastAsia" w:ascii="仿宋" w:eastAsia="仿宋"/>
          <w:color w:val="auto"/>
          <w:spacing w:val="20"/>
          <w:sz w:val="24"/>
          <w:szCs w:val="24"/>
          <w:highlight w:val="none"/>
        </w:rPr>
      </w:pPr>
    </w:p>
    <w:p>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pPr>
        <w:rPr>
          <w:rFonts w:ascii="仿宋" w:eastAsia="仿宋"/>
          <w:color w:val="auto"/>
          <w:spacing w:val="20"/>
          <w:sz w:val="24"/>
          <w:szCs w:val="24"/>
          <w:highlight w:val="none"/>
          <w:u w:val="singl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7</w:t>
      </w:r>
      <w:r>
        <w:rPr>
          <w:rFonts w:hint="eastAsia" w:ascii="仿宋" w:eastAsia="仿宋"/>
          <w:b/>
          <w:bCs/>
          <w:color w:val="auto"/>
          <w:sz w:val="30"/>
          <w:szCs w:val="30"/>
          <w:highlight w:val="none"/>
        </w:rPr>
        <w:t>：报价文件封面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rPr>
          <w:rFonts w:hint="eastAsia" w:ascii="仿宋" w:eastAsia="仿宋"/>
          <w:color w:val="auto"/>
          <w:kern w:val="2"/>
          <w:sz w:val="24"/>
          <w:szCs w:val="20"/>
          <w:highlight w:val="none"/>
          <w:u w:val="non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8</w:t>
      </w:r>
      <w:r>
        <w:rPr>
          <w:rFonts w:hint="eastAsia" w:ascii="仿宋" w:eastAsia="仿宋"/>
          <w:b/>
          <w:bCs/>
          <w:color w:val="auto"/>
          <w:sz w:val="30"/>
          <w:szCs w:val="30"/>
          <w:highlight w:val="none"/>
        </w:rPr>
        <w:t>：报价文件目录</w:t>
      </w:r>
    </w:p>
    <w:p>
      <w:pPr>
        <w:snapToGrid w:val="0"/>
        <w:spacing w:before="156" w:beforeLines="50" w:after="50"/>
        <w:jc w:val="left"/>
        <w:rPr>
          <w:rFonts w:hint="eastAsia" w:ascii="仿宋" w:eastAsia="仿宋"/>
          <w:color w:val="auto"/>
          <w:sz w:val="30"/>
          <w:szCs w:val="30"/>
          <w:highlight w:val="none"/>
        </w:rPr>
      </w:pPr>
    </w:p>
    <w:p>
      <w:pPr>
        <w:pStyle w:val="43"/>
        <w:spacing w:line="360" w:lineRule="auto"/>
        <w:ind w:firstLine="0" w:firstLineChars="0"/>
        <w:jc w:val="center"/>
        <w:rPr>
          <w:rFonts w:hint="eastAsia" w:ascii="仿宋" w:eastAsia="仿宋" w:cs="仿宋_GB2312"/>
          <w:color w:val="auto"/>
          <w:highlight w:val="none"/>
        </w:rPr>
      </w:pPr>
      <w:bookmarkStart w:id="78" w:name="_Toc64369825"/>
      <w:r>
        <w:rPr>
          <w:rFonts w:hint="eastAsia" w:ascii="仿宋" w:eastAsia="仿宋" w:cs="仿宋_GB2312"/>
          <w:color w:val="auto"/>
          <w:highlight w:val="none"/>
        </w:rPr>
        <w:t>目 录</w:t>
      </w:r>
      <w:bookmarkEnd w:id="78"/>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pPr>
        <w:pStyle w:val="43"/>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pPr>
        <w:snapToGrid w:val="0"/>
        <w:spacing w:before="50" w:after="50"/>
        <w:jc w:val="left"/>
        <w:rPr>
          <w:rFonts w:hint="eastAsia" w:ascii="仿宋" w:eastAsia="仿宋"/>
          <w:b/>
          <w:color w:val="auto"/>
          <w:sz w:val="36"/>
          <w:szCs w:val="36"/>
          <w:highlight w:val="none"/>
        </w:rPr>
        <w:sectPr>
          <w:footerReference r:id="rId6"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ascii="仿宋" w:eastAsia="仿宋"/>
          <w:b/>
          <w:bCs/>
          <w:color w:val="auto"/>
          <w:sz w:val="30"/>
          <w:szCs w:val="30"/>
          <w:highlight w:val="none"/>
        </w:rPr>
        <w:t>9</w:t>
      </w:r>
      <w:r>
        <w:rPr>
          <w:rFonts w:hint="eastAsia" w:ascii="仿宋" w:eastAsia="仿宋"/>
          <w:b/>
          <w:bCs/>
          <w:color w:val="auto"/>
          <w:sz w:val="30"/>
          <w:szCs w:val="30"/>
          <w:highlight w:val="none"/>
        </w:rPr>
        <w:t>：</w:t>
      </w: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30"/>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eastAsia="仿宋"/>
          <w:color w:val="auto"/>
          <w:sz w:val="24"/>
          <w:highlight w:val="none"/>
        </w:rPr>
      </w:pPr>
      <w:r>
        <w:rPr>
          <w:rFonts w:hint="eastAsia" w:ascii="仿宋" w:eastAsia="仿宋"/>
          <w:color w:val="auto"/>
          <w:sz w:val="24"/>
          <w:highlight w:val="none"/>
        </w:rPr>
        <w:t>2.招标人不接受2个(含)以上的报价或方案，若投标人在此表中有2个（含）以上的报价或方案，其投标作无效投标处理。</w:t>
      </w:r>
    </w:p>
    <w:p>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pPr>
        <w:ind w:firstLine="482" w:firstLineChars="200"/>
        <w:rPr>
          <w:rFonts w:hint="eastAsia" w:ascii="仿宋" w:eastAsia="仿宋"/>
          <w:b/>
          <w:color w:val="auto"/>
          <w:kern w:val="0"/>
          <w:sz w:val="24"/>
          <w:highlight w:val="none"/>
          <w:u w:val="single"/>
          <w:lang w:val="zh-CN"/>
        </w:rPr>
      </w:pPr>
    </w:p>
    <w:p>
      <w:pPr>
        <w:snapToGrid w:val="0"/>
        <w:ind w:firstLine="480" w:firstLineChars="200"/>
        <w:jc w:val="left"/>
        <w:rPr>
          <w:rFonts w:hint="eastAsia" w:ascii="仿宋" w:eastAsia="仿宋"/>
          <w:color w:val="auto"/>
          <w:sz w:val="24"/>
          <w:highlight w:val="none"/>
        </w:rPr>
      </w:pPr>
      <w:bookmarkStart w:id="79" w:name="_Toc64369826"/>
      <w:r>
        <w:rPr>
          <w:rFonts w:hint="eastAsia" w:ascii="仿宋" w:eastAsia="仿宋"/>
          <w:color w:val="auto"/>
          <w:sz w:val="24"/>
          <w:highlight w:val="none"/>
        </w:rPr>
        <w:t xml:space="preserve">法定代表人或其授权代表签字（或盖章）：            </w:t>
      </w:r>
      <w:bookmarkEnd w:id="79"/>
    </w:p>
    <w:p>
      <w:pPr>
        <w:spacing w:line="360" w:lineRule="auto"/>
        <w:jc w:val="left"/>
        <w:outlineLvl w:val="0"/>
        <w:rPr>
          <w:rFonts w:hint="eastAsia" w:ascii="仿宋" w:eastAsia="仿宋"/>
          <w:color w:val="auto"/>
          <w:sz w:val="24"/>
          <w:highlight w:val="none"/>
        </w:rPr>
      </w:pPr>
    </w:p>
    <w:p>
      <w:pPr>
        <w:snapToGrid w:val="0"/>
        <w:ind w:firstLine="480" w:firstLineChars="200"/>
        <w:jc w:val="left"/>
        <w:rPr>
          <w:rFonts w:hint="eastAsia" w:ascii="仿宋" w:eastAsia="仿宋"/>
          <w:color w:val="auto"/>
          <w:sz w:val="24"/>
          <w:highlight w:val="none"/>
        </w:rPr>
      </w:pPr>
      <w:bookmarkStart w:id="80" w:name="_Toc64369827"/>
      <w:r>
        <w:rPr>
          <w:rFonts w:hint="eastAsia" w:ascii="仿宋" w:eastAsia="仿宋"/>
          <w:color w:val="auto"/>
          <w:sz w:val="24"/>
          <w:highlight w:val="none"/>
        </w:rPr>
        <w:t>日期：    年   月   日</w:t>
      </w:r>
      <w:bookmarkEnd w:id="80"/>
    </w:p>
    <w:p>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81" w:name="_Toc16291"/>
      <w:r>
        <w:rPr>
          <w:rFonts w:hint="eastAsia" w:ascii="仿宋"/>
          <w:color w:val="auto"/>
          <w:highlight w:val="none"/>
        </w:rPr>
        <w:t>第七章  询问、质疑及投诉</w:t>
      </w:r>
      <w:bookmarkEnd w:id="81"/>
    </w:p>
    <w:p>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4"/>
        <w:spacing w:line="415" w:lineRule="auto"/>
        <w:jc w:val="center"/>
        <w:rPr>
          <w:rFonts w:hint="eastAsia" w:ascii="仿宋"/>
          <w:color w:val="auto"/>
          <w:highlight w:val="none"/>
        </w:rPr>
      </w:pPr>
      <w:bookmarkStart w:id="82" w:name="_Toc31383"/>
      <w:r>
        <w:rPr>
          <w:rFonts w:hint="eastAsia" w:ascii="仿宋"/>
          <w:color w:val="auto"/>
          <w:highlight w:val="none"/>
        </w:rPr>
        <w:t>一、供应商询问</w:t>
      </w:r>
      <w:bookmarkEnd w:id="82"/>
    </w:p>
    <w:p>
      <w:pPr>
        <w:pStyle w:val="19"/>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pPr>
        <w:pStyle w:val="19"/>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pPr>
        <w:pStyle w:val="4"/>
        <w:spacing w:line="415" w:lineRule="auto"/>
        <w:jc w:val="center"/>
        <w:rPr>
          <w:rFonts w:hint="eastAsia" w:ascii="仿宋"/>
          <w:color w:val="auto"/>
          <w:highlight w:val="none"/>
        </w:rPr>
      </w:pPr>
      <w:bookmarkStart w:id="83" w:name="_Toc25373"/>
      <w:r>
        <w:rPr>
          <w:rFonts w:hint="eastAsia" w:ascii="仿宋"/>
          <w:color w:val="auto"/>
          <w:highlight w:val="none"/>
        </w:rPr>
        <w:t>二、供应商质疑</w:t>
      </w:r>
      <w:bookmarkEnd w:id="83"/>
    </w:p>
    <w:p>
      <w:pPr>
        <w:pStyle w:val="19"/>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pPr>
        <w:pStyle w:val="19"/>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pPr>
        <w:pStyle w:val="19"/>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9"/>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pPr>
        <w:pStyle w:val="19"/>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pPr>
        <w:pStyle w:val="19"/>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pPr>
        <w:pStyle w:val="19"/>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pPr>
        <w:pStyle w:val="19"/>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pPr>
        <w:pStyle w:val="19"/>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pPr>
        <w:pStyle w:val="19"/>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pPr>
        <w:pStyle w:val="4"/>
        <w:keepNext/>
        <w:keepLines/>
        <w:pageBreakBefore w:val="0"/>
        <w:widowControl w:val="0"/>
        <w:suppressLineNumbers w:val="0"/>
        <w:suppressAutoHyphens w:val="0"/>
        <w:spacing w:line="415" w:lineRule="auto"/>
        <w:rPr>
          <w:rFonts w:hint="eastAsia" w:ascii="仿宋"/>
          <w:color w:val="auto"/>
          <w:highlight w:val="none"/>
        </w:rPr>
      </w:pPr>
      <w:bookmarkStart w:id="84" w:name="_Toc17941"/>
      <w:r>
        <w:rPr>
          <w:rFonts w:hint="eastAsia" w:ascii="仿宋"/>
          <w:color w:val="auto"/>
          <w:highlight w:val="none"/>
        </w:rPr>
        <w:t>三、供应商投诉</w:t>
      </w:r>
      <w:bookmarkEnd w:id="84"/>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color w:val="auto"/>
          <w:sz w:val="24"/>
          <w:szCs w:val="24"/>
          <w:highlight w:val="none"/>
          <w:u w:val="dotted"/>
        </w:rPr>
      </w:pPr>
    </w:p>
    <w:p>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pPr>
        <w:adjustRightInd w:val="0"/>
        <w:snapToGrid w:val="0"/>
        <w:spacing w:line="360" w:lineRule="auto"/>
        <w:rPr>
          <w:rFonts w:hint="eastAsia" w:ascii="仿宋" w:eastAsia="仿宋" w:cs="仿宋"/>
          <w:color w:val="auto"/>
          <w:sz w:val="24"/>
          <w:szCs w:val="24"/>
          <w:highlight w:val="none"/>
        </w:rPr>
      </w:pPr>
    </w:p>
    <w:p>
      <w:pPr>
        <w:adjustRightInd w:val="0"/>
        <w:snapToGrid w:val="0"/>
        <w:spacing w:line="360" w:lineRule="auto"/>
        <w:rPr>
          <w:rFonts w:hint="eastAsia" w:ascii="仿宋" w:eastAsia="仿宋" w:cs="宋体"/>
          <w:color w:val="auto"/>
          <w:kern w:val="0"/>
          <w:sz w:val="24"/>
          <w:szCs w:val="24"/>
          <w:highlight w:val="none"/>
        </w:rPr>
      </w:pPr>
    </w:p>
    <w:p>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5b8b_4f53">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pBdr>
        <w:top w:val="none" w:color="auto" w:sz="0" w:space="0"/>
        <w:left w:val="none" w:color="auto" w:sz="0" w:space="0"/>
        <w:bottom w:val="none" w:color="auto" w:sz="0" w:space="0"/>
        <w:right w:val="none" w:color="auto" w:sz="0" w:space="0"/>
      </w:pBdr>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2UyZTI4Y2NiYzY4N2Q0OTJkNGNhMTA4OTc5ZjIxZTMifQ=="/>
  </w:docVars>
  <w:rsids>
    <w:rsidRoot w:val="00000000"/>
    <w:rsid w:val="007C5A91"/>
    <w:rsid w:val="07334CB8"/>
    <w:rsid w:val="098F46CE"/>
    <w:rsid w:val="09E34BDB"/>
    <w:rsid w:val="0A7F6A3C"/>
    <w:rsid w:val="0A983074"/>
    <w:rsid w:val="0C232D87"/>
    <w:rsid w:val="0EB3745E"/>
    <w:rsid w:val="101B595B"/>
    <w:rsid w:val="117528C7"/>
    <w:rsid w:val="147E276B"/>
    <w:rsid w:val="155A11D2"/>
    <w:rsid w:val="16930926"/>
    <w:rsid w:val="16990E9A"/>
    <w:rsid w:val="17D80CE7"/>
    <w:rsid w:val="1C660C85"/>
    <w:rsid w:val="1C67711A"/>
    <w:rsid w:val="21B3155B"/>
    <w:rsid w:val="25FD1AEE"/>
    <w:rsid w:val="264D0AF2"/>
    <w:rsid w:val="27D74B17"/>
    <w:rsid w:val="28D03941"/>
    <w:rsid w:val="298E3F12"/>
    <w:rsid w:val="29D853DA"/>
    <w:rsid w:val="2AB7793B"/>
    <w:rsid w:val="2BC576F6"/>
    <w:rsid w:val="2CBE0602"/>
    <w:rsid w:val="2D110E6C"/>
    <w:rsid w:val="2FB36CB1"/>
    <w:rsid w:val="3035700B"/>
    <w:rsid w:val="30E67B79"/>
    <w:rsid w:val="360858DC"/>
    <w:rsid w:val="37182A56"/>
    <w:rsid w:val="37F35ACD"/>
    <w:rsid w:val="391815C9"/>
    <w:rsid w:val="3ADB6274"/>
    <w:rsid w:val="3BC97A47"/>
    <w:rsid w:val="3D092D3C"/>
    <w:rsid w:val="3E3361A8"/>
    <w:rsid w:val="3E740EBA"/>
    <w:rsid w:val="42986A8A"/>
    <w:rsid w:val="46D46ADF"/>
    <w:rsid w:val="46D729A5"/>
    <w:rsid w:val="4A594F69"/>
    <w:rsid w:val="4E0C622E"/>
    <w:rsid w:val="4E417202"/>
    <w:rsid w:val="536F510F"/>
    <w:rsid w:val="55051DF4"/>
    <w:rsid w:val="56D03E0D"/>
    <w:rsid w:val="58E031B8"/>
    <w:rsid w:val="5C957F91"/>
    <w:rsid w:val="5CE95E77"/>
    <w:rsid w:val="5CF272DE"/>
    <w:rsid w:val="5E3B1E17"/>
    <w:rsid w:val="5EE270CE"/>
    <w:rsid w:val="5F504BA9"/>
    <w:rsid w:val="60114463"/>
    <w:rsid w:val="61A82A4C"/>
    <w:rsid w:val="62E6604F"/>
    <w:rsid w:val="66424284"/>
    <w:rsid w:val="66676EF2"/>
    <w:rsid w:val="66F83CEA"/>
    <w:rsid w:val="68652D06"/>
    <w:rsid w:val="695731E1"/>
    <w:rsid w:val="6972446D"/>
    <w:rsid w:val="6A88233D"/>
    <w:rsid w:val="6ACD4147"/>
    <w:rsid w:val="6D5E733D"/>
    <w:rsid w:val="6F7A6951"/>
    <w:rsid w:val="6FC82564"/>
    <w:rsid w:val="70C52B76"/>
    <w:rsid w:val="76E32B82"/>
    <w:rsid w:val="78891A33"/>
    <w:rsid w:val="7A4B40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paragraph" w:styleId="7">
    <w:name w:val="heading 6"/>
    <w:basedOn w:val="1"/>
    <w:next w:val="1"/>
    <w:qFormat/>
    <w:uiPriority w:val="99"/>
    <w:pPr>
      <w:widowControl/>
      <w:spacing w:before="60" w:after="60" w:line="440" w:lineRule="atLeast"/>
      <w:textAlignment w:val="baseline"/>
      <w:outlineLvl w:val="5"/>
    </w:pPr>
    <w:rPr>
      <w:rFonts w:ascii="宋体" w:hAnsi="Arial" w:cs="宋体"/>
      <w:kern w:val="0"/>
      <w:sz w:val="24"/>
      <w:szCs w:val="24"/>
    </w:rPr>
  </w:style>
  <w:style w:type="character" w:default="1" w:styleId="32">
    <w:name w:val="Default Paragraph Font"/>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customStyle="1" w:styleId="2">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styleId="8">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Body Text"/>
    <w:basedOn w:val="1"/>
    <w:next w:val="15"/>
    <w:qFormat/>
    <w:uiPriority w:val="0"/>
    <w:pPr>
      <w:spacing w:line="360" w:lineRule="auto"/>
    </w:pPr>
    <w:rPr>
      <w:rFonts w:eastAsia="仿宋_GB2312"/>
      <w:sz w:val="28"/>
    </w:rPr>
  </w:style>
  <w:style w:type="paragraph" w:styleId="15">
    <w:name w:val="Body Text First Indent"/>
    <w:basedOn w:val="14"/>
    <w:next w:val="1"/>
    <w:qFormat/>
    <w:uiPriority w:val="0"/>
    <w:pPr>
      <w:spacing w:line="312" w:lineRule="auto"/>
      <w:ind w:firstLine="420"/>
    </w:pPr>
  </w:style>
  <w:style w:type="paragraph" w:styleId="16">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7">
    <w:name w:val="toc 5"/>
    <w:basedOn w:val="1"/>
    <w:next w:val="1"/>
    <w:qFormat/>
    <w:uiPriority w:val="0"/>
    <w:pPr>
      <w:ind w:left="1680"/>
    </w:pPr>
  </w:style>
  <w:style w:type="paragraph" w:styleId="18">
    <w:name w:val="toc 3"/>
    <w:basedOn w:val="1"/>
    <w:next w:val="1"/>
    <w:qFormat/>
    <w:uiPriority w:val="0"/>
    <w:pPr>
      <w:ind w:left="840"/>
    </w:pPr>
  </w:style>
  <w:style w:type="paragraph" w:styleId="19">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20">
    <w:name w:val="Date"/>
    <w:basedOn w:val="1"/>
    <w:next w:val="1"/>
    <w:qFormat/>
    <w:uiPriority w:val="0"/>
    <w:pPr>
      <w:ind w:left="2500" w:leftChars="2500"/>
    </w:pPr>
  </w:style>
  <w:style w:type="paragraph" w:styleId="21">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2">
    <w:name w:val="header"/>
    <w:basedOn w:val="1"/>
    <w:qFormat/>
    <w:uiPriority w:val="0"/>
    <w:pPr>
      <w:pBdr>
        <w:bottom w:val="single" w:color="auto" w:sz="6" w:space="1"/>
      </w:pBdr>
      <w:tabs>
        <w:tab w:val="center" w:pos="4153"/>
        <w:tab w:val="right" w:pos="8307"/>
      </w:tabs>
      <w:snapToGrid w:val="0"/>
      <w:jc w:val="center"/>
    </w:pPr>
    <w:rPr>
      <w:sz w:val="18"/>
    </w:rPr>
  </w:style>
  <w:style w:type="paragraph" w:styleId="23">
    <w:name w:val="toc 1"/>
    <w:basedOn w:val="1"/>
    <w:next w:val="1"/>
    <w:qFormat/>
    <w:uiPriority w:val="0"/>
  </w:style>
  <w:style w:type="paragraph" w:styleId="24">
    <w:name w:val="toc 4"/>
    <w:basedOn w:val="1"/>
    <w:next w:val="1"/>
    <w:qFormat/>
    <w:uiPriority w:val="0"/>
    <w:pPr>
      <w:ind w:left="1260"/>
    </w:pPr>
  </w:style>
  <w:style w:type="paragraph" w:styleId="25">
    <w:name w:val="toc 6"/>
    <w:basedOn w:val="1"/>
    <w:next w:val="1"/>
    <w:qFormat/>
    <w:uiPriority w:val="0"/>
    <w:pPr>
      <w:wordWrap w:val="0"/>
      <w:ind w:left="1700"/>
      <w:jc w:val="both"/>
    </w:pPr>
    <w:rPr>
      <w:rFonts w:ascii="宋体" w:cs="宋体"/>
      <w:sz w:val="21"/>
      <w:lang w:val="en-US" w:eastAsia="zh-CN" w:bidi="ar-SA"/>
    </w:rPr>
  </w:style>
  <w:style w:type="paragraph" w:styleId="26">
    <w:name w:val="toc 2"/>
    <w:basedOn w:val="1"/>
    <w:next w:val="1"/>
    <w:qFormat/>
    <w:uiPriority w:val="0"/>
    <w:pPr>
      <w:ind w:left="420"/>
    </w:pPr>
  </w:style>
  <w:style w:type="paragraph" w:styleId="2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28">
    <w:name w:val="Normal (Web)"/>
    <w:basedOn w:val="1"/>
    <w:qFormat/>
    <w:uiPriority w:val="0"/>
    <w:rPr>
      <w:sz w:val="24"/>
    </w:rPr>
  </w:style>
  <w:style w:type="paragraph" w:styleId="29">
    <w:name w:val="annotation subject"/>
    <w:basedOn w:val="12"/>
    <w:next w:val="12"/>
    <w:qFormat/>
    <w:uiPriority w:val="0"/>
    <w:rPr>
      <w:b/>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800080"/>
      <w:u w:val="single"/>
    </w:rPr>
  </w:style>
  <w:style w:type="character" w:styleId="36">
    <w:name w:val="Hyperlink"/>
    <w:qFormat/>
    <w:uiPriority w:val="0"/>
    <w:rPr>
      <w:color w:val="0000FF"/>
      <w:u w:val="single"/>
    </w:rPr>
  </w:style>
  <w:style w:type="paragraph" w:customStyle="1" w:styleId="37">
    <w:name w:val="正文首行缩进 21"/>
    <w:basedOn w:val="38"/>
    <w:qFormat/>
    <w:uiPriority w:val="0"/>
    <w:pPr>
      <w:ind w:firstLine="420"/>
    </w:pPr>
    <w:rPr>
      <w:rFonts w:ascii="Times New Roman" w:cs="宋体"/>
      <w:kern w:val="2"/>
      <w:sz w:val="21"/>
    </w:rPr>
  </w:style>
  <w:style w:type="paragraph" w:customStyle="1" w:styleId="38">
    <w:name w:val="正文文本缩进1"/>
    <w:basedOn w:val="1"/>
    <w:next w:val="1"/>
    <w:qFormat/>
    <w:uiPriority w:val="0"/>
    <w:pPr>
      <w:spacing w:after="120"/>
      <w:ind w:left="420" w:leftChars="200"/>
    </w:pPr>
  </w:style>
  <w:style w:type="paragraph" w:customStyle="1" w:styleId="39">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40">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41">
    <w:name w:val="正文文字 7"/>
    <w:basedOn w:val="1"/>
    <w:next w:val="1"/>
    <w:qFormat/>
    <w:uiPriority w:val="0"/>
    <w:pPr>
      <w:ind w:left="240"/>
    </w:pPr>
    <w:rPr>
      <w:sz w:val="20"/>
    </w:rPr>
  </w:style>
  <w:style w:type="paragraph" w:customStyle="1" w:styleId="42">
    <w:name w:val="正文文字 8"/>
    <w:basedOn w:val="1"/>
    <w:next w:val="1"/>
    <w:qFormat/>
    <w:uiPriority w:val="0"/>
    <w:pPr>
      <w:numPr>
        <w:ilvl w:val="1"/>
        <w:numId w:val="2"/>
      </w:numPr>
      <w:ind w:left="805"/>
    </w:pPr>
    <w:rPr>
      <w:sz w:val="16"/>
    </w:rPr>
  </w:style>
  <w:style w:type="paragraph" w:customStyle="1" w:styleId="43">
    <w:name w:val="样式5"/>
    <w:next w:val="4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Heading1"/>
    <w:basedOn w:val="1"/>
    <w:next w:val="1"/>
    <w:qFormat/>
    <w:uiPriority w:val="99"/>
    <w:pPr>
      <w:widowControl/>
      <w:spacing w:before="100" w:beforeAutospacing="1" w:after="100" w:afterAutospacing="1" w:line="240" w:lineRule="atLeast"/>
      <w:jc w:val="left"/>
    </w:pPr>
    <w:rPr>
      <w:rFonts w:ascii="??" w:hAnsi="??" w:cs="??"/>
      <w:b/>
      <w:bCs/>
      <w:color w:val="FFFFFF"/>
      <w:kern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57</Pages>
  <Words>26008</Words>
  <Characters>28052</Characters>
  <Lines>1498</Lines>
  <Paragraphs>801</Paragraphs>
  <TotalTime>14</TotalTime>
  <ScaleCrop>false</ScaleCrop>
  <LinksUpToDate>false</LinksUpToDate>
  <CharactersWithSpaces>30145</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An</cp:lastModifiedBy>
  <cp:lastPrinted>2022-11-24T06:26:00Z</cp:lastPrinted>
  <dcterms:modified xsi:type="dcterms:W3CDTF">2022-12-02T06:10:07Z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AE39D2D33D5B4A9DB1A674FD2EF0465A</vt:lpwstr>
  </property>
</Properties>
</file>