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rPr>
          <w:rFonts w:ascii="仿宋" w:hAnsi="仿宋" w:eastAsia="仿宋" w:cs="仿宋_GB2312"/>
          <w:b/>
          <w:color w:val="auto"/>
          <w:sz w:val="24"/>
          <w:highlight w:val="none"/>
        </w:rPr>
      </w:pPr>
    </w:p>
    <w:p>
      <w:pPr>
        <w:shd w:val="clear"/>
        <w:spacing w:line="360" w:lineRule="auto"/>
        <w:jc w:val="center"/>
        <w:rPr>
          <w:rFonts w:ascii="仿宋" w:hAnsi="仿宋" w:eastAsia="仿宋" w:cs="仿宋_GB2312"/>
          <w:b/>
          <w:color w:val="auto"/>
          <w:sz w:val="40"/>
          <w:szCs w:val="40"/>
          <w:highlight w:val="none"/>
        </w:rPr>
      </w:pPr>
    </w:p>
    <w:p>
      <w:pPr>
        <w:shd w:val="clear"/>
        <w:spacing w:line="360" w:lineRule="auto"/>
        <w:jc w:val="center"/>
        <w:rPr>
          <w:rFonts w:ascii="仿宋" w:hAnsi="仿宋" w:eastAsia="仿宋" w:cs="仿宋_GB2312"/>
          <w:b/>
          <w:color w:val="auto"/>
          <w:sz w:val="44"/>
          <w:szCs w:val="44"/>
          <w:highlight w:val="none"/>
        </w:rPr>
      </w:pPr>
      <w:r>
        <w:rPr>
          <w:rFonts w:hint="eastAsia" w:ascii="仿宋" w:hAnsi="仿宋" w:eastAsia="仿宋" w:cs="仿宋_GB2312"/>
          <w:b/>
          <w:color w:val="auto"/>
          <w:sz w:val="40"/>
          <w:szCs w:val="40"/>
          <w:highlight w:val="none"/>
        </w:rPr>
        <w:t>绍兴市柯桥区农业农村局及其下属单位2024-2025年度招标代理、标底编制及标底审核、工程审计项目</w:t>
      </w:r>
    </w:p>
    <w:p>
      <w:pPr>
        <w:shd w:val="clear"/>
        <w:snapToGrid w:val="0"/>
        <w:spacing w:line="360" w:lineRule="auto"/>
        <w:jc w:val="center"/>
        <w:rPr>
          <w:rFonts w:ascii="仿宋" w:hAnsi="仿宋" w:eastAsia="仿宋" w:cs="仿宋_GB2312"/>
          <w:b/>
          <w:color w:val="auto"/>
          <w:sz w:val="44"/>
          <w:szCs w:val="44"/>
          <w:highlight w:val="none"/>
        </w:rPr>
      </w:pPr>
      <w:r>
        <w:rPr>
          <w:rFonts w:hint="eastAsia" w:ascii="仿宋" w:hAnsi="仿宋" w:eastAsia="仿宋" w:cs="仿宋_GB2312"/>
          <w:color w:val="auto"/>
          <w:sz w:val="30"/>
          <w:szCs w:val="30"/>
          <w:highlight w:val="none"/>
        </w:rPr>
        <w:t>项目编号: 绍柯采[2023]3673号</w:t>
      </w:r>
    </w:p>
    <w:p>
      <w:pPr>
        <w:shd w:val="clear"/>
        <w:spacing w:line="360" w:lineRule="auto"/>
        <w:jc w:val="center"/>
        <w:rPr>
          <w:rFonts w:ascii="仿宋" w:hAnsi="仿宋" w:eastAsia="仿宋" w:cs="仿宋_GB2312"/>
          <w:b/>
          <w:color w:val="auto"/>
          <w:sz w:val="44"/>
          <w:szCs w:val="44"/>
          <w:highlight w:val="none"/>
        </w:rPr>
      </w:pPr>
    </w:p>
    <w:p>
      <w:pPr>
        <w:shd w:val="clear"/>
        <w:jc w:val="center"/>
        <w:outlineLvl w:val="0"/>
        <w:rPr>
          <w:rFonts w:ascii="仿宋" w:hAnsi="仿宋" w:eastAsia="仿宋" w:cs="Arial"/>
          <w:b/>
          <w:color w:val="auto"/>
          <w:sz w:val="56"/>
          <w:szCs w:val="56"/>
          <w:highlight w:val="none"/>
        </w:rPr>
      </w:pPr>
      <w:r>
        <w:rPr>
          <w:rFonts w:hint="eastAsia" w:ascii="仿宋" w:hAnsi="仿宋" w:eastAsia="仿宋" w:cs="Arial"/>
          <w:b/>
          <w:color w:val="auto"/>
          <w:sz w:val="56"/>
          <w:szCs w:val="56"/>
          <w:highlight w:val="none"/>
        </w:rPr>
        <w:t>公</w:t>
      </w:r>
    </w:p>
    <w:p>
      <w:pPr>
        <w:shd w:val="clear"/>
        <w:jc w:val="center"/>
        <w:outlineLvl w:val="0"/>
        <w:rPr>
          <w:rFonts w:ascii="仿宋" w:hAnsi="仿宋" w:eastAsia="仿宋" w:cs="Arial"/>
          <w:b/>
          <w:color w:val="auto"/>
          <w:sz w:val="56"/>
          <w:szCs w:val="56"/>
          <w:highlight w:val="none"/>
        </w:rPr>
      </w:pPr>
      <w:r>
        <w:rPr>
          <w:rFonts w:hint="eastAsia" w:ascii="仿宋" w:hAnsi="仿宋" w:eastAsia="仿宋" w:cs="Arial"/>
          <w:b/>
          <w:color w:val="auto"/>
          <w:sz w:val="56"/>
          <w:szCs w:val="56"/>
          <w:highlight w:val="none"/>
        </w:rPr>
        <w:t>开</w:t>
      </w:r>
    </w:p>
    <w:p>
      <w:pPr>
        <w:shd w:val="clear"/>
        <w:jc w:val="center"/>
        <w:outlineLvl w:val="0"/>
        <w:rPr>
          <w:rFonts w:ascii="仿宋" w:hAnsi="仿宋" w:eastAsia="仿宋" w:cs="Arial"/>
          <w:b/>
          <w:color w:val="auto"/>
          <w:sz w:val="56"/>
          <w:szCs w:val="56"/>
          <w:highlight w:val="none"/>
        </w:rPr>
      </w:pPr>
      <w:r>
        <w:rPr>
          <w:rFonts w:hint="eastAsia" w:ascii="仿宋" w:hAnsi="仿宋" w:eastAsia="仿宋" w:cs="Arial"/>
          <w:b/>
          <w:color w:val="auto"/>
          <w:sz w:val="56"/>
          <w:szCs w:val="56"/>
          <w:highlight w:val="none"/>
        </w:rPr>
        <w:t>招</w:t>
      </w:r>
    </w:p>
    <w:p>
      <w:pPr>
        <w:shd w:val="clear"/>
        <w:jc w:val="center"/>
        <w:outlineLvl w:val="0"/>
        <w:rPr>
          <w:rFonts w:ascii="仿宋" w:hAnsi="仿宋" w:eastAsia="仿宋" w:cs="Arial"/>
          <w:b/>
          <w:color w:val="auto"/>
          <w:sz w:val="56"/>
          <w:szCs w:val="56"/>
          <w:highlight w:val="none"/>
        </w:rPr>
      </w:pPr>
      <w:r>
        <w:rPr>
          <w:rFonts w:hint="eastAsia" w:ascii="仿宋" w:hAnsi="仿宋" w:eastAsia="仿宋" w:cs="Arial"/>
          <w:b/>
          <w:color w:val="auto"/>
          <w:sz w:val="56"/>
          <w:szCs w:val="56"/>
          <w:highlight w:val="none"/>
        </w:rPr>
        <w:t>标</w:t>
      </w:r>
    </w:p>
    <w:p>
      <w:pPr>
        <w:shd w:val="clear"/>
        <w:jc w:val="center"/>
        <w:outlineLvl w:val="0"/>
        <w:rPr>
          <w:rFonts w:ascii="仿宋" w:hAnsi="仿宋" w:eastAsia="仿宋"/>
          <w:b/>
          <w:color w:val="auto"/>
          <w:sz w:val="56"/>
          <w:szCs w:val="56"/>
          <w:highlight w:val="none"/>
        </w:rPr>
      </w:pPr>
      <w:r>
        <w:rPr>
          <w:rFonts w:hint="eastAsia" w:ascii="仿宋" w:hAnsi="仿宋" w:eastAsia="仿宋"/>
          <w:b/>
          <w:color w:val="auto"/>
          <w:sz w:val="56"/>
          <w:szCs w:val="56"/>
          <w:highlight w:val="none"/>
        </w:rPr>
        <w:t>文</w:t>
      </w:r>
    </w:p>
    <w:p>
      <w:pPr>
        <w:shd w:val="clear"/>
        <w:adjustRightInd/>
        <w:spacing w:line="360" w:lineRule="auto"/>
        <w:jc w:val="center"/>
        <w:rPr>
          <w:rFonts w:ascii="仿宋" w:hAnsi="仿宋" w:eastAsia="仿宋"/>
          <w:b/>
          <w:color w:val="auto"/>
          <w:sz w:val="56"/>
          <w:szCs w:val="56"/>
          <w:highlight w:val="none"/>
        </w:rPr>
      </w:pPr>
      <w:r>
        <w:rPr>
          <w:rFonts w:hint="eastAsia" w:ascii="仿宋" w:hAnsi="仿宋" w:eastAsia="仿宋"/>
          <w:b/>
          <w:color w:val="auto"/>
          <w:sz w:val="56"/>
          <w:szCs w:val="56"/>
          <w:highlight w:val="none"/>
        </w:rPr>
        <w:t>件</w:t>
      </w:r>
    </w:p>
    <w:p>
      <w:pPr>
        <w:shd w:val="clear"/>
        <w:spacing w:line="360" w:lineRule="auto"/>
        <w:jc w:val="center"/>
        <w:rPr>
          <w:rFonts w:ascii="仿宋" w:hAnsi="仿宋" w:eastAsia="仿宋" w:cs="仿宋_GB2312"/>
          <w:b/>
          <w:color w:val="auto"/>
          <w:sz w:val="24"/>
          <w:highlight w:val="none"/>
        </w:rPr>
      </w:pPr>
    </w:p>
    <w:p>
      <w:pPr>
        <w:shd w:val="clear"/>
        <w:spacing w:line="360" w:lineRule="auto"/>
        <w:rPr>
          <w:rFonts w:ascii="仿宋" w:hAnsi="仿宋" w:eastAsia="仿宋" w:cs="仿宋_GB2312"/>
          <w:b/>
          <w:color w:val="auto"/>
          <w:sz w:val="24"/>
          <w:highlight w:val="none"/>
        </w:rPr>
      </w:pPr>
    </w:p>
    <w:p>
      <w:pPr>
        <w:shd w:val="clear"/>
        <w:spacing w:line="360" w:lineRule="auto"/>
        <w:jc w:val="center"/>
        <w:rPr>
          <w:rFonts w:ascii="仿宋" w:hAnsi="仿宋" w:eastAsia="仿宋" w:cs="仿宋_GB2312"/>
          <w:b/>
          <w:color w:val="auto"/>
          <w:sz w:val="24"/>
          <w:highlight w:val="none"/>
        </w:rPr>
      </w:pPr>
    </w:p>
    <w:p>
      <w:pPr>
        <w:shd w:val="clear"/>
        <w:snapToGrid w:val="0"/>
        <w:spacing w:line="360" w:lineRule="auto"/>
        <w:jc w:val="center"/>
        <w:rPr>
          <w:rFonts w:ascii="仿宋" w:hAnsi="仿宋" w:eastAsia="仿宋" w:cs="仿宋_GB2312"/>
          <w:bCs/>
          <w:color w:val="auto"/>
          <w:sz w:val="32"/>
          <w:szCs w:val="32"/>
          <w:highlight w:val="none"/>
        </w:rPr>
      </w:pPr>
    </w:p>
    <w:p>
      <w:pPr>
        <w:shd w:val="clear"/>
        <w:snapToGrid w:val="0"/>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采购单位：绍兴市柯桥区农业农村局</w:t>
      </w:r>
    </w:p>
    <w:p>
      <w:pPr>
        <w:shd w:val="clear"/>
        <w:spacing w:line="360" w:lineRule="auto"/>
        <w:jc w:val="center"/>
        <w:rPr>
          <w:rFonts w:hint="default" w:ascii="仿宋" w:hAnsi="仿宋" w:eastAsia="仿宋" w:cs="仿宋_GB2312"/>
          <w:bCs/>
          <w:color w:val="auto"/>
          <w:sz w:val="32"/>
          <w:szCs w:val="32"/>
          <w:highlight w:val="none"/>
          <w:lang w:val="en-US" w:eastAsia="zh-CN"/>
        </w:rPr>
      </w:pPr>
      <w:r>
        <w:rPr>
          <w:rFonts w:hint="eastAsia" w:ascii="仿宋" w:hAnsi="仿宋" w:eastAsia="仿宋" w:cs="仿宋_GB2312"/>
          <w:bCs/>
          <w:color w:val="auto"/>
          <w:sz w:val="32"/>
          <w:szCs w:val="32"/>
          <w:highlight w:val="none"/>
        </w:rPr>
        <w:t>采购代理机构：</w:t>
      </w:r>
      <w:r>
        <w:rPr>
          <w:rFonts w:hint="eastAsia" w:ascii="仿宋" w:hAnsi="仿宋" w:eastAsia="仿宋" w:cs="仿宋_GB2312"/>
          <w:bCs/>
          <w:color w:val="auto"/>
          <w:sz w:val="32"/>
          <w:szCs w:val="32"/>
          <w:highlight w:val="none"/>
          <w:lang w:val="en-US" w:eastAsia="zh-CN"/>
        </w:rPr>
        <w:t>浙江中誉工程管理有限公司</w:t>
      </w:r>
    </w:p>
    <w:p>
      <w:pPr>
        <w:shd w:val="clear"/>
        <w:snapToGrid w:val="0"/>
        <w:spacing w:line="360" w:lineRule="auto"/>
        <w:jc w:val="center"/>
        <w:rPr>
          <w:rFonts w:ascii="仿宋" w:hAnsi="仿宋" w:eastAsia="仿宋" w:cs="仿宋_GB2312"/>
          <w:bCs/>
          <w:color w:val="auto"/>
          <w:sz w:val="32"/>
          <w:szCs w:val="32"/>
          <w:highlight w:val="none"/>
        </w:rPr>
      </w:pPr>
      <w:r>
        <w:rPr>
          <w:rFonts w:hint="eastAsia" w:ascii="仿宋_GB2312" w:hAnsi="仿宋_GB2312" w:eastAsia="仿宋_GB2312" w:cs="仿宋_GB2312"/>
          <w:bCs/>
          <w:color w:val="auto"/>
          <w:sz w:val="32"/>
          <w:szCs w:val="32"/>
          <w:highlight w:val="none"/>
        </w:rPr>
        <w:t>2023年</w:t>
      </w:r>
      <w:r>
        <w:rPr>
          <w:rFonts w:hint="eastAsia" w:ascii="仿宋_GB2312" w:hAnsi="仿宋_GB2312" w:eastAsia="仿宋_GB2312" w:cs="仿宋_GB2312"/>
          <w:bCs/>
          <w:color w:val="auto"/>
          <w:sz w:val="32"/>
          <w:szCs w:val="32"/>
          <w:highlight w:val="none"/>
          <w:lang w:val="en-US" w:eastAsia="zh-CN"/>
        </w:rPr>
        <w:t>10</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val="en-US" w:eastAsia="zh-CN"/>
        </w:rPr>
        <w:t>20</w:t>
      </w:r>
      <w:r>
        <w:rPr>
          <w:rFonts w:hint="eastAsia" w:ascii="仿宋_GB2312" w:hAnsi="仿宋_GB2312" w:eastAsia="仿宋_GB2312" w:cs="仿宋_GB2312"/>
          <w:bCs/>
          <w:color w:val="auto"/>
          <w:sz w:val="32"/>
          <w:szCs w:val="32"/>
          <w:highlight w:val="none"/>
        </w:rPr>
        <w:t>日</w:t>
      </w:r>
    </w:p>
    <w:p>
      <w:pPr>
        <w:shd w:val="clea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color w:val="auto"/>
          <w:sz w:val="24"/>
          <w:highlight w:val="none"/>
        </w:rPr>
        <w:br w:type="page"/>
      </w:r>
      <w:bookmarkStart w:id="0" w:name="_Hlt67893495"/>
      <w:bookmarkEnd w:id="0"/>
      <w:r>
        <w:rPr>
          <w:rFonts w:hint="eastAsia" w:ascii="仿宋" w:hAnsi="仿宋" w:eastAsia="仿宋" w:cs="仿宋_GB2312"/>
          <w:b/>
          <w:color w:val="auto"/>
          <w:sz w:val="48"/>
          <w:szCs w:val="48"/>
          <w:highlight w:val="none"/>
        </w:rPr>
        <w:t>目  录</w:t>
      </w:r>
    </w:p>
    <w:p>
      <w:pPr>
        <w:shd w:val="clear"/>
        <w:spacing w:line="360" w:lineRule="auto"/>
        <w:rPr>
          <w:rFonts w:ascii="仿宋" w:hAnsi="仿宋" w:eastAsia="仿宋" w:cs="仿宋_GB2312"/>
          <w:color w:val="auto"/>
          <w:sz w:val="32"/>
          <w:szCs w:val="32"/>
          <w:highlight w:val="none"/>
        </w:rPr>
      </w:pPr>
    </w:p>
    <w:p>
      <w:pPr>
        <w:shd w:val="clear"/>
        <w:spacing w:line="360" w:lineRule="auto"/>
        <w:rPr>
          <w:rFonts w:ascii="仿宋" w:hAnsi="仿宋" w:eastAsia="仿宋" w:cs="仿宋_GB2312"/>
          <w:color w:val="auto"/>
          <w:sz w:val="32"/>
          <w:szCs w:val="32"/>
          <w:highlight w:val="none"/>
        </w:rPr>
      </w:pPr>
    </w:p>
    <w:p>
      <w:pPr>
        <w:shd w:val="clea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      招标公告</w:t>
      </w:r>
    </w:p>
    <w:p>
      <w:pPr>
        <w:shd w:val="clea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      投标人须知</w:t>
      </w:r>
    </w:p>
    <w:p>
      <w:pPr>
        <w:shd w:val="clea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      采购需求</w:t>
      </w:r>
    </w:p>
    <w:p>
      <w:pPr>
        <w:shd w:val="clea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      评标方法及评分标准</w:t>
      </w:r>
    </w:p>
    <w:p>
      <w:pPr>
        <w:shd w:val="clea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      拟签订的合同文本</w:t>
      </w:r>
    </w:p>
    <w:p>
      <w:pPr>
        <w:shd w:val="clea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      应提交的有关格式范例</w:t>
      </w:r>
    </w:p>
    <w:p>
      <w:pPr>
        <w:shd w:val="clea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rPr>
          <w:rFonts w:ascii="仿宋" w:hAnsi="仿宋" w:eastAsia="仿宋" w:cs="仿宋_GB2312"/>
          <w:color w:val="auto"/>
          <w:sz w:val="24"/>
          <w:highlight w:val="none"/>
        </w:rPr>
      </w:pPr>
    </w:p>
    <w:p>
      <w:pPr>
        <w:shd w:val="clear"/>
        <w:adjustRightInd/>
        <w:spacing w:line="360" w:lineRule="auto"/>
        <w:jc w:val="center"/>
        <w:outlineLvl w:val="0"/>
        <w:rPr>
          <w:rFonts w:ascii="仿宋" w:hAnsi="仿宋" w:eastAsia="仿宋" w:cs="仿宋_GB2312"/>
          <w:b/>
          <w:color w:val="auto"/>
          <w:sz w:val="36"/>
          <w:szCs w:val="20"/>
          <w:highlight w:val="none"/>
        </w:rPr>
      </w:pPr>
      <w:bookmarkStart w:id="3" w:name="第一部分"/>
      <w:r>
        <w:rPr>
          <w:rFonts w:hint="eastAsia" w:ascii="仿宋" w:hAnsi="仿宋" w:eastAsia="仿宋" w:cs="仿宋_GB2312"/>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hd w:val="clear"/>
        <w:ind w:left="840"/>
        <w:rPr>
          <w:rFonts w:ascii="仿宋" w:hAnsi="仿宋" w:eastAsia="仿宋"/>
          <w:color w:val="auto"/>
          <w:sz w:val="24"/>
          <w:szCs w:val="28"/>
          <w:highlight w:val="none"/>
        </w:rPr>
      </w:pPr>
      <w:r>
        <w:rPr>
          <w:rFonts w:hint="eastAsia" w:ascii="仿宋" w:hAnsi="仿宋" w:eastAsia="仿宋"/>
          <w:color w:val="auto"/>
          <w:sz w:val="24"/>
          <w:szCs w:val="28"/>
          <w:highlight w:val="none"/>
        </w:rPr>
        <w:t>项目概况</w:t>
      </w:r>
    </w:p>
    <w:p>
      <w:pPr>
        <w:pBdr>
          <w:top w:val="single" w:color="auto" w:sz="4" w:space="1"/>
          <w:left w:val="single" w:color="auto" w:sz="4" w:space="4"/>
          <w:bottom w:val="single" w:color="auto" w:sz="4" w:space="1"/>
          <w:right w:val="single" w:color="auto" w:sz="4" w:space="4"/>
        </w:pBdr>
        <w:shd w:val="clear"/>
        <w:ind w:left="840" w:firstLine="480" w:firstLineChars="200"/>
        <w:rPr>
          <w:rFonts w:ascii="仿宋" w:hAnsi="仿宋" w:eastAsia="仿宋"/>
          <w:color w:val="auto"/>
          <w:sz w:val="24"/>
          <w:szCs w:val="28"/>
          <w:highlight w:val="none"/>
        </w:rPr>
      </w:pPr>
      <w:r>
        <w:rPr>
          <w:rFonts w:hint="eastAsia" w:ascii="仿宋" w:hAnsi="仿宋" w:eastAsia="仿宋"/>
          <w:color w:val="auto"/>
          <w:sz w:val="24"/>
          <w:szCs w:val="28"/>
          <w:highlight w:val="none"/>
          <w:u w:val="single"/>
        </w:rPr>
        <w:t>绍兴市柯桥区农业农村局及其下属单位2024-2025年度招标代理、标底编制及标底审核、工程审计项目</w:t>
      </w:r>
      <w:r>
        <w:rPr>
          <w:rFonts w:hint="eastAsia" w:ascii="仿宋" w:hAnsi="仿宋" w:eastAsia="仿宋"/>
          <w:color w:val="auto"/>
          <w:sz w:val="24"/>
          <w:szCs w:val="28"/>
          <w:highlight w:val="none"/>
        </w:rPr>
        <w:t>招标项目的潜在投标人应在</w:t>
      </w:r>
      <w:r>
        <w:rPr>
          <w:rFonts w:hint="eastAsia" w:ascii="仿宋" w:hAnsi="仿宋" w:eastAsia="仿宋"/>
          <w:color w:val="auto"/>
          <w:sz w:val="24"/>
          <w:szCs w:val="28"/>
          <w:highlight w:val="none"/>
          <w:u w:val="single"/>
        </w:rPr>
        <w:t>政采云系统在线</w:t>
      </w:r>
      <w:r>
        <w:rPr>
          <w:rFonts w:hint="eastAsia" w:ascii="仿宋" w:hAnsi="仿宋" w:eastAsia="仿宋"/>
          <w:color w:val="auto"/>
          <w:sz w:val="24"/>
          <w:szCs w:val="28"/>
          <w:highlight w:val="none"/>
        </w:rPr>
        <w:t>获取招标文件，并于</w:t>
      </w:r>
      <w:r>
        <w:rPr>
          <w:rFonts w:hint="eastAsia" w:ascii="仿宋" w:hAnsi="仿宋" w:eastAsia="仿宋"/>
          <w:color w:val="auto"/>
          <w:sz w:val="24"/>
          <w:szCs w:val="28"/>
          <w:highlight w:val="none"/>
          <w:u w:val="single"/>
        </w:rPr>
        <w:t>2023</w:t>
      </w:r>
      <w:r>
        <w:rPr>
          <w:rFonts w:hint="eastAsia" w:ascii="仿宋" w:hAnsi="仿宋" w:eastAsia="仿宋"/>
          <w:bCs/>
          <w:color w:val="auto"/>
          <w:sz w:val="24"/>
          <w:szCs w:val="28"/>
          <w:highlight w:val="none"/>
          <w:u w:val="single"/>
        </w:rPr>
        <w:t>年</w:t>
      </w:r>
      <w:r>
        <w:rPr>
          <w:rFonts w:hint="eastAsia" w:ascii="仿宋" w:hAnsi="仿宋" w:eastAsia="仿宋"/>
          <w:bCs/>
          <w:color w:val="auto"/>
          <w:sz w:val="24"/>
          <w:szCs w:val="28"/>
          <w:highlight w:val="none"/>
          <w:u w:val="single"/>
          <w:lang w:val="en-US" w:eastAsia="zh-CN"/>
        </w:rPr>
        <w:t>11</w:t>
      </w:r>
      <w:r>
        <w:rPr>
          <w:rFonts w:hint="eastAsia" w:ascii="仿宋" w:hAnsi="仿宋" w:eastAsia="仿宋"/>
          <w:bCs/>
          <w:color w:val="auto"/>
          <w:sz w:val="24"/>
          <w:szCs w:val="28"/>
          <w:highlight w:val="none"/>
          <w:u w:val="single"/>
        </w:rPr>
        <w:t>月</w:t>
      </w:r>
      <w:r>
        <w:rPr>
          <w:rFonts w:hint="eastAsia" w:ascii="仿宋" w:hAnsi="仿宋" w:eastAsia="仿宋"/>
          <w:bCs/>
          <w:color w:val="auto"/>
          <w:sz w:val="24"/>
          <w:szCs w:val="28"/>
          <w:highlight w:val="none"/>
          <w:u w:val="single"/>
          <w:lang w:val="en-US" w:eastAsia="zh-CN"/>
        </w:rPr>
        <w:t>9</w:t>
      </w:r>
      <w:r>
        <w:rPr>
          <w:rFonts w:hint="eastAsia" w:ascii="仿宋" w:hAnsi="仿宋" w:eastAsia="仿宋"/>
          <w:bCs/>
          <w:color w:val="auto"/>
          <w:sz w:val="24"/>
          <w:szCs w:val="28"/>
          <w:highlight w:val="none"/>
          <w:u w:val="single"/>
        </w:rPr>
        <w:t>日9点30分（</w:t>
      </w:r>
      <w:r>
        <w:rPr>
          <w:rFonts w:hint="eastAsia" w:ascii="仿宋" w:hAnsi="仿宋" w:eastAsia="仿宋"/>
          <w:bCs/>
          <w:color w:val="auto"/>
          <w:sz w:val="24"/>
          <w:szCs w:val="28"/>
          <w:highlight w:val="none"/>
        </w:rPr>
        <w:t>北京时间）前递交投标</w:t>
      </w:r>
      <w:r>
        <w:rPr>
          <w:rFonts w:ascii="仿宋" w:hAnsi="仿宋" w:eastAsia="仿宋"/>
          <w:bCs/>
          <w:color w:val="auto"/>
          <w:sz w:val="24"/>
          <w:szCs w:val="28"/>
          <w:highlight w:val="none"/>
        </w:rPr>
        <w:t>文件</w:t>
      </w:r>
      <w:r>
        <w:rPr>
          <w:rFonts w:hint="eastAsia" w:ascii="仿宋" w:hAnsi="仿宋" w:eastAsia="仿宋"/>
          <w:color w:val="auto"/>
          <w:sz w:val="24"/>
          <w:szCs w:val="28"/>
          <w:highlight w:val="none"/>
        </w:rPr>
        <w:t>。</w:t>
      </w:r>
    </w:p>
    <w:p>
      <w:pPr>
        <w:shd w:val="clear"/>
        <w:rPr>
          <w:color w:val="auto"/>
          <w:sz w:val="24"/>
          <w:szCs w:val="28"/>
          <w:highlight w:val="none"/>
        </w:rPr>
      </w:pPr>
    </w:p>
    <w:p>
      <w:pPr>
        <w:pStyle w:val="4"/>
        <w:numPr>
          <w:ilvl w:val="0"/>
          <w:numId w:val="0"/>
        </w:numPr>
        <w:shd w:val="clear"/>
        <w:rPr>
          <w:rFonts w:ascii="黑体" w:hAnsi="黑体" w:cs="宋体"/>
          <w:color w:val="auto"/>
          <w:sz w:val="24"/>
          <w:szCs w:val="28"/>
          <w:highlight w:val="none"/>
        </w:rPr>
      </w:pPr>
      <w:bookmarkStart w:id="11" w:name="_Toc35393790"/>
      <w:bookmarkStart w:id="12" w:name="_Toc28359079"/>
      <w:bookmarkStart w:id="13" w:name="_Toc28359002"/>
      <w:bookmarkStart w:id="14" w:name="_Toc35393621"/>
      <w:bookmarkStart w:id="15" w:name="_Hlk24379207"/>
      <w:r>
        <w:rPr>
          <w:rFonts w:hint="eastAsia" w:ascii="黑体" w:hAnsi="黑体" w:cs="宋体"/>
          <w:color w:val="auto"/>
          <w:sz w:val="24"/>
          <w:szCs w:val="28"/>
          <w:highlight w:val="none"/>
        </w:rPr>
        <w:t>一、项目基本情况</w:t>
      </w:r>
      <w:bookmarkEnd w:id="11"/>
      <w:bookmarkEnd w:id="12"/>
      <w:bookmarkEnd w:id="13"/>
      <w:bookmarkEnd w:id="14"/>
    </w:p>
    <w:bookmarkEnd w:id="15"/>
    <w:p>
      <w:pPr>
        <w:shd w:val="clear"/>
        <w:spacing w:line="360" w:lineRule="auto"/>
        <w:ind w:left="420" w:left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项目编号：绍柯采[2023]3673号</w:t>
      </w:r>
    </w:p>
    <w:p>
      <w:pPr>
        <w:shd w:val="clear"/>
        <w:spacing w:line="360" w:lineRule="auto"/>
        <w:ind w:firstLine="480" w:firstLineChars="200"/>
        <w:jc w:val="left"/>
        <w:rPr>
          <w:rFonts w:ascii="仿宋" w:hAnsi="仿宋" w:eastAsia="仿宋"/>
          <w:color w:val="auto"/>
          <w:sz w:val="24"/>
          <w:szCs w:val="28"/>
          <w:highlight w:val="none"/>
          <w:u w:val="single"/>
        </w:rPr>
      </w:pPr>
      <w:r>
        <w:rPr>
          <w:rFonts w:hint="eastAsia" w:ascii="仿宋" w:hAnsi="仿宋" w:eastAsia="仿宋"/>
          <w:color w:val="auto"/>
          <w:sz w:val="24"/>
          <w:szCs w:val="28"/>
          <w:highlight w:val="none"/>
          <w:u w:val="single"/>
        </w:rPr>
        <w:t>项目名称：绍兴市柯桥区农业农村局及其下属单位2024-2025年度招标代理、标底编制及标底审核、工程审计项目</w:t>
      </w:r>
    </w:p>
    <w:p>
      <w:pPr>
        <w:shd w:val="clear"/>
        <w:spacing w:line="360" w:lineRule="auto"/>
        <w:ind w:left="420" w:leftChars="200"/>
        <w:jc w:val="left"/>
        <w:rPr>
          <w:rFonts w:ascii="仿宋" w:hAnsi="仿宋" w:eastAsia="仿宋"/>
          <w:color w:val="auto"/>
          <w:sz w:val="24"/>
          <w:szCs w:val="28"/>
          <w:highlight w:val="none"/>
          <w:u w:val="single"/>
        </w:rPr>
      </w:pPr>
      <w:r>
        <w:rPr>
          <w:rFonts w:hint="eastAsia" w:ascii="仿宋" w:hAnsi="仿宋" w:eastAsia="仿宋"/>
          <w:color w:val="auto"/>
          <w:sz w:val="24"/>
          <w:szCs w:val="28"/>
          <w:highlight w:val="none"/>
        </w:rPr>
        <w:t>预算金额（元）：</w:t>
      </w:r>
      <w:r>
        <w:rPr>
          <w:rFonts w:hint="eastAsia" w:ascii="仿宋" w:hAnsi="仿宋" w:eastAsia="仿宋"/>
          <w:color w:val="auto"/>
          <w:sz w:val="24"/>
          <w:szCs w:val="28"/>
          <w:highlight w:val="none"/>
          <w:u w:val="single"/>
        </w:rPr>
        <w:t>500000.00</w:t>
      </w:r>
    </w:p>
    <w:p>
      <w:pPr>
        <w:shd w:val="clear"/>
        <w:spacing w:line="360" w:lineRule="auto"/>
        <w:ind w:left="420" w:leftChars="200"/>
        <w:jc w:val="left"/>
        <w:rPr>
          <w:rFonts w:ascii="仿宋" w:hAnsi="仿宋" w:eastAsia="仿宋"/>
          <w:color w:val="auto"/>
          <w:sz w:val="24"/>
          <w:szCs w:val="28"/>
          <w:highlight w:val="none"/>
          <w:u w:val="single"/>
        </w:rPr>
      </w:pPr>
      <w:r>
        <w:rPr>
          <w:rFonts w:hint="eastAsia" w:ascii="仿宋" w:hAnsi="仿宋" w:eastAsia="仿宋"/>
          <w:color w:val="auto"/>
          <w:sz w:val="24"/>
          <w:szCs w:val="28"/>
          <w:highlight w:val="none"/>
        </w:rPr>
        <w:t>最高限价（元）：</w:t>
      </w:r>
      <w:r>
        <w:rPr>
          <w:rFonts w:hint="eastAsia" w:ascii="仿宋" w:hAnsi="仿宋" w:eastAsia="仿宋"/>
          <w:color w:val="auto"/>
          <w:sz w:val="24"/>
          <w:szCs w:val="28"/>
          <w:highlight w:val="none"/>
          <w:u w:val="single"/>
        </w:rPr>
        <w:t>500000.00</w:t>
      </w:r>
    </w:p>
    <w:p>
      <w:pPr>
        <w:shd w:val="clear"/>
        <w:spacing w:line="360" w:lineRule="auto"/>
        <w:ind w:left="420" w:leftChars="200"/>
        <w:jc w:val="left"/>
        <w:rPr>
          <w:rFonts w:ascii="仿宋" w:hAnsi="仿宋" w:eastAsia="仿宋"/>
          <w:b/>
          <w:color w:val="auto"/>
          <w:sz w:val="24"/>
          <w:szCs w:val="28"/>
          <w:highlight w:val="none"/>
        </w:rPr>
      </w:pPr>
      <w:r>
        <w:rPr>
          <w:rFonts w:hint="eastAsia" w:ascii="仿宋" w:hAnsi="仿宋" w:eastAsia="仿宋"/>
          <w:color w:val="auto"/>
          <w:sz w:val="24"/>
          <w:szCs w:val="28"/>
          <w:highlight w:val="none"/>
        </w:rPr>
        <w:t xml:space="preserve">采购需求：详见招标文件 </w:t>
      </w:r>
    </w:p>
    <w:p>
      <w:pPr>
        <w:shd w:val="clear"/>
        <w:spacing w:line="360" w:lineRule="auto"/>
        <w:ind w:firstLine="480" w:firstLineChars="200"/>
        <w:jc w:val="left"/>
        <w:rPr>
          <w:rFonts w:ascii="仿宋" w:hAnsi="仿宋" w:eastAsia="仿宋"/>
          <w:color w:val="auto"/>
          <w:sz w:val="24"/>
          <w:szCs w:val="28"/>
          <w:highlight w:val="none"/>
          <w:u w:val="single"/>
        </w:rPr>
      </w:pPr>
      <w:r>
        <w:rPr>
          <w:rFonts w:hint="eastAsia" w:ascii="仿宋" w:hAnsi="仿宋" w:eastAsia="仿宋"/>
          <w:color w:val="auto"/>
          <w:sz w:val="24"/>
          <w:szCs w:val="28"/>
          <w:highlight w:val="none"/>
          <w:u w:val="single"/>
        </w:rPr>
        <w:t>标项名称：绍兴市柯桥区农业农村局及其下属单位2024-2025年度招标代理、标底编制及标底审核、工程审计项目</w:t>
      </w:r>
    </w:p>
    <w:p>
      <w:pPr>
        <w:pStyle w:val="24"/>
        <w:shd w:val="clear"/>
        <w:rPr>
          <w:rFonts w:eastAsia="仿宋"/>
          <w:color w:val="auto"/>
          <w:highlight w:val="none"/>
        </w:rPr>
      </w:pPr>
      <w:r>
        <w:rPr>
          <w:rFonts w:hint="eastAsia" w:ascii="仿宋" w:hAnsi="仿宋" w:eastAsia="仿宋"/>
          <w:color w:val="auto"/>
          <w:szCs w:val="28"/>
          <w:highlight w:val="none"/>
          <w:u w:val="single"/>
        </w:rPr>
        <w:t>数量：不限</w:t>
      </w:r>
    </w:p>
    <w:p>
      <w:pPr>
        <w:shd w:val="clear"/>
        <w:spacing w:line="360" w:lineRule="auto"/>
        <w:ind w:left="420" w:left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 xml:space="preserve">预算金额（元）: </w:t>
      </w:r>
      <w:r>
        <w:rPr>
          <w:rFonts w:hint="eastAsia" w:ascii="仿宋" w:hAnsi="仿宋" w:eastAsia="仿宋"/>
          <w:color w:val="auto"/>
          <w:sz w:val="24"/>
          <w:szCs w:val="28"/>
          <w:highlight w:val="none"/>
          <w:u w:val="single"/>
        </w:rPr>
        <w:t>500000.00</w:t>
      </w:r>
    </w:p>
    <w:p>
      <w:pPr>
        <w:shd w:val="clear"/>
        <w:spacing w:line="360" w:lineRule="auto"/>
        <w:ind w:firstLine="480" w:firstLineChars="200"/>
        <w:jc w:val="left"/>
        <w:rPr>
          <w:rFonts w:ascii="仿宋" w:hAnsi="仿宋" w:eastAsia="仿宋"/>
          <w:color w:val="auto"/>
          <w:sz w:val="24"/>
          <w:szCs w:val="28"/>
          <w:highlight w:val="none"/>
          <w:u w:val="single"/>
        </w:rPr>
      </w:pPr>
      <w:r>
        <w:rPr>
          <w:rFonts w:hint="eastAsia" w:ascii="仿宋" w:hAnsi="仿宋" w:eastAsia="仿宋"/>
          <w:color w:val="auto"/>
          <w:sz w:val="24"/>
          <w:szCs w:val="28"/>
          <w:highlight w:val="none"/>
          <w:u w:val="single"/>
        </w:rPr>
        <w:t>简要规格描述或项目基本概况介绍、用途：绍兴市柯桥区农业农村局及其下属单位2024-2025年度招标代理、标底编制及标底审核、工程审计项目等项目。①各工程类、货物类、服务类等项目的招标文件编制、招投标流程操作（包括政采云）、招投标资料整理制作、上传等招标代理咨询服务；②标底编制（包括标底编制时材料价格的市场询价）、限额以下项目的标底审核、工程审计、中标单位商务标的复核及审定、标底中发现漏项缺项等差错的复核（若有）、限额以下项目的联系单复核；③省、市、区或其他主管理部门对中标服务单位有特殊要求的，采购人有权另选咨询服务单位。</w:t>
      </w:r>
    </w:p>
    <w:p>
      <w:pPr>
        <w:shd w:val="clear"/>
        <w:spacing w:line="360" w:lineRule="auto"/>
        <w:ind w:left="420" w:leftChars="200"/>
        <w:jc w:val="left"/>
        <w:rPr>
          <w:rFonts w:ascii="仿宋" w:hAnsi="仿宋" w:eastAsia="仿宋"/>
          <w:snapToGrid w:val="0"/>
          <w:color w:val="auto"/>
          <w:kern w:val="0"/>
          <w:sz w:val="24"/>
          <w:szCs w:val="28"/>
          <w:highlight w:val="none"/>
        </w:rPr>
      </w:pPr>
      <w:r>
        <w:rPr>
          <w:rFonts w:hint="eastAsia" w:ascii="仿宋" w:hAnsi="仿宋" w:eastAsia="仿宋"/>
          <w:snapToGrid w:val="0"/>
          <w:color w:val="auto"/>
          <w:kern w:val="0"/>
          <w:sz w:val="24"/>
          <w:szCs w:val="28"/>
          <w:highlight w:val="none"/>
        </w:rPr>
        <w:t>备注：/</w:t>
      </w:r>
    </w:p>
    <w:p>
      <w:pPr>
        <w:shd w:val="clear"/>
        <w:spacing w:line="360" w:lineRule="auto"/>
        <w:ind w:firstLine="480" w:firstLineChars="200"/>
        <w:jc w:val="left"/>
        <w:rPr>
          <w:color w:val="auto"/>
          <w:highlight w:val="none"/>
        </w:rPr>
      </w:pPr>
      <w:r>
        <w:rPr>
          <w:rFonts w:hint="eastAsia" w:ascii="仿宋" w:hAnsi="仿宋" w:eastAsia="仿宋"/>
          <w:snapToGrid w:val="0"/>
          <w:color w:val="auto"/>
          <w:kern w:val="0"/>
          <w:sz w:val="24"/>
          <w:szCs w:val="28"/>
          <w:highlight w:val="none"/>
        </w:rPr>
        <w:t>合同履行期限：标项1，详见招标文件。</w:t>
      </w:r>
    </w:p>
    <w:p>
      <w:pPr>
        <w:shd w:val="clear"/>
        <w:spacing w:line="360" w:lineRule="auto"/>
        <w:ind w:left="420" w:left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本项目</w:t>
      </w:r>
      <w:r>
        <w:rPr>
          <w:rFonts w:hint="eastAsia" w:ascii="仿宋" w:hAnsi="仿宋" w:eastAsia="仿宋"/>
          <w:b/>
          <w:color w:val="auto"/>
          <w:sz w:val="24"/>
          <w:szCs w:val="28"/>
          <w:highlight w:val="none"/>
        </w:rPr>
        <w:t>（</w:t>
      </w:r>
      <w:r>
        <w:rPr>
          <w:rFonts w:ascii="仿宋" w:hAnsi="仿宋" w:eastAsia="仿宋"/>
          <w:b/>
          <w:i/>
          <w:color w:val="auto"/>
          <w:sz w:val="24"/>
          <w:szCs w:val="28"/>
          <w:highlight w:val="none"/>
        </w:rPr>
        <w:t>否</w:t>
      </w:r>
      <w:r>
        <w:rPr>
          <w:rFonts w:hint="eastAsia" w:ascii="仿宋" w:hAnsi="仿宋" w:eastAsia="仿宋"/>
          <w:b/>
          <w:color w:val="auto"/>
          <w:sz w:val="24"/>
          <w:szCs w:val="28"/>
          <w:highlight w:val="none"/>
        </w:rPr>
        <w:t>）</w:t>
      </w:r>
      <w:r>
        <w:rPr>
          <w:rFonts w:hint="eastAsia" w:ascii="仿宋" w:hAnsi="仿宋" w:eastAsia="仿宋"/>
          <w:color w:val="auto"/>
          <w:sz w:val="24"/>
          <w:szCs w:val="28"/>
          <w:highlight w:val="none"/>
        </w:rPr>
        <w:t>接受联合体投标。</w:t>
      </w:r>
    </w:p>
    <w:p>
      <w:pPr>
        <w:pStyle w:val="4"/>
        <w:numPr>
          <w:ilvl w:val="0"/>
          <w:numId w:val="0"/>
        </w:numPr>
        <w:shd w:val="clear"/>
        <w:rPr>
          <w:rFonts w:ascii="黑体" w:hAnsi="黑体" w:cs="宋体"/>
          <w:color w:val="auto"/>
          <w:sz w:val="24"/>
          <w:szCs w:val="28"/>
          <w:highlight w:val="none"/>
        </w:rPr>
      </w:pPr>
      <w:bookmarkStart w:id="16" w:name="_Toc28359080"/>
      <w:bookmarkStart w:id="17" w:name="_Toc28359003"/>
      <w:bookmarkStart w:id="18" w:name="_Toc35393791"/>
      <w:bookmarkStart w:id="19" w:name="_Toc35393622"/>
      <w:r>
        <w:rPr>
          <w:rFonts w:hint="eastAsia" w:ascii="黑体" w:hAnsi="黑体" w:cs="宋体"/>
          <w:color w:val="auto"/>
          <w:sz w:val="24"/>
          <w:szCs w:val="28"/>
          <w:highlight w:val="none"/>
        </w:rPr>
        <w:t>二、申请人的资格要求：</w:t>
      </w:r>
      <w:bookmarkEnd w:id="16"/>
      <w:bookmarkEnd w:id="17"/>
      <w:bookmarkEnd w:id="18"/>
      <w:bookmarkEnd w:id="19"/>
    </w:p>
    <w:p>
      <w:pPr>
        <w:shd w:val="clea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满足《中华人民共和国政府采购法》第二十二条规定；且未被“信用中国”（www.creditchina.gov.cn）、中国政府采购网（www.ccgp.gov.cn）列入失信被执行人、重大税收违法案件当事人名单、政府采购严重违法失信行为记录名单。</w:t>
      </w:r>
    </w:p>
    <w:p>
      <w:pPr>
        <w:shd w:val="clear"/>
        <w:spacing w:line="360" w:lineRule="auto"/>
        <w:ind w:firstLine="480" w:firstLineChars="200"/>
        <w:jc w:val="left"/>
        <w:rPr>
          <w:rFonts w:ascii="仿宋" w:hAnsi="仿宋" w:eastAsia="仿宋"/>
          <w:color w:val="auto"/>
          <w:sz w:val="24"/>
          <w:szCs w:val="28"/>
          <w:highlight w:val="none"/>
        </w:rPr>
      </w:pPr>
      <w:bookmarkStart w:id="20" w:name="_Toc28359081"/>
      <w:bookmarkStart w:id="21" w:name="_Toc28359004"/>
      <w:r>
        <w:rPr>
          <w:rFonts w:hint="eastAsia" w:ascii="仿宋" w:hAnsi="仿宋" w:eastAsia="仿宋"/>
          <w:color w:val="auto"/>
          <w:sz w:val="24"/>
          <w:szCs w:val="28"/>
          <w:highlight w:val="none"/>
        </w:rPr>
        <w:t>落实政府采购政策需满足的资格要求：无。</w:t>
      </w:r>
    </w:p>
    <w:p>
      <w:pPr>
        <w:shd w:val="clear"/>
        <w:spacing w:line="360" w:lineRule="auto"/>
        <w:ind w:firstLine="480" w:firstLineChars="200"/>
        <w:jc w:val="left"/>
        <w:rPr>
          <w:rFonts w:ascii="仿宋" w:hAnsi="仿宋" w:eastAsia="仿宋"/>
          <w:i/>
          <w:iCs/>
          <w:color w:val="auto"/>
          <w:sz w:val="24"/>
          <w:szCs w:val="28"/>
          <w:highlight w:val="none"/>
          <w:u w:val="single"/>
        </w:rPr>
      </w:pPr>
      <w:r>
        <w:rPr>
          <w:rFonts w:hint="eastAsia" w:ascii="仿宋" w:hAnsi="仿宋" w:eastAsia="仿宋"/>
          <w:color w:val="auto"/>
          <w:sz w:val="24"/>
          <w:szCs w:val="28"/>
          <w:highlight w:val="none"/>
        </w:rPr>
        <w:t>本项目的特定资格要求：无。</w:t>
      </w:r>
    </w:p>
    <w:p>
      <w:pPr>
        <w:pStyle w:val="4"/>
        <w:numPr>
          <w:ilvl w:val="0"/>
          <w:numId w:val="0"/>
        </w:numPr>
        <w:shd w:val="clear"/>
        <w:rPr>
          <w:rFonts w:ascii="黑体" w:hAnsi="黑体" w:cs="宋体"/>
          <w:color w:val="auto"/>
          <w:sz w:val="24"/>
          <w:szCs w:val="28"/>
          <w:highlight w:val="none"/>
        </w:rPr>
      </w:pPr>
      <w:bookmarkStart w:id="22" w:name="_Toc35393623"/>
      <w:bookmarkStart w:id="23" w:name="_Toc35393792"/>
      <w:r>
        <w:rPr>
          <w:rFonts w:hint="eastAsia" w:ascii="黑体" w:hAnsi="黑体" w:cs="宋体"/>
          <w:color w:val="auto"/>
          <w:sz w:val="24"/>
          <w:szCs w:val="28"/>
          <w:highlight w:val="none"/>
        </w:rPr>
        <w:t>三、获取招标文件</w:t>
      </w:r>
      <w:bookmarkEnd w:id="20"/>
      <w:bookmarkEnd w:id="21"/>
      <w:bookmarkEnd w:id="22"/>
      <w:bookmarkEnd w:id="23"/>
    </w:p>
    <w:p>
      <w:pPr>
        <w:shd w:val="clear"/>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时间：</w:t>
      </w:r>
      <w:r>
        <w:rPr>
          <w:rFonts w:hint="eastAsia" w:ascii="仿宋" w:hAnsi="仿宋" w:eastAsia="仿宋"/>
          <w:color w:val="auto"/>
          <w:sz w:val="24"/>
          <w:szCs w:val="28"/>
          <w:highlight w:val="none"/>
        </w:rPr>
        <w:t>/至</w:t>
      </w:r>
      <w:r>
        <w:rPr>
          <w:rFonts w:hint="eastAsia" w:ascii="仿宋" w:hAnsi="仿宋" w:eastAsia="仿宋"/>
          <w:bCs/>
          <w:color w:val="auto"/>
          <w:sz w:val="24"/>
          <w:szCs w:val="28"/>
          <w:highlight w:val="none"/>
          <w:u w:val="single"/>
        </w:rPr>
        <w:t>2023年</w:t>
      </w:r>
      <w:r>
        <w:rPr>
          <w:rFonts w:hint="eastAsia" w:ascii="仿宋" w:hAnsi="仿宋" w:eastAsia="仿宋"/>
          <w:bCs/>
          <w:color w:val="auto"/>
          <w:sz w:val="24"/>
          <w:szCs w:val="28"/>
          <w:highlight w:val="none"/>
          <w:u w:val="single"/>
          <w:lang w:val="en-US" w:eastAsia="zh-CN"/>
        </w:rPr>
        <w:t>11</w:t>
      </w:r>
      <w:r>
        <w:rPr>
          <w:rFonts w:hint="eastAsia" w:ascii="仿宋" w:hAnsi="仿宋" w:eastAsia="仿宋"/>
          <w:bCs/>
          <w:color w:val="auto"/>
          <w:sz w:val="24"/>
          <w:szCs w:val="28"/>
          <w:highlight w:val="none"/>
          <w:u w:val="single"/>
        </w:rPr>
        <w:t>月</w:t>
      </w:r>
      <w:r>
        <w:rPr>
          <w:rFonts w:hint="eastAsia" w:ascii="仿宋" w:hAnsi="仿宋" w:eastAsia="仿宋"/>
          <w:bCs/>
          <w:color w:val="auto"/>
          <w:sz w:val="24"/>
          <w:szCs w:val="28"/>
          <w:highlight w:val="none"/>
          <w:u w:val="single"/>
          <w:lang w:val="en-US" w:eastAsia="zh-CN"/>
        </w:rPr>
        <w:t>9</w:t>
      </w:r>
      <w:r>
        <w:rPr>
          <w:rFonts w:hint="eastAsia" w:ascii="仿宋" w:hAnsi="仿宋" w:eastAsia="仿宋"/>
          <w:bCs/>
          <w:color w:val="auto"/>
          <w:sz w:val="24"/>
          <w:szCs w:val="28"/>
          <w:highlight w:val="none"/>
          <w:u w:val="single"/>
        </w:rPr>
        <w:t>日</w:t>
      </w:r>
      <w:r>
        <w:rPr>
          <w:rFonts w:ascii="仿宋" w:hAnsi="仿宋" w:eastAsia="仿宋"/>
          <w:color w:val="auto"/>
          <w:sz w:val="24"/>
          <w:szCs w:val="28"/>
          <w:highlight w:val="none"/>
        </w:rPr>
        <w:t>，每天上午</w:t>
      </w:r>
      <w:r>
        <w:rPr>
          <w:rFonts w:ascii="仿宋" w:hAnsi="仿宋" w:eastAsia="仿宋"/>
          <w:snapToGrid w:val="0"/>
          <w:color w:val="auto"/>
          <w:sz w:val="24"/>
          <w:szCs w:val="28"/>
          <w:highlight w:val="none"/>
        </w:rPr>
        <w:t>00:00至12:00</w:t>
      </w:r>
      <w:r>
        <w:rPr>
          <w:rFonts w:ascii="仿宋" w:hAnsi="仿宋" w:eastAsia="仿宋"/>
          <w:color w:val="auto"/>
          <w:sz w:val="24"/>
          <w:szCs w:val="28"/>
          <w:highlight w:val="none"/>
        </w:rPr>
        <w:t> ，下午</w:t>
      </w:r>
      <w:r>
        <w:rPr>
          <w:rFonts w:ascii="仿宋" w:hAnsi="仿宋" w:eastAsia="仿宋"/>
          <w:snapToGrid w:val="0"/>
          <w:color w:val="auto"/>
          <w:sz w:val="24"/>
          <w:szCs w:val="28"/>
          <w:highlight w:val="none"/>
        </w:rPr>
        <w:t>12:00至23:59</w:t>
      </w:r>
      <w:r>
        <w:rPr>
          <w:rFonts w:ascii="仿宋" w:hAnsi="仿宋" w:eastAsia="仿宋"/>
          <w:color w:val="auto"/>
          <w:sz w:val="24"/>
          <w:szCs w:val="28"/>
          <w:highlight w:val="none"/>
        </w:rPr>
        <w:t>（北京时间，线上获取法定节假日均可，线下获取文件法定节假日除外）</w:t>
      </w:r>
      <w:r>
        <w:rPr>
          <w:rFonts w:hint="eastAsia" w:ascii="仿宋" w:hAnsi="仿宋" w:eastAsia="仿宋"/>
          <w:color w:val="auto"/>
          <w:sz w:val="24"/>
          <w:szCs w:val="28"/>
          <w:highlight w:val="none"/>
        </w:rPr>
        <w:t>。</w:t>
      </w:r>
    </w:p>
    <w:p>
      <w:pPr>
        <w:shd w:val="clear"/>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地点（网址）：</w:t>
      </w:r>
      <w:r>
        <w:rPr>
          <w:rFonts w:ascii="仿宋" w:hAnsi="仿宋" w:eastAsia="仿宋" w:cs="宋体"/>
          <w:snapToGrid w:val="0"/>
          <w:color w:val="auto"/>
          <w:sz w:val="24"/>
          <w:szCs w:val="28"/>
          <w:highlight w:val="none"/>
        </w:rPr>
        <w:t>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Style w:val="65"/>
          <w:rFonts w:ascii="仿宋" w:hAnsi="仿宋" w:eastAsia="仿宋" w:cs="宋体"/>
          <w:color w:val="auto"/>
          <w:kern w:val="2"/>
          <w:sz w:val="24"/>
          <w:szCs w:val="28"/>
          <w:highlight w:val="none"/>
        </w:rPr>
        <w:t>http://zfcg.czt.zj.gov.cn/</w:t>
      </w:r>
      <w:r>
        <w:rPr>
          <w:rStyle w:val="65"/>
          <w:rFonts w:ascii="仿宋" w:hAnsi="仿宋" w:eastAsia="仿宋" w:cs="宋体"/>
          <w:color w:val="auto"/>
          <w:kern w:val="2"/>
          <w:sz w:val="24"/>
          <w:szCs w:val="28"/>
          <w:highlight w:val="none"/>
        </w:rPr>
        <w:fldChar w:fldCharType="end"/>
      </w:r>
      <w:r>
        <w:rPr>
          <w:rFonts w:ascii="仿宋" w:hAnsi="仿宋" w:eastAsia="仿宋" w:cs="宋体"/>
          <w:snapToGrid w:val="0"/>
          <w:color w:val="auto"/>
          <w:sz w:val="24"/>
          <w:szCs w:val="28"/>
          <w:highlight w:val="none"/>
        </w:rPr>
        <w:t>）</w:t>
      </w:r>
      <w:r>
        <w:rPr>
          <w:rFonts w:hint="eastAsia" w:ascii="仿宋" w:hAnsi="仿宋" w:eastAsia="仿宋" w:cs="宋体"/>
          <w:color w:val="auto"/>
          <w:sz w:val="24"/>
          <w:szCs w:val="28"/>
          <w:highlight w:val="none"/>
        </w:rPr>
        <w:t>。</w:t>
      </w:r>
    </w:p>
    <w:p>
      <w:pPr>
        <w:shd w:val="clear"/>
        <w:spacing w:line="360" w:lineRule="auto"/>
        <w:ind w:firstLine="480" w:firstLineChars="200"/>
        <w:jc w:val="left"/>
        <w:rPr>
          <w:rFonts w:ascii="仿宋" w:hAnsi="仿宋" w:eastAsia="仿宋" w:cs="宋体"/>
          <w:color w:val="auto"/>
          <w:sz w:val="24"/>
          <w:szCs w:val="28"/>
          <w:highlight w:val="none"/>
          <w:u w:val="single"/>
        </w:rPr>
      </w:pPr>
      <w:r>
        <w:rPr>
          <w:rFonts w:hint="eastAsia" w:ascii="仿宋" w:hAnsi="仿宋" w:eastAsia="仿宋" w:cs="宋体"/>
          <w:color w:val="auto"/>
          <w:sz w:val="24"/>
          <w:szCs w:val="28"/>
          <w:highlight w:val="none"/>
        </w:rPr>
        <w:t>方式：供应商登陆政采云平台http://www.zcygov.cn/，在线申请获取采购文件（进入“项目采购”应用，在获取采购文件菜单中选择项目，申请获取采购文件）。公告页面附件招标文件可以下载，仅供浏览使用。</w:t>
      </w:r>
    </w:p>
    <w:p>
      <w:pPr>
        <w:shd w:val="clear"/>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售价：0。</w:t>
      </w:r>
    </w:p>
    <w:p>
      <w:pPr>
        <w:pStyle w:val="4"/>
        <w:numPr>
          <w:ilvl w:val="0"/>
          <w:numId w:val="0"/>
        </w:numPr>
        <w:shd w:val="clear"/>
        <w:rPr>
          <w:rFonts w:ascii="黑体" w:hAnsi="黑体" w:cs="宋体"/>
          <w:color w:val="auto"/>
          <w:sz w:val="24"/>
          <w:szCs w:val="28"/>
          <w:highlight w:val="none"/>
        </w:rPr>
      </w:pPr>
      <w:bookmarkStart w:id="24" w:name="_Toc28359082"/>
      <w:bookmarkStart w:id="25" w:name="_Toc28359005"/>
      <w:bookmarkStart w:id="26" w:name="_Toc35393793"/>
      <w:bookmarkStart w:id="27" w:name="_Toc35393624"/>
      <w:r>
        <w:rPr>
          <w:rFonts w:hint="eastAsia" w:ascii="黑体" w:hAnsi="黑体" w:cs="宋体"/>
          <w:color w:val="auto"/>
          <w:sz w:val="24"/>
          <w:szCs w:val="28"/>
          <w:highlight w:val="none"/>
        </w:rPr>
        <w:t>四、提交投标文件</w:t>
      </w:r>
      <w:bookmarkEnd w:id="24"/>
      <w:bookmarkEnd w:id="25"/>
      <w:r>
        <w:rPr>
          <w:rFonts w:hint="eastAsia" w:ascii="黑体" w:hAnsi="黑体" w:cs="宋体"/>
          <w:color w:val="auto"/>
          <w:sz w:val="24"/>
          <w:szCs w:val="28"/>
          <w:highlight w:val="none"/>
        </w:rPr>
        <w:t>截止时间、开标时间和地点</w:t>
      </w:r>
      <w:bookmarkEnd w:id="26"/>
      <w:bookmarkEnd w:id="27"/>
    </w:p>
    <w:p>
      <w:pPr>
        <w:shd w:val="clea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s="宋体"/>
          <w:color w:val="auto"/>
          <w:sz w:val="24"/>
          <w:szCs w:val="28"/>
          <w:highlight w:val="none"/>
        </w:rPr>
        <w:t>提交投标文件截止时间：</w:t>
      </w:r>
      <w:r>
        <w:rPr>
          <w:rFonts w:hint="eastAsia" w:ascii="仿宋" w:hAnsi="仿宋" w:eastAsia="仿宋"/>
          <w:bCs/>
          <w:color w:val="auto"/>
          <w:sz w:val="24"/>
          <w:szCs w:val="28"/>
          <w:highlight w:val="none"/>
          <w:u w:val="single"/>
        </w:rPr>
        <w:t>2023年</w:t>
      </w:r>
      <w:r>
        <w:rPr>
          <w:rFonts w:hint="eastAsia" w:ascii="仿宋" w:hAnsi="仿宋" w:eastAsia="仿宋"/>
          <w:bCs/>
          <w:color w:val="auto"/>
          <w:sz w:val="24"/>
          <w:szCs w:val="28"/>
          <w:highlight w:val="none"/>
          <w:u w:val="single"/>
          <w:lang w:val="en-US" w:eastAsia="zh-CN"/>
        </w:rPr>
        <w:t>11</w:t>
      </w:r>
      <w:r>
        <w:rPr>
          <w:rFonts w:hint="eastAsia" w:ascii="仿宋" w:hAnsi="仿宋" w:eastAsia="仿宋"/>
          <w:bCs/>
          <w:color w:val="auto"/>
          <w:sz w:val="24"/>
          <w:szCs w:val="28"/>
          <w:highlight w:val="none"/>
          <w:u w:val="single"/>
        </w:rPr>
        <w:t>月</w:t>
      </w:r>
      <w:r>
        <w:rPr>
          <w:rFonts w:hint="eastAsia" w:ascii="仿宋" w:hAnsi="仿宋" w:eastAsia="仿宋"/>
          <w:bCs/>
          <w:color w:val="auto"/>
          <w:sz w:val="24"/>
          <w:szCs w:val="28"/>
          <w:highlight w:val="none"/>
          <w:u w:val="single"/>
          <w:lang w:val="en-US" w:eastAsia="zh-CN"/>
        </w:rPr>
        <w:t>9</w:t>
      </w:r>
      <w:r>
        <w:rPr>
          <w:rFonts w:hint="eastAsia" w:ascii="仿宋" w:hAnsi="仿宋" w:eastAsia="仿宋"/>
          <w:bCs/>
          <w:color w:val="auto"/>
          <w:sz w:val="24"/>
          <w:szCs w:val="28"/>
          <w:highlight w:val="none"/>
          <w:u w:val="single"/>
        </w:rPr>
        <w:t>日9：30</w:t>
      </w:r>
      <w:r>
        <w:rPr>
          <w:rFonts w:hint="eastAsia" w:ascii="仿宋" w:hAnsi="仿宋" w:eastAsia="仿宋"/>
          <w:bCs/>
          <w:color w:val="auto"/>
          <w:sz w:val="24"/>
          <w:szCs w:val="28"/>
          <w:highlight w:val="none"/>
        </w:rPr>
        <w:t>（北京时间）。</w:t>
      </w:r>
    </w:p>
    <w:p>
      <w:pPr>
        <w:shd w:val="clear"/>
        <w:spacing w:line="360" w:lineRule="auto"/>
        <w:ind w:firstLine="480" w:firstLineChars="200"/>
        <w:jc w:val="left"/>
        <w:rPr>
          <w:rFonts w:ascii="仿宋" w:hAnsi="仿宋" w:eastAsia="仿宋" w:cs="宋体"/>
          <w:color w:val="auto"/>
          <w:sz w:val="24"/>
          <w:szCs w:val="28"/>
          <w:highlight w:val="none"/>
        </w:rPr>
      </w:pPr>
      <w:r>
        <w:rPr>
          <w:rFonts w:ascii="仿宋" w:hAnsi="仿宋" w:eastAsia="仿宋" w:cs="宋体"/>
          <w:color w:val="auto"/>
          <w:sz w:val="24"/>
          <w:szCs w:val="28"/>
          <w:highlight w:val="none"/>
        </w:rPr>
        <w:t>投标地点（网址）：政府采购云平台（https://www.zcygov.cn）</w:t>
      </w:r>
      <w:r>
        <w:rPr>
          <w:rFonts w:hint="eastAsia" w:ascii="仿宋" w:hAnsi="仿宋" w:eastAsia="仿宋" w:cs="宋体"/>
          <w:color w:val="auto"/>
          <w:sz w:val="24"/>
          <w:szCs w:val="28"/>
          <w:highlight w:val="none"/>
        </w:rPr>
        <w:t>。</w:t>
      </w:r>
    </w:p>
    <w:p>
      <w:pPr>
        <w:shd w:val="clear"/>
        <w:spacing w:line="360" w:lineRule="auto"/>
        <w:ind w:firstLine="480" w:firstLineChars="200"/>
        <w:jc w:val="left"/>
        <w:rPr>
          <w:rFonts w:ascii="仿宋" w:hAnsi="仿宋" w:eastAsia="仿宋" w:cs="宋体"/>
          <w:color w:val="auto"/>
          <w:sz w:val="24"/>
          <w:szCs w:val="28"/>
          <w:highlight w:val="none"/>
        </w:rPr>
      </w:pPr>
      <w:r>
        <w:rPr>
          <w:rFonts w:ascii="仿宋" w:hAnsi="仿宋" w:eastAsia="仿宋" w:cs="宋体"/>
          <w:color w:val="auto"/>
          <w:sz w:val="24"/>
          <w:szCs w:val="28"/>
          <w:highlight w:val="none"/>
        </w:rPr>
        <w:t>开标时间：</w:t>
      </w:r>
      <w:r>
        <w:rPr>
          <w:rFonts w:hint="eastAsia" w:ascii="仿宋" w:hAnsi="仿宋" w:eastAsia="仿宋"/>
          <w:bCs/>
          <w:color w:val="auto"/>
          <w:sz w:val="24"/>
          <w:szCs w:val="28"/>
          <w:highlight w:val="none"/>
          <w:u w:val="single"/>
        </w:rPr>
        <w:t>2023年</w:t>
      </w:r>
      <w:r>
        <w:rPr>
          <w:rFonts w:hint="eastAsia" w:ascii="仿宋" w:hAnsi="仿宋" w:eastAsia="仿宋"/>
          <w:bCs/>
          <w:color w:val="auto"/>
          <w:sz w:val="24"/>
          <w:szCs w:val="28"/>
          <w:highlight w:val="none"/>
          <w:u w:val="single"/>
          <w:lang w:val="en-US" w:eastAsia="zh-CN"/>
        </w:rPr>
        <w:t>11</w:t>
      </w:r>
      <w:r>
        <w:rPr>
          <w:rFonts w:hint="eastAsia" w:ascii="仿宋" w:hAnsi="仿宋" w:eastAsia="仿宋"/>
          <w:bCs/>
          <w:color w:val="auto"/>
          <w:sz w:val="24"/>
          <w:szCs w:val="28"/>
          <w:highlight w:val="none"/>
          <w:u w:val="single"/>
        </w:rPr>
        <w:t>月</w:t>
      </w:r>
      <w:r>
        <w:rPr>
          <w:rFonts w:hint="eastAsia" w:ascii="仿宋" w:hAnsi="仿宋" w:eastAsia="仿宋"/>
          <w:bCs/>
          <w:color w:val="auto"/>
          <w:sz w:val="24"/>
          <w:szCs w:val="28"/>
          <w:highlight w:val="none"/>
          <w:u w:val="single"/>
          <w:lang w:val="en-US" w:eastAsia="zh-CN"/>
        </w:rPr>
        <w:t>9</w:t>
      </w:r>
      <w:r>
        <w:rPr>
          <w:rFonts w:hint="eastAsia" w:ascii="仿宋" w:hAnsi="仿宋" w:eastAsia="仿宋"/>
          <w:bCs/>
          <w:color w:val="auto"/>
          <w:sz w:val="24"/>
          <w:szCs w:val="28"/>
          <w:highlight w:val="none"/>
          <w:u w:val="single"/>
        </w:rPr>
        <w:t>日9：30</w:t>
      </w:r>
      <w:r>
        <w:rPr>
          <w:rFonts w:hint="eastAsia" w:ascii="仿宋" w:hAnsi="仿宋" w:eastAsia="仿宋"/>
          <w:bCs/>
          <w:color w:val="auto"/>
          <w:sz w:val="24"/>
          <w:szCs w:val="28"/>
          <w:highlight w:val="none"/>
        </w:rPr>
        <w:t>（北京时间）。</w:t>
      </w:r>
    </w:p>
    <w:p>
      <w:pPr>
        <w:shd w:val="clea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开标地点（网址）：绍兴市柯桥区农业农村局1308会议室（柯桥区纺都路1066号区公共服务大楼13楼）通过政府采购云平台（https://www.zcygov.cn）在线开标</w:t>
      </w:r>
      <w:r>
        <w:rPr>
          <w:rFonts w:hint="eastAsia" w:ascii="仿宋" w:hAnsi="仿宋" w:eastAsia="仿宋" w:cs="宋体"/>
          <w:color w:val="auto"/>
          <w:sz w:val="24"/>
          <w:szCs w:val="28"/>
          <w:highlight w:val="none"/>
        </w:rPr>
        <w:t>。</w:t>
      </w:r>
    </w:p>
    <w:p>
      <w:pPr>
        <w:pStyle w:val="4"/>
        <w:numPr>
          <w:ilvl w:val="0"/>
          <w:numId w:val="0"/>
        </w:numPr>
        <w:shd w:val="clear"/>
        <w:rPr>
          <w:rFonts w:ascii="黑体" w:hAnsi="黑体" w:cs="宋体"/>
          <w:color w:val="auto"/>
          <w:sz w:val="24"/>
          <w:szCs w:val="28"/>
          <w:highlight w:val="none"/>
        </w:rPr>
      </w:pPr>
      <w:bookmarkStart w:id="28" w:name="_Toc35393625"/>
      <w:bookmarkStart w:id="29" w:name="_Toc28359084"/>
      <w:bookmarkStart w:id="30" w:name="_Toc35393794"/>
      <w:bookmarkStart w:id="31" w:name="_Toc28359007"/>
      <w:r>
        <w:rPr>
          <w:rFonts w:hint="eastAsia" w:ascii="黑体" w:hAnsi="黑体" w:cs="宋体"/>
          <w:color w:val="auto"/>
          <w:sz w:val="24"/>
          <w:szCs w:val="28"/>
          <w:highlight w:val="none"/>
        </w:rPr>
        <w:t>五、公告期限</w:t>
      </w:r>
      <w:bookmarkEnd w:id="28"/>
      <w:bookmarkEnd w:id="29"/>
      <w:bookmarkEnd w:id="30"/>
      <w:bookmarkEnd w:id="31"/>
    </w:p>
    <w:p>
      <w:pPr>
        <w:shd w:val="clear"/>
        <w:spacing w:line="360" w:lineRule="auto"/>
        <w:ind w:firstLine="480" w:firstLineChars="200"/>
        <w:jc w:val="left"/>
        <w:rPr>
          <w:rFonts w:ascii="仿宋" w:hAnsi="仿宋" w:eastAsia="仿宋" w:cs="宋体"/>
          <w:color w:val="auto"/>
          <w:kern w:val="0"/>
          <w:sz w:val="24"/>
          <w:szCs w:val="28"/>
          <w:highlight w:val="none"/>
        </w:rPr>
      </w:pPr>
      <w:r>
        <w:rPr>
          <w:rFonts w:hint="eastAsia" w:ascii="仿宋" w:hAnsi="仿宋" w:eastAsia="仿宋" w:cs="宋体"/>
          <w:color w:val="auto"/>
          <w:kern w:val="0"/>
          <w:sz w:val="24"/>
          <w:szCs w:val="28"/>
          <w:highlight w:val="none"/>
        </w:rPr>
        <w:t>自本公告发布之日起5个工作日。</w:t>
      </w:r>
    </w:p>
    <w:p>
      <w:pPr>
        <w:pStyle w:val="4"/>
        <w:numPr>
          <w:ilvl w:val="0"/>
          <w:numId w:val="0"/>
        </w:numPr>
        <w:shd w:val="clear"/>
        <w:rPr>
          <w:rFonts w:ascii="黑体" w:hAnsi="黑体" w:cs="宋体"/>
          <w:color w:val="auto"/>
          <w:sz w:val="24"/>
          <w:szCs w:val="28"/>
          <w:highlight w:val="none"/>
        </w:rPr>
      </w:pPr>
      <w:bookmarkStart w:id="32" w:name="_Toc35393626"/>
      <w:bookmarkStart w:id="33" w:name="_Toc35393795"/>
      <w:r>
        <w:rPr>
          <w:rFonts w:hint="eastAsia" w:ascii="黑体" w:hAnsi="黑体" w:cs="宋体"/>
          <w:color w:val="auto"/>
          <w:sz w:val="24"/>
          <w:szCs w:val="28"/>
          <w:highlight w:val="none"/>
        </w:rPr>
        <w:t>六、其他补充事宜</w:t>
      </w:r>
      <w:bookmarkEnd w:id="32"/>
      <w:bookmarkEnd w:id="33"/>
    </w:p>
    <w:p>
      <w:pPr>
        <w:shd w:val="clear"/>
        <w:spacing w:line="360" w:lineRule="auto"/>
        <w:ind w:firstLine="480" w:firstLineChars="200"/>
        <w:jc w:val="left"/>
        <w:rPr>
          <w:rFonts w:ascii="仿宋" w:hAnsi="仿宋" w:eastAsia="仿宋"/>
          <w:color w:val="auto"/>
          <w:sz w:val="24"/>
          <w:szCs w:val="28"/>
          <w:highlight w:val="none"/>
        </w:rPr>
      </w:pPr>
      <w:r>
        <w:rPr>
          <w:rFonts w:ascii="仿宋" w:hAnsi="仿宋" w:eastAsia="仿宋"/>
          <w:color w:val="auto"/>
          <w:sz w:val="24"/>
          <w:szCs w:val="28"/>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2.其他事项：/</w:t>
      </w:r>
    </w:p>
    <w:p>
      <w:pPr>
        <w:pStyle w:val="4"/>
        <w:numPr>
          <w:ilvl w:val="0"/>
          <w:numId w:val="0"/>
        </w:numPr>
        <w:shd w:val="clear"/>
        <w:rPr>
          <w:rFonts w:ascii="黑体" w:hAnsi="黑体" w:cs="宋体"/>
          <w:color w:val="auto"/>
          <w:sz w:val="24"/>
          <w:szCs w:val="28"/>
          <w:highlight w:val="none"/>
        </w:rPr>
      </w:pPr>
      <w:bookmarkStart w:id="34" w:name="_Toc28359085"/>
      <w:bookmarkStart w:id="35" w:name="_Toc28359008"/>
      <w:bookmarkStart w:id="36" w:name="_Toc35393796"/>
      <w:bookmarkStart w:id="37" w:name="_Toc35393627"/>
      <w:r>
        <w:rPr>
          <w:rFonts w:hint="eastAsia" w:ascii="黑体" w:hAnsi="黑体" w:cs="宋体"/>
          <w:color w:val="auto"/>
          <w:sz w:val="24"/>
          <w:szCs w:val="28"/>
          <w:highlight w:val="none"/>
        </w:rPr>
        <w:t>七、对本次采购提出询问、质疑、投诉，请按以下方式联系。</w:t>
      </w:r>
      <w:bookmarkEnd w:id="34"/>
      <w:bookmarkEnd w:id="35"/>
      <w:bookmarkEnd w:id="36"/>
      <w:bookmarkEnd w:id="37"/>
    </w:p>
    <w:p>
      <w:pPr>
        <w:shd w:val="clear"/>
        <w:spacing w:line="360" w:lineRule="auto"/>
        <w:ind w:firstLine="480" w:firstLineChars="200"/>
        <w:jc w:val="left"/>
        <w:rPr>
          <w:rFonts w:ascii="仿宋" w:hAnsi="仿宋" w:eastAsia="仿宋" w:cs="Times New Roman"/>
          <w:color w:val="auto"/>
          <w:sz w:val="24"/>
          <w:szCs w:val="28"/>
          <w:highlight w:val="none"/>
        </w:rPr>
      </w:pPr>
      <w:r>
        <w:rPr>
          <w:rFonts w:ascii="仿宋" w:hAnsi="仿宋" w:eastAsia="仿宋" w:cs="Times New Roman"/>
          <w:color w:val="auto"/>
          <w:sz w:val="24"/>
          <w:szCs w:val="28"/>
          <w:highlight w:val="none"/>
        </w:rPr>
        <w:t>1.采购人信息</w:t>
      </w:r>
    </w:p>
    <w:p>
      <w:pPr>
        <w:shd w:val="clear"/>
        <w:spacing w:line="360" w:lineRule="auto"/>
        <w:ind w:firstLine="480" w:firstLineChars="200"/>
        <w:jc w:val="left"/>
        <w:rPr>
          <w:rFonts w:ascii="仿宋" w:hAnsi="仿宋" w:eastAsia="仿宋" w:cs="Times New Roman"/>
          <w:color w:val="auto"/>
          <w:sz w:val="24"/>
          <w:szCs w:val="28"/>
          <w:highlight w:val="none"/>
        </w:rPr>
      </w:pPr>
      <w:r>
        <w:rPr>
          <w:rFonts w:ascii="仿宋" w:hAnsi="仿宋" w:eastAsia="仿宋" w:cs="Times New Roman"/>
          <w:color w:val="auto"/>
          <w:sz w:val="24"/>
          <w:szCs w:val="28"/>
          <w:highlight w:val="none"/>
        </w:rPr>
        <w:t>名称：</w:t>
      </w:r>
      <w:r>
        <w:rPr>
          <w:rFonts w:hint="eastAsia" w:ascii="仿宋" w:hAnsi="仿宋" w:eastAsia="仿宋" w:cs="Times New Roman"/>
          <w:color w:val="auto"/>
          <w:sz w:val="24"/>
          <w:szCs w:val="28"/>
          <w:highlight w:val="none"/>
        </w:rPr>
        <w:t>绍兴市柯桥区农业农村局</w:t>
      </w:r>
    </w:p>
    <w:p>
      <w:pPr>
        <w:shd w:val="clear"/>
        <w:spacing w:line="360" w:lineRule="auto"/>
        <w:ind w:firstLine="480" w:firstLineChars="200"/>
        <w:jc w:val="left"/>
        <w:rPr>
          <w:rFonts w:ascii="仿宋" w:hAnsi="仿宋" w:eastAsia="仿宋" w:cs="Times New Roman"/>
          <w:color w:val="auto"/>
          <w:sz w:val="24"/>
          <w:szCs w:val="28"/>
          <w:highlight w:val="none"/>
        </w:rPr>
      </w:pPr>
      <w:r>
        <w:rPr>
          <w:rFonts w:ascii="仿宋" w:hAnsi="仿宋" w:eastAsia="仿宋" w:cs="Times New Roman"/>
          <w:color w:val="auto"/>
          <w:sz w:val="24"/>
          <w:szCs w:val="28"/>
          <w:highlight w:val="none"/>
        </w:rPr>
        <w:t>地址：</w:t>
      </w:r>
      <w:r>
        <w:rPr>
          <w:rFonts w:hint="eastAsia" w:ascii="仿宋" w:hAnsi="仿宋" w:eastAsia="仿宋" w:cs="Times New Roman"/>
          <w:color w:val="auto"/>
          <w:sz w:val="24"/>
          <w:szCs w:val="28"/>
          <w:highlight w:val="none"/>
        </w:rPr>
        <w:t>柯桥区纺都路1066号区公共服务大楼13楼</w:t>
      </w:r>
    </w:p>
    <w:p>
      <w:pPr>
        <w:shd w:val="clear"/>
        <w:spacing w:line="360" w:lineRule="auto"/>
        <w:ind w:firstLine="480" w:firstLineChars="200"/>
        <w:jc w:val="left"/>
        <w:rPr>
          <w:rFonts w:ascii="仿宋" w:hAnsi="仿宋" w:eastAsia="仿宋" w:cs="Times New Roman"/>
          <w:color w:val="auto"/>
          <w:sz w:val="24"/>
          <w:szCs w:val="28"/>
          <w:highlight w:val="none"/>
        </w:rPr>
      </w:pPr>
      <w:r>
        <w:rPr>
          <w:rFonts w:ascii="仿宋" w:hAnsi="仿宋" w:eastAsia="仿宋" w:cs="Times New Roman"/>
          <w:color w:val="auto"/>
          <w:sz w:val="24"/>
          <w:szCs w:val="28"/>
          <w:highlight w:val="none"/>
        </w:rPr>
        <w:t>传真：</w:t>
      </w:r>
      <w:r>
        <w:rPr>
          <w:rFonts w:hint="eastAsia" w:ascii="仿宋" w:hAnsi="仿宋" w:eastAsia="仿宋" w:cs="Times New Roman"/>
          <w:color w:val="auto"/>
          <w:sz w:val="24"/>
          <w:szCs w:val="28"/>
          <w:highlight w:val="none"/>
        </w:rPr>
        <w:t>/</w:t>
      </w:r>
    </w:p>
    <w:p>
      <w:pPr>
        <w:shd w:val="clear"/>
        <w:spacing w:line="360" w:lineRule="auto"/>
        <w:ind w:firstLine="480" w:firstLineChars="200"/>
        <w:jc w:val="left"/>
        <w:rPr>
          <w:rFonts w:ascii="仿宋" w:hAnsi="仿宋" w:eastAsia="仿宋" w:cs="Times New Roman"/>
          <w:color w:val="auto"/>
          <w:sz w:val="24"/>
          <w:szCs w:val="28"/>
          <w:highlight w:val="none"/>
        </w:rPr>
      </w:pPr>
      <w:r>
        <w:rPr>
          <w:rFonts w:ascii="仿宋" w:hAnsi="仿宋" w:eastAsia="仿宋" w:cs="Times New Roman"/>
          <w:color w:val="auto"/>
          <w:sz w:val="24"/>
          <w:szCs w:val="28"/>
          <w:highlight w:val="none"/>
        </w:rPr>
        <w:t>项目联系人（询问）：</w:t>
      </w:r>
      <w:r>
        <w:rPr>
          <w:rFonts w:hint="eastAsia" w:ascii="仿宋" w:hAnsi="仿宋" w:eastAsia="仿宋" w:cs="Times New Roman"/>
          <w:color w:val="auto"/>
          <w:sz w:val="24"/>
          <w:szCs w:val="28"/>
          <w:highlight w:val="none"/>
        </w:rPr>
        <w:t>周杰</w:t>
      </w:r>
    </w:p>
    <w:p>
      <w:pPr>
        <w:shd w:val="clear"/>
        <w:spacing w:line="360" w:lineRule="auto"/>
        <w:ind w:firstLine="480" w:firstLineChars="200"/>
        <w:jc w:val="left"/>
        <w:rPr>
          <w:rFonts w:hint="default" w:ascii="仿宋" w:hAnsi="仿宋" w:eastAsia="仿宋" w:cs="Times New Roman"/>
          <w:color w:val="auto"/>
          <w:sz w:val="24"/>
          <w:szCs w:val="28"/>
          <w:highlight w:val="none"/>
          <w:lang w:val="en-US" w:eastAsia="zh-CN"/>
        </w:rPr>
      </w:pPr>
      <w:r>
        <w:rPr>
          <w:rFonts w:ascii="仿宋" w:hAnsi="仿宋" w:eastAsia="仿宋" w:cs="Times New Roman"/>
          <w:color w:val="auto"/>
          <w:sz w:val="24"/>
          <w:szCs w:val="28"/>
          <w:highlight w:val="none"/>
        </w:rPr>
        <w:t>项目联系方式（询问）：</w:t>
      </w:r>
      <w:r>
        <w:rPr>
          <w:rFonts w:hint="eastAsia" w:ascii="仿宋" w:hAnsi="仿宋" w:eastAsia="仿宋" w:cs="Times New Roman"/>
          <w:color w:val="auto"/>
          <w:sz w:val="24"/>
          <w:szCs w:val="28"/>
          <w:highlight w:val="none"/>
          <w:lang w:val="en-US" w:eastAsia="zh-CN"/>
        </w:rPr>
        <w:t>0575-84138355</w:t>
      </w:r>
    </w:p>
    <w:p>
      <w:pPr>
        <w:shd w:val="clear"/>
        <w:spacing w:line="360" w:lineRule="auto"/>
        <w:ind w:firstLine="480" w:firstLineChars="200"/>
        <w:jc w:val="left"/>
        <w:rPr>
          <w:rFonts w:ascii="仿宋" w:hAnsi="仿宋" w:eastAsia="仿宋" w:cs="Times New Roman"/>
          <w:color w:val="auto"/>
          <w:sz w:val="24"/>
          <w:szCs w:val="28"/>
          <w:highlight w:val="none"/>
        </w:rPr>
      </w:pPr>
      <w:r>
        <w:rPr>
          <w:rFonts w:ascii="仿宋" w:hAnsi="仿宋" w:eastAsia="仿宋" w:cs="Times New Roman"/>
          <w:color w:val="auto"/>
          <w:sz w:val="24"/>
          <w:szCs w:val="28"/>
          <w:highlight w:val="none"/>
        </w:rPr>
        <w:t>质疑联系人：</w:t>
      </w:r>
      <w:r>
        <w:rPr>
          <w:rFonts w:hint="eastAsia" w:ascii="仿宋" w:hAnsi="仿宋" w:eastAsia="仿宋" w:cs="Times New Roman"/>
          <w:color w:val="auto"/>
          <w:sz w:val="24"/>
          <w:szCs w:val="28"/>
          <w:highlight w:val="none"/>
        </w:rPr>
        <w:t>王瑛</w:t>
      </w:r>
    </w:p>
    <w:p>
      <w:pPr>
        <w:shd w:val="clear"/>
        <w:spacing w:line="360" w:lineRule="auto"/>
        <w:ind w:firstLine="480" w:firstLineChars="200"/>
        <w:jc w:val="left"/>
        <w:rPr>
          <w:rFonts w:hint="eastAsia" w:ascii="仿宋" w:hAnsi="仿宋" w:eastAsia="仿宋" w:cs="Times New Roman"/>
          <w:color w:val="auto"/>
          <w:sz w:val="24"/>
          <w:szCs w:val="28"/>
          <w:highlight w:val="none"/>
        </w:rPr>
      </w:pPr>
      <w:r>
        <w:rPr>
          <w:rFonts w:ascii="仿宋" w:hAnsi="仿宋" w:eastAsia="仿宋" w:cs="Times New Roman"/>
          <w:color w:val="auto"/>
          <w:sz w:val="24"/>
          <w:szCs w:val="28"/>
          <w:highlight w:val="none"/>
        </w:rPr>
        <w:t>质疑联系方式：</w:t>
      </w:r>
      <w:r>
        <w:rPr>
          <w:rFonts w:hint="eastAsia" w:ascii="仿宋" w:hAnsi="仿宋" w:eastAsia="仿宋" w:cs="Times New Roman"/>
          <w:color w:val="auto"/>
          <w:sz w:val="24"/>
          <w:szCs w:val="28"/>
          <w:highlight w:val="none"/>
        </w:rPr>
        <w:t>0575-84119089</w:t>
      </w:r>
    </w:p>
    <w:p>
      <w:pPr>
        <w:shd w:val="clear"/>
        <w:spacing w:line="360" w:lineRule="auto"/>
        <w:ind w:firstLine="480" w:firstLineChars="200"/>
        <w:jc w:val="left"/>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2.</w:t>
      </w:r>
      <w:r>
        <w:rPr>
          <w:rFonts w:ascii="仿宋" w:hAnsi="仿宋" w:eastAsia="仿宋" w:cs="Times New Roman"/>
          <w:color w:val="auto"/>
          <w:sz w:val="24"/>
          <w:szCs w:val="28"/>
          <w:highlight w:val="none"/>
        </w:rPr>
        <w:t>采购代理机构信息</w:t>
      </w:r>
    </w:p>
    <w:p>
      <w:pPr>
        <w:shd w:val="clear"/>
        <w:spacing w:line="360" w:lineRule="auto"/>
        <w:ind w:firstLine="480" w:firstLineChars="200"/>
        <w:jc w:val="left"/>
        <w:rPr>
          <w:rFonts w:ascii="仿宋" w:hAnsi="仿宋" w:eastAsia="仿宋" w:cs="Times New Roman"/>
          <w:color w:val="auto"/>
          <w:sz w:val="24"/>
          <w:szCs w:val="28"/>
          <w:highlight w:val="none"/>
        </w:rPr>
      </w:pPr>
      <w:r>
        <w:rPr>
          <w:rFonts w:ascii="仿宋" w:hAnsi="仿宋" w:eastAsia="仿宋" w:cs="Times New Roman"/>
          <w:color w:val="auto"/>
          <w:sz w:val="24"/>
          <w:szCs w:val="28"/>
          <w:highlight w:val="none"/>
        </w:rPr>
        <w:t>名称：</w:t>
      </w:r>
      <w:r>
        <w:rPr>
          <w:rFonts w:hint="eastAsia" w:ascii="仿宋" w:hAnsi="仿宋" w:eastAsia="仿宋" w:cs="Times New Roman"/>
          <w:color w:val="auto"/>
          <w:sz w:val="24"/>
          <w:szCs w:val="28"/>
          <w:highlight w:val="none"/>
          <w:lang w:eastAsia="zh-CN"/>
        </w:rPr>
        <w:t>浙江中誉工程管理有限公司</w:t>
      </w:r>
      <w:r>
        <w:rPr>
          <w:rFonts w:ascii="仿宋" w:hAnsi="仿宋" w:eastAsia="仿宋" w:cs="Times New Roman"/>
          <w:color w:val="auto"/>
          <w:sz w:val="24"/>
          <w:szCs w:val="28"/>
          <w:highlight w:val="none"/>
        </w:rPr>
        <w:t>             </w:t>
      </w:r>
    </w:p>
    <w:p>
      <w:pPr>
        <w:shd w:val="clear"/>
        <w:spacing w:line="360" w:lineRule="auto"/>
        <w:ind w:firstLine="480" w:firstLineChars="200"/>
        <w:jc w:val="left"/>
        <w:rPr>
          <w:rFonts w:ascii="仿宋" w:hAnsi="仿宋" w:eastAsia="仿宋" w:cs="Times New Roman"/>
          <w:color w:val="auto"/>
          <w:sz w:val="24"/>
          <w:szCs w:val="28"/>
          <w:highlight w:val="none"/>
        </w:rPr>
      </w:pPr>
      <w:r>
        <w:rPr>
          <w:rFonts w:ascii="仿宋" w:hAnsi="仿宋" w:eastAsia="仿宋" w:cs="Times New Roman"/>
          <w:color w:val="auto"/>
          <w:sz w:val="24"/>
          <w:szCs w:val="28"/>
          <w:highlight w:val="none"/>
        </w:rPr>
        <w:t>地址：</w:t>
      </w:r>
      <w:r>
        <w:rPr>
          <w:rFonts w:hint="eastAsia" w:ascii="仿宋" w:hAnsi="仿宋" w:eastAsia="仿宋" w:cs="Times New Roman"/>
          <w:color w:val="auto"/>
          <w:sz w:val="24"/>
          <w:szCs w:val="28"/>
          <w:highlight w:val="none"/>
          <w:lang w:val="en-US" w:eastAsia="zh-CN"/>
        </w:rPr>
        <w:t>绍兴市越城区凤林西路172号亿兆大厦8楼</w:t>
      </w:r>
      <w:r>
        <w:rPr>
          <w:rFonts w:ascii="仿宋" w:hAnsi="仿宋" w:eastAsia="仿宋" w:cs="Times New Roman"/>
          <w:color w:val="auto"/>
          <w:sz w:val="24"/>
          <w:szCs w:val="28"/>
          <w:highlight w:val="none"/>
        </w:rPr>
        <w:t>             </w:t>
      </w:r>
    </w:p>
    <w:p>
      <w:pPr>
        <w:shd w:val="clear"/>
        <w:spacing w:line="360" w:lineRule="auto"/>
        <w:ind w:firstLine="480" w:firstLineChars="200"/>
        <w:jc w:val="left"/>
        <w:rPr>
          <w:rFonts w:ascii="仿宋" w:hAnsi="仿宋" w:eastAsia="仿宋" w:cs="Times New Roman"/>
          <w:color w:val="auto"/>
          <w:sz w:val="24"/>
          <w:szCs w:val="28"/>
          <w:highlight w:val="none"/>
        </w:rPr>
      </w:pPr>
      <w:r>
        <w:rPr>
          <w:rFonts w:ascii="仿宋" w:hAnsi="仿宋" w:eastAsia="仿宋" w:cs="Times New Roman"/>
          <w:color w:val="auto"/>
          <w:sz w:val="24"/>
          <w:szCs w:val="28"/>
          <w:highlight w:val="none"/>
        </w:rPr>
        <w:t>传真：0575-</w:t>
      </w:r>
      <w:r>
        <w:rPr>
          <w:rFonts w:hint="eastAsia" w:ascii="仿宋" w:hAnsi="仿宋" w:eastAsia="仿宋" w:cs="Times New Roman"/>
          <w:color w:val="auto"/>
          <w:sz w:val="24"/>
          <w:szCs w:val="28"/>
          <w:highlight w:val="none"/>
        </w:rPr>
        <w:t>/</w:t>
      </w:r>
      <w:r>
        <w:rPr>
          <w:rFonts w:ascii="仿宋" w:hAnsi="仿宋" w:eastAsia="仿宋" w:cs="Times New Roman"/>
          <w:color w:val="auto"/>
          <w:sz w:val="24"/>
          <w:szCs w:val="28"/>
          <w:highlight w:val="none"/>
        </w:rPr>
        <w:t>             </w:t>
      </w:r>
    </w:p>
    <w:p>
      <w:pPr>
        <w:shd w:val="clear"/>
        <w:spacing w:line="360" w:lineRule="auto"/>
        <w:ind w:firstLine="480" w:firstLineChars="200"/>
        <w:jc w:val="left"/>
        <w:rPr>
          <w:rFonts w:ascii="仿宋" w:hAnsi="仿宋" w:eastAsia="仿宋" w:cs="Times New Roman"/>
          <w:color w:val="auto"/>
          <w:sz w:val="24"/>
          <w:szCs w:val="28"/>
          <w:highlight w:val="none"/>
        </w:rPr>
      </w:pPr>
      <w:r>
        <w:rPr>
          <w:rFonts w:ascii="仿宋" w:hAnsi="仿宋" w:eastAsia="仿宋" w:cs="Times New Roman"/>
          <w:color w:val="auto"/>
          <w:sz w:val="24"/>
          <w:szCs w:val="28"/>
          <w:highlight w:val="none"/>
        </w:rPr>
        <w:t>项目联系人（询问）：</w:t>
      </w:r>
      <w:r>
        <w:rPr>
          <w:rFonts w:hint="eastAsia" w:ascii="仿宋" w:hAnsi="仿宋" w:eastAsia="仿宋" w:cs="Times New Roman"/>
          <w:color w:val="auto"/>
          <w:sz w:val="24"/>
          <w:szCs w:val="28"/>
          <w:highlight w:val="none"/>
          <w:lang w:val="en-US" w:eastAsia="zh-CN"/>
        </w:rPr>
        <w:t>杨帆</w:t>
      </w:r>
      <w:r>
        <w:rPr>
          <w:rFonts w:ascii="仿宋" w:hAnsi="仿宋" w:eastAsia="仿宋" w:cs="Times New Roman"/>
          <w:color w:val="auto"/>
          <w:sz w:val="24"/>
          <w:szCs w:val="28"/>
          <w:highlight w:val="none"/>
        </w:rPr>
        <w:t>              </w:t>
      </w:r>
    </w:p>
    <w:p>
      <w:pPr>
        <w:shd w:val="clear"/>
        <w:spacing w:line="360" w:lineRule="auto"/>
        <w:ind w:firstLine="480" w:firstLineChars="200"/>
        <w:jc w:val="left"/>
        <w:rPr>
          <w:rFonts w:ascii="仿宋" w:hAnsi="仿宋" w:eastAsia="仿宋" w:cs="Times New Roman"/>
          <w:color w:val="auto"/>
          <w:sz w:val="24"/>
          <w:szCs w:val="28"/>
          <w:highlight w:val="none"/>
        </w:rPr>
      </w:pPr>
      <w:r>
        <w:rPr>
          <w:rFonts w:ascii="仿宋" w:hAnsi="仿宋" w:eastAsia="仿宋" w:cs="Times New Roman"/>
          <w:color w:val="auto"/>
          <w:sz w:val="24"/>
          <w:szCs w:val="28"/>
          <w:highlight w:val="none"/>
        </w:rPr>
        <w:t>项目联系方式（询问）：</w:t>
      </w:r>
      <w:r>
        <w:rPr>
          <w:rFonts w:hint="eastAsia" w:ascii="仿宋" w:hAnsi="仿宋" w:eastAsia="仿宋" w:cs="Times New Roman"/>
          <w:color w:val="auto"/>
          <w:sz w:val="24"/>
          <w:szCs w:val="28"/>
          <w:highlight w:val="none"/>
          <w:lang w:val="en-US" w:eastAsia="zh-CN"/>
        </w:rPr>
        <w:t>15068508977</w:t>
      </w:r>
      <w:r>
        <w:rPr>
          <w:rFonts w:ascii="仿宋" w:hAnsi="仿宋" w:eastAsia="仿宋" w:cs="Times New Roman"/>
          <w:color w:val="auto"/>
          <w:sz w:val="24"/>
          <w:szCs w:val="28"/>
          <w:highlight w:val="none"/>
        </w:rPr>
        <w:t> </w:t>
      </w:r>
    </w:p>
    <w:p>
      <w:pPr>
        <w:shd w:val="clear"/>
        <w:spacing w:line="360" w:lineRule="auto"/>
        <w:ind w:firstLine="480" w:firstLineChars="200"/>
        <w:jc w:val="left"/>
        <w:rPr>
          <w:rFonts w:ascii="仿宋" w:hAnsi="仿宋" w:eastAsia="仿宋" w:cs="Times New Roman"/>
          <w:color w:val="auto"/>
          <w:sz w:val="24"/>
          <w:szCs w:val="28"/>
          <w:highlight w:val="none"/>
        </w:rPr>
      </w:pPr>
      <w:r>
        <w:rPr>
          <w:rFonts w:ascii="仿宋" w:hAnsi="仿宋" w:eastAsia="仿宋" w:cs="Times New Roman"/>
          <w:color w:val="auto"/>
          <w:sz w:val="24"/>
          <w:szCs w:val="28"/>
          <w:highlight w:val="none"/>
        </w:rPr>
        <w:t>质疑联系人：</w:t>
      </w:r>
      <w:r>
        <w:rPr>
          <w:rFonts w:hint="eastAsia" w:ascii="仿宋" w:hAnsi="仿宋" w:eastAsia="仿宋" w:cs="Times New Roman"/>
          <w:color w:val="auto"/>
          <w:sz w:val="24"/>
          <w:szCs w:val="28"/>
          <w:highlight w:val="none"/>
          <w:lang w:val="en-US" w:eastAsia="zh-CN"/>
        </w:rPr>
        <w:t>张琼玉</w:t>
      </w:r>
      <w:r>
        <w:rPr>
          <w:rFonts w:ascii="仿宋" w:hAnsi="仿宋" w:eastAsia="仿宋" w:cs="Times New Roman"/>
          <w:color w:val="auto"/>
          <w:sz w:val="24"/>
          <w:szCs w:val="28"/>
          <w:highlight w:val="none"/>
        </w:rPr>
        <w:t>             </w:t>
      </w:r>
    </w:p>
    <w:p>
      <w:pPr>
        <w:shd w:val="clear"/>
        <w:spacing w:line="360" w:lineRule="auto"/>
        <w:ind w:firstLine="480" w:firstLineChars="200"/>
        <w:jc w:val="left"/>
        <w:rPr>
          <w:rFonts w:ascii="仿宋" w:hAnsi="仿宋" w:eastAsia="仿宋" w:cs="Times New Roman"/>
          <w:color w:val="auto"/>
          <w:sz w:val="24"/>
          <w:szCs w:val="28"/>
          <w:highlight w:val="none"/>
        </w:rPr>
      </w:pPr>
      <w:r>
        <w:rPr>
          <w:rFonts w:ascii="仿宋" w:hAnsi="仿宋" w:eastAsia="仿宋" w:cs="Times New Roman"/>
          <w:color w:val="auto"/>
          <w:sz w:val="24"/>
          <w:szCs w:val="28"/>
          <w:highlight w:val="none"/>
        </w:rPr>
        <w:t>质疑联系方式：</w:t>
      </w:r>
      <w:r>
        <w:rPr>
          <w:rFonts w:hint="eastAsia" w:ascii="仿宋" w:hAnsi="仿宋" w:eastAsia="仿宋" w:cs="Times New Roman"/>
          <w:color w:val="auto"/>
          <w:sz w:val="24"/>
          <w:szCs w:val="28"/>
          <w:highlight w:val="none"/>
          <w:lang w:val="en-US" w:eastAsia="zh-CN"/>
        </w:rPr>
        <w:t>0575-84123872</w:t>
      </w:r>
      <w:r>
        <w:rPr>
          <w:rFonts w:ascii="仿宋" w:hAnsi="仿宋" w:eastAsia="仿宋" w:cs="Times New Roman"/>
          <w:color w:val="auto"/>
          <w:sz w:val="24"/>
          <w:szCs w:val="28"/>
          <w:highlight w:val="none"/>
        </w:rPr>
        <w:t> 　</w:t>
      </w:r>
    </w:p>
    <w:p>
      <w:pPr>
        <w:shd w:val="clear"/>
        <w:spacing w:line="360" w:lineRule="auto"/>
        <w:ind w:firstLine="480" w:firstLineChars="200"/>
        <w:jc w:val="left"/>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3.同级政府采购监督管理部门</w:t>
      </w:r>
    </w:p>
    <w:p>
      <w:pPr>
        <w:shd w:val="clear"/>
        <w:spacing w:line="360" w:lineRule="auto"/>
        <w:ind w:firstLine="480" w:firstLineChars="200"/>
        <w:jc w:val="left"/>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名 称：绍兴市柯桥区财政局</w:t>
      </w:r>
    </w:p>
    <w:p>
      <w:pPr>
        <w:shd w:val="clear"/>
        <w:spacing w:line="360" w:lineRule="auto"/>
        <w:ind w:firstLine="480" w:firstLineChars="200"/>
        <w:jc w:val="left"/>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地 址：绍兴市柯桥区育才路财税大楼</w:t>
      </w:r>
    </w:p>
    <w:p>
      <w:pPr>
        <w:shd w:val="clear"/>
        <w:spacing w:line="360" w:lineRule="auto"/>
        <w:ind w:firstLine="480" w:firstLineChars="200"/>
        <w:jc w:val="left"/>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传 真：/</w:t>
      </w:r>
    </w:p>
    <w:p>
      <w:pPr>
        <w:shd w:val="clear"/>
        <w:spacing w:line="360" w:lineRule="auto"/>
        <w:ind w:firstLine="480" w:firstLineChars="200"/>
        <w:jc w:val="left"/>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联系人 ：王晖</w:t>
      </w:r>
    </w:p>
    <w:p>
      <w:pPr>
        <w:shd w:val="clear"/>
        <w:spacing w:line="360" w:lineRule="auto"/>
        <w:ind w:firstLine="480" w:firstLineChars="200"/>
        <w:jc w:val="left"/>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监督投诉电话：0575-84125927</w:t>
      </w:r>
    </w:p>
    <w:p>
      <w:pPr>
        <w:shd w:val="clear"/>
        <w:spacing w:line="360" w:lineRule="auto"/>
        <w:jc w:val="left"/>
        <w:rPr>
          <w:rFonts w:ascii="仿宋" w:hAnsi="仿宋" w:eastAsia="仿宋"/>
          <w:color w:val="auto"/>
          <w:sz w:val="24"/>
          <w:szCs w:val="28"/>
          <w:highlight w:val="none"/>
          <w:u w:val="single"/>
        </w:rPr>
      </w:pPr>
    </w:p>
    <w:p>
      <w:pPr>
        <w:widowControl/>
        <w:shd w:val="clear"/>
        <w:adjustRightInd/>
        <w:ind w:firstLine="420" w:firstLineChars="200"/>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若对项目采购电子交易系统操作有疑问，可登录政采云（https://www.zcygov.cn/），点击右侧咨询小采，获取采小蜜智能服务管家帮助，或拨打政采云服务热线400-881-7190获取热线服务帮助。       </w:t>
      </w:r>
    </w:p>
    <w:p>
      <w:pPr>
        <w:widowControl/>
        <w:shd w:val="clear"/>
        <w:adjustRightInd/>
        <w:ind w:firstLine="420" w:firstLineChars="200"/>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CA问题联系电话（人工）：汇信CA 400-888-4636；天谷CA 400-087-8198。</w:t>
      </w:r>
    </w:p>
    <w:p>
      <w:pPr>
        <w:pStyle w:val="2"/>
        <w:shd w:val="clear"/>
        <w:jc w:val="both"/>
        <w:rPr>
          <w:color w:val="auto"/>
          <w:highlight w:val="none"/>
          <w:lang w:val="en-US"/>
        </w:rPr>
      </w:pPr>
    </w:p>
    <w:p>
      <w:pPr>
        <w:shd w:val="clea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hint="eastAsia" w:ascii="仿宋" w:hAnsi="仿宋" w:eastAsia="仿宋" w:cs="仿宋_GB2312"/>
          <w:b/>
          <w:color w:val="auto"/>
          <w:sz w:val="36"/>
          <w:szCs w:val="20"/>
          <w:highlight w:val="none"/>
        </w:rPr>
        <w:t xml:space="preserve"> 投标人须知</w:t>
      </w:r>
      <w:bookmarkEnd w:id="9"/>
    </w:p>
    <w:p>
      <w:pPr>
        <w:shd w:val="clea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58"/>
        <w:tblW w:w="86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1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6146"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报价要求</w:t>
            </w:r>
          </w:p>
        </w:tc>
        <w:tc>
          <w:tcPr>
            <w:tcW w:w="6146"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有关本项目开展所需的人员工资</w:t>
            </w:r>
            <w:r>
              <w:rPr>
                <w:rFonts w:ascii="仿宋" w:hAnsi="仿宋" w:eastAsia="仿宋"/>
                <w:color w:val="auto"/>
                <w:sz w:val="24"/>
                <w:szCs w:val="28"/>
                <w:highlight w:val="none"/>
              </w:rPr>
              <w:t>、</w:t>
            </w:r>
            <w:r>
              <w:rPr>
                <w:rFonts w:hint="eastAsia" w:ascii="仿宋" w:hAnsi="仿宋" w:eastAsia="仿宋"/>
                <w:color w:val="auto"/>
                <w:sz w:val="24"/>
                <w:szCs w:val="28"/>
                <w:highlight w:val="none"/>
              </w:rPr>
              <w:t>福利、</w:t>
            </w:r>
            <w:r>
              <w:rPr>
                <w:rFonts w:ascii="仿宋" w:hAnsi="仿宋" w:eastAsia="仿宋"/>
                <w:color w:val="auto"/>
                <w:sz w:val="24"/>
                <w:szCs w:val="28"/>
                <w:highlight w:val="none"/>
              </w:rPr>
              <w:t>工具、</w:t>
            </w:r>
            <w:r>
              <w:rPr>
                <w:rFonts w:hint="eastAsia" w:ascii="仿宋" w:hAnsi="仿宋" w:eastAsia="仿宋"/>
                <w:color w:val="auto"/>
                <w:sz w:val="24"/>
                <w:szCs w:val="28"/>
                <w:highlight w:val="none"/>
              </w:rPr>
              <w:t>管理、</w:t>
            </w:r>
            <w:r>
              <w:rPr>
                <w:rFonts w:ascii="仿宋" w:hAnsi="仿宋" w:eastAsia="仿宋"/>
                <w:color w:val="auto"/>
                <w:sz w:val="24"/>
                <w:szCs w:val="28"/>
                <w:highlight w:val="none"/>
              </w:rPr>
              <w:t>利润、税金、保险及不可预见费</w:t>
            </w:r>
            <w:r>
              <w:rPr>
                <w:rFonts w:hint="eastAsia" w:ascii="仿宋" w:hAnsi="仿宋" w:eastAsia="仿宋"/>
                <w:color w:val="auto"/>
                <w:sz w:val="24"/>
                <w:szCs w:val="28"/>
                <w:highlight w:val="none"/>
              </w:rPr>
              <w:t>用等费用均计入报价。《投标（开标）一览表》是报价的唯一载体。投标文件中价格全部采用人民币报价。招标文件未列明，而投标人认为必需的费用也需列入报价。</w:t>
            </w:r>
          </w:p>
          <w:p>
            <w:pPr>
              <w:shd w:val="clear"/>
              <w:snapToGrid w:val="0"/>
              <w:spacing w:line="360" w:lineRule="auto"/>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投标报价出现下列情形的，投标无效：</w:t>
            </w:r>
          </w:p>
          <w:p>
            <w:pPr>
              <w:shd w:val="clear"/>
              <w:snapToGrid w:val="0"/>
              <w:spacing w:line="360" w:lineRule="auto"/>
              <w:jc w:val="left"/>
              <w:rPr>
                <w:rFonts w:ascii="仿宋" w:hAnsi="仿宋" w:eastAsia="仿宋" w:cs="仿宋_GB2312"/>
                <w:b/>
                <w:color w:val="auto"/>
                <w:kern w:val="0"/>
                <w:sz w:val="24"/>
                <w:highlight w:val="none"/>
                <w:lang w:val="zh-CN"/>
              </w:rPr>
            </w:pPr>
            <w:r>
              <w:rPr>
                <w:rFonts w:hint="eastAsia" w:ascii="仿宋" w:hAnsi="仿宋" w:eastAsia="仿宋"/>
                <w:b/>
                <w:color w:val="auto"/>
                <w:sz w:val="24"/>
                <w:highlight w:val="none"/>
              </w:rPr>
              <w:t>▲</w:t>
            </w:r>
            <w:r>
              <w:rPr>
                <w:rFonts w:hint="eastAsia" w:ascii="仿宋" w:hAnsi="仿宋" w:eastAsia="仿宋" w:cs="仿宋_GB2312"/>
                <w:b/>
                <w:color w:val="auto"/>
                <w:kern w:val="0"/>
                <w:sz w:val="24"/>
                <w:highlight w:val="none"/>
                <w:lang w:val="zh-CN"/>
              </w:rPr>
              <w:t>投标文件出现不是唯一的、有选择性投标报价的。</w:t>
            </w:r>
          </w:p>
          <w:p>
            <w:pPr>
              <w:shd w:val="clear"/>
              <w:snapToGrid w:val="0"/>
              <w:spacing w:line="360" w:lineRule="auto"/>
              <w:jc w:val="left"/>
              <w:rPr>
                <w:rFonts w:ascii="仿宋" w:hAnsi="仿宋" w:eastAsia="仿宋" w:cs="仿宋_GB2312"/>
                <w:color w:val="auto"/>
                <w:kern w:val="0"/>
                <w:sz w:val="24"/>
                <w:highlight w:val="none"/>
                <w:lang w:val="zh-CN"/>
              </w:rPr>
            </w:pPr>
            <w:r>
              <w:rPr>
                <w:rFonts w:hint="eastAsia" w:ascii="仿宋" w:hAnsi="仿宋" w:eastAsia="仿宋"/>
                <w:b/>
                <w:color w:val="auto"/>
                <w:sz w:val="24"/>
                <w:highlight w:val="none"/>
              </w:rPr>
              <w:t>▲</w:t>
            </w:r>
            <w:r>
              <w:rPr>
                <w:rFonts w:hint="eastAsia" w:ascii="仿宋" w:hAnsi="仿宋" w:eastAsia="仿宋" w:cs="仿宋_GB2312"/>
                <w:b/>
                <w:color w:val="auto"/>
                <w:sz w:val="24"/>
                <w:highlight w:val="none"/>
              </w:rPr>
              <w:t>投标报价高于本项目采购预算或者最高限价的。</w:t>
            </w:r>
          </w:p>
          <w:p>
            <w:pPr>
              <w:shd w:val="clear"/>
              <w:spacing w:line="360" w:lineRule="auto"/>
              <w:rPr>
                <w:rFonts w:ascii="仿宋" w:hAnsi="仿宋" w:eastAsia="仿宋" w:cs="仿宋_GB2312"/>
                <w:b/>
                <w:color w:val="auto"/>
                <w:sz w:val="24"/>
                <w:highlight w:val="none"/>
              </w:rPr>
            </w:pPr>
            <w:r>
              <w:rPr>
                <w:rFonts w:hint="eastAsia" w:ascii="仿宋" w:hAnsi="仿宋" w:eastAsia="仿宋"/>
                <w:b/>
                <w:color w:val="auto"/>
                <w:sz w:val="24"/>
                <w:highlight w:val="none"/>
              </w:rPr>
              <w:t>▲</w:t>
            </w:r>
            <w:r>
              <w:rPr>
                <w:rFonts w:hint="eastAsia" w:ascii="仿宋" w:hAnsi="仿宋" w:eastAsia="仿宋" w:cs="Arial"/>
                <w:b/>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color w:val="auto"/>
                <w:sz w:val="24"/>
                <w:szCs w:val="21"/>
                <w:highlight w:val="none"/>
              </w:rPr>
              <w:t>。</w:t>
            </w:r>
          </w:p>
          <w:p>
            <w:pPr>
              <w:shd w:val="clear"/>
              <w:spacing w:line="360" w:lineRule="auto"/>
              <w:rPr>
                <w:rFonts w:ascii="仿宋" w:hAnsi="仿宋" w:eastAsia="仿宋" w:cs="仿宋_GB2312"/>
                <w:color w:val="auto"/>
                <w:sz w:val="24"/>
                <w:szCs w:val="21"/>
                <w:highlight w:val="none"/>
              </w:rPr>
            </w:pPr>
            <w:r>
              <w:rPr>
                <w:rFonts w:hint="eastAsia" w:ascii="仿宋" w:hAnsi="仿宋" w:eastAsia="仿宋"/>
                <w:b/>
                <w:color w:val="auto"/>
                <w:sz w:val="24"/>
                <w:highlight w:val="none"/>
              </w:rPr>
              <w:t>▲《投标（开标）一览表》填写不完整或字迹不能辨认或有漏项的,经评标委员会认定属于重大偏差的。</w:t>
            </w:r>
          </w:p>
          <w:p>
            <w:pPr>
              <w:shd w:val="clear"/>
              <w:spacing w:line="360" w:lineRule="auto"/>
              <w:rPr>
                <w:rFonts w:ascii="仿宋" w:hAnsi="仿宋" w:eastAsia="仿宋"/>
                <w:color w:val="auto"/>
                <w:sz w:val="24"/>
                <w:highlight w:val="none"/>
              </w:rPr>
            </w:pPr>
            <w:r>
              <w:rPr>
                <w:rFonts w:hint="eastAsia" w:ascii="仿宋" w:hAnsi="仿宋" w:eastAsia="仿宋" w:cs="Arial"/>
                <w:b/>
                <w:color w:val="auto"/>
                <w:kern w:val="0"/>
                <w:sz w:val="24"/>
                <w:highlight w:val="none"/>
              </w:rPr>
              <w:t>▲投标人对根据修正原则修正后的报价不确认的</w:t>
            </w:r>
            <w:r>
              <w:rPr>
                <w:rFonts w:hint="eastAsia" w:ascii="仿宋" w:hAnsi="仿宋" w:eastAsia="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项目采购类型</w:t>
            </w:r>
          </w:p>
        </w:tc>
        <w:tc>
          <w:tcPr>
            <w:tcW w:w="6146"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本项目为</w:t>
            </w:r>
            <w:r>
              <w:rPr>
                <w:rFonts w:hint="eastAsia" w:ascii="仿宋" w:hAnsi="仿宋" w:eastAsia="仿宋"/>
                <w:color w:val="auto"/>
                <w:sz w:val="24"/>
                <w:highlight w:val="none"/>
                <w:u w:val="single"/>
              </w:rPr>
              <w:t>服务类</w:t>
            </w:r>
            <w:r>
              <w:rPr>
                <w:rFonts w:hint="eastAsia" w:ascii="仿宋" w:hAnsi="仿宋" w:eastAsia="仿宋"/>
                <w:color w:val="auto"/>
                <w:sz w:val="24"/>
                <w:highlight w:val="none"/>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分包或转包</w:t>
            </w:r>
          </w:p>
        </w:tc>
        <w:tc>
          <w:tcPr>
            <w:tcW w:w="6146"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（1）采购人</w:t>
            </w:r>
            <w:r>
              <w:rPr>
                <w:rFonts w:hint="eastAsia" w:ascii="仿宋" w:hAnsi="仿宋" w:eastAsia="仿宋" w:cs="仿宋_GB2312"/>
                <w:b/>
                <w:color w:val="auto"/>
                <w:sz w:val="24"/>
                <w:highlight w:val="none"/>
              </w:rPr>
              <w:t>不同意</w:t>
            </w:r>
            <w:r>
              <w:rPr>
                <w:rFonts w:hint="eastAsia" w:ascii="仿宋" w:hAnsi="仿宋" w:eastAsia="仿宋" w:cs="仿宋_GB2312"/>
                <w:color w:val="auto"/>
                <w:sz w:val="24"/>
                <w:highlight w:val="none"/>
              </w:rPr>
              <w:t>分包。</w:t>
            </w:r>
          </w:p>
          <w:p>
            <w:pPr>
              <w:shd w:val="clea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中小企业划分标准所属行业</w:t>
            </w:r>
          </w:p>
        </w:tc>
        <w:tc>
          <w:tcPr>
            <w:tcW w:w="6146"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jc w:val="left"/>
              <w:rPr>
                <w:rFonts w:ascii="仿宋" w:hAnsi="仿宋" w:eastAsia="仿宋"/>
                <w:color w:val="auto"/>
                <w:sz w:val="24"/>
                <w:szCs w:val="28"/>
                <w:highlight w:val="none"/>
              </w:rPr>
            </w:pPr>
            <w:r>
              <w:rPr>
                <w:rFonts w:hint="eastAsia" w:ascii="仿宋" w:hAnsi="仿宋" w:eastAsia="仿宋" w:cs="仿宋_GB2312"/>
                <w:color w:val="auto"/>
                <w:sz w:val="24"/>
                <w:highlight w:val="none"/>
              </w:rPr>
              <w:t>（1）采购标的：绍兴市柯桥区农业农村局及其下属单位2024-2025年度招标代理、标底编制及标底审核、工程审计项目。</w:t>
            </w:r>
          </w:p>
          <w:p>
            <w:pPr>
              <w:shd w:val="clea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（2）所属行业：其他未列明行业。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0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1843" w:type="dxa"/>
            <w:tcBorders>
              <w:top w:val="single" w:color="000000" w:sz="8" w:space="0"/>
              <w:left w:val="single" w:color="auto" w:sz="4" w:space="0"/>
              <w:bottom w:val="single" w:color="auto" w:sz="4" w:space="0"/>
              <w:right w:val="single" w:color="000000" w:sz="8" w:space="0"/>
            </w:tcBorders>
            <w:vAlign w:val="center"/>
          </w:tcPr>
          <w:p>
            <w:pPr>
              <w:shd w:val="clea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投标文件的份数</w:t>
            </w:r>
          </w:p>
        </w:tc>
        <w:tc>
          <w:tcPr>
            <w:tcW w:w="6146" w:type="dxa"/>
            <w:tcBorders>
              <w:top w:val="single" w:color="000000" w:sz="8" w:space="0"/>
              <w:left w:val="single" w:color="000000" w:sz="2" w:space="0"/>
              <w:bottom w:val="single" w:color="auto" w:sz="4" w:space="0"/>
              <w:right w:val="single" w:color="000000" w:sz="8" w:space="0"/>
            </w:tcBorders>
            <w:vAlign w:val="center"/>
          </w:tcPr>
          <w:p>
            <w:pPr>
              <w:pStyle w:val="33"/>
              <w:shd w:val="clear"/>
              <w:snapToGrid w:val="0"/>
              <w:spacing w:before="120" w:after="120" w:line="360" w:lineRule="auto"/>
              <w:rPr>
                <w:rFonts w:ascii="仿宋" w:hAnsi="仿宋" w:eastAsia="仿宋" w:cs="Times New Roman"/>
                <w:snapToGrid/>
                <w:color w:val="auto"/>
                <w:sz w:val="24"/>
                <w:szCs w:val="20"/>
                <w:highlight w:val="none"/>
              </w:rPr>
            </w:pPr>
            <w:r>
              <w:rPr>
                <w:rFonts w:ascii="仿宋" w:hAnsi="仿宋" w:eastAsia="仿宋" w:cs="Times New Roman"/>
                <w:snapToGrid/>
                <w:color w:val="auto"/>
                <w:sz w:val="24"/>
                <w:szCs w:val="20"/>
                <w:highlight w:val="none"/>
              </w:rPr>
              <w:t>本项目实行</w:t>
            </w:r>
            <w:r>
              <w:rPr>
                <w:rFonts w:hint="eastAsia" w:ascii="仿宋" w:hAnsi="仿宋" w:eastAsia="仿宋" w:cs="Times New Roman"/>
                <w:snapToGrid/>
                <w:color w:val="auto"/>
                <w:sz w:val="24"/>
                <w:szCs w:val="20"/>
                <w:highlight w:val="none"/>
              </w:rPr>
              <w:t>电子投标。供应商应准备电子投标文件参与投标：电子投标文件，按政采云平台</w:t>
            </w:r>
            <w:r>
              <w:rPr>
                <w:rFonts w:ascii="仿宋" w:hAnsi="仿宋" w:eastAsia="仿宋" w:cs="Times New Roman"/>
                <w:snapToGrid/>
                <w:color w:val="auto"/>
                <w:sz w:val="24"/>
                <w:szCs w:val="20"/>
                <w:highlight w:val="none"/>
              </w:rPr>
              <w:t>项目采购-电子招投标操作指南</w:t>
            </w:r>
            <w:r>
              <w:rPr>
                <w:rFonts w:hint="eastAsia" w:ascii="仿宋" w:hAnsi="仿宋" w:eastAsia="仿宋" w:cs="Times New Roman"/>
                <w:snapToGrid/>
                <w:color w:val="auto"/>
                <w:sz w:val="24"/>
                <w:szCs w:val="20"/>
                <w:highlight w:val="none"/>
              </w:rPr>
              <w:t>及本招标文件要求递交</w:t>
            </w:r>
            <w:r>
              <w:rPr>
                <w:rFonts w:ascii="仿宋" w:hAnsi="仿宋" w:eastAsia="仿宋" w:cs="Times New Roman"/>
                <w:snapToGrid/>
                <w:color w:val="auto"/>
                <w:sz w:val="24"/>
                <w:szCs w:val="20"/>
                <w:highlight w:val="none"/>
              </w:rPr>
              <w:t>。</w:t>
            </w:r>
          </w:p>
          <w:p>
            <w:pPr>
              <w:shd w:val="clear"/>
              <w:spacing w:line="360" w:lineRule="auto"/>
              <w:rPr>
                <w:rFonts w:ascii="仿宋" w:hAnsi="仿宋" w:eastAsia="仿宋"/>
                <w:b/>
                <w:color w:val="auto"/>
                <w:sz w:val="24"/>
                <w:highlight w:val="none"/>
              </w:rPr>
            </w:pPr>
            <w:r>
              <w:rPr>
                <w:rFonts w:hint="eastAsia" w:ascii="仿宋" w:hAnsi="仿宋" w:eastAsia="仿宋"/>
                <w:b/>
                <w:color w:val="auto"/>
                <w:sz w:val="24"/>
                <w:highlight w:val="none"/>
              </w:rPr>
              <w:t>▲未传输递交电子投标文件的，投标无效。</w:t>
            </w:r>
          </w:p>
          <w:p>
            <w:pPr>
              <w:shd w:val="clear"/>
              <w:spacing w:line="360" w:lineRule="auto"/>
              <w:rPr>
                <w:rFonts w:ascii="仿宋" w:hAnsi="仿宋" w:eastAsia="仿宋"/>
                <w:b/>
                <w:color w:val="auto"/>
                <w:sz w:val="24"/>
                <w:highlight w:val="none"/>
              </w:rPr>
            </w:pPr>
            <w:r>
              <w:rPr>
                <w:rFonts w:hint="eastAsia" w:ascii="仿宋" w:hAnsi="仿宋" w:eastAsia="仿宋"/>
                <w:b/>
                <w:color w:val="auto"/>
                <w:sz w:val="24"/>
                <w:highlight w:val="none"/>
              </w:rPr>
              <w:t>▲未在系统解密时间内完成解密的，视为投标人自行放弃投标，投标无效。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6</w:t>
            </w:r>
          </w:p>
        </w:tc>
        <w:tc>
          <w:tcPr>
            <w:tcW w:w="1843" w:type="dxa"/>
            <w:tcBorders>
              <w:top w:val="single" w:color="auto" w:sz="4"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开标前答疑会或现场考察</w:t>
            </w:r>
          </w:p>
        </w:tc>
        <w:tc>
          <w:tcPr>
            <w:tcW w:w="6146" w:type="dxa"/>
            <w:tcBorders>
              <w:top w:val="single" w:color="auto" w:sz="4" w:space="0"/>
              <w:left w:val="single" w:color="000000" w:sz="2" w:space="0"/>
              <w:bottom w:val="single" w:color="000000" w:sz="8" w:space="0"/>
              <w:right w:val="single" w:color="000000" w:sz="8" w:space="0"/>
            </w:tcBorders>
            <w:vAlign w:val="center"/>
          </w:tcPr>
          <w:p>
            <w:pPr>
              <w:pStyle w:val="33"/>
              <w:shd w:val="clear"/>
              <w:spacing w:line="360" w:lineRule="auto"/>
              <w:rPr>
                <w:rFonts w:ascii="仿宋" w:hAnsi="仿宋" w:eastAsia="仿宋" w:cs="Times New Roman"/>
                <w:b/>
                <w:snapToGrid/>
                <w:color w:val="auto"/>
                <w:sz w:val="24"/>
                <w:szCs w:val="20"/>
                <w:highlight w:val="none"/>
              </w:rPr>
            </w:pPr>
            <w:r>
              <w:rPr>
                <w:rFonts w:hint="eastAsia" w:ascii="仿宋" w:hAnsi="仿宋" w:eastAsia="仿宋" w:cs="Times New Roman"/>
                <w:b/>
                <w:snapToGrid/>
                <w:color w:val="auto"/>
                <w:sz w:val="24"/>
                <w:szCs w:val="20"/>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样品提供</w:t>
            </w:r>
          </w:p>
        </w:tc>
        <w:tc>
          <w:tcPr>
            <w:tcW w:w="6146" w:type="dxa"/>
            <w:tcBorders>
              <w:top w:val="single" w:color="000000" w:sz="8" w:space="0"/>
              <w:left w:val="single" w:color="000000" w:sz="2" w:space="0"/>
              <w:bottom w:val="single" w:color="000000" w:sz="8" w:space="0"/>
              <w:right w:val="single" w:color="000000" w:sz="8" w:space="0"/>
            </w:tcBorders>
            <w:vAlign w:val="center"/>
          </w:tcPr>
          <w:p>
            <w:pPr>
              <w:pStyle w:val="33"/>
              <w:shd w:val="clear"/>
              <w:spacing w:line="360" w:lineRule="auto"/>
              <w:rPr>
                <w:rFonts w:ascii="仿宋" w:hAnsi="仿宋" w:eastAsia="仿宋" w:cs="Times New Roman"/>
                <w:b/>
                <w:snapToGrid/>
                <w:color w:val="auto"/>
                <w:sz w:val="24"/>
                <w:szCs w:val="20"/>
                <w:highlight w:val="none"/>
              </w:rPr>
            </w:pPr>
            <w:r>
              <w:rPr>
                <w:rFonts w:hint="eastAsia" w:ascii="仿宋" w:hAnsi="仿宋" w:eastAsia="仿宋" w:cs="Times New Roman"/>
                <w:b/>
                <w:snapToGrid/>
                <w:color w:val="auto"/>
                <w:sz w:val="24"/>
                <w:szCs w:val="20"/>
                <w:highlight w:val="none"/>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_GB2312"/>
                <w:bCs/>
                <w:color w:val="auto"/>
                <w:sz w:val="24"/>
                <w:highlight w:val="none"/>
              </w:rPr>
            </w:pPr>
            <w:r>
              <w:rPr>
                <w:rFonts w:hint="eastAsia" w:ascii="仿宋" w:hAnsi="仿宋" w:eastAsia="仿宋" w:cs="仿宋_GB2312"/>
                <w:b/>
                <w:color w:val="auto"/>
                <w:sz w:val="24"/>
                <w:highlight w:val="none"/>
              </w:rPr>
              <w:t>演示</w:t>
            </w:r>
          </w:p>
        </w:tc>
        <w:tc>
          <w:tcPr>
            <w:tcW w:w="6146"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ascii="仿宋" w:hAnsi="仿宋" w:eastAsia="仿宋"/>
                <w:b/>
                <w:color w:val="auto"/>
                <w:kern w:val="28"/>
                <w:sz w:val="24"/>
                <w:highlight w:val="none"/>
              </w:rPr>
            </w:pPr>
            <w:r>
              <w:rPr>
                <w:rFonts w:hint="eastAsia" w:ascii="仿宋" w:hAnsi="仿宋" w:eastAsia="仿宋"/>
                <w:b/>
                <w:color w:val="auto"/>
                <w:kern w:val="28"/>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5" w:hRule="exac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采购代理机构</w:t>
            </w:r>
          </w:p>
          <w:p>
            <w:pPr>
              <w:shd w:val="clea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代理费用</w:t>
            </w:r>
          </w:p>
        </w:tc>
        <w:tc>
          <w:tcPr>
            <w:tcW w:w="6146"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exac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w:t>
            </w:r>
            <w:r>
              <w:rPr>
                <w:rFonts w:ascii="仿宋" w:hAnsi="仿宋" w:eastAsia="仿宋" w:cs="仿宋_GB2312"/>
                <w:b/>
                <w:color w:val="auto"/>
                <w:sz w:val="24"/>
                <w:highlight w:val="none"/>
              </w:rPr>
              <w:t>保证金</w:t>
            </w:r>
            <w:r>
              <w:rPr>
                <w:rFonts w:hint="eastAsia" w:ascii="仿宋" w:hAnsi="仿宋" w:eastAsia="仿宋" w:cs="仿宋_GB2312"/>
                <w:b/>
                <w:color w:val="auto"/>
                <w:sz w:val="24"/>
                <w:highlight w:val="none"/>
              </w:rPr>
              <w:t>缴纳</w:t>
            </w:r>
          </w:p>
        </w:tc>
        <w:tc>
          <w:tcPr>
            <w:tcW w:w="6146" w:type="dxa"/>
            <w:tcBorders>
              <w:top w:val="single" w:color="000000" w:sz="8" w:space="0"/>
              <w:left w:val="single" w:color="000000" w:sz="2" w:space="0"/>
              <w:bottom w:val="single" w:color="000000" w:sz="8" w:space="0"/>
              <w:right w:val="single" w:color="000000" w:sz="8" w:space="0"/>
            </w:tcBorders>
            <w:vAlign w:val="center"/>
          </w:tcPr>
          <w:p>
            <w:pPr>
              <w:pStyle w:val="16"/>
              <w:shd w:val="clear"/>
              <w:spacing w:line="360" w:lineRule="auto"/>
              <w:ind w:firstLine="0"/>
              <w:rPr>
                <w:rFonts w:ascii="仿宋" w:hAnsi="仿宋" w:eastAsia="仿宋" w:cs="仿宋_GB2312"/>
                <w:color w:val="auto"/>
                <w:sz w:val="24"/>
                <w:highlight w:val="none"/>
              </w:rPr>
            </w:pPr>
            <w:r>
              <w:rPr>
                <w:rFonts w:hint="eastAsia" w:ascii="仿宋" w:hAnsi="仿宋" w:eastAsia="仿宋" w:cs="仿宋_GB2312"/>
                <w:color w:val="auto"/>
                <w:sz w:val="24"/>
                <w:highlight w:val="none"/>
              </w:rPr>
              <w:t>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exac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履约保证金金额</w:t>
            </w:r>
          </w:p>
        </w:tc>
        <w:tc>
          <w:tcPr>
            <w:tcW w:w="6146" w:type="dxa"/>
            <w:tcBorders>
              <w:top w:val="single" w:color="000000" w:sz="8" w:space="0"/>
              <w:left w:val="single" w:color="000000" w:sz="2" w:space="0"/>
              <w:bottom w:val="single" w:color="000000" w:sz="8" w:space="0"/>
              <w:right w:val="single" w:color="000000" w:sz="8" w:space="0"/>
            </w:tcBorders>
            <w:vAlign w:val="center"/>
          </w:tcPr>
          <w:p>
            <w:pPr>
              <w:pStyle w:val="16"/>
              <w:shd w:val="clear"/>
              <w:spacing w:line="360" w:lineRule="auto"/>
              <w:ind w:firstLine="0"/>
              <w:rPr>
                <w:rFonts w:ascii="仿宋" w:hAnsi="仿宋" w:eastAsia="仿宋" w:cs="仿宋_GB2312"/>
                <w:color w:val="auto"/>
                <w:sz w:val="24"/>
                <w:highlight w:val="none"/>
              </w:rPr>
            </w:pPr>
            <w:r>
              <w:rPr>
                <w:rFonts w:hint="eastAsia" w:ascii="仿宋" w:hAnsi="仿宋" w:eastAsia="仿宋" w:cs="仿宋_GB2312"/>
                <w:color w:val="auto"/>
                <w:sz w:val="24"/>
                <w:highlight w:val="none"/>
              </w:rPr>
              <w:t>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电子招投标说明</w:t>
            </w:r>
          </w:p>
        </w:tc>
        <w:tc>
          <w:tcPr>
            <w:tcW w:w="6146"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（1）电子招投标：本项目以数据电文形式，依托“政府采购云平台（www.zcygov.cn）”进行招投标活动，不接受纸质投标文件。</w:t>
            </w:r>
          </w:p>
          <w:p>
            <w:pPr>
              <w:shd w:val="clea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hd w:val="clea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（3）招标文件的获取：使用账号登录或者使用CA登录政采云平台；进入“项目采购”应用，在获取采购文件菜单中选择项目，获取招标文件。</w:t>
            </w:r>
          </w:p>
          <w:p>
            <w:pPr>
              <w:shd w:val="clea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（4）投标文件的制作：在“政采云电子交易客户端”中完成“填写基本信息”、“导入投标文件”、“标书关联”、“标书检查”、“电子签名”、“生成电子标书”等操作。</w:t>
            </w:r>
          </w:p>
          <w:p>
            <w:pPr>
              <w:shd w:val="clea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（5）投标文件的传输递交：投标人在投标截止时间前将加密的投标文件上传至政府采购云平台。</w:t>
            </w:r>
          </w:p>
          <w:p>
            <w:pPr>
              <w:shd w:val="clea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（6）投标文件的解密：投标人按照平台提示和招标文件的规定在开始解密后1小时内完成在线解密。</w:t>
            </w:r>
          </w:p>
          <w:p>
            <w:pPr>
              <w:shd w:val="clear"/>
              <w:spacing w:line="360" w:lineRule="auto"/>
              <w:ind w:firstLine="480" w:firstLineChars="200"/>
              <w:jc w:val="left"/>
              <w:rPr>
                <w:rFonts w:ascii="仿宋" w:hAnsi="仿宋" w:eastAsia="仿宋" w:cs="仿宋_GB2312"/>
                <w:color w:val="auto"/>
                <w:sz w:val="24"/>
                <w:highlight w:val="none"/>
                <w:u w:val="single"/>
              </w:rPr>
            </w:pPr>
            <w:r>
              <w:rPr>
                <w:rFonts w:hint="eastAsia" w:ascii="仿宋" w:hAnsi="仿宋" w:eastAsia="仿宋"/>
                <w:color w:val="auto"/>
                <w:sz w:val="24"/>
                <w:szCs w:val="28"/>
                <w:highlight w:val="none"/>
              </w:rPr>
              <w:t>（7）具体操作指南：详见政采云平台“服务中心-帮助文档-项目采购-操作流程-电子招投标-政府采购项目电子交易管理操作指南-供应商”。</w:t>
            </w:r>
          </w:p>
        </w:tc>
      </w:tr>
    </w:tbl>
    <w:p>
      <w:pPr>
        <w:shd w:val="clea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注</w:t>
      </w:r>
      <w:r>
        <w:rPr>
          <w:rFonts w:ascii="仿宋" w:hAnsi="仿宋" w:eastAsia="仿宋"/>
          <w:b/>
          <w:color w:val="auto"/>
          <w:sz w:val="24"/>
          <w:highlight w:val="none"/>
        </w:rPr>
        <w:t>：</w:t>
      </w:r>
      <w:r>
        <w:rPr>
          <w:rFonts w:hint="eastAsia" w:ascii="仿宋" w:hAnsi="仿宋" w:eastAsia="仿宋"/>
          <w:b/>
          <w:color w:val="auto"/>
          <w:sz w:val="24"/>
          <w:highlight w:val="none"/>
        </w:rPr>
        <w:t>本项目</w:t>
      </w:r>
      <w:r>
        <w:rPr>
          <w:rFonts w:ascii="仿宋" w:hAnsi="仿宋" w:eastAsia="仿宋"/>
          <w:b/>
          <w:color w:val="auto"/>
          <w:sz w:val="24"/>
          <w:highlight w:val="none"/>
        </w:rPr>
        <w:t>通用</w:t>
      </w:r>
      <w:r>
        <w:rPr>
          <w:rFonts w:hint="eastAsia" w:ascii="仿宋" w:hAnsi="仿宋" w:eastAsia="仿宋"/>
          <w:b/>
          <w:color w:val="auto"/>
          <w:sz w:val="24"/>
          <w:highlight w:val="none"/>
        </w:rPr>
        <w:t>总则</w:t>
      </w:r>
      <w:r>
        <w:rPr>
          <w:rFonts w:ascii="仿宋" w:hAnsi="仿宋" w:eastAsia="仿宋"/>
          <w:b/>
          <w:color w:val="auto"/>
          <w:sz w:val="24"/>
          <w:highlight w:val="none"/>
        </w:rPr>
        <w:t>条款与前附表等专</w:t>
      </w:r>
      <w:r>
        <w:rPr>
          <w:rFonts w:hint="eastAsia" w:ascii="仿宋" w:hAnsi="仿宋" w:eastAsia="仿宋"/>
          <w:b/>
          <w:color w:val="auto"/>
          <w:sz w:val="24"/>
          <w:highlight w:val="none"/>
        </w:rPr>
        <w:t>用</w:t>
      </w:r>
      <w:r>
        <w:rPr>
          <w:rFonts w:ascii="仿宋" w:hAnsi="仿宋" w:eastAsia="仿宋"/>
          <w:b/>
          <w:color w:val="auto"/>
          <w:sz w:val="24"/>
          <w:highlight w:val="none"/>
        </w:rPr>
        <w:t>特别规定有冲突之处，以专用条款（</w:t>
      </w:r>
      <w:r>
        <w:rPr>
          <w:rFonts w:hint="eastAsia" w:ascii="仿宋" w:hAnsi="仿宋" w:eastAsia="仿宋"/>
          <w:b/>
          <w:color w:val="auto"/>
          <w:sz w:val="24"/>
          <w:highlight w:val="none"/>
        </w:rPr>
        <w:t>特别规定</w:t>
      </w:r>
      <w:r>
        <w:rPr>
          <w:rFonts w:ascii="仿宋" w:hAnsi="仿宋" w:eastAsia="仿宋"/>
          <w:b/>
          <w:color w:val="auto"/>
          <w:sz w:val="24"/>
          <w:highlight w:val="none"/>
        </w:rPr>
        <w:t>）</w:t>
      </w:r>
      <w:r>
        <w:rPr>
          <w:rFonts w:hint="eastAsia" w:ascii="仿宋" w:hAnsi="仿宋" w:eastAsia="仿宋"/>
          <w:b/>
          <w:color w:val="auto"/>
          <w:sz w:val="24"/>
          <w:highlight w:val="none"/>
        </w:rPr>
        <w:t>为准</w:t>
      </w:r>
    </w:p>
    <w:p>
      <w:pPr>
        <w:shd w:val="clear"/>
        <w:adjustRightInd/>
        <w:spacing w:line="360" w:lineRule="auto"/>
        <w:ind w:firstLine="3845" w:firstLineChars="1197"/>
        <w:outlineLvl w:val="0"/>
        <w:rPr>
          <w:rFonts w:ascii="仿宋" w:hAnsi="仿宋" w:eastAsia="仿宋" w:cs="仿宋_GB2312"/>
          <w:b/>
          <w:color w:val="auto"/>
          <w:sz w:val="32"/>
          <w:szCs w:val="20"/>
          <w:highlight w:val="none"/>
        </w:rPr>
      </w:pPr>
      <w:r>
        <w:rPr>
          <w:rFonts w:ascii="仿宋" w:hAnsi="仿宋" w:eastAsia="仿宋" w:cs="仿宋_GB2312"/>
          <w:b/>
          <w:color w:val="auto"/>
          <w:sz w:val="32"/>
          <w:szCs w:val="20"/>
          <w:highlight w:val="none"/>
        </w:rPr>
        <w:br w:type="page"/>
      </w:r>
      <w:bookmarkEnd w:id="10"/>
      <w:bookmarkStart w:id="38" w:name="_Toc164416483"/>
      <w:bookmarkStart w:id="39" w:name="第三部分"/>
      <w:r>
        <w:rPr>
          <w:rFonts w:hint="eastAsia" w:ascii="仿宋" w:hAnsi="仿宋" w:eastAsia="仿宋" w:cs="仿宋_GB2312"/>
          <w:b/>
          <w:color w:val="auto"/>
          <w:sz w:val="32"/>
          <w:szCs w:val="20"/>
          <w:highlight w:val="none"/>
        </w:rPr>
        <w:t>一、总则</w:t>
      </w:r>
    </w:p>
    <w:p>
      <w:pPr>
        <w:shd w:val="clear"/>
        <w:snapToGrid w:val="0"/>
        <w:spacing w:line="360" w:lineRule="auto"/>
        <w:ind w:firstLine="482" w:firstLineChars="200"/>
        <w:jc w:val="left"/>
        <w:outlineLvl w:val="1"/>
        <w:rPr>
          <w:rFonts w:ascii="仿宋" w:hAnsi="仿宋" w:eastAsia="仿宋"/>
          <w:b/>
          <w:color w:val="auto"/>
          <w:sz w:val="24"/>
          <w:highlight w:val="none"/>
        </w:rPr>
      </w:pPr>
      <w:r>
        <w:rPr>
          <w:rFonts w:hint="eastAsia" w:ascii="仿宋" w:hAnsi="仿宋" w:eastAsia="仿宋"/>
          <w:b/>
          <w:color w:val="auto"/>
          <w:sz w:val="24"/>
          <w:highlight w:val="none"/>
        </w:rPr>
        <w:t>1.</w:t>
      </w:r>
      <w:r>
        <w:rPr>
          <w:rFonts w:ascii="仿宋" w:hAnsi="仿宋" w:eastAsia="仿宋"/>
          <w:b/>
          <w:color w:val="auto"/>
          <w:sz w:val="24"/>
          <w:highlight w:val="none"/>
        </w:rPr>
        <w:t xml:space="preserve"> 适用范围</w:t>
      </w:r>
    </w:p>
    <w:p>
      <w:pPr>
        <w:shd w:val="clea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本招标文件适用于该项目的招标、投标、开标、资格审查及信用信息查询、评标、定标、合同、验收等行为（法律、法规另有规定的，从其规定）。</w:t>
      </w:r>
    </w:p>
    <w:p>
      <w:pPr>
        <w:shd w:val="clear"/>
        <w:adjustRightInd/>
        <w:spacing w:line="360" w:lineRule="auto"/>
        <w:ind w:firstLine="482" w:firstLineChars="200"/>
        <w:jc w:val="left"/>
        <w:outlineLvl w:val="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2.定义</w:t>
      </w:r>
    </w:p>
    <w:p>
      <w:pPr>
        <w:shd w:val="clea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 xml:space="preserve">2.1 </w:t>
      </w:r>
      <w:r>
        <w:rPr>
          <w:rFonts w:hint="eastAsia" w:ascii="仿宋" w:hAnsi="仿宋" w:eastAsia="仿宋"/>
          <w:color w:val="auto"/>
          <w:sz w:val="24"/>
          <w:highlight w:val="none"/>
        </w:rPr>
        <w:t>“采购人”系指招标公告中载明的本项目的采购人。</w:t>
      </w:r>
    </w:p>
    <w:p>
      <w:pPr>
        <w:shd w:val="clea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2.2“采购代理机构”系指招标公告中载明的本项目的采购代理机构。</w:t>
      </w:r>
    </w:p>
    <w:p>
      <w:pPr>
        <w:shd w:val="clea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3“投标人”系指是指响应招标、参加投标竞争的法人、其他组织或者自然人。</w:t>
      </w:r>
    </w:p>
    <w:p>
      <w:pPr>
        <w:shd w:val="clea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2.4“负责人”系指法人企业的法定负责人，或其他组织为</w:t>
      </w:r>
      <w:r>
        <w:rPr>
          <w:rFonts w:ascii="仿宋" w:hAnsi="仿宋" w:eastAsia="仿宋"/>
          <w:color w:val="auto"/>
          <w:sz w:val="24"/>
          <w:highlight w:val="none"/>
        </w:rPr>
        <w:t>法律、行政法规规定代表单位行使职权的主要负责人</w:t>
      </w:r>
      <w:r>
        <w:rPr>
          <w:rFonts w:hint="eastAsia" w:ascii="仿宋" w:hAnsi="仿宋" w:eastAsia="仿宋"/>
          <w:color w:val="auto"/>
          <w:sz w:val="24"/>
          <w:highlight w:val="none"/>
        </w:rPr>
        <w:t>，或自然人本人。</w:t>
      </w:r>
    </w:p>
    <w:p>
      <w:pPr>
        <w:shd w:val="clea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2.5“▲” 系指实质性要求条款，“★”系产品采购项目中单一产品或核心产品。</w:t>
      </w:r>
    </w:p>
    <w:p>
      <w:pPr>
        <w:shd w:val="clear"/>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3.采购项目需要落实的政府采购政策</w:t>
      </w:r>
    </w:p>
    <w:p>
      <w:pPr>
        <w:shd w:val="clea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hd w:val="clea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3.2 节能环保要求。</w:t>
      </w:r>
    </w:p>
    <w:p>
      <w:pPr>
        <w:shd w:val="clear"/>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pPr>
        <w:shd w:val="clear"/>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w:t>
      </w:r>
      <w:r>
        <w:rPr>
          <w:rFonts w:hint="eastAsia" w:ascii="仿宋" w:hAnsi="仿宋" w:eastAsia="仿宋" w:cs="仿宋_GB2312"/>
          <w:b/>
          <w:color w:val="auto"/>
          <w:sz w:val="24"/>
          <w:szCs w:val="21"/>
          <w:highlight w:val="none"/>
        </w:rPr>
        <w:t>本项目如需采购节能品目清单中的政府强制采购的节能产品的，必须</w:t>
      </w:r>
      <w:r>
        <w:rPr>
          <w:rFonts w:ascii="仿宋" w:hAnsi="仿宋" w:eastAsia="仿宋" w:cs="仿宋_GB2312"/>
          <w:b/>
          <w:color w:val="auto"/>
          <w:sz w:val="24"/>
          <w:szCs w:val="21"/>
          <w:highlight w:val="none"/>
        </w:rPr>
        <w:t>以强制采购的品目清单内产品投标，</w:t>
      </w:r>
      <w:r>
        <w:rPr>
          <w:rFonts w:hint="eastAsia" w:ascii="仿宋" w:hAnsi="仿宋" w:eastAsia="仿宋" w:cs="仿宋_GB2312"/>
          <w:b/>
          <w:color w:val="auto"/>
          <w:sz w:val="24"/>
          <w:szCs w:val="21"/>
          <w:highlight w:val="none"/>
        </w:rPr>
        <w:t>投标人未按</w:t>
      </w:r>
      <w:r>
        <w:rPr>
          <w:rFonts w:ascii="仿宋" w:hAnsi="仿宋" w:eastAsia="仿宋" w:cs="仿宋_GB2312"/>
          <w:b/>
          <w:color w:val="auto"/>
          <w:sz w:val="24"/>
          <w:szCs w:val="21"/>
          <w:highlight w:val="none"/>
        </w:rPr>
        <w:t>要求</w:t>
      </w:r>
      <w:r>
        <w:rPr>
          <w:rFonts w:hint="eastAsia" w:ascii="仿宋" w:hAnsi="仿宋" w:eastAsia="仿宋" w:cs="仿宋_GB2312"/>
          <w:b/>
          <w:color w:val="auto"/>
          <w:sz w:val="24"/>
          <w:szCs w:val="21"/>
          <w:highlight w:val="none"/>
        </w:rPr>
        <w:t>提供品目</w:t>
      </w:r>
      <w:r>
        <w:rPr>
          <w:rFonts w:ascii="仿宋" w:hAnsi="仿宋" w:eastAsia="仿宋" w:cs="仿宋_GB2312"/>
          <w:b/>
          <w:color w:val="auto"/>
          <w:sz w:val="24"/>
          <w:szCs w:val="21"/>
          <w:highlight w:val="none"/>
        </w:rPr>
        <w:t>清单内的节能产品</w:t>
      </w:r>
      <w:r>
        <w:rPr>
          <w:rFonts w:hint="eastAsia" w:ascii="仿宋" w:hAnsi="仿宋" w:eastAsia="仿宋" w:cs="仿宋_GB2312"/>
          <w:b/>
          <w:color w:val="auto"/>
          <w:sz w:val="24"/>
          <w:szCs w:val="21"/>
          <w:highlight w:val="none"/>
        </w:rPr>
        <w:t>或</w:t>
      </w:r>
      <w:r>
        <w:rPr>
          <w:rFonts w:ascii="仿宋" w:hAnsi="仿宋" w:eastAsia="仿宋" w:cs="仿宋_GB2312"/>
          <w:b/>
          <w:color w:val="auto"/>
          <w:sz w:val="24"/>
          <w:szCs w:val="21"/>
          <w:highlight w:val="none"/>
        </w:rPr>
        <w:t>相关证明</w:t>
      </w:r>
      <w:r>
        <w:rPr>
          <w:rFonts w:hint="eastAsia" w:ascii="仿宋" w:hAnsi="仿宋" w:eastAsia="仿宋" w:cs="仿宋_GB2312"/>
          <w:b/>
          <w:color w:val="auto"/>
          <w:sz w:val="24"/>
          <w:szCs w:val="21"/>
          <w:highlight w:val="none"/>
        </w:rPr>
        <w:t>，投标无效;</w:t>
      </w:r>
    </w:p>
    <w:p>
      <w:pPr>
        <w:shd w:val="clea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3.2.2投标人提供产品如是节能（环境标志）产品，应当优先</w:t>
      </w:r>
      <w:r>
        <w:rPr>
          <w:rFonts w:ascii="仿宋" w:hAnsi="仿宋" w:eastAsia="仿宋"/>
          <w:color w:val="auto"/>
          <w:sz w:val="24"/>
          <w:highlight w:val="none"/>
        </w:rPr>
        <w:t>提供《</w:t>
      </w:r>
      <w:r>
        <w:rPr>
          <w:rFonts w:hint="eastAsia" w:ascii="仿宋" w:hAnsi="仿宋" w:eastAsia="仿宋"/>
          <w:color w:val="auto"/>
          <w:sz w:val="24"/>
          <w:highlight w:val="none"/>
        </w:rPr>
        <w:t>关于印发环境标志产品政府采购品目清单的通知</w:t>
      </w:r>
      <w:r>
        <w:rPr>
          <w:rFonts w:ascii="仿宋" w:hAnsi="仿宋" w:eastAsia="仿宋"/>
          <w:color w:val="auto"/>
          <w:sz w:val="24"/>
          <w:highlight w:val="none"/>
        </w:rPr>
        <w:t>》</w:t>
      </w:r>
      <w:r>
        <w:rPr>
          <w:rFonts w:hint="eastAsia" w:ascii="仿宋" w:hAnsi="仿宋" w:eastAsia="仿宋"/>
          <w:color w:val="auto"/>
          <w:sz w:val="24"/>
          <w:highlight w:val="none"/>
        </w:rPr>
        <w:t>财库〔2019〕</w:t>
      </w:r>
      <w:r>
        <w:rPr>
          <w:rFonts w:ascii="仿宋" w:hAnsi="仿宋" w:eastAsia="仿宋"/>
          <w:color w:val="auto"/>
          <w:sz w:val="24"/>
          <w:highlight w:val="none"/>
        </w:rPr>
        <w:t>18</w:t>
      </w:r>
      <w:r>
        <w:rPr>
          <w:rFonts w:hint="eastAsia" w:ascii="仿宋" w:hAnsi="仿宋" w:eastAsia="仿宋"/>
          <w:color w:val="auto"/>
          <w:sz w:val="24"/>
          <w:highlight w:val="none"/>
        </w:rPr>
        <w:t>号和《关于印发节能产品政府采购品目清单的通知》财库〔2019〕19号）内</w:t>
      </w:r>
      <w:r>
        <w:rPr>
          <w:rFonts w:ascii="仿宋" w:hAnsi="仿宋" w:eastAsia="仿宋"/>
          <w:color w:val="auto"/>
          <w:sz w:val="24"/>
          <w:highlight w:val="none"/>
        </w:rPr>
        <w:t>产品，</w:t>
      </w:r>
      <w:r>
        <w:rPr>
          <w:rFonts w:hint="eastAsia" w:ascii="仿宋" w:hAnsi="仿宋" w:eastAsia="仿宋"/>
          <w:color w:val="auto"/>
          <w:sz w:val="24"/>
          <w:highlight w:val="none"/>
        </w:rPr>
        <w:t>涉及项目</w:t>
      </w:r>
      <w:r>
        <w:rPr>
          <w:rFonts w:ascii="仿宋" w:hAnsi="仿宋" w:eastAsia="仿宋"/>
          <w:color w:val="auto"/>
          <w:sz w:val="24"/>
          <w:highlight w:val="none"/>
        </w:rPr>
        <w:t>评分条款加分</w:t>
      </w:r>
      <w:r>
        <w:rPr>
          <w:rFonts w:hint="eastAsia" w:ascii="仿宋" w:hAnsi="仿宋" w:eastAsia="仿宋"/>
          <w:color w:val="auto"/>
          <w:sz w:val="24"/>
          <w:highlight w:val="none"/>
        </w:rPr>
        <w:t>项</w:t>
      </w:r>
      <w:r>
        <w:rPr>
          <w:rFonts w:ascii="仿宋" w:hAnsi="仿宋" w:eastAsia="仿宋"/>
          <w:color w:val="auto"/>
          <w:sz w:val="24"/>
          <w:highlight w:val="none"/>
        </w:rPr>
        <w:t>时，</w:t>
      </w:r>
      <w:r>
        <w:rPr>
          <w:rFonts w:hint="eastAsia" w:ascii="仿宋" w:hAnsi="仿宋" w:eastAsia="仿宋"/>
          <w:color w:val="auto"/>
          <w:sz w:val="24"/>
          <w:highlight w:val="none"/>
        </w:rPr>
        <w:t>请</w:t>
      </w:r>
      <w:r>
        <w:rPr>
          <w:rFonts w:ascii="仿宋" w:hAnsi="仿宋" w:eastAsia="仿宋"/>
          <w:color w:val="auto"/>
          <w:sz w:val="24"/>
          <w:highlight w:val="none"/>
        </w:rPr>
        <w:t>提</w:t>
      </w:r>
      <w:r>
        <w:rPr>
          <w:rFonts w:hint="eastAsia" w:ascii="仿宋" w:hAnsi="仿宋" w:eastAsia="仿宋"/>
          <w:color w:val="auto"/>
          <w:sz w:val="24"/>
          <w:highlight w:val="none"/>
        </w:rPr>
        <w:t>供节能（环境标志）政府采购清单页及国家确定的认证机构出具的、处于有效期之内节能（环境标志）产品认证证书或规定网站证书查询截图;</w:t>
      </w:r>
    </w:p>
    <w:p>
      <w:pPr>
        <w:shd w:val="clea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3.2.3参与实施政府采购节能（环境标志）产品认证机构详见《市场监督总局关于发布参与实施政府采购节能产品、环境标志产品认证机构名录的公告》（2019第16号）。</w:t>
      </w:r>
    </w:p>
    <w:p>
      <w:pPr>
        <w:shd w:val="clea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3.3支持中小企业发展。</w:t>
      </w:r>
    </w:p>
    <w:p>
      <w:pPr>
        <w:shd w:val="clea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3.3.1中小企业</w:t>
      </w:r>
      <w:r>
        <w:rPr>
          <w:rFonts w:ascii="仿宋" w:hAnsi="仿宋" w:eastAsia="仿宋"/>
          <w:color w:val="auto"/>
          <w:sz w:val="24"/>
          <w:highlight w:val="none"/>
        </w:rPr>
        <w:t>，是指在中华人民共和国境内依法设立，依据国务院批准的中小企业划分标准确定的中型企业、小型企业和微型企业，但与大企业的负责人为同一人，或者与大企业存在直接控股、管理关系的除外</w:t>
      </w:r>
      <w:r>
        <w:rPr>
          <w:rFonts w:hint="eastAsia" w:ascii="仿宋" w:hAnsi="仿宋" w:eastAsia="仿宋"/>
          <w:color w:val="auto"/>
          <w:sz w:val="24"/>
          <w:highlight w:val="none"/>
        </w:rPr>
        <w:t>；</w:t>
      </w:r>
    </w:p>
    <w:p>
      <w:pPr>
        <w:shd w:val="clea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符合中小企业划分标准的个体工商户，在政府采购活动中视同中小企业</w:t>
      </w:r>
      <w:r>
        <w:rPr>
          <w:rFonts w:hint="eastAsia" w:ascii="仿宋" w:hAnsi="仿宋" w:eastAsia="仿宋"/>
          <w:color w:val="auto"/>
          <w:sz w:val="24"/>
          <w:highlight w:val="none"/>
        </w:rPr>
        <w:t>;</w:t>
      </w:r>
    </w:p>
    <w:p>
      <w:pPr>
        <w:shd w:val="clea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3.3.2在政府采购活动中，投标人提供的货物、工程或者服务符合下列情形的，享受中小企业扶持政策：</w:t>
      </w:r>
    </w:p>
    <w:p>
      <w:pPr>
        <w:shd w:val="clea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（1）在货物采购项目中，货物由中小企业制造，即货物由中小企业生产且使用该中小企业商号或者注册商标；</w:t>
      </w:r>
    </w:p>
    <w:p>
      <w:pPr>
        <w:shd w:val="clea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（2）在工程采购项目中，工程由中小企业承建，即工程施工单位为中小企业；</w:t>
      </w:r>
    </w:p>
    <w:p>
      <w:pPr>
        <w:shd w:val="clea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（3）在服务采购项目中，服务由中小企业承接，即提供服务的人员为中小企业依照《中华人民共和国劳动合同法》订立劳动合同的从业人员。</w:t>
      </w:r>
    </w:p>
    <w:p>
      <w:pPr>
        <w:shd w:val="clear"/>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在货物采购项目中，投标人提供的货物既有中小企业制造货物，也有大型企业制造货物的，不享受中小企业扶持政策。</w:t>
      </w:r>
    </w:p>
    <w:p>
      <w:pPr>
        <w:shd w:val="clea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以联合体形式参加政府采购活动，联合体各方均为中小企业的，联合体视同中小企业。其中，联合体各方均为小微企业的，联合体视同小微企业。</w:t>
      </w:r>
    </w:p>
    <w:p>
      <w:pPr>
        <w:shd w:val="clea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3.3.3对于未预留份额专门面向中小企业的政府采购货物或服务项目，以及预留份额政府采购货物或服务项目中的非预留部分标项，对小型和微型企业的投标报价给予20%的扣除，用扣除后的价格参与评审;</w:t>
      </w:r>
    </w:p>
    <w:p>
      <w:pPr>
        <w:shd w:val="clea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3.3.4</w:t>
      </w:r>
      <w:r>
        <w:rPr>
          <w:rFonts w:ascii="仿宋" w:hAnsi="仿宋" w:eastAsia="仿宋"/>
          <w:color w:val="auto"/>
          <w:sz w:val="24"/>
          <w:highlight w:val="none"/>
        </w:rPr>
        <w:t>接受大中型企业与小微企业组成联合体或者允许大中型企业向一家或者多家小微企业分包的</w:t>
      </w:r>
      <w:r>
        <w:rPr>
          <w:rFonts w:hint="eastAsia" w:ascii="仿宋" w:hAnsi="仿宋" w:eastAsia="仿宋"/>
          <w:color w:val="auto"/>
          <w:sz w:val="24"/>
          <w:highlight w:val="none"/>
        </w:rPr>
        <w:t>政府</w:t>
      </w:r>
      <w:r>
        <w:rPr>
          <w:rFonts w:ascii="仿宋" w:hAnsi="仿宋" w:eastAsia="仿宋"/>
          <w:color w:val="auto"/>
          <w:sz w:val="24"/>
          <w:highlight w:val="none"/>
        </w:rPr>
        <w:t>采购</w:t>
      </w:r>
      <w:r>
        <w:rPr>
          <w:rFonts w:hint="eastAsia" w:ascii="仿宋" w:hAnsi="仿宋" w:eastAsia="仿宋"/>
          <w:color w:val="auto"/>
          <w:sz w:val="24"/>
          <w:highlight w:val="none"/>
        </w:rPr>
        <w:t>货物或服务</w:t>
      </w:r>
      <w:r>
        <w:rPr>
          <w:rFonts w:ascii="仿宋" w:hAnsi="仿宋" w:eastAsia="仿宋"/>
          <w:color w:val="auto"/>
          <w:sz w:val="24"/>
          <w:highlight w:val="none"/>
        </w:rPr>
        <w:t>项目，对于联合协议或者分包意向协议约定小微企业的合同份额占到合同总金额30%以上的，对联合体或者大中型企业的报价给予</w:t>
      </w:r>
      <w:r>
        <w:rPr>
          <w:rFonts w:hint="eastAsia" w:ascii="仿宋" w:hAnsi="仿宋" w:eastAsia="仿宋"/>
          <w:color w:val="auto"/>
          <w:sz w:val="24"/>
          <w:highlight w:val="none"/>
        </w:rPr>
        <w:t>6</w:t>
      </w:r>
      <w:r>
        <w:rPr>
          <w:rFonts w:ascii="仿宋" w:hAnsi="仿宋" w:eastAsia="仿宋"/>
          <w:color w:val="auto"/>
          <w:sz w:val="24"/>
          <w:highlight w:val="none"/>
        </w:rPr>
        <w:t>%的扣除，用扣除后的价格参加评审。组成联合体或者接受分包的小微企业与联合体内其他企业、分包企业之间存在直接控股、管理关系的，不享受价格扣除优惠政策</w:t>
      </w:r>
      <w:r>
        <w:rPr>
          <w:rFonts w:hint="eastAsia" w:ascii="仿宋" w:hAnsi="仿宋" w:eastAsia="仿宋"/>
          <w:color w:val="auto"/>
          <w:sz w:val="24"/>
          <w:highlight w:val="none"/>
        </w:rPr>
        <w:t>;</w:t>
      </w:r>
    </w:p>
    <w:p>
      <w:pPr>
        <w:shd w:val="clea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3.3.5符合《关于促进残疾人就业政府采购政策的通知》（财库〔2017〕141号）规定的条件并提供《残疾人福利性单位声明函》的残疾人福利性单位视同小型、微型企业；</w:t>
      </w:r>
    </w:p>
    <w:p>
      <w:pPr>
        <w:shd w:val="clea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3.3.6符合《关于政府采购支持监狱企业发展有关问题的通知》（财库[2014]68号）规定的监狱企业并提供由省级以上监狱管理局、戒毒管理局（含新疆生产建设兵团）出具的属于监狱企业证明文件的，视同为小型、微型企业;</w:t>
      </w:r>
    </w:p>
    <w:p>
      <w:pPr>
        <w:shd w:val="clea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3.3.7可享受中小企业扶持政策的投标人应按照招标文件格式要求提供《中小企业声明函》;</w:t>
      </w:r>
    </w:p>
    <w:p>
      <w:pPr>
        <w:shd w:val="clea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3.3.8中小企业</w:t>
      </w:r>
      <w:r>
        <w:rPr>
          <w:rFonts w:ascii="仿宋" w:hAnsi="仿宋" w:eastAsia="仿宋"/>
          <w:color w:val="auto"/>
          <w:sz w:val="24"/>
          <w:highlight w:val="none"/>
        </w:rPr>
        <w:t>享受扶持政策获得政府采购合同的，小微企业不得将合同分包给大中型企业，中型企业不得将合同分包给大型企业</w:t>
      </w:r>
      <w:r>
        <w:rPr>
          <w:rFonts w:hint="eastAsia" w:ascii="仿宋" w:hAnsi="仿宋" w:eastAsia="仿宋"/>
          <w:color w:val="auto"/>
          <w:sz w:val="24"/>
          <w:highlight w:val="none"/>
        </w:rPr>
        <w:t>。</w:t>
      </w:r>
    </w:p>
    <w:p>
      <w:pPr>
        <w:shd w:val="clea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3.3.9对中小企业预留项目，采购单位应当在政府采购合同中约定预付款，合同预付款比例原则上不低于合同金额的40％，不高于合同金额的70%；项目分年安排预算的，每年预付款比例不低于项目年度计划支付资金额的40％，不高于合同金额的70%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供应商可登录政采云前台大厅选择金融服务 - 【保函保险服务】出具预付款保函，具体步骤：选择产品—填写供应商信息—选择中标项目—确认信息—等待保险/保函受理—确认保单—支付保费—成功出单。政采云金融专线400-903-9583</w:t>
      </w:r>
      <w:r>
        <w:rPr>
          <w:rFonts w:ascii="仿宋" w:hAnsi="仿宋" w:eastAsia="仿宋"/>
          <w:color w:val="auto"/>
          <w:sz w:val="24"/>
          <w:highlight w:val="none"/>
        </w:rPr>
        <w:t>。</w:t>
      </w:r>
    </w:p>
    <w:p>
      <w:pPr>
        <w:pStyle w:val="23"/>
        <w:shd w:val="clear"/>
        <w:ind w:firstLine="480" w:firstLineChars="200"/>
        <w:rPr>
          <w:color w:val="auto"/>
          <w:highlight w:val="none"/>
        </w:rPr>
      </w:pPr>
      <w:r>
        <w:rPr>
          <w:rFonts w:hint="eastAsia" w:ascii="仿宋" w:hAnsi="仿宋" w:eastAsia="仿宋"/>
          <w:color w:val="auto"/>
          <w:highlight w:val="none"/>
        </w:rPr>
        <w:t>3.3.10对非中小企业预留项目，由中小企业中标的，采购单位应根据浙财采监</w:t>
      </w:r>
      <w:r>
        <w:rPr>
          <w:rFonts w:hint="eastAsia" w:ascii="仿宋" w:hAnsi="仿宋" w:eastAsia="仿宋" w:cs="仿宋"/>
          <w:color w:val="auto"/>
          <w:highlight w:val="none"/>
        </w:rPr>
        <w:t>〔2022〕3号文件精神，按照3.3.9要求执行。</w:t>
      </w:r>
    </w:p>
    <w:p>
      <w:pPr>
        <w:shd w:val="clear"/>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4. 询问、质疑、投诉</w:t>
      </w:r>
    </w:p>
    <w:p>
      <w:pPr>
        <w:shd w:val="clear"/>
        <w:autoSpaceDE w:val="0"/>
        <w:autoSpaceDN w:val="0"/>
        <w:spacing w:line="360" w:lineRule="auto"/>
        <w:ind w:firstLine="482" w:firstLineChars="200"/>
        <w:jc w:val="left"/>
        <w:rPr>
          <w:rFonts w:ascii="仿宋" w:hAnsi="仿宋" w:eastAsia="仿宋" w:cs="微软雅黑"/>
          <w:b/>
          <w:color w:val="auto"/>
          <w:kern w:val="0"/>
          <w:sz w:val="24"/>
          <w:highlight w:val="none"/>
          <w:lang w:val="zh-CN"/>
        </w:rPr>
      </w:pPr>
      <w:r>
        <w:rPr>
          <w:rFonts w:hint="eastAsia" w:ascii="仿宋" w:hAnsi="仿宋" w:eastAsia="仿宋" w:cs="微软雅黑"/>
          <w:b/>
          <w:color w:val="auto"/>
          <w:kern w:val="0"/>
          <w:sz w:val="24"/>
          <w:highlight w:val="none"/>
          <w:lang w:val="zh-CN"/>
        </w:rPr>
        <w:t>4.1供应商询问</w:t>
      </w:r>
    </w:p>
    <w:p>
      <w:pPr>
        <w:pStyle w:val="33"/>
        <w:shd w:val="clear"/>
        <w:spacing w:line="360" w:lineRule="auto"/>
        <w:ind w:firstLine="482" w:firstLineChars="200"/>
        <w:jc w:val="left"/>
        <w:rPr>
          <w:rFonts w:ascii="仿宋" w:hAnsi="仿宋" w:eastAsia="仿宋"/>
          <w:color w:val="auto"/>
          <w:sz w:val="24"/>
          <w:highlight w:val="none"/>
        </w:rPr>
      </w:pPr>
      <w:r>
        <w:rPr>
          <w:rFonts w:hint="eastAsia" w:ascii="仿宋" w:hAnsi="仿宋" w:eastAsia="仿宋"/>
          <w:b/>
          <w:color w:val="auto"/>
          <w:sz w:val="24"/>
          <w:highlight w:val="none"/>
        </w:rPr>
        <w:t>已获取招标文件的潜在投标人，发现招标文件其中有误或有问题需要澄清，应于公告发布之日起至公告期限届满之日内以书面形式向采购人或者采购代理机构提出，采购代理机构与采购人研究后，对认为有必要回答的问题，将以公告</w:t>
      </w:r>
      <w:r>
        <w:rPr>
          <w:rFonts w:ascii="仿宋" w:hAnsi="仿宋" w:eastAsia="仿宋"/>
          <w:b/>
          <w:color w:val="auto"/>
          <w:sz w:val="24"/>
          <w:highlight w:val="none"/>
        </w:rPr>
        <w:t>形式</w:t>
      </w:r>
      <w:r>
        <w:rPr>
          <w:rFonts w:hint="eastAsia" w:ascii="仿宋" w:hAnsi="仿宋" w:eastAsia="仿宋"/>
          <w:b/>
          <w:color w:val="auto"/>
          <w:sz w:val="24"/>
          <w:highlight w:val="none"/>
        </w:rPr>
        <w:t>通知所有招标文件收受人。逾期提出的采购人有权不予受理。</w:t>
      </w:r>
    </w:p>
    <w:p>
      <w:pPr>
        <w:shd w:val="clear"/>
        <w:autoSpaceDE w:val="0"/>
        <w:autoSpaceDN w:val="0"/>
        <w:spacing w:line="360" w:lineRule="auto"/>
        <w:ind w:firstLine="480" w:firstLineChars="200"/>
        <w:jc w:val="left"/>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4.2供应商质疑</w:t>
      </w:r>
    </w:p>
    <w:p>
      <w:pPr>
        <w:pStyle w:val="33"/>
        <w:shd w:val="clear"/>
        <w:spacing w:line="360" w:lineRule="auto"/>
        <w:ind w:firstLine="480" w:firstLineChars="200"/>
        <w:jc w:val="left"/>
        <w:rPr>
          <w:rFonts w:ascii="仿宋" w:hAnsi="仿宋" w:eastAsia="仿宋"/>
          <w:color w:val="auto"/>
          <w:sz w:val="24"/>
          <w:highlight w:val="none"/>
        </w:rPr>
      </w:pPr>
      <w:r>
        <w:rPr>
          <w:rFonts w:hint="eastAsia" w:ascii="仿宋" w:hAnsi="仿宋" w:eastAsia="仿宋" w:cs="微软雅黑"/>
          <w:color w:val="auto"/>
          <w:kern w:val="0"/>
          <w:sz w:val="24"/>
          <w:highlight w:val="none"/>
          <w:lang w:val="zh-CN"/>
        </w:rPr>
        <w:t>4.2</w:t>
      </w:r>
      <w:r>
        <w:rPr>
          <w:rFonts w:hint="eastAsia" w:ascii="仿宋" w:hAnsi="仿宋" w:eastAsia="仿宋"/>
          <w:color w:val="auto"/>
          <w:sz w:val="24"/>
          <w:highlight w:val="none"/>
        </w:rPr>
        <w:t>.1提出质疑的供应商应当是参与所质疑项目采购活动的供应商。潜在供应商已依法获取其可质疑的采购文件的，可以对该文件提出质疑；</w:t>
      </w:r>
    </w:p>
    <w:p>
      <w:pPr>
        <w:pStyle w:val="33"/>
        <w:shd w:val="clear"/>
        <w:spacing w:line="360" w:lineRule="auto"/>
        <w:ind w:right="-512" w:firstLine="480" w:firstLineChars="200"/>
        <w:rPr>
          <w:rFonts w:ascii="仿宋" w:hAnsi="仿宋" w:eastAsia="仿宋"/>
          <w:color w:val="auto"/>
          <w:sz w:val="24"/>
          <w:highlight w:val="none"/>
        </w:rPr>
      </w:pPr>
      <w:r>
        <w:rPr>
          <w:rFonts w:hint="eastAsia" w:ascii="仿宋" w:hAnsi="仿宋" w:eastAsia="仿宋" w:cs="微软雅黑"/>
          <w:color w:val="auto"/>
          <w:kern w:val="0"/>
          <w:sz w:val="24"/>
          <w:highlight w:val="none"/>
          <w:lang w:val="zh-CN"/>
        </w:rPr>
        <w:t>4.2</w:t>
      </w:r>
      <w:r>
        <w:rPr>
          <w:rFonts w:hint="eastAsia" w:ascii="仿宋" w:hAnsi="仿宋" w:eastAsia="仿宋"/>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33"/>
        <w:shd w:val="clear"/>
        <w:spacing w:line="360" w:lineRule="auto"/>
        <w:ind w:right="-512" w:firstLine="480" w:firstLineChars="200"/>
        <w:rPr>
          <w:rFonts w:ascii="仿宋" w:hAnsi="仿宋" w:eastAsia="仿宋"/>
          <w:color w:val="auto"/>
          <w:sz w:val="24"/>
          <w:highlight w:val="none"/>
        </w:rPr>
      </w:pPr>
      <w:r>
        <w:rPr>
          <w:rFonts w:hint="eastAsia" w:ascii="仿宋" w:hAnsi="仿宋" w:eastAsia="仿宋"/>
          <w:color w:val="auto"/>
          <w:sz w:val="24"/>
          <w:highlight w:val="none"/>
        </w:rPr>
        <w:t>（1）对采购文件提出质疑的，质疑期限为供应商获得采购文件之日或者采购文件公告期限届满之日起计算。采购文件在公告期限届满之日后获得的，应当自采购文件公告期限届满之日起计算，且应当在采购响应截止时间之前提出；</w:t>
      </w:r>
    </w:p>
    <w:p>
      <w:pPr>
        <w:pStyle w:val="33"/>
        <w:shd w:val="clear"/>
        <w:spacing w:line="360" w:lineRule="auto"/>
        <w:ind w:right="-512" w:firstLine="480" w:firstLineChars="200"/>
        <w:rPr>
          <w:rFonts w:ascii="仿宋" w:hAnsi="仿宋" w:eastAsia="仿宋"/>
          <w:color w:val="auto"/>
          <w:sz w:val="24"/>
          <w:highlight w:val="none"/>
        </w:rPr>
      </w:pPr>
      <w:r>
        <w:rPr>
          <w:rFonts w:hint="eastAsia" w:ascii="仿宋" w:hAnsi="仿宋" w:eastAsia="仿宋"/>
          <w:color w:val="auto"/>
          <w:sz w:val="24"/>
          <w:highlight w:val="none"/>
        </w:rPr>
        <w:t>（2）对采购过程提出质疑的，质疑期限为各采购程序环节结束之日起计算；</w:t>
      </w:r>
    </w:p>
    <w:p>
      <w:pPr>
        <w:pStyle w:val="33"/>
        <w:shd w:val="clear"/>
        <w:spacing w:line="360" w:lineRule="auto"/>
        <w:ind w:right="-512" w:firstLine="480" w:firstLineChars="200"/>
        <w:rPr>
          <w:rFonts w:ascii="仿宋" w:hAnsi="仿宋" w:eastAsia="仿宋"/>
          <w:color w:val="auto"/>
          <w:sz w:val="24"/>
          <w:highlight w:val="none"/>
        </w:rPr>
      </w:pPr>
      <w:r>
        <w:rPr>
          <w:rFonts w:hint="eastAsia" w:ascii="仿宋" w:hAnsi="仿宋" w:eastAsia="仿宋"/>
          <w:color w:val="auto"/>
          <w:sz w:val="24"/>
          <w:highlight w:val="none"/>
        </w:rPr>
        <w:t>（3）对采购结果提出质疑的，质疑期限自采购结果公告期限届满之日起计算；</w:t>
      </w:r>
    </w:p>
    <w:p>
      <w:pPr>
        <w:pStyle w:val="33"/>
        <w:shd w:val="clear"/>
        <w:spacing w:line="360" w:lineRule="auto"/>
        <w:ind w:right="-512" w:firstLine="480" w:firstLineChars="200"/>
        <w:rPr>
          <w:rFonts w:ascii="仿宋" w:hAnsi="仿宋" w:eastAsia="仿宋"/>
          <w:color w:val="auto"/>
          <w:sz w:val="24"/>
          <w:highlight w:val="none"/>
        </w:rPr>
      </w:pPr>
      <w:r>
        <w:rPr>
          <w:rFonts w:hint="eastAsia" w:ascii="仿宋" w:hAnsi="仿宋" w:eastAsia="仿宋"/>
          <w:color w:val="auto"/>
          <w:sz w:val="24"/>
          <w:highlight w:val="none"/>
        </w:rPr>
        <w:t>（4）供应商应在法定质疑期内一次性提出针对同一采购程序环节的质疑；</w:t>
      </w:r>
    </w:p>
    <w:p>
      <w:pPr>
        <w:pStyle w:val="33"/>
        <w:shd w:val="clear"/>
        <w:snapToGrid w:val="0"/>
        <w:spacing w:line="360" w:lineRule="auto"/>
        <w:ind w:firstLine="480" w:firstLineChars="200"/>
        <w:contextualSpacing/>
        <w:rPr>
          <w:rFonts w:ascii="仿宋" w:hAnsi="仿宋" w:eastAsia="仿宋"/>
          <w:color w:val="auto"/>
          <w:sz w:val="24"/>
          <w:highlight w:val="none"/>
        </w:rPr>
      </w:pPr>
      <w:r>
        <w:rPr>
          <w:rFonts w:hint="eastAsia" w:ascii="仿宋" w:hAnsi="仿宋" w:eastAsia="仿宋" w:cs="微软雅黑"/>
          <w:color w:val="auto"/>
          <w:kern w:val="0"/>
          <w:sz w:val="24"/>
          <w:highlight w:val="none"/>
          <w:lang w:val="zh-CN"/>
        </w:rPr>
        <w:t>4.2.3</w:t>
      </w:r>
      <w:r>
        <w:rPr>
          <w:rFonts w:ascii="仿宋" w:hAnsi="仿宋" w:eastAsia="仿宋"/>
          <w:color w:val="auto"/>
          <w:sz w:val="24"/>
          <w:highlight w:val="none"/>
        </w:rPr>
        <w:t>供应商提出质疑应当提交质疑函和必要的证明材料。质疑函应当包括下列内容：</w:t>
      </w:r>
    </w:p>
    <w:p>
      <w:pPr>
        <w:pStyle w:val="545"/>
        <w:shd w:val="clear"/>
        <w:snapToGrid w:val="0"/>
        <w:spacing w:before="0" w:beforeAutospacing="0" w:after="0" w:afterAutospacing="0" w:line="360" w:lineRule="auto"/>
        <w:ind w:firstLine="480" w:firstLineChars="200"/>
        <w:contextualSpacing/>
        <w:rPr>
          <w:rFonts w:ascii="仿宋" w:hAnsi="仿宋" w:eastAsia="仿宋" w:cs="Arial"/>
          <w:snapToGrid w:val="0"/>
          <w:color w:val="auto"/>
          <w:kern w:val="2"/>
          <w:szCs w:val="21"/>
          <w:highlight w:val="none"/>
        </w:rPr>
      </w:pPr>
      <w:r>
        <w:rPr>
          <w:rFonts w:hint="eastAsia" w:ascii="仿宋" w:hAnsi="仿宋" w:eastAsia="仿宋" w:cs="微软雅黑"/>
          <w:color w:val="auto"/>
          <w:highlight w:val="none"/>
          <w:lang w:val="zh-CN"/>
        </w:rPr>
        <w:t>4.2.3.1</w:t>
      </w:r>
      <w:r>
        <w:rPr>
          <w:rFonts w:ascii="仿宋" w:hAnsi="仿宋" w:eastAsia="仿宋" w:cs="Arial"/>
          <w:snapToGrid w:val="0"/>
          <w:color w:val="auto"/>
          <w:kern w:val="2"/>
          <w:szCs w:val="21"/>
          <w:highlight w:val="none"/>
        </w:rPr>
        <w:t>供应商的姓名或者名称、地址、邮编、联系人及联系电话；</w:t>
      </w:r>
    </w:p>
    <w:p>
      <w:pPr>
        <w:pStyle w:val="545"/>
        <w:shd w:val="clear"/>
        <w:snapToGrid w:val="0"/>
        <w:spacing w:after="240" w:afterAutospacing="0" w:line="360" w:lineRule="auto"/>
        <w:contextualSpacing/>
        <w:rPr>
          <w:rFonts w:ascii="仿宋" w:hAnsi="仿宋" w:eastAsia="仿宋" w:cs="Arial"/>
          <w:snapToGrid w:val="0"/>
          <w:color w:val="auto"/>
          <w:kern w:val="2"/>
          <w:szCs w:val="21"/>
          <w:highlight w:val="none"/>
        </w:rPr>
      </w:pPr>
      <w:r>
        <w:rPr>
          <w:rFonts w:ascii="仿宋" w:hAnsi="仿宋" w:eastAsia="仿宋" w:cs="Arial"/>
          <w:snapToGrid w:val="0"/>
          <w:color w:val="auto"/>
          <w:kern w:val="2"/>
          <w:szCs w:val="21"/>
          <w:highlight w:val="none"/>
        </w:rPr>
        <w:t>　　</w:t>
      </w:r>
      <w:r>
        <w:rPr>
          <w:rFonts w:hint="eastAsia" w:ascii="仿宋" w:hAnsi="仿宋" w:eastAsia="仿宋" w:cs="微软雅黑"/>
          <w:color w:val="auto"/>
          <w:highlight w:val="none"/>
          <w:lang w:val="zh-CN"/>
        </w:rPr>
        <w:t>4.2.3.2</w:t>
      </w:r>
      <w:r>
        <w:rPr>
          <w:rFonts w:ascii="仿宋" w:hAnsi="仿宋" w:eastAsia="仿宋" w:cs="Arial"/>
          <w:snapToGrid w:val="0"/>
          <w:color w:val="auto"/>
          <w:kern w:val="2"/>
          <w:szCs w:val="21"/>
          <w:highlight w:val="none"/>
        </w:rPr>
        <w:t>质疑项目的名称、编号；</w:t>
      </w:r>
    </w:p>
    <w:p>
      <w:pPr>
        <w:pStyle w:val="545"/>
        <w:shd w:val="clear"/>
        <w:snapToGrid w:val="0"/>
        <w:spacing w:after="240" w:afterAutospacing="0" w:line="360" w:lineRule="auto"/>
        <w:contextualSpacing/>
        <w:rPr>
          <w:rFonts w:ascii="仿宋" w:hAnsi="仿宋" w:eastAsia="仿宋" w:cs="Arial"/>
          <w:snapToGrid w:val="0"/>
          <w:color w:val="auto"/>
          <w:kern w:val="2"/>
          <w:szCs w:val="21"/>
          <w:highlight w:val="none"/>
        </w:rPr>
      </w:pPr>
      <w:r>
        <w:rPr>
          <w:rFonts w:ascii="仿宋" w:hAnsi="仿宋" w:eastAsia="仿宋" w:cs="Arial"/>
          <w:snapToGrid w:val="0"/>
          <w:color w:val="auto"/>
          <w:kern w:val="2"/>
          <w:szCs w:val="21"/>
          <w:highlight w:val="none"/>
        </w:rPr>
        <w:t>　　</w:t>
      </w:r>
      <w:r>
        <w:rPr>
          <w:rFonts w:hint="eastAsia" w:ascii="仿宋" w:hAnsi="仿宋" w:eastAsia="仿宋" w:cs="微软雅黑"/>
          <w:color w:val="auto"/>
          <w:highlight w:val="none"/>
          <w:lang w:val="zh-CN"/>
        </w:rPr>
        <w:t>4.2.3.3</w:t>
      </w:r>
      <w:r>
        <w:rPr>
          <w:rFonts w:ascii="仿宋" w:hAnsi="仿宋" w:eastAsia="仿宋" w:cs="Arial"/>
          <w:snapToGrid w:val="0"/>
          <w:color w:val="auto"/>
          <w:kern w:val="2"/>
          <w:szCs w:val="21"/>
          <w:highlight w:val="none"/>
        </w:rPr>
        <w:t>具体、明确的质疑事项和与质疑事项相关的请求；</w:t>
      </w:r>
    </w:p>
    <w:p>
      <w:pPr>
        <w:pStyle w:val="545"/>
        <w:shd w:val="clear"/>
        <w:snapToGrid w:val="0"/>
        <w:spacing w:after="240" w:afterAutospacing="0" w:line="360" w:lineRule="auto"/>
        <w:contextualSpacing/>
        <w:rPr>
          <w:rFonts w:ascii="仿宋" w:hAnsi="仿宋" w:eastAsia="仿宋" w:cs="Arial"/>
          <w:snapToGrid w:val="0"/>
          <w:color w:val="auto"/>
          <w:kern w:val="2"/>
          <w:szCs w:val="21"/>
          <w:highlight w:val="none"/>
        </w:rPr>
      </w:pPr>
      <w:r>
        <w:rPr>
          <w:rFonts w:ascii="仿宋" w:hAnsi="仿宋" w:eastAsia="仿宋" w:cs="Arial"/>
          <w:snapToGrid w:val="0"/>
          <w:color w:val="auto"/>
          <w:kern w:val="2"/>
          <w:szCs w:val="21"/>
          <w:highlight w:val="none"/>
        </w:rPr>
        <w:t>　　</w:t>
      </w:r>
      <w:r>
        <w:rPr>
          <w:rFonts w:hint="eastAsia" w:ascii="仿宋" w:hAnsi="仿宋" w:eastAsia="仿宋" w:cs="微软雅黑"/>
          <w:color w:val="auto"/>
          <w:highlight w:val="none"/>
          <w:lang w:val="zh-CN"/>
        </w:rPr>
        <w:t>4.2.3.4</w:t>
      </w:r>
      <w:r>
        <w:rPr>
          <w:rFonts w:ascii="仿宋" w:hAnsi="仿宋" w:eastAsia="仿宋" w:cs="Arial"/>
          <w:snapToGrid w:val="0"/>
          <w:color w:val="auto"/>
          <w:kern w:val="2"/>
          <w:szCs w:val="21"/>
          <w:highlight w:val="none"/>
        </w:rPr>
        <w:t>事实依据；</w:t>
      </w:r>
    </w:p>
    <w:p>
      <w:pPr>
        <w:pStyle w:val="545"/>
        <w:shd w:val="clear"/>
        <w:snapToGrid w:val="0"/>
        <w:spacing w:after="240" w:afterAutospacing="0" w:line="360" w:lineRule="auto"/>
        <w:contextualSpacing/>
        <w:rPr>
          <w:rFonts w:ascii="仿宋" w:hAnsi="仿宋" w:eastAsia="仿宋" w:cs="Arial"/>
          <w:snapToGrid w:val="0"/>
          <w:color w:val="auto"/>
          <w:kern w:val="2"/>
          <w:szCs w:val="21"/>
          <w:highlight w:val="none"/>
        </w:rPr>
      </w:pPr>
      <w:r>
        <w:rPr>
          <w:rFonts w:ascii="仿宋" w:hAnsi="仿宋" w:eastAsia="仿宋" w:cs="Arial"/>
          <w:snapToGrid w:val="0"/>
          <w:color w:val="auto"/>
          <w:kern w:val="2"/>
          <w:szCs w:val="21"/>
          <w:highlight w:val="none"/>
        </w:rPr>
        <w:t>　　</w:t>
      </w:r>
      <w:r>
        <w:rPr>
          <w:rFonts w:hint="eastAsia" w:ascii="仿宋" w:hAnsi="仿宋" w:eastAsia="仿宋" w:cs="微软雅黑"/>
          <w:color w:val="auto"/>
          <w:highlight w:val="none"/>
          <w:lang w:val="zh-CN"/>
        </w:rPr>
        <w:t>4.2.3.5</w:t>
      </w:r>
      <w:r>
        <w:rPr>
          <w:rFonts w:ascii="仿宋" w:hAnsi="仿宋" w:eastAsia="仿宋" w:cs="Arial"/>
          <w:snapToGrid w:val="0"/>
          <w:color w:val="auto"/>
          <w:kern w:val="2"/>
          <w:szCs w:val="21"/>
          <w:highlight w:val="none"/>
        </w:rPr>
        <w:t>必要的法律依据；</w:t>
      </w:r>
    </w:p>
    <w:p>
      <w:pPr>
        <w:pStyle w:val="545"/>
        <w:shd w:val="clear"/>
        <w:snapToGrid w:val="0"/>
        <w:spacing w:after="240" w:afterAutospacing="0" w:line="360" w:lineRule="auto"/>
        <w:ind w:firstLine="480"/>
        <w:contextualSpacing/>
        <w:rPr>
          <w:rFonts w:ascii="仿宋" w:hAnsi="仿宋" w:eastAsia="仿宋" w:cs="Arial"/>
          <w:snapToGrid w:val="0"/>
          <w:color w:val="auto"/>
          <w:kern w:val="2"/>
          <w:szCs w:val="21"/>
          <w:highlight w:val="none"/>
        </w:rPr>
      </w:pPr>
      <w:r>
        <w:rPr>
          <w:rFonts w:hint="eastAsia" w:ascii="仿宋" w:hAnsi="仿宋" w:eastAsia="仿宋" w:cs="微软雅黑"/>
          <w:color w:val="auto"/>
          <w:highlight w:val="none"/>
          <w:lang w:val="zh-CN"/>
        </w:rPr>
        <w:t>4.2.3.6</w:t>
      </w:r>
      <w:r>
        <w:rPr>
          <w:rFonts w:ascii="仿宋" w:hAnsi="仿宋" w:eastAsia="仿宋" w:cs="Arial"/>
          <w:snapToGrid w:val="0"/>
          <w:color w:val="auto"/>
          <w:kern w:val="2"/>
          <w:szCs w:val="21"/>
          <w:highlight w:val="none"/>
        </w:rPr>
        <w:t>提出质疑的日期。</w:t>
      </w:r>
    </w:p>
    <w:p>
      <w:pPr>
        <w:pStyle w:val="545"/>
        <w:shd w:val="clear"/>
        <w:snapToGrid w:val="0"/>
        <w:spacing w:after="240" w:afterAutospacing="0" w:line="360" w:lineRule="auto"/>
        <w:ind w:firstLine="480"/>
        <w:contextualSpacing/>
        <w:rPr>
          <w:rFonts w:ascii="仿宋" w:hAnsi="仿宋" w:eastAsia="仿宋"/>
          <w:color w:val="auto"/>
          <w:highlight w:val="none"/>
        </w:rPr>
      </w:pPr>
      <w:r>
        <w:rPr>
          <w:rFonts w:hint="eastAsia" w:ascii="仿宋" w:hAnsi="仿宋" w:eastAsia="仿宋"/>
          <w:color w:val="auto"/>
          <w:highlight w:val="none"/>
        </w:rPr>
        <w:t>供应商提交的质疑函需一式三份。</w:t>
      </w:r>
      <w:r>
        <w:rPr>
          <w:rFonts w:ascii="仿宋" w:hAnsi="仿宋" w:eastAsia="仿宋"/>
          <w:color w:val="auto"/>
          <w:highlight w:val="none"/>
        </w:rPr>
        <w:t>供应商为自然人的，应当由本人签字；供应商为法人或者其他组织的，应当由法定代表人、主要负责人，或者其授权代表签字或者盖章，并加盖公章。</w:t>
      </w:r>
    </w:p>
    <w:p>
      <w:pPr>
        <w:pStyle w:val="545"/>
        <w:shd w:val="clear"/>
        <w:snapToGrid w:val="0"/>
        <w:spacing w:after="240" w:afterAutospacing="0" w:line="360" w:lineRule="auto"/>
        <w:ind w:firstLine="480"/>
        <w:contextualSpacing/>
        <w:rPr>
          <w:rFonts w:ascii="仿宋" w:hAnsi="仿宋" w:eastAsia="仿宋"/>
          <w:color w:val="auto"/>
          <w:highlight w:val="none"/>
        </w:rPr>
      </w:pPr>
      <w:r>
        <w:rPr>
          <w:rFonts w:hint="eastAsia" w:ascii="仿宋" w:hAnsi="仿宋" w:eastAsia="仿宋"/>
          <w:color w:val="auto"/>
          <w:highlight w:val="none"/>
        </w:rPr>
        <w:t>质疑函范本</w:t>
      </w:r>
      <w:r>
        <w:rPr>
          <w:rFonts w:ascii="仿宋" w:hAnsi="仿宋" w:eastAsia="仿宋"/>
          <w:color w:val="auto"/>
          <w:szCs w:val="28"/>
          <w:highlight w:val="none"/>
        </w:rPr>
        <w:t>请到浙江政府采购网下载专区下载</w:t>
      </w:r>
      <w:r>
        <w:rPr>
          <w:rFonts w:hint="eastAsia" w:ascii="仿宋" w:hAnsi="仿宋" w:eastAsia="仿宋"/>
          <w:color w:val="auto"/>
          <w:highlight w:val="none"/>
        </w:rPr>
        <w:t>。</w:t>
      </w:r>
    </w:p>
    <w:p>
      <w:pPr>
        <w:pStyle w:val="545"/>
        <w:shd w:val="clear"/>
        <w:snapToGrid w:val="0"/>
        <w:spacing w:after="240" w:afterAutospacing="0" w:line="360" w:lineRule="auto"/>
        <w:ind w:firstLine="480"/>
        <w:contextualSpacing/>
        <w:rPr>
          <w:rFonts w:ascii="仿宋" w:hAnsi="仿宋" w:eastAsia="仿宋"/>
          <w:color w:val="auto"/>
          <w:highlight w:val="none"/>
        </w:rPr>
      </w:pPr>
      <w:r>
        <w:rPr>
          <w:rFonts w:hint="eastAsia" w:ascii="仿宋" w:hAnsi="仿宋" w:eastAsia="仿宋" w:cs="微软雅黑"/>
          <w:color w:val="auto"/>
          <w:highlight w:val="none"/>
          <w:lang w:val="zh-CN"/>
        </w:rPr>
        <w:t>4.2</w:t>
      </w:r>
      <w:r>
        <w:rPr>
          <w:rFonts w:hint="eastAsia" w:ascii="仿宋" w:hAnsi="仿宋" w:eastAsia="仿宋"/>
          <w:color w:val="auto"/>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545"/>
        <w:shd w:val="clear"/>
        <w:snapToGrid w:val="0"/>
        <w:spacing w:after="240" w:afterAutospacing="0" w:line="360" w:lineRule="auto"/>
        <w:ind w:firstLine="480"/>
        <w:contextualSpacing/>
        <w:rPr>
          <w:rFonts w:ascii="仿宋" w:hAnsi="仿宋" w:eastAsia="仿宋"/>
          <w:color w:val="auto"/>
          <w:highlight w:val="none"/>
        </w:rPr>
      </w:pPr>
      <w:r>
        <w:rPr>
          <w:rFonts w:hint="eastAsia" w:ascii="仿宋" w:hAnsi="仿宋" w:eastAsia="仿宋" w:cs="微软雅黑"/>
          <w:color w:val="auto"/>
          <w:highlight w:val="none"/>
          <w:lang w:val="zh-CN"/>
        </w:rPr>
        <w:t>4.2</w:t>
      </w:r>
      <w:r>
        <w:rPr>
          <w:rFonts w:hint="eastAsia" w:ascii="仿宋" w:hAnsi="仿宋" w:eastAsia="仿宋"/>
          <w:color w:val="auto"/>
          <w:highlight w:val="none"/>
        </w:rPr>
        <w:t>.5询问或者质疑事项可能影响采购结果的，采购人应当暂停签订合同，已经签订合同的，应当中止履行合同；</w:t>
      </w:r>
    </w:p>
    <w:p>
      <w:pPr>
        <w:pStyle w:val="545"/>
        <w:shd w:val="clear"/>
        <w:snapToGrid w:val="0"/>
        <w:spacing w:after="240" w:afterAutospacing="0" w:line="360" w:lineRule="auto"/>
        <w:ind w:firstLine="480"/>
        <w:contextualSpacing/>
        <w:rPr>
          <w:rFonts w:ascii="仿宋" w:hAnsi="仿宋" w:eastAsia="仿宋"/>
          <w:color w:val="auto"/>
          <w:kern w:val="2"/>
          <w:highlight w:val="none"/>
        </w:rPr>
      </w:pPr>
      <w:r>
        <w:rPr>
          <w:rFonts w:hint="eastAsia" w:ascii="仿宋" w:hAnsi="仿宋" w:eastAsia="仿宋"/>
          <w:color w:val="auto"/>
          <w:kern w:val="2"/>
          <w:highlight w:val="none"/>
        </w:rPr>
        <w:t>4.2.6质疑接收人：详见前附表；</w:t>
      </w:r>
    </w:p>
    <w:p>
      <w:pPr>
        <w:pStyle w:val="545"/>
        <w:shd w:val="clear"/>
        <w:snapToGrid w:val="0"/>
        <w:spacing w:after="240" w:afterAutospacing="0" w:line="360" w:lineRule="auto"/>
        <w:ind w:firstLine="480"/>
        <w:contextualSpacing/>
        <w:rPr>
          <w:rFonts w:ascii="仿宋" w:hAnsi="仿宋" w:eastAsia="仿宋" w:cs="微软雅黑"/>
          <w:color w:val="auto"/>
          <w:highlight w:val="none"/>
          <w:lang w:val="zh-CN"/>
        </w:rPr>
      </w:pPr>
      <w:r>
        <w:rPr>
          <w:rFonts w:hint="eastAsia" w:ascii="仿宋" w:hAnsi="仿宋" w:eastAsia="仿宋" w:cs="微软雅黑"/>
          <w:color w:val="auto"/>
          <w:highlight w:val="none"/>
          <w:lang w:val="zh-CN"/>
        </w:rPr>
        <w:t>4.3供应商投诉。</w:t>
      </w:r>
    </w:p>
    <w:p>
      <w:pPr>
        <w:pStyle w:val="545"/>
        <w:shd w:val="clear"/>
        <w:snapToGrid w:val="0"/>
        <w:spacing w:after="240" w:afterAutospacing="0" w:line="360" w:lineRule="auto"/>
        <w:ind w:firstLine="480"/>
        <w:contextualSpacing/>
        <w:rPr>
          <w:rFonts w:ascii="仿宋" w:hAnsi="仿宋" w:eastAsia="仿宋" w:cs="微软雅黑"/>
          <w:color w:val="auto"/>
          <w:highlight w:val="none"/>
          <w:lang w:val="zh-CN"/>
        </w:rPr>
      </w:pPr>
      <w:r>
        <w:rPr>
          <w:rFonts w:hint="eastAsia" w:ascii="仿宋" w:hAnsi="仿宋" w:eastAsia="仿宋" w:cs="微软雅黑"/>
          <w:color w:val="auto"/>
          <w:highlight w:val="none"/>
          <w:lang w:val="zh-CN"/>
        </w:rPr>
        <w:t>4.3.1质疑供应商对采购人、采购代理机构的答复不满意或者采购人、采购代理机构未在规定的时间内作出答复的，可以在答复期满后十五个工作日内向同级政府采购监</w:t>
      </w:r>
    </w:p>
    <w:p>
      <w:pPr>
        <w:pStyle w:val="545"/>
        <w:shd w:val="clear"/>
        <w:snapToGrid w:val="0"/>
        <w:spacing w:after="240" w:afterAutospacing="0" w:line="360" w:lineRule="auto"/>
        <w:contextualSpacing/>
        <w:rPr>
          <w:rFonts w:ascii="仿宋" w:hAnsi="仿宋" w:eastAsia="仿宋"/>
          <w:color w:val="auto"/>
          <w:highlight w:val="none"/>
        </w:rPr>
      </w:pPr>
      <w:r>
        <w:rPr>
          <w:rFonts w:hint="eastAsia" w:ascii="仿宋" w:hAnsi="仿宋" w:eastAsia="仿宋"/>
          <w:color w:val="auto"/>
          <w:highlight w:val="none"/>
        </w:rPr>
        <w:t>督管理部门提出投诉；</w:t>
      </w:r>
    </w:p>
    <w:p>
      <w:pPr>
        <w:pStyle w:val="545"/>
        <w:shd w:val="clear"/>
        <w:snapToGrid w:val="0"/>
        <w:spacing w:after="240" w:afterAutospacing="0" w:line="360" w:lineRule="auto"/>
        <w:ind w:firstLine="480"/>
        <w:contextualSpacing/>
        <w:rPr>
          <w:rFonts w:ascii="仿宋" w:hAnsi="仿宋" w:eastAsia="仿宋"/>
          <w:color w:val="auto"/>
          <w:highlight w:val="none"/>
        </w:rPr>
      </w:pPr>
      <w:r>
        <w:rPr>
          <w:rFonts w:ascii="仿宋" w:hAnsi="仿宋" w:eastAsia="仿宋"/>
          <w:color w:val="auto"/>
          <w:highlight w:val="none"/>
        </w:rPr>
        <w:t>4.3</w:t>
      </w:r>
      <w:r>
        <w:rPr>
          <w:rFonts w:hint="eastAsia" w:ascii="仿宋" w:hAnsi="仿宋" w:eastAsia="仿宋"/>
          <w:color w:val="auto"/>
          <w:highlight w:val="none"/>
        </w:rPr>
        <w:t>.</w:t>
      </w:r>
      <w:r>
        <w:rPr>
          <w:rFonts w:hint="eastAsia" w:ascii="仿宋" w:hAnsi="仿宋" w:eastAsia="仿宋" w:cs="微软雅黑"/>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pPr>
        <w:pStyle w:val="545"/>
        <w:shd w:val="clear"/>
        <w:snapToGrid w:val="0"/>
        <w:spacing w:after="240" w:afterAutospacing="0" w:line="360" w:lineRule="auto"/>
        <w:ind w:firstLine="480"/>
        <w:contextualSpacing/>
        <w:rPr>
          <w:rFonts w:ascii="仿宋" w:hAnsi="仿宋" w:eastAsia="仿宋"/>
          <w:color w:val="auto"/>
          <w:highlight w:val="none"/>
        </w:rPr>
      </w:pPr>
      <w:r>
        <w:rPr>
          <w:rFonts w:ascii="仿宋" w:hAnsi="仿宋" w:eastAsia="仿宋"/>
          <w:color w:val="auto"/>
          <w:highlight w:val="none"/>
        </w:rPr>
        <w:t>4.3</w:t>
      </w:r>
      <w:r>
        <w:rPr>
          <w:rFonts w:hint="eastAsia" w:ascii="仿宋" w:hAnsi="仿宋" w:eastAsia="仿宋"/>
          <w:color w:val="auto"/>
          <w:highlight w:val="none"/>
        </w:rPr>
        <w:t>.3供应商投诉应当有明确的请求和必要的证明材料；</w:t>
      </w:r>
    </w:p>
    <w:p>
      <w:pPr>
        <w:pStyle w:val="545"/>
        <w:shd w:val="clear"/>
        <w:snapToGrid w:val="0"/>
        <w:spacing w:after="240" w:afterAutospacing="0" w:line="360" w:lineRule="auto"/>
        <w:ind w:firstLine="480"/>
        <w:contextualSpacing/>
        <w:rPr>
          <w:rFonts w:ascii="仿宋" w:hAnsi="仿宋" w:eastAsia="仿宋"/>
          <w:color w:val="auto"/>
          <w:highlight w:val="none"/>
        </w:rPr>
      </w:pPr>
      <w:r>
        <w:rPr>
          <w:rFonts w:ascii="仿宋" w:hAnsi="仿宋" w:eastAsia="仿宋"/>
          <w:color w:val="auto"/>
          <w:highlight w:val="none"/>
        </w:rPr>
        <w:t>4.3</w:t>
      </w:r>
      <w:r>
        <w:rPr>
          <w:rFonts w:hint="eastAsia" w:ascii="仿宋" w:hAnsi="仿宋" w:eastAsia="仿宋"/>
          <w:color w:val="auto"/>
          <w:highlight w:val="none"/>
        </w:rPr>
        <w:t>.4 以联合体形式参加政府采购活动的，其投诉应当由组成联合体的所有供应商共同提出。</w:t>
      </w:r>
    </w:p>
    <w:p>
      <w:pPr>
        <w:pStyle w:val="545"/>
        <w:shd w:val="clear"/>
        <w:snapToGrid w:val="0"/>
        <w:spacing w:after="240" w:afterAutospacing="0" w:line="360" w:lineRule="auto"/>
        <w:ind w:firstLine="480"/>
        <w:contextualSpacing/>
        <w:rPr>
          <w:rFonts w:ascii="仿宋" w:hAnsi="仿宋" w:eastAsia="仿宋"/>
          <w:color w:val="auto"/>
          <w:highlight w:val="none"/>
        </w:rPr>
      </w:pPr>
      <w:r>
        <w:rPr>
          <w:rFonts w:hint="eastAsia" w:ascii="仿宋" w:hAnsi="仿宋" w:eastAsia="仿宋"/>
          <w:color w:val="auto"/>
          <w:highlight w:val="none"/>
        </w:rPr>
        <w:t>投诉书范本</w:t>
      </w:r>
      <w:r>
        <w:rPr>
          <w:rFonts w:ascii="仿宋" w:hAnsi="仿宋" w:eastAsia="仿宋"/>
          <w:color w:val="auto"/>
          <w:szCs w:val="28"/>
          <w:highlight w:val="none"/>
        </w:rPr>
        <w:t>请到浙江政府采购网下载专区下载</w:t>
      </w:r>
      <w:r>
        <w:rPr>
          <w:rFonts w:hint="eastAsia" w:ascii="仿宋" w:hAnsi="仿宋" w:eastAsia="仿宋"/>
          <w:color w:val="auto"/>
          <w:highlight w:val="none"/>
        </w:rPr>
        <w:t>。</w:t>
      </w:r>
    </w:p>
    <w:p>
      <w:pPr>
        <w:pStyle w:val="226"/>
        <w:shd w:val="clear"/>
        <w:snapToGrid w:val="0"/>
        <w:spacing w:before="0"/>
        <w:ind w:firstLine="360"/>
        <w:rPr>
          <w:rFonts w:ascii="仿宋" w:hAnsi="仿宋" w:eastAsia="仿宋" w:cs="仿宋_GB2312"/>
          <w:color w:val="auto"/>
          <w:sz w:val="18"/>
          <w:szCs w:val="18"/>
          <w:highlight w:val="none"/>
        </w:rPr>
      </w:pPr>
    </w:p>
    <w:p>
      <w:pPr>
        <w:shd w:val="clear"/>
        <w:adjustRightInd/>
        <w:spacing w:line="360" w:lineRule="auto"/>
        <w:jc w:val="center"/>
        <w:outlineLvl w:val="0"/>
        <w:rPr>
          <w:rFonts w:ascii="仿宋" w:hAnsi="仿宋" w:eastAsia="仿宋" w:cs="仿宋_GB2312"/>
          <w:b/>
          <w:color w:val="auto"/>
          <w:sz w:val="32"/>
          <w:szCs w:val="20"/>
          <w:highlight w:val="none"/>
        </w:rPr>
      </w:pPr>
      <w:bookmarkStart w:id="40" w:name="_Hlt74730295"/>
      <w:bookmarkEnd w:id="40"/>
      <w:bookmarkStart w:id="41" w:name="_Hlt74729768"/>
      <w:bookmarkEnd w:id="41"/>
      <w:bookmarkStart w:id="42" w:name="_Hlt75236290"/>
      <w:bookmarkEnd w:id="42"/>
      <w:bookmarkStart w:id="43" w:name="_Hlt68057669"/>
      <w:bookmarkEnd w:id="43"/>
      <w:bookmarkStart w:id="44" w:name="_Hlt74707468"/>
      <w:bookmarkEnd w:id="44"/>
      <w:bookmarkStart w:id="45" w:name="_Hlt74714665"/>
      <w:bookmarkEnd w:id="45"/>
      <w:bookmarkStart w:id="46" w:name="_Hlt68072990"/>
      <w:bookmarkEnd w:id="46"/>
      <w:bookmarkStart w:id="47" w:name="_Toc91899879"/>
      <w:r>
        <w:rPr>
          <w:rFonts w:hint="eastAsia" w:ascii="仿宋" w:hAnsi="仿宋" w:eastAsia="仿宋" w:cs="仿宋_GB2312"/>
          <w:b/>
          <w:color w:val="auto"/>
          <w:sz w:val="32"/>
          <w:szCs w:val="20"/>
          <w:highlight w:val="none"/>
        </w:rPr>
        <w:t>二、招标文件</w:t>
      </w:r>
      <w:bookmarkEnd w:id="47"/>
      <w:r>
        <w:rPr>
          <w:rFonts w:hint="eastAsia" w:ascii="仿宋" w:hAnsi="仿宋" w:eastAsia="仿宋" w:cs="仿宋_GB2312"/>
          <w:b/>
          <w:color w:val="auto"/>
          <w:sz w:val="32"/>
          <w:szCs w:val="20"/>
          <w:highlight w:val="none"/>
        </w:rPr>
        <w:t>的构成、澄清、修改</w:t>
      </w:r>
    </w:p>
    <w:p>
      <w:pPr>
        <w:pStyle w:val="33"/>
        <w:shd w:val="clear"/>
        <w:spacing w:line="360" w:lineRule="auto"/>
        <w:ind w:firstLine="482" w:firstLineChars="200"/>
        <w:rPr>
          <w:rFonts w:ascii="仿宋" w:hAnsi="仿宋" w:eastAsia="仿宋" w:cs="仿宋_GB2312"/>
          <w:b/>
          <w:color w:val="auto"/>
          <w:sz w:val="24"/>
          <w:szCs w:val="24"/>
          <w:highlight w:val="none"/>
        </w:rPr>
      </w:pPr>
      <w:bookmarkStart w:id="48" w:name="_Toc91899880"/>
      <w:bookmarkStart w:id="49" w:name="_Hlt74730307"/>
      <w:r>
        <w:rPr>
          <w:rFonts w:hint="eastAsia" w:ascii="仿宋" w:hAnsi="仿宋" w:eastAsia="仿宋" w:cs="仿宋_GB2312"/>
          <w:b/>
          <w:color w:val="auto"/>
          <w:sz w:val="24"/>
          <w:szCs w:val="24"/>
          <w:highlight w:val="none"/>
        </w:rPr>
        <w:t>5．招标文件的构成</w:t>
      </w:r>
      <w:bookmarkEnd w:id="48"/>
    </w:p>
    <w:bookmarkEnd w:id="49"/>
    <w:p>
      <w:pPr>
        <w:pStyle w:val="33"/>
        <w:shd w:val="clear"/>
        <w:spacing w:line="360" w:lineRule="auto"/>
        <w:ind w:right="-512"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5.1 招标文件包括下列文件及附件</w:t>
      </w:r>
    </w:p>
    <w:p>
      <w:pPr>
        <w:pStyle w:val="33"/>
        <w:numPr>
          <w:ilvl w:val="0"/>
          <w:numId w:val="4"/>
        </w:numPr>
        <w:shd w:val="clea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第一部分 招标公告</w:t>
      </w:r>
    </w:p>
    <w:p>
      <w:pPr>
        <w:pStyle w:val="33"/>
        <w:numPr>
          <w:ilvl w:val="0"/>
          <w:numId w:val="4"/>
        </w:numPr>
        <w:shd w:val="clea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第二部分 投标人须知</w:t>
      </w:r>
    </w:p>
    <w:p>
      <w:pPr>
        <w:pStyle w:val="33"/>
        <w:numPr>
          <w:ilvl w:val="0"/>
          <w:numId w:val="4"/>
        </w:numPr>
        <w:shd w:val="clea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第三部分 采购需求</w:t>
      </w:r>
    </w:p>
    <w:p>
      <w:pPr>
        <w:pStyle w:val="33"/>
        <w:numPr>
          <w:ilvl w:val="0"/>
          <w:numId w:val="4"/>
        </w:numPr>
        <w:shd w:val="clea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第四部分 评标方法及评分标准</w:t>
      </w:r>
    </w:p>
    <w:p>
      <w:pPr>
        <w:pStyle w:val="33"/>
        <w:numPr>
          <w:ilvl w:val="0"/>
          <w:numId w:val="4"/>
        </w:numPr>
        <w:shd w:val="clea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第五部分 拟签订的合同文本</w:t>
      </w:r>
    </w:p>
    <w:p>
      <w:pPr>
        <w:pStyle w:val="33"/>
        <w:numPr>
          <w:ilvl w:val="0"/>
          <w:numId w:val="4"/>
        </w:numPr>
        <w:shd w:val="clea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第六部分 应提交的有关格式范例</w:t>
      </w:r>
    </w:p>
    <w:p>
      <w:pPr>
        <w:shd w:val="clear"/>
        <w:spacing w:line="360" w:lineRule="auto"/>
        <w:ind w:firstLine="480" w:firstLineChars="200"/>
        <w:jc w:val="left"/>
        <w:rPr>
          <w:rFonts w:ascii="仿宋" w:hAnsi="仿宋" w:eastAsia="仿宋"/>
          <w:bCs/>
          <w:color w:val="auto"/>
          <w:sz w:val="24"/>
          <w:highlight w:val="none"/>
        </w:rPr>
      </w:pPr>
      <w:r>
        <w:rPr>
          <w:rFonts w:hint="eastAsia" w:ascii="仿宋" w:hAnsi="仿宋" w:eastAsia="仿宋"/>
          <w:color w:val="auto"/>
          <w:sz w:val="24"/>
          <w:highlight w:val="none"/>
        </w:rPr>
        <w:t>5.2与本项目有关的</w:t>
      </w:r>
      <w:r>
        <w:rPr>
          <w:rFonts w:hint="eastAsia" w:ascii="仿宋" w:hAnsi="仿宋" w:eastAsia="仿宋"/>
          <w:bCs/>
          <w:color w:val="auto"/>
          <w:sz w:val="24"/>
          <w:highlight w:val="none"/>
        </w:rPr>
        <w:t>澄清或者修改等公告</w:t>
      </w:r>
      <w:r>
        <w:rPr>
          <w:rFonts w:ascii="仿宋" w:hAnsi="仿宋" w:eastAsia="仿宋"/>
          <w:bCs/>
          <w:color w:val="auto"/>
          <w:sz w:val="24"/>
          <w:highlight w:val="none"/>
        </w:rPr>
        <w:t>、</w:t>
      </w:r>
      <w:r>
        <w:rPr>
          <w:rFonts w:hint="eastAsia" w:ascii="仿宋" w:hAnsi="仿宋" w:eastAsia="仿宋"/>
          <w:bCs/>
          <w:color w:val="auto"/>
          <w:sz w:val="24"/>
          <w:highlight w:val="none"/>
        </w:rPr>
        <w:t>内容亦为招标文件的组成部分，</w:t>
      </w:r>
      <w:r>
        <w:rPr>
          <w:rFonts w:ascii="仿宋" w:hAnsi="仿宋" w:eastAsia="仿宋"/>
          <w:bCs/>
          <w:color w:val="auto"/>
          <w:sz w:val="24"/>
          <w:highlight w:val="none"/>
        </w:rPr>
        <w:t>投标人</w:t>
      </w:r>
      <w:r>
        <w:rPr>
          <w:rFonts w:hint="eastAsia" w:ascii="仿宋" w:hAnsi="仿宋" w:eastAsia="仿宋"/>
          <w:bCs/>
          <w:color w:val="auto"/>
          <w:sz w:val="24"/>
          <w:highlight w:val="none"/>
        </w:rPr>
        <w:t>须自行</w:t>
      </w:r>
      <w:r>
        <w:rPr>
          <w:rFonts w:ascii="仿宋" w:hAnsi="仿宋" w:eastAsia="仿宋"/>
          <w:bCs/>
          <w:color w:val="auto"/>
          <w:sz w:val="24"/>
          <w:highlight w:val="none"/>
        </w:rPr>
        <w:t>于</w:t>
      </w:r>
      <w:r>
        <w:rPr>
          <w:rFonts w:hint="eastAsia" w:ascii="仿宋" w:hAnsi="仿宋" w:eastAsia="仿宋"/>
          <w:bCs/>
          <w:color w:val="auto"/>
          <w:sz w:val="24"/>
          <w:highlight w:val="none"/>
        </w:rPr>
        <w:t>招标公告所</w:t>
      </w:r>
      <w:r>
        <w:rPr>
          <w:rFonts w:ascii="仿宋" w:hAnsi="仿宋" w:eastAsia="仿宋"/>
          <w:bCs/>
          <w:color w:val="auto"/>
          <w:sz w:val="24"/>
          <w:highlight w:val="none"/>
        </w:rPr>
        <w:t>在网站</w:t>
      </w:r>
      <w:r>
        <w:rPr>
          <w:rFonts w:hint="eastAsia" w:ascii="仿宋" w:hAnsi="仿宋" w:eastAsia="仿宋"/>
          <w:bCs/>
          <w:color w:val="auto"/>
          <w:sz w:val="24"/>
          <w:highlight w:val="none"/>
        </w:rPr>
        <w:t>获取</w:t>
      </w:r>
      <w:r>
        <w:rPr>
          <w:rFonts w:ascii="仿宋" w:hAnsi="仿宋" w:eastAsia="仿宋"/>
          <w:bCs/>
          <w:color w:val="auto"/>
          <w:sz w:val="24"/>
          <w:highlight w:val="none"/>
        </w:rPr>
        <w:t>相关信息（</w:t>
      </w:r>
      <w:r>
        <w:rPr>
          <w:rFonts w:hint="eastAsia" w:ascii="仿宋" w:hAnsi="仿宋" w:eastAsia="仿宋"/>
          <w:bCs/>
          <w:color w:val="auto"/>
          <w:sz w:val="24"/>
          <w:highlight w:val="none"/>
        </w:rPr>
        <w:t>浙江政府采购网网址http://www.zjzfcg.gov.cn</w:t>
      </w:r>
      <w:r>
        <w:rPr>
          <w:rFonts w:ascii="仿宋" w:hAnsi="仿宋" w:eastAsia="仿宋"/>
          <w:bCs/>
          <w:color w:val="auto"/>
          <w:sz w:val="24"/>
          <w:highlight w:val="none"/>
        </w:rPr>
        <w:t>）</w:t>
      </w:r>
      <w:r>
        <w:rPr>
          <w:rFonts w:hint="eastAsia" w:ascii="仿宋" w:hAnsi="仿宋" w:eastAsia="仿宋" w:cs="仿宋_GB2312"/>
          <w:color w:val="auto"/>
          <w:sz w:val="24"/>
          <w:highlight w:val="none"/>
        </w:rPr>
        <w:t>。</w:t>
      </w:r>
    </w:p>
    <w:p>
      <w:pPr>
        <w:pStyle w:val="33"/>
        <w:shd w:val="clear"/>
        <w:spacing w:line="360" w:lineRule="auto"/>
        <w:ind w:firstLine="482" w:firstLineChars="200"/>
        <w:jc w:val="left"/>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6. 招标文件的澄清、修改</w:t>
      </w:r>
    </w:p>
    <w:p>
      <w:pPr>
        <w:pStyle w:val="226"/>
        <w:shd w:val="clear"/>
        <w:snapToGrid w:val="0"/>
        <w:spacing w:before="0"/>
        <w:ind w:firstLine="480"/>
        <w:rPr>
          <w:rFonts w:ascii="仿宋" w:hAnsi="仿宋" w:eastAsia="仿宋"/>
          <w:color w:val="auto"/>
          <w:highlight w:val="none"/>
        </w:rPr>
      </w:pPr>
      <w:r>
        <w:rPr>
          <w:rFonts w:hint="eastAsia" w:ascii="仿宋" w:hAnsi="仿宋" w:eastAsia="仿宋"/>
          <w:color w:val="auto"/>
          <w:highlight w:val="none"/>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pPr>
        <w:pStyle w:val="23"/>
        <w:shd w:val="clear"/>
        <w:rPr>
          <w:rFonts w:ascii="仿宋" w:hAnsi="仿宋" w:eastAsia="仿宋" w:cs="仿宋_GB2312"/>
          <w:color w:val="auto"/>
          <w:sz w:val="18"/>
          <w:szCs w:val="18"/>
          <w:highlight w:val="none"/>
          <w:lang w:val="en-US"/>
        </w:rPr>
      </w:pPr>
    </w:p>
    <w:p>
      <w:pPr>
        <w:shd w:val="clear"/>
        <w:adjustRightInd/>
        <w:spacing w:line="360" w:lineRule="auto"/>
        <w:jc w:val="center"/>
        <w:outlineLvl w:val="0"/>
        <w:rPr>
          <w:rFonts w:ascii="仿宋" w:hAnsi="仿宋" w:eastAsia="仿宋" w:cs="仿宋_GB2312"/>
          <w:b/>
          <w:color w:val="auto"/>
          <w:sz w:val="32"/>
          <w:szCs w:val="20"/>
          <w:highlight w:val="none"/>
        </w:rPr>
      </w:pPr>
      <w:bookmarkStart w:id="50" w:name="_Hlt75236011"/>
      <w:bookmarkEnd w:id="50"/>
      <w:bookmarkStart w:id="51" w:name="_Toc91899884"/>
      <w:r>
        <w:rPr>
          <w:rFonts w:hint="eastAsia" w:ascii="仿宋" w:hAnsi="仿宋" w:eastAsia="仿宋" w:cs="仿宋_GB2312"/>
          <w:b/>
          <w:color w:val="auto"/>
          <w:sz w:val="32"/>
          <w:szCs w:val="20"/>
          <w:highlight w:val="none"/>
        </w:rPr>
        <w:t>三、投标</w:t>
      </w:r>
      <w:bookmarkEnd w:id="51"/>
    </w:p>
    <w:p>
      <w:pPr>
        <w:pStyle w:val="33"/>
        <w:shd w:val="clear"/>
        <w:spacing w:line="360" w:lineRule="auto"/>
        <w:ind w:firstLine="482" w:firstLineChars="200"/>
        <w:rPr>
          <w:rFonts w:ascii="仿宋" w:hAnsi="仿宋" w:eastAsia="仿宋" w:cs="仿宋_GB2312"/>
          <w:b/>
          <w:color w:val="auto"/>
          <w:sz w:val="24"/>
          <w:szCs w:val="24"/>
          <w:highlight w:val="none"/>
        </w:rPr>
      </w:pPr>
      <w:bookmarkStart w:id="52" w:name="_Toc86216991"/>
      <w:bookmarkStart w:id="53" w:name="_Toc91899892"/>
      <w:r>
        <w:rPr>
          <w:rFonts w:hint="eastAsia" w:ascii="仿宋" w:hAnsi="仿宋" w:eastAsia="仿宋" w:cs="仿宋_GB2312"/>
          <w:b/>
          <w:color w:val="auto"/>
          <w:sz w:val="24"/>
          <w:szCs w:val="24"/>
          <w:highlight w:val="none"/>
        </w:rPr>
        <w:t>7.招标文件的获取</w:t>
      </w:r>
    </w:p>
    <w:p>
      <w:pPr>
        <w:shd w:val="clear"/>
        <w:spacing w:line="360" w:lineRule="auto"/>
        <w:ind w:firstLine="480" w:firstLineChars="200"/>
        <w:rPr>
          <w:rFonts w:ascii="仿宋" w:hAnsi="仿宋" w:eastAsia="仿宋" w:cs="仿宋_GB2312"/>
          <w:snapToGrid w:val="0"/>
          <w:color w:val="auto"/>
          <w:kern w:val="28"/>
          <w:sz w:val="24"/>
          <w:highlight w:val="none"/>
        </w:rPr>
      </w:pPr>
      <w:r>
        <w:rPr>
          <w:rFonts w:hint="eastAsia" w:ascii="仿宋" w:hAnsi="仿宋" w:eastAsia="仿宋" w:cs="仿宋_GB2312"/>
          <w:snapToGrid w:val="0"/>
          <w:color w:val="auto"/>
          <w:kern w:val="28"/>
          <w:sz w:val="24"/>
          <w:highlight w:val="none"/>
        </w:rPr>
        <w:t>详见招标公告中获取招标文件的时间期限、地点、方式。附件中直接下载仅供浏览使用。</w:t>
      </w:r>
    </w:p>
    <w:p>
      <w:pPr>
        <w:shd w:val="clear"/>
        <w:spacing w:line="360" w:lineRule="auto"/>
        <w:ind w:firstLine="482" w:firstLineChars="200"/>
        <w:rPr>
          <w:rFonts w:ascii="仿宋" w:hAnsi="仿宋" w:eastAsia="仿宋" w:cs="仿宋_GB2312"/>
          <w:b/>
          <w:color w:val="auto"/>
          <w:sz w:val="24"/>
          <w:szCs w:val="21"/>
          <w:highlight w:val="none"/>
        </w:rPr>
      </w:pPr>
      <w:r>
        <w:rPr>
          <w:rFonts w:hint="eastAsia" w:ascii="仿宋" w:hAnsi="仿宋" w:eastAsia="仿宋"/>
          <w:b/>
          <w:color w:val="auto"/>
          <w:sz w:val="24"/>
          <w:highlight w:val="none"/>
        </w:rPr>
        <w:t>▲</w:t>
      </w:r>
      <w:r>
        <w:rPr>
          <w:rFonts w:hint="eastAsia" w:ascii="仿宋" w:hAnsi="仿宋" w:eastAsia="仿宋" w:cs="仿宋_GB2312"/>
          <w:b/>
          <w:color w:val="auto"/>
          <w:sz w:val="24"/>
          <w:szCs w:val="21"/>
          <w:highlight w:val="none"/>
        </w:rPr>
        <w:t>未按照公告</w:t>
      </w:r>
      <w:r>
        <w:rPr>
          <w:rFonts w:ascii="仿宋" w:hAnsi="仿宋" w:eastAsia="仿宋" w:cs="仿宋_GB2312"/>
          <w:b/>
          <w:color w:val="auto"/>
          <w:sz w:val="24"/>
          <w:szCs w:val="21"/>
          <w:highlight w:val="none"/>
        </w:rPr>
        <w:t>要求完成</w:t>
      </w:r>
      <w:r>
        <w:rPr>
          <w:rFonts w:hint="eastAsia" w:ascii="仿宋" w:hAnsi="仿宋" w:eastAsia="仿宋" w:cs="仿宋_GB2312"/>
          <w:b/>
          <w:color w:val="auto"/>
          <w:sz w:val="24"/>
          <w:szCs w:val="21"/>
          <w:highlight w:val="none"/>
        </w:rPr>
        <w:t>采购文件</w:t>
      </w:r>
      <w:r>
        <w:rPr>
          <w:rFonts w:ascii="仿宋" w:hAnsi="仿宋" w:eastAsia="仿宋" w:cs="仿宋_GB2312"/>
          <w:b/>
          <w:color w:val="auto"/>
          <w:sz w:val="24"/>
          <w:szCs w:val="21"/>
          <w:highlight w:val="none"/>
        </w:rPr>
        <w:t>获取的</w:t>
      </w:r>
      <w:r>
        <w:rPr>
          <w:rFonts w:hint="eastAsia" w:ascii="仿宋" w:hAnsi="仿宋" w:eastAsia="仿宋" w:cs="仿宋_GB2312"/>
          <w:b/>
          <w:color w:val="auto"/>
          <w:sz w:val="24"/>
          <w:szCs w:val="21"/>
          <w:highlight w:val="none"/>
        </w:rPr>
        <w:t>，投标无效。</w:t>
      </w:r>
    </w:p>
    <w:p>
      <w:pPr>
        <w:pStyle w:val="33"/>
        <w:shd w:val="clear"/>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8.开标前答疑会或现场考察</w:t>
      </w:r>
    </w:p>
    <w:p>
      <w:pPr>
        <w:pStyle w:val="33"/>
        <w:shd w:val="clea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采购人视采购项目的具体情况，如果采购人组织潜在投标人现场考察或者召开开标前答疑会的，潜在投标人按前附表的规定参加现场考察或者开标前答疑会。</w:t>
      </w:r>
    </w:p>
    <w:p>
      <w:pPr>
        <w:pStyle w:val="33"/>
        <w:shd w:val="clear"/>
        <w:spacing w:line="360" w:lineRule="auto"/>
        <w:ind w:firstLine="482" w:firstLineChars="200"/>
        <w:rPr>
          <w:rFonts w:ascii="仿宋" w:hAnsi="仿宋" w:eastAsia="仿宋" w:cs="仿宋_GB2312"/>
          <w:b/>
          <w:color w:val="auto"/>
          <w:szCs w:val="24"/>
          <w:highlight w:val="none"/>
        </w:rPr>
      </w:pPr>
      <w:r>
        <w:rPr>
          <w:rFonts w:hint="eastAsia" w:ascii="仿宋" w:hAnsi="仿宋" w:eastAsia="仿宋"/>
          <w:b/>
          <w:color w:val="auto"/>
          <w:kern w:val="28"/>
          <w:sz w:val="24"/>
          <w:szCs w:val="24"/>
          <w:highlight w:val="none"/>
        </w:rPr>
        <w:t>9.投标保证金</w:t>
      </w:r>
    </w:p>
    <w:p>
      <w:pPr>
        <w:pStyle w:val="226"/>
        <w:shd w:val="clear"/>
        <w:snapToGrid w:val="0"/>
        <w:spacing w:before="0"/>
        <w:ind w:firstLine="480"/>
        <w:rPr>
          <w:rFonts w:ascii="仿宋" w:hAnsi="仿宋" w:eastAsia="仿宋" w:cs="仿宋_GB2312"/>
          <w:color w:val="auto"/>
          <w:highlight w:val="none"/>
          <w:lang w:val="zh-CN"/>
        </w:rPr>
      </w:pPr>
      <w:r>
        <w:rPr>
          <w:rFonts w:hint="eastAsia" w:ascii="仿宋" w:hAnsi="仿宋" w:eastAsia="仿宋"/>
          <w:color w:val="auto"/>
          <w:highlight w:val="none"/>
        </w:rPr>
        <w:t>本项目不收取投标保证金。</w:t>
      </w:r>
    </w:p>
    <w:p>
      <w:pPr>
        <w:pStyle w:val="33"/>
        <w:shd w:val="clear"/>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10. 投标文件的语言</w:t>
      </w:r>
    </w:p>
    <w:p>
      <w:pPr>
        <w:shd w:val="clear"/>
        <w:autoSpaceDE w:val="0"/>
        <w:autoSpaceDN w:val="0"/>
        <w:spacing w:line="360" w:lineRule="auto"/>
        <w:ind w:firstLine="480" w:firstLineChars="2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rPr>
        <w:t>投标文件及投标人与采购有关的来往通知、函件和文件均应使用中文。</w:t>
      </w:r>
    </w:p>
    <w:p>
      <w:pPr>
        <w:pStyle w:val="33"/>
        <w:shd w:val="clear"/>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11. 投标文件的组成</w:t>
      </w:r>
    </w:p>
    <w:p>
      <w:pPr>
        <w:pStyle w:val="33"/>
        <w:shd w:val="clear"/>
        <w:snapToGrid w:val="0"/>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kern w:val="0"/>
          <w:sz w:val="24"/>
          <w:szCs w:val="24"/>
          <w:highlight w:val="none"/>
        </w:rPr>
        <w:t>投标文件应当包括以下主要内容：</w:t>
      </w:r>
      <w:r>
        <w:rPr>
          <w:rFonts w:hint="eastAsia" w:ascii="仿宋" w:hAnsi="仿宋" w:eastAsia="仿宋" w:cs="仿宋_GB2312"/>
          <w:b/>
          <w:color w:val="auto"/>
          <w:sz w:val="24"/>
          <w:szCs w:val="24"/>
          <w:highlight w:val="none"/>
        </w:rPr>
        <w:t>资格文件、商务技术文件、报价文件。其中电子投标文件中所需加盖公章部分均应采用电子签章（联合体投标的，投标人可加盖实体印章）。</w:t>
      </w:r>
      <w:r>
        <w:rPr>
          <w:rFonts w:hint="eastAsia" w:ascii="仿宋" w:hAnsi="仿宋" w:eastAsia="仿宋" w:cs="仿宋_GB2312"/>
          <w:color w:val="auto"/>
          <w:sz w:val="24"/>
          <w:szCs w:val="24"/>
          <w:highlight w:val="none"/>
        </w:rPr>
        <w:t>投标文件应当对招标文件提出的要求和条件作出明确响应。</w:t>
      </w:r>
    </w:p>
    <w:p>
      <w:pPr>
        <w:shd w:val="clear"/>
        <w:snapToGrid w:val="0"/>
        <w:spacing w:line="360" w:lineRule="auto"/>
        <w:ind w:firstLine="480" w:firstLineChars="200"/>
        <w:rPr>
          <w:rFonts w:ascii="仿宋" w:hAnsi="仿宋" w:eastAsia="仿宋" w:cs="仿宋_GB2312"/>
          <w:b/>
          <w:color w:val="auto"/>
          <w:kern w:val="0"/>
          <w:sz w:val="24"/>
          <w:highlight w:val="none"/>
        </w:rPr>
      </w:pPr>
      <w:r>
        <w:rPr>
          <w:rFonts w:hint="eastAsia" w:ascii="仿宋" w:hAnsi="仿宋" w:eastAsia="仿宋" w:cs="仿宋_GB2312"/>
          <w:color w:val="auto"/>
          <w:sz w:val="24"/>
          <w:highlight w:val="none"/>
        </w:rPr>
        <w:t>11.1</w:t>
      </w:r>
      <w:r>
        <w:rPr>
          <w:rFonts w:hint="eastAsia" w:ascii="仿宋" w:hAnsi="仿宋" w:eastAsia="仿宋" w:cs="仿宋_GB2312"/>
          <w:b/>
          <w:color w:val="auto"/>
          <w:sz w:val="24"/>
          <w:highlight w:val="none"/>
        </w:rPr>
        <w:t>资格文件</w:t>
      </w:r>
      <w:r>
        <w:rPr>
          <w:rFonts w:hint="eastAsia" w:ascii="仿宋" w:hAnsi="仿宋" w:eastAsia="仿宋" w:cs="仿宋_GB2312"/>
          <w:color w:val="auto"/>
          <w:sz w:val="24"/>
          <w:highlight w:val="none"/>
        </w:rPr>
        <w:t>应包括以下内容：</w:t>
      </w:r>
      <w:r>
        <w:rPr>
          <w:rFonts w:hint="eastAsia" w:ascii="仿宋" w:hAnsi="仿宋" w:eastAsia="仿宋" w:cs="仿宋_GB2312"/>
          <w:color w:val="auto"/>
          <w:kern w:val="0"/>
          <w:sz w:val="24"/>
          <w:highlight w:val="none"/>
        </w:rPr>
        <w:t>证明其符合《中华人民共和国政府采购法》</w:t>
      </w:r>
      <w:r>
        <w:rPr>
          <w:rFonts w:hint="eastAsia" w:ascii="仿宋" w:hAnsi="仿宋" w:eastAsia="仿宋" w:cs="Arial"/>
          <w:color w:val="auto"/>
          <w:kern w:val="0"/>
          <w:sz w:val="24"/>
          <w:highlight w:val="none"/>
        </w:rPr>
        <w:t>规定的供应商基本条件和采购项目对供应商的特定条件</w:t>
      </w:r>
      <w:r>
        <w:rPr>
          <w:rFonts w:hint="eastAsia" w:ascii="仿宋" w:hAnsi="仿宋" w:eastAsia="仿宋" w:cs="仿宋_GB2312"/>
          <w:color w:val="auto"/>
          <w:sz w:val="24"/>
          <w:highlight w:val="none"/>
        </w:rPr>
        <w:t>（如果项目要求）</w:t>
      </w:r>
      <w:r>
        <w:rPr>
          <w:rFonts w:hint="eastAsia" w:ascii="仿宋" w:hAnsi="仿宋" w:eastAsia="仿宋" w:cs="仿宋_GB2312"/>
          <w:color w:val="auto"/>
          <w:kern w:val="0"/>
          <w:sz w:val="24"/>
          <w:highlight w:val="none"/>
        </w:rPr>
        <w:t>的有关资格证明文件。</w:t>
      </w:r>
    </w:p>
    <w:p>
      <w:pPr>
        <w:pStyle w:val="33"/>
        <w:shd w:val="clear"/>
        <w:spacing w:line="360" w:lineRule="auto"/>
        <w:ind w:firstLine="480" w:firstLineChars="200"/>
        <w:rPr>
          <w:rFonts w:ascii="仿宋" w:hAnsi="仿宋" w:eastAsia="仿宋"/>
          <w:color w:val="auto"/>
          <w:sz w:val="24"/>
          <w:highlight w:val="none"/>
        </w:rPr>
      </w:pPr>
      <w:bookmarkStart w:id="54" w:name="_Hlt68073093"/>
      <w:bookmarkEnd w:id="54"/>
      <w:bookmarkStart w:id="55" w:name="_Hlt68403820"/>
      <w:bookmarkEnd w:id="55"/>
      <w:bookmarkStart w:id="56" w:name="_Hlt68072998"/>
      <w:bookmarkEnd w:id="56"/>
      <w:r>
        <w:rPr>
          <w:rFonts w:hint="eastAsia" w:ascii="仿宋" w:hAnsi="仿宋" w:eastAsia="仿宋"/>
          <w:color w:val="auto"/>
          <w:sz w:val="24"/>
          <w:highlight w:val="none"/>
        </w:rPr>
        <w:t>11.1.1营业执照(或事业法人登记证或其他工商等登记证明材料)复印件（投标人为自然人的，提供自然人的身份证明）</w:t>
      </w:r>
      <w:r>
        <w:rPr>
          <w:rFonts w:hint="eastAsia" w:ascii="仿宋" w:hAnsi="仿宋" w:eastAsia="仿宋"/>
          <w:b/>
          <w:color w:val="auto"/>
          <w:sz w:val="24"/>
          <w:highlight w:val="none"/>
        </w:rPr>
        <w:t>；</w:t>
      </w:r>
    </w:p>
    <w:p>
      <w:pPr>
        <w:pStyle w:val="33"/>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33"/>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11.1.2投标声明函；</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11.1.3法定代表人授权书；</w:t>
      </w:r>
      <w:r>
        <w:rPr>
          <w:rFonts w:hint="eastAsia" w:ascii="仿宋" w:hAnsi="仿宋" w:eastAsia="仿宋"/>
          <w:color w:val="auto"/>
          <w:sz w:val="24"/>
          <w:highlight w:val="none"/>
        </w:rPr>
        <w:t>如以联合体形式参加政府采购活动的，只需提供联合体牵头人法定代表人授权委托书；</w:t>
      </w:r>
      <w:r>
        <w:rPr>
          <w:rFonts w:hint="eastAsia" w:ascii="仿宋" w:hAnsi="仿宋" w:eastAsia="仿宋" w:cs="仿宋_GB2312"/>
          <w:color w:val="auto"/>
          <w:sz w:val="24"/>
          <w:highlight w:val="none"/>
        </w:rPr>
        <w:t>如投标人代表系法定代表人，无需提供法定代表人授权委托书；</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11.1.4法定代表人及其授权代表的身份证复印件（正反面复印件）；如投标人代表系法定代表人，只需提供其身份证复印件（正反面复印件）；</w:t>
      </w:r>
    </w:p>
    <w:p>
      <w:pPr>
        <w:shd w:val="clea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11.1.5符合特定资格条件（如果项目要求）的有关证明材料（复印件）。</w:t>
      </w:r>
    </w:p>
    <w:p>
      <w:pPr>
        <w:shd w:val="clea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 投标人的</w:t>
      </w:r>
      <w:r>
        <w:rPr>
          <w:rFonts w:hint="eastAsia" w:ascii="仿宋" w:hAnsi="仿宋" w:eastAsia="仿宋" w:cs="仿宋_GB2312"/>
          <w:b/>
          <w:color w:val="auto"/>
          <w:sz w:val="24"/>
          <w:highlight w:val="none"/>
        </w:rPr>
        <w:t>商务技术</w:t>
      </w:r>
      <w:r>
        <w:rPr>
          <w:rFonts w:hint="eastAsia" w:ascii="仿宋" w:hAnsi="仿宋" w:eastAsia="仿宋" w:cs="仿宋_GB2312"/>
          <w:b/>
          <w:color w:val="auto"/>
          <w:kern w:val="0"/>
          <w:sz w:val="24"/>
          <w:highlight w:val="none"/>
          <w:lang w:val="zh-CN"/>
        </w:rPr>
        <w:t>文件</w:t>
      </w:r>
      <w:r>
        <w:rPr>
          <w:rFonts w:hint="eastAsia" w:ascii="仿宋" w:hAnsi="仿宋" w:eastAsia="仿宋" w:cs="仿宋_GB2312"/>
          <w:color w:val="auto"/>
          <w:kern w:val="0"/>
          <w:sz w:val="24"/>
          <w:highlight w:val="none"/>
          <w:lang w:val="zh-CN"/>
        </w:rPr>
        <w:t>应包括以下内容：</w:t>
      </w:r>
    </w:p>
    <w:p>
      <w:pPr>
        <w:shd w:val="clea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snapToGrid w:val="0"/>
          <w:color w:val="auto"/>
          <w:kern w:val="0"/>
          <w:sz w:val="24"/>
          <w:szCs w:val="21"/>
          <w:highlight w:val="none"/>
        </w:rPr>
        <w:t>11.2.1</w:t>
      </w:r>
      <w:r>
        <w:rPr>
          <w:rFonts w:hint="eastAsia" w:ascii="仿宋" w:hAnsi="仿宋" w:eastAsia="仿宋" w:cs="仿宋_GB2312"/>
          <w:snapToGrid w:val="0"/>
          <w:color w:val="auto"/>
          <w:kern w:val="0"/>
          <w:sz w:val="24"/>
          <w:szCs w:val="21"/>
          <w:highlight w:val="none"/>
          <w:lang w:val="zh-CN"/>
        </w:rPr>
        <w:t>评分对应表；如果本项目评标办法采用综合评审法，投标人需在商务技术文件中提供此评分对应表，供评标委员会评审时使用</w:t>
      </w:r>
      <w:r>
        <w:rPr>
          <w:rFonts w:hint="eastAsia" w:ascii="仿宋" w:hAnsi="仿宋" w:eastAsia="仿宋" w:cs="仿宋_GB2312"/>
          <w:snapToGrid w:val="0"/>
          <w:color w:val="auto"/>
          <w:kern w:val="0"/>
          <w:sz w:val="24"/>
          <w:szCs w:val="21"/>
          <w:highlight w:val="none"/>
        </w:rPr>
        <w:t>；</w:t>
      </w:r>
    </w:p>
    <w:p>
      <w:pPr>
        <w:shd w:val="clea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kern w:val="0"/>
          <w:sz w:val="24"/>
          <w:highlight w:val="none"/>
          <w:lang w:val="zh-CN"/>
        </w:rPr>
        <w:t>11.2.</w:t>
      </w:r>
      <w:r>
        <w:rPr>
          <w:rFonts w:hint="eastAsia" w:ascii="仿宋" w:hAnsi="仿宋" w:eastAsia="仿宋" w:cs="仿宋_GB2312"/>
          <w:color w:val="auto"/>
          <w:kern w:val="0"/>
          <w:sz w:val="24"/>
          <w:highlight w:val="none"/>
        </w:rPr>
        <w:t>2</w:t>
      </w:r>
      <w:r>
        <w:rPr>
          <w:rFonts w:hint="eastAsia" w:ascii="仿宋" w:hAnsi="仿宋" w:eastAsia="仿宋" w:cs="仿宋_GB2312"/>
          <w:color w:val="auto"/>
          <w:kern w:val="0"/>
          <w:sz w:val="24"/>
          <w:highlight w:val="none"/>
          <w:lang w:val="zh-CN"/>
        </w:rPr>
        <w:t>技术响应表；</w:t>
      </w:r>
    </w:p>
    <w:p>
      <w:pPr>
        <w:shd w:val="clea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w:t>
      </w:r>
      <w:r>
        <w:rPr>
          <w:rFonts w:hint="eastAsia" w:ascii="仿宋" w:hAnsi="仿宋" w:eastAsia="仿宋" w:cs="仿宋_GB2312"/>
          <w:color w:val="auto"/>
          <w:kern w:val="0"/>
          <w:sz w:val="24"/>
          <w:highlight w:val="none"/>
        </w:rPr>
        <w:t>3</w:t>
      </w:r>
      <w:r>
        <w:rPr>
          <w:rFonts w:hint="eastAsia" w:ascii="仿宋" w:hAnsi="仿宋" w:eastAsia="仿宋" w:cs="仿宋_GB2312"/>
          <w:color w:val="auto"/>
          <w:kern w:val="0"/>
          <w:sz w:val="24"/>
          <w:highlight w:val="none"/>
          <w:lang w:val="zh-CN"/>
        </w:rPr>
        <w:t>商务响应表；</w:t>
      </w:r>
    </w:p>
    <w:p>
      <w:pPr>
        <w:shd w:val="clea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w:t>
      </w:r>
      <w:r>
        <w:rPr>
          <w:rFonts w:hint="eastAsia" w:ascii="仿宋" w:hAnsi="仿宋" w:eastAsia="仿宋" w:cs="仿宋_GB2312"/>
          <w:color w:val="auto"/>
          <w:kern w:val="0"/>
          <w:sz w:val="24"/>
          <w:highlight w:val="none"/>
        </w:rPr>
        <w:t>1</w:t>
      </w:r>
      <w:r>
        <w:rPr>
          <w:rFonts w:hint="eastAsia" w:ascii="仿宋" w:hAnsi="仿宋" w:eastAsia="仿宋" w:cs="仿宋_GB2312"/>
          <w:color w:val="auto"/>
          <w:kern w:val="0"/>
          <w:sz w:val="24"/>
          <w:highlight w:val="none"/>
          <w:lang w:val="zh-CN"/>
        </w:rPr>
        <w:t>.2.4项目组织实施方案;项目组织实施方案包括但不限于以下内容：组织机构、工作时间进度表、工作程序和步骤、管理和协调方法、关键步骤的思路和要点；</w:t>
      </w:r>
    </w:p>
    <w:p>
      <w:pPr>
        <w:shd w:val="clea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w:t>
      </w:r>
      <w:r>
        <w:rPr>
          <w:rFonts w:hint="eastAsia" w:ascii="仿宋" w:hAnsi="仿宋" w:eastAsia="仿宋" w:cs="仿宋_GB2312"/>
          <w:color w:val="auto"/>
          <w:kern w:val="0"/>
          <w:sz w:val="24"/>
          <w:highlight w:val="none"/>
        </w:rPr>
        <w:t>5</w:t>
      </w:r>
      <w:r>
        <w:rPr>
          <w:rFonts w:hint="eastAsia" w:ascii="仿宋" w:hAnsi="仿宋" w:eastAsia="仿宋" w:cs="仿宋_GB2312"/>
          <w:color w:val="auto"/>
          <w:kern w:val="0"/>
          <w:sz w:val="24"/>
          <w:highlight w:val="none"/>
          <w:lang w:val="zh-CN"/>
        </w:rPr>
        <w:t>项目负责人情况表；</w:t>
      </w:r>
    </w:p>
    <w:p>
      <w:pPr>
        <w:shd w:val="clea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w:t>
      </w:r>
      <w:r>
        <w:rPr>
          <w:rFonts w:hint="eastAsia" w:ascii="仿宋" w:hAnsi="仿宋" w:eastAsia="仿宋" w:cs="仿宋_GB2312"/>
          <w:color w:val="auto"/>
          <w:kern w:val="0"/>
          <w:sz w:val="24"/>
          <w:highlight w:val="none"/>
        </w:rPr>
        <w:t>6</w:t>
      </w:r>
      <w:r>
        <w:rPr>
          <w:rFonts w:hint="eastAsia" w:ascii="仿宋" w:hAnsi="仿宋" w:eastAsia="仿宋" w:cs="仿宋_GB2312"/>
          <w:color w:val="auto"/>
          <w:kern w:val="0"/>
          <w:sz w:val="24"/>
          <w:highlight w:val="none"/>
          <w:lang w:val="zh-CN"/>
        </w:rPr>
        <w:t>项目组人员名单；</w:t>
      </w:r>
    </w:p>
    <w:p>
      <w:pPr>
        <w:shd w:val="clea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11.2.</w:t>
      </w:r>
      <w:r>
        <w:rPr>
          <w:rFonts w:hint="eastAsia" w:ascii="仿宋" w:hAnsi="仿宋" w:eastAsia="仿宋" w:cs="仿宋_GB2312"/>
          <w:color w:val="auto"/>
          <w:sz w:val="24"/>
          <w:highlight w:val="none"/>
        </w:rPr>
        <w:t>7</w:t>
      </w:r>
      <w:r>
        <w:rPr>
          <w:rFonts w:hint="eastAsia" w:ascii="仿宋" w:hAnsi="仿宋" w:eastAsia="仿宋" w:cs="仿宋_GB2312"/>
          <w:color w:val="auto"/>
          <w:kern w:val="0"/>
          <w:sz w:val="24"/>
          <w:highlight w:val="none"/>
          <w:lang w:val="zh-CN"/>
        </w:rPr>
        <w:t>售后服务方案（如有）。服务承诺未明示可能涉及的前提设定和费用，视为是无条件和免费的；</w:t>
      </w:r>
    </w:p>
    <w:p>
      <w:pPr>
        <w:shd w:val="clear"/>
        <w:tabs>
          <w:tab w:val="left" w:pos="0"/>
          <w:tab w:val="left" w:pos="840"/>
        </w:tabs>
        <w:autoSpaceDE w:val="0"/>
        <w:autoSpaceDN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11.2.</w:t>
      </w:r>
      <w:r>
        <w:rPr>
          <w:rFonts w:hint="eastAsia" w:ascii="仿宋" w:hAnsi="仿宋" w:eastAsia="仿宋" w:cs="仿宋_GB2312"/>
          <w:color w:val="auto"/>
          <w:sz w:val="24"/>
          <w:highlight w:val="none"/>
        </w:rPr>
        <w:t>8</w:t>
      </w:r>
      <w:r>
        <w:rPr>
          <w:rFonts w:hint="eastAsia" w:ascii="仿宋" w:hAnsi="仿宋" w:eastAsia="仿宋" w:cs="仿宋_GB2312"/>
          <w:color w:val="auto"/>
          <w:kern w:val="0"/>
          <w:sz w:val="24"/>
          <w:highlight w:val="none"/>
          <w:lang w:val="zh-CN"/>
        </w:rPr>
        <w:t>优惠条件及特殊承诺（如有）；</w:t>
      </w:r>
    </w:p>
    <w:p>
      <w:pPr>
        <w:shd w:val="clea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zh-CN"/>
        </w:rPr>
        <w:t>11.2.</w:t>
      </w:r>
      <w:r>
        <w:rPr>
          <w:rFonts w:hint="eastAsia" w:ascii="仿宋" w:hAnsi="仿宋" w:eastAsia="仿宋" w:cs="仿宋_GB2312"/>
          <w:color w:val="auto"/>
          <w:sz w:val="24"/>
          <w:highlight w:val="none"/>
        </w:rPr>
        <w:t>9</w:t>
      </w:r>
      <w:r>
        <w:rPr>
          <w:rFonts w:hint="eastAsia" w:ascii="仿宋" w:hAnsi="仿宋" w:eastAsia="仿宋" w:cs="仿宋_GB2312"/>
          <w:color w:val="auto"/>
          <w:kern w:val="0"/>
          <w:sz w:val="24"/>
          <w:highlight w:val="none"/>
          <w:lang w:val="zh-CN"/>
        </w:rPr>
        <w:t>投标人认为需要的其他商务技术文件或说明</w:t>
      </w:r>
      <w:r>
        <w:rPr>
          <w:rFonts w:hint="eastAsia" w:ascii="仿宋" w:hAnsi="仿宋" w:eastAsia="仿宋" w:cs="仿宋_GB2312"/>
          <w:snapToGrid w:val="0"/>
          <w:color w:val="auto"/>
          <w:kern w:val="0"/>
          <w:sz w:val="24"/>
          <w:highlight w:val="none"/>
          <w:lang w:val="zh-CN"/>
        </w:rPr>
        <w:t>。</w:t>
      </w:r>
    </w:p>
    <w:p>
      <w:pPr>
        <w:shd w:val="clear"/>
        <w:snapToGrid w:val="0"/>
        <w:spacing w:line="360" w:lineRule="auto"/>
        <w:ind w:firstLine="480" w:firstLineChars="200"/>
        <w:rPr>
          <w:rFonts w:ascii="仿宋" w:hAnsi="仿宋" w:eastAsia="仿宋" w:cs="仿宋_GB2312"/>
          <w:color w:val="auto"/>
          <w:sz w:val="24"/>
          <w:highlight w:val="none"/>
          <w:u w:val="single"/>
          <w:lang w:val="zh-CN"/>
        </w:rPr>
      </w:pPr>
      <w:r>
        <w:rPr>
          <w:rFonts w:hint="eastAsia" w:ascii="仿宋" w:hAnsi="仿宋" w:eastAsia="仿宋" w:cs="仿宋_GB2312"/>
          <w:color w:val="auto"/>
          <w:kern w:val="0"/>
          <w:sz w:val="24"/>
          <w:highlight w:val="none"/>
          <w:lang w:val="zh-CN"/>
        </w:rPr>
        <w:t xml:space="preserve">11.3 </w:t>
      </w:r>
      <w:r>
        <w:rPr>
          <w:rFonts w:hint="eastAsia" w:ascii="仿宋" w:hAnsi="仿宋" w:eastAsia="仿宋" w:cs="仿宋_GB2312"/>
          <w:color w:val="auto"/>
          <w:sz w:val="24"/>
          <w:highlight w:val="none"/>
        </w:rPr>
        <w:t>投标人的</w:t>
      </w:r>
      <w:r>
        <w:rPr>
          <w:rFonts w:hint="eastAsia" w:ascii="仿宋" w:hAnsi="仿宋" w:eastAsia="仿宋" w:cs="仿宋_GB2312"/>
          <w:b/>
          <w:color w:val="auto"/>
          <w:sz w:val="24"/>
          <w:highlight w:val="none"/>
        </w:rPr>
        <w:t>报价文件</w:t>
      </w:r>
      <w:r>
        <w:rPr>
          <w:rFonts w:hint="eastAsia" w:ascii="仿宋" w:hAnsi="仿宋" w:eastAsia="仿宋" w:cs="仿宋_GB2312"/>
          <w:color w:val="auto"/>
          <w:sz w:val="24"/>
          <w:highlight w:val="none"/>
        </w:rPr>
        <w:t>应包括以下内容：</w:t>
      </w:r>
    </w:p>
    <w:p>
      <w:pPr>
        <w:shd w:val="clear" w:color="auto"/>
        <w:snapToGrid w:val="0"/>
        <w:spacing w:line="360" w:lineRule="auto"/>
        <w:ind w:firstLine="480" w:firstLineChars="200"/>
        <w:rPr>
          <w:rFonts w:hint="eastAsia" w:ascii="仿宋" w:eastAsia="仿宋" w:cs="仿宋_GB2312"/>
          <w:color w:val="auto"/>
          <w:sz w:val="24"/>
          <w:highlight w:val="none"/>
        </w:rPr>
      </w:pPr>
      <w:r>
        <w:rPr>
          <w:rFonts w:hint="eastAsia" w:ascii="仿宋" w:eastAsia="仿宋" w:cs="仿宋_GB2312"/>
          <w:color w:val="auto"/>
          <w:sz w:val="24"/>
          <w:highlight w:val="none"/>
        </w:rPr>
        <w:t>11.3.1投标(开标)一览表；</w:t>
      </w:r>
    </w:p>
    <w:p>
      <w:pPr>
        <w:pStyle w:val="33"/>
        <w:shd w:val="clear" w:color="auto"/>
        <w:snapToGrid w:val="0"/>
        <w:spacing w:line="360" w:lineRule="auto"/>
        <w:ind w:firstLine="480" w:firstLineChars="200"/>
        <w:rPr>
          <w:rFonts w:hint="eastAsia" w:ascii="仿宋" w:eastAsia="仿宋" w:cs="仿宋_GB2312"/>
          <w:color w:val="auto"/>
          <w:sz w:val="24"/>
          <w:szCs w:val="24"/>
          <w:highlight w:val="none"/>
        </w:rPr>
      </w:pPr>
      <w:r>
        <w:rPr>
          <w:rFonts w:hint="eastAsia" w:ascii="仿宋" w:eastAsia="仿宋" w:cs="仿宋_GB2312"/>
          <w:color w:val="auto"/>
          <w:sz w:val="24"/>
          <w:szCs w:val="24"/>
          <w:highlight w:val="none"/>
        </w:rPr>
        <w:t>11.3.2中小企业声明函（如有）；</w:t>
      </w:r>
    </w:p>
    <w:p>
      <w:pPr>
        <w:pStyle w:val="33"/>
        <w:shd w:val="clear" w:color="auto"/>
        <w:snapToGrid w:val="0"/>
        <w:spacing w:line="360" w:lineRule="auto"/>
        <w:ind w:firstLine="480" w:firstLineChars="200"/>
        <w:rPr>
          <w:rFonts w:ascii="仿宋" w:hAnsi="仿宋" w:eastAsia="仿宋" w:cs="仿宋_GB2312"/>
          <w:color w:val="auto"/>
          <w:sz w:val="24"/>
          <w:highlight w:val="none"/>
        </w:rPr>
      </w:pPr>
      <w:r>
        <w:rPr>
          <w:rFonts w:hint="eastAsia" w:ascii="仿宋" w:eastAsia="仿宋" w:cs="仿宋_GB2312"/>
          <w:color w:val="auto"/>
          <w:sz w:val="24"/>
          <w:szCs w:val="24"/>
          <w:highlight w:val="none"/>
        </w:rPr>
        <w:t>11.3.3残疾人福利性单位声明函（如有）。</w:t>
      </w:r>
    </w:p>
    <w:p>
      <w:pPr>
        <w:pStyle w:val="226"/>
        <w:shd w:val="clear"/>
        <w:snapToGrid w:val="0"/>
        <w:spacing w:before="0"/>
        <w:ind w:firstLine="482"/>
        <w:outlineLvl w:val="0"/>
        <w:rPr>
          <w:rFonts w:ascii="仿宋" w:hAnsi="仿宋" w:eastAsia="仿宋" w:cs="仿宋_GB2312"/>
          <w:b/>
          <w:color w:val="auto"/>
          <w:szCs w:val="24"/>
          <w:highlight w:val="none"/>
        </w:rPr>
      </w:pPr>
      <w:bookmarkStart w:id="57" w:name="_Toc91899887"/>
      <w:r>
        <w:rPr>
          <w:rFonts w:hint="eastAsia" w:ascii="仿宋" w:hAnsi="仿宋" w:eastAsia="仿宋" w:cs="仿宋_GB2312"/>
          <w:b/>
          <w:color w:val="auto"/>
          <w:szCs w:val="24"/>
          <w:highlight w:val="none"/>
        </w:rPr>
        <w:t>12</w:t>
      </w:r>
      <w:r>
        <w:rPr>
          <w:rFonts w:hint="eastAsia" w:ascii="仿宋" w:hAnsi="仿宋" w:eastAsia="仿宋" w:cs="仿宋_GB2312"/>
          <w:b/>
          <w:color w:val="auto"/>
          <w:kern w:val="0"/>
          <w:szCs w:val="24"/>
          <w:highlight w:val="none"/>
          <w:lang w:val="zh-CN"/>
        </w:rPr>
        <w:t xml:space="preserve">. </w:t>
      </w:r>
      <w:r>
        <w:rPr>
          <w:rFonts w:hint="eastAsia" w:ascii="仿宋" w:hAnsi="仿宋" w:eastAsia="仿宋" w:cs="仿宋_GB2312"/>
          <w:b/>
          <w:color w:val="auto"/>
          <w:szCs w:val="24"/>
          <w:highlight w:val="none"/>
        </w:rPr>
        <w:t>投标文件的编制</w:t>
      </w:r>
    </w:p>
    <w:p>
      <w:pPr>
        <w:shd w:val="clear"/>
        <w:spacing w:line="360" w:lineRule="auto"/>
        <w:ind w:firstLine="482" w:firstLineChars="200"/>
        <w:rPr>
          <w:rFonts w:ascii="仿宋" w:hAnsi="仿宋" w:eastAsia="仿宋" w:cs="仿宋_GB2312"/>
          <w:b/>
          <w:color w:val="auto"/>
          <w:sz w:val="24"/>
          <w:szCs w:val="21"/>
          <w:highlight w:val="none"/>
        </w:rPr>
      </w:pPr>
      <w:r>
        <w:rPr>
          <w:rFonts w:hint="eastAsia" w:ascii="仿宋" w:hAnsi="仿宋" w:eastAsia="仿宋"/>
          <w:b/>
          <w:color w:val="auto"/>
          <w:sz w:val="24"/>
          <w:highlight w:val="none"/>
        </w:rPr>
        <w:t>▲</w:t>
      </w:r>
      <w:r>
        <w:rPr>
          <w:rFonts w:hint="eastAsia" w:ascii="仿宋" w:hAnsi="仿宋" w:eastAsia="仿宋" w:cs="仿宋_GB2312"/>
          <w:b/>
          <w:color w:val="auto"/>
          <w:sz w:val="24"/>
          <w:highlight w:val="none"/>
        </w:rPr>
        <w:t>投标文件未按本条规定的格式编制的，投标无效。</w:t>
      </w:r>
    </w:p>
    <w:p>
      <w:pPr>
        <w:shd w:val="clear"/>
        <w:spacing w:line="360" w:lineRule="auto"/>
        <w:ind w:firstLine="482" w:firstLineChars="200"/>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pPr>
        <w:shd w:val="clea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12.2投标人进行电子投标应安装客户端软件</w:t>
      </w:r>
      <w:r>
        <w:rPr>
          <w:rFonts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lang w:val="zh-CN"/>
        </w:rPr>
        <w:t>“政采云电子交易客户端”，并按照招标文件和电子交易平台的要求编制并加密投标文件。投标人未按规定加密的投标文件，电子交易平台将拒收并提示。</w:t>
      </w:r>
    </w:p>
    <w:bookmarkEnd w:id="57"/>
    <w:p>
      <w:pPr>
        <w:shd w:val="clea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hd w:val="clear"/>
        <w:snapToGrid w:val="0"/>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13.投标文件的签署、盖章</w:t>
      </w:r>
    </w:p>
    <w:p>
      <w:pPr>
        <w:pStyle w:val="226"/>
        <w:shd w:val="clear"/>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szCs w:val="24"/>
          <w:highlight w:val="none"/>
        </w:rPr>
        <w:t>13.1投标文件按照招标文件第六部分格式要</w:t>
      </w:r>
      <w:r>
        <w:rPr>
          <w:rFonts w:hint="eastAsia" w:ascii="仿宋" w:hAnsi="仿宋" w:eastAsia="仿宋" w:cs="仿宋_GB2312"/>
          <w:color w:val="auto"/>
          <w:highlight w:val="none"/>
        </w:rPr>
        <w:t>求进行签署、盖章。</w:t>
      </w:r>
    </w:p>
    <w:p>
      <w:pPr>
        <w:pStyle w:val="226"/>
        <w:shd w:val="clear"/>
        <w:snapToGrid w:val="0"/>
        <w:spacing w:before="0"/>
        <w:ind w:firstLine="482"/>
        <w:rPr>
          <w:rFonts w:ascii="仿宋" w:hAnsi="仿宋" w:eastAsia="仿宋" w:cs="仿宋_GB2312"/>
          <w:b/>
          <w:color w:val="auto"/>
          <w:highlight w:val="none"/>
        </w:rPr>
      </w:pPr>
      <w:r>
        <w:rPr>
          <w:rFonts w:hint="eastAsia" w:ascii="仿宋" w:hAnsi="仿宋" w:eastAsia="仿宋"/>
          <w:b/>
          <w:color w:val="auto"/>
          <w:highlight w:val="none"/>
        </w:rPr>
        <w:t>▲</w:t>
      </w:r>
      <w:r>
        <w:rPr>
          <w:rFonts w:hint="eastAsia" w:ascii="仿宋" w:hAnsi="仿宋" w:eastAsia="仿宋" w:cs="仿宋_GB2312"/>
          <w:b/>
          <w:color w:val="auto"/>
          <w:highlight w:val="none"/>
        </w:rPr>
        <w:t>投标人的投标文件未按照招标文件要求签署、盖章的，其投标无效</w:t>
      </w:r>
      <w:r>
        <w:rPr>
          <w:rFonts w:hint="eastAsia" w:ascii="仿宋" w:hAnsi="仿宋" w:eastAsia="仿宋" w:cs="仿宋_GB2312"/>
          <w:color w:val="auto"/>
          <w:szCs w:val="24"/>
          <w:highlight w:val="none"/>
        </w:rPr>
        <w:t>。</w:t>
      </w:r>
    </w:p>
    <w:p>
      <w:pPr>
        <w:pStyle w:val="226"/>
        <w:shd w:val="clear"/>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bookmarkEnd w:id="52"/>
    <w:bookmarkEnd w:id="53"/>
    <w:p>
      <w:pPr>
        <w:shd w:val="clear"/>
        <w:snapToGrid w:val="0"/>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14. 投标文件的提交、补充、修改、撤回</w:t>
      </w:r>
    </w:p>
    <w:p>
      <w:pPr>
        <w:shd w:val="clea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26"/>
        <w:shd w:val="clear"/>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14.2在投标截止时间前，除供应商补充、修改或者撤回投标文件外，任何单位和个人不得解密或提取投标文件。</w:t>
      </w:r>
    </w:p>
    <w:p>
      <w:pPr>
        <w:pStyle w:val="226"/>
        <w:shd w:val="clear"/>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14.3采购代理机构可以视情况延长投标文件提交的截止时间。在上述情况下，采购代理机构与投标人以前在投标截止期方面的全部权利、责任和义务，将适用于延长至新的投标截止期。</w:t>
      </w:r>
    </w:p>
    <w:p>
      <w:pPr>
        <w:pStyle w:val="226"/>
        <w:shd w:val="clear"/>
        <w:spacing w:before="0"/>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15.投标文件的无效处理</w:t>
      </w:r>
    </w:p>
    <w:p>
      <w:pPr>
        <w:shd w:val="clear"/>
        <w:spacing w:line="360" w:lineRule="auto"/>
        <w:ind w:firstLine="480" w:firstLineChars="200"/>
        <w:rPr>
          <w:rFonts w:ascii="仿宋" w:hAnsi="仿宋" w:eastAsia="仿宋" w:cs="仿宋_GB2312"/>
          <w:color w:val="auto"/>
          <w:szCs w:val="21"/>
          <w:highlight w:val="none"/>
        </w:rPr>
      </w:pPr>
      <w:r>
        <w:rPr>
          <w:rFonts w:hint="eastAsia" w:ascii="仿宋" w:hAnsi="仿宋" w:eastAsia="仿宋" w:cs="仿宋_GB2312"/>
          <w:color w:val="auto"/>
          <w:sz w:val="24"/>
          <w:szCs w:val="20"/>
          <w:highlight w:val="none"/>
        </w:rPr>
        <w:t>15.1有招标文件第四部分 “投标无效”章节规定的情形之一的，投标无效。</w:t>
      </w:r>
    </w:p>
    <w:p>
      <w:pPr>
        <w:pStyle w:val="226"/>
        <w:shd w:val="clear"/>
        <w:spacing w:before="0"/>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16.投标有效期</w:t>
      </w:r>
    </w:p>
    <w:p>
      <w:pPr>
        <w:shd w:val="clear"/>
        <w:spacing w:line="360" w:lineRule="auto"/>
        <w:ind w:firstLine="480" w:firstLineChars="200"/>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16.1投标有效期为从提交投标文件的截止之日起90天。</w:t>
      </w:r>
    </w:p>
    <w:p>
      <w:pPr>
        <w:shd w:val="clear"/>
        <w:spacing w:line="360" w:lineRule="auto"/>
        <w:ind w:firstLine="480" w:firstLineChars="200"/>
        <w:rPr>
          <w:rFonts w:ascii="仿宋" w:hAnsi="仿宋" w:eastAsia="仿宋" w:cs="仿宋_GB2312"/>
          <w:b/>
          <w:color w:val="auto"/>
          <w:sz w:val="24"/>
          <w:szCs w:val="21"/>
          <w:highlight w:val="none"/>
        </w:rPr>
      </w:pPr>
      <w:r>
        <w:rPr>
          <w:rFonts w:hint="eastAsia" w:ascii="仿宋" w:hAnsi="仿宋" w:eastAsia="仿宋" w:cs="仿宋_GB2312"/>
          <w:color w:val="auto"/>
          <w:sz w:val="24"/>
          <w:szCs w:val="20"/>
          <w:highlight w:val="none"/>
        </w:rPr>
        <w:t>▲</w:t>
      </w:r>
      <w:r>
        <w:rPr>
          <w:rFonts w:hint="eastAsia" w:ascii="仿宋" w:hAnsi="仿宋" w:eastAsia="仿宋" w:cs="仿宋_GB2312"/>
          <w:b/>
          <w:color w:val="auto"/>
          <w:sz w:val="24"/>
          <w:szCs w:val="20"/>
          <w:highlight w:val="none"/>
        </w:rPr>
        <w:t>投标人的投标文件中承</w:t>
      </w:r>
      <w:r>
        <w:rPr>
          <w:rFonts w:hint="eastAsia" w:ascii="仿宋" w:hAnsi="仿宋" w:eastAsia="仿宋" w:cs="仿宋_GB2312"/>
          <w:b/>
          <w:color w:val="auto"/>
          <w:sz w:val="24"/>
          <w:szCs w:val="21"/>
          <w:highlight w:val="none"/>
        </w:rPr>
        <w:t>诺的投标有效期少于招标文件中载明的投标有效期的，投标无效。</w:t>
      </w:r>
    </w:p>
    <w:p>
      <w:pPr>
        <w:pStyle w:val="226"/>
        <w:shd w:val="clear"/>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16.2投标文件合格投递后，自投标截止日期起，在投标有效期内有效。投标有效期内，投标人不得撤销或更换投标文件。</w:t>
      </w:r>
    </w:p>
    <w:p>
      <w:pPr>
        <w:pStyle w:val="226"/>
        <w:shd w:val="clear"/>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16.3在原定投标有效期满之前，如果出现特殊情况，采购代理机构可以以公告形式通知投标人延长投标有效期。投标人同意延长的，不得要求或被允许修改其投标文件，投标人拒绝延长的，其投标无效。</w:t>
      </w:r>
    </w:p>
    <w:p>
      <w:pPr>
        <w:pStyle w:val="226"/>
        <w:shd w:val="clear"/>
        <w:spacing w:before="0"/>
        <w:ind w:firstLine="643"/>
        <w:rPr>
          <w:rFonts w:ascii="仿宋" w:hAnsi="仿宋" w:eastAsia="仿宋" w:cs="仿宋_GB2312"/>
          <w:b/>
          <w:color w:val="auto"/>
          <w:sz w:val="32"/>
          <w:highlight w:val="none"/>
        </w:rPr>
      </w:pPr>
      <w:bookmarkStart w:id="58" w:name="_Toc91899897"/>
    </w:p>
    <w:p>
      <w:pPr>
        <w:shd w:val="clea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四、开标</w:t>
      </w:r>
      <w:bookmarkEnd w:id="58"/>
      <w:r>
        <w:rPr>
          <w:rFonts w:hint="eastAsia" w:ascii="仿宋" w:hAnsi="仿宋" w:eastAsia="仿宋" w:cs="仿宋_GB2312"/>
          <w:b/>
          <w:color w:val="auto"/>
          <w:sz w:val="32"/>
          <w:szCs w:val="20"/>
          <w:highlight w:val="none"/>
        </w:rPr>
        <w:t>、资格审查与信用信息查询</w:t>
      </w:r>
    </w:p>
    <w:p>
      <w:pPr>
        <w:pStyle w:val="449"/>
        <w:shd w:val="clear"/>
        <w:spacing w:before="0" w:line="360" w:lineRule="auto"/>
        <w:ind w:left="0" w:firstLine="482" w:firstLineChars="200"/>
        <w:contextualSpacing/>
        <w:rPr>
          <w:rFonts w:ascii="仿宋_GB2312" w:eastAsia="仿宋_GB2312"/>
          <w:color w:val="auto"/>
          <w:sz w:val="24"/>
          <w:highlight w:val="none"/>
        </w:rPr>
      </w:pPr>
      <w:r>
        <w:rPr>
          <w:rFonts w:hint="eastAsia" w:ascii="仿宋" w:hAnsi="仿宋" w:eastAsia="仿宋" w:cs="仿宋_GB2312"/>
          <w:b/>
          <w:color w:val="auto"/>
          <w:sz w:val="24"/>
          <w:szCs w:val="24"/>
          <w:highlight w:val="none"/>
        </w:rPr>
        <w:t>17.开标</w:t>
      </w:r>
    </w:p>
    <w:p>
      <w:pPr>
        <w:pStyle w:val="449"/>
        <w:shd w:val="clear"/>
        <w:spacing w:before="0" w:line="360" w:lineRule="auto"/>
        <w:ind w:left="0" w:firstLine="480" w:firstLineChars="200"/>
        <w:contextualSpacing/>
        <w:rPr>
          <w:rFonts w:ascii="仿宋" w:hAnsi="仿宋" w:eastAsia="仿宋" w:cs="仿宋_GB2312"/>
          <w:color w:val="auto"/>
          <w:sz w:val="24"/>
          <w:szCs w:val="22"/>
          <w:highlight w:val="none"/>
        </w:rPr>
      </w:pPr>
      <w:r>
        <w:rPr>
          <w:rFonts w:hint="eastAsia" w:ascii="仿宋" w:hAnsi="仿宋" w:eastAsia="仿宋" w:cs="仿宋_GB2312"/>
          <w:color w:val="auto"/>
          <w:sz w:val="24"/>
          <w:szCs w:val="22"/>
          <w:highlight w:val="none"/>
        </w:rPr>
        <w:t>17.1采购代理机构按照招标文件规定的时间通过电子交易平台组织开标，所有投标人均应当准时在线参加。投标人不足5家的，不得开标。</w:t>
      </w:r>
    </w:p>
    <w:p>
      <w:pPr>
        <w:pStyle w:val="449"/>
        <w:shd w:val="clear"/>
        <w:spacing w:before="0" w:line="360" w:lineRule="auto"/>
        <w:ind w:left="0" w:firstLine="480" w:firstLineChars="200"/>
        <w:contextualSpacing/>
        <w:rPr>
          <w:rFonts w:ascii="仿宋" w:hAnsi="仿宋" w:eastAsia="仿宋" w:cs="仿宋_GB2312"/>
          <w:color w:val="auto"/>
          <w:sz w:val="24"/>
          <w:szCs w:val="22"/>
          <w:highlight w:val="none"/>
        </w:rPr>
      </w:pPr>
      <w:r>
        <w:rPr>
          <w:rFonts w:hint="eastAsia" w:ascii="仿宋" w:hAnsi="仿宋" w:eastAsia="仿宋" w:cs="仿宋_GB2312"/>
          <w:color w:val="auto"/>
          <w:sz w:val="24"/>
          <w:szCs w:val="22"/>
          <w:highlight w:val="none"/>
        </w:rPr>
        <w:t>17.2开标时，电子交易平台按开标时间自动提取所有投标文件。采购代理机构依托电子交易平台发起开始解密指令，投标人按照平台提示和招标文件的规定在1小时内完成在线解密。</w:t>
      </w:r>
    </w:p>
    <w:p>
      <w:pPr>
        <w:pStyle w:val="449"/>
        <w:shd w:val="clear"/>
        <w:spacing w:before="0" w:line="360" w:lineRule="auto"/>
        <w:ind w:left="0" w:firstLine="482" w:firstLineChars="200"/>
        <w:contextualSpacing/>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18.资格审查</w:t>
      </w:r>
    </w:p>
    <w:p>
      <w:pPr>
        <w:pStyle w:val="449"/>
        <w:shd w:val="clear"/>
        <w:spacing w:before="0" w:line="360" w:lineRule="auto"/>
        <w:ind w:left="0" w:firstLine="480" w:firstLineChars="200"/>
        <w:contextualSpacing/>
        <w:rPr>
          <w:rFonts w:ascii="仿宋" w:hAnsi="仿宋" w:eastAsia="仿宋" w:cs="仿宋_GB2312"/>
          <w:color w:val="auto"/>
          <w:sz w:val="24"/>
          <w:szCs w:val="22"/>
          <w:highlight w:val="none"/>
        </w:rPr>
      </w:pPr>
      <w:r>
        <w:rPr>
          <w:rFonts w:hint="eastAsia" w:ascii="仿宋" w:hAnsi="仿宋" w:eastAsia="仿宋" w:cs="仿宋_GB2312"/>
          <w:color w:val="auto"/>
          <w:sz w:val="24"/>
          <w:szCs w:val="22"/>
          <w:highlight w:val="none"/>
        </w:rPr>
        <w:t>18.1开标后，采购人或采购代理机构将依法对投标人的资格进行审查。</w:t>
      </w:r>
    </w:p>
    <w:p>
      <w:pPr>
        <w:pStyle w:val="449"/>
        <w:shd w:val="clear"/>
        <w:spacing w:before="0" w:line="360" w:lineRule="auto"/>
        <w:ind w:left="0" w:firstLine="480" w:firstLineChars="200"/>
        <w:contextualSpacing/>
        <w:rPr>
          <w:rFonts w:ascii="仿宋" w:hAnsi="仿宋" w:eastAsia="仿宋" w:cs="仿宋_GB2312"/>
          <w:color w:val="auto"/>
          <w:sz w:val="24"/>
          <w:szCs w:val="22"/>
          <w:highlight w:val="none"/>
        </w:rPr>
      </w:pPr>
      <w:r>
        <w:rPr>
          <w:rFonts w:hint="eastAsia" w:ascii="仿宋" w:hAnsi="仿宋" w:eastAsia="仿宋" w:cs="仿宋_GB2312"/>
          <w:color w:val="auto"/>
          <w:sz w:val="24"/>
          <w:szCs w:val="22"/>
          <w:highlight w:val="none"/>
        </w:rPr>
        <w:t>18.2采购人或采购代理机构依据法律法规和招标文件的规定，对投标人的基本资格条件、特定资格条件进行审查。</w:t>
      </w:r>
    </w:p>
    <w:p>
      <w:pPr>
        <w:pStyle w:val="449"/>
        <w:shd w:val="clear"/>
        <w:spacing w:before="0" w:line="360" w:lineRule="auto"/>
        <w:ind w:left="0" w:firstLine="480" w:firstLineChars="200"/>
        <w:contextualSpacing/>
        <w:rPr>
          <w:rFonts w:ascii="仿宋" w:hAnsi="仿宋" w:eastAsia="仿宋" w:cs="仿宋_GB2312"/>
          <w:color w:val="auto"/>
          <w:sz w:val="24"/>
          <w:szCs w:val="22"/>
          <w:highlight w:val="none"/>
        </w:rPr>
      </w:pPr>
      <w:r>
        <w:rPr>
          <w:rFonts w:hint="eastAsia" w:ascii="仿宋" w:hAnsi="仿宋" w:eastAsia="仿宋" w:cs="仿宋_GB2312"/>
          <w:color w:val="auto"/>
          <w:sz w:val="24"/>
          <w:szCs w:val="22"/>
          <w:highlight w:val="none"/>
        </w:rPr>
        <w:t>18.3投标人未按照招标文件要求提供与基本资格条件、特定资格条件相应的有效资格证明材料的，视为投标人不具备招标文件中规定的资格要求，其投标无效。</w:t>
      </w:r>
    </w:p>
    <w:p>
      <w:pPr>
        <w:pStyle w:val="449"/>
        <w:shd w:val="clear"/>
        <w:spacing w:before="0" w:line="360" w:lineRule="auto"/>
        <w:ind w:left="0" w:firstLine="480" w:firstLineChars="200"/>
        <w:contextualSpacing/>
        <w:rPr>
          <w:rFonts w:ascii="仿宋" w:hAnsi="仿宋" w:eastAsia="仿宋" w:cs="仿宋_GB2312"/>
          <w:color w:val="auto"/>
          <w:sz w:val="24"/>
          <w:szCs w:val="22"/>
          <w:highlight w:val="none"/>
        </w:rPr>
      </w:pPr>
      <w:r>
        <w:rPr>
          <w:rFonts w:hint="eastAsia" w:ascii="仿宋" w:hAnsi="仿宋" w:eastAsia="仿宋" w:cs="仿宋_GB2312"/>
          <w:color w:val="auto"/>
          <w:sz w:val="24"/>
          <w:szCs w:val="22"/>
          <w:highlight w:val="none"/>
        </w:rPr>
        <w:t>18.4对未通过资格审查的投标人，采购人或采购代理机构告知其未通过的原因。</w:t>
      </w:r>
    </w:p>
    <w:p>
      <w:pPr>
        <w:pStyle w:val="449"/>
        <w:shd w:val="clear"/>
        <w:spacing w:before="0" w:line="360" w:lineRule="auto"/>
        <w:ind w:left="0" w:firstLine="480" w:firstLineChars="200"/>
        <w:contextualSpacing/>
        <w:rPr>
          <w:rFonts w:ascii="仿宋" w:hAnsi="仿宋" w:eastAsia="仿宋" w:cs="仿宋_GB2312"/>
          <w:color w:val="auto"/>
          <w:sz w:val="24"/>
          <w:szCs w:val="22"/>
          <w:highlight w:val="none"/>
        </w:rPr>
      </w:pPr>
      <w:r>
        <w:rPr>
          <w:rFonts w:hint="eastAsia" w:ascii="仿宋" w:hAnsi="仿宋" w:eastAsia="仿宋" w:cs="仿宋_GB2312"/>
          <w:color w:val="auto"/>
          <w:sz w:val="24"/>
          <w:szCs w:val="22"/>
          <w:highlight w:val="none"/>
        </w:rPr>
        <w:t>18.5合格投标人不足5家的，不再评标。</w:t>
      </w:r>
    </w:p>
    <w:p>
      <w:pPr>
        <w:pStyle w:val="226"/>
        <w:shd w:val="clear"/>
        <w:spacing w:before="0"/>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19.信用信息查询</w:t>
      </w:r>
    </w:p>
    <w:p>
      <w:pPr>
        <w:pStyle w:val="226"/>
        <w:shd w:val="clear"/>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19.1信用信息查询渠道及截止时间：采购人或</w:t>
      </w:r>
      <w:r>
        <w:rPr>
          <w:rFonts w:ascii="仿宋" w:hAnsi="仿宋" w:eastAsia="仿宋" w:cs="Arial"/>
          <w:color w:val="auto"/>
          <w:kern w:val="0"/>
          <w:szCs w:val="24"/>
          <w:highlight w:val="none"/>
        </w:rPr>
        <w:t>采购代理机构</w:t>
      </w:r>
      <w:r>
        <w:rPr>
          <w:rFonts w:hint="eastAsia" w:ascii="仿宋" w:hAnsi="仿宋" w:eastAsia="仿宋" w:cs="Arial"/>
          <w:color w:val="auto"/>
          <w:kern w:val="0"/>
          <w:szCs w:val="24"/>
          <w:highlight w:val="none"/>
        </w:rPr>
        <w:t>将通过“信用中国”网站(www.creditchina.gov.cn)、中国政府采购网(www.ccgp.gov.cn)渠道查询投标人投标截止时间当天的信用记录。</w:t>
      </w:r>
    </w:p>
    <w:p>
      <w:pPr>
        <w:pStyle w:val="226"/>
        <w:shd w:val="clear"/>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19.2信用信息查询记录和证据留存的具体方式：现场查询的投标人的信用记录、查询结果经确认后将与采购文件一起存档。</w:t>
      </w:r>
    </w:p>
    <w:p>
      <w:pPr>
        <w:pStyle w:val="226"/>
        <w:shd w:val="clear"/>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19.3信用信息的使用规则：经查询列入失信被执行人名单、重大税收违法案件当事人名单、政府采购严重违法失信行为记录名单的投标人将被拒绝参与政府采购活动。</w:t>
      </w:r>
    </w:p>
    <w:p>
      <w:pPr>
        <w:pStyle w:val="226"/>
        <w:shd w:val="clear"/>
        <w:spacing w:before="0"/>
        <w:ind w:firstLine="480"/>
        <w:rPr>
          <w:rFonts w:ascii="仿宋" w:hAnsi="仿宋" w:eastAsia="仿宋" w:cs="仿宋_GB2312"/>
          <w:color w:val="auto"/>
          <w:highlight w:val="none"/>
        </w:rPr>
      </w:pPr>
      <w:r>
        <w:rPr>
          <w:rFonts w:hint="eastAsia" w:ascii="仿宋" w:hAnsi="仿宋" w:eastAsia="仿宋" w:cs="Arial"/>
          <w:color w:val="auto"/>
          <w:kern w:val="0"/>
          <w:szCs w:val="24"/>
          <w:highlight w:val="none"/>
        </w:rP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auto"/>
          <w:highlight w:val="none"/>
        </w:rPr>
        <w:t>。</w:t>
      </w:r>
    </w:p>
    <w:p>
      <w:pPr>
        <w:pStyle w:val="226"/>
        <w:shd w:val="clear"/>
        <w:spacing w:before="0"/>
        <w:ind w:firstLine="0" w:firstLineChars="0"/>
        <w:rPr>
          <w:rFonts w:ascii="仿宋" w:hAnsi="仿宋" w:eastAsia="仿宋" w:cs="Arial"/>
          <w:color w:val="auto"/>
          <w:kern w:val="0"/>
          <w:szCs w:val="24"/>
          <w:highlight w:val="none"/>
        </w:rPr>
      </w:pPr>
    </w:p>
    <w:p>
      <w:pPr>
        <w:shd w:val="clear"/>
        <w:adjustRightInd/>
        <w:spacing w:line="360" w:lineRule="auto"/>
        <w:jc w:val="center"/>
        <w:outlineLvl w:val="0"/>
        <w:rPr>
          <w:rFonts w:ascii="仿宋" w:hAnsi="仿宋" w:eastAsia="仿宋" w:cs="仿宋_GB2312"/>
          <w:b/>
          <w:color w:val="auto"/>
          <w:sz w:val="32"/>
          <w:szCs w:val="20"/>
          <w:highlight w:val="none"/>
        </w:rPr>
      </w:pPr>
      <w:bookmarkStart w:id="59" w:name="_Hlt75236101"/>
      <w:bookmarkEnd w:id="59"/>
      <w:bookmarkStart w:id="60" w:name="_Toc91899902"/>
      <w:r>
        <w:rPr>
          <w:rFonts w:hint="eastAsia" w:ascii="仿宋" w:hAnsi="仿宋" w:eastAsia="仿宋" w:cs="仿宋_GB2312"/>
          <w:b/>
          <w:color w:val="auto"/>
          <w:sz w:val="32"/>
          <w:szCs w:val="20"/>
          <w:highlight w:val="none"/>
        </w:rPr>
        <w:t>五、评标</w:t>
      </w:r>
      <w:bookmarkEnd w:id="60"/>
    </w:p>
    <w:p>
      <w:pPr>
        <w:shd w:val="clear"/>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20.</w:t>
      </w:r>
      <w:r>
        <w:rPr>
          <w:rFonts w:hint="eastAsia" w:ascii="仿宋" w:hAnsi="仿宋" w:eastAsia="仿宋" w:cs="仿宋_GB2312"/>
          <w:color w:val="auto"/>
          <w:sz w:val="24"/>
          <w:highlight w:val="none"/>
        </w:rPr>
        <w:t>详见招标文件第四部分“评标方法及评分标准”。</w:t>
      </w:r>
    </w:p>
    <w:p>
      <w:pPr>
        <w:shd w:val="clear"/>
        <w:spacing w:line="360" w:lineRule="auto"/>
        <w:rPr>
          <w:rFonts w:ascii="仿宋" w:hAnsi="仿宋" w:eastAsia="仿宋" w:cs="仿宋_GB2312"/>
          <w:b/>
          <w:color w:val="auto"/>
          <w:sz w:val="24"/>
          <w:highlight w:val="none"/>
        </w:rPr>
      </w:pPr>
    </w:p>
    <w:p>
      <w:pPr>
        <w:shd w:val="clea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六、定标</w:t>
      </w:r>
    </w:p>
    <w:p>
      <w:pPr>
        <w:pStyle w:val="226"/>
        <w:shd w:val="clear"/>
        <w:snapToGrid w:val="0"/>
        <w:spacing w:before="0"/>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21. 确定中标供应商</w:t>
      </w:r>
    </w:p>
    <w:p>
      <w:pPr>
        <w:pStyle w:val="226"/>
        <w:shd w:val="clear"/>
        <w:snapToGrid w:val="0"/>
        <w:spacing w:before="0"/>
        <w:ind w:firstLine="48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采购代理机构将自评审结束之日起2个工作日内将评审报告送交采购人。采购人将自收到评审报告之日起5个工作日内在评审报告推荐的中标候选人中按顺序确定中标供应商。</w:t>
      </w:r>
    </w:p>
    <w:p>
      <w:pPr>
        <w:pStyle w:val="226"/>
        <w:shd w:val="clear"/>
        <w:snapToGrid w:val="0"/>
        <w:spacing w:before="0"/>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22. 中标通知书与中标结果公告</w:t>
      </w:r>
    </w:p>
    <w:p>
      <w:pPr>
        <w:widowControl/>
        <w:shd w:val="clear"/>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22.1采购代理机构将在自中标人确定之日起2个工作日内，发布招标公告的网站上公告中标结果，同时发出中标通知书。</w:t>
      </w:r>
    </w:p>
    <w:p>
      <w:pPr>
        <w:widowControl/>
        <w:shd w:val="clear"/>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22.2</w:t>
      </w:r>
      <w:r>
        <w:rPr>
          <w:rFonts w:ascii="仿宋" w:hAnsi="仿宋" w:eastAsia="仿宋" w:cs="仿宋_GB2312"/>
          <w:color w:val="auto"/>
          <w:sz w:val="24"/>
          <w:highlight w:val="none"/>
        </w:rPr>
        <w:t>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widowControl/>
        <w:shd w:val="clear"/>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22.3</w:t>
      </w:r>
      <w:r>
        <w:rPr>
          <w:rFonts w:ascii="仿宋" w:hAnsi="仿宋" w:eastAsia="仿宋" w:cs="仿宋_GB2312"/>
          <w:color w:val="auto"/>
          <w:sz w:val="24"/>
          <w:highlight w:val="none"/>
        </w:rPr>
        <w:t>公告期限为1个工作日。</w:t>
      </w:r>
    </w:p>
    <w:p>
      <w:pPr>
        <w:shd w:val="clear"/>
        <w:tabs>
          <w:tab w:val="left" w:pos="0"/>
        </w:tabs>
        <w:spacing w:line="360" w:lineRule="auto"/>
        <w:rPr>
          <w:rFonts w:ascii="仿宋" w:hAnsi="仿宋" w:eastAsia="仿宋"/>
          <w:color w:val="auto"/>
          <w:sz w:val="24"/>
          <w:highlight w:val="none"/>
        </w:rPr>
      </w:pPr>
    </w:p>
    <w:p>
      <w:pPr>
        <w:shd w:val="clea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七、</w:t>
      </w:r>
      <w:r>
        <w:rPr>
          <w:rFonts w:ascii="仿宋" w:hAnsi="仿宋" w:eastAsia="仿宋" w:cs="仿宋_GB2312"/>
          <w:b/>
          <w:color w:val="auto"/>
          <w:sz w:val="32"/>
          <w:szCs w:val="20"/>
          <w:highlight w:val="none"/>
        </w:rPr>
        <w:t>电子</w:t>
      </w:r>
      <w:r>
        <w:rPr>
          <w:rFonts w:hint="eastAsia" w:ascii="仿宋" w:hAnsi="仿宋" w:eastAsia="仿宋" w:cs="仿宋_GB2312"/>
          <w:b/>
          <w:color w:val="auto"/>
          <w:sz w:val="32"/>
          <w:szCs w:val="20"/>
          <w:highlight w:val="none"/>
        </w:rPr>
        <w:t>交易活动的中止</w:t>
      </w:r>
    </w:p>
    <w:p>
      <w:pPr>
        <w:pStyle w:val="226"/>
        <w:shd w:val="clear"/>
        <w:snapToGrid w:val="0"/>
        <w:spacing w:before="0"/>
        <w:ind w:firstLine="482"/>
        <w:rPr>
          <w:rFonts w:ascii="仿宋" w:hAnsi="仿宋" w:eastAsia="仿宋" w:cs="仿宋_GB2312"/>
          <w:color w:val="auto"/>
          <w:highlight w:val="none"/>
        </w:rPr>
      </w:pPr>
      <w:r>
        <w:rPr>
          <w:rFonts w:hint="eastAsia" w:ascii="仿宋" w:hAnsi="仿宋" w:eastAsia="仿宋" w:cs="仿宋_GB2312"/>
          <w:b/>
          <w:color w:val="auto"/>
          <w:highlight w:val="none"/>
        </w:rPr>
        <w:t>2</w:t>
      </w:r>
      <w:r>
        <w:rPr>
          <w:rFonts w:hint="eastAsia" w:ascii="仿宋" w:hAnsi="仿宋" w:eastAsia="仿宋" w:cs="仿宋_GB2312"/>
          <w:b/>
          <w:color w:val="auto"/>
          <w:szCs w:val="24"/>
          <w:highlight w:val="none"/>
        </w:rPr>
        <w:t>3. 电子交易活动的中止。</w:t>
      </w:r>
      <w:r>
        <w:rPr>
          <w:rFonts w:hint="eastAsia" w:ascii="仿宋" w:hAnsi="仿宋" w:eastAsia="仿宋" w:cs="仿宋_GB2312"/>
          <w:color w:val="auto"/>
          <w:highlight w:val="none"/>
        </w:rPr>
        <w:t>采购过程中出现以下情形，</w:t>
      </w:r>
      <w:r>
        <w:rPr>
          <w:rFonts w:ascii="仿宋" w:hAnsi="仿宋" w:eastAsia="仿宋" w:cs="仿宋_GB2312"/>
          <w:color w:val="auto"/>
          <w:highlight w:val="none"/>
        </w:rPr>
        <w:t>导致</w:t>
      </w:r>
      <w:r>
        <w:rPr>
          <w:rFonts w:hint="eastAsia" w:ascii="仿宋" w:hAnsi="仿宋" w:eastAsia="仿宋" w:cs="仿宋_GB2312"/>
          <w:color w:val="auto"/>
          <w:highlight w:val="none"/>
        </w:rPr>
        <w:t>电子交易平台</w:t>
      </w:r>
      <w:r>
        <w:rPr>
          <w:rFonts w:ascii="仿宋" w:hAnsi="仿宋" w:eastAsia="仿宋" w:cs="仿宋_GB2312"/>
          <w:color w:val="auto"/>
          <w:highlight w:val="none"/>
        </w:rPr>
        <w:t>无法正常运行，或者无法保证电子</w:t>
      </w:r>
      <w:r>
        <w:rPr>
          <w:rFonts w:hint="eastAsia" w:ascii="仿宋" w:hAnsi="仿宋" w:eastAsia="仿宋" w:cs="仿宋_GB2312"/>
          <w:color w:val="auto"/>
          <w:highlight w:val="none"/>
        </w:rPr>
        <w:t>交易</w:t>
      </w:r>
      <w:r>
        <w:rPr>
          <w:rFonts w:ascii="仿宋" w:hAnsi="仿宋" w:eastAsia="仿宋" w:cs="仿宋_GB2312"/>
          <w:color w:val="auto"/>
          <w:highlight w:val="none"/>
        </w:rPr>
        <w:t>的公平、公正和安全时，</w:t>
      </w:r>
      <w:r>
        <w:rPr>
          <w:rFonts w:hint="eastAsia" w:ascii="仿宋" w:hAnsi="仿宋" w:eastAsia="仿宋" w:cs="仿宋_GB2312"/>
          <w:color w:val="auto"/>
          <w:highlight w:val="none"/>
        </w:rPr>
        <w:t>采购代理机构可</w:t>
      </w:r>
      <w:r>
        <w:rPr>
          <w:rFonts w:ascii="仿宋" w:hAnsi="仿宋" w:eastAsia="仿宋" w:cs="仿宋_GB2312"/>
          <w:color w:val="auto"/>
          <w:highlight w:val="none"/>
        </w:rPr>
        <w:t>中止电子</w:t>
      </w:r>
      <w:r>
        <w:rPr>
          <w:rFonts w:hint="eastAsia" w:ascii="仿宋" w:hAnsi="仿宋" w:eastAsia="仿宋" w:cs="仿宋_GB2312"/>
          <w:color w:val="auto"/>
          <w:highlight w:val="none"/>
        </w:rPr>
        <w:t>交易活动</w:t>
      </w:r>
      <w:r>
        <w:rPr>
          <w:rFonts w:ascii="仿宋" w:hAnsi="仿宋" w:eastAsia="仿宋" w:cs="仿宋_GB2312"/>
          <w:color w:val="auto"/>
          <w:highlight w:val="none"/>
        </w:rPr>
        <w:t>：</w:t>
      </w:r>
    </w:p>
    <w:p>
      <w:pPr>
        <w:pStyle w:val="226"/>
        <w:shd w:val="clear"/>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23.1电子交易</w:t>
      </w:r>
      <w:r>
        <w:rPr>
          <w:rFonts w:ascii="仿宋" w:hAnsi="仿宋" w:eastAsia="仿宋" w:cs="仿宋_GB2312"/>
          <w:color w:val="auto"/>
          <w:highlight w:val="none"/>
        </w:rPr>
        <w:t>平台发生故障而无法</w:t>
      </w:r>
      <w:r>
        <w:rPr>
          <w:rFonts w:hint="eastAsia" w:ascii="仿宋" w:hAnsi="仿宋" w:eastAsia="仿宋" w:cs="仿宋_GB2312"/>
          <w:color w:val="auto"/>
          <w:highlight w:val="none"/>
        </w:rPr>
        <w:t>登录</w:t>
      </w:r>
      <w:r>
        <w:rPr>
          <w:rFonts w:ascii="仿宋" w:hAnsi="仿宋" w:eastAsia="仿宋" w:cs="仿宋_GB2312"/>
          <w:color w:val="auto"/>
          <w:highlight w:val="none"/>
        </w:rPr>
        <w:t>访问的</w:t>
      </w:r>
      <w:r>
        <w:rPr>
          <w:rFonts w:hint="eastAsia" w:ascii="仿宋" w:hAnsi="仿宋" w:eastAsia="仿宋" w:cs="仿宋_GB2312"/>
          <w:color w:val="auto"/>
          <w:highlight w:val="none"/>
        </w:rPr>
        <w:t>。</w:t>
      </w:r>
    </w:p>
    <w:p>
      <w:pPr>
        <w:pStyle w:val="226"/>
        <w:shd w:val="clear"/>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23.2电子交易</w:t>
      </w:r>
      <w:r>
        <w:rPr>
          <w:rFonts w:ascii="仿宋" w:hAnsi="仿宋" w:eastAsia="仿宋" w:cs="仿宋_GB2312"/>
          <w:color w:val="auto"/>
          <w:highlight w:val="none"/>
        </w:rPr>
        <w:t>平台应用或数据库出现错误，不能进行正常操作</w:t>
      </w:r>
      <w:r>
        <w:rPr>
          <w:rFonts w:hint="eastAsia" w:ascii="仿宋" w:hAnsi="仿宋" w:eastAsia="仿宋" w:cs="仿宋_GB2312"/>
          <w:color w:val="auto"/>
          <w:highlight w:val="none"/>
        </w:rPr>
        <w:t>的。</w:t>
      </w:r>
    </w:p>
    <w:p>
      <w:pPr>
        <w:pStyle w:val="226"/>
        <w:shd w:val="clear"/>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23.3电子交易</w:t>
      </w:r>
      <w:r>
        <w:rPr>
          <w:rFonts w:ascii="仿宋" w:hAnsi="仿宋" w:eastAsia="仿宋" w:cs="仿宋_GB2312"/>
          <w:color w:val="auto"/>
          <w:highlight w:val="none"/>
        </w:rPr>
        <w:t>平台发现</w:t>
      </w:r>
      <w:r>
        <w:rPr>
          <w:rFonts w:hint="eastAsia" w:ascii="仿宋" w:hAnsi="仿宋" w:eastAsia="仿宋" w:cs="仿宋_GB2312"/>
          <w:color w:val="auto"/>
          <w:highlight w:val="none"/>
        </w:rPr>
        <w:t>严重</w:t>
      </w:r>
      <w:r>
        <w:rPr>
          <w:rFonts w:ascii="仿宋" w:hAnsi="仿宋" w:eastAsia="仿宋" w:cs="仿宋_GB2312"/>
          <w:color w:val="auto"/>
          <w:highlight w:val="none"/>
        </w:rPr>
        <w:t>安全漏洞，有潜在泄密危险的</w:t>
      </w:r>
      <w:r>
        <w:rPr>
          <w:rFonts w:hint="eastAsia" w:ascii="仿宋" w:hAnsi="仿宋" w:eastAsia="仿宋" w:cs="仿宋_GB2312"/>
          <w:color w:val="auto"/>
          <w:highlight w:val="none"/>
        </w:rPr>
        <w:t>。</w:t>
      </w:r>
    </w:p>
    <w:p>
      <w:pPr>
        <w:pStyle w:val="226"/>
        <w:shd w:val="clear"/>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23.4</w:t>
      </w:r>
      <w:r>
        <w:rPr>
          <w:rFonts w:ascii="仿宋" w:hAnsi="仿宋" w:eastAsia="仿宋" w:cs="仿宋_GB2312"/>
          <w:color w:val="auto"/>
          <w:highlight w:val="none"/>
        </w:rPr>
        <w:t>病毒发作</w:t>
      </w:r>
      <w:r>
        <w:rPr>
          <w:rFonts w:hint="eastAsia" w:ascii="仿宋" w:hAnsi="仿宋" w:eastAsia="仿宋" w:cs="仿宋_GB2312"/>
          <w:color w:val="auto"/>
          <w:highlight w:val="none"/>
        </w:rPr>
        <w:t>导致不能进行</w:t>
      </w:r>
      <w:r>
        <w:rPr>
          <w:rFonts w:ascii="仿宋" w:hAnsi="仿宋" w:eastAsia="仿宋" w:cs="仿宋_GB2312"/>
          <w:color w:val="auto"/>
          <w:highlight w:val="none"/>
        </w:rPr>
        <w:t>正常操作的</w:t>
      </w:r>
      <w:r>
        <w:rPr>
          <w:rFonts w:hint="eastAsia" w:ascii="仿宋" w:hAnsi="仿宋" w:eastAsia="仿宋" w:cs="仿宋_GB2312"/>
          <w:color w:val="auto"/>
          <w:highlight w:val="none"/>
        </w:rPr>
        <w:t>。</w:t>
      </w:r>
    </w:p>
    <w:p>
      <w:pPr>
        <w:pStyle w:val="226"/>
        <w:shd w:val="clear"/>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23.5其他</w:t>
      </w:r>
      <w:r>
        <w:rPr>
          <w:rFonts w:ascii="仿宋" w:hAnsi="仿宋" w:eastAsia="仿宋" w:cs="仿宋_GB2312"/>
          <w:color w:val="auto"/>
          <w:highlight w:val="none"/>
        </w:rPr>
        <w:t>无法保证</w:t>
      </w:r>
      <w:r>
        <w:rPr>
          <w:rFonts w:hint="eastAsia" w:ascii="仿宋" w:hAnsi="仿宋" w:eastAsia="仿宋" w:cs="仿宋_GB2312"/>
          <w:color w:val="auto"/>
          <w:highlight w:val="none"/>
        </w:rPr>
        <w:t>电子交易</w:t>
      </w:r>
      <w:r>
        <w:rPr>
          <w:rFonts w:ascii="仿宋" w:hAnsi="仿宋" w:eastAsia="仿宋" w:cs="仿宋_GB2312"/>
          <w:color w:val="auto"/>
          <w:highlight w:val="none"/>
        </w:rPr>
        <w:t>的公平、公正和安全的情况。</w:t>
      </w:r>
    </w:p>
    <w:p>
      <w:pPr>
        <w:pStyle w:val="226"/>
        <w:shd w:val="clear"/>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出现</w:t>
      </w:r>
      <w:r>
        <w:rPr>
          <w:rFonts w:hint="eastAsia" w:ascii="仿宋" w:hAnsi="仿宋" w:eastAsia="仿宋" w:cs="仿宋_GB2312"/>
          <w:color w:val="auto"/>
          <w:highlight w:val="none"/>
        </w:rPr>
        <w:t>以上情形</w:t>
      </w:r>
      <w:r>
        <w:rPr>
          <w:rFonts w:ascii="仿宋" w:hAnsi="仿宋" w:eastAsia="仿宋" w:cs="仿宋_GB2312"/>
          <w:color w:val="auto"/>
          <w:highlight w:val="none"/>
        </w:rPr>
        <w:t>，</w:t>
      </w:r>
      <w:r>
        <w:rPr>
          <w:rFonts w:hint="eastAsia" w:ascii="仿宋" w:hAnsi="仿宋" w:eastAsia="仿宋" w:cs="仿宋_GB2312"/>
          <w:color w:val="auto"/>
          <w:highlight w:val="none"/>
        </w:rPr>
        <w:t>不影响采购公平、公正性的，采购组织机构可以</w:t>
      </w:r>
      <w:r>
        <w:rPr>
          <w:rFonts w:ascii="仿宋" w:hAnsi="仿宋" w:eastAsia="仿宋" w:cs="仿宋_GB2312"/>
          <w:color w:val="auto"/>
          <w:highlight w:val="none"/>
        </w:rPr>
        <w:t>待上述情形消除后继续</w:t>
      </w:r>
      <w:r>
        <w:rPr>
          <w:rFonts w:hint="eastAsia" w:ascii="仿宋" w:hAnsi="仿宋" w:eastAsia="仿宋" w:cs="仿宋_GB2312"/>
          <w:color w:val="auto"/>
          <w:highlight w:val="none"/>
        </w:rPr>
        <w:t>组织电子交易</w:t>
      </w:r>
      <w:r>
        <w:rPr>
          <w:rFonts w:ascii="仿宋" w:hAnsi="仿宋" w:eastAsia="仿宋" w:cs="仿宋_GB2312"/>
          <w:color w:val="auto"/>
          <w:highlight w:val="none"/>
        </w:rPr>
        <w:t>活动</w:t>
      </w:r>
      <w:r>
        <w:rPr>
          <w:rFonts w:hint="eastAsia" w:ascii="仿宋" w:hAnsi="仿宋" w:eastAsia="仿宋" w:cs="仿宋_GB2312"/>
          <w:color w:val="auto"/>
          <w:highlight w:val="none"/>
        </w:rPr>
        <w:t>，也可以决定某些环节以纸质形式进行；影响或可能影响</w:t>
      </w:r>
      <w:r>
        <w:rPr>
          <w:rFonts w:ascii="仿宋" w:hAnsi="仿宋" w:eastAsia="仿宋" w:cs="仿宋_GB2312"/>
          <w:color w:val="auto"/>
          <w:highlight w:val="none"/>
        </w:rPr>
        <w:t>采购公平、公正</w:t>
      </w:r>
      <w:r>
        <w:rPr>
          <w:rFonts w:hint="eastAsia" w:ascii="仿宋" w:hAnsi="仿宋" w:eastAsia="仿宋" w:cs="仿宋_GB2312"/>
          <w:color w:val="auto"/>
          <w:highlight w:val="none"/>
        </w:rPr>
        <w:t>性</w:t>
      </w:r>
      <w:r>
        <w:rPr>
          <w:rFonts w:ascii="仿宋" w:hAnsi="仿宋" w:eastAsia="仿宋" w:cs="仿宋_GB2312"/>
          <w:color w:val="auto"/>
          <w:highlight w:val="none"/>
        </w:rPr>
        <w:t>的，</w:t>
      </w:r>
      <w:r>
        <w:rPr>
          <w:rFonts w:hint="eastAsia" w:ascii="仿宋" w:hAnsi="仿宋" w:eastAsia="仿宋" w:cs="仿宋_GB2312"/>
          <w:color w:val="auto"/>
          <w:highlight w:val="none"/>
        </w:rPr>
        <w:t>应当重新采购</w:t>
      </w:r>
      <w:r>
        <w:rPr>
          <w:rFonts w:ascii="仿宋" w:hAnsi="仿宋" w:eastAsia="仿宋" w:cs="仿宋_GB2312"/>
          <w:color w:val="auto"/>
          <w:highlight w:val="none"/>
        </w:rPr>
        <w:t>。</w:t>
      </w:r>
    </w:p>
    <w:p>
      <w:pPr>
        <w:pStyle w:val="226"/>
        <w:shd w:val="clear"/>
        <w:snapToGrid w:val="0"/>
        <w:spacing w:before="0"/>
        <w:ind w:firstLine="480"/>
        <w:rPr>
          <w:rFonts w:ascii="仿宋" w:hAnsi="仿宋" w:eastAsia="仿宋" w:cs="仿宋_GB2312"/>
          <w:color w:val="auto"/>
          <w:highlight w:val="none"/>
        </w:rPr>
      </w:pPr>
    </w:p>
    <w:p>
      <w:pPr>
        <w:shd w:val="clea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八、合同授予</w:t>
      </w:r>
    </w:p>
    <w:p>
      <w:pPr>
        <w:shd w:val="clear"/>
        <w:spacing w:line="360" w:lineRule="auto"/>
        <w:ind w:firstLine="48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 xml:space="preserve">24. </w:t>
      </w:r>
      <w:r>
        <w:rPr>
          <w:rFonts w:hint="eastAsia" w:ascii="仿宋" w:hAnsi="仿宋" w:eastAsia="仿宋" w:cs="仿宋_GB2312"/>
          <w:color w:val="auto"/>
          <w:sz w:val="24"/>
          <w:highlight w:val="none"/>
        </w:rPr>
        <w:t>合同主要条款详见第五部分拟签订的合同文本。</w:t>
      </w:r>
    </w:p>
    <w:p>
      <w:pPr>
        <w:shd w:val="clear"/>
        <w:spacing w:line="360" w:lineRule="auto"/>
        <w:ind w:firstLine="48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25. 合同的签订</w:t>
      </w:r>
    </w:p>
    <w:p>
      <w:pPr>
        <w:widowControl/>
        <w:shd w:val="clear"/>
        <w:spacing w:line="360" w:lineRule="auto"/>
        <w:ind w:firstLine="480" w:firstLineChars="200"/>
        <w:jc w:val="left"/>
        <w:rPr>
          <w:rFonts w:ascii="仿宋" w:hAnsi="仿宋" w:eastAsia="仿宋" w:cs="Arial"/>
          <w:color w:val="auto"/>
          <w:kern w:val="0"/>
          <w:sz w:val="24"/>
          <w:highlight w:val="none"/>
        </w:rPr>
      </w:pPr>
      <w:r>
        <w:rPr>
          <w:rFonts w:hint="eastAsia" w:ascii="仿宋" w:hAnsi="仿宋" w:eastAsia="仿宋" w:cs="仿宋_GB2312"/>
          <w:color w:val="auto"/>
          <w:sz w:val="24"/>
          <w:highlight w:val="none"/>
        </w:rPr>
        <w:t>25.1</w:t>
      </w:r>
      <w:r>
        <w:rPr>
          <w:rFonts w:hint="eastAsia" w:ascii="仿宋" w:eastAsia="仿宋"/>
          <w:color w:val="auto"/>
          <w:kern w:val="0"/>
          <w:sz w:val="24"/>
          <w:highlight w:val="none"/>
        </w:rPr>
        <w:t>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pStyle w:val="226"/>
        <w:shd w:val="clear"/>
        <w:snapToGrid w:val="0"/>
        <w:spacing w:before="0"/>
        <w:ind w:firstLine="480"/>
        <w:rPr>
          <w:rFonts w:ascii="仿宋" w:hAnsi="仿宋" w:eastAsia="仿宋"/>
          <w:color w:val="auto"/>
          <w:kern w:val="0"/>
          <w:szCs w:val="24"/>
          <w:highlight w:val="none"/>
        </w:rPr>
      </w:pPr>
      <w:r>
        <w:rPr>
          <w:rFonts w:hint="eastAsia" w:ascii="仿宋" w:hAnsi="仿宋" w:eastAsia="仿宋" w:cs="仿宋_GB2312"/>
          <w:color w:val="auto"/>
          <w:kern w:val="0"/>
          <w:szCs w:val="24"/>
          <w:highlight w:val="none"/>
          <w:lang w:val="zh-CN"/>
        </w:rPr>
        <w:t>25.2</w:t>
      </w:r>
      <w:r>
        <w:rPr>
          <w:rFonts w:hint="eastAsia" w:ascii="仿宋" w:eastAsia="仿宋"/>
          <w:color w:val="auto"/>
          <w:kern w:val="0"/>
          <w:szCs w:val="24"/>
          <w:highlight w:val="none"/>
        </w:rPr>
        <w:t>采购人和中标人不得向对方提出任何不合理的要求作为签订合同的条件。</w:t>
      </w:r>
    </w:p>
    <w:p>
      <w:pPr>
        <w:shd w:val="clear"/>
        <w:spacing w:line="360" w:lineRule="auto"/>
        <w:ind w:firstLine="48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26. 履约保证金</w:t>
      </w:r>
    </w:p>
    <w:p>
      <w:pPr>
        <w:shd w:val="clear"/>
        <w:tabs>
          <w:tab w:val="left" w:pos="0"/>
        </w:tabs>
        <w:spacing w:line="360" w:lineRule="auto"/>
        <w:ind w:firstLine="480" w:firstLineChars="200"/>
        <w:rPr>
          <w:rFonts w:ascii="仿宋" w:hAnsi="仿宋" w:eastAsia="仿宋"/>
          <w:color w:val="auto"/>
          <w:sz w:val="24"/>
          <w:highlight w:val="none"/>
        </w:rPr>
      </w:pPr>
      <w:r>
        <w:rPr>
          <w:rFonts w:hint="eastAsia" w:ascii="仿宋" w:hAnsi="仿宋" w:eastAsia="仿宋" w:cs="Helvetica"/>
          <w:color w:val="auto"/>
          <w:kern w:val="0"/>
          <w:sz w:val="24"/>
          <w:highlight w:val="none"/>
        </w:rPr>
        <w:t>不收取履约保证金</w:t>
      </w:r>
      <w:r>
        <w:rPr>
          <w:rFonts w:hint="eastAsia" w:ascii="仿宋" w:hAnsi="仿宋" w:eastAsia="仿宋"/>
          <w:color w:val="auto"/>
          <w:sz w:val="24"/>
          <w:highlight w:val="none"/>
        </w:rPr>
        <w:t>。</w:t>
      </w:r>
    </w:p>
    <w:p>
      <w:pPr>
        <w:shd w:val="clea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snapToGrid w:val="0"/>
          <w:color w:val="auto"/>
          <w:kern w:val="0"/>
          <w:sz w:val="32"/>
          <w:szCs w:val="20"/>
          <w:highlight w:val="none"/>
        </w:rPr>
        <w:t>九、</w:t>
      </w:r>
      <w:r>
        <w:rPr>
          <w:rFonts w:hint="eastAsia" w:ascii="仿宋" w:hAnsi="仿宋" w:eastAsia="仿宋" w:cs="仿宋_GB2312"/>
          <w:b/>
          <w:color w:val="auto"/>
          <w:sz w:val="32"/>
          <w:szCs w:val="20"/>
          <w:highlight w:val="none"/>
        </w:rPr>
        <w:t>合同公示</w:t>
      </w:r>
    </w:p>
    <w:p>
      <w:pPr>
        <w:shd w:val="clear"/>
        <w:snapToGrid w:val="0"/>
        <w:spacing w:line="360" w:lineRule="auto"/>
        <w:ind w:firstLine="482" w:firstLineChars="200"/>
        <w:jc w:val="left"/>
        <w:rPr>
          <w:rFonts w:ascii="仿宋" w:hAnsi="仿宋" w:eastAsia="仿宋"/>
          <w:b/>
          <w:bCs/>
          <w:color w:val="auto"/>
          <w:sz w:val="24"/>
          <w:highlight w:val="none"/>
        </w:rPr>
      </w:pPr>
      <w:r>
        <w:rPr>
          <w:rFonts w:hint="eastAsia" w:ascii="仿宋" w:hAnsi="仿宋" w:eastAsia="仿宋"/>
          <w:b/>
          <w:bCs/>
          <w:color w:val="auto"/>
          <w:sz w:val="24"/>
          <w:highlight w:val="none"/>
        </w:rPr>
        <w:t>27. 合同公示</w:t>
      </w:r>
    </w:p>
    <w:p>
      <w:pPr>
        <w:shd w:val="clear"/>
        <w:adjustRightInd/>
        <w:spacing w:line="360" w:lineRule="auto"/>
        <w:ind w:firstLine="480" w:firstLineChars="200"/>
        <w:outlineLvl w:val="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采购人将在采购合同签订之日起2个工作日内，将采购合同在浙江政府采购网公告，但采购合同中涉及国家秘密、商业秘密的内容除外。</w:t>
      </w:r>
    </w:p>
    <w:p>
      <w:pPr>
        <w:shd w:val="clear"/>
        <w:snapToGrid w:val="0"/>
        <w:spacing w:line="360" w:lineRule="auto"/>
        <w:ind w:firstLine="482" w:firstLineChars="200"/>
        <w:jc w:val="left"/>
        <w:rPr>
          <w:rFonts w:ascii="仿宋" w:hAnsi="仿宋" w:eastAsia="仿宋"/>
          <w:b/>
          <w:bCs/>
          <w:color w:val="auto"/>
          <w:sz w:val="24"/>
          <w:highlight w:val="none"/>
        </w:rPr>
      </w:pPr>
      <w:r>
        <w:rPr>
          <w:rFonts w:hint="eastAsia" w:ascii="仿宋" w:hAnsi="仿宋" w:eastAsia="仿宋"/>
          <w:b/>
          <w:bCs/>
          <w:color w:val="auto"/>
          <w:sz w:val="24"/>
          <w:highlight w:val="none"/>
        </w:rPr>
        <w:t>28.合同备案</w:t>
      </w:r>
    </w:p>
    <w:p>
      <w:pPr>
        <w:shd w:val="clear"/>
        <w:adjustRightInd/>
        <w:spacing w:line="360" w:lineRule="auto"/>
        <w:ind w:firstLine="480" w:firstLineChars="200"/>
        <w:outlineLvl w:val="0"/>
        <w:rPr>
          <w:rFonts w:ascii="仿宋" w:hAnsi="仿宋" w:eastAsia="仿宋" w:cs="仿宋_GB2312"/>
          <w:b/>
          <w:snapToGrid w:val="0"/>
          <w:color w:val="auto"/>
          <w:kern w:val="0"/>
          <w:sz w:val="32"/>
          <w:szCs w:val="20"/>
          <w:highlight w:val="none"/>
        </w:rPr>
      </w:pPr>
      <w:r>
        <w:rPr>
          <w:rFonts w:hint="eastAsia" w:ascii="仿宋" w:hAnsi="仿宋" w:eastAsia="仿宋"/>
          <w:color w:val="auto"/>
          <w:sz w:val="24"/>
          <w:highlight w:val="none"/>
        </w:rPr>
        <w:t>采购人原则上应于采购结果公告发布之日起10日内，将采购合同在政采云系统上备案，最迟不得超过30日。</w:t>
      </w:r>
    </w:p>
    <w:p>
      <w:pPr>
        <w:shd w:val="clear"/>
        <w:snapToGrid w:val="0"/>
        <w:spacing w:line="360" w:lineRule="auto"/>
        <w:ind w:left="120" w:leftChars="57" w:firstLine="360" w:firstLineChars="150"/>
        <w:jc w:val="center"/>
        <w:rPr>
          <w:rFonts w:ascii="仿宋" w:hAnsi="仿宋" w:eastAsia="仿宋"/>
          <w:color w:val="auto"/>
          <w:sz w:val="24"/>
          <w:highlight w:val="none"/>
        </w:rPr>
      </w:pPr>
    </w:p>
    <w:p>
      <w:pPr>
        <w:shd w:val="clea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十、履约验收</w:t>
      </w:r>
    </w:p>
    <w:p>
      <w:pPr>
        <w:shd w:val="clear"/>
        <w:spacing w:line="360" w:lineRule="auto"/>
        <w:ind w:firstLine="48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28.履约验收</w:t>
      </w:r>
    </w:p>
    <w:p>
      <w:pPr>
        <w:shd w:val="clea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28.1采购人自行组织或委托采购代理机构对供应商进行履约验收，出具验收书，存档备查。如果发现与合同中要求不符，供应商须承担由此发生的一切损失和费用，并承担相应的法律责任。</w:t>
      </w:r>
    </w:p>
    <w:p>
      <w:pPr>
        <w:shd w:val="clea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28.2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pPr>
        <w:shd w:val="clea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28.3采购人可以邀请参加本项目的其他投标人或者第三方机构参与验收。参与验收的投标人或者第三方机构的意见作为验收书的参考资料一并存档。</w:t>
      </w:r>
    </w:p>
    <w:p>
      <w:pPr>
        <w:shd w:val="clea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28.4政府向社会公众提供的公共服务项目验收时应当邀请服务对象参与并出具意见，验收结果应当向社会公告。</w:t>
      </w:r>
    </w:p>
    <w:p>
      <w:pPr>
        <w:shd w:val="clea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28.5 采购合同的履行、违约责任和解决争议的方式等适用《中华人民共和国合同法》。</w:t>
      </w:r>
    </w:p>
    <w:p>
      <w:pPr>
        <w:shd w:val="clea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28.6供应商在履约过程中有政府采购法律法规规定的违法违规情形的，采购人应当及时报告本级财政部门。</w:t>
      </w:r>
    </w:p>
    <w:p>
      <w:pPr>
        <w:shd w:val="clear"/>
        <w:tabs>
          <w:tab w:val="left" w:pos="0"/>
        </w:tabs>
        <w:spacing w:line="360" w:lineRule="auto"/>
        <w:jc w:val="left"/>
        <w:rPr>
          <w:rFonts w:ascii="仿宋" w:hAnsi="仿宋" w:eastAsia="仿宋"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38"/>
    <w:bookmarkEnd w:id="39"/>
    <w:p>
      <w:pPr>
        <w:shd w:val="clear"/>
        <w:spacing w:line="360" w:lineRule="auto"/>
        <w:jc w:val="center"/>
        <w:outlineLvl w:val="0"/>
        <w:rPr>
          <w:rFonts w:ascii="仿宋" w:hAnsi="仿宋" w:eastAsia="仿宋" w:cs="仿宋_GB2312"/>
          <w:b/>
          <w:color w:val="auto"/>
          <w:sz w:val="36"/>
          <w:szCs w:val="36"/>
          <w:highlight w:val="none"/>
        </w:rPr>
      </w:pPr>
      <w:bookmarkStart w:id="61" w:name="第四部分"/>
      <w:r>
        <w:rPr>
          <w:rFonts w:hint="eastAsia" w:ascii="仿宋" w:hAnsi="仿宋" w:eastAsia="仿宋" w:cs="仿宋_GB2312"/>
          <w:b/>
          <w:color w:val="auto"/>
          <w:sz w:val="36"/>
          <w:szCs w:val="36"/>
          <w:highlight w:val="none"/>
        </w:rPr>
        <w:t>第三部分   采购需求</w:t>
      </w:r>
    </w:p>
    <w:p>
      <w:pPr>
        <w:shd w:val="clear"/>
        <w:snapToGrid w:val="0"/>
        <w:spacing w:line="360" w:lineRule="auto"/>
        <w:jc w:val="left"/>
        <w:rPr>
          <w:rFonts w:ascii="仿宋" w:hAnsi="仿宋" w:eastAsia="仿宋" w:cs="仿宋_GB2312"/>
          <w:b/>
          <w:i/>
          <w:color w:val="auto"/>
          <w:sz w:val="22"/>
          <w:szCs w:val="36"/>
          <w:highlight w:val="none"/>
        </w:rPr>
      </w:pPr>
    </w:p>
    <w:p>
      <w:pPr>
        <w:shd w:val="clear"/>
        <w:snapToGrid w:val="0"/>
        <w:spacing w:beforeLines="50" w:afterLines="50"/>
        <w:rPr>
          <w:rFonts w:ascii="仿宋" w:hAnsi="仿宋" w:eastAsia="仿宋"/>
          <w:color w:val="auto"/>
          <w:sz w:val="24"/>
          <w:highlight w:val="none"/>
        </w:rPr>
      </w:pPr>
      <w:r>
        <w:rPr>
          <w:rFonts w:hint="eastAsia" w:ascii="仿宋" w:hAnsi="仿宋" w:eastAsia="仿宋"/>
          <w:color w:val="auto"/>
          <w:sz w:val="24"/>
          <w:highlight w:val="none"/>
        </w:rPr>
        <w:t>特别说明：</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1.需求中不允许偏离的实质性要求和条件，以“▲”号标明。</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s="仿宋_GB2312"/>
          <w:color w:val="auto"/>
          <w:sz w:val="24"/>
          <w:highlight w:val="none"/>
        </w:rPr>
        <w:t>单</w:t>
      </w:r>
      <w:r>
        <w:rPr>
          <w:rFonts w:ascii="仿宋" w:hAnsi="仿宋" w:eastAsia="仿宋" w:cs="仿宋_GB2312"/>
          <w:color w:val="auto"/>
          <w:sz w:val="24"/>
          <w:highlight w:val="none"/>
        </w:rPr>
        <w:t>一产品采购项目</w:t>
      </w:r>
      <w:r>
        <w:rPr>
          <w:rFonts w:hint="eastAsia" w:ascii="仿宋" w:hAnsi="仿宋" w:eastAsia="仿宋" w:cs="仿宋_GB2312"/>
          <w:color w:val="auto"/>
          <w:sz w:val="24"/>
          <w:highlight w:val="none"/>
        </w:rPr>
        <w:t>中的该产品或者非</w:t>
      </w:r>
      <w:r>
        <w:rPr>
          <w:rFonts w:ascii="仿宋" w:hAnsi="仿宋" w:eastAsia="仿宋" w:cs="仿宋_GB2312"/>
          <w:color w:val="auto"/>
          <w:sz w:val="24"/>
          <w:highlight w:val="none"/>
        </w:rPr>
        <w:t>单一产品采购项目</w:t>
      </w:r>
      <w:r>
        <w:rPr>
          <w:rFonts w:hint="eastAsia" w:ascii="仿宋" w:hAnsi="仿宋" w:eastAsia="仿宋" w:cs="仿宋_GB2312"/>
          <w:color w:val="auto"/>
          <w:sz w:val="24"/>
          <w:highlight w:val="none"/>
        </w:rPr>
        <w:t>的核心产品，以</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标明。</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pPr>
        <w:shd w:val="clear"/>
        <w:snapToGrid w:val="0"/>
        <w:spacing w:line="360" w:lineRule="auto"/>
        <w:rPr>
          <w:rFonts w:ascii="仿宋" w:hAnsi="仿宋" w:eastAsia="仿宋" w:cs="Arial"/>
          <w:color w:val="auto"/>
          <w:kern w:val="0"/>
          <w:sz w:val="24"/>
          <w:highlight w:val="none"/>
        </w:rPr>
      </w:pPr>
    </w:p>
    <w:p>
      <w:pPr>
        <w:shd w:val="clear"/>
        <w:snapToGrid w:val="0"/>
        <w:spacing w:line="360" w:lineRule="auto"/>
        <w:rPr>
          <w:rFonts w:ascii="仿宋" w:hAnsi="仿宋" w:eastAsia="仿宋" w:cs="Arial"/>
          <w:color w:val="auto"/>
          <w:kern w:val="0"/>
          <w:sz w:val="24"/>
          <w:highlight w:val="none"/>
        </w:rPr>
      </w:pPr>
    </w:p>
    <w:p>
      <w:pPr>
        <w:shd w:val="clear"/>
        <w:snapToGrid w:val="0"/>
        <w:spacing w:line="360" w:lineRule="auto"/>
        <w:rPr>
          <w:rFonts w:ascii="仿宋" w:hAnsi="仿宋" w:eastAsia="仿宋" w:cs="Arial"/>
          <w:color w:val="auto"/>
          <w:kern w:val="0"/>
          <w:sz w:val="24"/>
          <w:highlight w:val="none"/>
        </w:rPr>
      </w:pPr>
    </w:p>
    <w:p>
      <w:pPr>
        <w:shd w:val="clear"/>
        <w:snapToGrid w:val="0"/>
        <w:spacing w:line="360" w:lineRule="auto"/>
        <w:rPr>
          <w:rFonts w:ascii="仿宋" w:hAnsi="仿宋" w:eastAsia="仿宋" w:cs="Arial"/>
          <w:color w:val="auto"/>
          <w:kern w:val="0"/>
          <w:sz w:val="24"/>
          <w:highlight w:val="none"/>
        </w:rPr>
      </w:pPr>
    </w:p>
    <w:p>
      <w:pPr>
        <w:shd w:val="clear"/>
        <w:snapToGrid w:val="0"/>
        <w:spacing w:line="360" w:lineRule="auto"/>
        <w:rPr>
          <w:rFonts w:ascii="仿宋" w:hAnsi="仿宋" w:eastAsia="仿宋" w:cs="Arial"/>
          <w:color w:val="auto"/>
          <w:kern w:val="0"/>
          <w:sz w:val="24"/>
          <w:highlight w:val="none"/>
        </w:rPr>
      </w:pPr>
    </w:p>
    <w:p>
      <w:pPr>
        <w:shd w:val="clear"/>
        <w:snapToGrid w:val="0"/>
        <w:spacing w:line="360" w:lineRule="auto"/>
        <w:rPr>
          <w:rFonts w:ascii="仿宋" w:hAnsi="仿宋" w:eastAsia="仿宋" w:cs="Arial"/>
          <w:color w:val="auto"/>
          <w:kern w:val="0"/>
          <w:sz w:val="24"/>
          <w:highlight w:val="none"/>
        </w:rPr>
      </w:pPr>
    </w:p>
    <w:p>
      <w:pPr>
        <w:shd w:val="clear"/>
        <w:snapToGrid w:val="0"/>
        <w:spacing w:line="360" w:lineRule="auto"/>
        <w:rPr>
          <w:rFonts w:ascii="仿宋" w:hAnsi="仿宋" w:eastAsia="仿宋" w:cs="Arial"/>
          <w:color w:val="auto"/>
          <w:kern w:val="0"/>
          <w:sz w:val="24"/>
          <w:highlight w:val="none"/>
        </w:rPr>
      </w:pPr>
    </w:p>
    <w:p>
      <w:pPr>
        <w:shd w:val="clear"/>
        <w:snapToGrid w:val="0"/>
        <w:spacing w:line="360" w:lineRule="auto"/>
        <w:rPr>
          <w:rFonts w:ascii="仿宋" w:hAnsi="仿宋" w:eastAsia="仿宋" w:cs="Arial"/>
          <w:color w:val="auto"/>
          <w:kern w:val="0"/>
          <w:sz w:val="24"/>
          <w:highlight w:val="none"/>
        </w:rPr>
      </w:pPr>
    </w:p>
    <w:p>
      <w:pPr>
        <w:shd w:val="clear"/>
        <w:snapToGrid w:val="0"/>
        <w:spacing w:line="360" w:lineRule="auto"/>
        <w:rPr>
          <w:rFonts w:ascii="仿宋" w:hAnsi="仿宋" w:eastAsia="仿宋" w:cs="Arial"/>
          <w:color w:val="auto"/>
          <w:kern w:val="0"/>
          <w:sz w:val="24"/>
          <w:highlight w:val="none"/>
        </w:rPr>
      </w:pPr>
    </w:p>
    <w:p>
      <w:pPr>
        <w:shd w:val="clear"/>
        <w:snapToGrid w:val="0"/>
        <w:spacing w:line="360" w:lineRule="auto"/>
        <w:rPr>
          <w:rFonts w:ascii="仿宋" w:hAnsi="仿宋" w:eastAsia="仿宋" w:cs="Arial"/>
          <w:color w:val="auto"/>
          <w:kern w:val="0"/>
          <w:sz w:val="24"/>
          <w:highlight w:val="none"/>
        </w:rPr>
      </w:pPr>
    </w:p>
    <w:p>
      <w:pPr>
        <w:shd w:val="clear"/>
        <w:snapToGrid w:val="0"/>
        <w:spacing w:line="360" w:lineRule="auto"/>
        <w:rPr>
          <w:rFonts w:ascii="仿宋" w:hAnsi="仿宋" w:eastAsia="仿宋" w:cs="Arial"/>
          <w:color w:val="auto"/>
          <w:kern w:val="0"/>
          <w:sz w:val="24"/>
          <w:highlight w:val="none"/>
        </w:rPr>
      </w:pPr>
    </w:p>
    <w:p>
      <w:pPr>
        <w:shd w:val="clear"/>
        <w:snapToGrid w:val="0"/>
        <w:spacing w:line="360" w:lineRule="auto"/>
        <w:rPr>
          <w:rFonts w:ascii="仿宋" w:hAnsi="仿宋" w:eastAsia="仿宋" w:cs="Arial"/>
          <w:color w:val="auto"/>
          <w:kern w:val="0"/>
          <w:sz w:val="24"/>
          <w:highlight w:val="none"/>
        </w:rPr>
      </w:pPr>
    </w:p>
    <w:p>
      <w:pPr>
        <w:shd w:val="clear"/>
        <w:snapToGrid w:val="0"/>
        <w:spacing w:line="360" w:lineRule="auto"/>
        <w:rPr>
          <w:rFonts w:ascii="仿宋" w:hAnsi="仿宋" w:eastAsia="仿宋" w:cs="Arial"/>
          <w:color w:val="auto"/>
          <w:kern w:val="0"/>
          <w:sz w:val="24"/>
          <w:highlight w:val="none"/>
        </w:rPr>
      </w:pPr>
    </w:p>
    <w:p>
      <w:pPr>
        <w:shd w:val="clear"/>
        <w:snapToGrid w:val="0"/>
        <w:spacing w:line="360" w:lineRule="auto"/>
        <w:rPr>
          <w:rFonts w:ascii="仿宋" w:hAnsi="仿宋" w:eastAsia="仿宋" w:cs="Arial"/>
          <w:color w:val="auto"/>
          <w:kern w:val="0"/>
          <w:sz w:val="24"/>
          <w:highlight w:val="none"/>
        </w:rPr>
      </w:pPr>
    </w:p>
    <w:p>
      <w:pPr>
        <w:shd w:val="clear"/>
        <w:snapToGrid w:val="0"/>
        <w:spacing w:line="360" w:lineRule="auto"/>
        <w:rPr>
          <w:rFonts w:ascii="仿宋" w:hAnsi="仿宋" w:eastAsia="仿宋" w:cs="Arial"/>
          <w:color w:val="auto"/>
          <w:kern w:val="0"/>
          <w:sz w:val="24"/>
          <w:highlight w:val="none"/>
        </w:rPr>
      </w:pPr>
    </w:p>
    <w:p>
      <w:pPr>
        <w:shd w:val="clear"/>
        <w:snapToGrid w:val="0"/>
        <w:spacing w:line="360" w:lineRule="auto"/>
        <w:rPr>
          <w:rFonts w:ascii="仿宋" w:hAnsi="仿宋" w:eastAsia="仿宋" w:cs="Arial"/>
          <w:color w:val="auto"/>
          <w:kern w:val="0"/>
          <w:sz w:val="24"/>
          <w:highlight w:val="none"/>
        </w:rPr>
      </w:pPr>
    </w:p>
    <w:p>
      <w:pPr>
        <w:shd w:val="clear"/>
        <w:snapToGrid w:val="0"/>
        <w:spacing w:line="360" w:lineRule="auto"/>
        <w:rPr>
          <w:rFonts w:ascii="仿宋" w:hAnsi="仿宋" w:eastAsia="仿宋" w:cs="Arial"/>
          <w:color w:val="auto"/>
          <w:kern w:val="0"/>
          <w:sz w:val="24"/>
          <w:highlight w:val="none"/>
        </w:rPr>
      </w:pPr>
    </w:p>
    <w:p>
      <w:pPr>
        <w:shd w:val="clear"/>
        <w:snapToGrid w:val="0"/>
        <w:spacing w:line="360" w:lineRule="auto"/>
        <w:rPr>
          <w:rFonts w:ascii="仿宋" w:hAnsi="仿宋" w:eastAsia="仿宋" w:cs="Arial"/>
          <w:color w:val="auto"/>
          <w:kern w:val="0"/>
          <w:sz w:val="24"/>
          <w:highlight w:val="none"/>
        </w:rPr>
      </w:pPr>
    </w:p>
    <w:p>
      <w:pPr>
        <w:shd w:val="clear"/>
        <w:snapToGrid w:val="0"/>
        <w:spacing w:line="360" w:lineRule="auto"/>
        <w:rPr>
          <w:rFonts w:ascii="仿宋" w:hAnsi="仿宋" w:eastAsia="仿宋" w:cs="Arial"/>
          <w:color w:val="auto"/>
          <w:kern w:val="0"/>
          <w:sz w:val="24"/>
          <w:highlight w:val="none"/>
        </w:rPr>
      </w:pPr>
    </w:p>
    <w:p>
      <w:pPr>
        <w:shd w:val="clear"/>
        <w:snapToGrid w:val="0"/>
        <w:spacing w:line="360" w:lineRule="auto"/>
        <w:rPr>
          <w:rFonts w:ascii="仿宋" w:hAnsi="仿宋" w:eastAsia="仿宋" w:cs="Arial"/>
          <w:color w:val="auto"/>
          <w:kern w:val="0"/>
          <w:sz w:val="24"/>
          <w:highlight w:val="none"/>
        </w:rPr>
      </w:pPr>
    </w:p>
    <w:p>
      <w:pPr>
        <w:shd w:val="clear"/>
        <w:rPr>
          <w:rFonts w:ascii="仿宋" w:hAnsi="仿宋" w:eastAsia="仿宋"/>
          <w:b/>
          <w:color w:val="auto"/>
          <w:sz w:val="28"/>
          <w:szCs w:val="28"/>
          <w:highlight w:val="none"/>
        </w:rPr>
      </w:pPr>
      <w:r>
        <w:rPr>
          <w:rFonts w:hint="eastAsia" w:ascii="仿宋" w:hAnsi="仿宋" w:eastAsia="仿宋" w:cs="仿宋_GB2312"/>
          <w:b/>
          <w:color w:val="auto"/>
          <w:sz w:val="32"/>
          <w:highlight w:val="none"/>
        </w:rPr>
        <w:br w:type="page"/>
      </w:r>
      <w:r>
        <w:rPr>
          <w:rFonts w:hint="eastAsia" w:ascii="仿宋" w:hAnsi="仿宋" w:eastAsia="仿宋" w:cs="仿宋_GB2312"/>
          <w:b/>
          <w:color w:val="auto"/>
          <w:sz w:val="32"/>
          <w:highlight w:val="none"/>
        </w:rPr>
        <w:t>一、服务清单及要求</w:t>
      </w:r>
    </w:p>
    <w:p>
      <w:pPr>
        <w:shd w:val="clear"/>
        <w:adjustRightInd/>
        <w:spacing w:line="440" w:lineRule="exact"/>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1.1项目概况：</w:t>
      </w:r>
    </w:p>
    <w:p>
      <w:pPr>
        <w:widowControl/>
        <w:shd w:val="clear"/>
        <w:overflowPunct w:val="0"/>
        <w:autoSpaceDE w:val="0"/>
        <w:autoSpaceDN w:val="0"/>
        <w:spacing w:line="440" w:lineRule="exact"/>
        <w:ind w:firstLine="480" w:firstLineChars="200"/>
        <w:jc w:val="left"/>
        <w:textAlignment w:val="baseline"/>
        <w:rPr>
          <w:rFonts w:ascii="仿宋" w:hAnsi="仿宋" w:eastAsia="仿宋"/>
          <w:bCs/>
          <w:color w:val="auto"/>
          <w:kern w:val="0"/>
          <w:sz w:val="24"/>
          <w:highlight w:val="none"/>
        </w:rPr>
      </w:pPr>
      <w:r>
        <w:rPr>
          <w:rFonts w:hint="eastAsia" w:ascii="仿宋" w:hAnsi="仿宋" w:eastAsia="仿宋"/>
          <w:bCs/>
          <w:color w:val="auto"/>
          <w:kern w:val="0"/>
          <w:sz w:val="24"/>
          <w:highlight w:val="none"/>
        </w:rPr>
        <w:t>1.1.1①各工程类、货物类、服务类等项目的招标文件编制、招投标流程操作（包括政采云）、招投标资料整理制作（至少提供业主一正一副两套档案资料及电子版档案）、上传等招标代理咨询服务；②标底编制（包括标底编制时材料价格的市场询价）、标底审核、工程审计、中标单位商务标的复核及审定、标底中发现漏项缺项等差错的复核（若有）、联系单复核；③省、市、区或其他主管理部门对中标服务单位有特殊要求的，采购人有权另选咨询服务单位。</w:t>
      </w:r>
    </w:p>
    <w:p>
      <w:pPr>
        <w:widowControl/>
        <w:shd w:val="clear"/>
        <w:overflowPunct w:val="0"/>
        <w:autoSpaceDE w:val="0"/>
        <w:autoSpaceDN w:val="0"/>
        <w:spacing w:line="440" w:lineRule="exact"/>
        <w:ind w:firstLine="480" w:firstLineChars="200"/>
        <w:jc w:val="left"/>
        <w:textAlignment w:val="baseline"/>
        <w:rPr>
          <w:rFonts w:ascii="仿宋" w:hAnsi="仿宋" w:eastAsia="仿宋"/>
          <w:color w:val="auto"/>
          <w:kern w:val="0"/>
          <w:sz w:val="24"/>
          <w:szCs w:val="21"/>
          <w:highlight w:val="none"/>
        </w:rPr>
      </w:pPr>
      <w:r>
        <w:rPr>
          <w:rFonts w:hint="eastAsia" w:ascii="仿宋" w:hAnsi="仿宋" w:eastAsia="仿宋"/>
          <w:color w:val="auto"/>
          <w:kern w:val="0"/>
          <w:sz w:val="24"/>
          <w:szCs w:val="21"/>
          <w:highlight w:val="none"/>
        </w:rPr>
        <w:t>1.2服务要求、服务范围：</w:t>
      </w:r>
    </w:p>
    <w:p>
      <w:pPr>
        <w:widowControl/>
        <w:shd w:val="clear"/>
        <w:overflowPunct w:val="0"/>
        <w:autoSpaceDE w:val="0"/>
        <w:autoSpaceDN w:val="0"/>
        <w:spacing w:line="440" w:lineRule="exact"/>
        <w:ind w:firstLine="480" w:firstLineChars="200"/>
        <w:jc w:val="left"/>
        <w:textAlignment w:val="baseline"/>
        <w:rPr>
          <w:rFonts w:ascii="仿宋" w:hAnsi="仿宋" w:eastAsia="仿宋"/>
          <w:bCs/>
          <w:color w:val="auto"/>
          <w:kern w:val="0"/>
          <w:sz w:val="24"/>
          <w:highlight w:val="none"/>
        </w:rPr>
      </w:pPr>
      <w:r>
        <w:rPr>
          <w:rFonts w:hint="eastAsia" w:ascii="仿宋" w:hAnsi="仿宋" w:eastAsia="仿宋"/>
          <w:bCs/>
          <w:color w:val="auto"/>
          <w:kern w:val="0"/>
          <w:sz w:val="24"/>
          <w:highlight w:val="none"/>
        </w:rPr>
        <w:t>1.2.1项目工作在业主的牵头下，按招标投标法律法规、工程审计法律法规和业主的要求，组织实施工程全程招标工作及造价咨询工作（包括但不限于以下内容）：</w:t>
      </w:r>
    </w:p>
    <w:p>
      <w:pPr>
        <w:widowControl/>
        <w:shd w:val="clear"/>
        <w:overflowPunct w:val="0"/>
        <w:autoSpaceDE w:val="0"/>
        <w:autoSpaceDN w:val="0"/>
        <w:spacing w:line="440" w:lineRule="exact"/>
        <w:ind w:firstLine="480" w:firstLineChars="200"/>
        <w:jc w:val="left"/>
        <w:textAlignment w:val="baseline"/>
        <w:rPr>
          <w:rFonts w:ascii="仿宋" w:hAnsi="仿宋" w:eastAsia="仿宋"/>
          <w:bCs/>
          <w:color w:val="auto"/>
          <w:kern w:val="0"/>
          <w:sz w:val="24"/>
          <w:highlight w:val="none"/>
        </w:rPr>
      </w:pPr>
      <w:r>
        <w:rPr>
          <w:rFonts w:hint="eastAsia" w:ascii="仿宋" w:hAnsi="仿宋" w:eastAsia="仿宋"/>
          <w:bCs/>
          <w:color w:val="auto"/>
          <w:kern w:val="0"/>
          <w:sz w:val="24"/>
          <w:highlight w:val="none"/>
        </w:rPr>
        <w:t>1.2.1.1招标组织工作：包括招标实施（含招标进度计划）方案制定、招标公告、招标文件的拟定、招标答疑、开标评标、中标单位商务标复核及审定、招投标资料整理制作上传、参与工程施工合同的拟定等服务；</w:t>
      </w:r>
    </w:p>
    <w:p>
      <w:pPr>
        <w:widowControl/>
        <w:shd w:val="clear"/>
        <w:overflowPunct w:val="0"/>
        <w:autoSpaceDE w:val="0"/>
        <w:autoSpaceDN w:val="0"/>
        <w:spacing w:line="440" w:lineRule="exact"/>
        <w:ind w:firstLine="480" w:firstLineChars="200"/>
        <w:jc w:val="left"/>
        <w:textAlignment w:val="baseline"/>
        <w:rPr>
          <w:rFonts w:ascii="仿宋" w:hAnsi="仿宋" w:eastAsia="仿宋"/>
          <w:bCs/>
          <w:color w:val="auto"/>
          <w:kern w:val="0"/>
          <w:sz w:val="24"/>
          <w:highlight w:val="none"/>
        </w:rPr>
      </w:pPr>
      <w:r>
        <w:rPr>
          <w:rFonts w:hint="eastAsia" w:ascii="仿宋" w:hAnsi="仿宋" w:eastAsia="仿宋"/>
          <w:bCs/>
          <w:color w:val="auto"/>
          <w:kern w:val="0"/>
          <w:sz w:val="24"/>
          <w:highlight w:val="none"/>
        </w:rPr>
        <w:t>1.2.1.2标底编制及审核工作：包括标底编制（含标底报审和提供钢筋翻样及预埋件重量计算书、汇总表及工程量清单计算稿和汇总表）、无价材料采价、报审、现场踏看、标底中发现漏项缺项等差错的复核（若有）、联系单审核</w:t>
      </w:r>
      <w:r>
        <w:rPr>
          <w:rFonts w:hint="eastAsia" w:ascii="仿宋" w:hAnsi="仿宋" w:eastAsia="仿宋"/>
          <w:bCs/>
          <w:color w:val="auto"/>
          <w:kern w:val="0"/>
          <w:sz w:val="24"/>
          <w:highlight w:val="none"/>
          <w:lang w:eastAsia="zh-CN"/>
        </w:rPr>
        <w:t>、</w:t>
      </w:r>
      <w:r>
        <w:rPr>
          <w:rFonts w:hint="eastAsia" w:ascii="仿宋" w:hAnsi="仿宋" w:eastAsia="仿宋"/>
          <w:bCs/>
          <w:color w:val="auto"/>
          <w:kern w:val="0"/>
          <w:sz w:val="24"/>
          <w:highlight w:val="none"/>
        </w:rPr>
        <w:t>并出具成果文件；</w:t>
      </w:r>
    </w:p>
    <w:p>
      <w:pPr>
        <w:widowControl/>
        <w:shd w:val="clear"/>
        <w:overflowPunct w:val="0"/>
        <w:autoSpaceDE w:val="0"/>
        <w:autoSpaceDN w:val="0"/>
        <w:spacing w:line="440" w:lineRule="exact"/>
        <w:ind w:firstLine="480" w:firstLineChars="200"/>
        <w:jc w:val="left"/>
        <w:textAlignment w:val="baseline"/>
        <w:rPr>
          <w:rFonts w:ascii="仿宋" w:hAnsi="仿宋" w:eastAsia="仿宋"/>
          <w:bCs/>
          <w:color w:val="auto"/>
          <w:kern w:val="0"/>
          <w:sz w:val="24"/>
          <w:highlight w:val="none"/>
        </w:rPr>
      </w:pPr>
      <w:r>
        <w:rPr>
          <w:rFonts w:hint="eastAsia" w:ascii="仿宋" w:hAnsi="仿宋" w:eastAsia="仿宋"/>
          <w:bCs/>
          <w:color w:val="auto"/>
          <w:kern w:val="0"/>
          <w:sz w:val="24"/>
          <w:highlight w:val="none"/>
        </w:rPr>
        <w:t>1.2.1.3工程审计工作：包括工程竣工决算审计时的标底工程量核对等服务工作、施工现场踏勘、与施工单位校对、无价材料询价、出具审计成果文件及审计档案整理（</w:t>
      </w:r>
      <w:r>
        <w:rPr>
          <w:rFonts w:hint="eastAsia" w:ascii="仿宋" w:hAnsi="仿宋" w:eastAsia="仿宋" w:cs="Arial"/>
          <w:snapToGrid w:val="0"/>
          <w:color w:val="auto"/>
          <w:sz w:val="24"/>
          <w:szCs w:val="21"/>
          <w:highlight w:val="none"/>
        </w:rPr>
        <w:t>审计报告的份数一般不少于6份，必要时根据要求免费提供</w:t>
      </w:r>
      <w:r>
        <w:rPr>
          <w:rFonts w:hint="eastAsia" w:ascii="仿宋" w:hAnsi="仿宋" w:eastAsia="仿宋"/>
          <w:bCs/>
          <w:color w:val="auto"/>
          <w:kern w:val="0"/>
          <w:sz w:val="24"/>
          <w:highlight w:val="none"/>
        </w:rPr>
        <w:t>）。</w:t>
      </w:r>
    </w:p>
    <w:p>
      <w:pPr>
        <w:widowControl/>
        <w:shd w:val="clear"/>
        <w:overflowPunct w:val="0"/>
        <w:autoSpaceDE w:val="0"/>
        <w:autoSpaceDN w:val="0"/>
        <w:spacing w:line="440" w:lineRule="exact"/>
        <w:ind w:firstLine="480" w:firstLineChars="200"/>
        <w:jc w:val="left"/>
        <w:textAlignment w:val="baseline"/>
        <w:rPr>
          <w:rFonts w:ascii="仿宋" w:hAnsi="仿宋" w:eastAsia="仿宋"/>
          <w:bCs/>
          <w:color w:val="auto"/>
          <w:kern w:val="0"/>
          <w:sz w:val="24"/>
          <w:highlight w:val="none"/>
        </w:rPr>
      </w:pPr>
      <w:r>
        <w:rPr>
          <w:rFonts w:hint="eastAsia" w:ascii="仿宋" w:hAnsi="仿宋" w:eastAsia="仿宋"/>
          <w:bCs/>
          <w:color w:val="auto"/>
          <w:kern w:val="0"/>
          <w:sz w:val="24"/>
          <w:highlight w:val="none"/>
        </w:rPr>
        <w:t>1.2.2</w:t>
      </w:r>
      <w:r>
        <w:rPr>
          <w:rFonts w:hint="eastAsia" w:ascii="仿宋" w:hAnsi="仿宋" w:eastAsia="仿宋"/>
          <w:b/>
          <w:color w:val="auto"/>
          <w:kern w:val="0"/>
          <w:sz w:val="24"/>
          <w:highlight w:val="none"/>
          <w:u w:val="single"/>
        </w:rPr>
        <w:t>造价咨询人员要配备业务素质好、应急能力强、工作能力强的各专业注册造价师总数不少于5名（含）；招标代理人员需配备业务素质好、应急能力强、工作能力强且需具有招标代理经验的人员（需具备交易中心发放的上岗证）至少2名；项目负责人需具有注册造价师资格，同时具有工程师及以上职称，</w:t>
      </w:r>
      <w:r>
        <w:rPr>
          <w:rFonts w:hint="eastAsia" w:ascii="仿宋" w:hAnsi="仿宋" w:eastAsia="仿宋"/>
          <w:bCs/>
          <w:color w:val="auto"/>
          <w:kern w:val="0"/>
          <w:sz w:val="24"/>
          <w:highlight w:val="none"/>
        </w:rPr>
        <w:t xml:space="preserve">并能带领团队为业主提供全方位咨询代办服务，做好业主的参谋，克服在标底编制、招标工作和合同签订过程中的各种困难，协调解决代理咨询过程中的相关问题；遵循节约建设费用，控制工程造价，避免可能发生的超额费用支出的原则。相关配置人员（包括项目负责人）必须做到随叫随到，不得影响业主标底编制、招标进度，如业主要求增加代理人员，中标单位需无条件配合。 </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1.2.3</w:t>
      </w:r>
      <w:r>
        <w:rPr>
          <w:rFonts w:hint="eastAsia" w:ascii="仿宋" w:eastAsia="仿宋"/>
          <w:color w:val="auto"/>
          <w:sz w:val="24"/>
          <w:highlight w:val="none"/>
        </w:rPr>
        <w:t>招标人要求的其他相关工作内容。</w:t>
      </w:r>
    </w:p>
    <w:p>
      <w:pPr>
        <w:widowControl/>
        <w:shd w:val="clear"/>
        <w:snapToGrid w:val="0"/>
        <w:spacing w:line="480" w:lineRule="exact"/>
        <w:rPr>
          <w:rFonts w:ascii="仿宋" w:eastAsia="仿宋"/>
          <w:color w:val="auto"/>
          <w:kern w:val="0"/>
          <w:sz w:val="24"/>
          <w:highlight w:val="none"/>
        </w:rPr>
      </w:pPr>
    </w:p>
    <w:p>
      <w:pPr>
        <w:shd w:val="clear"/>
        <w:snapToGrid w:val="0"/>
        <w:spacing w:line="360" w:lineRule="auto"/>
        <w:jc w:val="center"/>
        <w:rPr>
          <w:rFonts w:ascii="仿宋" w:hAnsi="仿宋" w:eastAsia="仿宋"/>
          <w:b/>
          <w:color w:val="auto"/>
          <w:sz w:val="28"/>
          <w:szCs w:val="28"/>
          <w:highlight w:val="none"/>
        </w:rPr>
      </w:pPr>
      <w:r>
        <w:rPr>
          <w:rFonts w:hint="eastAsia" w:ascii="仿宋" w:hAnsi="仿宋" w:eastAsia="仿宋" w:cs="仿宋_GB2312"/>
          <w:b/>
          <w:color w:val="auto"/>
          <w:sz w:val="32"/>
          <w:highlight w:val="none"/>
        </w:rPr>
        <w:t>二、商务要求</w:t>
      </w:r>
    </w:p>
    <w:p>
      <w:pPr>
        <w:widowControl/>
        <w:shd w:val="clear"/>
        <w:snapToGrid w:val="0"/>
        <w:spacing w:line="360" w:lineRule="auto"/>
        <w:rPr>
          <w:rFonts w:ascii="仿宋" w:eastAsia="仿宋"/>
          <w:color w:val="auto"/>
          <w:sz w:val="24"/>
          <w:highlight w:val="none"/>
        </w:rPr>
      </w:pPr>
    </w:p>
    <w:p>
      <w:pPr>
        <w:widowControl/>
        <w:shd w:val="clear"/>
        <w:snapToGrid w:val="0"/>
        <w:spacing w:line="360" w:lineRule="auto"/>
        <w:rPr>
          <w:rFonts w:ascii="仿宋" w:eastAsia="仿宋"/>
          <w:b/>
          <w:bCs/>
          <w:color w:val="auto"/>
          <w:kern w:val="0"/>
          <w:sz w:val="24"/>
          <w:highlight w:val="none"/>
        </w:rPr>
      </w:pPr>
      <w:r>
        <w:rPr>
          <w:rFonts w:hint="eastAsia" w:ascii="仿宋" w:hAnsi="仿宋" w:eastAsia="仿宋"/>
          <w:color w:val="auto"/>
          <w:sz w:val="24"/>
          <w:highlight w:val="none"/>
        </w:rPr>
        <w:t>▲</w:t>
      </w:r>
      <w:r>
        <w:rPr>
          <w:rFonts w:hint="eastAsia" w:ascii="仿宋" w:eastAsia="仿宋"/>
          <w:b/>
          <w:bCs/>
          <w:color w:val="auto"/>
          <w:kern w:val="0"/>
          <w:sz w:val="24"/>
          <w:highlight w:val="none"/>
        </w:rPr>
        <w:t>2.1服务期限</w:t>
      </w:r>
    </w:p>
    <w:p>
      <w:pPr>
        <w:shd w:val="clear"/>
        <w:spacing w:line="360" w:lineRule="auto"/>
        <w:ind w:firstLine="480" w:firstLineChars="200"/>
        <w:jc w:val="left"/>
        <w:rPr>
          <w:rFonts w:ascii="仿宋" w:eastAsia="仿宋"/>
          <w:color w:val="auto"/>
          <w:kern w:val="0"/>
          <w:sz w:val="24"/>
          <w:highlight w:val="none"/>
        </w:rPr>
      </w:pPr>
      <w:r>
        <w:rPr>
          <w:rFonts w:hint="eastAsia" w:ascii="仿宋" w:hAnsi="仿宋" w:eastAsia="仿宋"/>
          <w:color w:val="auto"/>
          <w:sz w:val="24"/>
          <w:szCs w:val="28"/>
          <w:highlight w:val="none"/>
        </w:rPr>
        <w:t>2.1.1合同履行期限：2024年1月1日至 2025年12月31日（服务期2年，具体以合同签订时间为准）。</w:t>
      </w:r>
    </w:p>
    <w:p>
      <w:pPr>
        <w:widowControl/>
        <w:shd w:val="clear"/>
        <w:snapToGrid w:val="0"/>
        <w:spacing w:line="360" w:lineRule="auto"/>
        <w:rPr>
          <w:rFonts w:ascii="仿宋" w:eastAsia="仿宋"/>
          <w:b/>
          <w:bCs/>
          <w:color w:val="auto"/>
          <w:kern w:val="0"/>
          <w:sz w:val="24"/>
          <w:highlight w:val="none"/>
        </w:rPr>
      </w:pPr>
      <w:r>
        <w:rPr>
          <w:rFonts w:hint="eastAsia" w:ascii="仿宋" w:hAnsi="仿宋" w:eastAsia="仿宋"/>
          <w:color w:val="auto"/>
          <w:sz w:val="24"/>
          <w:highlight w:val="none"/>
        </w:rPr>
        <w:t>▲</w:t>
      </w:r>
      <w:r>
        <w:rPr>
          <w:rFonts w:hint="eastAsia" w:ascii="仿宋" w:eastAsia="仿宋"/>
          <w:b/>
          <w:bCs/>
          <w:color w:val="auto"/>
          <w:kern w:val="0"/>
          <w:sz w:val="24"/>
          <w:highlight w:val="none"/>
        </w:rPr>
        <w:t>2.2质量要求</w:t>
      </w:r>
    </w:p>
    <w:p>
      <w:pPr>
        <w:widowControl/>
        <w:shd w:val="clear"/>
        <w:snapToGrid w:val="0"/>
        <w:spacing w:line="360" w:lineRule="auto"/>
        <w:ind w:firstLine="480" w:firstLineChars="200"/>
        <w:rPr>
          <w:rFonts w:ascii="仿宋" w:eastAsia="仿宋"/>
          <w:color w:val="auto"/>
          <w:kern w:val="0"/>
          <w:sz w:val="24"/>
          <w:highlight w:val="none"/>
        </w:rPr>
      </w:pPr>
      <w:r>
        <w:rPr>
          <w:rFonts w:hint="eastAsia" w:ascii="仿宋" w:eastAsia="仿宋"/>
          <w:color w:val="auto"/>
          <w:kern w:val="0"/>
          <w:sz w:val="24"/>
          <w:highlight w:val="none"/>
        </w:rPr>
        <w:t>2.2.1优质服务且必须符合国家法律法规、行业标准及本表文所有条款要求。</w:t>
      </w:r>
    </w:p>
    <w:p>
      <w:pPr>
        <w:widowControl/>
        <w:shd w:val="clear"/>
        <w:snapToGrid w:val="0"/>
        <w:spacing w:line="360" w:lineRule="auto"/>
        <w:rPr>
          <w:rFonts w:ascii="仿宋" w:eastAsia="仿宋"/>
          <w:b/>
          <w:bCs/>
          <w:color w:val="auto"/>
          <w:sz w:val="24"/>
          <w:highlight w:val="none"/>
        </w:rPr>
      </w:pPr>
      <w:r>
        <w:rPr>
          <w:rFonts w:hint="eastAsia" w:ascii="仿宋" w:hAnsi="仿宋" w:eastAsia="仿宋"/>
          <w:color w:val="auto"/>
          <w:sz w:val="24"/>
          <w:highlight w:val="none"/>
        </w:rPr>
        <w:t>▲</w:t>
      </w:r>
      <w:r>
        <w:rPr>
          <w:rFonts w:hint="eastAsia" w:ascii="仿宋" w:eastAsia="仿宋"/>
          <w:b/>
          <w:bCs/>
          <w:color w:val="auto"/>
          <w:sz w:val="24"/>
          <w:highlight w:val="none"/>
        </w:rPr>
        <w:t>2.3数量调整</w:t>
      </w:r>
    </w:p>
    <w:p>
      <w:pPr>
        <w:widowControl/>
        <w:shd w:val="clear"/>
        <w:snapToGrid w:val="0"/>
        <w:spacing w:line="360" w:lineRule="auto"/>
        <w:ind w:firstLine="480" w:firstLineChars="200"/>
        <w:rPr>
          <w:rFonts w:ascii="仿宋" w:eastAsia="仿宋"/>
          <w:color w:val="auto"/>
          <w:kern w:val="0"/>
          <w:sz w:val="24"/>
          <w:highlight w:val="none"/>
        </w:rPr>
      </w:pPr>
      <w:r>
        <w:rPr>
          <w:rFonts w:hint="eastAsia" w:ascii="仿宋" w:eastAsia="仿宋"/>
          <w:color w:val="auto"/>
          <w:kern w:val="0"/>
          <w:sz w:val="24"/>
          <w:highlight w:val="none"/>
        </w:rPr>
        <w:t>2.3.1采购人保留合同履行中调整部分服务的权力，投标人应对服务类别明细报价，按投标单价不变的前提下进行调整，双方不得拒绝。合同最终结算金额按实际使用量乘以投标单价进行计算，追加的采购金额不得超过原合同采购金额的10%。如遇本次招标没有涉及的服务时，由中标人提供申请，采购人确认后实施。</w:t>
      </w:r>
    </w:p>
    <w:p>
      <w:pPr>
        <w:widowControl/>
        <w:shd w:val="clear"/>
        <w:snapToGrid w:val="0"/>
        <w:spacing w:line="360" w:lineRule="auto"/>
        <w:rPr>
          <w:rFonts w:ascii="仿宋" w:eastAsia="仿宋"/>
          <w:b/>
          <w:bCs/>
          <w:color w:val="auto"/>
          <w:kern w:val="0"/>
          <w:sz w:val="24"/>
          <w:highlight w:val="none"/>
        </w:rPr>
      </w:pPr>
      <w:r>
        <w:rPr>
          <w:rFonts w:hint="eastAsia" w:ascii="仿宋" w:hAnsi="仿宋" w:eastAsia="仿宋"/>
          <w:color w:val="auto"/>
          <w:sz w:val="24"/>
          <w:highlight w:val="none"/>
        </w:rPr>
        <w:t>▲</w:t>
      </w:r>
      <w:r>
        <w:rPr>
          <w:rFonts w:hint="eastAsia" w:ascii="仿宋" w:eastAsia="仿宋"/>
          <w:b/>
          <w:bCs/>
          <w:color w:val="auto"/>
          <w:kern w:val="0"/>
          <w:sz w:val="24"/>
          <w:highlight w:val="none"/>
        </w:rPr>
        <w:t>2.4付款方式</w:t>
      </w:r>
    </w:p>
    <w:p>
      <w:pPr>
        <w:widowControl/>
        <w:shd w:val="clear"/>
        <w:snapToGrid w:val="0"/>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2.4.1工程招标代理、政府采购、标底(预算）编制、审核、工程审计</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联系单审核均不支付预付款；</w:t>
      </w:r>
    </w:p>
    <w:p>
      <w:pPr>
        <w:widowControl/>
        <w:shd w:val="clea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2.4.2招标（采购）代理费：项目招标完成，提供完整的招标代理资料且完成所有招标流程后，经业主审核</w:t>
      </w:r>
      <w:r>
        <w:rPr>
          <w:rFonts w:hint="eastAsia" w:ascii="仿宋" w:hAnsi="仿宋" w:eastAsia="仿宋"/>
          <w:color w:val="auto"/>
          <w:sz w:val="24"/>
          <w:highlight w:val="none"/>
        </w:rPr>
        <w:t>满意之后</w:t>
      </w:r>
      <w:r>
        <w:rPr>
          <w:rFonts w:hint="eastAsia" w:ascii="仿宋" w:hAnsi="仿宋" w:eastAsia="仿宋"/>
          <w:color w:val="auto"/>
          <w:sz w:val="24"/>
          <w:highlight w:val="none"/>
        </w:rPr>
        <w:t>且审批通过后一次性付清；</w:t>
      </w:r>
    </w:p>
    <w:p>
      <w:pPr>
        <w:widowControl/>
        <w:shd w:val="clea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2.4.3编制、审核费用：项目招标完成，提供完整的标底编制和审核资料且完成所有招标流程后，经业主审核</w:t>
      </w:r>
      <w:r>
        <w:rPr>
          <w:rFonts w:hint="eastAsia" w:ascii="仿宋" w:hAnsi="仿宋" w:eastAsia="仿宋"/>
          <w:color w:val="auto"/>
          <w:sz w:val="24"/>
          <w:highlight w:val="none"/>
        </w:rPr>
        <w:t>满意之后</w:t>
      </w:r>
      <w:r>
        <w:rPr>
          <w:rFonts w:hint="eastAsia" w:ascii="仿宋" w:hAnsi="仿宋" w:eastAsia="仿宋"/>
          <w:color w:val="auto"/>
          <w:sz w:val="24"/>
          <w:highlight w:val="none"/>
        </w:rPr>
        <w:t>且审批通过后一次性付清；</w:t>
      </w:r>
    </w:p>
    <w:p>
      <w:pPr>
        <w:widowControl/>
        <w:shd w:val="clea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2.4.4结算审计：待每个项目出具成果文件并将审计成果文件送业主</w:t>
      </w:r>
      <w:r>
        <w:rPr>
          <w:rFonts w:hint="eastAsia" w:ascii="仿宋" w:hAnsi="仿宋" w:eastAsia="仿宋"/>
          <w:color w:val="auto"/>
          <w:sz w:val="24"/>
          <w:highlight w:val="none"/>
        </w:rPr>
        <w:t>满意</w:t>
      </w:r>
      <w:r>
        <w:rPr>
          <w:rFonts w:hint="eastAsia" w:ascii="仿宋" w:hAnsi="仿宋" w:eastAsia="仿宋"/>
          <w:color w:val="auto"/>
          <w:sz w:val="24"/>
          <w:highlight w:val="none"/>
        </w:rPr>
        <w:t>存档后一次性付清；</w:t>
      </w:r>
    </w:p>
    <w:p>
      <w:pPr>
        <w:widowControl/>
        <w:shd w:val="clea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2.4.5中标单位需要提供符合业主要求的增值税发票。</w:t>
      </w:r>
    </w:p>
    <w:p>
      <w:pPr>
        <w:widowControl/>
        <w:shd w:val="clea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▲2.5结算原则</w:t>
      </w:r>
    </w:p>
    <w:p>
      <w:pPr>
        <w:widowControl/>
        <w:shd w:val="clea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2.5.1招标代理费按国家计委计价格[2002]1980号及发改价格[2011]534号文件规定的收费标准×80%×（1-</w:t>
      </w:r>
      <w:r>
        <w:rPr>
          <w:rFonts w:hint="eastAsia" w:ascii="仿宋" w:hAnsi="仿宋" w:eastAsia="仿宋"/>
          <w:color w:val="auto"/>
          <w:sz w:val="24"/>
          <w:highlight w:val="none"/>
          <w:lang w:val="en-US" w:eastAsia="zh-CN"/>
        </w:rPr>
        <w:t>结算</w:t>
      </w:r>
      <w:r>
        <w:rPr>
          <w:rFonts w:hint="eastAsia" w:ascii="仿宋" w:hAnsi="仿宋" w:eastAsia="仿宋"/>
          <w:color w:val="auto"/>
          <w:sz w:val="24"/>
          <w:highlight w:val="none"/>
        </w:rPr>
        <w:t>下浮率）作为结算价（不足3000元的按3000元计）。非中标单位的原因引起的招标项目招标失败的，采购人如需后期再次进行招标的，服务费只能计1次。</w:t>
      </w:r>
    </w:p>
    <w:p>
      <w:pPr>
        <w:widowControl/>
        <w:shd w:val="clea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2.5.1.1招标采购中如需邀请专家评标的，专家费另计。（具体按最新省、市库专家收费文件执行，招标时由代理机构垫付，结算服务费用时按实向业主报销）；</w:t>
      </w:r>
    </w:p>
    <w:p>
      <w:pPr>
        <w:widowControl/>
        <w:shd w:val="clea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2.5.2标底编制费：按浙价服[2009]84号文件规定的收费标准×65%×（1-</w:t>
      </w:r>
      <w:r>
        <w:rPr>
          <w:rFonts w:hint="eastAsia" w:ascii="仿宋" w:hAnsi="仿宋" w:eastAsia="仿宋"/>
          <w:color w:val="auto"/>
          <w:sz w:val="24"/>
          <w:highlight w:val="none"/>
          <w:lang w:val="en-US" w:eastAsia="zh-CN"/>
        </w:rPr>
        <w:t>结算</w:t>
      </w:r>
      <w:r>
        <w:rPr>
          <w:rFonts w:hint="eastAsia" w:ascii="仿宋" w:hAnsi="仿宋" w:eastAsia="仿宋"/>
          <w:color w:val="auto"/>
          <w:sz w:val="24"/>
          <w:highlight w:val="none"/>
        </w:rPr>
        <w:t>下浮率）作为结算价（不足2000元的按2000元计）；</w:t>
      </w:r>
    </w:p>
    <w:p>
      <w:pPr>
        <w:widowControl/>
        <w:shd w:val="clea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2.5.3标底审核费：按浙价服[2009]84号文件规定的收费标准×40%×（1-</w:t>
      </w:r>
      <w:r>
        <w:rPr>
          <w:rFonts w:hint="eastAsia" w:ascii="仿宋" w:hAnsi="仿宋" w:eastAsia="仿宋"/>
          <w:color w:val="auto"/>
          <w:sz w:val="24"/>
          <w:highlight w:val="none"/>
          <w:lang w:val="en-US" w:eastAsia="zh-CN"/>
        </w:rPr>
        <w:t>结算</w:t>
      </w:r>
      <w:r>
        <w:rPr>
          <w:rFonts w:hint="eastAsia" w:ascii="仿宋" w:hAnsi="仿宋" w:eastAsia="仿宋"/>
          <w:color w:val="auto"/>
          <w:sz w:val="24"/>
          <w:highlight w:val="none"/>
        </w:rPr>
        <w:t>下浮率）作为结算价（不足2000元的按2000元计）；</w:t>
      </w:r>
    </w:p>
    <w:p>
      <w:pPr>
        <w:widowControl/>
        <w:shd w:val="clea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2.5.4工程审计费：按浙价服[2009]84号文件规定的收费标准×60%×（1-</w:t>
      </w:r>
      <w:r>
        <w:rPr>
          <w:rFonts w:hint="eastAsia" w:ascii="仿宋" w:hAnsi="仿宋" w:eastAsia="仿宋"/>
          <w:color w:val="auto"/>
          <w:sz w:val="24"/>
          <w:highlight w:val="none"/>
          <w:lang w:val="en-US" w:eastAsia="zh-CN"/>
        </w:rPr>
        <w:t>结算</w:t>
      </w:r>
      <w:r>
        <w:rPr>
          <w:rFonts w:hint="eastAsia" w:ascii="仿宋" w:hAnsi="仿宋" w:eastAsia="仿宋"/>
          <w:color w:val="auto"/>
          <w:sz w:val="24"/>
          <w:highlight w:val="none"/>
        </w:rPr>
        <w:t>下浮率）作为结算价（不足2000元的按2000元计）；</w:t>
      </w:r>
    </w:p>
    <w:p>
      <w:pPr>
        <w:widowControl/>
        <w:shd w:val="clea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2.5.5标底审核的工作范围指不进入区财政局进行标底审核的工程标底的审核。</w:t>
      </w:r>
    </w:p>
    <w:p>
      <w:pPr>
        <w:widowControl/>
        <w:shd w:val="clea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2.5.6 联系单复核费：</w:t>
      </w:r>
    </w:p>
    <w:p>
      <w:pPr>
        <w:widowControl/>
        <w:shd w:val="clea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2.5.6.1变更联系单收费标准：工程联系单及图纸变更项目预算编制造价＜2万以下的按每张200元收取，2≤造价＜5万元的按300元收取，5≤造价＜10万元以下的按每张 500元收取，10万元≤造价＜20万元的按每张800元收取。20万元以上的联系单需进区财政局财政预算审核中心；</w:t>
      </w:r>
    </w:p>
    <w:p>
      <w:pPr>
        <w:widowControl/>
        <w:shd w:val="clea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2.5.7每个项目单独结算，</w:t>
      </w:r>
      <w:r>
        <w:rPr>
          <w:rFonts w:hint="eastAsia" w:ascii="仿宋" w:hAnsi="仿宋" w:eastAsia="仿宋"/>
          <w:b/>
          <w:bCs/>
          <w:color w:val="auto"/>
          <w:sz w:val="24"/>
          <w:highlight w:val="none"/>
        </w:rPr>
        <w:t>结算下浮率为四家中标单位报价下浮率的算术平均值</w:t>
      </w:r>
      <w:r>
        <w:rPr>
          <w:rFonts w:hint="eastAsia" w:ascii="仿宋" w:hAnsi="仿宋" w:eastAsia="仿宋"/>
          <w:color w:val="auto"/>
          <w:sz w:val="24"/>
          <w:highlight w:val="none"/>
        </w:rPr>
        <w:t>。</w:t>
      </w:r>
    </w:p>
    <w:p>
      <w:pPr>
        <w:widowControl/>
        <w:shd w:val="clea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注：上述联系单编制以最终审计的复核工程造价为收费基数。</w:t>
      </w:r>
    </w:p>
    <w:p>
      <w:pPr>
        <w:shd w:val="clear"/>
        <w:adjustRightInd/>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▲2.6违约责任</w:t>
      </w:r>
    </w:p>
    <w:p>
      <w:pPr>
        <w:shd w:val="clear"/>
        <w:adjustRightInd/>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2.6</w:t>
      </w:r>
      <w:r>
        <w:rPr>
          <w:rFonts w:ascii="仿宋" w:hAnsi="仿宋" w:eastAsia="仿宋"/>
          <w:color w:val="auto"/>
          <w:sz w:val="24"/>
          <w:highlight w:val="none"/>
        </w:rPr>
        <w:t>.1</w:t>
      </w:r>
      <w:r>
        <w:rPr>
          <w:rFonts w:hint="eastAsia" w:ascii="仿宋" w:hAnsi="仿宋" w:eastAsia="仿宋"/>
          <w:color w:val="auto"/>
          <w:sz w:val="24"/>
          <w:highlight w:val="none"/>
        </w:rPr>
        <w:t>中标单位必须按业主制定的考核标准要求组织标底编制、招标代理、标底审核、工程审计项目，如过程中出现延期、错误等情况，业主有权进行处罚，若在咨询服务中出现重大错误而引起纠纷，给业主带来损失的取消其在绍兴市柯桥区农业农村局及其下属单位承接项目的资格，并报区公管办备案。</w:t>
      </w:r>
      <w:r>
        <w:rPr>
          <w:rFonts w:hint="eastAsia" w:ascii="仿宋" w:hAnsi="仿宋" w:eastAsia="仿宋"/>
          <w:color w:val="auto"/>
          <w:kern w:val="4"/>
          <w:sz w:val="24"/>
          <w:highlight w:val="none"/>
        </w:rPr>
        <w:t>代理单位需严格按照要求配置人员，如相关人员工作能力无法满足业主，业主有权要求更换相关人员，若更换超过2次，代理单位即停止承接本年度项目。</w:t>
      </w:r>
      <w:r>
        <w:rPr>
          <w:rFonts w:hint="eastAsia" w:ascii="仿宋" w:hAnsi="仿宋" w:eastAsia="仿宋"/>
          <w:color w:val="auto"/>
          <w:sz w:val="24"/>
          <w:highlight w:val="none"/>
        </w:rPr>
        <w:t>若对工作人员因故调整，需经委托方确认；否则委托方有权处以罚款；</w:t>
      </w:r>
    </w:p>
    <w:p>
      <w:pPr>
        <w:shd w:val="clear"/>
        <w:adjustRightInd/>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2.6</w:t>
      </w:r>
      <w:r>
        <w:rPr>
          <w:rFonts w:ascii="仿宋" w:hAnsi="仿宋" w:eastAsia="仿宋"/>
          <w:color w:val="auto"/>
          <w:sz w:val="24"/>
          <w:highlight w:val="none"/>
        </w:rPr>
        <w:t>.</w:t>
      </w:r>
      <w:r>
        <w:rPr>
          <w:rFonts w:hint="eastAsia" w:ascii="仿宋" w:hAnsi="仿宋" w:eastAsia="仿宋"/>
          <w:color w:val="auto"/>
          <w:sz w:val="24"/>
          <w:highlight w:val="none"/>
        </w:rPr>
        <w:t>2预算编制、询价时间：业主提供给中标单位施工图纸及图审文件后，中标单位按以下时间完成工作：限额以下工程类项目预算编制四天内完成（业主原因除外）、限额以下采购、服务类项目询价四天内完成（业主原因除外）；限额以上工程类项目预算编制业主根据工程难易程度制定完成时间、限额以上采购、服务类项目询价七天内完成（业主原因除外）。未在规定时间未能完成预算编制工作的，每延迟一天扣1000元。（注：如遇项目较大、情况较复杂，经业主确认合理时间后，按业主规定的时间执行）；</w:t>
      </w:r>
    </w:p>
    <w:p>
      <w:pPr>
        <w:widowControl/>
        <w:shd w:val="clear"/>
        <w:overflowPunct w:val="0"/>
        <w:autoSpaceDE w:val="0"/>
        <w:autoSpaceDN w:val="0"/>
        <w:spacing w:line="440" w:lineRule="exact"/>
        <w:ind w:firstLine="480" w:firstLineChars="200"/>
        <w:jc w:val="left"/>
        <w:textAlignment w:val="baseline"/>
        <w:rPr>
          <w:rFonts w:ascii="仿宋" w:hAnsi="仿宋" w:eastAsia="仿宋"/>
          <w:color w:val="auto"/>
          <w:kern w:val="0"/>
          <w:sz w:val="24"/>
          <w:szCs w:val="21"/>
          <w:highlight w:val="none"/>
        </w:rPr>
      </w:pPr>
      <w:r>
        <w:rPr>
          <w:rFonts w:hint="eastAsia" w:ascii="仿宋" w:hAnsi="仿宋" w:eastAsia="仿宋"/>
          <w:color w:val="auto"/>
          <w:sz w:val="24"/>
          <w:highlight w:val="none"/>
        </w:rPr>
        <w:t>2.6</w:t>
      </w:r>
      <w:r>
        <w:rPr>
          <w:rFonts w:hint="eastAsia" w:ascii="仿宋" w:hAnsi="仿宋" w:eastAsia="仿宋"/>
          <w:color w:val="auto"/>
          <w:kern w:val="0"/>
          <w:sz w:val="24"/>
          <w:szCs w:val="21"/>
          <w:highlight w:val="none"/>
        </w:rPr>
        <w:t>.3工程类在完成标底，采购、服务类等完成询价经业主确认后，需根据业主指令在网上发布公告或进区财政、区公管办办理相关手续，每延迟一天扣500元；招标文件初稿需在标底、询价完成后三天内编制完成，每延迟一天扣1000元；</w:t>
      </w:r>
    </w:p>
    <w:p>
      <w:pPr>
        <w:widowControl/>
        <w:shd w:val="clear"/>
        <w:overflowPunct w:val="0"/>
        <w:autoSpaceDE w:val="0"/>
        <w:autoSpaceDN w:val="0"/>
        <w:spacing w:line="440" w:lineRule="exact"/>
        <w:ind w:firstLine="480" w:firstLineChars="200"/>
        <w:jc w:val="left"/>
        <w:textAlignment w:val="baseline"/>
        <w:rPr>
          <w:rFonts w:ascii="仿宋" w:hAnsi="仿宋" w:eastAsia="仿宋"/>
          <w:color w:val="auto"/>
          <w:kern w:val="0"/>
          <w:sz w:val="24"/>
          <w:szCs w:val="21"/>
          <w:highlight w:val="none"/>
        </w:rPr>
      </w:pPr>
      <w:r>
        <w:rPr>
          <w:rFonts w:hint="eastAsia" w:ascii="仿宋" w:hAnsi="仿宋" w:eastAsia="仿宋"/>
          <w:color w:val="auto"/>
          <w:sz w:val="24"/>
          <w:highlight w:val="none"/>
        </w:rPr>
        <w:t>2.6</w:t>
      </w:r>
      <w:r>
        <w:rPr>
          <w:rFonts w:hint="eastAsia" w:ascii="仿宋" w:hAnsi="仿宋" w:eastAsia="仿宋"/>
          <w:color w:val="auto"/>
          <w:kern w:val="0"/>
          <w:sz w:val="24"/>
          <w:szCs w:val="21"/>
          <w:highlight w:val="none"/>
        </w:rPr>
        <w:t>.4政府采购项目开标完成后，应协助采购人和中标人按照采购文件和中标人投标文件的规定，签订书面合同（原则上应当在中标通知书发出之日起十日内），并将采购合同在政采云系统上备案，最迟不得超过三十日。合同签订完成后10天内提交业主招投标档案资料及完成网上资料上传，每延迟一天扣200元；</w:t>
      </w:r>
    </w:p>
    <w:p>
      <w:pPr>
        <w:widowControl/>
        <w:shd w:val="clear"/>
        <w:overflowPunct w:val="0"/>
        <w:autoSpaceDE w:val="0"/>
        <w:autoSpaceDN w:val="0"/>
        <w:spacing w:line="440" w:lineRule="exact"/>
        <w:ind w:firstLine="480" w:firstLineChars="200"/>
        <w:jc w:val="left"/>
        <w:textAlignment w:val="baseline"/>
        <w:rPr>
          <w:rFonts w:ascii="仿宋" w:hAnsi="仿宋" w:eastAsia="仿宋"/>
          <w:color w:val="auto"/>
          <w:kern w:val="0"/>
          <w:sz w:val="24"/>
          <w:szCs w:val="21"/>
          <w:highlight w:val="none"/>
        </w:rPr>
      </w:pPr>
      <w:r>
        <w:rPr>
          <w:rFonts w:hint="eastAsia" w:ascii="仿宋" w:hAnsi="仿宋" w:eastAsia="仿宋"/>
          <w:color w:val="auto"/>
          <w:kern w:val="0"/>
          <w:sz w:val="24"/>
          <w:szCs w:val="21"/>
          <w:highlight w:val="none"/>
        </w:rPr>
        <w:t>2.6.5工程建设项目开标完成后，应协助招标人向中标人发出中标通知书，自中标通知书发出之日起三十日内（特殊要求除外），按照招标文件及中标人的投标文件与中标人订立书面合同，限额以上项目及时合同信息公开。</w:t>
      </w:r>
    </w:p>
    <w:p>
      <w:pPr>
        <w:widowControl/>
        <w:shd w:val="clear"/>
        <w:overflowPunct w:val="0"/>
        <w:autoSpaceDE w:val="0"/>
        <w:autoSpaceDN w:val="0"/>
        <w:spacing w:line="440" w:lineRule="exact"/>
        <w:ind w:firstLine="480" w:firstLineChars="200"/>
        <w:jc w:val="left"/>
        <w:textAlignment w:val="baseline"/>
        <w:rPr>
          <w:rFonts w:ascii="仿宋" w:hAnsi="仿宋" w:eastAsia="仿宋"/>
          <w:color w:val="auto"/>
          <w:kern w:val="0"/>
          <w:sz w:val="24"/>
          <w:szCs w:val="21"/>
          <w:highlight w:val="none"/>
        </w:rPr>
      </w:pPr>
      <w:r>
        <w:rPr>
          <w:rFonts w:hint="eastAsia" w:ascii="仿宋" w:hAnsi="仿宋" w:eastAsia="仿宋"/>
          <w:color w:val="auto"/>
          <w:sz w:val="24"/>
          <w:highlight w:val="none"/>
        </w:rPr>
        <w:t>2.6</w:t>
      </w:r>
      <w:r>
        <w:rPr>
          <w:rFonts w:hint="eastAsia" w:ascii="仿宋" w:hAnsi="仿宋" w:eastAsia="仿宋"/>
          <w:color w:val="auto"/>
          <w:kern w:val="0"/>
          <w:sz w:val="24"/>
          <w:szCs w:val="21"/>
          <w:highlight w:val="none"/>
        </w:rPr>
        <w:t>.6限额以下抽签入围、开标等现场必须保证至少两位工作人员到场（代理项目负责人开标时须到场对工程投标文件、投标预算、政府采购相关技术参数等进行复核），工作人员需持证上岗，如发现人员不到位情况，每发现一次扣200元；</w:t>
      </w:r>
    </w:p>
    <w:p>
      <w:pPr>
        <w:widowControl/>
        <w:shd w:val="clear"/>
        <w:overflowPunct w:val="0"/>
        <w:autoSpaceDE w:val="0"/>
        <w:autoSpaceDN w:val="0"/>
        <w:spacing w:line="440" w:lineRule="exact"/>
        <w:ind w:firstLine="480" w:firstLineChars="200"/>
        <w:jc w:val="left"/>
        <w:textAlignment w:val="baseline"/>
        <w:rPr>
          <w:rFonts w:ascii="仿宋" w:hAnsi="仿宋" w:eastAsia="仿宋"/>
          <w:color w:val="auto"/>
          <w:kern w:val="0"/>
          <w:sz w:val="24"/>
          <w:szCs w:val="21"/>
          <w:highlight w:val="none"/>
        </w:rPr>
      </w:pPr>
      <w:r>
        <w:rPr>
          <w:rFonts w:hint="eastAsia" w:ascii="仿宋" w:hAnsi="仿宋" w:eastAsia="仿宋"/>
          <w:color w:val="auto"/>
          <w:sz w:val="24"/>
          <w:highlight w:val="none"/>
        </w:rPr>
        <w:t>2.6</w:t>
      </w:r>
      <w:r>
        <w:rPr>
          <w:rFonts w:hint="eastAsia" w:ascii="仿宋" w:hAnsi="仿宋" w:eastAsia="仿宋"/>
          <w:color w:val="auto"/>
          <w:kern w:val="0"/>
          <w:sz w:val="24"/>
          <w:szCs w:val="21"/>
          <w:highlight w:val="none"/>
        </w:rPr>
        <w:t>.7如标底编制、公告起草、招标文件起草、资格审核、开标（包括资质审查、投标文件审查等）、中标公示、中标通知书发放等代理服务过程中出现错误，业主根据严重程度每次有权处罚500-2000元；</w:t>
      </w:r>
    </w:p>
    <w:p>
      <w:pPr>
        <w:widowControl/>
        <w:shd w:val="clear"/>
        <w:overflowPunct w:val="0"/>
        <w:autoSpaceDE w:val="0"/>
        <w:autoSpaceDN w:val="0"/>
        <w:spacing w:line="440" w:lineRule="exact"/>
        <w:ind w:firstLine="480" w:firstLineChars="200"/>
        <w:jc w:val="left"/>
        <w:textAlignment w:val="baseline"/>
        <w:rPr>
          <w:rFonts w:ascii="仿宋" w:hAnsi="仿宋" w:eastAsia="仿宋"/>
          <w:color w:val="auto"/>
          <w:kern w:val="0"/>
          <w:sz w:val="24"/>
          <w:szCs w:val="21"/>
          <w:highlight w:val="none"/>
        </w:rPr>
      </w:pPr>
      <w:r>
        <w:rPr>
          <w:rFonts w:hint="eastAsia" w:ascii="仿宋" w:hAnsi="仿宋" w:eastAsia="仿宋"/>
          <w:color w:val="auto"/>
          <w:sz w:val="24"/>
          <w:highlight w:val="none"/>
        </w:rPr>
        <w:t>2.6</w:t>
      </w:r>
      <w:r>
        <w:rPr>
          <w:rFonts w:hint="eastAsia" w:ascii="仿宋" w:hAnsi="仿宋" w:eastAsia="仿宋"/>
          <w:color w:val="auto"/>
          <w:kern w:val="0"/>
          <w:sz w:val="24"/>
          <w:szCs w:val="21"/>
          <w:highlight w:val="none"/>
        </w:rPr>
        <w:t>.8网上操作出现亮灯督办等情况，业主有权每发生一次有权处罚500-2000元；</w:t>
      </w:r>
    </w:p>
    <w:p>
      <w:pPr>
        <w:widowControl/>
        <w:shd w:val="clear"/>
        <w:overflowPunct w:val="0"/>
        <w:autoSpaceDE w:val="0"/>
        <w:autoSpaceDN w:val="0"/>
        <w:spacing w:line="440" w:lineRule="exact"/>
        <w:ind w:firstLine="480" w:firstLineChars="200"/>
        <w:jc w:val="left"/>
        <w:textAlignment w:val="baseline"/>
        <w:rPr>
          <w:rFonts w:ascii="仿宋" w:hAnsi="仿宋" w:eastAsia="仿宋"/>
          <w:color w:val="auto"/>
          <w:kern w:val="0"/>
          <w:sz w:val="24"/>
          <w:szCs w:val="21"/>
          <w:highlight w:val="none"/>
        </w:rPr>
      </w:pPr>
      <w:r>
        <w:rPr>
          <w:rFonts w:hint="eastAsia" w:ascii="仿宋" w:hAnsi="仿宋" w:eastAsia="仿宋"/>
          <w:color w:val="auto"/>
          <w:sz w:val="24"/>
          <w:highlight w:val="none"/>
        </w:rPr>
        <w:t>2.6</w:t>
      </w:r>
      <w:r>
        <w:rPr>
          <w:rFonts w:hint="eastAsia" w:ascii="仿宋" w:hAnsi="仿宋" w:eastAsia="仿宋"/>
          <w:color w:val="auto"/>
          <w:kern w:val="0"/>
          <w:sz w:val="24"/>
          <w:szCs w:val="21"/>
          <w:highlight w:val="none"/>
        </w:rPr>
        <w:t>.9不进入区公管办招标项目的标底审核需在收到预算标底及图纸送达后三天内完成标底审核工作（业主原因除外），每延迟一天扣500元。工程审计项目需在业主提交完整齐全的审计资料后一个月内进行项目现场踏看及对账，完成审计初稿，两个月内完成审计工作，管线迁移等政策处理方面的工程审计必须在7天内完成，每延迟一天扣1000元。在抽审中发现中标单位审计结果与抽审结果误差大于3%的，每一项处以1000元的罚款，若中标单位审计结果与抽审结果误差大于5%的，业主有权中止合同；</w:t>
      </w:r>
    </w:p>
    <w:p>
      <w:pPr>
        <w:widowControl/>
        <w:shd w:val="clear"/>
        <w:overflowPunct w:val="0"/>
        <w:autoSpaceDE w:val="0"/>
        <w:autoSpaceDN w:val="0"/>
        <w:spacing w:line="440" w:lineRule="exact"/>
        <w:ind w:firstLine="480" w:firstLineChars="200"/>
        <w:jc w:val="left"/>
        <w:textAlignment w:val="baseline"/>
        <w:rPr>
          <w:rFonts w:ascii="仿宋" w:hAnsi="仿宋" w:eastAsia="仿宋"/>
          <w:color w:val="auto"/>
          <w:kern w:val="0"/>
          <w:sz w:val="24"/>
          <w:szCs w:val="21"/>
          <w:highlight w:val="none"/>
        </w:rPr>
      </w:pPr>
      <w:r>
        <w:rPr>
          <w:rFonts w:hint="eastAsia" w:ascii="仿宋" w:hAnsi="仿宋" w:eastAsia="仿宋"/>
          <w:color w:val="auto"/>
          <w:sz w:val="24"/>
          <w:highlight w:val="none"/>
        </w:rPr>
        <w:t>2.6</w:t>
      </w:r>
      <w:r>
        <w:rPr>
          <w:rFonts w:hint="eastAsia" w:ascii="仿宋" w:hAnsi="仿宋" w:eastAsia="仿宋"/>
          <w:color w:val="auto"/>
          <w:kern w:val="0"/>
          <w:sz w:val="24"/>
          <w:szCs w:val="21"/>
          <w:highlight w:val="none"/>
        </w:rPr>
        <w:t>.10（1）因工程标底编制出现明显错误、漏项或工程量计算差错、综合单价明显计算错误，编制误差大于标底2%的，扣工程标底编制费用的20%；编制误差在2.5%以上，扣工程标底编制费用的30%；编制误差超过5%的，扣工程标底编制费用的50%；（2）工程标底材料定价与市场实际价差距较大（差额绝对值大于10%）的，每发生一项，处以2000元的罚款。（3）由于标底编制较大错误导致业主招标失败或者遭到投诉，将扣除本次编标费用的50%，并终止本项目合同。（4）因代理机构原因引起招标投诉或重新招标的，将扣除本次招标代理服务费的50%。（5）由于代理单位原因导致业主被区公共资源交易中心年度考核扣分、招标失败等造成业主损失的，业主将实行一票否决制，并在三年内不得参加业主的代理项目投标；</w:t>
      </w:r>
    </w:p>
    <w:p>
      <w:pPr>
        <w:shd w:val="clear"/>
        <w:adjustRightInd/>
        <w:spacing w:line="360" w:lineRule="auto"/>
        <w:ind w:firstLine="480" w:firstLineChars="200"/>
        <w:rPr>
          <w:rFonts w:ascii="仿宋" w:hAnsi="仿宋" w:eastAsia="仿宋"/>
          <w:bCs/>
          <w:color w:val="auto"/>
          <w:sz w:val="24"/>
          <w:szCs w:val="20"/>
          <w:highlight w:val="none"/>
        </w:rPr>
      </w:pPr>
      <w:r>
        <w:rPr>
          <w:rFonts w:hint="eastAsia" w:ascii="仿宋" w:hAnsi="仿宋" w:eastAsia="仿宋"/>
          <w:color w:val="auto"/>
          <w:kern w:val="0"/>
          <w:sz w:val="24"/>
          <w:szCs w:val="21"/>
          <w:highlight w:val="none"/>
        </w:rPr>
        <w:t>2.6.11</w:t>
      </w:r>
      <w:r>
        <w:rPr>
          <w:rFonts w:hint="eastAsia" w:ascii="仿宋" w:hAnsi="仿宋" w:eastAsia="仿宋" w:cs="Arial"/>
          <w:snapToGrid w:val="0"/>
          <w:color w:val="auto"/>
          <w:sz w:val="24"/>
          <w:szCs w:val="21"/>
          <w:highlight w:val="none"/>
        </w:rPr>
        <w:t>审计项目应当收到建设单位完整资料之日20日历天内完成审计初稿。</w:t>
      </w:r>
      <w:r>
        <w:rPr>
          <w:rFonts w:hint="eastAsia" w:ascii="仿宋" w:hAnsi="仿宋" w:eastAsia="仿宋"/>
          <w:bCs/>
          <w:color w:val="auto"/>
          <w:sz w:val="24"/>
          <w:szCs w:val="20"/>
          <w:highlight w:val="none"/>
        </w:rPr>
        <w:t>中标单位必须按审计要求组织工程审计，项目人员必须为中标单位公司职员（必要时采购人将根据相关资料予以核查）。中标单位工作人员因故调整，需经采购人确认；采购人有权对中标单位的工作人员进行随时调整；</w:t>
      </w:r>
    </w:p>
    <w:p>
      <w:pPr>
        <w:shd w:val="clear"/>
        <w:adjustRightInd/>
        <w:spacing w:line="360" w:lineRule="auto"/>
        <w:ind w:firstLine="480" w:firstLineChars="200"/>
        <w:rPr>
          <w:rFonts w:ascii="仿宋" w:hAnsi="仿宋" w:eastAsia="仿宋"/>
          <w:bCs/>
          <w:color w:val="auto"/>
          <w:sz w:val="24"/>
          <w:szCs w:val="20"/>
          <w:highlight w:val="none"/>
        </w:rPr>
      </w:pPr>
      <w:r>
        <w:rPr>
          <w:rFonts w:hint="eastAsia" w:ascii="仿宋" w:hAnsi="仿宋" w:eastAsia="仿宋"/>
          <w:bCs/>
          <w:color w:val="auto"/>
          <w:sz w:val="24"/>
          <w:szCs w:val="20"/>
          <w:highlight w:val="none"/>
        </w:rPr>
        <w:t>2.6.12审计数据要求准确无误。对于固定单价类合同，（除业主认可变动外）标底中注明单价，审计稿中不一致的，发现扣200元/次；审计工程量依据充分，发现差错扣200元/处；</w:t>
      </w:r>
    </w:p>
    <w:p>
      <w:pPr>
        <w:shd w:val="clear"/>
        <w:adjustRightInd/>
        <w:spacing w:line="360" w:lineRule="auto"/>
        <w:ind w:firstLine="480" w:firstLineChars="200"/>
        <w:rPr>
          <w:rFonts w:ascii="仿宋" w:hAnsi="仿宋" w:eastAsia="仿宋"/>
          <w:bCs/>
          <w:color w:val="auto"/>
          <w:sz w:val="24"/>
          <w:szCs w:val="20"/>
          <w:highlight w:val="none"/>
        </w:rPr>
      </w:pPr>
      <w:r>
        <w:rPr>
          <w:rFonts w:hint="eastAsia" w:ascii="仿宋" w:hAnsi="仿宋" w:eastAsia="仿宋"/>
          <w:bCs/>
          <w:color w:val="auto"/>
          <w:sz w:val="24"/>
          <w:szCs w:val="20"/>
          <w:highlight w:val="none"/>
        </w:rPr>
        <w:t>2.6.13审计数据中，重复计算分部分项工程项目的，发现扣200元/处；</w:t>
      </w:r>
    </w:p>
    <w:p>
      <w:pPr>
        <w:shd w:val="clear"/>
        <w:adjustRightInd/>
        <w:spacing w:line="360" w:lineRule="auto"/>
        <w:ind w:firstLine="480" w:firstLineChars="200"/>
        <w:rPr>
          <w:rFonts w:ascii="仿宋" w:hAnsi="仿宋" w:eastAsia="仿宋"/>
          <w:color w:val="auto"/>
          <w:kern w:val="0"/>
          <w:sz w:val="24"/>
          <w:szCs w:val="21"/>
          <w:highlight w:val="none"/>
        </w:rPr>
      </w:pPr>
      <w:r>
        <w:rPr>
          <w:rFonts w:hint="eastAsia" w:ascii="仿宋" w:hAnsi="仿宋" w:eastAsia="仿宋"/>
          <w:bCs/>
          <w:color w:val="auto"/>
          <w:sz w:val="24"/>
          <w:szCs w:val="20"/>
          <w:highlight w:val="none"/>
        </w:rPr>
        <w:t>2.6.14积极配合业主按时按要求做好各项审计工作，做不到每次酌情扣100-200元；</w:t>
      </w:r>
    </w:p>
    <w:p>
      <w:pPr>
        <w:widowControl/>
        <w:shd w:val="clear"/>
        <w:overflowPunct w:val="0"/>
        <w:autoSpaceDE w:val="0"/>
        <w:autoSpaceDN w:val="0"/>
        <w:spacing w:line="440" w:lineRule="exact"/>
        <w:ind w:firstLine="480" w:firstLineChars="200"/>
        <w:jc w:val="left"/>
        <w:textAlignment w:val="baseline"/>
        <w:rPr>
          <w:rFonts w:ascii="仿宋" w:hAnsi="仿宋" w:eastAsia="仿宋"/>
          <w:color w:val="auto"/>
          <w:kern w:val="0"/>
          <w:sz w:val="24"/>
          <w:szCs w:val="21"/>
          <w:highlight w:val="none"/>
        </w:rPr>
      </w:pPr>
      <w:r>
        <w:rPr>
          <w:rFonts w:hint="eastAsia" w:ascii="仿宋" w:hAnsi="仿宋" w:eastAsia="仿宋"/>
          <w:bCs/>
          <w:color w:val="auto"/>
          <w:sz w:val="24"/>
          <w:szCs w:val="20"/>
          <w:highlight w:val="none"/>
        </w:rPr>
        <w:t>2.6.15</w:t>
      </w:r>
      <w:r>
        <w:rPr>
          <w:rFonts w:hint="eastAsia" w:ascii="仿宋" w:hAnsi="仿宋" w:eastAsia="仿宋"/>
          <w:color w:val="auto"/>
          <w:kern w:val="0"/>
          <w:sz w:val="24"/>
          <w:szCs w:val="21"/>
          <w:highlight w:val="none"/>
        </w:rPr>
        <w:t>中标单位被扣款次数累计达到3次，业主有权中止合同。由于业主原因导致无法按规定完成的经业主确认后可以不被处罚；</w:t>
      </w:r>
    </w:p>
    <w:p>
      <w:pPr>
        <w:widowControl/>
        <w:shd w:val="clear"/>
        <w:overflowPunct w:val="0"/>
        <w:autoSpaceDE w:val="0"/>
        <w:autoSpaceDN w:val="0"/>
        <w:spacing w:line="440" w:lineRule="exact"/>
        <w:ind w:firstLine="480" w:firstLineChars="200"/>
        <w:jc w:val="left"/>
        <w:textAlignment w:val="baseline"/>
        <w:rPr>
          <w:rFonts w:ascii="仿宋" w:hAnsi="仿宋" w:eastAsia="仿宋"/>
          <w:color w:val="auto"/>
          <w:kern w:val="0"/>
          <w:sz w:val="24"/>
          <w:szCs w:val="21"/>
          <w:highlight w:val="none"/>
        </w:rPr>
      </w:pPr>
      <w:r>
        <w:rPr>
          <w:rFonts w:hint="eastAsia" w:ascii="仿宋" w:hAnsi="仿宋" w:eastAsia="仿宋"/>
          <w:bCs/>
          <w:color w:val="auto"/>
          <w:sz w:val="24"/>
          <w:szCs w:val="20"/>
          <w:highlight w:val="none"/>
        </w:rPr>
        <w:t>2.6.16</w:t>
      </w:r>
      <w:r>
        <w:rPr>
          <w:rFonts w:hint="eastAsia" w:ascii="仿宋" w:hAnsi="仿宋" w:eastAsia="仿宋"/>
          <w:color w:val="auto"/>
          <w:kern w:val="0"/>
          <w:sz w:val="24"/>
          <w:szCs w:val="21"/>
          <w:highlight w:val="none"/>
        </w:rPr>
        <w:t>投标方应当保质守时完成服务任务并出具正式报告，并对该报告的真实性、完整性、合法性负责。对未按规定执行或出现服务不当行为的（包括投标方未尽义务或侵害招标方权利），招标方有权按本招标文件、中华人民共和国经济合同法、政府及其部门有关规定处理；</w:t>
      </w:r>
    </w:p>
    <w:p>
      <w:pPr>
        <w:widowControl/>
        <w:shd w:val="clear"/>
        <w:overflowPunct w:val="0"/>
        <w:autoSpaceDE w:val="0"/>
        <w:autoSpaceDN w:val="0"/>
        <w:spacing w:line="440" w:lineRule="exact"/>
        <w:ind w:firstLine="480" w:firstLineChars="200"/>
        <w:jc w:val="left"/>
        <w:textAlignment w:val="baseline"/>
        <w:rPr>
          <w:rFonts w:ascii="仿宋" w:hAnsi="仿宋" w:eastAsia="仿宋"/>
          <w:color w:val="auto"/>
          <w:kern w:val="0"/>
          <w:sz w:val="24"/>
          <w:szCs w:val="21"/>
          <w:highlight w:val="none"/>
        </w:rPr>
      </w:pPr>
      <w:r>
        <w:rPr>
          <w:rFonts w:hint="eastAsia" w:ascii="仿宋" w:hAnsi="仿宋" w:eastAsia="仿宋"/>
          <w:bCs/>
          <w:color w:val="auto"/>
          <w:sz w:val="24"/>
          <w:szCs w:val="20"/>
          <w:highlight w:val="none"/>
        </w:rPr>
        <w:t>2.6.17</w:t>
      </w:r>
      <w:r>
        <w:rPr>
          <w:rFonts w:hint="eastAsia" w:ascii="仿宋" w:hAnsi="仿宋" w:eastAsia="仿宋"/>
          <w:color w:val="auto"/>
          <w:kern w:val="0"/>
          <w:sz w:val="24"/>
          <w:szCs w:val="21"/>
          <w:highlight w:val="none"/>
        </w:rPr>
        <w:t>违约责任及处罚措施包含且不仅仅包含以上内容，最终解释权属于业主。</w:t>
      </w:r>
    </w:p>
    <w:p>
      <w:pPr>
        <w:pStyle w:val="68"/>
        <w:shd w:val="clear"/>
        <w:ind w:left="0" w:leftChars="0" w:firstLine="0"/>
        <w:rPr>
          <w:rFonts w:eastAsia="仿宋"/>
          <w:color w:val="auto"/>
          <w:highlight w:val="none"/>
        </w:rPr>
      </w:pPr>
      <w:r>
        <w:rPr>
          <w:rFonts w:hint="eastAsia" w:ascii="仿宋" w:hAnsi="仿宋" w:eastAsia="仿宋"/>
          <w:b/>
          <w:color w:val="auto"/>
          <w:sz w:val="24"/>
          <w:highlight w:val="none"/>
        </w:rPr>
        <w:t>▲2.7其他</w:t>
      </w:r>
    </w:p>
    <w:p>
      <w:pPr>
        <w:widowControl/>
        <w:shd w:val="clear"/>
        <w:overflowPunct w:val="0"/>
        <w:autoSpaceDE w:val="0"/>
        <w:autoSpaceDN w:val="0"/>
        <w:spacing w:line="440" w:lineRule="exact"/>
        <w:ind w:firstLine="480" w:firstLineChars="200"/>
        <w:jc w:val="left"/>
        <w:textAlignment w:val="baseline"/>
        <w:rPr>
          <w:rFonts w:ascii="仿宋" w:hAnsi="仿宋" w:eastAsia="仿宋"/>
          <w:color w:val="auto"/>
          <w:kern w:val="0"/>
          <w:sz w:val="24"/>
          <w:szCs w:val="21"/>
          <w:highlight w:val="none"/>
        </w:rPr>
      </w:pPr>
      <w:r>
        <w:rPr>
          <w:rFonts w:hint="eastAsia" w:ascii="仿宋" w:hAnsi="仿宋" w:eastAsia="仿宋"/>
          <w:color w:val="auto"/>
          <w:kern w:val="0"/>
          <w:sz w:val="24"/>
          <w:szCs w:val="21"/>
          <w:highlight w:val="none"/>
        </w:rPr>
        <w:t>2.7.1未按规定及时与招标人签订合同的，视为放弃中标。招标人有权取消中标单位的中标资格，给招标人造成损失的，中标人还应当承担一切后果；</w:t>
      </w:r>
    </w:p>
    <w:p>
      <w:pPr>
        <w:widowControl/>
        <w:shd w:val="clear"/>
        <w:overflowPunct w:val="0"/>
        <w:autoSpaceDE w:val="0"/>
        <w:autoSpaceDN w:val="0"/>
        <w:spacing w:line="440" w:lineRule="exact"/>
        <w:ind w:firstLine="480" w:firstLineChars="200"/>
        <w:jc w:val="left"/>
        <w:textAlignment w:val="baseline"/>
        <w:rPr>
          <w:rFonts w:ascii="仿宋" w:hAnsi="仿宋" w:eastAsia="仿宋"/>
          <w:color w:val="auto"/>
          <w:kern w:val="0"/>
          <w:sz w:val="24"/>
          <w:szCs w:val="21"/>
          <w:highlight w:val="none"/>
        </w:rPr>
      </w:pPr>
      <w:r>
        <w:rPr>
          <w:rFonts w:hint="eastAsia" w:ascii="仿宋" w:eastAsia="仿宋"/>
          <w:color w:val="auto"/>
          <w:kern w:val="0"/>
          <w:sz w:val="24"/>
          <w:highlight w:val="none"/>
        </w:rPr>
        <w:t>2.7.2服务单位选择办法：本次招标属于入围招标，具体项目由实施单位在入围服务单位中自行选择进行委托。</w:t>
      </w:r>
      <w:r>
        <w:rPr>
          <w:rFonts w:hint="eastAsia" w:ascii="仿宋" w:hAnsi="仿宋" w:eastAsia="仿宋"/>
          <w:bCs/>
          <w:color w:val="auto"/>
          <w:kern w:val="0"/>
          <w:sz w:val="24"/>
          <w:szCs w:val="21"/>
          <w:highlight w:val="none"/>
        </w:rPr>
        <w:t>如服务过程中出现质量、效率、发生重大差错、推诿任务项目、对</w:t>
      </w:r>
      <w:r>
        <w:rPr>
          <w:rFonts w:hint="eastAsia" w:ascii="仿宋" w:hAnsi="仿宋" w:eastAsia="仿宋"/>
          <w:bCs/>
          <w:color w:val="auto"/>
          <w:kern w:val="0"/>
          <w:sz w:val="24"/>
          <w:szCs w:val="21"/>
          <w:highlight w:val="none"/>
        </w:rPr>
        <w:t>项目“挑肥拣瘦</w:t>
      </w:r>
      <w:r>
        <w:rPr>
          <w:rFonts w:ascii="仿宋" w:hAnsi="仿宋" w:eastAsia="仿宋"/>
          <w:bCs/>
          <w:color w:val="auto"/>
          <w:kern w:val="0"/>
          <w:sz w:val="24"/>
          <w:szCs w:val="21"/>
          <w:highlight w:val="none"/>
        </w:rPr>
        <w:t>”</w:t>
      </w:r>
      <w:r>
        <w:rPr>
          <w:rFonts w:hint="eastAsia" w:ascii="仿宋" w:hAnsi="仿宋" w:eastAsia="仿宋"/>
          <w:bCs/>
          <w:color w:val="auto"/>
          <w:kern w:val="0"/>
          <w:sz w:val="24"/>
          <w:szCs w:val="21"/>
          <w:highlight w:val="none"/>
        </w:rPr>
        <w:t>等问题</w:t>
      </w:r>
      <w:r>
        <w:rPr>
          <w:rFonts w:hint="eastAsia" w:ascii="仿宋" w:hAnsi="仿宋" w:eastAsia="仿宋"/>
          <w:bCs/>
          <w:color w:val="auto"/>
          <w:kern w:val="0"/>
          <w:sz w:val="24"/>
          <w:szCs w:val="21"/>
          <w:highlight w:val="none"/>
        </w:rPr>
        <w:t>，业主有权进行处罚，如累计处罚超过3次(含3次)将排除入围名单</w:t>
      </w:r>
      <w:r>
        <w:rPr>
          <w:rFonts w:hint="eastAsia" w:ascii="仿宋" w:hAnsi="仿宋" w:eastAsia="仿宋"/>
          <w:bCs/>
          <w:color w:val="auto"/>
          <w:kern w:val="0"/>
          <w:sz w:val="24"/>
          <w:szCs w:val="21"/>
          <w:highlight w:val="none"/>
          <w:lang w:val="en-US" w:eastAsia="zh-CN"/>
        </w:rPr>
        <w:t>并</w:t>
      </w:r>
      <w:r>
        <w:rPr>
          <w:rFonts w:hint="eastAsia" w:ascii="仿宋" w:hAnsi="仿宋" w:eastAsia="仿宋"/>
          <w:bCs/>
          <w:color w:val="auto"/>
          <w:kern w:val="0"/>
          <w:sz w:val="24"/>
          <w:szCs w:val="21"/>
          <w:highlight w:val="none"/>
          <w:lang w:val="en-US" w:eastAsia="zh-CN"/>
        </w:rPr>
        <w:t>上报局招投标年度考核</w:t>
      </w:r>
      <w:r>
        <w:rPr>
          <w:rFonts w:hint="eastAsia" w:ascii="仿宋" w:hAnsi="仿宋" w:eastAsia="仿宋"/>
          <w:bCs/>
          <w:color w:val="auto"/>
          <w:kern w:val="0"/>
          <w:sz w:val="24"/>
          <w:szCs w:val="21"/>
          <w:highlight w:val="none"/>
        </w:rPr>
        <w:t>，投标单位在投标时需充分考虑这一因素，风险自行考虑；</w:t>
      </w:r>
    </w:p>
    <w:p>
      <w:pPr>
        <w:widowControl/>
        <w:shd w:val="clear"/>
        <w:overflowPunct w:val="0"/>
        <w:autoSpaceDE w:val="0"/>
        <w:autoSpaceDN w:val="0"/>
        <w:spacing w:line="440" w:lineRule="exact"/>
        <w:ind w:firstLine="480" w:firstLineChars="200"/>
        <w:jc w:val="left"/>
        <w:textAlignment w:val="baseline"/>
        <w:rPr>
          <w:rFonts w:ascii="仿宋" w:hAnsi="仿宋" w:eastAsia="仿宋"/>
          <w:bCs/>
          <w:color w:val="auto"/>
          <w:kern w:val="0"/>
          <w:sz w:val="24"/>
          <w:szCs w:val="21"/>
          <w:highlight w:val="none"/>
        </w:rPr>
      </w:pPr>
      <w:r>
        <w:rPr>
          <w:rFonts w:hint="eastAsia" w:ascii="仿宋" w:hAnsi="仿宋" w:eastAsia="仿宋"/>
          <w:color w:val="auto"/>
          <w:kern w:val="0"/>
          <w:sz w:val="24"/>
          <w:szCs w:val="21"/>
          <w:highlight w:val="none"/>
        </w:rPr>
        <w:t>2.7.3项目具体实施单位为绍兴市柯桥区农业农村局及其下属单位，本次招标由绍兴市柯桥区农业农村局出面招标，中标后由绍兴市柯桥区农业农村局牵头签订年度合同</w:t>
      </w:r>
      <w:r>
        <w:rPr>
          <w:rFonts w:hint="eastAsia" w:ascii="仿宋" w:hAnsi="仿宋" w:eastAsia="仿宋"/>
          <w:bCs/>
          <w:color w:val="auto"/>
          <w:kern w:val="0"/>
          <w:sz w:val="24"/>
          <w:szCs w:val="21"/>
          <w:highlight w:val="none"/>
        </w:rPr>
        <w:t>，具体项目按实施主体根据实施内容单独签订合同，并由实施单位支付费用</w:t>
      </w:r>
      <w:r>
        <w:rPr>
          <w:rFonts w:hint="eastAsia" w:ascii="仿宋" w:hAnsi="仿宋" w:eastAsia="仿宋"/>
          <w:bCs/>
          <w:color w:val="auto"/>
          <w:kern w:val="0"/>
          <w:sz w:val="24"/>
          <w:szCs w:val="21"/>
          <w:highlight w:val="none"/>
          <w:lang w:eastAsia="zh-CN"/>
        </w:rPr>
        <w:t>，</w:t>
      </w:r>
      <w:r>
        <w:rPr>
          <w:rFonts w:hint="eastAsia" w:ascii="仿宋" w:hAnsi="仿宋" w:eastAsia="仿宋"/>
          <w:bCs/>
          <w:color w:val="auto"/>
          <w:kern w:val="0"/>
          <w:sz w:val="24"/>
          <w:szCs w:val="21"/>
          <w:highlight w:val="none"/>
          <w:lang w:val="en-US" w:eastAsia="zh-CN"/>
        </w:rPr>
        <w:t>服务单位不得以服务费用过低等理由拒绝业主委托</w:t>
      </w:r>
      <w:r>
        <w:rPr>
          <w:rFonts w:hint="eastAsia" w:ascii="仿宋" w:hAnsi="仿宋" w:eastAsia="仿宋"/>
          <w:bCs/>
          <w:color w:val="auto"/>
          <w:kern w:val="0"/>
          <w:sz w:val="24"/>
          <w:szCs w:val="21"/>
          <w:highlight w:val="none"/>
        </w:rPr>
        <w:t>。</w:t>
      </w:r>
    </w:p>
    <w:p>
      <w:pPr>
        <w:shd w:val="clear"/>
        <w:adjustRightInd/>
        <w:spacing w:line="360" w:lineRule="auto"/>
        <w:jc w:val="center"/>
        <w:rPr>
          <w:rFonts w:ascii="仿宋" w:hAnsi="仿宋" w:eastAsia="仿宋" w:cs="仿宋_GB2312"/>
          <w:b/>
          <w:color w:val="auto"/>
          <w:sz w:val="36"/>
          <w:szCs w:val="36"/>
          <w:highlight w:val="none"/>
        </w:rPr>
      </w:pPr>
      <w:r>
        <w:rPr>
          <w:rFonts w:ascii="仿宋" w:hAnsi="仿宋" w:eastAsia="仿宋" w:cs="仿宋_GB2312"/>
          <w:b/>
          <w:color w:val="auto"/>
          <w:sz w:val="36"/>
          <w:szCs w:val="36"/>
          <w:highlight w:val="none"/>
        </w:rPr>
        <w:br w:type="page"/>
      </w:r>
      <w:r>
        <w:rPr>
          <w:rFonts w:hint="eastAsia" w:ascii="仿宋" w:hAnsi="仿宋" w:eastAsia="仿宋" w:cs="仿宋_GB2312"/>
          <w:b/>
          <w:color w:val="auto"/>
          <w:sz w:val="36"/>
          <w:szCs w:val="36"/>
          <w:highlight w:val="none"/>
        </w:rPr>
        <w:t xml:space="preserve">第四部分   </w:t>
      </w:r>
      <w:bookmarkStart w:id="62" w:name="_Toc184308075"/>
      <w:bookmarkEnd w:id="62"/>
      <w:bookmarkStart w:id="63" w:name="_Toc184312123"/>
      <w:bookmarkEnd w:id="63"/>
      <w:bookmarkStart w:id="64" w:name="_Toc184308061"/>
      <w:bookmarkEnd w:id="64"/>
      <w:bookmarkStart w:id="65" w:name="_Toc184310284"/>
      <w:bookmarkEnd w:id="65"/>
      <w:bookmarkStart w:id="66" w:name="_Toc184308045"/>
      <w:bookmarkEnd w:id="66"/>
      <w:bookmarkStart w:id="67" w:name="_Toc184314423"/>
      <w:bookmarkEnd w:id="67"/>
      <w:bookmarkStart w:id="68" w:name="_Toc184312074"/>
      <w:bookmarkEnd w:id="68"/>
      <w:bookmarkStart w:id="69" w:name="_Toc184313308"/>
      <w:bookmarkEnd w:id="69"/>
      <w:bookmarkStart w:id="70" w:name="_Toc184310299"/>
      <w:bookmarkEnd w:id="70"/>
      <w:bookmarkStart w:id="71" w:name="_Toc184314450"/>
      <w:bookmarkEnd w:id="71"/>
      <w:bookmarkStart w:id="72" w:name="_Toc184308096"/>
      <w:bookmarkEnd w:id="72"/>
      <w:bookmarkStart w:id="73" w:name="_Toc184310298"/>
      <w:bookmarkEnd w:id="73"/>
      <w:bookmarkStart w:id="74" w:name="_Toc184308055"/>
      <w:bookmarkEnd w:id="74"/>
      <w:bookmarkStart w:id="75" w:name="_Toc184308091"/>
      <w:bookmarkEnd w:id="75"/>
      <w:bookmarkStart w:id="76" w:name="_Toc184313306"/>
      <w:bookmarkEnd w:id="76"/>
      <w:bookmarkStart w:id="77" w:name="_Toc184308062"/>
      <w:bookmarkEnd w:id="77"/>
      <w:bookmarkStart w:id="78" w:name="_Toc184312095"/>
      <w:bookmarkEnd w:id="78"/>
      <w:bookmarkStart w:id="79" w:name="_Toc184314435"/>
      <w:bookmarkEnd w:id="79"/>
      <w:bookmarkStart w:id="80" w:name="_Toc184308093"/>
      <w:bookmarkEnd w:id="80"/>
      <w:bookmarkStart w:id="81" w:name="_Toc184313301"/>
      <w:bookmarkEnd w:id="81"/>
      <w:bookmarkStart w:id="82" w:name="_Toc184310279"/>
      <w:bookmarkEnd w:id="82"/>
      <w:bookmarkStart w:id="83" w:name="_Toc184310273"/>
      <w:bookmarkEnd w:id="83"/>
      <w:bookmarkStart w:id="84" w:name="_Toc184308068"/>
      <w:bookmarkEnd w:id="84"/>
      <w:bookmarkStart w:id="85" w:name="_Toc184313283"/>
      <w:bookmarkEnd w:id="85"/>
      <w:bookmarkStart w:id="86" w:name="_Toc184310336"/>
      <w:bookmarkEnd w:id="86"/>
      <w:bookmarkStart w:id="87" w:name="_Toc184314456"/>
      <w:bookmarkEnd w:id="87"/>
      <w:bookmarkStart w:id="88" w:name="_Toc184314433"/>
      <w:bookmarkEnd w:id="88"/>
      <w:bookmarkStart w:id="89" w:name="_Toc184308071"/>
      <w:bookmarkEnd w:id="89"/>
      <w:bookmarkStart w:id="90" w:name="_Toc184313285"/>
      <w:bookmarkEnd w:id="90"/>
      <w:bookmarkStart w:id="91" w:name="_Toc184313263"/>
      <w:bookmarkEnd w:id="91"/>
      <w:bookmarkStart w:id="92" w:name="_Toc184308087"/>
      <w:bookmarkEnd w:id="92"/>
      <w:bookmarkStart w:id="93" w:name="_Toc184314420"/>
      <w:bookmarkEnd w:id="93"/>
      <w:bookmarkStart w:id="94" w:name="_Toc184314437"/>
      <w:bookmarkEnd w:id="94"/>
      <w:bookmarkStart w:id="95" w:name="_Toc184314452"/>
      <w:bookmarkEnd w:id="95"/>
      <w:bookmarkStart w:id="96" w:name="_Toc184313246"/>
      <w:bookmarkEnd w:id="96"/>
      <w:bookmarkStart w:id="97" w:name="_Toc184308046"/>
      <w:bookmarkEnd w:id="97"/>
      <w:bookmarkStart w:id="98" w:name="_Toc184310337"/>
      <w:bookmarkEnd w:id="98"/>
      <w:bookmarkStart w:id="99" w:name="_Toc184313261"/>
      <w:bookmarkEnd w:id="99"/>
      <w:bookmarkStart w:id="100" w:name="_Toc184310290"/>
      <w:bookmarkEnd w:id="100"/>
      <w:bookmarkStart w:id="101" w:name="_Toc184310338"/>
      <w:bookmarkEnd w:id="101"/>
      <w:bookmarkStart w:id="102" w:name="_Toc184312100"/>
      <w:bookmarkEnd w:id="102"/>
      <w:bookmarkStart w:id="103" w:name="_Toc184314427"/>
      <w:bookmarkEnd w:id="103"/>
      <w:bookmarkStart w:id="104" w:name="_Toc184310303"/>
      <w:bookmarkEnd w:id="104"/>
      <w:bookmarkStart w:id="105" w:name="_Toc184314434"/>
      <w:bookmarkEnd w:id="105"/>
      <w:bookmarkStart w:id="106" w:name="_Toc184313273"/>
      <w:bookmarkEnd w:id="106"/>
      <w:bookmarkStart w:id="107" w:name="_Toc184313296"/>
      <w:bookmarkEnd w:id="107"/>
      <w:bookmarkStart w:id="108" w:name="_Toc184308063"/>
      <w:bookmarkEnd w:id="108"/>
      <w:bookmarkStart w:id="109" w:name="_Toc184310312"/>
      <w:bookmarkEnd w:id="109"/>
      <w:bookmarkStart w:id="110" w:name="_Toc184314468"/>
      <w:bookmarkEnd w:id="110"/>
      <w:bookmarkStart w:id="111" w:name="_Toc184314460"/>
      <w:bookmarkEnd w:id="111"/>
      <w:bookmarkStart w:id="112" w:name="_Toc184312106"/>
      <w:bookmarkEnd w:id="112"/>
      <w:bookmarkStart w:id="113" w:name="_Toc184310313"/>
      <w:bookmarkEnd w:id="113"/>
      <w:bookmarkStart w:id="114" w:name="_Toc184308076"/>
      <w:bookmarkEnd w:id="114"/>
      <w:bookmarkStart w:id="115" w:name="_Toc184313303"/>
      <w:bookmarkEnd w:id="115"/>
      <w:bookmarkStart w:id="116" w:name="_Toc184308065"/>
      <w:bookmarkEnd w:id="116"/>
      <w:bookmarkStart w:id="117" w:name="_Toc184308042"/>
      <w:bookmarkEnd w:id="117"/>
      <w:bookmarkStart w:id="118" w:name="_Toc184313247"/>
      <w:bookmarkEnd w:id="118"/>
      <w:bookmarkStart w:id="119" w:name="_Toc184312133"/>
      <w:bookmarkEnd w:id="119"/>
      <w:bookmarkStart w:id="120" w:name="_Toc184312079"/>
      <w:bookmarkEnd w:id="120"/>
      <w:bookmarkStart w:id="121" w:name="_Toc184308066"/>
      <w:bookmarkEnd w:id="121"/>
      <w:bookmarkStart w:id="122" w:name="_Toc184310289"/>
      <w:bookmarkEnd w:id="122"/>
      <w:bookmarkStart w:id="123" w:name="_Toc184312078"/>
      <w:bookmarkEnd w:id="123"/>
      <w:bookmarkStart w:id="124" w:name="_Toc184308079"/>
      <w:bookmarkEnd w:id="124"/>
      <w:bookmarkStart w:id="125" w:name="_Toc184312118"/>
      <w:bookmarkEnd w:id="125"/>
      <w:bookmarkStart w:id="126" w:name="_Toc184308078"/>
      <w:bookmarkEnd w:id="126"/>
      <w:bookmarkStart w:id="127" w:name="_Toc184313257"/>
      <w:bookmarkEnd w:id="127"/>
      <w:bookmarkStart w:id="128" w:name="_Toc184314458"/>
      <w:bookmarkEnd w:id="128"/>
      <w:bookmarkStart w:id="129" w:name="_Toc184313276"/>
      <w:bookmarkEnd w:id="129"/>
      <w:bookmarkStart w:id="130" w:name="_Toc184314418"/>
      <w:bookmarkEnd w:id="130"/>
      <w:bookmarkStart w:id="131" w:name="_Toc184308094"/>
      <w:bookmarkEnd w:id="131"/>
      <w:bookmarkStart w:id="132" w:name="_Toc184310296"/>
      <w:bookmarkEnd w:id="132"/>
      <w:bookmarkStart w:id="133" w:name="_Toc184314474"/>
      <w:bookmarkEnd w:id="133"/>
      <w:bookmarkStart w:id="134" w:name="_Toc184310280"/>
      <w:bookmarkEnd w:id="134"/>
      <w:bookmarkStart w:id="135" w:name="_Toc184310326"/>
      <w:bookmarkEnd w:id="135"/>
      <w:bookmarkStart w:id="136" w:name="_Toc184312114"/>
      <w:bookmarkEnd w:id="136"/>
      <w:bookmarkStart w:id="137" w:name="_Toc184314448"/>
      <w:bookmarkEnd w:id="137"/>
      <w:bookmarkStart w:id="138" w:name="_Toc184308070"/>
      <w:bookmarkEnd w:id="138"/>
      <w:bookmarkStart w:id="139" w:name="_Toc184310283"/>
      <w:bookmarkEnd w:id="139"/>
      <w:bookmarkStart w:id="140" w:name="_Toc184308105"/>
      <w:bookmarkEnd w:id="140"/>
      <w:bookmarkStart w:id="141" w:name="_Toc184312083"/>
      <w:bookmarkEnd w:id="141"/>
      <w:bookmarkStart w:id="142" w:name="_Toc184310333"/>
      <w:bookmarkEnd w:id="142"/>
      <w:bookmarkStart w:id="143" w:name="_Toc184310281"/>
      <w:bookmarkEnd w:id="143"/>
      <w:bookmarkStart w:id="144" w:name="_Toc184312087"/>
      <w:bookmarkEnd w:id="144"/>
      <w:bookmarkStart w:id="145" w:name="_Toc184310339"/>
      <w:bookmarkEnd w:id="145"/>
      <w:bookmarkStart w:id="146" w:name="_Toc184312082"/>
      <w:bookmarkEnd w:id="146"/>
      <w:bookmarkStart w:id="147" w:name="_Toc184310330"/>
      <w:bookmarkEnd w:id="147"/>
      <w:bookmarkStart w:id="148" w:name="_Toc184313241"/>
      <w:bookmarkEnd w:id="148"/>
      <w:bookmarkStart w:id="149" w:name="_Toc184312138"/>
      <w:bookmarkEnd w:id="149"/>
      <w:bookmarkStart w:id="150" w:name="_Toc184312134"/>
      <w:bookmarkEnd w:id="150"/>
      <w:bookmarkStart w:id="151" w:name="_Toc184313298"/>
      <w:bookmarkEnd w:id="151"/>
      <w:bookmarkStart w:id="152" w:name="_Toc184308090"/>
      <w:bookmarkEnd w:id="152"/>
      <w:bookmarkStart w:id="153" w:name="_Toc184312107"/>
      <w:bookmarkEnd w:id="153"/>
      <w:bookmarkStart w:id="154" w:name="_Toc184314422"/>
      <w:bookmarkEnd w:id="154"/>
      <w:bookmarkStart w:id="155" w:name="_Toc184314478"/>
      <w:bookmarkEnd w:id="155"/>
      <w:bookmarkStart w:id="156" w:name="_Toc184313274"/>
      <w:bookmarkEnd w:id="156"/>
      <w:bookmarkStart w:id="157" w:name="_Toc184308085"/>
      <w:bookmarkEnd w:id="157"/>
      <w:bookmarkStart w:id="158" w:name="_Toc184308086"/>
      <w:bookmarkEnd w:id="158"/>
      <w:bookmarkStart w:id="159" w:name="_Toc184308102"/>
      <w:bookmarkEnd w:id="159"/>
      <w:bookmarkStart w:id="160" w:name="_Toc184313304"/>
      <w:bookmarkEnd w:id="160"/>
      <w:bookmarkStart w:id="161" w:name="_Toc184313272"/>
      <w:bookmarkEnd w:id="161"/>
      <w:bookmarkStart w:id="162" w:name="_Toc184312137"/>
      <w:bookmarkEnd w:id="162"/>
      <w:bookmarkStart w:id="163" w:name="_Toc184310293"/>
      <w:bookmarkEnd w:id="163"/>
      <w:bookmarkStart w:id="164" w:name="_Toc184312091"/>
      <w:bookmarkEnd w:id="164"/>
      <w:bookmarkStart w:id="165" w:name="_Toc184313299"/>
      <w:bookmarkEnd w:id="165"/>
      <w:bookmarkStart w:id="166" w:name="_Toc184312139"/>
      <w:bookmarkEnd w:id="166"/>
      <w:bookmarkStart w:id="167" w:name="_Toc184308048"/>
      <w:bookmarkEnd w:id="167"/>
      <w:bookmarkStart w:id="168" w:name="_Toc184308064"/>
      <w:bookmarkEnd w:id="168"/>
      <w:bookmarkStart w:id="169" w:name="_Toc184308053"/>
      <w:bookmarkEnd w:id="169"/>
      <w:bookmarkStart w:id="170" w:name="_Toc184313293"/>
      <w:bookmarkEnd w:id="170"/>
      <w:bookmarkStart w:id="171" w:name="_Toc184310307"/>
      <w:bookmarkEnd w:id="171"/>
      <w:bookmarkStart w:id="172" w:name="_Toc184313264"/>
      <w:bookmarkEnd w:id="172"/>
      <w:bookmarkStart w:id="173" w:name="_Toc184313254"/>
      <w:bookmarkEnd w:id="173"/>
      <w:bookmarkStart w:id="174" w:name="_Toc184312075"/>
      <w:bookmarkEnd w:id="174"/>
      <w:bookmarkStart w:id="175" w:name="_Toc184313289"/>
      <w:bookmarkEnd w:id="175"/>
      <w:bookmarkStart w:id="176" w:name="_Toc184314441"/>
      <w:bookmarkEnd w:id="176"/>
      <w:bookmarkStart w:id="177" w:name="_Toc184313244"/>
      <w:bookmarkEnd w:id="177"/>
      <w:bookmarkStart w:id="178" w:name="_Toc184314424"/>
      <w:bookmarkEnd w:id="178"/>
      <w:bookmarkStart w:id="179" w:name="_Toc184312115"/>
      <w:bookmarkEnd w:id="179"/>
      <w:bookmarkStart w:id="180" w:name="_Toc184314481"/>
      <w:bookmarkEnd w:id="180"/>
      <w:bookmarkStart w:id="181" w:name="_Toc184308106"/>
      <w:bookmarkEnd w:id="181"/>
      <w:bookmarkStart w:id="182" w:name="_Toc184312105"/>
      <w:bookmarkEnd w:id="182"/>
      <w:bookmarkStart w:id="183" w:name="_Toc184310316"/>
      <w:bookmarkEnd w:id="183"/>
      <w:bookmarkStart w:id="184" w:name="_Toc184312122"/>
      <w:bookmarkEnd w:id="184"/>
      <w:bookmarkStart w:id="185" w:name="_Toc184310340"/>
      <w:bookmarkEnd w:id="185"/>
      <w:bookmarkStart w:id="186" w:name="_Toc184312085"/>
      <w:bookmarkEnd w:id="186"/>
      <w:bookmarkStart w:id="187" w:name="_Toc184312072"/>
      <w:bookmarkEnd w:id="187"/>
      <w:bookmarkStart w:id="188" w:name="_Toc184310302"/>
      <w:bookmarkEnd w:id="188"/>
      <w:bookmarkStart w:id="189" w:name="_Toc184312102"/>
      <w:bookmarkEnd w:id="189"/>
      <w:bookmarkStart w:id="190" w:name="_Toc184313267"/>
      <w:bookmarkEnd w:id="190"/>
      <w:bookmarkStart w:id="191" w:name="_Toc184314414"/>
      <w:bookmarkEnd w:id="191"/>
      <w:bookmarkStart w:id="192" w:name="_Toc184312124"/>
      <w:bookmarkEnd w:id="192"/>
      <w:bookmarkStart w:id="193" w:name="_Toc184313245"/>
      <w:bookmarkEnd w:id="193"/>
      <w:bookmarkStart w:id="194" w:name="_Toc184310328"/>
      <w:bookmarkEnd w:id="194"/>
      <w:bookmarkStart w:id="195" w:name="_Toc184308040"/>
      <w:bookmarkEnd w:id="195"/>
      <w:bookmarkStart w:id="196" w:name="_Toc184313271"/>
      <w:bookmarkEnd w:id="196"/>
      <w:bookmarkStart w:id="197" w:name="_Toc184310275"/>
      <w:bookmarkEnd w:id="197"/>
      <w:bookmarkStart w:id="198" w:name="_Toc184310325"/>
      <w:bookmarkEnd w:id="198"/>
      <w:bookmarkStart w:id="199" w:name="_Toc184310310"/>
      <w:bookmarkEnd w:id="199"/>
      <w:bookmarkStart w:id="200" w:name="_Toc184314482"/>
      <w:bookmarkEnd w:id="200"/>
      <w:bookmarkStart w:id="201" w:name="_Toc184308107"/>
      <w:bookmarkEnd w:id="201"/>
      <w:bookmarkStart w:id="202" w:name="_Toc184310314"/>
      <w:bookmarkEnd w:id="202"/>
      <w:bookmarkStart w:id="203" w:name="_Toc184312104"/>
      <w:bookmarkEnd w:id="203"/>
      <w:bookmarkStart w:id="204" w:name="_Toc184308077"/>
      <w:bookmarkEnd w:id="204"/>
      <w:bookmarkStart w:id="205" w:name="_Toc184313297"/>
      <w:bookmarkEnd w:id="205"/>
      <w:bookmarkStart w:id="206" w:name="_Toc184314419"/>
      <w:bookmarkEnd w:id="206"/>
      <w:bookmarkStart w:id="207" w:name="_Toc184308059"/>
      <w:bookmarkEnd w:id="207"/>
      <w:bookmarkStart w:id="208" w:name="_Toc184312089"/>
      <w:bookmarkEnd w:id="208"/>
      <w:bookmarkStart w:id="209" w:name="_Toc184308103"/>
      <w:bookmarkEnd w:id="209"/>
      <w:bookmarkStart w:id="210" w:name="_Toc184312126"/>
      <w:bookmarkEnd w:id="210"/>
      <w:bookmarkStart w:id="211" w:name="_Toc184313279"/>
      <w:bookmarkEnd w:id="211"/>
      <w:bookmarkStart w:id="212" w:name="_Toc184314451"/>
      <w:bookmarkEnd w:id="212"/>
      <w:bookmarkStart w:id="213" w:name="_Toc184308056"/>
      <w:bookmarkEnd w:id="213"/>
      <w:bookmarkStart w:id="214" w:name="_Toc184312097"/>
      <w:bookmarkEnd w:id="214"/>
      <w:bookmarkStart w:id="215" w:name="_Toc184310297"/>
      <w:bookmarkEnd w:id="215"/>
      <w:bookmarkStart w:id="216" w:name="_Toc184308037"/>
      <w:bookmarkEnd w:id="216"/>
      <w:bookmarkStart w:id="217" w:name="_Toc184310292"/>
      <w:bookmarkEnd w:id="217"/>
      <w:bookmarkStart w:id="218" w:name="_Toc184312103"/>
      <w:bookmarkEnd w:id="218"/>
      <w:bookmarkStart w:id="219" w:name="_Toc184313258"/>
      <w:bookmarkEnd w:id="219"/>
      <w:bookmarkStart w:id="220" w:name="_Toc184312101"/>
      <w:bookmarkEnd w:id="220"/>
      <w:bookmarkStart w:id="221" w:name="_Toc184312096"/>
      <w:bookmarkEnd w:id="221"/>
      <w:bookmarkStart w:id="222" w:name="_Toc184312112"/>
      <w:bookmarkEnd w:id="222"/>
      <w:bookmarkStart w:id="223" w:name="_Toc184308099"/>
      <w:bookmarkEnd w:id="223"/>
      <w:bookmarkStart w:id="224" w:name="_Toc184313300"/>
      <w:bookmarkEnd w:id="224"/>
      <w:bookmarkStart w:id="225" w:name="_Toc184310320"/>
      <w:bookmarkEnd w:id="225"/>
      <w:bookmarkStart w:id="226" w:name="_Toc184314432"/>
      <w:bookmarkEnd w:id="226"/>
      <w:bookmarkStart w:id="227" w:name="_Toc184313282"/>
      <w:bookmarkEnd w:id="227"/>
      <w:bookmarkStart w:id="228" w:name="_Toc184310329"/>
      <w:bookmarkEnd w:id="228"/>
      <w:bookmarkStart w:id="229" w:name="_Toc184313295"/>
      <w:bookmarkEnd w:id="229"/>
      <w:bookmarkStart w:id="230" w:name="_Toc184308108"/>
      <w:bookmarkEnd w:id="230"/>
      <w:bookmarkStart w:id="231" w:name="_Toc184314467"/>
      <w:bookmarkEnd w:id="231"/>
      <w:bookmarkStart w:id="232" w:name="_Toc184313251"/>
      <w:bookmarkEnd w:id="232"/>
      <w:bookmarkStart w:id="233" w:name="_Toc184313309"/>
      <w:bookmarkEnd w:id="233"/>
      <w:bookmarkStart w:id="234" w:name="_Toc184314444"/>
      <w:bookmarkEnd w:id="234"/>
      <w:bookmarkStart w:id="235" w:name="_Toc184310331"/>
      <w:bookmarkEnd w:id="235"/>
      <w:bookmarkStart w:id="236" w:name="_Toc184314457"/>
      <w:bookmarkEnd w:id="236"/>
      <w:bookmarkStart w:id="237" w:name="_Toc184308060"/>
      <w:bookmarkEnd w:id="237"/>
      <w:bookmarkStart w:id="238" w:name="_Toc184313294"/>
      <w:bookmarkEnd w:id="238"/>
      <w:bookmarkStart w:id="239" w:name="_Toc184312116"/>
      <w:bookmarkEnd w:id="239"/>
      <w:bookmarkStart w:id="240" w:name="_Toc184308069"/>
      <w:bookmarkEnd w:id="240"/>
      <w:bookmarkStart w:id="241" w:name="_Toc184310342"/>
      <w:bookmarkEnd w:id="241"/>
      <w:bookmarkStart w:id="242" w:name="_Toc184312099"/>
      <w:bookmarkEnd w:id="242"/>
      <w:bookmarkStart w:id="243" w:name="_Toc184313265"/>
      <w:bookmarkEnd w:id="243"/>
      <w:bookmarkStart w:id="244" w:name="_Toc184312135"/>
      <w:bookmarkEnd w:id="244"/>
      <w:bookmarkStart w:id="245" w:name="_Toc184313255"/>
      <w:bookmarkEnd w:id="245"/>
      <w:bookmarkStart w:id="246" w:name="_Toc184308050"/>
      <w:bookmarkEnd w:id="246"/>
      <w:bookmarkStart w:id="247" w:name="_Toc184314461"/>
      <w:bookmarkEnd w:id="247"/>
      <w:bookmarkStart w:id="248" w:name="_Toc184312120"/>
      <w:bookmarkEnd w:id="248"/>
      <w:bookmarkStart w:id="249" w:name="_Toc184310287"/>
      <w:bookmarkEnd w:id="249"/>
      <w:bookmarkStart w:id="250" w:name="_Toc184308088"/>
      <w:bookmarkEnd w:id="250"/>
      <w:bookmarkStart w:id="251" w:name="_Toc184314470"/>
      <w:bookmarkEnd w:id="251"/>
      <w:bookmarkStart w:id="252" w:name="_Toc184312111"/>
      <w:bookmarkEnd w:id="252"/>
      <w:bookmarkStart w:id="253" w:name="_Toc184310334"/>
      <w:bookmarkEnd w:id="253"/>
      <w:bookmarkStart w:id="254" w:name="_Toc184310291"/>
      <w:bookmarkEnd w:id="254"/>
      <w:bookmarkStart w:id="255" w:name="_Toc184312092"/>
      <w:bookmarkEnd w:id="255"/>
      <w:bookmarkStart w:id="256" w:name="_Toc184310301"/>
      <w:bookmarkEnd w:id="256"/>
      <w:bookmarkStart w:id="257" w:name="_Toc184310300"/>
      <w:bookmarkEnd w:id="257"/>
      <w:bookmarkStart w:id="258" w:name="_Toc184310308"/>
      <w:bookmarkEnd w:id="258"/>
      <w:bookmarkStart w:id="259" w:name="_Toc184310335"/>
      <w:bookmarkEnd w:id="259"/>
      <w:bookmarkStart w:id="260" w:name="_Toc184312081"/>
      <w:bookmarkEnd w:id="260"/>
      <w:bookmarkStart w:id="261" w:name="_Toc184310324"/>
      <w:bookmarkEnd w:id="261"/>
      <w:bookmarkStart w:id="262" w:name="_Toc184310294"/>
      <w:bookmarkEnd w:id="262"/>
      <w:bookmarkStart w:id="263" w:name="_Toc184314446"/>
      <w:bookmarkEnd w:id="263"/>
      <w:bookmarkStart w:id="264" w:name="_Toc184314410"/>
      <w:bookmarkEnd w:id="264"/>
      <w:bookmarkStart w:id="265" w:name="_Toc184310285"/>
      <w:bookmarkEnd w:id="265"/>
      <w:bookmarkStart w:id="266" w:name="_Toc184314449"/>
      <w:bookmarkEnd w:id="266"/>
      <w:bookmarkStart w:id="267" w:name="_Toc184314447"/>
      <w:bookmarkEnd w:id="267"/>
      <w:bookmarkStart w:id="268" w:name="_Toc184308104"/>
      <w:bookmarkEnd w:id="268"/>
      <w:bookmarkStart w:id="269" w:name="_Toc184313262"/>
      <w:bookmarkEnd w:id="269"/>
      <w:bookmarkStart w:id="270" w:name="_Toc184310332"/>
      <w:bookmarkEnd w:id="270"/>
      <w:bookmarkStart w:id="271" w:name="_Toc184313307"/>
      <w:bookmarkEnd w:id="271"/>
      <w:bookmarkStart w:id="272" w:name="_Toc184310321"/>
      <w:bookmarkEnd w:id="272"/>
      <w:bookmarkStart w:id="273" w:name="_Toc184312129"/>
      <w:bookmarkEnd w:id="273"/>
      <w:bookmarkStart w:id="274" w:name="_Toc184314440"/>
      <w:bookmarkEnd w:id="274"/>
      <w:bookmarkStart w:id="275" w:name="_Toc184310318"/>
      <w:bookmarkEnd w:id="275"/>
      <w:bookmarkStart w:id="276" w:name="_Toc184312068"/>
      <w:bookmarkEnd w:id="276"/>
      <w:bookmarkStart w:id="277" w:name="_Toc184313256"/>
      <w:bookmarkEnd w:id="277"/>
      <w:bookmarkStart w:id="278" w:name="_Toc184312069"/>
      <w:bookmarkEnd w:id="278"/>
      <w:bookmarkStart w:id="279" w:name="_Toc184310304"/>
      <w:bookmarkEnd w:id="279"/>
      <w:bookmarkStart w:id="280" w:name="_Toc184310317"/>
      <w:bookmarkEnd w:id="280"/>
      <w:bookmarkStart w:id="281" w:name="_Toc184314459"/>
      <w:bookmarkEnd w:id="281"/>
      <w:bookmarkStart w:id="282" w:name="_Toc184314473"/>
      <w:bookmarkEnd w:id="282"/>
      <w:bookmarkStart w:id="283" w:name="_Toc184312130"/>
      <w:bookmarkEnd w:id="283"/>
      <w:bookmarkStart w:id="284" w:name="_Toc184312113"/>
      <w:bookmarkEnd w:id="284"/>
      <w:bookmarkStart w:id="285" w:name="_Toc184314438"/>
      <w:bookmarkEnd w:id="285"/>
      <w:bookmarkStart w:id="286" w:name="_Toc184310274"/>
      <w:bookmarkEnd w:id="286"/>
      <w:bookmarkStart w:id="287" w:name="_Toc184314415"/>
      <w:bookmarkEnd w:id="287"/>
      <w:bookmarkStart w:id="288" w:name="_Toc184308039"/>
      <w:bookmarkEnd w:id="288"/>
      <w:bookmarkStart w:id="289" w:name="_Toc184313281"/>
      <w:bookmarkEnd w:id="289"/>
      <w:bookmarkStart w:id="290" w:name="_Toc184314413"/>
      <w:bookmarkEnd w:id="290"/>
      <w:bookmarkStart w:id="291" w:name="_Toc184308072"/>
      <w:bookmarkEnd w:id="291"/>
      <w:bookmarkStart w:id="292" w:name="_Toc184313266"/>
      <w:bookmarkEnd w:id="292"/>
      <w:bookmarkStart w:id="293" w:name="_Toc184314445"/>
      <w:bookmarkEnd w:id="293"/>
      <w:bookmarkStart w:id="294" w:name="_Toc184314416"/>
      <w:bookmarkEnd w:id="294"/>
      <w:bookmarkStart w:id="295" w:name="_Toc184310305"/>
      <w:bookmarkEnd w:id="295"/>
      <w:bookmarkStart w:id="296" w:name="_Toc184308052"/>
      <w:bookmarkEnd w:id="296"/>
      <w:bookmarkStart w:id="297" w:name="_Toc184312071"/>
      <w:bookmarkEnd w:id="297"/>
      <w:bookmarkStart w:id="298" w:name="_Toc184313239"/>
      <w:bookmarkEnd w:id="298"/>
      <w:bookmarkStart w:id="299" w:name="_Toc184313277"/>
      <w:bookmarkEnd w:id="299"/>
      <w:bookmarkStart w:id="300" w:name="_Toc184314436"/>
      <w:bookmarkEnd w:id="300"/>
      <w:bookmarkStart w:id="301" w:name="_Toc184314454"/>
      <w:bookmarkEnd w:id="301"/>
      <w:bookmarkStart w:id="302" w:name="_Toc184310278"/>
      <w:bookmarkEnd w:id="302"/>
      <w:bookmarkStart w:id="303" w:name="_Toc184314439"/>
      <w:bookmarkEnd w:id="303"/>
      <w:bookmarkStart w:id="304" w:name="_Toc184310277"/>
      <w:bookmarkEnd w:id="304"/>
      <w:bookmarkStart w:id="305" w:name="_Toc184312084"/>
      <w:bookmarkEnd w:id="305"/>
      <w:bookmarkStart w:id="306" w:name="_Toc184310322"/>
      <w:bookmarkEnd w:id="306"/>
      <w:bookmarkStart w:id="307" w:name="_Toc184312077"/>
      <w:bookmarkEnd w:id="307"/>
      <w:bookmarkStart w:id="308" w:name="_Toc184312108"/>
      <w:bookmarkEnd w:id="308"/>
      <w:bookmarkStart w:id="309" w:name="_Toc184308036"/>
      <w:bookmarkEnd w:id="309"/>
      <w:bookmarkStart w:id="310" w:name="_Toc184313260"/>
      <w:bookmarkEnd w:id="310"/>
      <w:bookmarkStart w:id="311" w:name="_Toc184314480"/>
      <w:bookmarkEnd w:id="311"/>
      <w:bookmarkStart w:id="312" w:name="_Toc184308097"/>
      <w:bookmarkEnd w:id="312"/>
      <w:bookmarkStart w:id="313" w:name="_Toc184313278"/>
      <w:bookmarkEnd w:id="313"/>
      <w:bookmarkStart w:id="314" w:name="_Toc184313238"/>
      <w:bookmarkEnd w:id="314"/>
      <w:bookmarkStart w:id="315" w:name="_Toc184308044"/>
      <w:bookmarkEnd w:id="315"/>
      <w:bookmarkStart w:id="316" w:name="_Toc184310327"/>
      <w:bookmarkEnd w:id="316"/>
      <w:bookmarkStart w:id="317" w:name="_Toc184312067"/>
      <w:bookmarkEnd w:id="317"/>
      <w:bookmarkStart w:id="318" w:name="_Toc184313268"/>
      <w:bookmarkEnd w:id="318"/>
      <w:bookmarkStart w:id="319" w:name="_Toc184314463"/>
      <w:bookmarkEnd w:id="319"/>
      <w:bookmarkStart w:id="320" w:name="_Toc184308067"/>
      <w:bookmarkEnd w:id="320"/>
      <w:bookmarkStart w:id="321" w:name="_Toc184312110"/>
      <w:bookmarkEnd w:id="321"/>
      <w:bookmarkStart w:id="322" w:name="_Toc184314472"/>
      <w:bookmarkEnd w:id="322"/>
      <w:bookmarkStart w:id="323" w:name="_Toc184308100"/>
      <w:bookmarkEnd w:id="323"/>
      <w:bookmarkStart w:id="324" w:name="_Toc184308084"/>
      <w:bookmarkEnd w:id="324"/>
      <w:bookmarkStart w:id="325" w:name="_Toc184313291"/>
      <w:bookmarkEnd w:id="325"/>
      <w:bookmarkStart w:id="326" w:name="_Toc184308038"/>
      <w:bookmarkEnd w:id="326"/>
      <w:bookmarkStart w:id="327" w:name="_Toc184308051"/>
      <w:bookmarkEnd w:id="327"/>
      <w:bookmarkStart w:id="328" w:name="_Toc184314471"/>
      <w:bookmarkEnd w:id="328"/>
      <w:bookmarkStart w:id="329" w:name="_Toc184313310"/>
      <w:bookmarkEnd w:id="329"/>
      <w:bookmarkStart w:id="330" w:name="_Toc184310295"/>
      <w:bookmarkEnd w:id="330"/>
      <w:bookmarkStart w:id="331" w:name="_Toc184312109"/>
      <w:bookmarkEnd w:id="331"/>
      <w:bookmarkStart w:id="332" w:name="_Toc184312070"/>
      <w:bookmarkEnd w:id="332"/>
      <w:bookmarkStart w:id="333" w:name="_Toc184310311"/>
      <w:bookmarkEnd w:id="333"/>
      <w:bookmarkStart w:id="334" w:name="_Toc184312076"/>
      <w:bookmarkEnd w:id="334"/>
      <w:bookmarkStart w:id="335" w:name="_Toc184308095"/>
      <w:bookmarkEnd w:id="335"/>
      <w:bookmarkStart w:id="336" w:name="_Toc184313249"/>
      <w:bookmarkEnd w:id="336"/>
      <w:bookmarkStart w:id="337" w:name="_Toc184314428"/>
      <w:bookmarkEnd w:id="337"/>
      <w:bookmarkStart w:id="338" w:name="_Toc184312093"/>
      <w:bookmarkEnd w:id="338"/>
      <w:bookmarkStart w:id="339" w:name="_Toc184314475"/>
      <w:bookmarkEnd w:id="339"/>
      <w:bookmarkStart w:id="340" w:name="_Toc184310282"/>
      <w:bookmarkEnd w:id="340"/>
      <w:bookmarkStart w:id="341" w:name="_Toc184314469"/>
      <w:bookmarkEnd w:id="341"/>
      <w:bookmarkStart w:id="342" w:name="_Toc184314466"/>
      <w:bookmarkEnd w:id="342"/>
      <w:bookmarkStart w:id="343" w:name="_Toc184312125"/>
      <w:bookmarkEnd w:id="343"/>
      <w:bookmarkStart w:id="344" w:name="_Toc184314443"/>
      <w:bookmarkEnd w:id="344"/>
      <w:bookmarkStart w:id="345" w:name="_Toc184313280"/>
      <w:bookmarkEnd w:id="345"/>
      <w:bookmarkStart w:id="346" w:name="_Toc184312121"/>
      <w:bookmarkEnd w:id="346"/>
      <w:bookmarkStart w:id="347" w:name="_Toc184313248"/>
      <w:bookmarkEnd w:id="347"/>
      <w:bookmarkStart w:id="348" w:name="_Toc184313275"/>
      <w:bookmarkEnd w:id="348"/>
      <w:bookmarkStart w:id="349" w:name="_Toc184314430"/>
      <w:bookmarkEnd w:id="349"/>
      <w:bookmarkStart w:id="350" w:name="_Toc184314462"/>
      <w:bookmarkEnd w:id="350"/>
      <w:bookmarkStart w:id="351" w:name="_Toc184310309"/>
      <w:bookmarkEnd w:id="351"/>
      <w:bookmarkStart w:id="352" w:name="_Toc184314411"/>
      <w:bookmarkEnd w:id="352"/>
      <w:bookmarkStart w:id="353" w:name="_Toc184314426"/>
      <w:bookmarkEnd w:id="353"/>
      <w:bookmarkStart w:id="354" w:name="_Toc184308058"/>
      <w:bookmarkEnd w:id="354"/>
      <w:bookmarkStart w:id="355" w:name="_Toc184308073"/>
      <w:bookmarkEnd w:id="355"/>
      <w:bookmarkStart w:id="356" w:name="_Toc184314417"/>
      <w:bookmarkEnd w:id="356"/>
      <w:bookmarkStart w:id="357" w:name="_Toc184314431"/>
      <w:bookmarkEnd w:id="357"/>
      <w:bookmarkStart w:id="358" w:name="_Toc184313250"/>
      <w:bookmarkEnd w:id="358"/>
      <w:bookmarkStart w:id="359" w:name="_Toc184308047"/>
      <w:bookmarkEnd w:id="359"/>
      <w:bookmarkStart w:id="360" w:name="_Toc184312132"/>
      <w:bookmarkEnd w:id="360"/>
      <w:bookmarkStart w:id="361" w:name="_Toc184314464"/>
      <w:bookmarkEnd w:id="361"/>
      <w:bookmarkStart w:id="362" w:name="_Toc184314479"/>
      <w:bookmarkEnd w:id="362"/>
      <w:bookmarkStart w:id="363" w:name="_Toc184310288"/>
      <w:bookmarkEnd w:id="363"/>
      <w:bookmarkStart w:id="364" w:name="_Toc184314425"/>
      <w:bookmarkEnd w:id="364"/>
      <w:bookmarkStart w:id="365" w:name="_Toc184312119"/>
      <w:bookmarkEnd w:id="365"/>
      <w:bookmarkStart w:id="366" w:name="_Toc184314421"/>
      <w:bookmarkEnd w:id="366"/>
      <w:bookmarkStart w:id="367" w:name="_Toc184310341"/>
      <w:bookmarkEnd w:id="367"/>
      <w:bookmarkStart w:id="368" w:name="_Toc184313290"/>
      <w:bookmarkEnd w:id="368"/>
      <w:bookmarkStart w:id="369" w:name="_Toc184314442"/>
      <w:bookmarkEnd w:id="369"/>
      <w:bookmarkStart w:id="370" w:name="_Toc184313292"/>
      <w:bookmarkEnd w:id="370"/>
      <w:bookmarkStart w:id="371" w:name="_Toc184308098"/>
      <w:bookmarkEnd w:id="371"/>
      <w:bookmarkStart w:id="372" w:name="_Toc184312080"/>
      <w:bookmarkEnd w:id="372"/>
      <w:bookmarkStart w:id="373" w:name="_Toc184312128"/>
      <w:bookmarkEnd w:id="373"/>
      <w:bookmarkStart w:id="374" w:name="_Toc184312094"/>
      <w:bookmarkEnd w:id="374"/>
      <w:bookmarkStart w:id="375" w:name="_Toc184308054"/>
      <w:bookmarkEnd w:id="375"/>
      <w:bookmarkStart w:id="376" w:name="_Toc184308074"/>
      <w:bookmarkEnd w:id="376"/>
      <w:bookmarkStart w:id="377" w:name="_Toc184312131"/>
      <w:bookmarkEnd w:id="377"/>
      <w:bookmarkStart w:id="378" w:name="_Toc184312098"/>
      <w:bookmarkEnd w:id="378"/>
      <w:bookmarkStart w:id="379" w:name="_Toc184310315"/>
      <w:bookmarkEnd w:id="379"/>
      <w:bookmarkStart w:id="380" w:name="_Toc184308057"/>
      <w:bookmarkEnd w:id="380"/>
      <w:bookmarkStart w:id="381" w:name="_Toc184308081"/>
      <w:bookmarkEnd w:id="381"/>
      <w:bookmarkStart w:id="382" w:name="_Toc184308101"/>
      <w:bookmarkEnd w:id="382"/>
      <w:bookmarkStart w:id="383" w:name="_Toc184312136"/>
      <w:bookmarkEnd w:id="383"/>
      <w:bookmarkStart w:id="384" w:name="_Toc184312117"/>
      <w:bookmarkEnd w:id="384"/>
      <w:bookmarkStart w:id="385" w:name="_Toc184313270"/>
      <w:bookmarkEnd w:id="385"/>
      <w:bookmarkStart w:id="386" w:name="_Toc184313286"/>
      <w:bookmarkEnd w:id="386"/>
      <w:bookmarkStart w:id="387" w:name="_Toc184314455"/>
      <w:bookmarkEnd w:id="387"/>
      <w:bookmarkStart w:id="388" w:name="_Toc184313288"/>
      <w:bookmarkEnd w:id="388"/>
      <w:bookmarkStart w:id="389" w:name="_Toc184308089"/>
      <w:bookmarkEnd w:id="389"/>
      <w:bookmarkStart w:id="390" w:name="_Toc184308092"/>
      <w:bookmarkEnd w:id="390"/>
      <w:bookmarkStart w:id="391" w:name="_Toc184308043"/>
      <w:bookmarkEnd w:id="391"/>
      <w:bookmarkStart w:id="392" w:name="_Toc184314476"/>
      <w:bookmarkEnd w:id="392"/>
      <w:bookmarkStart w:id="393" w:name="_Toc184312086"/>
      <w:bookmarkEnd w:id="393"/>
      <w:bookmarkStart w:id="394" w:name="_Toc184312088"/>
      <w:bookmarkEnd w:id="394"/>
      <w:bookmarkStart w:id="395" w:name="_Toc184313243"/>
      <w:bookmarkEnd w:id="395"/>
      <w:bookmarkStart w:id="396" w:name="_Toc184314477"/>
      <w:bookmarkEnd w:id="396"/>
      <w:bookmarkStart w:id="397" w:name="_Toc184310272"/>
      <w:bookmarkEnd w:id="397"/>
      <w:bookmarkStart w:id="398" w:name="_Toc184310319"/>
      <w:bookmarkEnd w:id="398"/>
      <w:bookmarkStart w:id="399" w:name="_Toc184313253"/>
      <w:bookmarkEnd w:id="399"/>
      <w:bookmarkStart w:id="400" w:name="_Toc184314465"/>
      <w:bookmarkEnd w:id="400"/>
      <w:bookmarkStart w:id="401" w:name="_Toc184314453"/>
      <w:bookmarkEnd w:id="401"/>
      <w:bookmarkStart w:id="402" w:name="_Toc184314412"/>
      <w:bookmarkEnd w:id="402"/>
      <w:bookmarkStart w:id="403" w:name="_Toc184312090"/>
      <w:bookmarkEnd w:id="403"/>
      <w:bookmarkStart w:id="404" w:name="_Toc184308049"/>
      <w:bookmarkEnd w:id="404"/>
      <w:bookmarkStart w:id="405" w:name="_Toc184310343"/>
      <w:bookmarkEnd w:id="405"/>
      <w:bookmarkStart w:id="406" w:name="_Toc184313269"/>
      <w:bookmarkEnd w:id="406"/>
      <w:bookmarkStart w:id="407" w:name="_Toc184310323"/>
      <w:bookmarkEnd w:id="407"/>
      <w:bookmarkStart w:id="408" w:name="_Toc184308080"/>
      <w:bookmarkEnd w:id="408"/>
      <w:bookmarkStart w:id="409" w:name="_Toc184314429"/>
      <w:bookmarkEnd w:id="409"/>
      <w:bookmarkStart w:id="410" w:name="_Toc184313240"/>
      <w:bookmarkEnd w:id="410"/>
      <w:bookmarkStart w:id="411" w:name="_Toc184308083"/>
      <w:bookmarkEnd w:id="411"/>
      <w:bookmarkStart w:id="412" w:name="_Toc184313242"/>
      <w:bookmarkEnd w:id="412"/>
      <w:bookmarkStart w:id="413" w:name="_Toc184308082"/>
      <w:bookmarkEnd w:id="413"/>
      <w:bookmarkStart w:id="414" w:name="_Toc184310286"/>
      <w:bookmarkEnd w:id="414"/>
      <w:bookmarkStart w:id="415" w:name="_Toc184310344"/>
      <w:bookmarkEnd w:id="415"/>
      <w:bookmarkStart w:id="416" w:name="_Toc184313287"/>
      <w:bookmarkEnd w:id="416"/>
      <w:bookmarkStart w:id="417" w:name="_Toc184310306"/>
      <w:bookmarkEnd w:id="417"/>
      <w:bookmarkStart w:id="418" w:name="_Toc184312073"/>
      <w:bookmarkEnd w:id="418"/>
      <w:bookmarkStart w:id="419" w:name="_Toc184308041"/>
      <w:bookmarkEnd w:id="419"/>
      <w:bookmarkStart w:id="420" w:name="_Toc184313259"/>
      <w:bookmarkEnd w:id="420"/>
      <w:bookmarkStart w:id="421" w:name="_Toc184313305"/>
      <w:bookmarkEnd w:id="421"/>
      <w:bookmarkStart w:id="422" w:name="_Toc184310276"/>
      <w:bookmarkEnd w:id="422"/>
      <w:bookmarkStart w:id="423" w:name="_Toc184313284"/>
      <w:bookmarkEnd w:id="423"/>
      <w:bookmarkStart w:id="424" w:name="_Toc184313302"/>
      <w:bookmarkEnd w:id="424"/>
      <w:bookmarkStart w:id="425" w:name="_Toc184312127"/>
      <w:bookmarkEnd w:id="425"/>
      <w:bookmarkStart w:id="426" w:name="_Toc184313252"/>
      <w:bookmarkEnd w:id="426"/>
      <w:r>
        <w:rPr>
          <w:rFonts w:hint="eastAsia" w:ascii="仿宋" w:hAnsi="仿宋" w:eastAsia="仿宋" w:cs="仿宋_GB2312"/>
          <w:b/>
          <w:color w:val="auto"/>
          <w:sz w:val="36"/>
          <w:szCs w:val="36"/>
          <w:highlight w:val="none"/>
        </w:rPr>
        <w:t>评标方法及评分标准</w:t>
      </w:r>
    </w:p>
    <w:p>
      <w:pPr>
        <w:shd w:val="clear"/>
        <w:snapToGrid w:val="0"/>
        <w:spacing w:line="360" w:lineRule="auto"/>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（综合评审法）</w:t>
      </w:r>
    </w:p>
    <w:p>
      <w:pPr>
        <w:shd w:val="clear"/>
        <w:snapToGrid w:val="0"/>
        <w:spacing w:line="360" w:lineRule="auto"/>
        <w:jc w:val="center"/>
        <w:rPr>
          <w:rFonts w:ascii="仿宋" w:hAnsi="仿宋" w:eastAsia="仿宋"/>
          <w:b/>
          <w:color w:val="auto"/>
          <w:sz w:val="28"/>
          <w:szCs w:val="28"/>
          <w:highlight w:val="none"/>
        </w:rPr>
      </w:pPr>
      <w:r>
        <w:rPr>
          <w:rFonts w:hint="eastAsia" w:ascii="仿宋" w:hAnsi="仿宋" w:eastAsia="仿宋" w:cs="仿宋_GB2312"/>
          <w:b/>
          <w:color w:val="auto"/>
          <w:sz w:val="32"/>
          <w:highlight w:val="none"/>
        </w:rPr>
        <w:t>一、评标方法</w:t>
      </w:r>
    </w:p>
    <w:p>
      <w:pPr>
        <w:shd w:val="clear"/>
        <w:adjustRightInd/>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1.综合评分法。</w:t>
      </w:r>
      <w:r>
        <w:rPr>
          <w:rFonts w:hint="eastAsia" w:ascii="仿宋" w:hAnsi="仿宋" w:eastAsia="仿宋" w:cs="Arial"/>
          <w:color w:val="auto"/>
          <w:kern w:val="0"/>
          <w:sz w:val="24"/>
          <w:highlight w:val="none"/>
        </w:rPr>
        <w:t>综合评分法，是指投标文件满足招标文件全部实质性要求，且按照评审因素的量化指标评审得分最高的前四名投标人为中标候选人的评标方法。</w:t>
      </w:r>
    </w:p>
    <w:p>
      <w:pPr>
        <w:shd w:val="clear"/>
        <w:adjustRightInd/>
        <w:spacing w:line="360" w:lineRule="auto"/>
        <w:rPr>
          <w:rFonts w:ascii="仿宋" w:hAnsi="仿宋" w:eastAsia="仿宋" w:cs="Arial"/>
          <w:color w:val="auto"/>
          <w:kern w:val="0"/>
          <w:sz w:val="24"/>
          <w:highlight w:val="none"/>
        </w:rPr>
      </w:pPr>
    </w:p>
    <w:p>
      <w:pPr>
        <w:shd w:val="clear"/>
        <w:snapToGrid w:val="0"/>
        <w:spacing w:line="360" w:lineRule="auto"/>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二、评标委员会的组成</w:t>
      </w:r>
    </w:p>
    <w:p>
      <w:pPr>
        <w:shd w:val="clear"/>
        <w:snapToGrid w:val="0"/>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2.评标委员会的组成。</w:t>
      </w:r>
      <w:r>
        <w:rPr>
          <w:rFonts w:ascii="仿宋" w:hAnsi="仿宋" w:eastAsia="仿宋" w:cs="Arial"/>
          <w:color w:val="auto"/>
          <w:kern w:val="0"/>
          <w:sz w:val="24"/>
          <w:highlight w:val="none"/>
        </w:rPr>
        <w:t>评标委员会由采购人代表和评审专家组成，成员人数为5人以上单数，其中评审专家不少于成员总数的三分之二。</w:t>
      </w:r>
    </w:p>
    <w:p>
      <w:pPr>
        <w:pStyle w:val="226"/>
        <w:shd w:val="clear"/>
        <w:spacing w:before="0"/>
        <w:ind w:firstLine="482"/>
        <w:rPr>
          <w:rFonts w:ascii="仿宋" w:hAnsi="仿宋" w:eastAsia="仿宋" w:cs="Arial"/>
          <w:color w:val="auto"/>
          <w:kern w:val="0"/>
          <w:highlight w:val="none"/>
        </w:rPr>
      </w:pPr>
      <w:r>
        <w:rPr>
          <w:rFonts w:hint="eastAsia" w:ascii="仿宋" w:hAnsi="仿宋" w:eastAsia="仿宋" w:cs="Arial"/>
          <w:b/>
          <w:color w:val="auto"/>
          <w:kern w:val="0"/>
          <w:highlight w:val="none"/>
        </w:rPr>
        <w:t>3.评</w:t>
      </w:r>
      <w:r>
        <w:rPr>
          <w:rFonts w:hint="eastAsia" w:ascii="仿宋" w:hAnsi="仿宋" w:eastAsia="仿宋" w:cs="Arial"/>
          <w:b/>
          <w:color w:val="auto"/>
          <w:kern w:val="0"/>
          <w:szCs w:val="24"/>
          <w:highlight w:val="none"/>
        </w:rPr>
        <w:t>标委员会的组成人员的回避。</w:t>
      </w:r>
      <w:r>
        <w:rPr>
          <w:rFonts w:hint="eastAsia" w:ascii="仿宋" w:hAnsi="仿宋" w:eastAsia="仿宋" w:cs="Arial"/>
          <w:color w:val="auto"/>
          <w:kern w:val="0"/>
          <w:highlight w:val="none"/>
        </w:rPr>
        <w:t>在政府采购活动中，评标委员会的组成人员与供应商有下列利害关系之一的，应当回避：</w:t>
      </w:r>
    </w:p>
    <w:p>
      <w:pPr>
        <w:pStyle w:val="226"/>
        <w:shd w:val="clear"/>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3.1参加采购活动前3年内与供应商存在劳动关系。</w:t>
      </w:r>
    </w:p>
    <w:p>
      <w:pPr>
        <w:pStyle w:val="226"/>
        <w:shd w:val="clear"/>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3.2参加采购活动前3年内担任供应商的董事、监事。</w:t>
      </w:r>
    </w:p>
    <w:p>
      <w:pPr>
        <w:pStyle w:val="226"/>
        <w:shd w:val="clear"/>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3.3参加采购活动前3年内是供应商的控股股东或者实际控制人。</w:t>
      </w:r>
    </w:p>
    <w:p>
      <w:pPr>
        <w:pStyle w:val="226"/>
        <w:shd w:val="clear"/>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3.4与供应商的法定代表人或者负责人有夫妻、直系血亲、三代以内旁系血亲或者近姻亲关系。</w:t>
      </w:r>
    </w:p>
    <w:p>
      <w:pPr>
        <w:pStyle w:val="226"/>
        <w:shd w:val="clear"/>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3.5与供应商有其他可能影响政府采购活动公平、公正进行的关系。</w:t>
      </w:r>
    </w:p>
    <w:p>
      <w:pPr>
        <w:shd w:val="clear"/>
        <w:snapToGrid w:val="0"/>
        <w:spacing w:line="360" w:lineRule="auto"/>
        <w:ind w:left="120" w:leftChars="57" w:firstLine="482" w:firstLineChars="150"/>
        <w:jc w:val="center"/>
        <w:rPr>
          <w:rFonts w:ascii="仿宋" w:hAnsi="仿宋" w:eastAsia="仿宋"/>
          <w:b/>
          <w:color w:val="auto"/>
          <w:sz w:val="32"/>
          <w:szCs w:val="32"/>
          <w:highlight w:val="none"/>
        </w:rPr>
      </w:pPr>
    </w:p>
    <w:p>
      <w:pPr>
        <w:shd w:val="clear"/>
        <w:snapToGrid w:val="0"/>
        <w:spacing w:line="360" w:lineRule="auto"/>
        <w:ind w:left="120" w:leftChars="57" w:firstLine="482" w:firstLineChars="150"/>
        <w:jc w:val="center"/>
        <w:rPr>
          <w:rFonts w:ascii="仿宋" w:hAnsi="仿宋" w:eastAsia="仿宋"/>
          <w:b/>
          <w:color w:val="auto"/>
          <w:sz w:val="32"/>
          <w:szCs w:val="32"/>
          <w:highlight w:val="none"/>
        </w:rPr>
      </w:pPr>
      <w:r>
        <w:rPr>
          <w:rFonts w:ascii="仿宋" w:hAnsi="仿宋" w:eastAsia="仿宋"/>
          <w:b/>
          <w:color w:val="auto"/>
          <w:sz w:val="32"/>
          <w:szCs w:val="32"/>
          <w:highlight w:val="none"/>
        </w:rPr>
        <w:t>　</w:t>
      </w:r>
      <w:r>
        <w:rPr>
          <w:rFonts w:ascii="仿宋" w:hAnsi="仿宋" w:eastAsia="仿宋" w:cs="仿宋_GB2312"/>
          <w:b/>
          <w:color w:val="auto"/>
          <w:sz w:val="32"/>
          <w:highlight w:val="none"/>
        </w:rPr>
        <w:t>　</w:t>
      </w:r>
      <w:r>
        <w:rPr>
          <w:rFonts w:hint="eastAsia" w:ascii="仿宋" w:hAnsi="仿宋" w:eastAsia="仿宋" w:cs="仿宋_GB2312"/>
          <w:b/>
          <w:color w:val="auto"/>
          <w:sz w:val="32"/>
          <w:highlight w:val="none"/>
        </w:rPr>
        <w:t>三、评标委员会的职责</w:t>
      </w:r>
    </w:p>
    <w:p>
      <w:pPr>
        <w:pStyle w:val="226"/>
        <w:shd w:val="clear"/>
        <w:spacing w:before="0"/>
        <w:ind w:firstLine="482"/>
        <w:rPr>
          <w:rFonts w:ascii="仿宋" w:hAnsi="仿宋" w:eastAsia="仿宋" w:cs="Arial"/>
          <w:b/>
          <w:color w:val="auto"/>
          <w:kern w:val="0"/>
          <w:szCs w:val="24"/>
          <w:highlight w:val="none"/>
        </w:rPr>
      </w:pPr>
      <w:r>
        <w:rPr>
          <w:rFonts w:hint="eastAsia" w:ascii="仿宋" w:hAnsi="仿宋" w:eastAsia="仿宋" w:cs="Arial"/>
          <w:b/>
          <w:color w:val="auto"/>
          <w:kern w:val="0"/>
          <w:szCs w:val="24"/>
          <w:highlight w:val="none"/>
        </w:rPr>
        <w:t>4.</w:t>
      </w:r>
      <w:r>
        <w:rPr>
          <w:rFonts w:ascii="仿宋" w:hAnsi="仿宋" w:eastAsia="仿宋" w:cs="Arial"/>
          <w:b/>
          <w:color w:val="auto"/>
          <w:kern w:val="0"/>
          <w:szCs w:val="24"/>
          <w:highlight w:val="none"/>
        </w:rPr>
        <w:t>评标委员会负责具体评标事务，并独立履行下列职责：</w:t>
      </w:r>
    </w:p>
    <w:p>
      <w:pPr>
        <w:pStyle w:val="226"/>
        <w:shd w:val="clear"/>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4.1</w:t>
      </w:r>
      <w:r>
        <w:rPr>
          <w:rFonts w:ascii="仿宋" w:hAnsi="仿宋" w:eastAsia="仿宋" w:cs="Arial"/>
          <w:color w:val="auto"/>
          <w:kern w:val="0"/>
          <w:highlight w:val="none"/>
        </w:rPr>
        <w:t>审查、评价投标文件是否符合招标文件的商务、技术等实质性要求</w:t>
      </w:r>
      <w:r>
        <w:rPr>
          <w:rFonts w:hint="eastAsia" w:ascii="仿宋" w:hAnsi="仿宋" w:eastAsia="仿宋" w:cs="Arial"/>
          <w:color w:val="auto"/>
          <w:kern w:val="0"/>
          <w:highlight w:val="none"/>
        </w:rPr>
        <w:t>。</w:t>
      </w:r>
    </w:p>
    <w:p>
      <w:pPr>
        <w:pStyle w:val="226"/>
        <w:shd w:val="clear"/>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4.2</w:t>
      </w:r>
      <w:r>
        <w:rPr>
          <w:rFonts w:ascii="仿宋" w:hAnsi="仿宋" w:eastAsia="仿宋" w:cs="Arial"/>
          <w:color w:val="auto"/>
          <w:kern w:val="0"/>
          <w:highlight w:val="none"/>
        </w:rPr>
        <w:t>要求投标人对投标文件有关事项作出澄清或者说明</w:t>
      </w:r>
      <w:r>
        <w:rPr>
          <w:rFonts w:hint="eastAsia" w:ascii="仿宋" w:hAnsi="仿宋" w:eastAsia="仿宋" w:cs="Arial"/>
          <w:color w:val="auto"/>
          <w:kern w:val="0"/>
          <w:highlight w:val="none"/>
        </w:rPr>
        <w:t>。</w:t>
      </w:r>
    </w:p>
    <w:p>
      <w:pPr>
        <w:pStyle w:val="226"/>
        <w:shd w:val="clear"/>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4.3</w:t>
      </w:r>
      <w:r>
        <w:rPr>
          <w:rFonts w:ascii="仿宋" w:hAnsi="仿宋" w:eastAsia="仿宋" w:cs="Arial"/>
          <w:color w:val="auto"/>
          <w:kern w:val="0"/>
          <w:highlight w:val="none"/>
        </w:rPr>
        <w:t>对投标文件进行比较和评价</w:t>
      </w:r>
      <w:r>
        <w:rPr>
          <w:rFonts w:hint="eastAsia" w:ascii="仿宋" w:hAnsi="仿宋" w:eastAsia="仿宋" w:cs="Arial"/>
          <w:color w:val="auto"/>
          <w:kern w:val="0"/>
          <w:highlight w:val="none"/>
        </w:rPr>
        <w:t>。</w:t>
      </w:r>
    </w:p>
    <w:p>
      <w:pPr>
        <w:pStyle w:val="226"/>
        <w:shd w:val="clear"/>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4.4</w:t>
      </w:r>
      <w:r>
        <w:rPr>
          <w:rFonts w:ascii="仿宋" w:hAnsi="仿宋" w:eastAsia="仿宋" w:cs="Arial"/>
          <w:color w:val="auto"/>
          <w:kern w:val="0"/>
          <w:highlight w:val="none"/>
        </w:rPr>
        <w:t>确定中标候选人名单，以及根据采购人委托直接确定中标人</w:t>
      </w:r>
      <w:r>
        <w:rPr>
          <w:rFonts w:hint="eastAsia" w:ascii="仿宋" w:hAnsi="仿宋" w:eastAsia="仿宋" w:cs="Arial"/>
          <w:color w:val="auto"/>
          <w:kern w:val="0"/>
          <w:highlight w:val="none"/>
        </w:rPr>
        <w:t>。</w:t>
      </w:r>
    </w:p>
    <w:p>
      <w:pPr>
        <w:pStyle w:val="226"/>
        <w:shd w:val="clear"/>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4.5</w:t>
      </w:r>
      <w:r>
        <w:rPr>
          <w:rFonts w:ascii="仿宋" w:hAnsi="仿宋" w:eastAsia="仿宋" w:cs="Arial"/>
          <w:color w:val="auto"/>
          <w:kern w:val="0"/>
          <w:highlight w:val="none"/>
        </w:rPr>
        <w:t>向采购人、采购代理机构或者有关部门报告评标中发现的违法行为</w:t>
      </w:r>
      <w:r>
        <w:rPr>
          <w:rFonts w:hint="eastAsia" w:ascii="仿宋" w:hAnsi="仿宋" w:eastAsia="仿宋" w:cs="Arial"/>
          <w:color w:val="auto"/>
          <w:kern w:val="0"/>
          <w:highlight w:val="none"/>
        </w:rPr>
        <w:t>。</w:t>
      </w:r>
    </w:p>
    <w:p>
      <w:pPr>
        <w:pStyle w:val="226"/>
        <w:shd w:val="clear"/>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4.6法律、法规、规章、招标文件等规定的其它事项。</w:t>
      </w:r>
    </w:p>
    <w:p>
      <w:pPr>
        <w:pStyle w:val="226"/>
        <w:shd w:val="clear"/>
        <w:spacing w:before="0"/>
        <w:ind w:firstLine="482"/>
        <w:jc w:val="left"/>
        <w:rPr>
          <w:rFonts w:ascii="仿宋" w:hAnsi="仿宋" w:eastAsia="仿宋" w:cs="Arial"/>
          <w:b/>
          <w:color w:val="auto"/>
          <w:kern w:val="0"/>
          <w:szCs w:val="24"/>
          <w:highlight w:val="none"/>
        </w:rPr>
      </w:pPr>
      <w:r>
        <w:rPr>
          <w:rFonts w:hint="eastAsia" w:ascii="仿宋" w:hAnsi="仿宋" w:eastAsia="仿宋" w:cs="Arial"/>
          <w:b/>
          <w:color w:val="auto"/>
          <w:kern w:val="0"/>
          <w:szCs w:val="24"/>
          <w:highlight w:val="none"/>
        </w:rPr>
        <w:t>5.</w:t>
      </w:r>
      <w:r>
        <w:rPr>
          <w:rFonts w:ascii="仿宋" w:hAnsi="仿宋" w:eastAsia="仿宋" w:cs="Arial"/>
          <w:b/>
          <w:color w:val="auto"/>
          <w:kern w:val="0"/>
          <w:szCs w:val="24"/>
          <w:highlight w:val="none"/>
        </w:rPr>
        <w:t>评标委员会及其成员不得有下列行为：</w:t>
      </w:r>
    </w:p>
    <w:p>
      <w:pPr>
        <w:pStyle w:val="226"/>
        <w:shd w:val="clear"/>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5.1</w:t>
      </w:r>
      <w:r>
        <w:rPr>
          <w:rFonts w:ascii="仿宋" w:hAnsi="仿宋" w:eastAsia="仿宋" w:cs="Arial"/>
          <w:color w:val="auto"/>
          <w:kern w:val="0"/>
          <w:highlight w:val="none"/>
        </w:rPr>
        <w:t>确定参与评标至评标结束前私自接触投标人</w:t>
      </w:r>
      <w:r>
        <w:rPr>
          <w:rFonts w:hint="eastAsia" w:ascii="仿宋" w:hAnsi="仿宋" w:eastAsia="仿宋" w:cs="Arial"/>
          <w:color w:val="auto"/>
          <w:kern w:val="0"/>
          <w:highlight w:val="none"/>
        </w:rPr>
        <w:t>。</w:t>
      </w:r>
    </w:p>
    <w:p>
      <w:pPr>
        <w:pStyle w:val="226"/>
        <w:shd w:val="clear"/>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5.2</w:t>
      </w:r>
      <w:r>
        <w:rPr>
          <w:rFonts w:ascii="仿宋" w:hAnsi="仿宋" w:eastAsia="仿宋" w:cs="Arial"/>
          <w:color w:val="auto"/>
          <w:kern w:val="0"/>
          <w:highlight w:val="none"/>
        </w:rPr>
        <w:t>接受投标人提出的与投标文件不一致的澄清或者说明（</w:t>
      </w:r>
      <w:r>
        <w:rPr>
          <w:rFonts w:hint="eastAsia" w:ascii="仿宋" w:hAnsi="仿宋" w:eastAsia="仿宋" w:cs="Arial"/>
          <w:color w:val="auto"/>
          <w:kern w:val="0"/>
          <w:highlight w:val="none"/>
        </w:rPr>
        <w:t>财政部87号《政府采购货物和服务招投标管理办法》</w:t>
      </w:r>
      <w:r>
        <w:rPr>
          <w:rFonts w:ascii="仿宋" w:hAnsi="仿宋" w:eastAsia="仿宋" w:cs="Arial"/>
          <w:color w:val="auto"/>
          <w:kern w:val="0"/>
          <w:highlight w:val="none"/>
        </w:rPr>
        <w:t>第五十一条规定的情形除外）</w:t>
      </w:r>
      <w:r>
        <w:rPr>
          <w:rFonts w:hint="eastAsia" w:ascii="仿宋" w:hAnsi="仿宋" w:eastAsia="仿宋" w:cs="Arial"/>
          <w:color w:val="auto"/>
          <w:kern w:val="0"/>
          <w:highlight w:val="none"/>
        </w:rPr>
        <w:t>。</w:t>
      </w:r>
    </w:p>
    <w:p>
      <w:pPr>
        <w:pStyle w:val="226"/>
        <w:shd w:val="clear"/>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5.3</w:t>
      </w:r>
      <w:r>
        <w:rPr>
          <w:rFonts w:ascii="仿宋" w:hAnsi="仿宋" w:eastAsia="仿宋" w:cs="Arial"/>
          <w:color w:val="auto"/>
          <w:kern w:val="0"/>
          <w:highlight w:val="none"/>
        </w:rPr>
        <w:t>违反评标纪律发表倾向性意见或者征询采购人的倾向性意见</w:t>
      </w:r>
      <w:r>
        <w:rPr>
          <w:rFonts w:hint="eastAsia" w:ascii="仿宋" w:hAnsi="仿宋" w:eastAsia="仿宋" w:cs="Arial"/>
          <w:color w:val="auto"/>
          <w:kern w:val="0"/>
          <w:highlight w:val="none"/>
        </w:rPr>
        <w:t>。</w:t>
      </w:r>
    </w:p>
    <w:p>
      <w:pPr>
        <w:pStyle w:val="226"/>
        <w:shd w:val="clear"/>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5.4</w:t>
      </w:r>
      <w:r>
        <w:rPr>
          <w:rFonts w:ascii="仿宋" w:hAnsi="仿宋" w:eastAsia="仿宋" w:cs="Arial"/>
          <w:color w:val="auto"/>
          <w:kern w:val="0"/>
          <w:highlight w:val="none"/>
        </w:rPr>
        <w:t>对需要专业判断的主观评审因素协商评分</w:t>
      </w:r>
      <w:r>
        <w:rPr>
          <w:rFonts w:hint="eastAsia" w:ascii="仿宋" w:hAnsi="仿宋" w:eastAsia="仿宋" w:cs="Arial"/>
          <w:color w:val="auto"/>
          <w:kern w:val="0"/>
          <w:highlight w:val="none"/>
        </w:rPr>
        <w:t>。</w:t>
      </w:r>
    </w:p>
    <w:p>
      <w:pPr>
        <w:pStyle w:val="226"/>
        <w:shd w:val="clear"/>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5.5</w:t>
      </w:r>
      <w:r>
        <w:rPr>
          <w:rFonts w:ascii="仿宋" w:hAnsi="仿宋" w:eastAsia="仿宋" w:cs="Arial"/>
          <w:color w:val="auto"/>
          <w:kern w:val="0"/>
          <w:highlight w:val="none"/>
        </w:rPr>
        <w:t>在评标过程中擅离职守，影响评标程序正常进行的</w:t>
      </w:r>
      <w:r>
        <w:rPr>
          <w:rFonts w:hint="eastAsia" w:ascii="仿宋" w:hAnsi="仿宋" w:eastAsia="仿宋" w:cs="Arial"/>
          <w:color w:val="auto"/>
          <w:kern w:val="0"/>
          <w:highlight w:val="none"/>
        </w:rPr>
        <w:t>。</w:t>
      </w:r>
    </w:p>
    <w:p>
      <w:pPr>
        <w:pStyle w:val="226"/>
        <w:shd w:val="clear"/>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5.6</w:t>
      </w:r>
      <w:r>
        <w:rPr>
          <w:rFonts w:ascii="仿宋" w:hAnsi="仿宋" w:eastAsia="仿宋" w:cs="Arial"/>
          <w:color w:val="auto"/>
          <w:kern w:val="0"/>
          <w:highlight w:val="none"/>
        </w:rPr>
        <w:t>记录、复制或者带走任何评标资料</w:t>
      </w:r>
      <w:r>
        <w:rPr>
          <w:rFonts w:hint="eastAsia" w:ascii="仿宋" w:hAnsi="仿宋" w:eastAsia="仿宋" w:cs="Arial"/>
          <w:color w:val="auto"/>
          <w:kern w:val="0"/>
          <w:highlight w:val="none"/>
        </w:rPr>
        <w:t>。</w:t>
      </w:r>
    </w:p>
    <w:p>
      <w:pPr>
        <w:pStyle w:val="226"/>
        <w:shd w:val="clear"/>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5.7</w:t>
      </w:r>
      <w:r>
        <w:rPr>
          <w:rFonts w:ascii="仿宋" w:hAnsi="仿宋" w:eastAsia="仿宋" w:cs="Arial"/>
          <w:color w:val="auto"/>
          <w:kern w:val="0"/>
          <w:highlight w:val="none"/>
        </w:rPr>
        <w:t>其他不遵守评标纪律的行为。</w:t>
      </w:r>
    </w:p>
    <w:p>
      <w:pPr>
        <w:pStyle w:val="226"/>
        <w:shd w:val="clear"/>
        <w:spacing w:before="0"/>
        <w:ind w:firstLine="0" w:firstLineChars="0"/>
        <w:jc w:val="left"/>
        <w:rPr>
          <w:rFonts w:ascii="仿宋" w:hAnsi="仿宋" w:eastAsia="仿宋" w:cs="Arial"/>
          <w:color w:val="auto"/>
          <w:kern w:val="0"/>
          <w:highlight w:val="none"/>
        </w:rPr>
      </w:pPr>
      <w:r>
        <w:rPr>
          <w:rFonts w:ascii="仿宋" w:hAnsi="仿宋" w:eastAsia="仿宋" w:cs="Arial"/>
          <w:color w:val="auto"/>
          <w:kern w:val="0"/>
          <w:highlight w:val="none"/>
        </w:rPr>
        <w:t>　　评标委员会成员有</w:t>
      </w:r>
      <w:r>
        <w:rPr>
          <w:rFonts w:hint="eastAsia" w:ascii="仿宋" w:hAnsi="仿宋" w:eastAsia="仿宋" w:cs="Arial"/>
          <w:color w:val="auto"/>
          <w:kern w:val="0"/>
          <w:highlight w:val="none"/>
        </w:rPr>
        <w:t>5.1-5.7</w:t>
      </w:r>
      <w:r>
        <w:rPr>
          <w:rFonts w:ascii="仿宋" w:hAnsi="仿宋" w:eastAsia="仿宋" w:cs="Arial"/>
          <w:color w:val="auto"/>
          <w:kern w:val="0"/>
          <w:highlight w:val="none"/>
        </w:rPr>
        <w:t>行为之一的，其评审意见无效，并不得获取评审劳务报酬和报销异地评审差旅费。</w:t>
      </w:r>
    </w:p>
    <w:p>
      <w:pPr>
        <w:pStyle w:val="226"/>
        <w:shd w:val="clear"/>
        <w:spacing w:before="0"/>
        <w:ind w:firstLine="0" w:firstLineChars="0"/>
        <w:rPr>
          <w:rFonts w:ascii="仿宋" w:hAnsi="仿宋" w:eastAsia="仿宋" w:cs="Arial"/>
          <w:color w:val="auto"/>
          <w:kern w:val="0"/>
          <w:highlight w:val="none"/>
        </w:rPr>
      </w:pPr>
    </w:p>
    <w:p>
      <w:pPr>
        <w:shd w:val="clea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四、评审程序</w:t>
      </w:r>
    </w:p>
    <w:p>
      <w:pPr>
        <w:pStyle w:val="226"/>
        <w:shd w:val="clear"/>
        <w:spacing w:before="0"/>
        <w:ind w:firstLine="482"/>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6.符合性审查。</w:t>
      </w:r>
      <w:r>
        <w:rPr>
          <w:rFonts w:ascii="仿宋" w:hAnsi="仿宋" w:eastAsia="仿宋" w:cs="Arial"/>
          <w:color w:val="auto"/>
          <w:kern w:val="0"/>
          <w:szCs w:val="24"/>
          <w:highlight w:val="none"/>
        </w:rPr>
        <w:t>评标委员会应当对符合资格的投标人的投标文件进行符合性审查，以确定其是否满足招标文件的实质性要求</w:t>
      </w:r>
      <w:r>
        <w:rPr>
          <w:rFonts w:hint="eastAsia" w:ascii="仿宋" w:hAnsi="仿宋" w:eastAsia="仿宋" w:cs="Arial"/>
          <w:color w:val="auto"/>
          <w:kern w:val="0"/>
          <w:szCs w:val="24"/>
          <w:highlight w:val="none"/>
        </w:rPr>
        <w:t>。符合投标无效情形的，投标无效</w:t>
      </w:r>
      <w:r>
        <w:rPr>
          <w:rFonts w:ascii="仿宋" w:hAnsi="仿宋" w:eastAsia="仿宋" w:cs="Arial"/>
          <w:color w:val="auto"/>
          <w:kern w:val="0"/>
          <w:szCs w:val="24"/>
          <w:highlight w:val="none"/>
        </w:rPr>
        <w:t>。</w:t>
      </w:r>
    </w:p>
    <w:p>
      <w:pPr>
        <w:pStyle w:val="226"/>
        <w:shd w:val="clear"/>
        <w:spacing w:before="0"/>
        <w:ind w:firstLine="482"/>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7.投标人澄清、说明或者补正。</w:t>
      </w:r>
      <w:r>
        <w:rPr>
          <w:rFonts w:ascii="仿宋" w:hAnsi="仿宋" w:eastAsia="仿宋" w:cs="Arial"/>
          <w:color w:val="auto"/>
          <w:kern w:val="0"/>
          <w:szCs w:val="24"/>
          <w:highlight w:val="none"/>
        </w:rPr>
        <w:t>对于投标文件中含义不明确、同类问题表述不一致或者有明显文字和计算错误的内容，评标委员会</w:t>
      </w:r>
      <w:r>
        <w:rPr>
          <w:rFonts w:hint="eastAsia" w:ascii="仿宋" w:hAnsi="仿宋" w:eastAsia="仿宋" w:cs="Arial"/>
          <w:color w:val="auto"/>
          <w:kern w:val="0"/>
          <w:szCs w:val="24"/>
          <w:highlight w:val="none"/>
        </w:rPr>
        <w:t>可以书面形式要求投标人通过政采云平台以书面形式</w:t>
      </w:r>
      <w:r>
        <w:rPr>
          <w:rFonts w:ascii="仿宋" w:hAnsi="仿宋" w:eastAsia="仿宋" w:cs="Arial"/>
          <w:color w:val="auto"/>
          <w:kern w:val="0"/>
          <w:szCs w:val="24"/>
          <w:highlight w:val="none"/>
        </w:rPr>
        <w:t>作出必要的澄清、说明或者补正</w:t>
      </w:r>
      <w:r>
        <w:rPr>
          <w:rFonts w:hint="eastAsia" w:ascii="仿宋" w:hAnsi="仿宋" w:eastAsia="仿宋" w:cs="Arial"/>
          <w:color w:val="auto"/>
          <w:kern w:val="0"/>
          <w:szCs w:val="24"/>
          <w:highlight w:val="none"/>
        </w:rPr>
        <w:t>，投标人应在1小时内提交澄清说明或补正，逾期不提交的视为放弃澄清、说明或补正的权利。</w:t>
      </w:r>
      <w:r>
        <w:rPr>
          <w:rFonts w:ascii="仿宋" w:hAnsi="仿宋" w:eastAsia="仿宋" w:cs="Arial"/>
          <w:color w:val="auto"/>
          <w:kern w:val="0"/>
          <w:szCs w:val="24"/>
          <w:highlight w:val="none"/>
        </w:rPr>
        <w:t>投标人的澄清、说明或者补正不得超出投标文件的范围或者改变投标文件的实质性内容。</w:t>
      </w:r>
    </w:p>
    <w:p>
      <w:pPr>
        <w:pStyle w:val="226"/>
        <w:shd w:val="clear"/>
        <w:spacing w:before="0"/>
        <w:ind w:firstLine="482"/>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8.</w:t>
      </w:r>
      <w:r>
        <w:rPr>
          <w:rFonts w:ascii="仿宋" w:hAnsi="仿宋" w:eastAsia="仿宋" w:cs="Arial"/>
          <w:b/>
          <w:color w:val="auto"/>
          <w:kern w:val="0"/>
          <w:szCs w:val="24"/>
          <w:highlight w:val="none"/>
        </w:rPr>
        <w:t xml:space="preserve"> 比较与评价</w:t>
      </w:r>
      <w:r>
        <w:rPr>
          <w:rFonts w:hint="eastAsia" w:ascii="仿宋" w:hAnsi="仿宋" w:eastAsia="仿宋" w:cs="Arial"/>
          <w:b/>
          <w:color w:val="auto"/>
          <w:kern w:val="0"/>
          <w:szCs w:val="24"/>
          <w:highlight w:val="none"/>
        </w:rPr>
        <w:t>。</w:t>
      </w:r>
      <w:r>
        <w:rPr>
          <w:rFonts w:ascii="仿宋" w:hAnsi="仿宋" w:eastAsia="仿宋" w:cs="Arial"/>
          <w:color w:val="auto"/>
          <w:kern w:val="0"/>
          <w:szCs w:val="24"/>
          <w:highlight w:val="none"/>
        </w:rPr>
        <w:t>标委员会应当按照评标标准，对符合性审查合格的投标文件进行商务和技术评估，综合比较与评价。</w:t>
      </w:r>
    </w:p>
    <w:p>
      <w:pPr>
        <w:pStyle w:val="226"/>
        <w:shd w:val="clear"/>
        <w:spacing w:before="0"/>
        <w:ind w:firstLine="482"/>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9.</w:t>
      </w:r>
      <w:r>
        <w:rPr>
          <w:rFonts w:ascii="仿宋" w:hAnsi="仿宋" w:eastAsia="仿宋" w:cs="Arial"/>
          <w:b/>
          <w:color w:val="auto"/>
          <w:kern w:val="0"/>
          <w:szCs w:val="24"/>
          <w:highlight w:val="none"/>
        </w:rPr>
        <w:t xml:space="preserve"> 汇总</w:t>
      </w:r>
      <w:r>
        <w:rPr>
          <w:rFonts w:hint="eastAsia" w:ascii="仿宋" w:hAnsi="仿宋" w:eastAsia="仿宋" w:cs="Arial"/>
          <w:b/>
          <w:color w:val="auto"/>
          <w:kern w:val="0"/>
          <w:szCs w:val="24"/>
          <w:highlight w:val="none"/>
        </w:rPr>
        <w:t>（商务技术得分情况）。</w:t>
      </w:r>
      <w:r>
        <w:rPr>
          <w:rFonts w:ascii="仿宋" w:hAnsi="仿宋" w:eastAsia="仿宋" w:cs="Arial"/>
          <w:color w:val="auto"/>
          <w:kern w:val="0"/>
          <w:szCs w:val="24"/>
          <w:highlight w:val="none"/>
        </w:rPr>
        <w:t>评标委员会各成员应当独立对每个投标人的</w:t>
      </w:r>
      <w:r>
        <w:rPr>
          <w:rFonts w:hint="eastAsia" w:ascii="仿宋" w:hAnsi="仿宋" w:eastAsia="仿宋" w:cs="Arial"/>
          <w:color w:val="auto"/>
          <w:kern w:val="0"/>
          <w:szCs w:val="24"/>
          <w:highlight w:val="none"/>
        </w:rPr>
        <w:t>商务和技术</w:t>
      </w:r>
      <w:r>
        <w:rPr>
          <w:rFonts w:ascii="仿宋" w:hAnsi="仿宋" w:eastAsia="仿宋" w:cs="Arial"/>
          <w:color w:val="auto"/>
          <w:kern w:val="0"/>
          <w:szCs w:val="24"/>
          <w:highlight w:val="none"/>
        </w:rPr>
        <w:t>文件进行评价，并汇总</w:t>
      </w:r>
      <w:r>
        <w:rPr>
          <w:rFonts w:hint="eastAsia" w:ascii="仿宋" w:hAnsi="仿宋" w:eastAsia="仿宋" w:cs="Arial"/>
          <w:color w:val="auto"/>
          <w:kern w:val="0"/>
          <w:szCs w:val="24"/>
          <w:highlight w:val="none"/>
        </w:rPr>
        <w:t>商务技术得分情况</w:t>
      </w:r>
      <w:r>
        <w:rPr>
          <w:rFonts w:ascii="仿宋" w:hAnsi="仿宋" w:eastAsia="仿宋" w:cs="Arial"/>
          <w:color w:val="auto"/>
          <w:kern w:val="0"/>
          <w:szCs w:val="24"/>
          <w:highlight w:val="none"/>
        </w:rPr>
        <w:t>。</w:t>
      </w:r>
    </w:p>
    <w:p>
      <w:pPr>
        <w:pStyle w:val="226"/>
        <w:shd w:val="clear"/>
        <w:spacing w:before="0"/>
        <w:ind w:firstLine="482"/>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10. 报价审核。</w:t>
      </w:r>
      <w:r>
        <w:rPr>
          <w:rFonts w:hint="eastAsia" w:ascii="仿宋" w:hAnsi="仿宋" w:eastAsia="仿宋" w:cs="Arial"/>
          <w:color w:val="auto"/>
          <w:kern w:val="0"/>
          <w:szCs w:val="24"/>
          <w:highlight w:val="none"/>
        </w:rPr>
        <w:t>对经商务和技术评审符合采购需求的投标人的报价的合理性、准确性等进行审查核实。</w:t>
      </w:r>
    </w:p>
    <w:p>
      <w:pPr>
        <w:pStyle w:val="226"/>
        <w:shd w:val="clear"/>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10.1评标委员会认为投标人的报价明显低于其他通过符合性审查投标人的报价，有可能影响产品质量或者不能诚信履约的，应当要求其在规定的时间内提供书面说明，必要时提交相关证明材料。</w:t>
      </w:r>
    </w:p>
    <w:p>
      <w:pPr>
        <w:pStyle w:val="226"/>
        <w:shd w:val="clear"/>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10.2根据财政部发布的《政府采购促进中小企业发展管理办法》规定，对于非专门面向中小企业的项目，对小型和微型企业产品的价格给予一定的扣除，用扣除后的价格参与评审。</w:t>
      </w:r>
    </w:p>
    <w:p>
      <w:pPr>
        <w:pStyle w:val="226"/>
        <w:shd w:val="clear"/>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10.3政采云投标客户端开标一览表内容与投标文件开标一览表(报价表)相应内容不一致的，以投标文件开标一览表(报价表)为准。</w:t>
      </w:r>
    </w:p>
    <w:p>
      <w:pPr>
        <w:pStyle w:val="226"/>
        <w:shd w:val="clear"/>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10.4投标价格的修正原则。投标文件报价出现前后不一致的，按照下列规定修正：</w:t>
      </w:r>
    </w:p>
    <w:p>
      <w:pPr>
        <w:pStyle w:val="226"/>
        <w:shd w:val="clear"/>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10.4.1投标文件中开标一览表(报价表)内容与投标文件中相应内容不一致的，以开标一览表(报价表)为准;</w:t>
      </w:r>
    </w:p>
    <w:p>
      <w:pPr>
        <w:pStyle w:val="226"/>
        <w:shd w:val="clear"/>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10.4.2大写金额和小写金额不一致的，以大写金额为准;</w:t>
      </w:r>
    </w:p>
    <w:p>
      <w:pPr>
        <w:pStyle w:val="226"/>
        <w:shd w:val="clear"/>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10.4.3单价金额小数点或者百分比有明显错位的，以开标一览表的总价为准，并修改单价;</w:t>
      </w:r>
    </w:p>
    <w:p>
      <w:pPr>
        <w:pStyle w:val="226"/>
        <w:shd w:val="clear"/>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10.4.4总价金额与按单价汇总金额不一致的，以单价金额计算结果为准；</w:t>
      </w:r>
    </w:p>
    <w:p>
      <w:pPr>
        <w:pStyle w:val="226"/>
        <w:shd w:val="clear"/>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10.4.5同时出现两种以上不一致的，按照前款规定的顺序修正。修正后的报价按照财政部第87号令 《政府采购货物和服务招标投标管理办法》第五十一条第二款的规定经投标人确认后产生约束力。</w:t>
      </w:r>
    </w:p>
    <w:p>
      <w:pPr>
        <w:shd w:val="clear"/>
        <w:spacing w:line="360" w:lineRule="auto"/>
        <w:ind w:firstLine="480" w:firstLineChars="200"/>
        <w:rPr>
          <w:rFonts w:ascii="仿宋" w:hAnsi="仿宋" w:eastAsia="仿宋" w:cs="仿宋_GB2312"/>
          <w:b/>
          <w:bCs/>
          <w:color w:val="auto"/>
          <w:sz w:val="24"/>
          <w:highlight w:val="none"/>
        </w:rPr>
      </w:pPr>
      <w:r>
        <w:rPr>
          <w:rFonts w:hint="eastAsia" w:ascii="仿宋" w:hAnsi="仿宋" w:eastAsia="仿宋" w:cs="仿宋_GB2312"/>
          <w:bCs/>
          <w:color w:val="auto"/>
          <w:sz w:val="24"/>
          <w:highlight w:val="none"/>
        </w:rPr>
        <w:t>▲</w:t>
      </w:r>
      <w:r>
        <w:rPr>
          <w:rFonts w:hint="eastAsia" w:ascii="仿宋" w:hAnsi="仿宋" w:eastAsia="仿宋" w:cs="仿宋_GB2312"/>
          <w:b/>
          <w:bCs/>
          <w:color w:val="auto"/>
          <w:sz w:val="24"/>
          <w:highlight w:val="none"/>
        </w:rPr>
        <w:t>投标人对根据修正原则修正后的报价不确认的，投标无效。</w:t>
      </w:r>
    </w:p>
    <w:p>
      <w:pPr>
        <w:shd w:val="clear"/>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11.</w:t>
      </w:r>
      <w:r>
        <w:rPr>
          <w:rFonts w:ascii="仿宋" w:hAnsi="仿宋" w:eastAsia="仿宋" w:cs="Arial"/>
          <w:b/>
          <w:color w:val="auto"/>
          <w:kern w:val="0"/>
          <w:sz w:val="24"/>
          <w:highlight w:val="none"/>
        </w:rPr>
        <w:t>汇总</w:t>
      </w:r>
      <w:r>
        <w:rPr>
          <w:rFonts w:hint="eastAsia" w:ascii="仿宋" w:hAnsi="仿宋" w:eastAsia="仿宋" w:cs="Arial"/>
          <w:b/>
          <w:color w:val="auto"/>
          <w:kern w:val="0"/>
          <w:sz w:val="24"/>
          <w:highlight w:val="none"/>
        </w:rPr>
        <w:t>得分。</w:t>
      </w:r>
      <w:r>
        <w:rPr>
          <w:rFonts w:ascii="仿宋" w:hAnsi="仿宋" w:eastAsia="仿宋" w:cs="Arial"/>
          <w:color w:val="auto"/>
          <w:kern w:val="0"/>
          <w:sz w:val="24"/>
          <w:highlight w:val="none"/>
        </w:rPr>
        <w:t>评标委员会各成员应当独立对每个投标人的投标文件进行评价，并汇总每个投标人的得分。</w:t>
      </w:r>
    </w:p>
    <w:p>
      <w:pPr>
        <w:shd w:val="clear"/>
        <w:spacing w:line="360" w:lineRule="auto"/>
        <w:ind w:firstLine="482" w:firstLineChars="20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12.中标候选人推荐。</w:t>
      </w:r>
    </w:p>
    <w:p>
      <w:pPr>
        <w:pStyle w:val="4"/>
        <w:numPr>
          <w:ilvl w:val="0"/>
          <w:numId w:val="0"/>
        </w:numPr>
        <w:shd w:val="clear"/>
        <w:ind w:firstLine="482" w:firstLineChars="200"/>
        <w:rPr>
          <w:rFonts w:ascii="仿宋" w:eastAsia="仿宋" w:cs="仿宋_GB2312"/>
          <w:color w:val="auto"/>
          <w:sz w:val="24"/>
          <w:highlight w:val="none"/>
          <w:u w:val="single"/>
        </w:rPr>
      </w:pPr>
      <w:r>
        <w:rPr>
          <w:rFonts w:hint="eastAsia" w:ascii="仿宋" w:eastAsia="仿宋" w:cs="仿宋_GB2312"/>
          <w:color w:val="auto"/>
          <w:sz w:val="24"/>
          <w:highlight w:val="none"/>
          <w:u w:val="single"/>
        </w:rPr>
        <w:t>12.1评审后总得分最高的前</w:t>
      </w:r>
      <w:r>
        <w:rPr>
          <w:rFonts w:hint="eastAsia" w:ascii="仿宋" w:eastAsia="仿宋" w:cs="仿宋_GB2312"/>
          <w:color w:val="auto"/>
          <w:sz w:val="24"/>
          <w:highlight w:val="none"/>
          <w:u w:val="single"/>
          <w:lang w:val="en-US"/>
        </w:rPr>
        <w:t>四</w:t>
      </w:r>
      <w:r>
        <w:rPr>
          <w:rFonts w:hint="eastAsia" w:ascii="仿宋" w:eastAsia="仿宋" w:cs="仿宋_GB2312"/>
          <w:color w:val="auto"/>
          <w:sz w:val="24"/>
          <w:highlight w:val="none"/>
          <w:u w:val="single"/>
        </w:rPr>
        <w:t>名为中标候选人，总得分相同的，以报价低的为中标候选人，总得分与报价均相同的，由采购人当场随机抽取产生</w:t>
      </w:r>
      <w:r>
        <w:rPr>
          <w:rFonts w:hint="eastAsia" w:ascii="仿宋" w:eastAsia="仿宋" w:cs="仿宋_GB2312"/>
          <w:color w:val="auto"/>
          <w:sz w:val="24"/>
          <w:highlight w:val="none"/>
          <w:u w:val="single"/>
          <w:lang w:val="en-US"/>
        </w:rPr>
        <w:t>四</w:t>
      </w:r>
      <w:r>
        <w:rPr>
          <w:rFonts w:hint="eastAsia" w:ascii="仿宋" w:eastAsia="仿宋" w:cs="仿宋_GB2312"/>
          <w:color w:val="auto"/>
          <w:sz w:val="24"/>
          <w:highlight w:val="none"/>
          <w:u w:val="single"/>
        </w:rPr>
        <w:t>名中标候选人。</w:t>
      </w:r>
    </w:p>
    <w:p>
      <w:pPr>
        <w:pStyle w:val="4"/>
        <w:numPr>
          <w:ilvl w:val="0"/>
          <w:numId w:val="0"/>
        </w:numPr>
        <w:shd w:val="clear"/>
        <w:ind w:firstLine="482" w:firstLineChars="200"/>
        <w:rPr>
          <w:rFonts w:ascii="仿宋" w:eastAsia="仿宋" w:cs="仿宋_GB2312"/>
          <w:color w:val="auto"/>
          <w:sz w:val="24"/>
          <w:highlight w:val="none"/>
          <w:u w:val="single"/>
          <w:lang w:val="en-US"/>
        </w:rPr>
      </w:pPr>
      <w:r>
        <w:rPr>
          <w:rFonts w:hint="eastAsia" w:ascii="仿宋" w:eastAsia="仿宋" w:cs="仿宋_GB2312"/>
          <w:color w:val="auto"/>
          <w:sz w:val="24"/>
          <w:highlight w:val="none"/>
          <w:u w:val="single"/>
          <w:lang w:val="en-US"/>
        </w:rPr>
        <w:t>12.2四</w:t>
      </w:r>
      <w:r>
        <w:rPr>
          <w:rFonts w:hint="eastAsia" w:ascii="仿宋" w:eastAsia="仿宋" w:cs="仿宋_GB2312"/>
          <w:color w:val="auto"/>
          <w:sz w:val="24"/>
          <w:highlight w:val="none"/>
          <w:u w:val="single"/>
        </w:rPr>
        <w:t>家</w:t>
      </w:r>
      <w:r>
        <w:rPr>
          <w:rFonts w:hint="eastAsia" w:ascii="仿宋" w:eastAsia="仿宋" w:cs="仿宋_GB2312"/>
          <w:color w:val="auto"/>
          <w:sz w:val="24"/>
          <w:highlight w:val="none"/>
          <w:u w:val="single"/>
          <w:lang w:val="en-US"/>
        </w:rPr>
        <w:t>中标</w:t>
      </w:r>
      <w:r>
        <w:rPr>
          <w:rFonts w:hint="eastAsia" w:ascii="仿宋" w:eastAsia="仿宋" w:cs="仿宋_GB2312"/>
          <w:color w:val="auto"/>
          <w:sz w:val="24"/>
          <w:highlight w:val="none"/>
          <w:u w:val="single"/>
        </w:rPr>
        <w:t>候选人的算术平均报价（下浮率）作为本项目的最终中标报价（下浮率），结算时以此报价（下浮率）结算。</w:t>
      </w:r>
    </w:p>
    <w:p>
      <w:pPr>
        <w:shd w:val="clear"/>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13.投标无效。</w:t>
      </w:r>
      <w:r>
        <w:rPr>
          <w:rFonts w:hint="eastAsia" w:ascii="仿宋" w:hAnsi="仿宋" w:eastAsia="仿宋" w:cs="Arial"/>
          <w:color w:val="auto"/>
          <w:kern w:val="0"/>
          <w:sz w:val="24"/>
          <w:highlight w:val="none"/>
        </w:rPr>
        <w:t>有下列情况之一的，投标无效：</w:t>
      </w:r>
    </w:p>
    <w:p>
      <w:pPr>
        <w:shd w:val="clear"/>
        <w:spacing w:line="360" w:lineRule="auto"/>
        <w:ind w:firstLine="480" w:firstLineChars="200"/>
        <w:rPr>
          <w:rFonts w:ascii="仿宋" w:hAnsi="仿宋" w:eastAsia="仿宋" w:cs="Arial"/>
          <w:color w:val="auto"/>
          <w:kern w:val="0"/>
          <w:sz w:val="24"/>
          <w:highlight w:val="none"/>
        </w:rPr>
      </w:pPr>
      <w:r>
        <w:rPr>
          <w:rFonts w:hint="eastAsia" w:ascii="仿宋" w:hAnsi="仿宋" w:eastAsia="仿宋"/>
          <w:color w:val="auto"/>
          <w:sz w:val="24"/>
          <w:highlight w:val="none"/>
        </w:rPr>
        <w:t>13.1</w:t>
      </w:r>
      <w:r>
        <w:rPr>
          <w:rFonts w:hint="eastAsia" w:ascii="仿宋" w:hAnsi="仿宋" w:eastAsia="仿宋" w:cs="Arial"/>
          <w:color w:val="auto"/>
          <w:kern w:val="0"/>
          <w:sz w:val="24"/>
          <w:highlight w:val="none"/>
        </w:rPr>
        <w:t>单位负责人为同一人或者存在直接控股、管理关系的不同供应商参加同一合同项下的政府采购活动的（均无效）。</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13.2</w:t>
      </w:r>
      <w:r>
        <w:rPr>
          <w:rFonts w:hint="eastAsia" w:ascii="仿宋" w:hAnsi="仿宋" w:eastAsia="仿宋" w:cs="仿宋_GB2312"/>
          <w:color w:val="auto"/>
          <w:sz w:val="24"/>
          <w:highlight w:val="none"/>
        </w:rPr>
        <w:t>为采购项目提供整体设计、规范编制或者项目管理、监理、检测等服务的供应商再参加该采购项目的其他采购活动的。</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13.3</w:t>
      </w:r>
      <w:r>
        <w:rPr>
          <w:rFonts w:hint="eastAsia" w:ascii="仿宋" w:hAnsi="仿宋" w:eastAsia="仿宋" w:cs="仿宋_GB2312"/>
          <w:color w:val="auto"/>
          <w:sz w:val="24"/>
          <w:highlight w:val="none"/>
        </w:rPr>
        <w:t>投标人不具备招标文件中规定的资格要求的（投标人未提供有效的资格证明文件的，视为投标人不具备招标文件中规定的资格要求）。</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13.4投标文件“资格文件”和“商务技术文件”部分中出现用于价格分评审的投标报价的（招标文件另有规定的参与“商务技术文件”评审的报价除外）。</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13.5投标文件未按招标文件规定的格式填写，或对招标服务或对技术或产品等要求未详细应答或应答内容不全、有缺失的，经评标委员会认定为无法评审的。</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13.6投标文件关键信息填写不完整或字迹不能辨认或有漏项的，经评标委员会认定属于重大偏差的。</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13.7投标文件重要信息前后不一致，经评标委员会询标后仍然无法评审的。</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13.8投标文件未按照招标文件要求签署、盖章的。</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13.9</w:t>
      </w:r>
      <w:r>
        <w:rPr>
          <w:rFonts w:hint="eastAsia" w:ascii="仿宋" w:hAnsi="仿宋" w:eastAsia="仿宋" w:cs="仿宋_GB2312"/>
          <w:color w:val="auto"/>
          <w:sz w:val="24"/>
          <w:highlight w:val="none"/>
        </w:rPr>
        <w:t>投标文件中未提供</w:t>
      </w:r>
      <w:r>
        <w:rPr>
          <w:rFonts w:ascii="仿宋" w:hAnsi="仿宋" w:eastAsia="仿宋" w:cs="仿宋_GB2312"/>
          <w:color w:val="auto"/>
          <w:sz w:val="24"/>
          <w:highlight w:val="none"/>
        </w:rPr>
        <w:t>应当提供的政府强制采购节能</w:t>
      </w:r>
      <w:r>
        <w:rPr>
          <w:rFonts w:hint="eastAsia" w:ascii="仿宋" w:hAnsi="仿宋" w:eastAsia="仿宋" w:cs="仿宋_GB2312"/>
          <w:color w:val="auto"/>
          <w:sz w:val="24"/>
          <w:highlight w:val="none"/>
        </w:rPr>
        <w:t>品目</w:t>
      </w:r>
      <w:r>
        <w:rPr>
          <w:rFonts w:ascii="仿宋" w:hAnsi="仿宋" w:eastAsia="仿宋" w:cs="仿宋_GB2312"/>
          <w:color w:val="auto"/>
          <w:sz w:val="24"/>
          <w:highlight w:val="none"/>
        </w:rPr>
        <w:t>内的节能产品或未提供</w:t>
      </w:r>
      <w:r>
        <w:rPr>
          <w:rFonts w:hint="eastAsia" w:ascii="仿宋" w:hAnsi="仿宋" w:eastAsia="仿宋" w:cs="仿宋_GB2312"/>
          <w:color w:val="auto"/>
          <w:sz w:val="24"/>
          <w:highlight w:val="none"/>
        </w:rPr>
        <w:t>有效</w:t>
      </w:r>
      <w:r>
        <w:rPr>
          <w:rFonts w:ascii="仿宋" w:hAnsi="仿宋" w:eastAsia="仿宋" w:cs="仿宋_GB2312"/>
          <w:color w:val="auto"/>
          <w:sz w:val="24"/>
          <w:highlight w:val="none"/>
        </w:rPr>
        <w:t>的节能产品认证证书的</w:t>
      </w:r>
      <w:r>
        <w:rPr>
          <w:rFonts w:hint="eastAsia" w:ascii="仿宋" w:hAnsi="仿宋" w:eastAsia="仿宋" w:cs="仿宋_GB2312"/>
          <w:color w:val="auto"/>
          <w:sz w:val="24"/>
          <w:highlight w:val="none"/>
        </w:rPr>
        <w:t>（如果本项目采购涉及节能品目清单中的政府强制采购的节能产品的）。</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13.10</w:t>
      </w:r>
      <w:r>
        <w:rPr>
          <w:rFonts w:hint="eastAsia" w:ascii="仿宋" w:hAnsi="仿宋" w:eastAsia="仿宋" w:cs="仿宋_GB2312"/>
          <w:color w:val="auto"/>
          <w:sz w:val="24"/>
          <w:highlight w:val="none"/>
        </w:rPr>
        <w:t>投标文件含有采购人不能接受的附加条件的。</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13.11</w:t>
      </w:r>
      <w:r>
        <w:rPr>
          <w:rFonts w:hint="eastAsia" w:ascii="仿宋" w:hAnsi="仿宋" w:eastAsia="仿宋" w:cs="仿宋_GB2312"/>
          <w:color w:val="auto"/>
          <w:sz w:val="24"/>
          <w:highlight w:val="none"/>
        </w:rPr>
        <w:t>投标文件中承诺的投标有效期少于招标文件中载明的投标有效期的。</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13.12</w:t>
      </w:r>
      <w:r>
        <w:rPr>
          <w:rFonts w:hint="eastAsia" w:ascii="仿宋" w:hAnsi="仿宋" w:eastAsia="仿宋" w:cs="仿宋_GB2312"/>
          <w:color w:val="auto"/>
          <w:sz w:val="24"/>
          <w:highlight w:val="none"/>
        </w:rPr>
        <w:t>投标人所投内容不符合采购需求中实质性要求的。</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13.13投标文件出现不是唯一的、有选择性投标报价的。</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13.14</w:t>
      </w:r>
      <w:r>
        <w:rPr>
          <w:rFonts w:hint="eastAsia" w:ascii="仿宋" w:hAnsi="仿宋" w:eastAsia="仿宋" w:cs="仿宋_GB2312"/>
          <w:color w:val="auto"/>
          <w:sz w:val="24"/>
          <w:highlight w:val="none"/>
        </w:rPr>
        <w:t>投标报价高于本项目采购预算或者最高限价的。</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13.15</w:t>
      </w:r>
      <w:r>
        <w:rPr>
          <w:rFonts w:hint="eastAsia" w:ascii="仿宋" w:hAnsi="仿宋" w:eastAsia="仿宋" w:cs="仿宋_GB2312"/>
          <w:color w:val="auto"/>
          <w:sz w:val="24"/>
          <w:highlight w:val="none"/>
        </w:rPr>
        <w:t>报价明显低于其他通过符合性审查投标人的报价，有可能影响产品质量或者不能诚信履约的，未能按要求提供书面说明或者提交相关证明材料，不能证明其报价合理性的。</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13.16</w:t>
      </w:r>
      <w:r>
        <w:rPr>
          <w:rFonts w:hint="eastAsia" w:ascii="仿宋" w:hAnsi="仿宋" w:eastAsia="仿宋" w:cs="仿宋_GB2312"/>
          <w:color w:val="auto"/>
          <w:sz w:val="24"/>
          <w:highlight w:val="none"/>
        </w:rPr>
        <w:t>《投标（开标）一览表》填写不完整或字迹不能辨认或有漏项的，经评标委员会认定属于重大偏差的。</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13.17</w:t>
      </w:r>
      <w:r>
        <w:rPr>
          <w:rFonts w:hint="eastAsia" w:ascii="仿宋" w:hAnsi="仿宋" w:eastAsia="仿宋" w:cs="仿宋_GB2312"/>
          <w:color w:val="auto"/>
          <w:sz w:val="24"/>
          <w:highlight w:val="none"/>
        </w:rPr>
        <w:t>投标人对根据修正原则修正后的报价不确认的。</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13.18投标人提供虚假材料投标的（包括但不限于以下情节）。</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13.18.1使用伪造、变造的许可证件；</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13.18.2提供虚假的财务状况或者业绩；</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13.18.3提供虚假的项目负责人或者主要技术人员简历、劳动关系证明；</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13.18.4提供虚假的信用状况；</w:t>
      </w:r>
    </w:p>
    <w:p>
      <w:pPr>
        <w:shd w:val="clear"/>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13.</w:t>
      </w:r>
      <w:r>
        <w:rPr>
          <w:rFonts w:hint="eastAsia" w:ascii="仿宋" w:hAnsi="仿宋" w:eastAsia="仿宋" w:cs="仿宋_GB2312"/>
          <w:color w:val="auto"/>
          <w:sz w:val="24"/>
          <w:highlight w:val="none"/>
        </w:rPr>
        <w:t>18</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5其他弄虚作假的行为。</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13.19投标人有恶意串通、妨碍其他投标人的竞争行为、损害采购人或者其他投标人的合法权益情形的；有下列情形之一的，属于或视为恶意串通，其投标无效。</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13.19.1</w:t>
      </w:r>
      <w:r>
        <w:rPr>
          <w:rFonts w:hint="eastAsia" w:ascii="仿宋" w:hAnsi="仿宋" w:eastAsia="仿宋" w:cs="仿宋_GB2312"/>
          <w:color w:val="auto"/>
          <w:sz w:val="24"/>
          <w:highlight w:val="none"/>
        </w:rPr>
        <w:t>供应商直接或者间接从采购人或者采购代理机构处获得其他供应商的相关情况并修改其投标文件或者响应文件；</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13.19.2供应商按照采购人或者采购代理机构的授意撤换、修改投标文件或者响应文件；</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13.19.3供应商之间协商报价、技术方案等投标文件或者响应文件的实质性内容；</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13.19.4属于同一集团、协会、商会等组织成员的供应商按照该组织要求协同参加政府采购活动；</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13.19.5供应商之间事先约定由某一特定供应商中标、成交；</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13.19.6供应商之间商定部分供应商放弃参加政府采购活动或者放弃中标、成交；</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13.19.7供应商与采购人或者采购代理机构之间、供应商相互之间，为谋求特定供应商中标、成交或者排斥其他供应商的其他串通行为；</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13.19.8不同投标人的投标文件由同一单位或者个人编制；</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13.19.9不同投标人委托同一单位或者个人办理投标事宜；</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13.19.10不同投标人的投标文件载明的项目管理成员或者联系人员为同一人；</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13.19.11不同投标人的投标文件异常一致或者投标报价呈规律性差异；</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13.19.12不同投标人的投标文件相互混装。</w:t>
      </w:r>
    </w:p>
    <w:p>
      <w:pPr>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13.20违反法律、法规及本招标文件规定的其它无效投标情形。 </w:t>
      </w:r>
    </w:p>
    <w:p>
      <w:pPr>
        <w:shd w:val="clear"/>
        <w:spacing w:line="360" w:lineRule="auto"/>
        <w:ind w:firstLine="240" w:firstLineChars="100"/>
        <w:rPr>
          <w:rFonts w:ascii="仿宋" w:hAnsi="仿宋" w:eastAsia="仿宋" w:cs="仿宋_GB2312"/>
          <w:color w:val="auto"/>
          <w:sz w:val="24"/>
          <w:szCs w:val="21"/>
          <w:highlight w:val="none"/>
        </w:rPr>
      </w:pPr>
    </w:p>
    <w:p>
      <w:pPr>
        <w:shd w:val="clea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五、评标报告</w:t>
      </w:r>
    </w:p>
    <w:p>
      <w:pPr>
        <w:pStyle w:val="226"/>
        <w:shd w:val="clear"/>
        <w:adjustRightInd/>
        <w:spacing w:before="0"/>
        <w:ind w:firstLine="482"/>
        <w:rPr>
          <w:rFonts w:ascii="仿宋" w:hAnsi="仿宋" w:eastAsia="仿宋" w:cs="仿宋_GB2312"/>
          <w:color w:val="auto"/>
          <w:szCs w:val="24"/>
          <w:highlight w:val="none"/>
        </w:rPr>
      </w:pPr>
      <w:r>
        <w:rPr>
          <w:rFonts w:hint="eastAsia" w:ascii="仿宋" w:hAnsi="仿宋" w:eastAsia="仿宋" w:cs="仿宋_GB2312"/>
          <w:b/>
          <w:color w:val="auto"/>
          <w:szCs w:val="24"/>
          <w:highlight w:val="none"/>
        </w:rPr>
        <w:t>14.</w:t>
      </w:r>
      <w:r>
        <w:rPr>
          <w:rFonts w:ascii="仿宋" w:hAnsi="仿宋" w:eastAsia="仿宋" w:cs="仿宋_GB2312"/>
          <w:b/>
          <w:color w:val="auto"/>
          <w:szCs w:val="24"/>
          <w:highlight w:val="none"/>
        </w:rPr>
        <w:t xml:space="preserve"> 评标报告</w:t>
      </w:r>
      <w:r>
        <w:rPr>
          <w:rFonts w:hint="eastAsia" w:ascii="仿宋" w:hAnsi="仿宋" w:eastAsia="仿宋" w:cs="仿宋_GB2312"/>
          <w:b/>
          <w:color w:val="auto"/>
          <w:szCs w:val="24"/>
          <w:highlight w:val="none"/>
        </w:rPr>
        <w:t>与推荐</w:t>
      </w:r>
      <w:r>
        <w:rPr>
          <w:rFonts w:ascii="仿宋" w:hAnsi="仿宋" w:eastAsia="仿宋" w:cs="仿宋_GB2312"/>
          <w:b/>
          <w:color w:val="auto"/>
          <w:szCs w:val="24"/>
          <w:highlight w:val="none"/>
        </w:rPr>
        <w:t>中标候选人</w:t>
      </w:r>
      <w:r>
        <w:rPr>
          <w:rFonts w:hint="eastAsia" w:ascii="仿宋" w:hAnsi="仿宋" w:eastAsia="仿宋" w:cs="仿宋_GB2312"/>
          <w:b/>
          <w:color w:val="auto"/>
          <w:szCs w:val="24"/>
          <w:highlight w:val="none"/>
        </w:rPr>
        <w:t>。</w:t>
      </w:r>
      <w:r>
        <w:rPr>
          <w:rFonts w:ascii="仿宋" w:hAnsi="仿宋" w:eastAsia="仿宋" w:cs="仿宋_GB2312"/>
          <w:color w:val="auto"/>
          <w:szCs w:val="24"/>
          <w:highlight w:val="none"/>
        </w:rPr>
        <w:t>评标委员会根据全体评标成员签字的原始评标记录和评标结果编写评标报告</w:t>
      </w:r>
      <w:r>
        <w:rPr>
          <w:rFonts w:hint="eastAsia" w:ascii="仿宋" w:hAnsi="仿宋" w:eastAsia="仿宋" w:cs="仿宋_GB2312"/>
          <w:color w:val="auto"/>
          <w:szCs w:val="24"/>
          <w:highlight w:val="none"/>
        </w:rPr>
        <w:t>，</w:t>
      </w:r>
      <w:r>
        <w:rPr>
          <w:rFonts w:ascii="仿宋" w:hAnsi="仿宋" w:eastAsia="仿宋" w:cs="仿宋_GB2312"/>
          <w:color w:val="auto"/>
          <w:szCs w:val="24"/>
          <w:highlight w:val="none"/>
        </w:rPr>
        <w:t>并</w:t>
      </w:r>
      <w:r>
        <w:rPr>
          <w:rFonts w:hint="eastAsia" w:ascii="仿宋" w:hAnsi="仿宋" w:eastAsia="仿宋" w:cs="仿宋_GB2312"/>
          <w:color w:val="auto"/>
          <w:szCs w:val="24"/>
          <w:highlight w:val="none"/>
        </w:rPr>
        <w:t>推荐</w:t>
      </w:r>
      <w:r>
        <w:rPr>
          <w:rFonts w:ascii="仿宋" w:hAnsi="仿宋" w:eastAsia="仿宋" w:cs="仿宋_GB2312"/>
          <w:color w:val="auto"/>
          <w:szCs w:val="24"/>
          <w:highlight w:val="none"/>
        </w:rPr>
        <w:t>中标候选人</w:t>
      </w:r>
      <w:r>
        <w:rPr>
          <w:rFonts w:hint="eastAsia" w:ascii="仿宋" w:hAnsi="仿宋" w:eastAsia="仿宋" w:cs="仿宋_GB2312"/>
          <w:color w:val="auto"/>
          <w:szCs w:val="24"/>
          <w:highlight w:val="none"/>
        </w:rPr>
        <w:t>，评审</w:t>
      </w:r>
      <w:r>
        <w:rPr>
          <w:rFonts w:ascii="仿宋" w:hAnsi="仿宋" w:eastAsia="仿宋" w:cs="仿宋_GB2312"/>
          <w:color w:val="auto"/>
          <w:szCs w:val="24"/>
          <w:highlight w:val="none"/>
        </w:rPr>
        <w:t>报告由</w:t>
      </w:r>
      <w:r>
        <w:rPr>
          <w:rFonts w:hint="eastAsia" w:ascii="仿宋" w:hAnsi="仿宋" w:eastAsia="仿宋" w:cs="仿宋_GB2312"/>
          <w:color w:val="auto"/>
          <w:szCs w:val="24"/>
          <w:highlight w:val="none"/>
        </w:rPr>
        <w:t>评标委员会</w:t>
      </w:r>
      <w:r>
        <w:rPr>
          <w:rFonts w:ascii="仿宋" w:hAnsi="仿宋" w:eastAsia="仿宋" w:cs="仿宋_GB2312"/>
          <w:color w:val="auto"/>
          <w:szCs w:val="24"/>
          <w:highlight w:val="none"/>
        </w:rPr>
        <w:t>成员签字</w:t>
      </w:r>
      <w:r>
        <w:rPr>
          <w:rFonts w:hint="eastAsia" w:ascii="仿宋" w:hAnsi="仿宋" w:eastAsia="仿宋" w:cs="仿宋_GB2312"/>
          <w:color w:val="auto"/>
          <w:szCs w:val="24"/>
          <w:highlight w:val="none"/>
        </w:rPr>
        <w:t>确认提交</w:t>
      </w:r>
      <w:r>
        <w:rPr>
          <w:rFonts w:ascii="仿宋" w:hAnsi="仿宋" w:eastAsia="仿宋" w:cs="仿宋_GB2312"/>
          <w:color w:val="auto"/>
          <w:szCs w:val="24"/>
          <w:highlight w:val="none"/>
        </w:rPr>
        <w:t>。</w:t>
      </w:r>
    </w:p>
    <w:p>
      <w:pPr>
        <w:widowControl/>
        <w:shd w:val="clear"/>
        <w:adjustRightInd/>
        <w:spacing w:line="360" w:lineRule="auto"/>
        <w:ind w:firstLine="482" w:firstLineChars="200"/>
        <w:jc w:val="left"/>
        <w:rPr>
          <w:rFonts w:ascii="仿宋" w:hAnsi="仿宋" w:eastAsia="仿宋" w:cs="仿宋_GB2312"/>
          <w:color w:val="auto"/>
          <w:sz w:val="24"/>
          <w:highlight w:val="none"/>
        </w:rPr>
      </w:pPr>
      <w:r>
        <w:rPr>
          <w:rFonts w:hint="eastAsia" w:ascii="仿宋" w:hAnsi="仿宋" w:eastAsia="仿宋" w:cs="仿宋_GB2312"/>
          <w:b/>
          <w:color w:val="auto"/>
          <w:sz w:val="24"/>
          <w:highlight w:val="none"/>
        </w:rPr>
        <w:t>15.评标争议</w:t>
      </w:r>
      <w:r>
        <w:rPr>
          <w:rFonts w:ascii="仿宋" w:hAnsi="仿宋" w:eastAsia="仿宋" w:cs="仿宋_GB2312"/>
          <w:b/>
          <w:color w:val="auto"/>
          <w:sz w:val="24"/>
          <w:highlight w:val="none"/>
        </w:rPr>
        <w:t>事项</w:t>
      </w:r>
      <w:r>
        <w:rPr>
          <w:rFonts w:hint="eastAsia" w:ascii="仿宋" w:hAnsi="仿宋" w:eastAsia="仿宋" w:cs="仿宋_GB2312"/>
          <w:b/>
          <w:color w:val="auto"/>
          <w:sz w:val="24"/>
          <w:highlight w:val="none"/>
        </w:rPr>
        <w:t>处理。</w:t>
      </w:r>
      <w:r>
        <w:rPr>
          <w:rFonts w:ascii="仿宋" w:hAnsi="仿宋" w:eastAsia="仿宋" w:cs="仿宋_GB2312"/>
          <w:color w:val="auto"/>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adjustRightInd/>
        <w:spacing w:line="360" w:lineRule="auto"/>
        <w:ind w:firstLine="480" w:firstLineChars="200"/>
        <w:jc w:val="left"/>
        <w:rPr>
          <w:rFonts w:ascii="仿宋" w:hAnsi="仿宋" w:eastAsia="仿宋" w:cs="仿宋_GB2312"/>
          <w:color w:val="auto"/>
          <w:sz w:val="24"/>
          <w:highlight w:val="none"/>
        </w:rPr>
      </w:pPr>
    </w:p>
    <w:p>
      <w:pPr>
        <w:widowControl/>
        <w:shd w:val="clear"/>
        <w:adjustRightInd/>
        <w:spacing w:line="360" w:lineRule="auto"/>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六、 废标</w:t>
      </w:r>
    </w:p>
    <w:p>
      <w:pPr>
        <w:widowControl/>
        <w:shd w:val="clear"/>
        <w:adjustRightInd/>
        <w:spacing w:line="360" w:lineRule="auto"/>
        <w:ind w:firstLine="482" w:firstLineChars="200"/>
        <w:jc w:val="left"/>
        <w:rPr>
          <w:rFonts w:ascii="仿宋" w:hAnsi="仿宋" w:eastAsia="仿宋" w:cs="仿宋_GB2312"/>
          <w:color w:val="auto"/>
          <w:sz w:val="24"/>
          <w:highlight w:val="none"/>
        </w:rPr>
      </w:pPr>
      <w:r>
        <w:rPr>
          <w:rFonts w:hint="eastAsia" w:ascii="仿宋" w:hAnsi="仿宋" w:eastAsia="仿宋" w:cs="仿宋_GB2312"/>
          <w:b/>
          <w:color w:val="auto"/>
          <w:sz w:val="24"/>
          <w:highlight w:val="none"/>
        </w:rPr>
        <w:t>16.废标。</w:t>
      </w:r>
      <w:r>
        <w:rPr>
          <w:rFonts w:hint="eastAsia" w:ascii="仿宋" w:hAnsi="仿宋" w:eastAsia="仿宋" w:cs="仿宋_GB2312"/>
          <w:color w:val="auto"/>
          <w:sz w:val="24"/>
          <w:highlight w:val="none"/>
        </w:rPr>
        <w:t>根据《中华人民共和国政府采购法》第三十六条之规定，在采购中，出现下列情形之一的，应予废标：</w:t>
      </w:r>
    </w:p>
    <w:p>
      <w:pPr>
        <w:widowControl/>
        <w:shd w:val="clear"/>
        <w:adjustRightInd/>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16.1符合专业条件的供应商或者对招标文件作实质响应的供应商不足4家的。</w:t>
      </w:r>
    </w:p>
    <w:p>
      <w:pPr>
        <w:widowControl/>
        <w:shd w:val="clear"/>
        <w:adjustRightInd/>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16.2出现影响采购公正的违法、违规行为的。</w:t>
      </w:r>
    </w:p>
    <w:p>
      <w:pPr>
        <w:widowControl/>
        <w:shd w:val="clear"/>
        <w:adjustRightInd/>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16.3投标人的报价均超过了采购预算，采购人不能支付的。</w:t>
      </w:r>
    </w:p>
    <w:p>
      <w:pPr>
        <w:widowControl/>
        <w:shd w:val="clear"/>
        <w:adjustRightInd/>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16.4因重大变故，采购任务取消的。</w:t>
      </w:r>
    </w:p>
    <w:p>
      <w:pPr>
        <w:widowControl/>
        <w:shd w:val="clear"/>
        <w:adjustRightInd/>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废标后，采购代理机构应当将废标理由通知所有投标人。</w:t>
      </w:r>
    </w:p>
    <w:p>
      <w:pPr>
        <w:shd w:val="clear"/>
        <w:snapToGrid w:val="0"/>
        <w:spacing w:line="360" w:lineRule="auto"/>
        <w:rPr>
          <w:rFonts w:ascii="仿宋" w:hAnsi="仿宋" w:eastAsia="仿宋" w:cs="仿宋_GB2312"/>
          <w:color w:val="auto"/>
          <w:highlight w:val="none"/>
        </w:rPr>
      </w:pPr>
    </w:p>
    <w:p>
      <w:pPr>
        <w:shd w:val="clea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七、评审过程的保密与录像</w:t>
      </w:r>
    </w:p>
    <w:p>
      <w:pPr>
        <w:widowControl/>
        <w:shd w:val="clear"/>
        <w:spacing w:line="360" w:lineRule="auto"/>
        <w:ind w:firstLine="482" w:firstLineChars="200"/>
        <w:rPr>
          <w:rFonts w:ascii="仿宋" w:hAnsi="仿宋" w:eastAsia="仿宋" w:cs="仿宋_GB2312"/>
          <w:color w:val="auto"/>
          <w:sz w:val="24"/>
          <w:highlight w:val="none"/>
        </w:rPr>
      </w:pPr>
      <w:r>
        <w:rPr>
          <w:rFonts w:hint="eastAsia" w:ascii="仿宋" w:hAnsi="仿宋" w:eastAsia="仿宋" w:cs="仿宋_GB2312"/>
          <w:b/>
          <w:color w:val="auto"/>
          <w:sz w:val="24"/>
          <w:highlight w:val="none"/>
        </w:rPr>
        <w:t>17.保密。</w:t>
      </w:r>
      <w:r>
        <w:rPr>
          <w:rFonts w:ascii="仿宋" w:hAnsi="仿宋" w:eastAsia="仿宋" w:cs="仿宋_GB2312"/>
          <w:color w:val="auto"/>
          <w:sz w:val="24"/>
          <w:highlight w:val="none"/>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pPr>
        <w:widowControl/>
        <w:shd w:val="clear"/>
        <w:spacing w:line="360" w:lineRule="auto"/>
        <w:ind w:firstLine="482" w:firstLineChars="200"/>
        <w:rPr>
          <w:rFonts w:ascii="仿宋" w:hAnsi="仿宋" w:eastAsia="仿宋" w:cs="仿宋_GB2312"/>
          <w:color w:val="auto"/>
          <w:sz w:val="24"/>
          <w:highlight w:val="none"/>
        </w:rPr>
      </w:pPr>
      <w:r>
        <w:rPr>
          <w:rFonts w:hint="eastAsia" w:ascii="仿宋" w:hAnsi="仿宋" w:eastAsia="仿宋" w:cs="仿宋_GB2312"/>
          <w:b/>
          <w:color w:val="auto"/>
          <w:sz w:val="24"/>
          <w:highlight w:val="none"/>
        </w:rPr>
        <w:t>18.录音录像。</w:t>
      </w:r>
      <w:r>
        <w:rPr>
          <w:rFonts w:hint="eastAsia" w:ascii="仿宋" w:hAnsi="仿宋" w:eastAsia="仿宋" w:cs="仿宋_GB2312"/>
          <w:color w:val="auto"/>
          <w:sz w:val="24"/>
          <w:highlight w:val="none"/>
        </w:rPr>
        <w:t>采购代理机构对评审工作现场进行全过程录音录像，录音录像资料作为采购项目文件随其他文件一并存档。</w:t>
      </w:r>
    </w:p>
    <w:p>
      <w:pPr>
        <w:shd w:val="clear"/>
        <w:snapToGrid w:val="0"/>
        <w:spacing w:line="360" w:lineRule="auto"/>
        <w:ind w:left="120" w:leftChars="57" w:firstLine="482" w:firstLineChars="150"/>
        <w:jc w:val="center"/>
        <w:rPr>
          <w:rFonts w:ascii="仿宋" w:hAnsi="仿宋" w:eastAsia="仿宋" w:cs="仿宋_GB2312"/>
          <w:b/>
          <w:color w:val="auto"/>
          <w:sz w:val="32"/>
          <w:highlight w:val="none"/>
        </w:rPr>
      </w:pPr>
    </w:p>
    <w:p>
      <w:pPr>
        <w:shd w:val="clear"/>
        <w:snapToGrid w:val="0"/>
        <w:spacing w:line="360" w:lineRule="auto"/>
        <w:ind w:left="120" w:leftChars="57" w:firstLine="482" w:firstLineChars="150"/>
        <w:jc w:val="center"/>
        <w:rPr>
          <w:rFonts w:ascii="仿宋" w:hAnsi="仿宋" w:eastAsia="仿宋" w:cs="仿宋_GB2312"/>
          <w:b/>
          <w:color w:val="auto"/>
          <w:sz w:val="32"/>
          <w:highlight w:val="none"/>
        </w:rPr>
      </w:pPr>
      <w:r>
        <w:rPr>
          <w:rFonts w:ascii="仿宋" w:hAnsi="仿宋" w:eastAsia="仿宋" w:cs="仿宋_GB2312"/>
          <w:b/>
          <w:color w:val="auto"/>
          <w:sz w:val="32"/>
          <w:highlight w:val="none"/>
        </w:rPr>
        <w:br w:type="page"/>
      </w:r>
      <w:r>
        <w:rPr>
          <w:rFonts w:hint="eastAsia" w:ascii="仿宋" w:hAnsi="仿宋" w:eastAsia="仿宋" w:cs="仿宋_GB2312"/>
          <w:b/>
          <w:color w:val="auto"/>
          <w:sz w:val="32"/>
          <w:highlight w:val="none"/>
        </w:rPr>
        <w:t>八、具体评标标准</w:t>
      </w:r>
    </w:p>
    <w:p>
      <w:pPr>
        <w:widowControl/>
        <w:shd w:val="clear"/>
        <w:spacing w:line="360" w:lineRule="auto"/>
        <w:ind w:firstLine="480" w:firstLineChars="200"/>
        <w:rPr>
          <w:rFonts w:ascii="仿宋" w:hAnsi="仿宋" w:eastAsia="仿宋" w:cs="仿宋_GB2312"/>
          <w:color w:val="auto"/>
          <w:sz w:val="24"/>
          <w:highlight w:val="none"/>
        </w:rPr>
      </w:pPr>
      <w:bookmarkStart w:id="427" w:name="gxebd_pack_1_EvalFactorAccordEnd"/>
      <w:bookmarkEnd w:id="427"/>
      <w:r>
        <w:rPr>
          <w:rFonts w:hint="eastAsia" w:ascii="仿宋" w:hAnsi="仿宋" w:eastAsia="仿宋" w:cs="仿宋_GB2312"/>
          <w:color w:val="auto"/>
          <w:sz w:val="24"/>
          <w:highlight w:val="none"/>
        </w:rPr>
        <w:t>19.商务技术分（</w:t>
      </w:r>
      <w:r>
        <w:rPr>
          <w:rFonts w:hint="eastAsia" w:ascii="仿宋" w:hAnsi="仿宋" w:eastAsia="仿宋" w:cs="Arial"/>
          <w:color w:val="auto"/>
          <w:kern w:val="0"/>
          <w:sz w:val="24"/>
          <w:highlight w:val="none"/>
          <w:lang w:val="en-US" w:eastAsia="zh-CN"/>
        </w:rPr>
        <w:t>60</w:t>
      </w:r>
      <w:r>
        <w:rPr>
          <w:rFonts w:hint="eastAsia" w:ascii="仿宋" w:hAnsi="仿宋" w:eastAsia="仿宋" w:cs="仿宋_GB2312"/>
          <w:color w:val="auto"/>
          <w:sz w:val="24"/>
          <w:highlight w:val="none"/>
        </w:rPr>
        <w:t>分）</w:t>
      </w:r>
    </w:p>
    <w:tbl>
      <w:tblPr>
        <w:tblStyle w:val="58"/>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3"/>
        <w:gridCol w:w="1272"/>
        <w:gridCol w:w="993"/>
        <w:gridCol w:w="6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13" w:type="dxa"/>
            <w:shd w:val="clear" w:color="auto" w:fill="auto"/>
            <w:vAlign w:val="center"/>
          </w:tcPr>
          <w:p>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72" w:type="dxa"/>
            <w:shd w:val="clear" w:color="auto" w:fill="auto"/>
            <w:vAlign w:val="center"/>
          </w:tcPr>
          <w:p>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评标项目</w:t>
            </w:r>
          </w:p>
        </w:tc>
        <w:tc>
          <w:tcPr>
            <w:tcW w:w="993" w:type="dxa"/>
            <w:shd w:val="clear" w:color="auto" w:fill="auto"/>
            <w:vAlign w:val="center"/>
          </w:tcPr>
          <w:p>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分值</w:t>
            </w:r>
          </w:p>
        </w:tc>
        <w:tc>
          <w:tcPr>
            <w:tcW w:w="6188" w:type="dxa"/>
            <w:shd w:val="clear" w:color="auto" w:fill="auto"/>
            <w:vAlign w:val="center"/>
          </w:tcPr>
          <w:p>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评分基本规则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vAlign w:val="center"/>
          </w:tcPr>
          <w:p>
            <w:pPr>
              <w:shd w:val="clear"/>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272" w:type="dxa"/>
            <w:shd w:val="clear" w:color="auto" w:fill="auto"/>
            <w:vAlign w:val="center"/>
          </w:tcPr>
          <w:p>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项目组</w:t>
            </w:r>
          </w:p>
          <w:p>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人员情况</w:t>
            </w:r>
          </w:p>
        </w:tc>
        <w:tc>
          <w:tcPr>
            <w:tcW w:w="993" w:type="dxa"/>
            <w:shd w:val="clear" w:color="auto" w:fill="auto"/>
            <w:vAlign w:val="center"/>
          </w:tcPr>
          <w:p>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w:t>
            </w:r>
          </w:p>
        </w:tc>
        <w:tc>
          <w:tcPr>
            <w:tcW w:w="6188" w:type="dxa"/>
            <w:shd w:val="clear" w:color="auto" w:fill="auto"/>
            <w:vAlign w:val="center"/>
          </w:tcPr>
          <w:p>
            <w:pPr>
              <w:shd w:val="clea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①投标单位项目负责人具有水利注册造价师证书且同时具有高级及以上职称的得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分、中级职称的得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shd w:val="clear"/>
              <w:spacing w:line="3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②投标单位除项目负责人以外每提供一名水利注册造价师的得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分，最多得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shd w:val="clear"/>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③项目组（除①、②人员配备以外）</w:t>
            </w:r>
            <w:r>
              <w:rPr>
                <w:rFonts w:hint="eastAsia" w:ascii="仿宋" w:hAnsi="仿宋" w:eastAsia="仿宋" w:cs="仿宋"/>
                <w:color w:val="auto"/>
                <w:sz w:val="24"/>
                <w:highlight w:val="none"/>
                <w:lang w:eastAsia="zh-CN"/>
              </w:rPr>
              <w:t>每名</w:t>
            </w:r>
            <w:r>
              <w:rPr>
                <w:rFonts w:hint="eastAsia" w:ascii="仿宋" w:hAnsi="仿宋" w:eastAsia="仿宋" w:cs="仿宋"/>
                <w:color w:val="auto"/>
                <w:sz w:val="24"/>
                <w:highlight w:val="none"/>
              </w:rPr>
              <w:t>注册造价工程师</w:t>
            </w:r>
            <w:r>
              <w:rPr>
                <w:rFonts w:hint="eastAsia" w:ascii="仿宋" w:hAnsi="仿宋" w:eastAsia="仿宋" w:cs="仿宋"/>
                <w:color w:val="auto"/>
                <w:sz w:val="24"/>
                <w:highlight w:val="none"/>
                <w:lang w:eastAsia="zh-CN"/>
              </w:rPr>
              <w:t>得</w:t>
            </w:r>
            <w:r>
              <w:rPr>
                <w:rFonts w:hint="eastAsia" w:ascii="仿宋" w:hAnsi="仿宋" w:eastAsia="仿宋" w:cs="仿宋"/>
                <w:color w:val="auto"/>
                <w:sz w:val="24"/>
                <w:highlight w:val="none"/>
                <w:lang w:val="en-US" w:eastAsia="zh-CN"/>
              </w:rPr>
              <w:t>2分,最多得6分</w:t>
            </w:r>
            <w:r>
              <w:rPr>
                <w:rFonts w:hint="eastAsia" w:ascii="仿宋" w:hAnsi="仿宋" w:eastAsia="仿宋" w:cs="仿宋"/>
                <w:color w:val="auto"/>
                <w:sz w:val="24"/>
                <w:highlight w:val="none"/>
              </w:rPr>
              <w:t>。</w:t>
            </w:r>
          </w:p>
          <w:p>
            <w:pPr>
              <w:shd w:val="clear"/>
              <w:spacing w:line="32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④代理服务团队不少于5人且均具备柯桥区公共资源交易中心</w:t>
            </w:r>
            <w:bookmarkStart w:id="450" w:name="_GoBack"/>
            <w:bookmarkEnd w:id="450"/>
            <w:r>
              <w:rPr>
                <w:rFonts w:hint="eastAsia" w:ascii="仿宋" w:hAnsi="仿宋" w:eastAsia="仿宋" w:cs="仿宋"/>
                <w:color w:val="auto"/>
                <w:sz w:val="24"/>
                <w:highlight w:val="none"/>
                <w:lang w:val="en-US" w:eastAsia="zh-CN"/>
              </w:rPr>
              <w:t>核发的招标代理人员上岗证，须为投标单位在职员工，满足以上条件的得3分。</w:t>
            </w:r>
          </w:p>
          <w:p>
            <w:pPr>
              <w:shd w:val="clear"/>
              <w:spacing w:line="3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注：投标文件中提供上述人员相应证书复印件加盖公章，并提供近三个月社保证明（2023年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月至2023年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月），不提供不得分（ 2018 年7月20日发布“建人[2018]67 号”文件之前取得的造价工程师与一级造价师等同）。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vAlign w:val="center"/>
          </w:tcPr>
          <w:p>
            <w:pPr>
              <w:shd w:val="clear"/>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272" w:type="dxa"/>
            <w:shd w:val="clear" w:color="auto" w:fill="auto"/>
            <w:vAlign w:val="center"/>
          </w:tcPr>
          <w:p>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投标人</w:t>
            </w:r>
          </w:p>
          <w:p>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业绩情况</w:t>
            </w:r>
          </w:p>
        </w:tc>
        <w:tc>
          <w:tcPr>
            <w:tcW w:w="993" w:type="dxa"/>
            <w:shd w:val="clear" w:color="auto" w:fill="auto"/>
            <w:vAlign w:val="center"/>
          </w:tcPr>
          <w:p>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tc>
        <w:tc>
          <w:tcPr>
            <w:tcW w:w="6188" w:type="dxa"/>
            <w:shd w:val="clear" w:color="auto" w:fill="auto"/>
            <w:vAlign w:val="center"/>
          </w:tcPr>
          <w:p>
            <w:pPr>
              <w:shd w:val="clea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投标单位自2021年1月以来（以施工中标通知书时间为准）承接过工程施工（或EPC）招标代理公开招标项目（或标段），工程中标价在400（含）万元-2000（含）万元的每个项目得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分；2000万元以上的每个项目得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分；本项最多提供</w:t>
            </w:r>
            <w:r>
              <w:rPr>
                <w:rFonts w:hint="eastAsia" w:ascii="仿宋" w:hAnsi="仿宋" w:eastAsia="仿宋" w:cs="仿宋"/>
                <w:color w:val="auto"/>
                <w:sz w:val="24"/>
                <w:highlight w:val="none"/>
                <w:lang w:eastAsia="zh-CN"/>
              </w:rPr>
              <w:t>两</w:t>
            </w:r>
            <w:r>
              <w:rPr>
                <w:rFonts w:hint="eastAsia" w:ascii="仿宋" w:hAnsi="仿宋" w:eastAsia="仿宋" w:cs="仿宋"/>
                <w:color w:val="auto"/>
                <w:sz w:val="24"/>
                <w:highlight w:val="none"/>
              </w:rPr>
              <w:t>个业绩，最多得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p>
            <w:pPr>
              <w:shd w:val="clea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注：投标文件中提供委托代理合同、施工中标通知书及标底报价书（或招标控制价页）、epc项目概算书为准，以上资料复印件并加盖单位公章，上述资料无法体现项目特征的提供业主的证明材料，不提供不得分。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vAlign w:val="center"/>
          </w:tcPr>
          <w:p>
            <w:pPr>
              <w:shd w:val="clear"/>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272" w:type="dxa"/>
            <w:shd w:val="clear" w:color="auto" w:fill="auto"/>
            <w:vAlign w:val="center"/>
          </w:tcPr>
          <w:p>
            <w:pPr>
              <w:shd w:val="clear"/>
              <w:autoSpaceDE w:val="0"/>
              <w:autoSpaceDN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企业荣誉</w:t>
            </w:r>
          </w:p>
        </w:tc>
        <w:tc>
          <w:tcPr>
            <w:tcW w:w="993" w:type="dxa"/>
            <w:shd w:val="clear" w:color="auto" w:fill="auto"/>
            <w:vAlign w:val="center"/>
          </w:tcPr>
          <w:p>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分</w:t>
            </w:r>
          </w:p>
        </w:tc>
        <w:tc>
          <w:tcPr>
            <w:tcW w:w="6188" w:type="dxa"/>
            <w:shd w:val="clear" w:color="auto" w:fill="auto"/>
            <w:vAlign w:val="center"/>
          </w:tcPr>
          <w:p>
            <w:pPr>
              <w:shd w:val="clear"/>
              <w:spacing w:line="3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1、投标人自投标截止日当月，投标单位获得省级及以上造价管理部门评定的造价咨询企业动态信用等级，AAAA级及以上</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分，AAA级得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分，其余不得分。(时间以发文时间为准，提供相应证书或材料的复印件并加盖公章。)；</w:t>
            </w:r>
          </w:p>
          <w:p>
            <w:pPr>
              <w:shd w:val="clear"/>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2、投标单位具有ISO9001质量体系认证、ISO14001环境管理体系认证、OHSAS18001职业健康安全管理体系认证或ISO45001职业健康安全管理体系认证并在有效期内的每个得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分，最多得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分。(投标文件中提供证书复印件并加盖单位公章)。</w:t>
            </w:r>
          </w:p>
          <w:p>
            <w:pPr>
              <w:shd w:val="clear"/>
              <w:spacing w:line="32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3、投标人自2020年1月1日以来（以证书颁发日期为准）获得省级及以上建设工程造价管理总站表彰的造价咨询企业的、省级及以上优秀造价咨询成果奖的，每项得2分，最高得6分。</w:t>
            </w:r>
          </w:p>
          <w:p>
            <w:pPr>
              <w:shd w:val="clear"/>
              <w:spacing w:line="320" w:lineRule="exact"/>
              <w:ind w:firstLine="480" w:firstLineChars="200"/>
              <w:rPr>
                <w:rFonts w:hint="eastAsia" w:eastAsia="仿宋"/>
                <w:color w:val="auto"/>
                <w:highlight w:val="none"/>
                <w:lang w:val="en-US" w:eastAsia="zh-CN"/>
              </w:rPr>
            </w:pPr>
            <w:r>
              <w:rPr>
                <w:rFonts w:hint="eastAsia" w:ascii="仿宋" w:hAnsi="仿宋" w:eastAsia="仿宋" w:cs="仿宋"/>
                <w:color w:val="auto"/>
                <w:sz w:val="24"/>
                <w:highlight w:val="none"/>
                <w:lang w:val="en-US" w:eastAsia="zh-CN"/>
              </w:rPr>
              <w:t>（投标文件中提供证书或文件原件的复印件加盖投标单位公章；投标文件中装订相关证书或奖牌或文件复印件加盖单位公章；提供文件或公示截图并加盖投标人公章）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13" w:type="dxa"/>
            <w:shd w:val="clear" w:color="auto" w:fill="auto"/>
            <w:vAlign w:val="center"/>
          </w:tcPr>
          <w:p>
            <w:pPr>
              <w:shd w:val="clear"/>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272" w:type="dxa"/>
            <w:shd w:val="clear" w:color="auto" w:fill="auto"/>
            <w:vAlign w:val="center"/>
          </w:tcPr>
          <w:p>
            <w:pPr>
              <w:shd w:val="clear"/>
              <w:autoSpaceDE w:val="0"/>
              <w:autoSpaceDN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本地化</w:t>
            </w:r>
          </w:p>
          <w:p>
            <w:pPr>
              <w:shd w:val="clear"/>
              <w:autoSpaceDE w:val="0"/>
              <w:autoSpaceDN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w:t>
            </w:r>
          </w:p>
        </w:tc>
        <w:tc>
          <w:tcPr>
            <w:tcW w:w="993" w:type="dxa"/>
            <w:shd w:val="clear" w:color="auto" w:fill="auto"/>
            <w:vAlign w:val="center"/>
          </w:tcPr>
          <w:p>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12</w:t>
            </w:r>
            <w:r>
              <w:rPr>
                <w:rFonts w:hint="eastAsia" w:ascii="仿宋" w:hAnsi="仿宋" w:eastAsia="仿宋" w:cs="仿宋"/>
                <w:bCs/>
                <w:color w:val="auto"/>
                <w:sz w:val="24"/>
                <w:highlight w:val="none"/>
              </w:rPr>
              <w:t>分</w:t>
            </w:r>
          </w:p>
        </w:tc>
        <w:tc>
          <w:tcPr>
            <w:tcW w:w="6188" w:type="dxa"/>
            <w:shd w:val="clear" w:color="auto" w:fill="auto"/>
            <w:vAlign w:val="center"/>
          </w:tcPr>
          <w:p>
            <w:pPr>
              <w:shd w:val="clea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投标人提供的本地化服务优势，如招标代理操作人员对项目所在地交易平台的培训及熟练掌握程度、对项目所在地财政部门标底编制口径的熟悉程度及类似项目经验、在项目属地交易平台中招标代理操作人员备案情况、项目属地行业主管部门（如：审计局、公共资源交易中心）等情况，由评委进行分析比较、评议、确定档次打分。优为</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分；良为</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分，一般为</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分，差为</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3" w:hRule="atLeast"/>
          <w:jc w:val="center"/>
        </w:trPr>
        <w:tc>
          <w:tcPr>
            <w:tcW w:w="813" w:type="dxa"/>
            <w:shd w:val="clear" w:color="auto" w:fill="auto"/>
            <w:vAlign w:val="center"/>
          </w:tcPr>
          <w:p>
            <w:pPr>
              <w:shd w:val="clear"/>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272" w:type="dxa"/>
            <w:shd w:val="clear" w:color="auto" w:fill="auto"/>
            <w:vAlign w:val="center"/>
          </w:tcPr>
          <w:p>
            <w:pPr>
              <w:shd w:val="clear"/>
              <w:autoSpaceDE w:val="0"/>
              <w:autoSpaceDN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服务方案及后续服务的安排及保证措施</w:t>
            </w:r>
          </w:p>
        </w:tc>
        <w:tc>
          <w:tcPr>
            <w:tcW w:w="993" w:type="dxa"/>
            <w:shd w:val="clear" w:color="auto" w:fill="auto"/>
            <w:vAlign w:val="center"/>
          </w:tcPr>
          <w:p>
            <w:pPr>
              <w:shd w:val="clear"/>
              <w:autoSpaceDE w:val="0"/>
              <w:autoSpaceDN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0-10分</w:t>
            </w:r>
          </w:p>
        </w:tc>
        <w:tc>
          <w:tcPr>
            <w:tcW w:w="6188" w:type="dxa"/>
            <w:shd w:val="clear" w:color="auto" w:fill="auto"/>
            <w:vAlign w:val="center"/>
          </w:tcPr>
          <w:p>
            <w:pPr>
              <w:shd w:val="clea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工作时间分步安排合理、选择方法科学、工作方案完整，组织机构完整，管理制度健全，单位内控体系完善，后续服务安排及措施，符合招标文件要求的，提出具体服务安排及措施、承诺明确并切实可行等方面横向对比打分。优秀得10分，良好得8分，一般得6</w:t>
            </w:r>
            <w:r>
              <w:rPr>
                <w:rFonts w:hint="eastAsia" w:ascii="仿宋" w:hAnsi="仿宋" w:eastAsia="仿宋" w:cs="仿宋"/>
                <w:color w:val="auto"/>
                <w:sz w:val="24"/>
                <w:highlight w:val="none"/>
                <w:lang w:eastAsia="zh-CN"/>
              </w:rPr>
              <w:t>分</w:t>
            </w:r>
            <w:r>
              <w:rPr>
                <w:rFonts w:hint="eastAsia" w:ascii="仿宋" w:hAnsi="仿宋" w:eastAsia="仿宋" w:cs="仿宋"/>
                <w:color w:val="auto"/>
                <w:sz w:val="24"/>
                <w:highlight w:val="none"/>
              </w:rPr>
              <w:t>，差得4分，不提供不得分。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13" w:type="dxa"/>
            <w:shd w:val="clear" w:color="auto" w:fill="auto"/>
            <w:vAlign w:val="center"/>
          </w:tcPr>
          <w:p>
            <w:pPr>
              <w:shd w:val="clear"/>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6</w:t>
            </w:r>
          </w:p>
        </w:tc>
        <w:tc>
          <w:tcPr>
            <w:tcW w:w="1272" w:type="dxa"/>
            <w:shd w:val="clear" w:color="auto" w:fill="auto"/>
            <w:vAlign w:val="center"/>
          </w:tcPr>
          <w:p>
            <w:pPr>
              <w:shd w:val="clear"/>
              <w:autoSpaceDE w:val="0"/>
              <w:autoSpaceDN w:val="0"/>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场地及</w:t>
            </w:r>
            <w:r>
              <w:rPr>
                <w:rFonts w:hint="eastAsia" w:ascii="仿宋" w:hAnsi="仿宋" w:eastAsia="仿宋" w:cs="仿宋"/>
                <w:color w:val="auto"/>
                <w:sz w:val="24"/>
                <w:highlight w:val="none"/>
                <w:lang w:val="en-US" w:eastAsia="zh-CN"/>
              </w:rPr>
              <w:t>开展业务</w:t>
            </w:r>
            <w:r>
              <w:rPr>
                <w:rFonts w:hint="eastAsia" w:ascii="仿宋" w:hAnsi="仿宋" w:eastAsia="仿宋" w:cs="仿宋"/>
                <w:color w:val="auto"/>
                <w:sz w:val="24"/>
                <w:highlight w:val="none"/>
              </w:rPr>
              <w:t>设施要求</w:t>
            </w:r>
          </w:p>
        </w:tc>
        <w:tc>
          <w:tcPr>
            <w:tcW w:w="993" w:type="dxa"/>
            <w:shd w:val="clear" w:color="auto" w:fill="auto"/>
            <w:vAlign w:val="center"/>
          </w:tcPr>
          <w:p>
            <w:pPr>
              <w:shd w:val="clear"/>
              <w:autoSpaceDE w:val="0"/>
              <w:autoSpaceDN w:val="0"/>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0-5</w:t>
            </w:r>
          </w:p>
        </w:tc>
        <w:tc>
          <w:tcPr>
            <w:tcW w:w="6188" w:type="dxa"/>
            <w:shd w:val="clear" w:color="auto" w:fill="auto"/>
            <w:vAlign w:val="center"/>
          </w:tcPr>
          <w:p>
            <w:pPr>
              <w:shd w:val="clear"/>
              <w:autoSpaceDE w:val="0"/>
              <w:autoSpaceDN w:val="0"/>
              <w:snapToGrid w:val="0"/>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投标人办公场地配备</w:t>
            </w:r>
            <w:r>
              <w:rPr>
                <w:rFonts w:hint="eastAsia" w:ascii="仿宋" w:hAnsi="仿宋" w:eastAsia="仿宋" w:cs="仿宋"/>
                <w:color w:val="auto"/>
                <w:sz w:val="24"/>
                <w:highlight w:val="none"/>
              </w:rPr>
              <w:t>固定且独立的开标、评标室，有独立且专用的档案资料存放区域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根据投标人</w:t>
            </w:r>
            <w:r>
              <w:rPr>
                <w:rFonts w:hint="eastAsia" w:ascii="仿宋" w:hAnsi="仿宋" w:eastAsia="仿宋" w:cs="仿宋"/>
                <w:color w:val="auto"/>
                <w:sz w:val="24"/>
                <w:highlight w:val="none"/>
              </w:rPr>
              <w:t>办公场地布局是否合理，固定且独立的开标、评标室</w:t>
            </w:r>
            <w:r>
              <w:rPr>
                <w:rFonts w:hint="eastAsia" w:ascii="仿宋" w:hAnsi="仿宋" w:eastAsia="仿宋" w:cs="仿宋"/>
                <w:color w:val="auto"/>
                <w:sz w:val="24"/>
                <w:highlight w:val="none"/>
                <w:lang w:val="en-US" w:eastAsia="zh-CN"/>
              </w:rPr>
              <w:t>配置要求是否符合开标、评标要求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档案资料存放区域</w:t>
            </w:r>
            <w:r>
              <w:rPr>
                <w:rFonts w:hint="eastAsia" w:ascii="仿宋" w:hAnsi="仿宋" w:eastAsia="仿宋" w:cs="仿宋"/>
                <w:color w:val="auto"/>
                <w:sz w:val="24"/>
                <w:highlight w:val="none"/>
                <w:lang w:val="en-US" w:eastAsia="zh-CN"/>
              </w:rPr>
              <w:t>是都合理、规范等</w:t>
            </w:r>
            <w:r>
              <w:rPr>
                <w:rFonts w:hint="eastAsia" w:ascii="仿宋" w:hAnsi="仿宋" w:eastAsia="仿宋" w:cs="仿宋"/>
                <w:color w:val="auto"/>
                <w:sz w:val="24"/>
                <w:highlight w:val="none"/>
              </w:rPr>
              <w:t>进行</w:t>
            </w:r>
            <w:r>
              <w:rPr>
                <w:rFonts w:hint="eastAsia" w:ascii="仿宋" w:hAnsi="仿宋" w:eastAsia="仿宋" w:cs="仿宋"/>
                <w:color w:val="auto"/>
                <w:sz w:val="24"/>
                <w:highlight w:val="none"/>
                <w:lang w:val="en-US" w:eastAsia="zh-CN"/>
              </w:rPr>
              <w:t>比较</w:t>
            </w:r>
            <w:r>
              <w:rPr>
                <w:rFonts w:hint="eastAsia" w:ascii="仿宋" w:hAnsi="仿宋" w:eastAsia="仿宋" w:cs="仿宋"/>
                <w:color w:val="auto"/>
                <w:sz w:val="24"/>
                <w:highlight w:val="none"/>
              </w:rPr>
              <w:t>打分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充分满足本项目需求的得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分；基本符合本项目需求的得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分；部分符合本项目需求的得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分；未提供不得分。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投标文件中提供证明材料加盖投标人公章</w:t>
            </w:r>
            <w:r>
              <w:rPr>
                <w:rFonts w:hint="eastAsia" w:ascii="仿宋" w:hAnsi="仿宋" w:eastAsia="仿宋" w:cs="仿宋"/>
                <w:color w:val="auto"/>
                <w:sz w:val="24"/>
                <w:highlight w:val="none"/>
                <w:lang w:eastAsia="zh-CN"/>
              </w:rPr>
              <w:t>）</w:t>
            </w:r>
          </w:p>
        </w:tc>
      </w:tr>
    </w:tbl>
    <w:p>
      <w:pPr>
        <w:widowControl/>
        <w:shd w:val="clear"/>
        <w:spacing w:line="360" w:lineRule="auto"/>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注：中标后业主对上述材料进行原件核验，投标单位须无条件配合，如存在材料不真实等情况，取消中标资格，并上报公管办。</w:t>
      </w:r>
    </w:p>
    <w:p>
      <w:pPr>
        <w:widowControl/>
        <w:shd w:val="clea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（计算得分时，按其算术平均值保留小数点后2位）</w:t>
      </w:r>
    </w:p>
    <w:p>
      <w:pPr>
        <w:widowControl/>
        <w:shd w:val="clea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20</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价格分（</w:t>
      </w:r>
      <w:r>
        <w:rPr>
          <w:rFonts w:hint="eastAsia" w:ascii="仿宋" w:hAnsi="仿宋" w:eastAsia="仿宋" w:cs="Arial"/>
          <w:color w:val="auto"/>
          <w:kern w:val="0"/>
          <w:sz w:val="24"/>
          <w:highlight w:val="none"/>
          <w:lang w:val="en-US" w:eastAsia="zh-CN"/>
        </w:rPr>
        <w:t>40</w:t>
      </w:r>
      <w:r>
        <w:rPr>
          <w:rFonts w:hint="eastAsia" w:ascii="仿宋" w:hAnsi="仿宋" w:eastAsia="仿宋" w:cs="仿宋_GB2312"/>
          <w:color w:val="auto"/>
          <w:sz w:val="24"/>
          <w:highlight w:val="none"/>
        </w:rPr>
        <w:t>分）</w:t>
      </w:r>
    </w:p>
    <w:tbl>
      <w:tblPr>
        <w:tblStyle w:val="58"/>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7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899" w:type="dxa"/>
            <w:tcBorders>
              <w:top w:val="single" w:color="auto" w:sz="4" w:space="0"/>
              <w:left w:val="single" w:color="auto" w:sz="4" w:space="0"/>
              <w:bottom w:val="single" w:color="auto" w:sz="4" w:space="0"/>
              <w:right w:val="single" w:color="auto" w:sz="4" w:space="0"/>
            </w:tcBorders>
            <w:vAlign w:val="bottom"/>
          </w:tcPr>
          <w:p>
            <w:pPr>
              <w:widowControl/>
              <w:shd w:val="clear" w:color="auto"/>
              <w:spacing w:line="360" w:lineRule="auto"/>
              <w:ind w:firstLine="480" w:firstLineChars="200"/>
              <w:rPr>
                <w:rFonts w:ascii="仿宋" w:hAnsi="仿宋" w:eastAsia="仿宋"/>
                <w:color w:val="auto"/>
                <w:sz w:val="24"/>
                <w:highlight w:val="none"/>
              </w:rPr>
            </w:pPr>
            <w:r>
              <w:rPr>
                <w:rFonts w:hint="eastAsia" w:ascii="仿宋" w:eastAsia="仿宋" w:cs="仿宋_GB2312"/>
                <w:color w:val="auto"/>
                <w:sz w:val="24"/>
                <w:highlight w:val="none"/>
              </w:rPr>
              <w:t>价格权值</w:t>
            </w:r>
          </w:p>
        </w:tc>
        <w:tc>
          <w:tcPr>
            <w:tcW w:w="7357" w:type="dxa"/>
            <w:tcBorders>
              <w:top w:val="single" w:color="auto" w:sz="4" w:space="0"/>
              <w:left w:val="single" w:color="auto" w:sz="4" w:space="0"/>
              <w:bottom w:val="single" w:color="auto" w:sz="4" w:space="0"/>
              <w:right w:val="single" w:color="auto" w:sz="4" w:space="0"/>
            </w:tcBorders>
            <w:vAlign w:val="center"/>
          </w:tcPr>
          <w:p>
            <w:pPr>
              <w:widowControl/>
              <w:shd w:val="clear" w:color="auto"/>
              <w:spacing w:line="360" w:lineRule="auto"/>
              <w:ind w:firstLine="480" w:firstLineChars="200"/>
              <w:jc w:val="center"/>
              <w:rPr>
                <w:rFonts w:ascii="仿宋" w:hAnsi="仿宋" w:eastAsia="仿宋"/>
                <w:color w:val="auto"/>
                <w:sz w:val="24"/>
                <w:highlight w:val="none"/>
              </w:rPr>
            </w:pPr>
            <w:r>
              <w:rPr>
                <w:rFonts w:hint="eastAsia" w:ascii="仿宋" w:eastAsia="仿宋" w:cs="仿宋_GB2312"/>
                <w:color w:val="auto"/>
                <w:sz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899" w:type="dxa"/>
            <w:tcBorders>
              <w:top w:val="single" w:color="auto" w:sz="4" w:space="0"/>
              <w:left w:val="single" w:color="auto" w:sz="4" w:space="0"/>
              <w:bottom w:val="single" w:color="auto" w:sz="4" w:space="0"/>
              <w:right w:val="single" w:color="auto" w:sz="4" w:space="0"/>
            </w:tcBorders>
            <w:vAlign w:val="center"/>
          </w:tcPr>
          <w:p>
            <w:pPr>
              <w:widowControl/>
              <w:shd w:val="clear" w:color="auto"/>
              <w:spacing w:line="360" w:lineRule="auto"/>
              <w:jc w:val="center"/>
              <w:rPr>
                <w:rFonts w:hint="default" w:ascii="仿宋" w:hAnsi="仿宋" w:eastAsia="仿宋"/>
                <w:color w:val="auto"/>
                <w:sz w:val="24"/>
                <w:highlight w:val="none"/>
                <w:lang w:val="en-US" w:eastAsia="zh-CN"/>
              </w:rPr>
            </w:pPr>
            <w:r>
              <w:rPr>
                <w:rFonts w:hint="eastAsia" w:ascii="仿宋" w:eastAsia="仿宋" w:cs="仿宋_GB2312"/>
                <w:color w:val="auto"/>
                <w:sz w:val="24"/>
                <w:highlight w:val="none"/>
              </w:rPr>
              <w:t>价格权值=0.</w:t>
            </w:r>
            <w:r>
              <w:rPr>
                <w:rFonts w:hint="eastAsia" w:ascii="仿宋" w:eastAsia="仿宋" w:cs="仿宋_GB2312"/>
                <w:color w:val="auto"/>
                <w:sz w:val="24"/>
                <w:highlight w:val="none"/>
                <w:lang w:val="en-US" w:eastAsia="zh-CN"/>
              </w:rPr>
              <w:t>4</w:t>
            </w:r>
          </w:p>
        </w:tc>
        <w:tc>
          <w:tcPr>
            <w:tcW w:w="7357" w:type="dxa"/>
            <w:tcBorders>
              <w:top w:val="single" w:color="auto" w:sz="4" w:space="0"/>
              <w:left w:val="single" w:color="auto" w:sz="4" w:space="0"/>
              <w:bottom w:val="single" w:color="auto" w:sz="4" w:space="0"/>
              <w:right w:val="single" w:color="auto" w:sz="4" w:space="0"/>
            </w:tcBorders>
            <w:vAlign w:val="center"/>
          </w:tcPr>
          <w:p>
            <w:pPr>
              <w:widowControl/>
              <w:shd w:val="clear" w:color="auto"/>
              <w:spacing w:line="360" w:lineRule="auto"/>
              <w:rPr>
                <w:rFonts w:hint="eastAsia" w:ascii="仿宋" w:eastAsia="仿宋" w:cs="仿宋_GB2312"/>
                <w:color w:val="auto"/>
                <w:sz w:val="24"/>
                <w:highlight w:val="none"/>
              </w:rPr>
            </w:pPr>
            <w:r>
              <w:rPr>
                <w:rFonts w:hint="eastAsia" w:ascii="仿宋" w:eastAsia="仿宋" w:cs="仿宋_GB2312"/>
                <w:color w:val="auto"/>
                <w:sz w:val="24"/>
                <w:highlight w:val="none"/>
              </w:rPr>
              <w:t>最低有效投标价格为评标基准价</w:t>
            </w:r>
          </w:p>
          <w:p>
            <w:pPr>
              <w:widowControl/>
              <w:shd w:val="clear" w:color="auto"/>
              <w:spacing w:line="360" w:lineRule="auto"/>
              <w:rPr>
                <w:rFonts w:hint="eastAsia" w:ascii="仿宋" w:eastAsia="仿宋" w:cs="仿宋_GB2312"/>
                <w:color w:val="auto"/>
                <w:sz w:val="24"/>
                <w:highlight w:val="none"/>
              </w:rPr>
            </w:pPr>
            <w:r>
              <w:rPr>
                <w:rFonts w:hint="eastAsia" w:ascii="仿宋" w:eastAsia="仿宋" w:cs="仿宋_GB2312"/>
                <w:color w:val="auto"/>
                <w:sz w:val="24"/>
                <w:highlight w:val="none"/>
              </w:rPr>
              <w:t xml:space="preserve">投标报价得分=(评标基准价／投标报价)×价格权值×100 </w:t>
            </w:r>
          </w:p>
          <w:p>
            <w:pPr>
              <w:widowControl/>
              <w:shd w:val="clear" w:color="auto"/>
              <w:spacing w:line="360" w:lineRule="auto"/>
              <w:rPr>
                <w:rFonts w:ascii="仿宋" w:hAnsi="仿宋" w:eastAsia="仿宋"/>
                <w:color w:val="auto"/>
                <w:sz w:val="24"/>
                <w:highlight w:val="none"/>
              </w:rPr>
            </w:pPr>
            <w:r>
              <w:rPr>
                <w:rFonts w:hint="eastAsia" w:ascii="仿宋" w:eastAsia="仿宋" w:cs="仿宋_GB2312"/>
                <w:color w:val="auto"/>
                <w:sz w:val="24"/>
                <w:highlight w:val="none"/>
              </w:rPr>
              <w:t>（计算得分保留小数点后2位）</w:t>
            </w:r>
          </w:p>
        </w:tc>
      </w:tr>
    </w:tbl>
    <w:p>
      <w:pPr>
        <w:widowControl/>
        <w:shd w:val="clear"/>
        <w:spacing w:line="360" w:lineRule="auto"/>
        <w:ind w:firstLine="480" w:firstLineChars="200"/>
        <w:rPr>
          <w:rFonts w:ascii="仿宋" w:hAnsi="仿宋" w:eastAsia="仿宋" w:cs="仿宋_GB2312"/>
          <w:color w:val="auto"/>
          <w:sz w:val="24"/>
          <w:highlight w:val="none"/>
        </w:rPr>
      </w:pPr>
    </w:p>
    <w:p>
      <w:pPr>
        <w:widowControl/>
        <w:shd w:val="clear"/>
        <w:spacing w:line="360" w:lineRule="auto"/>
        <w:ind w:firstLine="723" w:firstLineChars="200"/>
        <w:jc w:val="center"/>
        <w:rPr>
          <w:rFonts w:ascii="仿宋" w:hAnsi="仿宋" w:eastAsia="仿宋" w:cs="仿宋_GB2312"/>
          <w:b/>
          <w:color w:val="auto"/>
          <w:sz w:val="36"/>
          <w:szCs w:val="36"/>
          <w:highlight w:val="none"/>
        </w:rPr>
      </w:pPr>
    </w:p>
    <w:p>
      <w:pPr>
        <w:pStyle w:val="4"/>
        <w:numPr>
          <w:ilvl w:val="0"/>
          <w:numId w:val="0"/>
        </w:numPr>
        <w:shd w:val="clear"/>
        <w:rPr>
          <w:color w:val="auto"/>
          <w:highlight w:val="none"/>
        </w:rPr>
      </w:pPr>
    </w:p>
    <w:p>
      <w:pPr>
        <w:shd w:val="clear"/>
        <w:rPr>
          <w:color w:val="auto"/>
          <w:highlight w:val="none"/>
        </w:rPr>
      </w:pPr>
    </w:p>
    <w:p>
      <w:pPr>
        <w:shd w:val="clear"/>
        <w:jc w:val="center"/>
        <w:rPr>
          <w:rFonts w:hint="eastAsia" w:ascii="仿宋" w:hAnsi="仿宋" w:eastAsia="仿宋" w:cs="仿宋_GB2312"/>
          <w:b/>
          <w:color w:val="auto"/>
          <w:sz w:val="36"/>
          <w:szCs w:val="36"/>
          <w:highlight w:val="none"/>
        </w:rPr>
      </w:pPr>
    </w:p>
    <w:p>
      <w:pPr>
        <w:shd w:val="clear"/>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第五部分</w:t>
      </w:r>
      <w:bookmarkEnd w:id="61"/>
      <w:r>
        <w:rPr>
          <w:rFonts w:hint="eastAsia" w:ascii="仿宋" w:hAnsi="仿宋" w:eastAsia="仿宋" w:cs="仿宋_GB2312"/>
          <w:b/>
          <w:color w:val="auto"/>
          <w:sz w:val="36"/>
          <w:szCs w:val="36"/>
          <w:highlight w:val="none"/>
        </w:rPr>
        <w:t xml:space="preserve"> 拟签订的合同文本</w:t>
      </w:r>
    </w:p>
    <w:p>
      <w:pPr>
        <w:widowControl/>
        <w:shd w:val="clear"/>
        <w:snapToGrid w:val="0"/>
        <w:spacing w:line="480" w:lineRule="exact"/>
        <w:rPr>
          <w:rFonts w:ascii="仿宋" w:eastAsia="仿宋"/>
          <w:b/>
          <w:bCs/>
          <w:color w:val="auto"/>
          <w:kern w:val="0"/>
          <w:sz w:val="24"/>
          <w:highlight w:val="none"/>
          <w:u w:val="single"/>
        </w:rPr>
      </w:pPr>
      <w:bookmarkStart w:id="428" w:name="_Toc86217003"/>
      <w:bookmarkStart w:id="429" w:name="第五部分"/>
      <w:r>
        <w:rPr>
          <w:rFonts w:hint="eastAsia" w:ascii="仿宋" w:eastAsia="仿宋"/>
          <w:b/>
          <w:bCs/>
          <w:color w:val="auto"/>
          <w:kern w:val="0"/>
          <w:sz w:val="24"/>
          <w:highlight w:val="none"/>
          <w:u w:val="single"/>
        </w:rPr>
        <w:t>（合同按采购文件及中标供应商投标文件的内容制定，以下仅为部分主要条款）</w:t>
      </w:r>
    </w:p>
    <w:p>
      <w:pPr>
        <w:shd w:val="clear"/>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（服务类样本）</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合同编号：</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确认书号：</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甲方（采购人）： </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乙方（供应商）： </w:t>
      </w:r>
    </w:p>
    <w:p>
      <w:pPr>
        <w:widowControl/>
        <w:shd w:val="clear"/>
        <w:snapToGrid w:val="0"/>
        <w:spacing w:line="480" w:lineRule="exact"/>
        <w:ind w:firstLine="480" w:firstLineChars="200"/>
        <w:rPr>
          <w:rFonts w:ascii="仿宋" w:eastAsia="仿宋"/>
          <w:color w:val="auto"/>
          <w:kern w:val="0"/>
          <w:sz w:val="24"/>
          <w:highlight w:val="none"/>
        </w:rPr>
      </w:pP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rPr>
        <w:t>项目编号为的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rPr>
        <w:t>项目的政府采购交易结果，签署本合同。</w:t>
      </w:r>
    </w:p>
    <w:p>
      <w:pPr>
        <w:widowControl/>
        <w:numPr>
          <w:ilvl w:val="0"/>
          <w:numId w:val="7"/>
        </w:numPr>
        <w:shd w:val="clear"/>
        <w:adjustRightInd/>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服务内容及标准</w:t>
      </w:r>
    </w:p>
    <w:p>
      <w:pPr>
        <w:widowControl/>
        <w:shd w:val="clear"/>
        <w:snapToGrid w:val="0"/>
        <w:spacing w:line="480" w:lineRule="exact"/>
        <w:ind w:left="480"/>
        <w:rPr>
          <w:rFonts w:ascii="仿宋" w:eastAsia="仿宋"/>
          <w:color w:val="auto"/>
          <w:kern w:val="0"/>
          <w:sz w:val="24"/>
          <w:highlight w:val="none"/>
        </w:rPr>
      </w:pPr>
      <w:r>
        <w:rPr>
          <w:rFonts w:hint="eastAsia" w:ascii="仿宋" w:eastAsia="仿宋"/>
          <w:color w:val="auto"/>
          <w:kern w:val="0"/>
          <w:sz w:val="24"/>
          <w:highlight w:val="none"/>
        </w:rPr>
        <w:t>（按采购需求及投标文件的内容填写）</w:t>
      </w:r>
    </w:p>
    <w:p>
      <w:pPr>
        <w:widowControl/>
        <w:numPr>
          <w:ilvl w:val="0"/>
          <w:numId w:val="7"/>
        </w:numPr>
        <w:shd w:val="clear"/>
        <w:adjustRightInd/>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服务价格</w:t>
      </w:r>
    </w:p>
    <w:p>
      <w:pPr>
        <w:widowControl/>
        <w:shd w:val="clear"/>
        <w:snapToGrid w:val="0"/>
        <w:spacing w:line="480" w:lineRule="exact"/>
        <w:ind w:left="480"/>
        <w:rPr>
          <w:rFonts w:ascii="仿宋" w:eastAsia="仿宋"/>
          <w:color w:val="auto"/>
          <w:kern w:val="0"/>
          <w:sz w:val="24"/>
          <w:highlight w:val="none"/>
        </w:rPr>
      </w:pPr>
      <w:r>
        <w:rPr>
          <w:rFonts w:hint="eastAsia" w:ascii="仿宋" w:eastAsia="仿宋"/>
          <w:color w:val="auto"/>
          <w:kern w:val="0"/>
          <w:sz w:val="24"/>
          <w:highlight w:val="none"/>
        </w:rPr>
        <w:t>（有服务分项的，需报分项价格和总价）</w:t>
      </w:r>
    </w:p>
    <w:p>
      <w:pPr>
        <w:widowControl/>
        <w:shd w:val="clear"/>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三、技术资料</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1.乙方应按采购文件规定的时间向甲方提供与本项目有关的技术资料。</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hd w:val="clear"/>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四、知识产权</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1、乙方应保证所提供的货物与服务均不会侵犯任何第三方的知识产权。</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2、乙方保证所交付的服务的所有权完全属于乙方且无任何抵押、查封等产权瑕疵。</w:t>
      </w:r>
    </w:p>
    <w:p>
      <w:pPr>
        <w:widowControl/>
        <w:shd w:val="clear"/>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五、转包或分包</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不允许转包。</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允许分包部分。</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如乙方将项目转包或将不允许分包部分进行了分包，甲方有权解除合同，没收履约保证金并追究乙方的违约责任。</w:t>
      </w:r>
    </w:p>
    <w:p>
      <w:pPr>
        <w:widowControl/>
        <w:shd w:val="clear"/>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六、履约保证金</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1.履约保证金元。[履约保证金交至采购人处，服务完成后满（   ）个月之日起5个工作日内无息退还]</w:t>
      </w:r>
    </w:p>
    <w:p>
      <w:pPr>
        <w:widowControl/>
        <w:shd w:val="clear"/>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七、项目服务期限及实施地点</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1.服务期限：</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2.实施地点：</w:t>
      </w:r>
    </w:p>
    <w:p>
      <w:pPr>
        <w:widowControl/>
        <w:shd w:val="clear"/>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八、付款</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付款方式：</w:t>
      </w:r>
    </w:p>
    <w:p>
      <w:pPr>
        <w:widowControl/>
        <w:shd w:val="clear"/>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九、税费</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本合同执行中相关的一切税费均由乙方负担。</w:t>
      </w:r>
    </w:p>
    <w:p>
      <w:pPr>
        <w:widowControl/>
        <w:shd w:val="clear"/>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十、违约责任</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1.甲方无正当理由拒绝验收项目的，甲方向乙方偿付拒收合同总价的百分之五违约金。</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2.甲方无故逾期验收和办理合同款项支付手续的,甲方应按逾期付款总额每日万分之五向乙方支付违约金。</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4.乙方所履行的服务质量或服务数量不符合合同规定及采购文件规定的，甲方有权中止接受服务，单方面解除合同，且相关损失由乙方承担。</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5.解除合同应按《浙江省政府采购合同暂行办法》向财政备案。</w:t>
      </w:r>
    </w:p>
    <w:p>
      <w:pPr>
        <w:widowControl/>
        <w:shd w:val="clear"/>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十一、不可抗力事件处理</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1.在合同有效期内，任何一方因不可抗力事件导致不能履行合同，则合同履行期可延长，其延长期与不可抗力影响期相同。</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2.不可抗力事件发生后，应立即通知对方，并寄送有关权威机构出具的证明。</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3.不可抗力事件延续120天以上，双方应通过友好协商，确定是否继续履行合同。</w:t>
      </w:r>
    </w:p>
    <w:p>
      <w:pPr>
        <w:widowControl/>
        <w:shd w:val="clear"/>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十二、诉讼</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双方在执行合同中所发生的一切争议，应通过协商解决。如协商不成，可向甲方所在地法院起诉。</w:t>
      </w:r>
    </w:p>
    <w:p>
      <w:pPr>
        <w:widowControl/>
        <w:shd w:val="clear"/>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十三、合同生效及其他</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1.合同经甲、乙双方签名并加盖单位公章后生效。</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2.采购文件、投标文件与本合同具有同等法律效力。</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3.本合同未尽事宜，遵照《浙江省政府采购合同暂行办法》有关条文执行。</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4.本合同一式五份，具有同等法律效力，甲、乙双方各执二份，采购代理机构一份。</w:t>
      </w:r>
    </w:p>
    <w:p>
      <w:pPr>
        <w:widowControl/>
        <w:shd w:val="clear"/>
        <w:snapToGrid w:val="0"/>
        <w:spacing w:line="480" w:lineRule="exact"/>
        <w:ind w:firstLine="480" w:firstLineChars="200"/>
        <w:rPr>
          <w:rFonts w:ascii="仿宋" w:eastAsia="仿宋"/>
          <w:color w:val="auto"/>
          <w:kern w:val="0"/>
          <w:sz w:val="24"/>
          <w:highlight w:val="none"/>
        </w:rPr>
      </w:pPr>
    </w:p>
    <w:p>
      <w:pPr>
        <w:widowControl/>
        <w:shd w:val="clear"/>
        <w:snapToGrid w:val="0"/>
        <w:spacing w:line="480" w:lineRule="exact"/>
        <w:ind w:firstLine="480" w:firstLineChars="200"/>
        <w:rPr>
          <w:rFonts w:ascii="仿宋" w:eastAsia="仿宋"/>
          <w:color w:val="auto"/>
          <w:kern w:val="0"/>
          <w:sz w:val="24"/>
          <w:highlight w:val="none"/>
        </w:rPr>
      </w:pPr>
    </w:p>
    <w:p>
      <w:pPr>
        <w:widowControl/>
        <w:shd w:val="clear"/>
        <w:snapToGrid w:val="0"/>
        <w:spacing w:line="480" w:lineRule="exact"/>
        <w:ind w:firstLine="480" w:firstLineChars="200"/>
        <w:rPr>
          <w:rFonts w:ascii="仿宋" w:eastAsia="仿宋"/>
          <w:color w:val="auto"/>
          <w:kern w:val="0"/>
          <w:sz w:val="24"/>
          <w:highlight w:val="none"/>
        </w:rPr>
      </w:pP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甲方（盖章）：                                   </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法定（授权）代表人：                   </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签名日期：     年   月   日           </w:t>
      </w:r>
    </w:p>
    <w:p>
      <w:pPr>
        <w:widowControl/>
        <w:shd w:val="clear"/>
        <w:snapToGrid w:val="0"/>
        <w:spacing w:line="480" w:lineRule="exact"/>
        <w:ind w:firstLine="480" w:firstLineChars="200"/>
        <w:rPr>
          <w:rFonts w:ascii="仿宋" w:eastAsia="仿宋"/>
          <w:color w:val="auto"/>
          <w:kern w:val="0"/>
          <w:sz w:val="24"/>
          <w:highlight w:val="none"/>
        </w:rPr>
      </w:pP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乙方（盖章）：</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开户行：</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开户账号：</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法定（授权）代表人：</w:t>
      </w:r>
    </w:p>
    <w:p>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签名日期：      年   月   日</w:t>
      </w:r>
    </w:p>
    <w:p>
      <w:pPr>
        <w:widowControl/>
        <w:shd w:val="clear"/>
        <w:snapToGrid w:val="0"/>
        <w:spacing w:line="480" w:lineRule="exact"/>
        <w:ind w:firstLine="480" w:firstLineChars="200"/>
        <w:rPr>
          <w:rFonts w:ascii="仿宋" w:eastAsia="仿宋"/>
          <w:color w:val="auto"/>
          <w:kern w:val="0"/>
          <w:sz w:val="24"/>
          <w:highlight w:val="none"/>
        </w:rPr>
      </w:pPr>
    </w:p>
    <w:p>
      <w:pPr>
        <w:shd w:val="clear"/>
        <w:snapToGrid w:val="0"/>
        <w:spacing w:line="360" w:lineRule="auto"/>
        <w:jc w:val="center"/>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36"/>
          <w:highlight w:val="none"/>
        </w:rPr>
        <w:t>第六部分</w:t>
      </w:r>
      <w:bookmarkEnd w:id="428"/>
      <w:bookmarkEnd w:id="429"/>
      <w:r>
        <w:rPr>
          <w:rFonts w:hint="eastAsia" w:ascii="仿宋" w:hAnsi="仿宋" w:eastAsia="仿宋" w:cs="仿宋_GB2312"/>
          <w:b/>
          <w:color w:val="auto"/>
          <w:sz w:val="36"/>
          <w:szCs w:val="36"/>
          <w:highlight w:val="none"/>
        </w:rPr>
        <w:t>应提交的有关格式范例</w:t>
      </w:r>
    </w:p>
    <w:p>
      <w:pPr>
        <w:shd w:val="clear"/>
        <w:spacing w:line="360" w:lineRule="auto"/>
        <w:jc w:val="center"/>
        <w:outlineLvl w:val="0"/>
        <w:rPr>
          <w:rFonts w:ascii="仿宋" w:hAnsi="仿宋" w:eastAsia="仿宋" w:cs="仿宋_GB2312"/>
          <w:color w:val="auto"/>
          <w:sz w:val="36"/>
          <w:szCs w:val="36"/>
          <w:highlight w:val="none"/>
          <w:lang w:val="zh-CN"/>
        </w:rPr>
      </w:pPr>
    </w:p>
    <w:p>
      <w:pPr>
        <w:shd w:val="clea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pPr>
        <w:shd w:val="clea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hd w:val="clear"/>
        <w:spacing w:line="360" w:lineRule="auto"/>
        <w:jc w:val="center"/>
        <w:outlineLvl w:val="0"/>
        <w:rPr>
          <w:rFonts w:ascii="仿宋" w:hAnsi="仿宋" w:eastAsia="仿宋" w:cs="仿宋_GB2312"/>
          <w:b/>
          <w:color w:val="auto"/>
          <w:kern w:val="0"/>
          <w:sz w:val="36"/>
          <w:szCs w:val="36"/>
          <w:highlight w:val="none"/>
        </w:rPr>
      </w:pPr>
    </w:p>
    <w:p>
      <w:pPr>
        <w:shd w:val="clear"/>
        <w:spacing w:line="360" w:lineRule="auto"/>
        <w:ind w:firstLine="600" w:firstLineChars="250"/>
        <w:jc w:val="left"/>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rPr>
        <w:t>1）营业执照(或事业法人登记证或其他工商等登记证明材料)复印件（投标人为自然人的，须提供自然人的身份证明）……………………………………………（页码）</w:t>
      </w:r>
    </w:p>
    <w:p>
      <w:pPr>
        <w:shd w:val="clear"/>
        <w:spacing w:line="360" w:lineRule="auto"/>
        <w:ind w:firstLine="480" w:firstLineChars="200"/>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（2）投标声明函 ………………………………………………………………（页码）</w:t>
      </w:r>
    </w:p>
    <w:p>
      <w:pPr>
        <w:shd w:val="clear"/>
        <w:spacing w:line="360" w:lineRule="auto"/>
        <w:ind w:firstLine="480" w:firstLineChars="200"/>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（3）法定代表人授权委托书 …………………………………………………（页码）</w:t>
      </w:r>
    </w:p>
    <w:p>
      <w:pPr>
        <w:shd w:val="clear"/>
        <w:spacing w:line="360" w:lineRule="auto"/>
        <w:ind w:firstLine="480" w:firstLineChars="200"/>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（4）法定代表人及其授权代表的身份证（复印件） ………………………（页码）</w:t>
      </w:r>
    </w:p>
    <w:p>
      <w:pPr>
        <w:shd w:val="clear"/>
        <w:spacing w:line="360" w:lineRule="auto"/>
        <w:ind w:firstLine="480" w:firstLineChars="200"/>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（5）符合特定资格条件（如果项目要求）的有关证明材料（复印件）……（页码）</w:t>
      </w:r>
    </w:p>
    <w:p>
      <w:pPr>
        <w:shd w:val="clear"/>
        <w:snapToGrid w:val="0"/>
        <w:spacing w:line="360" w:lineRule="auto"/>
        <w:rPr>
          <w:rFonts w:ascii="仿宋" w:hAnsi="仿宋" w:eastAsia="仿宋" w:cs="仿宋_GB2312"/>
          <w:color w:val="auto"/>
          <w:sz w:val="24"/>
          <w:highlight w:val="none"/>
        </w:rPr>
      </w:pPr>
    </w:p>
    <w:p>
      <w:pPr>
        <w:shd w:val="clear"/>
        <w:snapToGrid w:val="0"/>
        <w:spacing w:line="360" w:lineRule="auto"/>
        <w:ind w:firstLine="3240" w:firstLineChars="900"/>
        <w:rPr>
          <w:rFonts w:ascii="仿宋" w:hAnsi="仿宋" w:eastAsia="仿宋" w:cs="仿宋_GB2312"/>
          <w:color w:val="auto"/>
          <w:sz w:val="36"/>
          <w:szCs w:val="36"/>
          <w:highlight w:val="none"/>
        </w:rPr>
      </w:pPr>
    </w:p>
    <w:p>
      <w:pPr>
        <w:shd w:val="clear"/>
        <w:snapToGrid w:val="0"/>
        <w:spacing w:line="360" w:lineRule="auto"/>
        <w:rPr>
          <w:rFonts w:ascii="仿宋" w:hAnsi="仿宋" w:eastAsia="仿宋" w:cs="仿宋_GB2312"/>
          <w:color w:val="auto"/>
          <w:sz w:val="36"/>
          <w:szCs w:val="36"/>
          <w:highlight w:val="none"/>
        </w:rPr>
      </w:pPr>
    </w:p>
    <w:p>
      <w:pPr>
        <w:shd w:val="clear"/>
        <w:snapToGrid w:val="0"/>
        <w:spacing w:line="360" w:lineRule="auto"/>
        <w:jc w:val="center"/>
        <w:outlineLvl w:val="0"/>
        <w:rPr>
          <w:rFonts w:ascii="仿宋" w:hAnsi="仿宋" w:eastAsia="仿宋" w:cs="仿宋_GB2312"/>
          <w:b/>
          <w:color w:val="auto"/>
          <w:sz w:val="30"/>
          <w:szCs w:val="30"/>
          <w:highlight w:val="none"/>
        </w:rPr>
      </w:pPr>
      <w:r>
        <w:rPr>
          <w:rFonts w:ascii="仿宋" w:hAnsi="仿宋" w:eastAsia="仿宋" w:cs="仿宋_GB2312"/>
          <w:b/>
          <w:color w:val="auto"/>
          <w:kern w:val="0"/>
          <w:sz w:val="32"/>
          <w:szCs w:val="32"/>
          <w:highlight w:val="none"/>
          <w:lang w:val="zh-CN"/>
        </w:rPr>
        <w:br w:type="page"/>
      </w:r>
      <w:r>
        <w:rPr>
          <w:rFonts w:hint="eastAsia" w:ascii="仿宋" w:hAnsi="仿宋" w:eastAsia="仿宋" w:cs="仿宋_GB2312"/>
          <w:b/>
          <w:color w:val="auto"/>
          <w:kern w:val="0"/>
          <w:sz w:val="32"/>
          <w:szCs w:val="32"/>
          <w:highlight w:val="none"/>
        </w:rPr>
        <w:t>一、营业执照(或事业法人登记证或其他工商等登记证明材料)复印件（投标人为自然人的，须提供自然人的身份证明）</w:t>
      </w:r>
    </w:p>
    <w:p>
      <w:pPr>
        <w:shd w:val="clear"/>
        <w:spacing w:line="360" w:lineRule="auto"/>
        <w:rPr>
          <w:rFonts w:ascii="仿宋" w:hAnsi="仿宋" w:eastAsia="仿宋" w:cs="仿宋_GB2312"/>
          <w:b/>
          <w:color w:val="auto"/>
          <w:sz w:val="30"/>
          <w:szCs w:val="30"/>
          <w:highlight w:val="none"/>
        </w:rPr>
      </w:pPr>
    </w:p>
    <w:p>
      <w:pPr>
        <w:shd w:val="clear"/>
        <w:spacing w:line="360" w:lineRule="auto"/>
        <w:rPr>
          <w:rFonts w:ascii="仿宋" w:hAnsi="仿宋" w:eastAsia="仿宋" w:cs="仿宋_GB2312"/>
          <w:b/>
          <w:color w:val="auto"/>
          <w:sz w:val="30"/>
          <w:szCs w:val="30"/>
          <w:highlight w:val="none"/>
        </w:rPr>
      </w:pPr>
    </w:p>
    <w:p>
      <w:pPr>
        <w:shd w:val="clear"/>
        <w:spacing w:line="360" w:lineRule="auto"/>
        <w:rPr>
          <w:rFonts w:ascii="仿宋" w:hAnsi="仿宋" w:eastAsia="仿宋" w:cs="仿宋_GB2312"/>
          <w:b/>
          <w:color w:val="auto"/>
          <w:sz w:val="30"/>
          <w:szCs w:val="30"/>
          <w:highlight w:val="none"/>
        </w:rPr>
      </w:pPr>
    </w:p>
    <w:p>
      <w:pPr>
        <w:shd w:val="clear"/>
        <w:spacing w:line="360" w:lineRule="auto"/>
        <w:rPr>
          <w:rFonts w:ascii="仿宋" w:hAnsi="仿宋" w:eastAsia="仿宋" w:cs="仿宋_GB2312"/>
          <w:b/>
          <w:color w:val="auto"/>
          <w:sz w:val="30"/>
          <w:szCs w:val="30"/>
          <w:highlight w:val="none"/>
        </w:rPr>
      </w:pPr>
    </w:p>
    <w:p>
      <w:pPr>
        <w:shd w:val="clear"/>
        <w:spacing w:line="360" w:lineRule="auto"/>
        <w:rPr>
          <w:rFonts w:ascii="仿宋" w:hAnsi="仿宋" w:eastAsia="仿宋" w:cs="仿宋_GB2312"/>
          <w:b/>
          <w:color w:val="auto"/>
          <w:sz w:val="30"/>
          <w:szCs w:val="30"/>
          <w:highlight w:val="none"/>
        </w:rPr>
      </w:pPr>
    </w:p>
    <w:p>
      <w:pPr>
        <w:shd w:val="clear"/>
        <w:spacing w:line="360" w:lineRule="auto"/>
        <w:rPr>
          <w:rFonts w:ascii="仿宋" w:hAnsi="仿宋" w:eastAsia="仿宋" w:cs="仿宋_GB2312"/>
          <w:b/>
          <w:color w:val="auto"/>
          <w:sz w:val="30"/>
          <w:szCs w:val="30"/>
          <w:highlight w:val="none"/>
        </w:rPr>
      </w:pPr>
    </w:p>
    <w:p>
      <w:pPr>
        <w:shd w:val="clear"/>
        <w:spacing w:line="360" w:lineRule="auto"/>
        <w:rPr>
          <w:rFonts w:ascii="仿宋" w:hAnsi="仿宋" w:eastAsia="仿宋" w:cs="仿宋_GB2312"/>
          <w:b/>
          <w:color w:val="auto"/>
          <w:sz w:val="30"/>
          <w:szCs w:val="30"/>
          <w:highlight w:val="none"/>
        </w:rPr>
      </w:pPr>
    </w:p>
    <w:p>
      <w:pPr>
        <w:shd w:val="clear"/>
        <w:spacing w:line="360" w:lineRule="auto"/>
        <w:rPr>
          <w:rFonts w:ascii="仿宋" w:hAnsi="仿宋" w:eastAsia="仿宋" w:cs="仿宋_GB2312"/>
          <w:b/>
          <w:color w:val="auto"/>
          <w:sz w:val="30"/>
          <w:szCs w:val="30"/>
          <w:highlight w:val="none"/>
        </w:rPr>
      </w:pPr>
    </w:p>
    <w:p>
      <w:pPr>
        <w:shd w:val="clear"/>
        <w:spacing w:line="360" w:lineRule="auto"/>
        <w:rPr>
          <w:rFonts w:ascii="仿宋" w:hAnsi="仿宋" w:eastAsia="仿宋" w:cs="仿宋_GB2312"/>
          <w:b/>
          <w:color w:val="auto"/>
          <w:sz w:val="30"/>
          <w:szCs w:val="30"/>
          <w:highlight w:val="none"/>
        </w:rPr>
      </w:pPr>
    </w:p>
    <w:p>
      <w:pPr>
        <w:shd w:val="clear"/>
        <w:spacing w:line="360" w:lineRule="auto"/>
        <w:rPr>
          <w:rFonts w:ascii="仿宋" w:hAnsi="仿宋" w:eastAsia="仿宋" w:cs="仿宋_GB2312"/>
          <w:b/>
          <w:color w:val="auto"/>
          <w:sz w:val="30"/>
          <w:szCs w:val="30"/>
          <w:highlight w:val="none"/>
        </w:rPr>
      </w:pPr>
    </w:p>
    <w:p>
      <w:pPr>
        <w:shd w:val="clear"/>
        <w:spacing w:line="360" w:lineRule="auto"/>
        <w:rPr>
          <w:rFonts w:ascii="仿宋" w:hAnsi="仿宋" w:eastAsia="仿宋" w:cs="仿宋_GB2312"/>
          <w:b/>
          <w:color w:val="auto"/>
          <w:sz w:val="30"/>
          <w:szCs w:val="30"/>
          <w:highlight w:val="none"/>
        </w:rPr>
      </w:pPr>
    </w:p>
    <w:p>
      <w:pPr>
        <w:shd w:val="clear"/>
        <w:spacing w:line="360" w:lineRule="auto"/>
        <w:rPr>
          <w:rFonts w:ascii="仿宋" w:hAnsi="仿宋" w:eastAsia="仿宋" w:cs="仿宋_GB2312"/>
          <w:b/>
          <w:color w:val="auto"/>
          <w:sz w:val="30"/>
          <w:szCs w:val="30"/>
          <w:highlight w:val="none"/>
        </w:rPr>
      </w:pPr>
    </w:p>
    <w:p>
      <w:pPr>
        <w:shd w:val="clear"/>
        <w:spacing w:line="360" w:lineRule="auto"/>
        <w:rPr>
          <w:rFonts w:ascii="仿宋" w:hAnsi="仿宋" w:eastAsia="仿宋" w:cs="仿宋_GB2312"/>
          <w:b/>
          <w:color w:val="auto"/>
          <w:sz w:val="30"/>
          <w:szCs w:val="30"/>
          <w:highlight w:val="none"/>
        </w:rPr>
      </w:pPr>
    </w:p>
    <w:p>
      <w:pPr>
        <w:shd w:val="clear"/>
        <w:spacing w:line="360" w:lineRule="auto"/>
        <w:rPr>
          <w:rFonts w:ascii="仿宋" w:hAnsi="仿宋" w:eastAsia="仿宋" w:cs="仿宋_GB2312"/>
          <w:b/>
          <w:color w:val="auto"/>
          <w:sz w:val="30"/>
          <w:szCs w:val="30"/>
          <w:highlight w:val="none"/>
        </w:rPr>
      </w:pPr>
    </w:p>
    <w:p>
      <w:pPr>
        <w:shd w:val="clear"/>
        <w:spacing w:line="360" w:lineRule="auto"/>
        <w:rPr>
          <w:rFonts w:ascii="仿宋" w:hAnsi="仿宋" w:eastAsia="仿宋" w:cs="仿宋_GB2312"/>
          <w:b/>
          <w:color w:val="auto"/>
          <w:sz w:val="30"/>
          <w:szCs w:val="30"/>
          <w:highlight w:val="none"/>
        </w:rPr>
      </w:pPr>
    </w:p>
    <w:p>
      <w:pPr>
        <w:shd w:val="clear"/>
        <w:spacing w:line="360" w:lineRule="auto"/>
        <w:rPr>
          <w:rFonts w:ascii="仿宋" w:hAnsi="仿宋" w:eastAsia="仿宋" w:cs="仿宋_GB2312"/>
          <w:b/>
          <w:color w:val="auto"/>
          <w:sz w:val="30"/>
          <w:szCs w:val="30"/>
          <w:highlight w:val="none"/>
        </w:rPr>
      </w:pPr>
    </w:p>
    <w:p>
      <w:pPr>
        <w:shd w:val="clear"/>
        <w:spacing w:line="360" w:lineRule="auto"/>
        <w:rPr>
          <w:rFonts w:ascii="仿宋" w:hAnsi="仿宋" w:eastAsia="仿宋" w:cs="仿宋_GB2312"/>
          <w:b/>
          <w:color w:val="auto"/>
          <w:sz w:val="30"/>
          <w:szCs w:val="30"/>
          <w:highlight w:val="none"/>
        </w:rPr>
      </w:pPr>
    </w:p>
    <w:p>
      <w:pPr>
        <w:shd w:val="clear"/>
        <w:spacing w:line="360" w:lineRule="auto"/>
        <w:rPr>
          <w:rFonts w:ascii="仿宋" w:hAnsi="仿宋" w:eastAsia="仿宋" w:cs="仿宋_GB2312"/>
          <w:b/>
          <w:color w:val="auto"/>
          <w:sz w:val="30"/>
          <w:szCs w:val="30"/>
          <w:highlight w:val="none"/>
        </w:rPr>
      </w:pPr>
    </w:p>
    <w:p>
      <w:pPr>
        <w:shd w:val="clear"/>
        <w:snapToGrid w:val="0"/>
        <w:spacing w:line="360" w:lineRule="auto"/>
        <w:jc w:val="center"/>
        <w:outlineLvl w:val="0"/>
        <w:rPr>
          <w:rFonts w:ascii="仿宋" w:hAnsi="仿宋" w:eastAsia="仿宋" w:cs="仿宋_GB2312"/>
          <w:b/>
          <w:color w:val="auto"/>
          <w:sz w:val="32"/>
          <w:szCs w:val="32"/>
          <w:highlight w:val="none"/>
        </w:rPr>
      </w:pPr>
      <w:r>
        <w:rPr>
          <w:rFonts w:hint="eastAsia" w:ascii="仿宋" w:hAnsi="仿宋" w:eastAsia="仿宋" w:cs="仿宋_GB2312"/>
          <w:b/>
          <w:color w:val="auto"/>
          <w:sz w:val="30"/>
          <w:szCs w:val="30"/>
          <w:highlight w:val="none"/>
        </w:rPr>
        <w:br w:type="page"/>
      </w:r>
      <w:r>
        <w:rPr>
          <w:rFonts w:hint="eastAsia" w:ascii="仿宋" w:hAnsi="仿宋" w:eastAsia="仿宋" w:cs="仿宋_GB2312"/>
          <w:b/>
          <w:color w:val="auto"/>
          <w:kern w:val="0"/>
          <w:sz w:val="32"/>
          <w:szCs w:val="32"/>
          <w:highlight w:val="none"/>
        </w:rPr>
        <w:t>二、投标声明</w:t>
      </w:r>
      <w:r>
        <w:rPr>
          <w:rFonts w:hint="eastAsia" w:ascii="仿宋" w:hAnsi="仿宋" w:eastAsia="仿宋" w:cs="仿宋_GB2312"/>
          <w:b/>
          <w:color w:val="auto"/>
          <w:sz w:val="32"/>
          <w:szCs w:val="32"/>
          <w:highlight w:val="none"/>
        </w:rPr>
        <w:t>函</w:t>
      </w:r>
    </w:p>
    <w:p>
      <w:pPr>
        <w:shd w:val="clear"/>
        <w:snapToGrid w:val="0"/>
        <w:spacing w:line="360" w:lineRule="auto"/>
        <w:rPr>
          <w:rFonts w:ascii="仿宋" w:hAnsi="仿宋" w:eastAsia="仿宋" w:cs="仿宋_GB2312"/>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（采购单位或采购代理机构名称</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w:t>
      </w:r>
    </w:p>
    <w:p>
      <w:pPr>
        <w:shd w:val="clea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w:t>
      </w:r>
      <w:r>
        <w:rPr>
          <w:rFonts w:hint="eastAsia" w:ascii="仿宋" w:eastAsia="仿宋"/>
          <w:color w:val="auto"/>
          <w:sz w:val="24"/>
          <w:highlight w:val="none"/>
          <w:u w:val="single"/>
        </w:rPr>
        <w:t>（投标人或联合体牵头人全称）</w:t>
      </w:r>
      <w:r>
        <w:rPr>
          <w:rFonts w:hint="eastAsia" w:ascii="仿宋" w:hAnsi="仿宋" w:eastAsia="仿宋" w:cs="仿宋_GB2312"/>
          <w:color w:val="auto"/>
          <w:sz w:val="24"/>
          <w:highlight w:val="none"/>
        </w:rPr>
        <w:t>愿意参加贵方组织的</w:t>
      </w:r>
      <w:r>
        <w:rPr>
          <w:rFonts w:hint="eastAsia" w:ascii="仿宋" w:hAnsi="仿宋" w:eastAsia="仿宋"/>
          <w:color w:val="auto"/>
          <w:sz w:val="24"/>
          <w:highlight w:val="none"/>
          <w:u w:val="single"/>
        </w:rPr>
        <w:t>（招标项目名称及编号</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的投标，为此，我方就本次投标有关事项郑重申明如下：</w:t>
      </w:r>
    </w:p>
    <w:p>
      <w:pPr>
        <w:shd w:val="clea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1、我方已详细审查全部招标文件，同意招标文件的各项要求。</w:t>
      </w:r>
    </w:p>
    <w:p>
      <w:pPr>
        <w:shd w:val="clea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2、我方承诺已经具备《中华人民共和国政府采购法》中规定的参加政府采购活动的供应商应当具备的条件。</w:t>
      </w:r>
    </w:p>
    <w:p>
      <w:pPr>
        <w:shd w:val="clea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3、我方参加本次政府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shd w:val="clea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4、我方向贵方提交的所有投标文件、资料都是准确、真实的。若贵方需要，我方愿意向贵方提供任何与该项投标有关且合法的数据、情况和技术资料。</w:t>
      </w:r>
    </w:p>
    <w:p>
      <w:pPr>
        <w:shd w:val="clea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5、我方保证所供货物质量符合国家强制性规范和标准，达到采购文件规定的要求。</w:t>
      </w:r>
    </w:p>
    <w:p>
      <w:pPr>
        <w:shd w:val="clea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6、投标文件自开标日起有效期为90天。</w:t>
      </w:r>
    </w:p>
    <w:p>
      <w:pPr>
        <w:shd w:val="clea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7、我方具有履行本项目合同所必需的设备和专业技术能力。如中标，我方将保证合同顺利履行。</w:t>
      </w:r>
    </w:p>
    <w:p>
      <w:pPr>
        <w:shd w:val="clea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8、我方中标后拟在中标后将工作分包，分包承担主体是，我方承诺分包承担主体具备相应资质条件，且不再次分包。（不再将工作进行分包或本项目不允许分包的，下划线处填写“/”。）</w:t>
      </w:r>
    </w:p>
    <w:p>
      <w:pPr>
        <w:shd w:val="clear"/>
        <w:snapToGrid w:val="0"/>
        <w:spacing w:line="360" w:lineRule="auto"/>
        <w:ind w:firstLine="480" w:firstLineChars="200"/>
        <w:rPr>
          <w:rFonts w:ascii="仿宋" w:hAnsi="仿宋" w:eastAsia="仿宋" w:cs="仿宋_GB2312"/>
          <w:color w:val="auto"/>
          <w:sz w:val="24"/>
          <w:highlight w:val="none"/>
        </w:rPr>
      </w:pPr>
      <w:r>
        <w:rPr>
          <w:rFonts w:hint="eastAsia" w:ascii="仿宋" w:eastAsia="仿宋" w:cs="仿宋_GB2312"/>
          <w:color w:val="auto"/>
          <w:sz w:val="24"/>
          <w:highlight w:val="none"/>
        </w:rPr>
        <w:t>9、我方承诺若违反《中华人民共和国政府采购法》第七十七条规定，愿接受依法处理。</w:t>
      </w:r>
    </w:p>
    <w:p>
      <w:pPr>
        <w:shd w:val="clear"/>
        <w:snapToGrid w:val="0"/>
        <w:spacing w:line="360" w:lineRule="auto"/>
        <w:ind w:left="420" w:left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联系人：联系电话：传真号码：</w:t>
      </w:r>
    </w:p>
    <w:p>
      <w:pPr>
        <w:shd w:val="clear"/>
        <w:snapToGrid w:val="0"/>
        <w:spacing w:line="360" w:lineRule="auto"/>
        <w:ind w:left="420" w:left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联系地址：邮政编码：</w:t>
      </w:r>
    </w:p>
    <w:p>
      <w:pPr>
        <w:shd w:val="clear"/>
        <w:snapToGrid w:val="0"/>
        <w:spacing w:line="360" w:lineRule="auto"/>
        <w:ind w:firstLine="5040" w:firstLineChars="21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投标人名称(电子签名)：</w:t>
      </w:r>
    </w:p>
    <w:p>
      <w:pPr>
        <w:shd w:val="clear"/>
        <w:snapToGrid w:val="0"/>
        <w:spacing w:line="360" w:lineRule="auto"/>
        <w:ind w:firstLine="5160" w:firstLineChars="21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月日</w:t>
      </w:r>
    </w:p>
    <w:p>
      <w:pPr>
        <w:shd w:val="clear"/>
        <w:snapToGrid w:val="0"/>
        <w:spacing w:line="360" w:lineRule="auto"/>
        <w:jc w:val="center"/>
        <w:outlineLvl w:val="0"/>
        <w:rPr>
          <w:rFonts w:ascii="仿宋" w:hAnsi="仿宋" w:eastAsia="仿宋" w:cs="仿宋_GB2312"/>
          <w:b/>
          <w:color w:val="auto"/>
          <w:kern w:val="0"/>
          <w:sz w:val="24"/>
          <w:highlight w:val="none"/>
          <w:lang w:val="zh-CN"/>
        </w:rPr>
      </w:pPr>
    </w:p>
    <w:p>
      <w:pPr>
        <w:shd w:val="clear"/>
        <w:spacing w:line="360" w:lineRule="auto"/>
        <w:jc w:val="center"/>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br w:type="page"/>
      </w:r>
    </w:p>
    <w:p>
      <w:pPr>
        <w:shd w:val="clear"/>
        <w:spacing w:line="360" w:lineRule="auto"/>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三、法定代表人授权委托书</w:t>
      </w:r>
    </w:p>
    <w:p>
      <w:pPr>
        <w:shd w:val="clear"/>
        <w:snapToGrid w:val="0"/>
        <w:spacing w:line="360" w:lineRule="auto"/>
        <w:rPr>
          <w:rFonts w:ascii="仿宋" w:hAnsi="仿宋" w:eastAsia="仿宋" w:cs="仿宋_GB2312"/>
          <w:color w:val="auto"/>
          <w:sz w:val="24"/>
          <w:highlight w:val="none"/>
        </w:rPr>
      </w:pPr>
      <w:r>
        <w:rPr>
          <w:rFonts w:hint="eastAsia" w:ascii="仿宋" w:hAnsi="仿宋" w:eastAsia="仿宋"/>
          <w:color w:val="auto"/>
          <w:sz w:val="24"/>
          <w:highlight w:val="none"/>
          <w:u w:val="single"/>
        </w:rPr>
        <w:t>（采购单位或采购代理机构名称</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w:t>
      </w:r>
    </w:p>
    <w:p>
      <w:pPr>
        <w:shd w:val="clear"/>
        <w:snapToGrid w:val="0"/>
        <w:spacing w:line="360" w:lineRule="auto"/>
        <w:ind w:firstLine="576"/>
        <w:rPr>
          <w:rFonts w:ascii="仿宋" w:hAnsi="仿宋" w:eastAsia="仿宋"/>
          <w:color w:val="auto"/>
          <w:sz w:val="24"/>
          <w:highlight w:val="none"/>
          <w:u w:val="single"/>
        </w:rPr>
      </w:pPr>
      <w:r>
        <w:rPr>
          <w:rFonts w:hint="eastAsia" w:ascii="仿宋" w:eastAsia="仿宋"/>
          <w:color w:val="auto"/>
          <w:sz w:val="24"/>
          <w:highlight w:val="none"/>
        </w:rPr>
        <w:t>我</w:t>
      </w:r>
      <w:r>
        <w:rPr>
          <w:rFonts w:hint="eastAsia" w:ascii="仿宋" w:eastAsia="仿宋"/>
          <w:color w:val="auto"/>
          <w:sz w:val="24"/>
          <w:highlight w:val="none"/>
          <w:u w:val="single"/>
        </w:rPr>
        <w:t xml:space="preserve">（姓名及身份证号码） </w:t>
      </w:r>
      <w:r>
        <w:rPr>
          <w:rFonts w:hint="eastAsia" w:ascii="仿宋" w:eastAsia="仿宋"/>
          <w:color w:val="auto"/>
          <w:sz w:val="24"/>
          <w:highlight w:val="none"/>
        </w:rPr>
        <w:t>系</w:t>
      </w:r>
      <w:r>
        <w:rPr>
          <w:rFonts w:hint="eastAsia" w:ascii="仿宋" w:eastAsia="仿宋"/>
          <w:color w:val="auto"/>
          <w:sz w:val="24"/>
          <w:highlight w:val="none"/>
          <w:u w:val="single"/>
        </w:rPr>
        <w:t xml:space="preserve">  （投标人或联合体牵头人全称） </w:t>
      </w:r>
      <w:r>
        <w:rPr>
          <w:rFonts w:hint="eastAsia" w:ascii="仿宋" w:eastAsia="仿宋"/>
          <w:color w:val="auto"/>
          <w:sz w:val="24"/>
          <w:highlight w:val="none"/>
        </w:rPr>
        <w:t>的法定代表人，，现授权委托本单位在职职工</w:t>
      </w:r>
      <w:r>
        <w:rPr>
          <w:rFonts w:hint="eastAsia" w:ascii="仿宋" w:eastAsia="仿宋"/>
          <w:color w:val="auto"/>
          <w:sz w:val="24"/>
          <w:highlight w:val="none"/>
          <w:u w:val="single"/>
        </w:rPr>
        <w:t>（姓名）</w:t>
      </w:r>
      <w:r>
        <w:rPr>
          <w:rFonts w:hint="eastAsia" w:ascii="仿宋" w:hAnsi="仿宋" w:eastAsia="仿宋" w:cs="仿宋_GB2312"/>
          <w:color w:val="auto"/>
          <w:kern w:val="0"/>
          <w:sz w:val="24"/>
          <w:highlight w:val="none"/>
          <w:lang w:val="zh-CN"/>
        </w:rPr>
        <w:t>(其身份证号码：联系电话：手机：传真：)，以我方的名义参加</w:t>
      </w:r>
      <w:r>
        <w:rPr>
          <w:rFonts w:hint="eastAsia" w:ascii="仿宋" w:hAnsi="仿宋" w:eastAsia="仿宋"/>
          <w:color w:val="auto"/>
          <w:sz w:val="24"/>
          <w:highlight w:val="none"/>
          <w:u w:val="single"/>
        </w:rPr>
        <w:t>（招标项目名称及编号</w:t>
      </w:r>
      <w:r>
        <w:rPr>
          <w:rFonts w:ascii="仿宋" w:hAnsi="仿宋" w:eastAsia="仿宋"/>
          <w:color w:val="auto"/>
          <w:sz w:val="24"/>
          <w:highlight w:val="none"/>
          <w:u w:val="single"/>
        </w:rPr>
        <w:t>）</w:t>
      </w:r>
      <w:r>
        <w:rPr>
          <w:rFonts w:hint="eastAsia" w:ascii="仿宋" w:hAnsi="仿宋" w:eastAsia="仿宋" w:cs="仿宋_GB2312"/>
          <w:color w:val="auto"/>
          <w:kern w:val="0"/>
          <w:sz w:val="24"/>
          <w:highlight w:val="none"/>
          <w:lang w:val="zh-CN"/>
        </w:rPr>
        <w:t>的投标活动，并代表我方全权办理针对上述项目投标、开标、评标、签约等具体事务和签署相关文件。我方对授权代表的签名事项负全部责任。</w:t>
      </w:r>
    </w:p>
    <w:p>
      <w:pPr>
        <w:shd w:val="clea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在撤销授权的书面通知以前，本授权书一直有效。全权代表在授权书有效期内签署的所有文件不因授权的撤销而失效。</w:t>
      </w:r>
    </w:p>
    <w:p>
      <w:pPr>
        <w:shd w:val="clea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授权代表无转委托权。特此委托</w:t>
      </w:r>
    </w:p>
    <w:p>
      <w:pPr>
        <w:shd w:val="clear"/>
        <w:snapToGrid w:val="0"/>
        <w:spacing w:line="360" w:lineRule="auto"/>
        <w:ind w:firstLine="5040" w:firstLineChars="21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投标人名称(电子签名)：</w:t>
      </w:r>
    </w:p>
    <w:p>
      <w:pPr>
        <w:shd w:val="clear"/>
        <w:snapToGrid w:val="0"/>
        <w:spacing w:line="360" w:lineRule="auto"/>
        <w:ind w:firstLine="5160" w:firstLineChars="21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月日</w:t>
      </w:r>
    </w:p>
    <w:p>
      <w:pPr>
        <w:shd w:val="clear"/>
        <w:snapToGrid w:val="0"/>
        <w:spacing w:line="360" w:lineRule="auto"/>
        <w:ind w:firstLine="5160" w:firstLineChars="2150"/>
        <w:rPr>
          <w:rFonts w:ascii="仿宋" w:hAnsi="仿宋" w:eastAsia="仿宋" w:cs="仿宋_GB2312"/>
          <w:color w:val="auto"/>
          <w:kern w:val="0"/>
          <w:sz w:val="24"/>
          <w:highlight w:val="none"/>
          <w:lang w:val="zh-CN"/>
        </w:rPr>
      </w:pPr>
    </w:p>
    <w:p>
      <w:pPr>
        <w:shd w:val="clear"/>
        <w:spacing w:line="360" w:lineRule="auto"/>
        <w:jc w:val="center"/>
        <w:rPr>
          <w:rFonts w:ascii="仿宋" w:hAnsi="仿宋" w:eastAsia="仿宋" w:cs="仿宋_GB2312"/>
          <w:b/>
          <w:color w:val="auto"/>
          <w:sz w:val="32"/>
          <w:szCs w:val="32"/>
          <w:highlight w:val="none"/>
        </w:rPr>
      </w:pPr>
    </w:p>
    <w:p>
      <w:pPr>
        <w:shd w:val="clear"/>
        <w:spacing w:line="360" w:lineRule="auto"/>
        <w:jc w:val="center"/>
        <w:rPr>
          <w:rFonts w:ascii="仿宋" w:hAnsi="仿宋" w:eastAsia="仿宋" w:cs="仿宋_GB2312"/>
          <w:b/>
          <w:color w:val="auto"/>
          <w:sz w:val="32"/>
          <w:szCs w:val="32"/>
          <w:highlight w:val="none"/>
        </w:rPr>
      </w:pPr>
    </w:p>
    <w:p>
      <w:pPr>
        <w:shd w:val="clear"/>
        <w:spacing w:line="360" w:lineRule="auto"/>
        <w:jc w:val="center"/>
        <w:rPr>
          <w:rFonts w:ascii="仿宋" w:hAnsi="仿宋" w:eastAsia="仿宋" w:cs="仿宋_GB2312"/>
          <w:b/>
          <w:color w:val="auto"/>
          <w:sz w:val="32"/>
          <w:szCs w:val="32"/>
          <w:highlight w:val="none"/>
        </w:rPr>
      </w:pPr>
    </w:p>
    <w:p>
      <w:pPr>
        <w:shd w:val="clear"/>
        <w:spacing w:line="360" w:lineRule="auto"/>
        <w:jc w:val="center"/>
        <w:rPr>
          <w:rFonts w:ascii="仿宋" w:hAnsi="仿宋" w:eastAsia="仿宋" w:cs="仿宋_GB2312"/>
          <w:b/>
          <w:color w:val="auto"/>
          <w:sz w:val="32"/>
          <w:szCs w:val="32"/>
          <w:highlight w:val="none"/>
        </w:rPr>
      </w:pPr>
    </w:p>
    <w:p>
      <w:pPr>
        <w:shd w:val="clear"/>
        <w:spacing w:line="360" w:lineRule="auto"/>
        <w:jc w:val="center"/>
        <w:rPr>
          <w:rFonts w:ascii="仿宋" w:hAnsi="仿宋" w:eastAsia="仿宋" w:cs="仿宋_GB2312"/>
          <w:b/>
          <w:color w:val="auto"/>
          <w:sz w:val="32"/>
          <w:szCs w:val="32"/>
          <w:highlight w:val="none"/>
        </w:rPr>
      </w:pPr>
    </w:p>
    <w:p>
      <w:pPr>
        <w:shd w:val="clear"/>
        <w:spacing w:line="360" w:lineRule="auto"/>
        <w:jc w:val="center"/>
        <w:rPr>
          <w:rFonts w:ascii="仿宋" w:hAnsi="仿宋" w:eastAsia="仿宋" w:cs="仿宋_GB2312"/>
          <w:b/>
          <w:color w:val="auto"/>
          <w:sz w:val="32"/>
          <w:szCs w:val="32"/>
          <w:highlight w:val="none"/>
        </w:rPr>
      </w:pPr>
    </w:p>
    <w:p>
      <w:pPr>
        <w:shd w:val="clear"/>
        <w:spacing w:line="360" w:lineRule="auto"/>
        <w:jc w:val="center"/>
        <w:rPr>
          <w:rFonts w:ascii="仿宋" w:hAnsi="仿宋" w:eastAsia="仿宋" w:cs="仿宋_GB2312"/>
          <w:b/>
          <w:color w:val="auto"/>
          <w:sz w:val="32"/>
          <w:szCs w:val="32"/>
          <w:highlight w:val="none"/>
        </w:rPr>
      </w:pPr>
    </w:p>
    <w:p>
      <w:pPr>
        <w:shd w:val="clear"/>
        <w:spacing w:line="360" w:lineRule="auto"/>
        <w:jc w:val="center"/>
        <w:rPr>
          <w:rFonts w:ascii="仿宋" w:hAnsi="仿宋" w:eastAsia="仿宋" w:cs="仿宋_GB2312"/>
          <w:b/>
          <w:color w:val="auto"/>
          <w:sz w:val="32"/>
          <w:szCs w:val="32"/>
          <w:highlight w:val="none"/>
        </w:rPr>
      </w:pPr>
    </w:p>
    <w:p>
      <w:pPr>
        <w:shd w:val="clear"/>
        <w:spacing w:line="360" w:lineRule="auto"/>
        <w:jc w:val="center"/>
        <w:rPr>
          <w:rFonts w:ascii="仿宋" w:hAnsi="仿宋" w:eastAsia="仿宋" w:cs="仿宋_GB2312"/>
          <w:b/>
          <w:color w:val="auto"/>
          <w:sz w:val="32"/>
          <w:szCs w:val="32"/>
          <w:highlight w:val="none"/>
        </w:rPr>
      </w:pPr>
    </w:p>
    <w:p>
      <w:pPr>
        <w:shd w:val="clear"/>
        <w:spacing w:line="360" w:lineRule="auto"/>
        <w:jc w:val="center"/>
        <w:rPr>
          <w:rFonts w:ascii="仿宋" w:hAnsi="仿宋" w:eastAsia="仿宋" w:cs="仿宋_GB2312"/>
          <w:b/>
          <w:color w:val="auto"/>
          <w:sz w:val="32"/>
          <w:szCs w:val="32"/>
          <w:highlight w:val="none"/>
        </w:rPr>
      </w:pPr>
    </w:p>
    <w:p>
      <w:pPr>
        <w:shd w:val="clear"/>
        <w:spacing w:line="360" w:lineRule="auto"/>
        <w:jc w:val="center"/>
        <w:rPr>
          <w:rFonts w:ascii="仿宋" w:hAnsi="仿宋" w:eastAsia="仿宋" w:cs="仿宋_GB2312"/>
          <w:b/>
          <w:color w:val="auto"/>
          <w:kern w:val="0"/>
          <w:sz w:val="32"/>
          <w:szCs w:val="32"/>
          <w:highlight w:val="none"/>
        </w:rPr>
      </w:pPr>
    </w:p>
    <w:p>
      <w:pPr>
        <w:shd w:val="clear"/>
        <w:spacing w:line="360" w:lineRule="auto"/>
        <w:jc w:val="center"/>
        <w:rPr>
          <w:rFonts w:ascii="仿宋" w:hAnsi="仿宋" w:eastAsia="仿宋" w:cs="仿宋_GB2312"/>
          <w:b/>
          <w:color w:val="auto"/>
          <w:kern w:val="0"/>
          <w:sz w:val="32"/>
          <w:szCs w:val="32"/>
          <w:highlight w:val="none"/>
        </w:rPr>
      </w:pPr>
    </w:p>
    <w:p>
      <w:pPr>
        <w:shd w:val="clear"/>
        <w:spacing w:line="360" w:lineRule="auto"/>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四、法定代表人及其授权代表的身份证（复印件）</w:t>
      </w:r>
    </w:p>
    <w:p>
      <w:pPr>
        <w:shd w:val="clear"/>
        <w:snapToGrid w:val="0"/>
        <w:spacing w:line="360" w:lineRule="auto"/>
        <w:ind w:firstLine="576"/>
        <w:jc w:val="right"/>
        <w:rPr>
          <w:rFonts w:ascii="仿宋" w:hAnsi="仿宋" w:eastAsia="仿宋" w:cs="仿宋_GB2312"/>
          <w:color w:val="auto"/>
          <w:kern w:val="0"/>
          <w:sz w:val="24"/>
          <w:highlight w:val="none"/>
        </w:rPr>
      </w:pPr>
    </w:p>
    <w:p>
      <w:pPr>
        <w:shd w:val="clear"/>
        <w:snapToGrid w:val="0"/>
        <w:spacing w:line="360" w:lineRule="auto"/>
        <w:ind w:firstLine="576"/>
        <w:jc w:val="center"/>
        <w:rPr>
          <w:rFonts w:ascii="仿宋" w:hAnsi="仿宋" w:eastAsia="仿宋" w:cs="仿宋_GB2312"/>
          <w:color w:val="auto"/>
          <w:kern w:val="0"/>
          <w:sz w:val="24"/>
          <w:highlight w:val="none"/>
          <w:lang w:val="zh-CN"/>
        </w:rPr>
      </w:pPr>
    </w:p>
    <w:p>
      <w:pPr>
        <w:shd w:val="clear"/>
        <w:spacing w:line="360" w:lineRule="auto"/>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五、符合特定资格条件（如果项目要求）</w:t>
      </w:r>
    </w:p>
    <w:p>
      <w:pPr>
        <w:shd w:val="clear"/>
        <w:spacing w:line="360" w:lineRule="auto"/>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的有关证明材料（复印件）</w:t>
      </w:r>
    </w:p>
    <w:p>
      <w:pPr>
        <w:widowControl/>
        <w:shd w:val="clear"/>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（由投标人根据招标公告合格的投标人应具备的特定资格要求编制；如果本项目没有设置特定资格条件，则不需要提供）</w:t>
      </w:r>
    </w:p>
    <w:p>
      <w:pPr>
        <w:shd w:val="clear"/>
        <w:spacing w:line="360" w:lineRule="auto"/>
        <w:ind w:firstLine="960" w:firstLineChars="400"/>
        <w:jc w:val="center"/>
        <w:outlineLvl w:val="0"/>
        <w:rPr>
          <w:rFonts w:ascii="仿宋" w:hAnsi="仿宋" w:eastAsia="仿宋" w:cs="仿宋_GB2312"/>
          <w:color w:val="auto"/>
          <w:sz w:val="24"/>
          <w:highlight w:val="none"/>
        </w:rPr>
        <w:sectPr>
          <w:headerReference r:id="rId9" w:type="first"/>
          <w:footerReference r:id="rId12" w:type="first"/>
          <w:footerReference r:id="rId10" w:type="default"/>
          <w:headerReference r:id="rId8" w:type="even"/>
          <w:footerReference r:id="rId11" w:type="even"/>
          <w:pgSz w:w="11906" w:h="16838"/>
          <w:pgMar w:top="1247" w:right="1418" w:bottom="1276" w:left="1418" w:header="851" w:footer="992" w:gutter="0"/>
          <w:cols w:space="720" w:num="1"/>
          <w:titlePg/>
          <w:docGrid w:linePitch="312" w:charSpace="0"/>
        </w:sectPr>
      </w:pPr>
    </w:p>
    <w:p>
      <w:pPr>
        <w:shd w:val="clea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商务技术文件部分</w:t>
      </w:r>
    </w:p>
    <w:p>
      <w:pPr>
        <w:shd w:val="clear"/>
        <w:spacing w:line="360" w:lineRule="auto"/>
        <w:jc w:val="center"/>
        <w:outlineLvl w:val="0"/>
        <w:rPr>
          <w:rFonts w:ascii="仿宋" w:hAnsi="仿宋" w:eastAsia="仿宋" w:cs="仿宋_GB2312"/>
          <w:b/>
          <w:color w:val="auto"/>
          <w:kern w:val="0"/>
          <w:sz w:val="24"/>
          <w:highlight w:val="none"/>
        </w:rPr>
      </w:pPr>
    </w:p>
    <w:p>
      <w:pPr>
        <w:shd w:val="clear"/>
        <w:spacing w:line="360" w:lineRule="auto"/>
        <w:jc w:val="center"/>
        <w:outlineLvl w:val="0"/>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pPr>
        <w:pStyle w:val="511"/>
        <w:shd w:val="clear"/>
        <w:spacing w:line="360" w:lineRule="auto"/>
        <w:rPr>
          <w:rFonts w:ascii="仿宋" w:eastAsia="仿宋" w:cs="仿宋_GB2312"/>
          <w:color w:val="auto"/>
          <w:highlight w:val="none"/>
        </w:rPr>
      </w:pPr>
      <w:r>
        <w:rPr>
          <w:rFonts w:hint="eastAsia" w:ascii="仿宋" w:eastAsia="仿宋" w:cs="仿宋_GB2312"/>
          <w:color w:val="auto"/>
          <w:highlight w:val="none"/>
        </w:rPr>
        <w:t>（1）</w:t>
      </w:r>
      <w:r>
        <w:rPr>
          <w:rFonts w:hint="eastAsia" w:ascii="仿宋" w:eastAsia="仿宋" w:cs="仿宋_GB2312"/>
          <w:color w:val="auto"/>
          <w:highlight w:val="none"/>
          <w:lang w:val="zh-CN"/>
        </w:rPr>
        <w:t>评分对应表 ……………………………………………………</w:t>
      </w:r>
      <w:r>
        <w:rPr>
          <w:rFonts w:hint="eastAsia" w:ascii="仿宋" w:eastAsia="仿宋" w:cs="仿宋_GB2312"/>
          <w:color w:val="auto"/>
          <w:highlight w:val="none"/>
        </w:rPr>
        <w:t>（页码）</w:t>
      </w:r>
    </w:p>
    <w:p>
      <w:pPr>
        <w:pStyle w:val="511"/>
        <w:shd w:val="clear"/>
        <w:spacing w:line="360" w:lineRule="auto"/>
        <w:rPr>
          <w:rFonts w:ascii="仿宋" w:eastAsia="仿宋" w:cs="仿宋_GB2312"/>
          <w:color w:val="auto"/>
          <w:highlight w:val="none"/>
        </w:rPr>
      </w:pPr>
      <w:bookmarkStart w:id="430" w:name="OLE_LINK6"/>
      <w:bookmarkStart w:id="431" w:name="OLE_LINK7"/>
      <w:bookmarkStart w:id="432" w:name="OLE_LINK5"/>
      <w:r>
        <w:rPr>
          <w:rFonts w:hint="eastAsia" w:ascii="仿宋" w:eastAsia="仿宋" w:cs="仿宋_GB2312"/>
          <w:color w:val="auto"/>
          <w:highlight w:val="none"/>
        </w:rPr>
        <w:t>（2）技术响应表</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430"/>
      <w:bookmarkEnd w:id="431"/>
    </w:p>
    <w:bookmarkEnd w:id="432"/>
    <w:p>
      <w:pPr>
        <w:pStyle w:val="511"/>
        <w:shd w:val="clear"/>
        <w:spacing w:line="360" w:lineRule="auto"/>
        <w:rPr>
          <w:rFonts w:ascii="仿宋" w:eastAsia="仿宋" w:cs="仿宋_GB2312"/>
          <w:color w:val="auto"/>
          <w:highlight w:val="none"/>
        </w:rPr>
      </w:pPr>
      <w:r>
        <w:rPr>
          <w:rFonts w:hint="eastAsia" w:ascii="仿宋" w:eastAsia="仿宋" w:cs="仿宋_GB2312"/>
          <w:color w:val="auto"/>
          <w:highlight w:val="none"/>
        </w:rPr>
        <w:t>（3）商务响应表</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shd w:val="clear"/>
        <w:spacing w:line="360" w:lineRule="auto"/>
        <w:ind w:firstLine="480" w:firstLineChars="200"/>
        <w:outlineLvl w:val="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（4</w:t>
      </w:r>
      <w:r>
        <w:rPr>
          <w:rFonts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rPr>
        <w:t>项目组织实施方案……………………………………………</w:t>
      </w:r>
      <w:r>
        <w:rPr>
          <w:rFonts w:hint="eastAsia" w:ascii="仿宋" w:eastAsia="仿宋" w:cs="仿宋_GB2312"/>
          <w:color w:val="auto"/>
          <w:highlight w:val="none"/>
          <w:lang w:val="zh-CN"/>
        </w:rPr>
        <w:t>…</w:t>
      </w:r>
      <w:r>
        <w:rPr>
          <w:rFonts w:hint="eastAsia" w:ascii="仿宋" w:hAnsi="仿宋" w:eastAsia="仿宋" w:cs="仿宋_GB2312"/>
          <w:color w:val="auto"/>
          <w:kern w:val="0"/>
          <w:sz w:val="24"/>
          <w:highlight w:val="none"/>
        </w:rPr>
        <w:t>（页码）</w:t>
      </w:r>
    </w:p>
    <w:p>
      <w:pPr>
        <w:shd w:val="clear"/>
        <w:spacing w:line="360" w:lineRule="auto"/>
        <w:ind w:firstLine="480" w:firstLineChars="200"/>
        <w:outlineLvl w:val="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（5）项目负责人情况表………………………………………………（页码）</w:t>
      </w:r>
    </w:p>
    <w:p>
      <w:pPr>
        <w:shd w:val="clear"/>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（6）项目组人员名单…………………………………………………（页码）</w:t>
      </w:r>
    </w:p>
    <w:p>
      <w:pPr>
        <w:shd w:val="clear"/>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（7）售后服务方案（如有）…………………………………………（页码）</w:t>
      </w:r>
    </w:p>
    <w:p>
      <w:pPr>
        <w:shd w:val="clear"/>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（8）</w:t>
      </w:r>
      <w:r>
        <w:rPr>
          <w:rFonts w:hint="eastAsia" w:ascii="仿宋" w:hAnsi="仿宋" w:eastAsia="仿宋" w:cs="仿宋_GB2312"/>
          <w:color w:val="auto"/>
          <w:kern w:val="0"/>
          <w:sz w:val="24"/>
          <w:highlight w:val="none"/>
          <w:lang w:val="zh-CN"/>
        </w:rPr>
        <w:t>优惠条件及特殊承诺（如有）</w:t>
      </w:r>
      <w:r>
        <w:rPr>
          <w:rFonts w:hint="eastAsia" w:ascii="仿宋" w:hAnsi="仿宋" w:eastAsia="仿宋" w:cs="仿宋_GB2312"/>
          <w:color w:val="auto"/>
          <w:kern w:val="0"/>
          <w:sz w:val="24"/>
          <w:highlight w:val="none"/>
        </w:rPr>
        <w:t>…………………………………（页码）</w:t>
      </w:r>
    </w:p>
    <w:p>
      <w:pPr>
        <w:shd w:val="clear"/>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（9）</w:t>
      </w:r>
      <w:r>
        <w:rPr>
          <w:rFonts w:hint="eastAsia" w:ascii="仿宋" w:hAnsi="仿宋" w:eastAsia="仿宋" w:cs="仿宋_GB2312"/>
          <w:color w:val="auto"/>
          <w:kern w:val="0"/>
          <w:sz w:val="24"/>
          <w:highlight w:val="none"/>
          <w:lang w:val="zh-CN"/>
        </w:rPr>
        <w:t>投标人认为需要的其它商务技术文件或说明…………………</w:t>
      </w:r>
      <w:r>
        <w:rPr>
          <w:rFonts w:hint="eastAsia" w:ascii="仿宋" w:hAnsi="仿宋" w:eastAsia="仿宋" w:cs="仿宋_GB2312"/>
          <w:color w:val="auto"/>
          <w:kern w:val="0"/>
          <w:sz w:val="24"/>
          <w:highlight w:val="none"/>
        </w:rPr>
        <w:t>（页码）</w:t>
      </w:r>
    </w:p>
    <w:p>
      <w:pPr>
        <w:shd w:val="clear"/>
        <w:spacing w:line="360" w:lineRule="auto"/>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注：以上目录是基本格式要求，各投标人可根据自身情况进一步细化。</w:t>
      </w:r>
    </w:p>
    <w:p>
      <w:pPr>
        <w:shd w:val="clear"/>
        <w:snapToGrid w:val="0"/>
        <w:spacing w:line="360" w:lineRule="auto"/>
        <w:jc w:val="center"/>
        <w:rPr>
          <w:rFonts w:ascii="仿宋" w:hAnsi="仿宋" w:eastAsia="仿宋" w:cs="仿宋_GB2312"/>
          <w:b/>
          <w:color w:val="auto"/>
          <w:kern w:val="0"/>
          <w:sz w:val="32"/>
          <w:szCs w:val="32"/>
          <w:highlight w:val="none"/>
          <w:lang w:val="zh-CN"/>
        </w:rPr>
      </w:pPr>
    </w:p>
    <w:p>
      <w:pPr>
        <w:shd w:val="clear"/>
        <w:snapToGrid w:val="0"/>
        <w:spacing w:line="360" w:lineRule="auto"/>
        <w:jc w:val="center"/>
        <w:rPr>
          <w:rFonts w:ascii="仿宋" w:hAnsi="仿宋" w:eastAsia="仿宋" w:cs="仿宋_GB2312"/>
          <w:b/>
          <w:color w:val="auto"/>
          <w:kern w:val="0"/>
          <w:sz w:val="32"/>
          <w:szCs w:val="32"/>
          <w:highlight w:val="none"/>
          <w:lang w:val="zh-CN"/>
        </w:rPr>
      </w:pPr>
    </w:p>
    <w:p>
      <w:pPr>
        <w:shd w:val="clear"/>
        <w:snapToGrid w:val="0"/>
        <w:spacing w:line="360" w:lineRule="auto"/>
        <w:jc w:val="center"/>
        <w:rPr>
          <w:rFonts w:ascii="仿宋" w:hAnsi="仿宋" w:eastAsia="仿宋" w:cs="仿宋_GB2312"/>
          <w:b/>
          <w:color w:val="auto"/>
          <w:kern w:val="0"/>
          <w:sz w:val="32"/>
          <w:szCs w:val="32"/>
          <w:highlight w:val="none"/>
          <w:lang w:val="zh-CN"/>
        </w:rPr>
      </w:pPr>
    </w:p>
    <w:p>
      <w:pPr>
        <w:shd w:val="clear"/>
        <w:snapToGrid w:val="0"/>
        <w:spacing w:line="360" w:lineRule="auto"/>
        <w:jc w:val="center"/>
        <w:rPr>
          <w:rFonts w:ascii="仿宋" w:hAnsi="仿宋" w:eastAsia="仿宋" w:cs="仿宋_GB2312"/>
          <w:b/>
          <w:color w:val="auto"/>
          <w:kern w:val="0"/>
          <w:sz w:val="32"/>
          <w:szCs w:val="32"/>
          <w:highlight w:val="none"/>
          <w:lang w:val="zh-CN"/>
        </w:rPr>
      </w:pPr>
    </w:p>
    <w:p>
      <w:pPr>
        <w:shd w:val="clear"/>
        <w:spacing w:line="360" w:lineRule="auto"/>
        <w:rPr>
          <w:rFonts w:ascii="仿宋" w:hAnsi="仿宋" w:eastAsia="仿宋" w:cs="仿宋_GB2312"/>
          <w:color w:val="auto"/>
          <w:kern w:val="0"/>
          <w:sz w:val="24"/>
          <w:highlight w:val="none"/>
        </w:rPr>
      </w:pPr>
    </w:p>
    <w:p>
      <w:pPr>
        <w:shd w:val="clear"/>
        <w:spacing w:line="360" w:lineRule="auto"/>
        <w:jc w:val="center"/>
        <w:rPr>
          <w:rFonts w:ascii="仿宋" w:hAnsi="仿宋" w:eastAsia="仿宋" w:cs="仿宋_GB2312"/>
          <w:b/>
          <w:bCs/>
          <w:color w:val="auto"/>
          <w:sz w:val="32"/>
          <w:szCs w:val="32"/>
          <w:highlight w:val="none"/>
        </w:rPr>
      </w:pPr>
    </w:p>
    <w:p>
      <w:pPr>
        <w:shd w:val="clear"/>
        <w:spacing w:line="360" w:lineRule="auto"/>
        <w:jc w:val="center"/>
        <w:rPr>
          <w:rFonts w:ascii="仿宋" w:hAnsi="仿宋" w:eastAsia="仿宋" w:cs="仿宋_GB2312"/>
          <w:b/>
          <w:bCs/>
          <w:color w:val="auto"/>
          <w:sz w:val="32"/>
          <w:szCs w:val="32"/>
          <w:highlight w:val="none"/>
        </w:rPr>
      </w:pPr>
    </w:p>
    <w:p>
      <w:pPr>
        <w:shd w:val="clear"/>
        <w:spacing w:line="360" w:lineRule="auto"/>
        <w:jc w:val="center"/>
        <w:rPr>
          <w:rFonts w:ascii="仿宋" w:hAnsi="仿宋" w:eastAsia="仿宋" w:cs="仿宋_GB2312"/>
          <w:b/>
          <w:bCs/>
          <w:color w:val="auto"/>
          <w:sz w:val="32"/>
          <w:szCs w:val="32"/>
          <w:highlight w:val="none"/>
        </w:rPr>
      </w:pPr>
    </w:p>
    <w:p>
      <w:pPr>
        <w:shd w:val="clear"/>
        <w:spacing w:line="360" w:lineRule="auto"/>
        <w:jc w:val="center"/>
        <w:rPr>
          <w:rFonts w:ascii="仿宋" w:hAnsi="仿宋" w:eastAsia="仿宋" w:cs="仿宋_GB2312"/>
          <w:b/>
          <w:bCs/>
          <w:color w:val="auto"/>
          <w:sz w:val="32"/>
          <w:szCs w:val="32"/>
          <w:highlight w:val="none"/>
        </w:rPr>
      </w:pPr>
    </w:p>
    <w:p>
      <w:pPr>
        <w:shd w:val="clear"/>
        <w:spacing w:line="360" w:lineRule="auto"/>
        <w:jc w:val="center"/>
        <w:rPr>
          <w:rFonts w:ascii="仿宋" w:hAnsi="仿宋" w:eastAsia="仿宋" w:cs="仿宋_GB2312"/>
          <w:b/>
          <w:bCs/>
          <w:color w:val="auto"/>
          <w:sz w:val="32"/>
          <w:szCs w:val="32"/>
          <w:highlight w:val="none"/>
        </w:rPr>
      </w:pPr>
    </w:p>
    <w:p>
      <w:pPr>
        <w:shd w:val="clear"/>
        <w:spacing w:line="360" w:lineRule="auto"/>
        <w:jc w:val="center"/>
        <w:rPr>
          <w:rFonts w:ascii="仿宋" w:hAnsi="仿宋" w:eastAsia="仿宋" w:cs="仿宋_GB2312"/>
          <w:b/>
          <w:bCs/>
          <w:color w:val="auto"/>
          <w:sz w:val="32"/>
          <w:szCs w:val="32"/>
          <w:highlight w:val="none"/>
        </w:rPr>
      </w:pPr>
    </w:p>
    <w:p>
      <w:pPr>
        <w:shd w:val="clear"/>
        <w:spacing w:line="360" w:lineRule="auto"/>
        <w:rPr>
          <w:rFonts w:ascii="仿宋" w:hAnsi="仿宋" w:eastAsia="仿宋" w:cs="仿宋_GB2312"/>
          <w:color w:val="auto"/>
          <w:kern w:val="0"/>
          <w:sz w:val="24"/>
          <w:highlight w:val="none"/>
        </w:rPr>
      </w:pPr>
    </w:p>
    <w:p>
      <w:pPr>
        <w:shd w:val="clear"/>
        <w:spacing w:line="360" w:lineRule="auto"/>
        <w:jc w:val="center"/>
        <w:rPr>
          <w:rFonts w:ascii="仿宋" w:hAnsi="仿宋" w:eastAsia="仿宋"/>
          <w:color w:val="auto"/>
          <w:spacing w:val="6"/>
          <w:sz w:val="32"/>
          <w:szCs w:val="32"/>
          <w:highlight w:val="none"/>
        </w:rPr>
      </w:pPr>
      <w:r>
        <w:rPr>
          <w:rFonts w:hint="eastAsia" w:ascii="仿宋" w:hAnsi="仿宋" w:eastAsia="仿宋" w:cs="仿宋_GB2312"/>
          <w:color w:val="auto"/>
          <w:kern w:val="0"/>
          <w:sz w:val="24"/>
          <w:highlight w:val="none"/>
        </w:rPr>
        <w:br w:type="page"/>
      </w:r>
      <w:r>
        <w:rPr>
          <w:rFonts w:hint="eastAsia" w:ascii="仿宋" w:hAnsi="仿宋" w:eastAsia="仿宋"/>
          <w:b/>
          <w:bCs/>
          <w:color w:val="auto"/>
          <w:spacing w:val="6"/>
          <w:sz w:val="32"/>
          <w:szCs w:val="32"/>
          <w:highlight w:val="none"/>
        </w:rPr>
        <w:t>一、评分对应表</w:t>
      </w:r>
    </w:p>
    <w:p>
      <w:pPr>
        <w:pStyle w:val="17"/>
        <w:shd w:val="clear"/>
        <w:snapToGrid w:val="0"/>
        <w:rPr>
          <w:rFonts w:ascii="仿宋" w:hAnsi="仿宋" w:eastAsia="仿宋"/>
          <w:color w:val="auto"/>
          <w:sz w:val="30"/>
          <w:szCs w:val="30"/>
          <w:highlight w:val="none"/>
          <w:u w:val="single"/>
        </w:rPr>
      </w:pPr>
    </w:p>
    <w:tbl>
      <w:tblPr>
        <w:tblStyle w:val="58"/>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969"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jc w:val="center"/>
              <w:rPr>
                <w:rFonts w:ascii="仿宋" w:hAnsi="仿宋" w:eastAsia="仿宋"/>
                <w:color w:val="auto"/>
                <w:sz w:val="24"/>
                <w:highlight w:val="none"/>
              </w:rPr>
            </w:pPr>
            <w:r>
              <w:rPr>
                <w:rFonts w:hint="eastAsia" w:ascii="仿宋" w:hAnsi="仿宋" w:eastAsia="仿宋"/>
                <w:color w:val="auto"/>
                <w:sz w:val="24"/>
                <w:highlight w:val="none"/>
              </w:rPr>
              <w:t>评分项目</w:t>
            </w:r>
          </w:p>
        </w:tc>
        <w:tc>
          <w:tcPr>
            <w:tcW w:w="2977"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jc w:val="center"/>
              <w:rPr>
                <w:rFonts w:ascii="仿宋" w:hAnsi="仿宋" w:eastAsia="仿宋"/>
                <w:color w:val="auto"/>
                <w:sz w:val="24"/>
                <w:highlight w:val="none"/>
              </w:rPr>
            </w:pPr>
            <w:r>
              <w:rPr>
                <w:rFonts w:hint="eastAsia" w:ascii="仿宋" w:hAnsi="仿宋" w:eastAsia="仿宋"/>
                <w:color w:val="auto"/>
                <w:sz w:val="24"/>
                <w:highlight w:val="none"/>
              </w:rPr>
              <w:t>投标文件对应资料</w:t>
            </w:r>
          </w:p>
        </w:tc>
        <w:tc>
          <w:tcPr>
            <w:tcW w:w="212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jc w:val="center"/>
              <w:rPr>
                <w:rFonts w:ascii="仿宋" w:hAnsi="仿宋" w:eastAsia="仿宋"/>
                <w:color w:val="auto"/>
                <w:sz w:val="24"/>
                <w:highlight w:val="none"/>
              </w:rPr>
            </w:pPr>
            <w:r>
              <w:rPr>
                <w:rFonts w:hint="eastAsia" w:ascii="仿宋" w:hAnsi="仿宋" w:eastAsia="仿宋"/>
                <w:color w:val="auto"/>
                <w:sz w:val="24"/>
                <w:highlight w:val="none"/>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hd w:val="clear"/>
              <w:snapToGrid w:val="0"/>
              <w:rPr>
                <w:rFonts w:ascii="仿宋" w:hAnsi="仿宋" w:eastAsia="仿宋"/>
                <w:color w:val="auto"/>
                <w:sz w:val="24"/>
                <w:highlight w:val="none"/>
              </w:rPr>
            </w:pPr>
            <w:r>
              <w:rPr>
                <w:rFonts w:hint="eastAsia" w:ascii="仿宋" w:hAnsi="仿宋" w:eastAsia="仿宋"/>
                <w:color w:val="auto"/>
                <w:sz w:val="24"/>
                <w:highlight w:val="none"/>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tcPr>
          <w:p>
            <w:pPr>
              <w:shd w:val="clear"/>
              <w:snapToGrid w:val="0"/>
              <w:spacing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vAlign w:val="center"/>
          </w:tcPr>
          <w:p>
            <w:pPr>
              <w:shd w:val="clear"/>
              <w:snapToGrid w:val="0"/>
              <w:rPr>
                <w:rFonts w:ascii="仿宋" w:hAnsi="仿宋" w:eastAsia="仿宋"/>
                <w:color w:val="auto"/>
                <w:sz w:val="24"/>
                <w:highlight w:val="none"/>
              </w:rPr>
            </w:pPr>
            <w:r>
              <w:rPr>
                <w:rFonts w:hint="eastAsia" w:ascii="仿宋" w:hAnsi="仿宋" w:eastAsia="仿宋"/>
                <w:color w:val="auto"/>
                <w:sz w:val="24"/>
                <w:highlight w:val="none"/>
              </w:rPr>
              <w:t>……</w:t>
            </w:r>
          </w:p>
        </w:tc>
        <w:tc>
          <w:tcPr>
            <w:tcW w:w="2977" w:type="dxa"/>
            <w:tcBorders>
              <w:top w:val="single" w:color="auto" w:sz="4" w:space="0"/>
              <w:left w:val="single" w:color="auto" w:sz="4" w:space="0"/>
              <w:bottom w:val="single" w:color="auto" w:sz="4" w:space="0"/>
              <w:right w:val="single" w:color="auto" w:sz="4" w:space="0"/>
            </w:tcBorders>
          </w:tcPr>
          <w:p>
            <w:pPr>
              <w:shd w:val="clear"/>
              <w:snapToGrid w:val="0"/>
              <w:spacing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ind w:left="43"/>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hd w:val="clea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pPr>
              <w:shd w:val="clear"/>
              <w:snapToGrid w:val="0"/>
              <w:spacing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ind w:left="43"/>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hd w:val="clea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pPr>
              <w:shd w:val="clear"/>
              <w:snapToGrid w:val="0"/>
              <w:spacing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ind w:left="43"/>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hd w:val="clea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pPr>
              <w:shd w:val="clear"/>
              <w:snapToGrid w:val="0"/>
              <w:spacing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hd w:val="clea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pPr>
              <w:shd w:val="clear"/>
              <w:snapToGrid w:val="0"/>
              <w:spacing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hd w:val="clea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pPr>
              <w:shd w:val="clear"/>
              <w:snapToGrid w:val="0"/>
              <w:spacing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hd w:val="clea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pPr>
              <w:shd w:val="clear"/>
              <w:snapToGrid w:val="0"/>
              <w:spacing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hd w:val="clea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pPr>
              <w:shd w:val="clear"/>
              <w:snapToGrid w:val="0"/>
              <w:spacing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rPr>
                <w:rFonts w:ascii="仿宋" w:hAnsi="仿宋" w:eastAsia="仿宋"/>
                <w:color w:val="auto"/>
                <w:sz w:val="24"/>
                <w:highlight w:val="none"/>
              </w:rPr>
            </w:pPr>
          </w:p>
        </w:tc>
      </w:tr>
    </w:tbl>
    <w:p>
      <w:pPr>
        <w:shd w:val="clear"/>
        <w:snapToGrid w:val="0"/>
        <w:spacing w:beforeLines="5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注：如果本项目评标办法采用综合评审法，需在商务技术文件中提供此评分对应表。</w:t>
      </w:r>
    </w:p>
    <w:p>
      <w:pPr>
        <w:shd w:val="clear"/>
        <w:snapToGrid w:val="0"/>
        <w:spacing w:beforeLines="50"/>
        <w:rPr>
          <w:rFonts w:ascii="仿宋" w:hAnsi="仿宋" w:eastAsia="仿宋"/>
          <w:color w:val="auto"/>
          <w:sz w:val="30"/>
          <w:szCs w:val="30"/>
          <w:highlight w:val="none"/>
        </w:rPr>
      </w:pPr>
    </w:p>
    <w:p>
      <w:pPr>
        <w:shd w:val="clea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pPr>
        <w:shd w:val="clear"/>
        <w:snapToGrid w:val="0"/>
        <w:spacing w:before="50" w:after="50"/>
        <w:rPr>
          <w:rFonts w:ascii="仿宋" w:hAnsi="仿宋" w:eastAsia="仿宋" w:cs="仿宋_GB2312"/>
          <w:b/>
          <w:bCs/>
          <w:color w:val="auto"/>
          <w:sz w:val="32"/>
          <w:szCs w:val="32"/>
          <w:highlight w:val="none"/>
        </w:rPr>
        <w:sectPr>
          <w:pgSz w:w="11906" w:h="16838"/>
          <w:pgMar w:top="1247" w:right="1418" w:bottom="1276" w:left="1418" w:header="851" w:footer="992" w:gutter="0"/>
          <w:cols w:space="720" w:num="1"/>
          <w:titlePg/>
          <w:docGrid w:linePitch="312" w:charSpace="0"/>
        </w:sectPr>
      </w:pPr>
      <w:r>
        <w:rPr>
          <w:rFonts w:hint="eastAsia" w:ascii="仿宋" w:hAnsi="仿宋" w:eastAsia="仿宋" w:cs="仿宋_GB2312"/>
          <w:color w:val="auto"/>
          <w:kern w:val="0"/>
          <w:sz w:val="24"/>
          <w:highlight w:val="none"/>
        </w:rPr>
        <w:t xml:space="preserve">                                       日期：  年  月   </w:t>
      </w:r>
    </w:p>
    <w:p>
      <w:pPr>
        <w:shd w:val="clear"/>
        <w:snapToGrid w:val="0"/>
        <w:spacing w:before="50" w:after="50"/>
        <w:jc w:val="center"/>
        <w:rPr>
          <w:rFonts w:ascii="仿宋" w:hAnsi="仿宋" w:eastAsia="仿宋" w:cs="仿宋_GB2312"/>
          <w:color w:val="auto"/>
          <w:kern w:val="0"/>
          <w:sz w:val="24"/>
          <w:highlight w:val="none"/>
        </w:rPr>
      </w:pPr>
    </w:p>
    <w:p>
      <w:pPr>
        <w:shd w:val="clear"/>
        <w:snapToGrid w:val="0"/>
        <w:spacing w:before="50" w:after="50"/>
        <w:jc w:val="center"/>
        <w:rPr>
          <w:rFonts w:ascii="仿宋" w:hAnsi="仿宋" w:eastAsia="仿宋"/>
          <w:b/>
          <w:bCs/>
          <w:color w:val="auto"/>
          <w:spacing w:val="6"/>
          <w:sz w:val="32"/>
          <w:szCs w:val="32"/>
          <w:highlight w:val="none"/>
        </w:rPr>
      </w:pPr>
      <w:r>
        <w:rPr>
          <w:rFonts w:hint="eastAsia" w:ascii="仿宋" w:hAnsi="仿宋" w:eastAsia="仿宋"/>
          <w:b/>
          <w:bCs/>
          <w:color w:val="auto"/>
          <w:spacing w:val="6"/>
          <w:sz w:val="32"/>
          <w:szCs w:val="32"/>
          <w:highlight w:val="none"/>
        </w:rPr>
        <w:t>二、技术响应表</w:t>
      </w:r>
    </w:p>
    <w:p>
      <w:pPr>
        <w:shd w:val="clear"/>
        <w:rPr>
          <w:rFonts w:ascii="Arial" w:hAnsi="Arial" w:eastAsia="黑体" w:cs="Arial"/>
          <w:snapToGrid w:val="0"/>
          <w:color w:val="auto"/>
          <w:kern w:val="0"/>
          <w:szCs w:val="21"/>
          <w:highlight w:val="none"/>
        </w:rPr>
      </w:pPr>
    </w:p>
    <w:tbl>
      <w:tblPr>
        <w:tblStyle w:val="58"/>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9072" w:type="dxa"/>
            <w:gridSpan w:val="5"/>
            <w:tcBorders>
              <w:top w:val="single" w:color="auto" w:sz="4" w:space="0"/>
              <w:left w:val="single" w:color="auto" w:sz="4" w:space="0"/>
              <w:bottom w:val="single" w:color="auto" w:sz="4" w:space="0"/>
              <w:right w:val="single" w:color="auto" w:sz="4" w:space="0"/>
            </w:tcBorders>
            <w:vAlign w:val="center"/>
          </w:tcPr>
          <w:p>
            <w:pPr>
              <w:shd w:val="clear"/>
              <w:snapToGrid w:val="0"/>
              <w:spacing w:before="50" w:after="50"/>
              <w:jc w:val="left"/>
              <w:rPr>
                <w:rFonts w:ascii="仿宋" w:hAnsi="仿宋" w:eastAsia="仿宋"/>
                <w:color w:val="auto"/>
                <w:sz w:val="24"/>
                <w:highlight w:val="none"/>
              </w:rPr>
            </w:pPr>
            <w:bookmarkStart w:id="433" w:name="_Toc64369807"/>
            <w:r>
              <w:rPr>
                <w:rFonts w:hint="eastAsia" w:ascii="仿宋" w:hAnsi="仿宋" w:eastAsia="仿宋"/>
                <w:color w:val="auto"/>
                <w:sz w:val="24"/>
                <w:highlight w:val="none"/>
              </w:rPr>
              <w:t>服务部分</w:t>
            </w:r>
            <w:bookmarkEnd w:id="43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7"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50" w:after="50"/>
              <w:jc w:val="center"/>
              <w:rPr>
                <w:rFonts w:ascii="仿宋" w:hAnsi="仿宋" w:eastAsia="仿宋"/>
                <w:color w:val="auto"/>
                <w:sz w:val="24"/>
                <w:highlight w:val="none"/>
              </w:rPr>
            </w:pPr>
            <w:bookmarkStart w:id="434" w:name="_Toc64369808"/>
            <w:r>
              <w:rPr>
                <w:rFonts w:hint="eastAsia" w:ascii="仿宋" w:hAnsi="仿宋" w:eastAsia="仿宋"/>
                <w:color w:val="auto"/>
                <w:sz w:val="24"/>
                <w:highlight w:val="none"/>
              </w:rPr>
              <w:t>序号</w:t>
            </w:r>
            <w:bookmarkEnd w:id="434"/>
          </w:p>
        </w:tc>
        <w:tc>
          <w:tcPr>
            <w:tcW w:w="1711"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服务名称</w:t>
            </w:r>
          </w:p>
        </w:tc>
        <w:tc>
          <w:tcPr>
            <w:tcW w:w="2697"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50" w:after="50"/>
              <w:jc w:val="center"/>
              <w:rPr>
                <w:rFonts w:ascii="仿宋" w:hAnsi="仿宋" w:eastAsia="仿宋"/>
                <w:color w:val="auto"/>
                <w:sz w:val="24"/>
                <w:highlight w:val="none"/>
              </w:rPr>
            </w:pPr>
            <w:bookmarkStart w:id="435" w:name="_Toc64369809"/>
            <w:bookmarkStart w:id="436" w:name="_Toc64369810"/>
            <w:r>
              <w:rPr>
                <w:rFonts w:hint="eastAsia" w:ascii="仿宋" w:hAnsi="仿宋" w:eastAsia="仿宋"/>
                <w:color w:val="auto"/>
                <w:sz w:val="24"/>
                <w:highlight w:val="none"/>
              </w:rPr>
              <w:t>采购文件</w:t>
            </w:r>
          </w:p>
          <w:p>
            <w:pPr>
              <w:shd w:val="clea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要求</w:t>
            </w:r>
            <w:bookmarkEnd w:id="435"/>
          </w:p>
        </w:tc>
        <w:tc>
          <w:tcPr>
            <w:tcW w:w="2552"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投标文件</w:t>
            </w:r>
          </w:p>
          <w:p>
            <w:pPr>
              <w:shd w:val="clea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响应</w:t>
            </w:r>
            <w:bookmarkEnd w:id="436"/>
          </w:p>
        </w:tc>
        <w:tc>
          <w:tcPr>
            <w:tcW w:w="127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50" w:after="50"/>
              <w:jc w:val="center"/>
              <w:rPr>
                <w:rFonts w:ascii="仿宋" w:hAnsi="仿宋" w:eastAsia="仿宋"/>
                <w:color w:val="auto"/>
                <w:sz w:val="24"/>
                <w:highlight w:val="none"/>
              </w:rPr>
            </w:pPr>
            <w:bookmarkStart w:id="437" w:name="_Toc64369811"/>
            <w:r>
              <w:rPr>
                <w:rFonts w:hint="eastAsia" w:ascii="仿宋" w:hAnsi="仿宋" w:eastAsia="仿宋"/>
                <w:color w:val="auto"/>
                <w:sz w:val="24"/>
                <w:highlight w:val="none"/>
              </w:rPr>
              <w:t>偏离</w:t>
            </w:r>
          </w:p>
          <w:p>
            <w:pPr>
              <w:shd w:val="clea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情况</w:t>
            </w:r>
            <w:bookmarkEnd w:id="43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50" w:after="50"/>
              <w:jc w:val="center"/>
              <w:rPr>
                <w:rFonts w:ascii="仿宋" w:hAnsi="仿宋" w:eastAsia="仿宋"/>
                <w:color w:val="auto"/>
                <w:sz w:val="24"/>
                <w:highlight w:val="none"/>
              </w:rPr>
            </w:pPr>
            <w:bookmarkStart w:id="438" w:name="_Toc64369812"/>
            <w:r>
              <w:rPr>
                <w:rFonts w:hint="eastAsia" w:ascii="仿宋" w:hAnsi="仿宋" w:eastAsia="仿宋"/>
                <w:color w:val="auto"/>
                <w:sz w:val="24"/>
                <w:highlight w:val="none"/>
              </w:rPr>
              <w:t>1</w:t>
            </w:r>
            <w:bookmarkEnd w:id="438"/>
          </w:p>
        </w:tc>
        <w:tc>
          <w:tcPr>
            <w:tcW w:w="1711"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50" w:after="50"/>
              <w:jc w:val="center"/>
              <w:rPr>
                <w:rFonts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50" w:after="50"/>
              <w:jc w:val="center"/>
              <w:rPr>
                <w:rFonts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50" w:after="50"/>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50" w:after="5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37"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50" w:after="50"/>
              <w:jc w:val="center"/>
              <w:rPr>
                <w:rFonts w:ascii="仿宋" w:hAnsi="仿宋" w:eastAsia="仿宋"/>
                <w:color w:val="auto"/>
                <w:sz w:val="24"/>
                <w:highlight w:val="none"/>
              </w:rPr>
            </w:pPr>
            <w:bookmarkStart w:id="439" w:name="_Toc64369813"/>
            <w:r>
              <w:rPr>
                <w:rFonts w:hint="eastAsia" w:ascii="仿宋" w:hAnsi="仿宋" w:eastAsia="仿宋"/>
                <w:color w:val="auto"/>
                <w:sz w:val="24"/>
                <w:highlight w:val="none"/>
              </w:rPr>
              <w:t>2</w:t>
            </w:r>
            <w:bookmarkEnd w:id="439"/>
          </w:p>
        </w:tc>
        <w:tc>
          <w:tcPr>
            <w:tcW w:w="1711"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50" w:after="50"/>
              <w:jc w:val="center"/>
              <w:rPr>
                <w:rFonts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50" w:after="50"/>
              <w:jc w:val="center"/>
              <w:rPr>
                <w:rFonts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50" w:after="50"/>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50" w:after="5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50" w:after="50"/>
              <w:jc w:val="center"/>
              <w:rPr>
                <w:rFonts w:ascii="仿宋" w:hAnsi="仿宋" w:eastAsia="仿宋"/>
                <w:color w:val="auto"/>
                <w:sz w:val="24"/>
                <w:highlight w:val="none"/>
              </w:rPr>
            </w:pPr>
            <w:bookmarkStart w:id="440" w:name="_Toc64369814"/>
            <w:r>
              <w:rPr>
                <w:rFonts w:hint="eastAsia" w:ascii="仿宋" w:hAnsi="仿宋" w:eastAsia="仿宋"/>
                <w:color w:val="auto"/>
                <w:sz w:val="24"/>
                <w:highlight w:val="none"/>
              </w:rPr>
              <w:t>…</w:t>
            </w:r>
            <w:bookmarkEnd w:id="440"/>
          </w:p>
        </w:tc>
        <w:tc>
          <w:tcPr>
            <w:tcW w:w="1711"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50" w:after="50"/>
              <w:jc w:val="center"/>
              <w:rPr>
                <w:rFonts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50" w:after="50"/>
              <w:jc w:val="center"/>
              <w:rPr>
                <w:rFonts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50" w:after="50"/>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50" w:after="50"/>
              <w:jc w:val="center"/>
              <w:rPr>
                <w:rFonts w:ascii="仿宋" w:hAnsi="仿宋" w:eastAsia="仿宋"/>
                <w:color w:val="auto"/>
                <w:sz w:val="24"/>
                <w:highlight w:val="none"/>
              </w:rPr>
            </w:pPr>
          </w:p>
        </w:tc>
      </w:tr>
    </w:tbl>
    <w:p>
      <w:pPr>
        <w:shd w:val="clear"/>
        <w:snapToGrid w:val="0"/>
        <w:spacing w:beforeLines="50"/>
        <w:rPr>
          <w:rFonts w:ascii="仿宋" w:hAnsi="仿宋" w:eastAsia="仿宋" w:cs="仿宋_GB2312"/>
          <w:color w:val="auto"/>
          <w:sz w:val="24"/>
          <w:highlight w:val="none"/>
        </w:rPr>
      </w:pPr>
      <w:r>
        <w:rPr>
          <w:rFonts w:hint="eastAsia" w:ascii="仿宋" w:hAnsi="仿宋" w:eastAsia="仿宋" w:cs="仿宋_GB2312"/>
          <w:color w:val="auto"/>
          <w:sz w:val="24"/>
          <w:highlight w:val="none"/>
        </w:rPr>
        <w:t>注：投标人应对照招标文件要求和投标文件响应情况在“偏离情况”栏注明“正偏离”、“负偏离”或“无偏离”。</w:t>
      </w:r>
    </w:p>
    <w:p>
      <w:pPr>
        <w:shd w:val="clear"/>
        <w:snapToGrid w:val="0"/>
        <w:spacing w:beforeLines="50"/>
        <w:rPr>
          <w:rFonts w:ascii="仿宋" w:hAnsi="仿宋" w:eastAsia="仿宋" w:cs="仿宋_GB2312"/>
          <w:color w:val="auto"/>
          <w:sz w:val="24"/>
          <w:highlight w:val="none"/>
        </w:rPr>
      </w:pPr>
    </w:p>
    <w:p>
      <w:pPr>
        <w:shd w:val="clea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pPr>
        <w:shd w:val="clear"/>
        <w:snapToGrid w:val="0"/>
        <w:spacing w:before="50" w:after="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w:t>
      </w:r>
    </w:p>
    <w:p>
      <w:pPr>
        <w:pStyle w:val="17"/>
        <w:shd w:val="clear"/>
        <w:snapToGrid w:val="0"/>
        <w:jc w:val="center"/>
        <w:rPr>
          <w:rFonts w:ascii="仿宋" w:eastAsia="仿宋"/>
          <w:color w:val="auto"/>
          <w:spacing w:val="40"/>
          <w:kern w:val="0"/>
          <w:sz w:val="36"/>
          <w:szCs w:val="36"/>
          <w:highlight w:val="none"/>
        </w:rPr>
      </w:pPr>
    </w:p>
    <w:p>
      <w:pPr>
        <w:shd w:val="clear"/>
        <w:jc w:val="center"/>
        <w:rPr>
          <w:rFonts w:ascii="仿宋" w:hAnsi="仿宋" w:eastAsia="仿宋"/>
          <w:b/>
          <w:bCs/>
          <w:color w:val="auto"/>
          <w:spacing w:val="6"/>
          <w:sz w:val="32"/>
          <w:szCs w:val="32"/>
          <w:highlight w:val="none"/>
        </w:rPr>
      </w:pPr>
      <w:r>
        <w:rPr>
          <w:rFonts w:hint="eastAsia" w:ascii="Arial" w:hAnsi="Arial" w:eastAsia="黑体" w:cs="Arial"/>
          <w:snapToGrid w:val="0"/>
          <w:color w:val="auto"/>
          <w:kern w:val="0"/>
          <w:szCs w:val="21"/>
          <w:highlight w:val="none"/>
        </w:rPr>
        <w:br w:type="page"/>
      </w:r>
      <w:r>
        <w:rPr>
          <w:rFonts w:hint="eastAsia" w:ascii="仿宋" w:hAnsi="仿宋" w:eastAsia="仿宋"/>
          <w:b/>
          <w:bCs/>
          <w:color w:val="auto"/>
          <w:spacing w:val="6"/>
          <w:sz w:val="32"/>
          <w:szCs w:val="32"/>
          <w:highlight w:val="none"/>
        </w:rPr>
        <w:t>三、商务响应表</w:t>
      </w:r>
    </w:p>
    <w:p>
      <w:pPr>
        <w:shd w:val="clear"/>
        <w:rPr>
          <w:rFonts w:ascii="Arial" w:hAnsi="Arial" w:eastAsia="黑体" w:cs="Arial"/>
          <w:snapToGrid w:val="0"/>
          <w:color w:val="auto"/>
          <w:kern w:val="0"/>
          <w:szCs w:val="21"/>
          <w:highlight w:val="none"/>
        </w:rPr>
      </w:pPr>
    </w:p>
    <w:tbl>
      <w:tblPr>
        <w:tblStyle w:val="58"/>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237"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50" w:after="50"/>
              <w:jc w:val="center"/>
              <w:rPr>
                <w:rFonts w:ascii="仿宋" w:hAnsi="仿宋" w:eastAsia="仿宋"/>
                <w:color w:val="auto"/>
                <w:sz w:val="24"/>
                <w:highlight w:val="none"/>
              </w:rPr>
            </w:pPr>
            <w:bookmarkStart w:id="441" w:name="_Toc64369815"/>
            <w:r>
              <w:rPr>
                <w:rFonts w:hint="eastAsia" w:ascii="仿宋" w:hAnsi="仿宋" w:eastAsia="仿宋"/>
                <w:color w:val="auto"/>
                <w:sz w:val="24"/>
                <w:highlight w:val="none"/>
              </w:rPr>
              <w:t>类别</w:t>
            </w:r>
            <w:bookmarkEnd w:id="441"/>
          </w:p>
        </w:tc>
        <w:tc>
          <w:tcPr>
            <w:tcW w:w="3299"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jc w:val="center"/>
              <w:rPr>
                <w:rFonts w:ascii="仿宋" w:hAnsi="仿宋" w:eastAsia="仿宋"/>
                <w:color w:val="auto"/>
                <w:sz w:val="24"/>
                <w:highlight w:val="none"/>
              </w:rPr>
            </w:pPr>
            <w:bookmarkStart w:id="442" w:name="_Toc64369816"/>
            <w:r>
              <w:rPr>
                <w:rFonts w:hint="eastAsia" w:ascii="仿宋" w:hAnsi="仿宋" w:eastAsia="仿宋"/>
                <w:color w:val="auto"/>
                <w:sz w:val="24"/>
                <w:highlight w:val="none"/>
              </w:rPr>
              <w:t>采购文件要求</w:t>
            </w:r>
            <w:bookmarkEnd w:id="442"/>
          </w:p>
        </w:tc>
        <w:tc>
          <w:tcPr>
            <w:tcW w:w="3261"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jc w:val="center"/>
              <w:rPr>
                <w:rFonts w:ascii="仿宋" w:hAnsi="仿宋" w:eastAsia="仿宋"/>
                <w:color w:val="auto"/>
                <w:sz w:val="24"/>
                <w:highlight w:val="none"/>
              </w:rPr>
            </w:pPr>
            <w:bookmarkStart w:id="443" w:name="_Toc64369817"/>
            <w:r>
              <w:rPr>
                <w:rFonts w:hint="eastAsia" w:ascii="仿宋" w:hAnsi="仿宋" w:eastAsia="仿宋"/>
                <w:color w:val="auto"/>
                <w:sz w:val="24"/>
                <w:highlight w:val="none"/>
              </w:rPr>
              <w:t>投标文件响应</w:t>
            </w:r>
            <w:bookmarkEnd w:id="443"/>
          </w:p>
        </w:tc>
        <w:tc>
          <w:tcPr>
            <w:tcW w:w="127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jc w:val="center"/>
              <w:rPr>
                <w:rFonts w:ascii="仿宋" w:hAnsi="仿宋" w:eastAsia="仿宋"/>
                <w:color w:val="auto"/>
                <w:sz w:val="24"/>
                <w:highlight w:val="none"/>
              </w:rPr>
            </w:pPr>
            <w:bookmarkStart w:id="444" w:name="_Toc64369818"/>
            <w:r>
              <w:rPr>
                <w:rFonts w:hint="eastAsia" w:ascii="仿宋" w:hAnsi="仿宋" w:eastAsia="仿宋"/>
                <w:color w:val="auto"/>
                <w:sz w:val="24"/>
                <w:highlight w:val="none"/>
              </w:rPr>
              <w:t>偏离情况</w:t>
            </w:r>
            <w:bookmarkEnd w:id="4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pStyle w:val="33"/>
              <w:shd w:val="clear"/>
              <w:snapToGrid w:val="0"/>
              <w:spacing w:before="120" w:after="120"/>
              <w:jc w:val="center"/>
              <w:outlineLvl w:val="0"/>
              <w:rPr>
                <w:rFonts w:ascii="仿宋" w:hAnsi="仿宋" w:eastAsia="仿宋" w:cs="Times New Roman"/>
                <w:snapToGrid/>
                <w:color w:val="auto"/>
                <w:sz w:val="24"/>
                <w:szCs w:val="24"/>
                <w:highlight w:val="none"/>
              </w:rPr>
            </w:pPr>
            <w:r>
              <w:rPr>
                <w:rFonts w:hint="eastAsia" w:ascii="仿宋" w:eastAsia="仿宋"/>
                <w:b/>
                <w:bCs/>
                <w:color w:val="auto"/>
                <w:kern w:val="0"/>
                <w:sz w:val="24"/>
                <w:highlight w:val="none"/>
              </w:rPr>
              <w:t>服务期限</w:t>
            </w:r>
          </w:p>
        </w:tc>
        <w:tc>
          <w:tcPr>
            <w:tcW w:w="3299" w:type="dxa"/>
            <w:tcBorders>
              <w:top w:val="single" w:color="auto" w:sz="4" w:space="0"/>
              <w:left w:val="single" w:color="auto" w:sz="4" w:space="0"/>
              <w:bottom w:val="single" w:color="auto" w:sz="4" w:space="0"/>
              <w:right w:val="single" w:color="auto" w:sz="4" w:space="0"/>
            </w:tcBorders>
            <w:vAlign w:val="center"/>
          </w:tcPr>
          <w:p>
            <w:pPr>
              <w:pStyle w:val="33"/>
              <w:shd w:val="clear"/>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tcPr>
          <w:p>
            <w:pPr>
              <w:pStyle w:val="33"/>
              <w:shd w:val="clear"/>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33"/>
              <w:shd w:val="clear"/>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pStyle w:val="33"/>
              <w:shd w:val="clear"/>
              <w:snapToGrid w:val="0"/>
              <w:spacing w:before="120" w:after="120"/>
              <w:jc w:val="center"/>
              <w:outlineLvl w:val="0"/>
              <w:rPr>
                <w:rFonts w:ascii="仿宋" w:hAnsi="仿宋" w:eastAsia="仿宋" w:cs="Times New Roman"/>
                <w:snapToGrid/>
                <w:color w:val="auto"/>
                <w:sz w:val="24"/>
                <w:szCs w:val="24"/>
                <w:highlight w:val="none"/>
              </w:rPr>
            </w:pPr>
            <w:r>
              <w:rPr>
                <w:rFonts w:hint="eastAsia" w:ascii="仿宋" w:eastAsia="仿宋"/>
                <w:b/>
                <w:bCs/>
                <w:color w:val="auto"/>
                <w:kern w:val="0"/>
                <w:sz w:val="24"/>
                <w:highlight w:val="none"/>
              </w:rPr>
              <w:t>质量要求</w:t>
            </w:r>
          </w:p>
        </w:tc>
        <w:tc>
          <w:tcPr>
            <w:tcW w:w="3299" w:type="dxa"/>
            <w:tcBorders>
              <w:top w:val="single" w:color="auto" w:sz="4" w:space="0"/>
              <w:left w:val="single" w:color="auto" w:sz="4" w:space="0"/>
              <w:bottom w:val="single" w:color="auto" w:sz="4" w:space="0"/>
              <w:right w:val="single" w:color="auto" w:sz="4" w:space="0"/>
            </w:tcBorders>
            <w:vAlign w:val="center"/>
          </w:tcPr>
          <w:p>
            <w:pPr>
              <w:pStyle w:val="33"/>
              <w:shd w:val="clear"/>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tcPr>
          <w:p>
            <w:pPr>
              <w:pStyle w:val="33"/>
              <w:shd w:val="clear"/>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33"/>
              <w:shd w:val="clear"/>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pStyle w:val="33"/>
              <w:shd w:val="clear"/>
              <w:snapToGrid w:val="0"/>
              <w:spacing w:before="120" w:after="120"/>
              <w:jc w:val="center"/>
              <w:outlineLvl w:val="0"/>
              <w:rPr>
                <w:rFonts w:ascii="仿宋" w:hAnsi="仿宋" w:eastAsia="仿宋" w:cs="Times New Roman"/>
                <w:snapToGrid/>
                <w:color w:val="auto"/>
                <w:sz w:val="24"/>
                <w:szCs w:val="24"/>
                <w:highlight w:val="none"/>
              </w:rPr>
            </w:pPr>
            <w:r>
              <w:rPr>
                <w:rFonts w:hint="eastAsia" w:ascii="仿宋" w:eastAsia="仿宋"/>
                <w:b/>
                <w:bCs/>
                <w:color w:val="auto"/>
                <w:sz w:val="24"/>
                <w:highlight w:val="none"/>
              </w:rPr>
              <w:t>数量调整</w:t>
            </w:r>
          </w:p>
        </w:tc>
        <w:tc>
          <w:tcPr>
            <w:tcW w:w="3299" w:type="dxa"/>
            <w:tcBorders>
              <w:top w:val="single" w:color="auto" w:sz="4" w:space="0"/>
              <w:left w:val="single" w:color="auto" w:sz="4" w:space="0"/>
              <w:bottom w:val="single" w:color="auto" w:sz="4" w:space="0"/>
              <w:right w:val="single" w:color="auto" w:sz="4" w:space="0"/>
            </w:tcBorders>
            <w:vAlign w:val="center"/>
          </w:tcPr>
          <w:p>
            <w:pPr>
              <w:pStyle w:val="33"/>
              <w:shd w:val="clear"/>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tcPr>
          <w:p>
            <w:pPr>
              <w:pStyle w:val="33"/>
              <w:shd w:val="clear"/>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nil"/>
              <w:right w:val="single" w:color="auto" w:sz="4" w:space="0"/>
            </w:tcBorders>
          </w:tcPr>
          <w:p>
            <w:pPr>
              <w:pStyle w:val="33"/>
              <w:shd w:val="clear"/>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pStyle w:val="33"/>
              <w:shd w:val="clear"/>
              <w:snapToGrid w:val="0"/>
              <w:spacing w:before="120" w:after="120"/>
              <w:jc w:val="center"/>
              <w:outlineLvl w:val="0"/>
              <w:rPr>
                <w:rFonts w:ascii="仿宋" w:hAnsi="仿宋" w:eastAsia="仿宋" w:cs="Times New Roman"/>
                <w:snapToGrid/>
                <w:color w:val="auto"/>
                <w:sz w:val="24"/>
                <w:szCs w:val="24"/>
                <w:highlight w:val="none"/>
              </w:rPr>
            </w:pPr>
            <w:r>
              <w:rPr>
                <w:rFonts w:hint="eastAsia" w:ascii="仿宋" w:eastAsia="仿宋"/>
                <w:b/>
                <w:bCs/>
                <w:color w:val="auto"/>
                <w:kern w:val="0"/>
                <w:sz w:val="24"/>
                <w:highlight w:val="none"/>
              </w:rPr>
              <w:t>付款方式</w:t>
            </w:r>
          </w:p>
        </w:tc>
        <w:tc>
          <w:tcPr>
            <w:tcW w:w="3299" w:type="dxa"/>
            <w:tcBorders>
              <w:top w:val="single" w:color="auto" w:sz="4" w:space="0"/>
              <w:left w:val="single" w:color="auto" w:sz="4" w:space="0"/>
              <w:bottom w:val="single" w:color="auto" w:sz="4" w:space="0"/>
              <w:right w:val="single" w:color="auto" w:sz="4" w:space="0"/>
            </w:tcBorders>
            <w:vAlign w:val="center"/>
          </w:tcPr>
          <w:p>
            <w:pPr>
              <w:pStyle w:val="33"/>
              <w:shd w:val="clear"/>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tcPr>
          <w:p>
            <w:pPr>
              <w:pStyle w:val="33"/>
              <w:shd w:val="clear"/>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33"/>
              <w:shd w:val="clear"/>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pStyle w:val="33"/>
              <w:shd w:val="clear"/>
              <w:snapToGrid w:val="0"/>
              <w:spacing w:before="120" w:after="120"/>
              <w:jc w:val="center"/>
              <w:outlineLvl w:val="0"/>
              <w:rPr>
                <w:rFonts w:ascii="仿宋" w:hAnsi="仿宋" w:eastAsia="仿宋" w:cs="Times New Roman"/>
                <w:snapToGrid/>
                <w:color w:val="auto"/>
                <w:sz w:val="24"/>
                <w:szCs w:val="24"/>
                <w:highlight w:val="none"/>
              </w:rPr>
            </w:pPr>
            <w:r>
              <w:rPr>
                <w:rFonts w:hint="eastAsia" w:ascii="仿宋" w:hAnsi="仿宋" w:eastAsia="仿宋"/>
                <w:b/>
                <w:color w:val="auto"/>
                <w:sz w:val="24"/>
                <w:highlight w:val="none"/>
              </w:rPr>
              <w:t>结算原则</w:t>
            </w:r>
          </w:p>
        </w:tc>
        <w:tc>
          <w:tcPr>
            <w:tcW w:w="3299" w:type="dxa"/>
            <w:tcBorders>
              <w:top w:val="single" w:color="auto" w:sz="4" w:space="0"/>
              <w:left w:val="single" w:color="auto" w:sz="4" w:space="0"/>
              <w:bottom w:val="single" w:color="auto" w:sz="4" w:space="0"/>
              <w:right w:val="single" w:color="auto" w:sz="4" w:space="0"/>
            </w:tcBorders>
            <w:vAlign w:val="center"/>
          </w:tcPr>
          <w:p>
            <w:pPr>
              <w:pStyle w:val="33"/>
              <w:shd w:val="clear"/>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tcPr>
          <w:p>
            <w:pPr>
              <w:pStyle w:val="33"/>
              <w:shd w:val="clear"/>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33"/>
              <w:shd w:val="clear"/>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pStyle w:val="33"/>
              <w:shd w:val="clear"/>
              <w:snapToGrid w:val="0"/>
              <w:spacing w:before="120" w:after="120"/>
              <w:jc w:val="center"/>
              <w:outlineLvl w:val="0"/>
              <w:rPr>
                <w:rFonts w:ascii="仿宋" w:hAnsi="仿宋" w:eastAsia="仿宋" w:cs="Times New Roman"/>
                <w:snapToGrid/>
                <w:color w:val="auto"/>
                <w:sz w:val="24"/>
                <w:szCs w:val="24"/>
                <w:highlight w:val="none"/>
              </w:rPr>
            </w:pPr>
            <w:r>
              <w:rPr>
                <w:rFonts w:hint="eastAsia" w:ascii="仿宋" w:hAnsi="仿宋" w:eastAsia="仿宋"/>
                <w:b/>
                <w:color w:val="auto"/>
                <w:sz w:val="24"/>
                <w:highlight w:val="none"/>
              </w:rPr>
              <w:t>违约责任</w:t>
            </w:r>
          </w:p>
        </w:tc>
        <w:tc>
          <w:tcPr>
            <w:tcW w:w="3299" w:type="dxa"/>
            <w:tcBorders>
              <w:top w:val="single" w:color="auto" w:sz="4" w:space="0"/>
              <w:left w:val="single" w:color="auto" w:sz="4" w:space="0"/>
              <w:bottom w:val="single" w:color="auto" w:sz="4" w:space="0"/>
              <w:right w:val="single" w:color="auto" w:sz="4" w:space="0"/>
            </w:tcBorders>
            <w:vAlign w:val="center"/>
          </w:tcPr>
          <w:p>
            <w:pPr>
              <w:pStyle w:val="33"/>
              <w:shd w:val="clear"/>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tcPr>
          <w:p>
            <w:pPr>
              <w:pStyle w:val="33"/>
              <w:shd w:val="clear"/>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33"/>
              <w:shd w:val="clear"/>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pStyle w:val="33"/>
              <w:shd w:val="clear"/>
              <w:snapToGrid w:val="0"/>
              <w:spacing w:before="120" w:after="120"/>
              <w:jc w:val="center"/>
              <w:outlineLvl w:val="0"/>
              <w:rPr>
                <w:rFonts w:ascii="仿宋" w:hAnsi="仿宋" w:eastAsia="仿宋" w:cs="Times New Roman"/>
                <w:snapToGrid/>
                <w:color w:val="auto"/>
                <w:sz w:val="24"/>
                <w:szCs w:val="24"/>
                <w:highlight w:val="none"/>
              </w:rPr>
            </w:pPr>
            <w:r>
              <w:rPr>
                <w:rFonts w:hint="eastAsia" w:ascii="仿宋" w:hAnsi="仿宋" w:eastAsia="仿宋"/>
                <w:b/>
                <w:color w:val="auto"/>
                <w:sz w:val="24"/>
                <w:highlight w:val="none"/>
              </w:rPr>
              <w:t>其他</w:t>
            </w:r>
          </w:p>
        </w:tc>
        <w:tc>
          <w:tcPr>
            <w:tcW w:w="3299" w:type="dxa"/>
            <w:tcBorders>
              <w:top w:val="single" w:color="auto" w:sz="4" w:space="0"/>
              <w:left w:val="single" w:color="auto" w:sz="4" w:space="0"/>
              <w:bottom w:val="single" w:color="auto" w:sz="4" w:space="0"/>
              <w:right w:val="single" w:color="auto" w:sz="4" w:space="0"/>
            </w:tcBorders>
            <w:vAlign w:val="center"/>
          </w:tcPr>
          <w:p>
            <w:pPr>
              <w:pStyle w:val="33"/>
              <w:shd w:val="clear"/>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tcPr>
          <w:p>
            <w:pPr>
              <w:pStyle w:val="33"/>
              <w:shd w:val="clear"/>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33"/>
              <w:shd w:val="clear"/>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pStyle w:val="33"/>
              <w:shd w:val="clear"/>
              <w:snapToGrid w:val="0"/>
              <w:spacing w:before="120" w:after="120"/>
              <w:jc w:val="center"/>
              <w:outlineLvl w:val="0"/>
              <w:rPr>
                <w:rFonts w:ascii="仿宋" w:hAnsi="仿宋" w:eastAsia="仿宋"/>
                <w:b/>
                <w:color w:val="auto"/>
                <w:sz w:val="24"/>
                <w:highlight w:val="none"/>
              </w:rPr>
            </w:pPr>
            <w:r>
              <w:rPr>
                <w:rFonts w:hint="eastAsia" w:ascii="仿宋" w:hAnsi="仿宋" w:eastAsia="仿宋"/>
                <w:b/>
                <w:color w:val="auto"/>
                <w:sz w:val="24"/>
                <w:highlight w:val="none"/>
              </w:rPr>
              <w:t>...</w:t>
            </w:r>
          </w:p>
        </w:tc>
        <w:tc>
          <w:tcPr>
            <w:tcW w:w="3299" w:type="dxa"/>
            <w:tcBorders>
              <w:top w:val="single" w:color="auto" w:sz="4" w:space="0"/>
              <w:left w:val="single" w:color="auto" w:sz="4" w:space="0"/>
              <w:bottom w:val="single" w:color="auto" w:sz="4" w:space="0"/>
              <w:right w:val="single" w:color="auto" w:sz="4" w:space="0"/>
            </w:tcBorders>
            <w:vAlign w:val="center"/>
          </w:tcPr>
          <w:p>
            <w:pPr>
              <w:pStyle w:val="33"/>
              <w:shd w:val="clear"/>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tcPr>
          <w:p>
            <w:pPr>
              <w:pStyle w:val="33"/>
              <w:shd w:val="clear"/>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33"/>
              <w:shd w:val="clear"/>
              <w:snapToGrid w:val="0"/>
              <w:spacing w:before="120" w:after="120"/>
              <w:jc w:val="center"/>
              <w:outlineLvl w:val="0"/>
              <w:rPr>
                <w:rFonts w:ascii="仿宋" w:hAnsi="仿宋" w:eastAsia="仿宋" w:cs="Times New Roman"/>
                <w:snapToGrid/>
                <w:color w:val="auto"/>
                <w:sz w:val="24"/>
                <w:szCs w:val="24"/>
                <w:highlight w:val="none"/>
              </w:rPr>
            </w:pPr>
          </w:p>
        </w:tc>
      </w:tr>
    </w:tbl>
    <w:p>
      <w:pPr>
        <w:shd w:val="clear"/>
        <w:spacing w:line="360" w:lineRule="auto"/>
        <w:ind w:right="420"/>
        <w:rPr>
          <w:rFonts w:ascii="仿宋" w:hAnsi="仿宋" w:eastAsia="仿宋" w:cs="仿宋_GB2312"/>
          <w:color w:val="auto"/>
          <w:sz w:val="24"/>
          <w:highlight w:val="none"/>
        </w:rPr>
      </w:pPr>
      <w:r>
        <w:rPr>
          <w:rFonts w:hint="eastAsia" w:ascii="仿宋" w:hAnsi="仿宋" w:eastAsia="仿宋" w:cs="仿宋_GB2312"/>
          <w:color w:val="auto"/>
          <w:sz w:val="24"/>
          <w:highlight w:val="none"/>
        </w:rPr>
        <w:t>注：</w:t>
      </w:r>
    </w:p>
    <w:p>
      <w:pPr>
        <w:shd w:val="clear"/>
        <w:spacing w:line="360" w:lineRule="auto"/>
        <w:ind w:right="420"/>
        <w:rPr>
          <w:rFonts w:ascii="仿宋" w:hAnsi="仿宋" w:eastAsia="仿宋" w:cs="仿宋_GB2312"/>
          <w:color w:val="auto"/>
          <w:sz w:val="24"/>
          <w:highlight w:val="none"/>
        </w:rPr>
      </w:pPr>
      <w:r>
        <w:rPr>
          <w:rFonts w:hint="eastAsia" w:ascii="仿宋" w:hAnsi="仿宋" w:eastAsia="仿宋" w:cs="仿宋_GB2312"/>
          <w:color w:val="auto"/>
          <w:sz w:val="24"/>
          <w:highlight w:val="none"/>
        </w:rPr>
        <w:t>1、投标人应对照采购文件要求和投标文件响应情况在“偏离情况”栏注明“正偏离”、“负偏离”或“无偏离”。</w:t>
      </w:r>
    </w:p>
    <w:p>
      <w:pPr>
        <w:shd w:val="clear"/>
        <w:spacing w:line="360" w:lineRule="auto"/>
        <w:ind w:right="42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2、“类别”一栏按采购文件第三章中商务要求的分类填写。</w:t>
      </w:r>
    </w:p>
    <w:p>
      <w:pPr>
        <w:shd w:val="clear"/>
        <w:spacing w:line="360" w:lineRule="auto"/>
        <w:ind w:right="420"/>
        <w:rPr>
          <w:rFonts w:ascii="仿宋" w:hAnsi="仿宋" w:eastAsia="仿宋" w:cs="仿宋_GB2312"/>
          <w:color w:val="auto"/>
          <w:sz w:val="24"/>
          <w:highlight w:val="none"/>
        </w:rPr>
      </w:pPr>
    </w:p>
    <w:p>
      <w:pPr>
        <w:shd w:val="clea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pPr>
        <w:shd w:val="clear"/>
        <w:snapToGrid w:val="0"/>
        <w:spacing w:before="50" w:after="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pPr>
        <w:shd w:val="clear"/>
        <w:spacing w:line="360" w:lineRule="auto"/>
        <w:jc w:val="center"/>
        <w:rPr>
          <w:rFonts w:ascii="仿宋" w:hAnsi="仿宋" w:eastAsia="仿宋" w:cs="仿宋_GB2312"/>
          <w:color w:val="auto"/>
          <w:sz w:val="24"/>
          <w:highlight w:val="none"/>
        </w:rPr>
      </w:pPr>
    </w:p>
    <w:p>
      <w:pPr>
        <w:shd w:val="clear"/>
        <w:tabs>
          <w:tab w:val="left" w:pos="2790"/>
          <w:tab w:val="left" w:pos="4230"/>
        </w:tabs>
        <w:autoSpaceDE w:val="0"/>
        <w:autoSpaceDN w:val="0"/>
        <w:spacing w:line="360" w:lineRule="auto"/>
        <w:ind w:right="1400"/>
        <w:jc w:val="center"/>
        <w:outlineLvl w:val="1"/>
        <w:rPr>
          <w:rFonts w:ascii="仿宋" w:hAnsi="仿宋" w:eastAsia="仿宋" w:cs="仿宋_GB2312"/>
          <w:b/>
          <w:bCs/>
          <w:color w:val="auto"/>
          <w:sz w:val="32"/>
          <w:szCs w:val="32"/>
          <w:highlight w:val="none"/>
        </w:rPr>
      </w:pPr>
      <w:r>
        <w:rPr>
          <w:rFonts w:hint="eastAsia" w:ascii="仿宋" w:hAnsi="仿宋" w:eastAsia="仿宋" w:cs="仿宋_GB2312"/>
          <w:b/>
          <w:bCs/>
          <w:color w:val="auto"/>
          <w:kern w:val="0"/>
          <w:sz w:val="36"/>
          <w:szCs w:val="36"/>
          <w:highlight w:val="none"/>
        </w:rPr>
        <w:t xml:space="preserve">      四</w:t>
      </w:r>
      <w:r>
        <w:rPr>
          <w:rFonts w:hint="eastAsia" w:ascii="仿宋" w:hAnsi="仿宋" w:eastAsia="仿宋" w:cs="仿宋_GB2312"/>
          <w:b/>
          <w:bCs/>
          <w:color w:val="auto"/>
          <w:sz w:val="32"/>
          <w:szCs w:val="32"/>
          <w:highlight w:val="none"/>
        </w:rPr>
        <w:t>、项目组织实施方案</w:t>
      </w:r>
    </w:p>
    <w:p>
      <w:pPr>
        <w:shd w:val="clea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pPr>
        <w:shd w:val="clear"/>
        <w:tabs>
          <w:tab w:val="left" w:pos="2790"/>
          <w:tab w:val="left" w:pos="4230"/>
        </w:tabs>
        <w:autoSpaceDE w:val="0"/>
        <w:autoSpaceDN w:val="0"/>
        <w:spacing w:line="360" w:lineRule="auto"/>
        <w:ind w:right="1400"/>
        <w:jc w:val="center"/>
        <w:outlineLvl w:val="1"/>
        <w:rPr>
          <w:rFonts w:ascii="仿宋" w:hAnsi="仿宋" w:eastAsia="仿宋" w:cs="仿宋_GB2312"/>
          <w:b/>
          <w:bCs/>
          <w:color w:val="auto"/>
          <w:sz w:val="32"/>
          <w:szCs w:val="32"/>
          <w:highlight w:val="none"/>
        </w:rPr>
      </w:pPr>
    </w:p>
    <w:p>
      <w:pPr>
        <w:shd w:val="clear"/>
        <w:tabs>
          <w:tab w:val="left" w:pos="2790"/>
          <w:tab w:val="left" w:pos="4230"/>
        </w:tabs>
        <w:autoSpaceDE w:val="0"/>
        <w:autoSpaceDN w:val="0"/>
        <w:spacing w:line="360" w:lineRule="auto"/>
        <w:ind w:right="1400"/>
        <w:jc w:val="center"/>
        <w:outlineLvl w:val="1"/>
        <w:rPr>
          <w:rFonts w:ascii="仿宋" w:hAnsi="仿宋" w:eastAsia="仿宋" w:cs="仿宋_GB2312"/>
          <w:b/>
          <w:bCs/>
          <w:color w:val="auto"/>
          <w:sz w:val="32"/>
          <w:szCs w:val="32"/>
          <w:highlight w:val="none"/>
        </w:rPr>
      </w:pPr>
    </w:p>
    <w:p>
      <w:pPr>
        <w:shd w:val="clear"/>
        <w:tabs>
          <w:tab w:val="left" w:pos="2790"/>
          <w:tab w:val="left" w:pos="4230"/>
        </w:tabs>
        <w:autoSpaceDE w:val="0"/>
        <w:autoSpaceDN w:val="0"/>
        <w:spacing w:line="360" w:lineRule="auto"/>
        <w:ind w:right="1400"/>
        <w:jc w:val="center"/>
        <w:outlineLvl w:val="1"/>
        <w:rPr>
          <w:rFonts w:ascii="仿宋" w:hAnsi="仿宋" w:eastAsia="仿宋" w:cs="仿宋_GB2312"/>
          <w:b/>
          <w:bCs/>
          <w:color w:val="auto"/>
          <w:sz w:val="32"/>
          <w:szCs w:val="32"/>
          <w:highlight w:val="none"/>
        </w:rPr>
      </w:pPr>
    </w:p>
    <w:p>
      <w:pPr>
        <w:pStyle w:val="68"/>
        <w:shd w:val="clear"/>
        <w:rPr>
          <w:rFonts w:ascii="仿宋" w:hAnsi="仿宋" w:eastAsia="仿宋" w:cs="仿宋_GB2312"/>
          <w:b/>
          <w:bCs/>
          <w:color w:val="auto"/>
          <w:sz w:val="32"/>
          <w:szCs w:val="32"/>
          <w:highlight w:val="none"/>
        </w:rPr>
      </w:pPr>
    </w:p>
    <w:p>
      <w:pPr>
        <w:pStyle w:val="68"/>
        <w:shd w:val="clear"/>
        <w:rPr>
          <w:rFonts w:ascii="仿宋" w:hAnsi="仿宋" w:eastAsia="仿宋" w:cs="仿宋_GB2312"/>
          <w:b/>
          <w:bCs/>
          <w:color w:val="auto"/>
          <w:sz w:val="32"/>
          <w:szCs w:val="32"/>
          <w:highlight w:val="none"/>
        </w:rPr>
      </w:pPr>
    </w:p>
    <w:p>
      <w:pPr>
        <w:pStyle w:val="68"/>
        <w:shd w:val="clear"/>
        <w:rPr>
          <w:rFonts w:ascii="仿宋" w:hAnsi="仿宋" w:eastAsia="仿宋" w:cs="仿宋_GB2312"/>
          <w:b/>
          <w:bCs/>
          <w:color w:val="auto"/>
          <w:sz w:val="32"/>
          <w:szCs w:val="32"/>
          <w:highlight w:val="none"/>
        </w:rPr>
      </w:pPr>
    </w:p>
    <w:p>
      <w:pPr>
        <w:pStyle w:val="68"/>
        <w:shd w:val="clear"/>
        <w:rPr>
          <w:rFonts w:ascii="仿宋" w:hAnsi="仿宋" w:eastAsia="仿宋" w:cs="仿宋_GB2312"/>
          <w:b/>
          <w:bCs/>
          <w:color w:val="auto"/>
          <w:sz w:val="32"/>
          <w:szCs w:val="32"/>
          <w:highlight w:val="none"/>
        </w:rPr>
      </w:pPr>
    </w:p>
    <w:p>
      <w:pPr>
        <w:pStyle w:val="68"/>
        <w:shd w:val="clear"/>
        <w:rPr>
          <w:rFonts w:ascii="仿宋" w:hAnsi="仿宋" w:eastAsia="仿宋" w:cs="仿宋_GB2312"/>
          <w:b/>
          <w:bCs/>
          <w:color w:val="auto"/>
          <w:sz w:val="32"/>
          <w:szCs w:val="32"/>
          <w:highlight w:val="none"/>
        </w:rPr>
      </w:pPr>
    </w:p>
    <w:p>
      <w:pPr>
        <w:pStyle w:val="68"/>
        <w:shd w:val="clear"/>
        <w:rPr>
          <w:rFonts w:ascii="仿宋" w:hAnsi="仿宋" w:eastAsia="仿宋" w:cs="仿宋_GB2312"/>
          <w:b/>
          <w:bCs/>
          <w:color w:val="auto"/>
          <w:sz w:val="32"/>
          <w:szCs w:val="32"/>
          <w:highlight w:val="none"/>
        </w:rPr>
      </w:pPr>
    </w:p>
    <w:p>
      <w:pPr>
        <w:pStyle w:val="68"/>
        <w:shd w:val="clear"/>
        <w:rPr>
          <w:rFonts w:ascii="仿宋" w:hAnsi="仿宋" w:eastAsia="仿宋" w:cs="仿宋_GB2312"/>
          <w:b/>
          <w:bCs/>
          <w:color w:val="auto"/>
          <w:sz w:val="32"/>
          <w:szCs w:val="32"/>
          <w:highlight w:val="none"/>
        </w:rPr>
      </w:pPr>
    </w:p>
    <w:p>
      <w:pPr>
        <w:pStyle w:val="68"/>
        <w:shd w:val="clear"/>
        <w:rPr>
          <w:rFonts w:ascii="仿宋" w:hAnsi="仿宋" w:eastAsia="仿宋" w:cs="仿宋_GB2312"/>
          <w:b/>
          <w:bCs/>
          <w:color w:val="auto"/>
          <w:sz w:val="32"/>
          <w:szCs w:val="32"/>
          <w:highlight w:val="none"/>
        </w:rPr>
      </w:pPr>
    </w:p>
    <w:p>
      <w:pPr>
        <w:pStyle w:val="68"/>
        <w:shd w:val="clear"/>
        <w:rPr>
          <w:rFonts w:ascii="仿宋" w:hAnsi="仿宋" w:eastAsia="仿宋" w:cs="仿宋_GB2312"/>
          <w:b/>
          <w:bCs/>
          <w:color w:val="auto"/>
          <w:sz w:val="32"/>
          <w:szCs w:val="32"/>
          <w:highlight w:val="none"/>
        </w:rPr>
      </w:pPr>
    </w:p>
    <w:p>
      <w:pPr>
        <w:pStyle w:val="68"/>
        <w:shd w:val="clear"/>
        <w:rPr>
          <w:rFonts w:ascii="仿宋" w:hAnsi="仿宋" w:eastAsia="仿宋" w:cs="仿宋_GB2312"/>
          <w:b/>
          <w:bCs/>
          <w:color w:val="auto"/>
          <w:sz w:val="32"/>
          <w:szCs w:val="32"/>
          <w:highlight w:val="none"/>
        </w:rPr>
      </w:pPr>
    </w:p>
    <w:p>
      <w:pPr>
        <w:pStyle w:val="68"/>
        <w:shd w:val="clear"/>
        <w:rPr>
          <w:rFonts w:ascii="仿宋" w:hAnsi="仿宋" w:eastAsia="仿宋" w:cs="仿宋_GB2312"/>
          <w:b/>
          <w:bCs/>
          <w:color w:val="auto"/>
          <w:sz w:val="32"/>
          <w:szCs w:val="32"/>
          <w:highlight w:val="none"/>
        </w:rPr>
      </w:pPr>
    </w:p>
    <w:p>
      <w:pPr>
        <w:pStyle w:val="68"/>
        <w:shd w:val="clear"/>
        <w:rPr>
          <w:rFonts w:ascii="仿宋" w:hAnsi="仿宋" w:eastAsia="仿宋" w:cs="仿宋_GB2312"/>
          <w:b/>
          <w:bCs/>
          <w:color w:val="auto"/>
          <w:sz w:val="32"/>
          <w:szCs w:val="32"/>
          <w:highlight w:val="none"/>
        </w:rPr>
      </w:pPr>
    </w:p>
    <w:p>
      <w:pPr>
        <w:pStyle w:val="68"/>
        <w:shd w:val="clear"/>
        <w:rPr>
          <w:rFonts w:ascii="仿宋" w:hAnsi="仿宋" w:eastAsia="仿宋" w:cs="仿宋_GB2312"/>
          <w:b/>
          <w:bCs/>
          <w:color w:val="auto"/>
          <w:sz w:val="32"/>
          <w:szCs w:val="32"/>
          <w:highlight w:val="none"/>
        </w:rPr>
      </w:pPr>
    </w:p>
    <w:p>
      <w:pPr>
        <w:pStyle w:val="68"/>
        <w:shd w:val="clear"/>
        <w:rPr>
          <w:rFonts w:ascii="仿宋" w:hAnsi="仿宋" w:eastAsia="仿宋" w:cs="仿宋_GB2312"/>
          <w:b/>
          <w:bCs/>
          <w:color w:val="auto"/>
          <w:sz w:val="32"/>
          <w:szCs w:val="32"/>
          <w:highlight w:val="none"/>
        </w:rPr>
      </w:pPr>
    </w:p>
    <w:p>
      <w:pPr>
        <w:pStyle w:val="68"/>
        <w:shd w:val="clear"/>
        <w:rPr>
          <w:rFonts w:ascii="仿宋" w:hAnsi="仿宋" w:eastAsia="仿宋" w:cs="仿宋_GB2312"/>
          <w:b/>
          <w:bCs/>
          <w:color w:val="auto"/>
          <w:sz w:val="32"/>
          <w:szCs w:val="32"/>
          <w:highlight w:val="none"/>
        </w:rPr>
      </w:pPr>
    </w:p>
    <w:p>
      <w:pPr>
        <w:pStyle w:val="68"/>
        <w:shd w:val="clear"/>
        <w:rPr>
          <w:rFonts w:ascii="仿宋" w:hAnsi="仿宋" w:eastAsia="仿宋" w:cs="仿宋_GB2312"/>
          <w:b/>
          <w:bCs/>
          <w:color w:val="auto"/>
          <w:sz w:val="32"/>
          <w:szCs w:val="32"/>
          <w:highlight w:val="none"/>
        </w:rPr>
      </w:pPr>
    </w:p>
    <w:p>
      <w:pPr>
        <w:pStyle w:val="68"/>
        <w:shd w:val="clear"/>
        <w:rPr>
          <w:rFonts w:ascii="仿宋" w:hAnsi="仿宋" w:eastAsia="仿宋" w:cs="仿宋_GB2312"/>
          <w:b/>
          <w:bCs/>
          <w:color w:val="auto"/>
          <w:sz w:val="32"/>
          <w:szCs w:val="32"/>
          <w:highlight w:val="none"/>
        </w:rPr>
      </w:pPr>
    </w:p>
    <w:p>
      <w:pPr>
        <w:pStyle w:val="68"/>
        <w:shd w:val="clear"/>
        <w:rPr>
          <w:rFonts w:ascii="仿宋" w:hAnsi="仿宋" w:eastAsia="仿宋" w:cs="仿宋_GB2312"/>
          <w:b/>
          <w:bCs/>
          <w:color w:val="auto"/>
          <w:sz w:val="32"/>
          <w:szCs w:val="32"/>
          <w:highlight w:val="none"/>
        </w:rPr>
      </w:pPr>
    </w:p>
    <w:p>
      <w:pPr>
        <w:pStyle w:val="68"/>
        <w:shd w:val="clear"/>
        <w:rPr>
          <w:rFonts w:ascii="仿宋" w:hAnsi="仿宋" w:eastAsia="仿宋" w:cs="仿宋_GB2312"/>
          <w:b/>
          <w:bCs/>
          <w:color w:val="auto"/>
          <w:sz w:val="32"/>
          <w:szCs w:val="32"/>
          <w:highlight w:val="none"/>
        </w:rPr>
      </w:pPr>
    </w:p>
    <w:p>
      <w:pPr>
        <w:pStyle w:val="68"/>
        <w:shd w:val="clear"/>
        <w:rPr>
          <w:rFonts w:ascii="仿宋" w:hAnsi="仿宋" w:eastAsia="仿宋" w:cs="仿宋_GB2312"/>
          <w:b/>
          <w:bCs/>
          <w:color w:val="auto"/>
          <w:sz w:val="32"/>
          <w:szCs w:val="32"/>
          <w:highlight w:val="none"/>
        </w:rPr>
      </w:pPr>
    </w:p>
    <w:p>
      <w:pPr>
        <w:pStyle w:val="68"/>
        <w:shd w:val="clear"/>
        <w:rPr>
          <w:rFonts w:ascii="仿宋" w:hAnsi="仿宋" w:eastAsia="仿宋" w:cs="仿宋_GB2312"/>
          <w:b/>
          <w:bCs/>
          <w:color w:val="auto"/>
          <w:sz w:val="32"/>
          <w:szCs w:val="32"/>
          <w:highlight w:val="none"/>
        </w:rPr>
      </w:pPr>
    </w:p>
    <w:p>
      <w:pPr>
        <w:pStyle w:val="68"/>
        <w:shd w:val="clear"/>
        <w:rPr>
          <w:rFonts w:ascii="仿宋" w:hAnsi="仿宋" w:eastAsia="仿宋" w:cs="仿宋_GB2312"/>
          <w:b/>
          <w:bCs/>
          <w:color w:val="auto"/>
          <w:sz w:val="32"/>
          <w:szCs w:val="32"/>
          <w:highlight w:val="none"/>
        </w:rPr>
      </w:pPr>
    </w:p>
    <w:p>
      <w:pPr>
        <w:pStyle w:val="68"/>
        <w:shd w:val="clear"/>
        <w:rPr>
          <w:rFonts w:ascii="仿宋" w:hAnsi="仿宋" w:eastAsia="仿宋" w:cs="仿宋_GB2312"/>
          <w:b/>
          <w:bCs/>
          <w:color w:val="auto"/>
          <w:sz w:val="32"/>
          <w:szCs w:val="32"/>
          <w:highlight w:val="none"/>
        </w:rPr>
      </w:pPr>
    </w:p>
    <w:p>
      <w:pPr>
        <w:pStyle w:val="68"/>
        <w:shd w:val="clear"/>
        <w:rPr>
          <w:rFonts w:ascii="仿宋" w:hAnsi="仿宋" w:eastAsia="仿宋" w:cs="仿宋_GB2312"/>
          <w:b/>
          <w:bCs/>
          <w:color w:val="auto"/>
          <w:sz w:val="32"/>
          <w:szCs w:val="32"/>
          <w:highlight w:val="none"/>
        </w:rPr>
      </w:pPr>
    </w:p>
    <w:p>
      <w:pPr>
        <w:pStyle w:val="68"/>
        <w:shd w:val="clear"/>
        <w:rPr>
          <w:rFonts w:ascii="仿宋" w:hAnsi="仿宋" w:eastAsia="仿宋" w:cs="仿宋_GB2312"/>
          <w:b/>
          <w:bCs/>
          <w:color w:val="auto"/>
          <w:sz w:val="32"/>
          <w:szCs w:val="32"/>
          <w:highlight w:val="none"/>
        </w:rPr>
      </w:pPr>
    </w:p>
    <w:p>
      <w:pPr>
        <w:shd w:val="clear"/>
        <w:tabs>
          <w:tab w:val="left" w:pos="2790"/>
          <w:tab w:val="left" w:pos="4230"/>
        </w:tabs>
        <w:autoSpaceDE w:val="0"/>
        <w:autoSpaceDN w:val="0"/>
        <w:spacing w:line="360" w:lineRule="auto"/>
        <w:ind w:right="1400"/>
        <w:jc w:val="center"/>
        <w:outlineLvl w:val="1"/>
        <w:rPr>
          <w:rFonts w:ascii="仿宋" w:hAnsi="仿宋" w:eastAsia="仿宋" w:cs="仿宋_GB2312"/>
          <w:b/>
          <w:bCs/>
          <w:color w:val="auto"/>
          <w:sz w:val="32"/>
          <w:szCs w:val="32"/>
          <w:highlight w:val="none"/>
        </w:rPr>
      </w:pPr>
    </w:p>
    <w:p>
      <w:pPr>
        <w:shd w:val="clear"/>
        <w:tabs>
          <w:tab w:val="left" w:pos="2790"/>
          <w:tab w:val="left" w:pos="4230"/>
        </w:tabs>
        <w:autoSpaceDE w:val="0"/>
        <w:autoSpaceDN w:val="0"/>
        <w:spacing w:line="360" w:lineRule="auto"/>
        <w:ind w:right="1400"/>
        <w:jc w:val="center"/>
        <w:outlineLvl w:val="1"/>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五、项目负责人情况表</w:t>
      </w:r>
    </w:p>
    <w:p>
      <w:pPr>
        <w:shd w:val="clear"/>
        <w:spacing w:line="360" w:lineRule="auto"/>
        <w:jc w:val="center"/>
        <w:rPr>
          <w:rFonts w:ascii="仿宋" w:hAnsi="仿宋" w:eastAsia="仿宋" w:cs="仿宋_GB2312"/>
          <w:color w:val="auto"/>
          <w:sz w:val="24"/>
          <w:highlight w:val="none"/>
        </w:rPr>
      </w:pPr>
    </w:p>
    <w:tbl>
      <w:tblPr>
        <w:tblStyle w:val="58"/>
        <w:tblW w:w="9072" w:type="dxa"/>
        <w:tblInd w:w="108" w:type="dxa"/>
        <w:tblLayout w:type="fixed"/>
        <w:tblCellMar>
          <w:top w:w="0" w:type="dxa"/>
          <w:left w:w="108" w:type="dxa"/>
          <w:bottom w:w="0" w:type="dxa"/>
          <w:right w:w="108" w:type="dxa"/>
        </w:tblCellMar>
      </w:tblPr>
      <w:tblGrid>
        <w:gridCol w:w="1953"/>
        <w:gridCol w:w="1308"/>
        <w:gridCol w:w="5811"/>
      </w:tblGrid>
      <w:tr>
        <w:tblPrEx>
          <w:tblCellMar>
            <w:top w:w="0" w:type="dxa"/>
            <w:left w:w="108" w:type="dxa"/>
            <w:bottom w:w="0" w:type="dxa"/>
            <w:right w:w="108" w:type="dxa"/>
          </w:tblCellMar>
        </w:tblPrEx>
        <w:trPr>
          <w:trHeight w:val="604" w:hRule="atLeast"/>
        </w:trPr>
        <w:tc>
          <w:tcPr>
            <w:tcW w:w="195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姓名</w:t>
            </w:r>
          </w:p>
        </w:tc>
        <w:tc>
          <w:tcPr>
            <w:tcW w:w="1308"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spacing w:line="360" w:lineRule="auto"/>
              <w:jc w:val="center"/>
              <w:rPr>
                <w:rFonts w:ascii="仿宋" w:hAnsi="仿宋" w:eastAsia="仿宋" w:cs="仿宋_GB2312"/>
                <w:color w:val="auto"/>
                <w:sz w:val="24"/>
                <w:highlight w:val="none"/>
              </w:rPr>
            </w:pPr>
          </w:p>
        </w:tc>
        <w:tc>
          <w:tcPr>
            <w:tcW w:w="5811"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投标截止时间前三年业绩及承担的主要工作情况，曾担任项目负责人的项目应列明细</w:t>
            </w: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性别</w:t>
            </w:r>
          </w:p>
        </w:tc>
        <w:tc>
          <w:tcPr>
            <w:tcW w:w="1308" w:type="dxa"/>
            <w:tcBorders>
              <w:top w:val="single" w:color="auto" w:sz="6" w:space="0"/>
              <w:left w:val="single" w:color="auto" w:sz="6" w:space="0"/>
              <w:bottom w:val="single" w:color="auto" w:sz="6" w:space="0"/>
              <w:right w:val="single" w:color="auto" w:sz="6" w:space="0"/>
            </w:tcBorders>
          </w:tcPr>
          <w:p>
            <w:pPr>
              <w:shd w:val="clear"/>
              <w:autoSpaceDE w:val="0"/>
              <w:autoSpaceDN w:val="0"/>
              <w:spacing w:line="360" w:lineRule="auto"/>
              <w:jc w:val="center"/>
              <w:rPr>
                <w:rFonts w:ascii="仿宋" w:hAnsi="仿宋" w:eastAsia="仿宋" w:cs="仿宋_GB2312"/>
                <w:color w:val="auto"/>
                <w:sz w:val="24"/>
                <w:highlight w:val="none"/>
              </w:rPr>
            </w:pPr>
          </w:p>
        </w:tc>
        <w:tc>
          <w:tcPr>
            <w:tcW w:w="5811" w:type="dxa"/>
            <w:vMerge w:val="restart"/>
            <w:tcBorders>
              <w:top w:val="single" w:color="auto" w:sz="6" w:space="0"/>
              <w:left w:val="single" w:color="auto" w:sz="6" w:space="0"/>
              <w:bottom w:val="single" w:color="auto" w:sz="6" w:space="0"/>
              <w:right w:val="single" w:color="auto" w:sz="6" w:space="0"/>
            </w:tcBorders>
            <w:vAlign w:val="center"/>
          </w:tcPr>
          <w:p>
            <w:pPr>
              <w:shd w:val="clea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337" w:hRule="atLeast"/>
        </w:trPr>
        <w:tc>
          <w:tcPr>
            <w:tcW w:w="195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年龄</w:t>
            </w:r>
          </w:p>
        </w:tc>
        <w:tc>
          <w:tcPr>
            <w:tcW w:w="1308" w:type="dxa"/>
            <w:tcBorders>
              <w:top w:val="single" w:color="auto" w:sz="6" w:space="0"/>
              <w:left w:val="single" w:color="auto" w:sz="6" w:space="0"/>
              <w:bottom w:val="single" w:color="auto" w:sz="6" w:space="0"/>
              <w:right w:val="single" w:color="auto" w:sz="6" w:space="0"/>
            </w:tcBorders>
          </w:tcPr>
          <w:p>
            <w:pPr>
              <w:shd w:val="clear"/>
              <w:autoSpaceDE w:val="0"/>
              <w:autoSpaceDN w:val="0"/>
              <w:spacing w:line="360" w:lineRule="auto"/>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shd w:val="clea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职称</w:t>
            </w:r>
          </w:p>
        </w:tc>
        <w:tc>
          <w:tcPr>
            <w:tcW w:w="1308" w:type="dxa"/>
            <w:tcBorders>
              <w:top w:val="single" w:color="auto" w:sz="6" w:space="0"/>
              <w:left w:val="single" w:color="auto" w:sz="6" w:space="0"/>
              <w:bottom w:val="single" w:color="auto" w:sz="6" w:space="0"/>
              <w:right w:val="single" w:color="auto" w:sz="6" w:space="0"/>
            </w:tcBorders>
          </w:tcPr>
          <w:p>
            <w:pPr>
              <w:shd w:val="clear"/>
              <w:autoSpaceDE w:val="0"/>
              <w:autoSpaceDN w:val="0"/>
              <w:spacing w:line="360" w:lineRule="auto"/>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shd w:val="clea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毕业时间</w:t>
            </w:r>
          </w:p>
        </w:tc>
        <w:tc>
          <w:tcPr>
            <w:tcW w:w="1308" w:type="dxa"/>
            <w:tcBorders>
              <w:top w:val="single" w:color="auto" w:sz="6" w:space="0"/>
              <w:left w:val="single" w:color="auto" w:sz="6" w:space="0"/>
              <w:bottom w:val="single" w:color="auto" w:sz="6" w:space="0"/>
              <w:right w:val="single" w:color="auto" w:sz="6" w:space="0"/>
            </w:tcBorders>
          </w:tcPr>
          <w:p>
            <w:pPr>
              <w:shd w:val="clear"/>
              <w:autoSpaceDE w:val="0"/>
              <w:autoSpaceDN w:val="0"/>
              <w:spacing w:line="360" w:lineRule="auto"/>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shd w:val="clea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422" w:hRule="atLeast"/>
        </w:trPr>
        <w:tc>
          <w:tcPr>
            <w:tcW w:w="195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所学专业</w:t>
            </w:r>
          </w:p>
        </w:tc>
        <w:tc>
          <w:tcPr>
            <w:tcW w:w="1308" w:type="dxa"/>
            <w:tcBorders>
              <w:top w:val="single" w:color="auto" w:sz="6" w:space="0"/>
              <w:left w:val="single" w:color="auto" w:sz="6" w:space="0"/>
              <w:bottom w:val="single" w:color="auto" w:sz="6" w:space="0"/>
              <w:right w:val="single" w:color="auto" w:sz="6" w:space="0"/>
            </w:tcBorders>
          </w:tcPr>
          <w:p>
            <w:pPr>
              <w:shd w:val="clear"/>
              <w:autoSpaceDE w:val="0"/>
              <w:autoSpaceDN w:val="0"/>
              <w:spacing w:line="360" w:lineRule="auto"/>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shd w:val="clea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416" w:hRule="atLeast"/>
        </w:trPr>
        <w:tc>
          <w:tcPr>
            <w:tcW w:w="195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学历</w:t>
            </w:r>
          </w:p>
        </w:tc>
        <w:tc>
          <w:tcPr>
            <w:tcW w:w="1308" w:type="dxa"/>
            <w:tcBorders>
              <w:top w:val="single" w:color="auto" w:sz="6" w:space="0"/>
              <w:left w:val="single" w:color="auto" w:sz="6" w:space="0"/>
              <w:bottom w:val="single" w:color="auto" w:sz="6" w:space="0"/>
              <w:right w:val="single" w:color="auto" w:sz="6" w:space="0"/>
            </w:tcBorders>
          </w:tcPr>
          <w:p>
            <w:pPr>
              <w:shd w:val="clear"/>
              <w:autoSpaceDE w:val="0"/>
              <w:autoSpaceDN w:val="0"/>
              <w:spacing w:line="360" w:lineRule="auto"/>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shd w:val="clea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356" w:hRule="atLeast"/>
        </w:trPr>
        <w:tc>
          <w:tcPr>
            <w:tcW w:w="195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相关资质证书</w:t>
            </w:r>
          </w:p>
        </w:tc>
        <w:tc>
          <w:tcPr>
            <w:tcW w:w="1308" w:type="dxa"/>
            <w:tcBorders>
              <w:top w:val="single" w:color="auto" w:sz="6" w:space="0"/>
              <w:left w:val="single" w:color="auto" w:sz="6" w:space="0"/>
              <w:bottom w:val="single" w:color="auto" w:sz="6" w:space="0"/>
              <w:right w:val="single" w:color="auto" w:sz="6" w:space="0"/>
            </w:tcBorders>
          </w:tcPr>
          <w:p>
            <w:pPr>
              <w:shd w:val="clear"/>
              <w:autoSpaceDE w:val="0"/>
              <w:autoSpaceDN w:val="0"/>
              <w:spacing w:line="360" w:lineRule="auto"/>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shd w:val="clea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177" w:hRule="atLeast"/>
        </w:trPr>
        <w:tc>
          <w:tcPr>
            <w:tcW w:w="195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其他资质情况</w:t>
            </w:r>
          </w:p>
        </w:tc>
        <w:tc>
          <w:tcPr>
            <w:tcW w:w="1308" w:type="dxa"/>
            <w:tcBorders>
              <w:top w:val="single" w:color="auto" w:sz="6" w:space="0"/>
              <w:left w:val="single" w:color="auto" w:sz="6" w:space="0"/>
              <w:bottom w:val="single" w:color="auto" w:sz="6" w:space="0"/>
              <w:right w:val="single" w:color="auto" w:sz="6" w:space="0"/>
            </w:tcBorders>
          </w:tcPr>
          <w:p>
            <w:pPr>
              <w:shd w:val="clear"/>
              <w:autoSpaceDE w:val="0"/>
              <w:autoSpaceDN w:val="0"/>
              <w:spacing w:line="360" w:lineRule="auto"/>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shd w:val="clea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169" w:hRule="atLeast"/>
        </w:trPr>
        <w:tc>
          <w:tcPr>
            <w:tcW w:w="195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联系电话</w:t>
            </w:r>
          </w:p>
        </w:tc>
        <w:tc>
          <w:tcPr>
            <w:tcW w:w="1308" w:type="dxa"/>
            <w:tcBorders>
              <w:top w:val="single" w:color="auto" w:sz="6" w:space="0"/>
              <w:left w:val="single" w:color="auto" w:sz="6" w:space="0"/>
              <w:bottom w:val="single" w:color="auto" w:sz="6" w:space="0"/>
              <w:right w:val="single" w:color="auto" w:sz="6" w:space="0"/>
            </w:tcBorders>
          </w:tcPr>
          <w:p>
            <w:pPr>
              <w:shd w:val="clear"/>
              <w:autoSpaceDE w:val="0"/>
              <w:autoSpaceDN w:val="0"/>
              <w:spacing w:line="360" w:lineRule="auto"/>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shd w:val="clear"/>
              <w:autoSpaceDE w:val="0"/>
              <w:autoSpaceDN w:val="0"/>
              <w:spacing w:line="360" w:lineRule="auto"/>
              <w:jc w:val="center"/>
              <w:rPr>
                <w:rFonts w:ascii="仿宋" w:hAnsi="仿宋" w:eastAsia="仿宋" w:cs="仿宋_GB2312"/>
                <w:color w:val="auto"/>
                <w:sz w:val="24"/>
                <w:highlight w:val="none"/>
              </w:rPr>
            </w:pPr>
          </w:p>
        </w:tc>
      </w:tr>
    </w:tbl>
    <w:p>
      <w:pPr>
        <w:shd w:val="clear"/>
        <w:spacing w:line="360" w:lineRule="auto"/>
        <w:ind w:right="420"/>
        <w:rPr>
          <w:rFonts w:ascii="仿宋" w:hAnsi="仿宋" w:eastAsia="仿宋" w:cs="仿宋_GB2312"/>
          <w:color w:val="auto"/>
          <w:sz w:val="24"/>
          <w:highlight w:val="none"/>
        </w:rPr>
      </w:pPr>
      <w:r>
        <w:rPr>
          <w:rFonts w:hint="eastAsia" w:ascii="仿宋" w:hAnsi="仿宋" w:eastAsia="仿宋" w:cs="仿宋_GB2312"/>
          <w:color w:val="auto"/>
          <w:sz w:val="24"/>
          <w:highlight w:val="none"/>
        </w:rPr>
        <w:t>注：本表应附项目负责人的职称证书、注册造价工程师证书（2018 年7月20日发布“建人[2018]67 号”文件之前取得的造价工程师与一级造价师等同）</w:t>
      </w:r>
    </w:p>
    <w:p>
      <w:pPr>
        <w:shd w:val="clear"/>
        <w:spacing w:line="360" w:lineRule="auto"/>
        <w:ind w:right="420" w:firstLine="480" w:firstLineChars="200"/>
        <w:rPr>
          <w:rFonts w:ascii="仿宋" w:hAnsi="仿宋" w:eastAsia="仿宋" w:cs="仿宋_GB2312"/>
          <w:color w:val="auto"/>
          <w:sz w:val="24"/>
          <w:highlight w:val="none"/>
        </w:rPr>
      </w:pPr>
    </w:p>
    <w:p>
      <w:pPr>
        <w:shd w:val="clea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pPr>
        <w:shd w:val="clear"/>
        <w:snapToGrid w:val="0"/>
        <w:spacing w:before="50" w:after="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pPr>
        <w:shd w:val="clear"/>
        <w:spacing w:line="360" w:lineRule="auto"/>
        <w:jc w:val="center"/>
        <w:rPr>
          <w:rFonts w:ascii="仿宋" w:hAnsi="仿宋" w:eastAsia="仿宋" w:cs="仿宋_GB2312"/>
          <w:b/>
          <w:bCs/>
          <w:color w:val="auto"/>
          <w:sz w:val="32"/>
          <w:szCs w:val="32"/>
          <w:highlight w:val="none"/>
        </w:rPr>
      </w:pPr>
      <w:r>
        <w:rPr>
          <w:rFonts w:hint="eastAsia" w:ascii="仿宋" w:hAnsi="仿宋" w:eastAsia="仿宋" w:cs="仿宋_GB2312"/>
          <w:color w:val="auto"/>
          <w:sz w:val="24"/>
          <w:highlight w:val="none"/>
        </w:rPr>
        <w:br w:type="page"/>
      </w:r>
      <w:r>
        <w:rPr>
          <w:rFonts w:hint="eastAsia" w:ascii="仿宋" w:hAnsi="仿宋" w:eastAsia="仿宋" w:cs="仿宋_GB2312"/>
          <w:b/>
          <w:bCs/>
          <w:color w:val="auto"/>
          <w:sz w:val="32"/>
          <w:szCs w:val="32"/>
          <w:highlight w:val="none"/>
        </w:rPr>
        <w:t>六、项目组人员名单</w:t>
      </w:r>
    </w:p>
    <w:tbl>
      <w:tblPr>
        <w:tblStyle w:val="58"/>
        <w:tblW w:w="8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200"/>
        <w:gridCol w:w="1835"/>
        <w:gridCol w:w="1500"/>
        <w:gridCol w:w="1356"/>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05" w:type="dxa"/>
            <w:vAlign w:val="center"/>
          </w:tcPr>
          <w:p>
            <w:pPr>
              <w:shd w:val="clear"/>
              <w:jc w:val="center"/>
              <w:rPr>
                <w:rFonts w:ascii="仿宋" w:hAnsi="仿宋" w:eastAsia="仿宋"/>
                <w:color w:val="auto"/>
                <w:sz w:val="24"/>
                <w:highlight w:val="none"/>
              </w:rPr>
            </w:pPr>
            <w:r>
              <w:rPr>
                <w:rFonts w:hint="eastAsia" w:ascii="仿宋" w:hAnsi="仿宋" w:eastAsia="仿宋"/>
                <w:color w:val="auto"/>
                <w:sz w:val="24"/>
                <w:highlight w:val="none"/>
              </w:rPr>
              <w:t>拟任岗位</w:t>
            </w:r>
          </w:p>
        </w:tc>
        <w:tc>
          <w:tcPr>
            <w:tcW w:w="1200" w:type="dxa"/>
            <w:vAlign w:val="center"/>
          </w:tcPr>
          <w:p>
            <w:pPr>
              <w:shd w:val="clear"/>
              <w:jc w:val="center"/>
              <w:rPr>
                <w:rFonts w:ascii="仿宋" w:hAnsi="仿宋" w:eastAsia="仿宋"/>
                <w:color w:val="auto"/>
                <w:sz w:val="24"/>
                <w:highlight w:val="none"/>
              </w:rPr>
            </w:pPr>
            <w:r>
              <w:rPr>
                <w:rFonts w:hint="eastAsia" w:ascii="仿宋" w:hAnsi="仿宋" w:eastAsia="仿宋"/>
                <w:color w:val="auto"/>
                <w:sz w:val="24"/>
                <w:highlight w:val="none"/>
              </w:rPr>
              <w:t>姓名</w:t>
            </w:r>
          </w:p>
        </w:tc>
        <w:tc>
          <w:tcPr>
            <w:tcW w:w="1835" w:type="dxa"/>
            <w:vAlign w:val="center"/>
          </w:tcPr>
          <w:p>
            <w:pPr>
              <w:shd w:val="clear"/>
              <w:jc w:val="center"/>
              <w:rPr>
                <w:rFonts w:ascii="仿宋" w:hAnsi="仿宋" w:eastAsia="仿宋"/>
                <w:color w:val="auto"/>
                <w:sz w:val="24"/>
                <w:highlight w:val="none"/>
              </w:rPr>
            </w:pPr>
            <w:r>
              <w:rPr>
                <w:rFonts w:hint="eastAsia" w:ascii="仿宋" w:hAnsi="仿宋" w:eastAsia="仿宋"/>
                <w:color w:val="auto"/>
                <w:sz w:val="24"/>
                <w:highlight w:val="none"/>
              </w:rPr>
              <w:t>取得资格</w:t>
            </w:r>
          </w:p>
        </w:tc>
        <w:tc>
          <w:tcPr>
            <w:tcW w:w="1500" w:type="dxa"/>
            <w:vAlign w:val="center"/>
          </w:tcPr>
          <w:p>
            <w:pPr>
              <w:shd w:val="clear"/>
              <w:jc w:val="center"/>
              <w:rPr>
                <w:rFonts w:ascii="仿宋" w:hAnsi="仿宋" w:eastAsia="仿宋"/>
                <w:color w:val="auto"/>
                <w:sz w:val="24"/>
                <w:highlight w:val="none"/>
              </w:rPr>
            </w:pPr>
            <w:r>
              <w:rPr>
                <w:rFonts w:hint="eastAsia" w:ascii="仿宋" w:hAnsi="仿宋" w:eastAsia="仿宋"/>
                <w:color w:val="auto"/>
                <w:sz w:val="24"/>
                <w:highlight w:val="none"/>
              </w:rPr>
              <w:t>从事年限</w:t>
            </w:r>
          </w:p>
        </w:tc>
        <w:tc>
          <w:tcPr>
            <w:tcW w:w="1356" w:type="dxa"/>
            <w:vAlign w:val="center"/>
          </w:tcPr>
          <w:p>
            <w:pPr>
              <w:shd w:val="clear"/>
              <w:jc w:val="center"/>
              <w:rPr>
                <w:rFonts w:ascii="仿宋" w:hAnsi="仿宋" w:eastAsia="仿宋"/>
                <w:color w:val="auto"/>
                <w:sz w:val="24"/>
                <w:highlight w:val="none"/>
              </w:rPr>
            </w:pPr>
            <w:r>
              <w:rPr>
                <w:rFonts w:hint="eastAsia" w:ascii="仿宋" w:hAnsi="仿宋" w:eastAsia="仿宋"/>
                <w:color w:val="auto"/>
                <w:sz w:val="24"/>
                <w:highlight w:val="none"/>
              </w:rPr>
              <w:t>从事专业</w:t>
            </w:r>
          </w:p>
        </w:tc>
        <w:tc>
          <w:tcPr>
            <w:tcW w:w="1205" w:type="dxa"/>
            <w:vAlign w:val="center"/>
          </w:tcPr>
          <w:p>
            <w:pPr>
              <w:shd w:val="clear"/>
              <w:jc w:val="center"/>
              <w:rPr>
                <w:rFonts w:ascii="仿宋" w:hAnsi="仿宋" w:eastAsia="仿宋"/>
                <w:color w:val="auto"/>
                <w:sz w:val="24"/>
                <w:highlight w:val="none"/>
              </w:rPr>
            </w:pPr>
            <w:r>
              <w:rPr>
                <w:rFonts w:hint="eastAsia" w:ascii="仿宋" w:hAnsi="仿宋" w:eastAsia="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05" w:type="dxa"/>
            <w:vAlign w:val="center"/>
          </w:tcPr>
          <w:p>
            <w:pPr>
              <w:shd w:val="clear"/>
              <w:jc w:val="center"/>
              <w:rPr>
                <w:rFonts w:ascii="仿宋" w:hAnsi="仿宋" w:eastAsia="仿宋"/>
                <w:color w:val="auto"/>
                <w:sz w:val="24"/>
                <w:highlight w:val="none"/>
              </w:rPr>
            </w:pPr>
          </w:p>
        </w:tc>
        <w:tc>
          <w:tcPr>
            <w:tcW w:w="1200" w:type="dxa"/>
            <w:vAlign w:val="center"/>
          </w:tcPr>
          <w:p>
            <w:pPr>
              <w:shd w:val="clear"/>
              <w:jc w:val="center"/>
              <w:rPr>
                <w:rFonts w:ascii="仿宋" w:hAnsi="仿宋" w:eastAsia="仿宋"/>
                <w:color w:val="auto"/>
                <w:sz w:val="24"/>
                <w:highlight w:val="none"/>
              </w:rPr>
            </w:pPr>
          </w:p>
        </w:tc>
        <w:tc>
          <w:tcPr>
            <w:tcW w:w="1835" w:type="dxa"/>
            <w:vAlign w:val="center"/>
          </w:tcPr>
          <w:p>
            <w:pPr>
              <w:shd w:val="clear"/>
              <w:jc w:val="center"/>
              <w:rPr>
                <w:rFonts w:ascii="仿宋" w:hAnsi="仿宋" w:eastAsia="仿宋"/>
                <w:color w:val="auto"/>
                <w:sz w:val="24"/>
                <w:highlight w:val="none"/>
              </w:rPr>
            </w:pPr>
          </w:p>
        </w:tc>
        <w:tc>
          <w:tcPr>
            <w:tcW w:w="1500" w:type="dxa"/>
            <w:vAlign w:val="center"/>
          </w:tcPr>
          <w:p>
            <w:pPr>
              <w:shd w:val="clear"/>
              <w:jc w:val="center"/>
              <w:rPr>
                <w:rFonts w:ascii="仿宋" w:hAnsi="仿宋" w:eastAsia="仿宋"/>
                <w:color w:val="auto"/>
                <w:sz w:val="24"/>
                <w:highlight w:val="none"/>
              </w:rPr>
            </w:pPr>
          </w:p>
        </w:tc>
        <w:tc>
          <w:tcPr>
            <w:tcW w:w="1356" w:type="dxa"/>
            <w:vAlign w:val="center"/>
          </w:tcPr>
          <w:p>
            <w:pPr>
              <w:shd w:val="clear"/>
              <w:jc w:val="center"/>
              <w:rPr>
                <w:rFonts w:ascii="仿宋" w:hAnsi="仿宋" w:eastAsia="仿宋"/>
                <w:color w:val="auto"/>
                <w:sz w:val="24"/>
                <w:highlight w:val="none"/>
              </w:rPr>
            </w:pPr>
          </w:p>
        </w:tc>
        <w:tc>
          <w:tcPr>
            <w:tcW w:w="1205" w:type="dxa"/>
            <w:vAlign w:val="center"/>
          </w:tcPr>
          <w:p>
            <w:pPr>
              <w:shd w:val="clea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05" w:type="dxa"/>
            <w:vAlign w:val="center"/>
          </w:tcPr>
          <w:p>
            <w:pPr>
              <w:shd w:val="clear"/>
              <w:jc w:val="center"/>
              <w:rPr>
                <w:rFonts w:ascii="仿宋" w:hAnsi="仿宋" w:eastAsia="仿宋"/>
                <w:color w:val="auto"/>
                <w:sz w:val="24"/>
                <w:highlight w:val="none"/>
              </w:rPr>
            </w:pPr>
          </w:p>
        </w:tc>
        <w:tc>
          <w:tcPr>
            <w:tcW w:w="1200" w:type="dxa"/>
            <w:vAlign w:val="center"/>
          </w:tcPr>
          <w:p>
            <w:pPr>
              <w:shd w:val="clear"/>
              <w:jc w:val="center"/>
              <w:rPr>
                <w:rFonts w:ascii="仿宋" w:hAnsi="仿宋" w:eastAsia="仿宋"/>
                <w:color w:val="auto"/>
                <w:sz w:val="24"/>
                <w:highlight w:val="none"/>
              </w:rPr>
            </w:pPr>
          </w:p>
        </w:tc>
        <w:tc>
          <w:tcPr>
            <w:tcW w:w="1835" w:type="dxa"/>
            <w:vAlign w:val="center"/>
          </w:tcPr>
          <w:p>
            <w:pPr>
              <w:shd w:val="clear"/>
              <w:jc w:val="center"/>
              <w:rPr>
                <w:rFonts w:ascii="仿宋" w:hAnsi="仿宋" w:eastAsia="仿宋"/>
                <w:color w:val="auto"/>
                <w:sz w:val="24"/>
                <w:highlight w:val="none"/>
              </w:rPr>
            </w:pPr>
          </w:p>
        </w:tc>
        <w:tc>
          <w:tcPr>
            <w:tcW w:w="1500" w:type="dxa"/>
            <w:vAlign w:val="center"/>
          </w:tcPr>
          <w:p>
            <w:pPr>
              <w:shd w:val="clear"/>
              <w:jc w:val="center"/>
              <w:rPr>
                <w:rFonts w:ascii="仿宋" w:hAnsi="仿宋" w:eastAsia="仿宋"/>
                <w:color w:val="auto"/>
                <w:sz w:val="24"/>
                <w:highlight w:val="none"/>
              </w:rPr>
            </w:pPr>
          </w:p>
        </w:tc>
        <w:tc>
          <w:tcPr>
            <w:tcW w:w="1356" w:type="dxa"/>
            <w:vAlign w:val="center"/>
          </w:tcPr>
          <w:p>
            <w:pPr>
              <w:shd w:val="clear"/>
              <w:jc w:val="center"/>
              <w:rPr>
                <w:rFonts w:ascii="仿宋" w:hAnsi="仿宋" w:eastAsia="仿宋"/>
                <w:color w:val="auto"/>
                <w:sz w:val="24"/>
                <w:highlight w:val="none"/>
              </w:rPr>
            </w:pPr>
          </w:p>
        </w:tc>
        <w:tc>
          <w:tcPr>
            <w:tcW w:w="1205" w:type="dxa"/>
            <w:vAlign w:val="center"/>
          </w:tcPr>
          <w:p>
            <w:pPr>
              <w:shd w:val="clea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05" w:type="dxa"/>
            <w:vAlign w:val="center"/>
          </w:tcPr>
          <w:p>
            <w:pPr>
              <w:shd w:val="clear"/>
              <w:jc w:val="center"/>
              <w:rPr>
                <w:rFonts w:ascii="仿宋" w:hAnsi="仿宋" w:eastAsia="仿宋"/>
                <w:color w:val="auto"/>
                <w:sz w:val="24"/>
                <w:highlight w:val="none"/>
              </w:rPr>
            </w:pPr>
          </w:p>
        </w:tc>
        <w:tc>
          <w:tcPr>
            <w:tcW w:w="1200" w:type="dxa"/>
            <w:vAlign w:val="center"/>
          </w:tcPr>
          <w:p>
            <w:pPr>
              <w:shd w:val="clear"/>
              <w:jc w:val="center"/>
              <w:rPr>
                <w:rFonts w:ascii="仿宋" w:hAnsi="仿宋" w:eastAsia="仿宋"/>
                <w:color w:val="auto"/>
                <w:sz w:val="24"/>
                <w:highlight w:val="none"/>
              </w:rPr>
            </w:pPr>
          </w:p>
        </w:tc>
        <w:tc>
          <w:tcPr>
            <w:tcW w:w="1835" w:type="dxa"/>
            <w:vAlign w:val="center"/>
          </w:tcPr>
          <w:p>
            <w:pPr>
              <w:shd w:val="clear"/>
              <w:jc w:val="center"/>
              <w:rPr>
                <w:rFonts w:ascii="仿宋" w:hAnsi="仿宋" w:eastAsia="仿宋"/>
                <w:color w:val="auto"/>
                <w:sz w:val="24"/>
                <w:highlight w:val="none"/>
              </w:rPr>
            </w:pPr>
          </w:p>
        </w:tc>
        <w:tc>
          <w:tcPr>
            <w:tcW w:w="1500" w:type="dxa"/>
            <w:vAlign w:val="center"/>
          </w:tcPr>
          <w:p>
            <w:pPr>
              <w:shd w:val="clear"/>
              <w:jc w:val="center"/>
              <w:rPr>
                <w:rFonts w:ascii="仿宋" w:hAnsi="仿宋" w:eastAsia="仿宋"/>
                <w:color w:val="auto"/>
                <w:sz w:val="24"/>
                <w:highlight w:val="none"/>
              </w:rPr>
            </w:pPr>
          </w:p>
        </w:tc>
        <w:tc>
          <w:tcPr>
            <w:tcW w:w="1356" w:type="dxa"/>
            <w:vAlign w:val="center"/>
          </w:tcPr>
          <w:p>
            <w:pPr>
              <w:shd w:val="clear"/>
              <w:jc w:val="center"/>
              <w:rPr>
                <w:rFonts w:ascii="仿宋" w:hAnsi="仿宋" w:eastAsia="仿宋"/>
                <w:color w:val="auto"/>
                <w:sz w:val="24"/>
                <w:highlight w:val="none"/>
              </w:rPr>
            </w:pPr>
          </w:p>
        </w:tc>
        <w:tc>
          <w:tcPr>
            <w:tcW w:w="1205" w:type="dxa"/>
            <w:vAlign w:val="center"/>
          </w:tcPr>
          <w:p>
            <w:pPr>
              <w:shd w:val="clea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05" w:type="dxa"/>
            <w:vAlign w:val="center"/>
          </w:tcPr>
          <w:p>
            <w:pPr>
              <w:shd w:val="clear"/>
              <w:jc w:val="center"/>
              <w:rPr>
                <w:rFonts w:ascii="仿宋" w:hAnsi="仿宋" w:eastAsia="仿宋"/>
                <w:color w:val="auto"/>
                <w:sz w:val="24"/>
                <w:highlight w:val="none"/>
              </w:rPr>
            </w:pPr>
          </w:p>
        </w:tc>
        <w:tc>
          <w:tcPr>
            <w:tcW w:w="1200" w:type="dxa"/>
            <w:vAlign w:val="center"/>
          </w:tcPr>
          <w:p>
            <w:pPr>
              <w:shd w:val="clear"/>
              <w:jc w:val="center"/>
              <w:rPr>
                <w:rFonts w:ascii="仿宋" w:hAnsi="仿宋" w:eastAsia="仿宋"/>
                <w:color w:val="auto"/>
                <w:sz w:val="24"/>
                <w:highlight w:val="none"/>
              </w:rPr>
            </w:pPr>
          </w:p>
        </w:tc>
        <w:tc>
          <w:tcPr>
            <w:tcW w:w="1835" w:type="dxa"/>
            <w:vAlign w:val="center"/>
          </w:tcPr>
          <w:p>
            <w:pPr>
              <w:shd w:val="clear"/>
              <w:jc w:val="center"/>
              <w:rPr>
                <w:rFonts w:ascii="仿宋" w:hAnsi="仿宋" w:eastAsia="仿宋"/>
                <w:color w:val="auto"/>
                <w:sz w:val="24"/>
                <w:highlight w:val="none"/>
              </w:rPr>
            </w:pPr>
          </w:p>
        </w:tc>
        <w:tc>
          <w:tcPr>
            <w:tcW w:w="1500" w:type="dxa"/>
            <w:vAlign w:val="center"/>
          </w:tcPr>
          <w:p>
            <w:pPr>
              <w:shd w:val="clear"/>
              <w:jc w:val="center"/>
              <w:rPr>
                <w:rFonts w:ascii="仿宋" w:hAnsi="仿宋" w:eastAsia="仿宋"/>
                <w:color w:val="auto"/>
                <w:sz w:val="24"/>
                <w:highlight w:val="none"/>
              </w:rPr>
            </w:pPr>
          </w:p>
        </w:tc>
        <w:tc>
          <w:tcPr>
            <w:tcW w:w="1356" w:type="dxa"/>
            <w:vAlign w:val="center"/>
          </w:tcPr>
          <w:p>
            <w:pPr>
              <w:shd w:val="clear"/>
              <w:jc w:val="center"/>
              <w:rPr>
                <w:rFonts w:ascii="仿宋" w:hAnsi="仿宋" w:eastAsia="仿宋"/>
                <w:color w:val="auto"/>
                <w:sz w:val="24"/>
                <w:highlight w:val="none"/>
              </w:rPr>
            </w:pPr>
          </w:p>
        </w:tc>
        <w:tc>
          <w:tcPr>
            <w:tcW w:w="1205" w:type="dxa"/>
            <w:vAlign w:val="center"/>
          </w:tcPr>
          <w:p>
            <w:pPr>
              <w:shd w:val="clea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05" w:type="dxa"/>
            <w:vAlign w:val="center"/>
          </w:tcPr>
          <w:p>
            <w:pPr>
              <w:shd w:val="clear"/>
              <w:jc w:val="center"/>
              <w:rPr>
                <w:rFonts w:ascii="仿宋" w:hAnsi="仿宋" w:eastAsia="仿宋"/>
                <w:color w:val="auto"/>
                <w:sz w:val="24"/>
                <w:highlight w:val="none"/>
              </w:rPr>
            </w:pPr>
          </w:p>
        </w:tc>
        <w:tc>
          <w:tcPr>
            <w:tcW w:w="1200" w:type="dxa"/>
            <w:vAlign w:val="center"/>
          </w:tcPr>
          <w:p>
            <w:pPr>
              <w:shd w:val="clear"/>
              <w:jc w:val="center"/>
              <w:rPr>
                <w:rFonts w:ascii="仿宋" w:hAnsi="仿宋" w:eastAsia="仿宋"/>
                <w:color w:val="auto"/>
                <w:sz w:val="24"/>
                <w:highlight w:val="none"/>
              </w:rPr>
            </w:pPr>
          </w:p>
        </w:tc>
        <w:tc>
          <w:tcPr>
            <w:tcW w:w="1835" w:type="dxa"/>
            <w:vAlign w:val="center"/>
          </w:tcPr>
          <w:p>
            <w:pPr>
              <w:shd w:val="clear"/>
              <w:jc w:val="center"/>
              <w:rPr>
                <w:rFonts w:ascii="仿宋" w:hAnsi="仿宋" w:eastAsia="仿宋"/>
                <w:color w:val="auto"/>
                <w:sz w:val="24"/>
                <w:highlight w:val="none"/>
              </w:rPr>
            </w:pPr>
          </w:p>
        </w:tc>
        <w:tc>
          <w:tcPr>
            <w:tcW w:w="1500" w:type="dxa"/>
            <w:vAlign w:val="center"/>
          </w:tcPr>
          <w:p>
            <w:pPr>
              <w:shd w:val="clear"/>
              <w:jc w:val="center"/>
              <w:rPr>
                <w:rFonts w:ascii="仿宋" w:hAnsi="仿宋" w:eastAsia="仿宋"/>
                <w:color w:val="auto"/>
                <w:sz w:val="24"/>
                <w:highlight w:val="none"/>
              </w:rPr>
            </w:pPr>
          </w:p>
        </w:tc>
        <w:tc>
          <w:tcPr>
            <w:tcW w:w="1356" w:type="dxa"/>
            <w:vAlign w:val="center"/>
          </w:tcPr>
          <w:p>
            <w:pPr>
              <w:shd w:val="clear"/>
              <w:jc w:val="center"/>
              <w:rPr>
                <w:rFonts w:ascii="仿宋" w:hAnsi="仿宋" w:eastAsia="仿宋"/>
                <w:color w:val="auto"/>
                <w:sz w:val="24"/>
                <w:highlight w:val="none"/>
              </w:rPr>
            </w:pPr>
          </w:p>
        </w:tc>
        <w:tc>
          <w:tcPr>
            <w:tcW w:w="1205" w:type="dxa"/>
            <w:vAlign w:val="center"/>
          </w:tcPr>
          <w:p>
            <w:pPr>
              <w:shd w:val="clea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05" w:type="dxa"/>
            <w:vAlign w:val="center"/>
          </w:tcPr>
          <w:p>
            <w:pPr>
              <w:shd w:val="clear"/>
              <w:jc w:val="center"/>
              <w:rPr>
                <w:rFonts w:ascii="仿宋" w:hAnsi="仿宋" w:eastAsia="仿宋"/>
                <w:color w:val="auto"/>
                <w:sz w:val="24"/>
                <w:highlight w:val="none"/>
              </w:rPr>
            </w:pPr>
          </w:p>
        </w:tc>
        <w:tc>
          <w:tcPr>
            <w:tcW w:w="1200" w:type="dxa"/>
            <w:vAlign w:val="center"/>
          </w:tcPr>
          <w:p>
            <w:pPr>
              <w:shd w:val="clear"/>
              <w:jc w:val="center"/>
              <w:rPr>
                <w:rFonts w:ascii="仿宋" w:hAnsi="仿宋" w:eastAsia="仿宋"/>
                <w:color w:val="auto"/>
                <w:sz w:val="24"/>
                <w:highlight w:val="none"/>
              </w:rPr>
            </w:pPr>
          </w:p>
        </w:tc>
        <w:tc>
          <w:tcPr>
            <w:tcW w:w="1835" w:type="dxa"/>
            <w:vAlign w:val="center"/>
          </w:tcPr>
          <w:p>
            <w:pPr>
              <w:shd w:val="clear"/>
              <w:jc w:val="center"/>
              <w:rPr>
                <w:rFonts w:ascii="仿宋" w:hAnsi="仿宋" w:eastAsia="仿宋"/>
                <w:color w:val="auto"/>
                <w:sz w:val="24"/>
                <w:highlight w:val="none"/>
              </w:rPr>
            </w:pPr>
          </w:p>
        </w:tc>
        <w:tc>
          <w:tcPr>
            <w:tcW w:w="1500" w:type="dxa"/>
            <w:vAlign w:val="center"/>
          </w:tcPr>
          <w:p>
            <w:pPr>
              <w:shd w:val="clear"/>
              <w:jc w:val="center"/>
              <w:rPr>
                <w:rFonts w:ascii="仿宋" w:hAnsi="仿宋" w:eastAsia="仿宋"/>
                <w:color w:val="auto"/>
                <w:sz w:val="24"/>
                <w:highlight w:val="none"/>
              </w:rPr>
            </w:pPr>
          </w:p>
        </w:tc>
        <w:tc>
          <w:tcPr>
            <w:tcW w:w="1356" w:type="dxa"/>
            <w:vAlign w:val="center"/>
          </w:tcPr>
          <w:p>
            <w:pPr>
              <w:shd w:val="clear"/>
              <w:jc w:val="center"/>
              <w:rPr>
                <w:rFonts w:ascii="仿宋" w:hAnsi="仿宋" w:eastAsia="仿宋"/>
                <w:color w:val="auto"/>
                <w:sz w:val="24"/>
                <w:highlight w:val="none"/>
              </w:rPr>
            </w:pPr>
          </w:p>
        </w:tc>
        <w:tc>
          <w:tcPr>
            <w:tcW w:w="1205" w:type="dxa"/>
            <w:vAlign w:val="center"/>
          </w:tcPr>
          <w:p>
            <w:pPr>
              <w:shd w:val="clea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05" w:type="dxa"/>
            <w:vAlign w:val="center"/>
          </w:tcPr>
          <w:p>
            <w:pPr>
              <w:shd w:val="clear"/>
              <w:jc w:val="center"/>
              <w:rPr>
                <w:rFonts w:ascii="仿宋" w:hAnsi="仿宋" w:eastAsia="仿宋"/>
                <w:color w:val="auto"/>
                <w:sz w:val="24"/>
                <w:highlight w:val="none"/>
              </w:rPr>
            </w:pPr>
          </w:p>
        </w:tc>
        <w:tc>
          <w:tcPr>
            <w:tcW w:w="1200" w:type="dxa"/>
            <w:vAlign w:val="center"/>
          </w:tcPr>
          <w:p>
            <w:pPr>
              <w:shd w:val="clear"/>
              <w:jc w:val="center"/>
              <w:rPr>
                <w:rFonts w:ascii="仿宋" w:hAnsi="仿宋" w:eastAsia="仿宋"/>
                <w:color w:val="auto"/>
                <w:sz w:val="24"/>
                <w:highlight w:val="none"/>
              </w:rPr>
            </w:pPr>
          </w:p>
        </w:tc>
        <w:tc>
          <w:tcPr>
            <w:tcW w:w="1835" w:type="dxa"/>
            <w:vAlign w:val="center"/>
          </w:tcPr>
          <w:p>
            <w:pPr>
              <w:shd w:val="clear"/>
              <w:jc w:val="center"/>
              <w:rPr>
                <w:rFonts w:ascii="仿宋" w:hAnsi="仿宋" w:eastAsia="仿宋"/>
                <w:color w:val="auto"/>
                <w:sz w:val="24"/>
                <w:highlight w:val="none"/>
              </w:rPr>
            </w:pPr>
          </w:p>
        </w:tc>
        <w:tc>
          <w:tcPr>
            <w:tcW w:w="1500" w:type="dxa"/>
            <w:vAlign w:val="center"/>
          </w:tcPr>
          <w:p>
            <w:pPr>
              <w:shd w:val="clear"/>
              <w:jc w:val="center"/>
              <w:rPr>
                <w:rFonts w:ascii="仿宋" w:hAnsi="仿宋" w:eastAsia="仿宋"/>
                <w:color w:val="auto"/>
                <w:sz w:val="24"/>
                <w:highlight w:val="none"/>
              </w:rPr>
            </w:pPr>
          </w:p>
        </w:tc>
        <w:tc>
          <w:tcPr>
            <w:tcW w:w="1356" w:type="dxa"/>
            <w:vAlign w:val="center"/>
          </w:tcPr>
          <w:p>
            <w:pPr>
              <w:shd w:val="clear"/>
              <w:jc w:val="center"/>
              <w:rPr>
                <w:rFonts w:ascii="仿宋" w:hAnsi="仿宋" w:eastAsia="仿宋"/>
                <w:color w:val="auto"/>
                <w:sz w:val="24"/>
                <w:highlight w:val="none"/>
              </w:rPr>
            </w:pPr>
          </w:p>
        </w:tc>
        <w:tc>
          <w:tcPr>
            <w:tcW w:w="1205" w:type="dxa"/>
            <w:vAlign w:val="center"/>
          </w:tcPr>
          <w:p>
            <w:pPr>
              <w:shd w:val="clea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05" w:type="dxa"/>
            <w:vAlign w:val="center"/>
          </w:tcPr>
          <w:p>
            <w:pPr>
              <w:shd w:val="clear"/>
              <w:jc w:val="center"/>
              <w:rPr>
                <w:rFonts w:ascii="仿宋" w:hAnsi="仿宋" w:eastAsia="仿宋"/>
                <w:color w:val="auto"/>
                <w:sz w:val="24"/>
                <w:highlight w:val="none"/>
              </w:rPr>
            </w:pPr>
          </w:p>
        </w:tc>
        <w:tc>
          <w:tcPr>
            <w:tcW w:w="1200" w:type="dxa"/>
            <w:vAlign w:val="center"/>
          </w:tcPr>
          <w:p>
            <w:pPr>
              <w:shd w:val="clear"/>
              <w:jc w:val="center"/>
              <w:rPr>
                <w:rFonts w:ascii="仿宋" w:hAnsi="仿宋" w:eastAsia="仿宋"/>
                <w:color w:val="auto"/>
                <w:sz w:val="24"/>
                <w:highlight w:val="none"/>
              </w:rPr>
            </w:pPr>
          </w:p>
        </w:tc>
        <w:tc>
          <w:tcPr>
            <w:tcW w:w="1835" w:type="dxa"/>
            <w:vAlign w:val="center"/>
          </w:tcPr>
          <w:p>
            <w:pPr>
              <w:shd w:val="clear"/>
              <w:jc w:val="center"/>
              <w:rPr>
                <w:rFonts w:ascii="仿宋" w:hAnsi="仿宋" w:eastAsia="仿宋"/>
                <w:color w:val="auto"/>
                <w:sz w:val="24"/>
                <w:highlight w:val="none"/>
              </w:rPr>
            </w:pPr>
          </w:p>
        </w:tc>
        <w:tc>
          <w:tcPr>
            <w:tcW w:w="1500" w:type="dxa"/>
            <w:vAlign w:val="center"/>
          </w:tcPr>
          <w:p>
            <w:pPr>
              <w:shd w:val="clear"/>
              <w:jc w:val="center"/>
              <w:rPr>
                <w:rFonts w:ascii="仿宋" w:hAnsi="仿宋" w:eastAsia="仿宋"/>
                <w:color w:val="auto"/>
                <w:sz w:val="24"/>
                <w:highlight w:val="none"/>
              </w:rPr>
            </w:pPr>
          </w:p>
        </w:tc>
        <w:tc>
          <w:tcPr>
            <w:tcW w:w="1356" w:type="dxa"/>
            <w:vAlign w:val="center"/>
          </w:tcPr>
          <w:p>
            <w:pPr>
              <w:shd w:val="clear"/>
              <w:jc w:val="center"/>
              <w:rPr>
                <w:rFonts w:ascii="仿宋" w:hAnsi="仿宋" w:eastAsia="仿宋"/>
                <w:color w:val="auto"/>
                <w:sz w:val="24"/>
                <w:highlight w:val="none"/>
              </w:rPr>
            </w:pPr>
          </w:p>
        </w:tc>
        <w:tc>
          <w:tcPr>
            <w:tcW w:w="1205" w:type="dxa"/>
            <w:vAlign w:val="center"/>
          </w:tcPr>
          <w:p>
            <w:pPr>
              <w:shd w:val="clea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05" w:type="dxa"/>
            <w:vAlign w:val="center"/>
          </w:tcPr>
          <w:p>
            <w:pPr>
              <w:shd w:val="clear"/>
              <w:jc w:val="center"/>
              <w:rPr>
                <w:rFonts w:ascii="仿宋" w:hAnsi="仿宋" w:eastAsia="仿宋"/>
                <w:color w:val="auto"/>
                <w:sz w:val="24"/>
                <w:highlight w:val="none"/>
              </w:rPr>
            </w:pPr>
          </w:p>
        </w:tc>
        <w:tc>
          <w:tcPr>
            <w:tcW w:w="1200" w:type="dxa"/>
            <w:vAlign w:val="center"/>
          </w:tcPr>
          <w:p>
            <w:pPr>
              <w:shd w:val="clear"/>
              <w:jc w:val="center"/>
              <w:rPr>
                <w:rFonts w:ascii="仿宋" w:hAnsi="仿宋" w:eastAsia="仿宋"/>
                <w:color w:val="auto"/>
                <w:sz w:val="24"/>
                <w:highlight w:val="none"/>
              </w:rPr>
            </w:pPr>
          </w:p>
        </w:tc>
        <w:tc>
          <w:tcPr>
            <w:tcW w:w="1835" w:type="dxa"/>
            <w:vAlign w:val="center"/>
          </w:tcPr>
          <w:p>
            <w:pPr>
              <w:shd w:val="clear"/>
              <w:jc w:val="center"/>
              <w:rPr>
                <w:rFonts w:ascii="仿宋" w:hAnsi="仿宋" w:eastAsia="仿宋"/>
                <w:color w:val="auto"/>
                <w:sz w:val="24"/>
                <w:highlight w:val="none"/>
              </w:rPr>
            </w:pPr>
          </w:p>
        </w:tc>
        <w:tc>
          <w:tcPr>
            <w:tcW w:w="1500" w:type="dxa"/>
            <w:vAlign w:val="center"/>
          </w:tcPr>
          <w:p>
            <w:pPr>
              <w:shd w:val="clear"/>
              <w:jc w:val="center"/>
              <w:rPr>
                <w:rFonts w:ascii="仿宋" w:hAnsi="仿宋" w:eastAsia="仿宋"/>
                <w:color w:val="auto"/>
                <w:sz w:val="24"/>
                <w:highlight w:val="none"/>
              </w:rPr>
            </w:pPr>
          </w:p>
        </w:tc>
        <w:tc>
          <w:tcPr>
            <w:tcW w:w="1356" w:type="dxa"/>
            <w:vAlign w:val="center"/>
          </w:tcPr>
          <w:p>
            <w:pPr>
              <w:shd w:val="clear"/>
              <w:jc w:val="center"/>
              <w:rPr>
                <w:rFonts w:ascii="仿宋" w:hAnsi="仿宋" w:eastAsia="仿宋"/>
                <w:color w:val="auto"/>
                <w:sz w:val="24"/>
                <w:highlight w:val="none"/>
              </w:rPr>
            </w:pPr>
          </w:p>
        </w:tc>
        <w:tc>
          <w:tcPr>
            <w:tcW w:w="1205" w:type="dxa"/>
            <w:vAlign w:val="center"/>
          </w:tcPr>
          <w:p>
            <w:pPr>
              <w:shd w:val="clea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05" w:type="dxa"/>
            <w:vAlign w:val="center"/>
          </w:tcPr>
          <w:p>
            <w:pPr>
              <w:shd w:val="clear"/>
              <w:jc w:val="center"/>
              <w:rPr>
                <w:rFonts w:ascii="仿宋" w:hAnsi="仿宋" w:eastAsia="仿宋"/>
                <w:color w:val="auto"/>
                <w:sz w:val="24"/>
                <w:highlight w:val="none"/>
              </w:rPr>
            </w:pPr>
          </w:p>
        </w:tc>
        <w:tc>
          <w:tcPr>
            <w:tcW w:w="1200" w:type="dxa"/>
            <w:vAlign w:val="center"/>
          </w:tcPr>
          <w:p>
            <w:pPr>
              <w:shd w:val="clear"/>
              <w:jc w:val="center"/>
              <w:rPr>
                <w:rFonts w:ascii="仿宋" w:hAnsi="仿宋" w:eastAsia="仿宋"/>
                <w:color w:val="auto"/>
                <w:sz w:val="24"/>
                <w:highlight w:val="none"/>
              </w:rPr>
            </w:pPr>
          </w:p>
        </w:tc>
        <w:tc>
          <w:tcPr>
            <w:tcW w:w="1835" w:type="dxa"/>
            <w:vAlign w:val="center"/>
          </w:tcPr>
          <w:p>
            <w:pPr>
              <w:shd w:val="clear"/>
              <w:jc w:val="center"/>
              <w:rPr>
                <w:rFonts w:ascii="仿宋" w:hAnsi="仿宋" w:eastAsia="仿宋"/>
                <w:color w:val="auto"/>
                <w:sz w:val="24"/>
                <w:highlight w:val="none"/>
              </w:rPr>
            </w:pPr>
          </w:p>
        </w:tc>
        <w:tc>
          <w:tcPr>
            <w:tcW w:w="1500" w:type="dxa"/>
            <w:vAlign w:val="center"/>
          </w:tcPr>
          <w:p>
            <w:pPr>
              <w:shd w:val="clear"/>
              <w:jc w:val="center"/>
              <w:rPr>
                <w:rFonts w:ascii="仿宋" w:hAnsi="仿宋" w:eastAsia="仿宋"/>
                <w:color w:val="auto"/>
                <w:sz w:val="24"/>
                <w:highlight w:val="none"/>
              </w:rPr>
            </w:pPr>
          </w:p>
        </w:tc>
        <w:tc>
          <w:tcPr>
            <w:tcW w:w="1356" w:type="dxa"/>
            <w:vAlign w:val="center"/>
          </w:tcPr>
          <w:p>
            <w:pPr>
              <w:shd w:val="clear"/>
              <w:jc w:val="center"/>
              <w:rPr>
                <w:rFonts w:ascii="仿宋" w:hAnsi="仿宋" w:eastAsia="仿宋"/>
                <w:color w:val="auto"/>
                <w:sz w:val="24"/>
                <w:highlight w:val="none"/>
              </w:rPr>
            </w:pPr>
          </w:p>
        </w:tc>
        <w:tc>
          <w:tcPr>
            <w:tcW w:w="1205" w:type="dxa"/>
            <w:vAlign w:val="center"/>
          </w:tcPr>
          <w:p>
            <w:pPr>
              <w:shd w:val="clea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05" w:type="dxa"/>
            <w:vAlign w:val="center"/>
          </w:tcPr>
          <w:p>
            <w:pPr>
              <w:shd w:val="clear"/>
              <w:jc w:val="center"/>
              <w:rPr>
                <w:rFonts w:ascii="仿宋" w:hAnsi="仿宋" w:eastAsia="仿宋"/>
                <w:color w:val="auto"/>
                <w:sz w:val="24"/>
                <w:highlight w:val="none"/>
              </w:rPr>
            </w:pPr>
          </w:p>
        </w:tc>
        <w:tc>
          <w:tcPr>
            <w:tcW w:w="1200" w:type="dxa"/>
            <w:vAlign w:val="center"/>
          </w:tcPr>
          <w:p>
            <w:pPr>
              <w:shd w:val="clear"/>
              <w:jc w:val="center"/>
              <w:rPr>
                <w:rFonts w:ascii="仿宋" w:hAnsi="仿宋" w:eastAsia="仿宋"/>
                <w:color w:val="auto"/>
                <w:sz w:val="24"/>
                <w:highlight w:val="none"/>
              </w:rPr>
            </w:pPr>
          </w:p>
        </w:tc>
        <w:tc>
          <w:tcPr>
            <w:tcW w:w="1835" w:type="dxa"/>
            <w:vAlign w:val="center"/>
          </w:tcPr>
          <w:p>
            <w:pPr>
              <w:shd w:val="clear"/>
              <w:jc w:val="center"/>
              <w:rPr>
                <w:rFonts w:ascii="仿宋" w:hAnsi="仿宋" w:eastAsia="仿宋"/>
                <w:color w:val="auto"/>
                <w:sz w:val="24"/>
                <w:highlight w:val="none"/>
              </w:rPr>
            </w:pPr>
          </w:p>
        </w:tc>
        <w:tc>
          <w:tcPr>
            <w:tcW w:w="1500" w:type="dxa"/>
            <w:vAlign w:val="center"/>
          </w:tcPr>
          <w:p>
            <w:pPr>
              <w:shd w:val="clear"/>
              <w:jc w:val="center"/>
              <w:rPr>
                <w:rFonts w:ascii="仿宋" w:hAnsi="仿宋" w:eastAsia="仿宋"/>
                <w:color w:val="auto"/>
                <w:sz w:val="24"/>
                <w:highlight w:val="none"/>
              </w:rPr>
            </w:pPr>
          </w:p>
        </w:tc>
        <w:tc>
          <w:tcPr>
            <w:tcW w:w="1356" w:type="dxa"/>
            <w:vAlign w:val="center"/>
          </w:tcPr>
          <w:p>
            <w:pPr>
              <w:shd w:val="clear"/>
              <w:jc w:val="center"/>
              <w:rPr>
                <w:rFonts w:ascii="仿宋" w:hAnsi="仿宋" w:eastAsia="仿宋"/>
                <w:color w:val="auto"/>
                <w:sz w:val="24"/>
                <w:highlight w:val="none"/>
              </w:rPr>
            </w:pPr>
          </w:p>
        </w:tc>
        <w:tc>
          <w:tcPr>
            <w:tcW w:w="1205" w:type="dxa"/>
            <w:vAlign w:val="center"/>
          </w:tcPr>
          <w:p>
            <w:pPr>
              <w:shd w:val="clear"/>
              <w:jc w:val="center"/>
              <w:rPr>
                <w:rFonts w:ascii="仿宋" w:hAnsi="仿宋" w:eastAsia="仿宋"/>
                <w:color w:val="auto"/>
                <w:sz w:val="24"/>
                <w:highlight w:val="none"/>
              </w:rPr>
            </w:pPr>
          </w:p>
        </w:tc>
      </w:tr>
    </w:tbl>
    <w:p>
      <w:pPr>
        <w:shd w:val="clear"/>
        <w:autoSpaceDE w:val="0"/>
        <w:autoSpaceDN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注：1.上表人员由投标单位进行填写，原则上项目实施时不得变更，若擅自变动的，招标人有权进行罚款或者单方面取消合同。</w:t>
      </w:r>
    </w:p>
    <w:p>
      <w:pPr>
        <w:shd w:val="clear"/>
        <w:autoSpaceDE w:val="0"/>
        <w:autoSpaceDN w:val="0"/>
        <w:spacing w:line="360" w:lineRule="auto"/>
        <w:rPr>
          <w:rFonts w:ascii="仿宋" w:hAnsi="仿宋" w:eastAsia="仿宋" w:cs="仿宋_GB2312"/>
          <w:b/>
          <w:color w:val="auto"/>
          <w:kern w:val="0"/>
          <w:sz w:val="24"/>
          <w:highlight w:val="none"/>
        </w:rPr>
      </w:pPr>
      <w:r>
        <w:rPr>
          <w:rFonts w:hint="eastAsia" w:ascii="仿宋" w:hAnsi="仿宋" w:eastAsia="仿宋" w:cs="仿宋_GB2312"/>
          <w:b/>
          <w:color w:val="auto"/>
          <w:kern w:val="0"/>
          <w:sz w:val="24"/>
          <w:highlight w:val="none"/>
        </w:rPr>
        <w:t>2. 造价咨询人员配备业务素质好、应急能力强、工作能力强的各专业注册造价师总数不少于5名（含）；招标代理人员需配备业务素质好、应急能力强、工作能力强且需具有招标代理经验的人员（需具备交易中心发放的上岗证）至少2名。在本表后附上对应人员注册造价工程师证书（2018 年7月20日发布“建人[2018]67 号”文件之前取得的注册造价工程师与一级造价师等同）及代理人员柯桥区交易中心发放的上岗证。</w:t>
      </w:r>
    </w:p>
    <w:p>
      <w:pPr>
        <w:shd w:val="clear"/>
        <w:autoSpaceDE w:val="0"/>
        <w:autoSpaceDN w:val="0"/>
        <w:spacing w:line="360" w:lineRule="auto"/>
        <w:ind w:firstLine="4560" w:firstLineChars="1900"/>
        <w:rPr>
          <w:rFonts w:ascii="仿宋" w:hAnsi="仿宋" w:eastAsia="仿宋" w:cs="仿宋_GB2312"/>
          <w:color w:val="auto"/>
          <w:kern w:val="0"/>
          <w:sz w:val="24"/>
          <w:highlight w:val="none"/>
        </w:rPr>
      </w:pPr>
    </w:p>
    <w:p>
      <w:pPr>
        <w:shd w:val="clea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pPr>
        <w:shd w:val="clear"/>
        <w:snapToGrid w:val="0"/>
        <w:spacing w:before="50" w:after="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pPr>
        <w:shd w:val="clear"/>
        <w:spacing w:line="360" w:lineRule="auto"/>
        <w:jc w:val="center"/>
        <w:rPr>
          <w:rFonts w:ascii="仿宋" w:hAnsi="仿宋" w:eastAsia="仿宋" w:cs="仿宋_GB2312"/>
          <w:b/>
          <w:bCs/>
          <w:color w:val="auto"/>
          <w:sz w:val="32"/>
          <w:szCs w:val="32"/>
          <w:highlight w:val="none"/>
        </w:rPr>
      </w:pPr>
      <w:r>
        <w:rPr>
          <w:rFonts w:ascii="仿宋" w:hAnsi="仿宋" w:eastAsia="仿宋" w:cs="仿宋_GB2312"/>
          <w:b/>
          <w:bCs/>
          <w:color w:val="auto"/>
          <w:sz w:val="32"/>
          <w:szCs w:val="32"/>
          <w:highlight w:val="none"/>
        </w:rPr>
        <w:br w:type="page"/>
      </w:r>
      <w:r>
        <w:rPr>
          <w:rFonts w:hint="eastAsia" w:ascii="仿宋" w:hAnsi="仿宋" w:eastAsia="仿宋" w:cs="仿宋_GB2312"/>
          <w:b/>
          <w:bCs/>
          <w:color w:val="auto"/>
          <w:sz w:val="32"/>
          <w:szCs w:val="32"/>
          <w:highlight w:val="none"/>
        </w:rPr>
        <w:t>七、售后服务方案（如有）</w:t>
      </w:r>
    </w:p>
    <w:p>
      <w:pPr>
        <w:shd w:val="clea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pPr>
        <w:shd w:val="clear"/>
        <w:spacing w:line="360" w:lineRule="auto"/>
        <w:rPr>
          <w:rFonts w:ascii="仿宋" w:hAnsi="仿宋" w:eastAsia="仿宋" w:cs="仿宋_GB2312"/>
          <w:color w:val="auto"/>
          <w:sz w:val="24"/>
          <w:highlight w:val="none"/>
        </w:rPr>
      </w:pPr>
    </w:p>
    <w:p>
      <w:pPr>
        <w:shd w:val="clear"/>
        <w:spacing w:line="360" w:lineRule="auto"/>
        <w:rPr>
          <w:rFonts w:ascii="仿宋" w:hAnsi="仿宋" w:eastAsia="仿宋" w:cs="仿宋_GB2312"/>
          <w:b/>
          <w:bCs/>
          <w:color w:val="auto"/>
          <w:sz w:val="32"/>
          <w:szCs w:val="32"/>
          <w:highlight w:val="none"/>
        </w:rPr>
      </w:pPr>
    </w:p>
    <w:p>
      <w:pPr>
        <w:shd w:val="clear"/>
        <w:spacing w:line="360" w:lineRule="auto"/>
        <w:jc w:val="center"/>
        <w:rPr>
          <w:rFonts w:ascii="仿宋" w:hAnsi="仿宋" w:eastAsia="仿宋" w:cs="仿宋_GB2312"/>
          <w:b/>
          <w:bCs/>
          <w:color w:val="auto"/>
          <w:sz w:val="32"/>
          <w:szCs w:val="32"/>
          <w:highlight w:val="none"/>
        </w:rPr>
      </w:pPr>
    </w:p>
    <w:p>
      <w:pPr>
        <w:shd w:val="clear"/>
        <w:spacing w:line="360" w:lineRule="auto"/>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bCs/>
          <w:color w:val="auto"/>
          <w:sz w:val="32"/>
          <w:szCs w:val="32"/>
          <w:highlight w:val="none"/>
        </w:rPr>
        <w:t>八、</w:t>
      </w:r>
      <w:r>
        <w:rPr>
          <w:rFonts w:hint="eastAsia" w:ascii="仿宋" w:hAnsi="仿宋" w:eastAsia="仿宋" w:cs="仿宋_GB2312"/>
          <w:b/>
          <w:color w:val="auto"/>
          <w:kern w:val="0"/>
          <w:sz w:val="32"/>
          <w:szCs w:val="32"/>
          <w:highlight w:val="none"/>
          <w:lang w:val="zh-CN"/>
        </w:rPr>
        <w:t>优惠条件及特殊承诺（如有）</w:t>
      </w:r>
    </w:p>
    <w:p>
      <w:pPr>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pPr>
        <w:shd w:val="clear"/>
        <w:autoSpaceDE w:val="0"/>
        <w:autoSpaceDN w:val="0"/>
        <w:spacing w:line="360" w:lineRule="auto"/>
        <w:ind w:firstLine="120"/>
        <w:rPr>
          <w:rFonts w:ascii="仿宋" w:hAnsi="仿宋" w:eastAsia="仿宋" w:cs="仿宋_GB2312"/>
          <w:color w:val="auto"/>
          <w:kern w:val="0"/>
          <w:sz w:val="24"/>
          <w:highlight w:val="none"/>
        </w:rPr>
      </w:pPr>
    </w:p>
    <w:p>
      <w:pPr>
        <w:shd w:val="clear"/>
        <w:autoSpaceDE w:val="0"/>
        <w:autoSpaceDN w:val="0"/>
        <w:spacing w:line="360" w:lineRule="auto"/>
        <w:ind w:firstLine="120"/>
        <w:rPr>
          <w:rFonts w:ascii="仿宋" w:hAnsi="仿宋" w:eastAsia="仿宋" w:cs="仿宋_GB2312"/>
          <w:color w:val="auto"/>
          <w:sz w:val="24"/>
          <w:highlight w:val="none"/>
        </w:rPr>
      </w:pPr>
    </w:p>
    <w:p>
      <w:pPr>
        <w:shd w:val="clear"/>
        <w:spacing w:line="360" w:lineRule="auto"/>
        <w:jc w:val="center"/>
        <w:rPr>
          <w:rFonts w:ascii="仿宋" w:hAnsi="仿宋" w:eastAsia="仿宋" w:cs="仿宋_GB2312"/>
          <w:b/>
          <w:bCs/>
          <w:color w:val="auto"/>
          <w:sz w:val="32"/>
          <w:szCs w:val="32"/>
          <w:highlight w:val="none"/>
        </w:rPr>
      </w:pPr>
    </w:p>
    <w:p>
      <w:pPr>
        <w:shd w:val="clear"/>
        <w:spacing w:line="360" w:lineRule="auto"/>
        <w:jc w:val="center"/>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九、投标人认为需要的其他商务技术文件或说明</w:t>
      </w:r>
    </w:p>
    <w:p>
      <w:pPr>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pPr>
        <w:shd w:val="clear"/>
        <w:spacing w:line="360" w:lineRule="auto"/>
        <w:jc w:val="center"/>
        <w:rPr>
          <w:rFonts w:ascii="仿宋" w:hAnsi="仿宋" w:eastAsia="仿宋" w:cs="仿宋_GB2312"/>
          <w:color w:val="auto"/>
          <w:sz w:val="24"/>
          <w:highlight w:val="none"/>
        </w:rPr>
      </w:pPr>
    </w:p>
    <w:p>
      <w:pPr>
        <w:shd w:val="clear"/>
        <w:spacing w:line="360" w:lineRule="auto"/>
        <w:rPr>
          <w:rFonts w:ascii="仿宋" w:hAnsi="仿宋" w:eastAsia="仿宋" w:cs="仿宋_GB2312"/>
          <w:b/>
          <w:bCs/>
          <w:color w:val="auto"/>
          <w:sz w:val="30"/>
          <w:szCs w:val="30"/>
          <w:highlight w:val="none"/>
        </w:rPr>
      </w:pPr>
    </w:p>
    <w:p>
      <w:pPr>
        <w:pStyle w:val="474"/>
        <w:keepNext w:val="0"/>
        <w:pageBreakBefore w:val="0"/>
        <w:shd w:val="clear"/>
        <w:tabs>
          <w:tab w:val="clear" w:pos="720"/>
        </w:tabs>
        <w:snapToGrid w:val="0"/>
        <w:jc w:val="both"/>
        <w:outlineLvl w:val="9"/>
        <w:rPr>
          <w:rFonts w:ascii="仿宋" w:hAnsi="仿宋" w:eastAsia="仿宋" w:cs="仿宋_GB2312"/>
          <w:b w:val="0"/>
          <w:color w:val="auto"/>
          <w:sz w:val="24"/>
          <w:highlight w:val="none"/>
        </w:rPr>
      </w:pPr>
    </w:p>
    <w:p>
      <w:pPr>
        <w:pStyle w:val="474"/>
        <w:keepNext w:val="0"/>
        <w:pageBreakBefore w:val="0"/>
        <w:shd w:val="clear"/>
        <w:tabs>
          <w:tab w:val="clear" w:pos="720"/>
        </w:tabs>
        <w:snapToGrid w:val="0"/>
        <w:jc w:val="both"/>
        <w:outlineLvl w:val="9"/>
        <w:rPr>
          <w:rFonts w:ascii="仿宋" w:hAnsi="仿宋" w:eastAsia="仿宋" w:cs="仿宋_GB2312"/>
          <w:b w:val="0"/>
          <w:color w:val="auto"/>
          <w:sz w:val="24"/>
          <w:highlight w:val="none"/>
        </w:rPr>
      </w:pPr>
    </w:p>
    <w:p>
      <w:pPr>
        <w:pStyle w:val="474"/>
        <w:keepNext w:val="0"/>
        <w:pageBreakBefore w:val="0"/>
        <w:shd w:val="clear"/>
        <w:tabs>
          <w:tab w:val="clear" w:pos="720"/>
        </w:tabs>
        <w:snapToGrid w:val="0"/>
        <w:jc w:val="both"/>
        <w:outlineLvl w:val="9"/>
        <w:rPr>
          <w:rFonts w:ascii="仿宋" w:hAnsi="仿宋" w:eastAsia="仿宋" w:cs="仿宋_GB2312"/>
          <w:b w:val="0"/>
          <w:color w:val="auto"/>
          <w:sz w:val="24"/>
          <w:highlight w:val="none"/>
        </w:rPr>
      </w:pPr>
    </w:p>
    <w:p>
      <w:pPr>
        <w:pStyle w:val="474"/>
        <w:keepNext w:val="0"/>
        <w:pageBreakBefore w:val="0"/>
        <w:shd w:val="clear"/>
        <w:tabs>
          <w:tab w:val="clear" w:pos="720"/>
        </w:tabs>
        <w:snapToGrid w:val="0"/>
        <w:jc w:val="both"/>
        <w:outlineLvl w:val="9"/>
        <w:rPr>
          <w:rFonts w:ascii="仿宋" w:hAnsi="仿宋" w:eastAsia="仿宋" w:cs="仿宋_GB2312"/>
          <w:b w:val="0"/>
          <w:color w:val="auto"/>
          <w:sz w:val="24"/>
          <w:highlight w:val="none"/>
        </w:rPr>
      </w:pPr>
    </w:p>
    <w:p>
      <w:pPr>
        <w:pStyle w:val="474"/>
        <w:keepNext w:val="0"/>
        <w:pageBreakBefore w:val="0"/>
        <w:shd w:val="clear"/>
        <w:tabs>
          <w:tab w:val="clear" w:pos="720"/>
        </w:tabs>
        <w:snapToGrid w:val="0"/>
        <w:jc w:val="both"/>
        <w:outlineLvl w:val="9"/>
        <w:rPr>
          <w:rFonts w:ascii="仿宋" w:hAnsi="仿宋" w:eastAsia="仿宋" w:cs="仿宋_GB2312"/>
          <w:b w:val="0"/>
          <w:color w:val="auto"/>
          <w:sz w:val="24"/>
          <w:highlight w:val="none"/>
        </w:rPr>
      </w:pPr>
    </w:p>
    <w:p>
      <w:pPr>
        <w:pStyle w:val="474"/>
        <w:keepNext w:val="0"/>
        <w:pageBreakBefore w:val="0"/>
        <w:shd w:val="clear"/>
        <w:tabs>
          <w:tab w:val="clear" w:pos="720"/>
        </w:tabs>
        <w:snapToGrid w:val="0"/>
        <w:jc w:val="both"/>
        <w:outlineLvl w:val="9"/>
        <w:rPr>
          <w:rFonts w:ascii="仿宋" w:hAnsi="仿宋" w:eastAsia="仿宋" w:cs="仿宋_GB2312"/>
          <w:b w:val="0"/>
          <w:color w:val="auto"/>
          <w:sz w:val="24"/>
          <w:highlight w:val="none"/>
        </w:rPr>
      </w:pPr>
    </w:p>
    <w:p>
      <w:pPr>
        <w:pStyle w:val="474"/>
        <w:keepNext w:val="0"/>
        <w:pageBreakBefore w:val="0"/>
        <w:shd w:val="clear"/>
        <w:tabs>
          <w:tab w:val="clear" w:pos="720"/>
        </w:tabs>
        <w:snapToGrid w:val="0"/>
        <w:jc w:val="both"/>
        <w:outlineLvl w:val="9"/>
        <w:rPr>
          <w:rFonts w:ascii="仿宋" w:hAnsi="仿宋" w:eastAsia="仿宋" w:cs="仿宋_GB2312"/>
          <w:b w:val="0"/>
          <w:color w:val="auto"/>
          <w:sz w:val="24"/>
          <w:highlight w:val="none"/>
        </w:rPr>
      </w:pPr>
    </w:p>
    <w:p>
      <w:pPr>
        <w:pStyle w:val="474"/>
        <w:keepNext w:val="0"/>
        <w:pageBreakBefore w:val="0"/>
        <w:shd w:val="clear"/>
        <w:tabs>
          <w:tab w:val="clear" w:pos="720"/>
        </w:tabs>
        <w:snapToGrid w:val="0"/>
        <w:jc w:val="both"/>
        <w:outlineLvl w:val="9"/>
        <w:rPr>
          <w:rFonts w:ascii="仿宋" w:hAnsi="仿宋" w:eastAsia="仿宋" w:cs="仿宋_GB2312"/>
          <w:b w:val="0"/>
          <w:color w:val="auto"/>
          <w:sz w:val="24"/>
          <w:highlight w:val="none"/>
        </w:rPr>
      </w:pPr>
    </w:p>
    <w:p>
      <w:pPr>
        <w:pStyle w:val="474"/>
        <w:keepNext w:val="0"/>
        <w:pageBreakBefore w:val="0"/>
        <w:shd w:val="clear"/>
        <w:tabs>
          <w:tab w:val="clear" w:pos="720"/>
        </w:tabs>
        <w:snapToGrid w:val="0"/>
        <w:jc w:val="both"/>
        <w:outlineLvl w:val="9"/>
        <w:rPr>
          <w:rFonts w:ascii="仿宋" w:hAnsi="仿宋" w:eastAsia="仿宋" w:cs="仿宋_GB2312"/>
          <w:b w:val="0"/>
          <w:color w:val="auto"/>
          <w:sz w:val="24"/>
          <w:highlight w:val="none"/>
        </w:rPr>
      </w:pPr>
    </w:p>
    <w:p>
      <w:pPr>
        <w:pStyle w:val="474"/>
        <w:keepNext w:val="0"/>
        <w:pageBreakBefore w:val="0"/>
        <w:shd w:val="clear"/>
        <w:tabs>
          <w:tab w:val="clear" w:pos="720"/>
        </w:tabs>
        <w:snapToGrid w:val="0"/>
        <w:jc w:val="both"/>
        <w:outlineLvl w:val="9"/>
        <w:rPr>
          <w:rFonts w:ascii="仿宋" w:hAnsi="仿宋" w:eastAsia="仿宋" w:cs="仿宋_GB2312"/>
          <w:b w:val="0"/>
          <w:color w:val="auto"/>
          <w:sz w:val="24"/>
          <w:highlight w:val="none"/>
        </w:rPr>
      </w:pPr>
    </w:p>
    <w:p>
      <w:pPr>
        <w:pStyle w:val="474"/>
        <w:keepNext w:val="0"/>
        <w:pageBreakBefore w:val="0"/>
        <w:shd w:val="clear"/>
        <w:tabs>
          <w:tab w:val="clear" w:pos="720"/>
        </w:tabs>
        <w:snapToGrid w:val="0"/>
        <w:jc w:val="both"/>
        <w:outlineLvl w:val="9"/>
        <w:rPr>
          <w:rFonts w:ascii="仿宋" w:hAnsi="仿宋" w:eastAsia="仿宋" w:cs="仿宋_GB2312"/>
          <w:b w:val="0"/>
          <w:color w:val="auto"/>
          <w:sz w:val="24"/>
          <w:highlight w:val="none"/>
        </w:rPr>
      </w:pPr>
    </w:p>
    <w:p>
      <w:pPr>
        <w:pStyle w:val="474"/>
        <w:keepNext w:val="0"/>
        <w:pageBreakBefore w:val="0"/>
        <w:shd w:val="clear"/>
        <w:tabs>
          <w:tab w:val="clear" w:pos="720"/>
        </w:tabs>
        <w:snapToGrid w:val="0"/>
        <w:jc w:val="both"/>
        <w:outlineLvl w:val="9"/>
        <w:rPr>
          <w:rFonts w:ascii="仿宋" w:hAnsi="仿宋" w:eastAsia="仿宋" w:cs="仿宋_GB2312"/>
          <w:b w:val="0"/>
          <w:color w:val="auto"/>
          <w:sz w:val="24"/>
          <w:highlight w:val="none"/>
        </w:rPr>
      </w:pPr>
    </w:p>
    <w:p>
      <w:pPr>
        <w:pStyle w:val="474"/>
        <w:keepNext w:val="0"/>
        <w:pageBreakBefore w:val="0"/>
        <w:shd w:val="clear"/>
        <w:tabs>
          <w:tab w:val="clear" w:pos="720"/>
        </w:tabs>
        <w:snapToGrid w:val="0"/>
        <w:jc w:val="both"/>
        <w:outlineLvl w:val="9"/>
        <w:rPr>
          <w:rFonts w:ascii="仿宋" w:hAnsi="仿宋" w:eastAsia="仿宋" w:cs="仿宋_GB2312"/>
          <w:b w:val="0"/>
          <w:color w:val="auto"/>
          <w:sz w:val="24"/>
          <w:highlight w:val="none"/>
        </w:rPr>
      </w:pPr>
    </w:p>
    <w:p>
      <w:pPr>
        <w:shd w:val="clea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br w:type="page"/>
      </w:r>
      <w:r>
        <w:rPr>
          <w:rFonts w:hint="eastAsia" w:ascii="仿宋" w:hAnsi="仿宋" w:eastAsia="仿宋" w:cs="仿宋_GB2312"/>
          <w:b/>
          <w:color w:val="auto"/>
          <w:kern w:val="0"/>
          <w:sz w:val="36"/>
          <w:szCs w:val="36"/>
          <w:highlight w:val="none"/>
        </w:rPr>
        <w:t>报价文件部分</w:t>
      </w:r>
    </w:p>
    <w:p>
      <w:pPr>
        <w:shd w:val="clear"/>
        <w:spacing w:line="360" w:lineRule="auto"/>
        <w:jc w:val="center"/>
        <w:outlineLvl w:val="0"/>
        <w:rPr>
          <w:rFonts w:ascii="仿宋" w:hAnsi="仿宋" w:eastAsia="仿宋" w:cs="仿宋_GB2312"/>
          <w:b/>
          <w:color w:val="auto"/>
          <w:kern w:val="0"/>
          <w:sz w:val="24"/>
          <w:highlight w:val="none"/>
        </w:rPr>
      </w:pPr>
    </w:p>
    <w:p>
      <w:pPr>
        <w:shd w:val="clea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hd w:val="clear" w:color="auto"/>
        <w:spacing w:line="360" w:lineRule="auto"/>
        <w:outlineLvl w:val="0"/>
        <w:rPr>
          <w:rFonts w:hint="eastAsia" w:ascii="仿宋" w:eastAsia="仿宋" w:cs="仿宋_GB2312"/>
          <w:color w:val="auto"/>
          <w:kern w:val="0"/>
          <w:sz w:val="24"/>
          <w:highlight w:val="none"/>
        </w:rPr>
      </w:pPr>
      <w:r>
        <w:rPr>
          <w:rFonts w:hint="eastAsia" w:ascii="仿宋" w:eastAsia="仿宋" w:cs="仿宋_GB2312"/>
          <w:color w:val="auto"/>
          <w:kern w:val="0"/>
          <w:sz w:val="24"/>
          <w:highlight w:val="none"/>
        </w:rPr>
        <w:t>（1）投标（开标）一览表……………………………………………………（页码）</w:t>
      </w:r>
    </w:p>
    <w:p>
      <w:pPr>
        <w:shd w:val="clear" w:color="auto"/>
        <w:spacing w:line="360" w:lineRule="auto"/>
        <w:outlineLvl w:val="0"/>
        <w:rPr>
          <w:rFonts w:hint="eastAsia" w:ascii="仿宋" w:eastAsia="仿宋" w:cs="仿宋_GB2312"/>
          <w:color w:val="auto"/>
          <w:kern w:val="0"/>
          <w:sz w:val="24"/>
          <w:highlight w:val="none"/>
        </w:rPr>
      </w:pPr>
      <w:r>
        <w:rPr>
          <w:rFonts w:hint="eastAsia" w:ascii="仿宋" w:eastAsia="仿宋" w:cs="仿宋_GB2312"/>
          <w:color w:val="auto"/>
          <w:kern w:val="0"/>
          <w:sz w:val="24"/>
          <w:highlight w:val="none"/>
        </w:rPr>
        <w:t>（2）中小企业声明函（如有）………………………………………………（页码）</w:t>
      </w:r>
    </w:p>
    <w:p>
      <w:pPr>
        <w:shd w:val="clear" w:color="auto"/>
        <w:spacing w:line="360" w:lineRule="auto"/>
        <w:outlineLvl w:val="0"/>
        <w:rPr>
          <w:rFonts w:hint="eastAsia" w:ascii="仿宋" w:eastAsia="仿宋" w:cs="仿宋_GB2312"/>
          <w:color w:val="auto"/>
          <w:kern w:val="0"/>
          <w:sz w:val="24"/>
          <w:highlight w:val="none"/>
        </w:rPr>
      </w:pPr>
      <w:r>
        <w:rPr>
          <w:rFonts w:hint="eastAsia" w:ascii="仿宋" w:eastAsia="仿宋" w:cs="仿宋_GB2312"/>
          <w:color w:val="auto"/>
          <w:kern w:val="0"/>
          <w:sz w:val="24"/>
          <w:highlight w:val="none"/>
        </w:rPr>
        <w:t>（3）残疾人福利性单位声明函（如有）……………………………………（页码）</w:t>
      </w:r>
    </w:p>
    <w:p>
      <w:pPr>
        <w:shd w:val="clear"/>
        <w:spacing w:line="360" w:lineRule="auto"/>
        <w:ind w:left="2" w:firstLine="480" w:firstLineChars="200"/>
        <w:rPr>
          <w:rFonts w:ascii="仿宋" w:hAnsi="仿宋" w:eastAsia="仿宋" w:cs="仿宋_GB2312"/>
          <w:color w:val="auto"/>
          <w:sz w:val="24"/>
          <w:highlight w:val="none"/>
        </w:rPr>
      </w:pPr>
    </w:p>
    <w:p>
      <w:pPr>
        <w:shd w:val="clear"/>
        <w:spacing w:line="360" w:lineRule="auto"/>
        <w:ind w:left="2" w:firstLine="480" w:firstLineChars="200"/>
        <w:rPr>
          <w:rFonts w:ascii="仿宋" w:hAnsi="仿宋" w:eastAsia="仿宋" w:cs="仿宋_GB2312"/>
          <w:color w:val="auto"/>
          <w:sz w:val="24"/>
          <w:highlight w:val="none"/>
        </w:rPr>
      </w:pPr>
    </w:p>
    <w:p>
      <w:pPr>
        <w:shd w:val="clear"/>
        <w:spacing w:line="360" w:lineRule="auto"/>
        <w:ind w:left="2" w:firstLine="480" w:firstLineChars="200"/>
        <w:rPr>
          <w:rFonts w:ascii="仿宋" w:hAnsi="仿宋" w:eastAsia="仿宋" w:cs="仿宋_GB2312"/>
          <w:color w:val="auto"/>
          <w:sz w:val="24"/>
          <w:highlight w:val="none"/>
        </w:rPr>
      </w:pPr>
    </w:p>
    <w:p>
      <w:pPr>
        <w:shd w:val="clear"/>
        <w:spacing w:line="360" w:lineRule="auto"/>
        <w:ind w:left="2" w:firstLine="480" w:firstLineChars="200"/>
        <w:rPr>
          <w:rFonts w:ascii="仿宋" w:hAnsi="仿宋" w:eastAsia="仿宋" w:cs="仿宋_GB2312"/>
          <w:color w:val="auto"/>
          <w:sz w:val="24"/>
          <w:highlight w:val="none"/>
        </w:rPr>
      </w:pPr>
    </w:p>
    <w:p>
      <w:pPr>
        <w:shd w:val="clear"/>
        <w:spacing w:line="360" w:lineRule="auto"/>
        <w:ind w:left="2" w:firstLine="480" w:firstLineChars="200"/>
        <w:rPr>
          <w:rFonts w:ascii="仿宋" w:hAnsi="仿宋" w:eastAsia="仿宋" w:cs="仿宋_GB2312"/>
          <w:color w:val="auto"/>
          <w:sz w:val="24"/>
          <w:highlight w:val="none"/>
        </w:rPr>
      </w:pPr>
    </w:p>
    <w:p>
      <w:pPr>
        <w:shd w:val="clear"/>
        <w:snapToGrid w:val="0"/>
        <w:spacing w:line="360" w:lineRule="auto"/>
        <w:jc w:val="center"/>
        <w:outlineLvl w:val="0"/>
        <w:rPr>
          <w:rFonts w:ascii="仿宋" w:hAnsi="仿宋" w:eastAsia="仿宋" w:cs="仿宋_GB2312"/>
          <w:b/>
          <w:color w:val="auto"/>
          <w:kern w:val="0"/>
          <w:sz w:val="32"/>
          <w:szCs w:val="32"/>
          <w:highlight w:val="none"/>
        </w:rPr>
      </w:pPr>
    </w:p>
    <w:p>
      <w:pPr>
        <w:shd w:val="clear"/>
        <w:snapToGrid w:val="0"/>
        <w:spacing w:line="360" w:lineRule="auto"/>
        <w:jc w:val="center"/>
        <w:outlineLvl w:val="0"/>
        <w:rPr>
          <w:rFonts w:ascii="仿宋" w:hAnsi="仿宋" w:eastAsia="仿宋" w:cs="仿宋_GB2312"/>
          <w:b/>
          <w:color w:val="auto"/>
          <w:kern w:val="0"/>
          <w:sz w:val="32"/>
          <w:szCs w:val="32"/>
          <w:highlight w:val="none"/>
        </w:rPr>
      </w:pPr>
    </w:p>
    <w:p>
      <w:pPr>
        <w:shd w:val="clear"/>
        <w:snapToGrid w:val="0"/>
        <w:spacing w:line="360" w:lineRule="auto"/>
        <w:jc w:val="center"/>
        <w:outlineLvl w:val="0"/>
        <w:rPr>
          <w:rFonts w:ascii="仿宋" w:hAnsi="仿宋" w:eastAsia="仿宋" w:cs="仿宋_GB2312"/>
          <w:b/>
          <w:color w:val="auto"/>
          <w:kern w:val="0"/>
          <w:sz w:val="32"/>
          <w:szCs w:val="32"/>
          <w:highlight w:val="none"/>
        </w:rPr>
      </w:pPr>
    </w:p>
    <w:p>
      <w:pPr>
        <w:shd w:val="clear"/>
        <w:snapToGrid w:val="0"/>
        <w:spacing w:line="360" w:lineRule="auto"/>
        <w:jc w:val="center"/>
        <w:outlineLvl w:val="0"/>
        <w:rPr>
          <w:rFonts w:ascii="仿宋" w:hAnsi="仿宋" w:eastAsia="仿宋" w:cs="仿宋_GB2312"/>
          <w:b/>
          <w:color w:val="auto"/>
          <w:kern w:val="0"/>
          <w:sz w:val="32"/>
          <w:szCs w:val="32"/>
          <w:highlight w:val="none"/>
        </w:rPr>
      </w:pPr>
    </w:p>
    <w:p>
      <w:pPr>
        <w:shd w:val="clear"/>
        <w:snapToGrid w:val="0"/>
        <w:spacing w:line="360" w:lineRule="auto"/>
        <w:jc w:val="center"/>
        <w:outlineLvl w:val="0"/>
        <w:rPr>
          <w:rFonts w:ascii="仿宋" w:hAnsi="仿宋" w:eastAsia="仿宋" w:cs="仿宋_GB2312"/>
          <w:b/>
          <w:color w:val="auto"/>
          <w:kern w:val="0"/>
          <w:sz w:val="32"/>
          <w:szCs w:val="32"/>
          <w:highlight w:val="none"/>
        </w:rPr>
      </w:pPr>
    </w:p>
    <w:p>
      <w:pPr>
        <w:shd w:val="clear"/>
        <w:snapToGrid w:val="0"/>
        <w:spacing w:line="360" w:lineRule="auto"/>
        <w:jc w:val="center"/>
        <w:outlineLvl w:val="0"/>
        <w:rPr>
          <w:rFonts w:ascii="仿宋" w:hAnsi="仿宋" w:eastAsia="仿宋" w:cs="仿宋_GB2312"/>
          <w:b/>
          <w:color w:val="auto"/>
          <w:kern w:val="0"/>
          <w:sz w:val="32"/>
          <w:szCs w:val="32"/>
          <w:highlight w:val="none"/>
        </w:rPr>
      </w:pPr>
    </w:p>
    <w:p>
      <w:pPr>
        <w:shd w:val="clear"/>
        <w:snapToGrid w:val="0"/>
        <w:spacing w:line="360" w:lineRule="auto"/>
        <w:jc w:val="center"/>
        <w:outlineLvl w:val="0"/>
        <w:rPr>
          <w:rFonts w:ascii="仿宋" w:hAnsi="仿宋" w:eastAsia="仿宋" w:cs="仿宋_GB2312"/>
          <w:b/>
          <w:color w:val="auto"/>
          <w:kern w:val="0"/>
          <w:sz w:val="32"/>
          <w:szCs w:val="32"/>
          <w:highlight w:val="none"/>
        </w:rPr>
      </w:pPr>
    </w:p>
    <w:p>
      <w:pPr>
        <w:shd w:val="clear"/>
        <w:snapToGrid w:val="0"/>
        <w:spacing w:line="360" w:lineRule="auto"/>
        <w:jc w:val="center"/>
        <w:outlineLvl w:val="0"/>
        <w:rPr>
          <w:rFonts w:ascii="仿宋" w:hAnsi="仿宋" w:eastAsia="仿宋" w:cs="仿宋_GB2312"/>
          <w:b/>
          <w:color w:val="auto"/>
          <w:kern w:val="0"/>
          <w:sz w:val="32"/>
          <w:szCs w:val="32"/>
          <w:highlight w:val="none"/>
        </w:rPr>
      </w:pPr>
    </w:p>
    <w:p>
      <w:pPr>
        <w:shd w:val="clear"/>
        <w:snapToGrid w:val="0"/>
        <w:spacing w:line="360" w:lineRule="auto"/>
        <w:jc w:val="center"/>
        <w:outlineLvl w:val="0"/>
        <w:rPr>
          <w:rFonts w:ascii="仿宋" w:hAnsi="仿宋" w:eastAsia="仿宋" w:cs="仿宋_GB2312"/>
          <w:b/>
          <w:color w:val="auto"/>
          <w:kern w:val="0"/>
          <w:sz w:val="32"/>
          <w:szCs w:val="32"/>
          <w:highlight w:val="none"/>
        </w:rPr>
      </w:pPr>
    </w:p>
    <w:p>
      <w:pPr>
        <w:shd w:val="clear"/>
        <w:snapToGrid w:val="0"/>
        <w:spacing w:line="360" w:lineRule="auto"/>
        <w:jc w:val="center"/>
        <w:outlineLvl w:val="0"/>
        <w:rPr>
          <w:rFonts w:ascii="仿宋" w:hAnsi="仿宋" w:eastAsia="仿宋" w:cs="仿宋_GB2312"/>
          <w:b/>
          <w:color w:val="auto"/>
          <w:kern w:val="0"/>
          <w:sz w:val="32"/>
          <w:szCs w:val="32"/>
          <w:highlight w:val="none"/>
        </w:rPr>
      </w:pPr>
    </w:p>
    <w:p>
      <w:pPr>
        <w:shd w:val="clear"/>
        <w:snapToGrid w:val="0"/>
        <w:spacing w:line="360" w:lineRule="auto"/>
        <w:jc w:val="center"/>
        <w:outlineLvl w:val="0"/>
        <w:rPr>
          <w:rFonts w:ascii="仿宋" w:hAnsi="仿宋" w:eastAsia="仿宋" w:cs="仿宋_GB2312"/>
          <w:b/>
          <w:color w:val="auto"/>
          <w:kern w:val="0"/>
          <w:sz w:val="32"/>
          <w:szCs w:val="32"/>
          <w:highlight w:val="none"/>
        </w:rPr>
      </w:pPr>
    </w:p>
    <w:p>
      <w:pPr>
        <w:shd w:val="clear"/>
        <w:snapToGrid w:val="0"/>
        <w:spacing w:line="360" w:lineRule="auto"/>
        <w:jc w:val="center"/>
        <w:outlineLvl w:val="0"/>
        <w:rPr>
          <w:rFonts w:ascii="仿宋" w:hAnsi="仿宋" w:eastAsia="仿宋" w:cs="仿宋_GB2312"/>
          <w:b/>
          <w:color w:val="auto"/>
          <w:kern w:val="0"/>
          <w:sz w:val="32"/>
          <w:szCs w:val="32"/>
          <w:highlight w:val="none"/>
        </w:rPr>
      </w:pPr>
    </w:p>
    <w:p>
      <w:pPr>
        <w:shd w:val="clear"/>
        <w:snapToGrid w:val="0"/>
        <w:spacing w:line="360" w:lineRule="auto"/>
        <w:jc w:val="center"/>
        <w:outlineLvl w:val="0"/>
        <w:rPr>
          <w:rFonts w:ascii="仿宋" w:hAnsi="仿宋" w:eastAsia="仿宋" w:cs="仿宋_GB2312"/>
          <w:b/>
          <w:color w:val="auto"/>
          <w:kern w:val="0"/>
          <w:sz w:val="32"/>
          <w:szCs w:val="32"/>
          <w:highlight w:val="none"/>
        </w:rPr>
      </w:pPr>
    </w:p>
    <w:p>
      <w:pPr>
        <w:pStyle w:val="474"/>
        <w:keepNext w:val="0"/>
        <w:pageBreakBefore w:val="0"/>
        <w:shd w:val="clear"/>
        <w:tabs>
          <w:tab w:val="clear" w:pos="720"/>
        </w:tabs>
        <w:snapToGrid w:val="0"/>
        <w:ind w:firstLine="640"/>
        <w:outlineLvl w:val="9"/>
        <w:rPr>
          <w:rFonts w:ascii="仿宋" w:hAnsi="仿宋" w:eastAsia="仿宋" w:cs="仿宋_GB2312"/>
          <w:color w:val="auto"/>
          <w:kern w:val="2"/>
          <w:sz w:val="32"/>
          <w:szCs w:val="32"/>
          <w:highlight w:val="none"/>
        </w:rPr>
        <w:sectPr>
          <w:footerReference r:id="rId16" w:type="first"/>
          <w:footerReference r:id="rId14" w:type="default"/>
          <w:headerReference r:id="rId13" w:type="even"/>
          <w:footerReference r:id="rId15" w:type="even"/>
          <w:pgSz w:w="11906" w:h="16838"/>
          <w:pgMar w:top="1247" w:right="1418" w:bottom="1276" w:left="1418" w:header="851" w:footer="992" w:gutter="0"/>
          <w:cols w:space="720" w:num="1"/>
          <w:titlePg/>
          <w:docGrid w:linePitch="312" w:charSpace="0"/>
        </w:sectPr>
      </w:pPr>
    </w:p>
    <w:p>
      <w:pPr>
        <w:pStyle w:val="474"/>
        <w:keepNext w:val="0"/>
        <w:pageBreakBefore w:val="0"/>
        <w:shd w:val="clear"/>
        <w:tabs>
          <w:tab w:val="clear" w:pos="720"/>
        </w:tabs>
        <w:snapToGrid w:val="0"/>
        <w:ind w:firstLine="640"/>
        <w:outlineLvl w:val="9"/>
        <w:rPr>
          <w:rFonts w:ascii="仿宋" w:hAnsi="仿宋" w:eastAsia="仿宋" w:cs="仿宋_GB2312"/>
          <w:color w:val="auto"/>
          <w:kern w:val="2"/>
          <w:sz w:val="32"/>
          <w:szCs w:val="32"/>
          <w:highlight w:val="none"/>
        </w:rPr>
      </w:pPr>
      <w:r>
        <w:rPr>
          <w:rFonts w:hint="eastAsia" w:ascii="仿宋" w:hAnsi="仿宋" w:eastAsia="仿宋" w:cs="仿宋_GB2312"/>
          <w:color w:val="auto"/>
          <w:kern w:val="2"/>
          <w:sz w:val="32"/>
          <w:szCs w:val="32"/>
          <w:highlight w:val="none"/>
        </w:rPr>
        <w:t>一、投标(开标)一览表</w:t>
      </w:r>
    </w:p>
    <w:p>
      <w:pPr>
        <w:shd w:val="clear"/>
        <w:snapToGrid w:val="0"/>
        <w:spacing w:line="360" w:lineRule="auto"/>
        <w:rPr>
          <w:rFonts w:ascii="仿宋" w:hAnsi="仿宋" w:eastAsia="仿宋" w:cs="仿宋_GB2312"/>
          <w:color w:val="auto"/>
          <w:kern w:val="0"/>
          <w:sz w:val="24"/>
          <w:highlight w:val="none"/>
          <w:lang w:val="zh-CN"/>
        </w:rPr>
      </w:pPr>
      <w:bookmarkStart w:id="445" w:name="_Toc86217005"/>
      <w:r>
        <w:rPr>
          <w:rFonts w:hint="eastAsia" w:ascii="仿宋" w:hAnsi="仿宋" w:eastAsia="仿宋" w:cs="仿宋_GB2312"/>
          <w:color w:val="auto"/>
          <w:sz w:val="24"/>
          <w:highlight w:val="none"/>
        </w:rPr>
        <w:t>项目名称</w:t>
      </w:r>
      <w:r>
        <w:rPr>
          <w:rFonts w:hint="eastAsia" w:ascii="仿宋" w:hAnsi="仿宋" w:eastAsia="仿宋" w:cs="仿宋_GB2312"/>
          <w:color w:val="auto"/>
          <w:kern w:val="0"/>
          <w:sz w:val="24"/>
          <w:highlight w:val="none"/>
          <w:lang w:val="zh-CN"/>
        </w:rPr>
        <w:t>：</w:t>
      </w:r>
    </w:p>
    <w:p>
      <w:pPr>
        <w:shd w:val="clea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项目编号：                  标项：</w:t>
      </w:r>
    </w:p>
    <w:tbl>
      <w:tblPr>
        <w:tblStyle w:val="58"/>
        <w:tblW w:w="10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4175"/>
        <w:gridCol w:w="1725"/>
        <w:gridCol w:w="1440"/>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133" w:type="dxa"/>
            <w:vAlign w:val="center"/>
          </w:tcPr>
          <w:p>
            <w:pPr>
              <w:shd w:val="clea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编号</w:t>
            </w:r>
          </w:p>
        </w:tc>
        <w:tc>
          <w:tcPr>
            <w:tcW w:w="4175" w:type="dxa"/>
            <w:vAlign w:val="center"/>
          </w:tcPr>
          <w:p>
            <w:pPr>
              <w:shd w:val="clear"/>
              <w:spacing w:line="360" w:lineRule="auto"/>
              <w:jc w:val="center"/>
              <w:rPr>
                <w:rFonts w:ascii="仿宋" w:hAnsi="仿宋" w:eastAsia="仿宋"/>
                <w:b/>
                <w:color w:val="auto"/>
                <w:sz w:val="24"/>
                <w:highlight w:val="none"/>
              </w:rPr>
            </w:pPr>
            <w:r>
              <w:rPr>
                <w:rFonts w:hint="eastAsia" w:ascii="仿宋" w:hAnsi="仿宋" w:eastAsia="仿宋" w:cs="仿宋_GB2312"/>
                <w:b/>
                <w:color w:val="auto"/>
                <w:sz w:val="24"/>
                <w:highlight w:val="none"/>
              </w:rPr>
              <w:t>收费基数</w:t>
            </w:r>
          </w:p>
        </w:tc>
        <w:tc>
          <w:tcPr>
            <w:tcW w:w="1725" w:type="dxa"/>
            <w:vAlign w:val="center"/>
          </w:tcPr>
          <w:p>
            <w:pPr>
              <w:shd w:val="clear"/>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预算价（元）</w:t>
            </w:r>
          </w:p>
        </w:tc>
        <w:tc>
          <w:tcPr>
            <w:tcW w:w="1440" w:type="dxa"/>
            <w:vAlign w:val="center"/>
          </w:tcPr>
          <w:p>
            <w:pPr>
              <w:shd w:val="clear"/>
              <w:spacing w:line="360" w:lineRule="auto"/>
              <w:jc w:val="center"/>
              <w:rPr>
                <w:rFonts w:hint="eastAsia" w:ascii="仿宋" w:hAnsi="仿宋" w:eastAsia="仿宋"/>
                <w:b/>
                <w:color w:val="auto"/>
                <w:sz w:val="24"/>
                <w:highlight w:val="none"/>
                <w:lang w:eastAsia="zh-CN"/>
              </w:rPr>
            </w:pPr>
            <w:r>
              <w:rPr>
                <w:rFonts w:hint="eastAsia" w:ascii="仿宋" w:hAnsi="仿宋" w:eastAsia="仿宋"/>
                <w:b/>
                <w:color w:val="auto"/>
                <w:sz w:val="24"/>
                <w:highlight w:val="none"/>
                <w:lang w:val="en-US" w:eastAsia="zh-CN"/>
              </w:rPr>
              <w:t>投标</w:t>
            </w:r>
            <w:r>
              <w:rPr>
                <w:rFonts w:hint="eastAsia" w:ascii="仿宋" w:hAnsi="仿宋" w:eastAsia="仿宋"/>
                <w:b/>
                <w:color w:val="auto"/>
                <w:sz w:val="24"/>
                <w:highlight w:val="none"/>
              </w:rPr>
              <w:t>下浮率</w:t>
            </w:r>
            <w:r>
              <w:rPr>
                <w:rFonts w:hint="eastAsia" w:ascii="仿宋" w:hAnsi="仿宋" w:eastAsia="仿宋"/>
                <w:b/>
                <w:color w:val="auto"/>
                <w:sz w:val="24"/>
                <w:highlight w:val="none"/>
                <w:lang w:eastAsia="zh-CN"/>
              </w:rPr>
              <w:t>（</w:t>
            </w:r>
            <w:r>
              <w:rPr>
                <w:rFonts w:hint="eastAsia" w:ascii="仿宋" w:hAnsi="仿宋" w:eastAsia="仿宋"/>
                <w:b/>
                <w:color w:val="auto"/>
                <w:sz w:val="24"/>
                <w:highlight w:val="none"/>
              </w:rPr>
              <w:t>%</w:t>
            </w:r>
            <w:r>
              <w:rPr>
                <w:rFonts w:hint="eastAsia" w:ascii="仿宋" w:hAnsi="仿宋" w:eastAsia="仿宋"/>
                <w:b/>
                <w:color w:val="auto"/>
                <w:sz w:val="24"/>
                <w:highlight w:val="none"/>
                <w:lang w:eastAsia="zh-CN"/>
              </w:rPr>
              <w:t>）</w:t>
            </w:r>
          </w:p>
        </w:tc>
        <w:tc>
          <w:tcPr>
            <w:tcW w:w="1655" w:type="dxa"/>
            <w:vAlign w:val="center"/>
          </w:tcPr>
          <w:p>
            <w:pPr>
              <w:shd w:val="clear"/>
              <w:spacing w:line="360" w:lineRule="auto"/>
              <w:jc w:val="center"/>
              <w:rPr>
                <w:rFonts w:hint="default" w:ascii="仿宋" w:hAnsi="仿宋" w:eastAsia="仿宋"/>
                <w:b/>
                <w:color w:val="auto"/>
                <w:sz w:val="24"/>
                <w:highlight w:val="none"/>
                <w:lang w:val="en-US" w:eastAsia="zh-CN"/>
              </w:rPr>
            </w:pPr>
            <w:r>
              <w:rPr>
                <w:rFonts w:hint="eastAsia" w:ascii="仿宋" w:hAnsi="仿宋" w:eastAsia="仿宋"/>
                <w:b/>
                <w:color w:val="auto"/>
                <w:sz w:val="24"/>
                <w:highlight w:val="none"/>
                <w:lang w:val="en-US" w:eastAsia="zh-CN"/>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33" w:type="dxa"/>
            <w:vAlign w:val="center"/>
          </w:tcPr>
          <w:p>
            <w:pPr>
              <w:shd w:val="clea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1</w:t>
            </w:r>
          </w:p>
        </w:tc>
        <w:tc>
          <w:tcPr>
            <w:tcW w:w="4175" w:type="dxa"/>
            <w:vAlign w:val="center"/>
          </w:tcPr>
          <w:p>
            <w:pPr>
              <w:shd w:val="clear"/>
              <w:spacing w:line="360" w:lineRule="auto"/>
              <w:jc w:val="left"/>
              <w:rPr>
                <w:rFonts w:ascii="仿宋" w:hAnsi="仿宋" w:eastAsia="仿宋"/>
                <w:b/>
                <w:color w:val="auto"/>
                <w:sz w:val="24"/>
                <w:highlight w:val="none"/>
              </w:rPr>
            </w:pPr>
            <w:r>
              <w:rPr>
                <w:rFonts w:ascii="仿宋" w:hAnsi="仿宋" w:eastAsia="仿宋"/>
                <w:b/>
                <w:color w:val="auto"/>
                <w:sz w:val="24"/>
                <w:highlight w:val="none"/>
              </w:rPr>
              <w:t>招标代理费参考招标代理服务收费标准国家计委计价格[2002]1980号</w:t>
            </w:r>
            <w:r>
              <w:rPr>
                <w:rFonts w:hint="eastAsia" w:ascii="仿宋" w:hAnsi="仿宋" w:eastAsia="仿宋"/>
                <w:b/>
                <w:color w:val="auto"/>
                <w:sz w:val="24"/>
                <w:highlight w:val="none"/>
              </w:rPr>
              <w:t>、</w:t>
            </w:r>
            <w:r>
              <w:rPr>
                <w:rFonts w:ascii="仿宋" w:hAnsi="仿宋" w:eastAsia="仿宋"/>
                <w:b/>
                <w:color w:val="auto"/>
                <w:sz w:val="24"/>
                <w:highlight w:val="none"/>
              </w:rPr>
              <w:t>发改价格[2011]534号文件</w:t>
            </w:r>
            <w:r>
              <w:rPr>
                <w:rFonts w:hint="eastAsia" w:ascii="仿宋" w:hAnsi="仿宋" w:eastAsia="仿宋"/>
                <w:b/>
                <w:color w:val="auto"/>
                <w:sz w:val="24"/>
                <w:highlight w:val="none"/>
              </w:rPr>
              <w:t>，标底（预算）编制费</w:t>
            </w:r>
            <w:r>
              <w:rPr>
                <w:rFonts w:ascii="仿宋" w:hAnsi="仿宋" w:eastAsia="仿宋"/>
                <w:b/>
                <w:color w:val="auto"/>
                <w:sz w:val="24"/>
                <w:highlight w:val="none"/>
              </w:rPr>
              <w:t>参考原</w:t>
            </w:r>
            <w:r>
              <w:rPr>
                <w:rFonts w:hint="eastAsia" w:ascii="仿宋" w:hAnsi="仿宋" w:eastAsia="仿宋"/>
                <w:b/>
                <w:color w:val="auto"/>
                <w:sz w:val="24"/>
                <w:highlight w:val="none"/>
              </w:rPr>
              <w:t>浙价服[2009]84号《浙江省建设工程造价咨询服务基准收费标准》</w:t>
            </w:r>
          </w:p>
        </w:tc>
        <w:tc>
          <w:tcPr>
            <w:tcW w:w="1725" w:type="dxa"/>
            <w:vAlign w:val="center"/>
          </w:tcPr>
          <w:p>
            <w:pPr>
              <w:shd w:val="clear"/>
              <w:spacing w:line="360" w:lineRule="auto"/>
              <w:jc w:val="center"/>
              <w:rPr>
                <w:rFonts w:hint="default" w:ascii="仿宋" w:hAnsi="仿宋" w:eastAsia="仿宋"/>
                <w:b/>
                <w:color w:val="auto"/>
                <w:sz w:val="24"/>
                <w:highlight w:val="none"/>
                <w:lang w:val="en-US" w:eastAsia="zh-CN"/>
              </w:rPr>
            </w:pPr>
            <w:r>
              <w:rPr>
                <w:rFonts w:hint="eastAsia" w:ascii="仿宋" w:hAnsi="仿宋" w:eastAsia="仿宋"/>
                <w:b/>
                <w:color w:val="auto"/>
                <w:sz w:val="24"/>
                <w:highlight w:val="none"/>
                <w:lang w:val="en-US" w:eastAsia="zh-CN"/>
              </w:rPr>
              <w:t>500000</w:t>
            </w:r>
          </w:p>
        </w:tc>
        <w:tc>
          <w:tcPr>
            <w:tcW w:w="1440" w:type="dxa"/>
            <w:vAlign w:val="center"/>
          </w:tcPr>
          <w:p>
            <w:pPr>
              <w:shd w:val="clear"/>
              <w:spacing w:line="360" w:lineRule="auto"/>
              <w:jc w:val="both"/>
              <w:rPr>
                <w:rFonts w:hint="eastAsia" w:ascii="仿宋" w:hAnsi="仿宋" w:eastAsia="仿宋"/>
                <w:b/>
                <w:color w:val="auto"/>
                <w:sz w:val="24"/>
                <w:highlight w:val="none"/>
                <w:lang w:val="en-US" w:eastAsia="zh-CN"/>
              </w:rPr>
            </w:pPr>
            <w:r>
              <w:rPr>
                <w:rFonts w:hint="eastAsia" w:ascii="仿宋" w:hAnsi="仿宋" w:eastAsia="仿宋"/>
                <w:b/>
                <w:color w:val="auto"/>
                <w:sz w:val="24"/>
                <w:highlight w:val="none"/>
              </w:rPr>
              <w:t>小写：</w:t>
            </w:r>
            <w:r>
              <w:rPr>
                <w:rFonts w:hint="eastAsia" w:ascii="仿宋" w:hAnsi="仿宋" w:eastAsia="仿宋"/>
                <w:b/>
                <w:color w:val="auto"/>
                <w:sz w:val="24"/>
                <w:highlight w:val="none"/>
                <w:u w:val="single"/>
              </w:rPr>
              <w:t xml:space="preserve">  </w:t>
            </w:r>
            <w:r>
              <w:rPr>
                <w:rFonts w:hint="eastAsia" w:ascii="仿宋" w:hAnsi="仿宋" w:eastAsia="仿宋"/>
                <w:b/>
                <w:color w:val="auto"/>
                <w:sz w:val="24"/>
                <w:highlight w:val="none"/>
                <w:u w:val="single"/>
                <w:lang w:val="en-US" w:eastAsia="zh-CN"/>
              </w:rPr>
              <w:t xml:space="preserve"> </w:t>
            </w:r>
          </w:p>
        </w:tc>
        <w:tc>
          <w:tcPr>
            <w:tcW w:w="1655" w:type="dxa"/>
            <w:vAlign w:val="center"/>
          </w:tcPr>
          <w:p>
            <w:pPr>
              <w:shd w:val="clear"/>
              <w:spacing w:line="360" w:lineRule="auto"/>
              <w:jc w:val="both"/>
              <w:rPr>
                <w:rFonts w:hint="eastAsia"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128" w:type="dxa"/>
            <w:gridSpan w:val="5"/>
            <w:vAlign w:val="center"/>
          </w:tcPr>
          <w:p>
            <w:pPr>
              <w:shd w:val="clear"/>
              <w:spacing w:line="360" w:lineRule="auto"/>
              <w:jc w:val="left"/>
              <w:rPr>
                <w:rFonts w:hint="eastAsia" w:ascii="仿宋" w:hAnsi="仿宋" w:eastAsia="仿宋"/>
                <w:b/>
                <w:color w:val="auto"/>
                <w:sz w:val="24"/>
                <w:highlight w:val="none"/>
              </w:rPr>
            </w:pPr>
            <w:r>
              <w:rPr>
                <w:rFonts w:hint="eastAsia" w:ascii="仿宋" w:hAnsi="仿宋" w:eastAsia="仿宋"/>
                <w:b/>
                <w:color w:val="auto"/>
                <w:sz w:val="24"/>
                <w:highlight w:val="none"/>
              </w:rPr>
              <w:t>投标</w:t>
            </w:r>
            <w:r>
              <w:rPr>
                <w:rFonts w:hint="eastAsia" w:ascii="仿宋" w:hAnsi="仿宋" w:eastAsia="仿宋"/>
                <w:b/>
                <w:color w:val="auto"/>
                <w:sz w:val="24"/>
                <w:highlight w:val="none"/>
                <w:lang w:val="en-US" w:eastAsia="zh-CN"/>
              </w:rPr>
              <w:t>报价</w:t>
            </w:r>
            <w:r>
              <w:rPr>
                <w:rFonts w:hint="eastAsia" w:ascii="仿宋" w:hAnsi="仿宋" w:eastAsia="仿宋"/>
                <w:b/>
                <w:color w:val="auto"/>
                <w:sz w:val="24"/>
                <w:highlight w:val="none"/>
              </w:rPr>
              <w:t>大写：</w:t>
            </w:r>
          </w:p>
        </w:tc>
      </w:tr>
    </w:tbl>
    <w:p>
      <w:pPr>
        <w:shd w:val="clear"/>
        <w:snapToGrid w:val="0"/>
        <w:spacing w:line="360" w:lineRule="auto"/>
        <w:ind w:left="480"/>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注：</w:t>
      </w:r>
    </w:p>
    <w:p>
      <w:pPr>
        <w:shd w:val="clear"/>
        <w:spacing w:line="360" w:lineRule="auto"/>
        <w:ind w:left="-2" w:leftChars="-1"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1、投标人需按本表格式填写，不得自行更</w:t>
      </w:r>
      <w:r>
        <w:rPr>
          <w:rFonts w:hint="eastAsia" w:ascii="仿宋" w:hAnsi="仿宋" w:eastAsia="仿宋"/>
          <w:color w:val="auto"/>
          <w:sz w:val="24"/>
          <w:highlight w:val="none"/>
        </w:rPr>
        <w:t>改，如无对应内容，则填写：“无或/”。</w:t>
      </w:r>
    </w:p>
    <w:p>
      <w:pPr>
        <w:shd w:val="clear"/>
        <w:snapToGrid w:val="0"/>
        <w:spacing w:line="360" w:lineRule="auto"/>
        <w:ind w:left="480"/>
        <w:rPr>
          <w:rFonts w:ascii="仿宋" w:hAnsi="仿宋" w:eastAsia="仿宋"/>
          <w:color w:val="auto"/>
          <w:sz w:val="24"/>
          <w:highlight w:val="none"/>
        </w:rPr>
      </w:pPr>
      <w:r>
        <w:rPr>
          <w:rFonts w:hint="eastAsia" w:ascii="仿宋" w:hAnsi="仿宋" w:eastAsia="仿宋" w:cs="仿宋_GB2312"/>
          <w:color w:val="auto"/>
          <w:kern w:val="0"/>
          <w:sz w:val="24"/>
          <w:highlight w:val="none"/>
          <w:lang w:val="zh-CN"/>
        </w:rPr>
        <w:t>2、有关本项目实施所涉及的一切费用（详见前附表）均计入报价。</w:t>
      </w:r>
    </w:p>
    <w:p>
      <w:pPr>
        <w:shd w:val="clear"/>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3、特别提示：采购代理机构将对项目名称和项目编号，中标供应商名称、地址和中标金额，主要中标标的的名称、规格型号、数量、单价、服务要求等予以公示。</w:t>
      </w:r>
    </w:p>
    <w:p>
      <w:pPr>
        <w:shd w:val="clear"/>
        <w:snapToGrid w:val="0"/>
        <w:spacing w:line="360" w:lineRule="auto"/>
        <w:ind w:firstLine="480" w:firstLineChars="200"/>
        <w:jc w:val="left"/>
        <w:rPr>
          <w:rFonts w:hint="default" w:ascii="仿宋" w:hAnsi="仿宋" w:eastAsia="仿宋" w:cs="仿宋_GB2312"/>
          <w:color w:val="auto"/>
          <w:kern w:val="0"/>
          <w:sz w:val="24"/>
          <w:highlight w:val="none"/>
          <w:lang w:val="en-US" w:eastAsia="zh-CN"/>
        </w:rPr>
      </w:pPr>
      <w:r>
        <w:rPr>
          <w:rFonts w:hint="eastAsia" w:ascii="仿宋" w:hAnsi="仿宋" w:eastAsia="仿宋" w:cs="仿宋_GB2312"/>
          <w:color w:val="auto"/>
          <w:kern w:val="0"/>
          <w:sz w:val="24"/>
          <w:highlight w:val="none"/>
          <w:lang w:val="en-US" w:eastAsia="zh-CN"/>
        </w:rPr>
        <w:t>4、</w:t>
      </w:r>
      <w:r>
        <w:rPr>
          <w:rFonts w:hint="eastAsia" w:ascii="仿宋" w:hAnsi="仿宋" w:eastAsia="仿宋"/>
          <w:b/>
          <w:color w:val="auto"/>
          <w:sz w:val="24"/>
          <w:highlight w:val="none"/>
        </w:rPr>
        <w:t>投标</w:t>
      </w:r>
      <w:r>
        <w:rPr>
          <w:rFonts w:hint="eastAsia" w:ascii="仿宋" w:hAnsi="仿宋" w:eastAsia="仿宋"/>
          <w:b/>
          <w:color w:val="auto"/>
          <w:sz w:val="24"/>
          <w:highlight w:val="none"/>
          <w:lang w:val="en-US" w:eastAsia="zh-CN"/>
        </w:rPr>
        <w:t>报价=</w:t>
      </w:r>
      <w:r>
        <w:rPr>
          <w:rFonts w:hint="eastAsia" w:ascii="仿宋" w:hAnsi="仿宋" w:eastAsia="仿宋" w:cs="仿宋_GB2312"/>
          <w:b/>
          <w:color w:val="auto"/>
          <w:sz w:val="24"/>
          <w:highlight w:val="none"/>
          <w:lang w:val="en-US" w:eastAsia="zh-CN"/>
        </w:rPr>
        <w:t>预算价*（1-</w:t>
      </w:r>
      <w:r>
        <w:rPr>
          <w:rFonts w:hint="eastAsia" w:ascii="仿宋" w:hAnsi="仿宋" w:eastAsia="仿宋"/>
          <w:b/>
          <w:color w:val="auto"/>
          <w:sz w:val="24"/>
          <w:highlight w:val="none"/>
          <w:lang w:val="en-US" w:eastAsia="zh-CN"/>
        </w:rPr>
        <w:t>投标</w:t>
      </w:r>
      <w:r>
        <w:rPr>
          <w:rFonts w:hint="eastAsia" w:ascii="仿宋" w:hAnsi="仿宋" w:eastAsia="仿宋"/>
          <w:b/>
          <w:color w:val="auto"/>
          <w:sz w:val="24"/>
          <w:highlight w:val="none"/>
        </w:rPr>
        <w:t>下浮率</w:t>
      </w:r>
      <w:r>
        <w:rPr>
          <w:rFonts w:hint="eastAsia" w:ascii="仿宋" w:hAnsi="仿宋" w:eastAsia="仿宋" w:cs="仿宋_GB2312"/>
          <w:b/>
          <w:color w:val="auto"/>
          <w:sz w:val="24"/>
          <w:highlight w:val="none"/>
          <w:lang w:val="en-US" w:eastAsia="zh-CN"/>
        </w:rPr>
        <w:t>）。</w:t>
      </w:r>
    </w:p>
    <w:p>
      <w:pPr>
        <w:shd w:val="clear"/>
        <w:spacing w:line="360" w:lineRule="auto"/>
        <w:ind w:right="960" w:firstLine="10440" w:firstLineChars="4350"/>
        <w:jc w:val="righ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投投标人名称（电子签名）：                                                                                   日期：  年   月 </w:t>
      </w:r>
      <w:bookmarkEnd w:id="445"/>
    </w:p>
    <w:p>
      <w:pPr>
        <w:pStyle w:val="474"/>
        <w:keepNext w:val="0"/>
        <w:pageBreakBefore w:val="0"/>
        <w:shd w:val="clear" w:color="auto"/>
        <w:tabs>
          <w:tab w:val="clear" w:pos="720"/>
        </w:tabs>
        <w:snapToGrid w:val="0"/>
        <w:spacing w:before="240"/>
        <w:outlineLvl w:val="9"/>
        <w:rPr>
          <w:rFonts w:hint="eastAsia" w:ascii="仿宋" w:eastAsia="仿宋" w:cs="仿宋_GB2312"/>
          <w:color w:val="auto"/>
          <w:kern w:val="2"/>
          <w:sz w:val="32"/>
          <w:szCs w:val="32"/>
          <w:highlight w:val="none"/>
        </w:rPr>
      </w:pPr>
    </w:p>
    <w:p>
      <w:pPr>
        <w:pStyle w:val="474"/>
        <w:keepNext w:val="0"/>
        <w:pageBreakBefore w:val="0"/>
        <w:shd w:val="clear" w:color="auto"/>
        <w:tabs>
          <w:tab w:val="clear" w:pos="720"/>
        </w:tabs>
        <w:snapToGrid w:val="0"/>
        <w:spacing w:before="240"/>
        <w:outlineLvl w:val="9"/>
        <w:rPr>
          <w:rFonts w:hint="eastAsia" w:ascii="仿宋" w:eastAsia="仿宋" w:cs="仿宋_GB2312"/>
          <w:color w:val="auto"/>
          <w:kern w:val="2"/>
          <w:sz w:val="32"/>
          <w:szCs w:val="32"/>
          <w:highlight w:val="none"/>
        </w:rPr>
      </w:pPr>
    </w:p>
    <w:p>
      <w:pPr>
        <w:pStyle w:val="474"/>
        <w:keepNext w:val="0"/>
        <w:pageBreakBefore w:val="0"/>
        <w:shd w:val="clear" w:color="auto"/>
        <w:tabs>
          <w:tab w:val="clear" w:pos="720"/>
        </w:tabs>
        <w:snapToGrid w:val="0"/>
        <w:spacing w:before="240"/>
        <w:outlineLvl w:val="9"/>
        <w:rPr>
          <w:rFonts w:hint="eastAsia" w:ascii="仿宋" w:eastAsia="仿宋" w:cs="仿宋_GB2312"/>
          <w:color w:val="auto"/>
          <w:kern w:val="2"/>
          <w:sz w:val="32"/>
          <w:szCs w:val="32"/>
          <w:highlight w:val="none"/>
        </w:rPr>
      </w:pPr>
    </w:p>
    <w:p>
      <w:pPr>
        <w:pStyle w:val="474"/>
        <w:keepNext w:val="0"/>
        <w:pageBreakBefore w:val="0"/>
        <w:shd w:val="clear" w:color="auto"/>
        <w:tabs>
          <w:tab w:val="clear" w:pos="720"/>
        </w:tabs>
        <w:snapToGrid w:val="0"/>
        <w:spacing w:before="240"/>
        <w:outlineLvl w:val="9"/>
        <w:rPr>
          <w:rFonts w:hint="eastAsia" w:ascii="仿宋" w:eastAsia="仿宋" w:cs="仿宋_GB2312"/>
          <w:color w:val="auto"/>
          <w:kern w:val="2"/>
          <w:sz w:val="32"/>
          <w:szCs w:val="32"/>
          <w:highlight w:val="none"/>
        </w:rPr>
      </w:pPr>
    </w:p>
    <w:p>
      <w:pPr>
        <w:pStyle w:val="474"/>
        <w:keepNext w:val="0"/>
        <w:pageBreakBefore w:val="0"/>
        <w:shd w:val="clear" w:color="auto"/>
        <w:tabs>
          <w:tab w:val="clear" w:pos="720"/>
        </w:tabs>
        <w:snapToGrid w:val="0"/>
        <w:spacing w:before="240"/>
        <w:outlineLvl w:val="9"/>
        <w:rPr>
          <w:rFonts w:hint="eastAsia" w:ascii="仿宋" w:eastAsia="仿宋" w:cs="仿宋_GB2312"/>
          <w:color w:val="auto"/>
          <w:kern w:val="2"/>
          <w:sz w:val="32"/>
          <w:szCs w:val="32"/>
          <w:highlight w:val="none"/>
        </w:rPr>
      </w:pPr>
      <w:r>
        <w:rPr>
          <w:rFonts w:hint="eastAsia" w:ascii="仿宋" w:eastAsia="仿宋" w:cs="仿宋_GB2312"/>
          <w:color w:val="auto"/>
          <w:kern w:val="2"/>
          <w:sz w:val="32"/>
          <w:szCs w:val="32"/>
          <w:highlight w:val="none"/>
        </w:rPr>
        <w:t>二、中小企业声明函（如有）</w:t>
      </w:r>
    </w:p>
    <w:p>
      <w:pPr>
        <w:shd w:val="clear" w:color="auto"/>
        <w:spacing w:line="400" w:lineRule="exact"/>
        <w:ind w:firstLine="720" w:firstLineChars="300"/>
        <w:jc w:val="left"/>
        <w:rPr>
          <w:rFonts w:hint="eastAsia" w:ascii="仿宋" w:eastAsia="仿宋"/>
          <w:color w:val="auto"/>
          <w:sz w:val="24"/>
          <w:highlight w:val="none"/>
        </w:rPr>
      </w:pPr>
      <w:r>
        <w:rPr>
          <w:rFonts w:hint="eastAsia" w:ascii="仿宋" w:eastAsia="仿宋"/>
          <w:color w:val="auto"/>
          <w:sz w:val="24"/>
          <w:highlight w:val="none"/>
        </w:rPr>
        <w:t xml:space="preserve">本公司（联合体）郑重声明，根据《政府采购促进中小企业发展管理办法》（财库﹝2020﹞46 号）的规定，本公司（联合体）参加 </w:t>
      </w:r>
      <w:r>
        <w:rPr>
          <w:rFonts w:hint="eastAsia" w:ascii="仿宋" w:eastAsia="仿宋"/>
          <w:color w:val="auto"/>
          <w:sz w:val="24"/>
          <w:highlight w:val="none"/>
          <w:u w:val="single"/>
        </w:rPr>
        <w:t>（单位名称）</w:t>
      </w:r>
      <w:r>
        <w:rPr>
          <w:rFonts w:hint="eastAsia" w:ascii="仿宋" w:eastAsia="仿宋"/>
          <w:color w:val="auto"/>
          <w:sz w:val="24"/>
          <w:highlight w:val="none"/>
        </w:rPr>
        <w:t xml:space="preserve"> 的 </w:t>
      </w:r>
      <w:r>
        <w:rPr>
          <w:rFonts w:hint="eastAsia" w:ascii="仿宋" w:eastAsia="仿宋"/>
          <w:color w:val="auto"/>
          <w:sz w:val="24"/>
          <w:highlight w:val="none"/>
          <w:u w:val="single"/>
        </w:rPr>
        <w:t>（项目名称）</w:t>
      </w:r>
      <w:r>
        <w:rPr>
          <w:rFonts w:hint="eastAsia" w:ascii="仿宋" w:eastAsia="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hd w:val="clear" w:color="auto"/>
        <w:spacing w:line="40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1.</w:t>
      </w:r>
      <w:r>
        <w:rPr>
          <w:rFonts w:hint="eastAsia" w:ascii="仿宋" w:eastAsia="仿宋"/>
          <w:color w:val="auto"/>
          <w:sz w:val="24"/>
          <w:highlight w:val="none"/>
          <w:u w:val="single"/>
        </w:rPr>
        <w:t>（标的名称）</w:t>
      </w:r>
      <w:r>
        <w:rPr>
          <w:rFonts w:hint="eastAsia" w:ascii="仿宋" w:eastAsia="仿宋"/>
          <w:color w:val="auto"/>
          <w:sz w:val="24"/>
          <w:highlight w:val="none"/>
        </w:rPr>
        <w:t xml:space="preserve"> ，属于 </w:t>
      </w:r>
      <w:r>
        <w:rPr>
          <w:rFonts w:hint="eastAsia" w:ascii="仿宋" w:eastAsia="仿宋"/>
          <w:color w:val="auto"/>
          <w:sz w:val="24"/>
          <w:highlight w:val="none"/>
          <w:u w:val="single"/>
        </w:rPr>
        <w:t>（采购文件中明确的所属行业）</w:t>
      </w:r>
      <w:r>
        <w:rPr>
          <w:rFonts w:hint="eastAsia" w:ascii="仿宋" w:eastAsia="仿宋"/>
          <w:color w:val="auto"/>
          <w:sz w:val="24"/>
          <w:highlight w:val="none"/>
        </w:rPr>
        <w:t xml:space="preserve"> ；承建（承接）企业为 </w:t>
      </w:r>
      <w:r>
        <w:rPr>
          <w:rFonts w:hint="eastAsia" w:ascii="仿宋" w:eastAsia="仿宋"/>
          <w:color w:val="auto"/>
          <w:sz w:val="24"/>
          <w:highlight w:val="none"/>
          <w:u w:val="single"/>
        </w:rPr>
        <w:t>（企业名称）</w:t>
      </w:r>
      <w:r>
        <w:rPr>
          <w:rFonts w:hint="eastAsia" w:ascii="仿宋" w:eastAsia="仿宋"/>
          <w:color w:val="auto"/>
          <w:sz w:val="24"/>
          <w:highlight w:val="none"/>
        </w:rPr>
        <w:t xml:space="preserve"> ，从业人员</w:t>
      </w:r>
      <w:r>
        <w:rPr>
          <w:rFonts w:hint="eastAsia" w:ascii="仿宋" w:eastAsia="仿宋"/>
          <w:color w:val="auto"/>
          <w:sz w:val="24"/>
          <w:highlight w:val="none"/>
          <w:u w:val="single"/>
        </w:rPr>
        <w:t xml:space="preserve">   </w:t>
      </w:r>
      <w:r>
        <w:rPr>
          <w:rFonts w:hint="eastAsia" w:ascii="仿宋" w:eastAsia="仿宋"/>
          <w:color w:val="auto"/>
          <w:sz w:val="24"/>
          <w:highlight w:val="none"/>
        </w:rPr>
        <w:t>人，营业收入为</w:t>
      </w:r>
      <w:r>
        <w:rPr>
          <w:rFonts w:hint="eastAsia" w:ascii="仿宋" w:eastAsia="仿宋"/>
          <w:color w:val="auto"/>
          <w:sz w:val="24"/>
          <w:highlight w:val="none"/>
          <w:u w:val="single"/>
        </w:rPr>
        <w:t xml:space="preserve">  </w:t>
      </w:r>
      <w:r>
        <w:rPr>
          <w:rFonts w:hint="eastAsia" w:ascii="仿宋" w:eastAsia="仿宋"/>
          <w:color w:val="auto"/>
          <w:sz w:val="24"/>
          <w:highlight w:val="none"/>
        </w:rPr>
        <w:t>万元，资产总额为</w:t>
      </w:r>
      <w:r>
        <w:rPr>
          <w:rFonts w:hint="eastAsia" w:ascii="仿宋" w:eastAsia="仿宋"/>
          <w:color w:val="auto"/>
          <w:sz w:val="24"/>
          <w:highlight w:val="none"/>
          <w:u w:val="single"/>
        </w:rPr>
        <w:t xml:space="preserve">   </w:t>
      </w:r>
      <w:r>
        <w:rPr>
          <w:rFonts w:hint="eastAsia" w:ascii="仿宋" w:eastAsia="仿宋"/>
          <w:color w:val="auto"/>
          <w:sz w:val="24"/>
          <w:highlight w:val="none"/>
        </w:rPr>
        <w:t>万元，属于</w:t>
      </w:r>
      <w:r>
        <w:rPr>
          <w:rFonts w:hint="eastAsia" w:ascii="仿宋" w:eastAsia="仿宋"/>
          <w:color w:val="auto"/>
          <w:sz w:val="24"/>
          <w:highlight w:val="none"/>
          <w:u w:val="single"/>
        </w:rPr>
        <w:t xml:space="preserve"> （中型企业、小型企业、微型企业） </w:t>
      </w:r>
      <w:r>
        <w:rPr>
          <w:rFonts w:hint="eastAsia" w:ascii="仿宋" w:eastAsia="仿宋"/>
          <w:color w:val="auto"/>
          <w:sz w:val="24"/>
          <w:highlight w:val="none"/>
        </w:rPr>
        <w:t>；</w:t>
      </w:r>
    </w:p>
    <w:p>
      <w:pPr>
        <w:shd w:val="clear" w:color="auto"/>
        <w:spacing w:line="40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u w:val="single"/>
        </w:rPr>
        <w:t xml:space="preserve">（标的名称） </w:t>
      </w:r>
      <w:r>
        <w:rPr>
          <w:rFonts w:hint="eastAsia" w:ascii="仿宋" w:eastAsia="仿宋"/>
          <w:color w:val="auto"/>
          <w:sz w:val="24"/>
          <w:highlight w:val="none"/>
        </w:rPr>
        <w:t xml:space="preserve">，属于 </w:t>
      </w:r>
      <w:r>
        <w:rPr>
          <w:rFonts w:hint="eastAsia" w:ascii="仿宋" w:eastAsia="仿宋"/>
          <w:color w:val="auto"/>
          <w:sz w:val="24"/>
          <w:highlight w:val="none"/>
          <w:u w:val="single"/>
        </w:rPr>
        <w:t>（采购文件中明确的所属行业）</w:t>
      </w:r>
      <w:r>
        <w:rPr>
          <w:rFonts w:hint="eastAsia" w:ascii="仿宋" w:eastAsia="仿宋"/>
          <w:color w:val="auto"/>
          <w:sz w:val="24"/>
          <w:highlight w:val="none"/>
        </w:rPr>
        <w:t xml:space="preserve"> ；承建（承接）企业为 </w:t>
      </w:r>
      <w:r>
        <w:rPr>
          <w:rFonts w:hint="eastAsia" w:ascii="仿宋" w:eastAsia="仿宋"/>
          <w:color w:val="auto"/>
          <w:sz w:val="24"/>
          <w:highlight w:val="none"/>
          <w:u w:val="single"/>
        </w:rPr>
        <w:t>（企业名称）</w:t>
      </w:r>
      <w:r>
        <w:rPr>
          <w:rFonts w:hint="eastAsia" w:ascii="仿宋" w:eastAsia="仿宋"/>
          <w:color w:val="auto"/>
          <w:sz w:val="24"/>
          <w:highlight w:val="none"/>
        </w:rPr>
        <w:t xml:space="preserve"> ，从业人员</w:t>
      </w:r>
      <w:r>
        <w:rPr>
          <w:rFonts w:hint="eastAsia" w:ascii="仿宋" w:eastAsia="仿宋"/>
          <w:color w:val="auto"/>
          <w:sz w:val="24"/>
          <w:highlight w:val="none"/>
          <w:u w:val="single"/>
        </w:rPr>
        <w:t xml:space="preserve">  </w:t>
      </w:r>
      <w:r>
        <w:rPr>
          <w:rFonts w:hint="eastAsia" w:ascii="仿宋" w:eastAsia="仿宋"/>
          <w:color w:val="auto"/>
          <w:sz w:val="24"/>
          <w:highlight w:val="none"/>
        </w:rPr>
        <w:t>人，营业收入为</w:t>
      </w:r>
      <w:r>
        <w:rPr>
          <w:rFonts w:hint="eastAsia" w:ascii="仿宋" w:eastAsia="仿宋"/>
          <w:color w:val="auto"/>
          <w:sz w:val="24"/>
          <w:highlight w:val="none"/>
          <w:u w:val="single"/>
        </w:rPr>
        <w:t xml:space="preserve">  </w:t>
      </w:r>
      <w:r>
        <w:rPr>
          <w:rFonts w:hint="eastAsia" w:ascii="仿宋" w:eastAsia="仿宋"/>
          <w:color w:val="auto"/>
          <w:sz w:val="24"/>
          <w:highlight w:val="none"/>
        </w:rPr>
        <w:t>万元，资产总额为</w:t>
      </w:r>
      <w:r>
        <w:rPr>
          <w:rFonts w:hint="eastAsia" w:ascii="仿宋" w:eastAsia="仿宋"/>
          <w:color w:val="auto"/>
          <w:sz w:val="24"/>
          <w:highlight w:val="none"/>
          <w:u w:val="single"/>
        </w:rPr>
        <w:t xml:space="preserve">   </w:t>
      </w:r>
      <w:r>
        <w:rPr>
          <w:rFonts w:hint="eastAsia" w:ascii="仿宋" w:eastAsia="仿宋"/>
          <w:color w:val="auto"/>
          <w:sz w:val="24"/>
          <w:highlight w:val="none"/>
        </w:rPr>
        <w:t xml:space="preserve">万元，属于 </w:t>
      </w:r>
      <w:r>
        <w:rPr>
          <w:rFonts w:hint="eastAsia" w:ascii="仿宋" w:eastAsia="仿宋"/>
          <w:color w:val="auto"/>
          <w:sz w:val="24"/>
          <w:highlight w:val="none"/>
          <w:u w:val="single"/>
        </w:rPr>
        <w:t>（中型企业、小型企业、微型企业）</w:t>
      </w:r>
      <w:r>
        <w:rPr>
          <w:rFonts w:hint="eastAsia" w:ascii="仿宋" w:eastAsia="仿宋"/>
          <w:color w:val="auto"/>
          <w:sz w:val="24"/>
          <w:highlight w:val="none"/>
        </w:rPr>
        <w:t xml:space="preserve"> ；</w:t>
      </w:r>
    </w:p>
    <w:p>
      <w:pPr>
        <w:shd w:val="clear" w:color="auto"/>
        <w:spacing w:line="40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w:t>
      </w:r>
    </w:p>
    <w:p>
      <w:pPr>
        <w:shd w:val="clear" w:color="auto"/>
        <w:spacing w:line="40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以上企业，不属于大企业的分支机构，不存在控股股东为大企业的情形，也不存在与大企业的负责人为同一人的情形。</w:t>
      </w:r>
    </w:p>
    <w:p>
      <w:pPr>
        <w:shd w:val="clear" w:color="auto"/>
        <w:spacing w:line="40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本企业对上述声明内容的真实性负责。如有虚假，将依法承担相应责任。</w:t>
      </w:r>
    </w:p>
    <w:p>
      <w:pPr>
        <w:shd w:val="clear" w:color="auto"/>
        <w:spacing w:line="400" w:lineRule="exact"/>
        <w:ind w:right="1040"/>
        <w:jc w:val="right"/>
        <w:rPr>
          <w:rFonts w:hint="eastAsia" w:ascii="仿宋" w:eastAsia="仿宋"/>
          <w:color w:val="auto"/>
          <w:sz w:val="24"/>
          <w:highlight w:val="none"/>
        </w:rPr>
      </w:pPr>
      <w:r>
        <w:rPr>
          <w:rFonts w:hint="eastAsia" w:ascii="仿宋" w:eastAsia="仿宋" w:cs="仿宋_GB2312"/>
          <w:color w:val="auto"/>
          <w:sz w:val="24"/>
          <w:highlight w:val="none"/>
        </w:rPr>
        <w:t>投标人</w:t>
      </w:r>
      <w:r>
        <w:rPr>
          <w:rFonts w:hint="eastAsia" w:ascii="仿宋" w:eastAsia="仿宋"/>
          <w:color w:val="auto"/>
          <w:sz w:val="24"/>
          <w:highlight w:val="none"/>
        </w:rPr>
        <w:t xml:space="preserve">名称（ </w:t>
      </w:r>
      <w:r>
        <w:rPr>
          <w:rFonts w:hint="eastAsia" w:ascii="仿宋" w:eastAsia="仿宋" w:cs="仿宋_GB2312"/>
          <w:color w:val="auto"/>
          <w:sz w:val="24"/>
          <w:highlight w:val="none"/>
        </w:rPr>
        <w:t>电子签名</w:t>
      </w:r>
      <w:r>
        <w:rPr>
          <w:rFonts w:hint="eastAsia" w:ascii="仿宋" w:eastAsia="仿宋"/>
          <w:color w:val="auto"/>
          <w:sz w:val="24"/>
          <w:highlight w:val="none"/>
        </w:rPr>
        <w:t>）：</w:t>
      </w:r>
    </w:p>
    <w:p>
      <w:pPr>
        <w:shd w:val="clear" w:color="auto"/>
        <w:spacing w:line="400" w:lineRule="exact"/>
        <w:ind w:right="1120" w:firstLine="5040" w:firstLineChars="2100"/>
        <w:rPr>
          <w:rFonts w:hint="eastAsia" w:ascii="仿宋" w:eastAsia="仿宋"/>
          <w:color w:val="auto"/>
          <w:sz w:val="24"/>
          <w:highlight w:val="none"/>
        </w:rPr>
      </w:pPr>
      <w:r>
        <w:rPr>
          <w:rFonts w:hint="eastAsia" w:ascii="仿宋" w:eastAsia="仿宋"/>
          <w:color w:val="auto"/>
          <w:sz w:val="24"/>
          <w:highlight w:val="none"/>
        </w:rPr>
        <w:t>日 期：</w:t>
      </w:r>
    </w:p>
    <w:p>
      <w:pPr>
        <w:shd w:val="clear" w:color="auto"/>
        <w:spacing w:line="400" w:lineRule="exact"/>
        <w:ind w:right="420" w:firstLine="482" w:firstLineChars="200"/>
        <w:rPr>
          <w:rFonts w:hint="eastAsia" w:ascii="仿宋" w:eastAsia="仿宋" w:cs="仿宋_GB2312"/>
          <w:b/>
          <w:color w:val="auto"/>
          <w:sz w:val="24"/>
          <w:highlight w:val="none"/>
        </w:rPr>
      </w:pPr>
      <w:r>
        <w:rPr>
          <w:rFonts w:hint="eastAsia" w:ascii="仿宋" w:eastAsia="仿宋" w:cs="仿宋_GB2312"/>
          <w:b/>
          <w:color w:val="auto"/>
          <w:sz w:val="24"/>
          <w:highlight w:val="none"/>
        </w:rPr>
        <w:t>从业人员、营业收入、资产总额填报上一年度数据，无上一年度数据的新成立企业可不填报。</w:t>
      </w:r>
    </w:p>
    <w:p>
      <w:pPr>
        <w:shd w:val="clear" w:color="auto"/>
        <w:spacing w:line="400" w:lineRule="exact"/>
        <w:ind w:right="420" w:firstLine="482" w:firstLineChars="200"/>
        <w:rPr>
          <w:rFonts w:hint="eastAsia" w:ascii="仿宋" w:eastAsia="仿宋" w:cs="仿宋_GB2312"/>
          <w:b/>
          <w:color w:val="auto"/>
          <w:sz w:val="24"/>
          <w:highlight w:val="none"/>
        </w:rPr>
      </w:pPr>
      <w:r>
        <w:rPr>
          <w:rFonts w:hint="eastAsia" w:ascii="仿宋" w:eastAsia="仿宋" w:cs="仿宋_GB2312"/>
          <w:b/>
          <w:color w:val="auto"/>
          <w:sz w:val="24"/>
          <w:highlight w:val="none"/>
        </w:rPr>
        <w:t>注：1、投标人应根据企业实际情况及采购文件中明确的所属行业，对照《关于印发中小企业划型标准规定的通知》（工信部联企业[2011]300号）所对应的划型标准作出申明，投标人提供的中小企业声明函与实际情况不符的，投标无效。</w:t>
      </w:r>
    </w:p>
    <w:p>
      <w:pPr>
        <w:shd w:val="clear" w:color="auto"/>
        <w:spacing w:line="400" w:lineRule="exact"/>
        <w:ind w:right="420" w:firstLine="482" w:firstLineChars="200"/>
        <w:rPr>
          <w:rFonts w:hint="eastAsia" w:ascii="仿宋" w:eastAsia="仿宋" w:cs="仿宋_GB2312"/>
          <w:b/>
          <w:color w:val="auto"/>
          <w:sz w:val="24"/>
          <w:highlight w:val="none"/>
        </w:rPr>
      </w:pPr>
      <w:r>
        <w:rPr>
          <w:rFonts w:hint="eastAsia" w:ascii="仿宋" w:eastAsia="仿宋" w:cs="仿宋_GB2312"/>
          <w:b/>
          <w:color w:val="auto"/>
          <w:sz w:val="24"/>
          <w:highlight w:val="none"/>
        </w:rPr>
        <w:t>2、根据《政府采购促进中小企业发展管理办法》的通知（财库〔2020〕46号）规定，中标、成交供应商享受中小企业扶持政策的，采购代理机构将随中标、成交结果公开中标、成交供应商的《中小企业声明函》。</w:t>
      </w:r>
    </w:p>
    <w:p>
      <w:pPr>
        <w:shd w:val="clear" w:color="auto"/>
        <w:spacing w:line="400" w:lineRule="exact"/>
        <w:ind w:right="420" w:firstLine="480" w:firstLineChars="200"/>
        <w:rPr>
          <w:rFonts w:hint="eastAsia" w:ascii="仿宋" w:eastAsia="仿宋" w:cs="仿宋_GB2312"/>
          <w:color w:val="auto"/>
          <w:sz w:val="24"/>
          <w:highlight w:val="none"/>
        </w:rPr>
      </w:pPr>
      <w:r>
        <w:rPr>
          <w:rFonts w:hint="eastAsia" w:ascii="仿宋" w:eastAsia="仿宋" w:cs="仿宋_GB2312"/>
          <w:color w:val="auto"/>
          <w:sz w:val="24"/>
          <w:highlight w:val="none"/>
        </w:rPr>
        <w:t>3、符合《关于促进残疾人就业政府采购政策的通知》（财库〔2017〕141号）规定的条件并提供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hd w:val="clear" w:color="auto"/>
        <w:spacing w:line="360" w:lineRule="auto"/>
        <w:jc w:val="center"/>
        <w:outlineLvl w:val="0"/>
        <w:rPr>
          <w:rFonts w:hint="eastAsia" w:ascii="仿宋" w:eastAsia="仿宋"/>
          <w:b/>
          <w:color w:val="auto"/>
          <w:spacing w:val="6"/>
          <w:sz w:val="32"/>
          <w:szCs w:val="32"/>
          <w:highlight w:val="none"/>
        </w:rPr>
      </w:pPr>
      <w:r>
        <w:rPr>
          <w:rFonts w:hint="eastAsia" w:ascii="仿宋" w:eastAsia="仿宋" w:cs="仿宋_GB2312"/>
          <w:color w:val="auto"/>
          <w:sz w:val="36"/>
          <w:szCs w:val="36"/>
          <w:highlight w:val="none"/>
        </w:rPr>
        <w:br w:type="page"/>
      </w:r>
      <w:r>
        <w:rPr>
          <w:rFonts w:hint="eastAsia" w:ascii="仿宋" w:eastAsia="仿宋"/>
          <w:b/>
          <w:color w:val="auto"/>
          <w:spacing w:val="6"/>
          <w:sz w:val="32"/>
          <w:szCs w:val="32"/>
          <w:highlight w:val="none"/>
        </w:rPr>
        <w:t>三、残疾人福利性单位声明函（如有）</w:t>
      </w:r>
    </w:p>
    <w:p>
      <w:pPr>
        <w:shd w:val="clear" w:color="auto"/>
        <w:spacing w:line="360" w:lineRule="auto"/>
        <w:rPr>
          <w:rFonts w:hint="eastAsia" w:ascii="仿宋" w:eastAsia="仿宋"/>
          <w:b/>
          <w:color w:val="auto"/>
          <w:spacing w:val="6"/>
          <w:sz w:val="30"/>
          <w:szCs w:val="30"/>
          <w:highlight w:val="none"/>
        </w:rPr>
      </w:pPr>
    </w:p>
    <w:p>
      <w:pPr>
        <w:shd w:val="clear" w:color="auto"/>
        <w:spacing w:line="360" w:lineRule="auto"/>
        <w:ind w:firstLine="480" w:firstLineChars="200"/>
        <w:rPr>
          <w:rFonts w:hint="eastAsia"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hd w:val="clear" w:color="auto"/>
        <w:spacing w:line="360" w:lineRule="auto"/>
        <w:ind w:firstLine="480" w:firstLineChars="200"/>
        <w:rPr>
          <w:rFonts w:hint="eastAsia"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pPr>
        <w:shd w:val="clear" w:color="auto"/>
        <w:spacing w:line="360" w:lineRule="auto"/>
        <w:ind w:firstLine="480" w:firstLineChars="200"/>
        <w:rPr>
          <w:rFonts w:hint="eastAsia" w:ascii="仿宋" w:eastAsia="仿宋" w:cs="仿宋_GB2312"/>
          <w:color w:val="auto"/>
          <w:sz w:val="24"/>
          <w:highlight w:val="none"/>
        </w:rPr>
      </w:pPr>
    </w:p>
    <w:p>
      <w:pPr>
        <w:shd w:val="clear" w:color="auto"/>
        <w:spacing w:line="360" w:lineRule="auto"/>
        <w:ind w:firstLine="480" w:firstLineChars="200"/>
        <w:rPr>
          <w:rFonts w:hint="eastAsia" w:ascii="仿宋" w:eastAsia="仿宋" w:cs="仿宋_GB2312"/>
          <w:color w:val="auto"/>
          <w:sz w:val="24"/>
          <w:highlight w:val="none"/>
        </w:rPr>
      </w:pPr>
    </w:p>
    <w:p>
      <w:pPr>
        <w:shd w:val="clear" w:color="auto"/>
        <w:tabs>
          <w:tab w:val="left" w:pos="4860"/>
        </w:tabs>
        <w:spacing w:line="360" w:lineRule="auto"/>
        <w:ind w:right="1560" w:firstLine="480" w:firstLineChars="200"/>
        <w:jc w:val="center"/>
        <w:rPr>
          <w:rFonts w:hint="eastAsia" w:ascii="仿宋" w:eastAsia="仿宋" w:cs="仿宋_GB2312"/>
          <w:color w:val="auto"/>
          <w:sz w:val="24"/>
          <w:highlight w:val="none"/>
        </w:rPr>
      </w:pPr>
      <w:r>
        <w:rPr>
          <w:rFonts w:hint="eastAsia" w:ascii="仿宋" w:eastAsia="仿宋" w:cs="仿宋_GB2312"/>
          <w:color w:val="auto"/>
          <w:sz w:val="24"/>
          <w:highlight w:val="none"/>
        </w:rPr>
        <w:t xml:space="preserve">                    单位名称（</w:t>
      </w:r>
      <w:r>
        <w:rPr>
          <w:rFonts w:hint="eastAsia" w:ascii="仿宋" w:eastAsia="仿宋" w:cs="仿宋_GB2312"/>
          <w:color w:val="auto"/>
          <w:kern w:val="0"/>
          <w:sz w:val="24"/>
          <w:highlight w:val="none"/>
          <w:lang w:val="zh-CN"/>
        </w:rPr>
        <w:t>电子签名</w:t>
      </w:r>
      <w:r>
        <w:rPr>
          <w:rFonts w:hint="eastAsia" w:ascii="仿宋" w:eastAsia="仿宋" w:cs="仿宋_GB2312"/>
          <w:color w:val="auto"/>
          <w:sz w:val="24"/>
          <w:highlight w:val="none"/>
        </w:rPr>
        <w:t>）：</w:t>
      </w:r>
    </w:p>
    <w:p>
      <w:pPr>
        <w:shd w:val="clear"/>
        <w:jc w:val="left"/>
        <w:rPr>
          <w:rFonts w:ascii="仿宋" w:hAnsi="仿宋" w:eastAsia="仿宋" w:cs="仿宋"/>
          <w:color w:val="auto"/>
          <w:kern w:val="0"/>
          <w:sz w:val="24"/>
          <w:highlight w:val="none"/>
          <w:lang w:val="zh-CN"/>
        </w:rPr>
      </w:pPr>
    </w:p>
    <w:sectPr>
      <w:footerReference r:id="rId19" w:type="first"/>
      <w:footerReference r:id="rId17" w:type="default"/>
      <w:footerReference r:id="rId18"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Bk">
    <w:altName w:val="Trebuchet MS"/>
    <w:panose1 w:val="00000000000000000000"/>
    <w:charset w:val="00"/>
    <w:family w:val="swiss"/>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Futura Hv">
    <w:altName w:val="Arial"/>
    <w:panose1 w:val="00000000000000000000"/>
    <w:charset w:val="00"/>
    <w:family w:val="swiss"/>
    <w:pitch w:val="default"/>
    <w:sig w:usb0="00000000" w:usb1="00000000" w:usb2="00000000" w:usb3="00000000" w:csb0="0000009F" w:csb1="0000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1"/>
      </w:rPr>
    </w:pPr>
    <w:r>
      <w:fldChar w:fldCharType="begin"/>
    </w:r>
    <w:r>
      <w:rPr>
        <w:rStyle w:val="61"/>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51</w:t>
    </w:r>
    <w:r>
      <w:rPr>
        <w:rFonts w:hint="eastAsia" w:ascii="仿宋_GB2312" w:eastAsia="仿宋_GB2312"/>
        <w:kern w:val="0"/>
        <w:szCs w:val="21"/>
      </w:rPr>
      <w:fldChar w:fldCharType="end"/>
    </w:r>
    <w:bookmarkStart w:id="446" w:name="_Toc164085800"/>
    <w:bookmarkStart w:id="447" w:name="_Toc91899912"/>
    <w:bookmarkStart w:id="448" w:name="_Toc36110187"/>
    <w:bookmarkStart w:id="449" w:name="_Toc131845147"/>
    <w:r>
      <w:rPr>
        <w:rFonts w:hint="eastAsia" w:ascii="仿宋_GB2312" w:eastAsia="仿宋_GB2312"/>
        <w:kern w:val="0"/>
        <w:szCs w:val="21"/>
      </w:rPr>
      <w:t xml:space="preserve"> 页</w:t>
    </w:r>
    <w:bookmarkEnd w:id="446"/>
    <w:bookmarkEnd w:id="447"/>
    <w:bookmarkEnd w:id="448"/>
    <w:bookmarkEnd w:id="44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1"/>
      </w:rPr>
    </w:pPr>
    <w:r>
      <w:fldChar w:fldCharType="begin"/>
    </w:r>
    <w:r>
      <w:rPr>
        <w:rStyle w:val="61"/>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1"/>
      </w:rPr>
    </w:pPr>
    <w:r>
      <w:fldChar w:fldCharType="begin"/>
    </w:r>
    <w:r>
      <w:rPr>
        <w:rStyle w:val="61"/>
      </w:rPr>
      <w:instrText xml:space="preserve">PAGE  </w:instrText>
    </w:r>
    <w:r>
      <w:fldChar w:fldCharType="end"/>
    </w:r>
  </w:p>
  <w:p>
    <w:pPr>
      <w:pStyle w:val="39"/>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1"/>
      </w:rPr>
    </w:pPr>
    <w:r>
      <w:fldChar w:fldCharType="begin"/>
    </w:r>
    <w:r>
      <w:rPr>
        <w:rStyle w:val="61"/>
      </w:rPr>
      <w:instrText xml:space="preserve">PAGE  </w:instrText>
    </w:r>
    <w:r>
      <w:fldChar w:fldCharType="end"/>
    </w:r>
  </w:p>
  <w:p>
    <w:pPr>
      <w:pStyle w:val="39"/>
      <w:ind w:right="360"/>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绍兴市柯桥区政府采购公开招标文件</w:t>
    </w:r>
  </w:p>
  <w:p>
    <w:pPr>
      <w:pStyle w:val="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rFonts w:hint="eastAsia"/>
        <w:lang w:val="zh-CN"/>
      </w:rPr>
      <w:t xml:space="preserve"> 绍兴市柯桥区政府采购公开招标文件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绍兴市柯桥区政府采购公开招标文件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67"/>
      <w:lvlText w:val=""/>
      <w:lvlJc w:val="left"/>
      <w:pPr>
        <w:tabs>
          <w:tab w:val="left" w:pos="1260"/>
        </w:tabs>
        <w:ind w:left="1260" w:hanging="420"/>
      </w:pPr>
      <w:rPr>
        <w:rFonts w:hint="default" w:ascii="Wingdings" w:hAnsi="Wingdings"/>
      </w:rPr>
    </w:lvl>
    <w:lvl w:ilvl="2" w:tentative="0">
      <w:start w:val="1"/>
      <w:numFmt w:val="bullet"/>
      <w:pStyle w:val="379"/>
      <w:lvlText w:val=""/>
      <w:lvlJc w:val="left"/>
      <w:pPr>
        <w:tabs>
          <w:tab w:val="left" w:pos="1680"/>
        </w:tabs>
        <w:ind w:left="1680" w:hanging="420"/>
      </w:pPr>
      <w:rPr>
        <w:rFonts w:hint="default" w:ascii="Wingdings" w:hAnsi="Wingdings"/>
      </w:rPr>
    </w:lvl>
    <w:lvl w:ilvl="3" w:tentative="0">
      <w:start w:val="1"/>
      <w:numFmt w:val="bullet"/>
      <w:pStyle w:val="361"/>
      <w:lvlText w:val=""/>
      <w:lvlJc w:val="left"/>
      <w:pPr>
        <w:tabs>
          <w:tab w:val="left" w:pos="2100"/>
        </w:tabs>
        <w:ind w:left="2100" w:hanging="420"/>
      </w:pPr>
      <w:rPr>
        <w:rFonts w:hint="default" w:ascii="Wingdings" w:hAnsi="Wingdings"/>
      </w:rPr>
    </w:lvl>
    <w:lvl w:ilvl="4" w:tentative="0">
      <w:start w:val="1"/>
      <w:numFmt w:val="bullet"/>
      <w:pStyle w:val="494"/>
      <w:lvlText w:val=""/>
      <w:lvlJc w:val="left"/>
      <w:pPr>
        <w:tabs>
          <w:tab w:val="left" w:pos="2520"/>
        </w:tabs>
        <w:ind w:left="2520" w:hanging="420"/>
      </w:pPr>
      <w:rPr>
        <w:rFonts w:hint="default" w:ascii="Wingdings" w:hAnsi="Wingdings"/>
      </w:rPr>
    </w:lvl>
    <w:lvl w:ilvl="5" w:tentative="0">
      <w:start w:val="1"/>
      <w:numFmt w:val="bullet"/>
      <w:pStyle w:val="290"/>
      <w:lvlText w:val=""/>
      <w:lvlJc w:val="left"/>
      <w:pPr>
        <w:tabs>
          <w:tab w:val="left" w:pos="2940"/>
        </w:tabs>
        <w:ind w:left="2940" w:hanging="420"/>
      </w:pPr>
      <w:rPr>
        <w:rFonts w:hint="default" w:ascii="Wingdings" w:hAnsi="Wingdings"/>
      </w:rPr>
    </w:lvl>
    <w:lvl w:ilvl="6" w:tentative="0">
      <w:start w:val="1"/>
      <w:numFmt w:val="bullet"/>
      <w:pStyle w:val="289"/>
      <w:lvlText w:val=""/>
      <w:lvlJc w:val="left"/>
      <w:pPr>
        <w:tabs>
          <w:tab w:val="left" w:pos="3360"/>
        </w:tabs>
        <w:ind w:left="3360" w:hanging="420"/>
      </w:pPr>
      <w:rPr>
        <w:rFonts w:hint="default" w:ascii="Wingdings" w:hAnsi="Wingdings"/>
      </w:rPr>
    </w:lvl>
    <w:lvl w:ilvl="7" w:tentative="0">
      <w:start w:val="1"/>
      <w:numFmt w:val="bullet"/>
      <w:pStyle w:val="600"/>
      <w:lvlText w:val=""/>
      <w:lvlJc w:val="left"/>
      <w:pPr>
        <w:tabs>
          <w:tab w:val="left" w:pos="3780"/>
        </w:tabs>
        <w:ind w:left="3780" w:hanging="420"/>
      </w:pPr>
      <w:rPr>
        <w:rFonts w:hint="default" w:ascii="Wingdings" w:hAnsi="Wingdings"/>
      </w:rPr>
    </w:lvl>
    <w:lvl w:ilvl="8" w:tentative="0">
      <w:start w:val="1"/>
      <w:numFmt w:val="bullet"/>
      <w:pStyle w:val="597"/>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578B3BD2"/>
    <w:multiLevelType w:val="multilevel"/>
    <w:tmpl w:val="578B3BD2"/>
    <w:lvl w:ilvl="0" w:tentative="0">
      <w:start w:val="1"/>
      <w:numFmt w:val="decimal"/>
      <w:pStyle w:val="560"/>
      <w:lvlText w:val="%1"/>
      <w:lvlJc w:val="left"/>
      <w:pPr>
        <w:tabs>
          <w:tab w:val="left" w:pos="480"/>
        </w:tabs>
        <w:ind w:left="480" w:hanging="480"/>
      </w:pPr>
      <w:rPr>
        <w:rFonts w:hint="eastAsia"/>
        <w:sz w:val="44"/>
        <w:szCs w:val="44"/>
      </w:rPr>
    </w:lvl>
    <w:lvl w:ilvl="1" w:tentative="0">
      <w:start w:val="1"/>
      <w:numFmt w:val="decimal"/>
      <w:pStyle w:val="491"/>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11"/>
      <w:lvlText w:val="%1.%2.%3.%4.%5"/>
      <w:lvlJc w:val="left"/>
      <w:pPr>
        <w:tabs>
          <w:tab w:val="left" w:pos="1080"/>
        </w:tabs>
        <w:ind w:left="1080" w:hanging="1080"/>
      </w:pPr>
      <w:rPr>
        <w:rFonts w:hint="default"/>
      </w:rPr>
    </w:lvl>
    <w:lvl w:ilvl="5" w:tentative="0">
      <w:start w:val="1"/>
      <w:numFmt w:val="decimal"/>
      <w:pStyle w:val="52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73596DCC"/>
    <w:multiLevelType w:val="multilevel"/>
    <w:tmpl w:val="73596DCC"/>
    <w:lvl w:ilvl="0" w:tentative="0">
      <w:start w:val="1"/>
      <w:numFmt w:val="bullet"/>
      <w:pStyle w:val="45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ZjJiOGYzZDQ0MDY4OWI5OTkxMzA4NGExNzZiM2IifQ=="/>
  </w:docVars>
  <w:rsids>
    <w:rsidRoot w:val="00172A27"/>
    <w:rsid w:val="00000278"/>
    <w:rsid w:val="00000451"/>
    <w:rsid w:val="0000133D"/>
    <w:rsid w:val="00002075"/>
    <w:rsid w:val="00003EFB"/>
    <w:rsid w:val="000058BD"/>
    <w:rsid w:val="00006109"/>
    <w:rsid w:val="00006725"/>
    <w:rsid w:val="0000675E"/>
    <w:rsid w:val="00006851"/>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67E7"/>
    <w:rsid w:val="000270F2"/>
    <w:rsid w:val="000274CD"/>
    <w:rsid w:val="00027540"/>
    <w:rsid w:val="00030572"/>
    <w:rsid w:val="00030CB3"/>
    <w:rsid w:val="0003206A"/>
    <w:rsid w:val="000326A7"/>
    <w:rsid w:val="00032EA0"/>
    <w:rsid w:val="000336D4"/>
    <w:rsid w:val="00034FA7"/>
    <w:rsid w:val="000357E4"/>
    <w:rsid w:val="00035ACA"/>
    <w:rsid w:val="00035BFB"/>
    <w:rsid w:val="00036D8E"/>
    <w:rsid w:val="00040E86"/>
    <w:rsid w:val="00041892"/>
    <w:rsid w:val="00042533"/>
    <w:rsid w:val="00042E65"/>
    <w:rsid w:val="0004347C"/>
    <w:rsid w:val="00043907"/>
    <w:rsid w:val="00044966"/>
    <w:rsid w:val="00044D5D"/>
    <w:rsid w:val="00044F48"/>
    <w:rsid w:val="00045085"/>
    <w:rsid w:val="00045ABD"/>
    <w:rsid w:val="00046153"/>
    <w:rsid w:val="0004708A"/>
    <w:rsid w:val="00047354"/>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EBE"/>
    <w:rsid w:val="00067F92"/>
    <w:rsid w:val="00067FA7"/>
    <w:rsid w:val="0007032C"/>
    <w:rsid w:val="0007038E"/>
    <w:rsid w:val="0007077C"/>
    <w:rsid w:val="00070825"/>
    <w:rsid w:val="00070C37"/>
    <w:rsid w:val="00071CD8"/>
    <w:rsid w:val="00072898"/>
    <w:rsid w:val="00072AED"/>
    <w:rsid w:val="00072B56"/>
    <w:rsid w:val="00072D2B"/>
    <w:rsid w:val="000730B1"/>
    <w:rsid w:val="00073860"/>
    <w:rsid w:val="000738EA"/>
    <w:rsid w:val="000749D6"/>
    <w:rsid w:val="00075D0E"/>
    <w:rsid w:val="00075F6A"/>
    <w:rsid w:val="0007616C"/>
    <w:rsid w:val="000763F3"/>
    <w:rsid w:val="00076801"/>
    <w:rsid w:val="0007696A"/>
    <w:rsid w:val="00077577"/>
    <w:rsid w:val="00077607"/>
    <w:rsid w:val="00077756"/>
    <w:rsid w:val="000778E1"/>
    <w:rsid w:val="00080970"/>
    <w:rsid w:val="00081671"/>
    <w:rsid w:val="000832BE"/>
    <w:rsid w:val="00084D27"/>
    <w:rsid w:val="0008580E"/>
    <w:rsid w:val="00085A0E"/>
    <w:rsid w:val="00085C4F"/>
    <w:rsid w:val="00086EEB"/>
    <w:rsid w:val="00086F8A"/>
    <w:rsid w:val="000872E2"/>
    <w:rsid w:val="00090243"/>
    <w:rsid w:val="000904F6"/>
    <w:rsid w:val="00090D1B"/>
    <w:rsid w:val="00090ED8"/>
    <w:rsid w:val="000912CD"/>
    <w:rsid w:val="0009145F"/>
    <w:rsid w:val="00091B4E"/>
    <w:rsid w:val="00092FE9"/>
    <w:rsid w:val="00093BC1"/>
    <w:rsid w:val="00094342"/>
    <w:rsid w:val="00095954"/>
    <w:rsid w:val="000960BA"/>
    <w:rsid w:val="0009662A"/>
    <w:rsid w:val="00096DFF"/>
    <w:rsid w:val="000974A2"/>
    <w:rsid w:val="000A0E69"/>
    <w:rsid w:val="000A0FEB"/>
    <w:rsid w:val="000A1A52"/>
    <w:rsid w:val="000A1F98"/>
    <w:rsid w:val="000A2338"/>
    <w:rsid w:val="000A3D58"/>
    <w:rsid w:val="000A47B0"/>
    <w:rsid w:val="000A4808"/>
    <w:rsid w:val="000A49BB"/>
    <w:rsid w:val="000A4F22"/>
    <w:rsid w:val="000A5674"/>
    <w:rsid w:val="000A5A46"/>
    <w:rsid w:val="000A5F83"/>
    <w:rsid w:val="000A7299"/>
    <w:rsid w:val="000A7CBC"/>
    <w:rsid w:val="000B0262"/>
    <w:rsid w:val="000B0E04"/>
    <w:rsid w:val="000B291B"/>
    <w:rsid w:val="000B2C6D"/>
    <w:rsid w:val="000B456C"/>
    <w:rsid w:val="000B4B56"/>
    <w:rsid w:val="000B4C62"/>
    <w:rsid w:val="000B525C"/>
    <w:rsid w:val="000B54C1"/>
    <w:rsid w:val="000B59B5"/>
    <w:rsid w:val="000B721A"/>
    <w:rsid w:val="000C0A43"/>
    <w:rsid w:val="000C1411"/>
    <w:rsid w:val="000C1ADE"/>
    <w:rsid w:val="000C1BFA"/>
    <w:rsid w:val="000C1C38"/>
    <w:rsid w:val="000C2264"/>
    <w:rsid w:val="000C256B"/>
    <w:rsid w:val="000C3970"/>
    <w:rsid w:val="000C3B1A"/>
    <w:rsid w:val="000C3BBF"/>
    <w:rsid w:val="000C4727"/>
    <w:rsid w:val="000C47AE"/>
    <w:rsid w:val="000C4D39"/>
    <w:rsid w:val="000C51AD"/>
    <w:rsid w:val="000C5374"/>
    <w:rsid w:val="000C5C30"/>
    <w:rsid w:val="000C5EC0"/>
    <w:rsid w:val="000C5FD7"/>
    <w:rsid w:val="000C6162"/>
    <w:rsid w:val="000C6688"/>
    <w:rsid w:val="000C6B27"/>
    <w:rsid w:val="000C7BEB"/>
    <w:rsid w:val="000C7FA9"/>
    <w:rsid w:val="000D0124"/>
    <w:rsid w:val="000D11E5"/>
    <w:rsid w:val="000D19E8"/>
    <w:rsid w:val="000D22F4"/>
    <w:rsid w:val="000D2834"/>
    <w:rsid w:val="000D34C8"/>
    <w:rsid w:val="000D34FD"/>
    <w:rsid w:val="000D3BE5"/>
    <w:rsid w:val="000D3C37"/>
    <w:rsid w:val="000D453A"/>
    <w:rsid w:val="000D47CB"/>
    <w:rsid w:val="000D5EA6"/>
    <w:rsid w:val="000D5F00"/>
    <w:rsid w:val="000D5FDE"/>
    <w:rsid w:val="000D6888"/>
    <w:rsid w:val="000D6C9F"/>
    <w:rsid w:val="000D6E3B"/>
    <w:rsid w:val="000D781A"/>
    <w:rsid w:val="000D7C9D"/>
    <w:rsid w:val="000D7CE0"/>
    <w:rsid w:val="000D7FFC"/>
    <w:rsid w:val="000E0324"/>
    <w:rsid w:val="000E03E6"/>
    <w:rsid w:val="000E0508"/>
    <w:rsid w:val="000E1AD5"/>
    <w:rsid w:val="000E2785"/>
    <w:rsid w:val="000E27BB"/>
    <w:rsid w:val="000E2AAD"/>
    <w:rsid w:val="000E3153"/>
    <w:rsid w:val="000E386F"/>
    <w:rsid w:val="000E4051"/>
    <w:rsid w:val="000E4765"/>
    <w:rsid w:val="000E4D68"/>
    <w:rsid w:val="000E5B7E"/>
    <w:rsid w:val="000E5FF9"/>
    <w:rsid w:val="000E62A0"/>
    <w:rsid w:val="000E6AE1"/>
    <w:rsid w:val="000E7142"/>
    <w:rsid w:val="000E7180"/>
    <w:rsid w:val="000E7632"/>
    <w:rsid w:val="000E7739"/>
    <w:rsid w:val="000E77EE"/>
    <w:rsid w:val="000F1619"/>
    <w:rsid w:val="000F2530"/>
    <w:rsid w:val="000F2940"/>
    <w:rsid w:val="000F3D08"/>
    <w:rsid w:val="000F4495"/>
    <w:rsid w:val="000F4A05"/>
    <w:rsid w:val="000F505B"/>
    <w:rsid w:val="000F6366"/>
    <w:rsid w:val="000F68A0"/>
    <w:rsid w:val="000F6CC2"/>
    <w:rsid w:val="0010118C"/>
    <w:rsid w:val="0010125E"/>
    <w:rsid w:val="00101967"/>
    <w:rsid w:val="0010334E"/>
    <w:rsid w:val="00103D85"/>
    <w:rsid w:val="00103EBD"/>
    <w:rsid w:val="00104E5B"/>
    <w:rsid w:val="00104EEC"/>
    <w:rsid w:val="001050C7"/>
    <w:rsid w:val="001050DC"/>
    <w:rsid w:val="00105482"/>
    <w:rsid w:val="001055BB"/>
    <w:rsid w:val="001056A5"/>
    <w:rsid w:val="00105BA9"/>
    <w:rsid w:val="00106AAA"/>
    <w:rsid w:val="00107BBD"/>
    <w:rsid w:val="00107BC7"/>
    <w:rsid w:val="001102B5"/>
    <w:rsid w:val="00111C7D"/>
    <w:rsid w:val="00112038"/>
    <w:rsid w:val="001127FF"/>
    <w:rsid w:val="00112B0B"/>
    <w:rsid w:val="00112B5C"/>
    <w:rsid w:val="00113123"/>
    <w:rsid w:val="0011383E"/>
    <w:rsid w:val="00114847"/>
    <w:rsid w:val="0011560B"/>
    <w:rsid w:val="0011585B"/>
    <w:rsid w:val="00115B1A"/>
    <w:rsid w:val="00115C71"/>
    <w:rsid w:val="001160FF"/>
    <w:rsid w:val="001168F8"/>
    <w:rsid w:val="001176FF"/>
    <w:rsid w:val="00120F18"/>
    <w:rsid w:val="0012159D"/>
    <w:rsid w:val="001231D3"/>
    <w:rsid w:val="001232A7"/>
    <w:rsid w:val="0012419E"/>
    <w:rsid w:val="00124855"/>
    <w:rsid w:val="001248EF"/>
    <w:rsid w:val="00124FC4"/>
    <w:rsid w:val="001253AB"/>
    <w:rsid w:val="0012574C"/>
    <w:rsid w:val="001259B8"/>
    <w:rsid w:val="00126679"/>
    <w:rsid w:val="0012687C"/>
    <w:rsid w:val="0012693E"/>
    <w:rsid w:val="00130694"/>
    <w:rsid w:val="00130B94"/>
    <w:rsid w:val="00131762"/>
    <w:rsid w:val="00131C2D"/>
    <w:rsid w:val="0013202C"/>
    <w:rsid w:val="00132CBF"/>
    <w:rsid w:val="00133742"/>
    <w:rsid w:val="001350F7"/>
    <w:rsid w:val="00135562"/>
    <w:rsid w:val="00135769"/>
    <w:rsid w:val="00135BE9"/>
    <w:rsid w:val="00136762"/>
    <w:rsid w:val="00136E33"/>
    <w:rsid w:val="0013773D"/>
    <w:rsid w:val="00137A63"/>
    <w:rsid w:val="00140693"/>
    <w:rsid w:val="00140D7A"/>
    <w:rsid w:val="001416A6"/>
    <w:rsid w:val="00141DFE"/>
    <w:rsid w:val="00142A51"/>
    <w:rsid w:val="001433BC"/>
    <w:rsid w:val="00144649"/>
    <w:rsid w:val="00144B52"/>
    <w:rsid w:val="00145022"/>
    <w:rsid w:val="00145662"/>
    <w:rsid w:val="00145C6D"/>
    <w:rsid w:val="00146151"/>
    <w:rsid w:val="00147032"/>
    <w:rsid w:val="00147EA7"/>
    <w:rsid w:val="001505E6"/>
    <w:rsid w:val="00151B2F"/>
    <w:rsid w:val="001524DC"/>
    <w:rsid w:val="001525E5"/>
    <w:rsid w:val="00153859"/>
    <w:rsid w:val="00153915"/>
    <w:rsid w:val="0015475B"/>
    <w:rsid w:val="00155B95"/>
    <w:rsid w:val="00155BEE"/>
    <w:rsid w:val="00156853"/>
    <w:rsid w:val="00157432"/>
    <w:rsid w:val="0016109B"/>
    <w:rsid w:val="00161185"/>
    <w:rsid w:val="001623AC"/>
    <w:rsid w:val="00162BAA"/>
    <w:rsid w:val="0016488B"/>
    <w:rsid w:val="00165758"/>
    <w:rsid w:val="00165A65"/>
    <w:rsid w:val="00165E74"/>
    <w:rsid w:val="00167478"/>
    <w:rsid w:val="00167594"/>
    <w:rsid w:val="001675A6"/>
    <w:rsid w:val="001702BE"/>
    <w:rsid w:val="001704B3"/>
    <w:rsid w:val="001704DA"/>
    <w:rsid w:val="0017105C"/>
    <w:rsid w:val="00171622"/>
    <w:rsid w:val="00171C81"/>
    <w:rsid w:val="001721CF"/>
    <w:rsid w:val="001728FD"/>
    <w:rsid w:val="00172A27"/>
    <w:rsid w:val="00172F02"/>
    <w:rsid w:val="00173631"/>
    <w:rsid w:val="0017372D"/>
    <w:rsid w:val="00173C58"/>
    <w:rsid w:val="00173E59"/>
    <w:rsid w:val="001740B6"/>
    <w:rsid w:val="00174F57"/>
    <w:rsid w:val="00175078"/>
    <w:rsid w:val="001754CB"/>
    <w:rsid w:val="001755DC"/>
    <w:rsid w:val="00175895"/>
    <w:rsid w:val="001758E0"/>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2A5A"/>
    <w:rsid w:val="00193B94"/>
    <w:rsid w:val="001940A7"/>
    <w:rsid w:val="00194BB1"/>
    <w:rsid w:val="00194BC6"/>
    <w:rsid w:val="00195070"/>
    <w:rsid w:val="0019526D"/>
    <w:rsid w:val="001956BE"/>
    <w:rsid w:val="0019602C"/>
    <w:rsid w:val="001965B8"/>
    <w:rsid w:val="001969F2"/>
    <w:rsid w:val="0019756A"/>
    <w:rsid w:val="001A07F8"/>
    <w:rsid w:val="001A0864"/>
    <w:rsid w:val="001A0A23"/>
    <w:rsid w:val="001A128B"/>
    <w:rsid w:val="001A1352"/>
    <w:rsid w:val="001A1F0E"/>
    <w:rsid w:val="001A473A"/>
    <w:rsid w:val="001A4B80"/>
    <w:rsid w:val="001A4ED9"/>
    <w:rsid w:val="001A5785"/>
    <w:rsid w:val="001A5FD7"/>
    <w:rsid w:val="001A61B0"/>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53BB"/>
    <w:rsid w:val="001B572D"/>
    <w:rsid w:val="001B5B10"/>
    <w:rsid w:val="001B5E9A"/>
    <w:rsid w:val="001B6E4E"/>
    <w:rsid w:val="001B6E77"/>
    <w:rsid w:val="001B7A15"/>
    <w:rsid w:val="001B7B69"/>
    <w:rsid w:val="001C08DB"/>
    <w:rsid w:val="001C10BD"/>
    <w:rsid w:val="001C1F01"/>
    <w:rsid w:val="001C232F"/>
    <w:rsid w:val="001C2544"/>
    <w:rsid w:val="001C2A17"/>
    <w:rsid w:val="001C31F5"/>
    <w:rsid w:val="001C457B"/>
    <w:rsid w:val="001C6047"/>
    <w:rsid w:val="001C6698"/>
    <w:rsid w:val="001C6C19"/>
    <w:rsid w:val="001C7CE0"/>
    <w:rsid w:val="001D005B"/>
    <w:rsid w:val="001D0947"/>
    <w:rsid w:val="001D16F5"/>
    <w:rsid w:val="001D1970"/>
    <w:rsid w:val="001D1D1E"/>
    <w:rsid w:val="001D1D55"/>
    <w:rsid w:val="001D21EF"/>
    <w:rsid w:val="001D29A4"/>
    <w:rsid w:val="001D330D"/>
    <w:rsid w:val="001D4AB6"/>
    <w:rsid w:val="001D4AD3"/>
    <w:rsid w:val="001D4E86"/>
    <w:rsid w:val="001D6B8A"/>
    <w:rsid w:val="001D75E2"/>
    <w:rsid w:val="001E1713"/>
    <w:rsid w:val="001E17E3"/>
    <w:rsid w:val="001E1D36"/>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79D1"/>
    <w:rsid w:val="00201B0F"/>
    <w:rsid w:val="00202800"/>
    <w:rsid w:val="00202D33"/>
    <w:rsid w:val="00202E58"/>
    <w:rsid w:val="00202F99"/>
    <w:rsid w:val="002036FB"/>
    <w:rsid w:val="00203C85"/>
    <w:rsid w:val="00205112"/>
    <w:rsid w:val="00205298"/>
    <w:rsid w:val="002052DD"/>
    <w:rsid w:val="00205939"/>
    <w:rsid w:val="00205D1C"/>
    <w:rsid w:val="002062B8"/>
    <w:rsid w:val="00206698"/>
    <w:rsid w:val="00206736"/>
    <w:rsid w:val="00206C88"/>
    <w:rsid w:val="002078A3"/>
    <w:rsid w:val="00210744"/>
    <w:rsid w:val="00210B9C"/>
    <w:rsid w:val="00211714"/>
    <w:rsid w:val="0021237A"/>
    <w:rsid w:val="00213D15"/>
    <w:rsid w:val="00213FCE"/>
    <w:rsid w:val="00214028"/>
    <w:rsid w:val="002141C3"/>
    <w:rsid w:val="002141DC"/>
    <w:rsid w:val="00214479"/>
    <w:rsid w:val="002144F3"/>
    <w:rsid w:val="002146C3"/>
    <w:rsid w:val="00214E91"/>
    <w:rsid w:val="00215A2A"/>
    <w:rsid w:val="00215D21"/>
    <w:rsid w:val="00216387"/>
    <w:rsid w:val="00216860"/>
    <w:rsid w:val="002204BC"/>
    <w:rsid w:val="00220F7B"/>
    <w:rsid w:val="00220FA3"/>
    <w:rsid w:val="002213CE"/>
    <w:rsid w:val="0022168C"/>
    <w:rsid w:val="00221AF7"/>
    <w:rsid w:val="00221F13"/>
    <w:rsid w:val="00221FFA"/>
    <w:rsid w:val="00222494"/>
    <w:rsid w:val="00222775"/>
    <w:rsid w:val="00222A31"/>
    <w:rsid w:val="00222CF6"/>
    <w:rsid w:val="00224300"/>
    <w:rsid w:val="002244E4"/>
    <w:rsid w:val="00224D2A"/>
    <w:rsid w:val="00224D8D"/>
    <w:rsid w:val="0022555A"/>
    <w:rsid w:val="00226508"/>
    <w:rsid w:val="00227B16"/>
    <w:rsid w:val="0023079F"/>
    <w:rsid w:val="00231135"/>
    <w:rsid w:val="00231523"/>
    <w:rsid w:val="0023337A"/>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3DC"/>
    <w:rsid w:val="00247422"/>
    <w:rsid w:val="00247BA2"/>
    <w:rsid w:val="0025184F"/>
    <w:rsid w:val="00251967"/>
    <w:rsid w:val="002527CC"/>
    <w:rsid w:val="00253586"/>
    <w:rsid w:val="002537FC"/>
    <w:rsid w:val="002542F8"/>
    <w:rsid w:val="002543EF"/>
    <w:rsid w:val="00255784"/>
    <w:rsid w:val="0025631F"/>
    <w:rsid w:val="00256986"/>
    <w:rsid w:val="00257246"/>
    <w:rsid w:val="00257294"/>
    <w:rsid w:val="00257438"/>
    <w:rsid w:val="00257B6D"/>
    <w:rsid w:val="00261246"/>
    <w:rsid w:val="00262048"/>
    <w:rsid w:val="0026212A"/>
    <w:rsid w:val="00263044"/>
    <w:rsid w:val="00263759"/>
    <w:rsid w:val="002638BD"/>
    <w:rsid w:val="002644D7"/>
    <w:rsid w:val="0026470B"/>
    <w:rsid w:val="0026486D"/>
    <w:rsid w:val="00264C4B"/>
    <w:rsid w:val="00264ED0"/>
    <w:rsid w:val="00265C3A"/>
    <w:rsid w:val="002660C3"/>
    <w:rsid w:val="00266DE1"/>
    <w:rsid w:val="00267A92"/>
    <w:rsid w:val="00267E43"/>
    <w:rsid w:val="00270282"/>
    <w:rsid w:val="002711EF"/>
    <w:rsid w:val="00272193"/>
    <w:rsid w:val="0027244F"/>
    <w:rsid w:val="0027393E"/>
    <w:rsid w:val="002739CE"/>
    <w:rsid w:val="00273C5F"/>
    <w:rsid w:val="002751CA"/>
    <w:rsid w:val="0027544D"/>
    <w:rsid w:val="002775ED"/>
    <w:rsid w:val="002778AB"/>
    <w:rsid w:val="00277D86"/>
    <w:rsid w:val="002802A5"/>
    <w:rsid w:val="002807AC"/>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87DDE"/>
    <w:rsid w:val="002903C5"/>
    <w:rsid w:val="00290A99"/>
    <w:rsid w:val="00290EAF"/>
    <w:rsid w:val="0029129B"/>
    <w:rsid w:val="0029159A"/>
    <w:rsid w:val="0029199A"/>
    <w:rsid w:val="00291E17"/>
    <w:rsid w:val="00292AA1"/>
    <w:rsid w:val="00293D77"/>
    <w:rsid w:val="0029499D"/>
    <w:rsid w:val="00294A13"/>
    <w:rsid w:val="00294B10"/>
    <w:rsid w:val="00294DF9"/>
    <w:rsid w:val="00295073"/>
    <w:rsid w:val="00296C32"/>
    <w:rsid w:val="002977CE"/>
    <w:rsid w:val="00297AF5"/>
    <w:rsid w:val="002A02D6"/>
    <w:rsid w:val="002A07C4"/>
    <w:rsid w:val="002A0921"/>
    <w:rsid w:val="002A09CF"/>
    <w:rsid w:val="002A0CB3"/>
    <w:rsid w:val="002A1887"/>
    <w:rsid w:val="002A2001"/>
    <w:rsid w:val="002A4060"/>
    <w:rsid w:val="002A4A05"/>
    <w:rsid w:val="002A4EB3"/>
    <w:rsid w:val="002A51D9"/>
    <w:rsid w:val="002A572D"/>
    <w:rsid w:val="002A5CAB"/>
    <w:rsid w:val="002A5D1C"/>
    <w:rsid w:val="002A5D40"/>
    <w:rsid w:val="002A6116"/>
    <w:rsid w:val="002A64E7"/>
    <w:rsid w:val="002A7ED3"/>
    <w:rsid w:val="002A7FC9"/>
    <w:rsid w:val="002B056E"/>
    <w:rsid w:val="002B06C1"/>
    <w:rsid w:val="002B139C"/>
    <w:rsid w:val="002B1881"/>
    <w:rsid w:val="002B1F61"/>
    <w:rsid w:val="002B257E"/>
    <w:rsid w:val="002B2906"/>
    <w:rsid w:val="002B2A00"/>
    <w:rsid w:val="002B322B"/>
    <w:rsid w:val="002B34E3"/>
    <w:rsid w:val="002B394C"/>
    <w:rsid w:val="002B5AEE"/>
    <w:rsid w:val="002B6177"/>
    <w:rsid w:val="002B650C"/>
    <w:rsid w:val="002B68E6"/>
    <w:rsid w:val="002B6985"/>
    <w:rsid w:val="002C0301"/>
    <w:rsid w:val="002C0326"/>
    <w:rsid w:val="002C0A9F"/>
    <w:rsid w:val="002C13D4"/>
    <w:rsid w:val="002C1AB3"/>
    <w:rsid w:val="002C1BB7"/>
    <w:rsid w:val="002C2665"/>
    <w:rsid w:val="002C28E1"/>
    <w:rsid w:val="002C327D"/>
    <w:rsid w:val="002C3890"/>
    <w:rsid w:val="002C3AD9"/>
    <w:rsid w:val="002C45C3"/>
    <w:rsid w:val="002C483B"/>
    <w:rsid w:val="002C534A"/>
    <w:rsid w:val="002C60A7"/>
    <w:rsid w:val="002C643D"/>
    <w:rsid w:val="002C6CCA"/>
    <w:rsid w:val="002C70E7"/>
    <w:rsid w:val="002C757E"/>
    <w:rsid w:val="002D0E88"/>
    <w:rsid w:val="002D138F"/>
    <w:rsid w:val="002D1593"/>
    <w:rsid w:val="002D1942"/>
    <w:rsid w:val="002D22A6"/>
    <w:rsid w:val="002D2819"/>
    <w:rsid w:val="002D2CD6"/>
    <w:rsid w:val="002D2F81"/>
    <w:rsid w:val="002D38A3"/>
    <w:rsid w:val="002D3BA3"/>
    <w:rsid w:val="002D41F7"/>
    <w:rsid w:val="002D4892"/>
    <w:rsid w:val="002D4D06"/>
    <w:rsid w:val="002D4EE7"/>
    <w:rsid w:val="002D4EED"/>
    <w:rsid w:val="002D58A2"/>
    <w:rsid w:val="002D5A95"/>
    <w:rsid w:val="002D65AD"/>
    <w:rsid w:val="002D6782"/>
    <w:rsid w:val="002D74A4"/>
    <w:rsid w:val="002D74F4"/>
    <w:rsid w:val="002D7B50"/>
    <w:rsid w:val="002D7DB2"/>
    <w:rsid w:val="002D7EA8"/>
    <w:rsid w:val="002E00E1"/>
    <w:rsid w:val="002E03AE"/>
    <w:rsid w:val="002E04B7"/>
    <w:rsid w:val="002E0542"/>
    <w:rsid w:val="002E05F2"/>
    <w:rsid w:val="002E0E87"/>
    <w:rsid w:val="002E0F36"/>
    <w:rsid w:val="002E13CF"/>
    <w:rsid w:val="002E1FA9"/>
    <w:rsid w:val="002E201C"/>
    <w:rsid w:val="002E236F"/>
    <w:rsid w:val="002E2478"/>
    <w:rsid w:val="002E3956"/>
    <w:rsid w:val="002E469E"/>
    <w:rsid w:val="002E4C01"/>
    <w:rsid w:val="002E4D50"/>
    <w:rsid w:val="002E52AB"/>
    <w:rsid w:val="002E55FF"/>
    <w:rsid w:val="002E587E"/>
    <w:rsid w:val="002E5DE8"/>
    <w:rsid w:val="002E672A"/>
    <w:rsid w:val="002E6742"/>
    <w:rsid w:val="002E6853"/>
    <w:rsid w:val="002E7EC1"/>
    <w:rsid w:val="002E7EE5"/>
    <w:rsid w:val="002F0323"/>
    <w:rsid w:val="002F134F"/>
    <w:rsid w:val="002F1D0B"/>
    <w:rsid w:val="002F1F02"/>
    <w:rsid w:val="002F277F"/>
    <w:rsid w:val="002F27E5"/>
    <w:rsid w:val="002F2D81"/>
    <w:rsid w:val="002F3F6B"/>
    <w:rsid w:val="002F43E5"/>
    <w:rsid w:val="002F4BA9"/>
    <w:rsid w:val="002F541B"/>
    <w:rsid w:val="002F5BFE"/>
    <w:rsid w:val="002F6EFF"/>
    <w:rsid w:val="002F7DF0"/>
    <w:rsid w:val="002F7FAF"/>
    <w:rsid w:val="00300AD2"/>
    <w:rsid w:val="003014FC"/>
    <w:rsid w:val="00301D64"/>
    <w:rsid w:val="00303862"/>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C9D"/>
    <w:rsid w:val="00313E7B"/>
    <w:rsid w:val="0031430C"/>
    <w:rsid w:val="00314C5A"/>
    <w:rsid w:val="0031531A"/>
    <w:rsid w:val="00315394"/>
    <w:rsid w:val="003156D4"/>
    <w:rsid w:val="00315D77"/>
    <w:rsid w:val="003165B1"/>
    <w:rsid w:val="00316A70"/>
    <w:rsid w:val="00316CDE"/>
    <w:rsid w:val="0031752D"/>
    <w:rsid w:val="0032030F"/>
    <w:rsid w:val="00320642"/>
    <w:rsid w:val="00320688"/>
    <w:rsid w:val="00320B52"/>
    <w:rsid w:val="00321AAD"/>
    <w:rsid w:val="0032226D"/>
    <w:rsid w:val="00322469"/>
    <w:rsid w:val="003249F6"/>
    <w:rsid w:val="00324B2F"/>
    <w:rsid w:val="003251B3"/>
    <w:rsid w:val="0032576A"/>
    <w:rsid w:val="00325FCC"/>
    <w:rsid w:val="00326106"/>
    <w:rsid w:val="00326144"/>
    <w:rsid w:val="00326805"/>
    <w:rsid w:val="003269B7"/>
    <w:rsid w:val="00326C0E"/>
    <w:rsid w:val="003272A3"/>
    <w:rsid w:val="003272E4"/>
    <w:rsid w:val="00327B71"/>
    <w:rsid w:val="0033081D"/>
    <w:rsid w:val="00331461"/>
    <w:rsid w:val="003316A8"/>
    <w:rsid w:val="00331CC9"/>
    <w:rsid w:val="003320D7"/>
    <w:rsid w:val="00332433"/>
    <w:rsid w:val="00332D52"/>
    <w:rsid w:val="00333337"/>
    <w:rsid w:val="003338A0"/>
    <w:rsid w:val="00333A28"/>
    <w:rsid w:val="003360AD"/>
    <w:rsid w:val="0033617A"/>
    <w:rsid w:val="0033631D"/>
    <w:rsid w:val="00337409"/>
    <w:rsid w:val="003405AF"/>
    <w:rsid w:val="003405F8"/>
    <w:rsid w:val="0034088F"/>
    <w:rsid w:val="00340B3E"/>
    <w:rsid w:val="003413D2"/>
    <w:rsid w:val="003422B5"/>
    <w:rsid w:val="003426D7"/>
    <w:rsid w:val="00342857"/>
    <w:rsid w:val="00342E4F"/>
    <w:rsid w:val="00343577"/>
    <w:rsid w:val="00344BBF"/>
    <w:rsid w:val="0034509B"/>
    <w:rsid w:val="00345644"/>
    <w:rsid w:val="00345D7A"/>
    <w:rsid w:val="0034607E"/>
    <w:rsid w:val="00346B6D"/>
    <w:rsid w:val="00346BA3"/>
    <w:rsid w:val="00347356"/>
    <w:rsid w:val="00350896"/>
    <w:rsid w:val="00350C31"/>
    <w:rsid w:val="00351063"/>
    <w:rsid w:val="00351457"/>
    <w:rsid w:val="003519CD"/>
    <w:rsid w:val="00351A3A"/>
    <w:rsid w:val="0035455F"/>
    <w:rsid w:val="00355D8F"/>
    <w:rsid w:val="00356FF0"/>
    <w:rsid w:val="0035776F"/>
    <w:rsid w:val="003577EF"/>
    <w:rsid w:val="00360304"/>
    <w:rsid w:val="00361750"/>
    <w:rsid w:val="00363B2A"/>
    <w:rsid w:val="00363BF1"/>
    <w:rsid w:val="003652FD"/>
    <w:rsid w:val="003665F2"/>
    <w:rsid w:val="00366779"/>
    <w:rsid w:val="003669C8"/>
    <w:rsid w:val="00366CEB"/>
    <w:rsid w:val="003672B3"/>
    <w:rsid w:val="003676DF"/>
    <w:rsid w:val="00367783"/>
    <w:rsid w:val="00367796"/>
    <w:rsid w:val="003679D3"/>
    <w:rsid w:val="00367A87"/>
    <w:rsid w:val="00367EE7"/>
    <w:rsid w:val="00370181"/>
    <w:rsid w:val="003705EA"/>
    <w:rsid w:val="00370A56"/>
    <w:rsid w:val="0037223C"/>
    <w:rsid w:val="00372842"/>
    <w:rsid w:val="003729A5"/>
    <w:rsid w:val="00372C89"/>
    <w:rsid w:val="00372E9A"/>
    <w:rsid w:val="003735B9"/>
    <w:rsid w:val="00374677"/>
    <w:rsid w:val="00375850"/>
    <w:rsid w:val="0037632F"/>
    <w:rsid w:val="00377B26"/>
    <w:rsid w:val="00377B46"/>
    <w:rsid w:val="00381014"/>
    <w:rsid w:val="00381033"/>
    <w:rsid w:val="003811A8"/>
    <w:rsid w:val="00381604"/>
    <w:rsid w:val="0038161E"/>
    <w:rsid w:val="00381C68"/>
    <w:rsid w:val="00381F60"/>
    <w:rsid w:val="00383430"/>
    <w:rsid w:val="00383AB0"/>
    <w:rsid w:val="0038437A"/>
    <w:rsid w:val="003847BB"/>
    <w:rsid w:val="00384814"/>
    <w:rsid w:val="00384C0A"/>
    <w:rsid w:val="00384F29"/>
    <w:rsid w:val="00385B16"/>
    <w:rsid w:val="00385B96"/>
    <w:rsid w:val="00385DA2"/>
    <w:rsid w:val="00386282"/>
    <w:rsid w:val="0038637D"/>
    <w:rsid w:val="00386C07"/>
    <w:rsid w:val="00386F58"/>
    <w:rsid w:val="0038700D"/>
    <w:rsid w:val="003877BE"/>
    <w:rsid w:val="00390346"/>
    <w:rsid w:val="00390B8F"/>
    <w:rsid w:val="00390C0D"/>
    <w:rsid w:val="00391447"/>
    <w:rsid w:val="003919D9"/>
    <w:rsid w:val="00391BC6"/>
    <w:rsid w:val="00391BDD"/>
    <w:rsid w:val="003922DE"/>
    <w:rsid w:val="00392E35"/>
    <w:rsid w:val="00393551"/>
    <w:rsid w:val="00393FCD"/>
    <w:rsid w:val="003944EA"/>
    <w:rsid w:val="00394639"/>
    <w:rsid w:val="00394C5F"/>
    <w:rsid w:val="00394DF6"/>
    <w:rsid w:val="003962E6"/>
    <w:rsid w:val="00396831"/>
    <w:rsid w:val="00396972"/>
    <w:rsid w:val="003971A1"/>
    <w:rsid w:val="003A0DDD"/>
    <w:rsid w:val="003A12B6"/>
    <w:rsid w:val="003A1855"/>
    <w:rsid w:val="003A2012"/>
    <w:rsid w:val="003A20D5"/>
    <w:rsid w:val="003A24CC"/>
    <w:rsid w:val="003A2EE8"/>
    <w:rsid w:val="003A373C"/>
    <w:rsid w:val="003A5378"/>
    <w:rsid w:val="003A6008"/>
    <w:rsid w:val="003A703F"/>
    <w:rsid w:val="003A77E2"/>
    <w:rsid w:val="003A7D00"/>
    <w:rsid w:val="003A7E2B"/>
    <w:rsid w:val="003A7E40"/>
    <w:rsid w:val="003B0336"/>
    <w:rsid w:val="003B058A"/>
    <w:rsid w:val="003B0A3A"/>
    <w:rsid w:val="003B0D79"/>
    <w:rsid w:val="003B1CCB"/>
    <w:rsid w:val="003B2930"/>
    <w:rsid w:val="003B31A7"/>
    <w:rsid w:val="003B367F"/>
    <w:rsid w:val="003B3BC8"/>
    <w:rsid w:val="003B430E"/>
    <w:rsid w:val="003B47DE"/>
    <w:rsid w:val="003B4B51"/>
    <w:rsid w:val="003B4E00"/>
    <w:rsid w:val="003B514E"/>
    <w:rsid w:val="003B636A"/>
    <w:rsid w:val="003B68C2"/>
    <w:rsid w:val="003B69CE"/>
    <w:rsid w:val="003B71FE"/>
    <w:rsid w:val="003C011C"/>
    <w:rsid w:val="003C0B60"/>
    <w:rsid w:val="003C1B97"/>
    <w:rsid w:val="003C22FC"/>
    <w:rsid w:val="003C3292"/>
    <w:rsid w:val="003C3C1E"/>
    <w:rsid w:val="003C4134"/>
    <w:rsid w:val="003C435B"/>
    <w:rsid w:val="003C48B4"/>
    <w:rsid w:val="003C4EBE"/>
    <w:rsid w:val="003C62EC"/>
    <w:rsid w:val="003C685A"/>
    <w:rsid w:val="003C6E9C"/>
    <w:rsid w:val="003C7393"/>
    <w:rsid w:val="003C746F"/>
    <w:rsid w:val="003C76E6"/>
    <w:rsid w:val="003C7C25"/>
    <w:rsid w:val="003C7F12"/>
    <w:rsid w:val="003D03CE"/>
    <w:rsid w:val="003D03D6"/>
    <w:rsid w:val="003D14C8"/>
    <w:rsid w:val="003D1517"/>
    <w:rsid w:val="003D2DA0"/>
    <w:rsid w:val="003D34C3"/>
    <w:rsid w:val="003D3D83"/>
    <w:rsid w:val="003D4685"/>
    <w:rsid w:val="003D4A41"/>
    <w:rsid w:val="003D5ADB"/>
    <w:rsid w:val="003D5F7A"/>
    <w:rsid w:val="003D646C"/>
    <w:rsid w:val="003D663E"/>
    <w:rsid w:val="003D6793"/>
    <w:rsid w:val="003D6B03"/>
    <w:rsid w:val="003D75D8"/>
    <w:rsid w:val="003E006E"/>
    <w:rsid w:val="003E0E96"/>
    <w:rsid w:val="003E20F7"/>
    <w:rsid w:val="003E2F36"/>
    <w:rsid w:val="003E336A"/>
    <w:rsid w:val="003E4048"/>
    <w:rsid w:val="003E455D"/>
    <w:rsid w:val="003E60DA"/>
    <w:rsid w:val="003E616A"/>
    <w:rsid w:val="003E6E00"/>
    <w:rsid w:val="003E7111"/>
    <w:rsid w:val="003E7940"/>
    <w:rsid w:val="003E7F7A"/>
    <w:rsid w:val="003F01BD"/>
    <w:rsid w:val="003F0486"/>
    <w:rsid w:val="003F048E"/>
    <w:rsid w:val="003F0AFF"/>
    <w:rsid w:val="003F171F"/>
    <w:rsid w:val="003F26DC"/>
    <w:rsid w:val="003F3EFD"/>
    <w:rsid w:val="003F42FF"/>
    <w:rsid w:val="003F45C2"/>
    <w:rsid w:val="003F4B48"/>
    <w:rsid w:val="003F4DDC"/>
    <w:rsid w:val="003F56B8"/>
    <w:rsid w:val="003F6327"/>
    <w:rsid w:val="003F765B"/>
    <w:rsid w:val="003F7CB8"/>
    <w:rsid w:val="004001F0"/>
    <w:rsid w:val="00400CB4"/>
    <w:rsid w:val="00401386"/>
    <w:rsid w:val="004013E6"/>
    <w:rsid w:val="004016F6"/>
    <w:rsid w:val="0040188F"/>
    <w:rsid w:val="00401E31"/>
    <w:rsid w:val="00402BBA"/>
    <w:rsid w:val="0040344F"/>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9FF"/>
    <w:rsid w:val="00414909"/>
    <w:rsid w:val="00415034"/>
    <w:rsid w:val="00415718"/>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4D18"/>
    <w:rsid w:val="00425341"/>
    <w:rsid w:val="0042586F"/>
    <w:rsid w:val="00425D8C"/>
    <w:rsid w:val="00426B2C"/>
    <w:rsid w:val="0042784A"/>
    <w:rsid w:val="00427FA8"/>
    <w:rsid w:val="0043026B"/>
    <w:rsid w:val="004306D4"/>
    <w:rsid w:val="00432ECA"/>
    <w:rsid w:val="00433D2E"/>
    <w:rsid w:val="00433D5E"/>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1A3"/>
    <w:rsid w:val="00445874"/>
    <w:rsid w:val="00445C38"/>
    <w:rsid w:val="004475F7"/>
    <w:rsid w:val="004502AC"/>
    <w:rsid w:val="0045057B"/>
    <w:rsid w:val="0045069B"/>
    <w:rsid w:val="00450B22"/>
    <w:rsid w:val="00451709"/>
    <w:rsid w:val="00451A02"/>
    <w:rsid w:val="00451DB3"/>
    <w:rsid w:val="0045273A"/>
    <w:rsid w:val="0045277C"/>
    <w:rsid w:val="00453438"/>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976"/>
    <w:rsid w:val="00465A21"/>
    <w:rsid w:val="00465DE5"/>
    <w:rsid w:val="00466978"/>
    <w:rsid w:val="00466ABA"/>
    <w:rsid w:val="004672E3"/>
    <w:rsid w:val="0046775D"/>
    <w:rsid w:val="00467823"/>
    <w:rsid w:val="004705FA"/>
    <w:rsid w:val="004708AC"/>
    <w:rsid w:val="00470E75"/>
    <w:rsid w:val="00471387"/>
    <w:rsid w:val="00471963"/>
    <w:rsid w:val="004724B8"/>
    <w:rsid w:val="0047258E"/>
    <w:rsid w:val="004728FB"/>
    <w:rsid w:val="00472CA7"/>
    <w:rsid w:val="00472CEC"/>
    <w:rsid w:val="00473308"/>
    <w:rsid w:val="0047471E"/>
    <w:rsid w:val="004749DA"/>
    <w:rsid w:val="00474DEF"/>
    <w:rsid w:val="004758E7"/>
    <w:rsid w:val="00475BAB"/>
    <w:rsid w:val="004764C6"/>
    <w:rsid w:val="00476F97"/>
    <w:rsid w:val="00477247"/>
    <w:rsid w:val="004776BB"/>
    <w:rsid w:val="00480067"/>
    <w:rsid w:val="0048055E"/>
    <w:rsid w:val="00480C2B"/>
    <w:rsid w:val="00480DC5"/>
    <w:rsid w:val="004824A9"/>
    <w:rsid w:val="00483140"/>
    <w:rsid w:val="00483984"/>
    <w:rsid w:val="00483BC7"/>
    <w:rsid w:val="00483CF0"/>
    <w:rsid w:val="00483EF9"/>
    <w:rsid w:val="00484D4D"/>
    <w:rsid w:val="004858B7"/>
    <w:rsid w:val="0048664F"/>
    <w:rsid w:val="004868AD"/>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C9F"/>
    <w:rsid w:val="004A0DFE"/>
    <w:rsid w:val="004A1049"/>
    <w:rsid w:val="004A1E2C"/>
    <w:rsid w:val="004A1EA7"/>
    <w:rsid w:val="004A2EF8"/>
    <w:rsid w:val="004A3A21"/>
    <w:rsid w:val="004A47DE"/>
    <w:rsid w:val="004A4E3B"/>
    <w:rsid w:val="004A5C97"/>
    <w:rsid w:val="004A64F9"/>
    <w:rsid w:val="004A69CC"/>
    <w:rsid w:val="004A7314"/>
    <w:rsid w:val="004B026C"/>
    <w:rsid w:val="004B0271"/>
    <w:rsid w:val="004B0BE8"/>
    <w:rsid w:val="004B0E4A"/>
    <w:rsid w:val="004B18F4"/>
    <w:rsid w:val="004B1A98"/>
    <w:rsid w:val="004B2463"/>
    <w:rsid w:val="004B2869"/>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38DF"/>
    <w:rsid w:val="004C4248"/>
    <w:rsid w:val="004C446C"/>
    <w:rsid w:val="004C45C8"/>
    <w:rsid w:val="004C5F4B"/>
    <w:rsid w:val="004C612E"/>
    <w:rsid w:val="004C61B8"/>
    <w:rsid w:val="004C6C0A"/>
    <w:rsid w:val="004C6C6D"/>
    <w:rsid w:val="004C77FF"/>
    <w:rsid w:val="004C7DB0"/>
    <w:rsid w:val="004D0223"/>
    <w:rsid w:val="004D16A3"/>
    <w:rsid w:val="004D1934"/>
    <w:rsid w:val="004D1E41"/>
    <w:rsid w:val="004D2326"/>
    <w:rsid w:val="004D24EC"/>
    <w:rsid w:val="004D2E11"/>
    <w:rsid w:val="004D329C"/>
    <w:rsid w:val="004D34D1"/>
    <w:rsid w:val="004D3EC5"/>
    <w:rsid w:val="004D4431"/>
    <w:rsid w:val="004D4523"/>
    <w:rsid w:val="004D51D6"/>
    <w:rsid w:val="004D6F29"/>
    <w:rsid w:val="004D7BF5"/>
    <w:rsid w:val="004D7F9C"/>
    <w:rsid w:val="004E0378"/>
    <w:rsid w:val="004E03F4"/>
    <w:rsid w:val="004E0449"/>
    <w:rsid w:val="004E068F"/>
    <w:rsid w:val="004E09CF"/>
    <w:rsid w:val="004E0B75"/>
    <w:rsid w:val="004E13AD"/>
    <w:rsid w:val="004E1D6F"/>
    <w:rsid w:val="004E2393"/>
    <w:rsid w:val="004E3117"/>
    <w:rsid w:val="004E3A2A"/>
    <w:rsid w:val="004E3AB1"/>
    <w:rsid w:val="004E4003"/>
    <w:rsid w:val="004E4626"/>
    <w:rsid w:val="004E4E79"/>
    <w:rsid w:val="004E5380"/>
    <w:rsid w:val="004E5627"/>
    <w:rsid w:val="004E6746"/>
    <w:rsid w:val="004E6CAC"/>
    <w:rsid w:val="004E75C1"/>
    <w:rsid w:val="004E777F"/>
    <w:rsid w:val="004F0610"/>
    <w:rsid w:val="004F07F2"/>
    <w:rsid w:val="004F07F9"/>
    <w:rsid w:val="004F0E82"/>
    <w:rsid w:val="004F1523"/>
    <w:rsid w:val="004F1847"/>
    <w:rsid w:val="004F1A6E"/>
    <w:rsid w:val="004F1F9E"/>
    <w:rsid w:val="004F2CB6"/>
    <w:rsid w:val="004F2E6E"/>
    <w:rsid w:val="004F3015"/>
    <w:rsid w:val="004F313F"/>
    <w:rsid w:val="004F3EEF"/>
    <w:rsid w:val="004F43A7"/>
    <w:rsid w:val="004F447B"/>
    <w:rsid w:val="004F497C"/>
    <w:rsid w:val="004F4FE8"/>
    <w:rsid w:val="004F531B"/>
    <w:rsid w:val="004F560C"/>
    <w:rsid w:val="004F5DBB"/>
    <w:rsid w:val="004F61A3"/>
    <w:rsid w:val="004F65C2"/>
    <w:rsid w:val="004F6874"/>
    <w:rsid w:val="004F7922"/>
    <w:rsid w:val="004F7A1F"/>
    <w:rsid w:val="004F7B47"/>
    <w:rsid w:val="0050079C"/>
    <w:rsid w:val="0050106A"/>
    <w:rsid w:val="005010BC"/>
    <w:rsid w:val="00502894"/>
    <w:rsid w:val="00505033"/>
    <w:rsid w:val="0050537D"/>
    <w:rsid w:val="005060AE"/>
    <w:rsid w:val="005068C4"/>
    <w:rsid w:val="00506E42"/>
    <w:rsid w:val="0050790B"/>
    <w:rsid w:val="0051037C"/>
    <w:rsid w:val="0051050F"/>
    <w:rsid w:val="00510DDC"/>
    <w:rsid w:val="00511F64"/>
    <w:rsid w:val="005131A2"/>
    <w:rsid w:val="00513BB9"/>
    <w:rsid w:val="0051440E"/>
    <w:rsid w:val="00514925"/>
    <w:rsid w:val="00514B53"/>
    <w:rsid w:val="00515061"/>
    <w:rsid w:val="00515502"/>
    <w:rsid w:val="0051556E"/>
    <w:rsid w:val="00515973"/>
    <w:rsid w:val="00517AC8"/>
    <w:rsid w:val="00517C3E"/>
    <w:rsid w:val="00520116"/>
    <w:rsid w:val="00520E31"/>
    <w:rsid w:val="005212F4"/>
    <w:rsid w:val="00521908"/>
    <w:rsid w:val="00522CCC"/>
    <w:rsid w:val="005237A1"/>
    <w:rsid w:val="0052397A"/>
    <w:rsid w:val="00523D5A"/>
    <w:rsid w:val="00524138"/>
    <w:rsid w:val="00524154"/>
    <w:rsid w:val="00524A2B"/>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618A"/>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DFB"/>
    <w:rsid w:val="00544F05"/>
    <w:rsid w:val="005454B8"/>
    <w:rsid w:val="00545ACB"/>
    <w:rsid w:val="00545DB9"/>
    <w:rsid w:val="00546BF8"/>
    <w:rsid w:val="00546F2B"/>
    <w:rsid w:val="00547BA2"/>
    <w:rsid w:val="005500EB"/>
    <w:rsid w:val="00550AC5"/>
    <w:rsid w:val="00550B09"/>
    <w:rsid w:val="00550B7E"/>
    <w:rsid w:val="00551052"/>
    <w:rsid w:val="005524ED"/>
    <w:rsid w:val="00553948"/>
    <w:rsid w:val="00554456"/>
    <w:rsid w:val="00554C03"/>
    <w:rsid w:val="00554C58"/>
    <w:rsid w:val="005550F9"/>
    <w:rsid w:val="00556338"/>
    <w:rsid w:val="00556441"/>
    <w:rsid w:val="00557031"/>
    <w:rsid w:val="00557C4C"/>
    <w:rsid w:val="00560FCB"/>
    <w:rsid w:val="00561055"/>
    <w:rsid w:val="0056111C"/>
    <w:rsid w:val="00561140"/>
    <w:rsid w:val="00561412"/>
    <w:rsid w:val="00561903"/>
    <w:rsid w:val="00561A9B"/>
    <w:rsid w:val="00561E54"/>
    <w:rsid w:val="00562FB1"/>
    <w:rsid w:val="00563068"/>
    <w:rsid w:val="0056307F"/>
    <w:rsid w:val="0056376A"/>
    <w:rsid w:val="00563B3C"/>
    <w:rsid w:val="00564068"/>
    <w:rsid w:val="005646DD"/>
    <w:rsid w:val="00564CAF"/>
    <w:rsid w:val="00564DA7"/>
    <w:rsid w:val="00565204"/>
    <w:rsid w:val="00565473"/>
    <w:rsid w:val="005658F3"/>
    <w:rsid w:val="00565DAC"/>
    <w:rsid w:val="00565F0D"/>
    <w:rsid w:val="005662DC"/>
    <w:rsid w:val="00566329"/>
    <w:rsid w:val="00567623"/>
    <w:rsid w:val="00567700"/>
    <w:rsid w:val="005701C2"/>
    <w:rsid w:val="0057217B"/>
    <w:rsid w:val="00573560"/>
    <w:rsid w:val="00574E7B"/>
    <w:rsid w:val="00575164"/>
    <w:rsid w:val="00576B5C"/>
    <w:rsid w:val="00577540"/>
    <w:rsid w:val="005802F9"/>
    <w:rsid w:val="00580DFC"/>
    <w:rsid w:val="005827A7"/>
    <w:rsid w:val="00583D43"/>
    <w:rsid w:val="005846C3"/>
    <w:rsid w:val="00584F04"/>
    <w:rsid w:val="00585623"/>
    <w:rsid w:val="005857F7"/>
    <w:rsid w:val="0058635A"/>
    <w:rsid w:val="00587D7B"/>
    <w:rsid w:val="005904DB"/>
    <w:rsid w:val="00592825"/>
    <w:rsid w:val="00592DEC"/>
    <w:rsid w:val="00593D6D"/>
    <w:rsid w:val="00594437"/>
    <w:rsid w:val="00594B70"/>
    <w:rsid w:val="00596CFA"/>
    <w:rsid w:val="005975CE"/>
    <w:rsid w:val="005A0088"/>
    <w:rsid w:val="005A04F6"/>
    <w:rsid w:val="005A14F0"/>
    <w:rsid w:val="005A1726"/>
    <w:rsid w:val="005A1861"/>
    <w:rsid w:val="005A1A31"/>
    <w:rsid w:val="005A1DB7"/>
    <w:rsid w:val="005A361D"/>
    <w:rsid w:val="005A36C2"/>
    <w:rsid w:val="005A3719"/>
    <w:rsid w:val="005A3A2F"/>
    <w:rsid w:val="005A3D7F"/>
    <w:rsid w:val="005A3DD7"/>
    <w:rsid w:val="005A4C20"/>
    <w:rsid w:val="005A4F48"/>
    <w:rsid w:val="005A54F1"/>
    <w:rsid w:val="005A5A74"/>
    <w:rsid w:val="005A5DDE"/>
    <w:rsid w:val="005A5E74"/>
    <w:rsid w:val="005A64A8"/>
    <w:rsid w:val="005A65C5"/>
    <w:rsid w:val="005A6875"/>
    <w:rsid w:val="005A6C51"/>
    <w:rsid w:val="005A7A32"/>
    <w:rsid w:val="005A7F85"/>
    <w:rsid w:val="005B00DD"/>
    <w:rsid w:val="005B07D5"/>
    <w:rsid w:val="005B1AAB"/>
    <w:rsid w:val="005B2930"/>
    <w:rsid w:val="005B2B87"/>
    <w:rsid w:val="005B33BE"/>
    <w:rsid w:val="005B33C8"/>
    <w:rsid w:val="005B387B"/>
    <w:rsid w:val="005B3B01"/>
    <w:rsid w:val="005B40EA"/>
    <w:rsid w:val="005B4333"/>
    <w:rsid w:val="005B48BE"/>
    <w:rsid w:val="005B58F7"/>
    <w:rsid w:val="005B5994"/>
    <w:rsid w:val="005B6474"/>
    <w:rsid w:val="005B666D"/>
    <w:rsid w:val="005B667A"/>
    <w:rsid w:val="005B69BD"/>
    <w:rsid w:val="005C039B"/>
    <w:rsid w:val="005C059F"/>
    <w:rsid w:val="005C07CE"/>
    <w:rsid w:val="005C0A98"/>
    <w:rsid w:val="005C0B8F"/>
    <w:rsid w:val="005C194E"/>
    <w:rsid w:val="005C1DB1"/>
    <w:rsid w:val="005C226F"/>
    <w:rsid w:val="005C2294"/>
    <w:rsid w:val="005C2910"/>
    <w:rsid w:val="005C3344"/>
    <w:rsid w:val="005C367B"/>
    <w:rsid w:val="005C4E4D"/>
    <w:rsid w:val="005C58F2"/>
    <w:rsid w:val="005C5A97"/>
    <w:rsid w:val="005C6D5D"/>
    <w:rsid w:val="005C6FD0"/>
    <w:rsid w:val="005D016D"/>
    <w:rsid w:val="005D01C3"/>
    <w:rsid w:val="005D05FF"/>
    <w:rsid w:val="005D0FB4"/>
    <w:rsid w:val="005D1176"/>
    <w:rsid w:val="005D1747"/>
    <w:rsid w:val="005D266D"/>
    <w:rsid w:val="005D2A72"/>
    <w:rsid w:val="005D2BD7"/>
    <w:rsid w:val="005D2DE0"/>
    <w:rsid w:val="005D306D"/>
    <w:rsid w:val="005D3327"/>
    <w:rsid w:val="005D577F"/>
    <w:rsid w:val="005D5BCF"/>
    <w:rsid w:val="005D6D84"/>
    <w:rsid w:val="005D70A1"/>
    <w:rsid w:val="005D79F2"/>
    <w:rsid w:val="005D7D14"/>
    <w:rsid w:val="005D7FB5"/>
    <w:rsid w:val="005E0141"/>
    <w:rsid w:val="005E09CA"/>
    <w:rsid w:val="005E0A29"/>
    <w:rsid w:val="005E13E0"/>
    <w:rsid w:val="005E1AB4"/>
    <w:rsid w:val="005E1F48"/>
    <w:rsid w:val="005E30BB"/>
    <w:rsid w:val="005E4543"/>
    <w:rsid w:val="005E56C9"/>
    <w:rsid w:val="005E5CF7"/>
    <w:rsid w:val="005E6009"/>
    <w:rsid w:val="005E642A"/>
    <w:rsid w:val="005E6E58"/>
    <w:rsid w:val="005E721E"/>
    <w:rsid w:val="005E72E7"/>
    <w:rsid w:val="005F0857"/>
    <w:rsid w:val="005F15A9"/>
    <w:rsid w:val="005F1C2F"/>
    <w:rsid w:val="005F2CD5"/>
    <w:rsid w:val="005F2CDD"/>
    <w:rsid w:val="005F31FE"/>
    <w:rsid w:val="005F3720"/>
    <w:rsid w:val="005F5506"/>
    <w:rsid w:val="005F5A0D"/>
    <w:rsid w:val="005F60DF"/>
    <w:rsid w:val="005F61DF"/>
    <w:rsid w:val="005F6656"/>
    <w:rsid w:val="005F680A"/>
    <w:rsid w:val="005F7271"/>
    <w:rsid w:val="005F77F8"/>
    <w:rsid w:val="005F7CA8"/>
    <w:rsid w:val="00601506"/>
    <w:rsid w:val="00601596"/>
    <w:rsid w:val="00601C92"/>
    <w:rsid w:val="00601F66"/>
    <w:rsid w:val="00602B29"/>
    <w:rsid w:val="00603373"/>
    <w:rsid w:val="006036D0"/>
    <w:rsid w:val="00603BAC"/>
    <w:rsid w:val="006042CD"/>
    <w:rsid w:val="00604390"/>
    <w:rsid w:val="00605217"/>
    <w:rsid w:val="0060533A"/>
    <w:rsid w:val="006054A5"/>
    <w:rsid w:val="006059E4"/>
    <w:rsid w:val="006062A0"/>
    <w:rsid w:val="00606EDF"/>
    <w:rsid w:val="006103AA"/>
    <w:rsid w:val="0061098D"/>
    <w:rsid w:val="00611068"/>
    <w:rsid w:val="0061112F"/>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0AC8"/>
    <w:rsid w:val="006212D3"/>
    <w:rsid w:val="00623571"/>
    <w:rsid w:val="00623A5E"/>
    <w:rsid w:val="00623CA9"/>
    <w:rsid w:val="00624A86"/>
    <w:rsid w:val="00625008"/>
    <w:rsid w:val="0062626B"/>
    <w:rsid w:val="00626890"/>
    <w:rsid w:val="00626930"/>
    <w:rsid w:val="00626BAC"/>
    <w:rsid w:val="006271C3"/>
    <w:rsid w:val="00627B14"/>
    <w:rsid w:val="0063001E"/>
    <w:rsid w:val="00630023"/>
    <w:rsid w:val="00630C70"/>
    <w:rsid w:val="00630D67"/>
    <w:rsid w:val="00631005"/>
    <w:rsid w:val="00632727"/>
    <w:rsid w:val="00633089"/>
    <w:rsid w:val="00633769"/>
    <w:rsid w:val="00633924"/>
    <w:rsid w:val="00633FE3"/>
    <w:rsid w:val="00634570"/>
    <w:rsid w:val="0063487C"/>
    <w:rsid w:val="00635B73"/>
    <w:rsid w:val="00635BB7"/>
    <w:rsid w:val="006363D8"/>
    <w:rsid w:val="00636CC7"/>
    <w:rsid w:val="006376E3"/>
    <w:rsid w:val="00637833"/>
    <w:rsid w:val="00637F27"/>
    <w:rsid w:val="00640D22"/>
    <w:rsid w:val="00641863"/>
    <w:rsid w:val="00641A84"/>
    <w:rsid w:val="00641DA1"/>
    <w:rsid w:val="00641E5B"/>
    <w:rsid w:val="00642784"/>
    <w:rsid w:val="00643F89"/>
    <w:rsid w:val="006445FF"/>
    <w:rsid w:val="00644BED"/>
    <w:rsid w:val="00644E2E"/>
    <w:rsid w:val="00645B87"/>
    <w:rsid w:val="00645CB4"/>
    <w:rsid w:val="00646084"/>
    <w:rsid w:val="0064650B"/>
    <w:rsid w:val="00646D7F"/>
    <w:rsid w:val="00647664"/>
    <w:rsid w:val="00647700"/>
    <w:rsid w:val="00647781"/>
    <w:rsid w:val="00647850"/>
    <w:rsid w:val="00652794"/>
    <w:rsid w:val="00652CF5"/>
    <w:rsid w:val="0065343E"/>
    <w:rsid w:val="0065398F"/>
    <w:rsid w:val="00653C7C"/>
    <w:rsid w:val="00654252"/>
    <w:rsid w:val="006543B7"/>
    <w:rsid w:val="00654EA5"/>
    <w:rsid w:val="0065587E"/>
    <w:rsid w:val="006558CD"/>
    <w:rsid w:val="00655C26"/>
    <w:rsid w:val="0065637A"/>
    <w:rsid w:val="00656998"/>
    <w:rsid w:val="00656A5C"/>
    <w:rsid w:val="00656E4D"/>
    <w:rsid w:val="00656FE1"/>
    <w:rsid w:val="006576BA"/>
    <w:rsid w:val="00660EE3"/>
    <w:rsid w:val="0066233D"/>
    <w:rsid w:val="00662D3D"/>
    <w:rsid w:val="00662F1F"/>
    <w:rsid w:val="00665030"/>
    <w:rsid w:val="00665274"/>
    <w:rsid w:val="00665670"/>
    <w:rsid w:val="006659EA"/>
    <w:rsid w:val="006661E8"/>
    <w:rsid w:val="00666424"/>
    <w:rsid w:val="006673B9"/>
    <w:rsid w:val="0066790C"/>
    <w:rsid w:val="00670C7C"/>
    <w:rsid w:val="00671480"/>
    <w:rsid w:val="006717E7"/>
    <w:rsid w:val="00671E12"/>
    <w:rsid w:val="00671FD5"/>
    <w:rsid w:val="006720BC"/>
    <w:rsid w:val="00672BF5"/>
    <w:rsid w:val="00672C73"/>
    <w:rsid w:val="00673B5E"/>
    <w:rsid w:val="00673B64"/>
    <w:rsid w:val="00675430"/>
    <w:rsid w:val="006755F0"/>
    <w:rsid w:val="00675749"/>
    <w:rsid w:val="0067707F"/>
    <w:rsid w:val="00677382"/>
    <w:rsid w:val="0067772D"/>
    <w:rsid w:val="00677AD2"/>
    <w:rsid w:val="00677F60"/>
    <w:rsid w:val="00680714"/>
    <w:rsid w:val="0068071D"/>
    <w:rsid w:val="00680C6B"/>
    <w:rsid w:val="00680E67"/>
    <w:rsid w:val="00681240"/>
    <w:rsid w:val="0068245F"/>
    <w:rsid w:val="00683068"/>
    <w:rsid w:val="00683DAD"/>
    <w:rsid w:val="00683F3D"/>
    <w:rsid w:val="0068459E"/>
    <w:rsid w:val="00684963"/>
    <w:rsid w:val="00685033"/>
    <w:rsid w:val="00685123"/>
    <w:rsid w:val="0068517F"/>
    <w:rsid w:val="00685483"/>
    <w:rsid w:val="00685837"/>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5C78"/>
    <w:rsid w:val="00695E6C"/>
    <w:rsid w:val="00695EAC"/>
    <w:rsid w:val="0069651D"/>
    <w:rsid w:val="00697068"/>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9E1"/>
    <w:rsid w:val="006B4CF8"/>
    <w:rsid w:val="006B5FBC"/>
    <w:rsid w:val="006B64CE"/>
    <w:rsid w:val="006B6749"/>
    <w:rsid w:val="006B6ED2"/>
    <w:rsid w:val="006C0230"/>
    <w:rsid w:val="006C0309"/>
    <w:rsid w:val="006C1114"/>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D12"/>
    <w:rsid w:val="006D0E85"/>
    <w:rsid w:val="006D2A66"/>
    <w:rsid w:val="006D2F72"/>
    <w:rsid w:val="006D3D40"/>
    <w:rsid w:val="006D43C1"/>
    <w:rsid w:val="006D4578"/>
    <w:rsid w:val="006D5442"/>
    <w:rsid w:val="006D6E4E"/>
    <w:rsid w:val="006D72C1"/>
    <w:rsid w:val="006D7A8E"/>
    <w:rsid w:val="006E00E3"/>
    <w:rsid w:val="006E045C"/>
    <w:rsid w:val="006E065E"/>
    <w:rsid w:val="006E0EDB"/>
    <w:rsid w:val="006E17AC"/>
    <w:rsid w:val="006E189B"/>
    <w:rsid w:val="006E1D26"/>
    <w:rsid w:val="006E2558"/>
    <w:rsid w:val="006E2902"/>
    <w:rsid w:val="006E2EAB"/>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67A6"/>
    <w:rsid w:val="006F6FC8"/>
    <w:rsid w:val="006F71A6"/>
    <w:rsid w:val="006F7974"/>
    <w:rsid w:val="006F7C2C"/>
    <w:rsid w:val="00700405"/>
    <w:rsid w:val="00700D18"/>
    <w:rsid w:val="0070168D"/>
    <w:rsid w:val="00701C36"/>
    <w:rsid w:val="00702F2D"/>
    <w:rsid w:val="0070353F"/>
    <w:rsid w:val="00703B42"/>
    <w:rsid w:val="0070412C"/>
    <w:rsid w:val="0070415E"/>
    <w:rsid w:val="00704E7D"/>
    <w:rsid w:val="00705060"/>
    <w:rsid w:val="00705351"/>
    <w:rsid w:val="00705DAF"/>
    <w:rsid w:val="00706128"/>
    <w:rsid w:val="007062AF"/>
    <w:rsid w:val="007069AE"/>
    <w:rsid w:val="00706C89"/>
    <w:rsid w:val="00707967"/>
    <w:rsid w:val="00710257"/>
    <w:rsid w:val="0071047E"/>
    <w:rsid w:val="00710587"/>
    <w:rsid w:val="007107D5"/>
    <w:rsid w:val="007119DC"/>
    <w:rsid w:val="00711CC7"/>
    <w:rsid w:val="0071230A"/>
    <w:rsid w:val="0071294A"/>
    <w:rsid w:val="00712BDD"/>
    <w:rsid w:val="00712E1E"/>
    <w:rsid w:val="00712F37"/>
    <w:rsid w:val="00713A6B"/>
    <w:rsid w:val="0071407A"/>
    <w:rsid w:val="0071499C"/>
    <w:rsid w:val="00714A99"/>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3E8D"/>
    <w:rsid w:val="00724FE4"/>
    <w:rsid w:val="007263A2"/>
    <w:rsid w:val="007266B9"/>
    <w:rsid w:val="00727351"/>
    <w:rsid w:val="00727AC5"/>
    <w:rsid w:val="00727C65"/>
    <w:rsid w:val="00727CCB"/>
    <w:rsid w:val="007300F0"/>
    <w:rsid w:val="00730EB5"/>
    <w:rsid w:val="00731806"/>
    <w:rsid w:val="0073245C"/>
    <w:rsid w:val="00732493"/>
    <w:rsid w:val="00733230"/>
    <w:rsid w:val="00733A43"/>
    <w:rsid w:val="00733D5F"/>
    <w:rsid w:val="00733FBB"/>
    <w:rsid w:val="00734932"/>
    <w:rsid w:val="00735D53"/>
    <w:rsid w:val="007364A3"/>
    <w:rsid w:val="007378FD"/>
    <w:rsid w:val="007403FE"/>
    <w:rsid w:val="007413EB"/>
    <w:rsid w:val="00741E41"/>
    <w:rsid w:val="00742D32"/>
    <w:rsid w:val="00742E9B"/>
    <w:rsid w:val="007444E6"/>
    <w:rsid w:val="00745262"/>
    <w:rsid w:val="007457D2"/>
    <w:rsid w:val="0074592C"/>
    <w:rsid w:val="00746098"/>
    <w:rsid w:val="00746D58"/>
    <w:rsid w:val="00746E66"/>
    <w:rsid w:val="00747578"/>
    <w:rsid w:val="00751073"/>
    <w:rsid w:val="00751AF2"/>
    <w:rsid w:val="00751BD2"/>
    <w:rsid w:val="00751FAA"/>
    <w:rsid w:val="00752188"/>
    <w:rsid w:val="00752CC6"/>
    <w:rsid w:val="00753938"/>
    <w:rsid w:val="007543CE"/>
    <w:rsid w:val="00754644"/>
    <w:rsid w:val="0075497E"/>
    <w:rsid w:val="00754A29"/>
    <w:rsid w:val="007552A0"/>
    <w:rsid w:val="00755861"/>
    <w:rsid w:val="00755989"/>
    <w:rsid w:val="00755BCF"/>
    <w:rsid w:val="00756100"/>
    <w:rsid w:val="00756C5F"/>
    <w:rsid w:val="00756D69"/>
    <w:rsid w:val="00757029"/>
    <w:rsid w:val="007602D4"/>
    <w:rsid w:val="007607D0"/>
    <w:rsid w:val="00760D96"/>
    <w:rsid w:val="0076124A"/>
    <w:rsid w:val="0076161B"/>
    <w:rsid w:val="00761CB5"/>
    <w:rsid w:val="0076216B"/>
    <w:rsid w:val="00762547"/>
    <w:rsid w:val="00762770"/>
    <w:rsid w:val="00763137"/>
    <w:rsid w:val="00763F8B"/>
    <w:rsid w:val="0076417E"/>
    <w:rsid w:val="00764C15"/>
    <w:rsid w:val="0076617F"/>
    <w:rsid w:val="007662C7"/>
    <w:rsid w:val="00766862"/>
    <w:rsid w:val="0076743B"/>
    <w:rsid w:val="007675DD"/>
    <w:rsid w:val="007702BF"/>
    <w:rsid w:val="007705F0"/>
    <w:rsid w:val="00771026"/>
    <w:rsid w:val="00771CAC"/>
    <w:rsid w:val="00772036"/>
    <w:rsid w:val="00773605"/>
    <w:rsid w:val="007738D3"/>
    <w:rsid w:val="007739A3"/>
    <w:rsid w:val="007739FB"/>
    <w:rsid w:val="00773BD9"/>
    <w:rsid w:val="00773CB0"/>
    <w:rsid w:val="00773D71"/>
    <w:rsid w:val="00774CA9"/>
    <w:rsid w:val="00775526"/>
    <w:rsid w:val="0077685B"/>
    <w:rsid w:val="00776B0B"/>
    <w:rsid w:val="0077765A"/>
    <w:rsid w:val="007776C5"/>
    <w:rsid w:val="00780032"/>
    <w:rsid w:val="00780636"/>
    <w:rsid w:val="00780E86"/>
    <w:rsid w:val="00781727"/>
    <w:rsid w:val="00782CF3"/>
    <w:rsid w:val="00782E69"/>
    <w:rsid w:val="007830EB"/>
    <w:rsid w:val="007836BC"/>
    <w:rsid w:val="00783959"/>
    <w:rsid w:val="007869F9"/>
    <w:rsid w:val="00786BED"/>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776"/>
    <w:rsid w:val="007939C7"/>
    <w:rsid w:val="0079460F"/>
    <w:rsid w:val="00794643"/>
    <w:rsid w:val="007946B0"/>
    <w:rsid w:val="00794C59"/>
    <w:rsid w:val="00794E46"/>
    <w:rsid w:val="007952DE"/>
    <w:rsid w:val="00795479"/>
    <w:rsid w:val="00796292"/>
    <w:rsid w:val="007965D9"/>
    <w:rsid w:val="00796FA9"/>
    <w:rsid w:val="007972D5"/>
    <w:rsid w:val="00797DD9"/>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72A"/>
    <w:rsid w:val="007A5950"/>
    <w:rsid w:val="007A633F"/>
    <w:rsid w:val="007A6D91"/>
    <w:rsid w:val="007A7618"/>
    <w:rsid w:val="007A7823"/>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72"/>
    <w:rsid w:val="007C3590"/>
    <w:rsid w:val="007C387A"/>
    <w:rsid w:val="007C43D6"/>
    <w:rsid w:val="007C47FF"/>
    <w:rsid w:val="007C57D9"/>
    <w:rsid w:val="007C660F"/>
    <w:rsid w:val="007C6664"/>
    <w:rsid w:val="007C69AE"/>
    <w:rsid w:val="007C6CEF"/>
    <w:rsid w:val="007C6E23"/>
    <w:rsid w:val="007C6FE9"/>
    <w:rsid w:val="007C7688"/>
    <w:rsid w:val="007C76E3"/>
    <w:rsid w:val="007C7AF2"/>
    <w:rsid w:val="007C7DD9"/>
    <w:rsid w:val="007D0DC9"/>
    <w:rsid w:val="007D0ECD"/>
    <w:rsid w:val="007D183B"/>
    <w:rsid w:val="007D2035"/>
    <w:rsid w:val="007D2882"/>
    <w:rsid w:val="007D2C31"/>
    <w:rsid w:val="007D3D74"/>
    <w:rsid w:val="007D445F"/>
    <w:rsid w:val="007D44B4"/>
    <w:rsid w:val="007D4DED"/>
    <w:rsid w:val="007D513B"/>
    <w:rsid w:val="007D5BA2"/>
    <w:rsid w:val="007D5ED3"/>
    <w:rsid w:val="007D6FB9"/>
    <w:rsid w:val="007E0595"/>
    <w:rsid w:val="007E0A63"/>
    <w:rsid w:val="007E0C63"/>
    <w:rsid w:val="007E0E05"/>
    <w:rsid w:val="007E0F5D"/>
    <w:rsid w:val="007E1242"/>
    <w:rsid w:val="007E23A1"/>
    <w:rsid w:val="007E259F"/>
    <w:rsid w:val="007E2C23"/>
    <w:rsid w:val="007E5306"/>
    <w:rsid w:val="007E54B8"/>
    <w:rsid w:val="007E5C22"/>
    <w:rsid w:val="007E5D12"/>
    <w:rsid w:val="007E677F"/>
    <w:rsid w:val="007E6B25"/>
    <w:rsid w:val="007F0811"/>
    <w:rsid w:val="007F152D"/>
    <w:rsid w:val="007F1EB0"/>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8CB"/>
    <w:rsid w:val="00800B7F"/>
    <w:rsid w:val="00801871"/>
    <w:rsid w:val="0080348B"/>
    <w:rsid w:val="00803D82"/>
    <w:rsid w:val="00803D98"/>
    <w:rsid w:val="008052CE"/>
    <w:rsid w:val="00806CD6"/>
    <w:rsid w:val="0080705B"/>
    <w:rsid w:val="0080723C"/>
    <w:rsid w:val="00807F71"/>
    <w:rsid w:val="0081000F"/>
    <w:rsid w:val="00812257"/>
    <w:rsid w:val="00812657"/>
    <w:rsid w:val="00812A1A"/>
    <w:rsid w:val="00812DFF"/>
    <w:rsid w:val="0081302A"/>
    <w:rsid w:val="0081334D"/>
    <w:rsid w:val="0081383A"/>
    <w:rsid w:val="00814FC7"/>
    <w:rsid w:val="00815260"/>
    <w:rsid w:val="00816C4A"/>
    <w:rsid w:val="00817195"/>
    <w:rsid w:val="00817416"/>
    <w:rsid w:val="00820C4A"/>
    <w:rsid w:val="00821203"/>
    <w:rsid w:val="00821271"/>
    <w:rsid w:val="00821306"/>
    <w:rsid w:val="008213D9"/>
    <w:rsid w:val="00821D85"/>
    <w:rsid w:val="00823819"/>
    <w:rsid w:val="00823C4B"/>
    <w:rsid w:val="00823FB0"/>
    <w:rsid w:val="0082427D"/>
    <w:rsid w:val="00824AB1"/>
    <w:rsid w:val="00825086"/>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40C9"/>
    <w:rsid w:val="00844B4F"/>
    <w:rsid w:val="008451EB"/>
    <w:rsid w:val="00845EC1"/>
    <w:rsid w:val="008465B4"/>
    <w:rsid w:val="00846D25"/>
    <w:rsid w:val="00846F14"/>
    <w:rsid w:val="00850013"/>
    <w:rsid w:val="008500DD"/>
    <w:rsid w:val="00850191"/>
    <w:rsid w:val="00851773"/>
    <w:rsid w:val="00851E96"/>
    <w:rsid w:val="00852FA5"/>
    <w:rsid w:val="00853F7D"/>
    <w:rsid w:val="0085517F"/>
    <w:rsid w:val="0085562D"/>
    <w:rsid w:val="00855A78"/>
    <w:rsid w:val="00856154"/>
    <w:rsid w:val="00856286"/>
    <w:rsid w:val="0085657E"/>
    <w:rsid w:val="008576B0"/>
    <w:rsid w:val="0086003A"/>
    <w:rsid w:val="00860086"/>
    <w:rsid w:val="00860296"/>
    <w:rsid w:val="00860DA4"/>
    <w:rsid w:val="00860E97"/>
    <w:rsid w:val="00861390"/>
    <w:rsid w:val="00861814"/>
    <w:rsid w:val="00861948"/>
    <w:rsid w:val="00861D4B"/>
    <w:rsid w:val="00862011"/>
    <w:rsid w:val="00862A15"/>
    <w:rsid w:val="00862CC9"/>
    <w:rsid w:val="00862D8E"/>
    <w:rsid w:val="00862EF2"/>
    <w:rsid w:val="008641A6"/>
    <w:rsid w:val="008650A5"/>
    <w:rsid w:val="00865C3D"/>
    <w:rsid w:val="00866453"/>
    <w:rsid w:val="0086707F"/>
    <w:rsid w:val="0086734F"/>
    <w:rsid w:val="00867501"/>
    <w:rsid w:val="00867D8E"/>
    <w:rsid w:val="008700C0"/>
    <w:rsid w:val="0087099A"/>
    <w:rsid w:val="00870D79"/>
    <w:rsid w:val="00871333"/>
    <w:rsid w:val="00872386"/>
    <w:rsid w:val="008726D7"/>
    <w:rsid w:val="00873128"/>
    <w:rsid w:val="008735BC"/>
    <w:rsid w:val="008737A8"/>
    <w:rsid w:val="00873AAC"/>
    <w:rsid w:val="00873C61"/>
    <w:rsid w:val="00873DFD"/>
    <w:rsid w:val="008745D9"/>
    <w:rsid w:val="008749BF"/>
    <w:rsid w:val="00874BAB"/>
    <w:rsid w:val="00875542"/>
    <w:rsid w:val="00875E14"/>
    <w:rsid w:val="008764B2"/>
    <w:rsid w:val="0087677E"/>
    <w:rsid w:val="0087712C"/>
    <w:rsid w:val="00877429"/>
    <w:rsid w:val="00877C5D"/>
    <w:rsid w:val="0088093C"/>
    <w:rsid w:val="00880BC0"/>
    <w:rsid w:val="00881D59"/>
    <w:rsid w:val="008825D5"/>
    <w:rsid w:val="00883BF9"/>
    <w:rsid w:val="00883E75"/>
    <w:rsid w:val="00884371"/>
    <w:rsid w:val="0088452F"/>
    <w:rsid w:val="00884B7A"/>
    <w:rsid w:val="00884D47"/>
    <w:rsid w:val="00886AFE"/>
    <w:rsid w:val="00887392"/>
    <w:rsid w:val="00890C40"/>
    <w:rsid w:val="008912A7"/>
    <w:rsid w:val="0089183A"/>
    <w:rsid w:val="008920B4"/>
    <w:rsid w:val="008925EB"/>
    <w:rsid w:val="00893104"/>
    <w:rsid w:val="00893432"/>
    <w:rsid w:val="00893936"/>
    <w:rsid w:val="00893CE2"/>
    <w:rsid w:val="00893F41"/>
    <w:rsid w:val="00895144"/>
    <w:rsid w:val="0089594D"/>
    <w:rsid w:val="008972B6"/>
    <w:rsid w:val="00897339"/>
    <w:rsid w:val="00897697"/>
    <w:rsid w:val="008977E1"/>
    <w:rsid w:val="008A0044"/>
    <w:rsid w:val="008A0BFE"/>
    <w:rsid w:val="008A1932"/>
    <w:rsid w:val="008A2020"/>
    <w:rsid w:val="008A21D9"/>
    <w:rsid w:val="008A26A5"/>
    <w:rsid w:val="008A2A95"/>
    <w:rsid w:val="008A3182"/>
    <w:rsid w:val="008A3D54"/>
    <w:rsid w:val="008A411C"/>
    <w:rsid w:val="008A47CE"/>
    <w:rsid w:val="008A4D74"/>
    <w:rsid w:val="008A5933"/>
    <w:rsid w:val="008A5F2F"/>
    <w:rsid w:val="008A668F"/>
    <w:rsid w:val="008A6BAE"/>
    <w:rsid w:val="008A7350"/>
    <w:rsid w:val="008A7A72"/>
    <w:rsid w:val="008B050B"/>
    <w:rsid w:val="008B09F3"/>
    <w:rsid w:val="008B12BE"/>
    <w:rsid w:val="008B16E6"/>
    <w:rsid w:val="008B1AB2"/>
    <w:rsid w:val="008B1D9B"/>
    <w:rsid w:val="008B2042"/>
    <w:rsid w:val="008B234E"/>
    <w:rsid w:val="008B25F1"/>
    <w:rsid w:val="008B32C9"/>
    <w:rsid w:val="008B3567"/>
    <w:rsid w:val="008B36D0"/>
    <w:rsid w:val="008B38AF"/>
    <w:rsid w:val="008B3E1B"/>
    <w:rsid w:val="008B3F4B"/>
    <w:rsid w:val="008B3F4E"/>
    <w:rsid w:val="008B48EC"/>
    <w:rsid w:val="008B518E"/>
    <w:rsid w:val="008B69B8"/>
    <w:rsid w:val="008B7042"/>
    <w:rsid w:val="008B707B"/>
    <w:rsid w:val="008B7271"/>
    <w:rsid w:val="008C094A"/>
    <w:rsid w:val="008C0A5B"/>
    <w:rsid w:val="008C1570"/>
    <w:rsid w:val="008C1E3E"/>
    <w:rsid w:val="008C2059"/>
    <w:rsid w:val="008C2DBC"/>
    <w:rsid w:val="008C4969"/>
    <w:rsid w:val="008C561E"/>
    <w:rsid w:val="008C65F4"/>
    <w:rsid w:val="008C6683"/>
    <w:rsid w:val="008C7273"/>
    <w:rsid w:val="008C7C51"/>
    <w:rsid w:val="008D0E65"/>
    <w:rsid w:val="008D110A"/>
    <w:rsid w:val="008D1612"/>
    <w:rsid w:val="008D1E6A"/>
    <w:rsid w:val="008D2259"/>
    <w:rsid w:val="008D313A"/>
    <w:rsid w:val="008D3157"/>
    <w:rsid w:val="008D3381"/>
    <w:rsid w:val="008D33FE"/>
    <w:rsid w:val="008D3B9F"/>
    <w:rsid w:val="008D3D02"/>
    <w:rsid w:val="008D4226"/>
    <w:rsid w:val="008D4ACA"/>
    <w:rsid w:val="008D54C0"/>
    <w:rsid w:val="008D5ED9"/>
    <w:rsid w:val="008D7567"/>
    <w:rsid w:val="008D7640"/>
    <w:rsid w:val="008E0E86"/>
    <w:rsid w:val="008E0EE4"/>
    <w:rsid w:val="008E1C24"/>
    <w:rsid w:val="008E2626"/>
    <w:rsid w:val="008E27A9"/>
    <w:rsid w:val="008E323C"/>
    <w:rsid w:val="008E35A6"/>
    <w:rsid w:val="008E36D9"/>
    <w:rsid w:val="008E3A5C"/>
    <w:rsid w:val="008E3A9A"/>
    <w:rsid w:val="008E429E"/>
    <w:rsid w:val="008E4412"/>
    <w:rsid w:val="008E4436"/>
    <w:rsid w:val="008E5938"/>
    <w:rsid w:val="008E5D2F"/>
    <w:rsid w:val="008F1D99"/>
    <w:rsid w:val="008F1E3D"/>
    <w:rsid w:val="008F2F11"/>
    <w:rsid w:val="008F33A6"/>
    <w:rsid w:val="008F35EC"/>
    <w:rsid w:val="008F4FE8"/>
    <w:rsid w:val="008F4FED"/>
    <w:rsid w:val="008F5AAB"/>
    <w:rsid w:val="008F6200"/>
    <w:rsid w:val="008F62F8"/>
    <w:rsid w:val="008F6893"/>
    <w:rsid w:val="008F7292"/>
    <w:rsid w:val="009000F2"/>
    <w:rsid w:val="009000F6"/>
    <w:rsid w:val="0090079D"/>
    <w:rsid w:val="0090086A"/>
    <w:rsid w:val="00900D2C"/>
    <w:rsid w:val="00901807"/>
    <w:rsid w:val="00901945"/>
    <w:rsid w:val="00901F0E"/>
    <w:rsid w:val="0090274F"/>
    <w:rsid w:val="0090408F"/>
    <w:rsid w:val="009043B7"/>
    <w:rsid w:val="0090446A"/>
    <w:rsid w:val="00904A14"/>
    <w:rsid w:val="00904DC3"/>
    <w:rsid w:val="00905469"/>
    <w:rsid w:val="00905B0C"/>
    <w:rsid w:val="0090629C"/>
    <w:rsid w:val="00906EA2"/>
    <w:rsid w:val="00907278"/>
    <w:rsid w:val="009077DC"/>
    <w:rsid w:val="0091112B"/>
    <w:rsid w:val="009128B8"/>
    <w:rsid w:val="009131E5"/>
    <w:rsid w:val="0091472C"/>
    <w:rsid w:val="009149C2"/>
    <w:rsid w:val="00914C7F"/>
    <w:rsid w:val="00914FE8"/>
    <w:rsid w:val="00915351"/>
    <w:rsid w:val="00915679"/>
    <w:rsid w:val="009159C2"/>
    <w:rsid w:val="00916D22"/>
    <w:rsid w:val="0092077A"/>
    <w:rsid w:val="009219F3"/>
    <w:rsid w:val="00921DF4"/>
    <w:rsid w:val="009221CB"/>
    <w:rsid w:val="00922320"/>
    <w:rsid w:val="00923643"/>
    <w:rsid w:val="0092376C"/>
    <w:rsid w:val="00923E1A"/>
    <w:rsid w:val="00923E41"/>
    <w:rsid w:val="009243E5"/>
    <w:rsid w:val="0092490A"/>
    <w:rsid w:val="00924FDE"/>
    <w:rsid w:val="009251B9"/>
    <w:rsid w:val="00925A3E"/>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6EA5"/>
    <w:rsid w:val="00937114"/>
    <w:rsid w:val="0094015D"/>
    <w:rsid w:val="00941182"/>
    <w:rsid w:val="009418D4"/>
    <w:rsid w:val="00941B13"/>
    <w:rsid w:val="009420A2"/>
    <w:rsid w:val="009441DB"/>
    <w:rsid w:val="00944834"/>
    <w:rsid w:val="00946128"/>
    <w:rsid w:val="0094633F"/>
    <w:rsid w:val="00946C46"/>
    <w:rsid w:val="009474CF"/>
    <w:rsid w:val="009475C1"/>
    <w:rsid w:val="009477CB"/>
    <w:rsid w:val="00947BA5"/>
    <w:rsid w:val="00947F8D"/>
    <w:rsid w:val="00950805"/>
    <w:rsid w:val="00950C0D"/>
    <w:rsid w:val="00950F3F"/>
    <w:rsid w:val="0095121C"/>
    <w:rsid w:val="009517E4"/>
    <w:rsid w:val="009518D4"/>
    <w:rsid w:val="009520BC"/>
    <w:rsid w:val="009521D2"/>
    <w:rsid w:val="00952403"/>
    <w:rsid w:val="00952BD8"/>
    <w:rsid w:val="00953573"/>
    <w:rsid w:val="009535D2"/>
    <w:rsid w:val="009549EF"/>
    <w:rsid w:val="00955C64"/>
    <w:rsid w:val="00956647"/>
    <w:rsid w:val="0095702E"/>
    <w:rsid w:val="00957409"/>
    <w:rsid w:val="00957499"/>
    <w:rsid w:val="00957BD6"/>
    <w:rsid w:val="00957ED2"/>
    <w:rsid w:val="00960DE4"/>
    <w:rsid w:val="00961164"/>
    <w:rsid w:val="00961A4F"/>
    <w:rsid w:val="00962B2E"/>
    <w:rsid w:val="00962FB8"/>
    <w:rsid w:val="00963413"/>
    <w:rsid w:val="0096373F"/>
    <w:rsid w:val="00963C73"/>
    <w:rsid w:val="00964007"/>
    <w:rsid w:val="009643F4"/>
    <w:rsid w:val="00964F5A"/>
    <w:rsid w:val="009653ED"/>
    <w:rsid w:val="00966AD2"/>
    <w:rsid w:val="00967867"/>
    <w:rsid w:val="00967961"/>
    <w:rsid w:val="00967A38"/>
    <w:rsid w:val="00970848"/>
    <w:rsid w:val="009716D8"/>
    <w:rsid w:val="00971D09"/>
    <w:rsid w:val="00971F54"/>
    <w:rsid w:val="00971FBF"/>
    <w:rsid w:val="00972057"/>
    <w:rsid w:val="0097227B"/>
    <w:rsid w:val="0097262E"/>
    <w:rsid w:val="0097293F"/>
    <w:rsid w:val="00974022"/>
    <w:rsid w:val="00974F00"/>
    <w:rsid w:val="0097552A"/>
    <w:rsid w:val="0097564A"/>
    <w:rsid w:val="00976BBE"/>
    <w:rsid w:val="0097741F"/>
    <w:rsid w:val="0098055B"/>
    <w:rsid w:val="009808BD"/>
    <w:rsid w:val="009810BE"/>
    <w:rsid w:val="009817BC"/>
    <w:rsid w:val="009819A7"/>
    <w:rsid w:val="0098220A"/>
    <w:rsid w:val="00983337"/>
    <w:rsid w:val="009851F5"/>
    <w:rsid w:val="0098534B"/>
    <w:rsid w:val="0098764E"/>
    <w:rsid w:val="00987826"/>
    <w:rsid w:val="009878A3"/>
    <w:rsid w:val="00987B4F"/>
    <w:rsid w:val="00987D58"/>
    <w:rsid w:val="009906D4"/>
    <w:rsid w:val="009908C8"/>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9D7"/>
    <w:rsid w:val="00996EF4"/>
    <w:rsid w:val="0099703C"/>
    <w:rsid w:val="00997044"/>
    <w:rsid w:val="00997884"/>
    <w:rsid w:val="00997BC9"/>
    <w:rsid w:val="009A1694"/>
    <w:rsid w:val="009A1F7F"/>
    <w:rsid w:val="009A2BE9"/>
    <w:rsid w:val="009A2BF3"/>
    <w:rsid w:val="009A3C3E"/>
    <w:rsid w:val="009A40F6"/>
    <w:rsid w:val="009A4C2C"/>
    <w:rsid w:val="009A520A"/>
    <w:rsid w:val="009A59B3"/>
    <w:rsid w:val="009A5F76"/>
    <w:rsid w:val="009A5FAE"/>
    <w:rsid w:val="009A74DA"/>
    <w:rsid w:val="009A7E7C"/>
    <w:rsid w:val="009B05D2"/>
    <w:rsid w:val="009B0CEE"/>
    <w:rsid w:val="009B152B"/>
    <w:rsid w:val="009B2731"/>
    <w:rsid w:val="009B28FD"/>
    <w:rsid w:val="009B2DCF"/>
    <w:rsid w:val="009B3D38"/>
    <w:rsid w:val="009B4368"/>
    <w:rsid w:val="009B494C"/>
    <w:rsid w:val="009B7505"/>
    <w:rsid w:val="009B7A74"/>
    <w:rsid w:val="009C0020"/>
    <w:rsid w:val="009C03F7"/>
    <w:rsid w:val="009C10DA"/>
    <w:rsid w:val="009C1201"/>
    <w:rsid w:val="009C17EE"/>
    <w:rsid w:val="009C19FC"/>
    <w:rsid w:val="009C22FD"/>
    <w:rsid w:val="009C27F7"/>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6875"/>
    <w:rsid w:val="009C748A"/>
    <w:rsid w:val="009C7D53"/>
    <w:rsid w:val="009C7EB3"/>
    <w:rsid w:val="009D03B7"/>
    <w:rsid w:val="009D07AD"/>
    <w:rsid w:val="009D0824"/>
    <w:rsid w:val="009D0D89"/>
    <w:rsid w:val="009D1654"/>
    <w:rsid w:val="009D1BDB"/>
    <w:rsid w:val="009D2F9C"/>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2E"/>
    <w:rsid w:val="009E19BB"/>
    <w:rsid w:val="009E1C47"/>
    <w:rsid w:val="009E2955"/>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0D3"/>
    <w:rsid w:val="009F33DC"/>
    <w:rsid w:val="009F385E"/>
    <w:rsid w:val="009F4550"/>
    <w:rsid w:val="009F56C0"/>
    <w:rsid w:val="009F5C76"/>
    <w:rsid w:val="00A007B4"/>
    <w:rsid w:val="00A00CA0"/>
    <w:rsid w:val="00A00E00"/>
    <w:rsid w:val="00A01221"/>
    <w:rsid w:val="00A012A8"/>
    <w:rsid w:val="00A016FF"/>
    <w:rsid w:val="00A0176B"/>
    <w:rsid w:val="00A0188F"/>
    <w:rsid w:val="00A0207F"/>
    <w:rsid w:val="00A021AF"/>
    <w:rsid w:val="00A044AA"/>
    <w:rsid w:val="00A052F0"/>
    <w:rsid w:val="00A06FB9"/>
    <w:rsid w:val="00A07F53"/>
    <w:rsid w:val="00A102F8"/>
    <w:rsid w:val="00A10A20"/>
    <w:rsid w:val="00A10FDE"/>
    <w:rsid w:val="00A117D5"/>
    <w:rsid w:val="00A11984"/>
    <w:rsid w:val="00A131F5"/>
    <w:rsid w:val="00A133C1"/>
    <w:rsid w:val="00A13414"/>
    <w:rsid w:val="00A13F2D"/>
    <w:rsid w:val="00A1475E"/>
    <w:rsid w:val="00A14F81"/>
    <w:rsid w:val="00A1535F"/>
    <w:rsid w:val="00A15A98"/>
    <w:rsid w:val="00A15CB1"/>
    <w:rsid w:val="00A15E84"/>
    <w:rsid w:val="00A16021"/>
    <w:rsid w:val="00A176DD"/>
    <w:rsid w:val="00A20FAD"/>
    <w:rsid w:val="00A2252B"/>
    <w:rsid w:val="00A22C3E"/>
    <w:rsid w:val="00A22C4D"/>
    <w:rsid w:val="00A23442"/>
    <w:rsid w:val="00A249D2"/>
    <w:rsid w:val="00A254AB"/>
    <w:rsid w:val="00A25674"/>
    <w:rsid w:val="00A266CC"/>
    <w:rsid w:val="00A26DB4"/>
    <w:rsid w:val="00A27425"/>
    <w:rsid w:val="00A27478"/>
    <w:rsid w:val="00A3023E"/>
    <w:rsid w:val="00A305C5"/>
    <w:rsid w:val="00A30919"/>
    <w:rsid w:val="00A31F05"/>
    <w:rsid w:val="00A31FD2"/>
    <w:rsid w:val="00A3404D"/>
    <w:rsid w:val="00A341AB"/>
    <w:rsid w:val="00A34290"/>
    <w:rsid w:val="00A355F9"/>
    <w:rsid w:val="00A35AA9"/>
    <w:rsid w:val="00A37309"/>
    <w:rsid w:val="00A37558"/>
    <w:rsid w:val="00A3786A"/>
    <w:rsid w:val="00A37C3C"/>
    <w:rsid w:val="00A4008C"/>
    <w:rsid w:val="00A402A8"/>
    <w:rsid w:val="00A40685"/>
    <w:rsid w:val="00A40E2F"/>
    <w:rsid w:val="00A41819"/>
    <w:rsid w:val="00A41C9A"/>
    <w:rsid w:val="00A41D73"/>
    <w:rsid w:val="00A429BD"/>
    <w:rsid w:val="00A433E8"/>
    <w:rsid w:val="00A43A1D"/>
    <w:rsid w:val="00A44854"/>
    <w:rsid w:val="00A44A45"/>
    <w:rsid w:val="00A46859"/>
    <w:rsid w:val="00A46D39"/>
    <w:rsid w:val="00A472B8"/>
    <w:rsid w:val="00A5004A"/>
    <w:rsid w:val="00A502F5"/>
    <w:rsid w:val="00A504F4"/>
    <w:rsid w:val="00A508AA"/>
    <w:rsid w:val="00A526CE"/>
    <w:rsid w:val="00A52A11"/>
    <w:rsid w:val="00A53B6E"/>
    <w:rsid w:val="00A5416E"/>
    <w:rsid w:val="00A54DC0"/>
    <w:rsid w:val="00A550C9"/>
    <w:rsid w:val="00A55228"/>
    <w:rsid w:val="00A55A04"/>
    <w:rsid w:val="00A55B20"/>
    <w:rsid w:val="00A564DE"/>
    <w:rsid w:val="00A604EC"/>
    <w:rsid w:val="00A6054E"/>
    <w:rsid w:val="00A60799"/>
    <w:rsid w:val="00A61B7F"/>
    <w:rsid w:val="00A61B91"/>
    <w:rsid w:val="00A62666"/>
    <w:rsid w:val="00A629CA"/>
    <w:rsid w:val="00A63016"/>
    <w:rsid w:val="00A63335"/>
    <w:rsid w:val="00A63685"/>
    <w:rsid w:val="00A642E7"/>
    <w:rsid w:val="00A645AC"/>
    <w:rsid w:val="00A64CC1"/>
    <w:rsid w:val="00A64FB2"/>
    <w:rsid w:val="00A65EFB"/>
    <w:rsid w:val="00A66E28"/>
    <w:rsid w:val="00A67CE9"/>
    <w:rsid w:val="00A67EC6"/>
    <w:rsid w:val="00A70590"/>
    <w:rsid w:val="00A7062E"/>
    <w:rsid w:val="00A70834"/>
    <w:rsid w:val="00A70923"/>
    <w:rsid w:val="00A71542"/>
    <w:rsid w:val="00A71FA0"/>
    <w:rsid w:val="00A7204B"/>
    <w:rsid w:val="00A720B1"/>
    <w:rsid w:val="00A72727"/>
    <w:rsid w:val="00A72C1A"/>
    <w:rsid w:val="00A7463E"/>
    <w:rsid w:val="00A750F3"/>
    <w:rsid w:val="00A758E2"/>
    <w:rsid w:val="00A765B1"/>
    <w:rsid w:val="00A76A44"/>
    <w:rsid w:val="00A772F2"/>
    <w:rsid w:val="00A77828"/>
    <w:rsid w:val="00A77C72"/>
    <w:rsid w:val="00A80089"/>
    <w:rsid w:val="00A800F9"/>
    <w:rsid w:val="00A8073D"/>
    <w:rsid w:val="00A80D02"/>
    <w:rsid w:val="00A82D32"/>
    <w:rsid w:val="00A82EAE"/>
    <w:rsid w:val="00A846A0"/>
    <w:rsid w:val="00A847F9"/>
    <w:rsid w:val="00A849F6"/>
    <w:rsid w:val="00A84F27"/>
    <w:rsid w:val="00A8519C"/>
    <w:rsid w:val="00A85F83"/>
    <w:rsid w:val="00A86019"/>
    <w:rsid w:val="00A86EED"/>
    <w:rsid w:val="00A8733A"/>
    <w:rsid w:val="00A87E58"/>
    <w:rsid w:val="00A9002A"/>
    <w:rsid w:val="00A9196B"/>
    <w:rsid w:val="00A91BEE"/>
    <w:rsid w:val="00A91D4B"/>
    <w:rsid w:val="00A920B2"/>
    <w:rsid w:val="00A92675"/>
    <w:rsid w:val="00A92A96"/>
    <w:rsid w:val="00A92AF0"/>
    <w:rsid w:val="00A933FE"/>
    <w:rsid w:val="00A937D5"/>
    <w:rsid w:val="00A93C70"/>
    <w:rsid w:val="00A93F07"/>
    <w:rsid w:val="00A94A32"/>
    <w:rsid w:val="00A94AFC"/>
    <w:rsid w:val="00A95ECE"/>
    <w:rsid w:val="00A96B4A"/>
    <w:rsid w:val="00A96B65"/>
    <w:rsid w:val="00A971BB"/>
    <w:rsid w:val="00A979AD"/>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8DC"/>
    <w:rsid w:val="00AA5A5C"/>
    <w:rsid w:val="00AA5A6F"/>
    <w:rsid w:val="00AA5D94"/>
    <w:rsid w:val="00AA60A5"/>
    <w:rsid w:val="00AA6B01"/>
    <w:rsid w:val="00AA6F6C"/>
    <w:rsid w:val="00AA73DF"/>
    <w:rsid w:val="00AA7519"/>
    <w:rsid w:val="00AA790A"/>
    <w:rsid w:val="00AB02EA"/>
    <w:rsid w:val="00AB110C"/>
    <w:rsid w:val="00AB227A"/>
    <w:rsid w:val="00AB22BF"/>
    <w:rsid w:val="00AB256E"/>
    <w:rsid w:val="00AB2B1A"/>
    <w:rsid w:val="00AB3466"/>
    <w:rsid w:val="00AB3BBB"/>
    <w:rsid w:val="00AB3CDF"/>
    <w:rsid w:val="00AB406A"/>
    <w:rsid w:val="00AB408C"/>
    <w:rsid w:val="00AB4E41"/>
    <w:rsid w:val="00AB5EB1"/>
    <w:rsid w:val="00AB6003"/>
    <w:rsid w:val="00AB6A58"/>
    <w:rsid w:val="00AB7285"/>
    <w:rsid w:val="00AB759A"/>
    <w:rsid w:val="00AB7B06"/>
    <w:rsid w:val="00AB7EAA"/>
    <w:rsid w:val="00AC0432"/>
    <w:rsid w:val="00AC0770"/>
    <w:rsid w:val="00AC1683"/>
    <w:rsid w:val="00AC1D82"/>
    <w:rsid w:val="00AC4094"/>
    <w:rsid w:val="00AC42B6"/>
    <w:rsid w:val="00AC4AB7"/>
    <w:rsid w:val="00AC4FCA"/>
    <w:rsid w:val="00AC5859"/>
    <w:rsid w:val="00AC5C9B"/>
    <w:rsid w:val="00AC6225"/>
    <w:rsid w:val="00AC6D24"/>
    <w:rsid w:val="00AD095A"/>
    <w:rsid w:val="00AD1065"/>
    <w:rsid w:val="00AD2270"/>
    <w:rsid w:val="00AD2771"/>
    <w:rsid w:val="00AD291B"/>
    <w:rsid w:val="00AD39C8"/>
    <w:rsid w:val="00AD3DA6"/>
    <w:rsid w:val="00AD3F3C"/>
    <w:rsid w:val="00AD41BA"/>
    <w:rsid w:val="00AD4B2F"/>
    <w:rsid w:val="00AD5F0A"/>
    <w:rsid w:val="00AD6B4F"/>
    <w:rsid w:val="00AD7812"/>
    <w:rsid w:val="00AD7C42"/>
    <w:rsid w:val="00AD7CFA"/>
    <w:rsid w:val="00AD7EC8"/>
    <w:rsid w:val="00AE0BD6"/>
    <w:rsid w:val="00AE11C1"/>
    <w:rsid w:val="00AE163D"/>
    <w:rsid w:val="00AE1C5C"/>
    <w:rsid w:val="00AE2219"/>
    <w:rsid w:val="00AE312B"/>
    <w:rsid w:val="00AE315E"/>
    <w:rsid w:val="00AE319F"/>
    <w:rsid w:val="00AE31D9"/>
    <w:rsid w:val="00AE3792"/>
    <w:rsid w:val="00AE3CF0"/>
    <w:rsid w:val="00AE4B2C"/>
    <w:rsid w:val="00AE71EE"/>
    <w:rsid w:val="00AE75AC"/>
    <w:rsid w:val="00AE7FD3"/>
    <w:rsid w:val="00AF03CF"/>
    <w:rsid w:val="00AF0A0A"/>
    <w:rsid w:val="00AF1473"/>
    <w:rsid w:val="00AF14FC"/>
    <w:rsid w:val="00AF1629"/>
    <w:rsid w:val="00AF1ED2"/>
    <w:rsid w:val="00AF1F4E"/>
    <w:rsid w:val="00AF3557"/>
    <w:rsid w:val="00AF383C"/>
    <w:rsid w:val="00AF3E33"/>
    <w:rsid w:val="00AF3F86"/>
    <w:rsid w:val="00AF440D"/>
    <w:rsid w:val="00AF4CEE"/>
    <w:rsid w:val="00AF4F2A"/>
    <w:rsid w:val="00AF5364"/>
    <w:rsid w:val="00AF584C"/>
    <w:rsid w:val="00AF5D84"/>
    <w:rsid w:val="00AF669D"/>
    <w:rsid w:val="00AF672C"/>
    <w:rsid w:val="00AF7389"/>
    <w:rsid w:val="00AF7C37"/>
    <w:rsid w:val="00B00378"/>
    <w:rsid w:val="00B00D91"/>
    <w:rsid w:val="00B00E84"/>
    <w:rsid w:val="00B012A0"/>
    <w:rsid w:val="00B01FE4"/>
    <w:rsid w:val="00B02B5F"/>
    <w:rsid w:val="00B038F1"/>
    <w:rsid w:val="00B03C1B"/>
    <w:rsid w:val="00B04678"/>
    <w:rsid w:val="00B04A04"/>
    <w:rsid w:val="00B04C37"/>
    <w:rsid w:val="00B04F00"/>
    <w:rsid w:val="00B05BA6"/>
    <w:rsid w:val="00B066FE"/>
    <w:rsid w:val="00B06912"/>
    <w:rsid w:val="00B06B3B"/>
    <w:rsid w:val="00B10B04"/>
    <w:rsid w:val="00B10CC6"/>
    <w:rsid w:val="00B11A61"/>
    <w:rsid w:val="00B12082"/>
    <w:rsid w:val="00B1278A"/>
    <w:rsid w:val="00B13389"/>
    <w:rsid w:val="00B1364C"/>
    <w:rsid w:val="00B141A5"/>
    <w:rsid w:val="00B14344"/>
    <w:rsid w:val="00B15286"/>
    <w:rsid w:val="00B1550D"/>
    <w:rsid w:val="00B159C0"/>
    <w:rsid w:val="00B15F6C"/>
    <w:rsid w:val="00B163E8"/>
    <w:rsid w:val="00B1666C"/>
    <w:rsid w:val="00B175F7"/>
    <w:rsid w:val="00B1767E"/>
    <w:rsid w:val="00B20760"/>
    <w:rsid w:val="00B20C4A"/>
    <w:rsid w:val="00B21676"/>
    <w:rsid w:val="00B219E1"/>
    <w:rsid w:val="00B22150"/>
    <w:rsid w:val="00B22401"/>
    <w:rsid w:val="00B226DE"/>
    <w:rsid w:val="00B22F1A"/>
    <w:rsid w:val="00B236D3"/>
    <w:rsid w:val="00B239CD"/>
    <w:rsid w:val="00B241D5"/>
    <w:rsid w:val="00B24BE9"/>
    <w:rsid w:val="00B25956"/>
    <w:rsid w:val="00B25F8C"/>
    <w:rsid w:val="00B260BE"/>
    <w:rsid w:val="00B26677"/>
    <w:rsid w:val="00B269D0"/>
    <w:rsid w:val="00B26A96"/>
    <w:rsid w:val="00B274E3"/>
    <w:rsid w:val="00B2765C"/>
    <w:rsid w:val="00B27C4B"/>
    <w:rsid w:val="00B30563"/>
    <w:rsid w:val="00B30A76"/>
    <w:rsid w:val="00B32295"/>
    <w:rsid w:val="00B32A42"/>
    <w:rsid w:val="00B33024"/>
    <w:rsid w:val="00B33AB5"/>
    <w:rsid w:val="00B33C55"/>
    <w:rsid w:val="00B3412E"/>
    <w:rsid w:val="00B34F0B"/>
    <w:rsid w:val="00B36241"/>
    <w:rsid w:val="00B367C4"/>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0CDB"/>
    <w:rsid w:val="00B51520"/>
    <w:rsid w:val="00B515C3"/>
    <w:rsid w:val="00B517C2"/>
    <w:rsid w:val="00B518CE"/>
    <w:rsid w:val="00B51F56"/>
    <w:rsid w:val="00B52234"/>
    <w:rsid w:val="00B53623"/>
    <w:rsid w:val="00B53D1D"/>
    <w:rsid w:val="00B53E7A"/>
    <w:rsid w:val="00B53E98"/>
    <w:rsid w:val="00B53F9B"/>
    <w:rsid w:val="00B55F64"/>
    <w:rsid w:val="00B56ECA"/>
    <w:rsid w:val="00B57093"/>
    <w:rsid w:val="00B60613"/>
    <w:rsid w:val="00B611E8"/>
    <w:rsid w:val="00B61AEC"/>
    <w:rsid w:val="00B62B7B"/>
    <w:rsid w:val="00B63816"/>
    <w:rsid w:val="00B63EF6"/>
    <w:rsid w:val="00B6440A"/>
    <w:rsid w:val="00B64BF3"/>
    <w:rsid w:val="00B65042"/>
    <w:rsid w:val="00B6560D"/>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443A"/>
    <w:rsid w:val="00B86289"/>
    <w:rsid w:val="00B863B3"/>
    <w:rsid w:val="00B869D3"/>
    <w:rsid w:val="00B86E44"/>
    <w:rsid w:val="00B87359"/>
    <w:rsid w:val="00B87F1C"/>
    <w:rsid w:val="00B90D8D"/>
    <w:rsid w:val="00B91263"/>
    <w:rsid w:val="00B91B61"/>
    <w:rsid w:val="00B92CF3"/>
    <w:rsid w:val="00B931C9"/>
    <w:rsid w:val="00B93849"/>
    <w:rsid w:val="00B938BD"/>
    <w:rsid w:val="00B93BC4"/>
    <w:rsid w:val="00B9407F"/>
    <w:rsid w:val="00B944E9"/>
    <w:rsid w:val="00B94896"/>
    <w:rsid w:val="00B94CDD"/>
    <w:rsid w:val="00B95A87"/>
    <w:rsid w:val="00B96DD9"/>
    <w:rsid w:val="00B97909"/>
    <w:rsid w:val="00BA14B2"/>
    <w:rsid w:val="00BA15DC"/>
    <w:rsid w:val="00BA2220"/>
    <w:rsid w:val="00BA27AB"/>
    <w:rsid w:val="00BA2C82"/>
    <w:rsid w:val="00BA5039"/>
    <w:rsid w:val="00BA583B"/>
    <w:rsid w:val="00BA5EC7"/>
    <w:rsid w:val="00BA6319"/>
    <w:rsid w:val="00BA63CE"/>
    <w:rsid w:val="00BA676E"/>
    <w:rsid w:val="00BA7227"/>
    <w:rsid w:val="00BA763C"/>
    <w:rsid w:val="00BA78B7"/>
    <w:rsid w:val="00BA7CD7"/>
    <w:rsid w:val="00BB00E5"/>
    <w:rsid w:val="00BB0E7C"/>
    <w:rsid w:val="00BB1087"/>
    <w:rsid w:val="00BB20B2"/>
    <w:rsid w:val="00BB2ACE"/>
    <w:rsid w:val="00BB2E4E"/>
    <w:rsid w:val="00BB2E62"/>
    <w:rsid w:val="00BB36C9"/>
    <w:rsid w:val="00BB5259"/>
    <w:rsid w:val="00BB5A85"/>
    <w:rsid w:val="00BB7EC0"/>
    <w:rsid w:val="00BC0207"/>
    <w:rsid w:val="00BC0A5A"/>
    <w:rsid w:val="00BC0E64"/>
    <w:rsid w:val="00BC112A"/>
    <w:rsid w:val="00BC2293"/>
    <w:rsid w:val="00BC25D1"/>
    <w:rsid w:val="00BC3BCB"/>
    <w:rsid w:val="00BC428A"/>
    <w:rsid w:val="00BC4B53"/>
    <w:rsid w:val="00BC4C40"/>
    <w:rsid w:val="00BC5981"/>
    <w:rsid w:val="00BC5AE3"/>
    <w:rsid w:val="00BC5BAD"/>
    <w:rsid w:val="00BC76C5"/>
    <w:rsid w:val="00BC774F"/>
    <w:rsid w:val="00BD138A"/>
    <w:rsid w:val="00BD14D3"/>
    <w:rsid w:val="00BD164A"/>
    <w:rsid w:val="00BD1BDD"/>
    <w:rsid w:val="00BD1D40"/>
    <w:rsid w:val="00BD1D7D"/>
    <w:rsid w:val="00BD2B4D"/>
    <w:rsid w:val="00BD2F08"/>
    <w:rsid w:val="00BD2FB9"/>
    <w:rsid w:val="00BD31C2"/>
    <w:rsid w:val="00BD3683"/>
    <w:rsid w:val="00BD450A"/>
    <w:rsid w:val="00BD4717"/>
    <w:rsid w:val="00BD4843"/>
    <w:rsid w:val="00BD48EA"/>
    <w:rsid w:val="00BD4BA8"/>
    <w:rsid w:val="00BD58A0"/>
    <w:rsid w:val="00BD59B3"/>
    <w:rsid w:val="00BD62E6"/>
    <w:rsid w:val="00BD6B0E"/>
    <w:rsid w:val="00BD7050"/>
    <w:rsid w:val="00BD720A"/>
    <w:rsid w:val="00BD7941"/>
    <w:rsid w:val="00BE0717"/>
    <w:rsid w:val="00BE0C55"/>
    <w:rsid w:val="00BE11A2"/>
    <w:rsid w:val="00BE246C"/>
    <w:rsid w:val="00BE2657"/>
    <w:rsid w:val="00BE2B83"/>
    <w:rsid w:val="00BE314D"/>
    <w:rsid w:val="00BE37AE"/>
    <w:rsid w:val="00BE3B14"/>
    <w:rsid w:val="00BE3C65"/>
    <w:rsid w:val="00BE400D"/>
    <w:rsid w:val="00BE472D"/>
    <w:rsid w:val="00BE7F4D"/>
    <w:rsid w:val="00BF03C0"/>
    <w:rsid w:val="00BF0608"/>
    <w:rsid w:val="00BF0EBF"/>
    <w:rsid w:val="00BF21D4"/>
    <w:rsid w:val="00BF2DDC"/>
    <w:rsid w:val="00BF3D30"/>
    <w:rsid w:val="00BF4A15"/>
    <w:rsid w:val="00BF4DAE"/>
    <w:rsid w:val="00BF4E0E"/>
    <w:rsid w:val="00BF4E27"/>
    <w:rsid w:val="00BF537B"/>
    <w:rsid w:val="00BF5E2F"/>
    <w:rsid w:val="00BF626A"/>
    <w:rsid w:val="00BF6D77"/>
    <w:rsid w:val="00BF7EF5"/>
    <w:rsid w:val="00C01668"/>
    <w:rsid w:val="00C018E2"/>
    <w:rsid w:val="00C02C30"/>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2ECB"/>
    <w:rsid w:val="00C14229"/>
    <w:rsid w:val="00C148B2"/>
    <w:rsid w:val="00C14ABD"/>
    <w:rsid w:val="00C151E0"/>
    <w:rsid w:val="00C15B31"/>
    <w:rsid w:val="00C166D4"/>
    <w:rsid w:val="00C168E5"/>
    <w:rsid w:val="00C1696D"/>
    <w:rsid w:val="00C17AB5"/>
    <w:rsid w:val="00C17E3F"/>
    <w:rsid w:val="00C20051"/>
    <w:rsid w:val="00C20472"/>
    <w:rsid w:val="00C20B86"/>
    <w:rsid w:val="00C20E9A"/>
    <w:rsid w:val="00C21145"/>
    <w:rsid w:val="00C235A2"/>
    <w:rsid w:val="00C23615"/>
    <w:rsid w:val="00C23633"/>
    <w:rsid w:val="00C2397E"/>
    <w:rsid w:val="00C23A83"/>
    <w:rsid w:val="00C24381"/>
    <w:rsid w:val="00C243FD"/>
    <w:rsid w:val="00C24C2E"/>
    <w:rsid w:val="00C24C7A"/>
    <w:rsid w:val="00C24FFB"/>
    <w:rsid w:val="00C25C71"/>
    <w:rsid w:val="00C25CDC"/>
    <w:rsid w:val="00C25CFF"/>
    <w:rsid w:val="00C25EA6"/>
    <w:rsid w:val="00C261C1"/>
    <w:rsid w:val="00C26DBF"/>
    <w:rsid w:val="00C26F6F"/>
    <w:rsid w:val="00C30B0B"/>
    <w:rsid w:val="00C316B4"/>
    <w:rsid w:val="00C332D4"/>
    <w:rsid w:val="00C33E51"/>
    <w:rsid w:val="00C33EF8"/>
    <w:rsid w:val="00C34A50"/>
    <w:rsid w:val="00C34C45"/>
    <w:rsid w:val="00C34C47"/>
    <w:rsid w:val="00C3701A"/>
    <w:rsid w:val="00C405C8"/>
    <w:rsid w:val="00C40C2F"/>
    <w:rsid w:val="00C415AC"/>
    <w:rsid w:val="00C41BD4"/>
    <w:rsid w:val="00C4297A"/>
    <w:rsid w:val="00C42B6A"/>
    <w:rsid w:val="00C4360C"/>
    <w:rsid w:val="00C43A0B"/>
    <w:rsid w:val="00C43EDA"/>
    <w:rsid w:val="00C4414C"/>
    <w:rsid w:val="00C44606"/>
    <w:rsid w:val="00C45512"/>
    <w:rsid w:val="00C4602B"/>
    <w:rsid w:val="00C46564"/>
    <w:rsid w:val="00C46639"/>
    <w:rsid w:val="00C46762"/>
    <w:rsid w:val="00C47203"/>
    <w:rsid w:val="00C50A02"/>
    <w:rsid w:val="00C51149"/>
    <w:rsid w:val="00C5117E"/>
    <w:rsid w:val="00C512D1"/>
    <w:rsid w:val="00C5179D"/>
    <w:rsid w:val="00C51856"/>
    <w:rsid w:val="00C51AB9"/>
    <w:rsid w:val="00C51B04"/>
    <w:rsid w:val="00C5221C"/>
    <w:rsid w:val="00C52913"/>
    <w:rsid w:val="00C52EE9"/>
    <w:rsid w:val="00C53CE9"/>
    <w:rsid w:val="00C54749"/>
    <w:rsid w:val="00C54F07"/>
    <w:rsid w:val="00C5531B"/>
    <w:rsid w:val="00C55375"/>
    <w:rsid w:val="00C5685E"/>
    <w:rsid w:val="00C56906"/>
    <w:rsid w:val="00C56C98"/>
    <w:rsid w:val="00C56DEE"/>
    <w:rsid w:val="00C57120"/>
    <w:rsid w:val="00C571D5"/>
    <w:rsid w:val="00C575D4"/>
    <w:rsid w:val="00C5779D"/>
    <w:rsid w:val="00C6029A"/>
    <w:rsid w:val="00C6044C"/>
    <w:rsid w:val="00C61223"/>
    <w:rsid w:val="00C61246"/>
    <w:rsid w:val="00C61460"/>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0FF3"/>
    <w:rsid w:val="00C71528"/>
    <w:rsid w:val="00C71CF4"/>
    <w:rsid w:val="00C71F09"/>
    <w:rsid w:val="00C72588"/>
    <w:rsid w:val="00C727B9"/>
    <w:rsid w:val="00C73670"/>
    <w:rsid w:val="00C737D1"/>
    <w:rsid w:val="00C739F6"/>
    <w:rsid w:val="00C73DE0"/>
    <w:rsid w:val="00C74609"/>
    <w:rsid w:val="00C749AB"/>
    <w:rsid w:val="00C75A8F"/>
    <w:rsid w:val="00C75E18"/>
    <w:rsid w:val="00C76C0C"/>
    <w:rsid w:val="00C776BA"/>
    <w:rsid w:val="00C776CE"/>
    <w:rsid w:val="00C77E23"/>
    <w:rsid w:val="00C81716"/>
    <w:rsid w:val="00C81FE1"/>
    <w:rsid w:val="00C832CB"/>
    <w:rsid w:val="00C84085"/>
    <w:rsid w:val="00C840E0"/>
    <w:rsid w:val="00C85E17"/>
    <w:rsid w:val="00C868A7"/>
    <w:rsid w:val="00C87164"/>
    <w:rsid w:val="00C87BD0"/>
    <w:rsid w:val="00C905E5"/>
    <w:rsid w:val="00C90754"/>
    <w:rsid w:val="00C90B95"/>
    <w:rsid w:val="00C90BC4"/>
    <w:rsid w:val="00C90CA9"/>
    <w:rsid w:val="00C90E2C"/>
    <w:rsid w:val="00C92E41"/>
    <w:rsid w:val="00C92F62"/>
    <w:rsid w:val="00C93097"/>
    <w:rsid w:val="00C93B40"/>
    <w:rsid w:val="00C93DB5"/>
    <w:rsid w:val="00C94CB9"/>
    <w:rsid w:val="00C94F2B"/>
    <w:rsid w:val="00C95C2F"/>
    <w:rsid w:val="00C95F87"/>
    <w:rsid w:val="00C968EF"/>
    <w:rsid w:val="00CA0492"/>
    <w:rsid w:val="00CA0A04"/>
    <w:rsid w:val="00CA2528"/>
    <w:rsid w:val="00CA3232"/>
    <w:rsid w:val="00CA3A65"/>
    <w:rsid w:val="00CA3CAB"/>
    <w:rsid w:val="00CA3FC0"/>
    <w:rsid w:val="00CA46E9"/>
    <w:rsid w:val="00CA6A2E"/>
    <w:rsid w:val="00CA7809"/>
    <w:rsid w:val="00CA78EB"/>
    <w:rsid w:val="00CA7D3E"/>
    <w:rsid w:val="00CB0317"/>
    <w:rsid w:val="00CB0662"/>
    <w:rsid w:val="00CB0A82"/>
    <w:rsid w:val="00CB0F2F"/>
    <w:rsid w:val="00CB1556"/>
    <w:rsid w:val="00CB1A02"/>
    <w:rsid w:val="00CB2913"/>
    <w:rsid w:val="00CB3970"/>
    <w:rsid w:val="00CB3F63"/>
    <w:rsid w:val="00CB42B9"/>
    <w:rsid w:val="00CB4363"/>
    <w:rsid w:val="00CB4F39"/>
    <w:rsid w:val="00CB52A4"/>
    <w:rsid w:val="00CB537C"/>
    <w:rsid w:val="00CB547F"/>
    <w:rsid w:val="00CB5A26"/>
    <w:rsid w:val="00CB645B"/>
    <w:rsid w:val="00CB6A93"/>
    <w:rsid w:val="00CB7173"/>
    <w:rsid w:val="00CB77C3"/>
    <w:rsid w:val="00CB7E9C"/>
    <w:rsid w:val="00CB7F06"/>
    <w:rsid w:val="00CC0072"/>
    <w:rsid w:val="00CC0915"/>
    <w:rsid w:val="00CC1AF5"/>
    <w:rsid w:val="00CC1B74"/>
    <w:rsid w:val="00CC1EFF"/>
    <w:rsid w:val="00CC283D"/>
    <w:rsid w:val="00CC291E"/>
    <w:rsid w:val="00CC2D03"/>
    <w:rsid w:val="00CC2EB0"/>
    <w:rsid w:val="00CC3A4B"/>
    <w:rsid w:val="00CC4675"/>
    <w:rsid w:val="00CC4701"/>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6CA3"/>
    <w:rsid w:val="00CD70DB"/>
    <w:rsid w:val="00CD7412"/>
    <w:rsid w:val="00CD7544"/>
    <w:rsid w:val="00CD78D4"/>
    <w:rsid w:val="00CE0697"/>
    <w:rsid w:val="00CE0ECB"/>
    <w:rsid w:val="00CE2E2E"/>
    <w:rsid w:val="00CE3A51"/>
    <w:rsid w:val="00CE41F9"/>
    <w:rsid w:val="00CE4ED0"/>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6B9"/>
    <w:rsid w:val="00CF475F"/>
    <w:rsid w:val="00CF5008"/>
    <w:rsid w:val="00CF5069"/>
    <w:rsid w:val="00CF56B1"/>
    <w:rsid w:val="00CF5E34"/>
    <w:rsid w:val="00CF7385"/>
    <w:rsid w:val="00CF7B77"/>
    <w:rsid w:val="00CF7DF5"/>
    <w:rsid w:val="00D01897"/>
    <w:rsid w:val="00D01C22"/>
    <w:rsid w:val="00D0352D"/>
    <w:rsid w:val="00D03F7C"/>
    <w:rsid w:val="00D04406"/>
    <w:rsid w:val="00D0480C"/>
    <w:rsid w:val="00D04F01"/>
    <w:rsid w:val="00D04F8B"/>
    <w:rsid w:val="00D054C4"/>
    <w:rsid w:val="00D054EF"/>
    <w:rsid w:val="00D05637"/>
    <w:rsid w:val="00D05BA9"/>
    <w:rsid w:val="00D05EB1"/>
    <w:rsid w:val="00D064D1"/>
    <w:rsid w:val="00D0650B"/>
    <w:rsid w:val="00D0659F"/>
    <w:rsid w:val="00D06E71"/>
    <w:rsid w:val="00D0714B"/>
    <w:rsid w:val="00D0764E"/>
    <w:rsid w:val="00D07D82"/>
    <w:rsid w:val="00D100E5"/>
    <w:rsid w:val="00D10327"/>
    <w:rsid w:val="00D10BE1"/>
    <w:rsid w:val="00D11FE3"/>
    <w:rsid w:val="00D12945"/>
    <w:rsid w:val="00D1343A"/>
    <w:rsid w:val="00D13D50"/>
    <w:rsid w:val="00D14101"/>
    <w:rsid w:val="00D14919"/>
    <w:rsid w:val="00D14E25"/>
    <w:rsid w:val="00D160C4"/>
    <w:rsid w:val="00D165D8"/>
    <w:rsid w:val="00D1724E"/>
    <w:rsid w:val="00D1789C"/>
    <w:rsid w:val="00D17C26"/>
    <w:rsid w:val="00D200DB"/>
    <w:rsid w:val="00D206F6"/>
    <w:rsid w:val="00D20784"/>
    <w:rsid w:val="00D20FD1"/>
    <w:rsid w:val="00D211D7"/>
    <w:rsid w:val="00D21E6F"/>
    <w:rsid w:val="00D2371E"/>
    <w:rsid w:val="00D237E0"/>
    <w:rsid w:val="00D23A17"/>
    <w:rsid w:val="00D25676"/>
    <w:rsid w:val="00D259B0"/>
    <w:rsid w:val="00D27129"/>
    <w:rsid w:val="00D279E7"/>
    <w:rsid w:val="00D27F75"/>
    <w:rsid w:val="00D3046D"/>
    <w:rsid w:val="00D30497"/>
    <w:rsid w:val="00D30B67"/>
    <w:rsid w:val="00D30F5F"/>
    <w:rsid w:val="00D31B07"/>
    <w:rsid w:val="00D31B9D"/>
    <w:rsid w:val="00D32FA0"/>
    <w:rsid w:val="00D33112"/>
    <w:rsid w:val="00D331CB"/>
    <w:rsid w:val="00D34128"/>
    <w:rsid w:val="00D3497A"/>
    <w:rsid w:val="00D364A5"/>
    <w:rsid w:val="00D36BB8"/>
    <w:rsid w:val="00D374D0"/>
    <w:rsid w:val="00D401A1"/>
    <w:rsid w:val="00D40217"/>
    <w:rsid w:val="00D40385"/>
    <w:rsid w:val="00D404CE"/>
    <w:rsid w:val="00D40727"/>
    <w:rsid w:val="00D40E8F"/>
    <w:rsid w:val="00D412BF"/>
    <w:rsid w:val="00D417C6"/>
    <w:rsid w:val="00D42B0C"/>
    <w:rsid w:val="00D42D6E"/>
    <w:rsid w:val="00D43BC9"/>
    <w:rsid w:val="00D43DEF"/>
    <w:rsid w:val="00D44259"/>
    <w:rsid w:val="00D45DDC"/>
    <w:rsid w:val="00D4752E"/>
    <w:rsid w:val="00D5064C"/>
    <w:rsid w:val="00D50C94"/>
    <w:rsid w:val="00D5251C"/>
    <w:rsid w:val="00D525B8"/>
    <w:rsid w:val="00D52F56"/>
    <w:rsid w:val="00D539DA"/>
    <w:rsid w:val="00D54A50"/>
    <w:rsid w:val="00D5538D"/>
    <w:rsid w:val="00D5556D"/>
    <w:rsid w:val="00D55C81"/>
    <w:rsid w:val="00D5674B"/>
    <w:rsid w:val="00D56AA2"/>
    <w:rsid w:val="00D56B56"/>
    <w:rsid w:val="00D56BF5"/>
    <w:rsid w:val="00D56CC3"/>
    <w:rsid w:val="00D56F99"/>
    <w:rsid w:val="00D5714C"/>
    <w:rsid w:val="00D5743F"/>
    <w:rsid w:val="00D605C2"/>
    <w:rsid w:val="00D60733"/>
    <w:rsid w:val="00D61E1D"/>
    <w:rsid w:val="00D629A4"/>
    <w:rsid w:val="00D62BDF"/>
    <w:rsid w:val="00D6312D"/>
    <w:rsid w:val="00D64F1C"/>
    <w:rsid w:val="00D651CE"/>
    <w:rsid w:val="00D6570C"/>
    <w:rsid w:val="00D65A89"/>
    <w:rsid w:val="00D65F4B"/>
    <w:rsid w:val="00D66F50"/>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2D47"/>
    <w:rsid w:val="00D73CD4"/>
    <w:rsid w:val="00D73F06"/>
    <w:rsid w:val="00D740B2"/>
    <w:rsid w:val="00D74247"/>
    <w:rsid w:val="00D743F1"/>
    <w:rsid w:val="00D744F1"/>
    <w:rsid w:val="00D7456E"/>
    <w:rsid w:val="00D753A9"/>
    <w:rsid w:val="00D755F7"/>
    <w:rsid w:val="00D75E4B"/>
    <w:rsid w:val="00D769E7"/>
    <w:rsid w:val="00D771DF"/>
    <w:rsid w:val="00D77AF6"/>
    <w:rsid w:val="00D804C5"/>
    <w:rsid w:val="00D80FDE"/>
    <w:rsid w:val="00D81A28"/>
    <w:rsid w:val="00D81A52"/>
    <w:rsid w:val="00D82B00"/>
    <w:rsid w:val="00D82BE4"/>
    <w:rsid w:val="00D82E05"/>
    <w:rsid w:val="00D8313F"/>
    <w:rsid w:val="00D838BE"/>
    <w:rsid w:val="00D83C0D"/>
    <w:rsid w:val="00D846B5"/>
    <w:rsid w:val="00D8665E"/>
    <w:rsid w:val="00D869C1"/>
    <w:rsid w:val="00D86EC6"/>
    <w:rsid w:val="00D87418"/>
    <w:rsid w:val="00D876AF"/>
    <w:rsid w:val="00D87A39"/>
    <w:rsid w:val="00D87FE6"/>
    <w:rsid w:val="00D90BC3"/>
    <w:rsid w:val="00D90DB9"/>
    <w:rsid w:val="00D90FF7"/>
    <w:rsid w:val="00D91001"/>
    <w:rsid w:val="00D91337"/>
    <w:rsid w:val="00D915C9"/>
    <w:rsid w:val="00D918DA"/>
    <w:rsid w:val="00D9198F"/>
    <w:rsid w:val="00D91FCB"/>
    <w:rsid w:val="00D92078"/>
    <w:rsid w:val="00D92A87"/>
    <w:rsid w:val="00D9384E"/>
    <w:rsid w:val="00D93862"/>
    <w:rsid w:val="00D93AEE"/>
    <w:rsid w:val="00D9413E"/>
    <w:rsid w:val="00D94C8D"/>
    <w:rsid w:val="00D96698"/>
    <w:rsid w:val="00D96876"/>
    <w:rsid w:val="00D96940"/>
    <w:rsid w:val="00D969AD"/>
    <w:rsid w:val="00D96B12"/>
    <w:rsid w:val="00D96F59"/>
    <w:rsid w:val="00D971FC"/>
    <w:rsid w:val="00DA01DC"/>
    <w:rsid w:val="00DA099C"/>
    <w:rsid w:val="00DA0A93"/>
    <w:rsid w:val="00DA0F18"/>
    <w:rsid w:val="00DA2125"/>
    <w:rsid w:val="00DA21EC"/>
    <w:rsid w:val="00DA24DE"/>
    <w:rsid w:val="00DA270C"/>
    <w:rsid w:val="00DA281F"/>
    <w:rsid w:val="00DA4A61"/>
    <w:rsid w:val="00DA61AB"/>
    <w:rsid w:val="00DA61CD"/>
    <w:rsid w:val="00DA65F4"/>
    <w:rsid w:val="00DA6EE2"/>
    <w:rsid w:val="00DA78CF"/>
    <w:rsid w:val="00DA78D5"/>
    <w:rsid w:val="00DA7A89"/>
    <w:rsid w:val="00DA7BF4"/>
    <w:rsid w:val="00DA7D1E"/>
    <w:rsid w:val="00DB00F7"/>
    <w:rsid w:val="00DB052F"/>
    <w:rsid w:val="00DB0D2C"/>
    <w:rsid w:val="00DB107D"/>
    <w:rsid w:val="00DB149F"/>
    <w:rsid w:val="00DB14D3"/>
    <w:rsid w:val="00DB154B"/>
    <w:rsid w:val="00DB1632"/>
    <w:rsid w:val="00DB1BDC"/>
    <w:rsid w:val="00DB2A95"/>
    <w:rsid w:val="00DB3490"/>
    <w:rsid w:val="00DB3593"/>
    <w:rsid w:val="00DB395F"/>
    <w:rsid w:val="00DB440B"/>
    <w:rsid w:val="00DB4426"/>
    <w:rsid w:val="00DB468E"/>
    <w:rsid w:val="00DB480F"/>
    <w:rsid w:val="00DB4B40"/>
    <w:rsid w:val="00DB4F12"/>
    <w:rsid w:val="00DB4F21"/>
    <w:rsid w:val="00DB5184"/>
    <w:rsid w:val="00DB5F7A"/>
    <w:rsid w:val="00DB6D32"/>
    <w:rsid w:val="00DB6F96"/>
    <w:rsid w:val="00DB71B9"/>
    <w:rsid w:val="00DC0281"/>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326"/>
    <w:rsid w:val="00DE148C"/>
    <w:rsid w:val="00DE1A9D"/>
    <w:rsid w:val="00DE1CB1"/>
    <w:rsid w:val="00DE2073"/>
    <w:rsid w:val="00DE2B27"/>
    <w:rsid w:val="00DE30AC"/>
    <w:rsid w:val="00DE4106"/>
    <w:rsid w:val="00DE466B"/>
    <w:rsid w:val="00DE48F4"/>
    <w:rsid w:val="00DE4CD1"/>
    <w:rsid w:val="00DE5563"/>
    <w:rsid w:val="00DE5D48"/>
    <w:rsid w:val="00DE6A47"/>
    <w:rsid w:val="00DE6E4D"/>
    <w:rsid w:val="00DE7371"/>
    <w:rsid w:val="00DE7498"/>
    <w:rsid w:val="00DE75EF"/>
    <w:rsid w:val="00DE7611"/>
    <w:rsid w:val="00DF05A0"/>
    <w:rsid w:val="00DF1509"/>
    <w:rsid w:val="00DF1BA8"/>
    <w:rsid w:val="00DF1F63"/>
    <w:rsid w:val="00DF28F2"/>
    <w:rsid w:val="00DF2BFF"/>
    <w:rsid w:val="00DF3798"/>
    <w:rsid w:val="00DF4FF1"/>
    <w:rsid w:val="00DF6FD2"/>
    <w:rsid w:val="00DF72EF"/>
    <w:rsid w:val="00DF7724"/>
    <w:rsid w:val="00E00956"/>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072B5"/>
    <w:rsid w:val="00E10DD1"/>
    <w:rsid w:val="00E11400"/>
    <w:rsid w:val="00E1224C"/>
    <w:rsid w:val="00E1254C"/>
    <w:rsid w:val="00E12BDF"/>
    <w:rsid w:val="00E12D66"/>
    <w:rsid w:val="00E13326"/>
    <w:rsid w:val="00E13E71"/>
    <w:rsid w:val="00E14356"/>
    <w:rsid w:val="00E14961"/>
    <w:rsid w:val="00E14D76"/>
    <w:rsid w:val="00E15485"/>
    <w:rsid w:val="00E15D6C"/>
    <w:rsid w:val="00E161DE"/>
    <w:rsid w:val="00E170C7"/>
    <w:rsid w:val="00E203DE"/>
    <w:rsid w:val="00E20CE7"/>
    <w:rsid w:val="00E217B1"/>
    <w:rsid w:val="00E222FA"/>
    <w:rsid w:val="00E229CE"/>
    <w:rsid w:val="00E22B4A"/>
    <w:rsid w:val="00E2495A"/>
    <w:rsid w:val="00E24A62"/>
    <w:rsid w:val="00E24F52"/>
    <w:rsid w:val="00E25433"/>
    <w:rsid w:val="00E255AC"/>
    <w:rsid w:val="00E25755"/>
    <w:rsid w:val="00E26D2E"/>
    <w:rsid w:val="00E279B2"/>
    <w:rsid w:val="00E27E25"/>
    <w:rsid w:val="00E30324"/>
    <w:rsid w:val="00E3055B"/>
    <w:rsid w:val="00E31699"/>
    <w:rsid w:val="00E31812"/>
    <w:rsid w:val="00E31889"/>
    <w:rsid w:val="00E31CE7"/>
    <w:rsid w:val="00E31E8B"/>
    <w:rsid w:val="00E32F6F"/>
    <w:rsid w:val="00E333D5"/>
    <w:rsid w:val="00E3394F"/>
    <w:rsid w:val="00E35A45"/>
    <w:rsid w:val="00E37A6F"/>
    <w:rsid w:val="00E401A6"/>
    <w:rsid w:val="00E40222"/>
    <w:rsid w:val="00E40406"/>
    <w:rsid w:val="00E40BCB"/>
    <w:rsid w:val="00E41DD2"/>
    <w:rsid w:val="00E41F44"/>
    <w:rsid w:val="00E4208F"/>
    <w:rsid w:val="00E43006"/>
    <w:rsid w:val="00E43551"/>
    <w:rsid w:val="00E437FA"/>
    <w:rsid w:val="00E45A2C"/>
    <w:rsid w:val="00E45C46"/>
    <w:rsid w:val="00E46A9C"/>
    <w:rsid w:val="00E47010"/>
    <w:rsid w:val="00E50BDD"/>
    <w:rsid w:val="00E50C25"/>
    <w:rsid w:val="00E50DF3"/>
    <w:rsid w:val="00E510CF"/>
    <w:rsid w:val="00E513D7"/>
    <w:rsid w:val="00E5206C"/>
    <w:rsid w:val="00E52897"/>
    <w:rsid w:val="00E52AAB"/>
    <w:rsid w:val="00E52DF4"/>
    <w:rsid w:val="00E53CDB"/>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03F9"/>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D24"/>
    <w:rsid w:val="00E834D4"/>
    <w:rsid w:val="00E8357D"/>
    <w:rsid w:val="00E84212"/>
    <w:rsid w:val="00E84C04"/>
    <w:rsid w:val="00E84F72"/>
    <w:rsid w:val="00E856A2"/>
    <w:rsid w:val="00E8572B"/>
    <w:rsid w:val="00E8575B"/>
    <w:rsid w:val="00E85929"/>
    <w:rsid w:val="00E85AD2"/>
    <w:rsid w:val="00E874BB"/>
    <w:rsid w:val="00E879A8"/>
    <w:rsid w:val="00E87AE5"/>
    <w:rsid w:val="00E87CF7"/>
    <w:rsid w:val="00E87E4D"/>
    <w:rsid w:val="00E9026F"/>
    <w:rsid w:val="00E9036E"/>
    <w:rsid w:val="00E9078A"/>
    <w:rsid w:val="00E912FD"/>
    <w:rsid w:val="00E92C6E"/>
    <w:rsid w:val="00E92D0B"/>
    <w:rsid w:val="00E93195"/>
    <w:rsid w:val="00E9519E"/>
    <w:rsid w:val="00E951D8"/>
    <w:rsid w:val="00E95C2A"/>
    <w:rsid w:val="00E961CB"/>
    <w:rsid w:val="00E963BC"/>
    <w:rsid w:val="00E96E91"/>
    <w:rsid w:val="00E97B36"/>
    <w:rsid w:val="00E97DC6"/>
    <w:rsid w:val="00E97F7A"/>
    <w:rsid w:val="00EA0010"/>
    <w:rsid w:val="00EA0143"/>
    <w:rsid w:val="00EA0400"/>
    <w:rsid w:val="00EA089B"/>
    <w:rsid w:val="00EA0902"/>
    <w:rsid w:val="00EA0E98"/>
    <w:rsid w:val="00EA1A55"/>
    <w:rsid w:val="00EA1B9D"/>
    <w:rsid w:val="00EA1D28"/>
    <w:rsid w:val="00EA2686"/>
    <w:rsid w:val="00EA2E21"/>
    <w:rsid w:val="00EA2F07"/>
    <w:rsid w:val="00EA37FA"/>
    <w:rsid w:val="00EA380C"/>
    <w:rsid w:val="00EA3C2B"/>
    <w:rsid w:val="00EA7308"/>
    <w:rsid w:val="00EB031B"/>
    <w:rsid w:val="00EB089C"/>
    <w:rsid w:val="00EB0AA8"/>
    <w:rsid w:val="00EB0C64"/>
    <w:rsid w:val="00EB0C65"/>
    <w:rsid w:val="00EB1624"/>
    <w:rsid w:val="00EB169F"/>
    <w:rsid w:val="00EB1AE9"/>
    <w:rsid w:val="00EB1E7E"/>
    <w:rsid w:val="00EB2635"/>
    <w:rsid w:val="00EB2961"/>
    <w:rsid w:val="00EB2AA6"/>
    <w:rsid w:val="00EB2E1A"/>
    <w:rsid w:val="00EB2F17"/>
    <w:rsid w:val="00EB2F8A"/>
    <w:rsid w:val="00EB3268"/>
    <w:rsid w:val="00EB3298"/>
    <w:rsid w:val="00EB3CE6"/>
    <w:rsid w:val="00EB3E92"/>
    <w:rsid w:val="00EB54AB"/>
    <w:rsid w:val="00EB6257"/>
    <w:rsid w:val="00EB68E6"/>
    <w:rsid w:val="00EB71C9"/>
    <w:rsid w:val="00EB76BE"/>
    <w:rsid w:val="00EB7B67"/>
    <w:rsid w:val="00EC07F1"/>
    <w:rsid w:val="00EC1E8A"/>
    <w:rsid w:val="00EC328C"/>
    <w:rsid w:val="00EC4E4D"/>
    <w:rsid w:val="00EC5241"/>
    <w:rsid w:val="00EC56E1"/>
    <w:rsid w:val="00EC594C"/>
    <w:rsid w:val="00EC5C7B"/>
    <w:rsid w:val="00EC66AA"/>
    <w:rsid w:val="00EC6B8F"/>
    <w:rsid w:val="00EC7371"/>
    <w:rsid w:val="00EC73BD"/>
    <w:rsid w:val="00EC7A28"/>
    <w:rsid w:val="00EC7B48"/>
    <w:rsid w:val="00ED0257"/>
    <w:rsid w:val="00ED071B"/>
    <w:rsid w:val="00ED1ADE"/>
    <w:rsid w:val="00ED4A77"/>
    <w:rsid w:val="00ED5981"/>
    <w:rsid w:val="00ED6514"/>
    <w:rsid w:val="00ED66B2"/>
    <w:rsid w:val="00ED71BA"/>
    <w:rsid w:val="00ED73A1"/>
    <w:rsid w:val="00ED7CA2"/>
    <w:rsid w:val="00EE00FB"/>
    <w:rsid w:val="00EE13DA"/>
    <w:rsid w:val="00EE1595"/>
    <w:rsid w:val="00EE2087"/>
    <w:rsid w:val="00EE2EA4"/>
    <w:rsid w:val="00EE3384"/>
    <w:rsid w:val="00EE499F"/>
    <w:rsid w:val="00EE56E2"/>
    <w:rsid w:val="00EE5E84"/>
    <w:rsid w:val="00EE6D45"/>
    <w:rsid w:val="00EE6E89"/>
    <w:rsid w:val="00EF043D"/>
    <w:rsid w:val="00EF0D4B"/>
    <w:rsid w:val="00EF0FE6"/>
    <w:rsid w:val="00EF10A9"/>
    <w:rsid w:val="00EF1432"/>
    <w:rsid w:val="00EF1511"/>
    <w:rsid w:val="00EF2C5F"/>
    <w:rsid w:val="00EF3AC4"/>
    <w:rsid w:val="00EF3FF9"/>
    <w:rsid w:val="00EF41AF"/>
    <w:rsid w:val="00EF4DB4"/>
    <w:rsid w:val="00EF53E2"/>
    <w:rsid w:val="00EF55E9"/>
    <w:rsid w:val="00EF5B41"/>
    <w:rsid w:val="00EF611C"/>
    <w:rsid w:val="00EF6A8F"/>
    <w:rsid w:val="00EF6B9C"/>
    <w:rsid w:val="00F00630"/>
    <w:rsid w:val="00F00922"/>
    <w:rsid w:val="00F00924"/>
    <w:rsid w:val="00F00AB5"/>
    <w:rsid w:val="00F0132E"/>
    <w:rsid w:val="00F01BE6"/>
    <w:rsid w:val="00F0217A"/>
    <w:rsid w:val="00F026D3"/>
    <w:rsid w:val="00F03395"/>
    <w:rsid w:val="00F033DB"/>
    <w:rsid w:val="00F034E6"/>
    <w:rsid w:val="00F03E4C"/>
    <w:rsid w:val="00F056DA"/>
    <w:rsid w:val="00F05E02"/>
    <w:rsid w:val="00F06340"/>
    <w:rsid w:val="00F0665D"/>
    <w:rsid w:val="00F06D42"/>
    <w:rsid w:val="00F07134"/>
    <w:rsid w:val="00F0724D"/>
    <w:rsid w:val="00F07378"/>
    <w:rsid w:val="00F10B81"/>
    <w:rsid w:val="00F117A4"/>
    <w:rsid w:val="00F12EEB"/>
    <w:rsid w:val="00F14536"/>
    <w:rsid w:val="00F14591"/>
    <w:rsid w:val="00F145D3"/>
    <w:rsid w:val="00F14B4B"/>
    <w:rsid w:val="00F14CBF"/>
    <w:rsid w:val="00F14CD1"/>
    <w:rsid w:val="00F15115"/>
    <w:rsid w:val="00F15C81"/>
    <w:rsid w:val="00F15CE0"/>
    <w:rsid w:val="00F15D8C"/>
    <w:rsid w:val="00F15F18"/>
    <w:rsid w:val="00F16B86"/>
    <w:rsid w:val="00F16E1A"/>
    <w:rsid w:val="00F16F92"/>
    <w:rsid w:val="00F178AD"/>
    <w:rsid w:val="00F17904"/>
    <w:rsid w:val="00F17C3E"/>
    <w:rsid w:val="00F20197"/>
    <w:rsid w:val="00F20369"/>
    <w:rsid w:val="00F20570"/>
    <w:rsid w:val="00F20607"/>
    <w:rsid w:val="00F208BB"/>
    <w:rsid w:val="00F213D0"/>
    <w:rsid w:val="00F213D8"/>
    <w:rsid w:val="00F2163E"/>
    <w:rsid w:val="00F21760"/>
    <w:rsid w:val="00F2198B"/>
    <w:rsid w:val="00F21A5D"/>
    <w:rsid w:val="00F21C13"/>
    <w:rsid w:val="00F22362"/>
    <w:rsid w:val="00F22796"/>
    <w:rsid w:val="00F23157"/>
    <w:rsid w:val="00F2363A"/>
    <w:rsid w:val="00F238F7"/>
    <w:rsid w:val="00F23BA0"/>
    <w:rsid w:val="00F2443F"/>
    <w:rsid w:val="00F254C4"/>
    <w:rsid w:val="00F25641"/>
    <w:rsid w:val="00F256D8"/>
    <w:rsid w:val="00F26065"/>
    <w:rsid w:val="00F266E3"/>
    <w:rsid w:val="00F2689C"/>
    <w:rsid w:val="00F27E44"/>
    <w:rsid w:val="00F30313"/>
    <w:rsid w:val="00F303BC"/>
    <w:rsid w:val="00F317EA"/>
    <w:rsid w:val="00F318A1"/>
    <w:rsid w:val="00F31CF5"/>
    <w:rsid w:val="00F3265C"/>
    <w:rsid w:val="00F343EE"/>
    <w:rsid w:val="00F353F4"/>
    <w:rsid w:val="00F35494"/>
    <w:rsid w:val="00F35607"/>
    <w:rsid w:val="00F35D47"/>
    <w:rsid w:val="00F35DBA"/>
    <w:rsid w:val="00F36175"/>
    <w:rsid w:val="00F3619D"/>
    <w:rsid w:val="00F36EC1"/>
    <w:rsid w:val="00F3722A"/>
    <w:rsid w:val="00F37366"/>
    <w:rsid w:val="00F37C99"/>
    <w:rsid w:val="00F40031"/>
    <w:rsid w:val="00F40747"/>
    <w:rsid w:val="00F419B8"/>
    <w:rsid w:val="00F41C0F"/>
    <w:rsid w:val="00F42856"/>
    <w:rsid w:val="00F43777"/>
    <w:rsid w:val="00F43A4C"/>
    <w:rsid w:val="00F4482B"/>
    <w:rsid w:val="00F44F02"/>
    <w:rsid w:val="00F450EC"/>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84B"/>
    <w:rsid w:val="00F51A82"/>
    <w:rsid w:val="00F51B78"/>
    <w:rsid w:val="00F52436"/>
    <w:rsid w:val="00F5254B"/>
    <w:rsid w:val="00F53A44"/>
    <w:rsid w:val="00F53E96"/>
    <w:rsid w:val="00F54E5E"/>
    <w:rsid w:val="00F551DB"/>
    <w:rsid w:val="00F559BE"/>
    <w:rsid w:val="00F561DD"/>
    <w:rsid w:val="00F56FEF"/>
    <w:rsid w:val="00F57521"/>
    <w:rsid w:val="00F57D27"/>
    <w:rsid w:val="00F60938"/>
    <w:rsid w:val="00F60C7E"/>
    <w:rsid w:val="00F60E0A"/>
    <w:rsid w:val="00F61606"/>
    <w:rsid w:val="00F61918"/>
    <w:rsid w:val="00F61C45"/>
    <w:rsid w:val="00F62066"/>
    <w:rsid w:val="00F62151"/>
    <w:rsid w:val="00F62CA8"/>
    <w:rsid w:val="00F630B4"/>
    <w:rsid w:val="00F635EF"/>
    <w:rsid w:val="00F63BF4"/>
    <w:rsid w:val="00F63C55"/>
    <w:rsid w:val="00F63C60"/>
    <w:rsid w:val="00F64991"/>
    <w:rsid w:val="00F65BA9"/>
    <w:rsid w:val="00F65BC8"/>
    <w:rsid w:val="00F66205"/>
    <w:rsid w:val="00F6630F"/>
    <w:rsid w:val="00F66419"/>
    <w:rsid w:val="00F67B58"/>
    <w:rsid w:val="00F67E81"/>
    <w:rsid w:val="00F71C68"/>
    <w:rsid w:val="00F724E2"/>
    <w:rsid w:val="00F72764"/>
    <w:rsid w:val="00F74103"/>
    <w:rsid w:val="00F745A4"/>
    <w:rsid w:val="00F74C0C"/>
    <w:rsid w:val="00F75BB5"/>
    <w:rsid w:val="00F75FD5"/>
    <w:rsid w:val="00F7604C"/>
    <w:rsid w:val="00F773A9"/>
    <w:rsid w:val="00F80D2B"/>
    <w:rsid w:val="00F8130C"/>
    <w:rsid w:val="00F81623"/>
    <w:rsid w:val="00F81D19"/>
    <w:rsid w:val="00F81D25"/>
    <w:rsid w:val="00F826FC"/>
    <w:rsid w:val="00F829B9"/>
    <w:rsid w:val="00F83045"/>
    <w:rsid w:val="00F83615"/>
    <w:rsid w:val="00F8421D"/>
    <w:rsid w:val="00F85329"/>
    <w:rsid w:val="00F86079"/>
    <w:rsid w:val="00F87282"/>
    <w:rsid w:val="00F878CD"/>
    <w:rsid w:val="00F87905"/>
    <w:rsid w:val="00F90C1F"/>
    <w:rsid w:val="00F910AF"/>
    <w:rsid w:val="00F91A44"/>
    <w:rsid w:val="00F9217B"/>
    <w:rsid w:val="00F941E2"/>
    <w:rsid w:val="00F94A11"/>
    <w:rsid w:val="00F951DF"/>
    <w:rsid w:val="00F96655"/>
    <w:rsid w:val="00F9719A"/>
    <w:rsid w:val="00F97A34"/>
    <w:rsid w:val="00F97E4A"/>
    <w:rsid w:val="00F97EA1"/>
    <w:rsid w:val="00FA03BA"/>
    <w:rsid w:val="00FA05C8"/>
    <w:rsid w:val="00FA0678"/>
    <w:rsid w:val="00FA0DB6"/>
    <w:rsid w:val="00FA23F7"/>
    <w:rsid w:val="00FA27EB"/>
    <w:rsid w:val="00FA3A85"/>
    <w:rsid w:val="00FA3EBC"/>
    <w:rsid w:val="00FA423C"/>
    <w:rsid w:val="00FA44D0"/>
    <w:rsid w:val="00FA55A2"/>
    <w:rsid w:val="00FA672F"/>
    <w:rsid w:val="00FA7792"/>
    <w:rsid w:val="00FA7AA8"/>
    <w:rsid w:val="00FA7F1D"/>
    <w:rsid w:val="00FB0D60"/>
    <w:rsid w:val="00FB2BF5"/>
    <w:rsid w:val="00FB2F8E"/>
    <w:rsid w:val="00FB30C3"/>
    <w:rsid w:val="00FB39B0"/>
    <w:rsid w:val="00FB3AC7"/>
    <w:rsid w:val="00FB44CA"/>
    <w:rsid w:val="00FB5138"/>
    <w:rsid w:val="00FB55B4"/>
    <w:rsid w:val="00FB5A71"/>
    <w:rsid w:val="00FB7823"/>
    <w:rsid w:val="00FC05B2"/>
    <w:rsid w:val="00FC08B3"/>
    <w:rsid w:val="00FC09D7"/>
    <w:rsid w:val="00FC22D0"/>
    <w:rsid w:val="00FC38D4"/>
    <w:rsid w:val="00FC391E"/>
    <w:rsid w:val="00FC3BB7"/>
    <w:rsid w:val="00FC412D"/>
    <w:rsid w:val="00FC4345"/>
    <w:rsid w:val="00FC444A"/>
    <w:rsid w:val="00FC453D"/>
    <w:rsid w:val="00FC4A89"/>
    <w:rsid w:val="00FC665F"/>
    <w:rsid w:val="00FC6D59"/>
    <w:rsid w:val="00FC78F5"/>
    <w:rsid w:val="00FC7AD2"/>
    <w:rsid w:val="00FC7FC0"/>
    <w:rsid w:val="00FD0130"/>
    <w:rsid w:val="00FD10B3"/>
    <w:rsid w:val="00FD11C3"/>
    <w:rsid w:val="00FD154E"/>
    <w:rsid w:val="00FD1E37"/>
    <w:rsid w:val="00FD24D7"/>
    <w:rsid w:val="00FD29CE"/>
    <w:rsid w:val="00FD3AE2"/>
    <w:rsid w:val="00FD3E41"/>
    <w:rsid w:val="00FD5AE4"/>
    <w:rsid w:val="00FD5F25"/>
    <w:rsid w:val="00FD60BE"/>
    <w:rsid w:val="00FD6894"/>
    <w:rsid w:val="00FD6AF0"/>
    <w:rsid w:val="00FD6B07"/>
    <w:rsid w:val="00FD704D"/>
    <w:rsid w:val="00FD79B8"/>
    <w:rsid w:val="00FE09BE"/>
    <w:rsid w:val="00FE0AD1"/>
    <w:rsid w:val="00FE1852"/>
    <w:rsid w:val="00FE2532"/>
    <w:rsid w:val="00FE289B"/>
    <w:rsid w:val="00FE32B7"/>
    <w:rsid w:val="00FE33DB"/>
    <w:rsid w:val="00FE33F5"/>
    <w:rsid w:val="00FE37DD"/>
    <w:rsid w:val="00FE3C31"/>
    <w:rsid w:val="00FE4015"/>
    <w:rsid w:val="00FE44F5"/>
    <w:rsid w:val="00FE4783"/>
    <w:rsid w:val="00FE480D"/>
    <w:rsid w:val="00FE4ACC"/>
    <w:rsid w:val="00FE7DD1"/>
    <w:rsid w:val="00FF0B4F"/>
    <w:rsid w:val="00FF0B70"/>
    <w:rsid w:val="00FF1814"/>
    <w:rsid w:val="00FF1A06"/>
    <w:rsid w:val="00FF1AD3"/>
    <w:rsid w:val="00FF1B46"/>
    <w:rsid w:val="00FF219D"/>
    <w:rsid w:val="00FF2BB3"/>
    <w:rsid w:val="00FF2C3A"/>
    <w:rsid w:val="00FF48D2"/>
    <w:rsid w:val="00FF49B4"/>
    <w:rsid w:val="00FF49F4"/>
    <w:rsid w:val="00FF608A"/>
    <w:rsid w:val="00FF651D"/>
    <w:rsid w:val="00FF6843"/>
    <w:rsid w:val="00FF7724"/>
    <w:rsid w:val="00FF78E2"/>
    <w:rsid w:val="010651D9"/>
    <w:rsid w:val="013B6AEB"/>
    <w:rsid w:val="015E44CA"/>
    <w:rsid w:val="01647118"/>
    <w:rsid w:val="02176E3D"/>
    <w:rsid w:val="025E10ED"/>
    <w:rsid w:val="02C1531D"/>
    <w:rsid w:val="02CB55B9"/>
    <w:rsid w:val="02CF7896"/>
    <w:rsid w:val="03357438"/>
    <w:rsid w:val="03DD35E4"/>
    <w:rsid w:val="04417EF7"/>
    <w:rsid w:val="04C320C8"/>
    <w:rsid w:val="050B3D22"/>
    <w:rsid w:val="05942874"/>
    <w:rsid w:val="05D763F5"/>
    <w:rsid w:val="065A6178"/>
    <w:rsid w:val="067A0837"/>
    <w:rsid w:val="06C17317"/>
    <w:rsid w:val="06C65766"/>
    <w:rsid w:val="072B1456"/>
    <w:rsid w:val="09440A55"/>
    <w:rsid w:val="096B1B3E"/>
    <w:rsid w:val="0A5B7E63"/>
    <w:rsid w:val="0A655C2C"/>
    <w:rsid w:val="0A6E1A52"/>
    <w:rsid w:val="0AE42BEC"/>
    <w:rsid w:val="0B8C3FEE"/>
    <w:rsid w:val="0BF858D2"/>
    <w:rsid w:val="0C3149E7"/>
    <w:rsid w:val="0C3D6A4F"/>
    <w:rsid w:val="0C87121B"/>
    <w:rsid w:val="0C941795"/>
    <w:rsid w:val="0CAF6DAD"/>
    <w:rsid w:val="0CDA2486"/>
    <w:rsid w:val="0DBB49FF"/>
    <w:rsid w:val="0DDE493F"/>
    <w:rsid w:val="0DF702FE"/>
    <w:rsid w:val="0E3A6DD9"/>
    <w:rsid w:val="0EC71F0D"/>
    <w:rsid w:val="0F6737A2"/>
    <w:rsid w:val="0F76748F"/>
    <w:rsid w:val="0F816ACD"/>
    <w:rsid w:val="0FC53209"/>
    <w:rsid w:val="0FCB77DB"/>
    <w:rsid w:val="10E914F6"/>
    <w:rsid w:val="10FC16EA"/>
    <w:rsid w:val="118963A1"/>
    <w:rsid w:val="123A3009"/>
    <w:rsid w:val="127723A9"/>
    <w:rsid w:val="12894A4B"/>
    <w:rsid w:val="12950977"/>
    <w:rsid w:val="12981C54"/>
    <w:rsid w:val="13072A44"/>
    <w:rsid w:val="133F2305"/>
    <w:rsid w:val="14382CCF"/>
    <w:rsid w:val="14825C24"/>
    <w:rsid w:val="152E483E"/>
    <w:rsid w:val="153547D8"/>
    <w:rsid w:val="15392360"/>
    <w:rsid w:val="15A86E87"/>
    <w:rsid w:val="15CF5AE0"/>
    <w:rsid w:val="163B3182"/>
    <w:rsid w:val="16543992"/>
    <w:rsid w:val="165B0048"/>
    <w:rsid w:val="16FA4D2A"/>
    <w:rsid w:val="170937C2"/>
    <w:rsid w:val="180E190C"/>
    <w:rsid w:val="18B2201F"/>
    <w:rsid w:val="19315722"/>
    <w:rsid w:val="19EA4950"/>
    <w:rsid w:val="1A894A37"/>
    <w:rsid w:val="1B187A7F"/>
    <w:rsid w:val="1B2A271F"/>
    <w:rsid w:val="1B304843"/>
    <w:rsid w:val="1BEB2442"/>
    <w:rsid w:val="1CD43DF5"/>
    <w:rsid w:val="1D266CE1"/>
    <w:rsid w:val="1D3963AF"/>
    <w:rsid w:val="1DB376C4"/>
    <w:rsid w:val="1E022140"/>
    <w:rsid w:val="1E217115"/>
    <w:rsid w:val="1E32153E"/>
    <w:rsid w:val="1E714A66"/>
    <w:rsid w:val="1EB7510C"/>
    <w:rsid w:val="1F740193"/>
    <w:rsid w:val="1FAC0D7B"/>
    <w:rsid w:val="1FE868A9"/>
    <w:rsid w:val="200C3C23"/>
    <w:rsid w:val="202325E4"/>
    <w:rsid w:val="210962FF"/>
    <w:rsid w:val="21333EEA"/>
    <w:rsid w:val="214B091A"/>
    <w:rsid w:val="21857C50"/>
    <w:rsid w:val="223829D0"/>
    <w:rsid w:val="23941DA4"/>
    <w:rsid w:val="24231044"/>
    <w:rsid w:val="24773635"/>
    <w:rsid w:val="24B227A8"/>
    <w:rsid w:val="24BE64D3"/>
    <w:rsid w:val="257D2ECD"/>
    <w:rsid w:val="25DE7A25"/>
    <w:rsid w:val="262025D5"/>
    <w:rsid w:val="262B2D33"/>
    <w:rsid w:val="26B0321F"/>
    <w:rsid w:val="27342D9F"/>
    <w:rsid w:val="27CB4D24"/>
    <w:rsid w:val="285F719C"/>
    <w:rsid w:val="297263E9"/>
    <w:rsid w:val="29D11F68"/>
    <w:rsid w:val="2A7365FF"/>
    <w:rsid w:val="2B1343D9"/>
    <w:rsid w:val="2B460212"/>
    <w:rsid w:val="2B5D5D0E"/>
    <w:rsid w:val="2BA112EE"/>
    <w:rsid w:val="2BD326B2"/>
    <w:rsid w:val="2C1862BF"/>
    <w:rsid w:val="2C43146B"/>
    <w:rsid w:val="2C7F39CF"/>
    <w:rsid w:val="2CCD2A57"/>
    <w:rsid w:val="2DBF0527"/>
    <w:rsid w:val="2DD15014"/>
    <w:rsid w:val="2DFC4B5E"/>
    <w:rsid w:val="2E223525"/>
    <w:rsid w:val="2FD25781"/>
    <w:rsid w:val="30510364"/>
    <w:rsid w:val="30FE15EA"/>
    <w:rsid w:val="317250D3"/>
    <w:rsid w:val="319C6071"/>
    <w:rsid w:val="31A85816"/>
    <w:rsid w:val="32596CB8"/>
    <w:rsid w:val="325C3F11"/>
    <w:rsid w:val="32866CA5"/>
    <w:rsid w:val="32E82575"/>
    <w:rsid w:val="3355548A"/>
    <w:rsid w:val="336E12E5"/>
    <w:rsid w:val="342E63AB"/>
    <w:rsid w:val="347843AE"/>
    <w:rsid w:val="34BB3D03"/>
    <w:rsid w:val="3502329D"/>
    <w:rsid w:val="351F2928"/>
    <w:rsid w:val="353E0548"/>
    <w:rsid w:val="35744FC0"/>
    <w:rsid w:val="365302AE"/>
    <w:rsid w:val="366A70F8"/>
    <w:rsid w:val="36FE43AB"/>
    <w:rsid w:val="370D34E9"/>
    <w:rsid w:val="37A662B4"/>
    <w:rsid w:val="37D21C30"/>
    <w:rsid w:val="37DE3B35"/>
    <w:rsid w:val="38195AC0"/>
    <w:rsid w:val="384632C9"/>
    <w:rsid w:val="38D5369C"/>
    <w:rsid w:val="39091E62"/>
    <w:rsid w:val="3A4A5DAF"/>
    <w:rsid w:val="3A872622"/>
    <w:rsid w:val="3AE440D9"/>
    <w:rsid w:val="3B8236E1"/>
    <w:rsid w:val="3C5F759A"/>
    <w:rsid w:val="3CCE15D5"/>
    <w:rsid w:val="3D491BBB"/>
    <w:rsid w:val="3DD64774"/>
    <w:rsid w:val="3E822873"/>
    <w:rsid w:val="3EAD40DA"/>
    <w:rsid w:val="3EAD635B"/>
    <w:rsid w:val="3EC85F1E"/>
    <w:rsid w:val="3F3F2DD9"/>
    <w:rsid w:val="3F502CE2"/>
    <w:rsid w:val="403F5E7A"/>
    <w:rsid w:val="407B7BC0"/>
    <w:rsid w:val="40C003E6"/>
    <w:rsid w:val="424B184B"/>
    <w:rsid w:val="42E1381E"/>
    <w:rsid w:val="42F64280"/>
    <w:rsid w:val="438341CD"/>
    <w:rsid w:val="43936603"/>
    <w:rsid w:val="44101B0F"/>
    <w:rsid w:val="46F8374A"/>
    <w:rsid w:val="480D7C89"/>
    <w:rsid w:val="483B30CC"/>
    <w:rsid w:val="48CB23C5"/>
    <w:rsid w:val="49291BFD"/>
    <w:rsid w:val="49333630"/>
    <w:rsid w:val="49DF4642"/>
    <w:rsid w:val="49EA4BC8"/>
    <w:rsid w:val="4A636894"/>
    <w:rsid w:val="4ACD6AF5"/>
    <w:rsid w:val="4B404326"/>
    <w:rsid w:val="4BA861F3"/>
    <w:rsid w:val="4C1910FC"/>
    <w:rsid w:val="4C6A3C1D"/>
    <w:rsid w:val="4CB62A4B"/>
    <w:rsid w:val="4CD05491"/>
    <w:rsid w:val="4CFD2EA2"/>
    <w:rsid w:val="4DF04C1C"/>
    <w:rsid w:val="4E0136CB"/>
    <w:rsid w:val="4E1A6A0D"/>
    <w:rsid w:val="4E472477"/>
    <w:rsid w:val="4E4A6587"/>
    <w:rsid w:val="4E520126"/>
    <w:rsid w:val="4EA53553"/>
    <w:rsid w:val="4EF81057"/>
    <w:rsid w:val="4EFE70F5"/>
    <w:rsid w:val="4F0E11E0"/>
    <w:rsid w:val="4F217C66"/>
    <w:rsid w:val="4F571F4E"/>
    <w:rsid w:val="4F842C56"/>
    <w:rsid w:val="4FDC09E8"/>
    <w:rsid w:val="5013025A"/>
    <w:rsid w:val="507E31A7"/>
    <w:rsid w:val="51A0432A"/>
    <w:rsid w:val="51BE7AE8"/>
    <w:rsid w:val="51F8622A"/>
    <w:rsid w:val="51FF2E10"/>
    <w:rsid w:val="52A96B6F"/>
    <w:rsid w:val="52F2267D"/>
    <w:rsid w:val="531750D9"/>
    <w:rsid w:val="539F1094"/>
    <w:rsid w:val="53A647B9"/>
    <w:rsid w:val="54434AA7"/>
    <w:rsid w:val="545568B0"/>
    <w:rsid w:val="5477163A"/>
    <w:rsid w:val="54C13E2D"/>
    <w:rsid w:val="550764A4"/>
    <w:rsid w:val="55512DB6"/>
    <w:rsid w:val="55673D94"/>
    <w:rsid w:val="56550F08"/>
    <w:rsid w:val="56BD159E"/>
    <w:rsid w:val="56C87B9D"/>
    <w:rsid w:val="573358B0"/>
    <w:rsid w:val="57373054"/>
    <w:rsid w:val="58AE4F0C"/>
    <w:rsid w:val="58E127E2"/>
    <w:rsid w:val="5963340F"/>
    <w:rsid w:val="59940898"/>
    <w:rsid w:val="59C90A06"/>
    <w:rsid w:val="59E63B39"/>
    <w:rsid w:val="5A2A7C7B"/>
    <w:rsid w:val="5A910A29"/>
    <w:rsid w:val="5B3630C5"/>
    <w:rsid w:val="5C451348"/>
    <w:rsid w:val="5C80234E"/>
    <w:rsid w:val="5DB42CB1"/>
    <w:rsid w:val="5E261785"/>
    <w:rsid w:val="5F883F08"/>
    <w:rsid w:val="5FCC5339"/>
    <w:rsid w:val="60035ABC"/>
    <w:rsid w:val="60B57DB6"/>
    <w:rsid w:val="60D1174F"/>
    <w:rsid w:val="61054A27"/>
    <w:rsid w:val="611D2366"/>
    <w:rsid w:val="61B431F8"/>
    <w:rsid w:val="62375BD7"/>
    <w:rsid w:val="623E00F8"/>
    <w:rsid w:val="62885958"/>
    <w:rsid w:val="63332842"/>
    <w:rsid w:val="643114B5"/>
    <w:rsid w:val="64B551B3"/>
    <w:rsid w:val="64CE2EAA"/>
    <w:rsid w:val="65E971E8"/>
    <w:rsid w:val="65F349C7"/>
    <w:rsid w:val="662E75B1"/>
    <w:rsid w:val="66342C2E"/>
    <w:rsid w:val="663E784C"/>
    <w:rsid w:val="66EB3697"/>
    <w:rsid w:val="679A2BAB"/>
    <w:rsid w:val="67AE06E9"/>
    <w:rsid w:val="681F3C5A"/>
    <w:rsid w:val="6884024F"/>
    <w:rsid w:val="694276A3"/>
    <w:rsid w:val="6B950FB3"/>
    <w:rsid w:val="6CC06392"/>
    <w:rsid w:val="6D6603CB"/>
    <w:rsid w:val="6D9B52B9"/>
    <w:rsid w:val="6DED5BA3"/>
    <w:rsid w:val="6DF75992"/>
    <w:rsid w:val="6DFC3F7E"/>
    <w:rsid w:val="6E3E353D"/>
    <w:rsid w:val="6E6F56AF"/>
    <w:rsid w:val="6E8E12EF"/>
    <w:rsid w:val="6F6D1A71"/>
    <w:rsid w:val="6F7D0D4E"/>
    <w:rsid w:val="6F7D6D47"/>
    <w:rsid w:val="703B28CB"/>
    <w:rsid w:val="710836BB"/>
    <w:rsid w:val="71177875"/>
    <w:rsid w:val="711A6DEF"/>
    <w:rsid w:val="71D43752"/>
    <w:rsid w:val="722A11E8"/>
    <w:rsid w:val="723B55F8"/>
    <w:rsid w:val="72625EA2"/>
    <w:rsid w:val="726D3194"/>
    <w:rsid w:val="72743E8C"/>
    <w:rsid w:val="72F42024"/>
    <w:rsid w:val="738B0622"/>
    <w:rsid w:val="73A44B6A"/>
    <w:rsid w:val="7425348F"/>
    <w:rsid w:val="74812690"/>
    <w:rsid w:val="74906231"/>
    <w:rsid w:val="74953316"/>
    <w:rsid w:val="749C4185"/>
    <w:rsid w:val="75070EA6"/>
    <w:rsid w:val="750E4F30"/>
    <w:rsid w:val="75214E3A"/>
    <w:rsid w:val="756E7D31"/>
    <w:rsid w:val="75706E44"/>
    <w:rsid w:val="75D2735D"/>
    <w:rsid w:val="75D5432A"/>
    <w:rsid w:val="75DA2C18"/>
    <w:rsid w:val="7652264E"/>
    <w:rsid w:val="76557EC3"/>
    <w:rsid w:val="775E63E5"/>
    <w:rsid w:val="78972D2D"/>
    <w:rsid w:val="7979608E"/>
    <w:rsid w:val="799208AA"/>
    <w:rsid w:val="79957E4C"/>
    <w:rsid w:val="7A2605B3"/>
    <w:rsid w:val="7A64602C"/>
    <w:rsid w:val="7A67303B"/>
    <w:rsid w:val="7AAB1D04"/>
    <w:rsid w:val="7ABA4368"/>
    <w:rsid w:val="7AC825E1"/>
    <w:rsid w:val="7B257FFD"/>
    <w:rsid w:val="7B2C0E4C"/>
    <w:rsid w:val="7B7F68A8"/>
    <w:rsid w:val="7CE53CFC"/>
    <w:rsid w:val="7D0E2993"/>
    <w:rsid w:val="7DC83BA3"/>
    <w:rsid w:val="7DF0025B"/>
    <w:rsid w:val="7E211ED6"/>
    <w:rsid w:val="7ED96548"/>
    <w:rsid w:val="7F894B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7"/>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16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222"/>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234"/>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126"/>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119"/>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186"/>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59">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86"/>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13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238"/>
    <w:qFormat/>
    <w:uiPriority w:val="0"/>
    <w:pPr>
      <w:jc w:val="left"/>
    </w:pPr>
  </w:style>
  <w:style w:type="paragraph" w:styleId="21">
    <w:name w:val="Salutation"/>
    <w:basedOn w:val="1"/>
    <w:next w:val="1"/>
    <w:link w:val="153"/>
    <w:qFormat/>
    <w:uiPriority w:val="0"/>
    <w:rPr>
      <w:rFonts w:ascii="仿宋_GB2312" w:eastAsia="仿宋_GB2312"/>
      <w:sz w:val="28"/>
      <w:szCs w:val="20"/>
    </w:rPr>
  </w:style>
  <w:style w:type="paragraph" w:styleId="22">
    <w:name w:val="Body Text 3"/>
    <w:basedOn w:val="1"/>
    <w:link w:val="236"/>
    <w:qFormat/>
    <w:uiPriority w:val="0"/>
    <w:pPr>
      <w:jc w:val="center"/>
    </w:pPr>
    <w:rPr>
      <w:szCs w:val="20"/>
    </w:rPr>
  </w:style>
  <w:style w:type="paragraph" w:styleId="23">
    <w:name w:val="Body Text"/>
    <w:basedOn w:val="1"/>
    <w:next w:val="24"/>
    <w:link w:val="124"/>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94"/>
    <w:qFormat/>
    <w:uiPriority w:val="0"/>
    <w:pPr>
      <w:ind w:firstLine="420"/>
    </w:pPr>
    <w:rPr>
      <w:szCs w:val="20"/>
    </w:rPr>
  </w:style>
  <w:style w:type="paragraph" w:styleId="25">
    <w:name w:val="toc 6"/>
    <w:basedOn w:val="1"/>
    <w:next w:val="1"/>
    <w:qFormat/>
    <w:uiPriority w:val="0"/>
    <w:pPr>
      <w:ind w:left="2100" w:leftChars="1000"/>
    </w:p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200"/>
    <w:qFormat/>
    <w:uiPriority w:val="0"/>
    <w:rPr>
      <w:rFonts w:ascii="宋体" w:hAnsi="Courier New" w:cs="Arial"/>
      <w:snapToGrid w:val="0"/>
      <w:szCs w:val="21"/>
    </w:rPr>
  </w:style>
  <w:style w:type="paragraph" w:styleId="34">
    <w:name w:val="List Number 4"/>
    <w:basedOn w:val="1"/>
    <w:qFormat/>
    <w:uiPriority w:val="0"/>
    <w:pPr>
      <w:numPr>
        <w:ilvl w:val="0"/>
        <w:numId w:val="4"/>
      </w:numPr>
      <w:autoSpaceDE w:val="0"/>
      <w:autoSpaceDN w:val="0"/>
      <w:spacing w:line="360" w:lineRule="atLeast"/>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21"/>
    <w:qFormat/>
    <w:uiPriority w:val="0"/>
    <w:pPr>
      <w:ind w:left="100" w:leftChars="2500"/>
    </w:pPr>
    <w:rPr>
      <w:rFonts w:ascii="宋体"/>
      <w:sz w:val="24"/>
      <w:szCs w:val="21"/>
      <w:lang w:val="zh-CN"/>
    </w:rPr>
  </w:style>
  <w:style w:type="paragraph" w:styleId="37">
    <w:name w:val="Body Text Indent 2"/>
    <w:basedOn w:val="1"/>
    <w:link w:val="177"/>
    <w:qFormat/>
    <w:uiPriority w:val="0"/>
    <w:pPr>
      <w:spacing w:line="360" w:lineRule="auto"/>
      <w:ind w:firstLine="601"/>
      <w:textAlignment w:val="baseline"/>
    </w:pPr>
    <w:rPr>
      <w:rFonts w:ascii="宋体"/>
      <w:kern w:val="0"/>
      <w:sz w:val="28"/>
      <w:szCs w:val="20"/>
    </w:rPr>
  </w:style>
  <w:style w:type="paragraph" w:styleId="38">
    <w:name w:val="Balloon Text"/>
    <w:basedOn w:val="1"/>
    <w:link w:val="240"/>
    <w:semiHidden/>
    <w:qFormat/>
    <w:uiPriority w:val="0"/>
    <w:rPr>
      <w:sz w:val="18"/>
      <w:szCs w:val="18"/>
    </w:rPr>
  </w:style>
  <w:style w:type="paragraph" w:styleId="39">
    <w:name w:val="footer"/>
    <w:basedOn w:val="1"/>
    <w:qFormat/>
    <w:uiPriority w:val="99"/>
    <w:pPr>
      <w:tabs>
        <w:tab w:val="center" w:pos="4153"/>
        <w:tab w:val="right" w:pos="8306"/>
      </w:tabs>
      <w:snapToGrid w:val="0"/>
      <w:jc w:val="left"/>
    </w:pPr>
    <w:rPr>
      <w:sz w:val="18"/>
      <w:szCs w:val="18"/>
    </w:rPr>
  </w:style>
  <w:style w:type="paragraph" w:styleId="4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251"/>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268"/>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qFormat/>
    <w:uiPriority w:val="0"/>
    <w:pPr>
      <w:adjustRightInd/>
      <w:ind w:left="100" w:leftChars="800" w:hanging="200" w:hangingChars="200"/>
    </w:pPr>
  </w:style>
  <w:style w:type="paragraph" w:styleId="51">
    <w:name w:val="Body Text Indent 3"/>
    <w:basedOn w:val="1"/>
    <w:link w:val="98"/>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1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annotation subject"/>
    <w:basedOn w:val="20"/>
    <w:next w:val="20"/>
    <w:semiHidden/>
    <w:qFormat/>
    <w:uiPriority w:val="0"/>
    <w:rPr>
      <w:b/>
      <w:bCs/>
    </w:rPr>
  </w:style>
  <w:style w:type="character" w:styleId="60">
    <w:name w:val="Strong"/>
    <w:qFormat/>
    <w:uiPriority w:val="22"/>
    <w:rPr>
      <w:b/>
      <w:bCs/>
    </w:rPr>
  </w:style>
  <w:style w:type="character" w:styleId="61">
    <w:name w:val="page number"/>
    <w:basedOn w:val="59"/>
    <w:qFormat/>
    <w:uiPriority w:val="0"/>
  </w:style>
  <w:style w:type="character" w:styleId="62">
    <w:name w:val="FollowedHyperlink"/>
    <w:qFormat/>
    <w:uiPriority w:val="0"/>
    <w:rPr>
      <w:rFonts w:ascii="Arial" w:hAnsi="Arial" w:eastAsia="黑体" w:cs="Arial"/>
      <w:snapToGrid w:val="0"/>
      <w:color w:val="000000"/>
      <w:kern w:val="0"/>
      <w:sz w:val="18"/>
      <w:szCs w:val="18"/>
      <w:u w:val="none"/>
    </w:rPr>
  </w:style>
  <w:style w:type="character" w:styleId="63">
    <w:name w:val="Emphasis"/>
    <w:qFormat/>
    <w:uiPriority w:val="0"/>
    <w:rPr>
      <w:color w:val="CC0033"/>
    </w:rPr>
  </w:style>
  <w:style w:type="character" w:styleId="64">
    <w:name w:val="line number"/>
    <w:basedOn w:val="59"/>
    <w:qFormat/>
    <w:uiPriority w:val="0"/>
  </w:style>
  <w:style w:type="character" w:styleId="65">
    <w:name w:val="Hyperlink"/>
    <w:qFormat/>
    <w:uiPriority w:val="0"/>
    <w:rPr>
      <w:rFonts w:ascii="Arial" w:hAnsi="Arial" w:eastAsia="黑体" w:cs="Arial"/>
      <w:snapToGrid w:val="0"/>
      <w:color w:val="000000"/>
      <w:kern w:val="0"/>
      <w:sz w:val="18"/>
      <w:szCs w:val="18"/>
      <w:u w:val="none"/>
    </w:rPr>
  </w:style>
  <w:style w:type="character" w:styleId="66">
    <w:name w:val="HTML Code"/>
    <w:qFormat/>
    <w:uiPriority w:val="0"/>
    <w:rPr>
      <w:rFonts w:ascii="黑体" w:hAnsi="Courier New" w:eastAsia="黑体" w:cs="楷体_GB2312"/>
      <w:sz w:val="20"/>
      <w:szCs w:val="20"/>
    </w:rPr>
  </w:style>
  <w:style w:type="character" w:styleId="67">
    <w:name w:val="annotation reference"/>
    <w:qFormat/>
    <w:uiPriority w:val="99"/>
    <w:rPr>
      <w:sz w:val="21"/>
      <w:szCs w:val="21"/>
    </w:rPr>
  </w:style>
  <w:style w:type="paragraph" w:customStyle="1" w:styleId="68">
    <w:name w:val="Body Text First Indent 21"/>
    <w:basedOn w:val="69"/>
    <w:qFormat/>
    <w:uiPriority w:val="0"/>
    <w:pPr>
      <w:ind w:firstLine="420"/>
    </w:pPr>
    <w:rPr>
      <w:rFonts w:cs="宋体"/>
    </w:rPr>
  </w:style>
  <w:style w:type="paragraph" w:customStyle="1" w:styleId="69">
    <w:name w:val="Body Text Indent1"/>
    <w:basedOn w:val="1"/>
    <w:next w:val="1"/>
    <w:qFormat/>
    <w:uiPriority w:val="0"/>
    <w:pPr>
      <w:ind w:left="420" w:leftChars="200"/>
    </w:pPr>
    <w:rPr>
      <w:color w:val="000000"/>
      <w:szCs w:val="21"/>
    </w:rPr>
  </w:style>
  <w:style w:type="character" w:customStyle="1" w:styleId="70">
    <w:name w:val="正文缩进 字符"/>
    <w:qFormat/>
    <w:uiPriority w:val="0"/>
    <w:rPr>
      <w:rFonts w:ascii="宋体" w:eastAsia="宋体"/>
      <w:snapToGrid/>
      <w:color w:val="000000"/>
      <w:kern w:val="28"/>
      <w:sz w:val="28"/>
      <w:lang w:val="en-US" w:eastAsia="zh-CN" w:bidi="ar-SA"/>
    </w:rPr>
  </w:style>
  <w:style w:type="character" w:customStyle="1" w:styleId="71">
    <w:name w:val="链接"/>
    <w:qFormat/>
    <w:uiPriority w:val="0"/>
    <w:rPr>
      <w:color w:val="0000FF"/>
      <w:sz w:val="21"/>
      <w:szCs w:val="21"/>
      <w:u w:val="single"/>
    </w:rPr>
  </w:style>
  <w:style w:type="character" w:customStyle="1" w:styleId="72">
    <w:name w:val="Char Char7"/>
    <w:semiHidden/>
    <w:qFormat/>
    <w:uiPriority w:val="0"/>
    <w:rPr>
      <w:rFonts w:eastAsia="宋体"/>
      <w:kern w:val="2"/>
      <w:sz w:val="21"/>
      <w:szCs w:val="24"/>
      <w:lang w:val="en-US" w:eastAsia="zh-CN" w:bidi="ar-SA"/>
    </w:rPr>
  </w:style>
  <w:style w:type="character" w:customStyle="1" w:styleId="73">
    <w:name w:val="仿宋正文 Char"/>
    <w:link w:val="74"/>
    <w:qFormat/>
    <w:uiPriority w:val="0"/>
    <w:rPr>
      <w:rFonts w:ascii="仿宋_GB2312" w:eastAsia="仿宋_GB2312"/>
      <w:kern w:val="2"/>
      <w:sz w:val="24"/>
      <w:lang w:val="en-US" w:eastAsia="zh-CN" w:bidi="ar-SA"/>
    </w:rPr>
  </w:style>
  <w:style w:type="paragraph" w:customStyle="1" w:styleId="74">
    <w:name w:val="仿宋正文"/>
    <w:basedOn w:val="1"/>
    <w:link w:val="73"/>
    <w:qFormat/>
    <w:uiPriority w:val="0"/>
    <w:pPr>
      <w:adjustRightInd/>
      <w:spacing w:line="360" w:lineRule="auto"/>
      <w:ind w:firstLine="480" w:firstLineChars="200"/>
    </w:pPr>
    <w:rPr>
      <w:rFonts w:ascii="仿宋_GB2312" w:eastAsia="仿宋_GB2312"/>
      <w:sz w:val="24"/>
      <w:szCs w:val="20"/>
    </w:rPr>
  </w:style>
  <w:style w:type="character" w:customStyle="1" w:styleId="75">
    <w:name w:val="样式4 Char"/>
    <w:qFormat/>
    <w:uiPriority w:val="0"/>
    <w:rPr>
      <w:rFonts w:ascii="仿宋_GB2312" w:hAnsi="仿宋" w:eastAsia="仿宋_GB2312"/>
      <w:b/>
      <w:kern w:val="2"/>
      <w:sz w:val="32"/>
      <w:szCs w:val="32"/>
      <w:lang w:bidi="ar-SA"/>
    </w:rPr>
  </w:style>
  <w:style w:type="character" w:customStyle="1" w:styleId="76">
    <w:name w:val="hui"/>
    <w:basedOn w:val="59"/>
    <w:qFormat/>
    <w:uiPriority w:val="0"/>
  </w:style>
  <w:style w:type="character" w:customStyle="1" w:styleId="77">
    <w:name w:val="big1"/>
    <w:qFormat/>
    <w:uiPriority w:val="0"/>
    <w:rPr>
      <w:rFonts w:hint="eastAsia" w:ascii="宋体" w:hAnsi="宋体" w:eastAsia="宋体"/>
      <w:color w:val="333333"/>
      <w:sz w:val="22"/>
      <w:szCs w:val="22"/>
    </w:rPr>
  </w:style>
  <w:style w:type="character" w:customStyle="1" w:styleId="78">
    <w:name w:val="样式 标题 4h4H4Fab-4T5Ref Heading 1rh1Heading sqlsect 1.2.3.... Char"/>
    <w:link w:val="79"/>
    <w:qFormat/>
    <w:uiPriority w:val="0"/>
    <w:rPr>
      <w:rFonts w:ascii="微软雅黑" w:hAnsi="微软雅黑" w:eastAsia="微软雅黑"/>
      <w:b/>
      <w:bCs/>
      <w:kern w:val="2"/>
      <w:sz w:val="24"/>
      <w:szCs w:val="28"/>
    </w:rPr>
  </w:style>
  <w:style w:type="paragraph" w:customStyle="1" w:styleId="79">
    <w:name w:val="样式 标题 4h4H4Fab-4T5Ref Heading 1rh1Heading sqlsect 1.2.3...."/>
    <w:basedOn w:val="6"/>
    <w:link w:val="78"/>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80">
    <w:name w:val="正文缩进 Char"/>
    <w:qFormat/>
    <w:uiPriority w:val="0"/>
    <w:rPr>
      <w:rFonts w:eastAsia="宋体"/>
      <w:kern w:val="2"/>
      <w:sz w:val="21"/>
      <w:lang w:val="en-US" w:eastAsia="zh-CN"/>
    </w:rPr>
  </w:style>
  <w:style w:type="character" w:customStyle="1" w:styleId="81">
    <w:name w:val="myp11"/>
    <w:qFormat/>
    <w:uiPriority w:val="0"/>
    <w:rPr>
      <w:rFonts w:ascii="仿宋_GB2312" w:eastAsia="微软雅黑"/>
      <w:b/>
      <w:kern w:val="2"/>
      <w:sz w:val="32"/>
      <w:szCs w:val="32"/>
      <w:lang w:val="en-US" w:eastAsia="zh-CN" w:bidi="ar-SA"/>
    </w:rPr>
  </w:style>
  <w:style w:type="character" w:customStyle="1" w:styleId="82">
    <w:name w:val="dandyren_title1"/>
    <w:qFormat/>
    <w:uiPriority w:val="0"/>
    <w:rPr>
      <w:b/>
      <w:bCs/>
      <w:color w:val="FF6633"/>
      <w:sz w:val="18"/>
      <w:szCs w:val="18"/>
    </w:rPr>
  </w:style>
  <w:style w:type="character" w:customStyle="1" w:styleId="83">
    <w:name w:val="正文1 Char"/>
    <w:qFormat/>
    <w:uiPriority w:val="0"/>
    <w:rPr>
      <w:rFonts w:ascii="宋体" w:eastAsia="宋体"/>
      <w:snapToGrid w:val="0"/>
      <w:color w:val="000000"/>
      <w:kern w:val="28"/>
      <w:sz w:val="28"/>
      <w:lang w:val="en-US" w:eastAsia="zh-CN" w:bidi="ar-SA"/>
    </w:rPr>
  </w:style>
  <w:style w:type="character" w:customStyle="1" w:styleId="84">
    <w:name w:val="Footer-Even Char1"/>
    <w:qFormat/>
    <w:uiPriority w:val="0"/>
    <w:rPr>
      <w:rFonts w:eastAsia="宋体"/>
      <w:kern w:val="2"/>
      <w:sz w:val="18"/>
      <w:szCs w:val="18"/>
      <w:lang w:val="en-US" w:eastAsia="zh-CN" w:bidi="ar-SA"/>
    </w:rPr>
  </w:style>
  <w:style w:type="character" w:customStyle="1" w:styleId="85">
    <w:name w:val="正文1 Char1"/>
    <w:qFormat/>
    <w:uiPriority w:val="0"/>
    <w:rPr>
      <w:rFonts w:ascii="仿宋_GB2312" w:hAnsi="Courier New" w:eastAsia="仿宋_GB2312"/>
      <w:kern w:val="28"/>
      <w:sz w:val="24"/>
      <w:szCs w:val="24"/>
      <w:lang w:val="en-US" w:eastAsia="zh-CN"/>
    </w:rPr>
  </w:style>
  <w:style w:type="character" w:customStyle="1" w:styleId="86">
    <w:name w:val="正文缩进 Char2"/>
    <w:link w:val="16"/>
    <w:qFormat/>
    <w:uiPriority w:val="0"/>
    <w:rPr>
      <w:rFonts w:ascii="宋体" w:eastAsia="宋体"/>
      <w:snapToGrid w:val="0"/>
      <w:color w:val="000000"/>
      <w:kern w:val="28"/>
      <w:sz w:val="28"/>
      <w:lang w:val="en-US" w:eastAsia="zh-CN" w:bidi="ar-SA"/>
    </w:rPr>
  </w:style>
  <w:style w:type="character" w:customStyle="1" w:styleId="87">
    <w:name w:val="font21"/>
    <w:qFormat/>
    <w:uiPriority w:val="0"/>
    <w:rPr>
      <w:rFonts w:hint="eastAsia" w:ascii="宋体" w:hAnsi="宋体" w:eastAsia="宋体"/>
      <w:kern w:val="2"/>
      <w:sz w:val="28"/>
      <w:szCs w:val="28"/>
      <w:lang w:val="en-US" w:eastAsia="zh-CN" w:bidi="ar-SA"/>
    </w:rPr>
  </w:style>
  <w:style w:type="character" w:customStyle="1" w:styleId="88">
    <w:name w:val="PI Char"/>
    <w:qFormat/>
    <w:uiPriority w:val="0"/>
    <w:rPr>
      <w:rFonts w:ascii="宋体" w:hAnsi="宋体" w:eastAsia="宋体"/>
      <w:kern w:val="2"/>
      <w:sz w:val="24"/>
      <w:szCs w:val="24"/>
      <w:lang w:val="en-US" w:eastAsia="zh-CN" w:bidi="ar-SA"/>
    </w:rPr>
  </w:style>
  <w:style w:type="character" w:customStyle="1" w:styleId="89">
    <w:name w:val="正文首行缩进 2 Char"/>
    <w:qFormat/>
    <w:uiPriority w:val="0"/>
    <w:rPr>
      <w:rFonts w:ascii="宋体" w:hAnsi="宋体"/>
      <w:kern w:val="2"/>
      <w:sz w:val="21"/>
      <w:szCs w:val="24"/>
    </w:rPr>
  </w:style>
  <w:style w:type="character" w:customStyle="1" w:styleId="90">
    <w:name w:val="pt141"/>
    <w:qFormat/>
    <w:uiPriority w:val="0"/>
    <w:rPr>
      <w:color w:val="330066"/>
      <w:sz w:val="22"/>
      <w:szCs w:val="22"/>
    </w:rPr>
  </w:style>
  <w:style w:type="character" w:customStyle="1" w:styleId="91">
    <w:name w:val="正文 编号 Char"/>
    <w:qFormat/>
    <w:uiPriority w:val="0"/>
    <w:rPr>
      <w:rFonts w:ascii="仿宋_GB2312" w:hAnsi="仿宋_GB2312" w:eastAsia="仿宋_GB2312"/>
      <w:kern w:val="2"/>
      <w:sz w:val="24"/>
      <w:lang w:bidi="ar-SA"/>
    </w:rPr>
  </w:style>
  <w:style w:type="character" w:customStyle="1" w:styleId="92">
    <w:name w:val="unnamed11"/>
    <w:qFormat/>
    <w:uiPriority w:val="0"/>
    <w:rPr>
      <w:sz w:val="20"/>
      <w:szCs w:val="20"/>
    </w:rPr>
  </w:style>
  <w:style w:type="character" w:customStyle="1" w:styleId="93">
    <w:name w:val="DO_NOT_TRANSLATE"/>
    <w:qFormat/>
    <w:uiPriority w:val="0"/>
    <w:rPr>
      <w:rFonts w:ascii="Courier New" w:hAnsi="Courier New" w:cs="Courier New"/>
      <w:color w:val="800000"/>
      <w:lang w:val="en-US" w:eastAsia="zh-CN"/>
    </w:rPr>
  </w:style>
  <w:style w:type="character" w:customStyle="1" w:styleId="94">
    <w:name w:val="正文首行缩进 Char"/>
    <w:link w:val="24"/>
    <w:qFormat/>
    <w:uiPriority w:val="0"/>
    <w:rPr>
      <w:rFonts w:ascii="宋体"/>
      <w:kern w:val="2"/>
      <w:sz w:val="24"/>
      <w:lang w:val="zh-CN"/>
    </w:rPr>
  </w:style>
  <w:style w:type="character" w:customStyle="1" w:styleId="95">
    <w:name w:val="正文（缩进2汉字） Char"/>
    <w:link w:val="96"/>
    <w:qFormat/>
    <w:uiPriority w:val="0"/>
    <w:rPr>
      <w:rFonts w:ascii="宋体"/>
    </w:rPr>
  </w:style>
  <w:style w:type="paragraph" w:customStyle="1" w:styleId="96">
    <w:name w:val="正文（缩进2汉字）"/>
    <w:basedOn w:val="1"/>
    <w:link w:val="9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97">
    <w:name w:val="solutionfonts"/>
    <w:qFormat/>
    <w:uiPriority w:val="0"/>
  </w:style>
  <w:style w:type="character" w:customStyle="1" w:styleId="98">
    <w:name w:val="正文文本缩进 3 Char"/>
    <w:link w:val="51"/>
    <w:qFormat/>
    <w:uiPriority w:val="0"/>
    <w:rPr>
      <w:kern w:val="2"/>
      <w:sz w:val="24"/>
    </w:rPr>
  </w:style>
  <w:style w:type="character" w:customStyle="1" w:styleId="99">
    <w:name w:val="公文正文 Char"/>
    <w:qFormat/>
    <w:uiPriority w:val="0"/>
    <w:rPr>
      <w:rFonts w:ascii="仿宋_GB2312" w:eastAsia="仿宋_GB2312"/>
      <w:kern w:val="2"/>
      <w:sz w:val="24"/>
      <w:szCs w:val="24"/>
      <w:lang w:val="en-US" w:eastAsia="zh-CN" w:bidi="ar-SA"/>
    </w:rPr>
  </w:style>
  <w:style w:type="character" w:customStyle="1" w:styleId="100">
    <w:name w:val="Font Style82"/>
    <w:qFormat/>
    <w:uiPriority w:val="99"/>
    <w:rPr>
      <w:rFonts w:ascii="宋体" w:eastAsia="宋体" w:cs="宋体"/>
      <w:color w:val="000000"/>
      <w:sz w:val="14"/>
      <w:szCs w:val="14"/>
    </w:rPr>
  </w:style>
  <w:style w:type="character" w:customStyle="1" w:styleId="101">
    <w:name w:val="标题 2 Char"/>
    <w:qFormat/>
    <w:uiPriority w:val="0"/>
    <w:rPr>
      <w:rFonts w:ascii="Arial" w:hAnsi="Arial" w:eastAsia="黑体"/>
      <w:b/>
      <w:kern w:val="2"/>
      <w:sz w:val="32"/>
      <w:lang w:val="en-US" w:eastAsia="zh-CN"/>
    </w:rPr>
  </w:style>
  <w:style w:type="character" w:customStyle="1" w:styleId="102">
    <w:name w:val="Balloon Text Char"/>
    <w:semiHidden/>
    <w:qFormat/>
    <w:locked/>
    <w:uiPriority w:val="0"/>
    <w:rPr>
      <w:rFonts w:eastAsia="宋体"/>
      <w:kern w:val="2"/>
      <w:sz w:val="18"/>
      <w:szCs w:val="18"/>
      <w:lang w:val="en-US" w:eastAsia="zh-CN" w:bidi="ar-SA"/>
    </w:rPr>
  </w:style>
  <w:style w:type="character" w:customStyle="1" w:styleId="103">
    <w:name w:val="tw4winTerm"/>
    <w:qFormat/>
    <w:uiPriority w:val="0"/>
    <w:rPr>
      <w:color w:val="0000FF"/>
    </w:rPr>
  </w:style>
  <w:style w:type="character" w:customStyle="1" w:styleId="104">
    <w:name w:val="px14"/>
    <w:qFormat/>
    <w:uiPriority w:val="0"/>
    <w:rPr>
      <w:rFonts w:ascii="仿宋_GB2312" w:eastAsia="微软雅黑" w:cs="Times New Roman"/>
      <w:b/>
      <w:kern w:val="2"/>
      <w:sz w:val="32"/>
      <w:szCs w:val="32"/>
      <w:lang w:val="en-US" w:eastAsia="zh-CN" w:bidi="ar-SA"/>
    </w:rPr>
  </w:style>
  <w:style w:type="character" w:customStyle="1" w:styleId="10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06">
    <w:name w:val="副标题 Char1"/>
    <w:qFormat/>
    <w:uiPriority w:val="0"/>
    <w:rPr>
      <w:rFonts w:ascii="Cambria" w:hAnsi="Cambria" w:eastAsia="宋体" w:cs="Times New Roman"/>
      <w:b/>
      <w:bCs/>
      <w:snapToGrid w:val="0"/>
      <w:kern w:val="28"/>
      <w:sz w:val="32"/>
      <w:szCs w:val="32"/>
    </w:rPr>
  </w:style>
  <w:style w:type="character" w:customStyle="1" w:styleId="107">
    <w:name w:val="Header Char"/>
    <w:semiHidden/>
    <w:qFormat/>
    <w:locked/>
    <w:uiPriority w:val="0"/>
    <w:rPr>
      <w:rFonts w:eastAsia="宋体"/>
      <w:kern w:val="2"/>
      <w:sz w:val="18"/>
      <w:szCs w:val="18"/>
      <w:lang w:val="en-US" w:eastAsia="zh-CN" w:bidi="ar-SA"/>
    </w:rPr>
  </w:style>
  <w:style w:type="character" w:customStyle="1" w:styleId="108">
    <w:name w:val="tw4winExternal"/>
    <w:qFormat/>
    <w:uiPriority w:val="0"/>
    <w:rPr>
      <w:rFonts w:ascii="Courier New" w:hAnsi="Courier New" w:cs="Courier New"/>
      <w:color w:val="808080"/>
      <w:lang w:val="en-US" w:eastAsia="zh-CN"/>
    </w:rPr>
  </w:style>
  <w:style w:type="character" w:customStyle="1" w:styleId="109">
    <w:name w:val="正文首行缩进两字 Char"/>
    <w:qFormat/>
    <w:uiPriority w:val="0"/>
    <w:rPr>
      <w:sz w:val="24"/>
      <w:szCs w:val="24"/>
      <w:lang w:val="en-US" w:eastAsia="zh-CN" w:bidi="ar-SA"/>
    </w:rPr>
  </w:style>
  <w:style w:type="character" w:customStyle="1" w:styleId="110">
    <w:name w:val="Comment Text Char"/>
    <w:semiHidden/>
    <w:qFormat/>
    <w:locked/>
    <w:uiPriority w:val="0"/>
    <w:rPr>
      <w:rFonts w:ascii="宋体" w:hAnsi="宋体" w:eastAsia="宋体"/>
      <w:kern w:val="2"/>
      <w:sz w:val="24"/>
      <w:lang w:val="en-US" w:eastAsia="zh-CN" w:bidi="ar-SA"/>
    </w:rPr>
  </w:style>
  <w:style w:type="character" w:customStyle="1" w:styleId="111">
    <w:name w:val="bookmark-item"/>
    <w:basedOn w:val="59"/>
    <w:qFormat/>
    <w:uiPriority w:val="0"/>
  </w:style>
  <w:style w:type="character" w:customStyle="1" w:styleId="112">
    <w:name w:val="hei16b1"/>
    <w:qFormat/>
    <w:uiPriority w:val="0"/>
    <w:rPr>
      <w:rFonts w:hint="default" w:ascii="Arial" w:hAnsi="Arial" w:cs="Arial"/>
      <w:b/>
      <w:bCs/>
      <w:color w:val="000000"/>
      <w:sz w:val="24"/>
      <w:szCs w:val="24"/>
    </w:rPr>
  </w:style>
  <w:style w:type="character" w:customStyle="1" w:styleId="113">
    <w:name w:val="正文文本缩进 Char1"/>
    <w:qFormat/>
    <w:uiPriority w:val="0"/>
    <w:rPr>
      <w:rFonts w:ascii="宋体" w:hAnsi="宋体"/>
      <w:kern w:val="2"/>
      <w:sz w:val="24"/>
      <w:szCs w:val="24"/>
    </w:rPr>
  </w:style>
  <w:style w:type="character" w:customStyle="1" w:styleId="114">
    <w:name w:val="正文2 Char"/>
    <w:qFormat/>
    <w:uiPriority w:val="0"/>
    <w:rPr>
      <w:rFonts w:eastAsia="宋体"/>
      <w:kern w:val="2"/>
      <w:sz w:val="24"/>
      <w:lang w:val="en-US" w:eastAsia="zh-CN" w:bidi="ar-SA"/>
    </w:rPr>
  </w:style>
  <w:style w:type="character" w:customStyle="1" w:styleId="115">
    <w:name w:val="h Char Char1"/>
    <w:qFormat/>
    <w:uiPriority w:val="0"/>
    <w:rPr>
      <w:rFonts w:eastAsia="宋体"/>
      <w:kern w:val="2"/>
      <w:sz w:val="18"/>
      <w:szCs w:val="18"/>
      <w:lang w:val="en-US" w:eastAsia="zh-CN" w:bidi="ar-SA"/>
    </w:rPr>
  </w:style>
  <w:style w:type="character" w:customStyle="1" w:styleId="116">
    <w:name w:val="正文 项目 Char"/>
    <w:qFormat/>
    <w:uiPriority w:val="0"/>
    <w:rPr>
      <w:rFonts w:ascii="仿宋_GB2312" w:hAnsi="仿宋_GB2312" w:eastAsia="仿宋_GB2312"/>
      <w:kern w:val="2"/>
      <w:sz w:val="24"/>
      <w:lang w:bidi="ar-SA"/>
    </w:rPr>
  </w:style>
  <w:style w:type="character" w:customStyle="1" w:styleId="117">
    <w:name w:val="正文 项目2 Char"/>
    <w:basedOn w:val="116"/>
    <w:qFormat/>
    <w:uiPriority w:val="0"/>
  </w:style>
  <w:style w:type="character" w:customStyle="1" w:styleId="118">
    <w:name w:val="插图说明 Char"/>
    <w:qFormat/>
    <w:uiPriority w:val="0"/>
    <w:rPr>
      <w:rFonts w:eastAsia="黑体"/>
      <w:sz w:val="24"/>
      <w:lang w:val="en-US" w:eastAsia="zh-CN"/>
    </w:rPr>
  </w:style>
  <w:style w:type="character" w:customStyle="1" w:styleId="119">
    <w:name w:val="标题 8 Char"/>
    <w:link w:val="10"/>
    <w:qFormat/>
    <w:uiPriority w:val="0"/>
    <w:rPr>
      <w:rFonts w:ascii="Arial" w:hAnsi="Arial" w:eastAsia="黑体"/>
      <w:kern w:val="2"/>
      <w:sz w:val="24"/>
      <w:szCs w:val="24"/>
    </w:rPr>
  </w:style>
  <w:style w:type="character" w:customStyle="1" w:styleId="120">
    <w:name w:val="Char Char6"/>
    <w:qFormat/>
    <w:uiPriority w:val="0"/>
    <w:rPr>
      <w:rFonts w:eastAsia="宋体"/>
      <w:kern w:val="2"/>
      <w:sz w:val="21"/>
      <w:szCs w:val="24"/>
      <w:lang w:val="en-US" w:eastAsia="zh-CN" w:bidi="ar-SA"/>
    </w:rPr>
  </w:style>
  <w:style w:type="character" w:customStyle="1" w:styleId="121">
    <w:name w:val="日期 Char"/>
    <w:link w:val="36"/>
    <w:qFormat/>
    <w:uiPriority w:val="0"/>
    <w:rPr>
      <w:rFonts w:ascii="宋体"/>
      <w:kern w:val="2"/>
      <w:sz w:val="24"/>
      <w:szCs w:val="21"/>
      <w:lang w:val="zh-CN"/>
    </w:rPr>
  </w:style>
  <w:style w:type="character" w:customStyle="1" w:styleId="122">
    <w:name w:val="标题4-dyf Char"/>
    <w:link w:val="123"/>
    <w:qFormat/>
    <w:uiPriority w:val="0"/>
    <w:rPr>
      <w:rFonts w:ascii="Cambria" w:hAnsi="Cambria"/>
      <w:b/>
      <w:bCs/>
      <w:color w:val="000000"/>
      <w:kern w:val="2"/>
      <w:sz w:val="21"/>
      <w:szCs w:val="21"/>
    </w:rPr>
  </w:style>
  <w:style w:type="paragraph" w:customStyle="1" w:styleId="123">
    <w:name w:val="标题4-dyf"/>
    <w:basedOn w:val="6"/>
    <w:link w:val="12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24">
    <w:name w:val="正文文本 Char1"/>
    <w:link w:val="23"/>
    <w:semiHidden/>
    <w:qFormat/>
    <w:uiPriority w:val="0"/>
    <w:rPr>
      <w:rFonts w:ascii="宋体" w:hAnsi="Arial" w:eastAsia="宋体" w:cs="Arial"/>
      <w:snapToGrid w:val="0"/>
      <w:kern w:val="2"/>
      <w:sz w:val="24"/>
      <w:szCs w:val="21"/>
      <w:lang w:val="zh-CN" w:eastAsia="zh-CN" w:bidi="ar-SA"/>
    </w:rPr>
  </w:style>
  <w:style w:type="character" w:customStyle="1" w:styleId="125">
    <w:name w:val="Body Text(ch) Char Char"/>
    <w:qFormat/>
    <w:uiPriority w:val="0"/>
    <w:rPr>
      <w:rFonts w:ascii="宋体"/>
      <w:kern w:val="2"/>
      <w:sz w:val="24"/>
      <w:szCs w:val="21"/>
      <w:lang w:val="zh-CN"/>
    </w:rPr>
  </w:style>
  <w:style w:type="character" w:customStyle="1" w:styleId="126">
    <w:name w:val="标题 7 Char"/>
    <w:link w:val="9"/>
    <w:qFormat/>
    <w:uiPriority w:val="0"/>
    <w:rPr>
      <w:b/>
      <w:bCs/>
      <w:kern w:val="2"/>
      <w:sz w:val="24"/>
      <w:szCs w:val="24"/>
    </w:rPr>
  </w:style>
  <w:style w:type="character" w:customStyle="1" w:styleId="127">
    <w:name w:val="gray6"/>
    <w:basedOn w:val="59"/>
    <w:qFormat/>
    <w:uiPriority w:val="0"/>
  </w:style>
  <w:style w:type="character" w:customStyle="1" w:styleId="128">
    <w:name w:val="blue1"/>
    <w:basedOn w:val="59"/>
    <w:qFormat/>
    <w:uiPriority w:val="0"/>
  </w:style>
  <w:style w:type="character" w:customStyle="1" w:styleId="129">
    <w:name w:val="纯文本 字符"/>
    <w:qFormat/>
    <w:uiPriority w:val="0"/>
    <w:rPr>
      <w:rFonts w:ascii="宋体" w:hAnsi="Courier New" w:eastAsia="宋体" w:cs="Arial"/>
      <w:snapToGrid/>
      <w:kern w:val="2"/>
      <w:sz w:val="21"/>
      <w:szCs w:val="21"/>
      <w:lang w:val="en-US" w:eastAsia="zh-CN" w:bidi="ar-SA"/>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页眉 Char1"/>
    <w:qFormat/>
    <w:uiPriority w:val="0"/>
    <w:rPr>
      <w:rFonts w:eastAsia="宋体"/>
      <w:kern w:val="2"/>
      <w:sz w:val="18"/>
      <w:szCs w:val="18"/>
      <w:lang w:val="en-US" w:eastAsia="zh-CN" w:bidi="ar-SA"/>
    </w:rPr>
  </w:style>
  <w:style w:type="character" w:customStyle="1" w:styleId="132">
    <w:name w:val="纯文本 Char Char Char"/>
    <w:qFormat/>
    <w:uiPriority w:val="0"/>
    <w:rPr>
      <w:rFonts w:ascii="宋体" w:hAnsi="Courier New" w:eastAsia="宋体"/>
      <w:kern w:val="2"/>
      <w:sz w:val="21"/>
      <w:lang w:val="en-US" w:eastAsia="zh-CN" w:bidi="ar-SA"/>
    </w:rPr>
  </w:style>
  <w:style w:type="character" w:customStyle="1" w:styleId="133">
    <w:name w:val="样式8 Char"/>
    <w:qFormat/>
    <w:uiPriority w:val="0"/>
    <w:rPr>
      <w:rFonts w:ascii="仿宋_GB2312" w:hAnsi="宋体" w:eastAsia="仿宋_GB2312"/>
      <w:b/>
      <w:bCs/>
      <w:kern w:val="2"/>
      <w:sz w:val="24"/>
      <w:szCs w:val="24"/>
    </w:rPr>
  </w:style>
  <w:style w:type="character" w:customStyle="1" w:styleId="134">
    <w:name w:val="content"/>
    <w:qFormat/>
    <w:uiPriority w:val="0"/>
  </w:style>
  <w:style w:type="character" w:customStyle="1" w:styleId="135">
    <w:name w:val="f141"/>
    <w:qFormat/>
    <w:uiPriority w:val="0"/>
    <w:rPr>
      <w:rFonts w:ascii="Tahoma" w:hAnsi="Tahoma" w:eastAsia="宋体"/>
      <w:b/>
      <w:kern w:val="2"/>
      <w:sz w:val="21"/>
      <w:szCs w:val="21"/>
      <w:lang w:val="en-US" w:eastAsia="zh-CN" w:bidi="ar-SA"/>
    </w:rPr>
  </w:style>
  <w:style w:type="character" w:customStyle="1" w:styleId="136">
    <w:name w:val="b11_01b Char"/>
    <w:link w:val="137"/>
    <w:qFormat/>
    <w:uiPriority w:val="0"/>
    <w:rPr>
      <w:rFonts w:ascii="Verdana" w:hAnsi="Verdana"/>
      <w:b/>
      <w:bCs/>
      <w:color w:val="4A82CA"/>
      <w:sz w:val="17"/>
      <w:szCs w:val="17"/>
    </w:rPr>
  </w:style>
  <w:style w:type="paragraph" w:customStyle="1" w:styleId="137">
    <w:name w:val="b11_01b"/>
    <w:basedOn w:val="1"/>
    <w:next w:val="1"/>
    <w:link w:val="13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38">
    <w:name w:val="Char Char5"/>
    <w:qFormat/>
    <w:uiPriority w:val="0"/>
    <w:rPr>
      <w:rFonts w:ascii="宋体" w:hAnsi="Courier New" w:eastAsia="宋体"/>
      <w:kern w:val="2"/>
      <w:sz w:val="21"/>
      <w:lang w:val="en-US" w:eastAsia="zh-CN"/>
    </w:rPr>
  </w:style>
  <w:style w:type="character" w:customStyle="1" w:styleId="139">
    <w:name w:val="题注 Char"/>
    <w:link w:val="17"/>
    <w:qFormat/>
    <w:uiPriority w:val="0"/>
    <w:rPr>
      <w:b/>
      <w:kern w:val="2"/>
      <w:sz w:val="28"/>
    </w:rPr>
  </w:style>
  <w:style w:type="character" w:customStyle="1" w:styleId="140">
    <w:name w:val="myp1111"/>
    <w:qFormat/>
    <w:uiPriority w:val="0"/>
    <w:rPr>
      <w:rFonts w:hint="default" w:ascii="ˎ̥" w:hAnsi="ˎ̥"/>
      <w:color w:val="000000"/>
      <w:sz w:val="20"/>
      <w:szCs w:val="20"/>
      <w:u w:val="none"/>
    </w:rPr>
  </w:style>
  <w:style w:type="character" w:customStyle="1" w:styleId="141">
    <w:name w:val="HTML 预设格式 Char"/>
    <w:link w:val="55"/>
    <w:qFormat/>
    <w:uiPriority w:val="0"/>
    <w:rPr>
      <w:rFonts w:ascii="黑体" w:hAnsi="Courier New" w:eastAsia="黑体"/>
    </w:rPr>
  </w:style>
  <w:style w:type="character" w:customStyle="1" w:styleId="142">
    <w:name w:val="标书1 Char"/>
    <w:qFormat/>
    <w:uiPriority w:val="0"/>
    <w:rPr>
      <w:rFonts w:eastAsia="宋体"/>
      <w:b/>
      <w:bCs/>
      <w:kern w:val="44"/>
      <w:sz w:val="44"/>
      <w:szCs w:val="44"/>
      <w:lang w:val="en-US" w:eastAsia="zh-CN" w:bidi="ar-SA"/>
    </w:rPr>
  </w:style>
  <w:style w:type="character" w:customStyle="1" w:styleId="143">
    <w:name w:val="Heading 7 Char"/>
    <w:qFormat/>
    <w:locked/>
    <w:uiPriority w:val="0"/>
    <w:rPr>
      <w:rFonts w:ascii="宋体" w:hAnsi="宋体" w:eastAsia="宋体"/>
      <w:b/>
      <w:bCs/>
      <w:kern w:val="2"/>
      <w:sz w:val="24"/>
      <w:szCs w:val="24"/>
      <w:lang w:val="en-US" w:eastAsia="zh-CN" w:bidi="ar-SA"/>
    </w:rPr>
  </w:style>
  <w:style w:type="character" w:customStyle="1" w:styleId="144">
    <w:name w:val="普通文字 Char Char1"/>
    <w:qFormat/>
    <w:uiPriority w:val="0"/>
    <w:rPr>
      <w:rFonts w:ascii="宋体" w:hAnsi="Courier New"/>
      <w:kern w:val="2"/>
      <w:sz w:val="21"/>
    </w:rPr>
  </w:style>
  <w:style w:type="character" w:customStyle="1" w:styleId="145">
    <w:name w:val="Char Char"/>
    <w:qFormat/>
    <w:uiPriority w:val="0"/>
    <w:rPr>
      <w:rFonts w:ascii="宋体" w:hAnsi="Courier New" w:eastAsia="宋体"/>
      <w:kern w:val="2"/>
      <w:sz w:val="21"/>
      <w:lang w:val="en-US" w:eastAsia="zh-CN" w:bidi="ar-SA"/>
    </w:rPr>
  </w:style>
  <w:style w:type="character" w:customStyle="1" w:styleId="146">
    <w:name w:val="Char Char2"/>
    <w:qFormat/>
    <w:uiPriority w:val="0"/>
    <w:rPr>
      <w:rFonts w:eastAsia="宋体"/>
      <w:b/>
      <w:bCs/>
      <w:kern w:val="2"/>
      <w:sz w:val="21"/>
      <w:szCs w:val="24"/>
      <w:lang w:val="en-US" w:eastAsia="zh-CN" w:bidi="ar-SA"/>
    </w:rPr>
  </w:style>
  <w:style w:type="character" w:customStyle="1" w:styleId="147">
    <w:name w:val="标题 1 Char"/>
    <w:link w:val="3"/>
    <w:qFormat/>
    <w:uiPriority w:val="0"/>
    <w:rPr>
      <w:b/>
      <w:bCs/>
      <w:kern w:val="44"/>
      <w:sz w:val="44"/>
      <w:szCs w:val="44"/>
    </w:rPr>
  </w:style>
  <w:style w:type="character" w:customStyle="1" w:styleId="148">
    <w:name w:val="普通文字 Char3"/>
    <w:qFormat/>
    <w:uiPriority w:val="0"/>
    <w:rPr>
      <w:rFonts w:ascii="宋体" w:hAnsi="Courier New" w:eastAsia="宋体"/>
      <w:kern w:val="2"/>
      <w:sz w:val="21"/>
      <w:lang w:val="en-US" w:eastAsia="zh-CN" w:bidi="ar-SA"/>
    </w:rPr>
  </w:style>
  <w:style w:type="character" w:customStyle="1" w:styleId="149">
    <w:name w:val="unnamed31"/>
    <w:qFormat/>
    <w:uiPriority w:val="0"/>
    <w:rPr>
      <w:rFonts w:ascii="Tahoma" w:hAnsi="Tahoma" w:eastAsia="宋体"/>
      <w:b/>
      <w:kern w:val="2"/>
      <w:sz w:val="24"/>
      <w:szCs w:val="32"/>
      <w:u w:val="none"/>
      <w:lang w:val="en-US" w:eastAsia="zh-CN" w:bidi="ar-SA"/>
    </w:rPr>
  </w:style>
  <w:style w:type="character" w:customStyle="1" w:styleId="150">
    <w:name w:val="标书正文格式 Char"/>
    <w:qFormat/>
    <w:uiPriority w:val="0"/>
    <w:rPr>
      <w:rFonts w:eastAsia="楷体_GB2312"/>
      <w:kern w:val="2"/>
      <w:sz w:val="24"/>
      <w:szCs w:val="24"/>
      <w:lang w:bidi="ar-SA"/>
    </w:rPr>
  </w:style>
  <w:style w:type="character" w:customStyle="1" w:styleId="15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2">
    <w:name w:val="页眉 Char"/>
    <w:qFormat/>
    <w:uiPriority w:val="99"/>
    <w:rPr>
      <w:rFonts w:eastAsia="仿宋_GB2312"/>
      <w:kern w:val="2"/>
      <w:sz w:val="18"/>
      <w:lang w:val="en-US" w:eastAsia="zh-CN"/>
    </w:rPr>
  </w:style>
  <w:style w:type="character" w:customStyle="1" w:styleId="153">
    <w:name w:val="称呼 Char"/>
    <w:link w:val="21"/>
    <w:qFormat/>
    <w:uiPriority w:val="0"/>
    <w:rPr>
      <w:rFonts w:ascii="仿宋_GB2312" w:eastAsia="仿宋_GB2312"/>
      <w:kern w:val="2"/>
      <w:sz w:val="28"/>
    </w:rPr>
  </w:style>
  <w:style w:type="character" w:customStyle="1" w:styleId="154">
    <w:name w:val="纯文本 Char1"/>
    <w:link w:val="155"/>
    <w:qFormat/>
    <w:uiPriority w:val="0"/>
    <w:rPr>
      <w:rFonts w:ascii="宋体" w:hAnsi="Courier New"/>
    </w:rPr>
  </w:style>
  <w:style w:type="paragraph" w:customStyle="1" w:styleId="155">
    <w:name w:val="纯文本1"/>
    <w:basedOn w:val="1"/>
    <w:link w:val="154"/>
    <w:qFormat/>
    <w:uiPriority w:val="0"/>
    <w:pPr>
      <w:adjustRightInd/>
    </w:pPr>
    <w:rPr>
      <w:rFonts w:ascii="宋体" w:hAnsi="Courier New"/>
      <w:kern w:val="0"/>
      <w:sz w:val="20"/>
      <w:szCs w:val="20"/>
    </w:rPr>
  </w:style>
  <w:style w:type="character" w:customStyle="1" w:styleId="156">
    <w:name w:val="带编号样式 Char"/>
    <w:qFormat/>
    <w:uiPriority w:val="0"/>
    <w:rPr>
      <w:rFonts w:ascii="仿宋_GB2312" w:eastAsia="仿宋_GB2312"/>
      <w:color w:val="000000"/>
      <w:sz w:val="24"/>
      <w:lang w:bidi="ar-SA"/>
    </w:rPr>
  </w:style>
  <w:style w:type="character" w:customStyle="1" w:styleId="157">
    <w:name w:val="ca-131"/>
    <w:qFormat/>
    <w:uiPriority w:val="0"/>
    <w:rPr>
      <w:rFonts w:hint="eastAsia" w:ascii="仿宋_GB2312" w:eastAsia="仿宋_GB2312"/>
      <w:b/>
      <w:bCs/>
      <w:color w:val="000000"/>
      <w:spacing w:val="-20"/>
      <w:sz w:val="24"/>
      <w:szCs w:val="24"/>
    </w:rPr>
  </w:style>
  <w:style w:type="character" w:customStyle="1" w:styleId="158">
    <w:name w:val="正文首行缩进 Char Char Char Char Char Char"/>
    <w:qFormat/>
    <w:uiPriority w:val="0"/>
    <w:rPr>
      <w:rFonts w:ascii="宋体" w:eastAsia="宋体"/>
      <w:kern w:val="2"/>
      <w:sz w:val="24"/>
      <w:lang w:val="zh-CN" w:bidi="ar-SA"/>
    </w:rPr>
  </w:style>
  <w:style w:type="character" w:customStyle="1" w:styleId="159">
    <w:name w:val="Char Char12"/>
    <w:qFormat/>
    <w:uiPriority w:val="0"/>
    <w:rPr>
      <w:rFonts w:ascii="仿宋_GB2312" w:eastAsia="仿宋_GB2312"/>
      <w:b/>
      <w:bCs/>
      <w:kern w:val="2"/>
      <w:sz w:val="24"/>
      <w:szCs w:val="24"/>
      <w:lang w:val="zh-CN" w:eastAsia="zh-CN" w:bidi="ar-SA"/>
    </w:rPr>
  </w:style>
  <w:style w:type="character" w:customStyle="1" w:styleId="160">
    <w:name w:val="标题 4 Char"/>
    <w:link w:val="6"/>
    <w:qFormat/>
    <w:uiPriority w:val="0"/>
    <w:rPr>
      <w:rFonts w:ascii="Arial" w:hAnsi="Arial" w:eastAsia="黑体"/>
      <w:b/>
      <w:bCs/>
      <w:kern w:val="2"/>
      <w:sz w:val="28"/>
      <w:szCs w:val="28"/>
      <w:lang w:val="zh-CN"/>
    </w:rPr>
  </w:style>
  <w:style w:type="character" w:customStyle="1" w:styleId="161">
    <w:name w:val="标题 2 Char Char"/>
    <w:qFormat/>
    <w:uiPriority w:val="0"/>
    <w:rPr>
      <w:rFonts w:ascii="楷体_GB2312" w:hAnsi="Arial" w:eastAsia="楷体_GB2312"/>
      <w:b/>
      <w:bCs/>
      <w:kern w:val="2"/>
      <w:sz w:val="24"/>
      <w:szCs w:val="32"/>
      <w:lang w:val="en-US" w:eastAsia="zh-CN" w:bidi="ar-SA"/>
    </w:rPr>
  </w:style>
  <w:style w:type="character" w:customStyle="1" w:styleId="162">
    <w:name w:val="tw4winError"/>
    <w:qFormat/>
    <w:uiPriority w:val="0"/>
    <w:rPr>
      <w:rFonts w:ascii="Courier New" w:hAnsi="Courier New" w:cs="Courier New"/>
      <w:color w:val="00FF00"/>
      <w:sz w:val="40"/>
      <w:szCs w:val="40"/>
    </w:rPr>
  </w:style>
  <w:style w:type="character" w:customStyle="1" w:styleId="163">
    <w:name w:val="Char Char4"/>
    <w:qFormat/>
    <w:uiPriority w:val="0"/>
    <w:rPr>
      <w:rFonts w:eastAsia="宋体"/>
      <w:b/>
      <w:sz w:val="24"/>
      <w:lang w:val="en-GB" w:eastAsia="zh-CN" w:bidi="ar-SA"/>
    </w:rPr>
  </w:style>
  <w:style w:type="character" w:customStyle="1" w:styleId="164">
    <w:name w:val="Char Char10"/>
    <w:semiHidden/>
    <w:qFormat/>
    <w:uiPriority w:val="0"/>
    <w:rPr>
      <w:rFonts w:ascii="宋体" w:hAnsi="宋体"/>
      <w:kern w:val="2"/>
      <w:sz w:val="21"/>
      <w:szCs w:val="24"/>
      <w:lang w:val="en-US" w:eastAsia="zh-CN"/>
    </w:rPr>
  </w:style>
  <w:style w:type="character" w:customStyle="1" w:styleId="165">
    <w:name w:val="Ò³Ã¼ Char Char"/>
    <w:qFormat/>
    <w:uiPriority w:val="0"/>
    <w:rPr>
      <w:rFonts w:eastAsia="宋体"/>
      <w:kern w:val="2"/>
      <w:sz w:val="18"/>
      <w:lang w:val="en-US" w:eastAsia="zh-CN" w:bidi="ar-SA"/>
    </w:rPr>
  </w:style>
  <w:style w:type="character" w:customStyle="1" w:styleId="166">
    <w:name w:val="页脚 Char1"/>
    <w:qFormat/>
    <w:uiPriority w:val="0"/>
    <w:rPr>
      <w:rFonts w:eastAsia="宋体"/>
      <w:kern w:val="2"/>
      <w:sz w:val="18"/>
      <w:szCs w:val="18"/>
      <w:lang w:val="en-US" w:eastAsia="zh-CN" w:bidi="ar-SA"/>
    </w:rPr>
  </w:style>
  <w:style w:type="character" w:customStyle="1" w:styleId="167">
    <w:name w:val="c7 style3"/>
    <w:qFormat/>
    <w:uiPriority w:val="0"/>
  </w:style>
  <w:style w:type="character" w:customStyle="1" w:styleId="168">
    <w:name w:val="标准正文格式 Char"/>
    <w:qFormat/>
    <w:uiPriority w:val="0"/>
    <w:rPr>
      <w:rFonts w:ascii="宋体" w:eastAsia="仿宋_GB2312" w:cs="宋体"/>
      <w:color w:val="000000"/>
      <w:sz w:val="24"/>
      <w:lang w:val="en-US" w:eastAsia="zh-CN" w:bidi="ar-SA"/>
    </w:rPr>
  </w:style>
  <w:style w:type="character" w:customStyle="1" w:styleId="169">
    <w:name w:val="javascript"/>
    <w:qFormat/>
    <w:uiPriority w:val="0"/>
  </w:style>
  <w:style w:type="character" w:customStyle="1" w:styleId="170">
    <w:name w:val="Char Char11"/>
    <w:qFormat/>
    <w:locked/>
    <w:uiPriority w:val="0"/>
    <w:rPr>
      <w:rFonts w:ascii="宋体" w:hAnsi="宋体" w:eastAsia="宋体"/>
      <w:b/>
      <w:kern w:val="2"/>
      <w:sz w:val="24"/>
      <w:szCs w:val="24"/>
      <w:lang w:val="en-US" w:eastAsia="zh-CN" w:bidi="ar-SA"/>
    </w:rPr>
  </w:style>
  <w:style w:type="character" w:customStyle="1" w:styleId="171">
    <w:name w:val="Char Char51"/>
    <w:qFormat/>
    <w:uiPriority w:val="0"/>
    <w:rPr>
      <w:rFonts w:ascii="宋体" w:hAnsi="Courier New" w:eastAsia="宋体"/>
      <w:kern w:val="2"/>
      <w:sz w:val="21"/>
      <w:lang w:val="en-US" w:eastAsia="zh-CN"/>
    </w:rPr>
  </w:style>
  <w:style w:type="character" w:customStyle="1" w:styleId="172">
    <w:name w:val="标题 3 Char2"/>
    <w:qFormat/>
    <w:uiPriority w:val="0"/>
    <w:rPr>
      <w:rFonts w:eastAsia="宋体"/>
      <w:b/>
      <w:bCs/>
      <w:kern w:val="2"/>
      <w:sz w:val="32"/>
      <w:szCs w:val="32"/>
      <w:lang w:val="en-US" w:eastAsia="zh-CN" w:bidi="ar-SA"/>
    </w:rPr>
  </w:style>
  <w:style w:type="character" w:customStyle="1" w:styleId="173">
    <w:name w:val="h Char Char"/>
    <w:qFormat/>
    <w:uiPriority w:val="0"/>
    <w:rPr>
      <w:rFonts w:eastAsia="宋体"/>
      <w:kern w:val="2"/>
      <w:sz w:val="18"/>
      <w:lang w:val="en-US" w:eastAsia="zh-CN" w:bidi="ar-SA"/>
    </w:rPr>
  </w:style>
  <w:style w:type="character" w:customStyle="1" w:styleId="174">
    <w:name w:val="普通文字 Char1"/>
    <w:qFormat/>
    <w:uiPriority w:val="0"/>
    <w:rPr>
      <w:rFonts w:ascii="宋体" w:hAnsi="Courier New" w:eastAsia="宋体"/>
      <w:kern w:val="2"/>
      <w:sz w:val="21"/>
      <w:lang w:val="en-US" w:eastAsia="zh-CN"/>
    </w:rPr>
  </w:style>
  <w:style w:type="character" w:customStyle="1" w:styleId="175">
    <w:name w:val="Bold"/>
    <w:qFormat/>
    <w:uiPriority w:val="0"/>
    <w:rPr>
      <w:rFonts w:ascii="Arial" w:hAnsi="Arial" w:eastAsia="黑体" w:cs="Times New Roman"/>
      <w:b/>
      <w:kern w:val="2"/>
      <w:sz w:val="32"/>
      <w:szCs w:val="32"/>
      <w:lang w:val="en-US" w:eastAsia="zh-CN" w:bidi="ar-SA"/>
    </w:rPr>
  </w:style>
  <w:style w:type="character" w:customStyle="1" w:styleId="176">
    <w:name w:val="Char Char3"/>
    <w:qFormat/>
    <w:uiPriority w:val="0"/>
    <w:rPr>
      <w:rFonts w:eastAsia="宋体"/>
      <w:kern w:val="2"/>
      <w:sz w:val="21"/>
      <w:szCs w:val="24"/>
      <w:lang w:val="en-US" w:eastAsia="zh-CN" w:bidi="ar-SA"/>
    </w:rPr>
  </w:style>
  <w:style w:type="character" w:customStyle="1" w:styleId="177">
    <w:name w:val="正文文本缩进 2 Char"/>
    <w:link w:val="37"/>
    <w:qFormat/>
    <w:uiPriority w:val="0"/>
    <w:rPr>
      <w:rFonts w:ascii="宋体"/>
      <w:sz w:val="28"/>
    </w:rPr>
  </w:style>
  <w:style w:type="character" w:customStyle="1" w:styleId="178">
    <w:name w:val="正文文本缩进 字符"/>
    <w:qFormat/>
    <w:uiPriority w:val="0"/>
    <w:rPr>
      <w:rFonts w:ascii="宋体" w:hAnsi="宋体"/>
      <w:kern w:val="2"/>
      <w:sz w:val="24"/>
      <w:szCs w:val="24"/>
    </w:rPr>
  </w:style>
  <w:style w:type="character" w:customStyle="1" w:styleId="179">
    <w:name w:val="No Spacing Char"/>
    <w:link w:val="180"/>
    <w:qFormat/>
    <w:uiPriority w:val="1"/>
    <w:rPr>
      <w:rFonts w:ascii="Calibri" w:hAnsi="Calibri"/>
      <w:sz w:val="22"/>
      <w:szCs w:val="22"/>
      <w:lang w:val="en-US" w:eastAsia="zh-CN" w:bidi="ar-SA"/>
    </w:rPr>
  </w:style>
  <w:style w:type="paragraph" w:customStyle="1" w:styleId="180">
    <w:name w:val="无间隔1"/>
    <w:link w:val="179"/>
    <w:qFormat/>
    <w:uiPriority w:val="1"/>
    <w:rPr>
      <w:rFonts w:ascii="Calibri" w:hAnsi="Calibri" w:eastAsia="宋体" w:cs="Times New Roman"/>
      <w:sz w:val="22"/>
      <w:szCs w:val="22"/>
      <w:lang w:val="en-US" w:eastAsia="zh-CN" w:bidi="ar-SA"/>
    </w:rPr>
  </w:style>
  <w:style w:type="character" w:customStyle="1" w:styleId="181">
    <w:name w:val="h3 Char"/>
    <w:qFormat/>
    <w:uiPriority w:val="0"/>
    <w:rPr>
      <w:rFonts w:eastAsia="宋体"/>
      <w:b/>
      <w:kern w:val="2"/>
      <w:sz w:val="32"/>
      <w:lang w:val="en-US" w:eastAsia="zh-CN" w:bidi="ar-SA"/>
    </w:rPr>
  </w:style>
  <w:style w:type="character" w:customStyle="1" w:styleId="182">
    <w:name w:val="Char Char8"/>
    <w:qFormat/>
    <w:uiPriority w:val="0"/>
    <w:rPr>
      <w:rFonts w:eastAsia="宋体"/>
      <w:b/>
      <w:sz w:val="24"/>
      <w:lang w:val="en-GB" w:eastAsia="zh-CN"/>
    </w:rPr>
  </w:style>
  <w:style w:type="character" w:customStyle="1" w:styleId="183">
    <w:name w:val="批注文字 Char"/>
    <w:qFormat/>
    <w:uiPriority w:val="99"/>
    <w:rPr>
      <w:kern w:val="2"/>
      <w:sz w:val="21"/>
      <w:szCs w:val="24"/>
    </w:rPr>
  </w:style>
  <w:style w:type="character" w:customStyle="1" w:styleId="184">
    <w:name w:val="highlight1"/>
    <w:qFormat/>
    <w:uiPriority w:val="0"/>
    <w:rPr>
      <w:rFonts w:ascii="仿宋_GB2312" w:eastAsia="微软雅黑"/>
      <w:b/>
      <w:kern w:val="2"/>
      <w:sz w:val="23"/>
      <w:szCs w:val="23"/>
      <w:lang w:val="en-US" w:eastAsia="zh-CN" w:bidi="ar-SA"/>
    </w:rPr>
  </w:style>
  <w:style w:type="character" w:customStyle="1" w:styleId="185">
    <w:name w:val="style91"/>
    <w:qFormat/>
    <w:uiPriority w:val="0"/>
    <w:rPr>
      <w:color w:val="333333"/>
    </w:rPr>
  </w:style>
  <w:style w:type="character" w:customStyle="1" w:styleId="186">
    <w:name w:val="标题 9 Char"/>
    <w:link w:val="11"/>
    <w:qFormat/>
    <w:uiPriority w:val="0"/>
    <w:rPr>
      <w:rFonts w:ascii="Arial" w:hAnsi="Arial" w:eastAsia="黑体"/>
      <w:kern w:val="2"/>
      <w:sz w:val="21"/>
      <w:szCs w:val="21"/>
    </w:rPr>
  </w:style>
  <w:style w:type="character" w:customStyle="1" w:styleId="187">
    <w:name w:val="正文文本 2 Char"/>
    <w:qFormat/>
    <w:uiPriority w:val="0"/>
    <w:rPr>
      <w:rFonts w:eastAsia="宋体"/>
      <w:kern w:val="2"/>
      <w:sz w:val="21"/>
      <w:szCs w:val="24"/>
      <w:lang w:val="en-US" w:eastAsia="zh-CN" w:bidi="ar-SA"/>
    </w:rPr>
  </w:style>
  <w:style w:type="character" w:customStyle="1" w:styleId="188">
    <w:name w:val="mdeck"/>
    <w:qFormat/>
    <w:uiPriority w:val="0"/>
    <w:rPr>
      <w:rFonts w:ascii="仿宋_GB2312" w:eastAsia="微软雅黑"/>
      <w:b/>
      <w:kern w:val="2"/>
      <w:sz w:val="32"/>
      <w:szCs w:val="32"/>
      <w:lang w:val="en-US" w:eastAsia="zh-CN" w:bidi="ar-SA"/>
    </w:rPr>
  </w:style>
  <w:style w:type="character" w:customStyle="1" w:styleId="189">
    <w:name w:val="哈哈正文 Char"/>
    <w:link w:val="190"/>
    <w:qFormat/>
    <w:uiPriority w:val="0"/>
    <w:rPr>
      <w:rFonts w:ascii="宋体" w:hAnsi="宋体" w:eastAsia="宋体"/>
      <w:kern w:val="2"/>
      <w:sz w:val="24"/>
      <w:lang w:bidi="ar-SA"/>
    </w:rPr>
  </w:style>
  <w:style w:type="paragraph" w:customStyle="1" w:styleId="190">
    <w:name w:val="哈哈正文"/>
    <w:basedOn w:val="1"/>
    <w:link w:val="189"/>
    <w:qFormat/>
    <w:uiPriority w:val="0"/>
    <w:pPr>
      <w:adjustRightInd/>
      <w:spacing w:line="360" w:lineRule="auto"/>
      <w:ind w:firstLine="200" w:firstLineChars="200"/>
    </w:pPr>
    <w:rPr>
      <w:rFonts w:ascii="宋体" w:hAnsi="宋体"/>
      <w:sz w:val="24"/>
      <w:szCs w:val="20"/>
    </w:rPr>
  </w:style>
  <w:style w:type="character" w:customStyle="1" w:styleId="191">
    <w:name w:val="Char Char81"/>
    <w:qFormat/>
    <w:uiPriority w:val="0"/>
    <w:rPr>
      <w:rFonts w:eastAsia="宋体"/>
      <w:b/>
      <w:sz w:val="24"/>
      <w:lang w:val="en-GB" w:eastAsia="zh-CN"/>
    </w:rPr>
  </w:style>
  <w:style w:type="character" w:customStyle="1" w:styleId="192">
    <w:name w:val="此正文 Char"/>
    <w:link w:val="193"/>
    <w:qFormat/>
    <w:uiPriority w:val="0"/>
    <w:rPr>
      <w:kern w:val="2"/>
      <w:sz w:val="24"/>
      <w:szCs w:val="24"/>
    </w:rPr>
  </w:style>
  <w:style w:type="paragraph" w:customStyle="1" w:styleId="193">
    <w:name w:val="此正文"/>
    <w:basedOn w:val="1"/>
    <w:link w:val="192"/>
    <w:qFormat/>
    <w:uiPriority w:val="0"/>
    <w:pPr>
      <w:adjustRightInd/>
      <w:spacing w:line="360" w:lineRule="auto"/>
      <w:ind w:firstLine="200" w:firstLineChars="200"/>
    </w:pPr>
    <w:rPr>
      <w:sz w:val="24"/>
    </w:rPr>
  </w:style>
  <w:style w:type="character" w:customStyle="1" w:styleId="194">
    <w:name w:val="批注主题 Char"/>
    <w:qFormat/>
    <w:uiPriority w:val="0"/>
    <w:rPr>
      <w:rFonts w:eastAsia="宋体"/>
      <w:b/>
      <w:bCs/>
      <w:kern w:val="2"/>
      <w:sz w:val="21"/>
      <w:szCs w:val="24"/>
      <w:lang w:val="en-US" w:eastAsia="zh-CN" w:bidi="ar-SA"/>
    </w:rPr>
  </w:style>
  <w:style w:type="character" w:customStyle="1" w:styleId="195">
    <w:name w:val="Footer-Even Char"/>
    <w:qFormat/>
    <w:uiPriority w:val="0"/>
    <w:rPr>
      <w:rFonts w:eastAsia="宋体"/>
      <w:kern w:val="2"/>
      <w:sz w:val="18"/>
      <w:lang w:val="en-US" w:eastAsia="zh-CN" w:bidi="ar-SA"/>
    </w:rPr>
  </w:style>
  <w:style w:type="character" w:customStyle="1" w:styleId="196">
    <w:name w:val="普通文字 Char1 Char"/>
    <w:qFormat/>
    <w:uiPriority w:val="0"/>
    <w:rPr>
      <w:rFonts w:ascii="宋体" w:hAnsi="Courier New" w:eastAsia="宋体"/>
      <w:kern w:val="2"/>
      <w:sz w:val="21"/>
      <w:szCs w:val="24"/>
      <w:lang w:val="en-US" w:eastAsia="zh-CN" w:bidi="ar-SA"/>
    </w:rPr>
  </w:style>
  <w:style w:type="character" w:customStyle="1" w:styleId="19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98">
    <w:name w:val="Used by Word for text of Help footnotes Char Char"/>
    <w:semiHidden/>
    <w:qFormat/>
    <w:uiPriority w:val="0"/>
    <w:rPr>
      <w:rFonts w:ascii="Times New Roman" w:hAnsi="Times New Roman" w:eastAsia="宋体" w:cs="Times New Roman"/>
      <w:sz w:val="20"/>
      <w:szCs w:val="20"/>
    </w:rPr>
  </w:style>
  <w:style w:type="character" w:customStyle="1" w:styleId="199">
    <w:name w:val="Document Map Char"/>
    <w:semiHidden/>
    <w:qFormat/>
    <w:locked/>
    <w:uiPriority w:val="0"/>
    <w:rPr>
      <w:rFonts w:eastAsia="宋体"/>
      <w:kern w:val="2"/>
      <w:sz w:val="21"/>
      <w:szCs w:val="24"/>
      <w:lang w:val="en-US" w:eastAsia="zh-CN" w:bidi="ar-SA"/>
    </w:rPr>
  </w:style>
  <w:style w:type="character" w:customStyle="1" w:styleId="20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201">
    <w:name w:val="正文文本缩进 Char"/>
    <w:qFormat/>
    <w:uiPriority w:val="0"/>
    <w:rPr>
      <w:rFonts w:ascii="宋体" w:hAnsi="宋体"/>
      <w:kern w:val="2"/>
      <w:sz w:val="24"/>
      <w:szCs w:val="24"/>
    </w:rPr>
  </w:style>
  <w:style w:type="character" w:customStyle="1" w:styleId="202">
    <w:name w:val="文本正文 Char Char"/>
    <w:qFormat/>
    <w:locked/>
    <w:uiPriority w:val="0"/>
    <w:rPr>
      <w:sz w:val="24"/>
      <w:lang w:bidi="ar-SA"/>
    </w:rPr>
  </w:style>
  <w:style w:type="character" w:customStyle="1" w:styleId="2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04">
    <w:name w:val="样式7 Char"/>
    <w:qFormat/>
    <w:uiPriority w:val="0"/>
    <w:rPr>
      <w:rFonts w:ascii="仿宋_GB2312" w:hAnsi="仿宋" w:eastAsia="仿宋_GB2312"/>
      <w:b/>
      <w:kern w:val="2"/>
      <w:sz w:val="24"/>
      <w:szCs w:val="24"/>
    </w:rPr>
  </w:style>
  <w:style w:type="character" w:customStyle="1" w:styleId="205">
    <w:name w:val="表正文 Char"/>
    <w:qFormat/>
    <w:uiPriority w:val="0"/>
    <w:rPr>
      <w:rFonts w:ascii="宋体" w:eastAsia="宋体"/>
      <w:snapToGrid w:val="0"/>
      <w:color w:val="000000"/>
      <w:kern w:val="28"/>
      <w:sz w:val="28"/>
      <w:lang w:val="en-US" w:eastAsia="zh-CN" w:bidi="ar-SA"/>
    </w:rPr>
  </w:style>
  <w:style w:type="character" w:customStyle="1" w:styleId="206">
    <w:name w:val="样式3 Char"/>
    <w:basedOn w:val="207"/>
    <w:qFormat/>
    <w:uiPriority w:val="0"/>
  </w:style>
  <w:style w:type="character" w:customStyle="1" w:styleId="207">
    <w:name w:val="样式2 Char"/>
    <w:qFormat/>
    <w:uiPriority w:val="0"/>
    <w:rPr>
      <w:rFonts w:ascii="仿宋_GB2312" w:hAnsi="仿宋" w:eastAsia="仿宋_GB2312" w:cs="仿宋_GB2312"/>
      <w:b/>
      <w:bCs/>
      <w:sz w:val="32"/>
      <w:szCs w:val="30"/>
      <w:lang w:val="zh-CN"/>
    </w:rPr>
  </w:style>
  <w:style w:type="character" w:customStyle="1" w:styleId="208">
    <w:name w:val="pt9"/>
    <w:qFormat/>
    <w:uiPriority w:val="0"/>
    <w:rPr>
      <w:rFonts w:ascii="仿宋_GB2312" w:eastAsia="微软雅黑"/>
      <w:b/>
      <w:kern w:val="2"/>
      <w:sz w:val="32"/>
      <w:szCs w:val="32"/>
      <w:lang w:val="en-US" w:eastAsia="zh-CN" w:bidi="ar-SA"/>
    </w:rPr>
  </w:style>
  <w:style w:type="character" w:customStyle="1" w:styleId="209">
    <w:name w:val="冯广丽 Char"/>
    <w:link w:val="210"/>
    <w:qFormat/>
    <w:uiPriority w:val="0"/>
    <w:rPr>
      <w:rFonts w:ascii="宋体" w:hAnsi="宋体"/>
      <w:kern w:val="2"/>
      <w:sz w:val="24"/>
      <w:szCs w:val="22"/>
    </w:rPr>
  </w:style>
  <w:style w:type="paragraph" w:customStyle="1" w:styleId="210">
    <w:name w:val="冯广丽"/>
    <w:basedOn w:val="1"/>
    <w:link w:val="209"/>
    <w:qFormat/>
    <w:uiPriority w:val="0"/>
    <w:pPr>
      <w:adjustRightInd/>
      <w:spacing w:line="360" w:lineRule="auto"/>
      <w:ind w:firstLine="480" w:firstLineChars="200"/>
    </w:pPr>
    <w:rPr>
      <w:rFonts w:ascii="宋体" w:hAnsi="宋体"/>
      <w:sz w:val="24"/>
      <w:szCs w:val="22"/>
    </w:rPr>
  </w:style>
  <w:style w:type="character" w:customStyle="1" w:styleId="211">
    <w:name w:val="二级标题 Char Char"/>
    <w:qFormat/>
    <w:uiPriority w:val="0"/>
    <w:rPr>
      <w:rFonts w:ascii="宋体" w:hAnsi="宋体" w:eastAsia="宋体"/>
      <w:b/>
      <w:snapToGrid w:val="0"/>
      <w:kern w:val="2"/>
      <w:sz w:val="24"/>
      <w:szCs w:val="24"/>
      <w:lang w:val="en-US" w:eastAsia="zh-CN" w:bidi="ar-SA"/>
    </w:rPr>
  </w:style>
  <w:style w:type="character" w:customStyle="1" w:styleId="212">
    <w:name w:val="表正文 Char1"/>
    <w:qFormat/>
    <w:uiPriority w:val="0"/>
    <w:rPr>
      <w:rFonts w:ascii="宋体" w:eastAsia="宋体"/>
      <w:snapToGrid w:val="0"/>
      <w:color w:val="000000"/>
      <w:kern w:val="28"/>
      <w:sz w:val="28"/>
    </w:rPr>
  </w:style>
  <w:style w:type="character" w:customStyle="1" w:styleId="213">
    <w:name w:val="Table Text Char1"/>
    <w:qFormat/>
    <w:uiPriority w:val="0"/>
    <w:rPr>
      <w:rFonts w:eastAsia="宋体"/>
      <w:sz w:val="24"/>
      <w:szCs w:val="24"/>
      <w:lang w:val="en-US" w:eastAsia="zh-CN" w:bidi="ar-SA"/>
    </w:rPr>
  </w:style>
  <w:style w:type="character" w:customStyle="1" w:styleId="214">
    <w:name w:val="正文非缩进 Char"/>
    <w:qFormat/>
    <w:uiPriority w:val="0"/>
    <w:rPr>
      <w:rFonts w:ascii="宋体" w:eastAsia="宋体"/>
      <w:snapToGrid w:val="0"/>
      <w:color w:val="000000"/>
      <w:kern w:val="28"/>
      <w:sz w:val="28"/>
      <w:lang w:val="en-US" w:eastAsia="zh-CN" w:bidi="ar-SA"/>
    </w:rPr>
  </w:style>
  <w:style w:type="character" w:customStyle="1" w:styleId="215">
    <w:name w:val="shadow11"/>
    <w:qFormat/>
    <w:uiPriority w:val="0"/>
    <w:rPr>
      <w:color w:val="000000"/>
      <w:sz w:val="21"/>
    </w:rPr>
  </w:style>
  <w:style w:type="character" w:customStyle="1" w:styleId="216">
    <w:name w:val="large1"/>
    <w:qFormat/>
    <w:uiPriority w:val="0"/>
    <w:rPr>
      <w:rFonts w:hint="eastAsia" w:ascii="宋体" w:hAnsi="宋体" w:eastAsia="宋体"/>
      <w:sz w:val="21"/>
      <w:szCs w:val="21"/>
    </w:rPr>
  </w:style>
  <w:style w:type="character" w:customStyle="1" w:styleId="217">
    <w:name w:val="HTML 地址 Char"/>
    <w:link w:val="30"/>
    <w:qFormat/>
    <w:uiPriority w:val="0"/>
    <w:rPr>
      <w:rFonts w:ascii="宋体" w:hAnsi="宋体"/>
      <w:i/>
      <w:iCs/>
      <w:sz w:val="24"/>
      <w:szCs w:val="24"/>
    </w:rPr>
  </w:style>
  <w:style w:type="character" w:customStyle="1" w:styleId="218">
    <w:name w:val="样式 样式 标题 4h4H4Fab-4T5Ref Heading 1rh1Heading sqlsect 1.2.3.... +... Char"/>
    <w:link w:val="219"/>
    <w:qFormat/>
    <w:uiPriority w:val="0"/>
    <w:rPr>
      <w:rFonts w:ascii="微软雅黑" w:hAnsi="微软雅黑" w:eastAsia="微软雅黑"/>
      <w:b/>
      <w:bCs/>
      <w:kern w:val="2"/>
      <w:sz w:val="24"/>
      <w:szCs w:val="28"/>
    </w:rPr>
  </w:style>
  <w:style w:type="paragraph" w:customStyle="1" w:styleId="219">
    <w:name w:val="样式 样式 标题 4h4H4Fab-4T5Ref Heading 1rh1Heading sqlsect 1.2.3.... +..."/>
    <w:basedOn w:val="79"/>
    <w:link w:val="218"/>
    <w:qFormat/>
    <w:uiPriority w:val="0"/>
  </w:style>
  <w:style w:type="character" w:customStyle="1" w:styleId="220">
    <w:name w:val="Char Char21"/>
    <w:qFormat/>
    <w:uiPriority w:val="0"/>
    <w:rPr>
      <w:rFonts w:eastAsia="宋体"/>
      <w:b/>
      <w:bCs/>
      <w:kern w:val="2"/>
      <w:sz w:val="21"/>
      <w:szCs w:val="24"/>
      <w:lang w:val="en-US" w:eastAsia="zh-CN" w:bidi="ar-SA"/>
    </w:rPr>
  </w:style>
  <w:style w:type="character" w:customStyle="1" w:styleId="221">
    <w:name w:val="标题 1 Char Char"/>
    <w:qFormat/>
    <w:uiPriority w:val="0"/>
    <w:rPr>
      <w:rFonts w:hint="eastAsia" w:ascii="宋体" w:hAnsi="宋体" w:eastAsia="宋体"/>
      <w:b/>
      <w:spacing w:val="-2"/>
      <w:sz w:val="24"/>
      <w:lang w:val="en-US" w:eastAsia="zh-CN" w:bidi="ar-SA"/>
    </w:rPr>
  </w:style>
  <w:style w:type="character" w:customStyle="1" w:styleId="222">
    <w:name w:val="标题 5 Char"/>
    <w:link w:val="7"/>
    <w:qFormat/>
    <w:uiPriority w:val="0"/>
    <w:rPr>
      <w:b/>
      <w:bCs/>
      <w:kern w:val="2"/>
      <w:sz w:val="28"/>
      <w:szCs w:val="28"/>
    </w:rPr>
  </w:style>
  <w:style w:type="character" w:customStyle="1" w:styleId="223">
    <w:name w:val="标题 4 Char1"/>
    <w:semiHidden/>
    <w:qFormat/>
    <w:uiPriority w:val="9"/>
    <w:rPr>
      <w:rFonts w:ascii="Cambria" w:hAnsi="Cambria" w:eastAsia="宋体" w:cs="Times New Roman"/>
      <w:b/>
      <w:bCs/>
      <w:kern w:val="2"/>
      <w:sz w:val="28"/>
      <w:szCs w:val="28"/>
    </w:rPr>
  </w:style>
  <w:style w:type="character" w:customStyle="1" w:styleId="224">
    <w:name w:val="h3 Char1"/>
    <w:qFormat/>
    <w:uiPriority w:val="0"/>
    <w:rPr>
      <w:rFonts w:eastAsia="宋体"/>
      <w:b/>
      <w:bCs/>
      <w:kern w:val="2"/>
      <w:sz w:val="32"/>
      <w:szCs w:val="32"/>
      <w:lang w:bidi="ar-SA"/>
    </w:rPr>
  </w:style>
  <w:style w:type="character" w:customStyle="1" w:styleId="225">
    <w:name w:val="正文2 Char Char"/>
    <w:link w:val="226"/>
    <w:qFormat/>
    <w:uiPriority w:val="0"/>
    <w:rPr>
      <w:rFonts w:eastAsia="宋体"/>
      <w:kern w:val="2"/>
      <w:sz w:val="24"/>
      <w:lang w:val="en-US" w:eastAsia="zh-CN" w:bidi="ar-SA"/>
    </w:rPr>
  </w:style>
  <w:style w:type="paragraph" w:customStyle="1" w:styleId="226">
    <w:name w:val="正文2"/>
    <w:basedOn w:val="1"/>
    <w:link w:val="225"/>
    <w:qFormat/>
    <w:uiPriority w:val="0"/>
    <w:pPr>
      <w:spacing w:before="156" w:line="360" w:lineRule="auto"/>
      <w:ind w:firstLine="510" w:firstLineChars="200"/>
    </w:pPr>
    <w:rPr>
      <w:sz w:val="24"/>
      <w:szCs w:val="20"/>
    </w:rPr>
  </w:style>
  <w:style w:type="character" w:customStyle="1" w:styleId="227">
    <w:name w:val="FA正文 Char Char"/>
    <w:qFormat/>
    <w:uiPriority w:val="0"/>
    <w:rPr>
      <w:rFonts w:hAnsi="宋体"/>
      <w:kern w:val="2"/>
      <w:sz w:val="24"/>
      <w:lang w:bidi="ar-SA"/>
    </w:rPr>
  </w:style>
  <w:style w:type="character" w:customStyle="1" w:styleId="228">
    <w:name w:val="zbggmain style9"/>
    <w:qFormat/>
    <w:uiPriority w:val="0"/>
  </w:style>
  <w:style w:type="character" w:customStyle="1" w:styleId="229">
    <w:name w:val="首行缩进 Char"/>
    <w:qFormat/>
    <w:uiPriority w:val="0"/>
    <w:rPr>
      <w:rFonts w:ascii="宋体" w:eastAsia="宋体"/>
      <w:kern w:val="2"/>
      <w:sz w:val="24"/>
      <w:lang w:val="en-US" w:eastAsia="zh-CN" w:bidi="ar-SA"/>
    </w:rPr>
  </w:style>
  <w:style w:type="character" w:customStyle="1" w:styleId="230">
    <w:name w:val="tw4winMark"/>
    <w:qFormat/>
    <w:uiPriority w:val="0"/>
    <w:rPr>
      <w:rFonts w:ascii="Courier New" w:hAnsi="Courier New" w:cs="Courier New"/>
      <w:vanish/>
      <w:color w:val="800080"/>
      <w:sz w:val="24"/>
      <w:szCs w:val="24"/>
      <w:vertAlign w:val="subscript"/>
    </w:rPr>
  </w:style>
  <w:style w:type="character" w:customStyle="1" w:styleId="231">
    <w:name w:val="tw4winPopup"/>
    <w:qFormat/>
    <w:uiPriority w:val="0"/>
    <w:rPr>
      <w:rFonts w:ascii="Courier New" w:hAnsi="Courier New" w:cs="Courier New"/>
      <w:color w:val="008000"/>
      <w:lang w:val="en-US" w:eastAsia="zh-CN"/>
    </w:rPr>
  </w:style>
  <w:style w:type="character" w:customStyle="1" w:styleId="232">
    <w:name w:val="样式 宋体"/>
    <w:qFormat/>
    <w:uiPriority w:val="0"/>
    <w:rPr>
      <w:rFonts w:ascii="宋体" w:hAnsi="宋体"/>
      <w:sz w:val="24"/>
    </w:rPr>
  </w:style>
  <w:style w:type="character" w:customStyle="1" w:styleId="233">
    <w:name w:val="标题 Char"/>
    <w:qFormat/>
    <w:uiPriority w:val="0"/>
    <w:rPr>
      <w:rFonts w:eastAsia="宋体"/>
      <w:b/>
      <w:sz w:val="24"/>
      <w:lang w:val="en-GB" w:eastAsia="zh-CN" w:bidi="ar-SA"/>
    </w:rPr>
  </w:style>
  <w:style w:type="character" w:customStyle="1" w:styleId="234">
    <w:name w:val="标题 6 Char"/>
    <w:link w:val="8"/>
    <w:qFormat/>
    <w:uiPriority w:val="0"/>
    <w:rPr>
      <w:rFonts w:ascii="Arial" w:hAnsi="Arial" w:eastAsia="黑体"/>
      <w:b/>
      <w:bCs/>
      <w:kern w:val="2"/>
      <w:sz w:val="24"/>
      <w:szCs w:val="24"/>
    </w:rPr>
  </w:style>
  <w:style w:type="character" w:customStyle="1" w:styleId="235">
    <w:name w:val="Char Char61"/>
    <w:qFormat/>
    <w:uiPriority w:val="0"/>
    <w:rPr>
      <w:rFonts w:eastAsia="宋体"/>
      <w:kern w:val="2"/>
      <w:sz w:val="21"/>
      <w:szCs w:val="24"/>
      <w:lang w:val="en-US" w:eastAsia="zh-CN" w:bidi="ar-SA"/>
    </w:rPr>
  </w:style>
  <w:style w:type="character" w:customStyle="1" w:styleId="236">
    <w:name w:val="正文文本 3 Char"/>
    <w:link w:val="22"/>
    <w:qFormat/>
    <w:uiPriority w:val="0"/>
    <w:rPr>
      <w:kern w:val="2"/>
      <w:sz w:val="21"/>
    </w:rPr>
  </w:style>
  <w:style w:type="character" w:customStyle="1" w:styleId="237">
    <w:name w:val="message1"/>
    <w:qFormat/>
    <w:uiPriority w:val="0"/>
    <w:rPr>
      <w:rFonts w:hint="default" w:ascii="Tahoma" w:hAnsi="Tahoma" w:cs="Tahoma"/>
      <w:sz w:val="18"/>
      <w:szCs w:val="18"/>
    </w:rPr>
  </w:style>
  <w:style w:type="character" w:customStyle="1" w:styleId="238">
    <w:name w:val="批注文字 Char1"/>
    <w:link w:val="20"/>
    <w:qFormat/>
    <w:uiPriority w:val="0"/>
    <w:rPr>
      <w:kern w:val="2"/>
      <w:sz w:val="21"/>
      <w:szCs w:val="24"/>
    </w:rPr>
  </w:style>
  <w:style w:type="character" w:customStyle="1" w:styleId="239">
    <w:name w:val="Heading 2 Hidden Char"/>
    <w:qFormat/>
    <w:uiPriority w:val="0"/>
    <w:rPr>
      <w:rFonts w:ascii="仿宋_GB2312" w:eastAsia="仿宋_GB2312"/>
      <w:b/>
      <w:bCs/>
      <w:kern w:val="2"/>
      <w:sz w:val="24"/>
      <w:szCs w:val="24"/>
      <w:lang w:val="zh-CN" w:eastAsia="zh-CN" w:bidi="ar-SA"/>
    </w:rPr>
  </w:style>
  <w:style w:type="character" w:customStyle="1" w:styleId="240">
    <w:name w:val="批注框文本 Char"/>
    <w:link w:val="38"/>
    <w:semiHidden/>
    <w:qFormat/>
    <w:uiPriority w:val="0"/>
    <w:rPr>
      <w:kern w:val="2"/>
      <w:sz w:val="18"/>
      <w:szCs w:val="18"/>
    </w:rPr>
  </w:style>
  <w:style w:type="character" w:customStyle="1" w:styleId="241">
    <w:name w:val="tw4winInternal"/>
    <w:qFormat/>
    <w:uiPriority w:val="0"/>
    <w:rPr>
      <w:rFonts w:ascii="Courier New" w:hAnsi="Courier New" w:cs="Courier New"/>
      <w:color w:val="FF0000"/>
      <w:lang w:val="en-US" w:eastAsia="zh-CN"/>
    </w:rPr>
  </w:style>
  <w:style w:type="character" w:customStyle="1" w:styleId="242">
    <w:name w:val="Footer Char"/>
    <w:qFormat/>
    <w:locked/>
    <w:uiPriority w:val="0"/>
    <w:rPr>
      <w:rFonts w:eastAsia="宋体"/>
      <w:kern w:val="2"/>
      <w:sz w:val="18"/>
      <w:lang w:val="en-US" w:eastAsia="zh-CN" w:bidi="ar-SA"/>
    </w:rPr>
  </w:style>
  <w:style w:type="character" w:customStyle="1" w:styleId="243">
    <w:name w:val="Char Char41"/>
    <w:qFormat/>
    <w:uiPriority w:val="0"/>
    <w:rPr>
      <w:rFonts w:eastAsia="宋体"/>
      <w:b/>
      <w:sz w:val="24"/>
      <w:lang w:val="en-GB" w:eastAsia="zh-CN" w:bidi="ar-SA"/>
    </w:rPr>
  </w:style>
  <w:style w:type="character" w:customStyle="1" w:styleId="244">
    <w:name w:val="页脚 Char"/>
    <w:qFormat/>
    <w:uiPriority w:val="99"/>
    <w:rPr>
      <w:rFonts w:eastAsia="仿宋_GB2312"/>
      <w:kern w:val="2"/>
      <w:sz w:val="18"/>
      <w:lang w:val="en-US" w:eastAsia="zh-CN"/>
    </w:rPr>
  </w:style>
  <w:style w:type="character" w:customStyle="1" w:styleId="245">
    <w:name w:val="gf正文1 Char"/>
    <w:qFormat/>
    <w:uiPriority w:val="0"/>
    <w:rPr>
      <w:rFonts w:ascii="宋体" w:hAnsi="宋体" w:eastAsia="宋体" w:cs="宋体"/>
      <w:kern w:val="2"/>
      <w:sz w:val="24"/>
      <w:szCs w:val="24"/>
      <w:lang w:val="en-US" w:eastAsia="zh-CN" w:bidi="ar-SA"/>
    </w:rPr>
  </w:style>
  <w:style w:type="character" w:customStyle="1" w:styleId="246">
    <w:name w:val="正文缩进 Char1"/>
    <w:qFormat/>
    <w:uiPriority w:val="0"/>
    <w:rPr>
      <w:rFonts w:ascii="宋体" w:eastAsia="宋体"/>
      <w:snapToGrid w:val="0"/>
      <w:color w:val="000000"/>
      <w:kern w:val="28"/>
      <w:sz w:val="28"/>
      <w:lang w:val="en-US" w:eastAsia="zh-CN" w:bidi="ar-SA"/>
    </w:rPr>
  </w:style>
  <w:style w:type="character" w:customStyle="1" w:styleId="247">
    <w:name w:val="Char Char91"/>
    <w:qFormat/>
    <w:uiPriority w:val="0"/>
    <w:rPr>
      <w:rFonts w:eastAsia="宋体"/>
      <w:kern w:val="2"/>
      <w:sz w:val="18"/>
      <w:szCs w:val="18"/>
      <w:lang w:val="en-US" w:eastAsia="zh-CN" w:bidi="ar-SA"/>
    </w:rPr>
  </w:style>
  <w:style w:type="character" w:customStyle="1" w:styleId="248">
    <w:name w:val="正文文本 Char"/>
    <w:qFormat/>
    <w:uiPriority w:val="0"/>
    <w:rPr>
      <w:rFonts w:eastAsia="宋体"/>
      <w:kern w:val="2"/>
      <w:sz w:val="24"/>
      <w:szCs w:val="24"/>
      <w:lang w:val="en-US" w:eastAsia="zh-CN" w:bidi="ar-SA"/>
    </w:rPr>
  </w:style>
  <w:style w:type="character" w:customStyle="1" w:styleId="249">
    <w:name w:val="标书表格字体格式 Char"/>
    <w:qFormat/>
    <w:uiPriority w:val="0"/>
    <w:rPr>
      <w:kern w:val="2"/>
      <w:sz w:val="21"/>
      <w:szCs w:val="24"/>
      <w:lang w:bidi="ar-SA"/>
    </w:rPr>
  </w:style>
  <w:style w:type="character" w:customStyle="1" w:styleId="250">
    <w:name w:val="style36"/>
    <w:basedOn w:val="59"/>
    <w:qFormat/>
    <w:uiPriority w:val="0"/>
  </w:style>
  <w:style w:type="character" w:customStyle="1" w:styleId="251">
    <w:name w:val="签名 Char"/>
    <w:link w:val="41"/>
    <w:qFormat/>
    <w:uiPriority w:val="0"/>
    <w:rPr>
      <w:rFonts w:eastAsia="仿宋_GB2312"/>
      <w:sz w:val="24"/>
    </w:rPr>
  </w:style>
  <w:style w:type="character" w:customStyle="1" w:styleId="252">
    <w:name w:val="hui3"/>
    <w:qFormat/>
    <w:uiPriority w:val="0"/>
    <w:rPr>
      <w:color w:val="333333"/>
    </w:rPr>
  </w:style>
  <w:style w:type="character" w:customStyle="1" w:styleId="253">
    <w:name w:val="方案正文 Char"/>
    <w:qFormat/>
    <w:uiPriority w:val="0"/>
    <w:rPr>
      <w:rFonts w:ascii="仿宋_GB2312" w:eastAsia="仿宋_GB2312"/>
      <w:b/>
      <w:color w:val="000000"/>
      <w:kern w:val="2"/>
      <w:sz w:val="24"/>
      <w:lang w:val="en-US" w:eastAsia="zh-CN" w:bidi="ar-SA"/>
    </w:rPr>
  </w:style>
  <w:style w:type="character" w:customStyle="1" w:styleId="254">
    <w:name w:val="列出段落 Char"/>
    <w:qFormat/>
    <w:uiPriority w:val="34"/>
    <w:rPr>
      <w:rFonts w:eastAsia="楷体_GB2312" w:cs="Lucida Sans"/>
      <w:kern w:val="2"/>
      <w:sz w:val="24"/>
      <w:szCs w:val="24"/>
      <w:lang w:val="en-US" w:eastAsia="zh-CN" w:bidi="ar-SA"/>
    </w:rPr>
  </w:style>
  <w:style w:type="character" w:customStyle="1" w:styleId="255">
    <w:name w:val="apple-converted-space"/>
    <w:qFormat/>
    <w:uiPriority w:val="0"/>
  </w:style>
  <w:style w:type="character" w:customStyle="1" w:styleId="256">
    <w:name w:val="样式6 Char"/>
    <w:qFormat/>
    <w:uiPriority w:val="0"/>
    <w:rPr>
      <w:rFonts w:ascii="仿宋_GB2312" w:hAnsi="宋体" w:eastAsia="仿宋_GB2312"/>
      <w:b/>
      <w:bCs/>
      <w:kern w:val="2"/>
      <w:sz w:val="24"/>
      <w:szCs w:val="24"/>
      <w:lang w:val="en-US" w:eastAsia="zh-CN" w:bidi="ar-SA"/>
    </w:rPr>
  </w:style>
  <w:style w:type="character" w:customStyle="1" w:styleId="257">
    <w:name w:val="文档结构图 Char"/>
    <w:qFormat/>
    <w:uiPriority w:val="0"/>
    <w:rPr>
      <w:rFonts w:eastAsia="宋体"/>
      <w:kern w:val="2"/>
      <w:sz w:val="21"/>
      <w:szCs w:val="24"/>
      <w:lang w:val="en-US" w:eastAsia="zh-CN" w:bidi="ar-SA"/>
    </w:rPr>
  </w:style>
  <w:style w:type="character" w:customStyle="1" w:styleId="258">
    <w:name w:val="Ò³Ã¼ Char Char1"/>
    <w:qFormat/>
    <w:uiPriority w:val="0"/>
    <w:rPr>
      <w:rFonts w:eastAsia="宋体"/>
      <w:kern w:val="2"/>
      <w:sz w:val="18"/>
      <w:szCs w:val="18"/>
      <w:lang w:val="en-US" w:eastAsia="zh-CN" w:bidi="ar-SA"/>
    </w:rPr>
  </w:style>
  <w:style w:type="character" w:customStyle="1" w:styleId="259">
    <w:name w:val="正文非缩进 Char3"/>
    <w:qFormat/>
    <w:uiPriority w:val="0"/>
    <w:rPr>
      <w:rFonts w:ascii="宋体" w:eastAsia="宋体"/>
      <w:snapToGrid w:val="0"/>
      <w:color w:val="000000"/>
      <w:kern w:val="28"/>
      <w:sz w:val="28"/>
      <w:lang w:val="en-US" w:eastAsia="zh-CN" w:bidi="ar-SA"/>
    </w:rPr>
  </w:style>
  <w:style w:type="character" w:customStyle="1" w:styleId="260">
    <w:name w:val="md"/>
    <w:basedOn w:val="59"/>
    <w:qFormat/>
    <w:uiPriority w:val="0"/>
  </w:style>
  <w:style w:type="character" w:customStyle="1" w:styleId="261">
    <w:name w:val="dectext1"/>
    <w:qFormat/>
    <w:uiPriority w:val="0"/>
    <w:rPr>
      <w:rFonts w:ascii="宋体" w:hAnsi="宋体" w:eastAsia="宋体"/>
      <w:color w:val="333333"/>
      <w:sz w:val="21"/>
      <w:szCs w:val="21"/>
      <w:u w:val="none"/>
    </w:rPr>
  </w:style>
  <w:style w:type="character" w:customStyle="1" w:styleId="262">
    <w:name w:val="样式5 Char"/>
    <w:qFormat/>
    <w:uiPriority w:val="0"/>
    <w:rPr>
      <w:rFonts w:ascii="仿宋_GB2312" w:hAnsi="仿宋" w:eastAsia="仿宋_GB2312"/>
      <w:kern w:val="2"/>
      <w:sz w:val="24"/>
      <w:szCs w:val="24"/>
    </w:rPr>
  </w:style>
  <w:style w:type="character" w:customStyle="1" w:styleId="263">
    <w:name w:val="t21"/>
    <w:qFormat/>
    <w:uiPriority w:val="0"/>
    <w:rPr>
      <w:rFonts w:ascii="仿宋_GB2312" w:eastAsia="微软雅黑"/>
      <w:b/>
      <w:kern w:val="2"/>
      <w:sz w:val="23"/>
      <w:szCs w:val="23"/>
      <w:lang w:val="en-US" w:eastAsia="zh-CN" w:bidi="ar-SA"/>
    </w:rPr>
  </w:style>
  <w:style w:type="character" w:customStyle="1" w:styleId="264">
    <w:name w:val="冯 Char"/>
    <w:link w:val="265"/>
    <w:qFormat/>
    <w:uiPriority w:val="0"/>
    <w:rPr>
      <w:rFonts w:ascii="宋体" w:hAnsi="宋体"/>
      <w:color w:val="000000"/>
      <w:sz w:val="24"/>
      <w:szCs w:val="24"/>
    </w:rPr>
  </w:style>
  <w:style w:type="paragraph" w:customStyle="1" w:styleId="265">
    <w:name w:val="冯"/>
    <w:basedOn w:val="1"/>
    <w:link w:val="264"/>
    <w:qFormat/>
    <w:uiPriority w:val="0"/>
    <w:pPr>
      <w:widowControl/>
      <w:adjustRightInd/>
      <w:spacing w:line="360" w:lineRule="auto"/>
      <w:ind w:firstLine="480" w:firstLineChars="200"/>
    </w:pPr>
    <w:rPr>
      <w:rFonts w:ascii="宋体" w:hAnsi="宋体"/>
      <w:color w:val="000000"/>
      <w:kern w:val="0"/>
      <w:sz w:val="24"/>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表格 Char Char"/>
    <w:qFormat/>
    <w:uiPriority w:val="0"/>
    <w:rPr>
      <w:rFonts w:ascii="宋体" w:hAnsi="宋体" w:eastAsia="宋体"/>
      <w:lang w:bidi="ar-SA"/>
    </w:rPr>
  </w:style>
  <w:style w:type="character" w:customStyle="1" w:styleId="268">
    <w:name w:val="脚注文本 Char"/>
    <w:link w:val="49"/>
    <w:qFormat/>
    <w:uiPriority w:val="0"/>
    <w:rPr>
      <w:color w:val="0000FF"/>
      <w:sz w:val="21"/>
    </w:rPr>
  </w:style>
  <w:style w:type="character" w:customStyle="1" w:styleId="269">
    <w:name w:val="font12gray1"/>
    <w:qFormat/>
    <w:uiPriority w:val="0"/>
    <w:rPr>
      <w:rFonts w:ascii="仿宋_GB2312" w:eastAsia="微软雅黑"/>
      <w:b/>
      <w:spacing w:val="300"/>
      <w:kern w:val="2"/>
      <w:sz w:val="18"/>
      <w:szCs w:val="18"/>
      <w:lang w:val="en-US" w:eastAsia="zh-CN" w:bidi="ar-SA"/>
    </w:rPr>
  </w:style>
  <w:style w:type="character" w:customStyle="1" w:styleId="270">
    <w:name w:val="txt"/>
    <w:qFormat/>
    <w:uiPriority w:val="0"/>
    <w:rPr>
      <w:rFonts w:ascii="仿宋_GB2312" w:eastAsia="微软雅黑"/>
      <w:b/>
      <w:kern w:val="2"/>
      <w:sz w:val="32"/>
      <w:szCs w:val="32"/>
      <w:lang w:val="en-US" w:eastAsia="zh-CN" w:bidi="ar-SA"/>
    </w:rPr>
  </w:style>
  <w:style w:type="character" w:customStyle="1" w:styleId="271">
    <w:name w:val="tw4winJump"/>
    <w:qFormat/>
    <w:uiPriority w:val="0"/>
    <w:rPr>
      <w:rFonts w:ascii="Courier New" w:hAnsi="Courier New" w:cs="Courier New"/>
      <w:color w:val="008080"/>
      <w:lang w:val="en-US" w:eastAsia="zh-CN"/>
    </w:rPr>
  </w:style>
  <w:style w:type="character" w:customStyle="1" w:styleId="272">
    <w:name w:val="Item List Char"/>
    <w:link w:val="273"/>
    <w:qFormat/>
    <w:uiPriority w:val="0"/>
    <w:rPr>
      <w:rFonts w:ascii="Arial"/>
      <w:bCs/>
      <w:sz w:val="21"/>
      <w:szCs w:val="21"/>
      <w:lang w:val="en-US" w:eastAsia="zh-CN" w:bidi="ar-SA"/>
    </w:rPr>
  </w:style>
  <w:style w:type="paragraph" w:customStyle="1" w:styleId="273">
    <w:name w:val="Item List"/>
    <w:link w:val="27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4">
    <w:name w:val="Char Char121"/>
    <w:qFormat/>
    <w:uiPriority w:val="0"/>
    <w:rPr>
      <w:rFonts w:ascii="仿宋_GB2312" w:eastAsia="仿宋_GB2312"/>
      <w:b/>
      <w:bCs/>
      <w:kern w:val="2"/>
      <w:sz w:val="24"/>
      <w:szCs w:val="24"/>
      <w:lang w:val="zh-CN" w:eastAsia="zh-CN" w:bidi="ar-SA"/>
    </w:rPr>
  </w:style>
  <w:style w:type="character" w:customStyle="1" w:styleId="275">
    <w:name w:val="纯文本 Char_0"/>
    <w:link w:val="276"/>
    <w:qFormat/>
    <w:uiPriority w:val="0"/>
    <w:rPr>
      <w:rFonts w:ascii="宋体" w:hAnsi="Courier New"/>
      <w:kern w:val="2"/>
      <w:sz w:val="21"/>
      <w:szCs w:val="21"/>
      <w:lang w:val="en-US" w:eastAsia="zh-CN"/>
    </w:rPr>
  </w:style>
  <w:style w:type="paragraph" w:customStyle="1" w:styleId="276">
    <w:name w:val="纯文本_0_0"/>
    <w:basedOn w:val="277"/>
    <w:link w:val="275"/>
    <w:qFormat/>
    <w:uiPriority w:val="0"/>
    <w:rPr>
      <w:rFonts w:ascii="宋体" w:hAnsi="Courier New"/>
      <w:szCs w:val="21"/>
    </w:rPr>
  </w:style>
  <w:style w:type="paragraph" w:customStyle="1" w:styleId="27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279">
    <w:name w:val="表格标题2"/>
    <w:basedOn w:val="280"/>
    <w:qFormat/>
    <w:uiPriority w:val="0"/>
    <w:rPr>
      <w:b/>
    </w:rPr>
  </w:style>
  <w:style w:type="paragraph" w:customStyle="1" w:styleId="280">
    <w:name w:val="表格内文"/>
    <w:basedOn w:val="1"/>
    <w:qFormat/>
    <w:uiPriority w:val="0"/>
    <w:pPr>
      <w:adjustRightInd/>
      <w:spacing w:line="360" w:lineRule="auto"/>
    </w:pPr>
    <w:rPr>
      <w:rFonts w:ascii="宋体" w:hAnsi="宋体" w:cs="宋体"/>
      <w:color w:val="000000"/>
      <w:szCs w:val="20"/>
    </w:rPr>
  </w:style>
  <w:style w:type="paragraph" w:customStyle="1" w:styleId="28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28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83">
    <w:name w:val="Char3"/>
    <w:basedOn w:val="1"/>
    <w:qFormat/>
    <w:uiPriority w:val="0"/>
    <w:pPr>
      <w:adjustRightInd/>
      <w:ind w:firstLine="200" w:firstLineChars="200"/>
    </w:pPr>
    <w:rPr>
      <w:rFonts w:ascii="Tahoma" w:hAnsi="Tahoma"/>
      <w:sz w:val="24"/>
      <w:szCs w:val="20"/>
    </w:rPr>
  </w:style>
  <w:style w:type="paragraph" w:customStyle="1" w:styleId="28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28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288">
    <w:name w:val="Char Char1 Char Char Char"/>
    <w:basedOn w:val="1"/>
    <w:qFormat/>
    <w:uiPriority w:val="0"/>
    <w:rPr>
      <w:rFonts w:ascii="仿宋_GB2312" w:eastAsia="仿宋_GB2312"/>
      <w:b/>
      <w:sz w:val="32"/>
      <w:szCs w:val="20"/>
    </w:rPr>
  </w:style>
  <w:style w:type="paragraph" w:customStyle="1" w:styleId="289">
    <w:name w:val="五级条标题"/>
    <w:basedOn w:val="290"/>
    <w:next w:val="295"/>
    <w:qFormat/>
    <w:uiPriority w:val="0"/>
    <w:pPr>
      <w:numPr>
        <w:ilvl w:val="6"/>
      </w:numPr>
      <w:tabs>
        <w:tab w:val="left" w:pos="1260"/>
        <w:tab w:val="left" w:pos="1680"/>
        <w:tab w:val="left" w:pos="2100"/>
        <w:tab w:val="left" w:pos="2520"/>
        <w:tab w:val="left" w:pos="2940"/>
      </w:tabs>
      <w:outlineLvl w:val="6"/>
    </w:pPr>
  </w:style>
  <w:style w:type="paragraph" w:customStyle="1" w:styleId="290">
    <w:name w:val="四级条标题"/>
    <w:basedOn w:val="291"/>
    <w:next w:val="295"/>
    <w:qFormat/>
    <w:uiPriority w:val="0"/>
    <w:pPr>
      <w:numPr>
        <w:ilvl w:val="5"/>
        <w:numId w:val="4"/>
      </w:numPr>
      <w:tabs>
        <w:tab w:val="left" w:pos="1260"/>
        <w:tab w:val="left" w:pos="1680"/>
        <w:tab w:val="left" w:pos="2100"/>
        <w:tab w:val="left" w:pos="2520"/>
      </w:tabs>
      <w:outlineLvl w:val="5"/>
    </w:pPr>
  </w:style>
  <w:style w:type="paragraph" w:customStyle="1" w:styleId="291">
    <w:name w:val="三级条标题"/>
    <w:basedOn w:val="292"/>
    <w:next w:val="295"/>
    <w:qFormat/>
    <w:uiPriority w:val="0"/>
    <w:pPr>
      <w:tabs>
        <w:tab w:val="left" w:pos="1260"/>
        <w:tab w:val="left" w:pos="1680"/>
        <w:tab w:val="left" w:pos="2100"/>
        <w:tab w:val="left" w:pos="2520"/>
      </w:tabs>
      <w:ind w:left="2520"/>
      <w:outlineLvl w:val="4"/>
    </w:pPr>
  </w:style>
  <w:style w:type="paragraph" w:customStyle="1" w:styleId="292">
    <w:name w:val="二级条标题"/>
    <w:basedOn w:val="293"/>
    <w:next w:val="295"/>
    <w:qFormat/>
    <w:uiPriority w:val="0"/>
    <w:pPr>
      <w:tabs>
        <w:tab w:val="left" w:pos="1260"/>
        <w:tab w:val="left" w:pos="1680"/>
        <w:tab w:val="left" w:pos="2100"/>
      </w:tabs>
      <w:ind w:left="0"/>
      <w:outlineLvl w:val="3"/>
    </w:pPr>
  </w:style>
  <w:style w:type="paragraph" w:customStyle="1" w:styleId="293">
    <w:name w:val="一级条标题"/>
    <w:basedOn w:val="294"/>
    <w:next w:val="295"/>
    <w:qFormat/>
    <w:uiPriority w:val="0"/>
    <w:pPr>
      <w:tabs>
        <w:tab w:val="left" w:pos="1260"/>
        <w:tab w:val="left" w:pos="1680"/>
      </w:tabs>
      <w:spacing w:beforeLines="0" w:afterLines="0"/>
      <w:ind w:left="1680"/>
      <w:outlineLvl w:val="2"/>
    </w:pPr>
  </w:style>
  <w:style w:type="paragraph" w:customStyle="1" w:styleId="294">
    <w:name w:val="章标题"/>
    <w:next w:val="29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29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297">
    <w:name w:val="默认段落字体 Para Char"/>
    <w:basedOn w:val="1"/>
    <w:qFormat/>
    <w:uiPriority w:val="0"/>
    <w:rPr>
      <w:rFonts w:ascii="Tahoma" w:hAnsi="Tahoma"/>
      <w:sz w:val="24"/>
      <w:szCs w:val="20"/>
    </w:rPr>
  </w:style>
  <w:style w:type="paragraph" w:customStyle="1" w:styleId="298">
    <w:name w:val="正文 首行缩进:  2 字符 Char"/>
    <w:basedOn w:val="1"/>
    <w:qFormat/>
    <w:uiPriority w:val="0"/>
    <w:pPr>
      <w:adjustRightInd/>
      <w:spacing w:line="360" w:lineRule="auto"/>
      <w:ind w:firstLine="480"/>
    </w:pPr>
    <w:rPr>
      <w:rFonts w:cs="宋体"/>
      <w:sz w:val="24"/>
      <w:szCs w:val="20"/>
    </w:rPr>
  </w:style>
  <w:style w:type="paragraph" w:customStyle="1" w:styleId="2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00">
    <w:name w:val="标书标题2"/>
    <w:basedOn w:val="4"/>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01">
    <w:name w:val="标准小四"/>
    <w:basedOn w:val="1"/>
    <w:qFormat/>
    <w:uiPriority w:val="0"/>
    <w:pPr>
      <w:spacing w:line="360" w:lineRule="auto"/>
      <w:ind w:firstLine="480" w:firstLineChars="200"/>
    </w:pPr>
    <w:rPr>
      <w:rFonts w:ascii="Arial" w:hAnsi="Arial"/>
      <w:sz w:val="24"/>
      <w:szCs w:val="21"/>
    </w:rPr>
  </w:style>
  <w:style w:type="paragraph" w:customStyle="1" w:styleId="30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30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05">
    <w:name w:val="Char Char1 Char"/>
    <w:basedOn w:val="1"/>
    <w:qFormat/>
    <w:uiPriority w:val="0"/>
    <w:rPr>
      <w:rFonts w:ascii="仿宋_GB2312" w:eastAsia="仿宋_GB2312"/>
      <w:b/>
      <w:sz w:val="32"/>
      <w:szCs w:val="32"/>
    </w:rPr>
  </w:style>
  <w:style w:type="paragraph" w:customStyle="1" w:styleId="306">
    <w:name w:val="正文（首行缩进）"/>
    <w:qFormat/>
    <w:uiPriority w:val="0"/>
    <w:pPr>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eastAsia="宋体" w:cs="Times New Roman"/>
      <w:spacing w:val="10"/>
      <w:lang w:val="en-US" w:eastAsia="zh-CN" w:bidi="ar-SA"/>
    </w:rPr>
  </w:style>
  <w:style w:type="paragraph" w:customStyle="1" w:styleId="3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0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9">
    <w:name w:val="trademark"/>
    <w:qFormat/>
    <w:uiPriority w:val="0"/>
    <w:pPr>
      <w:spacing w:after="60"/>
    </w:pPr>
    <w:rPr>
      <w:rFonts w:ascii="Futura Bk" w:hAnsi="Futura Bk" w:eastAsia="宋体" w:cs="Times New Roman"/>
      <w:sz w:val="15"/>
      <w:lang w:val="en-US" w:eastAsia="en-US" w:bidi="ar-SA"/>
    </w:rPr>
  </w:style>
  <w:style w:type="paragraph" w:customStyle="1" w:styleId="31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11">
    <w:name w:val="数字标题5"/>
    <w:basedOn w:val="7"/>
    <w:next w:val="1"/>
    <w:qFormat/>
    <w:uiPriority w:val="0"/>
    <w:pPr>
      <w:numPr>
        <w:numId w:val="5"/>
      </w:numPr>
      <w:tabs>
        <w:tab w:val="left" w:pos="480"/>
        <w:tab w:val="left" w:pos="1080"/>
      </w:tabs>
    </w:pPr>
  </w:style>
  <w:style w:type="paragraph" w:customStyle="1" w:styleId="31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1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1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15">
    <w:name w:val="Char Char11 Char Char Char Char Char Char Char Char Char"/>
    <w:basedOn w:val="1"/>
    <w:qFormat/>
    <w:uiPriority w:val="0"/>
    <w:pPr>
      <w:spacing w:line="360" w:lineRule="auto"/>
    </w:pPr>
    <w:rPr>
      <w:szCs w:val="20"/>
    </w:rPr>
  </w:style>
  <w:style w:type="paragraph" w:customStyle="1" w:styleId="31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318">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19">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2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21">
    <w:name w:val="正文（首行缩进2字符）"/>
    <w:basedOn w:val="1"/>
    <w:qFormat/>
    <w:uiPriority w:val="0"/>
    <w:pPr>
      <w:adjustRightInd/>
      <w:spacing w:line="360" w:lineRule="auto"/>
      <w:ind w:firstLine="480" w:firstLineChars="200"/>
    </w:pPr>
    <w:rPr>
      <w:sz w:val="24"/>
      <w:szCs w:val="20"/>
    </w:rPr>
  </w:style>
  <w:style w:type="paragraph" w:customStyle="1" w:styleId="32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24">
    <w:name w:val="Normal0"/>
    <w:qFormat/>
    <w:uiPriority w:val="0"/>
    <w:rPr>
      <w:rFonts w:ascii="Times New Roman" w:hAnsi="Times New Roman" w:eastAsia="宋体" w:cs="Times New Roman"/>
      <w:lang w:val="en-US" w:eastAsia="en-US" w:bidi="ar-SA"/>
    </w:rPr>
  </w:style>
  <w:style w:type="paragraph" w:customStyle="1" w:styleId="32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32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27">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28">
    <w:name w:val="Char Char Char Char Char Char Char Char Char Char Char1 Char"/>
    <w:basedOn w:val="1"/>
    <w:qFormat/>
    <w:uiPriority w:val="0"/>
    <w:pPr>
      <w:adjustRightInd/>
    </w:pPr>
    <w:rPr>
      <w:rFonts w:ascii="Tahoma" w:hAnsi="Tahoma"/>
      <w:sz w:val="24"/>
    </w:rPr>
  </w:style>
  <w:style w:type="paragraph" w:customStyle="1" w:styleId="329">
    <w:name w:val="文本正文 Char"/>
    <w:basedOn w:val="1"/>
    <w:qFormat/>
    <w:uiPriority w:val="0"/>
    <w:pPr>
      <w:spacing w:line="360" w:lineRule="auto"/>
      <w:ind w:firstLine="200" w:firstLineChars="200"/>
    </w:pPr>
    <w:rPr>
      <w:kern w:val="0"/>
      <w:sz w:val="24"/>
      <w:szCs w:val="20"/>
    </w:rPr>
  </w:style>
  <w:style w:type="paragraph" w:customStyle="1" w:styleId="330">
    <w:name w:val="四号　首行缩进"/>
    <w:basedOn w:val="1"/>
    <w:qFormat/>
    <w:uiPriority w:val="0"/>
    <w:pPr>
      <w:adjustRightInd/>
      <w:spacing w:line="360" w:lineRule="auto"/>
    </w:pPr>
    <w:rPr>
      <w:rFonts w:ascii="宋体" w:hAnsi="宋体"/>
      <w:szCs w:val="20"/>
    </w:rPr>
  </w:style>
  <w:style w:type="paragraph" w:customStyle="1" w:styleId="331">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32">
    <w:name w:val="模板普通正文"/>
    <w:qFormat/>
    <w:uiPriority w:val="0"/>
    <w:pPr>
      <w:spacing w:beforeLines="50" w:after="10" w:line="360" w:lineRule="auto"/>
      <w:ind w:firstLine="175" w:firstLineChars="175"/>
    </w:pPr>
    <w:rPr>
      <w:rFonts w:ascii="Times New Roman" w:hAnsi="Times New Roman" w:eastAsia="宋体" w:cs="Times New Roman"/>
      <w:lang w:val="en-US" w:eastAsia="zh-CN" w:bidi="ar-SA"/>
    </w:rPr>
  </w:style>
  <w:style w:type="paragraph" w:customStyle="1" w:styleId="333">
    <w:name w:val="EB_表格"/>
    <w:basedOn w:val="1"/>
    <w:qFormat/>
    <w:uiPriority w:val="0"/>
    <w:pPr>
      <w:adjustRightInd/>
      <w:spacing w:line="300" w:lineRule="auto"/>
      <w:jc w:val="center"/>
    </w:pPr>
  </w:style>
  <w:style w:type="paragraph" w:customStyle="1" w:styleId="33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3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36">
    <w:name w:val="默认段落样式"/>
    <w:basedOn w:val="226"/>
    <w:qFormat/>
    <w:uiPriority w:val="0"/>
    <w:pPr>
      <w:spacing w:before="0"/>
      <w:ind w:firstLine="480"/>
      <w:outlineLvl w:val="2"/>
    </w:pPr>
    <w:rPr>
      <w:rFonts w:ascii="仿宋_GB2312" w:hAnsi="宋体" w:eastAsia="仿宋_GB2312"/>
      <w:color w:val="000000"/>
      <w:szCs w:val="24"/>
    </w:rPr>
  </w:style>
  <w:style w:type="paragraph" w:customStyle="1" w:styleId="33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8">
    <w:name w:val="Char3 Char Char Char"/>
    <w:basedOn w:val="1"/>
    <w:qFormat/>
    <w:uiPriority w:val="0"/>
    <w:pPr>
      <w:widowControl/>
      <w:adjustRightInd/>
      <w:spacing w:after="160" w:line="240" w:lineRule="exact"/>
      <w:jc w:val="left"/>
    </w:pPr>
    <w:rPr>
      <w:szCs w:val="20"/>
    </w:rPr>
  </w:style>
  <w:style w:type="paragraph" w:customStyle="1" w:styleId="339">
    <w:name w:val="Char31"/>
    <w:basedOn w:val="1"/>
    <w:qFormat/>
    <w:uiPriority w:val="0"/>
    <w:pPr>
      <w:adjustRightInd/>
    </w:pPr>
    <w:rPr>
      <w:rFonts w:ascii="仿宋_GB2312" w:eastAsia="仿宋_GB2312"/>
      <w:b/>
      <w:sz w:val="32"/>
      <w:szCs w:val="32"/>
    </w:rPr>
  </w:style>
  <w:style w:type="paragraph" w:customStyle="1" w:styleId="34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4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4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44">
    <w:name w:val="Char"/>
    <w:basedOn w:val="1"/>
    <w:qFormat/>
    <w:uiPriority w:val="0"/>
    <w:rPr>
      <w:rFonts w:ascii="仿宋_GB2312" w:eastAsia="仿宋_GB2312"/>
      <w:b/>
      <w:sz w:val="32"/>
      <w:szCs w:val="32"/>
    </w:rPr>
  </w:style>
  <w:style w:type="paragraph" w:customStyle="1" w:styleId="34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4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47">
    <w:name w:val="Char Char111"/>
    <w:basedOn w:val="1"/>
    <w:qFormat/>
    <w:uiPriority w:val="0"/>
    <w:pPr>
      <w:spacing w:line="360" w:lineRule="auto"/>
    </w:pPr>
    <w:rPr>
      <w:szCs w:val="20"/>
    </w:rPr>
  </w:style>
  <w:style w:type="paragraph" w:customStyle="1" w:styleId="348">
    <w:name w:val="左对齐表格文字"/>
    <w:basedOn w:val="1"/>
    <w:qFormat/>
    <w:uiPriority w:val="0"/>
    <w:pPr>
      <w:adjustRightInd/>
      <w:ind w:firstLine="200" w:firstLineChars="200"/>
      <w:jc w:val="right"/>
    </w:pPr>
  </w:style>
  <w:style w:type="paragraph" w:customStyle="1" w:styleId="349">
    <w:name w:val="彩色列表 - 强调文字颜色 11"/>
    <w:basedOn w:val="1"/>
    <w:qFormat/>
    <w:uiPriority w:val="0"/>
    <w:pPr>
      <w:adjustRightInd/>
      <w:ind w:firstLine="420" w:firstLineChars="200"/>
    </w:pPr>
    <w:rPr>
      <w:rFonts w:ascii="Calibri" w:hAnsi="Calibri"/>
      <w:szCs w:val="22"/>
    </w:rPr>
  </w:style>
  <w:style w:type="paragraph" w:customStyle="1" w:styleId="350">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5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52">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53">
    <w:name w:val="表文字"/>
    <w:qFormat/>
    <w:uiPriority w:val="0"/>
    <w:rPr>
      <w:rFonts w:ascii="宋体" w:hAnsi="Times New Roman" w:eastAsia="宋体" w:cs="Times New Roman"/>
      <w:kern w:val="2"/>
      <w:lang w:val="en-US" w:eastAsia="zh-CN" w:bidi="ar-SA"/>
    </w:rPr>
  </w:style>
  <w:style w:type="paragraph" w:customStyle="1" w:styleId="354">
    <w:name w:val="Char Char Char Char Char Char Char"/>
    <w:basedOn w:val="1"/>
    <w:qFormat/>
    <w:uiPriority w:val="0"/>
    <w:rPr>
      <w:rFonts w:ascii="仿宋_GB2312" w:eastAsia="仿宋_GB2312"/>
      <w:b/>
      <w:sz w:val="32"/>
      <w:szCs w:val="32"/>
    </w:rPr>
  </w:style>
  <w:style w:type="paragraph" w:customStyle="1" w:styleId="355">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5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5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35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60">
    <w:name w:val="有符号正文"/>
    <w:basedOn w:val="1"/>
    <w:qFormat/>
    <w:uiPriority w:val="0"/>
    <w:pPr>
      <w:adjustRightInd/>
      <w:spacing w:line="400" w:lineRule="exact"/>
      <w:ind w:firstLine="200" w:firstLineChars="200"/>
    </w:pPr>
    <w:rPr>
      <w:rFonts w:ascii="Arial" w:hAnsi="Arial"/>
    </w:rPr>
  </w:style>
  <w:style w:type="paragraph" w:customStyle="1" w:styleId="361">
    <w:name w:val="MM Topic 4"/>
    <w:basedOn w:val="6"/>
    <w:qFormat/>
    <w:uiPriority w:val="0"/>
    <w:pPr>
      <w:numPr>
        <w:numId w:val="4"/>
      </w:numPr>
      <w:tabs>
        <w:tab w:val="left" w:pos="840"/>
        <w:tab w:val="left" w:pos="2100"/>
        <w:tab w:val="clear" w:pos="864"/>
      </w:tabs>
      <w:adjustRightInd/>
    </w:pPr>
    <w:rPr>
      <w:lang w:val="en-US"/>
    </w:rPr>
  </w:style>
  <w:style w:type="paragraph" w:customStyle="1" w:styleId="362">
    <w:name w:val="样式 正文文本缩进 + 左侧:  2 字符 首行缩进:  2 字符"/>
    <w:qFormat/>
    <w:uiPriority w:val="0"/>
    <w:pPr>
      <w:tabs>
        <w:tab w:val="left" w:pos="360"/>
        <w:tab w:val="left" w:pos="540"/>
      </w:tabs>
      <w:spacing w:line="520" w:lineRule="exact"/>
      <w:ind w:left="200" w:firstLine="560"/>
    </w:pPr>
    <w:rPr>
      <w:rFonts w:ascii="仿宋_GB2312" w:hAnsi="Times New Roman" w:eastAsia="仿宋_GB2312" w:cs="Times New Roman"/>
      <w:sz w:val="28"/>
      <w:lang w:val="en-US" w:eastAsia="zh-CN" w:bidi="ar-SA"/>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6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66">
    <w:name w:val="Char Char Char Char Char Char Char Char Char Char Char Char1 Char"/>
    <w:basedOn w:val="1"/>
    <w:qFormat/>
    <w:uiPriority w:val="0"/>
    <w:rPr>
      <w:rFonts w:ascii="Tahoma" w:hAnsi="Tahoma" w:cs="仿宋_GB2312"/>
      <w:sz w:val="24"/>
      <w:szCs w:val="20"/>
    </w:rPr>
  </w:style>
  <w:style w:type="paragraph" w:customStyle="1" w:styleId="367">
    <w:name w:val="MM Topic 2"/>
    <w:basedOn w:val="4"/>
    <w:qFormat/>
    <w:uiPriority w:val="0"/>
    <w:pPr>
      <w:numPr>
        <w:ilvl w:val="1"/>
        <w:numId w:val="4"/>
      </w:numPr>
      <w:tabs>
        <w:tab w:val="clear" w:pos="432"/>
      </w:tabs>
    </w:pPr>
    <w:rPr>
      <w:rFonts w:ascii="Arial" w:hAnsi="Arial" w:eastAsia="黑体"/>
      <w:lang w:val="en-US"/>
    </w:rPr>
  </w:style>
  <w:style w:type="paragraph" w:customStyle="1" w:styleId="36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7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7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7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37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376">
    <w:name w:val="4"/>
    <w:basedOn w:val="1"/>
    <w:next w:val="37"/>
    <w:qFormat/>
    <w:uiPriority w:val="0"/>
    <w:pPr>
      <w:spacing w:after="120" w:line="480" w:lineRule="auto"/>
      <w:ind w:left="420" w:leftChars="200"/>
    </w:pPr>
    <w:rPr>
      <w:sz w:val="24"/>
      <w:szCs w:val="20"/>
    </w:rPr>
  </w:style>
  <w:style w:type="paragraph" w:customStyle="1" w:styleId="37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379">
    <w:name w:val="MM Topic 3"/>
    <w:basedOn w:val="5"/>
    <w:qFormat/>
    <w:uiPriority w:val="0"/>
    <w:pPr>
      <w:numPr>
        <w:numId w:val="4"/>
      </w:numPr>
      <w:tabs>
        <w:tab w:val="left" w:pos="840"/>
        <w:tab w:val="left" w:pos="1680"/>
      </w:tabs>
      <w:adjustRightInd/>
    </w:pPr>
  </w:style>
  <w:style w:type="paragraph" w:customStyle="1" w:styleId="3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8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8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8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84">
    <w:name w:val="Char2"/>
    <w:basedOn w:val="1"/>
    <w:qFormat/>
    <w:uiPriority w:val="0"/>
    <w:rPr>
      <w:rFonts w:ascii="仿宋_GB2312" w:eastAsia="仿宋_GB2312"/>
      <w:b/>
      <w:sz w:val="32"/>
      <w:szCs w:val="32"/>
    </w:rPr>
  </w:style>
  <w:style w:type="paragraph" w:customStyle="1" w:styleId="385">
    <w:name w:val="Char211"/>
    <w:basedOn w:val="1"/>
    <w:qFormat/>
    <w:uiPriority w:val="0"/>
    <w:rPr>
      <w:rFonts w:ascii="仿宋_GB2312" w:eastAsia="仿宋_GB2312"/>
      <w:b/>
      <w:sz w:val="32"/>
      <w:szCs w:val="32"/>
    </w:rPr>
  </w:style>
  <w:style w:type="paragraph" w:customStyle="1" w:styleId="386">
    <w:name w:val="Char Char1"/>
    <w:basedOn w:val="1"/>
    <w:qFormat/>
    <w:uiPriority w:val="0"/>
    <w:pPr>
      <w:widowControl/>
      <w:spacing w:after="160" w:line="240" w:lineRule="exact"/>
      <w:jc w:val="left"/>
    </w:pPr>
    <w:rPr>
      <w:rFonts w:eastAsia="仿宋_GB2312"/>
      <w:sz w:val="28"/>
    </w:rPr>
  </w:style>
  <w:style w:type="paragraph" w:customStyle="1" w:styleId="38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8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单元格居中"/>
    <w:basedOn w:val="1"/>
    <w:qFormat/>
    <w:uiPriority w:val="0"/>
    <w:pPr>
      <w:adjustRightInd/>
      <w:spacing w:line="360" w:lineRule="auto"/>
      <w:jc w:val="center"/>
    </w:pPr>
    <w:rPr>
      <w:sz w:val="24"/>
    </w:rPr>
  </w:style>
  <w:style w:type="paragraph" w:customStyle="1" w:styleId="391">
    <w:name w:val="Char41"/>
    <w:basedOn w:val="1"/>
    <w:qFormat/>
    <w:uiPriority w:val="0"/>
    <w:rPr>
      <w:rFonts w:ascii="仿宋_GB2312" w:eastAsia="仿宋_GB2312"/>
      <w:b/>
      <w:sz w:val="32"/>
      <w:szCs w:val="32"/>
    </w:rPr>
  </w:style>
  <w:style w:type="paragraph" w:customStyle="1" w:styleId="39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93">
    <w:name w:val="Char Char Char Char Char Char Char Char Char Char"/>
    <w:basedOn w:val="1"/>
    <w:qFormat/>
    <w:uiPriority w:val="0"/>
    <w:rPr>
      <w:rFonts w:ascii="仿宋_GB2312" w:eastAsia="仿宋_GB2312"/>
      <w:b/>
      <w:sz w:val="32"/>
      <w:szCs w:val="32"/>
    </w:rPr>
  </w:style>
  <w:style w:type="paragraph" w:customStyle="1" w:styleId="394">
    <w:name w:val="Char Char1 Char Char Char Char Char Char"/>
    <w:basedOn w:val="1"/>
    <w:qFormat/>
    <w:uiPriority w:val="0"/>
    <w:rPr>
      <w:rFonts w:ascii="仿宋_GB2312" w:eastAsia="仿宋_GB2312"/>
      <w:b/>
      <w:sz w:val="32"/>
      <w:szCs w:val="20"/>
    </w:rPr>
  </w:style>
  <w:style w:type="paragraph" w:customStyle="1" w:styleId="395">
    <w:name w:val="Char1 Char Char Char3"/>
    <w:basedOn w:val="1"/>
    <w:qFormat/>
    <w:uiPriority w:val="0"/>
    <w:pPr>
      <w:adjustRightInd/>
      <w:ind w:firstLine="200" w:firstLineChars="200"/>
    </w:pPr>
    <w:rPr>
      <w:rFonts w:ascii="Tahoma" w:hAnsi="Tahoma"/>
      <w:sz w:val="24"/>
      <w:szCs w:val="20"/>
    </w:rPr>
  </w:style>
  <w:style w:type="paragraph" w:customStyle="1" w:styleId="396">
    <w:name w:val="封面公司名"/>
    <w:qFormat/>
    <w:uiPriority w:val="0"/>
    <w:pPr>
      <w:jc w:val="center"/>
    </w:pPr>
    <w:rPr>
      <w:rFonts w:ascii="Arial" w:hAnsi="Arial" w:eastAsia="楷体_GB2312" w:cs="宋体"/>
      <w:bCs/>
      <w:kern w:val="2"/>
      <w:sz w:val="28"/>
      <w:lang w:val="en-US" w:eastAsia="zh-CN" w:bidi="ar-SA"/>
    </w:rPr>
  </w:style>
  <w:style w:type="paragraph" w:customStyle="1" w:styleId="397">
    <w:name w:val="文章标题"/>
    <w:next w:val="39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39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400">
    <w:name w:val="Char Char13"/>
    <w:basedOn w:val="1"/>
    <w:qFormat/>
    <w:uiPriority w:val="0"/>
    <w:pPr>
      <w:spacing w:line="360" w:lineRule="auto"/>
    </w:pPr>
    <w:rPr>
      <w:rFonts w:ascii="Tahoma" w:hAnsi="Tahoma"/>
      <w:sz w:val="24"/>
      <w:szCs w:val="20"/>
    </w:rPr>
  </w:style>
  <w:style w:type="paragraph" w:customStyle="1" w:styleId="4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02">
    <w:name w:val="Bulleting First Indent 1"/>
    <w:basedOn w:val="24"/>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403">
    <w:name w:val="彩色列表 - 强调文字颜色 12"/>
    <w:basedOn w:val="1"/>
    <w:qFormat/>
    <w:uiPriority w:val="0"/>
    <w:pPr>
      <w:adjustRightInd/>
      <w:ind w:firstLine="420" w:firstLineChars="200"/>
    </w:pPr>
    <w:rPr>
      <w:rFonts w:ascii="Calibri" w:hAnsi="Calibri"/>
      <w:szCs w:val="22"/>
    </w:rPr>
  </w:style>
  <w:style w:type="paragraph" w:customStyle="1" w:styleId="404">
    <w:name w:val="默认段落字体 Para Char Char Char Char Char Char Char"/>
    <w:basedOn w:val="1"/>
    <w:qFormat/>
    <w:uiPriority w:val="0"/>
    <w:rPr>
      <w:rFonts w:eastAsia="仿宋_GB2312"/>
      <w:sz w:val="28"/>
      <w:szCs w:val="20"/>
    </w:rPr>
  </w:style>
  <w:style w:type="paragraph" w:customStyle="1" w:styleId="405">
    <w:name w:val="正文文字缩进项目"/>
    <w:qFormat/>
    <w:uiPriority w:val="0"/>
    <w:pPr>
      <w:tabs>
        <w:tab w:val="left" w:pos="840"/>
      </w:tabs>
      <w:spacing w:after="120"/>
      <w:ind w:hanging="420"/>
    </w:pPr>
    <w:rPr>
      <w:rFonts w:ascii="Tahoma" w:hAnsi="Tahoma" w:eastAsia="宋体" w:cs="Times New Roman"/>
      <w:sz w:val="22"/>
      <w:lang w:val="en-US" w:eastAsia="zh-CN" w:bidi="ar-SA"/>
    </w:rPr>
  </w:style>
  <w:style w:type="paragraph" w:customStyle="1" w:styleId="406">
    <w:name w:val="Char111"/>
    <w:basedOn w:val="1"/>
    <w:qFormat/>
    <w:uiPriority w:val="0"/>
    <w:rPr>
      <w:rFonts w:ascii="仿宋_GB2312" w:eastAsia="仿宋_GB2312"/>
      <w:b/>
      <w:sz w:val="32"/>
      <w:szCs w:val="32"/>
    </w:rPr>
  </w:style>
  <w:style w:type="paragraph" w:customStyle="1" w:styleId="40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40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0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411">
    <w:name w:val="数字标题4"/>
    <w:basedOn w:val="6"/>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1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3">
    <w:name w:val="Char2 Char Char"/>
    <w:basedOn w:val="1"/>
    <w:qFormat/>
    <w:uiPriority w:val="0"/>
    <w:pPr>
      <w:adjustRightInd/>
    </w:pPr>
    <w:rPr>
      <w:rFonts w:ascii="Tahoma" w:hAnsi="Tahoma"/>
      <w:sz w:val="24"/>
      <w:szCs w:val="20"/>
    </w:rPr>
  </w:style>
  <w:style w:type="paragraph" w:customStyle="1" w:styleId="414">
    <w:name w:val="Char Char Char"/>
    <w:basedOn w:val="1"/>
    <w:qFormat/>
    <w:uiPriority w:val="0"/>
    <w:rPr>
      <w:rFonts w:ascii="Tahoma" w:hAnsi="Tahoma"/>
      <w:sz w:val="24"/>
      <w:szCs w:val="20"/>
    </w:rPr>
  </w:style>
  <w:style w:type="paragraph" w:customStyle="1" w:styleId="415">
    <w:name w:val="Bulleted List"/>
    <w:basedOn w:val="1"/>
    <w:qFormat/>
    <w:uiPriority w:val="0"/>
    <w:pPr>
      <w:tabs>
        <w:tab w:val="left" w:pos="1260"/>
      </w:tabs>
      <w:adjustRightInd/>
      <w:ind w:left="1260" w:hanging="420"/>
    </w:pPr>
  </w:style>
  <w:style w:type="paragraph" w:customStyle="1" w:styleId="416">
    <w:name w:val="Char Char1 Char Char Char Char Char Char1"/>
    <w:basedOn w:val="1"/>
    <w:qFormat/>
    <w:uiPriority w:val="0"/>
    <w:rPr>
      <w:rFonts w:ascii="仿宋_GB2312" w:eastAsia="仿宋_GB2312"/>
      <w:b/>
      <w:sz w:val="32"/>
      <w:szCs w:val="20"/>
    </w:rPr>
  </w:style>
  <w:style w:type="paragraph" w:customStyle="1" w:styleId="41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1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1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421">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22">
    <w:name w:val="a1"/>
    <w:basedOn w:val="1"/>
    <w:qFormat/>
    <w:uiPriority w:val="0"/>
    <w:pPr>
      <w:widowControl/>
      <w:spacing w:line="300" w:lineRule="atLeast"/>
      <w:jc w:val="left"/>
    </w:pPr>
    <w:rPr>
      <w:rFonts w:ascii="宋体" w:hAnsi="宋体"/>
      <w:kern w:val="0"/>
      <w:sz w:val="18"/>
      <w:szCs w:val="20"/>
    </w:rPr>
  </w:style>
  <w:style w:type="paragraph" w:customStyle="1" w:styleId="42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24">
    <w:name w:val="Char Char11 Char Char Char Char Char Char Char Char Char1"/>
    <w:basedOn w:val="1"/>
    <w:qFormat/>
    <w:uiPriority w:val="0"/>
    <w:pPr>
      <w:spacing w:line="360" w:lineRule="auto"/>
    </w:pPr>
    <w:rPr>
      <w:szCs w:val="20"/>
    </w:rPr>
  </w:style>
  <w:style w:type="paragraph" w:customStyle="1" w:styleId="425">
    <w:name w:val="默认段落字体 Para Char Char Char Char"/>
    <w:basedOn w:val="1"/>
    <w:qFormat/>
    <w:uiPriority w:val="0"/>
    <w:pPr>
      <w:spacing w:line="360" w:lineRule="auto"/>
    </w:pPr>
    <w:rPr>
      <w:szCs w:val="20"/>
    </w:rPr>
  </w:style>
  <w:style w:type="paragraph" w:customStyle="1" w:styleId="426">
    <w:name w:val="带编号样式"/>
    <w:basedOn w:val="329"/>
    <w:qFormat/>
    <w:uiPriority w:val="0"/>
    <w:pPr>
      <w:tabs>
        <w:tab w:val="left" w:pos="840"/>
      </w:tabs>
      <w:snapToGrid w:val="0"/>
      <w:ind w:left="840" w:hanging="420" w:firstLineChars="0"/>
    </w:pPr>
    <w:rPr>
      <w:rFonts w:ascii="仿宋_GB2312" w:eastAsia="仿宋_GB2312"/>
      <w:color w:val="000000"/>
    </w:rPr>
  </w:style>
  <w:style w:type="paragraph" w:customStyle="1" w:styleId="42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428">
    <w:name w:val="列出段落2"/>
    <w:basedOn w:val="1"/>
    <w:qFormat/>
    <w:uiPriority w:val="0"/>
    <w:pPr>
      <w:adjustRightInd/>
      <w:ind w:firstLine="420" w:firstLineChars="200"/>
    </w:pPr>
    <w:rPr>
      <w:rFonts w:ascii="宋体" w:hAnsi="宋体"/>
      <w:sz w:val="24"/>
    </w:rPr>
  </w:style>
  <w:style w:type="paragraph" w:customStyle="1" w:styleId="42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3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431">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32">
    <w:name w:val="MM Title"/>
    <w:basedOn w:val="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33">
    <w:name w:val="Char Char1 Char Char1 Char Char1"/>
    <w:basedOn w:val="1"/>
    <w:qFormat/>
    <w:uiPriority w:val="0"/>
    <w:pPr>
      <w:tabs>
        <w:tab w:val="left" w:pos="840"/>
      </w:tabs>
      <w:ind w:left="840" w:hanging="420"/>
    </w:pPr>
    <w:rPr>
      <w:rFonts w:ascii="Tahoma" w:hAnsi="Tahoma"/>
      <w:sz w:val="24"/>
    </w:rPr>
  </w:style>
  <w:style w:type="paragraph" w:customStyle="1" w:styleId="434">
    <w:name w:val="Char Char14"/>
    <w:basedOn w:val="1"/>
    <w:qFormat/>
    <w:uiPriority w:val="0"/>
    <w:pPr>
      <w:widowControl/>
      <w:spacing w:after="160" w:line="240" w:lineRule="exact"/>
      <w:jc w:val="left"/>
    </w:pPr>
    <w:rPr>
      <w:rFonts w:eastAsia="仿宋_GB2312"/>
      <w:sz w:val="28"/>
    </w:rPr>
  </w:style>
  <w:style w:type="paragraph" w:customStyle="1" w:styleId="4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36">
    <w:name w:val="正文21"/>
    <w:basedOn w:val="1"/>
    <w:qFormat/>
    <w:uiPriority w:val="0"/>
    <w:pPr>
      <w:adjustRightInd/>
      <w:spacing w:before="156" w:line="360" w:lineRule="auto"/>
      <w:ind w:firstLine="510" w:firstLineChars="200"/>
    </w:pPr>
    <w:rPr>
      <w:sz w:val="24"/>
      <w:szCs w:val="20"/>
    </w:rPr>
  </w:style>
  <w:style w:type="paragraph" w:customStyle="1" w:styleId="43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43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39">
    <w:name w:val="Char Char4 Char Char"/>
    <w:basedOn w:val="1"/>
    <w:qFormat/>
    <w:uiPriority w:val="0"/>
    <w:pPr>
      <w:widowControl/>
      <w:adjustRightInd/>
      <w:spacing w:after="160" w:line="240" w:lineRule="exact"/>
      <w:jc w:val="left"/>
    </w:pPr>
  </w:style>
  <w:style w:type="paragraph" w:customStyle="1" w:styleId="440">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441">
    <w:name w:val="Char Char11 Char Char Char"/>
    <w:basedOn w:val="1"/>
    <w:qFormat/>
    <w:uiPriority w:val="0"/>
    <w:pPr>
      <w:spacing w:line="360" w:lineRule="auto"/>
    </w:pPr>
    <w:rPr>
      <w:szCs w:val="20"/>
    </w:rPr>
  </w:style>
  <w:style w:type="paragraph" w:customStyle="1" w:styleId="442">
    <w:name w:val="Char Char Char Char11"/>
    <w:basedOn w:val="1"/>
    <w:qFormat/>
    <w:uiPriority w:val="0"/>
    <w:rPr>
      <w:rFonts w:ascii="Tahoma" w:hAnsi="Tahoma"/>
      <w:sz w:val="24"/>
      <w:szCs w:val="20"/>
    </w:rPr>
  </w:style>
  <w:style w:type="paragraph" w:customStyle="1" w:styleId="44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45">
    <w:name w:val="Char19"/>
    <w:basedOn w:val="1"/>
    <w:qFormat/>
    <w:uiPriority w:val="0"/>
    <w:pPr>
      <w:adjustRightInd/>
    </w:pPr>
    <w:rPr>
      <w:szCs w:val="20"/>
    </w:rPr>
  </w:style>
  <w:style w:type="paragraph" w:customStyle="1" w:styleId="44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8">
    <w:name w:val="首行缩进"/>
    <w:basedOn w:val="1"/>
    <w:qFormat/>
    <w:uiPriority w:val="0"/>
    <w:pPr>
      <w:spacing w:line="360" w:lineRule="auto"/>
      <w:ind w:firstLine="480" w:firstLineChars="200"/>
    </w:pPr>
    <w:rPr>
      <w:rFonts w:ascii="宋体"/>
      <w:sz w:val="24"/>
      <w:szCs w:val="20"/>
    </w:rPr>
  </w:style>
  <w:style w:type="paragraph" w:customStyle="1" w:styleId="44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50">
    <w:name w:val="正文 项目2"/>
    <w:basedOn w:val="316"/>
    <w:qFormat/>
    <w:uiPriority w:val="0"/>
    <w:pPr>
      <w:numPr>
        <w:ilvl w:val="0"/>
        <w:numId w:val="6"/>
      </w:numPr>
      <w:tabs>
        <w:tab w:val="clear" w:pos="840"/>
      </w:tabs>
      <w:spacing w:after="0"/>
    </w:pPr>
  </w:style>
  <w:style w:type="paragraph" w:customStyle="1" w:styleId="45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5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5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5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5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5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58">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5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3">
    <w:name w:val="正文表标题"/>
    <w:next w:val="29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6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468">
    <w:name w:val="MM Empty"/>
    <w:basedOn w:val="1"/>
    <w:qFormat/>
    <w:uiPriority w:val="0"/>
    <w:pPr>
      <w:adjustRightInd/>
    </w:pPr>
  </w:style>
  <w:style w:type="paragraph" w:customStyle="1" w:styleId="46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70">
    <w:name w:val="索引 11"/>
    <w:basedOn w:val="1"/>
    <w:next w:val="1"/>
    <w:qFormat/>
    <w:uiPriority w:val="0"/>
    <w:pPr>
      <w:adjustRightInd/>
      <w:spacing w:line="360" w:lineRule="auto"/>
    </w:pPr>
    <w:rPr>
      <w:rFonts w:ascii="仿宋_GB2312" w:eastAsia="仿宋_GB2312"/>
      <w:sz w:val="24"/>
      <w:szCs w:val="20"/>
    </w:rPr>
  </w:style>
  <w:style w:type="paragraph" w:customStyle="1" w:styleId="47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72">
    <w:name w:val="CM14"/>
    <w:basedOn w:val="473"/>
    <w:next w:val="473"/>
    <w:qFormat/>
    <w:uiPriority w:val="0"/>
    <w:pPr>
      <w:spacing w:after="68"/>
    </w:pPr>
    <w:rPr>
      <w:rFonts w:ascii="FHLHE E+ Futura Bk" w:eastAsia="FHLHE E+ Futura Bk" w:cs="Times New Roman"/>
      <w:color w:val="auto"/>
    </w:rPr>
  </w:style>
  <w:style w:type="paragraph" w:customStyle="1" w:styleId="47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7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75">
    <w:name w:val="封面"/>
    <w:basedOn w:val="1"/>
    <w:qFormat/>
    <w:uiPriority w:val="0"/>
    <w:pPr>
      <w:spacing w:line="360" w:lineRule="atLeast"/>
      <w:jc w:val="right"/>
      <w:textAlignment w:val="baseline"/>
    </w:pPr>
    <w:rPr>
      <w:rFonts w:ascii="Symbol" w:hAnsi="Symbol"/>
      <w:kern w:val="0"/>
      <w:szCs w:val="20"/>
    </w:rPr>
  </w:style>
  <w:style w:type="paragraph" w:customStyle="1" w:styleId="476">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47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478">
    <w:name w:val="加粗正文"/>
    <w:basedOn w:val="1"/>
    <w:qFormat/>
    <w:uiPriority w:val="0"/>
    <w:pPr>
      <w:adjustRightInd/>
      <w:spacing w:beforeLines="50" w:afterLines="50" w:line="360" w:lineRule="auto"/>
      <w:ind w:firstLine="422" w:firstLineChars="200"/>
    </w:pPr>
    <w:rPr>
      <w:b/>
      <w:bCs/>
      <w:szCs w:val="21"/>
    </w:rPr>
  </w:style>
  <w:style w:type="paragraph" w:customStyle="1" w:styleId="47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8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81">
    <w:name w:val="Char Char11 Char Char Char1"/>
    <w:basedOn w:val="1"/>
    <w:qFormat/>
    <w:uiPriority w:val="0"/>
    <w:pPr>
      <w:spacing w:line="360" w:lineRule="auto"/>
    </w:pPr>
    <w:rPr>
      <w:szCs w:val="20"/>
    </w:rPr>
  </w:style>
  <w:style w:type="paragraph" w:customStyle="1" w:styleId="4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8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5">
    <w:name w:val="文档正文"/>
    <w:basedOn w:val="1"/>
    <w:qFormat/>
    <w:uiPriority w:val="0"/>
    <w:pPr>
      <w:spacing w:line="480" w:lineRule="atLeast"/>
      <w:ind w:firstLine="567"/>
      <w:textAlignment w:val="baseline"/>
    </w:pPr>
    <w:rPr>
      <w:kern w:val="0"/>
      <w:sz w:val="24"/>
      <w:szCs w:val="20"/>
    </w:rPr>
  </w:style>
  <w:style w:type="paragraph" w:customStyle="1" w:styleId="48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48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8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490">
    <w:name w:val="Char2 Char Char Char"/>
    <w:basedOn w:val="1"/>
    <w:qFormat/>
    <w:uiPriority w:val="0"/>
    <w:rPr>
      <w:rFonts w:ascii="仿宋_GB2312" w:eastAsia="仿宋_GB2312"/>
      <w:b/>
      <w:sz w:val="32"/>
      <w:szCs w:val="32"/>
    </w:rPr>
  </w:style>
  <w:style w:type="paragraph" w:customStyle="1" w:styleId="491">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49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93">
    <w:name w:val="Char1 Char Char Char11"/>
    <w:basedOn w:val="1"/>
    <w:qFormat/>
    <w:uiPriority w:val="0"/>
    <w:rPr>
      <w:rFonts w:ascii="Tahoma" w:hAnsi="Tahoma"/>
      <w:sz w:val="24"/>
      <w:szCs w:val="20"/>
    </w:rPr>
  </w:style>
  <w:style w:type="paragraph" w:customStyle="1" w:styleId="494">
    <w:name w:val="MM Topic 5"/>
    <w:basedOn w:val="7"/>
    <w:qFormat/>
    <w:uiPriority w:val="0"/>
    <w:pPr>
      <w:numPr>
        <w:numId w:val="4"/>
      </w:numPr>
      <w:tabs>
        <w:tab w:val="left" w:pos="840"/>
        <w:tab w:val="left" w:pos="2520"/>
      </w:tabs>
      <w:adjustRightInd/>
    </w:pPr>
  </w:style>
  <w:style w:type="paragraph" w:customStyle="1" w:styleId="49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9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9">
    <w:name w:val="Char1 Char Char Char2"/>
    <w:basedOn w:val="1"/>
    <w:qFormat/>
    <w:uiPriority w:val="0"/>
    <w:pPr>
      <w:adjustRightInd/>
      <w:ind w:firstLine="200" w:firstLineChars="200"/>
    </w:pPr>
    <w:rPr>
      <w:rFonts w:ascii="Tahoma" w:hAnsi="Tahoma"/>
      <w:sz w:val="24"/>
      <w:szCs w:val="20"/>
    </w:rPr>
  </w:style>
  <w:style w:type="paragraph" w:customStyle="1" w:styleId="5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1">
    <w:name w:val="Char Char Char Char Char Char Char Char"/>
    <w:basedOn w:val="1"/>
    <w:qFormat/>
    <w:uiPriority w:val="0"/>
    <w:pPr>
      <w:tabs>
        <w:tab w:val="left" w:pos="360"/>
      </w:tabs>
    </w:pPr>
    <w:rPr>
      <w:sz w:val="24"/>
      <w:szCs w:val="20"/>
    </w:rPr>
  </w:style>
  <w:style w:type="paragraph" w:customStyle="1" w:styleId="502">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50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04">
    <w:name w:val="Char Char Char Char Char Char Char1"/>
    <w:basedOn w:val="1"/>
    <w:qFormat/>
    <w:uiPriority w:val="0"/>
    <w:rPr>
      <w:rFonts w:ascii="仿宋_GB2312" w:eastAsia="仿宋_GB2312"/>
      <w:b/>
      <w:sz w:val="32"/>
      <w:szCs w:val="32"/>
    </w:rPr>
  </w:style>
  <w:style w:type="paragraph" w:customStyle="1" w:styleId="505">
    <w:name w:val="Char2 Char Char Char1"/>
    <w:basedOn w:val="1"/>
    <w:qFormat/>
    <w:uiPriority w:val="0"/>
    <w:rPr>
      <w:rFonts w:ascii="仿宋_GB2312" w:eastAsia="仿宋_GB2312"/>
      <w:b/>
      <w:sz w:val="32"/>
      <w:szCs w:val="32"/>
    </w:rPr>
  </w:style>
  <w:style w:type="paragraph" w:customStyle="1" w:styleId="50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0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08">
    <w:name w:val="0"/>
    <w:basedOn w:val="1"/>
    <w:qFormat/>
    <w:uiPriority w:val="0"/>
    <w:pPr>
      <w:widowControl/>
    </w:pPr>
    <w:rPr>
      <w:kern w:val="0"/>
      <w:sz w:val="24"/>
      <w:szCs w:val="20"/>
    </w:rPr>
  </w:style>
  <w:style w:type="paragraph" w:customStyle="1" w:styleId="509">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51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1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1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15">
    <w:name w:val="默认段落字体 Para Char Char Char1 Char"/>
    <w:basedOn w:val="1"/>
    <w:qFormat/>
    <w:uiPriority w:val="0"/>
    <w:pPr>
      <w:spacing w:line="240" w:lineRule="atLeast"/>
      <w:ind w:left="420" w:firstLine="420"/>
    </w:pPr>
    <w:rPr>
      <w:sz w:val="24"/>
    </w:rPr>
  </w:style>
  <w:style w:type="paragraph" w:customStyle="1" w:styleId="516">
    <w:name w:val="WW-正文文字缩进 2"/>
    <w:basedOn w:val="1"/>
    <w:qFormat/>
    <w:uiPriority w:val="0"/>
    <w:pPr>
      <w:suppressAutoHyphens/>
      <w:adjustRightInd/>
      <w:ind w:firstLine="420"/>
    </w:pPr>
    <w:rPr>
      <w:kern w:val="1"/>
      <w:szCs w:val="20"/>
    </w:rPr>
  </w:style>
  <w:style w:type="paragraph" w:customStyle="1" w:styleId="517">
    <w:name w:val="样式 正文文本缩进 + 段前: 2 字符"/>
    <w:basedOn w:val="1"/>
    <w:qFormat/>
    <w:uiPriority w:val="0"/>
    <w:pPr>
      <w:adjustRightInd/>
      <w:ind w:left="420" w:leftChars="200"/>
      <w:jc w:val="left"/>
    </w:pPr>
    <w:rPr>
      <w:sz w:val="28"/>
      <w:szCs w:val="20"/>
      <w:lang w:eastAsia="zh-TW"/>
    </w:rPr>
  </w:style>
  <w:style w:type="paragraph" w:customStyle="1" w:styleId="518">
    <w:name w:val="表格（小）"/>
    <w:basedOn w:val="1"/>
    <w:qFormat/>
    <w:uiPriority w:val="0"/>
    <w:pPr>
      <w:adjustRightInd/>
      <w:snapToGrid w:val="0"/>
      <w:spacing w:line="300" w:lineRule="auto"/>
    </w:pPr>
    <w:rPr>
      <w:rFonts w:eastAsia="仿宋"/>
      <w:szCs w:val="21"/>
    </w:rPr>
  </w:style>
  <w:style w:type="paragraph" w:customStyle="1" w:styleId="51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20">
    <w:name w:val="表格"/>
    <w:basedOn w:val="1"/>
    <w:qFormat/>
    <w:uiPriority w:val="0"/>
    <w:pPr>
      <w:snapToGrid w:val="0"/>
      <w:ind w:firstLine="42" w:firstLineChars="21"/>
    </w:pPr>
    <w:rPr>
      <w:rFonts w:ascii="宋体" w:hAnsi="宋体"/>
      <w:kern w:val="0"/>
      <w:sz w:val="20"/>
      <w:szCs w:val="20"/>
    </w:rPr>
  </w:style>
  <w:style w:type="paragraph" w:customStyle="1" w:styleId="52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2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23">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524">
    <w:name w:val="数字标题6"/>
    <w:basedOn w:val="8"/>
    <w:next w:val="1"/>
    <w:qFormat/>
    <w:uiPriority w:val="0"/>
    <w:pPr>
      <w:numPr>
        <w:numId w:val="5"/>
      </w:numPr>
      <w:tabs>
        <w:tab w:val="left" w:pos="480"/>
        <w:tab w:val="left" w:pos="1080"/>
      </w:tabs>
    </w:pPr>
    <w:rPr>
      <w:rFonts w:ascii="Times New Roman" w:hAnsi="Times New Roman" w:eastAsia="宋体"/>
      <w:i/>
    </w:rPr>
  </w:style>
  <w:style w:type="paragraph" w:customStyle="1" w:styleId="525">
    <w:name w:val="数字标题3"/>
    <w:basedOn w:val="5"/>
    <w:next w:val="1"/>
    <w:qFormat/>
    <w:uiPriority w:val="0"/>
    <w:pPr>
      <w:numPr>
        <w:numId w:val="0"/>
      </w:numPr>
      <w:spacing w:line="240" w:lineRule="auto"/>
    </w:pPr>
    <w:rPr>
      <w:sz w:val="28"/>
      <w:szCs w:val="28"/>
    </w:rPr>
  </w:style>
  <w:style w:type="paragraph" w:customStyle="1" w:styleId="52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P1"/>
    <w:basedOn w:val="1"/>
    <w:qFormat/>
    <w:uiPriority w:val="0"/>
    <w:pPr>
      <w:adjustRightInd/>
      <w:spacing w:line="288" w:lineRule="auto"/>
      <w:ind w:firstLine="425" w:firstLineChars="200"/>
    </w:pPr>
  </w:style>
  <w:style w:type="paragraph" w:customStyle="1" w:styleId="52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529">
    <w:name w:val="正文文字 2"/>
    <w:basedOn w:val="473"/>
    <w:next w:val="473"/>
    <w:qFormat/>
    <w:uiPriority w:val="0"/>
    <w:rPr>
      <w:rFonts w:ascii="宋体" w:eastAsia="宋体" w:cs="Times New Roman"/>
      <w:color w:val="auto"/>
    </w:rPr>
  </w:style>
  <w:style w:type="paragraph" w:customStyle="1" w:styleId="530">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53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32">
    <w:name w:val="_Style 12"/>
    <w:basedOn w:val="19"/>
    <w:qFormat/>
    <w:uiPriority w:val="0"/>
    <w:pPr>
      <w:snapToGrid w:val="0"/>
      <w:spacing w:line="360" w:lineRule="auto"/>
    </w:pPr>
  </w:style>
  <w:style w:type="paragraph" w:customStyle="1" w:styleId="533">
    <w:name w:val="标书表格字体格式"/>
    <w:next w:val="423"/>
    <w:qFormat/>
    <w:uiPriority w:val="0"/>
    <w:rPr>
      <w:rFonts w:ascii="Times New Roman" w:hAnsi="Times New Roman" w:eastAsia="宋体" w:cs="Times New Roman"/>
      <w:kern w:val="2"/>
      <w:sz w:val="21"/>
      <w:szCs w:val="24"/>
      <w:lang w:val="en-US" w:eastAsia="zh-CN" w:bidi="ar-SA"/>
    </w:rPr>
  </w:style>
  <w:style w:type="paragraph" w:customStyle="1" w:styleId="534">
    <w:name w:val="Char21"/>
    <w:basedOn w:val="1"/>
    <w:qFormat/>
    <w:uiPriority w:val="0"/>
    <w:pPr>
      <w:adjustRightInd/>
      <w:ind w:firstLine="200" w:firstLineChars="200"/>
    </w:pPr>
    <w:rPr>
      <w:rFonts w:ascii="仿宋_GB2312" w:eastAsia="仿宋_GB2312"/>
      <w:b/>
      <w:sz w:val="32"/>
      <w:szCs w:val="32"/>
    </w:rPr>
  </w:style>
  <w:style w:type="paragraph" w:customStyle="1" w:styleId="535">
    <w:name w:val="TOC 标题2"/>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53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53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538">
    <w:name w:val="Char Char Char1 Char"/>
    <w:basedOn w:val="1"/>
    <w:qFormat/>
    <w:uiPriority w:val="0"/>
    <w:rPr>
      <w:szCs w:val="20"/>
    </w:rPr>
  </w:style>
  <w:style w:type="paragraph" w:customStyle="1" w:styleId="53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40">
    <w:name w:val="Char2 Char Char1"/>
    <w:basedOn w:val="1"/>
    <w:qFormat/>
    <w:uiPriority w:val="0"/>
    <w:pPr>
      <w:adjustRightInd/>
    </w:pPr>
    <w:rPr>
      <w:rFonts w:ascii="Tahoma" w:hAnsi="Tahoma"/>
      <w:sz w:val="24"/>
      <w:szCs w:val="20"/>
    </w:rPr>
  </w:style>
  <w:style w:type="paragraph" w:customStyle="1" w:styleId="54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4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54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styleId="54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7">
    <w:name w:val="bullet"/>
    <w:basedOn w:val="1"/>
    <w:qFormat/>
    <w:uiPriority w:val="0"/>
    <w:pPr>
      <w:tabs>
        <w:tab w:val="left" w:pos="840"/>
      </w:tabs>
      <w:adjustRightInd/>
      <w:ind w:left="840" w:hanging="420"/>
    </w:pPr>
  </w:style>
  <w:style w:type="paragraph" w:customStyle="1" w:styleId="548">
    <w:name w:val="Char Char Char Char Char Char Char Char Char Char Char Char1 Char1"/>
    <w:basedOn w:val="1"/>
    <w:qFormat/>
    <w:uiPriority w:val="0"/>
    <w:rPr>
      <w:rFonts w:ascii="Tahoma" w:hAnsi="Tahoma" w:cs="仿宋_GB2312"/>
      <w:sz w:val="24"/>
      <w:szCs w:val="20"/>
    </w:rPr>
  </w:style>
  <w:style w:type="paragraph" w:customStyle="1" w:styleId="549">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5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51">
    <w:name w:val="正文（标题三）"/>
    <w:basedOn w:val="1"/>
    <w:qFormat/>
    <w:uiPriority w:val="0"/>
    <w:pPr>
      <w:spacing w:line="360" w:lineRule="auto"/>
      <w:ind w:firstLine="200" w:firstLineChars="200"/>
    </w:pPr>
    <w:rPr>
      <w:sz w:val="24"/>
    </w:rPr>
  </w:style>
  <w:style w:type="paragraph" w:customStyle="1" w:styleId="552">
    <w:name w:val="标题五"/>
    <w:basedOn w:val="1"/>
    <w:qFormat/>
    <w:uiPriority w:val="0"/>
    <w:pPr>
      <w:adjustRightInd/>
      <w:spacing w:beforeLines="50" w:line="360" w:lineRule="auto"/>
    </w:pPr>
    <w:rPr>
      <w:b/>
      <w:sz w:val="24"/>
    </w:rPr>
  </w:style>
  <w:style w:type="paragraph" w:customStyle="1" w:styleId="553">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55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5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6">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5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58">
    <w:name w:val="样式3"/>
    <w:basedOn w:val="278"/>
    <w:qFormat/>
    <w:uiPriority w:val="0"/>
    <w:pPr>
      <w:spacing w:beforeLines="100"/>
      <w:jc w:val="left"/>
    </w:pPr>
  </w:style>
  <w:style w:type="paragraph" w:customStyle="1" w:styleId="55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60">
    <w:name w:val="数字标题1"/>
    <w:basedOn w:val="3"/>
    <w:next w:val="1"/>
    <w:qFormat/>
    <w:uiPriority w:val="0"/>
    <w:pPr>
      <w:numPr>
        <w:numId w:val="5"/>
      </w:numPr>
      <w:tabs>
        <w:tab w:val="left" w:pos="480"/>
      </w:tabs>
    </w:pPr>
  </w:style>
  <w:style w:type="paragraph" w:customStyle="1" w:styleId="561">
    <w:name w:val="Char11"/>
    <w:basedOn w:val="1"/>
    <w:qFormat/>
    <w:uiPriority w:val="0"/>
    <w:pPr>
      <w:tabs>
        <w:tab w:val="left" w:pos="432"/>
      </w:tabs>
      <w:adjustRightInd/>
      <w:spacing w:beforeLines="50" w:afterLines="50"/>
      <w:ind w:left="432" w:hanging="432" w:firstLineChars="200"/>
    </w:pPr>
    <w:rPr>
      <w:sz w:val="24"/>
    </w:rPr>
  </w:style>
  <w:style w:type="paragraph" w:customStyle="1" w:styleId="56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63">
    <w:name w:val="List Paragraph1"/>
    <w:basedOn w:val="1"/>
    <w:qFormat/>
    <w:uiPriority w:val="34"/>
    <w:pPr>
      <w:spacing w:line="360" w:lineRule="auto"/>
      <w:ind w:firstLine="200" w:firstLineChars="200"/>
    </w:pPr>
    <w:rPr>
      <w:rFonts w:eastAsia="楷体_GB2312" w:cs="Lucida Sans"/>
      <w:sz w:val="24"/>
    </w:rPr>
  </w:style>
  <w:style w:type="paragraph" w:customStyle="1" w:styleId="564">
    <w:name w:val="Char Char Char1 Char1"/>
    <w:basedOn w:val="1"/>
    <w:qFormat/>
    <w:uiPriority w:val="0"/>
    <w:rPr>
      <w:szCs w:val="20"/>
    </w:rPr>
  </w:style>
  <w:style w:type="paragraph" w:customStyle="1" w:styleId="565">
    <w:name w:val="修订1"/>
    <w:qFormat/>
    <w:uiPriority w:val="0"/>
    <w:rPr>
      <w:rFonts w:ascii="Times New Roman" w:hAnsi="Times New Roman" w:eastAsia="宋体" w:cs="Times New Roman"/>
      <w:kern w:val="2"/>
      <w:sz w:val="21"/>
      <w:lang w:val="en-US" w:eastAsia="zh-CN" w:bidi="ar-SA"/>
    </w:rPr>
  </w:style>
  <w:style w:type="paragraph" w:customStyle="1" w:styleId="566">
    <w:name w:val="Char1 Char Char Char4"/>
    <w:basedOn w:val="1"/>
    <w:qFormat/>
    <w:uiPriority w:val="0"/>
    <w:pPr>
      <w:adjustRightInd/>
      <w:ind w:firstLine="200" w:firstLineChars="200"/>
    </w:pPr>
    <w:rPr>
      <w:rFonts w:ascii="Tahoma" w:hAnsi="Tahoma"/>
      <w:sz w:val="24"/>
      <w:szCs w:val="20"/>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6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0">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7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7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75">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7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7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79">
    <w:name w:val="Thf"/>
    <w:basedOn w:val="567"/>
    <w:qFormat/>
    <w:uiPriority w:val="0"/>
    <w:pPr>
      <w:ind w:left="0"/>
    </w:pPr>
  </w:style>
  <w:style w:type="paragraph" w:customStyle="1" w:styleId="580">
    <w:name w:val="Char Char Char Char Char Char Char Char1"/>
    <w:basedOn w:val="1"/>
    <w:qFormat/>
    <w:uiPriority w:val="0"/>
    <w:pPr>
      <w:tabs>
        <w:tab w:val="left" w:pos="360"/>
      </w:tabs>
    </w:pPr>
    <w:rPr>
      <w:sz w:val="24"/>
      <w:szCs w:val="20"/>
    </w:rPr>
  </w:style>
  <w:style w:type="paragraph" w:customStyle="1" w:styleId="581">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8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83">
    <w:name w:val="Char1 Char Char Char5"/>
    <w:basedOn w:val="1"/>
    <w:qFormat/>
    <w:uiPriority w:val="0"/>
    <w:pPr>
      <w:adjustRightInd/>
      <w:ind w:firstLine="200" w:firstLineChars="200"/>
    </w:pPr>
    <w:rPr>
      <w:rFonts w:ascii="Tahoma" w:hAnsi="Tahoma"/>
      <w:sz w:val="24"/>
      <w:szCs w:val="20"/>
    </w:rPr>
  </w:style>
  <w:style w:type="paragraph" w:customStyle="1" w:styleId="58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85">
    <w:name w:val="样式1 + (中宋体"/>
    <w:basedOn w:val="57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586">
    <w:name w:val="Table Text"/>
    <w:basedOn w:val="1"/>
    <w:qFormat/>
    <w:uiPriority w:val="0"/>
    <w:pPr>
      <w:widowControl/>
      <w:spacing w:before="60" w:after="60"/>
      <w:jc w:val="left"/>
    </w:pPr>
    <w:rPr>
      <w:kern w:val="0"/>
      <w:sz w:val="24"/>
    </w:rPr>
  </w:style>
  <w:style w:type="paragraph" w:customStyle="1" w:styleId="587">
    <w:name w:val="p0"/>
    <w:basedOn w:val="1"/>
    <w:qFormat/>
    <w:uiPriority w:val="0"/>
    <w:pPr>
      <w:widowControl/>
      <w:adjustRightInd/>
    </w:pPr>
    <w:rPr>
      <w:kern w:val="0"/>
      <w:szCs w:val="21"/>
    </w:rPr>
  </w:style>
  <w:style w:type="paragraph" w:styleId="588">
    <w:name w:val="List Paragraph"/>
    <w:basedOn w:val="1"/>
    <w:qFormat/>
    <w:uiPriority w:val="34"/>
    <w:pPr>
      <w:spacing w:line="360" w:lineRule="auto"/>
      <w:ind w:firstLine="200" w:firstLineChars="200"/>
    </w:pPr>
    <w:rPr>
      <w:rFonts w:eastAsia="楷体_GB2312" w:cs="Lucida Sans"/>
      <w:sz w:val="24"/>
    </w:rPr>
  </w:style>
  <w:style w:type="paragraph" w:customStyle="1" w:styleId="58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90">
    <w:name w:val="FA正文"/>
    <w:basedOn w:val="1"/>
    <w:qFormat/>
    <w:uiPriority w:val="0"/>
    <w:pPr>
      <w:spacing w:line="360" w:lineRule="auto"/>
      <w:ind w:firstLine="480" w:firstLineChars="200"/>
    </w:pPr>
    <w:rPr>
      <w:rFonts w:hAnsi="宋体"/>
      <w:sz w:val="24"/>
      <w:szCs w:val="20"/>
    </w:rPr>
  </w:style>
  <w:style w:type="paragraph" w:customStyle="1" w:styleId="591">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59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93">
    <w:name w:val="Char3 Char Char Char1"/>
    <w:basedOn w:val="1"/>
    <w:qFormat/>
    <w:uiPriority w:val="0"/>
    <w:pPr>
      <w:widowControl/>
      <w:adjustRightInd/>
      <w:spacing w:after="160" w:line="240" w:lineRule="exact"/>
      <w:jc w:val="left"/>
    </w:pPr>
    <w:rPr>
      <w:szCs w:val="20"/>
    </w:rPr>
  </w:style>
  <w:style w:type="paragraph" w:customStyle="1" w:styleId="59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95">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9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97">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598">
    <w:name w:val="MM Topic 1"/>
    <w:basedOn w:val="3"/>
    <w:qFormat/>
    <w:uiPriority w:val="0"/>
    <w:pPr>
      <w:numPr>
        <w:numId w:val="0"/>
      </w:numPr>
      <w:tabs>
        <w:tab w:val="left" w:pos="840"/>
      </w:tabs>
      <w:adjustRightInd/>
      <w:ind w:left="840" w:hanging="420"/>
    </w:pPr>
  </w:style>
  <w:style w:type="paragraph" w:customStyle="1" w:styleId="59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600">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601">
    <w:name w:val="列表内容"/>
    <w:basedOn w:val="1"/>
    <w:next w:val="1"/>
    <w:qFormat/>
    <w:uiPriority w:val="0"/>
    <w:pPr>
      <w:widowControl/>
      <w:tabs>
        <w:tab w:val="left" w:pos="840"/>
      </w:tabs>
      <w:ind w:left="840" w:hanging="420"/>
      <w:jc w:val="left"/>
    </w:pPr>
    <w:rPr>
      <w:kern w:val="0"/>
      <w:sz w:val="18"/>
    </w:rPr>
  </w:style>
  <w:style w:type="paragraph" w:customStyle="1" w:styleId="6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0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04">
    <w:name w:val="单元格左对齐"/>
    <w:basedOn w:val="1"/>
    <w:qFormat/>
    <w:uiPriority w:val="0"/>
    <w:pPr>
      <w:adjustRightInd/>
      <w:spacing w:line="360" w:lineRule="auto"/>
    </w:pPr>
    <w:rPr>
      <w:sz w:val="24"/>
    </w:rPr>
  </w:style>
  <w:style w:type="paragraph" w:customStyle="1" w:styleId="605">
    <w:name w:val="Char1 Char Char Char1"/>
    <w:basedOn w:val="1"/>
    <w:qFormat/>
    <w:uiPriority w:val="0"/>
    <w:pPr>
      <w:adjustRightInd/>
      <w:ind w:firstLine="200" w:firstLineChars="200"/>
    </w:pPr>
    <w:rPr>
      <w:rFonts w:ascii="Tahoma" w:hAnsi="Tahoma"/>
      <w:sz w:val="24"/>
      <w:szCs w:val="20"/>
    </w:rPr>
  </w:style>
  <w:style w:type="paragraph" w:customStyle="1" w:styleId="606">
    <w:name w:val="Char Char1 Char Char Char1"/>
    <w:basedOn w:val="1"/>
    <w:qFormat/>
    <w:uiPriority w:val="0"/>
    <w:rPr>
      <w:rFonts w:ascii="仿宋_GB2312" w:eastAsia="仿宋_GB2312"/>
      <w:b/>
      <w:sz w:val="32"/>
      <w:szCs w:val="32"/>
    </w:rPr>
  </w:style>
  <w:style w:type="paragraph" w:customStyle="1" w:styleId="607">
    <w:name w:val="图中文字"/>
    <w:basedOn w:val="1"/>
    <w:qFormat/>
    <w:uiPriority w:val="0"/>
    <w:pPr>
      <w:snapToGrid w:val="0"/>
      <w:spacing w:line="0" w:lineRule="atLeast"/>
      <w:ind w:firstLine="200" w:firstLineChars="200"/>
      <w:jc w:val="center"/>
    </w:pPr>
    <w:rPr>
      <w:sz w:val="24"/>
      <w:szCs w:val="20"/>
    </w:rPr>
  </w:style>
  <w:style w:type="paragraph" w:customStyle="1" w:styleId="608">
    <w:name w:val="正文段"/>
    <w:basedOn w:val="1"/>
    <w:qFormat/>
    <w:uiPriority w:val="0"/>
    <w:pPr>
      <w:widowControl/>
      <w:snapToGrid w:val="0"/>
      <w:spacing w:afterLines="50"/>
      <w:ind w:firstLine="200" w:firstLineChars="200"/>
    </w:pPr>
    <w:rPr>
      <w:kern w:val="0"/>
      <w:sz w:val="24"/>
      <w:szCs w:val="20"/>
    </w:rPr>
  </w:style>
  <w:style w:type="paragraph" w:customStyle="1" w:styleId="60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610">
    <w:name w:val="正文文字表格居中"/>
    <w:basedOn w:val="1"/>
    <w:next w:val="54"/>
    <w:qFormat/>
    <w:uiPriority w:val="0"/>
    <w:pPr>
      <w:snapToGrid w:val="0"/>
      <w:spacing w:line="360" w:lineRule="auto"/>
    </w:pPr>
    <w:rPr>
      <w:rFonts w:ascii="宋体"/>
      <w:b/>
      <w:sz w:val="24"/>
      <w:szCs w:val="20"/>
    </w:rPr>
  </w:style>
  <w:style w:type="paragraph" w:customStyle="1" w:styleId="611">
    <w:name w:val="样式 样式2 + 左侧:  1 字符 右侧:  1 字符"/>
    <w:basedOn w:val="2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1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613">
    <w:name w:val="样式 标题 4PIM 4H4h4bulletblbbH41H42H43H44H45H46H47H48...1"/>
    <w:basedOn w:val="6"/>
    <w:qFormat/>
    <w:uiPriority w:val="0"/>
    <w:pPr>
      <w:widowControl/>
      <w:jc w:val="left"/>
    </w:pPr>
    <w:rPr>
      <w:rFonts w:cs="宋体"/>
      <w:sz w:val="24"/>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16">
    <w:name w:val="Char Char Char Char Char Char Char Char Char Char1"/>
    <w:basedOn w:val="1"/>
    <w:qFormat/>
    <w:uiPriority w:val="0"/>
    <w:rPr>
      <w:rFonts w:ascii="仿宋_GB2312" w:eastAsia="仿宋_GB2312"/>
      <w:b/>
      <w:sz w:val="32"/>
      <w:szCs w:val="32"/>
    </w:rPr>
  </w:style>
  <w:style w:type="paragraph" w:customStyle="1" w:styleId="617">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618">
    <w:name w:val="注释"/>
    <w:basedOn w:val="1"/>
    <w:qFormat/>
    <w:uiPriority w:val="0"/>
    <w:pPr>
      <w:adjustRightInd/>
      <w:spacing w:line="360" w:lineRule="auto"/>
      <w:ind w:firstLine="480"/>
    </w:pPr>
    <w:rPr>
      <w:sz w:val="24"/>
    </w:rPr>
  </w:style>
  <w:style w:type="paragraph" w:customStyle="1" w:styleId="61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62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62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3">
    <w:name w:val="样式7"/>
    <w:basedOn w:val="377"/>
    <w:next w:val="1"/>
    <w:qFormat/>
    <w:uiPriority w:val="0"/>
    <w:pPr>
      <w:spacing w:afterLines="50"/>
      <w:jc w:val="left"/>
      <w:outlineLvl w:val="3"/>
    </w:pPr>
    <w:rPr>
      <w:sz w:val="24"/>
      <w:szCs w:val="24"/>
    </w:rPr>
  </w:style>
  <w:style w:type="paragraph" w:customStyle="1" w:styleId="62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2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2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B1E35-7A1D-4C48-A970-7EC26833A50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51</Pages>
  <Words>4244</Words>
  <Characters>24191</Characters>
  <Lines>201</Lines>
  <Paragraphs>56</Paragraphs>
  <TotalTime>149</TotalTime>
  <ScaleCrop>false</ScaleCrop>
  <LinksUpToDate>false</LinksUpToDate>
  <CharactersWithSpaces>28379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2021-10-12T01:24:00Z</dcterms:created>
  <dc:creator>玥</dc:creator>
  <cp:lastModifiedBy>糖糖</cp:lastModifiedBy>
  <cp:lastPrinted>2023-10-20T03:35:00Z</cp:lastPrinted>
  <dcterms:modified xsi:type="dcterms:W3CDTF">2023-10-20T05:49:55Z</dcterms:modified>
  <dc:title>绍兴市柯桥区政府采购招标文件示范文本</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BC12C4D2321F4956AFF41EBAF6779B57_13</vt:lpwstr>
  </property>
</Properties>
</file>