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988BA3">
      <w:pPr>
        <w:spacing w:line="360" w:lineRule="auto"/>
        <w:jc w:val="center"/>
        <w:rPr>
          <w:rFonts w:ascii="宋体" w:hAnsi="宋体" w:cs="宋体"/>
          <w:b/>
          <w:color w:val="auto"/>
          <w:sz w:val="24"/>
          <w:highlight w:val="none"/>
        </w:rPr>
      </w:pPr>
    </w:p>
    <w:p w14:paraId="06099F1F">
      <w:pPr>
        <w:jc w:val="center"/>
        <w:outlineLvl w:val="0"/>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华舍小学扩建改造工程（一期）数字化设备等采购项目</w:t>
      </w:r>
    </w:p>
    <w:p w14:paraId="704382A4">
      <w:pPr>
        <w:pStyle w:val="3"/>
        <w:rPr>
          <w:color w:val="auto"/>
          <w:highlight w:val="none"/>
        </w:rPr>
      </w:pPr>
    </w:p>
    <w:p w14:paraId="235C373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10F0B44">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1E7550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7B85F5EA">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BD4019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CA4A35E">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FF0CCF5">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96C1994">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1EA3ADAB">
      <w:pPr>
        <w:spacing w:line="420" w:lineRule="exact"/>
        <w:ind w:firstLine="3092" w:firstLineChars="1100"/>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val="0"/>
          <w:bCs/>
          <w:color w:val="auto"/>
          <w:sz w:val="28"/>
          <w:szCs w:val="28"/>
          <w:highlight w:val="none"/>
          <w:lang w:eastAsia="zh-CN"/>
        </w:rPr>
        <w:t>绍柯采[2025]1142号</w:t>
      </w:r>
    </w:p>
    <w:tbl>
      <w:tblPr>
        <w:tblStyle w:val="62"/>
        <w:tblW w:w="7801" w:type="dxa"/>
        <w:jc w:val="center"/>
        <w:tblLayout w:type="fixed"/>
        <w:tblCellMar>
          <w:top w:w="0" w:type="dxa"/>
          <w:left w:w="108" w:type="dxa"/>
          <w:bottom w:w="0" w:type="dxa"/>
          <w:right w:w="108" w:type="dxa"/>
        </w:tblCellMar>
      </w:tblPr>
      <w:tblGrid>
        <w:gridCol w:w="2356"/>
        <w:gridCol w:w="5445"/>
      </w:tblGrid>
      <w:tr w14:paraId="1D681CF8">
        <w:tblPrEx>
          <w:tblCellMar>
            <w:top w:w="0" w:type="dxa"/>
            <w:left w:w="108" w:type="dxa"/>
            <w:bottom w:w="0" w:type="dxa"/>
            <w:right w:w="108" w:type="dxa"/>
          </w:tblCellMar>
        </w:tblPrEx>
        <w:trPr>
          <w:trHeight w:val="443" w:hRule="atLeast"/>
          <w:jc w:val="center"/>
        </w:trPr>
        <w:tc>
          <w:tcPr>
            <w:tcW w:w="2356" w:type="dxa"/>
          </w:tcPr>
          <w:p w14:paraId="09E489F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3180731">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绍兴市柯桥区华舍小学</w:t>
            </w:r>
          </w:p>
        </w:tc>
      </w:tr>
      <w:tr w14:paraId="6215BE24">
        <w:tblPrEx>
          <w:tblCellMar>
            <w:top w:w="0" w:type="dxa"/>
            <w:left w:w="108" w:type="dxa"/>
            <w:bottom w:w="0" w:type="dxa"/>
            <w:right w:w="108" w:type="dxa"/>
          </w:tblCellMar>
        </w:tblPrEx>
        <w:trPr>
          <w:trHeight w:val="494" w:hRule="atLeast"/>
          <w:jc w:val="center"/>
        </w:trPr>
        <w:tc>
          <w:tcPr>
            <w:tcW w:w="2356" w:type="dxa"/>
          </w:tcPr>
          <w:p w14:paraId="3D7C6DD2">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591821570"/>
              </w:rPr>
              <w:t>采购代理机构</w:t>
            </w:r>
            <w:r>
              <w:rPr>
                <w:rFonts w:hint="eastAsia" w:ascii="仿宋" w:hAnsi="仿宋" w:eastAsia="仿宋" w:cs="仿宋"/>
                <w:color w:val="auto"/>
                <w:sz w:val="28"/>
                <w:szCs w:val="28"/>
                <w:highlight w:val="none"/>
              </w:rPr>
              <w:t>：</w:t>
            </w:r>
          </w:p>
        </w:tc>
        <w:tc>
          <w:tcPr>
            <w:tcW w:w="5445" w:type="dxa"/>
          </w:tcPr>
          <w:p w14:paraId="11B1EB35">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浙江中兴工程项目管理有限公司</w:t>
            </w:r>
          </w:p>
        </w:tc>
      </w:tr>
      <w:tr w14:paraId="1F25D04B">
        <w:tblPrEx>
          <w:tblCellMar>
            <w:top w:w="0" w:type="dxa"/>
            <w:left w:w="108" w:type="dxa"/>
            <w:bottom w:w="0" w:type="dxa"/>
            <w:right w:w="108" w:type="dxa"/>
          </w:tblCellMar>
        </w:tblPrEx>
        <w:trPr>
          <w:trHeight w:val="397" w:hRule="atLeast"/>
          <w:jc w:val="center"/>
        </w:trPr>
        <w:tc>
          <w:tcPr>
            <w:tcW w:w="2356" w:type="dxa"/>
            <w:vAlign w:val="center"/>
          </w:tcPr>
          <w:p w14:paraId="2FC55211">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648650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0F87EB68">
        <w:tblPrEx>
          <w:tblCellMar>
            <w:top w:w="0" w:type="dxa"/>
            <w:left w:w="108" w:type="dxa"/>
            <w:bottom w:w="0" w:type="dxa"/>
            <w:right w:w="108" w:type="dxa"/>
          </w:tblCellMar>
        </w:tblPrEx>
        <w:trPr>
          <w:trHeight w:val="333" w:hRule="atLeast"/>
          <w:jc w:val="center"/>
        </w:trPr>
        <w:tc>
          <w:tcPr>
            <w:tcW w:w="7801" w:type="dxa"/>
            <w:gridSpan w:val="2"/>
          </w:tcPr>
          <w:p w14:paraId="7783FA6A">
            <w:pPr>
              <w:spacing w:after="100" w:afterAutospacing="1" w:line="440" w:lineRule="exact"/>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eastAsia="zh-CN"/>
              </w:rPr>
              <w:t>二十一日</w:t>
            </w:r>
          </w:p>
        </w:tc>
      </w:tr>
    </w:tbl>
    <w:p w14:paraId="116DEDC7">
      <w:pPr>
        <w:pStyle w:val="637"/>
        <w:rPr>
          <w:rFonts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68772C6B">
      <w:pPr>
        <w:spacing w:line="360" w:lineRule="auto"/>
        <w:jc w:val="center"/>
        <w:rPr>
          <w:rFonts w:ascii="仿宋" w:hAnsi="仿宋" w:eastAsia="仿宋" w:cs="仿宋"/>
          <w:color w:val="auto"/>
          <w:sz w:val="24"/>
          <w:highlight w:val="none"/>
        </w:rPr>
      </w:pPr>
    </w:p>
    <w:p w14:paraId="3D9F852D">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6E19D831">
      <w:pPr>
        <w:spacing w:line="360" w:lineRule="auto"/>
        <w:jc w:val="center"/>
        <w:rPr>
          <w:rFonts w:ascii="仿宋" w:hAnsi="仿宋" w:eastAsia="仿宋" w:cs="仿宋"/>
          <w:b/>
          <w:color w:val="auto"/>
          <w:sz w:val="44"/>
          <w:szCs w:val="44"/>
          <w:highlight w:val="none"/>
        </w:rPr>
      </w:pPr>
    </w:p>
    <w:p w14:paraId="4F52AED4">
      <w:pPr>
        <w:spacing w:line="360" w:lineRule="auto"/>
        <w:jc w:val="center"/>
        <w:rPr>
          <w:rFonts w:ascii="仿宋" w:hAnsi="仿宋" w:eastAsia="仿宋" w:cs="仿宋"/>
          <w:color w:val="auto"/>
          <w:highlight w:val="none"/>
        </w:rPr>
      </w:pPr>
    </w:p>
    <w:p w14:paraId="3B076551">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6792F3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4DBE77A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E4CFA5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40C7B20">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E8EF7D2">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53552BC">
      <w:pPr>
        <w:spacing w:line="360" w:lineRule="auto"/>
        <w:ind w:firstLine="549" w:firstLineChars="229"/>
        <w:rPr>
          <w:rFonts w:ascii="仿宋" w:hAnsi="仿宋" w:eastAsia="仿宋" w:cs="仿宋"/>
          <w:color w:val="auto"/>
          <w:sz w:val="24"/>
          <w:highlight w:val="none"/>
        </w:rPr>
      </w:pPr>
    </w:p>
    <w:p w14:paraId="6D4369FC">
      <w:pPr>
        <w:spacing w:line="360" w:lineRule="auto"/>
        <w:ind w:firstLine="549" w:firstLineChars="229"/>
        <w:rPr>
          <w:rFonts w:ascii="仿宋" w:hAnsi="仿宋" w:eastAsia="仿宋" w:cs="仿宋"/>
          <w:color w:val="auto"/>
          <w:sz w:val="24"/>
          <w:highlight w:val="none"/>
        </w:rPr>
      </w:pPr>
    </w:p>
    <w:p w14:paraId="400BFBEF">
      <w:pPr>
        <w:spacing w:line="360" w:lineRule="auto"/>
        <w:ind w:firstLine="549" w:firstLineChars="229"/>
        <w:rPr>
          <w:rFonts w:ascii="仿宋" w:hAnsi="仿宋" w:eastAsia="仿宋" w:cs="仿宋"/>
          <w:color w:val="auto"/>
          <w:sz w:val="24"/>
          <w:highlight w:val="none"/>
        </w:rPr>
      </w:pPr>
    </w:p>
    <w:p w14:paraId="30934237">
      <w:pPr>
        <w:spacing w:line="360" w:lineRule="auto"/>
        <w:ind w:firstLine="549" w:firstLineChars="229"/>
        <w:rPr>
          <w:rFonts w:ascii="仿宋" w:hAnsi="仿宋" w:eastAsia="仿宋" w:cs="仿宋"/>
          <w:color w:val="auto"/>
          <w:sz w:val="24"/>
          <w:highlight w:val="none"/>
        </w:rPr>
      </w:pPr>
    </w:p>
    <w:p w14:paraId="1861EB75">
      <w:pPr>
        <w:spacing w:line="360" w:lineRule="auto"/>
        <w:ind w:firstLine="549" w:firstLineChars="229"/>
        <w:rPr>
          <w:rFonts w:ascii="仿宋" w:hAnsi="仿宋" w:eastAsia="仿宋" w:cs="仿宋"/>
          <w:color w:val="auto"/>
          <w:sz w:val="24"/>
          <w:highlight w:val="none"/>
        </w:rPr>
      </w:pPr>
    </w:p>
    <w:p w14:paraId="7E8AE802">
      <w:pPr>
        <w:spacing w:line="360" w:lineRule="auto"/>
        <w:ind w:firstLine="549" w:firstLineChars="229"/>
        <w:rPr>
          <w:rFonts w:ascii="仿宋" w:hAnsi="仿宋" w:eastAsia="仿宋" w:cs="仿宋"/>
          <w:color w:val="auto"/>
          <w:sz w:val="24"/>
          <w:highlight w:val="none"/>
        </w:rPr>
      </w:pPr>
    </w:p>
    <w:p w14:paraId="50704D50">
      <w:pPr>
        <w:spacing w:line="360" w:lineRule="auto"/>
        <w:ind w:firstLine="549" w:firstLineChars="229"/>
        <w:rPr>
          <w:rFonts w:ascii="仿宋" w:hAnsi="仿宋" w:eastAsia="仿宋" w:cs="仿宋"/>
          <w:color w:val="auto"/>
          <w:sz w:val="24"/>
          <w:highlight w:val="none"/>
        </w:rPr>
      </w:pPr>
    </w:p>
    <w:p w14:paraId="7B6EE0FA">
      <w:pPr>
        <w:spacing w:line="360" w:lineRule="auto"/>
        <w:ind w:firstLine="549" w:firstLineChars="229"/>
        <w:rPr>
          <w:rFonts w:ascii="仿宋" w:hAnsi="仿宋" w:eastAsia="仿宋" w:cs="仿宋"/>
          <w:color w:val="auto"/>
          <w:sz w:val="24"/>
          <w:highlight w:val="none"/>
        </w:rPr>
      </w:pPr>
    </w:p>
    <w:p w14:paraId="00199668">
      <w:pPr>
        <w:spacing w:line="360" w:lineRule="auto"/>
        <w:ind w:firstLine="549" w:firstLineChars="229"/>
        <w:rPr>
          <w:rFonts w:ascii="仿宋" w:hAnsi="仿宋" w:eastAsia="仿宋" w:cs="仿宋"/>
          <w:color w:val="auto"/>
          <w:sz w:val="24"/>
          <w:highlight w:val="none"/>
        </w:rPr>
      </w:pPr>
    </w:p>
    <w:p w14:paraId="4083B3E8">
      <w:pPr>
        <w:spacing w:line="360" w:lineRule="auto"/>
        <w:ind w:firstLine="549" w:firstLineChars="229"/>
        <w:rPr>
          <w:rFonts w:ascii="仿宋" w:hAnsi="仿宋" w:eastAsia="仿宋" w:cs="仿宋"/>
          <w:color w:val="auto"/>
          <w:sz w:val="24"/>
          <w:highlight w:val="none"/>
        </w:rPr>
      </w:pPr>
    </w:p>
    <w:p w14:paraId="211D8686">
      <w:pPr>
        <w:spacing w:line="360" w:lineRule="auto"/>
        <w:ind w:firstLine="549" w:firstLineChars="229"/>
        <w:rPr>
          <w:rFonts w:ascii="仿宋" w:hAnsi="仿宋" w:eastAsia="仿宋" w:cs="仿宋"/>
          <w:color w:val="auto"/>
          <w:sz w:val="24"/>
          <w:highlight w:val="none"/>
        </w:rPr>
      </w:pPr>
    </w:p>
    <w:p w14:paraId="6B216C37">
      <w:pPr>
        <w:spacing w:line="360" w:lineRule="auto"/>
        <w:ind w:firstLine="549" w:firstLineChars="229"/>
        <w:rPr>
          <w:rFonts w:ascii="仿宋" w:hAnsi="仿宋" w:eastAsia="仿宋" w:cs="仿宋"/>
          <w:color w:val="auto"/>
          <w:sz w:val="24"/>
          <w:highlight w:val="none"/>
        </w:rPr>
      </w:pPr>
    </w:p>
    <w:p w14:paraId="734EF34A">
      <w:pPr>
        <w:spacing w:line="360" w:lineRule="auto"/>
        <w:ind w:firstLine="549" w:firstLineChars="229"/>
        <w:rPr>
          <w:rFonts w:ascii="仿宋" w:hAnsi="仿宋" w:eastAsia="仿宋" w:cs="仿宋"/>
          <w:color w:val="auto"/>
          <w:sz w:val="24"/>
          <w:highlight w:val="none"/>
        </w:rPr>
      </w:pPr>
    </w:p>
    <w:p w14:paraId="5E7B557E">
      <w:pPr>
        <w:spacing w:line="360" w:lineRule="auto"/>
        <w:rPr>
          <w:rFonts w:ascii="仿宋" w:hAnsi="仿宋" w:eastAsia="仿宋" w:cs="仿宋"/>
          <w:color w:val="auto"/>
          <w:sz w:val="24"/>
          <w:highlight w:val="none"/>
        </w:rPr>
      </w:pPr>
    </w:p>
    <w:bookmarkEnd w:id="2"/>
    <w:p w14:paraId="75907BB1">
      <w:pPr>
        <w:adjustRightInd/>
        <w:spacing w:line="360" w:lineRule="auto"/>
        <w:jc w:val="center"/>
        <w:outlineLvl w:val="0"/>
        <w:rPr>
          <w:rFonts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07423"/>
      <w:bookmarkEnd w:id="3"/>
      <w:bookmarkStart w:id="4" w:name="_Hlt74649545"/>
      <w:bookmarkEnd w:id="4"/>
      <w:bookmarkStart w:id="5" w:name="_Hlt74728647"/>
      <w:bookmarkEnd w:id="5"/>
      <w:bookmarkStart w:id="6" w:name="_Hlt74729822"/>
      <w:bookmarkEnd w:id="6"/>
      <w:bookmarkStart w:id="7" w:name="第二部分"/>
      <w:bookmarkStart w:id="8" w:name="_Toc91899870"/>
      <w:bookmarkStart w:id="9" w:name="_Toc91899871"/>
    </w:p>
    <w:p w14:paraId="2447A338">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4AEF1DA">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44C0576E">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华舍小学扩建改造工程（一期）数字化设备等采购项目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8</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11</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09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Style w:val="76"/>
          <w:rFonts w:hint="eastAsia" w:ascii="仿宋" w:hAnsi="仿宋" w:eastAsia="仿宋" w:cs="仿宋"/>
          <w:bCs/>
          <w:snapToGrid/>
          <w:color w:val="auto"/>
          <w:kern w:val="2"/>
          <w:sz w:val="24"/>
          <w:szCs w:val="24"/>
          <w:highlight w:val="none"/>
          <w:u w:val="single"/>
        </w:rPr>
        <w:t>00秒</w:t>
      </w:r>
      <w:r>
        <w:rPr>
          <w:rStyle w:val="76"/>
          <w:rFonts w:hint="eastAsia" w:ascii="仿宋" w:hAnsi="仿宋" w:eastAsia="仿宋" w:cs="仿宋"/>
          <w:bCs/>
          <w:snapToGrid/>
          <w:color w:val="auto"/>
          <w:kern w:val="2"/>
          <w:sz w:val="24"/>
          <w:szCs w:val="24"/>
          <w:highlight w:val="none"/>
          <w:u w:val="singl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B5FF8BE">
      <w:pPr>
        <w:spacing w:line="42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0DDCAFBA">
      <w:pPr>
        <w:spacing w:line="420" w:lineRule="exact"/>
        <w:ind w:firstLine="482" w:firstLineChars="200"/>
        <w:rPr>
          <w:rFonts w:ascii="微软雅黑" w:hAnsi="微软雅黑" w:eastAsia="微软雅黑" w:cs="微软雅黑"/>
          <w:color w:val="auto"/>
          <w:szCs w:val="21"/>
          <w:highlight w:val="none"/>
          <w:shd w:val="clear" w:color="auto" w:fill="EBF4FF"/>
        </w:rPr>
      </w:pPr>
      <w:r>
        <w:rPr>
          <w:rFonts w:hint="eastAsia" w:ascii="仿宋" w:hAnsi="仿宋" w:eastAsia="仿宋" w:cs="仿宋"/>
          <w:b/>
          <w:color w:val="auto"/>
          <w:sz w:val="24"/>
          <w:highlight w:val="none"/>
        </w:rPr>
        <w:t>项目编号：</w:t>
      </w:r>
      <w:r>
        <w:rPr>
          <w:color w:val="auto"/>
          <w:highlight w:val="none"/>
        </w:rPr>
        <w:fldChar w:fldCharType="begin"/>
      </w:r>
      <w:r>
        <w:rPr>
          <w:color w:val="auto"/>
          <w:highlight w:val="none"/>
        </w:rPr>
        <w:instrText xml:space="preserve"> HYPERLINK "https://pay.zcygov.cn/purchaseplan_front/" \l "/plan/list/view?id=1000000000016026397&amp;_app_=zcy.procurement.cgr.entrust" \t "https://www.zcygov.cn/flow-delegation-order/_procurement-entrust_/order/orderInfo/create/100086615_330603_030101/2627321388335104/_blank" </w:instrText>
      </w:r>
      <w:r>
        <w:rPr>
          <w:color w:val="auto"/>
          <w:highlight w:val="none"/>
        </w:rPr>
        <w:fldChar w:fldCharType="separate"/>
      </w:r>
      <w:r>
        <w:rPr>
          <w:rFonts w:hint="eastAsia" w:ascii="仿宋" w:hAnsi="仿宋" w:eastAsia="仿宋" w:cs="仿宋"/>
          <w:bCs/>
          <w:color w:val="auto"/>
          <w:sz w:val="24"/>
          <w:highlight w:val="none"/>
          <w:lang w:eastAsia="zh-CN"/>
        </w:rPr>
        <w:t>绍柯采[2025]1142号</w:t>
      </w:r>
      <w:r>
        <w:rPr>
          <w:rFonts w:hint="eastAsia" w:ascii="仿宋" w:hAnsi="仿宋" w:eastAsia="仿宋" w:cs="仿宋"/>
          <w:bCs/>
          <w:color w:val="auto"/>
          <w:sz w:val="24"/>
          <w:highlight w:val="none"/>
        </w:rPr>
        <w:fldChar w:fldCharType="end"/>
      </w:r>
    </w:p>
    <w:p w14:paraId="17ECF592">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华舍小学扩建改造工程（一期）数字化设备等采购项目</w:t>
      </w:r>
      <w:r>
        <w:rPr>
          <w:rFonts w:hint="eastAsia" w:ascii="仿宋" w:hAnsi="仿宋" w:eastAsia="仿宋" w:cs="仿宋"/>
          <w:bCs/>
          <w:color w:val="auto"/>
          <w:sz w:val="24"/>
          <w:highlight w:val="none"/>
        </w:rPr>
        <w:t xml:space="preserve"> </w:t>
      </w:r>
    </w:p>
    <w:p w14:paraId="4D01A856">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2610000</w:t>
      </w:r>
      <w:r>
        <w:rPr>
          <w:rFonts w:hint="eastAsia" w:ascii="仿宋" w:hAnsi="仿宋" w:eastAsia="仿宋" w:cs="仿宋"/>
          <w:b/>
          <w:color w:val="auto"/>
          <w:sz w:val="24"/>
          <w:highlight w:val="none"/>
        </w:rPr>
        <w:t xml:space="preserve"> </w:t>
      </w:r>
    </w:p>
    <w:p w14:paraId="6A008CB6">
      <w:pPr>
        <w:spacing w:line="42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2610000</w:t>
      </w:r>
    </w:p>
    <w:p w14:paraId="1064CC48">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74A77856">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76D1A63A">
      <w:pPr>
        <w:spacing w:line="42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华舍小学扩建改造工程（一期）数字化设备等采购项目</w:t>
      </w:r>
    </w:p>
    <w:p w14:paraId="492FBCF7">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数量：1批</w:t>
      </w:r>
    </w:p>
    <w:p w14:paraId="4CE756C1">
      <w:pPr>
        <w:spacing w:line="42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val="en-US" w:eastAsia="zh-CN"/>
        </w:rPr>
        <w:t>2610000</w:t>
      </w:r>
    </w:p>
    <w:p w14:paraId="606074DD">
      <w:pPr>
        <w:spacing w:line="42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u w:val="single"/>
        </w:rPr>
        <w:t>包含录播教室、AI智慧体育、智慧图书馆、心理教室、AI实验空间、航天教室设备、新媒体视频直播宣传设备、老校区操场舞台扩声设备、车辆及行人道闸、电动伸缩门、综合素质评价系统、巡课系统、调代课系统的设备材料供货、安装、调试、试运行、第三方100%检测、验收、交付使用、技术培训、售后服务等</w:t>
      </w:r>
      <w:r>
        <w:rPr>
          <w:rFonts w:hint="eastAsia" w:ascii="仿宋" w:hAnsi="仿宋" w:eastAsia="仿宋" w:cs="仿宋"/>
          <w:b/>
          <w:color w:val="auto"/>
          <w:sz w:val="24"/>
          <w:highlight w:val="none"/>
          <w:u w:val="single"/>
          <w:lang w:eastAsia="zh-CN"/>
        </w:rPr>
        <w:t>，</w:t>
      </w:r>
      <w:r>
        <w:rPr>
          <w:rFonts w:hint="eastAsia" w:ascii="仿宋" w:hAnsi="仿宋" w:eastAsia="仿宋" w:cs="仿宋"/>
          <w:b/>
          <w:color w:val="auto"/>
          <w:sz w:val="24"/>
          <w:highlight w:val="none"/>
          <w:u w:val="single"/>
        </w:rPr>
        <w:t>详见招标文件。</w:t>
      </w:r>
    </w:p>
    <w:p w14:paraId="74721258">
      <w:pPr>
        <w:spacing w:line="42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4BC7A3E2">
      <w:pPr>
        <w:spacing w:line="42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本项目接受联合体投标：☐是，☑否。</w:t>
      </w:r>
    </w:p>
    <w:p w14:paraId="23F5FD3A">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6D9490F7">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6D945BB6">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E086D1F">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AA7A386">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6BB59531">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D485817">
      <w:pPr>
        <w:spacing w:line="420" w:lineRule="exact"/>
        <w:ind w:firstLine="901" w:firstLineChars="374"/>
        <w:rPr>
          <w:rFonts w:ascii="仿宋" w:hAnsi="仿宋" w:eastAsia="仿宋" w:cs="仿宋"/>
          <w:color w:val="auto"/>
          <w:sz w:val="24"/>
          <w:highlight w:val="none"/>
          <w:u w:val="single"/>
        </w:rPr>
      </w:pPr>
      <w:r>
        <w:rPr>
          <w:rFonts w:hint="eastAsia" w:ascii="仿宋" w:hAnsi="仿宋" w:eastAsia="仿宋" w:cs="仿宋"/>
          <w:b/>
          <w:color w:val="auto"/>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14:paraId="60765DBD">
      <w:pPr>
        <w:spacing w:line="42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783F349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57FE43F8">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75662E5">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rPr>
        <w:t>；</w:t>
      </w:r>
    </w:p>
    <w:p w14:paraId="5A66A7A4">
      <w:pPr>
        <w:snapToGrid w:val="0"/>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114855E">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372957F8">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14:paraId="0960E640">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57098D6">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CF66D74">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36F8885">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108634DA">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175DB236">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DD66854">
      <w:pPr>
        <w:spacing w:line="42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bookmarkStart w:id="84" w:name="_GoBack"/>
      <w:bookmarkEnd w:id="84"/>
      <w:r>
        <w:rPr>
          <w:rFonts w:hint="eastAsia" w:ascii="仿宋" w:hAnsi="仿宋" w:eastAsia="仿宋" w:cs="仿宋"/>
          <w:color w:val="auto"/>
          <w:sz w:val="24"/>
          <w:highlight w:val="none"/>
          <w:u w:val="single"/>
        </w:rPr>
        <w:t>分00秒（北京时间）</w:t>
      </w:r>
    </w:p>
    <w:p w14:paraId="5C094201">
      <w:pPr>
        <w:widowControl/>
        <w:spacing w:line="420" w:lineRule="exact"/>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开标地点（网址）：绍兴市柯桥区教育体育局115会议室通过政府采购云平台（https://www.zcygov.cn）在线开标</w:t>
      </w:r>
    </w:p>
    <w:p w14:paraId="33E320C4">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6CBE9506">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B75A1D6">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53405839">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874B13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30EFAF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ABBBEE5">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3A08149">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4AE892BC">
      <w:pPr>
        <w:widowControl/>
        <w:spacing w:line="360" w:lineRule="auto"/>
        <w:ind w:firstLine="480" w:firstLineChars="200"/>
        <w:jc w:val="left"/>
        <w:rPr>
          <w:rFonts w:ascii="仿宋" w:hAnsi="仿宋" w:eastAsia="仿宋" w:cs="宋体"/>
          <w:color w:val="auto"/>
          <w:sz w:val="24"/>
          <w:szCs w:val="28"/>
          <w:highlight w:val="none"/>
        </w:rPr>
      </w:pPr>
      <w:bookmarkStart w:id="11" w:name="_Toc35393807"/>
      <w:bookmarkStart w:id="12" w:name="_Toc35393638"/>
      <w:bookmarkStart w:id="13" w:name="_Toc28359020"/>
      <w:bookmarkStart w:id="14" w:name="_Toc28359097"/>
      <w:bookmarkStart w:id="15" w:name="_Toc35393639"/>
      <w:bookmarkStart w:id="16" w:name="_Toc28359021"/>
      <w:bookmarkStart w:id="17" w:name="_Toc35393808"/>
      <w:bookmarkStart w:id="18" w:name="_Toc28359098"/>
      <w:r>
        <w:rPr>
          <w:rFonts w:ascii="仿宋" w:hAnsi="仿宋" w:eastAsia="仿宋" w:cs="宋体"/>
          <w:color w:val="auto"/>
          <w:sz w:val="24"/>
          <w:szCs w:val="28"/>
          <w:highlight w:val="none"/>
        </w:rPr>
        <w:t>1.采购人信息</w:t>
      </w:r>
    </w:p>
    <w:p w14:paraId="5059C38C">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lang w:eastAsia="zh-CN"/>
        </w:rPr>
        <w:t>绍兴市柯桥区华舍小学</w:t>
      </w:r>
    </w:p>
    <w:p w14:paraId="2F588622">
      <w:pPr>
        <w:widowControl/>
        <w:spacing w:line="360" w:lineRule="auto"/>
        <w:jc w:val="left"/>
        <w:rPr>
          <w:rFonts w:hint="default" w:ascii="仿宋" w:hAnsi="仿宋" w:eastAsia="仿宋" w:cs="宋体"/>
          <w:color w:val="auto"/>
          <w:sz w:val="24"/>
          <w:szCs w:val="28"/>
          <w:highlight w:val="none"/>
          <w:lang w:val="en-US" w:eastAsia="zh-CN"/>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lang w:val="en-US" w:eastAsia="zh-CN"/>
        </w:rPr>
        <w:t>华舍街道纺都路</w:t>
      </w:r>
    </w:p>
    <w:p w14:paraId="7D6EA372">
      <w:pPr>
        <w:widowControl/>
        <w:spacing w:line="360" w:lineRule="auto"/>
        <w:jc w:val="left"/>
        <w:rPr>
          <w:rFonts w:ascii="仿宋" w:hAnsi="仿宋" w:eastAsia="仿宋"/>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传真：</w:t>
      </w:r>
      <w:r>
        <w:rPr>
          <w:rFonts w:hint="eastAsia" w:ascii="仿宋" w:hAnsi="仿宋" w:eastAsia="仿宋" w:cs="宋体"/>
          <w:color w:val="auto"/>
          <w:sz w:val="24"/>
          <w:szCs w:val="28"/>
          <w:highlight w:val="none"/>
        </w:rPr>
        <w:t>/</w:t>
      </w:r>
    </w:p>
    <w:p w14:paraId="48AEA76F">
      <w:pPr>
        <w:widowControl/>
        <w:spacing w:line="360" w:lineRule="auto"/>
        <w:ind w:firstLine="480" w:firstLineChars="200"/>
        <w:jc w:val="left"/>
        <w:rPr>
          <w:rFonts w:hint="eastAsia" w:ascii="仿宋" w:hAnsi="仿宋" w:eastAsia="仿宋" w:cs="宋体"/>
          <w:color w:val="auto"/>
          <w:sz w:val="24"/>
          <w:szCs w:val="28"/>
          <w:highlight w:val="none"/>
          <w:lang w:eastAsia="zh-CN"/>
        </w:rPr>
      </w:pPr>
      <w:r>
        <w:rPr>
          <w:rFonts w:hint="eastAsia" w:ascii="仿宋" w:hAnsi="仿宋" w:eastAsia="仿宋" w:cs="宋体"/>
          <w:color w:val="auto"/>
          <w:sz w:val="24"/>
          <w:szCs w:val="28"/>
          <w:highlight w:val="none"/>
        </w:rPr>
        <w:t>项目联系人（询问）：</w:t>
      </w:r>
      <w:r>
        <w:rPr>
          <w:rFonts w:hint="eastAsia" w:ascii="仿宋" w:hAnsi="仿宋" w:eastAsia="仿宋" w:cs="宋体"/>
          <w:color w:val="auto"/>
          <w:sz w:val="24"/>
          <w:szCs w:val="28"/>
          <w:highlight w:val="none"/>
          <w:lang w:eastAsia="zh-CN"/>
        </w:rPr>
        <w:t>叶老师</w:t>
      </w:r>
    </w:p>
    <w:p w14:paraId="758A308C">
      <w:pPr>
        <w:widowControl/>
        <w:spacing w:line="360" w:lineRule="auto"/>
        <w:ind w:firstLine="480" w:firstLineChars="200"/>
        <w:jc w:val="left"/>
        <w:rPr>
          <w:rFonts w:hint="default" w:ascii="仿宋" w:hAnsi="仿宋" w:eastAsia="仿宋" w:cs="宋体"/>
          <w:color w:val="auto"/>
          <w:sz w:val="24"/>
          <w:szCs w:val="28"/>
          <w:highlight w:val="none"/>
          <w:lang w:val="en-US" w:eastAsia="zh-CN"/>
        </w:rPr>
      </w:pPr>
      <w:r>
        <w:rPr>
          <w:rFonts w:hint="eastAsia" w:ascii="仿宋" w:hAnsi="仿宋" w:eastAsia="仿宋" w:cs="宋体"/>
          <w:color w:val="auto"/>
          <w:sz w:val="24"/>
          <w:szCs w:val="28"/>
          <w:highlight w:val="none"/>
        </w:rPr>
        <w:t>项目联系方式（询问）：0575-81186350</w:t>
      </w:r>
    </w:p>
    <w:p w14:paraId="591D4BBB">
      <w:pPr>
        <w:widowControl/>
        <w:spacing w:line="360" w:lineRule="auto"/>
        <w:ind w:firstLine="480" w:firstLineChars="200"/>
        <w:jc w:val="left"/>
        <w:rPr>
          <w:rFonts w:hint="default" w:ascii="仿宋" w:hAnsi="仿宋" w:eastAsia="仿宋" w:cs="宋体"/>
          <w:color w:val="auto"/>
          <w:sz w:val="24"/>
          <w:szCs w:val="28"/>
          <w:highlight w:val="none"/>
          <w:lang w:val="en-US" w:eastAsia="zh-CN"/>
        </w:rPr>
      </w:pPr>
      <w:r>
        <w:rPr>
          <w:rFonts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lang w:val="en-US" w:eastAsia="zh-CN"/>
        </w:rPr>
        <w:t>杨老师</w:t>
      </w:r>
    </w:p>
    <w:p w14:paraId="52B9E7E9">
      <w:pPr>
        <w:widowControl/>
        <w:spacing w:line="360" w:lineRule="auto"/>
        <w:jc w:val="left"/>
        <w:rPr>
          <w:rFonts w:hint="default" w:ascii="仿宋" w:hAnsi="仿宋" w:eastAsia="仿宋" w:cs="宋体"/>
          <w:color w:val="auto"/>
          <w:sz w:val="24"/>
          <w:szCs w:val="28"/>
          <w:highlight w:val="none"/>
          <w:lang w:val="en-US" w:eastAsia="zh-CN"/>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ascii="仿宋" w:hAnsi="仿宋" w:eastAsia="仿宋" w:cs="宋体"/>
          <w:color w:val="auto"/>
          <w:sz w:val="24"/>
          <w:szCs w:val="28"/>
          <w:highlight w:val="none"/>
        </w:rPr>
        <w:t>质疑联系方式：</w:t>
      </w:r>
      <w:r>
        <w:rPr>
          <w:rFonts w:hint="eastAsia" w:ascii="仿宋" w:hAnsi="仿宋" w:eastAsia="仿宋" w:cs="宋体"/>
          <w:color w:val="auto"/>
          <w:sz w:val="24"/>
          <w:szCs w:val="28"/>
          <w:highlight w:val="none"/>
        </w:rPr>
        <w:t>0575-</w:t>
      </w:r>
      <w:r>
        <w:rPr>
          <w:rFonts w:hint="eastAsia" w:ascii="仿宋" w:hAnsi="仿宋" w:eastAsia="仿宋" w:cs="宋体"/>
          <w:color w:val="auto"/>
          <w:sz w:val="24"/>
          <w:szCs w:val="28"/>
          <w:highlight w:val="none"/>
          <w:lang w:val="en-US" w:eastAsia="zh-CN"/>
        </w:rPr>
        <w:t>89965665</w:t>
      </w:r>
    </w:p>
    <w:p w14:paraId="27D913C9">
      <w:pPr>
        <w:pStyle w:val="3"/>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1"/>
      <w:bookmarkEnd w:id="12"/>
      <w:bookmarkEnd w:id="13"/>
      <w:bookmarkEnd w:id="14"/>
      <w:r>
        <w:rPr>
          <w:rFonts w:hint="eastAsia" w:ascii="仿宋" w:eastAsia="仿宋" w:cs="仿宋"/>
          <w:color w:val="auto"/>
          <w:sz w:val="24"/>
          <w:szCs w:val="24"/>
          <w:highlight w:val="none"/>
        </w:rPr>
        <w:t>：</w:t>
      </w:r>
    </w:p>
    <w:p w14:paraId="206E33BE">
      <w:pPr>
        <w:pStyle w:val="58"/>
        <w:spacing w:before="60" w:beforeAutospacing="0" w:after="60" w:afterAutospacing="0" w:line="276"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t>名 称：</w:t>
      </w:r>
      <w:r>
        <w:rPr>
          <w:rFonts w:hint="eastAsia" w:ascii="仿宋" w:hAnsi="仿宋" w:eastAsia="仿宋" w:cs="仿宋"/>
          <w:color w:val="auto"/>
          <w:highlight w:val="none"/>
          <w:lang w:eastAsia="zh-CN"/>
        </w:rPr>
        <w:t>浙江中兴工程项目管理有限公司</w:t>
      </w:r>
    </w:p>
    <w:p w14:paraId="73EC28BD">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地址：绍兴市越城区凤林西路172号亿兆大厦1405</w:t>
      </w:r>
    </w:p>
    <w:p w14:paraId="324471D2">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传真：/</w:t>
      </w:r>
    </w:p>
    <w:p w14:paraId="70424160">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项目联系人（询问）：蒋春英</w:t>
      </w:r>
    </w:p>
    <w:p w14:paraId="371FC9F4">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项目联系方式（询问）：13957591430</w:t>
      </w:r>
    </w:p>
    <w:p w14:paraId="6114A1BA">
      <w:pPr>
        <w:adjustRightInd/>
        <w:spacing w:line="360" w:lineRule="auto"/>
        <w:ind w:firstLine="480" w:firstLineChars="200"/>
        <w:jc w:val="left"/>
        <w:rPr>
          <w:rFonts w:hint="eastAsia" w:ascii="仿宋" w:hAnsi="仿宋" w:eastAsia="仿宋" w:cs="宋体"/>
          <w:color w:val="auto"/>
          <w:sz w:val="24"/>
          <w:szCs w:val="28"/>
          <w:highlight w:val="none"/>
          <w:lang w:eastAsia="zh-CN"/>
        </w:rPr>
      </w:pPr>
      <w:r>
        <w:rPr>
          <w:rFonts w:hint="eastAsia"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lang w:eastAsia="zh-CN"/>
        </w:rPr>
        <w:t>余</w:t>
      </w:r>
      <w:r>
        <w:rPr>
          <w:rFonts w:hint="eastAsia" w:ascii="仿宋" w:hAnsi="仿宋" w:eastAsia="仿宋" w:cs="宋体"/>
          <w:color w:val="auto"/>
          <w:sz w:val="24"/>
          <w:szCs w:val="28"/>
          <w:highlight w:val="none"/>
          <w:lang w:val="en-US" w:eastAsia="zh-CN"/>
        </w:rPr>
        <w:t>工</w:t>
      </w:r>
    </w:p>
    <w:p w14:paraId="3D09C7C2">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质疑联系方式：0575-88365529</w:t>
      </w:r>
    </w:p>
    <w:p w14:paraId="49840447">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5"/>
    <w:bookmarkEnd w:id="16"/>
    <w:bookmarkEnd w:id="17"/>
    <w:bookmarkEnd w:id="18"/>
    <w:p w14:paraId="2606ADA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bookmarkStart w:id="19" w:name="OLE_LINK1"/>
      <w:bookmarkStart w:id="20" w:name="OLE_LINK12"/>
      <w:r>
        <w:rPr>
          <w:rFonts w:hint="eastAsia" w:ascii="仿宋" w:hAnsi="仿宋" w:eastAsia="仿宋" w:cs="仿宋"/>
          <w:color w:val="auto"/>
          <w:sz w:val="24"/>
          <w:highlight w:val="none"/>
        </w:rPr>
        <w:t>绍兴市柯桥区财政局</w:t>
      </w:r>
      <w:bookmarkEnd w:id="19"/>
    </w:p>
    <w:bookmarkEnd w:id="20"/>
    <w:p w14:paraId="365A8FD7">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bookmarkStart w:id="21" w:name="OLE_LINK2"/>
      <w:r>
        <w:rPr>
          <w:rFonts w:hint="eastAsia" w:ascii="仿宋" w:hAnsi="仿宋" w:eastAsia="仿宋" w:cs="仿宋"/>
          <w:color w:val="auto"/>
          <w:sz w:val="24"/>
          <w:highlight w:val="none"/>
        </w:rPr>
        <w:t>绍兴市柯桥区育才路财税大楼</w:t>
      </w:r>
      <w:bookmarkEnd w:id="21"/>
      <w:r>
        <w:rPr>
          <w:rFonts w:hint="eastAsia" w:ascii="仿宋" w:hAnsi="仿宋" w:eastAsia="仿宋" w:cs="仿宋"/>
          <w:color w:val="auto"/>
          <w:sz w:val="24"/>
          <w:highlight w:val="none"/>
        </w:rPr>
        <w:t xml:space="preserve"> </w:t>
      </w:r>
    </w:p>
    <w:p w14:paraId="337B7379">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4442045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w:t>
      </w:r>
      <w:bookmarkStart w:id="22" w:name="OLE_LINK15"/>
      <w:bookmarkStart w:id="23" w:name="OLE_LINK3"/>
      <w:r>
        <w:rPr>
          <w:rFonts w:hint="eastAsia" w:ascii="仿宋" w:hAnsi="仿宋" w:eastAsia="仿宋" w:cs="仿宋"/>
          <w:color w:val="auto"/>
          <w:sz w:val="24"/>
          <w:highlight w:val="none"/>
        </w:rPr>
        <w:t>王涛</w:t>
      </w:r>
      <w:bookmarkEnd w:id="22"/>
      <w:r>
        <w:rPr>
          <w:rFonts w:hint="eastAsia" w:ascii="仿宋" w:hAnsi="仿宋" w:eastAsia="仿宋" w:cs="仿宋"/>
          <w:color w:val="auto"/>
          <w:sz w:val="24"/>
          <w:highlight w:val="none"/>
        </w:rPr>
        <w:t xml:space="preserve"> </w:t>
      </w:r>
    </w:p>
    <w:bookmarkEnd w:id="23"/>
    <w:p w14:paraId="1CFE5F4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监督投诉电话：0575-85672135</w:t>
      </w:r>
    </w:p>
    <w:p w14:paraId="56D5DD9A">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D118B8D">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99ABE31">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bookmarkEnd w:id="7"/>
      <w:bookmarkEnd w:id="8"/>
      <w:r>
        <w:rPr>
          <w:rFonts w:hint="eastAsia" w:ascii="仿宋" w:hAnsi="仿宋" w:eastAsia="仿宋" w:cs="仿宋"/>
          <w:b/>
          <w:color w:val="auto"/>
          <w:sz w:val="36"/>
          <w:szCs w:val="20"/>
          <w:highlight w:val="none"/>
        </w:rPr>
        <w:t>第二部分 投标须知</w:t>
      </w:r>
    </w:p>
    <w:p w14:paraId="616BE6C3">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F89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C930FF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22F193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E8F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EFA546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6D6A622">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6213A42F">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40D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0" w:type="dxa"/>
            <w:vAlign w:val="center"/>
          </w:tcPr>
          <w:p w14:paraId="40D15FB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C3C406B">
            <w:pPr>
              <w:spacing w:line="360" w:lineRule="auto"/>
              <w:jc w:val="left"/>
              <w:rPr>
                <w:rFonts w:ascii="仿宋" w:hAnsi="仿宋" w:eastAsia="仿宋" w:cs="仿宋"/>
                <w:b/>
                <w:color w:val="auto"/>
                <w:sz w:val="24"/>
                <w:highlight w:val="none"/>
              </w:rPr>
            </w:pPr>
            <w:bookmarkStart w:id="24" w:name="OLE_LINK31"/>
            <w:r>
              <w:rPr>
                <w:rFonts w:hint="eastAsia" w:ascii="仿宋" w:hAnsi="仿宋" w:eastAsia="仿宋" w:cs="仿宋"/>
                <w:b/>
                <w:color w:val="auto"/>
                <w:sz w:val="24"/>
                <w:highlight w:val="none"/>
              </w:rPr>
              <w:t>报价要求：</w:t>
            </w:r>
          </w:p>
          <w:p w14:paraId="5B45F465">
            <w:pPr>
              <w:spacing w:line="360" w:lineRule="auto"/>
              <w:rPr>
                <w:rFonts w:ascii="仿宋" w:hAnsi="仿宋" w:eastAsia="仿宋" w:cs="仿宋"/>
                <w:b/>
                <w:color w:val="auto"/>
                <w:kern w:val="0"/>
                <w:sz w:val="24"/>
                <w:highlight w:val="none"/>
                <w:lang w:val="zh-CN"/>
              </w:rPr>
            </w:pPr>
            <w:bookmarkStart w:id="25" w:name="OLE_LINK20"/>
            <w:r>
              <w:rPr>
                <w:rFonts w:hint="eastAsia" w:ascii="仿宋" w:hAnsi="仿宋" w:eastAsia="仿宋" w:cs="仿宋"/>
                <w:b/>
                <w:bCs/>
                <w:color w:val="auto"/>
                <w:kern w:val="0"/>
                <w:sz w:val="24"/>
                <w:highlight w:val="none"/>
                <w:lang w:val="zh-CN"/>
              </w:rPr>
              <w:t>有关本项目开展所需的货物及安装、</w:t>
            </w:r>
            <w:r>
              <w:rPr>
                <w:rFonts w:hint="eastAsia" w:ascii="仿宋" w:hAnsi="仿宋" w:eastAsia="仿宋" w:cs="仿宋"/>
                <w:b/>
                <w:bCs/>
                <w:color w:val="auto"/>
                <w:kern w:val="0"/>
                <w:sz w:val="24"/>
                <w:highlight w:val="none"/>
                <w:lang w:val="zh-CN" w:eastAsia="zh-CN"/>
              </w:rPr>
              <w:t>调试</w:t>
            </w:r>
            <w:r>
              <w:rPr>
                <w:rFonts w:hint="eastAsia" w:ascii="仿宋" w:hAnsi="仿宋" w:eastAsia="仿宋" w:cs="仿宋"/>
                <w:b/>
                <w:bCs/>
                <w:color w:val="auto"/>
                <w:kern w:val="0"/>
                <w:sz w:val="24"/>
                <w:highlight w:val="none"/>
                <w:lang w:val="zh-CN"/>
              </w:rPr>
              <w:t>、保险、税金等费用均计入报价等费用均计入报价。投标文件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25"/>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投标文件中价格全部采用人民币报价。招标文件未列明，而投标人认为必须的费用也需列入报价</w:t>
            </w:r>
            <w:r>
              <w:rPr>
                <w:rFonts w:hint="eastAsia" w:ascii="仿宋" w:hAnsi="仿宋" w:eastAsia="仿宋" w:cs="仿宋"/>
                <w:color w:val="auto"/>
                <w:sz w:val="24"/>
                <w:szCs w:val="28"/>
                <w:highlight w:val="none"/>
              </w:rPr>
              <w:t>。</w:t>
            </w:r>
            <w:r>
              <w:rPr>
                <w:rFonts w:hint="eastAsia" w:ascii="仿宋" w:hAnsi="仿宋" w:eastAsia="仿宋" w:cs="仿宋"/>
                <w:b/>
                <w:color w:val="auto"/>
                <w:kern w:val="0"/>
                <w:sz w:val="24"/>
                <w:highlight w:val="none"/>
                <w:lang w:val="zh-CN"/>
              </w:rPr>
              <w:t>提醒：验收时检测费用由采购人承担，不包含在投标总价中；</w:t>
            </w:r>
          </w:p>
          <w:p w14:paraId="126D7AD5">
            <w:pPr>
              <w:spacing w:line="360" w:lineRule="auto"/>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716E4A42">
            <w:pPr>
              <w:spacing w:line="360" w:lineRule="auto"/>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★投标文</w:t>
            </w:r>
            <w:bookmarkStart w:id="26" w:name="OLE_LINK21"/>
            <w:r>
              <w:rPr>
                <w:rFonts w:hint="eastAsia" w:ascii="仿宋" w:hAnsi="仿宋" w:eastAsia="仿宋" w:cs="仿宋"/>
                <w:b/>
                <w:bCs/>
                <w:color w:val="auto"/>
                <w:sz w:val="24"/>
                <w:highlight w:val="none"/>
                <w:lang w:val="zh-CN"/>
              </w:rPr>
              <w:t>件出现不是唯一的</w:t>
            </w:r>
            <w:bookmarkEnd w:id="26"/>
            <w:r>
              <w:rPr>
                <w:rFonts w:hint="eastAsia" w:ascii="仿宋" w:hAnsi="仿宋" w:eastAsia="仿宋" w:cs="仿宋"/>
                <w:b/>
                <w:bCs/>
                <w:color w:val="auto"/>
                <w:sz w:val="24"/>
                <w:highlight w:val="none"/>
                <w:lang w:val="zh-CN"/>
              </w:rPr>
              <w:t>、有选择性投标报价的；</w:t>
            </w:r>
          </w:p>
          <w:p w14:paraId="01A21A2B">
            <w:pPr>
              <w:spacing w:line="360" w:lineRule="auto"/>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报价超过招标文件中规定的预算金额或最高限价的;</w:t>
            </w:r>
          </w:p>
          <w:p w14:paraId="6272D59D">
            <w:pPr>
              <w:spacing w:line="360" w:lineRule="auto"/>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★评标委员会认为报价明显低于其他通过符合性审查投标人的报价，有可能影响产品质量或者不能诚信履约的，未能按要求提供书面说明或者提交相关证明材料，不</w:t>
            </w:r>
            <w:bookmarkStart w:id="27" w:name="OLE_LINK28"/>
            <w:r>
              <w:rPr>
                <w:rFonts w:hint="eastAsia" w:ascii="仿宋" w:hAnsi="仿宋" w:eastAsia="仿宋" w:cs="仿宋"/>
                <w:b/>
                <w:bCs/>
                <w:color w:val="auto"/>
                <w:sz w:val="24"/>
                <w:highlight w:val="none"/>
                <w:lang w:val="zh-CN"/>
              </w:rPr>
              <w:t>能证明其报价合理性的</w:t>
            </w:r>
            <w:bookmarkEnd w:id="27"/>
            <w:r>
              <w:rPr>
                <w:rFonts w:hint="eastAsia" w:ascii="仿宋" w:hAnsi="仿宋" w:eastAsia="仿宋" w:cs="仿宋"/>
                <w:b/>
                <w:bCs/>
                <w:color w:val="auto"/>
                <w:sz w:val="24"/>
                <w:highlight w:val="none"/>
                <w:lang w:val="zh-CN"/>
              </w:rPr>
              <w:t>;</w:t>
            </w:r>
          </w:p>
          <w:p w14:paraId="58EB853B">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的投标报价，投标人应在投标文件中提供成本测算资料，未在投标文件中提供成本测算资料的，将被视为投标人</w:t>
            </w:r>
            <w:bookmarkStart w:id="28" w:name="OLE_LINK23"/>
            <w:r>
              <w:rPr>
                <w:rFonts w:hint="eastAsia" w:ascii="仿宋" w:hAnsi="仿宋" w:eastAsia="仿宋" w:cs="仿宋"/>
                <w:b/>
                <w:bCs/>
                <w:color w:val="auto"/>
                <w:sz w:val="24"/>
                <w:highlight w:val="none"/>
              </w:rPr>
              <w:t>不能证明其报价合理性；</w:t>
            </w:r>
          </w:p>
          <w:bookmarkEnd w:id="28"/>
          <w:p w14:paraId="33B33BA7">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29" w:name="OLE_LINK29"/>
            <w:r>
              <w:rPr>
                <w:rFonts w:hint="eastAsia" w:ascii="仿宋" w:hAnsi="仿宋" w:eastAsia="仿宋" w:cs="仿宋"/>
                <w:b/>
                <w:bCs/>
                <w:color w:val="auto"/>
                <w:sz w:val="24"/>
                <w:highlight w:val="none"/>
              </w:rPr>
              <w:t>重大偏差</w:t>
            </w:r>
            <w:bookmarkEnd w:id="29"/>
            <w:r>
              <w:rPr>
                <w:rFonts w:hint="eastAsia" w:ascii="仿宋" w:hAnsi="仿宋" w:eastAsia="仿宋" w:cs="仿宋"/>
                <w:b/>
                <w:bCs/>
                <w:color w:val="auto"/>
                <w:sz w:val="24"/>
                <w:highlight w:val="none"/>
              </w:rPr>
              <w:t>的；</w:t>
            </w:r>
          </w:p>
          <w:p w14:paraId="1D53090D">
            <w:pPr>
              <w:spacing w:line="360" w:lineRule="auto"/>
              <w:jc w:val="left"/>
              <w:rPr>
                <w:rFonts w:ascii="仿宋" w:hAnsi="仿宋" w:eastAsia="仿宋" w:cs="仿宋"/>
                <w:b/>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投标人对根据修正原则修</w:t>
            </w:r>
            <w:bookmarkStart w:id="30" w:name="OLE_LINK30"/>
            <w:r>
              <w:rPr>
                <w:rFonts w:hint="eastAsia" w:ascii="仿宋" w:hAnsi="仿宋" w:eastAsia="仿宋" w:cs="仿宋"/>
                <w:b/>
                <w:bCs/>
                <w:color w:val="auto"/>
                <w:sz w:val="24"/>
                <w:highlight w:val="none"/>
              </w:rPr>
              <w:t>正后的报价不</w:t>
            </w:r>
            <w:bookmarkEnd w:id="30"/>
            <w:r>
              <w:rPr>
                <w:rFonts w:hint="eastAsia" w:ascii="仿宋" w:hAnsi="仿宋" w:eastAsia="仿宋" w:cs="仿宋"/>
                <w:b/>
                <w:bCs/>
                <w:color w:val="auto"/>
                <w:sz w:val="24"/>
                <w:highlight w:val="none"/>
              </w:rPr>
              <w:t>确认的。</w:t>
            </w:r>
            <w:bookmarkEnd w:id="24"/>
          </w:p>
        </w:tc>
      </w:tr>
      <w:tr w14:paraId="7F84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84A6F1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805C23D">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4665E67">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11CC7F2">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31" w:name="OLE_LINK5"/>
            <w:r>
              <w:rPr>
                <w:rFonts w:hint="eastAsia" w:ascii="仿宋" w:hAnsi="仿宋" w:eastAsia="仿宋" w:cs="仿宋"/>
                <w:b/>
                <w:color w:val="auto"/>
                <w:sz w:val="24"/>
                <w:highlight w:val="none"/>
              </w:rPr>
              <w:t>商务技术文件</w:t>
            </w:r>
            <w:bookmarkEnd w:id="31"/>
            <w:r>
              <w:rPr>
                <w:rFonts w:hint="eastAsia" w:ascii="仿宋" w:hAnsi="仿宋" w:eastAsia="仿宋" w:cs="仿宋"/>
                <w:b/>
                <w:color w:val="auto"/>
                <w:sz w:val="24"/>
                <w:highlight w:val="none"/>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993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6C6187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41C89D4A">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FE0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7EB893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6AFF7567">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80F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C2E3B2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9038B3C">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742618B">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3260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97D7AB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38FE50BB">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51C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31A377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943B4E4">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633047C">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9548BF5">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F90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A7D389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35CC6E82">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DF12F2">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22D88D1">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E34DB8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w:t>
            </w:r>
          </w:p>
          <w:p w14:paraId="610551A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详见采购需求 </w:t>
            </w:r>
            <w:r>
              <w:rPr>
                <w:rFonts w:hint="eastAsia" w:ascii="仿宋" w:hAnsi="仿宋" w:eastAsia="仿宋" w:cs="仿宋"/>
                <w:color w:val="auto"/>
                <w:kern w:val="0"/>
                <w:sz w:val="24"/>
                <w:highlight w:val="none"/>
              </w:rPr>
              <w:t>；</w:t>
            </w:r>
          </w:p>
          <w:p w14:paraId="23478405">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49ED55E">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A3F0D5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eastAsia="zh-CN"/>
              </w:rPr>
              <w:t>投标截止时间前</w:t>
            </w:r>
            <w:r>
              <w:rPr>
                <w:rFonts w:hint="eastAsia" w:ascii="仿宋" w:hAnsi="仿宋" w:eastAsia="仿宋" w:cs="仿宋"/>
                <w:color w:val="auto"/>
                <w:kern w:val="0"/>
                <w:sz w:val="24"/>
                <w:highlight w:val="none"/>
              </w:rPr>
              <w:t>；地点：</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598C46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4524840">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3A78374B">
            <w:pPr>
              <w:pStyle w:val="81"/>
              <w:rPr>
                <w:rFonts w:ascii="仿宋" w:hAnsi="仿宋" w:eastAsia="仿宋" w:cs="仿宋"/>
                <w:color w:val="auto"/>
                <w:highlight w:val="none"/>
              </w:rPr>
            </w:pPr>
            <w:r>
              <w:rPr>
                <w:rFonts w:hint="eastAsia" w:ascii="仿宋" w:hAnsi="仿宋" w:eastAsia="仿宋" w:cs="仿宋"/>
                <w:color w:val="auto"/>
                <w:kern w:val="2"/>
                <w:highlight w:val="none"/>
              </w:rPr>
              <w:t>（8）未按招标文件要求提供样品或提供样品不满足采购需求实质性条件的，投标无效。</w:t>
            </w:r>
          </w:p>
        </w:tc>
      </w:tr>
      <w:tr w14:paraId="2D88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B0C6FF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14:paraId="713A045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637D6539">
            <w:pPr>
              <w:tabs>
                <w:tab w:val="center" w:pos="4077"/>
              </w:tabs>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3CB776B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□B有方案讲解演示：</w:t>
            </w:r>
          </w:p>
          <w:p w14:paraId="2494425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（1）在评标时安排每个供应商进行方案讲解演示。每个供应商时间不超过20分钟（编制时可根据项目情况进行调整），讲解次序以投标文件解密时间先后次序为准。讲解演示结束后按要求解答评标委员会提问。</w:t>
            </w:r>
          </w:p>
          <w:p w14:paraId="11D460A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（2）方案讲解演示可选择以下其中一种方式：</w:t>
            </w:r>
          </w:p>
          <w:p w14:paraId="657AEA1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□方式一：政采云平台在线讲解演示。政采云平台在线讲解需供应商根据政采云平台操作要求做好准备工作，提前完善软硬件配置环境。</w:t>
            </w:r>
          </w:p>
          <w:p w14:paraId="4E021AC5">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□方式二：现场讲解演示。现场讲解地点为     ，讲解演示人员不超过3人</w:t>
            </w:r>
            <w:r>
              <w:rPr>
                <w:rFonts w:hint="eastAsia" w:ascii="仿宋" w:hAnsi="仿宋" w:eastAsia="仿宋" w:cs="仿宋"/>
                <w:color w:val="auto"/>
                <w:sz w:val="24"/>
                <w:highlight w:val="none"/>
                <w:lang w:val="zh-CN"/>
              </w:rPr>
              <w:t>（编制时可根据项目情况进行调整）。讲解演示所用电脑等设备由供应商自备。现场讲解演示人员进场时提供讲解人员名单（加盖公章或授权代表签名）及身份证明，否则不得讲解演示。</w:t>
            </w:r>
          </w:p>
          <w:p w14:paraId="5776BF7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DF2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FBA534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373ED987">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D1247E2">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08523375">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B42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B5DF62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1E4C1630">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C7FB381">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rPr>
              <w:t>。</w:t>
            </w:r>
          </w:p>
          <w:p w14:paraId="2CB9EE23">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F2E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FB2D4E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14:paraId="12B1C4B1">
            <w:pPr>
              <w:snapToGrid w:val="0"/>
              <w:spacing w:line="440" w:lineRule="exact"/>
              <w:ind w:hanging="1"/>
              <w:jc w:val="center"/>
              <w:rPr>
                <w:rFonts w:ascii="仿宋" w:hAnsi="仿宋" w:eastAsia="仿宋" w:cs="仿宋"/>
                <w:b/>
                <w:color w:val="auto"/>
                <w:spacing w:val="-20"/>
                <w:sz w:val="24"/>
                <w:highlight w:val="none"/>
              </w:rPr>
            </w:pPr>
            <w:bookmarkStart w:id="32" w:name="OLE_LINK41"/>
            <w:r>
              <w:rPr>
                <w:rFonts w:hint="eastAsia" w:ascii="仿宋" w:hAnsi="仿宋" w:eastAsia="仿宋" w:cs="仿宋"/>
                <w:bCs/>
                <w:color w:val="auto"/>
                <w:sz w:val="24"/>
                <w:highlight w:val="none"/>
              </w:rPr>
              <w:t>中小企业优惠措施</w:t>
            </w:r>
            <w:bookmarkEnd w:id="32"/>
          </w:p>
        </w:tc>
        <w:tc>
          <w:tcPr>
            <w:tcW w:w="7515" w:type="dxa"/>
            <w:vAlign w:val="center"/>
          </w:tcPr>
          <w:p w14:paraId="395327D4">
            <w:pPr>
              <w:pStyle w:val="258"/>
              <w:snapToGrid w:val="0"/>
              <w:spacing w:before="72" w:beforeLines="30" w:after="72" w:afterLines="30"/>
              <w:ind w:firstLine="482"/>
              <w:rPr>
                <w:rFonts w:ascii="仿宋" w:hAnsi="仿宋" w:eastAsia="仿宋" w:cs="仿宋"/>
                <w:b/>
                <w:color w:val="auto"/>
                <w:highlight w:val="none"/>
                <w:u w:val="single"/>
              </w:rPr>
            </w:pPr>
            <w:r>
              <w:rPr>
                <w:rFonts w:hint="eastAsia" w:ascii="仿宋" w:hAnsi="仿宋" w:eastAsia="仿宋" w:cs="仿宋"/>
                <w:b/>
                <w:color w:val="auto"/>
                <w:highlight w:val="none"/>
              </w:rPr>
              <w:t>1.项目属性：</w:t>
            </w:r>
            <w:r>
              <w:rPr>
                <w:rFonts w:hint="eastAsia" w:ascii="仿宋" w:hAnsi="仿宋" w:eastAsia="仿宋" w:cs="仿宋"/>
                <w:b/>
                <w:color w:val="auto"/>
                <w:highlight w:val="none"/>
                <w:u w:val="single"/>
              </w:rPr>
              <w:t>货物类</w:t>
            </w:r>
          </w:p>
          <w:p w14:paraId="6DB27E1E">
            <w:pPr>
              <w:pStyle w:val="258"/>
              <w:snapToGrid w:val="0"/>
              <w:spacing w:before="72" w:beforeLines="30" w:after="72" w:afterLines="30"/>
              <w:ind w:firstLine="482"/>
              <w:rPr>
                <w:rFonts w:ascii="仿宋" w:hAnsi="仿宋" w:eastAsia="仿宋" w:cs="仿宋"/>
                <w:b/>
                <w:color w:val="auto"/>
                <w:highlight w:val="none"/>
              </w:rPr>
            </w:pPr>
            <w:r>
              <w:rPr>
                <w:rFonts w:hint="eastAsia" w:ascii="仿宋" w:hAnsi="仿宋" w:eastAsia="仿宋" w:cs="仿宋"/>
                <w:b/>
                <w:color w:val="auto"/>
                <w:highlight w:val="none"/>
              </w:rPr>
              <w:t>2.中小企业划分标准所属行业（具体根据《</w:t>
            </w:r>
            <w:bookmarkStart w:id="33" w:name="OLE_LINK43"/>
            <w:bookmarkStart w:id="34" w:name="OLE_LINK42"/>
            <w:bookmarkStart w:id="35" w:name="OLE_LINK44"/>
            <w:r>
              <w:rPr>
                <w:rFonts w:hint="eastAsia" w:ascii="仿宋" w:hAnsi="仿宋" w:eastAsia="仿宋" w:cs="仿宋"/>
                <w:b/>
                <w:color w:val="auto"/>
                <w:highlight w:val="none"/>
              </w:rPr>
              <w:t>中小企业划型标准</w:t>
            </w:r>
            <w:bookmarkEnd w:id="33"/>
            <w:r>
              <w:rPr>
                <w:rFonts w:hint="eastAsia" w:ascii="仿宋" w:hAnsi="仿宋" w:eastAsia="仿宋" w:cs="仿宋"/>
                <w:b/>
                <w:color w:val="auto"/>
                <w:highlight w:val="none"/>
              </w:rPr>
              <w:t>规</w:t>
            </w:r>
            <w:bookmarkEnd w:id="34"/>
            <w:r>
              <w:rPr>
                <w:rFonts w:hint="eastAsia" w:ascii="仿宋" w:hAnsi="仿宋" w:eastAsia="仿宋" w:cs="仿宋"/>
                <w:b/>
                <w:color w:val="auto"/>
                <w:highlight w:val="none"/>
              </w:rPr>
              <w:t>定》</w:t>
            </w:r>
            <w:bookmarkEnd w:id="35"/>
            <w:r>
              <w:rPr>
                <w:rFonts w:hint="eastAsia" w:ascii="仿宋" w:hAnsi="仿宋" w:eastAsia="仿宋" w:cs="仿宋"/>
                <w:b/>
                <w:color w:val="auto"/>
                <w:highlight w:val="none"/>
              </w:rPr>
              <w:t>执行）</w:t>
            </w:r>
          </w:p>
          <w:p w14:paraId="6378F1B6">
            <w:pPr>
              <w:snapToGrid w:val="0"/>
              <w:spacing w:before="72" w:beforeLines="30" w:after="72" w:afterLines="30"/>
              <w:ind w:firstLine="482" w:firstLineChars="200"/>
              <w:rPr>
                <w:rFonts w:ascii="仿宋" w:hAnsi="仿宋" w:eastAsia="仿宋" w:cs="仿宋"/>
                <w:b/>
                <w:color w:val="auto"/>
                <w:sz w:val="24"/>
                <w:highlight w:val="none"/>
                <w:u w:val="single"/>
              </w:rPr>
            </w:pPr>
            <w:r>
              <w:rPr>
                <w:rFonts w:hint="eastAsia" w:ascii="仿宋" w:hAnsi="仿宋" w:eastAsia="仿宋" w:cs="仿宋"/>
                <w:b/>
                <w:color w:val="auto"/>
                <w:sz w:val="24"/>
                <w:highlight w:val="none"/>
              </w:rPr>
              <w:t>采购标的：</w:t>
            </w:r>
            <w:r>
              <w:rPr>
                <w:rFonts w:hint="eastAsia" w:ascii="仿宋" w:hAnsi="仿宋" w:eastAsia="仿宋" w:cs="仿宋"/>
                <w:b/>
                <w:color w:val="auto"/>
                <w:sz w:val="24"/>
                <w:highlight w:val="none"/>
                <w:u w:val="single"/>
              </w:rPr>
              <w:t>详见第三部分招标项目范围及要求的采购清单，序号1-</w:t>
            </w:r>
            <w:r>
              <w:rPr>
                <w:rFonts w:hint="eastAsia" w:ascii="仿宋" w:hAnsi="仿宋" w:eastAsia="仿宋" w:cs="仿宋"/>
                <w:b/>
                <w:color w:val="auto"/>
                <w:sz w:val="24"/>
                <w:highlight w:val="none"/>
                <w:u w:val="single"/>
                <w:lang w:val="en-US" w:eastAsia="zh-CN"/>
              </w:rPr>
              <w:t>92</w:t>
            </w:r>
            <w:r>
              <w:rPr>
                <w:rFonts w:hint="eastAsia" w:ascii="仿宋" w:hAnsi="仿宋" w:eastAsia="仿宋" w:cs="仿宋"/>
                <w:b/>
                <w:color w:val="auto"/>
                <w:sz w:val="24"/>
                <w:highlight w:val="none"/>
                <w:u w:val="single"/>
              </w:rPr>
              <w:t>。</w:t>
            </w:r>
          </w:p>
          <w:p w14:paraId="0F9873BF">
            <w:pPr>
              <w:snapToGrid w:val="0"/>
              <w:spacing w:before="72" w:beforeLines="30" w:after="72" w:afterLines="30"/>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所属行业：</w:t>
            </w:r>
            <w:r>
              <w:rPr>
                <w:rFonts w:hint="eastAsia" w:ascii="仿宋" w:hAnsi="仿宋" w:eastAsia="仿宋" w:cs="仿宋"/>
                <w:b/>
                <w:color w:val="auto"/>
                <w:sz w:val="24"/>
                <w:highlight w:val="none"/>
                <w:u w:val="single"/>
              </w:rPr>
              <w:t>工业</w:t>
            </w:r>
          </w:p>
          <w:p w14:paraId="7C99831D">
            <w:pPr>
              <w:snapToGrid w:val="0"/>
              <w:spacing w:before="72" w:beforeLines="30" w:after="72" w:afterLines="30"/>
              <w:ind w:firstLine="482" w:firstLineChars="200"/>
              <w:rPr>
                <w:rFonts w:ascii="仿宋" w:hAnsi="仿宋" w:eastAsia="仿宋" w:cs="仿宋"/>
                <w:b/>
                <w:strike/>
                <w:color w:val="auto"/>
                <w:sz w:val="24"/>
                <w:highlight w:val="none"/>
              </w:rPr>
            </w:pPr>
            <w:r>
              <w:rPr>
                <w:rFonts w:hint="eastAsia" w:ascii="仿宋" w:hAnsi="仿宋" w:eastAsia="仿宋" w:cs="仿宋"/>
                <w:b/>
                <w:color w:val="auto"/>
                <w:sz w:val="24"/>
                <w:highlight w:val="none"/>
              </w:rPr>
              <w:t>3.根据财库〔2020〕46号，〔2022〕19号的相关规定，本项目是专门面向中小企业采购的项目，不执行价格评审优惠的扶持政策。</w:t>
            </w:r>
          </w:p>
          <w:p w14:paraId="7AF8E667">
            <w:pPr>
              <w:snapToGrid w:val="0"/>
              <w:spacing w:before="72" w:beforeLines="30" w:after="72" w:afterLines="30"/>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36" w:name="OLE_LINK37"/>
            <w:r>
              <w:rPr>
                <w:rFonts w:hint="eastAsia" w:ascii="仿宋" w:hAnsi="仿宋" w:eastAsia="仿宋" w:cs="仿宋"/>
                <w:color w:val="auto"/>
                <w:sz w:val="24"/>
                <w:highlight w:val="none"/>
              </w:rPr>
              <w:t>人福利性单位声明函</w:t>
            </w:r>
            <w:bookmarkEnd w:id="36"/>
            <w:r>
              <w:rPr>
                <w:rFonts w:hint="eastAsia" w:ascii="仿宋" w:hAnsi="仿宋" w:eastAsia="仿宋" w:cs="仿宋"/>
                <w:color w:val="auto"/>
                <w:sz w:val="24"/>
                <w:highlight w:val="none"/>
              </w:rPr>
              <w:t>（见附件）。</w:t>
            </w:r>
          </w:p>
          <w:p w14:paraId="5DC18C23">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5.根据财库[2014]68号的相关规定，在政府采购活动中，监狱企业视同小型、微型企业，享受评审中价格扣除政策，并在投标文件中提供由省级以上监狱管理局、戒毒管理局（含新疆生产建设兵团）出具的属于</w:t>
            </w:r>
            <w:bookmarkStart w:id="37" w:name="OLE_LINK38"/>
            <w:r>
              <w:rPr>
                <w:rFonts w:hint="eastAsia" w:ascii="仿宋" w:hAnsi="仿宋" w:eastAsia="仿宋" w:cs="仿宋"/>
                <w:color w:val="auto"/>
                <w:sz w:val="24"/>
                <w:highlight w:val="none"/>
              </w:rPr>
              <w:t>监狱企业的证明文件</w:t>
            </w:r>
            <w:bookmarkEnd w:id="37"/>
            <w:r>
              <w:rPr>
                <w:rFonts w:hint="eastAsia" w:ascii="仿宋" w:hAnsi="仿宋" w:eastAsia="仿宋" w:cs="仿宋"/>
                <w:b/>
                <w:bCs/>
                <w:color w:val="auto"/>
                <w:sz w:val="24"/>
                <w:highlight w:val="none"/>
              </w:rPr>
              <w:t>（格式自拟）</w:t>
            </w:r>
            <w:r>
              <w:rPr>
                <w:rFonts w:hint="eastAsia" w:ascii="仿宋" w:hAnsi="仿宋" w:eastAsia="仿宋" w:cs="仿宋"/>
                <w:color w:val="auto"/>
                <w:sz w:val="24"/>
                <w:highlight w:val="none"/>
              </w:rPr>
              <w:t>。</w:t>
            </w:r>
          </w:p>
        </w:tc>
      </w:tr>
      <w:tr w14:paraId="6B98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4BE5CC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14:paraId="0755151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A113928">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3F5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54F8ABD">
            <w:pPr>
              <w:spacing w:line="440" w:lineRule="exact"/>
              <w:jc w:val="center"/>
              <w:rPr>
                <w:rFonts w:ascii="仿宋" w:hAnsi="仿宋" w:eastAsia="仿宋" w:cs="仿宋"/>
                <w:color w:val="auto"/>
                <w:sz w:val="24"/>
                <w:highlight w:val="none"/>
              </w:rPr>
            </w:pPr>
          </w:p>
        </w:tc>
        <w:tc>
          <w:tcPr>
            <w:tcW w:w="855" w:type="dxa"/>
            <w:vMerge w:val="continue"/>
            <w:vAlign w:val="center"/>
          </w:tcPr>
          <w:p w14:paraId="1CFA6CFF">
            <w:pPr>
              <w:snapToGrid w:val="0"/>
              <w:spacing w:line="440" w:lineRule="exact"/>
              <w:rPr>
                <w:rFonts w:ascii="仿宋" w:hAnsi="仿宋" w:eastAsia="仿宋" w:cs="仿宋"/>
                <w:b/>
                <w:color w:val="auto"/>
                <w:sz w:val="24"/>
                <w:highlight w:val="none"/>
              </w:rPr>
            </w:pPr>
          </w:p>
        </w:tc>
        <w:tc>
          <w:tcPr>
            <w:tcW w:w="7515" w:type="dxa"/>
            <w:vAlign w:val="center"/>
          </w:tcPr>
          <w:p w14:paraId="427F5930">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6DC5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56417FE">
            <w:pPr>
              <w:spacing w:line="440" w:lineRule="exact"/>
              <w:jc w:val="center"/>
              <w:rPr>
                <w:rFonts w:ascii="仿宋" w:hAnsi="仿宋" w:eastAsia="仿宋" w:cs="仿宋"/>
                <w:color w:val="auto"/>
                <w:sz w:val="24"/>
                <w:highlight w:val="none"/>
              </w:rPr>
            </w:pPr>
          </w:p>
        </w:tc>
        <w:tc>
          <w:tcPr>
            <w:tcW w:w="855" w:type="dxa"/>
            <w:vMerge w:val="continue"/>
            <w:vAlign w:val="center"/>
          </w:tcPr>
          <w:p w14:paraId="08FD33BE">
            <w:pPr>
              <w:snapToGrid w:val="0"/>
              <w:spacing w:line="440" w:lineRule="exact"/>
              <w:rPr>
                <w:rFonts w:ascii="仿宋" w:hAnsi="仿宋" w:eastAsia="仿宋" w:cs="仿宋"/>
                <w:b/>
                <w:color w:val="auto"/>
                <w:sz w:val="24"/>
                <w:highlight w:val="none"/>
              </w:rPr>
            </w:pPr>
          </w:p>
        </w:tc>
        <w:tc>
          <w:tcPr>
            <w:tcW w:w="7515" w:type="dxa"/>
            <w:vAlign w:val="center"/>
          </w:tcPr>
          <w:p w14:paraId="31BF138E">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2776E5B3">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1C8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37FA00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25E70E7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7922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107948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72788A9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3377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B77E63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68841A7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A90E78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FE0A07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AED98E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EDBAE4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0CBF11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118B4DA">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11DED8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E7C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555017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543D89F5">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60D16E0">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2F2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346392A">
            <w:pPr>
              <w:spacing w:line="440" w:lineRule="exact"/>
              <w:rPr>
                <w:rFonts w:ascii="仿宋" w:hAnsi="仿宋" w:eastAsia="仿宋" w:cs="仿宋"/>
                <w:color w:val="auto"/>
                <w:sz w:val="24"/>
                <w:highlight w:val="none"/>
              </w:rPr>
            </w:pPr>
          </w:p>
        </w:tc>
        <w:tc>
          <w:tcPr>
            <w:tcW w:w="8370" w:type="dxa"/>
            <w:gridSpan w:val="2"/>
            <w:vAlign w:val="center"/>
          </w:tcPr>
          <w:p w14:paraId="10D9C884">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24031DF0">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1777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485E6D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3798FA24">
            <w:pPr>
              <w:rPr>
                <w:rFonts w:ascii="仿宋" w:hAnsi="仿宋" w:eastAsia="仿宋" w:cs="仿宋"/>
                <w:b/>
                <w:color w:val="auto"/>
                <w:sz w:val="24"/>
                <w:highlight w:val="none"/>
              </w:rPr>
            </w:pPr>
            <w:r>
              <w:rPr>
                <w:rFonts w:hint="eastAsia" w:ascii="仿宋" w:hAnsi="仿宋" w:eastAsia="仿宋" w:cs="仿宋"/>
                <w:b/>
                <w:color w:val="auto"/>
                <w:sz w:val="24"/>
                <w:highlight w:val="none"/>
              </w:rPr>
              <w:t>履约保证金金额：不收取履约保证金</w:t>
            </w:r>
          </w:p>
        </w:tc>
      </w:tr>
      <w:tr w14:paraId="1E76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0F9570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14:paraId="4A1B4C56">
            <w:pPr>
              <w:rPr>
                <w:rFonts w:ascii="仿宋" w:hAnsi="仿宋" w:eastAsia="仿宋" w:cs="仿宋"/>
                <w:color w:val="auto"/>
                <w:kern w:val="0"/>
                <w:sz w:val="24"/>
                <w:szCs w:val="21"/>
                <w:highlight w:val="none"/>
              </w:rPr>
            </w:pPr>
            <w:r>
              <w:rPr>
                <w:rFonts w:hint="eastAsia" w:ascii="仿宋" w:hAnsi="仿宋" w:eastAsia="仿宋" w:cs="仿宋"/>
                <w:b/>
                <w:color w:val="auto"/>
                <w:sz w:val="24"/>
                <w:highlight w:val="none"/>
              </w:rPr>
              <w:t>采购代理服务费：费用由采购人支付，具体以双方签订的合同为准</w:t>
            </w:r>
            <w:r>
              <w:rPr>
                <w:rFonts w:hint="eastAsia" w:ascii="仿宋" w:hAnsi="仿宋" w:eastAsia="仿宋" w:cs="仿宋"/>
                <w:b/>
                <w:color w:val="auto"/>
                <w:sz w:val="24"/>
                <w:highlight w:val="none"/>
                <w:lang w:eastAsia="zh-CN"/>
              </w:rPr>
              <w:t>。</w:t>
            </w:r>
          </w:p>
        </w:tc>
      </w:tr>
      <w:tr w14:paraId="38CF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C4641B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0CA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2D2F2CC">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76F40E45">
      <w:pPr>
        <w:snapToGrid w:val="0"/>
        <w:spacing w:line="360" w:lineRule="auto"/>
        <w:jc w:val="center"/>
        <w:rPr>
          <w:rFonts w:ascii="仿宋" w:hAnsi="仿宋" w:eastAsia="仿宋" w:cs="仿宋"/>
          <w:b/>
          <w:color w:val="auto"/>
          <w:sz w:val="32"/>
          <w:szCs w:val="20"/>
          <w:highlight w:val="none"/>
        </w:rPr>
      </w:pPr>
    </w:p>
    <w:p w14:paraId="262B760E">
      <w:pPr>
        <w:pStyle w:val="23"/>
        <w:rPr>
          <w:color w:val="auto"/>
          <w:highlight w:val="none"/>
        </w:rPr>
      </w:pPr>
    </w:p>
    <w:p w14:paraId="2763FED1">
      <w:pPr>
        <w:pStyle w:val="24"/>
        <w:rPr>
          <w:color w:val="auto"/>
          <w:highlight w:val="none"/>
        </w:rPr>
      </w:pPr>
    </w:p>
    <w:p w14:paraId="02241A16">
      <w:pPr>
        <w:pStyle w:val="25"/>
        <w:rPr>
          <w:color w:val="auto"/>
          <w:highlight w:val="none"/>
        </w:rPr>
      </w:pPr>
    </w:p>
    <w:p w14:paraId="0C571CAC"/>
    <w:bookmarkEnd w:id="9"/>
    <w:p w14:paraId="235C070D">
      <w:pPr>
        <w:ind w:firstLine="3534" w:firstLineChars="1100"/>
        <w:rPr>
          <w:rFonts w:ascii="仿宋" w:hAnsi="仿宋" w:eastAsia="仿宋" w:cs="仿宋"/>
          <w:b/>
          <w:color w:val="auto"/>
          <w:sz w:val="32"/>
          <w:szCs w:val="32"/>
          <w:highlight w:val="none"/>
        </w:rPr>
      </w:pPr>
      <w:bookmarkStart w:id="38" w:name="_Hlt75236290"/>
      <w:bookmarkEnd w:id="38"/>
      <w:bookmarkStart w:id="39" w:name="_Hlt74730295"/>
      <w:bookmarkEnd w:id="39"/>
      <w:bookmarkStart w:id="40" w:name="_Hlt68072998"/>
      <w:bookmarkEnd w:id="40"/>
      <w:bookmarkStart w:id="41" w:name="_Hlt75236101"/>
      <w:bookmarkEnd w:id="41"/>
      <w:bookmarkStart w:id="42" w:name="_Hlt74729768"/>
      <w:bookmarkEnd w:id="42"/>
      <w:bookmarkStart w:id="43" w:name="_Hlt75236011"/>
      <w:bookmarkEnd w:id="43"/>
      <w:bookmarkStart w:id="44" w:name="_Hlt68057669"/>
      <w:bookmarkEnd w:id="44"/>
      <w:bookmarkStart w:id="45" w:name="_Hlt68072990"/>
      <w:bookmarkEnd w:id="45"/>
      <w:bookmarkStart w:id="46" w:name="_Hlt74707468"/>
      <w:bookmarkEnd w:id="46"/>
      <w:bookmarkStart w:id="47" w:name="_Hlt74714665"/>
      <w:bookmarkEnd w:id="47"/>
      <w:bookmarkStart w:id="48" w:name="_Hlt68073093"/>
      <w:bookmarkEnd w:id="48"/>
      <w:bookmarkStart w:id="49" w:name="_Hlt68403820"/>
      <w:bookmarkEnd w:id="49"/>
      <w:bookmarkStart w:id="50" w:name="第三部分"/>
      <w:bookmarkStart w:id="51" w:name="_Toc164416483"/>
      <w:r>
        <w:rPr>
          <w:rFonts w:hint="eastAsia" w:ascii="仿宋" w:hAnsi="仿宋" w:eastAsia="仿宋" w:cs="仿宋"/>
          <w:b/>
          <w:color w:val="auto"/>
          <w:sz w:val="32"/>
          <w:szCs w:val="32"/>
          <w:highlight w:val="none"/>
        </w:rPr>
        <w:t>一、总则</w:t>
      </w:r>
    </w:p>
    <w:p w14:paraId="1C6A8616">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A04E95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498E377">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DC880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0C8B21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3E3D923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FCA07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58AF744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6F76825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0DB838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13131B3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14:paraId="09FF869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0BD43F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DA129F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6EEBCC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675A1F8">
      <w:pPr>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★3.2.2采购人拟采购的产品属于政府强制采购的节能产品品目清单范围的，投标人未按招标文件要求提供国家确定的认证机构出具的、处于有效期之内的节能产品认证证书，投标无效。</w:t>
      </w:r>
    </w:p>
    <w:p w14:paraId="1292EBC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27EF9F0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E54128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402722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19D824D8">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85096F9">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7461EE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89056C0">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88605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043A4A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041ACA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FF8994E">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55C05C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AA0377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1B92F7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6B12C48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A68303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379A13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A3B9630">
      <w:pPr>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★4.特别说明：</w:t>
      </w:r>
    </w:p>
    <w:p w14:paraId="099D75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5B17DD9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3C74A0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57FC6DA">
      <w:pPr>
        <w:pStyle w:val="132"/>
        <w:snapToGrid w:val="0"/>
        <w:spacing w:before="0" w:line="440" w:lineRule="exact"/>
        <w:ind w:firstLine="640"/>
        <w:rPr>
          <w:rFonts w:ascii="仿宋" w:hAnsi="仿宋" w:eastAsia="仿宋" w:cs="仿宋"/>
          <w:color w:val="auto"/>
          <w:sz w:val="32"/>
          <w:szCs w:val="32"/>
          <w:highlight w:val="none"/>
        </w:rPr>
      </w:pPr>
    </w:p>
    <w:p w14:paraId="4C0E0D5D">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4CB941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EBECAF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CC344C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B395CE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528D93F">
      <w:pPr>
        <w:pStyle w:val="26"/>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515D193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3A7E6C9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7D86D4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w:t>
      </w:r>
      <w:bookmarkStart w:id="52" w:name="OLE_LINK7"/>
      <w:r>
        <w:rPr>
          <w:rFonts w:hint="eastAsia" w:ascii="仿宋" w:hAnsi="仿宋" w:eastAsia="仿宋" w:cs="仿宋"/>
          <w:color w:val="auto"/>
          <w:sz w:val="24"/>
          <w:highlight w:val="none"/>
        </w:rPr>
        <w:t>采购人</w:t>
      </w:r>
      <w:bookmarkEnd w:id="52"/>
      <w:r>
        <w:rPr>
          <w:rFonts w:hint="eastAsia" w:ascii="仿宋" w:hAnsi="仿宋" w:eastAsia="仿宋" w:cs="仿宋"/>
          <w:color w:val="auto"/>
          <w:sz w:val="24"/>
          <w:highlight w:val="none"/>
        </w:rPr>
        <w:t>对上述费用不负任何责任。</w:t>
      </w:r>
    </w:p>
    <w:p w14:paraId="2FFB4A8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01E4311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0F1E5C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02BBFC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B6DB82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4355070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4EA098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2F35934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FAA990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3ED61BC">
      <w:pPr>
        <w:pStyle w:val="23"/>
        <w:spacing w:line="440" w:lineRule="exact"/>
        <w:rPr>
          <w:rFonts w:ascii="仿宋" w:hAnsi="仿宋" w:eastAsia="仿宋" w:cs="仿宋"/>
          <w:b/>
          <w:color w:val="auto"/>
          <w:sz w:val="32"/>
          <w:szCs w:val="32"/>
          <w:highlight w:val="none"/>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D19CA78">
      <w:pPr>
        <w:adjustRightInd/>
        <w:spacing w:line="440" w:lineRule="exact"/>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41209324">
      <w:pPr>
        <w:snapToGrid w:val="0"/>
        <w:spacing w:line="300" w:lineRule="exact"/>
        <w:ind w:firstLine="482" w:firstLineChars="200"/>
        <w:jc w:val="left"/>
        <w:rPr>
          <w:rFonts w:ascii="仿宋" w:hAnsi="仿宋" w:eastAsia="仿宋" w:cs="仿宋"/>
          <w:b/>
          <w:bCs/>
          <w:color w:val="auto"/>
          <w:sz w:val="24"/>
          <w:highlight w:val="none"/>
        </w:rPr>
      </w:pPr>
    </w:p>
    <w:p w14:paraId="04C4680E">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2FBBF1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2F00D1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7C72E25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3870BD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C28B7D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4741E1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A68EAEC">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23060CFC">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9FD7ED7">
      <w:pPr>
        <w:pStyle w:val="34"/>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268B7D16">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53" w:name="OLE_LINK8"/>
      <w:r>
        <w:rPr>
          <w:rFonts w:hint="eastAsia" w:ascii="仿宋" w:hAnsi="仿宋" w:eastAsia="仿宋" w:cs="仿宋"/>
          <w:color w:val="auto"/>
          <w:sz w:val="24"/>
          <w:highlight w:val="none"/>
        </w:rPr>
        <w:t>“资格文件”、“商务技术文件”、“报价文件”</w:t>
      </w:r>
      <w:bookmarkEnd w:id="53"/>
      <w:r>
        <w:rPr>
          <w:rFonts w:hint="eastAsia" w:ascii="仿宋" w:hAnsi="仿宋" w:eastAsia="仿宋" w:cs="仿宋"/>
          <w:color w:val="auto"/>
          <w:sz w:val="24"/>
          <w:highlight w:val="none"/>
        </w:rPr>
        <w:t>三部分组成，其中</w:t>
      </w:r>
      <w:r>
        <w:rPr>
          <w:rFonts w:hint="eastAsia" w:ascii="仿宋" w:hAnsi="仿宋" w:eastAsia="仿宋" w:cs="仿宋"/>
          <w:b/>
          <w:color w:val="auto"/>
          <w:sz w:val="24"/>
          <w:highlight w:val="none"/>
        </w:rPr>
        <w:t>电子投标文件中所须加盖公章部分均应采用电子签章。</w:t>
      </w:r>
    </w:p>
    <w:p w14:paraId="5E81B1DC">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173849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46F5681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33F5324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F711BE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14:paraId="6F79D98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49882164">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A96730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ADC5AE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B80772C">
      <w:pPr>
        <w:snapToGrid w:val="0"/>
        <w:spacing w:line="440" w:lineRule="exact"/>
        <w:ind w:firstLine="480" w:firstLineChars="200"/>
        <w:rPr>
          <w:rFonts w:eastAsia="仿宋"/>
          <w:b/>
          <w:bCs/>
          <w:color w:val="auto"/>
          <w:highlight w:val="none"/>
        </w:rPr>
      </w:pPr>
      <w:r>
        <w:rPr>
          <w:rFonts w:hint="eastAsia" w:ascii="仿宋" w:hAnsi="仿宋" w:eastAsia="仿宋" w:cs="仿宋"/>
          <w:color w:val="auto"/>
          <w:sz w:val="24"/>
          <w:highlight w:val="none"/>
        </w:rPr>
        <w:t>2.2.3法定代表人及其授权代表身份证复印件；</w:t>
      </w:r>
    </w:p>
    <w:p w14:paraId="305DAC4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0A5F275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05DB784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DC5695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0920E56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rPr>
        <w:t>必须为投标分公司本身所具有，</w:t>
      </w:r>
      <w:r>
        <w:rPr>
          <w:rFonts w:hint="eastAsia" w:ascii="仿宋" w:hAnsi="仿宋" w:eastAsia="仿宋" w:cs="仿宋"/>
          <w:color w:val="auto"/>
          <w:sz w:val="24"/>
          <w:highlight w:val="none"/>
        </w:rPr>
        <w:t>总公司或其他分公司的人员、业绩、荣誉、知识产权、项目案例等，不能作为该投标分公司的文件予以确认。）；</w:t>
      </w:r>
    </w:p>
    <w:p w14:paraId="5B196B7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33D46D7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9B661F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7A2E67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411383A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717C0E8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bookmarkStart w:id="54" w:name="OLE_LINK9"/>
      <w:r>
        <w:rPr>
          <w:rFonts w:hint="eastAsia" w:ascii="仿宋" w:hAnsi="仿宋" w:eastAsia="仿宋" w:cs="仿宋"/>
          <w:b/>
          <w:bCs/>
          <w:color w:val="auto"/>
          <w:sz w:val="24"/>
          <w:highlight w:val="none"/>
        </w:rPr>
        <w:t>包括售后服务机构及人员情况等</w:t>
      </w:r>
      <w:r>
        <w:rPr>
          <w:rFonts w:hint="eastAsia" w:ascii="仿宋" w:hAnsi="仿宋" w:eastAsia="仿宋" w:cs="仿宋"/>
          <w:color w:val="auto"/>
          <w:sz w:val="24"/>
          <w:highlight w:val="none"/>
        </w:rPr>
        <w:t>。</w:t>
      </w:r>
      <w:bookmarkEnd w:id="54"/>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91AC952">
      <w:pPr>
        <w:snapToGrid w:val="0"/>
        <w:spacing w:line="440" w:lineRule="exact"/>
        <w:ind w:firstLine="480" w:firstLineChars="200"/>
        <w:rPr>
          <w:rFonts w:ascii="仿宋" w:hAnsi="仿宋" w:eastAsia="仿宋" w:cs="仿宋"/>
          <w:color w:val="auto"/>
          <w:sz w:val="24"/>
          <w:highlight w:val="none"/>
        </w:rPr>
      </w:pPr>
      <w:bookmarkStart w:id="55" w:name="OLE_LINK10"/>
      <w:r>
        <w:rPr>
          <w:rFonts w:hint="eastAsia" w:ascii="仿宋" w:hAnsi="仿宋" w:eastAsia="仿宋" w:cs="仿宋"/>
          <w:color w:val="auto"/>
          <w:sz w:val="24"/>
          <w:highlight w:val="none"/>
        </w:rPr>
        <w:t>2.2.12供应商售后服务证明材料：</w:t>
      </w:r>
      <w:r>
        <w:rPr>
          <w:rFonts w:hint="eastAsia" w:ascii="仿宋" w:hAnsi="仿宋" w:eastAsia="仿宋" w:cs="仿宋"/>
          <w:b/>
          <w:bCs/>
          <w:color w:val="auto"/>
          <w:sz w:val="24"/>
          <w:highlight w:val="none"/>
        </w:rPr>
        <w:t>由供应商根据本项目要求提供相应的售后服务证明材料或售后服务承诺；</w:t>
      </w:r>
    </w:p>
    <w:bookmarkEnd w:id="55"/>
    <w:p w14:paraId="7DD42AD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E38E5A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DBABFF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058611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26CA375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594B4EB1">
      <w:pPr>
        <w:snapToGrid w:val="0"/>
        <w:spacing w:line="44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55A68590">
      <w:pPr>
        <w:snapToGrid w:val="0"/>
        <w:spacing w:line="440" w:lineRule="exact"/>
        <w:ind w:firstLine="480" w:firstLineChars="200"/>
        <w:rPr>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4477BBD3">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BBE4F0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10D091E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w:t>
      </w:r>
      <w:r>
        <w:rPr>
          <w:rFonts w:hint="eastAsia" w:ascii="仿宋" w:hAnsi="仿宋" w:eastAsia="仿宋" w:cs="仿宋"/>
          <w:color w:val="auto"/>
          <w:sz w:val="24"/>
          <w:highlight w:val="none"/>
          <w:lang w:val="en-US" w:eastAsia="zh-CN"/>
        </w:rPr>
        <w:t>（如有）</w:t>
      </w:r>
      <w:r>
        <w:rPr>
          <w:rFonts w:hint="eastAsia" w:ascii="仿宋" w:hAnsi="仿宋" w:eastAsia="仿宋" w:cs="仿宋"/>
          <w:color w:val="auto"/>
          <w:sz w:val="24"/>
          <w:highlight w:val="none"/>
          <w:lang w:eastAsia="zh-CN"/>
        </w:rPr>
        <w:t>；</w:t>
      </w:r>
    </w:p>
    <w:p w14:paraId="077E611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3</w:t>
      </w:r>
      <w:r>
        <w:rPr>
          <w:rFonts w:hint="default"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CN"/>
        </w:rPr>
        <w:t>3</w:t>
      </w:r>
      <w:r>
        <w:rPr>
          <w:rFonts w:hint="default" w:ascii="仿宋" w:hAnsi="仿宋" w:eastAsia="仿宋" w:cs="仿宋"/>
          <w:color w:val="auto"/>
          <w:sz w:val="24"/>
          <w:highlight w:val="none"/>
          <w:lang w:val="en-US" w:eastAsia="zh-CN"/>
        </w:rPr>
        <w:t>残疾人福利性单位声明函</w:t>
      </w:r>
      <w:r>
        <w:rPr>
          <w:rFonts w:hint="eastAsia" w:ascii="仿宋" w:hAnsi="仿宋" w:eastAsia="仿宋" w:cs="仿宋"/>
          <w:color w:val="auto"/>
          <w:sz w:val="24"/>
          <w:highlight w:val="none"/>
          <w:lang w:val="en-US" w:eastAsia="zh-CN"/>
        </w:rPr>
        <w:t>（如有）；</w:t>
      </w:r>
    </w:p>
    <w:p w14:paraId="24C2DF33">
      <w:pPr>
        <w:snapToGrid w:val="0"/>
        <w:spacing w:line="440" w:lineRule="exact"/>
        <w:ind w:firstLine="480" w:firstLineChars="200"/>
        <w:rPr>
          <w:rFonts w:ascii="仿宋" w:hAnsi="仿宋" w:eastAsia="仿宋" w:cs="仿宋"/>
          <w:color w:val="auto"/>
          <w:sz w:val="24"/>
          <w:highlight w:val="none"/>
        </w:rPr>
      </w:pPr>
      <w:r>
        <w:rPr>
          <w:rFonts w:hint="eastAsia" w:ascii="仿宋_GB2312" w:hAnsi="宋体" w:eastAsia="仿宋_GB2312" w:cs="仿宋_GB2312"/>
          <w:snapToGrid w:val="0"/>
          <w:color w:val="auto"/>
          <w:sz w:val="24"/>
          <w:highlight w:val="none"/>
        </w:rPr>
        <w:t>2.3.</w:t>
      </w:r>
      <w:r>
        <w:rPr>
          <w:rFonts w:hint="eastAsia" w:ascii="仿宋_GB2312" w:hAnsi="宋体" w:eastAsia="仿宋_GB2312" w:cs="仿宋_GB2312"/>
          <w:snapToGrid w:val="0"/>
          <w:color w:val="auto"/>
          <w:sz w:val="24"/>
          <w:highlight w:val="none"/>
          <w:lang w:val="en-US" w:eastAsia="zh-CN"/>
        </w:rPr>
        <w:t>4</w:t>
      </w:r>
      <w:r>
        <w:rPr>
          <w:rFonts w:hint="eastAsia" w:ascii="仿宋" w:hAnsi="仿宋" w:eastAsia="仿宋" w:cs="仿宋_GB2312"/>
          <w:color w:val="auto"/>
          <w:sz w:val="24"/>
          <w:highlight w:val="none"/>
        </w:rPr>
        <w:t>投标人针对报价需要说明的其他文件和说明（如有，格式自拟</w:t>
      </w:r>
      <w:r>
        <w:rPr>
          <w:rFonts w:ascii="仿宋" w:hAnsi="仿宋" w:eastAsia="仿宋" w:cs="仿宋_GB2312"/>
          <w:color w:val="auto"/>
          <w:sz w:val="24"/>
          <w:highlight w:val="none"/>
        </w:rPr>
        <w:t>）</w:t>
      </w:r>
    </w:p>
    <w:p w14:paraId="67081C63">
      <w:pPr>
        <w:snapToGrid w:val="0"/>
        <w:spacing w:line="440" w:lineRule="exact"/>
        <w:ind w:firstLine="482" w:firstLineChars="200"/>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25DDE110">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7FDF9EEF">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3E23992F">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3726B2AF">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497504F3">
      <w:pPr>
        <w:pStyle w:val="132"/>
        <w:snapToGrid w:val="0"/>
        <w:spacing w:before="0" w:line="440" w:lineRule="exact"/>
        <w:ind w:firstLine="482"/>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2A069491">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6CC97B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A2EA4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61B99F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C08567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9BB5A2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2CA055CA">
      <w:pPr>
        <w:pStyle w:val="132"/>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2800EB6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297393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FDA6FD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6053432">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2F437E87">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5EB9B268">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02856062">
      <w:pPr>
        <w:pStyle w:val="132"/>
        <w:spacing w:before="0" w:line="440" w:lineRule="exact"/>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6B3DD28E">
      <w:pPr>
        <w:spacing w:line="360" w:lineRule="auto"/>
        <w:jc w:val="center"/>
        <w:rPr>
          <w:rFonts w:ascii="仿宋" w:hAnsi="仿宋" w:eastAsia="仿宋" w:cs="仿宋"/>
          <w:b/>
          <w:color w:val="auto"/>
          <w:sz w:val="32"/>
          <w:szCs w:val="32"/>
          <w:highlight w:val="none"/>
        </w:rPr>
      </w:pPr>
      <w:bookmarkStart w:id="56" w:name="_Toc91899903"/>
    </w:p>
    <w:p w14:paraId="42C73537">
      <w:pPr>
        <w:spacing w:line="44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6713D2C5">
      <w:pPr>
        <w:snapToGrid w:val="0"/>
        <w:spacing w:line="300" w:lineRule="exact"/>
        <w:ind w:firstLine="482" w:firstLineChars="200"/>
        <w:jc w:val="left"/>
        <w:rPr>
          <w:rFonts w:ascii="仿宋" w:hAnsi="仿宋" w:eastAsia="仿宋" w:cs="仿宋"/>
          <w:b/>
          <w:color w:val="auto"/>
          <w:sz w:val="24"/>
          <w:highlight w:val="none"/>
        </w:rPr>
      </w:pPr>
    </w:p>
    <w:p w14:paraId="14F84EC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87B274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6370042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49FC5A47">
      <w:pPr>
        <w:snapToGrid w:val="0"/>
        <w:spacing w:line="440" w:lineRule="exact"/>
        <w:ind w:firstLine="480" w:firstLineChars="200"/>
        <w:rPr>
          <w:rFonts w:ascii="仿宋" w:hAnsi="仿宋" w:eastAsia="仿宋" w:cs="仿宋_GB2312"/>
          <w:color w:val="auto"/>
          <w:sz w:val="24"/>
          <w:highlight w:val="none"/>
        </w:rPr>
      </w:pPr>
      <w:r>
        <w:rPr>
          <w:rFonts w:hint="eastAsia" w:ascii="仿宋" w:eastAsia="仿宋" w:cs="仿宋"/>
          <w:color w:val="auto"/>
          <w:sz w:val="24"/>
          <w:highlight w:val="none"/>
        </w:rPr>
        <w:t>1.3</w:t>
      </w:r>
      <w:r>
        <w:rPr>
          <w:rFonts w:hint="eastAsia" w:ascii="仿宋" w:hAnsi="仿宋" w:eastAsia="仿宋" w:cs="仿宋_GB2312"/>
          <w:color w:val="auto"/>
          <w:sz w:val="24"/>
          <w:highlight w:val="none"/>
        </w:rPr>
        <w:t>采购人或采购代理机构对投标人进行资格审查。</w:t>
      </w:r>
    </w:p>
    <w:p w14:paraId="793C757B">
      <w:pPr>
        <w:widowControl/>
        <w:adjustRightInd/>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6228407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1.5主持人宣布商务技术得分及无效（废）投标情形（如有），公布经商务技术评审符合招标文件要求的投标人名单及其商务技术得分。</w:t>
      </w:r>
    </w:p>
    <w:p w14:paraId="78A9A84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5C043DC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4DD1B60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0202A7E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CA6D55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5500A0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FBF412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5E16A19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16C2279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51E7E34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0364E7C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B27558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273985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62ACB32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0E7BA93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01C23E7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9FCA96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43FCF4A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2A90EA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14:paraId="25155CA8">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14:paraId="5920356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CE6FB7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7B2BC35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3C4461F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0678D4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EBF75A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9F0A91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7012E9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6C687E7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66BD33F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2DBCAE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4DB9847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665AB19">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B6E0C3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760536C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1125C4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5789DF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EF4308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7DA65A4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6DE05BF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14:paraId="4729BDB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w:t>
      </w:r>
      <w:bookmarkStart w:id="57" w:name="OLE_LINK25"/>
      <w:bookmarkStart w:id="58" w:name="OLE_LINK32"/>
      <w:r>
        <w:rPr>
          <w:rFonts w:hint="eastAsia" w:ascii="仿宋" w:hAnsi="仿宋" w:eastAsia="仿宋" w:cs="仿宋"/>
          <w:color w:val="auto"/>
          <w:sz w:val="24"/>
          <w:highlight w:val="none"/>
        </w:rPr>
        <w:t>评标委员会认为</w:t>
      </w:r>
      <w:bookmarkEnd w:id="57"/>
      <w:bookmarkStart w:id="59" w:name="OLE_LINK26"/>
      <w:r>
        <w:rPr>
          <w:rFonts w:hint="eastAsia" w:ascii="仿宋" w:hAnsi="仿宋" w:eastAsia="仿宋" w:cs="仿宋"/>
          <w:color w:val="auto"/>
          <w:sz w:val="24"/>
          <w:highlight w:val="none"/>
        </w:rPr>
        <w:t>报价明显</w:t>
      </w:r>
      <w:bookmarkStart w:id="60" w:name="OLE_LINK27"/>
      <w:r>
        <w:rPr>
          <w:rFonts w:hint="eastAsia" w:ascii="仿宋" w:hAnsi="仿宋" w:eastAsia="仿宋" w:cs="仿宋"/>
          <w:color w:val="auto"/>
          <w:sz w:val="24"/>
          <w:highlight w:val="none"/>
        </w:rPr>
        <w:t>低于其他通过</w:t>
      </w:r>
      <w:bookmarkEnd w:id="59"/>
      <w:r>
        <w:rPr>
          <w:rFonts w:hint="eastAsia" w:ascii="仿宋" w:hAnsi="仿宋" w:eastAsia="仿宋" w:cs="仿宋"/>
          <w:color w:val="auto"/>
          <w:sz w:val="24"/>
          <w:highlight w:val="none"/>
        </w:rPr>
        <w:t>符合性审</w:t>
      </w:r>
      <w:bookmarkEnd w:id="60"/>
      <w:r>
        <w:rPr>
          <w:rFonts w:hint="eastAsia" w:ascii="仿宋" w:hAnsi="仿宋" w:eastAsia="仿宋" w:cs="仿宋"/>
          <w:color w:val="auto"/>
          <w:sz w:val="24"/>
          <w:highlight w:val="none"/>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bookmarkEnd w:id="58"/>
    </w:p>
    <w:p w14:paraId="7DED0C4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741946F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329E325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E783F0C">
      <w:pPr>
        <w:pStyle w:val="15"/>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11BF582E">
      <w:pPr>
        <w:pStyle w:val="15"/>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B79BCF5">
      <w:pPr>
        <w:pStyle w:val="34"/>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FE70006">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3BFD7D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F5BADB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627D40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F30001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13B597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45C4BE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9D8250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3153A7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C339E9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C13AF7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B5D45B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8.11同一标的物或本次招标产品(服务)内的主要产品(重要组成部分)出现商务技术文件、报价文件中描述不一致或前后描述不一致的，经评标委员会认定后为无法评审的；</w:t>
      </w:r>
    </w:p>
    <w:p w14:paraId="75331D6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9EBA76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CF51C1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8.14评标委员会认为报价明显低于其他通过符合性审查投标人的报价，有可能影响产品质量或者不能诚信履约的，未能按要求提供书面说明或者提交相关证明材料，不能证明其报价合理性的;</w:t>
      </w:r>
    </w:p>
    <w:p w14:paraId="778F5F1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35752A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w:t>
      </w:r>
      <w:r>
        <w:rPr>
          <w:rFonts w:hint="eastAsia" w:ascii="仿宋" w:hAnsi="仿宋" w:eastAsia="仿宋" w:cs="仿宋"/>
          <w:b/>
          <w:bCs/>
          <w:color w:val="auto"/>
          <w:sz w:val="24"/>
          <w:highlight w:val="none"/>
        </w:rPr>
        <w:t>《开标一览表》（报价表）</w:t>
      </w:r>
      <w:r>
        <w:rPr>
          <w:rFonts w:hint="eastAsia" w:ascii="仿宋" w:hAnsi="仿宋" w:eastAsia="仿宋" w:cs="仿宋"/>
          <w:b/>
          <w:color w:val="auto"/>
          <w:sz w:val="24"/>
          <w:highlight w:val="none"/>
        </w:rPr>
        <w:t>相关内容的；</w:t>
      </w:r>
    </w:p>
    <w:p w14:paraId="4E398A1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022865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w:t>
      </w:r>
      <w:r>
        <w:rPr>
          <w:rFonts w:hint="eastAsia" w:ascii="仿宋" w:hAnsi="仿宋" w:eastAsia="仿宋" w:cs="仿宋"/>
          <w:b/>
          <w:bCs/>
          <w:color w:val="auto"/>
          <w:sz w:val="24"/>
          <w:highlight w:val="none"/>
        </w:rPr>
        <w:t>《开标一览表》（报价表）</w:t>
      </w:r>
      <w:r>
        <w:rPr>
          <w:rFonts w:hint="eastAsia" w:ascii="仿宋" w:hAnsi="仿宋" w:eastAsia="仿宋" w:cs="仿宋"/>
          <w:b/>
          <w:color w:val="auto"/>
          <w:sz w:val="24"/>
          <w:highlight w:val="none"/>
        </w:rPr>
        <w:t>填写不完整或字迹不能辨认或有漏项的，经评标委员会认定属于重大偏差的；</w:t>
      </w:r>
    </w:p>
    <w:p w14:paraId="0CA37E1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00F84B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E7F821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CF403F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4FFDF2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35A19A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AC4077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1AFBE6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81E4B7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F9EB52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D8F92A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646B0F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456DE6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CA3EA4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5A111B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4C161F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5E55D5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82D113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FEDBDF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A47D09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D9C2BE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1B9DF7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AD78CE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72E7B9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26F19CD6">
      <w:pPr>
        <w:snapToGrid w:val="0"/>
        <w:spacing w:line="440" w:lineRule="exact"/>
        <w:ind w:firstLine="482" w:firstLineChars="200"/>
        <w:rPr>
          <w:rFonts w:ascii="仿宋" w:hAnsi="仿宋" w:eastAsia="仿宋" w:cs="仿宋"/>
          <w:b/>
          <w:color w:val="auto"/>
          <w:sz w:val="24"/>
          <w:highlight w:val="none"/>
        </w:rPr>
      </w:pPr>
      <w:bookmarkStart w:id="61" w:name="OLE_LINK17"/>
      <w:r>
        <w:rPr>
          <w:rFonts w:hint="eastAsia" w:ascii="仿宋" w:hAnsi="仿宋" w:eastAsia="仿宋" w:cs="仿宋"/>
          <w:b/>
          <w:color w:val="auto"/>
          <w:sz w:val="24"/>
          <w:highlight w:val="none"/>
        </w:rPr>
        <w:t>8.25未按招标文件要求提供样品或提供样品不满足采购需求实质性条件的；</w:t>
      </w:r>
    </w:p>
    <w:p w14:paraId="1102E973">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73F5533F">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8.26.1不同供应商的电子投标(响应)文件上传计算机的网卡MAC地址或硬盘序列号等硬件信息相同的;</w:t>
      </w:r>
    </w:p>
    <w:p w14:paraId="22543150">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8.26.2上传的电子投标(响应)文件若出现使用本项目其他投标(响应)供应商的数字证书加密的，或者加盖本项目其他投标(响应)供应商的电子印章的;</w:t>
      </w:r>
    </w:p>
    <w:p w14:paraId="324AC47B">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8.26.3不同供应商的投标(响应)文件的内容存在3处(含)以上错误一致的;</w:t>
      </w:r>
    </w:p>
    <w:p w14:paraId="75B90CE1">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8.26.4不同供应商联系人为同一人或不同联系人的联系电话一致的。</w:t>
      </w:r>
    </w:p>
    <w:bookmarkEnd w:id="61"/>
    <w:p w14:paraId="5DA94E3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8.27</w:t>
      </w:r>
      <w:r>
        <w:rPr>
          <w:rFonts w:hint="eastAsia" w:ascii="仿宋" w:hAnsi="仿宋" w:eastAsia="仿宋" w:cs="仿宋_GB2312"/>
          <w:b/>
          <w:bCs/>
          <w:color w:val="auto"/>
          <w:highlight w:val="none"/>
        </w:rPr>
        <w:t>商务技术分低于</w:t>
      </w:r>
      <w:r>
        <w:rPr>
          <w:rFonts w:hint="eastAsia" w:ascii="仿宋" w:hAnsi="仿宋" w:eastAsia="仿宋" w:cs="仿宋_GB2312"/>
          <w:b/>
          <w:bCs/>
          <w:color w:val="auto"/>
          <w:highlight w:val="none"/>
          <w:lang w:val="en-US" w:eastAsia="zh-CN"/>
        </w:rPr>
        <w:t>36</w:t>
      </w:r>
      <w:r>
        <w:rPr>
          <w:rFonts w:hint="eastAsia" w:ascii="仿宋" w:hAnsi="仿宋" w:eastAsia="仿宋" w:cs="仿宋_GB2312"/>
          <w:b/>
          <w:bCs/>
          <w:color w:val="auto"/>
          <w:highlight w:val="none"/>
        </w:rPr>
        <w:t>分的，</w:t>
      </w:r>
      <w:r>
        <w:rPr>
          <w:rFonts w:hint="eastAsia" w:ascii="仿宋" w:hAnsi="仿宋" w:eastAsia="仿宋"/>
          <w:b/>
          <w:bCs/>
          <w:color w:val="auto"/>
          <w:highlight w:val="none"/>
        </w:rPr>
        <w:t>视为采购人不能接受的附加条件投标无效。</w:t>
      </w:r>
    </w:p>
    <w:p w14:paraId="459308CD">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8.28其他违反法律、法规的情形。</w:t>
      </w:r>
    </w:p>
    <w:p w14:paraId="57D23666">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B7BE6EB">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7EC4CA5">
      <w:pPr>
        <w:snapToGrid w:val="0"/>
        <w:spacing w:line="440" w:lineRule="exact"/>
        <w:ind w:firstLine="480" w:firstLineChars="200"/>
        <w:rPr>
          <w:rFonts w:ascii="仿宋" w:hAnsi="仿宋" w:eastAsia="仿宋" w:cs="仿宋"/>
          <w:b/>
          <w:color w:val="auto"/>
          <w:sz w:val="32"/>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bookmarkEnd w:id="56"/>
    <w:p w14:paraId="78C64208">
      <w:pPr>
        <w:pStyle w:val="34"/>
        <w:spacing w:line="440" w:lineRule="exact"/>
        <w:ind w:firstLine="726"/>
        <w:jc w:val="center"/>
        <w:rPr>
          <w:rFonts w:ascii="仿宋" w:hAnsi="仿宋" w:eastAsia="仿宋" w:cs="仿宋"/>
          <w:b/>
          <w:color w:val="auto"/>
          <w:sz w:val="32"/>
          <w:szCs w:val="32"/>
          <w:highlight w:val="none"/>
        </w:rPr>
      </w:pPr>
      <w:bookmarkStart w:id="62" w:name="_Toc81372953"/>
      <w:bookmarkStart w:id="63" w:name="_Toc84325929"/>
      <w:bookmarkStart w:id="64" w:name="_Toc81372776"/>
    </w:p>
    <w:p w14:paraId="31BCF1C0">
      <w:pPr>
        <w:pStyle w:val="34"/>
        <w:spacing w:line="440" w:lineRule="exact"/>
        <w:ind w:firstLine="726"/>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五、授予合同</w:t>
      </w:r>
    </w:p>
    <w:bookmarkEnd w:id="62"/>
    <w:bookmarkEnd w:id="63"/>
    <w:bookmarkEnd w:id="64"/>
    <w:p w14:paraId="0DF682D4">
      <w:pPr>
        <w:spacing w:line="300" w:lineRule="exact"/>
        <w:ind w:firstLine="482" w:firstLineChars="200"/>
        <w:jc w:val="left"/>
        <w:rPr>
          <w:rFonts w:ascii="仿宋" w:hAnsi="仿宋" w:eastAsia="仿宋" w:cs="仿宋"/>
          <w:b/>
          <w:color w:val="auto"/>
          <w:sz w:val="24"/>
          <w:highlight w:val="none"/>
        </w:rPr>
      </w:pPr>
    </w:p>
    <w:p w14:paraId="54D2A18A">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AF5CBC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D65A35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6C16F3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4A38251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1800DB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319328A2">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8C678C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CBFCEE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6D1543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B1973C2">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4B20C3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F348366">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E3B81D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3A0F0F4">
      <w:pPr>
        <w:pStyle w:val="26"/>
        <w:tabs>
          <w:tab w:val="left" w:pos="2760"/>
        </w:tabs>
        <w:spacing w:line="440" w:lineRule="exact"/>
        <w:ind w:firstLine="482"/>
        <w:rPr>
          <w:rFonts w:ascii="仿宋" w:hAnsi="仿宋" w:eastAsia="仿宋" w:cs="仿宋"/>
          <w:b/>
          <w:bCs/>
          <w:color w:val="auto"/>
          <w:highlight w:val="none"/>
        </w:rPr>
      </w:pPr>
      <w:r>
        <w:rPr>
          <w:rFonts w:hint="eastAsia" w:ascii="仿宋" w:hAnsi="仿宋" w:eastAsia="仿宋" w:cs="仿宋"/>
          <w:b/>
          <w:bCs/>
          <w:color w:val="auto"/>
          <w:highlight w:val="none"/>
        </w:rPr>
        <w:t>4.履约保证金</w:t>
      </w:r>
      <w:r>
        <w:rPr>
          <w:rFonts w:hint="eastAsia" w:ascii="仿宋" w:hAnsi="仿宋" w:eastAsia="仿宋" w:cs="仿宋"/>
          <w:b/>
          <w:bCs/>
          <w:color w:val="auto"/>
          <w:highlight w:val="none"/>
        </w:rPr>
        <w:tab/>
      </w:r>
    </w:p>
    <w:p w14:paraId="165B3AD9">
      <w:pPr>
        <w:tabs>
          <w:tab w:val="left" w:pos="0"/>
        </w:tabs>
        <w:spacing w:line="440" w:lineRule="exact"/>
        <w:ind w:firstLine="482"/>
        <w:rPr>
          <w:rFonts w:ascii="仿宋" w:hAnsi="仿宋" w:eastAsia="仿宋" w:cs="仿宋"/>
          <w:color w:val="auto"/>
          <w:sz w:val="24"/>
          <w:highlight w:val="none"/>
        </w:rPr>
      </w:pPr>
      <w:r>
        <w:rPr>
          <w:rFonts w:hint="eastAsia" w:ascii="仿宋" w:hAnsi="仿宋" w:eastAsia="仿宋" w:cs="仿宋"/>
          <w:color w:val="auto"/>
          <w:sz w:val="24"/>
          <w:highlight w:val="none"/>
        </w:rPr>
        <w:t>拟签订的合同文本要求中标供应商提交履约保证金的，供应商应当以支票、汇票、本票或者金融机构、担保机构出具的保函等非现金形式提交。履约保证金的数额不得超过政府采购合同金额的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AC23EAC">
      <w:pPr>
        <w:pStyle w:val="3"/>
        <w:spacing w:line="440" w:lineRule="exact"/>
        <w:ind w:left="0" w:firstLine="482" w:firstLineChars="200"/>
        <w:rPr>
          <w:rFonts w:ascii="仿宋" w:eastAsia="仿宋" w:cs="仿宋"/>
          <w:color w:val="auto"/>
          <w:sz w:val="24"/>
          <w:szCs w:val="24"/>
          <w:highlight w:val="none"/>
          <w:lang w:val="en-US"/>
        </w:rPr>
      </w:pPr>
      <w:r>
        <w:rPr>
          <w:rFonts w:hint="eastAsia" w:ascii="仿宋" w:eastAsia="仿宋" w:cs="仿宋"/>
          <w:color w:val="auto"/>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BB8FD7D">
      <w:pPr>
        <w:pStyle w:val="26"/>
        <w:spacing w:line="440" w:lineRule="exact"/>
        <w:ind w:firstLine="482"/>
        <w:rPr>
          <w:rFonts w:ascii="仿宋" w:hAnsi="仿宋" w:eastAsia="仿宋" w:cs="仿宋"/>
          <w:b/>
          <w:bCs/>
          <w:color w:val="auto"/>
          <w:highlight w:val="none"/>
        </w:rPr>
      </w:pPr>
      <w:bookmarkStart w:id="65" w:name="OLE_LINK35"/>
      <w:r>
        <w:rPr>
          <w:rFonts w:hint="eastAsia" w:ascii="仿宋" w:hAnsi="仿宋" w:eastAsia="仿宋" w:cs="仿宋"/>
          <w:b/>
          <w:bCs/>
          <w:color w:val="auto"/>
          <w:highlight w:val="none"/>
        </w:rPr>
        <w:t>5.预付款</w:t>
      </w:r>
    </w:p>
    <w:p w14:paraId="5A1D4E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65"/>
    <w:p w14:paraId="0CFD0612">
      <w:pPr>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6．合同签订及备案</w:t>
      </w:r>
    </w:p>
    <w:p w14:paraId="579C4E3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6.1中标人应当在中标通知书发出之日起30天内与采购人签订合同，自采购合同签订之日起2个工作日内，通过电子交易平台进行备案。</w:t>
      </w:r>
    </w:p>
    <w:p w14:paraId="26E880F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14:paraId="00C31231">
      <w:pPr>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7.验收</w:t>
      </w:r>
    </w:p>
    <w:p w14:paraId="76D6AD5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C7143A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14:paraId="7FAE48F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7.3 采购人负责加强对中标人的履约管理，并按照采购合同约定，及时向中标人支付采购资金。对于中标人违反采购合同约定的行为，采购人应当及时处理，依法追究其违约责任。</w:t>
      </w:r>
    </w:p>
    <w:p w14:paraId="62B35259">
      <w:pPr>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8.售后服务考核</w:t>
      </w:r>
    </w:p>
    <w:p w14:paraId="34CA6A5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BAEA1DD">
      <w:pPr>
        <w:adjustRightInd/>
        <w:spacing w:line="440" w:lineRule="exact"/>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259BD6DB">
      <w:pPr>
        <w:spacing w:line="300" w:lineRule="exact"/>
        <w:ind w:firstLine="482" w:firstLineChars="200"/>
        <w:jc w:val="left"/>
        <w:rPr>
          <w:rFonts w:ascii="仿宋" w:hAnsi="仿宋" w:eastAsia="仿宋" w:cs="仿宋"/>
          <w:b/>
          <w:bCs/>
          <w:color w:val="auto"/>
          <w:sz w:val="24"/>
          <w:szCs w:val="20"/>
          <w:highlight w:val="none"/>
        </w:rPr>
      </w:pPr>
    </w:p>
    <w:p w14:paraId="5A8720C8">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03E10408">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4AC1F285">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2B5527FE">
      <w:pP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4FA0A54">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36645342">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1292FCB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68D2519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22C6CF6">
      <w:pPr>
        <w:widowControl/>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082FA3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09E27A4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7EBD3D5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651C3997">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60B9C0D2">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1BEF1A2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39AE349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3141CED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5F537DC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29802358">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424268A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3DF709B6">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4C92A904">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16A68912">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575C64E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B24D93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756FBDC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7C8F490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2C1BE9AC">
      <w:pPr>
        <w:snapToGrid w:val="0"/>
        <w:spacing w:line="440" w:lineRule="exact"/>
        <w:ind w:firstLine="482" w:firstLineChars="200"/>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2E3E3536">
      <w:pPr>
        <w:pStyle w:val="23"/>
        <w:spacing w:line="440" w:lineRule="exact"/>
        <w:ind w:firstLine="480" w:firstLineChars="200"/>
        <w:rPr>
          <w:rFonts w:ascii="仿宋" w:hAnsi="仿宋" w:eastAsia="仿宋" w:cs="仿宋"/>
          <w:color w:val="auto"/>
          <w:kern w:val="0"/>
          <w:highlight w:val="none"/>
        </w:rPr>
        <w:sectPr>
          <w:footerReference r:id="rId12" w:type="first"/>
          <w:footerReference r:id="rId11" w:type="default"/>
          <w:pgSz w:w="11906" w:h="16838"/>
          <w:pgMar w:top="1474" w:right="1814" w:bottom="1474" w:left="1814" w:header="851" w:footer="992" w:gutter="0"/>
          <w:pgNumType w:start="1"/>
          <w:cols w:space="720" w:num="1"/>
          <w:docGrid w:linePitch="312" w:charSpace="0"/>
        </w:sectPr>
      </w:pPr>
    </w:p>
    <w:bookmarkEnd w:id="50"/>
    <w:bookmarkEnd w:id="51"/>
    <w:p w14:paraId="48474B41">
      <w:pPr>
        <w:numPr>
          <w:ilvl w:val="0"/>
          <w:numId w:val="1"/>
        </w:numPr>
        <w:spacing w:line="360" w:lineRule="auto"/>
        <w:jc w:val="center"/>
        <w:outlineLvl w:val="0"/>
        <w:rPr>
          <w:rFonts w:ascii="仿宋" w:hAnsi="仿宋" w:eastAsia="仿宋" w:cs="仿宋"/>
          <w:b/>
          <w:color w:val="auto"/>
          <w:sz w:val="36"/>
          <w:szCs w:val="36"/>
          <w:highlight w:val="none"/>
        </w:rPr>
      </w:pPr>
      <w:bookmarkStart w:id="66" w:name="_Toc86217003"/>
      <w:bookmarkStart w:id="67" w:name="第五部分"/>
      <w:r>
        <w:rPr>
          <w:rFonts w:hint="eastAsia" w:ascii="仿宋" w:hAnsi="仿宋" w:eastAsia="仿宋" w:cs="仿宋"/>
          <w:b/>
          <w:color w:val="auto"/>
          <w:sz w:val="36"/>
          <w:szCs w:val="36"/>
          <w:highlight w:val="none"/>
        </w:rPr>
        <w:t xml:space="preserve">  招标项目范围及要求</w:t>
      </w:r>
    </w:p>
    <w:p w14:paraId="108E7C99">
      <w:pPr>
        <w:rPr>
          <w:rFonts w:ascii="仿宋" w:hAnsi="仿宋" w:eastAsia="仿宋" w:cs="仿宋"/>
          <w:b/>
          <w:color w:val="auto"/>
          <w:sz w:val="36"/>
          <w:szCs w:val="36"/>
          <w:highlight w:val="none"/>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758"/>
        <w:gridCol w:w="1037"/>
        <w:gridCol w:w="5024"/>
        <w:gridCol w:w="743"/>
        <w:gridCol w:w="564"/>
      </w:tblGrid>
      <w:tr w14:paraId="05EF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C5CAE47">
            <w:pPr>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758" w:type="dxa"/>
            <w:vAlign w:val="center"/>
          </w:tcPr>
          <w:p w14:paraId="7A969EA6">
            <w:pPr>
              <w:jc w:val="center"/>
              <w:rPr>
                <w:rFonts w:hint="eastAsia" w:ascii="仿宋" w:hAnsi="仿宋" w:eastAsia="仿宋" w:cs="仿宋"/>
                <w:color w:val="auto"/>
                <w:highlight w:val="none"/>
              </w:rPr>
            </w:pPr>
            <w:r>
              <w:rPr>
                <w:rFonts w:hint="eastAsia" w:ascii="仿宋" w:hAnsi="仿宋" w:eastAsia="仿宋" w:cs="仿宋"/>
                <w:color w:val="auto"/>
                <w:highlight w:val="none"/>
              </w:rPr>
              <w:t>名称</w:t>
            </w:r>
          </w:p>
        </w:tc>
        <w:tc>
          <w:tcPr>
            <w:tcW w:w="1037" w:type="dxa"/>
            <w:vAlign w:val="center"/>
          </w:tcPr>
          <w:p w14:paraId="5C17146B">
            <w:pPr>
              <w:jc w:val="center"/>
              <w:rPr>
                <w:rFonts w:hint="eastAsia" w:ascii="仿宋" w:hAnsi="仿宋" w:eastAsia="仿宋" w:cs="仿宋"/>
                <w:color w:val="auto"/>
                <w:highlight w:val="none"/>
              </w:rPr>
            </w:pPr>
            <w:r>
              <w:rPr>
                <w:rFonts w:hint="eastAsia" w:ascii="仿宋" w:hAnsi="仿宋" w:eastAsia="仿宋" w:cs="仿宋"/>
                <w:color w:val="auto"/>
                <w:highlight w:val="none"/>
              </w:rPr>
              <w:t>参考</w:t>
            </w:r>
          </w:p>
          <w:p w14:paraId="7F5143BB">
            <w:pPr>
              <w:jc w:val="center"/>
              <w:rPr>
                <w:rFonts w:hint="eastAsia" w:ascii="仿宋" w:hAnsi="仿宋" w:eastAsia="仿宋" w:cs="仿宋"/>
                <w:color w:val="auto"/>
                <w:highlight w:val="none"/>
              </w:rPr>
            </w:pPr>
            <w:r>
              <w:rPr>
                <w:rFonts w:hint="eastAsia" w:ascii="仿宋" w:hAnsi="仿宋" w:eastAsia="仿宋" w:cs="仿宋"/>
                <w:color w:val="auto"/>
                <w:highlight w:val="none"/>
              </w:rPr>
              <w:t>品牌</w:t>
            </w:r>
          </w:p>
        </w:tc>
        <w:tc>
          <w:tcPr>
            <w:tcW w:w="5024" w:type="dxa"/>
            <w:vAlign w:val="center"/>
          </w:tcPr>
          <w:p w14:paraId="6BA05FD5">
            <w:pPr>
              <w:jc w:val="center"/>
              <w:rPr>
                <w:rFonts w:hint="eastAsia" w:ascii="仿宋" w:hAnsi="仿宋" w:eastAsia="仿宋" w:cs="仿宋"/>
                <w:color w:val="auto"/>
                <w:highlight w:val="none"/>
              </w:rPr>
            </w:pPr>
            <w:r>
              <w:rPr>
                <w:rFonts w:hint="eastAsia" w:ascii="仿宋" w:hAnsi="仿宋" w:eastAsia="仿宋" w:cs="仿宋"/>
                <w:color w:val="auto"/>
                <w:highlight w:val="none"/>
              </w:rPr>
              <w:t>参数说明</w:t>
            </w:r>
          </w:p>
        </w:tc>
        <w:tc>
          <w:tcPr>
            <w:tcW w:w="743" w:type="dxa"/>
            <w:vAlign w:val="center"/>
          </w:tcPr>
          <w:p w14:paraId="028954CF">
            <w:pPr>
              <w:jc w:val="cente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564" w:type="dxa"/>
            <w:vAlign w:val="center"/>
          </w:tcPr>
          <w:p w14:paraId="6987485D">
            <w:pPr>
              <w:jc w:val="center"/>
              <w:rPr>
                <w:rFonts w:hint="eastAsia" w:ascii="仿宋" w:hAnsi="仿宋" w:eastAsia="仿宋" w:cs="仿宋"/>
                <w:color w:val="auto"/>
                <w:highlight w:val="none"/>
              </w:rPr>
            </w:pPr>
            <w:r>
              <w:rPr>
                <w:rFonts w:hint="eastAsia" w:ascii="仿宋" w:hAnsi="仿宋" w:eastAsia="仿宋" w:cs="仿宋"/>
                <w:color w:val="auto"/>
                <w:highlight w:val="none"/>
              </w:rPr>
              <w:t>单位</w:t>
            </w:r>
          </w:p>
        </w:tc>
      </w:tr>
      <w:tr w14:paraId="31C2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tcPr>
          <w:p w14:paraId="61CA87A7">
            <w:pPr>
              <w:rPr>
                <w:rFonts w:hint="eastAsia" w:ascii="仿宋" w:hAnsi="仿宋" w:eastAsia="仿宋" w:cs="仿宋"/>
                <w:color w:val="auto"/>
                <w:highlight w:val="none"/>
              </w:rPr>
            </w:pPr>
            <w:r>
              <w:rPr>
                <w:rFonts w:hint="eastAsia" w:ascii="仿宋" w:hAnsi="仿宋" w:eastAsia="仿宋" w:cs="仿宋"/>
                <w:color w:val="auto"/>
                <w:highlight w:val="none"/>
              </w:rPr>
              <w:t>一、AI智能分析精品录播</w:t>
            </w:r>
          </w:p>
        </w:tc>
      </w:tr>
      <w:tr w14:paraId="1D89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tcPr>
          <w:p w14:paraId="1DBAACEF">
            <w:pPr>
              <w:rPr>
                <w:rFonts w:hint="eastAsia" w:ascii="仿宋" w:hAnsi="仿宋" w:eastAsia="仿宋" w:cs="仿宋"/>
                <w:color w:val="auto"/>
                <w:highlight w:val="none"/>
              </w:rPr>
            </w:pPr>
            <w:r>
              <w:rPr>
                <w:rFonts w:hint="eastAsia" w:ascii="仿宋" w:hAnsi="仿宋" w:eastAsia="仿宋" w:cs="仿宋"/>
                <w:color w:val="auto"/>
                <w:highlight w:val="none"/>
              </w:rPr>
              <w:t>精品录播教室（一）</w:t>
            </w:r>
          </w:p>
        </w:tc>
      </w:tr>
      <w:tr w14:paraId="68D3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0BCE38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758" w:type="dxa"/>
            <w:vAlign w:val="center"/>
          </w:tcPr>
          <w:p w14:paraId="597126E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高清录播主机</w:t>
            </w:r>
          </w:p>
        </w:tc>
        <w:tc>
          <w:tcPr>
            <w:tcW w:w="1037" w:type="dxa"/>
            <w:vAlign w:val="center"/>
          </w:tcPr>
          <w:p w14:paraId="64ED5D1A">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奥威亚、维森、现代中庆</w:t>
            </w:r>
          </w:p>
        </w:tc>
        <w:tc>
          <w:tcPr>
            <w:tcW w:w="5024" w:type="dxa"/>
            <w:vAlign w:val="center"/>
          </w:tcPr>
          <w:p w14:paraId="0119A6B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一、整体设计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1.主机采用低功耗，标准1U机架式设计；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2.功能同时具备录制、导播、存储、点播、互动、课堂分析等，算力集成GPU与NPU协同处理器，CPU核心数≥8，核心主频≥2.6GHz保障应用性能；</w:t>
            </w:r>
          </w:p>
          <w:p w14:paraId="501D35A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3.主机支持≥4路摄像机信号输入和≥1路HDMI信号输入，共≥4路高清视频数字视频信号同步采集，具备声画同步机制，实现≤150ms声画同步差异；</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4.主机支持数字音频≥6路输入，≥2路线性音频输入，≥2路线性音频输出，支持回声抑制、增益、噪声抑制与音频均衡功能；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5.主机支持≥1路控制接口，≥1路USB 接口；</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6.主机兼容标准视频编解码能力，以及音频编解码协议标准，且内置音频处理功能；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7.主机具备标准网络自适应接口；</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8.存储容量≥1TB，用于录制视频文件的本地存储；</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9.可提供师生视频分析，数据包括但不限于行为数据、语音表达数据；</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10.支持系统软件版本管理，提供多种升级方式，且支持导出和导入系统配置文件；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11.支持定时休眠唤醒功能；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12.主机具备通过USB口直接输出音视频信号的能力，实现便捷的视频会议软件接入；</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13.内置AI分析模块，提供分析、统计、展示等功能；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14.支持扩展智能识别教师板书书写行为，智能识别书写笔迹增强并可虚拟化去除人为遮挡。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15.支持基于AI技术的板书笔迹智能色彩增强处理，满足白色、黄色、蓝色、红色、绿色等不同颜色的彩色笔迹色彩还原与笔迹增强。</w:t>
            </w:r>
          </w:p>
          <w:p w14:paraId="0BA162C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二、流媒体处理软件：</w:t>
            </w:r>
          </w:p>
          <w:p w14:paraId="49582AD0">
            <w:pPr>
              <w:widowControl/>
              <w:numPr>
                <w:ilvl w:val="0"/>
                <w:numId w:val="2"/>
              </w:numPr>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支持B/S软件架构，通过PC浏览器访问录播主机导播界面，并支持手动导播模式下点击预览画面窗口进行录制画面切换，主机出厂时内置流媒体处理软件以实现各个模块的功能应用；</w:t>
            </w:r>
          </w:p>
          <w:p w14:paraId="566F4D5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2.支持全自动、半自动、手动三种导播模式，并支持录制过程中任意切换导播模式；</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3.录播主机支持1080P高清分辨率录制，以MP4视频格式封装，自动存储；4.支持录制高清标清质量选择，并支持自定义录制分辨率、帧率、码率等参数；</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5.支持对录播主机任意线性音频输入通道做单独配置；支持一键静音功能；支持对录制、互动两个使用场景分别独立配置音频设置参数；</w:t>
            </w:r>
          </w:p>
          <w:p w14:paraId="06F621E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6.支持RTMP, RTSP, RTP、TS等流媒体直播协议，多路RTMP同步推流直播；7.支持自定义直播分辨率和码率，以适应不同网络环境下保持直播的流畅性；</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8.支持主讲端在互动过程中对其余互动参与者的发言权限进行控制；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9.支持1080P@30fps的高清互动画质，且支持设置互动码流，并支持基于SVC技术实现在不同网络状况下的画面质量自适应；</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10.支持呼叫自动应答与勾选手动应答两种方式，以满足在课堂场景下听讲端的自动入会，以及接收到互动申请自主选择是否加入会议的情况。</w:t>
            </w:r>
          </w:p>
          <w:p w14:paraId="2B7E551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11.支持对录制视频按多种方式进行排序，提供录像文件进行回放和下载；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12.支持硬盘格式化功能，支持对设备异常断电、宕机造成的损坏视频文件进行修复；</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13.要求软件在出厂时内嵌于录播主机中，且应具备自主知识产权；</w:t>
            </w:r>
          </w:p>
          <w:p w14:paraId="2893D8A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三、AI智能跟踪数据分析处理软件</w:t>
            </w:r>
          </w:p>
          <w:p w14:paraId="4AEA80F0">
            <w:pPr>
              <w:widowControl/>
              <w:numPr>
                <w:ilvl w:val="0"/>
                <w:numId w:val="3"/>
              </w:numPr>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支持智能识别接入摄像机的使用定位，并联动摄像机选用对应的教师跟踪、学生跟踪等；</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2.支持对接入摄像机的AI跟踪检测区域设置；</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3.支持根据设定实现多路接入摄像机的全自动AI跟踪画面切换；</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4.支持自定义跟踪切换逻辑的画面布局，包含但不限于双分屏、画中画与自定义布局等。</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4.支持对接入摄像机自定义设置AI跟踪目标更新周期时间，摄像机依据配置实现相应跟踪策略；</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5.支持设置摄像机拍摄画面的智能构图，支持人像不同比例构图方式；</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6.基于AI人工智能跟踪算法，实现教师识别、教师移动跟拍、教师轨迹识别以及学生上台识别、板书行为识别、单人与多人起立识别等教学焦点进行自动捕捉与切换；</w:t>
            </w:r>
          </w:p>
          <w:p w14:paraId="216158F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四、智能课堂行为分析软件</w:t>
            </w:r>
          </w:p>
          <w:p w14:paraId="2E9EFD82">
            <w:pPr>
              <w:widowControl/>
              <w:jc w:val="left"/>
              <w:textAlignment w:val="center"/>
              <w:rPr>
                <w:rStyle w:val="314"/>
                <w:rFonts w:hint="eastAsia" w:ascii="仿宋" w:hAnsi="仿宋" w:eastAsia="仿宋" w:cs="仿宋"/>
                <w:color w:val="auto"/>
                <w:sz w:val="21"/>
                <w:szCs w:val="21"/>
                <w:highlight w:val="none"/>
                <w:lang w:bidi="ar"/>
              </w:rPr>
            </w:pPr>
            <w:r>
              <w:rPr>
                <w:rFonts w:hint="eastAsia" w:ascii="仿宋" w:hAnsi="仿宋" w:eastAsia="仿宋" w:cs="仿宋"/>
                <w:color w:val="auto"/>
                <w:szCs w:val="21"/>
                <w:highlight w:val="none"/>
                <w:lang w:bidi="ar"/>
              </w:rPr>
              <w:t>1.</w:t>
            </w:r>
            <w:r>
              <w:rPr>
                <w:rStyle w:val="314"/>
                <w:rFonts w:hint="eastAsia" w:ascii="仿宋" w:hAnsi="仿宋" w:eastAsia="仿宋" w:cs="仿宋"/>
                <w:color w:val="auto"/>
                <w:sz w:val="21"/>
                <w:szCs w:val="21"/>
                <w:highlight w:val="none"/>
                <w:lang w:bidi="ar"/>
              </w:rPr>
              <w:t>边缘计算：配套高清录播主机，实现视频数据分析；同时支持将数据通过录播管理平台进行分析结果数据展示，后续不会产生额外的云服务费用。</w:t>
            </w:r>
          </w:p>
          <w:p w14:paraId="24702EC8">
            <w:pPr>
              <w:widowControl/>
              <w:jc w:val="left"/>
              <w:textAlignment w:val="center"/>
              <w:rPr>
                <w:rFonts w:hint="eastAsia" w:ascii="仿宋" w:hAnsi="仿宋" w:eastAsia="仿宋" w:cs="仿宋"/>
                <w:color w:val="auto"/>
                <w:kern w:val="0"/>
                <w:szCs w:val="21"/>
                <w:highlight w:val="none"/>
                <w:lang w:bidi="ar"/>
              </w:rPr>
            </w:pPr>
            <w:r>
              <w:rPr>
                <w:rStyle w:val="314"/>
                <w:rFonts w:hint="eastAsia" w:ascii="仿宋" w:hAnsi="仿宋" w:eastAsia="仿宋" w:cs="仿宋"/>
                <w:color w:val="auto"/>
                <w:sz w:val="21"/>
                <w:szCs w:val="21"/>
                <w:highlight w:val="none"/>
                <w:lang w:bidi="ar"/>
              </w:rPr>
              <w:t>2.</w:t>
            </w:r>
            <w:r>
              <w:rPr>
                <w:rFonts w:hint="eastAsia" w:ascii="仿宋" w:hAnsi="仿宋" w:eastAsia="仿宋" w:cs="仿宋"/>
                <w:color w:val="auto"/>
                <w:kern w:val="0"/>
                <w:szCs w:val="21"/>
                <w:highlight w:val="none"/>
                <w:lang w:bidi="ar"/>
              </w:rPr>
              <w:t>多维分析：支持对课堂数据进行综合多维度的分析，包括师生语音及视觉行为、姿态和感情等多维度多类型分析数据板块；</w:t>
            </w:r>
            <w:r>
              <w:rPr>
                <w:rStyle w:val="314"/>
                <w:rFonts w:hint="eastAsia" w:ascii="仿宋" w:hAnsi="仿宋" w:eastAsia="仿宋" w:cs="仿宋"/>
                <w:color w:val="auto"/>
                <w:sz w:val="21"/>
                <w:szCs w:val="21"/>
                <w:highlight w:val="none"/>
                <w:lang w:bidi="ar"/>
              </w:rPr>
              <w:br w:type="textWrapping"/>
            </w:r>
            <w:r>
              <w:rPr>
                <w:rStyle w:val="314"/>
                <w:rFonts w:hint="eastAsia" w:ascii="仿宋" w:hAnsi="仿宋" w:eastAsia="仿宋" w:cs="仿宋"/>
                <w:color w:val="auto"/>
                <w:sz w:val="21"/>
                <w:szCs w:val="21"/>
                <w:highlight w:val="none"/>
                <w:lang w:bidi="ar"/>
              </w:rPr>
              <w:t>3.</w:t>
            </w:r>
            <w:r>
              <w:rPr>
                <w:rFonts w:hint="eastAsia" w:ascii="仿宋" w:hAnsi="仿宋" w:eastAsia="仿宋" w:cs="仿宋"/>
                <w:color w:val="auto"/>
                <w:kern w:val="0"/>
                <w:szCs w:val="21"/>
                <w:highlight w:val="none"/>
                <w:lang w:bidi="ar"/>
              </w:rPr>
              <w:t>实时分析：支持对师生行为等维度数据进行实时统计分析，并且能在课程录制结束后3分钟快速将数据整合建模生成分析报告；</w:t>
            </w:r>
          </w:p>
          <w:p w14:paraId="7EBF7E3A">
            <w:pPr>
              <w:widowControl/>
              <w:jc w:val="left"/>
              <w:textAlignment w:val="center"/>
              <w:rPr>
                <w:rStyle w:val="314"/>
                <w:rFonts w:hint="eastAsia" w:ascii="仿宋" w:hAnsi="仿宋" w:eastAsia="仿宋" w:cs="仿宋"/>
                <w:color w:val="auto"/>
                <w:sz w:val="21"/>
                <w:szCs w:val="21"/>
                <w:highlight w:val="none"/>
                <w:lang w:bidi="ar"/>
              </w:rPr>
            </w:pPr>
            <w:r>
              <w:rPr>
                <w:rStyle w:val="314"/>
                <w:rFonts w:hint="eastAsia" w:ascii="仿宋" w:hAnsi="仿宋" w:eastAsia="仿宋" w:cs="仿宋"/>
                <w:color w:val="auto"/>
                <w:sz w:val="21"/>
                <w:szCs w:val="21"/>
                <w:highlight w:val="none"/>
                <w:lang w:bidi="ar"/>
              </w:rPr>
              <w:t>4.教师教情</w:t>
            </w:r>
            <w:r>
              <w:rPr>
                <w:rFonts w:hint="eastAsia" w:ascii="仿宋" w:hAnsi="仿宋" w:eastAsia="仿宋" w:cs="仿宋"/>
                <w:color w:val="auto"/>
                <w:kern w:val="0"/>
                <w:szCs w:val="21"/>
                <w:highlight w:val="none"/>
                <w:lang w:bidi="ar"/>
              </w:rPr>
              <w:t>分析包含但不限于教学行为分析、教师轨迹分析、教师巡视分析。</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5.学生学情分析包含但不限于班级出勤率统计、学生听课率分析、学生课堂动作分析、学生动作的实时统计分析、个体观察分析、学生低头分析等维度。</w:t>
            </w:r>
          </w:p>
          <w:p w14:paraId="135A738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五、智能语音分析软件</w:t>
            </w:r>
          </w:p>
          <w:p w14:paraId="100ED0A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1.支持教师提问情况分析，实现课堂提问情况的清晰回顾；</w:t>
            </w:r>
          </w:p>
          <w:p w14:paraId="2367122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2.支持课堂语音转写，并支持由上课老师课后自主编辑转写文本实现纠偏；</w:t>
            </w:r>
          </w:p>
          <w:p w14:paraId="4430FFB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3.支持课堂高频词、语气词分析，抓取授课过程中出现的高频词汇，判断老师教学过程中出现的常规语气词出现频次，辅助老师调整教学过程中的不良习惯；</w:t>
            </w:r>
          </w:p>
          <w:p w14:paraId="26CF189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5.支持教师音量、学生音量分析，根据时间推移呈现音量波动的变化图表；</w:t>
            </w:r>
          </w:p>
          <w:p w14:paraId="71EF8EDB">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6.理答类型分析支持统计教师提问次数、抽答次数、追问次数，教师追问分析是否对学生有诱发思考的作用并统计次数；</w:t>
            </w:r>
            <w:r>
              <w:rPr>
                <w:rFonts w:hint="eastAsia" w:ascii="仿宋" w:hAnsi="仿宋" w:eastAsia="仿宋" w:cs="仿宋"/>
                <w:b/>
                <w:bCs/>
                <w:color w:val="auto"/>
                <w:kern w:val="0"/>
                <w:szCs w:val="21"/>
                <w:highlight w:val="none"/>
                <w:lang w:bidi="ar"/>
              </w:rPr>
              <w:t>（投标文件中提供功能配置界面截图并加盖投标人公章）</w:t>
            </w:r>
          </w:p>
        </w:tc>
        <w:tc>
          <w:tcPr>
            <w:tcW w:w="743" w:type="dxa"/>
            <w:vAlign w:val="center"/>
          </w:tcPr>
          <w:p w14:paraId="0E48494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062F8A2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122C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A0D17E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758" w:type="dxa"/>
            <w:vAlign w:val="center"/>
          </w:tcPr>
          <w:p w14:paraId="035A12B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高清摄像机</w:t>
            </w:r>
          </w:p>
        </w:tc>
        <w:tc>
          <w:tcPr>
            <w:tcW w:w="1037" w:type="dxa"/>
            <w:vAlign w:val="center"/>
          </w:tcPr>
          <w:p w14:paraId="318CD99D">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奥威亚、维森、现代中庆</w:t>
            </w:r>
          </w:p>
        </w:tc>
        <w:tc>
          <w:tcPr>
            <w:tcW w:w="5024" w:type="dxa"/>
            <w:vAlign w:val="center"/>
          </w:tcPr>
          <w:p w14:paraId="03851B6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一、高清云台摄像机</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1.视频输出接口：（RJ45）≥1、HDMI≥1；</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2.传感器类型：CMOS，1/2.5英寸；</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3.传感器像素：有效像素≥于800万；</w:t>
            </w:r>
          </w:p>
          <w:p w14:paraId="2479F1B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4.视频分辨率：最大可支持3840×2160并向下兼容</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5.焦距：支持自动和手动变焦，综合变焦倍数≥22倍；</w:t>
            </w:r>
          </w:p>
          <w:p w14:paraId="753A365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6.水平转动速度范围：1.0°~ 94.2°/s，垂直转动速度范围：1.0°~ 74.8°/s，水平视场角：72.0°~ 6.1°，垂直视场角：43.2°~ 3.5°；</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7.支持水平、垂直翻转；</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8.背光补偿：支持；</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9.数字降噪：2D&amp;3D数字降噪；</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10.预置位数量：≥255；</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11.接口：RS232/RS422≥1；RJ45≥1；Line in≥1；USB Type-A≥1；</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12.支持的协议类型：VISCA；</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13.编码技术：视频H.265、H.264；</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14.电源支持：支持DC12V电源适配器供电方式。</w:t>
            </w:r>
          </w:p>
          <w:p w14:paraId="5543B16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二、AI智能跟踪拍摄软件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1.摄像机管理软件采用B/S架构，支持通用浏览器直接访问进行管理；</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支持曝光模式设置功能、支持抗闪烁频率、动态范围、光圈、快门参数设置、支持自动白平衡设置功能，红、蓝增益可调、支持噪声抑制设置功能，支持2D、3D降噪、支持摄像机图像质量调节功能、支持摄像机控制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3.支持教师和学生的AI自动识别切换，根据部署位置、模式自主适配教师或学生的跟踪逻辑；</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4.支持对锁定跟拍对象进行人体与面部特征双重认证识别，在多人同时进入拍摄画面的情况下，持续锁定跟踪对象，不出现跟丢和误跟的情况；</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5.支持划分自动跟踪区域，当锁定跟踪人物走出自动跟踪区域时即停止跟踪，直到重新回到区域出现在画面中为止；</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6.支持五分像、七分像、全身像等多种教师图像跟踪画面模式，根据实际需要设置选用教师跟踪画面的大小。</w:t>
            </w:r>
          </w:p>
          <w:p w14:paraId="20F9716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7.支持在拍摄画面有显示设备或其他动态视频播放的情况下，自动启用AI抗干扰能力，保障画面始终锁定被跟踪对象，且跟踪效果不受影响。</w:t>
            </w:r>
          </w:p>
        </w:tc>
        <w:tc>
          <w:tcPr>
            <w:tcW w:w="743" w:type="dxa"/>
            <w:vAlign w:val="center"/>
          </w:tcPr>
          <w:p w14:paraId="1C7FF34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564" w:type="dxa"/>
            <w:vAlign w:val="center"/>
          </w:tcPr>
          <w:p w14:paraId="73A4BE7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5E6F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3AE9F0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58" w:type="dxa"/>
            <w:vAlign w:val="center"/>
          </w:tcPr>
          <w:p w14:paraId="6D17F22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数字音频处理器</w:t>
            </w:r>
          </w:p>
        </w:tc>
        <w:tc>
          <w:tcPr>
            <w:tcW w:w="1037" w:type="dxa"/>
            <w:vAlign w:val="center"/>
          </w:tcPr>
          <w:p w14:paraId="4AB108B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奥威亚、维森、艾力特</w:t>
            </w:r>
          </w:p>
        </w:tc>
        <w:tc>
          <w:tcPr>
            <w:tcW w:w="5024" w:type="dxa"/>
            <w:vAlign w:val="center"/>
          </w:tcPr>
          <w:p w14:paraId="04A788BB">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一、整体设计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1.48K采样率，高速DSP处理芯片。</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2.内置功放功能，支持直接对接无源扬声器进行扩音。</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3.至少支持4路模拟输入+1路立体声输入+2路无线输入；支持4路模拟输出+2路功放输出的音频信号处理。</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4.频率响应：20-20KHz。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5.THD+N：≤0.005 。</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6.动态范围：≥100dB。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7.幻象供电：支持每路独立48V幻象供电。</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8.音频处理：支持DSP音频处理功能，包含反馈消除、回声消除、噪声消除等。</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9.支持全功能矩阵混音功能。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10.支持场景预设功能，可通过场景预设切换相应配置。</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11.USB背景音乐播放与录制功能，支持通过USB接口自动读取并选择播放U盘中的MP3、WAV等格式的音频文件。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二、软件功能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1.采用C/S或B/S软件架构设计，支持对音频处理矩阵进行管理。</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2.直观、图形化软件控制界面。</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3.信道管理：提供输入输出信道的快捷控制方式，每个通道的处理器都可以快速直通和启用，选中不同的信道，会自动切换信道信息；</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4.扩展器管理：支持通过扩展器调整输入的动态范围；</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5.自动增益：支持通过改变输入输出压缩比例来自动控制增益的幅度，自动提升和压缩话筒音量，使之以恒定的电平输出；</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6.压缩器管理：支持通过压缩器减少信号高于用户确定的阈值的动态范围，信号电平低于阈值保持不变；</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7.均衡器管理：31段频点可单独调节增益，从而达到加强、削弱某些频点的目的，实现不同效果。</w:t>
            </w:r>
          </w:p>
        </w:tc>
        <w:tc>
          <w:tcPr>
            <w:tcW w:w="743" w:type="dxa"/>
            <w:vAlign w:val="center"/>
          </w:tcPr>
          <w:p w14:paraId="2A352F4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556352E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1383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301E02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758" w:type="dxa"/>
            <w:vAlign w:val="center"/>
          </w:tcPr>
          <w:p w14:paraId="7A0177A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高保真话筒</w:t>
            </w:r>
          </w:p>
        </w:tc>
        <w:tc>
          <w:tcPr>
            <w:tcW w:w="1037" w:type="dxa"/>
            <w:vAlign w:val="center"/>
          </w:tcPr>
          <w:p w14:paraId="255958E8">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奥威亚、维森、艾力特</w:t>
            </w:r>
          </w:p>
        </w:tc>
        <w:tc>
          <w:tcPr>
            <w:tcW w:w="5024" w:type="dxa"/>
            <w:vAlign w:val="center"/>
          </w:tcPr>
          <w:p w14:paraId="6FB48F13">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1.指向性：超心型</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2.频率响应：40Hz—16kHz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3.灵敏度≥-7dB±1dB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4.最大声压级≥110dB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5.信噪比≥62dB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6.动态范围≥78.5dB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7.使用电源：麦克风一线通供电</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8.输出接口：RJ45，数字音频接口</w:t>
            </w:r>
          </w:p>
        </w:tc>
        <w:tc>
          <w:tcPr>
            <w:tcW w:w="743" w:type="dxa"/>
            <w:vAlign w:val="center"/>
          </w:tcPr>
          <w:p w14:paraId="7CE1C11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564" w:type="dxa"/>
            <w:vAlign w:val="center"/>
          </w:tcPr>
          <w:p w14:paraId="7BB96C7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支</w:t>
            </w:r>
          </w:p>
        </w:tc>
      </w:tr>
      <w:tr w14:paraId="44E6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77D224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758" w:type="dxa"/>
            <w:vAlign w:val="center"/>
          </w:tcPr>
          <w:p w14:paraId="26986C4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硬件导播台</w:t>
            </w:r>
          </w:p>
        </w:tc>
        <w:tc>
          <w:tcPr>
            <w:tcW w:w="1037" w:type="dxa"/>
            <w:vAlign w:val="center"/>
          </w:tcPr>
          <w:p w14:paraId="407E0CD9">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奥威亚、维森、现代中庆</w:t>
            </w:r>
          </w:p>
        </w:tc>
        <w:tc>
          <w:tcPr>
            <w:tcW w:w="5024" w:type="dxa"/>
            <w:vAlign w:val="center"/>
          </w:tcPr>
          <w:p w14:paraId="3EBFB7C0">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 支持不少于5种特技效果。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 支持不少于6布局选择；6路视频直播切换；6个预置位；6个视频预选功能。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 支持云台控制功能：上下左右及变焦功能。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 支持录制、暂停、停止功能。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 支持全自动录播模式和手动录播模式。</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 支持通过USB线缆连接录播主机。</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 安装导播控制台软件，并设置录播地址。</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 导播界面与导播控制台按键/状态同步对应。</w:t>
            </w:r>
          </w:p>
        </w:tc>
        <w:tc>
          <w:tcPr>
            <w:tcW w:w="743" w:type="dxa"/>
            <w:vAlign w:val="center"/>
          </w:tcPr>
          <w:p w14:paraId="5BF90F3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7CC8F82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63DA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7F619C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758" w:type="dxa"/>
            <w:vAlign w:val="center"/>
          </w:tcPr>
          <w:p w14:paraId="4748C4C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壁挂式触控面板</w:t>
            </w:r>
          </w:p>
        </w:tc>
        <w:tc>
          <w:tcPr>
            <w:tcW w:w="1037" w:type="dxa"/>
            <w:vAlign w:val="center"/>
          </w:tcPr>
          <w:p w14:paraId="4DB126E9">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奥威亚、维森、现代中庆</w:t>
            </w:r>
          </w:p>
        </w:tc>
        <w:tc>
          <w:tcPr>
            <w:tcW w:w="5024" w:type="dxa"/>
            <w:vAlign w:val="center"/>
          </w:tcPr>
          <w:p w14:paraId="202E89B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1.硬件设计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1）支持壁挂式上墙部署；</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2）具备10.1英寸1280*800高清全视角显示屏幕；</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3）存储性能：缓存容量不小于2G,存储容量不小于16G；</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4）操作系统 ：Android 11及以上版本；</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5）接口类型：USB≥1， 网络接口≥1，3.5mm耳麦接口≥1，串口RS232≥1；</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2.整体设计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1）控制方式：支持通过网络连接进行录播主机的管理、控制；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2）电源管理：支持控制录播主机的关机、休眠、唤醒操作；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3）集成录课模式控制、互动模式控制、录像资源管理等控制应用；</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3.录课模式控制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1）支持通过触控面板实时预览录制信号画面，进行导播操作；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2）支持录制开始/停止、录制暂停/恢复、直播开启/关闭、电脑画面锁定/解锁等功能操作；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3）支持常用键位设置，可设置各镜头快速切换、画面布局等相关录课操作常用键位；</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4.互动模式控制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1）支持通讯录呼叫功能，读取显示录播主机通讯录，并能够通过通讯录进行快速呼叫；</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2）支持快速拨号呼叫功能，输入用户短号实现快速呼叫；</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3）支持通过触控面板实时预览互动信号画面，实现直观互动控制；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4）支持互动过程的录制、暂停、直播等操作；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5）支持互动过程的自动导播控制、互动导播画面自由选择控制功能；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5.录像资源管理控制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1）支持录像资源管理，通过导播控制软件直观呈现当前录播主机的录像资源信息，并支持选择相关的录课资源进行回放；</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2）支持录制资源下载操作，将文件下载至U盘进行移动共享。</w:t>
            </w:r>
          </w:p>
        </w:tc>
        <w:tc>
          <w:tcPr>
            <w:tcW w:w="743" w:type="dxa"/>
            <w:vAlign w:val="center"/>
          </w:tcPr>
          <w:p w14:paraId="34661FD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4CE0B70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77F1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9475BC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w:t>
            </w:r>
          </w:p>
        </w:tc>
        <w:tc>
          <w:tcPr>
            <w:tcW w:w="758" w:type="dxa"/>
            <w:vAlign w:val="center"/>
          </w:tcPr>
          <w:p w14:paraId="51980DB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录播电源管理器</w:t>
            </w:r>
          </w:p>
        </w:tc>
        <w:tc>
          <w:tcPr>
            <w:tcW w:w="1037" w:type="dxa"/>
            <w:vAlign w:val="center"/>
          </w:tcPr>
          <w:p w14:paraId="51544448">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奥威亚、维森、现代中庆</w:t>
            </w:r>
          </w:p>
        </w:tc>
        <w:tc>
          <w:tcPr>
            <w:tcW w:w="5024" w:type="dxa"/>
            <w:vAlign w:val="center"/>
          </w:tcPr>
          <w:p w14:paraId="28CC6D94">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1.支持对录播系统控制功能；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2.向录播视频系统、音频系统、显示系统提供统一的、至少八路电源管理；从而实现对录播系统的远程集中统一控制。</w:t>
            </w:r>
          </w:p>
        </w:tc>
        <w:tc>
          <w:tcPr>
            <w:tcW w:w="743" w:type="dxa"/>
            <w:vAlign w:val="center"/>
          </w:tcPr>
          <w:p w14:paraId="45947E1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6CB5079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6F13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2E2092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w:t>
            </w:r>
          </w:p>
        </w:tc>
        <w:tc>
          <w:tcPr>
            <w:tcW w:w="758" w:type="dxa"/>
            <w:vAlign w:val="center"/>
          </w:tcPr>
          <w:p w14:paraId="3485F53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讲台</w:t>
            </w:r>
          </w:p>
        </w:tc>
        <w:tc>
          <w:tcPr>
            <w:tcW w:w="1037" w:type="dxa"/>
            <w:vAlign w:val="center"/>
          </w:tcPr>
          <w:p w14:paraId="121CDC8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国产</w:t>
            </w:r>
          </w:p>
        </w:tc>
        <w:tc>
          <w:tcPr>
            <w:tcW w:w="5024" w:type="dxa"/>
            <w:vAlign w:val="center"/>
          </w:tcPr>
          <w:p w14:paraId="7844211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定制</w:t>
            </w:r>
          </w:p>
        </w:tc>
        <w:tc>
          <w:tcPr>
            <w:tcW w:w="743" w:type="dxa"/>
            <w:vAlign w:val="center"/>
          </w:tcPr>
          <w:p w14:paraId="68B5921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18B190F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只</w:t>
            </w:r>
          </w:p>
        </w:tc>
      </w:tr>
      <w:tr w14:paraId="4330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8DA73E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w:t>
            </w:r>
          </w:p>
        </w:tc>
        <w:tc>
          <w:tcPr>
            <w:tcW w:w="758" w:type="dxa"/>
            <w:vAlign w:val="center"/>
          </w:tcPr>
          <w:p w14:paraId="1F9D64F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一体机（带推拉绿板）</w:t>
            </w:r>
          </w:p>
        </w:tc>
        <w:tc>
          <w:tcPr>
            <w:tcW w:w="1037" w:type="dxa"/>
            <w:vAlign w:val="center"/>
          </w:tcPr>
          <w:p w14:paraId="74376830">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鸿合、互视达、希沃</w:t>
            </w:r>
          </w:p>
        </w:tc>
        <w:tc>
          <w:tcPr>
            <w:tcW w:w="5024" w:type="dxa"/>
            <w:vAlign w:val="center"/>
          </w:tcPr>
          <w:p w14:paraId="0CA50170">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1.整机采用UHD超高清LED液晶屏，显示尺寸≥86英寸，显示比例16:9或16:10，物理分辨率3840*2160</w:t>
            </w:r>
          </w:p>
          <w:p w14:paraId="3134CCE0">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2.采用红外触控技术，支持三系统下 Windows、Android、国产化系统下使用统下≥ 40 点同时触控及书写划线。</w:t>
            </w:r>
          </w:p>
          <w:p w14:paraId="51A48723">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3.整机具有中文标识的前置接口：≥1路HDMI接口（非转接），≥2路USB接口，≥1路Type-C接口。</w:t>
            </w:r>
          </w:p>
          <w:p w14:paraId="2FE13AC8">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4.整机后置接口：≥1路RJ45， ≥2路HDMI输入，≥2路USB接口，≥1路RS232，≥1路无线MIC输入</w:t>
            </w:r>
          </w:p>
          <w:p w14:paraId="6E98E82A">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5.整机内置超高清一体化摄像头，摄像头支持≥1800万有效像素，可输出最大分辨率5104*3864 的图片与视频，并具有工作指示灯提示。</w:t>
            </w:r>
          </w:p>
          <w:p w14:paraId="7B0F8778">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6.整机音响总额定功率≥60W</w:t>
            </w:r>
          </w:p>
          <w:p w14:paraId="1DCCFC4F">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7.整机内置蓝牙模块，蓝牙模块≥5.4标准</w:t>
            </w:r>
          </w:p>
          <w:p w14:paraId="5BF823F6">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8.整机内置 Wi-Fi6无线网卡，支持无线设备同时连接数量≥20个，支持自定义设置热点名称和密码</w:t>
            </w:r>
          </w:p>
          <w:p w14:paraId="59887639">
            <w:pP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9.采用插拔式电脑模块架构，屏体与插拔式电脑无单独接线，接口严格遵循 Intel®的 OPS-C 相关规范，针脚数为80Pin。</w:t>
            </w:r>
          </w:p>
          <w:p w14:paraId="632C4B16">
            <w:pP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10.处理器：CPU采用Intel第12代酷睿I5处理器或以上。</w:t>
            </w:r>
          </w:p>
          <w:p w14:paraId="354977CA">
            <w:pP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11.内存：8G DDR4笔记本内存或以上配置。</w:t>
            </w:r>
          </w:p>
          <w:p w14:paraId="5E855054">
            <w:pP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 xml:space="preserve">12.硬盘：256G或以上SSD </w:t>
            </w:r>
          </w:p>
          <w:p w14:paraId="3B679F73">
            <w:pP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13.内置电脑模块与整机品牌一致。为确保产品的稳定性和可靠性。</w:t>
            </w:r>
          </w:p>
        </w:tc>
        <w:tc>
          <w:tcPr>
            <w:tcW w:w="743" w:type="dxa"/>
            <w:vAlign w:val="center"/>
          </w:tcPr>
          <w:p w14:paraId="115CDF1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32E62BF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4832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415D82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w:t>
            </w:r>
          </w:p>
        </w:tc>
        <w:tc>
          <w:tcPr>
            <w:tcW w:w="758" w:type="dxa"/>
            <w:vAlign w:val="center"/>
          </w:tcPr>
          <w:p w14:paraId="1511136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实物展台</w:t>
            </w:r>
          </w:p>
        </w:tc>
        <w:tc>
          <w:tcPr>
            <w:tcW w:w="1037" w:type="dxa"/>
            <w:vAlign w:val="center"/>
          </w:tcPr>
          <w:p w14:paraId="4B23013B">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鸿合、互视达、希沃</w:t>
            </w:r>
          </w:p>
        </w:tc>
        <w:tc>
          <w:tcPr>
            <w:tcW w:w="5024" w:type="dxa"/>
            <w:vAlign w:val="center"/>
          </w:tcPr>
          <w:p w14:paraId="18F31CF6">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一、硬件参数</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 支持壁挂和台式两种安装方式，为保证产品稳定性，台式安装需与桌面牢固不晃动，托板边角采用圆弧倒角设计。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2.为保证托板表面平整性，托板采用单板结构，不接受托板表面折叠设计。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3.拍摄幅面不小于A4。</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 为保证教学过程中不受环境光和展示内容移动的影响，防止镜头频繁聚焦，图像模糊，产生眩晕感，要求采用不小于800万定焦镜头。</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 工作电压：5 V，工作电流：小于500mA</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 图像色彩：24位</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 xml:space="preserve">7. 输出格式：图片JPG，视频MP4 </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 光源： LED灯补光，支持5级调光</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9.动态视频帧率：30帧/秒（1080P）。</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10.对焦/白平衡：自动</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11.整机具有安全锁</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12.供电方式：USB供电</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13.清晰度：中心不小于1200线</w:t>
            </w:r>
          </w:p>
        </w:tc>
        <w:tc>
          <w:tcPr>
            <w:tcW w:w="743" w:type="dxa"/>
            <w:vAlign w:val="center"/>
          </w:tcPr>
          <w:p w14:paraId="41AACBC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5057826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55C0B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866042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w:t>
            </w:r>
          </w:p>
        </w:tc>
        <w:tc>
          <w:tcPr>
            <w:tcW w:w="758" w:type="dxa"/>
            <w:vAlign w:val="center"/>
          </w:tcPr>
          <w:p w14:paraId="5CBACD7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无线话筒</w:t>
            </w:r>
          </w:p>
        </w:tc>
        <w:tc>
          <w:tcPr>
            <w:tcW w:w="1037" w:type="dxa"/>
            <w:vAlign w:val="center"/>
          </w:tcPr>
          <w:p w14:paraId="05696B5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SONIC-PRO、Wharfedale、CRCUY</w:t>
            </w:r>
          </w:p>
        </w:tc>
        <w:tc>
          <w:tcPr>
            <w:tcW w:w="5024" w:type="dxa"/>
            <w:vAlign w:val="center"/>
          </w:tcPr>
          <w:p w14:paraId="38485814">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配置一头戴、一手持话筒</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采用UHF超高频段，提供多通道（32/64/99通道）选择，避免干扰</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频率范围：500MHz-980MHz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调制方式：FM</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音频响应：50Hz-15KHz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综合信噪比S/N：&gt;105dB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综合失真：≤ 0.5%</w:t>
            </w:r>
          </w:p>
        </w:tc>
        <w:tc>
          <w:tcPr>
            <w:tcW w:w="743" w:type="dxa"/>
            <w:vAlign w:val="center"/>
          </w:tcPr>
          <w:p w14:paraId="4A67BED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09106A0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3B27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E15F7A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758" w:type="dxa"/>
            <w:vAlign w:val="center"/>
          </w:tcPr>
          <w:p w14:paraId="0BCA9CB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教室功放</w:t>
            </w:r>
          </w:p>
        </w:tc>
        <w:tc>
          <w:tcPr>
            <w:tcW w:w="1037" w:type="dxa"/>
            <w:vAlign w:val="center"/>
          </w:tcPr>
          <w:p w14:paraId="76EA99D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SONIC-PRO、Wharfedale、CRCUY</w:t>
            </w:r>
          </w:p>
        </w:tc>
        <w:tc>
          <w:tcPr>
            <w:tcW w:w="5024" w:type="dxa"/>
            <w:vAlign w:val="center"/>
          </w:tcPr>
          <w:p w14:paraId="211C3E3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额定输出功率：8Ω立体声200W×2</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额定输出功率：4Ω立体声380W×2</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额定输出功率：8Ω桥接760W</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信噪比≥105dB；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保护功能：短路、限幅、直流、过热、过载、软启动；</w:t>
            </w:r>
          </w:p>
        </w:tc>
        <w:tc>
          <w:tcPr>
            <w:tcW w:w="743" w:type="dxa"/>
            <w:vAlign w:val="center"/>
          </w:tcPr>
          <w:p w14:paraId="538AD87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109EE79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52FF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8182A9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w:t>
            </w:r>
          </w:p>
        </w:tc>
        <w:tc>
          <w:tcPr>
            <w:tcW w:w="758" w:type="dxa"/>
            <w:vAlign w:val="center"/>
          </w:tcPr>
          <w:p w14:paraId="2227B33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教室音响</w:t>
            </w:r>
          </w:p>
        </w:tc>
        <w:tc>
          <w:tcPr>
            <w:tcW w:w="1037" w:type="dxa"/>
            <w:vAlign w:val="center"/>
          </w:tcPr>
          <w:p w14:paraId="6812E0D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SONIC-PRO、Wharfedale、CRCUY</w:t>
            </w:r>
          </w:p>
        </w:tc>
        <w:tc>
          <w:tcPr>
            <w:tcW w:w="5024" w:type="dxa"/>
            <w:vAlign w:val="center"/>
          </w:tcPr>
          <w:p w14:paraId="3748FAE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频率范围（-10dB）：65Hz - 18 kHz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频率响应（ ±3dB）：75Hz - 15 kHz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灵敏度 (1w@1m)：90 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额定阻抗：8Ω（8Ω档位时）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最大声压级输出 （1m）：112dB 长期最大功率（118dB峰值）（8Ω档位时）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额定功率</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（连续 / 音乐信号 / 峰值）：150W / 300W / 600W（8Ω档位时）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覆盖角：150º x 120º（H x V ）</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变压器档位： 8 Ohms，OFF， 70V（7.5W / 15W / 30W / 60W ）100V（15W / 30W / 60W ）</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插入损耗：&lt;1.0dB 任意档位设定时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低音单元：1 x 8"低音单元</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高音单元：2 x3"纸锥高音单元</w:t>
            </w:r>
          </w:p>
        </w:tc>
        <w:tc>
          <w:tcPr>
            <w:tcW w:w="743" w:type="dxa"/>
            <w:vAlign w:val="center"/>
          </w:tcPr>
          <w:p w14:paraId="05CEB62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64" w:type="dxa"/>
            <w:vAlign w:val="center"/>
          </w:tcPr>
          <w:p w14:paraId="662FCE0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只</w:t>
            </w:r>
          </w:p>
        </w:tc>
      </w:tr>
      <w:tr w14:paraId="1DCF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41391C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w:t>
            </w:r>
          </w:p>
        </w:tc>
        <w:tc>
          <w:tcPr>
            <w:tcW w:w="758" w:type="dxa"/>
            <w:vAlign w:val="center"/>
          </w:tcPr>
          <w:p w14:paraId="1DCCEB0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互动显示屏</w:t>
            </w:r>
          </w:p>
        </w:tc>
        <w:tc>
          <w:tcPr>
            <w:tcW w:w="1037" w:type="dxa"/>
            <w:vAlign w:val="center"/>
          </w:tcPr>
          <w:p w14:paraId="5960E33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TCL、创维、小米</w:t>
            </w:r>
          </w:p>
        </w:tc>
        <w:tc>
          <w:tcPr>
            <w:tcW w:w="5024" w:type="dxa"/>
            <w:vAlign w:val="center"/>
          </w:tcPr>
          <w:p w14:paraId="74F9FBB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屏幕尺寸:不低于65英寸</w:t>
            </w:r>
          </w:p>
          <w:p w14:paraId="3539840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刷新率:不低于144Hz</w:t>
            </w:r>
          </w:p>
          <w:p w14:paraId="7A8BBCF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支持护眼模式</w:t>
            </w:r>
          </w:p>
          <w:p w14:paraId="5DDD2C3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WIFI频段：2.4G&amp;5G</w:t>
            </w:r>
          </w:p>
          <w:p w14:paraId="08F5335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屏占比：≥97%</w:t>
            </w:r>
          </w:p>
          <w:p w14:paraId="41BF346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屏幕分辨率：超高清4K</w:t>
            </w:r>
          </w:p>
          <w:p w14:paraId="5F4AE65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响应时间：不高于6.5ms</w:t>
            </w:r>
          </w:p>
          <w:p w14:paraId="57730F3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亮度：不低于300尼特</w:t>
            </w:r>
          </w:p>
          <w:p w14:paraId="741B7DA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含安装支架</w:t>
            </w:r>
          </w:p>
        </w:tc>
        <w:tc>
          <w:tcPr>
            <w:tcW w:w="743" w:type="dxa"/>
            <w:vAlign w:val="center"/>
          </w:tcPr>
          <w:p w14:paraId="5DAF82B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3136C92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2874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0E3E4F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w:t>
            </w:r>
          </w:p>
        </w:tc>
        <w:tc>
          <w:tcPr>
            <w:tcW w:w="758" w:type="dxa"/>
            <w:vAlign w:val="center"/>
          </w:tcPr>
          <w:p w14:paraId="01D4524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导播监视器</w:t>
            </w:r>
          </w:p>
        </w:tc>
        <w:tc>
          <w:tcPr>
            <w:tcW w:w="1037" w:type="dxa"/>
            <w:vAlign w:val="center"/>
          </w:tcPr>
          <w:p w14:paraId="4965CA4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三星、飞利浦、戴尔</w:t>
            </w:r>
          </w:p>
        </w:tc>
        <w:tc>
          <w:tcPr>
            <w:tcW w:w="5024" w:type="dxa"/>
            <w:vAlign w:val="center"/>
          </w:tcPr>
          <w:p w14:paraId="610F01F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对比度：不低于1000:1</w:t>
            </w:r>
          </w:p>
          <w:p w14:paraId="17CBDD6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响应时间：不高于5ms</w:t>
            </w:r>
          </w:p>
          <w:p w14:paraId="02F90BB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屏幕刷新率：不低于120Hz</w:t>
            </w:r>
          </w:p>
          <w:p w14:paraId="274227E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分辨率：不低于1920*1080</w:t>
            </w:r>
          </w:p>
          <w:p w14:paraId="3002391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屏幕尺寸：不低于23.8英寸</w:t>
            </w:r>
          </w:p>
          <w:p w14:paraId="605411B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亮度：不低于250cd/㎡</w:t>
            </w:r>
          </w:p>
          <w:p w14:paraId="1438CA2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支持IPS防蓝光</w:t>
            </w:r>
          </w:p>
        </w:tc>
        <w:tc>
          <w:tcPr>
            <w:tcW w:w="743" w:type="dxa"/>
            <w:vAlign w:val="center"/>
          </w:tcPr>
          <w:p w14:paraId="61B06C9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4842098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3BAF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E3F7F5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w:t>
            </w:r>
          </w:p>
        </w:tc>
        <w:tc>
          <w:tcPr>
            <w:tcW w:w="758" w:type="dxa"/>
            <w:vAlign w:val="center"/>
          </w:tcPr>
          <w:p w14:paraId="0503D87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无线键鼠</w:t>
            </w:r>
          </w:p>
        </w:tc>
        <w:tc>
          <w:tcPr>
            <w:tcW w:w="1037" w:type="dxa"/>
            <w:vAlign w:val="center"/>
          </w:tcPr>
          <w:p w14:paraId="7F94DE44">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国产</w:t>
            </w:r>
          </w:p>
        </w:tc>
        <w:tc>
          <w:tcPr>
            <w:tcW w:w="5024" w:type="dxa"/>
            <w:vAlign w:val="center"/>
          </w:tcPr>
          <w:p w14:paraId="0D1FD303">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配套</w:t>
            </w:r>
          </w:p>
        </w:tc>
        <w:tc>
          <w:tcPr>
            <w:tcW w:w="743" w:type="dxa"/>
            <w:vAlign w:val="center"/>
          </w:tcPr>
          <w:p w14:paraId="18EEDAC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1E4AEE9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16DE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26AAB1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17</w:t>
            </w:r>
          </w:p>
        </w:tc>
        <w:tc>
          <w:tcPr>
            <w:tcW w:w="758" w:type="dxa"/>
            <w:vAlign w:val="center"/>
          </w:tcPr>
          <w:p w14:paraId="31338A0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交换机</w:t>
            </w:r>
          </w:p>
        </w:tc>
        <w:tc>
          <w:tcPr>
            <w:tcW w:w="1037" w:type="dxa"/>
            <w:vAlign w:val="center"/>
          </w:tcPr>
          <w:p w14:paraId="2142BFC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国产</w:t>
            </w:r>
          </w:p>
        </w:tc>
        <w:tc>
          <w:tcPr>
            <w:tcW w:w="5024" w:type="dxa"/>
            <w:vAlign w:val="center"/>
          </w:tcPr>
          <w:p w14:paraId="18C4069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8个10/100/1000M自适应电口</w:t>
            </w:r>
          </w:p>
        </w:tc>
        <w:tc>
          <w:tcPr>
            <w:tcW w:w="743" w:type="dxa"/>
            <w:vAlign w:val="center"/>
          </w:tcPr>
          <w:p w14:paraId="333DABC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5FF3610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780F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C1B6F6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18</w:t>
            </w:r>
          </w:p>
        </w:tc>
        <w:tc>
          <w:tcPr>
            <w:tcW w:w="758" w:type="dxa"/>
            <w:vAlign w:val="center"/>
          </w:tcPr>
          <w:p w14:paraId="738D242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机柜</w:t>
            </w:r>
          </w:p>
        </w:tc>
        <w:tc>
          <w:tcPr>
            <w:tcW w:w="1037" w:type="dxa"/>
            <w:vAlign w:val="center"/>
          </w:tcPr>
          <w:p w14:paraId="08B090F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国产</w:t>
            </w:r>
          </w:p>
        </w:tc>
        <w:tc>
          <w:tcPr>
            <w:tcW w:w="5024" w:type="dxa"/>
            <w:vAlign w:val="center"/>
          </w:tcPr>
          <w:p w14:paraId="78B5E80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600*600*1200，镀锌钢板</w:t>
            </w:r>
          </w:p>
        </w:tc>
        <w:tc>
          <w:tcPr>
            <w:tcW w:w="743" w:type="dxa"/>
            <w:vAlign w:val="center"/>
          </w:tcPr>
          <w:p w14:paraId="759383B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3731441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只</w:t>
            </w:r>
          </w:p>
        </w:tc>
      </w:tr>
      <w:tr w14:paraId="35B3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7A283E1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19</w:t>
            </w:r>
          </w:p>
        </w:tc>
        <w:tc>
          <w:tcPr>
            <w:tcW w:w="758" w:type="dxa"/>
            <w:vAlign w:val="center"/>
          </w:tcPr>
          <w:p w14:paraId="74E3DE6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单色LED显示屏</w:t>
            </w:r>
          </w:p>
        </w:tc>
        <w:tc>
          <w:tcPr>
            <w:tcW w:w="1037" w:type="dxa"/>
            <w:vAlign w:val="center"/>
          </w:tcPr>
          <w:p w14:paraId="64D94AE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强力巨彩、京东方、洲明</w:t>
            </w:r>
          </w:p>
        </w:tc>
        <w:tc>
          <w:tcPr>
            <w:tcW w:w="5024" w:type="dxa"/>
            <w:vAlign w:val="center"/>
          </w:tcPr>
          <w:p w14:paraId="7F1C30A6">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显示屏尺寸：3.952m*0.304m=1.2平方</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1、像素点间距≤4.75mm</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 xml:space="preserve">2、整屏平整度≤0.01mm，模组平整度≤0.01mm，拼接缝≤0.01mm </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3、亮度≥500Cd/m²</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4、亮度均匀性≥98%</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5、刷新率达到≥960Hz，对比度≥6000：1</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6、像素失控率&lt;0.01%</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7、发光点中心偏距＜0.8%，反光率≤1%，衰减率≤10%（工作3年）</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8、画面延时≤500ns（纳秒级）</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9、噪声1m范围内，测试4个位置（前后左右）噪音不大于2dB，信噪比≥47dB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10、峰值功耗≤300W/m² 平均功耗≤90W/m²</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11、漏电流≤0.5mA</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12、机械强度≥30Mpa</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13、抗拉强度≥230Mpa</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14、屈服强度≥170Mpa</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15、产品采用高端芯片，可智能调节正常工作与睡眠状态下的节能效果（动态节能，智能息屏），开启节能功能比没有开启节能45%以上</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16、具备SELV电路</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17、人眼视觉舒适度VICO指数≤1</w:t>
            </w:r>
          </w:p>
        </w:tc>
        <w:tc>
          <w:tcPr>
            <w:tcW w:w="743" w:type="dxa"/>
            <w:vAlign w:val="center"/>
          </w:tcPr>
          <w:p w14:paraId="7783463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022A8EC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6CF2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E82260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20</w:t>
            </w:r>
          </w:p>
        </w:tc>
        <w:tc>
          <w:tcPr>
            <w:tcW w:w="758" w:type="dxa"/>
            <w:vAlign w:val="center"/>
          </w:tcPr>
          <w:p w14:paraId="71F9369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附件及线材</w:t>
            </w:r>
          </w:p>
        </w:tc>
        <w:tc>
          <w:tcPr>
            <w:tcW w:w="1037" w:type="dxa"/>
            <w:vAlign w:val="center"/>
          </w:tcPr>
          <w:p w14:paraId="00AF9E6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国产</w:t>
            </w:r>
          </w:p>
        </w:tc>
        <w:tc>
          <w:tcPr>
            <w:tcW w:w="5024" w:type="dxa"/>
            <w:vAlign w:val="center"/>
          </w:tcPr>
          <w:p w14:paraId="6C5D097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定制</w:t>
            </w:r>
          </w:p>
        </w:tc>
        <w:tc>
          <w:tcPr>
            <w:tcW w:w="743" w:type="dxa"/>
            <w:vAlign w:val="center"/>
          </w:tcPr>
          <w:p w14:paraId="48412CF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0765F19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批</w:t>
            </w:r>
          </w:p>
        </w:tc>
      </w:tr>
      <w:tr w14:paraId="1D95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1E938D04">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精品录播教室（二）含观摩室</w:t>
            </w:r>
          </w:p>
        </w:tc>
      </w:tr>
      <w:tr w14:paraId="05AB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EEBEE5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758" w:type="dxa"/>
            <w:vAlign w:val="center"/>
          </w:tcPr>
          <w:p w14:paraId="0C23DCB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高清录播主机</w:t>
            </w:r>
          </w:p>
        </w:tc>
        <w:tc>
          <w:tcPr>
            <w:tcW w:w="1037" w:type="dxa"/>
            <w:vAlign w:val="center"/>
          </w:tcPr>
          <w:p w14:paraId="56D7598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奥威亚、维森、现代中庆</w:t>
            </w:r>
          </w:p>
        </w:tc>
        <w:tc>
          <w:tcPr>
            <w:tcW w:w="5024" w:type="dxa"/>
            <w:vAlign w:val="center"/>
          </w:tcPr>
          <w:p w14:paraId="1E91A1D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一、整体设计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1.主机采用低功耗，标准1U机架式设计；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2.功能同时具备录制、导播、存储、点播、互动、课堂分析等，算力集成GPU与NPU协同处理器，CPU核心数≥8，核心主频≥2.6GHz保障应用性能。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3.主机支持≥4路摄像机信号输入和≥1路HDMI信号输入，共≥4路高清视频数字视频信号同步采集，具备声画同步机制，实现≤150ms声画同步差异；</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4.主机支持数字音频≥6路输入，≥2路线性音频输入，≥2路线性音频输出，支持回声抑制、增益、噪声抑制与音频均衡功能；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5.主机支持≥1路控制接口，≥1路USB 接口；</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6.主机兼容标准视频编解码能力，以及音频编解码协议标准，且内置音频处理功能；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7.主机具备标准网络自适应接口；</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8.存储容量≥1TB，用于录制视频文件的本地存储；</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9.可提供师生视频分析，数据包括但不限于行为数据、语音表达数据；</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10.支持系统软件版本管理，提供多种升级方式，且支持导出和导入系统配置文件；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11.支持定时休眠唤醒功能；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12.主机具备通过USB口直接输出音视频信号的能力，实现便捷的视频会议软件接入；</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13.内置AI分析模块，提供分析、统计、展示等功能；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14.支持扩展智能识别教师板书书写行为，智能识别书写笔迹增强并可虚拟化去除人为遮挡。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15.支持基于AI技术的板书笔迹智能色彩增强处理，满足白色、黄色、蓝色、红色、绿色等不同颜色的彩色笔迹色彩还原与笔迹增强。</w:t>
            </w:r>
          </w:p>
          <w:p w14:paraId="53F9EE1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二、流媒体处理软件：</w:t>
            </w:r>
          </w:p>
          <w:p w14:paraId="362F2140">
            <w:pPr>
              <w:widowControl/>
              <w:numPr>
                <w:ilvl w:val="0"/>
                <w:numId w:val="2"/>
              </w:numPr>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支持B/S软件架构，通过PC浏览器访问录播主机导播界面，并支持手动导播模式下点击预览画面窗口进行录制画面切换，主机出厂时内置流媒体处理软件以实现各个模块的功能应用；</w:t>
            </w:r>
          </w:p>
          <w:p w14:paraId="491B5FA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2.支持全自动、半自动、手动三种导播模式，并支持录制过程中任意切换导播模式；</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3.录播主机支持1080P高清分辨率录制，以MP4视频格式封装，自动存储；4.支持录制高清标清质量选择，并支持自定义录制分辨率、帧率、码率等参数；</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5.支持对录播主机任意线性音频输入通道做单独配置；支持一键静音功能；支持对录制、互动两个使用场景分别独立配置音频设置参数；</w:t>
            </w:r>
          </w:p>
          <w:p w14:paraId="3A3072F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6.支持RTMP, RTSP, RTP、TS等流媒体直播协议，多路RTMP同步推流直播；7.支持自定义直播分辨率和码率，以适应不同网络环境下保持直播的流畅性；</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8.支持主讲端在互动过程中对其余互动参与者的发言权限进行控制；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9.支持1080P@30fps的高清互动画质，且支持设置互动码流，并支持基于SVC技术实现在不同网络状况下的画面质量自适应；</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10.支持呼叫自动应答与勾选手动应答两种方式，以满足在课堂场景下听讲端的自动入会，以及接收到互动申请自主选择是否加入会议的情况。</w:t>
            </w:r>
          </w:p>
          <w:p w14:paraId="6FB8230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11.支持对录制视频按多种方式进行排序，提供录像文件进行回放和下载；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12.支持硬盘格式化功能，支持对设备异常断电、宕机造成的损坏视频文件进行修复；</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13.要求软件在出厂时内嵌于录播主机中，且应具备自主知识产权；</w:t>
            </w:r>
          </w:p>
          <w:p w14:paraId="0624E2E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三、AI智能跟踪数据分析处理软件</w:t>
            </w:r>
          </w:p>
          <w:p w14:paraId="50221255">
            <w:pPr>
              <w:widowControl/>
              <w:numPr>
                <w:ilvl w:val="0"/>
                <w:numId w:val="3"/>
              </w:numPr>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支持智能识别接入摄像机的使用定位，并联动摄像机选用对应的教师跟踪、学生跟踪等；</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2.支持对接入摄像机的AI跟踪检测区域设置；</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3.支持根据设定实现多路接入摄像机的全自动AI跟踪画面切换；</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4.支持自定义跟踪切换逻辑的画面布局，包含但不限于双分屏、画中画与自定义布局等。</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4.支持对接入摄像机自定义设置AI跟踪目标更新周期时间，摄像机依据配置实现相应跟踪策略；</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5.支持设置摄像机拍摄画面的智能构图，支持人像不同比例构图方式；</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6.基于AI人工智能跟踪算法，实现教师识别、教师移动跟拍、教师轨迹识别以及学生上台识别、板书行为识别、单人与多人起立识别等教学焦点进行自动捕捉与切换；</w:t>
            </w:r>
          </w:p>
          <w:p w14:paraId="4626333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四、智能课堂行为分析软件</w:t>
            </w:r>
          </w:p>
          <w:p w14:paraId="42880493">
            <w:pPr>
              <w:widowControl/>
              <w:jc w:val="left"/>
              <w:textAlignment w:val="center"/>
              <w:rPr>
                <w:rStyle w:val="314"/>
                <w:rFonts w:hint="eastAsia" w:ascii="仿宋" w:hAnsi="仿宋" w:eastAsia="仿宋" w:cs="仿宋"/>
                <w:color w:val="auto"/>
                <w:sz w:val="21"/>
                <w:szCs w:val="21"/>
                <w:highlight w:val="none"/>
                <w:lang w:bidi="ar"/>
              </w:rPr>
            </w:pPr>
            <w:r>
              <w:rPr>
                <w:rFonts w:hint="eastAsia" w:ascii="仿宋" w:hAnsi="仿宋" w:eastAsia="仿宋" w:cs="仿宋"/>
                <w:color w:val="auto"/>
                <w:szCs w:val="21"/>
                <w:highlight w:val="none"/>
                <w:lang w:bidi="ar"/>
              </w:rPr>
              <w:t>1.</w:t>
            </w:r>
            <w:r>
              <w:rPr>
                <w:rStyle w:val="314"/>
                <w:rFonts w:hint="eastAsia" w:ascii="仿宋" w:hAnsi="仿宋" w:eastAsia="仿宋" w:cs="仿宋"/>
                <w:color w:val="auto"/>
                <w:sz w:val="21"/>
                <w:szCs w:val="21"/>
                <w:highlight w:val="none"/>
                <w:lang w:bidi="ar"/>
              </w:rPr>
              <w:t>边缘计算：配套高清录播主机，实现视频数据分析；同时支持将数据通过录播管理平台进行分析结果数据展示，后续不会产生额外的云服务费用。</w:t>
            </w:r>
          </w:p>
          <w:p w14:paraId="77244055">
            <w:pPr>
              <w:widowControl/>
              <w:jc w:val="left"/>
              <w:textAlignment w:val="center"/>
              <w:rPr>
                <w:rFonts w:hint="eastAsia" w:ascii="仿宋" w:hAnsi="仿宋" w:eastAsia="仿宋" w:cs="仿宋"/>
                <w:color w:val="auto"/>
                <w:kern w:val="0"/>
                <w:szCs w:val="21"/>
                <w:highlight w:val="none"/>
                <w:lang w:bidi="ar"/>
              </w:rPr>
            </w:pPr>
            <w:r>
              <w:rPr>
                <w:rStyle w:val="314"/>
                <w:rFonts w:hint="eastAsia" w:ascii="仿宋" w:hAnsi="仿宋" w:eastAsia="仿宋" w:cs="仿宋"/>
                <w:color w:val="auto"/>
                <w:sz w:val="21"/>
                <w:szCs w:val="21"/>
                <w:highlight w:val="none"/>
                <w:lang w:bidi="ar"/>
              </w:rPr>
              <w:t>2.</w:t>
            </w:r>
            <w:r>
              <w:rPr>
                <w:rFonts w:hint="eastAsia" w:ascii="仿宋" w:hAnsi="仿宋" w:eastAsia="仿宋" w:cs="仿宋"/>
                <w:color w:val="auto"/>
                <w:kern w:val="0"/>
                <w:szCs w:val="21"/>
                <w:highlight w:val="none"/>
                <w:lang w:bidi="ar"/>
              </w:rPr>
              <w:t>多维分析：支持对课堂数据进行综合多维度的分析，包括师生语音及视觉行为、姿态和感情等多维度多类型分析数据板块；</w:t>
            </w:r>
            <w:r>
              <w:rPr>
                <w:rStyle w:val="314"/>
                <w:rFonts w:hint="eastAsia" w:ascii="仿宋" w:hAnsi="仿宋" w:eastAsia="仿宋" w:cs="仿宋"/>
                <w:color w:val="auto"/>
                <w:sz w:val="21"/>
                <w:szCs w:val="21"/>
                <w:highlight w:val="none"/>
                <w:lang w:bidi="ar"/>
              </w:rPr>
              <w:br w:type="textWrapping"/>
            </w:r>
            <w:r>
              <w:rPr>
                <w:rStyle w:val="314"/>
                <w:rFonts w:hint="eastAsia" w:ascii="仿宋" w:hAnsi="仿宋" w:eastAsia="仿宋" w:cs="仿宋"/>
                <w:color w:val="auto"/>
                <w:sz w:val="21"/>
                <w:szCs w:val="21"/>
                <w:highlight w:val="none"/>
                <w:lang w:bidi="ar"/>
              </w:rPr>
              <w:t>3.</w:t>
            </w:r>
            <w:r>
              <w:rPr>
                <w:rFonts w:hint="eastAsia" w:ascii="仿宋" w:hAnsi="仿宋" w:eastAsia="仿宋" w:cs="仿宋"/>
                <w:color w:val="auto"/>
                <w:kern w:val="0"/>
                <w:szCs w:val="21"/>
                <w:highlight w:val="none"/>
                <w:lang w:bidi="ar"/>
              </w:rPr>
              <w:t>实时分析：支持对师生行为等维度数据进行实时统计分析，并且能在课程录制结束后3分钟快速将数据整合建模生成分析报告；</w:t>
            </w:r>
          </w:p>
          <w:p w14:paraId="44C50147">
            <w:pPr>
              <w:widowControl/>
              <w:jc w:val="left"/>
              <w:textAlignment w:val="center"/>
              <w:rPr>
                <w:rStyle w:val="314"/>
                <w:rFonts w:hint="eastAsia" w:ascii="仿宋" w:hAnsi="仿宋" w:eastAsia="仿宋" w:cs="仿宋"/>
                <w:color w:val="auto"/>
                <w:sz w:val="21"/>
                <w:szCs w:val="21"/>
                <w:highlight w:val="none"/>
                <w:lang w:bidi="ar"/>
              </w:rPr>
            </w:pPr>
            <w:r>
              <w:rPr>
                <w:rStyle w:val="314"/>
                <w:rFonts w:hint="eastAsia" w:ascii="仿宋" w:hAnsi="仿宋" w:eastAsia="仿宋" w:cs="仿宋"/>
                <w:color w:val="auto"/>
                <w:sz w:val="21"/>
                <w:szCs w:val="21"/>
                <w:highlight w:val="none"/>
                <w:lang w:bidi="ar"/>
              </w:rPr>
              <w:t>4.教师教情</w:t>
            </w:r>
            <w:r>
              <w:rPr>
                <w:rFonts w:hint="eastAsia" w:ascii="仿宋" w:hAnsi="仿宋" w:eastAsia="仿宋" w:cs="仿宋"/>
                <w:color w:val="auto"/>
                <w:kern w:val="0"/>
                <w:szCs w:val="21"/>
                <w:highlight w:val="none"/>
                <w:lang w:bidi="ar"/>
              </w:rPr>
              <w:t>分析包含但不限于教学行为分析、教师轨迹分析、教师巡视分析。</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5.学生学情分析包含但不限于班级出勤率统计、学生听课率分析、学生课堂动作分析、学生动作的实时统计分析、个体观察分析、学生低头分析等维度。</w:t>
            </w:r>
          </w:p>
          <w:p w14:paraId="54CED92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五、智能语音分析软件</w:t>
            </w:r>
          </w:p>
          <w:p w14:paraId="1E6CCD1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1.支持教师提问情况分析，实现课堂提问情况的清晰回顾；</w:t>
            </w:r>
          </w:p>
          <w:p w14:paraId="4F058A4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2.支持课堂语音转写，并支持由上课老师课后自主编辑转写文本实现纠偏；</w:t>
            </w:r>
          </w:p>
          <w:p w14:paraId="2295CCB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3.支持课堂高频词、语气词分析，抓取授课过程中出现的高频词汇，判断老师教学过程中出现的常规语气词出现频次，辅助老师调整教学过程中的不良习惯；</w:t>
            </w:r>
          </w:p>
          <w:p w14:paraId="67DB279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5.支持教师音量、学生音量分析，根据时间推移呈现音量波动的变化图表；</w:t>
            </w:r>
          </w:p>
          <w:p w14:paraId="5D8A1AD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6.理答类型分析支持统计教师提问次数、抽答次数、追问次数，教师追问分析是否对学生有诱发思考的作用并统计次数；</w:t>
            </w:r>
          </w:p>
        </w:tc>
        <w:tc>
          <w:tcPr>
            <w:tcW w:w="743" w:type="dxa"/>
            <w:vAlign w:val="center"/>
          </w:tcPr>
          <w:p w14:paraId="1634FEF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0A26983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1E3D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C394C4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758" w:type="dxa"/>
            <w:vAlign w:val="center"/>
          </w:tcPr>
          <w:p w14:paraId="0D2FC92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高清摄像机</w:t>
            </w:r>
          </w:p>
        </w:tc>
        <w:tc>
          <w:tcPr>
            <w:tcW w:w="1037" w:type="dxa"/>
            <w:vAlign w:val="center"/>
          </w:tcPr>
          <w:p w14:paraId="7D44F86A">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奥威亚、维森、现代中庆</w:t>
            </w:r>
          </w:p>
        </w:tc>
        <w:tc>
          <w:tcPr>
            <w:tcW w:w="5024" w:type="dxa"/>
            <w:vAlign w:val="center"/>
          </w:tcPr>
          <w:p w14:paraId="59FB087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一、高清云台摄像机</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1.视频输出接口：（RJ45）≥1、HDMI≥1；</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2.传感器类型：CMOS，1/2.5英寸；</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3.传感器像素：有效像素≥于800万；</w:t>
            </w:r>
          </w:p>
          <w:p w14:paraId="0E81D21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4.视频分辨率：最大可支持3840×2160并向下兼容</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5.焦距：支持自动和手动变焦，综合变焦倍数≥22倍；</w:t>
            </w:r>
          </w:p>
          <w:p w14:paraId="2564BF8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6.水平转动速度范围：1.0°~ 94.2°/s，垂直转动速度范围：1.0°~ 74.8°/s，水平视场角：72.0°~ 6.1°，垂直视场角：43.2°~ 3.5°；</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7.支持水平、垂直翻转；</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8.背光补偿：支持；</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9.数字降噪：2D&amp;3D数字降噪；</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10.预置位数量：≥255；</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11.接口：RS232/RS422≥1；RJ45≥1；Line in≥1；USB Type-A≥1；</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12.支持的协议类型：VISCA；</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13.编码技术：视频H.265、H.264；</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14.电源支持：支持DC12V电源适配器供电方式。</w:t>
            </w:r>
          </w:p>
          <w:p w14:paraId="2514605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二、AI智能跟踪拍摄软件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1.摄像机管理软件采用B/S架构，支持通用浏览器直接访问进行管理；</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支持曝光模式设置功能、支持抗闪烁频率、动态范围、光圈、快门参数设置、支持自动白平衡设置功能，红、蓝增益可调、支持噪声抑制设置功能，支持2D、3D降噪、支持摄像机图像质量调节功能、支持摄像机控制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3.支持教师和学生的AI自动识别切换，根据部署位置、模式自主适配教师或学生的跟踪逻辑；</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4.支持对锁定跟拍对象进行人体与面部特征双重认证识别，在多人同时进入拍摄画面的情况下，持续锁定跟踪对象，不出现跟丢和误跟的情况；</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5.支持划分自动跟踪区域，当锁定跟踪人物走出自动跟踪区域时即停止跟踪，直到重新回到区域出现在画面中为止；</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6.支持五分像、七分像、全身像等多种教师图像跟踪画面模式，根据实际需要设置选用教师跟踪画面的大小。</w:t>
            </w:r>
          </w:p>
          <w:p w14:paraId="19C1536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7.支持在拍摄画面有显示设备或其他动态视频播放的情况下，自动启用AI抗干扰能力，保障画面始终锁定被跟踪对象，且跟踪效果不受影响。</w:t>
            </w:r>
          </w:p>
        </w:tc>
        <w:tc>
          <w:tcPr>
            <w:tcW w:w="743" w:type="dxa"/>
            <w:vAlign w:val="center"/>
          </w:tcPr>
          <w:p w14:paraId="28A8A5A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564" w:type="dxa"/>
            <w:vAlign w:val="center"/>
          </w:tcPr>
          <w:p w14:paraId="68E7C35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1837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986D89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58" w:type="dxa"/>
            <w:vAlign w:val="center"/>
          </w:tcPr>
          <w:p w14:paraId="5530ACD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数字音频处理器</w:t>
            </w:r>
          </w:p>
        </w:tc>
        <w:tc>
          <w:tcPr>
            <w:tcW w:w="1037" w:type="dxa"/>
            <w:vAlign w:val="center"/>
          </w:tcPr>
          <w:p w14:paraId="4762A71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奥威亚、维森、艾力特</w:t>
            </w:r>
          </w:p>
        </w:tc>
        <w:tc>
          <w:tcPr>
            <w:tcW w:w="5024" w:type="dxa"/>
            <w:vAlign w:val="center"/>
          </w:tcPr>
          <w:p w14:paraId="2EB0FD0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一、整体设计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1.48K采样率，高速DSP处理芯片。</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2.内置功放功能，支持直接对接无源扬声器进行扩音。</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3.至少支持4路模拟输入+1路立体声输入+2路无线输入；支持4路模拟输出+2路功放输出的音频信号处理。</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4.频率响应：20-20KHz。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5.THD+N：≤0.005 。</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6.动态范围：≥100dB。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7.幻象供电：支持每路独立48V幻象供电。</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8.音频处理：支持DSP音频处理功能，包含反馈消除、回声消除、噪声消除等。</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9.支持全功能矩阵混音功能。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10.支持场景预设功能，可通过场景预设切换相应配置。</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11.USB背景音乐播放与录制功能，支持通过USB接口自动读取并选择播放U盘中的MP3、WAV等格式的音频文件。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二、软件功能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1.采用C/S或B/S软件架构设计，支持对音频处理矩阵进行管理。</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2.直观、图形化软件控制界面。</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3.信道管理：提供输入输出信道的快捷控制方式，每个通道的处理器都可以快速直通和启用，选中不同的信道，会自动切换信道信息；</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4.扩展器管理：支持通过扩展器调整输入的动态范围；</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5.自动增益：支持通过改变输入输出压缩比例来自动控制增益的幅度，自动提升和压缩话筒音量，使之以恒定的电平输出；</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6.压缩器管理：支持通过压缩器减少信号高于用户确定的阈值的动态范围，信号电平低于阈值保持不变；</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7.均衡器管理：31段频点可单独调节增益，从而达到加强、削弱某些频点的目的，实现不同效果。</w:t>
            </w:r>
          </w:p>
        </w:tc>
        <w:tc>
          <w:tcPr>
            <w:tcW w:w="743" w:type="dxa"/>
            <w:vAlign w:val="center"/>
          </w:tcPr>
          <w:p w14:paraId="56E840B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2708D09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7332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684DB4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758" w:type="dxa"/>
            <w:vAlign w:val="center"/>
          </w:tcPr>
          <w:p w14:paraId="51DDE8F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高保真话筒</w:t>
            </w:r>
          </w:p>
        </w:tc>
        <w:tc>
          <w:tcPr>
            <w:tcW w:w="1037" w:type="dxa"/>
            <w:vAlign w:val="center"/>
          </w:tcPr>
          <w:p w14:paraId="4940582D">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奥威亚、维森、艾力特</w:t>
            </w:r>
          </w:p>
        </w:tc>
        <w:tc>
          <w:tcPr>
            <w:tcW w:w="5024" w:type="dxa"/>
            <w:vAlign w:val="center"/>
          </w:tcPr>
          <w:p w14:paraId="4483928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1.指向性：超心型</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2.频率响应：40Hz—16kHz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3.灵敏度≥-7dB±1dB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4.最大声压级≥110dB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5.信噪比≥62dB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6.动态范围≥78.5dB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7.使用电源：麦克风一线通供电</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8.输出接口：RJ45，数字音频接口</w:t>
            </w:r>
          </w:p>
        </w:tc>
        <w:tc>
          <w:tcPr>
            <w:tcW w:w="743" w:type="dxa"/>
            <w:vAlign w:val="center"/>
          </w:tcPr>
          <w:p w14:paraId="06986F1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564" w:type="dxa"/>
            <w:vAlign w:val="center"/>
          </w:tcPr>
          <w:p w14:paraId="20EB052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支</w:t>
            </w:r>
          </w:p>
        </w:tc>
      </w:tr>
      <w:tr w14:paraId="14FB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A3A6A5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758" w:type="dxa"/>
            <w:vAlign w:val="center"/>
          </w:tcPr>
          <w:p w14:paraId="5E0DCBB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硬件导播台</w:t>
            </w:r>
          </w:p>
        </w:tc>
        <w:tc>
          <w:tcPr>
            <w:tcW w:w="1037" w:type="dxa"/>
            <w:vAlign w:val="center"/>
          </w:tcPr>
          <w:p w14:paraId="524C2176">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奥威亚、维森、现代中庆</w:t>
            </w:r>
          </w:p>
        </w:tc>
        <w:tc>
          <w:tcPr>
            <w:tcW w:w="5024" w:type="dxa"/>
            <w:vAlign w:val="center"/>
          </w:tcPr>
          <w:p w14:paraId="4DAC95B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 支持不少于5种特技效果。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 支持不少于6布局选择；6路视频直播切换；6个预置位；6个视频预选功能。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 支持云台控制功能：上下左右及变焦功能。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 支持录制、暂停、停止功能。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 支持全自动录播模式和手动录播模式。</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 支持通过USB线缆连接录播主机。</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 安装导播控制台软件，并设置录播地址。</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 导播界面与导播控制台按键/状态同步对应。</w:t>
            </w:r>
          </w:p>
        </w:tc>
        <w:tc>
          <w:tcPr>
            <w:tcW w:w="743" w:type="dxa"/>
            <w:vAlign w:val="center"/>
          </w:tcPr>
          <w:p w14:paraId="70F966B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2AE7AD9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51C5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790334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758" w:type="dxa"/>
            <w:vAlign w:val="center"/>
          </w:tcPr>
          <w:p w14:paraId="420D017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壁挂式触控面板</w:t>
            </w:r>
          </w:p>
        </w:tc>
        <w:tc>
          <w:tcPr>
            <w:tcW w:w="1037" w:type="dxa"/>
            <w:vAlign w:val="center"/>
          </w:tcPr>
          <w:p w14:paraId="07FD182F">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奥威亚、维森、现代中庆</w:t>
            </w:r>
          </w:p>
        </w:tc>
        <w:tc>
          <w:tcPr>
            <w:tcW w:w="5024" w:type="dxa"/>
            <w:vAlign w:val="center"/>
          </w:tcPr>
          <w:p w14:paraId="1395652B">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1.硬件设计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1）支持壁挂式上墙部署；</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2）具备10.1英寸1280*800高清全视角显示屏幕；</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3）存储性能：缓存容量不小于2G,存储容量不小于16G；</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4）操作系统 ：Android 11及以上版本；</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5）接口类型：USB≥1， 网络接口≥1，3.5mm耳麦接口≥1，串口RS232≥1；</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2.整体设计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1）控制方式：支持通过网络连接进行录播主机的管理、控制；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2）电源管理：支持控制录播主机的关机、休眠、唤醒操作；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3）集成录课模式控制、互动模式控制、录像资源管理等控制应用；</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3.录课模式控制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1）支持通过触控面板实时预览录制信号画面，进行导播操作；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2）支持录制开始/停止、录制暂停/恢复、直播开启/关闭、电脑画面锁定/解锁等功能操作；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3）支持常用键位设置，可设置各镜头快速切换、画面布局等相关录课操作常用键位；</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4.互动模式控制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1）支持通讯录呼叫功能，读取显示录播主机通讯录，并能够通过通讯录进行快速呼叫；</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2）支持快速拨号呼叫功能，输入用户短号实现快速呼叫；</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3）支持通过触控面板实时预览互动信号画面，实现直观互动控制；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4）支持互动过程的录制、暂停、直播等操作；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5）支持互动过程的自动导播控制、互动导播画面自由选择控制功能；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5.录像资源管理控制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1）支持录像资源管理，通过导播控制软件直观呈现当前录播主机的录像资源信息，并支持选择相关的录课资源进行回放；</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2）支持录制资源下载操作，将文件下载至U盘进行移动共享。</w:t>
            </w:r>
          </w:p>
        </w:tc>
        <w:tc>
          <w:tcPr>
            <w:tcW w:w="743" w:type="dxa"/>
            <w:vAlign w:val="center"/>
          </w:tcPr>
          <w:p w14:paraId="6556EEE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5317C3F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6CA8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E69A53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w:t>
            </w:r>
          </w:p>
        </w:tc>
        <w:tc>
          <w:tcPr>
            <w:tcW w:w="758" w:type="dxa"/>
            <w:vAlign w:val="center"/>
          </w:tcPr>
          <w:p w14:paraId="05F39F4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录播电源管理器</w:t>
            </w:r>
          </w:p>
        </w:tc>
        <w:tc>
          <w:tcPr>
            <w:tcW w:w="1037" w:type="dxa"/>
            <w:vAlign w:val="center"/>
          </w:tcPr>
          <w:p w14:paraId="6E31082E">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奥威亚、维森、现代中庆</w:t>
            </w:r>
          </w:p>
        </w:tc>
        <w:tc>
          <w:tcPr>
            <w:tcW w:w="5024" w:type="dxa"/>
            <w:vAlign w:val="center"/>
          </w:tcPr>
          <w:p w14:paraId="6A13B3CF">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1.支持对录播系统控制功能；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2.向录播视频系统、音频系统、显示系统提供统一的、至少八路电源管理；从而实现对录播系统的远程集中统一控制。</w:t>
            </w:r>
          </w:p>
        </w:tc>
        <w:tc>
          <w:tcPr>
            <w:tcW w:w="743" w:type="dxa"/>
            <w:vAlign w:val="center"/>
          </w:tcPr>
          <w:p w14:paraId="10E60A0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641AA13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3D49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7B6EB2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w:t>
            </w:r>
          </w:p>
        </w:tc>
        <w:tc>
          <w:tcPr>
            <w:tcW w:w="758" w:type="dxa"/>
            <w:vAlign w:val="center"/>
          </w:tcPr>
          <w:p w14:paraId="0F66F3F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讲台</w:t>
            </w:r>
          </w:p>
        </w:tc>
        <w:tc>
          <w:tcPr>
            <w:tcW w:w="1037" w:type="dxa"/>
            <w:vAlign w:val="center"/>
          </w:tcPr>
          <w:p w14:paraId="7BAAB75A">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国产</w:t>
            </w:r>
          </w:p>
        </w:tc>
        <w:tc>
          <w:tcPr>
            <w:tcW w:w="5024" w:type="dxa"/>
            <w:vAlign w:val="center"/>
          </w:tcPr>
          <w:p w14:paraId="5F48E95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定制</w:t>
            </w:r>
          </w:p>
        </w:tc>
        <w:tc>
          <w:tcPr>
            <w:tcW w:w="743" w:type="dxa"/>
            <w:vAlign w:val="center"/>
          </w:tcPr>
          <w:p w14:paraId="0B2D5D6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66649F8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只</w:t>
            </w:r>
          </w:p>
        </w:tc>
      </w:tr>
      <w:tr w14:paraId="3988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3CD561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w:t>
            </w:r>
          </w:p>
        </w:tc>
        <w:tc>
          <w:tcPr>
            <w:tcW w:w="758" w:type="dxa"/>
            <w:vAlign w:val="center"/>
          </w:tcPr>
          <w:p w14:paraId="376C807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一体机（带推拉绿板）</w:t>
            </w:r>
          </w:p>
        </w:tc>
        <w:tc>
          <w:tcPr>
            <w:tcW w:w="1037" w:type="dxa"/>
            <w:vAlign w:val="center"/>
          </w:tcPr>
          <w:p w14:paraId="5888C2A6">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鸿合、互视达、希沃</w:t>
            </w:r>
          </w:p>
        </w:tc>
        <w:tc>
          <w:tcPr>
            <w:tcW w:w="5024" w:type="dxa"/>
            <w:vAlign w:val="center"/>
          </w:tcPr>
          <w:p w14:paraId="11A03259">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1.整机采用UHD超高清LED液晶屏，显示尺寸≥86英寸，显示比例16:9或16:10，物理分辨率3840*2160</w:t>
            </w:r>
          </w:p>
          <w:p w14:paraId="49B84438">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2.采用红外触控技术，支持三系统下 Windows、Android、国产化系统下使用统下≥ 40 点同时触控及书写划线。</w:t>
            </w:r>
          </w:p>
          <w:p w14:paraId="3D1DE18D">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3.整机具有中文标识的前置接口：≥1路HDMI接口（非转接），≥2路USB接口，≥1路Type-C接口。</w:t>
            </w:r>
            <w:r>
              <w:rPr>
                <w:rFonts w:hint="eastAsia" w:ascii="仿宋" w:hAnsi="仿宋" w:eastAsia="仿宋" w:cs="仿宋"/>
                <w:color w:val="auto"/>
                <w:kern w:val="0"/>
                <w:sz w:val="22"/>
                <w:szCs w:val="22"/>
                <w:highlight w:val="none"/>
                <w:lang w:bidi="ar"/>
              </w:rPr>
              <w:br w:type="textWrapping"/>
            </w:r>
            <w:r>
              <w:rPr>
                <w:rFonts w:hint="eastAsia" w:ascii="仿宋" w:hAnsi="仿宋" w:eastAsia="仿宋" w:cs="仿宋"/>
                <w:color w:val="auto"/>
                <w:kern w:val="0"/>
                <w:sz w:val="22"/>
                <w:szCs w:val="22"/>
                <w:highlight w:val="none"/>
                <w:lang w:bidi="ar"/>
              </w:rPr>
              <w:t>4.整机后置接口：≥1路RJ45， ≥2路HDMI输入，≥2路USB接口，≥1路RS232，≥1路无线MIC输入</w:t>
            </w:r>
          </w:p>
          <w:p w14:paraId="3E62A375">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5.整机内置超高清一体化摄像头，摄像头支持≥1800万有效像素，可输出最大分辨率5104*3864 的图片与视频，并具有工作指示灯提示。</w:t>
            </w:r>
          </w:p>
          <w:p w14:paraId="6925930C">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6.整机音响总额定功率≥60W</w:t>
            </w:r>
          </w:p>
          <w:p w14:paraId="61872181">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7.整机内置蓝牙模块，蓝牙模块≥5.4标准</w:t>
            </w:r>
          </w:p>
          <w:p w14:paraId="181D2C28">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8.整机内置 Wi-Fi6无线网卡，支持无线设备同时连接数量≥20个，支持自定义设置热点名称和密码</w:t>
            </w:r>
          </w:p>
          <w:p w14:paraId="3233A94A">
            <w:pP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9.采用插拔式电脑模块架构，屏体与插拔式电脑无单独接线，接口严格遵循 Intel®的 OPS-C 相关规范，针脚数为80Pin。</w:t>
            </w:r>
          </w:p>
          <w:p w14:paraId="02F23C8D">
            <w:pP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10.处理器：CPU采用Intel第12代酷睿I5处理器或以上。</w:t>
            </w:r>
          </w:p>
          <w:p w14:paraId="22099756">
            <w:pP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11.内存：8G DDR4笔记本内存或以上配置。</w:t>
            </w:r>
          </w:p>
          <w:p w14:paraId="64FF74DE">
            <w:pP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 xml:space="preserve">12.硬盘：256G或以上SSD </w:t>
            </w:r>
          </w:p>
          <w:p w14:paraId="3733431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 w:val="22"/>
                <w:szCs w:val="22"/>
                <w:highlight w:val="none"/>
                <w:lang w:bidi="ar"/>
              </w:rPr>
              <w:t>13.内置电脑模块与整机品牌一致。</w:t>
            </w:r>
          </w:p>
        </w:tc>
        <w:tc>
          <w:tcPr>
            <w:tcW w:w="743" w:type="dxa"/>
            <w:vAlign w:val="center"/>
          </w:tcPr>
          <w:p w14:paraId="44A1860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03A0592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3798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C149CB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758" w:type="dxa"/>
            <w:vAlign w:val="center"/>
          </w:tcPr>
          <w:p w14:paraId="4DCC65F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实物展台</w:t>
            </w:r>
          </w:p>
        </w:tc>
        <w:tc>
          <w:tcPr>
            <w:tcW w:w="1037" w:type="dxa"/>
            <w:vAlign w:val="center"/>
          </w:tcPr>
          <w:p w14:paraId="357117B0">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鸿合、互视达、希沃</w:t>
            </w:r>
          </w:p>
        </w:tc>
        <w:tc>
          <w:tcPr>
            <w:tcW w:w="5024" w:type="dxa"/>
            <w:vAlign w:val="center"/>
          </w:tcPr>
          <w:p w14:paraId="4EA69C0B">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一、硬件参数</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 支持壁挂和台式两种安装方式，为保证产品稳定性，台式安装需与桌面牢固不晃动，托板边角采用圆弧倒角设计。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2.为保证托板表面平整性，托板采用单板结构，不接受托板表面折叠设计。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3.拍摄幅面不小于A4。</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 为保证教学过程中不受环境光和展示内容移动的影响，防止镜头频繁聚焦，图像模糊，产生眩晕感，要求采用不小于800万定焦镜头。</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 工作电压：5 V，工作电流：小于500mA</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 图像色彩：24位</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 xml:space="preserve">7. 输出格式：图片JPG，视频MP4 </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 光源： LED灯补光，支持5级调光</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9.动态视频帧率：30帧/秒（1080P）。</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10.对焦/白平衡：自动</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11.整机具有安全锁</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12.供电方式：USB供电</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13.清晰度：中心不小于1200线</w:t>
            </w:r>
          </w:p>
        </w:tc>
        <w:tc>
          <w:tcPr>
            <w:tcW w:w="743" w:type="dxa"/>
            <w:vAlign w:val="center"/>
          </w:tcPr>
          <w:p w14:paraId="68BD3B6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3E9D678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2FCBE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38170F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w:t>
            </w:r>
          </w:p>
        </w:tc>
        <w:tc>
          <w:tcPr>
            <w:tcW w:w="758" w:type="dxa"/>
            <w:vAlign w:val="center"/>
          </w:tcPr>
          <w:p w14:paraId="17D72F2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无线话筒</w:t>
            </w:r>
          </w:p>
        </w:tc>
        <w:tc>
          <w:tcPr>
            <w:tcW w:w="1037" w:type="dxa"/>
            <w:vAlign w:val="center"/>
          </w:tcPr>
          <w:p w14:paraId="35390EA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SONIC-PRO、Wharfedale、CRCUY</w:t>
            </w:r>
          </w:p>
        </w:tc>
        <w:tc>
          <w:tcPr>
            <w:tcW w:w="5024" w:type="dxa"/>
            <w:vAlign w:val="center"/>
          </w:tcPr>
          <w:p w14:paraId="68F4504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配置一头戴、一手持话筒</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采用UHF超高频段，提供多通道（32/64/99通道）选择，避免干扰</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频率范围：500MHz-980MHz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调制方式：FM</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音频响应：50Hz-15KHz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综合信噪比S/N：&gt;105dB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综合失真：≤ 0.5%</w:t>
            </w:r>
          </w:p>
        </w:tc>
        <w:tc>
          <w:tcPr>
            <w:tcW w:w="743" w:type="dxa"/>
            <w:vAlign w:val="center"/>
          </w:tcPr>
          <w:p w14:paraId="7FB84FF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5CE09BF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043A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DA198C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758" w:type="dxa"/>
            <w:vAlign w:val="center"/>
          </w:tcPr>
          <w:p w14:paraId="7B6E272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教室功放</w:t>
            </w:r>
          </w:p>
        </w:tc>
        <w:tc>
          <w:tcPr>
            <w:tcW w:w="1037" w:type="dxa"/>
            <w:vAlign w:val="center"/>
          </w:tcPr>
          <w:p w14:paraId="4BE1442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SONIC-PRO、Wharfedale、CRCUY</w:t>
            </w:r>
          </w:p>
        </w:tc>
        <w:tc>
          <w:tcPr>
            <w:tcW w:w="5024" w:type="dxa"/>
            <w:vAlign w:val="center"/>
          </w:tcPr>
          <w:p w14:paraId="1C01955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额定输出功率：8Ω立体声200W×2</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额定输出功率：4Ω立体声380W×2</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额定输出功率：8Ω桥接760W</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信噪比≥105dB；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保护功能：短路、限幅、直流、过热、过载、软启动；</w:t>
            </w:r>
          </w:p>
        </w:tc>
        <w:tc>
          <w:tcPr>
            <w:tcW w:w="743" w:type="dxa"/>
            <w:vAlign w:val="center"/>
          </w:tcPr>
          <w:p w14:paraId="03CA20E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7C5C83D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14C0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63FEA0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w:t>
            </w:r>
          </w:p>
        </w:tc>
        <w:tc>
          <w:tcPr>
            <w:tcW w:w="758" w:type="dxa"/>
            <w:vAlign w:val="center"/>
          </w:tcPr>
          <w:p w14:paraId="3D01D22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教室音响</w:t>
            </w:r>
          </w:p>
        </w:tc>
        <w:tc>
          <w:tcPr>
            <w:tcW w:w="1037" w:type="dxa"/>
            <w:vAlign w:val="center"/>
          </w:tcPr>
          <w:p w14:paraId="09E70FB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SONIC-PRO、Wharfedale、CRCUY</w:t>
            </w:r>
          </w:p>
        </w:tc>
        <w:tc>
          <w:tcPr>
            <w:tcW w:w="5024" w:type="dxa"/>
            <w:vAlign w:val="center"/>
          </w:tcPr>
          <w:p w14:paraId="0051824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频率范围（-10dB）：65Hz - 18 kHz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频率响应（ ±3dB）：75Hz - 15 kHz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灵敏度 (1w@1m)：90 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额定阻抗：8Ω（8Ω档位时）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最大声压级输出 （1m）：112dB 长期最大功率（118dB峰值）（8Ω档位时）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额定功率</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（连续 / 音乐信号 / 峰值）：150W / 300W / 600W（8Ω档位时）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覆盖角：150º x 120º（H x V ）</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变压器档位： 8 Ohms，OFF， 70V（7.5W / 15W / 30W / 60W ）100V（15W / 30W / 60W ）</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插入损耗：&lt;1.0dB 任意档位设定时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低音单元：1 x 8"低音单元</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高音单元：2 x3"纸锥高音单元</w:t>
            </w:r>
          </w:p>
        </w:tc>
        <w:tc>
          <w:tcPr>
            <w:tcW w:w="743" w:type="dxa"/>
            <w:vAlign w:val="center"/>
          </w:tcPr>
          <w:p w14:paraId="5200494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64" w:type="dxa"/>
            <w:vAlign w:val="center"/>
          </w:tcPr>
          <w:p w14:paraId="7008981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只</w:t>
            </w:r>
          </w:p>
        </w:tc>
      </w:tr>
      <w:tr w14:paraId="1708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7D1533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w:t>
            </w:r>
          </w:p>
        </w:tc>
        <w:tc>
          <w:tcPr>
            <w:tcW w:w="758" w:type="dxa"/>
            <w:vAlign w:val="center"/>
          </w:tcPr>
          <w:p w14:paraId="7471282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互动显示屏</w:t>
            </w:r>
          </w:p>
        </w:tc>
        <w:tc>
          <w:tcPr>
            <w:tcW w:w="1037" w:type="dxa"/>
            <w:vAlign w:val="center"/>
          </w:tcPr>
          <w:p w14:paraId="341E90E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TCL、创维、小米</w:t>
            </w:r>
          </w:p>
        </w:tc>
        <w:tc>
          <w:tcPr>
            <w:tcW w:w="5024" w:type="dxa"/>
            <w:vAlign w:val="center"/>
          </w:tcPr>
          <w:p w14:paraId="13AA9A7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屏幕尺寸:不低于65英寸</w:t>
            </w:r>
          </w:p>
          <w:p w14:paraId="12F4437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刷新率:不低于144Hz</w:t>
            </w:r>
          </w:p>
          <w:p w14:paraId="3FCDC2B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支持护眼模式</w:t>
            </w:r>
          </w:p>
          <w:p w14:paraId="53B4AC9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WIFI频段：2.4G&amp;5G</w:t>
            </w:r>
          </w:p>
          <w:p w14:paraId="554D23B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屏占比：≥97%</w:t>
            </w:r>
          </w:p>
          <w:p w14:paraId="0B5F488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屏幕分辨率：超高清4K</w:t>
            </w:r>
          </w:p>
          <w:p w14:paraId="616DDC8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响应时间：不高于6.5ms</w:t>
            </w:r>
          </w:p>
          <w:p w14:paraId="4EB1E21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亮度：不低于300尼特</w:t>
            </w:r>
          </w:p>
          <w:p w14:paraId="193B44E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含安装支架</w:t>
            </w:r>
          </w:p>
        </w:tc>
        <w:tc>
          <w:tcPr>
            <w:tcW w:w="743" w:type="dxa"/>
            <w:vAlign w:val="center"/>
          </w:tcPr>
          <w:p w14:paraId="11D0174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77190CA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02B0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03B53A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w:t>
            </w:r>
          </w:p>
        </w:tc>
        <w:tc>
          <w:tcPr>
            <w:tcW w:w="758" w:type="dxa"/>
            <w:vAlign w:val="center"/>
          </w:tcPr>
          <w:p w14:paraId="6F063ED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导播监视器</w:t>
            </w:r>
          </w:p>
        </w:tc>
        <w:tc>
          <w:tcPr>
            <w:tcW w:w="1037" w:type="dxa"/>
            <w:vAlign w:val="center"/>
          </w:tcPr>
          <w:p w14:paraId="5DA55E8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三星、飞利浦、戴尔</w:t>
            </w:r>
          </w:p>
        </w:tc>
        <w:tc>
          <w:tcPr>
            <w:tcW w:w="5024" w:type="dxa"/>
            <w:vAlign w:val="center"/>
          </w:tcPr>
          <w:p w14:paraId="2C2913B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对比度：不低于1000:1</w:t>
            </w:r>
          </w:p>
          <w:p w14:paraId="3EE68B8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响应时间：不高于5ms</w:t>
            </w:r>
          </w:p>
          <w:p w14:paraId="2D82B1E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屏幕刷新率：不低于120Hz</w:t>
            </w:r>
          </w:p>
          <w:p w14:paraId="09EF9CD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分辨率：不低于1920*1080</w:t>
            </w:r>
          </w:p>
          <w:p w14:paraId="485FFD1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屏幕尺寸：不低于23.8英寸</w:t>
            </w:r>
          </w:p>
          <w:p w14:paraId="257CCB7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亮度：不低于250cd/㎡</w:t>
            </w:r>
          </w:p>
          <w:p w14:paraId="3F96A75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支持IPS防蓝光</w:t>
            </w:r>
          </w:p>
        </w:tc>
        <w:tc>
          <w:tcPr>
            <w:tcW w:w="743" w:type="dxa"/>
            <w:vAlign w:val="center"/>
          </w:tcPr>
          <w:p w14:paraId="119D976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65C6477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52EA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3B0274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w:t>
            </w:r>
          </w:p>
        </w:tc>
        <w:tc>
          <w:tcPr>
            <w:tcW w:w="758" w:type="dxa"/>
            <w:vAlign w:val="center"/>
          </w:tcPr>
          <w:p w14:paraId="27E0C03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观摩室功放</w:t>
            </w:r>
          </w:p>
        </w:tc>
        <w:tc>
          <w:tcPr>
            <w:tcW w:w="1037" w:type="dxa"/>
            <w:vAlign w:val="center"/>
          </w:tcPr>
          <w:p w14:paraId="7439F502">
            <w:pPr>
              <w:jc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SONIC-PRO、Wharfedale、CRCUY</w:t>
            </w:r>
          </w:p>
        </w:tc>
        <w:tc>
          <w:tcPr>
            <w:tcW w:w="5024" w:type="dxa"/>
            <w:vAlign w:val="center"/>
          </w:tcPr>
          <w:p w14:paraId="6E794C6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额定输出功率：8Ω立体声200W×2</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额定输出功率：4Ω立体声380W×2</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额定输出功率：8Ω桥接760W</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信噪比≥105dB；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保护功能：短路、限幅、直流、过热、过载、软启动；</w:t>
            </w:r>
          </w:p>
        </w:tc>
        <w:tc>
          <w:tcPr>
            <w:tcW w:w="743" w:type="dxa"/>
            <w:vAlign w:val="center"/>
          </w:tcPr>
          <w:p w14:paraId="3E75F7C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4EB00CD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4CF8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17996B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17</w:t>
            </w:r>
          </w:p>
        </w:tc>
        <w:tc>
          <w:tcPr>
            <w:tcW w:w="758" w:type="dxa"/>
            <w:vAlign w:val="center"/>
          </w:tcPr>
          <w:p w14:paraId="0097CFC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观摩室音响</w:t>
            </w:r>
          </w:p>
        </w:tc>
        <w:tc>
          <w:tcPr>
            <w:tcW w:w="1037" w:type="dxa"/>
            <w:vAlign w:val="center"/>
          </w:tcPr>
          <w:p w14:paraId="5B0B1BAC">
            <w:pPr>
              <w:jc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SONIC-PRO、Wharfedale、CRCUY</w:t>
            </w:r>
          </w:p>
        </w:tc>
        <w:tc>
          <w:tcPr>
            <w:tcW w:w="5024" w:type="dxa"/>
            <w:vAlign w:val="center"/>
          </w:tcPr>
          <w:p w14:paraId="5431848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频率范围（-10dB）：65Hz - 18 kHz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频率响应（ ±3dB）：75Hz - 15 kHz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灵敏度 (1w@1m)：90 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额定阻抗：8Ω（8Ω档位时）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最大声压级输出 （1m）：112dB 长期最大功率（118dB峰值）（8Ω档位时）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额定功率</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（连续 / 音乐信号 / 峰值）：150W / 300W / 600W（8Ω档位时）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覆盖角：150º x 120º（H x V ）</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变压器档位： 8 Ohms，OFF， 70V（7.5W / 15W / 30W / 60W ）100V（15W / 30W / 60W ）</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插入损耗：&lt;1.0dB 任意档位设定时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低音单元：1 x 8"低音单元</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高音单元：2 x3"纸锥高音单元</w:t>
            </w:r>
          </w:p>
        </w:tc>
        <w:tc>
          <w:tcPr>
            <w:tcW w:w="743" w:type="dxa"/>
            <w:vAlign w:val="center"/>
          </w:tcPr>
          <w:p w14:paraId="0AB61BB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64" w:type="dxa"/>
            <w:vAlign w:val="center"/>
          </w:tcPr>
          <w:p w14:paraId="0751175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只</w:t>
            </w:r>
          </w:p>
        </w:tc>
      </w:tr>
      <w:tr w14:paraId="01F8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8C49AE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18</w:t>
            </w:r>
          </w:p>
        </w:tc>
        <w:tc>
          <w:tcPr>
            <w:tcW w:w="758" w:type="dxa"/>
            <w:vAlign w:val="center"/>
          </w:tcPr>
          <w:p w14:paraId="5977A6D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观摩室大屏</w:t>
            </w:r>
          </w:p>
        </w:tc>
        <w:tc>
          <w:tcPr>
            <w:tcW w:w="1037" w:type="dxa"/>
            <w:vAlign w:val="center"/>
          </w:tcPr>
          <w:p w14:paraId="5E47BFBF">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TCL、创维、小米</w:t>
            </w:r>
          </w:p>
        </w:tc>
        <w:tc>
          <w:tcPr>
            <w:tcW w:w="5024" w:type="dxa"/>
            <w:vAlign w:val="center"/>
          </w:tcPr>
          <w:p w14:paraId="0193ED1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屏幕尺寸:不低于55英寸</w:t>
            </w:r>
          </w:p>
          <w:p w14:paraId="22FB31A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刷新率:不低于144Hz</w:t>
            </w:r>
          </w:p>
          <w:p w14:paraId="19AC59D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支持护眼模式</w:t>
            </w:r>
          </w:p>
          <w:p w14:paraId="03FE61D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WIFI频段：2.4G&amp;5G</w:t>
            </w:r>
          </w:p>
          <w:p w14:paraId="50FCF63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屏占比：≥97%</w:t>
            </w:r>
          </w:p>
          <w:p w14:paraId="137EBAD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屏幕分辨率：超高清4K</w:t>
            </w:r>
          </w:p>
          <w:p w14:paraId="7FD3A3D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响应时间：不高于6.5ms</w:t>
            </w:r>
          </w:p>
          <w:p w14:paraId="7540B2E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亮度：不低于300尼特</w:t>
            </w:r>
          </w:p>
          <w:p w14:paraId="4E1D809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含安装支架。</w:t>
            </w:r>
          </w:p>
        </w:tc>
        <w:tc>
          <w:tcPr>
            <w:tcW w:w="743" w:type="dxa"/>
            <w:vAlign w:val="center"/>
          </w:tcPr>
          <w:p w14:paraId="5CDA43B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64" w:type="dxa"/>
            <w:vAlign w:val="center"/>
          </w:tcPr>
          <w:p w14:paraId="3C64CC2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5B40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D1021E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w:t>
            </w:r>
          </w:p>
        </w:tc>
        <w:tc>
          <w:tcPr>
            <w:tcW w:w="758" w:type="dxa"/>
            <w:vAlign w:val="center"/>
          </w:tcPr>
          <w:p w14:paraId="2EF22CE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无线键鼠</w:t>
            </w:r>
          </w:p>
        </w:tc>
        <w:tc>
          <w:tcPr>
            <w:tcW w:w="1037" w:type="dxa"/>
            <w:vAlign w:val="center"/>
          </w:tcPr>
          <w:p w14:paraId="1BB2A145">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国产</w:t>
            </w:r>
          </w:p>
        </w:tc>
        <w:tc>
          <w:tcPr>
            <w:tcW w:w="5024" w:type="dxa"/>
            <w:vAlign w:val="center"/>
          </w:tcPr>
          <w:p w14:paraId="2EE1A2B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配套</w:t>
            </w:r>
          </w:p>
        </w:tc>
        <w:tc>
          <w:tcPr>
            <w:tcW w:w="743" w:type="dxa"/>
            <w:vAlign w:val="center"/>
          </w:tcPr>
          <w:p w14:paraId="212D223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5B86BE5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1824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8EE472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w:t>
            </w:r>
          </w:p>
        </w:tc>
        <w:tc>
          <w:tcPr>
            <w:tcW w:w="758" w:type="dxa"/>
            <w:vAlign w:val="center"/>
          </w:tcPr>
          <w:p w14:paraId="782B63B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交换机</w:t>
            </w:r>
          </w:p>
        </w:tc>
        <w:tc>
          <w:tcPr>
            <w:tcW w:w="1037" w:type="dxa"/>
            <w:vAlign w:val="center"/>
          </w:tcPr>
          <w:p w14:paraId="339DACE4">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国产</w:t>
            </w:r>
          </w:p>
        </w:tc>
        <w:tc>
          <w:tcPr>
            <w:tcW w:w="5024" w:type="dxa"/>
            <w:vAlign w:val="center"/>
          </w:tcPr>
          <w:p w14:paraId="42FE63E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8个10/100/1000M自适应电口</w:t>
            </w:r>
          </w:p>
        </w:tc>
        <w:tc>
          <w:tcPr>
            <w:tcW w:w="743" w:type="dxa"/>
            <w:vAlign w:val="center"/>
          </w:tcPr>
          <w:p w14:paraId="344B237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419BFC1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40AA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97D199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21</w:t>
            </w:r>
          </w:p>
        </w:tc>
        <w:tc>
          <w:tcPr>
            <w:tcW w:w="758" w:type="dxa"/>
            <w:vAlign w:val="center"/>
          </w:tcPr>
          <w:p w14:paraId="0F4C4B3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单色LED显示屏</w:t>
            </w:r>
          </w:p>
        </w:tc>
        <w:tc>
          <w:tcPr>
            <w:tcW w:w="1037" w:type="dxa"/>
            <w:vAlign w:val="center"/>
          </w:tcPr>
          <w:p w14:paraId="7CEF4DA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强力巨彩、京东方、洲明</w:t>
            </w:r>
          </w:p>
        </w:tc>
        <w:tc>
          <w:tcPr>
            <w:tcW w:w="5024" w:type="dxa"/>
            <w:vAlign w:val="center"/>
          </w:tcPr>
          <w:p w14:paraId="03821DF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显示屏尺寸：3.952m*0.304m=1.2平方</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1、像素点间距≤4.75mm</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 xml:space="preserve">2、整屏平整度≤0.01mm，模组平整度≤0.01mm，拼接缝≤0.01mm </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3、亮度≥500Cd/m²</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4、亮度均匀性≥98%</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5、刷新率达到≥960Hz，对比度≥6000：1</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6、像素失控率&lt;0.01%</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7、发光点中心偏距＜0.8%，反光率≤1%，衰减率≤10%（工作3年）</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8、画面延时≤500ns（纳秒级）</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9、噪声1m范围内，测试4个位置（前后左右）噪音不大于2dB，信噪比≥47dB</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10、峰值功耗≤300W/m² 平均功耗≤90W/m²</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11、漏电流≤0.5mA</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12、机械强度≥30Mpa</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13、抗拉强度≥230Mpa</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14、屈服强度≥170Mpa</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15、产品采用高端芯片，可智能调节正常工作与睡眠状态下的节能效果（动态节能，智能息屏），开启节能功能比没有开启节能45%以上</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16、具备SELV电路</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17、人眼视觉舒适度VICO指数≤1</w:t>
            </w:r>
          </w:p>
        </w:tc>
        <w:tc>
          <w:tcPr>
            <w:tcW w:w="743" w:type="dxa"/>
            <w:vAlign w:val="center"/>
          </w:tcPr>
          <w:p w14:paraId="31C4459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51AEF99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548A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7651733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22</w:t>
            </w:r>
          </w:p>
        </w:tc>
        <w:tc>
          <w:tcPr>
            <w:tcW w:w="758" w:type="dxa"/>
            <w:vAlign w:val="center"/>
          </w:tcPr>
          <w:p w14:paraId="2DBE9F8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机柜</w:t>
            </w:r>
          </w:p>
        </w:tc>
        <w:tc>
          <w:tcPr>
            <w:tcW w:w="1037" w:type="dxa"/>
            <w:vAlign w:val="center"/>
          </w:tcPr>
          <w:p w14:paraId="04FB236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国产</w:t>
            </w:r>
          </w:p>
        </w:tc>
        <w:tc>
          <w:tcPr>
            <w:tcW w:w="5024" w:type="dxa"/>
            <w:vAlign w:val="center"/>
          </w:tcPr>
          <w:p w14:paraId="318A486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600*600*1200，镀锌钢板</w:t>
            </w:r>
          </w:p>
        </w:tc>
        <w:tc>
          <w:tcPr>
            <w:tcW w:w="743" w:type="dxa"/>
            <w:vAlign w:val="center"/>
          </w:tcPr>
          <w:p w14:paraId="2108D91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6B7DCF6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只</w:t>
            </w:r>
          </w:p>
        </w:tc>
      </w:tr>
      <w:tr w14:paraId="72E8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0633AF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23</w:t>
            </w:r>
          </w:p>
        </w:tc>
        <w:tc>
          <w:tcPr>
            <w:tcW w:w="758" w:type="dxa"/>
            <w:vAlign w:val="center"/>
          </w:tcPr>
          <w:p w14:paraId="59DB38E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附件及线材</w:t>
            </w:r>
          </w:p>
        </w:tc>
        <w:tc>
          <w:tcPr>
            <w:tcW w:w="1037" w:type="dxa"/>
            <w:vAlign w:val="center"/>
          </w:tcPr>
          <w:p w14:paraId="4A21ED5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国产</w:t>
            </w:r>
          </w:p>
        </w:tc>
        <w:tc>
          <w:tcPr>
            <w:tcW w:w="5024" w:type="dxa"/>
            <w:vAlign w:val="center"/>
          </w:tcPr>
          <w:p w14:paraId="129A5DF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定制</w:t>
            </w:r>
          </w:p>
        </w:tc>
        <w:tc>
          <w:tcPr>
            <w:tcW w:w="743" w:type="dxa"/>
            <w:vAlign w:val="center"/>
          </w:tcPr>
          <w:p w14:paraId="4713E49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613615A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批</w:t>
            </w:r>
          </w:p>
        </w:tc>
      </w:tr>
      <w:tr w14:paraId="4ADC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60DAF457">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二、空中课堂录播教室</w:t>
            </w:r>
          </w:p>
        </w:tc>
      </w:tr>
      <w:tr w14:paraId="5F7C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CDCC8B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758" w:type="dxa"/>
            <w:vAlign w:val="center"/>
          </w:tcPr>
          <w:p w14:paraId="0D0C6C6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交互式课程制作系统</w:t>
            </w:r>
          </w:p>
        </w:tc>
        <w:tc>
          <w:tcPr>
            <w:tcW w:w="1037" w:type="dxa"/>
            <w:vAlign w:val="center"/>
          </w:tcPr>
          <w:p w14:paraId="30A731B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奥威亚、维森、DYH</w:t>
            </w:r>
          </w:p>
        </w:tc>
        <w:tc>
          <w:tcPr>
            <w:tcW w:w="5024" w:type="dxa"/>
            <w:vAlign w:val="center"/>
          </w:tcPr>
          <w:p w14:paraId="192AF6D9">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1、</w:t>
            </w:r>
            <w:r>
              <w:rPr>
                <w:rFonts w:hint="eastAsia" w:ascii="仿宋" w:hAnsi="仿宋" w:eastAsia="仿宋" w:cs="仿宋"/>
                <w:color w:val="auto"/>
                <w:highlight w:val="none"/>
                <w:lang w:val="zh-CN"/>
              </w:rPr>
              <w:t>课程拍摄布局设计中，要求支持摄像机任意取景，摄像机可同时拍摄一体机和黑板，实现教师站在一体机旁边讲课，不遮挡一体机；一体机全屏播放PPT及绿屏，教师可以对PPT进行板书、批注，同时确保教师在一体机上手写和批注的轨迹位置，与最终画面中PPT上的手写批注位置、内容完全一致，不存在位置偏差现象。摄像机可任意调整拍摄范围，均可满足以上效果。课程录制过程中，教师可自助的切换片头、虚拟背景开场、PPT加黑板加人像、PPT满屏、片尾。</w:t>
            </w:r>
          </w:p>
          <w:p w14:paraId="204CB39B">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2、</w:t>
            </w:r>
            <w:r>
              <w:rPr>
                <w:rFonts w:hint="eastAsia" w:ascii="仿宋" w:hAnsi="仿宋" w:eastAsia="仿宋" w:cs="仿宋"/>
                <w:color w:val="auto"/>
                <w:highlight w:val="none"/>
                <w:lang w:val="zh-CN"/>
              </w:rPr>
              <w:t>双模式界面切换功能：系统需提供两种不同的录制模式，即全屏录制模式与迷你窗口录制模式；系统可通过按钮一键切换模式；全屏录制模式须根据桌面分辨率自动调整铺满全屏显示；迷你窗口录制模式可设置窗口比例为4:3、16:9，可设置分辨率为480 x 270、480 x 360、640x360、640 x 480、720x405、720x540。</w:t>
            </w:r>
          </w:p>
          <w:p w14:paraId="399313CE">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3、</w:t>
            </w:r>
            <w:r>
              <w:rPr>
                <w:rFonts w:hint="eastAsia" w:ascii="仿宋" w:hAnsi="仿宋" w:eastAsia="仿宋" w:cs="仿宋"/>
                <w:color w:val="auto"/>
                <w:highlight w:val="none"/>
                <w:lang w:val="zh-CN"/>
              </w:rPr>
              <w:t>迷你窗口界面模式功能：为了便于老师在此模式录制时操作其他应用程序，此模式最大分辨率不超过720x540；此模式下须提供录制所需的主要功能按键如（1）录制开启与停止按钮、（2）打开录制视频的存储路径按钮、（3）题词功能按钮、（4） 直播开启与关闭按钮、（5）不同授课模式切换、（6）新建与删除授课模式；可进行快捷的操作。</w:t>
            </w:r>
          </w:p>
          <w:p w14:paraId="5A6B9F26">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4、</w:t>
            </w:r>
            <w:r>
              <w:rPr>
                <w:rFonts w:hint="eastAsia" w:ascii="仿宋" w:hAnsi="仿宋" w:eastAsia="仿宋" w:cs="仿宋"/>
                <w:color w:val="auto"/>
                <w:highlight w:val="none"/>
                <w:lang w:val="zh-CN"/>
              </w:rPr>
              <w:t>遥控器操作：系统支持全程遥控器脱机操作，可通过一个手持遥控器实现以下功能：1、不同授课模式的切换，包括片头、虚拟背景开场、PPT带人像、PPT满屏、视频、第三方应用程序画面、片尾等完整授课过程的画面切换；2、PPT文档的前后翻页；3、画笔的撤销及清除等功能；4、开启/停止录制；5、提词功能的前后条进度控制 等，实现教师自助式微课录制，遥控器上按钮需提供相应功能名称标示。</w:t>
            </w:r>
          </w:p>
          <w:p w14:paraId="6DC5626C">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5、</w:t>
            </w:r>
            <w:r>
              <w:rPr>
                <w:rFonts w:hint="eastAsia" w:ascii="仿宋" w:hAnsi="仿宋" w:eastAsia="仿宋" w:cs="仿宋"/>
                <w:color w:val="auto"/>
                <w:highlight w:val="none"/>
                <w:lang w:val="zh-CN"/>
              </w:rPr>
              <w:t>IP收流功能：最多可支持4路IP流信号同时接入系统，并对4路流输入流信号同时进行抠像处理；IP流信号源可支持RTMP、RTSP协议的流媒体信号。支持对每1路输入的IP流信号进行录制，支持最多达4路IP信号流同时进行录制。</w:t>
            </w:r>
          </w:p>
          <w:p w14:paraId="485DBF79">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6、</w:t>
            </w:r>
            <w:r>
              <w:rPr>
                <w:rFonts w:hint="eastAsia" w:ascii="仿宋" w:hAnsi="仿宋" w:eastAsia="仿宋" w:cs="仿宋"/>
                <w:color w:val="auto"/>
                <w:highlight w:val="none"/>
                <w:lang w:val="zh-CN"/>
              </w:rPr>
              <w:t xml:space="preserve">蓝绿背景色键抠像功能：系统支持对每路视频输入信号、视频素材、图片素材等进行抠像处理，支持不少于蓝、绿、红等背景颜色抠像，并可调整抠像参数以达到更好的抠像效果，抠像背景颜色可以是通过RGB三基色自由配置后选定的，也可以是通过移动鼠标在屏幕上任意位置拾取。 </w:t>
            </w:r>
          </w:p>
          <w:p w14:paraId="4F8750B5">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7、</w:t>
            </w:r>
            <w:r>
              <w:rPr>
                <w:rFonts w:hint="eastAsia" w:ascii="仿宋" w:hAnsi="仿宋" w:eastAsia="仿宋" w:cs="仿宋"/>
                <w:color w:val="auto"/>
                <w:highlight w:val="none"/>
                <w:lang w:val="zh-CN"/>
              </w:rPr>
              <w:t>OFFICE文档加载：系统可直接加载本地硬盘上的PPT文档文件，并设置文档显示框大小比例，可通过遥控器进行PPT文档的播控切换。支持在切换不同授课模式及PPT时，根据录课需求，可对触控一体机上进行触控书写或标注的内容设置为保留或者自动清除。</w:t>
            </w:r>
          </w:p>
          <w:p w14:paraId="15302219">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8、</w:t>
            </w:r>
            <w:r>
              <w:rPr>
                <w:rFonts w:hint="eastAsia" w:ascii="仿宋" w:hAnsi="仿宋" w:eastAsia="仿宋" w:cs="仿宋"/>
                <w:color w:val="auto"/>
                <w:highlight w:val="none"/>
                <w:lang w:val="zh-CN"/>
              </w:rPr>
              <w:t>多图层叠加功能：系统可对添加的素材进行多层叠加，在最终效果合成画面上拖动鼠标即可对添加的素材进行大小调整，拖动鼠标即可将图层摆放至任一位置，图层的数量不做限制，可通过按钮调整图层的上下关系，并可通过鼠标滚轮对指定素材进行放大与缩小。</w:t>
            </w:r>
          </w:p>
          <w:p w14:paraId="7298D399">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9、</w:t>
            </w:r>
            <w:r>
              <w:rPr>
                <w:rFonts w:hint="eastAsia" w:ascii="仿宋" w:hAnsi="仿宋" w:eastAsia="仿宋" w:cs="仿宋"/>
                <w:color w:val="auto"/>
                <w:highlight w:val="none"/>
                <w:lang w:val="zh-CN"/>
              </w:rPr>
              <w:t>字幕功能：系统可根据微课内容，添加相应的字幕，字幕的位子可通过鼠标拖动随意改变，字体、颜色可实时调整；单个授课模式可添加多个字幕，单个字幕也可在不同授课模式下同时使用。</w:t>
            </w:r>
          </w:p>
          <w:p w14:paraId="6BFA8F76">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10、</w:t>
            </w:r>
            <w:r>
              <w:rPr>
                <w:rFonts w:hint="eastAsia" w:ascii="仿宋" w:hAnsi="仿宋" w:eastAsia="仿宋" w:cs="仿宋"/>
                <w:color w:val="auto"/>
                <w:highlight w:val="none"/>
                <w:lang w:val="zh-CN"/>
              </w:rPr>
              <w:t>画笔功能：系统提供画笔功能，不用添加其余硬件设备，老师可通过鼠标在预览画面中对素材进行绘画、划线、圈重点等，可调整画笔粗细以及颜色，可对错误笔迹进行撤销和清除，所做的标注可通过本地录制功能实时录制下来。</w:t>
            </w:r>
          </w:p>
          <w:p w14:paraId="065E9DE1">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11、</w:t>
            </w:r>
            <w:r>
              <w:rPr>
                <w:rFonts w:hint="eastAsia" w:ascii="仿宋" w:hAnsi="仿宋" w:eastAsia="仿宋" w:cs="仿宋"/>
                <w:color w:val="auto"/>
                <w:highlight w:val="none"/>
                <w:lang w:val="zh-CN"/>
              </w:rPr>
              <w:t>提词器功能：系统提供题词器功能，可在软件界面通过按钮打开同品牌题词器软件，加载本地磁盘中编排好的提示词.txt文稿，并根据文稿中的排版逐条显示，可通过鼠标拖动至任意位置，并可通过鼠标调整字的大小以及上一条和下一条；提示词不会被录制到最终的视频画面中。</w:t>
            </w:r>
          </w:p>
          <w:p w14:paraId="76DB6586">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12、</w:t>
            </w:r>
            <w:r>
              <w:rPr>
                <w:rFonts w:hint="eastAsia" w:ascii="仿宋" w:hAnsi="仿宋" w:eastAsia="仿宋" w:cs="仿宋"/>
                <w:color w:val="auto"/>
                <w:highlight w:val="none"/>
                <w:lang w:val="zh-CN"/>
              </w:rPr>
              <w:t>授课模式预设功能：老师可根据自己制作视频的需求来设置不同的授课模式，其调整好的授课模式可保存下来，将多个授课模式保存为一个模板，下次录课时可再进行调用，且单个模板不限制授课模式数量；录制过程中不同的授课模式间进行切换时可添加转场特效，提供淡入淡出、硬切、左滑、右滑等至少10个不同的转场特效。</w:t>
            </w:r>
          </w:p>
          <w:p w14:paraId="59D2CD00">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13、</w:t>
            </w:r>
            <w:r>
              <w:rPr>
                <w:rFonts w:hint="eastAsia" w:ascii="仿宋" w:hAnsi="仿宋" w:eastAsia="仿宋" w:cs="仿宋"/>
                <w:color w:val="auto"/>
                <w:highlight w:val="none"/>
                <w:lang w:val="zh-CN"/>
              </w:rPr>
              <w:t>预置模板选择功能：系统须预置至少10个不同类型模板供教师选择使用。预置模板需包括教师常用的PPT模式、高拍仪模式、双分屏/三分屏/四分屏等模式，每个模板均需提供片头、片尾、虚拟背景等素材。教师可根据自己的喜好更改模板设置，或者新建授课模式添加为新的模板；并可保存为个人模板，以便下次录制时导入使用。</w:t>
            </w:r>
          </w:p>
          <w:p w14:paraId="070F54A4">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14、无介质分享功能：系统不需要通过任何本地资源服务器，即可将每个制作完成的微课视频作品一键上传到厂家互联网公有云平台（在互联网联网条件下），并自动生成1张电子观影券，用户通过扫描电子观影券即可在移动端设备（如手机、PAD等）上观看每个作品展示，并可对作品进行点评、分享等。</w:t>
            </w:r>
          </w:p>
          <w:p w14:paraId="722ED0AC">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15、</w:t>
            </w:r>
            <w:r>
              <w:rPr>
                <w:rFonts w:hint="eastAsia" w:ascii="仿宋" w:hAnsi="仿宋" w:eastAsia="仿宋" w:cs="仿宋"/>
                <w:color w:val="auto"/>
                <w:highlight w:val="none"/>
                <w:lang w:val="zh-CN"/>
              </w:rPr>
              <w:t>分屏输出功能：支持3分屏输出，可同时输出系统操作画面，蒙板绿屏画面，最终合成监看画面三种到三个不同显示屏；可将合成画面实时输出到大屏、监视器等其他显示设备进行实时监看，可分屏输出绿色/蓝色背景，可调整背景透明度，支持通过RGB色值进行组合生成各种颜色的纯色背景在分屏显示，并作为抠像背景。</w:t>
            </w:r>
          </w:p>
          <w:p w14:paraId="09084010">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16、</w:t>
            </w:r>
            <w:r>
              <w:rPr>
                <w:rFonts w:hint="eastAsia" w:ascii="仿宋" w:hAnsi="仿宋" w:eastAsia="仿宋" w:cs="仿宋"/>
                <w:color w:val="auto"/>
                <w:highlight w:val="none"/>
                <w:lang w:val="zh-CN"/>
              </w:rPr>
              <w:t>资源库下载导入功能：支持会员登录后，可将在线资源库中下载和收藏的素材保存在后台界面中的下载和收藏目录；双击下载的素材资源可直接添加到授课模式中做为媒体层素材进行编辑和叠加。需提供在线资源库中授课模板、图片及视频资源等分类目录的截图证明及不少于10个的授课模板预览图完整截图证明，需注明提供的各种前景、背景、授课模板对应数量，同时提供在线资源库中素材的下载网址。</w:t>
            </w:r>
          </w:p>
          <w:p w14:paraId="1C8E56BE">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17、</w:t>
            </w:r>
            <w:r>
              <w:rPr>
                <w:rFonts w:hint="eastAsia" w:ascii="仿宋" w:hAnsi="仿宋" w:eastAsia="仿宋" w:cs="仿宋"/>
                <w:color w:val="auto"/>
                <w:highlight w:val="none"/>
                <w:lang w:val="zh-CN"/>
              </w:rPr>
              <w:t>蒙板抠像背景功能：提供蒙版抠像背景功能，可一键生成蓝色、绿色或者自定义纯色抠像背景，并在触控一体机屏幕上进行显示，同时支持将整个虚拟背景画面同步输出到触控一体机屏幕，并显示在纯色抠像背景后方进行录课提示。</w:t>
            </w:r>
          </w:p>
          <w:p w14:paraId="1BA281F4">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18、</w:t>
            </w:r>
            <w:r>
              <w:rPr>
                <w:rFonts w:hint="eastAsia" w:ascii="仿宋" w:hAnsi="仿宋" w:eastAsia="仿宋" w:cs="仿宋"/>
                <w:color w:val="auto"/>
                <w:highlight w:val="none"/>
                <w:lang w:val="zh-CN"/>
              </w:rPr>
              <w:t>蒙板背景色调整功能：支持蓝绿及其他纯色抠像背景颜色透明度可调，支持通过RGB色值进行组合生成各种颜色的纯色背景在分屏显示，并作为抠像背景。蒙板绿屏上同步提供录制、暂停录制/恢复录制、停止等快捷功能按钮，提供录制时间同步显示。</w:t>
            </w:r>
          </w:p>
          <w:p w14:paraId="446039B1">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19、</w:t>
            </w:r>
            <w:r>
              <w:rPr>
                <w:rFonts w:hint="eastAsia" w:ascii="仿宋" w:hAnsi="仿宋" w:eastAsia="仿宋" w:cs="仿宋"/>
                <w:color w:val="auto"/>
                <w:highlight w:val="none"/>
                <w:lang w:val="zh-CN"/>
              </w:rPr>
              <w:t>交互式录课功能：支持在触控一体机上进行实时交互录课，可通过触控书写或标注重点内容，并在系统中合成录制，支持画笔颜色及粗细可调。支持人物切换消隐功能。支持单人纯自助课程录制，提供专用遥控器，实现虚拟背景授课模式的切换以及ppt文档的翻页。</w:t>
            </w:r>
          </w:p>
          <w:p w14:paraId="3A922327">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20、</w:t>
            </w:r>
            <w:r>
              <w:rPr>
                <w:rFonts w:hint="eastAsia" w:ascii="仿宋" w:hAnsi="仿宋" w:eastAsia="仿宋" w:cs="仿宋"/>
                <w:color w:val="auto"/>
                <w:highlight w:val="none"/>
                <w:lang w:val="zh-CN"/>
              </w:rPr>
              <w:t>素材投屏显示功能：系统支持媒体层素材投屏功能，可将授课模式中添加的摄像头、输入信号、PPT等图层内容，投屏到分屏上全屏显示，便于教师录课提示。</w:t>
            </w:r>
          </w:p>
          <w:p w14:paraId="135B5F92">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21、</w:t>
            </w:r>
            <w:r>
              <w:rPr>
                <w:rFonts w:hint="eastAsia" w:ascii="仿宋" w:hAnsi="仿宋" w:eastAsia="仿宋" w:cs="仿宋"/>
                <w:color w:val="auto"/>
                <w:highlight w:val="none"/>
                <w:lang w:val="zh-CN"/>
              </w:rPr>
              <w:t>批注功能：支持在触控一体机上书写，支持PPT翻页过程中，可根据需要设置批注保留或清除，翻页时可自动清除当前所有批注，批注并可保存在最终合成画面。可通过遥控器实现撤销或擦除。</w:t>
            </w:r>
          </w:p>
          <w:p w14:paraId="336E13B2">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22、</w:t>
            </w:r>
            <w:r>
              <w:rPr>
                <w:rFonts w:hint="eastAsia" w:ascii="仿宋" w:hAnsi="仿宋" w:eastAsia="仿宋" w:cs="仿宋"/>
                <w:color w:val="auto"/>
                <w:highlight w:val="none"/>
                <w:lang w:val="zh-CN"/>
              </w:rPr>
              <w:t>AI节目智能生成功能：用户可自主构建AI虚拟主播形象，并与虚拟背景完美融合；系统提供站姿、坐姿、男、女等多种类型的虚拟主播形象可选，可在虚拟场景中自由添加各种虚拟主播进行节目播报，播报过程中主播可带肢体动作；可在软件预览画面上，通过鼠标实时拖拽调整虚拟主播在画面上的位置，并通过鼠标滚轮调整虚拟主播的大小；内置智能语音生成系统，可实时将加载的文字转化为语音，发音标准，可自动根据虚拟主播类型将文字转换为对应的语音（如男声、女声等）播出；可根据播音内容，在虚拟画面上实时逐条显示相应的文字内容，文字显示位置可通过鼠标实时调整；可通过上一条/下一条/播放/暂停等功能，实现对虚拟主播播音进度的实时控制。</w:t>
            </w:r>
          </w:p>
          <w:p w14:paraId="20F65B39">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23、</w:t>
            </w:r>
            <w:r>
              <w:rPr>
                <w:rFonts w:hint="eastAsia" w:ascii="仿宋" w:hAnsi="仿宋" w:eastAsia="仿宋" w:cs="仿宋"/>
                <w:color w:val="auto"/>
                <w:highlight w:val="none"/>
                <w:lang w:val="zh-CN"/>
              </w:rPr>
              <w:t>配套多功能一体化升降双屏工作台推车，整体设计与录课系统自动交互式应用契合，配置双摇臂、双屏显示、主机柜，整个工作台均采用铝塑钢材料。</w:t>
            </w:r>
          </w:p>
          <w:p w14:paraId="26165F18">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24、</w:t>
            </w:r>
            <w:r>
              <w:rPr>
                <w:rFonts w:hint="eastAsia" w:ascii="仿宋" w:hAnsi="仿宋" w:eastAsia="仿宋" w:cs="仿宋"/>
                <w:color w:val="auto"/>
                <w:highlight w:val="none"/>
                <w:lang w:val="zh-CN"/>
              </w:rPr>
              <w:t>升降系统：整体采用人机工程学设计，配置可升降气弹簧的机构，升降行程不少于400±20mm， 升降负荷≦15Kg,工作台面高度890mm-1290mm，可根据不同使用人群调整对应的使用高度；台面配置升降手刹控制按钮，通过手压按钮开关控制台面及摇臂、显示屏、摄像机的整体升降及悬停。</w:t>
            </w:r>
          </w:p>
          <w:p w14:paraId="434AD6D6">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25、</w:t>
            </w:r>
            <w:r>
              <w:rPr>
                <w:rFonts w:hint="eastAsia" w:ascii="仿宋" w:hAnsi="仿宋" w:eastAsia="仿宋" w:cs="仿宋"/>
                <w:color w:val="auto"/>
                <w:highlight w:val="none"/>
                <w:lang w:val="zh-CN"/>
              </w:rPr>
              <w:t>台面：台面负荷≥5Kg, 台面为ABS工程塑料材质。台面背板提供双USB接口，方便接插U盘，连接USB设备等；台面配置双槽扶手，方便手扶操作。</w:t>
            </w:r>
          </w:p>
          <w:p w14:paraId="2920B5A5">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26、</w:t>
            </w:r>
            <w:r>
              <w:rPr>
                <w:rFonts w:hint="eastAsia" w:ascii="仿宋" w:hAnsi="仿宋" w:eastAsia="仿宋" w:cs="仿宋"/>
                <w:color w:val="auto"/>
                <w:highlight w:val="none"/>
                <w:lang w:val="zh-CN"/>
              </w:rPr>
              <w:t>供电及LCD显示屏：提供UPS锂电池和市电切换，可插电使用，或断电使用UPS电池供应急使用，断电时，提供报警声提示；工作台面提供锂电池电量LCD显示屏，实时显示剩余电量数值及电源类型显示；提供一键开关电源按钮。</w:t>
            </w:r>
          </w:p>
          <w:p w14:paraId="66E555FA">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27、</w:t>
            </w:r>
            <w:r>
              <w:rPr>
                <w:rFonts w:hint="eastAsia" w:ascii="仿宋" w:hAnsi="仿宋" w:eastAsia="仿宋" w:cs="仿宋"/>
                <w:color w:val="auto"/>
                <w:highlight w:val="none"/>
                <w:lang w:val="zh-CN"/>
              </w:rPr>
              <w:t>抽屉：采用翻盖门板设计，上下双层抽屉设置，上层抽屉配置≥6位电源插座及走线，抽屉门用手拧螺丝固定，可拆卸，方便开合接线；下层抽屉用合页翻转，磁铁门吸固定锁紧；内腔尺寸：≥420 mm(L)*340 mm(W)*60 mm(H)，可用于放置一些小物品配件；两层抽屉间设计穿线孔位；抽屉前板带一键开关按钮，控制整个推车电源。</w:t>
            </w:r>
          </w:p>
          <w:p w14:paraId="07204C43">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28、</w:t>
            </w:r>
            <w:r>
              <w:rPr>
                <w:rFonts w:hint="eastAsia" w:ascii="仿宋" w:hAnsi="仿宋" w:eastAsia="仿宋" w:cs="仿宋"/>
                <w:color w:val="auto"/>
                <w:highlight w:val="none"/>
                <w:lang w:val="zh-CN"/>
              </w:rPr>
              <w:t xml:space="preserve">键/鼠托盘尺寸：配置隐藏式键鼠托盘，键盘托盘尺寸≥440mm(L)×250mm(W),鼠标托盘尺寸≥200mm(L)×200mm(W)，鼠标托盘可实现左右抽拉功能，解决不同人群的左右手使用习惯。键盘上方台面把手处配备照明灯带，解决关系昏暗时使用困难等问题。 </w:t>
            </w:r>
          </w:p>
          <w:p w14:paraId="7D1A6427">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29、</w:t>
            </w:r>
            <w:r>
              <w:rPr>
                <w:rFonts w:hint="eastAsia" w:ascii="仿宋" w:hAnsi="仿宋" w:eastAsia="仿宋" w:cs="仿宋"/>
                <w:color w:val="auto"/>
                <w:highlight w:val="none"/>
                <w:lang w:val="zh-CN"/>
              </w:rPr>
              <w:t>显示导轨立柱：升降型内置恒力升降结构，升降时轻巧便捷，配套悬挂不低于23寸高清显示屏，显示屏可上下升降悬停，可根据使用角度进行前后俯仰调整。</w:t>
            </w:r>
          </w:p>
          <w:p w14:paraId="788126BF">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30、</w:t>
            </w:r>
            <w:r>
              <w:rPr>
                <w:rFonts w:hint="eastAsia" w:ascii="仿宋" w:hAnsi="仿宋" w:eastAsia="仿宋" w:cs="仿宋"/>
                <w:color w:val="auto"/>
                <w:highlight w:val="none"/>
                <w:lang w:val="zh-CN"/>
              </w:rPr>
              <w:t>双摇臂：一体化操作台集成双摇臂，每个摇臂均可前后、左右、上下调整角度和位置，一个摇臂作为主持人监看屏悬挂，另一个摇臂作为摄像机支撑，两个摇臂移动过程中均可在任意位置悬停。</w:t>
            </w:r>
          </w:p>
          <w:p w14:paraId="0DB873E3">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31、</w:t>
            </w:r>
            <w:r>
              <w:rPr>
                <w:rFonts w:hint="eastAsia" w:ascii="仿宋" w:hAnsi="仿宋" w:eastAsia="仿宋" w:cs="仿宋"/>
                <w:color w:val="auto"/>
                <w:highlight w:val="none"/>
                <w:lang w:val="zh-CN"/>
              </w:rPr>
              <w:t>显示器挂架摇臂：摇臂支架需固定在台面，挂架高度调节范围≥130mm，挂架可倾斜不小于20°，方便不同使用习惯的人群调整显示器高度以及仰角俯角的调整；显示器摇臂可支撑≥27寸高清显示屏，并可对支撑显示屏进行上、下、左、右四向移动，同时支持移动过程中在任意位置悬停。</w:t>
            </w:r>
          </w:p>
          <w:p w14:paraId="784280BC">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32、</w:t>
            </w:r>
            <w:r>
              <w:rPr>
                <w:rFonts w:hint="eastAsia" w:ascii="仿宋" w:hAnsi="仿宋" w:eastAsia="仿宋" w:cs="仿宋"/>
                <w:color w:val="auto"/>
                <w:highlight w:val="none"/>
                <w:lang w:val="zh-CN"/>
              </w:rPr>
              <w:t>摄像机挂架摇臂：摇臂支架需固定在台面，配套摄像机安装托盘，摇臂悬挂摄像机后可360°旋转调整角度，提供水平尺，方便调整摄像机水平拍摄。摄像机摇臂可对支撑摄像机进行上、下、左、右四向移动，同时支持移动过程中在任意位置悬停。</w:t>
            </w:r>
          </w:p>
          <w:p w14:paraId="2A51B21F">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33、</w:t>
            </w:r>
            <w:r>
              <w:rPr>
                <w:rFonts w:hint="eastAsia" w:ascii="仿宋" w:hAnsi="仿宋" w:eastAsia="仿宋" w:cs="仿宋"/>
                <w:color w:val="auto"/>
                <w:highlight w:val="none"/>
                <w:lang w:val="zh-CN"/>
              </w:rPr>
              <w:t>UPS锂电池：底座内置锂电池，嵌入220V 300W正弦波 UPS电源系统，并带散热风扇；提供市电、UPS两种工作台供电方式切换开关；切换到市电时，整个工作台由电源插座实时供电，插座断电时整个工作台均供电；切换到UPS时，整个工作台由锂电池实时供电，插座断电时整个工作台仍保持通电状态，续航时间不少于4个小时。提供供电方式名称提示。</w:t>
            </w:r>
          </w:p>
          <w:p w14:paraId="1B2B12A0">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34、</w:t>
            </w:r>
            <w:r>
              <w:rPr>
                <w:rFonts w:hint="eastAsia" w:ascii="仿宋" w:hAnsi="仿宋" w:eastAsia="仿宋" w:cs="仿宋"/>
                <w:color w:val="auto"/>
                <w:highlight w:val="none"/>
                <w:lang w:val="zh-CN"/>
              </w:rPr>
              <w:t>脚轮：提供4个万向脚轮，其中2个为全制动脚轮，轮径≥120mm；螺杆固定主轴上配有对锁螺母，便于调节直行档安装；脚轮主架和轮芯采用强承载能力的尼龙（PA6）材质。</w:t>
            </w:r>
          </w:p>
          <w:p w14:paraId="5E7642EA">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35、</w:t>
            </w:r>
            <w:r>
              <w:rPr>
                <w:rFonts w:hint="eastAsia" w:ascii="仿宋" w:hAnsi="仿宋" w:eastAsia="仿宋" w:cs="仿宋"/>
                <w:color w:val="auto"/>
                <w:highlight w:val="none"/>
                <w:lang w:val="zh-CN"/>
              </w:rPr>
              <w:t>配套课程制作主机服务器，硬件配置（不低于）：</w:t>
            </w:r>
          </w:p>
          <w:p w14:paraId="79F1ED16">
            <w:pPr>
              <w:spacing w:before="120"/>
              <w:rPr>
                <w:rFonts w:hint="eastAsia" w:ascii="仿宋" w:hAnsi="仿宋" w:eastAsia="仿宋" w:cs="仿宋"/>
                <w:color w:val="auto"/>
                <w:highlight w:val="none"/>
              </w:rPr>
            </w:pPr>
            <w:r>
              <w:rPr>
                <w:rFonts w:hint="eastAsia" w:ascii="仿宋" w:hAnsi="仿宋" w:eastAsia="仿宋" w:cs="仿宋"/>
                <w:color w:val="auto"/>
                <w:highlight w:val="none"/>
              </w:rPr>
              <w:t>处理器：≥英特尔酷睿 i7 14700  二十核心二十八线程   基本频率 2.1GHz ；</w:t>
            </w:r>
          </w:p>
          <w:p w14:paraId="51215C47">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highlight w:val="none"/>
              </w:rPr>
              <w:t xml:space="preserve">内存：≥16GB(8GB*2) DDR5 </w:t>
            </w:r>
          </w:p>
          <w:p w14:paraId="07DDF03B">
            <w:pPr>
              <w:spacing w:before="12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系统硬盘：≥256GB 固态硬盘</w:t>
            </w:r>
          </w:p>
          <w:p w14:paraId="6855B224">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素材硬盘：≥1TB素材硬盘</w:t>
            </w:r>
          </w:p>
          <w:p w14:paraId="3A9FFD73">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显卡：≥GTX 4G显存显卡；</w:t>
            </w:r>
          </w:p>
          <w:p w14:paraId="26CAED9C">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≥2路HDMI采集卡</w:t>
            </w:r>
          </w:p>
          <w:p w14:paraId="520A426D">
            <w:pPr>
              <w:pStyle w:val="968"/>
              <w:spacing w:before="120"/>
              <w:ind w:firstLine="0" w:firstLineChars="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专用手持遥控器</w:t>
            </w:r>
          </w:p>
          <w:p w14:paraId="6EA337BF">
            <w:pPr>
              <w:spacing w:before="12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串口控制线</w:t>
            </w:r>
          </w:p>
          <w:p w14:paraId="069E86A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2"/>
                <w:highlight w:val="none"/>
              </w:rPr>
              <w:t>36、</w:t>
            </w:r>
            <w:r>
              <w:rPr>
                <w:rFonts w:hint="eastAsia" w:ascii="仿宋" w:hAnsi="仿宋" w:eastAsia="仿宋" w:cs="仿宋"/>
                <w:color w:val="auto"/>
                <w:highlight w:val="none"/>
                <w:lang w:val="zh-CN"/>
              </w:rPr>
              <w:t>提供一拖二无线领夹麦克风套装，包含：充电盒*1、充电盒*1、 TX发射器*2、 RX接收器*1、 防风罩*2、转接线材一批</w:t>
            </w:r>
          </w:p>
        </w:tc>
        <w:tc>
          <w:tcPr>
            <w:tcW w:w="743" w:type="dxa"/>
            <w:vAlign w:val="center"/>
          </w:tcPr>
          <w:p w14:paraId="0AA0C70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54FF416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2D76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E8FCD0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758" w:type="dxa"/>
            <w:vAlign w:val="center"/>
          </w:tcPr>
          <w:p w14:paraId="2DB9490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一体机（带推拉绿板）</w:t>
            </w:r>
          </w:p>
        </w:tc>
        <w:tc>
          <w:tcPr>
            <w:tcW w:w="1037" w:type="dxa"/>
            <w:vAlign w:val="center"/>
          </w:tcPr>
          <w:p w14:paraId="38346AD0">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鸿合、互视达、希沃</w:t>
            </w:r>
          </w:p>
        </w:tc>
        <w:tc>
          <w:tcPr>
            <w:tcW w:w="5024" w:type="dxa"/>
            <w:vAlign w:val="center"/>
          </w:tcPr>
          <w:p w14:paraId="4DF28767">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1.整机采用UHD超高清LED液晶屏，显示尺寸≥86英寸，显示比例16:9或16:10，物理分辨率3840*2160</w:t>
            </w:r>
          </w:p>
          <w:p w14:paraId="6C414C16">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2.采用红外触控技术，支持三系统下 Windows、Android、国产化系统下使用统下≥ 40 点同时触控及书写划线。</w:t>
            </w:r>
          </w:p>
          <w:p w14:paraId="2010E7BF">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3.整机具有中文标识的前置接口：≥1路HDMI接口（非转接），≥2路USB接口，≥1路Type-C接口。</w:t>
            </w:r>
          </w:p>
          <w:p w14:paraId="439758B0">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4.整机后置接口：≥1路RJ45， ≥2路HDMI输入，≥2路USB接口，≥1路RS232，≥1路无线MIC输入</w:t>
            </w:r>
          </w:p>
          <w:p w14:paraId="20322AA9">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5.整机内置超高清一体化摄像头，摄像头支持≥1800万有效像素，可输出最大分辨率5104*3864 的图片与视频，并具有工作指示灯提示。</w:t>
            </w:r>
          </w:p>
          <w:p w14:paraId="3F9B5D40">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6.整机音响总额定功率≥60W</w:t>
            </w:r>
          </w:p>
          <w:p w14:paraId="46554182">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7.整机内置蓝牙模块，蓝牙模块≥5.4标准</w:t>
            </w:r>
          </w:p>
          <w:p w14:paraId="4FBEE939">
            <w:pPr>
              <w:widowControl/>
              <w:jc w:val="left"/>
              <w:textAlignment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8.整机内置 Wi-Fi6无线网卡，支持无线设备同时连接数量≥20个，支持自定义设置热点名称和密码</w:t>
            </w:r>
          </w:p>
          <w:p w14:paraId="6A06171B">
            <w:pP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9.采用插拔式电脑模块架构，屏体与插拔式电脑无单独接线，接口严格遵循 Intel®的 OPS-C 相关规范，针脚数为80Pin。</w:t>
            </w:r>
          </w:p>
          <w:p w14:paraId="06B15A21">
            <w:pP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10.处理器：CPU采用Intel第12代酷睿I5处理器或以上。</w:t>
            </w:r>
          </w:p>
          <w:p w14:paraId="5CDB4601">
            <w:pP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11.内存：8G DDR4笔记本内存或以上配置。</w:t>
            </w:r>
          </w:p>
          <w:p w14:paraId="63198009">
            <w:pP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 xml:space="preserve">12.硬盘：256G或以上SSD </w:t>
            </w:r>
          </w:p>
          <w:p w14:paraId="6451B3C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 w:val="22"/>
                <w:szCs w:val="22"/>
                <w:highlight w:val="none"/>
                <w:lang w:bidi="ar"/>
              </w:rPr>
              <w:t>13.内置电脑模块与整机品牌一致。</w:t>
            </w:r>
          </w:p>
        </w:tc>
        <w:tc>
          <w:tcPr>
            <w:tcW w:w="743" w:type="dxa"/>
            <w:vAlign w:val="center"/>
          </w:tcPr>
          <w:p w14:paraId="2D6AE9A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799392D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0862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33F5EF4">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58" w:type="dxa"/>
            <w:vAlign w:val="center"/>
          </w:tcPr>
          <w:p w14:paraId="212A8FF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图形化工作站</w:t>
            </w:r>
          </w:p>
        </w:tc>
        <w:tc>
          <w:tcPr>
            <w:tcW w:w="1037" w:type="dxa"/>
            <w:vAlign w:val="center"/>
          </w:tcPr>
          <w:p w14:paraId="78E1714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戴尔、超聚变、联想</w:t>
            </w:r>
          </w:p>
        </w:tc>
        <w:tc>
          <w:tcPr>
            <w:tcW w:w="5024" w:type="dxa"/>
            <w:vAlign w:val="center"/>
          </w:tcPr>
          <w:p w14:paraId="7BC2E736">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CPU:不低于i7-14700</w:t>
            </w:r>
          </w:p>
          <w:p w14:paraId="7F2CF4BB">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内存：不低于32G*2</w:t>
            </w:r>
          </w:p>
          <w:p w14:paraId="7AB59C59">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硬盘：不低于960G*2</w:t>
            </w:r>
          </w:p>
          <w:p w14:paraId="243BEA42">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图形卡：不低于T400 4G</w:t>
            </w:r>
          </w:p>
          <w:p w14:paraId="2996BD6B">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网卡：不低于2*1GE</w:t>
            </w:r>
          </w:p>
          <w:p w14:paraId="16ED8ABD">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电源：不低于1000W</w:t>
            </w:r>
          </w:p>
          <w:p w14:paraId="31F03879">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带原装键鼠、DVDRW</w:t>
            </w:r>
          </w:p>
          <w:p w14:paraId="67B33C31">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显示器：不低于24寸两台</w:t>
            </w:r>
          </w:p>
        </w:tc>
        <w:tc>
          <w:tcPr>
            <w:tcW w:w="743" w:type="dxa"/>
            <w:vAlign w:val="center"/>
          </w:tcPr>
          <w:p w14:paraId="62191384">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770EA87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3AC0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4809CB16">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三、AI资源平台</w:t>
            </w:r>
          </w:p>
        </w:tc>
      </w:tr>
      <w:tr w14:paraId="32D7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525F06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58" w:type="dxa"/>
            <w:vAlign w:val="center"/>
          </w:tcPr>
          <w:p w14:paraId="6B848A9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AI资源平台</w:t>
            </w:r>
          </w:p>
        </w:tc>
        <w:tc>
          <w:tcPr>
            <w:tcW w:w="1037" w:type="dxa"/>
            <w:vAlign w:val="center"/>
          </w:tcPr>
          <w:p w14:paraId="56C4ACC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奥威亚、维森、现代中庆</w:t>
            </w:r>
          </w:p>
        </w:tc>
        <w:tc>
          <w:tcPr>
            <w:tcW w:w="5024" w:type="dxa"/>
            <w:vAlign w:val="center"/>
          </w:tcPr>
          <w:p w14:paraId="5225088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 用户工作台</w:t>
            </w:r>
          </w:p>
          <w:p w14:paraId="71C4689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1）支持用户对头像、 姓名、 性别、邮箱、 出生日期、 手机号码、 通信地址、 简介、学历、 职称、 执教学科、 荣誉、 登录密码、 第三方账号绑定等个人资料进行查看和修改。</w:t>
            </w:r>
          </w:p>
          <w:p w14:paraId="16ED9BB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2）支持通览该用户在平台中参与的各业务开展情况， 以日历方式直观呈现， 点击某一教学日程可快速进入对应功能模块。 </w:t>
            </w:r>
          </w:p>
          <w:p w14:paraId="347B5EC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3）支持将平台功能分列呈现， 教学项和教研项方便用户快速进入课表、 视频、 专辑、资源、 在线学堂、 收藏、 教研活动、 评审活动、磨课备课、 教学督导等功能模块， 快速开展在线应用。</w:t>
            </w:r>
          </w:p>
          <w:p w14:paraId="7BEF9A9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4）支持用户自我管理教学计划课表，课表内支持自定义课程名称、 封面、 主讲人、 时间段、 学段学科等基础信息并可上传附件。 课表内授课形式支持普通直播课、 校内互动课。</w:t>
            </w:r>
          </w:p>
          <w:p w14:paraId="320B33D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 课程教学系统</w:t>
            </w:r>
          </w:p>
          <w:p w14:paraId="72D122A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1)提供教师个人课表排课进行辅助教学。 课表可由学校管理员统一推送， 并支持教师在课表中查看自己的课程信息，同时支持教师根据实际情况在原基础上进行自主排课， 自主排课的课程支持调课、 修改时间、删除等管理操作。 </w:t>
            </w:r>
          </w:p>
          <w:p w14:paraId="5C2B9FE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2)支持管理员自定义设置、 修改课节时间，贴合不同地学校或不同季节的开课时间安排。</w:t>
            </w:r>
          </w:p>
          <w:p w14:paraId="10A18FE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3)排课类型支持普通直播、 校内互动两种。校内课程在校内课表进行排课， 本校本地自主开课。</w:t>
            </w:r>
          </w:p>
          <w:p w14:paraId="211B1D0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4)支持在排课时进行课堂录制预约，默认设置所排课程对应的课节时间作为录制预约时间， 进行录制预约登记。 录制视频统一归档至平台个人视频空间。</w:t>
            </w:r>
          </w:p>
          <w:p w14:paraId="2834D27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5)支持教师通过个人课表查看个人授课统计， 统计内容须包括教学受益学生人数、 计划课时、 应授课时、 实开课时等信息。</w:t>
            </w:r>
          </w:p>
          <w:p w14:paraId="0D7BA31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6)支持关联课表进行备课， 课前上传备课课件、 布置预习任务、 随堂测试试卷等。</w:t>
            </w:r>
          </w:p>
          <w:p w14:paraId="5B2C33C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7)支持备课活动中从学校资源库中下载相应备课资源， 或自行上传本地资源。</w:t>
            </w:r>
          </w:p>
          <w:p w14:paraId="49CAEFE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8)支持已备课课堂的教学录制视频自动上传归档至对应备课活动， 方便学校老师、 教研组进行磨课备课分析应用。 </w:t>
            </w:r>
          </w:p>
          <w:p w14:paraId="0963050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9)支持学校教师课表中预约录制视频的自动上传， 归档至对应教师个人视频空间，并关联年级学科、 录制时间、 授课地点、 视频时长等信息。</w:t>
            </w:r>
          </w:p>
          <w:p w14:paraId="36C4C4A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10)支持在上传视频时同步上传课程附件， 课程附件支持文档、 图片、 视频、 压缩包等不同类型。 附件上传后， 在课程点播时支持同步下载。</w:t>
            </w:r>
          </w:p>
          <w:p w14:paraId="35B8C56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11)支持按日历时间查看开课信息并点击进入课程直播， 实时观看教学直播内容； 同时支持呈现近期课表中的课程直播状态（正在直播、 即将开始、 直播回放等） 。 支持观看直播过程中进行直播评论， 发表学习意见。</w:t>
            </w:r>
          </w:p>
          <w:p w14:paraId="0C79197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 学校教研活动系统</w:t>
            </w:r>
          </w:p>
          <w:p w14:paraId="1CD2D46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1)支持创建、 参与各年级、 各学科的网络教研活动， 支持自定义每个网络教研活动的展示封面、 教研主题、 教研内容， 支持上传教研相关的视频、 文档附件。</w:t>
            </w:r>
          </w:p>
          <w:p w14:paraId="5F2B5C0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2)支持直播观摩教研、 点播观摩教研、互动教研三种方式。 </w:t>
            </w:r>
          </w:p>
          <w:p w14:paraId="1D75F52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3)进行互动教研会议时， 创建者拥有“会控”权限， 可在互动教研会议中进行画面、发言、 参会人员管理等控制。</w:t>
            </w:r>
          </w:p>
          <w:p w14:paraId="514B6C2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4)创建主题教研后， 支持自定义评分量表， 在教研活动中根据打分量表进行教研观摩打分。</w:t>
            </w:r>
          </w:p>
          <w:p w14:paraId="558105D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5)提供教研评论、 教研笔记、 教研评分、 话题研讨四种教研互动方式。 用户可在教研过程中发表评论， 在线进行评论交互。</w:t>
            </w:r>
          </w:p>
          <w:p w14:paraId="51C9AB4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6)支持在发布教研笔记的时候关联当前观看视频时间作为标识， 后续查看教研笔记时点击即可跳转教研视频至对应时间点进行观看，方便教研总结时充分理解笔记发布者的想法。</w:t>
            </w:r>
          </w:p>
          <w:p w14:paraId="40BC6FA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7)支持记录统计教研参与签到人员， 形成签到列表， 便于教研活动的人员管理。签到列表需支持签到用户名、 签到地点、 签到时间、 签退时间的关联统计展示。</w:t>
            </w:r>
          </w:p>
          <w:p w14:paraId="1815121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8)支持手机微信扫描教研活动二维码， 填写基本信息以及通过手机定位获取签到地点后完成签到， 并记录教研平台签到列表。</w:t>
            </w:r>
          </w:p>
          <w:p w14:paraId="7B64F3A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9)支持对参与的教研互动进行评论发表、 教研话题研讨、 以及评课评分等， 便捷实现教研观摩中的评课讨论。</w:t>
            </w:r>
          </w:p>
          <w:p w14:paraId="6AE4E11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 活动评审系统</w:t>
            </w:r>
          </w:p>
          <w:p w14:paraId="699C978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1)提供完整的评审流程和体系， 包括活动创建、 活动参与、 活动评审、 活动公示四个环节。</w:t>
            </w:r>
          </w:p>
          <w:p w14:paraId="376F1F3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2)支持设置活动当前阶段： 包括四个阶段状态：筹备中、 报名中、 评审中、 结束与公示。 活动可根据预设的时间自动变更活动的当前阶段状态。</w:t>
            </w:r>
          </w:p>
          <w:p w14:paraId="3D0C774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3)支持自定义活动评分准则、 分值。 预置一套与教学课程评比相关的评分准则，评分项可选用提前设置好的模板， 也可自定义。</w:t>
            </w:r>
          </w:p>
          <w:p w14:paraId="224824B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5)活动奖项设置： 支持自定义活动奖项， 支持按数量、 比例进行得奖设置， 如得分前 2 名为“一等奖” 或得分前 5%的为一等奖。</w:t>
            </w:r>
          </w:p>
          <w:p w14:paraId="44B5AFD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6)评审活动陈列： 支持主页陈列当前所有正在开展的评审活动， 可查看到每个活动的主题、 主办方、 活动时间、 当前作品数量。</w:t>
            </w:r>
          </w:p>
          <w:p w14:paraId="092699E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8)活动参与： 参赛者可通过活动入口参与评审活动， 提供完整的活动报名信息输入机制， 包括作品信息、 作者（参赛人） 信息、 参赛人单位信息等。 支持多个作者联合参赛， 分别录入第一作者、第二作者、 第三作者信息。</w:t>
            </w:r>
          </w:p>
          <w:p w14:paraId="28EAF68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9)自定义作品信息： 支持参赛者自定义参赛作品名称、 封面、 作品介绍， 支持参赛者上传视频作品、 教学设计、 课件等参赛相关作品内容。</w:t>
            </w:r>
          </w:p>
          <w:p w14:paraId="58FF868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10)支持创建评审多个评审分组，支持预设每个分组内的评审专家、 老师。 支持对每个进行评审任务分配。 评审人员在个人空间可实时查看到自己的评审任务， 可直接进入任务参与活动评审。</w:t>
            </w:r>
          </w:p>
          <w:p w14:paraId="5DD9F1A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五、 在线学堂系统</w:t>
            </w:r>
          </w:p>
          <w:p w14:paraId="0D18FF2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支持视频资源多维度分类管理， 支持视频按学段（小学、 初中、 高中等）、学科、 专题等维度进行归档管理。 支持用户自定义每个视频的简介和封面， 以人性化方式呈现每个视频的个性化展示。</w:t>
            </w:r>
          </w:p>
          <w:p w14:paraId="1301EA7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2)支持教师用户自主创建教学课程，根据教学计划添加课程目录形成多个课节， 并上传每个课节的教学视频以及教学附件。 </w:t>
            </w:r>
          </w:p>
          <w:p w14:paraId="4B8D9D6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3)支持对课程的上传视频进行进度条控制， 确保学生用户在学习课程的过程中无法拖动进度条进行快速刷课。</w:t>
            </w:r>
          </w:p>
          <w:p w14:paraId="12DBF95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5)支持课程附件同步下载， 配套学习资料提高自主学习效率。</w:t>
            </w:r>
          </w:p>
          <w:p w14:paraId="1BF8792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6)支持通过课程名称或者教师名称检索课程视频， 方便用户快速检索所需视频进行点播学习。</w:t>
            </w:r>
          </w:p>
          <w:p w14:paraId="264CE07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六、校园文化建设系统</w:t>
            </w:r>
          </w:p>
          <w:p w14:paraId="6E4C863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1)支持自定义创建不同类型教学直播频道， 进行校园节目实时直播， 并支持在观看直播的过程中进行评论互动， 有效丰富校园德育文化建设。</w:t>
            </w:r>
          </w:p>
          <w:p w14:paraId="08C5699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2)支持校园电视台首页实时获取校园频道直播状态， 将直播中的校园频道形成频道列表， 在校园频道观看直播时可通过点击频道名称进行自由切换。</w:t>
            </w:r>
          </w:p>
          <w:p w14:paraId="18705A2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3)支持自定义不同校园资源类型， 上传相关视频资源文件， 有效开展课教文卫等课外知识宣传， 全面提升学生素养。</w:t>
            </w:r>
          </w:p>
          <w:p w14:paraId="293FB95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七、在线巡课系统</w:t>
            </w:r>
          </w:p>
          <w:p w14:paraId="0CB67F1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1）支持后台根据学校实际教学楼、班级分布情况进行信息输入列表应根据学校课堂实际分布情况进行呈现，可自定义包括课堂教室名称、所属楼层、所属教学楼、所属校区等4级呈现。</w:t>
            </w:r>
          </w:p>
          <w:p w14:paraId="5036ADE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2)支持在巡课界面通过教室列表自由切换巡课教室，从而实现对多个教室的远程直播巡课。</w:t>
            </w:r>
          </w:p>
          <w:p w14:paraId="5CBA969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3）支持将巡课教室进行分组，根据分组快捷选择课室进行巡课。</w:t>
            </w:r>
          </w:p>
          <w:p w14:paraId="7D2FFB9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4）支持用户将当前画面布局及巡课教室进行收藏，巡课专家点击收藏的场景可快速将巡课教室布局在画面中。</w:t>
            </w:r>
          </w:p>
          <w:p w14:paraId="34D4B14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5）支持1分屏、2分屏、4分屏、6分屏、9分屏、10分屏六种巡课画面布局，每个分屏可直接拖拽教室信号进行巡课。</w:t>
            </w:r>
          </w:p>
          <w:p w14:paraId="5EA25C7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6）支持对当前巡课画面进行拍照留存于图片库中，提供大图预览、图片下载、图片删除等多种管理功能。</w:t>
            </w:r>
          </w:p>
          <w:p w14:paraId="15C13ED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八、提供软件厂家正版授权书并注明软件享有终身升级服务。</w:t>
            </w:r>
          </w:p>
        </w:tc>
        <w:tc>
          <w:tcPr>
            <w:tcW w:w="743" w:type="dxa"/>
            <w:vAlign w:val="center"/>
          </w:tcPr>
          <w:p w14:paraId="31952F4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43446B5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14:paraId="40BF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7F681CE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58" w:type="dxa"/>
            <w:vAlign w:val="center"/>
          </w:tcPr>
          <w:p w14:paraId="582A1EA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平台服务器</w:t>
            </w:r>
          </w:p>
        </w:tc>
        <w:tc>
          <w:tcPr>
            <w:tcW w:w="1037" w:type="dxa"/>
            <w:vAlign w:val="center"/>
          </w:tcPr>
          <w:p w14:paraId="62E6472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戴尔、超聚变、联想</w:t>
            </w:r>
          </w:p>
        </w:tc>
        <w:tc>
          <w:tcPr>
            <w:tcW w:w="5024" w:type="dxa"/>
            <w:vAlign w:val="center"/>
          </w:tcPr>
          <w:p w14:paraId="374396C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1.Cpu： 不低于IntelXeon E5(单个 8 核 16 线程水平)及以上配置</w:t>
            </w:r>
          </w:p>
          <w:p w14:paraId="36FB34D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2.内存： 不低于32GB 3200HZ  DDR4</w:t>
            </w:r>
          </w:p>
          <w:p w14:paraId="5E26136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3.硬盘： 不低于4TB*2 SATA 企业级硬盘</w:t>
            </w:r>
          </w:p>
          <w:p w14:paraId="75C47D8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4.磁盘阵列： 支持 raid0、 raid1、 raid10</w:t>
            </w:r>
          </w:p>
          <w:p w14:paraId="0E10E66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5.网络： 不低于双千兆网卡， 10M/100M/1000Mbps 自适应 </w:t>
            </w:r>
          </w:p>
          <w:p w14:paraId="3964048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6.电源冗余： 双电源冗余 1+1  大于等于900W</w:t>
            </w:r>
          </w:p>
        </w:tc>
        <w:tc>
          <w:tcPr>
            <w:tcW w:w="743" w:type="dxa"/>
            <w:vAlign w:val="center"/>
          </w:tcPr>
          <w:p w14:paraId="4D0E028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2D841FA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1AC4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32EBC7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58" w:type="dxa"/>
            <w:vAlign w:val="center"/>
          </w:tcPr>
          <w:p w14:paraId="3300909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系统集成费</w:t>
            </w:r>
          </w:p>
        </w:tc>
        <w:tc>
          <w:tcPr>
            <w:tcW w:w="1037" w:type="dxa"/>
            <w:vAlign w:val="center"/>
          </w:tcPr>
          <w:p w14:paraId="37B80AF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国产</w:t>
            </w:r>
          </w:p>
        </w:tc>
        <w:tc>
          <w:tcPr>
            <w:tcW w:w="5024" w:type="dxa"/>
            <w:vAlign w:val="center"/>
          </w:tcPr>
          <w:p w14:paraId="2A8A486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包含资源平台软件的部署、平台服务器硬件安装部署及基础软件的部署</w:t>
            </w:r>
          </w:p>
        </w:tc>
        <w:tc>
          <w:tcPr>
            <w:tcW w:w="743" w:type="dxa"/>
            <w:vAlign w:val="center"/>
          </w:tcPr>
          <w:p w14:paraId="16077B1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380B0B7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w:t>
            </w:r>
          </w:p>
        </w:tc>
      </w:tr>
      <w:tr w14:paraId="6E1E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BF7D7CC">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四、AI智慧体育</w:t>
            </w:r>
          </w:p>
        </w:tc>
      </w:tr>
      <w:tr w14:paraId="577C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AFCBB9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758" w:type="dxa"/>
            <w:vAlign w:val="center"/>
          </w:tcPr>
          <w:p w14:paraId="3CB5BC1E">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AI跳绳魔盒</w:t>
            </w:r>
          </w:p>
        </w:tc>
        <w:tc>
          <w:tcPr>
            <w:tcW w:w="1037" w:type="dxa"/>
            <w:vAlign w:val="center"/>
          </w:tcPr>
          <w:p w14:paraId="22FE9514">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旺智、播斗、融梦</w:t>
            </w:r>
          </w:p>
        </w:tc>
        <w:tc>
          <w:tcPr>
            <w:tcW w:w="5024" w:type="dxa"/>
            <w:vAlign w:val="center"/>
          </w:tcPr>
          <w:p w14:paraId="1BA9F35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室内固定锻炼空间部署，主要应用于体育课堂、课间、课后学生自助自主跳绳、跳远、仰卧起坐、开合跳等锻炼测试。产品由“AI跳绳魔盒+多人广角摄像头”组成，内嵌智慧体育锻炼分析引擎，AI自动视频采集识别锻炼数据，提供2年软硬件维保。</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单产品可支持测试项目：跳绳（5人）、立定跳远（1人）、引体向上（1人）、仰卧起坐（3人）；锻炼项目：深蹲（5人）、蹲跳（5人）、开合跳（5人）、左右跳（5人）、高抬腿（5人），支持5人随来随测，全程无感、人脸识别、举手即可开始测试。</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3、支持学生进行跳绳、跳远、仰卧起坐等项目锻炼竞赛，实时输出成绩和对应分数。支持运动锻炼数据分析排名，每周运动排行榜。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4、可支持智慧体育数据云平台对接，支持学生日常锻炼数据整合，实现个人、班级、年级的运动锻炼数据多维度分析和展现。</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5、屏幕尺寸:不低于55英寸</w:t>
            </w:r>
          </w:p>
          <w:p w14:paraId="61E9FB1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6、刷新率:不低于144Hz</w:t>
            </w:r>
          </w:p>
          <w:p w14:paraId="6853A0E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7、支持护眼模式</w:t>
            </w:r>
          </w:p>
          <w:p w14:paraId="6B5103E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8、WIFI频段：2.4G&amp;5G</w:t>
            </w:r>
          </w:p>
          <w:p w14:paraId="1E0EA48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9、屏占比：≥97%</w:t>
            </w:r>
          </w:p>
          <w:p w14:paraId="32CACE7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10、屏幕分辨率：超高清4K</w:t>
            </w:r>
          </w:p>
          <w:p w14:paraId="2960B6D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11、响应时间：不高于6.5ms</w:t>
            </w:r>
          </w:p>
          <w:p w14:paraId="7E53A56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12、亮度：不低于300尼特</w:t>
            </w:r>
          </w:p>
          <w:p w14:paraId="69FE5DCD">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13、含安装支架。</w:t>
            </w:r>
          </w:p>
        </w:tc>
        <w:tc>
          <w:tcPr>
            <w:tcW w:w="743" w:type="dxa"/>
            <w:vAlign w:val="center"/>
          </w:tcPr>
          <w:p w14:paraId="5E61709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 w:val="20"/>
                <w:szCs w:val="20"/>
                <w:highlight w:val="none"/>
                <w:lang w:bidi="ar"/>
              </w:rPr>
              <w:t>3</w:t>
            </w:r>
          </w:p>
        </w:tc>
        <w:tc>
          <w:tcPr>
            <w:tcW w:w="564" w:type="dxa"/>
            <w:vAlign w:val="center"/>
          </w:tcPr>
          <w:p w14:paraId="5B29390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 w:val="20"/>
                <w:szCs w:val="20"/>
                <w:highlight w:val="none"/>
                <w:lang w:bidi="ar"/>
              </w:rPr>
              <w:t>套</w:t>
            </w:r>
          </w:p>
        </w:tc>
      </w:tr>
      <w:tr w14:paraId="0A7E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9037DB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758" w:type="dxa"/>
            <w:vAlign w:val="center"/>
          </w:tcPr>
          <w:p w14:paraId="45FBF7C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室内AI体育锻炼屏</w:t>
            </w:r>
          </w:p>
        </w:tc>
        <w:tc>
          <w:tcPr>
            <w:tcW w:w="1037" w:type="dxa"/>
            <w:vAlign w:val="center"/>
          </w:tcPr>
          <w:p w14:paraId="6E5E777E">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旺智、播斗、融梦</w:t>
            </w:r>
          </w:p>
        </w:tc>
        <w:tc>
          <w:tcPr>
            <w:tcW w:w="5024" w:type="dxa"/>
            <w:vAlign w:val="center"/>
          </w:tcPr>
          <w:p w14:paraId="391B1EED">
            <w:pPr>
              <w:widowControl/>
              <w:numPr>
                <w:ilvl w:val="0"/>
                <w:numId w:val="4"/>
              </w:numPr>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室内固定锻炼空间部署，主要应用课间、课后学生自助自主锻炼。大屏特别内置运动视频采集摄像头、AI分析模组等组件，内嵌智慧体育锻炼分析引擎，AI自动视频采集识别体育锻炼数据，提供2年软硬件维保。</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2、支持上肢、下肢、腰腹、全身基础体能锻炼：深蹲、蹲跳、开合跳、前后跳、高抬腿、跳绳、足球盘球、篮球运球等50多种体育锻炼项目。</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3、支持学生课间、课后自主自助锻炼；支持学生趣味锻炼项目8种以上。</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4、支持学生参加AI体育锻炼竞赛；支持运动锻炼数据分析排名，日、周、月度运动排行榜。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5、可支持智慧体育数据云平台对接，支持学生日常运动锻炼数据整合，实现个人、班级、年级的体育运动锻炼数据多维度分析和展现。</w:t>
            </w:r>
          </w:p>
          <w:p w14:paraId="607E313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6、金属外壳，整机屏前保护采用防爆玻璃。</w:t>
            </w:r>
          </w:p>
          <w:p w14:paraId="6432803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7、液晶屏（LCD），屏幕不小于43寸，支持触控，不低于1920×1080分辨率。</w:t>
            </w:r>
          </w:p>
          <w:p w14:paraId="006CABA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8、内置摄像头，支持有线以太网连接。</w:t>
            </w:r>
          </w:p>
          <w:p w14:paraId="6401BC9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9、配置AI摄像机，AI摄像机内置算力芯片，内存不小于2GB，存储不小于16GB。</w:t>
            </w:r>
          </w:p>
        </w:tc>
        <w:tc>
          <w:tcPr>
            <w:tcW w:w="743" w:type="dxa"/>
            <w:vAlign w:val="center"/>
          </w:tcPr>
          <w:p w14:paraId="31AD036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 w:val="20"/>
                <w:szCs w:val="20"/>
                <w:highlight w:val="none"/>
                <w:lang w:bidi="ar"/>
              </w:rPr>
              <w:t>1</w:t>
            </w:r>
          </w:p>
        </w:tc>
        <w:tc>
          <w:tcPr>
            <w:tcW w:w="564" w:type="dxa"/>
            <w:vAlign w:val="center"/>
          </w:tcPr>
          <w:p w14:paraId="5567CF0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 w:val="20"/>
                <w:szCs w:val="20"/>
                <w:highlight w:val="none"/>
                <w:lang w:bidi="ar"/>
              </w:rPr>
              <w:t>台</w:t>
            </w:r>
          </w:p>
        </w:tc>
      </w:tr>
      <w:tr w14:paraId="6C3D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E093A9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758" w:type="dxa"/>
            <w:vAlign w:val="center"/>
          </w:tcPr>
          <w:p w14:paraId="031983E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校园云体锻小程序</w:t>
            </w:r>
          </w:p>
        </w:tc>
        <w:tc>
          <w:tcPr>
            <w:tcW w:w="1037" w:type="dxa"/>
            <w:vAlign w:val="center"/>
          </w:tcPr>
          <w:p w14:paraId="04E70979">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旺智、播斗、融梦</w:t>
            </w:r>
          </w:p>
        </w:tc>
        <w:tc>
          <w:tcPr>
            <w:tcW w:w="5024" w:type="dxa"/>
            <w:vAlign w:val="center"/>
          </w:tcPr>
          <w:p w14:paraId="2E63096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1、校园云体锻支持体育老师向学生布置体育家庭作业，包含学生和教师两个模块入口。</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学生端自动识别运动个数、时间、自动统计历史曲线，支持PK，包含以下AI运动：深蹲、蹲跳、开合跳、前后跳、波比跳、俯卧撑、跪姿俯卧撑、跳绳、仰卧起坐、敏捷摸球游戏等运动项目训练。还可支持家长在手机端查看自己孩子在校内体锻屏、体测屏上的运动锻炼、测评数据和运动能力画像报告。</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教师端支持老师针对每日、每周布置体育课后锻炼作业；支持老师查看学生课后体育作业完成情况，完成比例，以及每个学生完成详细数量和时间；支持老师针对不同年级、不同班级、不同阶段留不同的云锻炼作业；支持老师针对上肢、下肢、腰腹等专项能力进行阶段性检测、以及定期组织云锻炼竞赛。</w:t>
            </w:r>
          </w:p>
        </w:tc>
        <w:tc>
          <w:tcPr>
            <w:tcW w:w="743" w:type="dxa"/>
            <w:vAlign w:val="center"/>
          </w:tcPr>
          <w:p w14:paraId="286D7A5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564" w:type="dxa"/>
            <w:vAlign w:val="center"/>
          </w:tcPr>
          <w:p w14:paraId="0AFB782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 w:val="20"/>
                <w:szCs w:val="20"/>
                <w:highlight w:val="none"/>
                <w:lang w:bidi="ar"/>
              </w:rPr>
              <w:t>套/年</w:t>
            </w:r>
          </w:p>
        </w:tc>
      </w:tr>
      <w:tr w14:paraId="2EF1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D84050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758" w:type="dxa"/>
            <w:vAlign w:val="center"/>
          </w:tcPr>
          <w:p w14:paraId="6CC1536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室内AI体育教学测试屏</w:t>
            </w:r>
          </w:p>
        </w:tc>
        <w:tc>
          <w:tcPr>
            <w:tcW w:w="1037" w:type="dxa"/>
            <w:vAlign w:val="center"/>
          </w:tcPr>
          <w:p w14:paraId="4FAA68CB">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旺智、播斗、融梦</w:t>
            </w:r>
          </w:p>
        </w:tc>
        <w:tc>
          <w:tcPr>
            <w:tcW w:w="5024" w:type="dxa"/>
            <w:vAlign w:val="center"/>
          </w:tcPr>
          <w:p w14:paraId="578318AC">
            <w:pPr>
              <w:widowControl/>
              <w:numPr>
                <w:ilvl w:val="0"/>
                <w:numId w:val="5"/>
              </w:numPr>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室内体育场地固定部署，主要应用于学生自助自主体育测试评价、体育课教学、体育课体能强化训练等场景。大屏特别内置运动视频采集摄像头、AI分析模组等组件，内嵌智慧体育测试分析引擎，AI自动视频采集识别体育测试成绩，提供2年软硬件维保。</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2、支持体育测试评价：立定跳远（1人），仰卧起坐（2人），引体向上（1人），俯卧撑（2人），跳绳（3人）项目测试，支持学生自助自主训练。</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3、支持体育教学视频，支持体育课体能强化训练（支持同时3人）：跳绳、开合跳等20多种组合体能训练。</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4、支持AI自动视频采集识别运动过程、违规动作提示、自动输出测试成绩，支持选择体育运动项目，人脸识别，语音播报，日周运动排名，运动评价等。</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5、支持学生个人体测报告输出、学生体测视频回放查看。</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6、可支持智慧体育数据云平台对接，支持体育测试数据的自动上传、存储、查询和多维度分析。</w:t>
            </w:r>
          </w:p>
          <w:p w14:paraId="5B56720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7、金属外壳，整机屏前保护采用防爆玻璃。</w:t>
            </w:r>
          </w:p>
          <w:p w14:paraId="1E612D7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8、液晶屏（LCD），屏幕不小于55寸，支持触控，不低于1920×1080分辨率。</w:t>
            </w:r>
          </w:p>
          <w:p w14:paraId="111A0D8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9、内置摄像头，支持有线以太网连接。</w:t>
            </w:r>
          </w:p>
          <w:p w14:paraId="2F8642C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10、配置AI摄像机，AI摄像机内置算力芯片，内存不小于2GB，存储不小于16GB。</w:t>
            </w:r>
          </w:p>
        </w:tc>
        <w:tc>
          <w:tcPr>
            <w:tcW w:w="743" w:type="dxa"/>
            <w:vAlign w:val="center"/>
          </w:tcPr>
          <w:p w14:paraId="4CBC5F0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 w:val="20"/>
                <w:szCs w:val="20"/>
                <w:highlight w:val="none"/>
                <w:lang w:bidi="ar"/>
              </w:rPr>
              <w:t>1</w:t>
            </w:r>
          </w:p>
        </w:tc>
        <w:tc>
          <w:tcPr>
            <w:tcW w:w="564" w:type="dxa"/>
            <w:vAlign w:val="center"/>
          </w:tcPr>
          <w:p w14:paraId="719652C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 w:val="20"/>
                <w:szCs w:val="20"/>
                <w:highlight w:val="none"/>
                <w:lang w:bidi="ar"/>
              </w:rPr>
              <w:t>台</w:t>
            </w:r>
          </w:p>
        </w:tc>
      </w:tr>
      <w:tr w14:paraId="0A08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3C7B9D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758" w:type="dxa"/>
            <w:vAlign w:val="center"/>
          </w:tcPr>
          <w:p w14:paraId="20313D4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智慧体育平台数据对接</w:t>
            </w:r>
          </w:p>
        </w:tc>
        <w:tc>
          <w:tcPr>
            <w:tcW w:w="1037" w:type="dxa"/>
            <w:vAlign w:val="center"/>
          </w:tcPr>
          <w:p w14:paraId="1C08B445">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旺智、播斗、融梦</w:t>
            </w:r>
          </w:p>
        </w:tc>
        <w:tc>
          <w:tcPr>
            <w:tcW w:w="5024" w:type="dxa"/>
            <w:vAlign w:val="center"/>
          </w:tcPr>
          <w:p w14:paraId="14F88EF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华舍小学老校区已经建有智慧体育平台，本次新建的设备需要无缝接入老校区智慧体育平台</w:t>
            </w:r>
          </w:p>
        </w:tc>
        <w:tc>
          <w:tcPr>
            <w:tcW w:w="743" w:type="dxa"/>
            <w:vAlign w:val="center"/>
          </w:tcPr>
          <w:p w14:paraId="1E92442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 w:val="20"/>
                <w:szCs w:val="20"/>
                <w:highlight w:val="none"/>
                <w:lang w:bidi="ar"/>
              </w:rPr>
              <w:t>1</w:t>
            </w:r>
          </w:p>
        </w:tc>
        <w:tc>
          <w:tcPr>
            <w:tcW w:w="564" w:type="dxa"/>
            <w:vAlign w:val="center"/>
          </w:tcPr>
          <w:p w14:paraId="6C4E11A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 w:val="20"/>
                <w:szCs w:val="20"/>
                <w:highlight w:val="none"/>
                <w:lang w:bidi="ar"/>
              </w:rPr>
              <w:t>套</w:t>
            </w:r>
          </w:p>
        </w:tc>
      </w:tr>
      <w:tr w14:paraId="1AFC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088CC208">
            <w:pPr>
              <w:widowControl/>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五、智慧图书馆</w:t>
            </w:r>
          </w:p>
        </w:tc>
      </w:tr>
      <w:tr w14:paraId="0957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07D309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758" w:type="dxa"/>
            <w:vAlign w:val="center"/>
          </w:tcPr>
          <w:p w14:paraId="3DBDEFB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图书馆自动化管理系统</w:t>
            </w:r>
          </w:p>
        </w:tc>
        <w:tc>
          <w:tcPr>
            <w:tcW w:w="1037" w:type="dxa"/>
            <w:vAlign w:val="center"/>
          </w:tcPr>
          <w:p w14:paraId="3AA217AC">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江图、南图、杰翰</w:t>
            </w:r>
          </w:p>
        </w:tc>
        <w:tc>
          <w:tcPr>
            <w:tcW w:w="5024" w:type="dxa"/>
            <w:vAlign w:val="center"/>
          </w:tcPr>
          <w:p w14:paraId="7772F34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所有业务功能模块需集成在一个界面上，上方显示、文献编目、读者管理、流通管理、文献典藏、报表分析、系统设置、opac、财务管理等功能子系统。</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系统输入ISBN编号检索图书信息、支持上传图书封面、支持递增图书条码号、支持增加图书复本、支持增加图书定位.图书编目可以自定义添加扩展属性，图书典藏可以根据客户需要通自定添加典藏归类（编目批次），管理远可以通过典藏归类（编目批次）进行图书检索、系统可以根据云端大数据检索图书信息功能，具有图书录入功能，系统储备百万级在线数目信息，输入ISBN号或图书关键词，可以显示图书的基本信息，便于图书适宜性清查。</w:t>
            </w:r>
            <w:r>
              <w:rPr>
                <w:rFonts w:hint="eastAsia" w:ascii="仿宋" w:hAnsi="仿宋" w:eastAsia="仿宋" w:cs="仿宋"/>
                <w:b/>
                <w:bCs/>
                <w:color w:val="auto"/>
                <w:kern w:val="0"/>
                <w:szCs w:val="21"/>
                <w:highlight w:val="none"/>
                <w:lang w:bidi="ar"/>
              </w:rPr>
              <w:br w:type="textWrapping"/>
            </w:r>
            <w:r>
              <w:rPr>
                <w:rFonts w:hint="eastAsia" w:ascii="仿宋" w:hAnsi="仿宋" w:eastAsia="仿宋" w:cs="仿宋"/>
                <w:color w:val="auto"/>
                <w:kern w:val="0"/>
                <w:szCs w:val="21"/>
                <w:highlight w:val="none"/>
                <w:lang w:bidi="ar"/>
              </w:rPr>
              <w:t>2.系统需要支持多种MARC数据导入，并且可以自定义MARC馆藏字段。</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3.系统需支持编目参数设置，设置图书条码位数，登入号自动生成、条码号与财产号一致，分类号小数点截取位数。</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4.支持按文献类型、条码范围、馆藏地、编目日期、书刊状态、编目批次等条件查询图书个人登入账号清单。</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5.系统需支持分类财产账目统计，可以以表格或者图书样式显示。</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6.系统需支持馆藏输出，可按文献类型、条码范围、馆藏地、编目日期、书刊状态、编目批次等条件导出馆藏清单。</w:t>
            </w:r>
          </w:p>
          <w:p w14:paraId="0FECDEA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7.系统需支持书标打印，具有自定义书标打印模板，书标可选择打印分类号、书次号、卷册号、条码号、登入号、馆藏地、出版年度、排架号等内容。</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8.系统支持书次号管理， 可以自定义编辑书次号。</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9.系统支持书标打印按条码范围、编目批次、编目日期等方式打印。</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10.系统支持编目图片导入，可以选择批量图书图片。</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11.系统支持图书编目扫描书本ISBN快速获取书目信息12、支持删除图书信息、支持编辑图书信息、支持图书状态修改、支持馆藏地修改、支持排架号、支持条码号修改。</w:t>
            </w:r>
            <w:r>
              <w:rPr>
                <w:rFonts w:hint="eastAsia" w:ascii="仿宋" w:hAnsi="仿宋" w:eastAsia="仿宋" w:cs="仿宋"/>
                <w:b/>
                <w:bCs/>
                <w:color w:val="auto"/>
                <w:kern w:val="0"/>
                <w:szCs w:val="21"/>
                <w:highlight w:val="none"/>
                <w:lang w:bidi="ar"/>
              </w:rPr>
              <w:br w:type="textWrapping"/>
            </w:r>
            <w:r>
              <w:rPr>
                <w:rFonts w:hint="eastAsia" w:ascii="仿宋" w:hAnsi="仿宋" w:eastAsia="仿宋" w:cs="仿宋"/>
                <w:color w:val="auto"/>
                <w:kern w:val="0"/>
                <w:szCs w:val="21"/>
                <w:highlight w:val="none"/>
                <w:lang w:bidi="ar"/>
              </w:rPr>
              <w:t xml:space="preserve">13.系统需要支持读者录入以及批量导入。 </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14.支持删除读者、支持注销读者、支持编辑读者信息、支持修改读者密码。支持收取押金、支持退押金、支持导出读者信息、支持查看读者各项信息。</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15.系统支持按不同的读者单位创建单位名称。</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16.系统支持读者头像批量导入。</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17. 系统支持智能流通功能，支持输入读者条码、身份证号、手机号后再次输入图书条码借书、支持输入图书条码还书。</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18.系统支持按读者条码、文献条码、读者单位、读者类型 、日期范围、馆藏地、操作员等方式检索借书、还书、续借等历史记录</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19.系统支持按日、月、年统计本馆的借阅趋势并且以线性图展示。</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20.系统支持读者类型可定义修改借阅册数、正常借期、最低需要金额、手续费、允许预约、允许荐购、允许续借、馆际互借，最大续借次数等基本信息</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21.系统支持实时展示读者类型借阅排行分布图</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22.系统支持日期范围检索读者类型借阅趋势分布图</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23.系统支持按读者类型、读者单位检索中图法分类借阅分布图</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24. 系统支持按读者类型、读者单位检索超期罚款统计分布图</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25系统支持按读者类型、读者单位检索读者分布图。</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26.我的图书馆，读者登录我的图书馆之后，可以查看个人借阅列表、预借列表、荐购记录、违章罚款记录、书评管理、读者日志，可修改个人资料和密码。</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27.新书同通报，最新图书会显示图书馆最新编目上架的图书列表，读者可以查看图书的详细信息。</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28.图书排行，热门图书会显示图书馆借阅次数最多的图书列表，读者可以查看图书的详细信息。</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29.读者荐购，读者可以推荐图书馆购买读者需要的图书，图书馆馆员对读者荐购的图书进行处理，并通知到读者。</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30.书目详细信息中，能够查看图书馆藏信息、题名、索书号、条码号、流通状态等，可进行图书预借、导航操作。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31.系统能直观查看本馆概况包括读者数量、馆藏数量、读者类型、今日借还量、累计还书、累计借书、图书分布、馆藏地借阅量。</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32..支持读者排行、读者单位借阅排行、读者单位借阅趋势、读者类型借阅排行、读者类型借阅趋势、中图法分类借阅、超期罚款统计、读者分布的统计并以图表展现，统计结果清晰直观。</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33..支持图书借阅排行、馆藏分布、文献借阅率、文献利用率、馆藏地借阅量、中图分类借阅量、馆藏增长趋势的统计，能以图表形式直观显示。</w:t>
            </w:r>
          </w:p>
          <w:p w14:paraId="0D26E5D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34.提供软件厂家正版授权书并注明软件享有终身升级服务。</w:t>
            </w:r>
          </w:p>
        </w:tc>
        <w:tc>
          <w:tcPr>
            <w:tcW w:w="743" w:type="dxa"/>
            <w:vAlign w:val="center"/>
          </w:tcPr>
          <w:p w14:paraId="284B566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6D3E47D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68BC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D548A3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758" w:type="dxa"/>
            <w:vAlign w:val="center"/>
          </w:tcPr>
          <w:p w14:paraId="7F46645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触摸屏查询机</w:t>
            </w:r>
          </w:p>
        </w:tc>
        <w:tc>
          <w:tcPr>
            <w:tcW w:w="1037" w:type="dxa"/>
            <w:vAlign w:val="center"/>
          </w:tcPr>
          <w:p w14:paraId="4A848F69">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江图、南图、杰翰</w:t>
            </w:r>
          </w:p>
        </w:tc>
        <w:tc>
          <w:tcPr>
            <w:tcW w:w="5024" w:type="dxa"/>
            <w:vAlign w:val="center"/>
          </w:tcPr>
          <w:p w14:paraId="5A7E8A5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1.图书管理人员通过公共检索系统后台可以检索到读者排行榜，图书排行榜，书评排行榜。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2.OPAC查询系统具有新书通报功能，可以让读者了解到图书馆最新入馆图书动态。</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3.读者可以就图书馆的图书进行书评功能。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4.OPAC 查询系统具有读者推荐功能，图书管理人员根据读者的推荐后期进行采购图书；</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5.公共检索系统本身可以进行分类查询，读者可以选择对应的分类名来检索出该类的图书； 6.通过我的图书馆，读者可以查阅自己的借阅记录.触摸屏：32C寸触摸屏</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产品说明：高稳定性，高透光性，可达92%，</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寿命长高度耐久，不怕刮伤</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单点触摸寿命大于5000万次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透光率：92%</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响应时间：&lt;10ms</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最小触摸体：&gt;5mm</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技术参数：分辨率：1280*1024</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对比度：2000:1</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亮度：350cd/m2</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屏幕比例：4：3</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响应速度：6ms；</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特点：采用标准冷扎钢板</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机柜流线型模具制作，全钢质机体表面采用汽车工艺金属烤漆</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可根据用户需求预留进出口，具有防火、防磁、防静电等优点。</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可提供RJ45标准网络接口</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电压：AC220V ± 10% 50HZ ± 1HZ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功率：230W</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频率：50HZ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开机瞬间电流为3A</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操作温度 - 20℃-50℃</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存储温度 - 35℃-50℃</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操作相对湿度 5%-95%.</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内置：音响、控制面板、电源、风扇、网络功能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标配配置：不低于I3 12代，4G内存,128G固态硬盘</w:t>
            </w:r>
          </w:p>
        </w:tc>
        <w:tc>
          <w:tcPr>
            <w:tcW w:w="743" w:type="dxa"/>
            <w:vAlign w:val="center"/>
          </w:tcPr>
          <w:p w14:paraId="438DBAE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2F4798C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2E5C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F8EAD1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758" w:type="dxa"/>
            <w:vAlign w:val="center"/>
          </w:tcPr>
          <w:p w14:paraId="3F928A9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一体化馆员工作站</w:t>
            </w:r>
          </w:p>
        </w:tc>
        <w:tc>
          <w:tcPr>
            <w:tcW w:w="1037" w:type="dxa"/>
            <w:vAlign w:val="center"/>
          </w:tcPr>
          <w:p w14:paraId="73DCABA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江图、南图、杰翰</w:t>
            </w:r>
          </w:p>
        </w:tc>
        <w:tc>
          <w:tcPr>
            <w:tcW w:w="5024" w:type="dxa"/>
            <w:vAlign w:val="center"/>
          </w:tcPr>
          <w:p w14:paraId="73B156B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1、馆员工作站一体机包含触摸显示一体机，RFID 读写器，IC 卡读写器。（可扩展 IC 卡、身份证、RFID 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2、可对 RFID 标签非接触式地进行阅读，有读取、写入、改写 RFID 标签的能力。亦可作为桌面式自助借还机使用，可选配借书、 还书、查询等功能。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3、可通过安装借还软件进行升级，实现借还书功能。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4、可对一个RFID图书标签非接触式地进行阅读，有编写、读取、注销RFID图书标签能力。</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5、可以改写RFID图书标签的报警状态，可以对图书标签防盗位进行复位或置位。</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6、系统提供双重功能，可以处理 RFID标签, 同时支持扫描图书条形码。</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技术参数：                                                                                                                                                                                                                 1、工作频率为902-928MHz；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2、以广谱跳频(FHSS)或定频发射方式工作；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3、输出功率达至30dBm（可调）；</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4、支持自动方式、交互应答方式、触发方式等多种工作模式；</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5、低功耗设计，单＋9V电源供电；</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6、支持usb接口。                                                                                                                                                                                                  7、可定制TCPIP或RS232接口。质量要求1 所投产品需为保证产品的质量及安全，核心产品RFID读写器</w:t>
            </w:r>
          </w:p>
        </w:tc>
        <w:tc>
          <w:tcPr>
            <w:tcW w:w="743" w:type="dxa"/>
            <w:vAlign w:val="center"/>
          </w:tcPr>
          <w:p w14:paraId="7557B36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408AF81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4638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30DB5A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758" w:type="dxa"/>
            <w:vAlign w:val="center"/>
          </w:tcPr>
          <w:p w14:paraId="2FFE8CF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自助借还书机</w:t>
            </w:r>
          </w:p>
        </w:tc>
        <w:tc>
          <w:tcPr>
            <w:tcW w:w="1037" w:type="dxa"/>
            <w:vAlign w:val="center"/>
          </w:tcPr>
          <w:p w14:paraId="53732D55">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江图、南图、杰翰</w:t>
            </w:r>
          </w:p>
        </w:tc>
        <w:tc>
          <w:tcPr>
            <w:tcW w:w="5024" w:type="dxa"/>
            <w:vAlign w:val="center"/>
          </w:tcPr>
          <w:p w14:paraId="049EFFE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功能要求：</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1、设备采用一体式结构。</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2、可以非接触式的快速识别粘贴在流通文献上的RFID标签和现有条形码，可进行读者卡密码确认。</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3、配备触摸显示屏操作，具有图形化的人机交互友好操作界面，提供简体中文语言的视觉交互提示功能。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4、设备支持自动开关机，无需管理人员开机关机设置。</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5、设备可实时记录读者的操作日志，能够在读者完成借书或还书的同时，对所借还的多本图书进行安全标志位进行改写。</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6、保护读者隐私，设置显示读者姓名、图书资料名称、借阅资料条码号等非隐私信息。</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7、系统支持图书馆后台管理系统，可通过中间件应用服务器系统与图书馆的图书管理系统进行连接，协调工作。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8、标配读卡器（支持IC卡14443A协议），可根据需求选配多合一读卡器（支持IC卡（14443A协议）、身份证(14443B协议)或社保卡）。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9、系统支持配置（开启/关闭）读者证密码。</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10、系统保证在设备区域范围内的图书能够读取，保证读者操作时不会出错。</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11、系统集成部件可通过标准串口、USB接口或网络接口连接至计算机设备。</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12、采用模块化设计，各部分设备可单独更换，系统可快速恢复使用。</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 xml:space="preserve">13、系统在网络短暂故障恢复后,自动连接流通系统服务器,并恢复自助服务,无需馆员协助连接或重新启动服务。 </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14、为保证系统软件操作更便捷化，系统软件应用功能（凭条打印）需在软件管理员界面可选配（开启或关闭）。</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15、无需读者卡可直接使用账号，以应对无读者卡的图书馆实现借还。</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16、后置式维护门，维护门在后面可直接打开，从后面即可打开设备进行更换凭条纸，维护设备更简单方便。</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17、设备配备一个灯带,显示设备使用正常。</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18、为保证系统软件操作更便捷化，系统支持应用功可配置。</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19、系统支持多种登录模式验证读者身份，登录模式可在软件后台可配置。</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20、系统支持凭管理密码进入馆员后台，进行退出软件系统、关机等操作。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21、支持查询读者个人借阅记录，支持单本或全部续借功能，满足读者个性化需求。</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22. 整机内置无线网络模块，无任何外接、转接天线及网卡可实现正常网络连接</w:t>
            </w:r>
          </w:p>
          <w:p w14:paraId="62CC1B94">
            <w:pPr>
              <w:widowControl/>
              <w:numPr>
                <w:ilvl w:val="0"/>
                <w:numId w:val="6"/>
              </w:numPr>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整机在高低温环境中使用功能正常、读取标签性能稳定（-32℃～78℃），外观无变形损坏，符合相关标准</w:t>
            </w:r>
          </w:p>
          <w:p w14:paraId="4B4AF4BA">
            <w:pPr>
              <w:widowControl/>
              <w:numPr>
                <w:ilvl w:val="0"/>
                <w:numId w:val="6"/>
              </w:numPr>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整机在受静电放电抗扰度干扰时，不影响其读写性能或性能在暂时丧失或降低后，能自行恢复</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25.自助借还书机产品为保证设备稳定性正常使用无故障，且平均无故障时间≥10000 小时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26.自助借还书机产品为保证耐腐蚀性，通过≥72h 盐雾测试</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27.系统可以支持兼容多种频段读写机具，可根据要求定制加载高频读写器或者超高频读写器</w:t>
            </w:r>
          </w:p>
          <w:p w14:paraId="159B55FF">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28、 支持TCP/IP联网协议、SIPII国际标准协议、NCIP协议等接口与图书馆端数据库进行数据交换，确保系统安全</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29、通过射频感应的传导骚扰抗扰：频率1KHZ，调制度80%,扫描频率从0.15MHZ-80MHz能自行恢复工作</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30、 自助借还书机的刷卡器，要求具备读者证阅读模块、身份证阅读模块、人脸识别模块、指纹识别模块，支持ISO14443A标准，ISO15693标准、ID卡、身份证、人脸、指纹等方式登入系统。</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31、为了保障设备性能稳定，整机通过电磁兼容相关抗扰度性能测试</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32、无需读者卡可直接使用账号、密码绑定人脸，以应对无读者卡的图书馆实现借还。</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33、可通过人脸识别验证读者身份进行自助借还图书。</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技术要求：</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1、工作频率：902-928MHz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2、摄像头：红外摄像头（选配）</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3、屏幕尺寸：不低于21.5寸（宽屏16：9）</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4、灯带：设备配置灯带</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5、触摸类型：触摸屏</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6、工作温度：-10℃～50℃。</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7、储存温度：-20℃～60℃。</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8、相对湿度：5%～80%。</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9、材    质：钣金，钢化玻璃，亚克力。</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10、符合标准：ISO18000-6C</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11、主机配置：不低于I5</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12、内    存：不低于4G</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13、储存空间：不低于128G</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14、识别图书：多本</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15、标签读取响应时间≥8个标签/秒。</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16、阅读范围：300mm范围以内为有效阅读区</w:t>
            </w:r>
          </w:p>
        </w:tc>
        <w:tc>
          <w:tcPr>
            <w:tcW w:w="743" w:type="dxa"/>
            <w:vAlign w:val="center"/>
          </w:tcPr>
          <w:p w14:paraId="033EC3A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19E3762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36A7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702D9DE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758" w:type="dxa"/>
            <w:vAlign w:val="center"/>
          </w:tcPr>
          <w:p w14:paraId="210F23C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还书箱</w:t>
            </w:r>
          </w:p>
        </w:tc>
        <w:tc>
          <w:tcPr>
            <w:tcW w:w="1037" w:type="dxa"/>
            <w:vAlign w:val="center"/>
          </w:tcPr>
          <w:p w14:paraId="5CDC24CA">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江图、南图、杰翰</w:t>
            </w:r>
          </w:p>
        </w:tc>
        <w:tc>
          <w:tcPr>
            <w:tcW w:w="5024" w:type="dxa"/>
            <w:vAlign w:val="center"/>
          </w:tcPr>
          <w:p w14:paraId="047C4CA0">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 图书容量：≥150 册</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 材质工艺：电泳型材+铝板材+纤维板+喷涂丝印</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 书箱原理：根据书箱内图书的重量来实现自动升降</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 xml:space="preserve">4. 静音轮：前两万向耐磨静音轮。后两万向带刹车耐磨静音轮，方便载 重时推动转向。 </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 特  点：承载板自由升级，无负载离地面≥ 680mm，行程≥450mm，侧面外封板采用高强度</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6．铝合金材料，耐瞬时 强度高，有抗变形能力，耐候性好。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 功能展示：书箱承载板支持根据负荷自动升降（内部结构采用复杂的力学设 计）承载表面采用特殊的处理，有效降低图书放入书箱瞬间撞击力度。</w:t>
            </w:r>
          </w:p>
        </w:tc>
        <w:tc>
          <w:tcPr>
            <w:tcW w:w="743" w:type="dxa"/>
            <w:vAlign w:val="center"/>
          </w:tcPr>
          <w:p w14:paraId="2F94578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68EF128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2A0A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4F3415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758" w:type="dxa"/>
            <w:vAlign w:val="center"/>
          </w:tcPr>
          <w:p w14:paraId="631DD60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图书电子标签</w:t>
            </w:r>
          </w:p>
        </w:tc>
        <w:tc>
          <w:tcPr>
            <w:tcW w:w="1037" w:type="dxa"/>
            <w:vAlign w:val="center"/>
          </w:tcPr>
          <w:p w14:paraId="0AA9CD2D">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江图、南图、杰翰</w:t>
            </w:r>
          </w:p>
        </w:tc>
        <w:tc>
          <w:tcPr>
            <w:tcW w:w="5024" w:type="dxa"/>
            <w:vAlign w:val="center"/>
          </w:tcPr>
          <w:p w14:paraId="2F30F504">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1.协议　 ISO1800-6C</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2.工作频率　 860-928MHz 3.封装材料　 纸质不干胶/PET 4.工作环境　 -40到+85°C 5.数据有效期　 10年 6.读写次数　 擦写10万次</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7.标签为无源标签，无需电池。</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8.防冲突性：允许工作区间内多个标签的可靠识读；</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9.有效识读距离：完全符合自助借还、盘点机、安全门等设备读取要求；标签可以非接触式的读取和写入；</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10.标签具有一定的抗冲突性，保证多个标签的同时可靠识；</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11.标签具有较高的安全性，防止存储在其中的信息资料被泄露；</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12.用户可自定义数据格式和内容，具有良好的数据扩展性；</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13.标签为自带不干胶标签, 标签粘贴到位后不易撕毁、脱落，隐蔽性强；</w:t>
            </w:r>
          </w:p>
        </w:tc>
        <w:tc>
          <w:tcPr>
            <w:tcW w:w="743" w:type="dxa"/>
            <w:vAlign w:val="center"/>
          </w:tcPr>
          <w:p w14:paraId="043460B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15000</w:t>
            </w:r>
          </w:p>
        </w:tc>
        <w:tc>
          <w:tcPr>
            <w:tcW w:w="564" w:type="dxa"/>
            <w:vAlign w:val="center"/>
          </w:tcPr>
          <w:p w14:paraId="686FF4A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枚</w:t>
            </w:r>
          </w:p>
        </w:tc>
      </w:tr>
      <w:tr w14:paraId="3C29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711542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w:t>
            </w:r>
          </w:p>
        </w:tc>
        <w:tc>
          <w:tcPr>
            <w:tcW w:w="758" w:type="dxa"/>
            <w:vAlign w:val="center"/>
          </w:tcPr>
          <w:p w14:paraId="1ED5D99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安全防盗门禁</w:t>
            </w:r>
          </w:p>
        </w:tc>
        <w:tc>
          <w:tcPr>
            <w:tcW w:w="1037" w:type="dxa"/>
            <w:vAlign w:val="center"/>
          </w:tcPr>
          <w:p w14:paraId="0D0A7BDC">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江图、南图、杰翰</w:t>
            </w:r>
          </w:p>
        </w:tc>
        <w:tc>
          <w:tcPr>
            <w:tcW w:w="5024" w:type="dxa"/>
            <w:vAlign w:val="center"/>
          </w:tcPr>
          <w:p w14:paraId="663E6B4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频率范围：840MHz-960MHz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射频协议标准：ISO 18000-6C（EPC C1 G2）</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输出功率：4天线，功率1-33dBm可调</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读取速度：≥200pcs/s</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供电输入：AC220V</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工作温度：-10℃~60℃</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存储温度：-20℃~70℃</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可以非接触式的快速识别粘贴在流通文献上的RFID标签；</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可以对图书馆内的印刷品、视听出版物、CD及DVD等流通文献进行安全扫描操作，不能损坏粘贴在流通文献中的磁性介质的文献；</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设备系统具有高侦测性能，能够进行三维监测；</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具有音频和视觉报警信号；</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质量要求：</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所投产品需为保证产品的稳定性，安全防盗门设备</w:t>
            </w:r>
          </w:p>
        </w:tc>
        <w:tc>
          <w:tcPr>
            <w:tcW w:w="743" w:type="dxa"/>
            <w:vAlign w:val="center"/>
          </w:tcPr>
          <w:p w14:paraId="03A58FA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64" w:type="dxa"/>
            <w:vAlign w:val="center"/>
          </w:tcPr>
          <w:p w14:paraId="0183E65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4BD4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2B8700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w:t>
            </w:r>
          </w:p>
        </w:tc>
        <w:tc>
          <w:tcPr>
            <w:tcW w:w="758" w:type="dxa"/>
            <w:vAlign w:val="center"/>
          </w:tcPr>
          <w:p w14:paraId="48AD66D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图书整类分类上架</w:t>
            </w:r>
          </w:p>
        </w:tc>
        <w:tc>
          <w:tcPr>
            <w:tcW w:w="1037" w:type="dxa"/>
            <w:vAlign w:val="center"/>
          </w:tcPr>
          <w:p w14:paraId="3F4F6B2C">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江图、南图、杰翰</w:t>
            </w:r>
          </w:p>
        </w:tc>
        <w:tc>
          <w:tcPr>
            <w:tcW w:w="5024" w:type="dxa"/>
            <w:vAlign w:val="center"/>
          </w:tcPr>
          <w:p w14:paraId="64CF56B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编目加工1、严格按照《国图标准CNMARC数据》和《中国图书馆分类法》第五版进行图书编目录入；</w:t>
            </w:r>
            <w:r>
              <w:rPr>
                <w:rStyle w:val="314"/>
                <w:rFonts w:hint="eastAsia" w:ascii="仿宋" w:hAnsi="仿宋" w:eastAsia="仿宋" w:cs="仿宋"/>
                <w:color w:val="auto"/>
                <w:sz w:val="21"/>
                <w:szCs w:val="21"/>
                <w:highlight w:val="none"/>
                <w:lang w:bidi="ar"/>
              </w:rPr>
              <w:t xml:space="preserve"> </w:t>
            </w:r>
            <w:r>
              <w:rPr>
                <w:rFonts w:hint="eastAsia" w:ascii="仿宋" w:hAnsi="仿宋" w:eastAsia="仿宋" w:cs="仿宋"/>
                <w:color w:val="auto"/>
                <w:kern w:val="0"/>
                <w:szCs w:val="21"/>
                <w:highlight w:val="none"/>
                <w:lang w:bidi="ar"/>
              </w:rPr>
              <w:t>2、条形码：采用进口不干胶条码纸，通过热转印技术打印，应用进口树脂碳带，采用专业条码打印机打印，可直接打印上图书馆的名称或单位名称;字母清晰 ;条码位数7位，要求贴正，不要贴斜。</w:t>
            </w:r>
            <w:r>
              <w:rPr>
                <w:rStyle w:val="314"/>
                <w:rFonts w:hint="eastAsia" w:ascii="仿宋" w:hAnsi="仿宋" w:eastAsia="仿宋" w:cs="仿宋"/>
                <w:color w:val="auto"/>
                <w:sz w:val="21"/>
                <w:szCs w:val="21"/>
                <w:highlight w:val="none"/>
                <w:lang w:bidi="ar"/>
              </w:rPr>
              <w:t xml:space="preserve"> </w:t>
            </w:r>
            <w:r>
              <w:rPr>
                <w:rFonts w:hint="eastAsia" w:ascii="仿宋" w:hAnsi="仿宋" w:eastAsia="仿宋" w:cs="仿宋"/>
                <w:color w:val="auto"/>
                <w:kern w:val="0"/>
                <w:szCs w:val="21"/>
                <w:highlight w:val="none"/>
                <w:lang w:bidi="ar"/>
              </w:rPr>
              <w:t>3、书标：A4幅面不干胶书标，直角50枚，可用普通激光，色带，喷墨打印机打印。书标内容及格式严格按照规范格式编排，保证尺寸、色彩统一。书标上应打印出分类号、条形码号等信息。书标贴在书脊上，以书脊的底边为底统一粘贴。</w:t>
            </w:r>
            <w:r>
              <w:rPr>
                <w:rStyle w:val="314"/>
                <w:rFonts w:hint="eastAsia" w:ascii="仿宋" w:hAnsi="仿宋" w:eastAsia="仿宋" w:cs="仿宋"/>
                <w:color w:val="auto"/>
                <w:sz w:val="21"/>
                <w:szCs w:val="21"/>
                <w:highlight w:val="none"/>
                <w:lang w:bidi="ar"/>
              </w:rPr>
              <w:t xml:space="preserve"> </w:t>
            </w:r>
            <w:r>
              <w:rPr>
                <w:rFonts w:hint="eastAsia" w:ascii="仿宋" w:hAnsi="仿宋" w:eastAsia="仿宋" w:cs="仿宋"/>
                <w:color w:val="auto"/>
                <w:kern w:val="0"/>
                <w:szCs w:val="21"/>
                <w:highlight w:val="none"/>
                <w:lang w:bidi="ar"/>
              </w:rPr>
              <w:t>4、为保证书标长期性使用，不掉色、不脱落，所有书标须覆膜。透明度高5、图书芯片贴书本里面，防止被撕毁6.工作流程：图书分类-芯片粘贴--条码粘贴--数据录入--书标粘贴--覆书标膜-图书定位-上架</w:t>
            </w:r>
            <w:r>
              <w:rPr>
                <w:rStyle w:val="314"/>
                <w:rFonts w:hint="eastAsia" w:ascii="仿宋" w:hAnsi="仿宋" w:eastAsia="仿宋" w:cs="仿宋"/>
                <w:color w:val="auto"/>
                <w:sz w:val="21"/>
                <w:szCs w:val="21"/>
                <w:highlight w:val="none"/>
                <w:lang w:bidi="ar"/>
              </w:rPr>
              <w:t xml:space="preserve"> </w:t>
            </w:r>
          </w:p>
        </w:tc>
        <w:tc>
          <w:tcPr>
            <w:tcW w:w="743" w:type="dxa"/>
            <w:vAlign w:val="center"/>
          </w:tcPr>
          <w:p w14:paraId="013F961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15000</w:t>
            </w:r>
          </w:p>
        </w:tc>
        <w:tc>
          <w:tcPr>
            <w:tcW w:w="564" w:type="dxa"/>
            <w:vAlign w:val="center"/>
          </w:tcPr>
          <w:p w14:paraId="7F6E76E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册</w:t>
            </w:r>
          </w:p>
        </w:tc>
      </w:tr>
      <w:tr w14:paraId="1731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E9CB1BA">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w:t>
            </w:r>
          </w:p>
        </w:tc>
        <w:tc>
          <w:tcPr>
            <w:tcW w:w="758" w:type="dxa"/>
            <w:vAlign w:val="center"/>
          </w:tcPr>
          <w:p w14:paraId="4C5AEDE8">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扫描枪</w:t>
            </w:r>
          </w:p>
        </w:tc>
        <w:tc>
          <w:tcPr>
            <w:tcW w:w="1037" w:type="dxa"/>
            <w:vAlign w:val="center"/>
          </w:tcPr>
          <w:p w14:paraId="5765C61B">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江图、南图、杰翰</w:t>
            </w:r>
          </w:p>
        </w:tc>
        <w:tc>
          <w:tcPr>
            <w:tcW w:w="5024" w:type="dxa"/>
            <w:vAlign w:val="center"/>
          </w:tcPr>
          <w:p w14:paraId="766DD81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解码速度：200次/秒±20次</w:t>
            </w:r>
          </w:p>
          <w:p w14:paraId="6F06F15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可识别最低对比度：35%的反射差</w:t>
            </w:r>
          </w:p>
          <w:p w14:paraId="7865AFD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扫描角度：转角30° 仰角65° 偏角55°</w:t>
            </w:r>
          </w:p>
          <w:p w14:paraId="701769C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解码类型：EAN-8，EAN-13，UPC-A，UPC-E，Code 39，Code 93，Code 128，EAN128，库德巴码，industrial 2 of 5，Interleave 2 of 5，Matrix 2 of 5，MSI，中国邮政码……</w:t>
            </w:r>
          </w:p>
          <w:p w14:paraId="4D40CFD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光源类型：波长为650nm8nm的红色激光</w:t>
            </w:r>
          </w:p>
          <w:p w14:paraId="4A71D33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接口类型：USB2.0、PS/2、RS-232</w:t>
            </w:r>
          </w:p>
          <w:p w14:paraId="0BC04DE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扫描提示：蜂鸣器响声提示和红蓝双色灯提示：红灯提示通电，绿灯提示解码成功。</w:t>
            </w:r>
          </w:p>
          <w:p w14:paraId="6B7972D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工作温度范围：0-50℃</w:t>
            </w:r>
          </w:p>
          <w:p w14:paraId="2D38108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保存温度范围:-40-60℃</w:t>
            </w:r>
          </w:p>
          <w:p w14:paraId="5ADEE44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工作湿度范围:5%-92%非凝结状态</w:t>
            </w:r>
          </w:p>
          <w:p w14:paraId="33E884C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保存湿度范围:5%-92%非凝结状态</w:t>
            </w:r>
          </w:p>
          <w:p w14:paraId="7A3BCD3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环境光强度:450烛光</w:t>
            </w:r>
          </w:p>
          <w:p w14:paraId="633BC26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工作电压 5V</w:t>
            </w:r>
          </w:p>
          <w:p w14:paraId="069D5E4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工作电流:65mA</w:t>
            </w:r>
          </w:p>
          <w:p w14:paraId="5E35BAF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静态电流:30mA</w:t>
            </w:r>
          </w:p>
          <w:p w14:paraId="4E53011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提示方式:蜂鸣器 </w:t>
            </w:r>
          </w:p>
        </w:tc>
        <w:tc>
          <w:tcPr>
            <w:tcW w:w="743" w:type="dxa"/>
            <w:vAlign w:val="center"/>
          </w:tcPr>
          <w:p w14:paraId="615D4A8F">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564" w:type="dxa"/>
            <w:vAlign w:val="center"/>
          </w:tcPr>
          <w:p w14:paraId="5302382C">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把</w:t>
            </w:r>
          </w:p>
        </w:tc>
      </w:tr>
      <w:tr w14:paraId="4F27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FE6E97B">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w:t>
            </w:r>
          </w:p>
        </w:tc>
        <w:tc>
          <w:tcPr>
            <w:tcW w:w="758" w:type="dxa"/>
            <w:vAlign w:val="center"/>
          </w:tcPr>
          <w:p w14:paraId="0898037B">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读卡器</w:t>
            </w:r>
          </w:p>
        </w:tc>
        <w:tc>
          <w:tcPr>
            <w:tcW w:w="1037" w:type="dxa"/>
            <w:vAlign w:val="center"/>
          </w:tcPr>
          <w:p w14:paraId="4ACA3975">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江图、南图、杰翰</w:t>
            </w:r>
          </w:p>
        </w:tc>
        <w:tc>
          <w:tcPr>
            <w:tcW w:w="5024" w:type="dxa"/>
            <w:vAlign w:val="center"/>
          </w:tcPr>
          <w:p w14:paraId="4B0B2B0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通讯接口：默认标准USB通讯接口，可选 RS232串口通讯</w:t>
            </w:r>
          </w:p>
          <w:p w14:paraId="067F5AA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通讯速率USB：全速12M；</w:t>
            </w:r>
          </w:p>
          <w:p w14:paraId="5EC4A23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RS232：默认115200bps，可选9600bps~115200bps；</w:t>
            </w:r>
          </w:p>
          <w:p w14:paraId="388FD5A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支持卡片类型：符合ISO14443 TypeA&amp;B的非接触CPU卡，S50、S70卡</w:t>
            </w:r>
          </w:p>
          <w:p w14:paraId="0104079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协议：ISO14443 /1/2/3/4 T=CL协议，支持M1系列</w:t>
            </w:r>
          </w:p>
        </w:tc>
        <w:tc>
          <w:tcPr>
            <w:tcW w:w="743" w:type="dxa"/>
            <w:vAlign w:val="center"/>
          </w:tcPr>
          <w:p w14:paraId="12A3EDDF">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35E9387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14:paraId="4B88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A7803C8">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w:t>
            </w:r>
          </w:p>
        </w:tc>
        <w:tc>
          <w:tcPr>
            <w:tcW w:w="758" w:type="dxa"/>
            <w:vAlign w:val="center"/>
          </w:tcPr>
          <w:p w14:paraId="7935F9D4">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借阅卡</w:t>
            </w:r>
          </w:p>
        </w:tc>
        <w:tc>
          <w:tcPr>
            <w:tcW w:w="1037" w:type="dxa"/>
            <w:vAlign w:val="center"/>
          </w:tcPr>
          <w:p w14:paraId="26BE229E">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江图、南图、杰翰</w:t>
            </w:r>
          </w:p>
        </w:tc>
        <w:tc>
          <w:tcPr>
            <w:tcW w:w="5024" w:type="dxa"/>
            <w:vAlign w:val="center"/>
          </w:tcPr>
          <w:p w14:paraId="6742D0C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多次写入及读取读者的基本信息，用于从事读者的流通借还操作、读者的身份辨识操作等。读者证标签中可存储以下信息：读者证号、读者姓名等信息。</w:t>
            </w:r>
          </w:p>
          <w:p w14:paraId="094F4F4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借书证可以非接触式的读取资料和写入资料，加快资源流通的处理手续；</w:t>
            </w:r>
          </w:p>
          <w:p w14:paraId="42A16ED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每张卡有唯一序列号，具有防冲突机制。无电源，自带天线和通讯逻辑电路；</w:t>
            </w:r>
          </w:p>
          <w:p w14:paraId="46255D2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借书证具有较高的安全性，防止存储在其中的信息被泄露；</w:t>
            </w:r>
          </w:p>
          <w:p w14:paraId="2274A75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存储在借书证中的信息可在非常短的时间内被相关的阅读产品设备读取；</w:t>
            </w:r>
          </w:p>
          <w:p w14:paraId="7043C70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借书证的标签中有存储器，存储在其中的资料可重复读、写；</w:t>
            </w:r>
          </w:p>
          <w:p w14:paraId="7338753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借书证符合ISO15963、ISO18000-3标准；</w:t>
            </w:r>
          </w:p>
          <w:p w14:paraId="57F5DF6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借书证一面印制由图书馆提供的LOGO图案，另一面为注意事项。</w:t>
            </w:r>
          </w:p>
        </w:tc>
        <w:tc>
          <w:tcPr>
            <w:tcW w:w="743" w:type="dxa"/>
            <w:vAlign w:val="center"/>
          </w:tcPr>
          <w:p w14:paraId="0E88483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2000</w:t>
            </w:r>
          </w:p>
        </w:tc>
        <w:tc>
          <w:tcPr>
            <w:tcW w:w="564" w:type="dxa"/>
            <w:vAlign w:val="center"/>
          </w:tcPr>
          <w:p w14:paraId="1D4718A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张</w:t>
            </w:r>
          </w:p>
        </w:tc>
      </w:tr>
      <w:tr w14:paraId="250F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AB75DF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758" w:type="dxa"/>
            <w:vAlign w:val="center"/>
          </w:tcPr>
          <w:p w14:paraId="479BB0A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电子图书管理系统</w:t>
            </w:r>
          </w:p>
        </w:tc>
        <w:tc>
          <w:tcPr>
            <w:tcW w:w="1037" w:type="dxa"/>
            <w:vAlign w:val="center"/>
          </w:tcPr>
          <w:p w14:paraId="3AD4E929">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江图、南图、杰翰</w:t>
            </w:r>
          </w:p>
        </w:tc>
        <w:tc>
          <w:tcPr>
            <w:tcW w:w="5024" w:type="dxa"/>
            <w:vAlign w:val="center"/>
          </w:tcPr>
          <w:p w14:paraId="1501925A">
            <w:pPr>
              <w:widowControl/>
              <w:numPr>
                <w:ilvl w:val="0"/>
                <w:numId w:val="7"/>
              </w:numPr>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平台系统对合法IP范围不限IP、注册用户数、并发数和在线浏览数，可放到教育局平台，区域内的学校、任何地方都可以阅读；2.平台图书按照中图法进行二级学科分类，系统平台具有图书列表、个人书房、高级搜索、读书活动、个人收藏、阅读排行榜，按照日、周、月各个排行，图书推荐，图书收藏排行榜、访问人次、资源总量等功能。</w:t>
            </w:r>
            <w:r>
              <w:rPr>
                <w:rStyle w:val="314"/>
                <w:rFonts w:hint="eastAsia" w:ascii="仿宋" w:hAnsi="仿宋" w:eastAsia="仿宋" w:cs="仿宋"/>
                <w:color w:val="auto"/>
                <w:sz w:val="21"/>
                <w:szCs w:val="21"/>
                <w:highlight w:val="none"/>
                <w:lang w:bidi="ar"/>
              </w:rPr>
              <w:t xml:space="preserve">                                                   </w:t>
            </w:r>
            <w:r>
              <w:rPr>
                <w:rFonts w:hint="eastAsia" w:ascii="仿宋" w:hAnsi="仿宋" w:eastAsia="仿宋" w:cs="仿宋"/>
                <w:color w:val="auto"/>
                <w:kern w:val="0"/>
                <w:szCs w:val="21"/>
                <w:highlight w:val="none"/>
                <w:lang w:bidi="ar"/>
              </w:rPr>
              <w:t xml:space="preserve"> 3.分类：可以显示中图法22大分类和全部图书分类，古籍采用四库法分类，以及每种图书分类具有二级分类并统计所含电子书的册数。</w:t>
            </w:r>
          </w:p>
          <w:p w14:paraId="785852F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4.个人书房：显示读者登录的用户名及个人信息，可以将自己喜欢的图书添加到个人书房，显示个人浏览图书足迹、个人阅读量、收藏量、下载量等。</w:t>
            </w:r>
          </w:p>
          <w:p w14:paraId="6F73F0D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5.图书检索：采用流行的分类树方式组织图书，可以快速找到您所需要的某一类全部书目。查询功能强大，可以根据图书的名称、作者、关键词、类型等进行快速查询。</w:t>
            </w:r>
          </w:p>
          <w:p w14:paraId="4DEB9F4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读书活动：分为三部分，最新活动、最热活动和经典活动。每部分活动可自定义添加图片、标题，同时显示活动时间、活动类型、主办单位、活动内容等信息，系统可以统计活动书单，提交作品数量以及参与人数，并且活动主题可自动切换。最新作品和优秀作品可在活动主题下方进行相应的体现展示。</w:t>
            </w:r>
          </w:p>
          <w:p w14:paraId="634B518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7.新书通报：显示最新的上传的图书，可以推荐到首页。</w:t>
            </w:r>
          </w:p>
          <w:p w14:paraId="5B83418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8.统计功能：平台可自动统计图书的阅读量、收藏量和下载量，同时平台可自动统计访问平台人数总量。</w:t>
            </w:r>
          </w:p>
          <w:p w14:paraId="55755BD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9.热门图书：根据读者搜索阅读图书的热门程度，图书会显示到首页</w:t>
            </w:r>
          </w:p>
          <w:p w14:paraId="1252113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10.图书推荐排行榜：好书推荐阅读越多，可在首页展示，容易置顶供大家快速分享查阅。</w:t>
            </w:r>
          </w:p>
          <w:p w14:paraId="716C36D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11.图书阅读排行榜：图书阅读的次数越多，越靠前显示，越容易引起阅读兴趣。</w:t>
            </w:r>
          </w:p>
          <w:p w14:paraId="5F809C3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12.阅读方式：系统在展示平台界面必须针对电子资源(现代文图书)都有二维码扫码功能，且扫码后，可将资源下载到任意载体，且下载后无地域与时效性限制。阅读过程中，可以随时收藏图书。</w:t>
            </w:r>
          </w:p>
          <w:p w14:paraId="63F6AA9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13.现代图书采用中图法分类、现代文平台同时支持客户自定义分类</w:t>
            </w:r>
          </w:p>
          <w:p w14:paraId="08FB92A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14.后台管理包含系统管理、会员管理、图片管理、资源上传、图书管理、访问管理、活动管理、必读书目、阅读统计等模块功能</w:t>
            </w:r>
          </w:p>
          <w:p w14:paraId="3635560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15.系统管理包含用户管理、角色管理、菜单管理、推荐类型、图书分类、图书评论、logo设置。</w:t>
            </w:r>
          </w:p>
          <w:p w14:paraId="37310F3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16.活动管理包含读书活动，作品管理。</w:t>
            </w:r>
          </w:p>
          <w:p w14:paraId="7021D3A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17.阅读统计包含阅读明细、部门汇总、用户汇总、图书汇总、分类汇总、下载统计等功能 。</w:t>
            </w:r>
          </w:p>
          <w:p w14:paraId="5CC16E4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18.提供软件厂家正版授权书并注明软件享有终身升级服务。</w:t>
            </w:r>
          </w:p>
        </w:tc>
        <w:tc>
          <w:tcPr>
            <w:tcW w:w="743" w:type="dxa"/>
            <w:vAlign w:val="center"/>
          </w:tcPr>
          <w:p w14:paraId="03AFA3A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0425468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2F66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5F65AE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w:t>
            </w:r>
          </w:p>
        </w:tc>
        <w:tc>
          <w:tcPr>
            <w:tcW w:w="758" w:type="dxa"/>
            <w:vAlign w:val="center"/>
          </w:tcPr>
          <w:p w14:paraId="37097BA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电子图书</w:t>
            </w:r>
          </w:p>
        </w:tc>
        <w:tc>
          <w:tcPr>
            <w:tcW w:w="1037" w:type="dxa"/>
            <w:vAlign w:val="center"/>
          </w:tcPr>
          <w:p w14:paraId="01D875B5">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江图、南图、杰翰</w:t>
            </w:r>
          </w:p>
        </w:tc>
        <w:tc>
          <w:tcPr>
            <w:tcW w:w="5024" w:type="dxa"/>
            <w:vAlign w:val="center"/>
          </w:tcPr>
          <w:p w14:paraId="6828464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中文电子图书</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1.图书数量:中文电子图书15000册。</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2.图书格式:图书主要以TXT格式纯文本和pdf 双文本国际公开标准格式保存，不可为私人模式以保持图书原有的版式,，电子书资源质量高,并能越放大越清晰，图书“页”不可为图片格式压缩，以免造成占用存储容量过多和具有分辨率相关性；</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3.图书种类包含：医学、卫生、文学、社科、经济、语言文字、生物等适合使用的图书，具体根据使用方自选决定。</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4.图书阅读方式：图书可在线全文阅读及具备二维码扫描功能，可以扫描到手机等移动设备在线阅读图书或下载到本地扫码下载等多种阅读方式阅读。</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5、图书选择：根据使用单位需求提供中图法22大分类图书供使用单位挑选。</w:t>
            </w:r>
          </w:p>
        </w:tc>
        <w:tc>
          <w:tcPr>
            <w:tcW w:w="743" w:type="dxa"/>
            <w:vAlign w:val="center"/>
          </w:tcPr>
          <w:p w14:paraId="6C1D852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15000</w:t>
            </w:r>
          </w:p>
        </w:tc>
        <w:tc>
          <w:tcPr>
            <w:tcW w:w="564" w:type="dxa"/>
            <w:vAlign w:val="center"/>
          </w:tcPr>
          <w:p w14:paraId="438A658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册</w:t>
            </w:r>
          </w:p>
        </w:tc>
      </w:tr>
      <w:tr w14:paraId="3EA6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7D9F116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14</w:t>
            </w:r>
          </w:p>
        </w:tc>
        <w:tc>
          <w:tcPr>
            <w:tcW w:w="758" w:type="dxa"/>
            <w:vAlign w:val="center"/>
          </w:tcPr>
          <w:p w14:paraId="5A6BA90F">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墨水屏阅读本</w:t>
            </w:r>
          </w:p>
        </w:tc>
        <w:tc>
          <w:tcPr>
            <w:tcW w:w="1037" w:type="dxa"/>
            <w:vAlign w:val="center"/>
          </w:tcPr>
          <w:p w14:paraId="6F417C0A">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江图、南图、杰翰</w:t>
            </w:r>
          </w:p>
        </w:tc>
        <w:tc>
          <w:tcPr>
            <w:tcW w:w="5024" w:type="dxa"/>
            <w:vAlign w:val="center"/>
          </w:tcPr>
          <w:p w14:paraId="3E40726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1.屏幕：纯平；</w:t>
            </w:r>
          </w:p>
          <w:p w14:paraId="4972EE4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2.显示屏：：≥10寸；</w:t>
            </w:r>
          </w:p>
          <w:p w14:paraId="592B1CF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3.分辨率：约1872*1404（227DPI）；</w:t>
            </w:r>
          </w:p>
          <w:p w14:paraId="6602F20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4.CPU：八核 2.3GHZ；</w:t>
            </w:r>
          </w:p>
          <w:p w14:paraId="1A0C605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5.运行内存：4G；</w:t>
            </w:r>
          </w:p>
          <w:p w14:paraId="67D7F8D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6.存储内存：64G；</w:t>
            </w:r>
          </w:p>
          <w:p w14:paraId="63721BC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7.按键：开关键；</w:t>
            </w:r>
          </w:p>
          <w:p w14:paraId="2BA0B30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8.麦克风阵列：支持；</w:t>
            </w:r>
          </w:p>
          <w:p w14:paraId="4F00F88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9.无线连接方式：WiFi2.4G/5G+蓝牙；</w:t>
            </w:r>
          </w:p>
          <w:p w14:paraId="734BE70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10.前光：冷暖双色前光；</w:t>
            </w:r>
          </w:p>
          <w:p w14:paraId="41E9EA8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11.扬声器、麦克风：支持；</w:t>
            </w:r>
          </w:p>
          <w:p w14:paraId="45D71CE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12.连接端口：TYPE-C；</w:t>
            </w:r>
          </w:p>
          <w:p w14:paraId="687BA36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13.操作系统：Android 11。</w:t>
            </w:r>
          </w:p>
        </w:tc>
        <w:tc>
          <w:tcPr>
            <w:tcW w:w="743" w:type="dxa"/>
            <w:vAlign w:val="center"/>
          </w:tcPr>
          <w:p w14:paraId="6A39759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w:t>
            </w:r>
          </w:p>
        </w:tc>
        <w:tc>
          <w:tcPr>
            <w:tcW w:w="564" w:type="dxa"/>
            <w:vAlign w:val="center"/>
          </w:tcPr>
          <w:p w14:paraId="39604E3C">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14:paraId="1737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9DB04C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w:t>
            </w:r>
          </w:p>
        </w:tc>
        <w:tc>
          <w:tcPr>
            <w:tcW w:w="758" w:type="dxa"/>
            <w:vAlign w:val="center"/>
          </w:tcPr>
          <w:p w14:paraId="3251F0A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朗读亭</w:t>
            </w:r>
          </w:p>
        </w:tc>
        <w:tc>
          <w:tcPr>
            <w:tcW w:w="1037" w:type="dxa"/>
            <w:vAlign w:val="center"/>
          </w:tcPr>
          <w:p w14:paraId="0C8AD5CC">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江图、南图、杰翰</w:t>
            </w:r>
          </w:p>
        </w:tc>
        <w:tc>
          <w:tcPr>
            <w:tcW w:w="5024" w:type="dxa"/>
            <w:vAlign w:val="center"/>
          </w:tcPr>
          <w:p w14:paraId="4538A86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1.整机组成：1)</w:t>
            </w:r>
            <w:r>
              <w:rPr>
                <w:rStyle w:val="314"/>
                <w:rFonts w:hint="eastAsia" w:ascii="仿宋" w:hAnsi="仿宋" w:eastAsia="仿宋" w:cs="仿宋"/>
                <w:color w:val="auto"/>
                <w:sz w:val="21"/>
                <w:szCs w:val="21"/>
                <w:highlight w:val="none"/>
                <w:lang w:bidi="ar"/>
              </w:rPr>
              <w:t xml:space="preserve">  </w:t>
            </w:r>
            <w:r>
              <w:rPr>
                <w:rFonts w:hint="eastAsia" w:ascii="仿宋" w:hAnsi="仿宋" w:eastAsia="仿宋" w:cs="仿宋"/>
                <w:color w:val="auto"/>
                <w:kern w:val="0"/>
                <w:szCs w:val="21"/>
                <w:highlight w:val="none"/>
                <w:lang w:bidi="ar"/>
              </w:rPr>
              <w:t xml:space="preserve"> 设备主体：朗读亭1 个(含空调、通风系统，灯光、射灯，玻璃、钣金框体)；2)</w:t>
            </w:r>
            <w:r>
              <w:rPr>
                <w:rStyle w:val="314"/>
                <w:rFonts w:hint="eastAsia" w:ascii="仿宋" w:hAnsi="仿宋" w:eastAsia="仿宋" w:cs="仿宋"/>
                <w:color w:val="auto"/>
                <w:sz w:val="21"/>
                <w:szCs w:val="21"/>
                <w:highlight w:val="none"/>
                <w:lang w:bidi="ar"/>
              </w:rPr>
              <w:t xml:space="preserve">  </w:t>
            </w:r>
            <w:r>
              <w:rPr>
                <w:rFonts w:hint="eastAsia" w:ascii="仿宋" w:hAnsi="仿宋" w:eastAsia="仿宋" w:cs="仿宋"/>
                <w:color w:val="auto"/>
                <w:kern w:val="0"/>
                <w:szCs w:val="21"/>
                <w:highlight w:val="none"/>
                <w:lang w:bidi="ar"/>
              </w:rPr>
              <w:t xml:space="preserve"> 功能主件：触摸点播系统（屏）1 个；影像字幕显示屏1 个； 主控机1 个（含主板、视频音频主板等）； 立体音响系统1套。3)</w:t>
            </w:r>
            <w:r>
              <w:rPr>
                <w:rStyle w:val="314"/>
                <w:rFonts w:hint="eastAsia" w:ascii="仿宋" w:hAnsi="仿宋" w:eastAsia="仿宋" w:cs="仿宋"/>
                <w:color w:val="auto"/>
                <w:sz w:val="21"/>
                <w:szCs w:val="21"/>
                <w:highlight w:val="none"/>
                <w:lang w:bidi="ar"/>
              </w:rPr>
              <w:t xml:space="preserve">  </w:t>
            </w:r>
            <w:r>
              <w:rPr>
                <w:rFonts w:hint="eastAsia" w:ascii="仿宋" w:hAnsi="仿宋" w:eastAsia="仿宋" w:cs="仿宋"/>
                <w:color w:val="auto"/>
                <w:kern w:val="0"/>
                <w:szCs w:val="21"/>
                <w:highlight w:val="none"/>
                <w:lang w:bidi="ar"/>
              </w:rPr>
              <w:t xml:space="preserve"> 设备附件：专业麦克风2 个；专业监听耳机2 个；空调遥控器1 个； 复古座椅2 个2.规格尺寸1)</w:t>
            </w:r>
            <w:r>
              <w:rPr>
                <w:rStyle w:val="314"/>
                <w:rFonts w:hint="eastAsia" w:ascii="仿宋" w:hAnsi="仿宋" w:eastAsia="仿宋" w:cs="仿宋"/>
                <w:color w:val="auto"/>
                <w:sz w:val="21"/>
                <w:szCs w:val="21"/>
                <w:highlight w:val="none"/>
                <w:lang w:bidi="ar"/>
              </w:rPr>
              <w:t xml:space="preserve">  </w:t>
            </w:r>
            <w:r>
              <w:rPr>
                <w:rFonts w:hint="eastAsia" w:ascii="仿宋" w:hAnsi="仿宋" w:eastAsia="仿宋" w:cs="仿宋"/>
                <w:color w:val="auto"/>
                <w:kern w:val="0"/>
                <w:szCs w:val="21"/>
                <w:highlight w:val="none"/>
                <w:lang w:bidi="ar"/>
              </w:rPr>
              <w:t xml:space="preserve"> 产品尺寸: 长（L1.5 X 宽（W）1.5 X 高（H）2.5[m] 2)</w:t>
            </w:r>
            <w:r>
              <w:rPr>
                <w:rStyle w:val="314"/>
                <w:rFonts w:hint="eastAsia" w:ascii="仿宋" w:hAnsi="仿宋" w:eastAsia="仿宋" w:cs="仿宋"/>
                <w:color w:val="auto"/>
                <w:sz w:val="21"/>
                <w:szCs w:val="21"/>
                <w:highlight w:val="none"/>
                <w:lang w:bidi="ar"/>
              </w:rPr>
              <w:t xml:space="preserve">  </w:t>
            </w:r>
            <w:r>
              <w:rPr>
                <w:rFonts w:hint="eastAsia" w:ascii="仿宋" w:hAnsi="仿宋" w:eastAsia="仿宋" w:cs="仿宋"/>
                <w:color w:val="auto"/>
                <w:kern w:val="0"/>
                <w:szCs w:val="21"/>
                <w:highlight w:val="none"/>
                <w:lang w:bidi="ar"/>
              </w:rPr>
              <w:t xml:space="preserve"> 额定电源：AC220V</w:t>
            </w:r>
            <w:r>
              <w:rPr>
                <w:rStyle w:val="314"/>
                <w:rFonts w:hint="eastAsia" w:ascii="仿宋" w:hAnsi="仿宋" w:eastAsia="仿宋" w:cs="仿宋"/>
                <w:color w:val="auto"/>
                <w:sz w:val="21"/>
                <w:szCs w:val="21"/>
                <w:highlight w:val="none"/>
                <w:lang w:bidi="ar"/>
              </w:rPr>
              <w:t xml:space="preserve"> </w:t>
            </w:r>
            <w:r>
              <w:rPr>
                <w:rFonts w:hint="eastAsia" w:ascii="仿宋" w:hAnsi="仿宋" w:eastAsia="仿宋" w:cs="仿宋"/>
                <w:color w:val="auto"/>
                <w:kern w:val="0"/>
                <w:szCs w:val="21"/>
                <w:highlight w:val="none"/>
                <w:lang w:bidi="ar"/>
              </w:rPr>
              <w:t xml:space="preserve"> 50HZ3)</w:t>
            </w:r>
            <w:r>
              <w:rPr>
                <w:rStyle w:val="314"/>
                <w:rFonts w:hint="eastAsia" w:ascii="仿宋" w:hAnsi="仿宋" w:eastAsia="仿宋" w:cs="仿宋"/>
                <w:color w:val="auto"/>
                <w:sz w:val="21"/>
                <w:szCs w:val="21"/>
                <w:highlight w:val="none"/>
                <w:lang w:bidi="ar"/>
              </w:rPr>
              <w:t xml:space="preserve">  </w:t>
            </w:r>
            <w:r>
              <w:rPr>
                <w:rFonts w:hint="eastAsia" w:ascii="仿宋" w:hAnsi="仿宋" w:eastAsia="仿宋" w:cs="仿宋"/>
                <w:color w:val="auto"/>
                <w:kern w:val="0"/>
                <w:szCs w:val="21"/>
                <w:highlight w:val="none"/>
                <w:lang w:bidi="ar"/>
              </w:rPr>
              <w:t xml:space="preserve"> 额定功率：整机为1200W，包含空调和通风系统4)</w:t>
            </w:r>
            <w:r>
              <w:rPr>
                <w:rStyle w:val="314"/>
                <w:rFonts w:hint="eastAsia" w:ascii="仿宋" w:hAnsi="仿宋" w:eastAsia="仿宋" w:cs="仿宋"/>
                <w:color w:val="auto"/>
                <w:sz w:val="21"/>
                <w:szCs w:val="21"/>
                <w:highlight w:val="none"/>
                <w:lang w:bidi="ar"/>
              </w:rPr>
              <w:t xml:space="preserve">  </w:t>
            </w:r>
            <w:r>
              <w:rPr>
                <w:rFonts w:hint="eastAsia" w:ascii="仿宋" w:hAnsi="仿宋" w:eastAsia="仿宋" w:cs="仿宋"/>
                <w:color w:val="auto"/>
                <w:kern w:val="0"/>
                <w:szCs w:val="21"/>
                <w:highlight w:val="none"/>
                <w:lang w:bidi="ar"/>
              </w:rPr>
              <w:t xml:space="preserve"> 显示部分：主显示器32寸，分辨率1920*1080；触摸屏21.5寸，分辨率1920*10805)</w:t>
            </w:r>
            <w:r>
              <w:rPr>
                <w:rStyle w:val="314"/>
                <w:rFonts w:hint="eastAsia" w:ascii="仿宋" w:hAnsi="仿宋" w:eastAsia="仿宋" w:cs="仿宋"/>
                <w:color w:val="auto"/>
                <w:sz w:val="21"/>
                <w:szCs w:val="21"/>
                <w:highlight w:val="none"/>
                <w:lang w:bidi="ar"/>
              </w:rPr>
              <w:t xml:space="preserve">  </w:t>
            </w:r>
            <w:r>
              <w:rPr>
                <w:rFonts w:hint="eastAsia" w:ascii="仿宋" w:hAnsi="仿宋" w:eastAsia="仿宋" w:cs="仿宋"/>
                <w:color w:val="auto"/>
                <w:kern w:val="0"/>
                <w:szCs w:val="21"/>
                <w:highlight w:val="none"/>
                <w:lang w:bidi="ar"/>
              </w:rPr>
              <w:t xml:space="preserve"> 网络：支持无线 和有线6)</w:t>
            </w:r>
            <w:r>
              <w:rPr>
                <w:rStyle w:val="314"/>
                <w:rFonts w:hint="eastAsia" w:ascii="仿宋" w:hAnsi="仿宋" w:eastAsia="仿宋" w:cs="仿宋"/>
                <w:color w:val="auto"/>
                <w:sz w:val="21"/>
                <w:szCs w:val="21"/>
                <w:highlight w:val="none"/>
                <w:lang w:bidi="ar"/>
              </w:rPr>
              <w:t xml:space="preserve">  </w:t>
            </w:r>
            <w:r>
              <w:rPr>
                <w:rFonts w:hint="eastAsia" w:ascii="仿宋" w:hAnsi="仿宋" w:eastAsia="仿宋" w:cs="仿宋"/>
                <w:color w:val="auto"/>
                <w:kern w:val="0"/>
                <w:szCs w:val="21"/>
                <w:highlight w:val="none"/>
                <w:lang w:bidi="ar"/>
              </w:rPr>
              <w:t xml:space="preserve"> 音响：6 寸HI-FI 音响为保证整个朗读亭的稳定性和使用安全，要求整机重量≥400KG2.3.CPU：安卓5.0以上 2.4.内存：2G2.5产品采用或支持的安卓系统、机顶盒系统；26产品采用线下储存卡形式。2.7常用及下载文件的硬件：在本系统中，常用的内容文件存储在本地及其云服务器中，每天更新的内容文件也存储在云服务器中。2.8传文件的存储：默认储存存到本地，该系统在使用中，支持使用者所生成的录音、录像UGC的内容将存储在云服务器中，或者自建云服务器中软件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1、登陆方式：支持微信扫码登陆和账号登陆。</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2、作品格式：支持两种格式的录制：</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①文本朗读录音mp3格式；②影视配音mp4格式。</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3、搜索功能：</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①根据素材类型搜索（文本朗读、绘本配音、配音朗读）；</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②有热门搜索和最近搜索记录。</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4、音响调节：配备录音棚音响效果器；搭配电容式麦克风，采购人朗读时可以调节音响；</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5、快速朗读：</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①随机朗读：随机选取朗读素材，一键开启朗读；②自由朗读：采购人可选即兴发挥，脱稿朗读；亦可选择扫码上传想读的素材进行朗读。</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朗读亭管理后台：</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1、分级管理：后台管理员可管理多台朗读亭，管理设备的参数和资源数据。</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2、设备管理：后台可查看设备对应的名称、设备过期时间、使用状态以及设备管理员等参数</w:t>
            </w:r>
          </w:p>
        </w:tc>
        <w:tc>
          <w:tcPr>
            <w:tcW w:w="743" w:type="dxa"/>
            <w:vAlign w:val="center"/>
          </w:tcPr>
          <w:p w14:paraId="29A0971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64" w:type="dxa"/>
            <w:vAlign w:val="center"/>
          </w:tcPr>
          <w:p w14:paraId="10D0040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14:paraId="26AE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3B6EDA04">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六、心理教室</w:t>
            </w:r>
          </w:p>
        </w:tc>
      </w:tr>
      <w:tr w14:paraId="5D76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1395309B">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心理教师办公接待室</w:t>
            </w:r>
          </w:p>
        </w:tc>
      </w:tr>
      <w:tr w14:paraId="51DE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015A3E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58" w:type="dxa"/>
            <w:vAlign w:val="center"/>
          </w:tcPr>
          <w:p w14:paraId="793DE75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心理健康大数据云平台</w:t>
            </w:r>
          </w:p>
        </w:tc>
        <w:tc>
          <w:tcPr>
            <w:tcW w:w="1037" w:type="dxa"/>
            <w:vAlign w:val="center"/>
          </w:tcPr>
          <w:p w14:paraId="56E0588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阳光心健、新晨心理、惠明教育</w:t>
            </w:r>
          </w:p>
        </w:tc>
        <w:tc>
          <w:tcPr>
            <w:tcW w:w="5024" w:type="dxa"/>
            <w:vAlign w:val="center"/>
          </w:tcPr>
          <w:p w14:paraId="77B048B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1.客户端无需安装，支持Chrome、Firefox、Microsoft Edge、IE10以上和360等主流浏览器。</w:t>
            </w:r>
          </w:p>
          <w:p w14:paraId="40E29E5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数据库：1）可以适合大容量数据的应用，并具备开发的灵活性、可扩展性、可以用存储过程、函数等方面强大功能。数据库具有很好的伸缩性，可跨越多种平台使用，对Web技术的支持，使用户能够很容易地将数据库中的数据发布到Web页面上； </w:t>
            </w:r>
          </w:p>
          <w:p w14:paraId="50E19E9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系统采用统一的基础数据库管理模式，各种基础数据如组织机构信息、用户信息等被采集到基础数据中心，保持数据实时同步，可为现有及后续的各应用系统提供的数据基础，节约用户单位整体信息化的数据建设成本和维护成本。</w:t>
            </w:r>
          </w:p>
          <w:p w14:paraId="7A8CD92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3.系统部署：需支持分布式均衡负载、多级节点部署，用户按需接入服务。</w:t>
            </w:r>
          </w:p>
          <w:p w14:paraId="0874452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4.网页安全：支持https页面传送的数据在通过TLS协议时都会被加密，防止在交换资料时受到窃听及篡改，从而保证网页访问的私密性。</w:t>
            </w:r>
          </w:p>
          <w:p w14:paraId="6F8EA13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数据安全：系统进行用户标识和鉴别，每次用户要求进入系统时，由系统进行核对，通过鉴定后才提供系统的使用权；系统采用存取控制，所有未被授权的人员无法存取数据；系统采用视图机制，为不同的用户定义视图，通过视图机制把要保密的数据对无权存取的用户隐藏起来，从而自动地对数据提供一定程度的安全保护；系统使用数据加密，使用MD5加密算法，单向加密，不同的输入对应的输出一定不同，保证唯一性，有防止数据被篡改。</w:t>
            </w:r>
          </w:p>
          <w:p w14:paraId="4DCCB5D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云平台支持心理老师、学校管理员、教师、学生以及家长等用户的多通道登录方式，系统可根据登录用户的群体，自动选择匹配通道进入云平台系统，同时心理云平台会识别登陆用户身份，进行有选择的信息展示。</w:t>
            </w:r>
          </w:p>
          <w:p w14:paraId="4167FB2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系统支持中心介绍、活动展示、通知公告、心理咨询师、频道分类等多类心理信息展示模块，可通过资源共享为用户提供音乐、视频、图片、文档等资源，以便打造心理健康知识共享平台，体现机构心理健康文化的风采。</w:t>
            </w:r>
          </w:p>
          <w:p w14:paraId="4D1AD40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8.管理员可以查看文章的标题、浏览次数、点赞量、展示图片等信息，可以对各类展示信息做添加、编辑和删除的操作，并可以对老师、学生和家长上传的文章进行审核。</w:t>
            </w:r>
          </w:p>
          <w:p w14:paraId="194591C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9.管理员可以管理图片、文档、视频/音频等资源，支持进行添加、编辑和删除操作。</w:t>
            </w:r>
          </w:p>
          <w:p w14:paraId="1CF6225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10.学校管理员可批量添加教师、学生、家长账号；并支持按姓名、年龄等进行筛查搜索。</w:t>
            </w:r>
          </w:p>
          <w:p w14:paraId="2990FD9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11.学校管理员可新增心理老师账号，支持对账号进行批量删除操作。</w:t>
            </w:r>
          </w:p>
          <w:p w14:paraId="3A5C447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12.学校最高管理员可以为下属管理员和心理老师，分配管理平台中不同模块的使用权限，满足心理健康教育工作个性化，也保证了系统使用的安全性。</w:t>
            </w:r>
          </w:p>
          <w:p w14:paraId="00BC850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13.学校管理员可以添加自动升学计划，设置计划的生效日期和年级，支持选择本校升学、升学离校、高三毕业三种不同的升学类型。</w:t>
            </w:r>
          </w:p>
          <w:p w14:paraId="5B48C6B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14.学校管理员可查看已添加的升学记录详情，支持对已添加的升学计划进行启动和关闭的操作。</w:t>
            </w:r>
          </w:p>
          <w:p w14:paraId="11FC64E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15.添加的每条升学计划，都会记录下操作用户和操作时间，可以后期溯源。</w:t>
            </w:r>
          </w:p>
          <w:p w14:paraId="1AB6B72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16.离校类型包括休学、转校、离校升学三种；学校管理员可以对学生进行批量的休学和转校操作；离校学生会移动到上级教育局的特定区域。</w:t>
            </w:r>
          </w:p>
          <w:p w14:paraId="6E9C009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17.学校管理员可对上级分配的学生进行接收或拒绝，接收后这些学生会自动转移到本校。</w:t>
            </w:r>
          </w:p>
          <w:p w14:paraId="71D09DD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18.学校管理员可以自主获取转学或升学的学生，通过上传包含学生信息的模板，与上级教育局中存在的休学、转校和升学（离校）的学生进行核对，将核对成功的学生加入该校。</w:t>
            </w:r>
          </w:p>
          <w:p w14:paraId="6B4519D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19.学生的每一次离校的转入转出，都会在学校和上级教育局中留下转移记录。</w:t>
            </w:r>
          </w:p>
          <w:p w14:paraId="54FD8FB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20.系统识别到家长、教师和心理老师的账号具有相同的唯一信息后，系统智能识别匹配，将同一个人的多个不同账号自动关联；</w:t>
            </w:r>
          </w:p>
          <w:p w14:paraId="1E7E6ED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21.仅需登录关联中的任一账号，即可在不同账号之间切换；</w:t>
            </w:r>
          </w:p>
          <w:p w14:paraId="736FEDE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支持在个人中心可查阅关联状态，包括账号名称、账号姓名、所属机构等；</w:t>
            </w:r>
          </w:p>
          <w:p w14:paraId="280673B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22.用户可在个人中心自主取消已关联账号，支持通过输入账号、密码、所属等关键信息自主添加管理账号。</w:t>
            </w:r>
          </w:p>
          <w:p w14:paraId="1A90E66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23.支持通过账号、姓名、昵称筛选用户，可查看用户的心理状况，包括量表测试记录、心理咨询记录、心理器械等内容；支持对异常用户进行重点关注标记。</w:t>
            </w:r>
          </w:p>
          <w:p w14:paraId="43E3D17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24.支持查看重点关注用户的账号、姓名、昵称、性别、上报状态以及心理状况。 </w:t>
            </w:r>
          </w:p>
          <w:p w14:paraId="15E87A9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25.云平台采用多层架构模式，为整个系统中所有软件、硬件的数据整合和数据分析预留接入端口，可连接多类专业心理器械（模块），并具备心理测试模块。</w:t>
            </w:r>
          </w:p>
          <w:p w14:paraId="12B4701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26.专业量表测试：</w:t>
            </w:r>
          </w:p>
          <w:p w14:paraId="2F3DE04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1)系统内包含心理健康、情绪、学习、智力、人格、社交、生活、职业兴趣测评等不少于95种专业心理量表供用户选择。 </w:t>
            </w:r>
          </w:p>
          <w:p w14:paraId="73D1D22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2)满足几千人同时在线测评，可自定义测试人群，并能智能检测用户是否符合测试条件，进一步提升测试的准确性。</w:t>
            </w:r>
          </w:p>
          <w:p w14:paraId="5378954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必配量表中涵盖世界十大经典量表如：SCL-90、贝克焦虑量表BAI、明尼苏达多项个性测验（MMPI）以及简易版、焦虑自评量表SAS、社会适应性测试、16PF、艾森克人格问卷成人式(EPQA)、瑞文标准推理测验等；选配量表中配备行业内具有针对性的特色量表。如UCLA孤独量表、交往焦虑量表、威廉斯创造力倾向测验、简明精神病量表、中学生升学就业指导测试、考试焦虑自我检查表、贝克绝望量表、自杀态度问卷、老年抑郁量表（GDS）等。</w:t>
            </w:r>
          </w:p>
          <w:p w14:paraId="5404E1D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4)系统提供免费终身更新升级、量表常模修正升级。</w:t>
            </w:r>
          </w:p>
          <w:p w14:paraId="5A5A109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软件还配置了特殊量表，系统可以随机生成划消数字量表，可自主设置需要划消的数字以及随机数字的个数。</w:t>
            </w:r>
          </w:p>
          <w:p w14:paraId="4C3C206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27.测试方案管理：</w:t>
            </w:r>
          </w:p>
          <w:p w14:paraId="39B36F8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1）管理员可以根据需要配置不同的心理测试方案，例如新生入学心理测试、年度心理普查、毕业生心理测试等，测试范围支持选择班级、年级或全校，满足不同测评需求。</w:t>
            </w:r>
          </w:p>
          <w:p w14:paraId="33C94CC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2)方案可设置发布状态、有效时间、量表清单、所属等，支持启用和停用状态的切换，满足心理老师针对不同用户心理测试，制定不同心理测试方案的需要。</w:t>
            </w:r>
          </w:p>
          <w:p w14:paraId="4C94435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28.危机评估干预：</w:t>
            </w:r>
          </w:p>
          <w:p w14:paraId="6EE94064">
            <w:pPr>
              <w:jc w:val="left"/>
              <w:rPr>
                <w:rFonts w:hint="eastAsia" w:ascii="仿宋" w:hAnsi="仿宋" w:eastAsia="仿宋" w:cs="仿宋"/>
                <w:b/>
                <w:bCs/>
                <w:color w:val="auto"/>
                <w:szCs w:val="21"/>
                <w:highlight w:val="none"/>
              </w:rPr>
            </w:pPr>
            <w:r>
              <w:rPr>
                <w:rFonts w:hint="eastAsia" w:ascii="仿宋" w:hAnsi="仿宋" w:eastAsia="仿宋" w:cs="仿宋"/>
                <w:color w:val="auto"/>
                <w:szCs w:val="21"/>
                <w:highlight w:val="none"/>
              </w:rPr>
              <w:t>1）系统智能将心理危机进行一级预警、二级预警、三级预警、其他预警、正常、无需预警的六种，并用红、橙、蓝、灰、绿、黑六种颜色显示，方便根据预警级别开展有针对性的心理辅导，帮助做好危机干预工作。</w:t>
            </w:r>
            <w:r>
              <w:rPr>
                <w:rFonts w:hint="eastAsia" w:ascii="仿宋" w:hAnsi="仿宋" w:eastAsia="仿宋" w:cs="仿宋"/>
                <w:b/>
                <w:bCs/>
                <w:color w:val="auto"/>
                <w:szCs w:val="21"/>
                <w:highlight w:val="none"/>
              </w:rPr>
              <w:t>（需提供以上真实场景界面截图佐证）</w:t>
            </w:r>
          </w:p>
          <w:p w14:paraId="055834F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2）系统内对预警等级划分有详细的说明解释，方便用户自行查看，让用户更好理解与掌握预警级别。</w:t>
            </w:r>
          </w:p>
          <w:p w14:paraId="23F4AC4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3）危机评估管理：用户选择量表后，可以根据用户名、年龄段、预警等级、所属信息进一步筛选数据，可以一键进行危机预警数据统计；统计结果支持文档导出，司法干警快速了解服刑人员的心理状态。</w:t>
            </w:r>
          </w:p>
          <w:p w14:paraId="7C82747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29.心理咨询管理：</w:t>
            </w:r>
          </w:p>
          <w:p w14:paraId="33B9D98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1）心理老师排班设置</w:t>
            </w:r>
          </w:p>
          <w:p w14:paraId="7BDC19F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支持按照用户名搜索咨询师，并可以添加、修改、删除咨询师信息。</w:t>
            </w:r>
          </w:p>
          <w:p w14:paraId="45DC07F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支持设置排班时间，并可以精细调整上午或下午的值班时间段。</w:t>
            </w:r>
          </w:p>
          <w:p w14:paraId="252A91A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排班时可以查看咨询师的姓名、专业、擅长、年龄、性别等详细信息。</w:t>
            </w:r>
          </w:p>
          <w:p w14:paraId="6D21B3D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2）咨询预约</w:t>
            </w:r>
          </w:p>
          <w:p w14:paraId="40FD1D9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用户可查看值班心理老师的姓名、擅长方向、级别等信息，支持用户自主选择进行留言操作；用户需填写症状表现、预约时间、姓名、性别、年龄、民族、联系方式、咨询内容等信息。</w:t>
            </w:r>
          </w:p>
          <w:p w14:paraId="496505A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管理员可对前台的心理预约情况进行管理，支持通过用户名、症状类型、预约时间段等筛选预约数据；可快速查看用户的预约状态，并支持预约删除操作。</w:t>
            </w:r>
          </w:p>
          <w:p w14:paraId="439651F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管理可查看包括用户名、性别、联系方式、预约时间、预约内容、预约状态、预约咨询师、会诊结果等详细数据；心理老师可对预约状况进行快速入档。</w:t>
            </w:r>
          </w:p>
          <w:p w14:paraId="78D39EC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3）咨询留言</w:t>
            </w:r>
          </w:p>
          <w:p w14:paraId="697F835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用户可查看值班心理老师的姓名、擅长方向、级别等信息，支持用户自主选择进行留言操作。</w:t>
            </w:r>
          </w:p>
          <w:p w14:paraId="5BDED0C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可快速查看用户的预约状态，并支持预约删除操作。</w:t>
            </w:r>
          </w:p>
          <w:p w14:paraId="0DFBA41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心理老师可在个人中心对留言进行快速回复，搭配app使用更加高效。</w:t>
            </w:r>
          </w:p>
          <w:p w14:paraId="09D35C6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30.管理员可以根据应用情况，选择是否申请接入音乐放松训练系统、身心反馈训练系统、智能脑波情绪调节系统、心灵小屋系统、电子心理涂鸦系统、箱庭管理系统、Vr虚拟现实心理训练系统、团体辅导管理系统，体感音波催眠系统等软硬件系统。</w:t>
            </w:r>
          </w:p>
          <w:p w14:paraId="0C8D996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31.管理员对心理器械的名称、设备图片、设备简介、设备详情、数量、预约时间与预约时长进行编辑。</w:t>
            </w:r>
          </w:p>
          <w:p w14:paraId="2F434CD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32.管理员可以查看心理器械的预约情况与使用统计。</w:t>
            </w:r>
          </w:p>
          <w:p w14:paraId="43E81CC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33.工作人员、学生等用户可以查看心理器械的简介、体验人数、体验次数等信息，并可以根据实际需求预约体验心理设备。</w:t>
            </w:r>
          </w:p>
          <w:p w14:paraId="3AA44F5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34.该平台采用云平台服务，可终身使用）</w:t>
            </w:r>
          </w:p>
          <w:p w14:paraId="4C838E2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35.</w:t>
            </w:r>
            <w:r>
              <w:rPr>
                <w:rFonts w:hint="eastAsia" w:ascii="仿宋" w:hAnsi="仿宋" w:eastAsia="仿宋" w:cs="仿宋"/>
                <w:color w:val="auto"/>
                <w:kern w:val="0"/>
                <w:szCs w:val="21"/>
                <w:highlight w:val="none"/>
                <w:lang w:bidi="ar"/>
              </w:rPr>
              <w:t>投标人中标后需和业主签署信息安全协议</w:t>
            </w:r>
          </w:p>
        </w:tc>
        <w:tc>
          <w:tcPr>
            <w:tcW w:w="743" w:type="dxa"/>
            <w:vAlign w:val="center"/>
          </w:tcPr>
          <w:p w14:paraId="6DF20D3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79F1F20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29BE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56698923">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 w:val="22"/>
                <w:szCs w:val="22"/>
                <w:highlight w:val="none"/>
                <w:lang w:bidi="ar"/>
              </w:rPr>
              <w:t>科普宣传区</w:t>
            </w:r>
          </w:p>
        </w:tc>
      </w:tr>
      <w:tr w14:paraId="19A6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A3802E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58" w:type="dxa"/>
            <w:vAlign w:val="center"/>
          </w:tcPr>
          <w:p w14:paraId="71D445E9">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心理自助系统</w:t>
            </w:r>
          </w:p>
        </w:tc>
        <w:tc>
          <w:tcPr>
            <w:tcW w:w="1037" w:type="dxa"/>
            <w:vAlign w:val="center"/>
          </w:tcPr>
          <w:p w14:paraId="778AEE5B">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阳光心健、新晨心理、惠明教育</w:t>
            </w:r>
          </w:p>
        </w:tc>
        <w:tc>
          <w:tcPr>
            <w:tcW w:w="5024" w:type="dxa"/>
            <w:vAlign w:val="center"/>
          </w:tcPr>
          <w:p w14:paraId="27E71CD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心理自助系统集训练、测试，放松，知识介绍于一体，对提升注意力、自学放松模式、专业量表科学测试都有很大的帮助。系统包含包括了中心介绍、中心活动花絮、你所不知道的心理学、心理咨询师风采、我是谁以及心灵鸡汤六大版块。</w:t>
            </w:r>
          </w:p>
          <w:p w14:paraId="684AEAE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产品硬件配置</w:t>
            </w:r>
          </w:p>
          <w:p w14:paraId="1D21941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 ≥32英寸防爆触摸屏，具有高透明度，高透光率等特点。</w:t>
            </w:r>
          </w:p>
          <w:p w14:paraId="2C3B858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2、可承受超过≥60000000次以上的单点触摸。</w:t>
            </w:r>
          </w:p>
          <w:p w14:paraId="027E955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3、触摸屏表面汽车烤漆，防磁、防静电、内置风扇、功放。</w:t>
            </w:r>
          </w:p>
          <w:p w14:paraId="4D32EEE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4、音响采用双声道，立体声环绕功放系统，功率：≥2x2W频响：20Hz~20KHz。</w:t>
            </w:r>
          </w:p>
          <w:p w14:paraId="36043A1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5、网络接口为RJ45或RJ11。</w:t>
            </w:r>
          </w:p>
          <w:p w14:paraId="5B36305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6、展示平台主体颜色为天蓝色。柜体为天蓝色与白色嵌合式设计，正前方整体外观为2个长椭圆形的合拢式设计。触摸屏到地面的高度不少于700 mm，长度不少于725mm，宽度不少于435mm。</w:t>
            </w:r>
          </w:p>
          <w:p w14:paraId="48EA6B1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7、工业abs材质外壳，两侧装有蓝白相间的扶手，并采用环绕式设计，可各种方位移动设备。扶手总长度不少于1100mm，宽度不少于10mm。底部装有塑胶万向轮。</w:t>
            </w:r>
          </w:p>
          <w:p w14:paraId="641AAB7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软件功能：</w:t>
            </w:r>
          </w:p>
          <w:p w14:paraId="6E2FEB5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心理自助系统包括了中心介绍、中心活动花絮、你所不知道的心理学、心理咨询师风采、我是谁以及心灵鸡汤六大版块组成。</w:t>
            </w:r>
          </w:p>
          <w:p w14:paraId="3F64218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（一）中心介绍</w:t>
            </w:r>
          </w:p>
          <w:p w14:paraId="7F67F9D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具有使用单位特色的宣传和介绍，管理员可以对中心介绍内容进行编辑修改。</w:t>
            </w:r>
          </w:p>
          <w:p w14:paraId="52E94C6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（二）中心活动花絮</w:t>
            </w:r>
          </w:p>
          <w:p w14:paraId="5B240EF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1、可以将心理健康中心的活动以图片及文字的形式展现，让用户对本单位心理健康工作有更多的了解。</w:t>
            </w:r>
          </w:p>
          <w:p w14:paraId="115ED88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2、管理员可以上传、编辑中心活动内容，打造专属本单位的心理健康活动展示平台。</w:t>
            </w:r>
          </w:p>
          <w:p w14:paraId="7EA5486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（三）你所不知道的心理学</w:t>
            </w:r>
          </w:p>
          <w:p w14:paraId="25D741F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1、可以面向用户进行心理知识科普。用户可以采取阅览心理书籍及心理文章的方式，了解心理健康。</w:t>
            </w:r>
          </w:p>
          <w:p w14:paraId="4E0AF44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2、本模块包含亲子关系、情绪知识、压力调节、社交关系等心理学科普类文章，让用户学习如何自我心理调节。</w:t>
            </w:r>
          </w:p>
          <w:p w14:paraId="154932B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（四）心理咨询师风采</w:t>
            </w:r>
          </w:p>
          <w:p w14:paraId="342A51F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心理咨询师风采可以让使用者了解本单位心理咨询师信息，满足不同用户的咨询需求。</w:t>
            </w:r>
          </w:p>
          <w:p w14:paraId="569679B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（五）我是谁</w:t>
            </w:r>
          </w:p>
          <w:p w14:paraId="65C95D2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本模块为用户提供心理评估测试体验，主要从两个方面出发，让用户在测试中建立对自我的正确认知，发掘内在潜力，引导个性发展，全方位维护用户的身心健康。</w:t>
            </w:r>
          </w:p>
          <w:p w14:paraId="7907163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1、趣味类测试，为非专业性测试，通过有趣的题目和选项设置，旨在引起用户对心理类知识或心理专业测试的关注，从而提升其自身对心理健康类知识摄取的主动性和积极性，总体测试内容不少于80个。</w:t>
            </w:r>
          </w:p>
          <w:p w14:paraId="1FEC9B5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2、专业类心理测试，可以让用户自行测试，了解心理健康。测试结果可以作为了解当下自我心理现状的一种参考方式，帮助用户更好的调整状态。测试由心理健康类、社交类等量表组成。</w:t>
            </w:r>
          </w:p>
          <w:p w14:paraId="5310449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测试完成之后，系统会自动出现一个测试报告。管理员可以在后台选择开放还是关闭测试结果，也可以选择开放某个量表或不开放某个量表，支持量表开放后，进行简介、指导语的修改，便于引导用户进行测试。</w:t>
            </w:r>
          </w:p>
          <w:p w14:paraId="3223B1C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4、测试结果可以导出及打印，咨询师管理及建立心理健康档案。</w:t>
            </w:r>
          </w:p>
          <w:p w14:paraId="1E686BE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（六）心灵鸡汤</w:t>
            </w:r>
          </w:p>
          <w:p w14:paraId="270118E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内含心理电影、心理音乐、放松图片可以让使用者自行选择放松方式，符合自助式心理辅导理念。</w:t>
            </w:r>
          </w:p>
          <w:p w14:paraId="7024F31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使用者通过寓教于乐的放松方式，达到放松心情，舒缓身心，保持身心健康的目的。</w:t>
            </w:r>
          </w:p>
        </w:tc>
        <w:tc>
          <w:tcPr>
            <w:tcW w:w="743" w:type="dxa"/>
            <w:vAlign w:val="center"/>
          </w:tcPr>
          <w:p w14:paraId="548D9FE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583C3AC1">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14:paraId="6DD4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53DE93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58" w:type="dxa"/>
            <w:vAlign w:val="center"/>
          </w:tcPr>
          <w:p w14:paraId="2327F164">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心理挂图</w:t>
            </w:r>
          </w:p>
        </w:tc>
        <w:tc>
          <w:tcPr>
            <w:tcW w:w="1037" w:type="dxa"/>
            <w:vAlign w:val="center"/>
          </w:tcPr>
          <w:p w14:paraId="4E645514">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阳光心健、新晨心理、惠明教育</w:t>
            </w:r>
          </w:p>
        </w:tc>
        <w:tc>
          <w:tcPr>
            <w:tcW w:w="5024" w:type="dxa"/>
            <w:vAlign w:val="center"/>
          </w:tcPr>
          <w:p w14:paraId="7A20D29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不同心理场景的可供选择的心理挂图：分为催眠图、错觉图、深思图、激励图等。</w:t>
            </w:r>
          </w:p>
          <w:p w14:paraId="583C653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整体尺寸：≥62*52cm；</w:t>
            </w:r>
          </w:p>
          <w:p w14:paraId="2002DD6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边框颜色：欧白花纹；</w:t>
            </w:r>
          </w:p>
          <w:p w14:paraId="28F4484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边框宽度：不少于3cm；</w:t>
            </w:r>
          </w:p>
          <w:p w14:paraId="3E869F4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边框材质：实木；</w:t>
            </w:r>
          </w:p>
          <w:p w14:paraId="4D99DA9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前档板：有机玻璃；</w:t>
            </w:r>
          </w:p>
          <w:p w14:paraId="22646EC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无痕挂钩：≥30*15MM。</w:t>
            </w:r>
          </w:p>
        </w:tc>
        <w:tc>
          <w:tcPr>
            <w:tcW w:w="743" w:type="dxa"/>
            <w:vAlign w:val="center"/>
          </w:tcPr>
          <w:p w14:paraId="01F9EB6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6BC7DF7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幅</w:t>
            </w:r>
          </w:p>
        </w:tc>
      </w:tr>
      <w:tr w14:paraId="4B31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7CB2EEC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58" w:type="dxa"/>
            <w:vAlign w:val="center"/>
          </w:tcPr>
          <w:p w14:paraId="777FCDB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视听资料</w:t>
            </w:r>
          </w:p>
        </w:tc>
        <w:tc>
          <w:tcPr>
            <w:tcW w:w="1037" w:type="dxa"/>
            <w:vAlign w:val="center"/>
          </w:tcPr>
          <w:p w14:paraId="7D03DBF0">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阳光心健、新晨心理、惠明教育</w:t>
            </w:r>
          </w:p>
        </w:tc>
        <w:tc>
          <w:tcPr>
            <w:tcW w:w="5024" w:type="dxa"/>
            <w:vAlign w:val="center"/>
          </w:tcPr>
          <w:p w14:paraId="18198D2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团体辅导资料及课程视频，房树人测试亲子篇视频课程，箱庭视频课程，绘画治疗视频，精神分析相关微课，心理危机干预相关课程，u盘发货，方便携带，操作简单</w:t>
            </w:r>
          </w:p>
        </w:tc>
        <w:tc>
          <w:tcPr>
            <w:tcW w:w="743" w:type="dxa"/>
            <w:vAlign w:val="center"/>
          </w:tcPr>
          <w:p w14:paraId="27483070">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1776FF6C">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14:paraId="223B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489549C0">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心理咨询室（3间）</w:t>
            </w:r>
          </w:p>
        </w:tc>
      </w:tr>
      <w:tr w14:paraId="33CF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32838D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58" w:type="dxa"/>
            <w:vAlign w:val="center"/>
          </w:tcPr>
          <w:p w14:paraId="49189AD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箱庭设备（含沙盘）</w:t>
            </w:r>
          </w:p>
        </w:tc>
        <w:tc>
          <w:tcPr>
            <w:tcW w:w="1037" w:type="dxa"/>
            <w:vAlign w:val="center"/>
          </w:tcPr>
          <w:p w14:paraId="4FF9200B">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阳光心健、新晨心理、惠明教育</w:t>
            </w:r>
          </w:p>
        </w:tc>
        <w:tc>
          <w:tcPr>
            <w:tcW w:w="5024" w:type="dxa"/>
            <w:vAlign w:val="center"/>
          </w:tcPr>
          <w:p w14:paraId="234F1C1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1、沙具架：沙具陈列架一个，材质为松木原木。尺寸：不小于宽120cm×高160 cm×深35cm，6层11阶设计，木本色，清漆涂层。</w:t>
            </w:r>
          </w:p>
          <w:p w14:paraId="2CF56CE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2、沙箱：标准个体沙箱一个，材质为松木原木。</w:t>
            </w:r>
          </w:p>
          <w:p w14:paraId="5E5EDB5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个体沙箱按照国际标准</w:t>
            </w:r>
          </w:p>
          <w:p w14:paraId="781260A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1）尺寸： 不小于57*72*7cm； </w:t>
            </w:r>
          </w:p>
          <w:p w14:paraId="741255F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2）颜色为外侧原木本色，内侧为天蓝色。</w:t>
            </w:r>
          </w:p>
          <w:p w14:paraId="7E7884D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3、沙箱腿：整体为整条方木原木制作结构，材质为松木原木制作。高度70－100正好适合于手放置沙具的位置，实用。</w:t>
            </w:r>
          </w:p>
          <w:p w14:paraId="708E5C5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4、沙具：不小于600个，沙具为树脂、陶瓷、聚氨脂材料制造，包含人物类、交通工具类、动物类、植物类、食品类、家居类、家禽类、宗教类等18大类别。</w:t>
            </w:r>
          </w:p>
          <w:p w14:paraId="207A57A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人物类：神话人物、动漫人物、科幻人物、职业人物、偶像人物、恐怖人物等系列；</w:t>
            </w:r>
          </w:p>
          <w:p w14:paraId="1081122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交通工具：豪车、飞机、消防、公安、工程、公交、军事系列；</w:t>
            </w:r>
          </w:p>
          <w:p w14:paraId="42A271B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动物类：海洋动物、爬行动物、两栖动物、动漫动物、恐龙等系列；</w:t>
            </w:r>
          </w:p>
          <w:p w14:paraId="6CF1EDA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植物类：花、草、树、果实、蔬菜等系列；</w:t>
            </w:r>
          </w:p>
          <w:p w14:paraId="1837B80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建筑类：桥、道路、网吧、公安局、医院、厕所、草房、洋房、别墅等系列；</w:t>
            </w:r>
          </w:p>
          <w:p w14:paraId="2C9C992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食品类：包子、馒头、花卷、面包等系列；</w:t>
            </w:r>
          </w:p>
          <w:p w14:paraId="0EAD0DA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家居类：手机、各种家具、家用电器、生活用品等系列；</w:t>
            </w:r>
          </w:p>
          <w:p w14:paraId="1FF1328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家禽类：鸡、鸭等系列；</w:t>
            </w:r>
          </w:p>
          <w:p w14:paraId="032D539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宗教类：妈祖、大肚佛等系列。</w:t>
            </w:r>
          </w:p>
          <w:p w14:paraId="7CECB82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5、海沙：不小于15公斤，天然黄色细沙、细腻、高温消毒,手握可以带来极柔软感。</w:t>
            </w:r>
          </w:p>
          <w:p w14:paraId="2062548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6、箱庭活动记录本、《箱庭疗法》；操作手册各一本；箱庭活动记录本、分别为个体箱庭制作过程记录表（6份）、团体箱庭制作（2份 共8张）过程记录表。</w:t>
            </w:r>
          </w:p>
          <w:p w14:paraId="775219E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7、所投箱庭设备须具有有害物质检测报告（测试样品中的铅（Pb)、镉（Cd)、汞（Hg)、六价铬（cr(VI)等有害物质）。</w:t>
            </w:r>
          </w:p>
        </w:tc>
        <w:tc>
          <w:tcPr>
            <w:tcW w:w="743" w:type="dxa"/>
            <w:vAlign w:val="center"/>
          </w:tcPr>
          <w:p w14:paraId="23B8C91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64" w:type="dxa"/>
            <w:vAlign w:val="center"/>
          </w:tcPr>
          <w:p w14:paraId="0306B80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097C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19DBE9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58" w:type="dxa"/>
            <w:vAlign w:val="center"/>
          </w:tcPr>
          <w:p w14:paraId="0BA69A2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心理挂图</w:t>
            </w:r>
          </w:p>
        </w:tc>
        <w:tc>
          <w:tcPr>
            <w:tcW w:w="1037" w:type="dxa"/>
            <w:vAlign w:val="center"/>
          </w:tcPr>
          <w:p w14:paraId="1173989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阳光心健、新晨心理、惠明教育</w:t>
            </w:r>
          </w:p>
        </w:tc>
        <w:tc>
          <w:tcPr>
            <w:tcW w:w="5024" w:type="dxa"/>
            <w:vAlign w:val="center"/>
          </w:tcPr>
          <w:p w14:paraId="1AB19FF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不同心理场景的可供选择的心理挂图：分为催眠图、错觉图、深思图、激励图等。</w:t>
            </w:r>
          </w:p>
          <w:p w14:paraId="2B5288A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整体尺寸：不小于62*52cm；</w:t>
            </w:r>
          </w:p>
          <w:p w14:paraId="1851DBF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边框颜色：欧白花纹；</w:t>
            </w:r>
          </w:p>
          <w:p w14:paraId="1770766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边框宽度：不少于3cm；</w:t>
            </w:r>
          </w:p>
          <w:p w14:paraId="507A7DC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边框材质：实木；</w:t>
            </w:r>
          </w:p>
          <w:p w14:paraId="0637C53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前档板：有机玻璃；</w:t>
            </w:r>
          </w:p>
          <w:p w14:paraId="2494750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无痕挂钩： 不小于30*15MM。</w:t>
            </w:r>
          </w:p>
        </w:tc>
        <w:tc>
          <w:tcPr>
            <w:tcW w:w="743" w:type="dxa"/>
            <w:vAlign w:val="center"/>
          </w:tcPr>
          <w:p w14:paraId="6E59E53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64" w:type="dxa"/>
            <w:vAlign w:val="center"/>
          </w:tcPr>
          <w:p w14:paraId="09BBECE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2C1E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BB2802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58" w:type="dxa"/>
            <w:vAlign w:val="center"/>
          </w:tcPr>
          <w:p w14:paraId="59EC3DA6">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录音笔</w:t>
            </w:r>
          </w:p>
        </w:tc>
        <w:tc>
          <w:tcPr>
            <w:tcW w:w="1037" w:type="dxa"/>
            <w:vAlign w:val="center"/>
          </w:tcPr>
          <w:p w14:paraId="5705FA7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三星、爱国者、科大讯飞</w:t>
            </w:r>
          </w:p>
        </w:tc>
        <w:tc>
          <w:tcPr>
            <w:tcW w:w="5024" w:type="dxa"/>
            <w:vAlign w:val="center"/>
          </w:tcPr>
          <w:p w14:paraId="1B65CBE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内存容量：≥32GB</w:t>
            </w:r>
          </w:p>
          <w:p w14:paraId="2B4BD9E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麦克风数量：双向</w:t>
            </w:r>
          </w:p>
          <w:p w14:paraId="17F4026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功能：语音转文字，录音，翻译</w:t>
            </w:r>
          </w:p>
          <w:p w14:paraId="070C46A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录音距离：≥5米</w:t>
            </w:r>
          </w:p>
          <w:p w14:paraId="7CFFB22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自带内存录音时长：≥180h</w:t>
            </w:r>
          </w:p>
        </w:tc>
        <w:tc>
          <w:tcPr>
            <w:tcW w:w="743" w:type="dxa"/>
            <w:vAlign w:val="center"/>
          </w:tcPr>
          <w:p w14:paraId="7862B6E4">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p>
        </w:tc>
        <w:tc>
          <w:tcPr>
            <w:tcW w:w="564" w:type="dxa"/>
            <w:vAlign w:val="center"/>
          </w:tcPr>
          <w:p w14:paraId="7E0F4D86">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w:t>
            </w:r>
          </w:p>
        </w:tc>
      </w:tr>
      <w:tr w14:paraId="677D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63B7D8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58" w:type="dxa"/>
            <w:vAlign w:val="center"/>
          </w:tcPr>
          <w:p w14:paraId="034BFEB0">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摄像头</w:t>
            </w:r>
          </w:p>
        </w:tc>
        <w:tc>
          <w:tcPr>
            <w:tcW w:w="1037" w:type="dxa"/>
            <w:vAlign w:val="center"/>
          </w:tcPr>
          <w:p w14:paraId="15765A7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海康威视、大华、宇视</w:t>
            </w:r>
          </w:p>
        </w:tc>
        <w:tc>
          <w:tcPr>
            <w:tcW w:w="5024" w:type="dxa"/>
            <w:vAlign w:val="center"/>
          </w:tcPr>
          <w:p w14:paraId="7879475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F1.0超大光圈镜头，最高分辨率可达400万像素，并在此分辨率下可输出25 fps实时图像，提供更清晰与流畅的视频流输入</w:t>
            </w:r>
          </w:p>
          <w:p w14:paraId="5FB3E49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支持区域入侵侦测，越界侦测，进入区域侦测，离开区域侦测</w:t>
            </w:r>
          </w:p>
          <w:p w14:paraId="1354A5F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支持背光补偿，强光抑制，3D数字降噪，120 dB宽动态，适应不同环境</w:t>
            </w:r>
          </w:p>
          <w:p w14:paraId="316F779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支持柔光灯补光，照射距离最远可达30 m</w:t>
            </w:r>
          </w:p>
          <w:p w14:paraId="1C4B3ED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支持1个RJ45 10 M/100 M自适应以太网口，1个内置麦克风</w:t>
            </w:r>
          </w:p>
          <w:p w14:paraId="0DB74C7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符合IP67防尘防水设计，可靠性高</w:t>
            </w:r>
          </w:p>
          <w:p w14:paraId="4BFC990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传感器类型：1/1.8" Progressive Scan CMOS </w:t>
            </w:r>
          </w:p>
          <w:p w14:paraId="3487F67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最低照度：彩色：0.0005 Lux </w:t>
            </w:r>
          </w:p>
          <w:p w14:paraId="5F07FBC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宽动态：120 dB</w:t>
            </w:r>
          </w:p>
          <w:p w14:paraId="5053612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调节角度：水平：0°~360°，垂直：0°~75°，旋转：0°~360°  </w:t>
            </w:r>
          </w:p>
          <w:p w14:paraId="29C3F1A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焦距&amp;视场角：2.8 mm，水平视场角：105°，垂直视场角：55°，对角视场角：125°</w:t>
            </w:r>
          </w:p>
          <w:p w14:paraId="5D1AB2F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 mm，水平视场角：89°，垂直视场角：48°，对角视场角：104°</w:t>
            </w:r>
          </w:p>
          <w:p w14:paraId="64508E0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 mm，水平视场角：55°，垂直视场角：29°，对角视场角：64°</w:t>
            </w:r>
          </w:p>
          <w:p w14:paraId="0164F29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景深范围：2.8 mm：2.5 m~∞</w:t>
            </w:r>
          </w:p>
          <w:p w14:paraId="18BB5B1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 mm：2.8 m~∞</w:t>
            </w:r>
          </w:p>
          <w:p w14:paraId="66A2E2E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6 mm：6.8 m~∞ </w:t>
            </w:r>
          </w:p>
          <w:p w14:paraId="11E7202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补光灯类型：柔光灯</w:t>
            </w:r>
          </w:p>
          <w:p w14:paraId="6AC8654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补光距离：最远可达30 m</w:t>
            </w:r>
          </w:p>
          <w:p w14:paraId="24E360F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防补光过曝：支持 </w:t>
            </w:r>
          </w:p>
          <w:p w14:paraId="420ABDE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最大图像尺寸：2560 × 1440</w:t>
            </w:r>
          </w:p>
          <w:p w14:paraId="312494F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视频压缩标准：主码流：H.265/H.264，支持超级智能编码</w:t>
            </w:r>
          </w:p>
          <w:p w14:paraId="6373DB9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子码流：H.265/H.264/MJPEG</w:t>
            </w:r>
          </w:p>
          <w:p w14:paraId="6EBB0B9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第三码流：H.265/H.264 </w:t>
            </w:r>
          </w:p>
          <w:p w14:paraId="18B959E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网络：1个RJ45 10 M/100 M自适应以太网口</w:t>
            </w:r>
          </w:p>
          <w:p w14:paraId="19B9F07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SD卡扩展：内置MicroSD/MicroSDHC/MicroSDXC插槽，最大支持512 GB</w:t>
            </w:r>
          </w:p>
          <w:p w14:paraId="0D4AFC5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音频：1个内置麦克风</w:t>
            </w:r>
          </w:p>
          <w:p w14:paraId="10C074A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1路输入（Line in），最大输入幅值：3.3 Vpp，输入阻抗：4.7 kΩ，接口类型：非平衡</w:t>
            </w:r>
          </w:p>
          <w:p w14:paraId="4247B74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1路输出（Line out），最大输出幅值：3.3 Vpp，输出阻抗：100 Ω，接口类型：非平衡</w:t>
            </w:r>
          </w:p>
          <w:p w14:paraId="544E263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报警：1路输入，1路输出（报警输出最大支持DC12 V，30 mA）</w:t>
            </w:r>
          </w:p>
          <w:p w14:paraId="551D9BA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电源输出：DC12 V，100 mA电源输出，可用于拾音器供电</w:t>
            </w:r>
          </w:p>
          <w:p w14:paraId="6BE9E11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复位：支持 </w:t>
            </w:r>
          </w:p>
        </w:tc>
        <w:tc>
          <w:tcPr>
            <w:tcW w:w="743" w:type="dxa"/>
            <w:vAlign w:val="center"/>
          </w:tcPr>
          <w:p w14:paraId="066CED66">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p>
        </w:tc>
        <w:tc>
          <w:tcPr>
            <w:tcW w:w="564" w:type="dxa"/>
            <w:vAlign w:val="center"/>
          </w:tcPr>
          <w:p w14:paraId="1BDC24D1">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只</w:t>
            </w:r>
          </w:p>
        </w:tc>
      </w:tr>
      <w:tr w14:paraId="4AA4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A1B3E5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758" w:type="dxa"/>
            <w:vAlign w:val="center"/>
          </w:tcPr>
          <w:p w14:paraId="1233D0A0">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拾音器</w:t>
            </w:r>
          </w:p>
        </w:tc>
        <w:tc>
          <w:tcPr>
            <w:tcW w:w="1037" w:type="dxa"/>
            <w:vAlign w:val="center"/>
          </w:tcPr>
          <w:p w14:paraId="68D73A01">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海康威视、大华、宇视</w:t>
            </w:r>
          </w:p>
        </w:tc>
        <w:tc>
          <w:tcPr>
            <w:tcW w:w="5024" w:type="dxa"/>
            <w:vAlign w:val="center"/>
          </w:tcPr>
          <w:p w14:paraId="23D914D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麦克风: 一个高灵敏度全指向驻极体麦</w:t>
            </w:r>
          </w:p>
          <w:p w14:paraId="5A00C20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动态范围: 0 dB~90 dB</w:t>
            </w:r>
          </w:p>
          <w:p w14:paraId="6A20B5D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最大承受音压: 120 dBSPL</w:t>
            </w:r>
          </w:p>
          <w:p w14:paraId="03EE2DB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拾音范围: 0 m~5 m</w:t>
            </w:r>
          </w:p>
          <w:p w14:paraId="635C891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灵敏度: -32 dB</w:t>
            </w:r>
          </w:p>
          <w:p w14:paraId="700324D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输出信号幅度: 2.5 Vpp</w:t>
            </w:r>
          </w:p>
          <w:p w14:paraId="43AA54B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信噪比: 90 dB</w:t>
            </w:r>
          </w:p>
          <w:p w14:paraId="78815BF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频率响应: 20 Hz~20 kHz</w:t>
            </w:r>
          </w:p>
          <w:p w14:paraId="15B2820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音频传输距离: ≥500 m</w:t>
            </w:r>
          </w:p>
          <w:p w14:paraId="7C340CD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接口类型: LINE OUT</w:t>
            </w:r>
          </w:p>
          <w:p w14:paraId="73DE091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输出阻抗: 600Ω</w:t>
            </w:r>
          </w:p>
          <w:p w14:paraId="2810C2E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电源电压: DC12V</w:t>
            </w:r>
          </w:p>
        </w:tc>
        <w:tc>
          <w:tcPr>
            <w:tcW w:w="743" w:type="dxa"/>
            <w:vAlign w:val="center"/>
          </w:tcPr>
          <w:p w14:paraId="2611ED4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p>
        </w:tc>
        <w:tc>
          <w:tcPr>
            <w:tcW w:w="564" w:type="dxa"/>
            <w:vAlign w:val="center"/>
          </w:tcPr>
          <w:p w14:paraId="18C7F8E9">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只</w:t>
            </w:r>
          </w:p>
        </w:tc>
      </w:tr>
      <w:tr w14:paraId="6BBE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E69B83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758" w:type="dxa"/>
            <w:vAlign w:val="center"/>
          </w:tcPr>
          <w:p w14:paraId="28CD41F1">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拾音器电源</w:t>
            </w:r>
          </w:p>
        </w:tc>
        <w:tc>
          <w:tcPr>
            <w:tcW w:w="1037" w:type="dxa"/>
            <w:vAlign w:val="center"/>
          </w:tcPr>
          <w:p w14:paraId="65678F38">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海康威视、大华、宇视</w:t>
            </w:r>
          </w:p>
        </w:tc>
        <w:tc>
          <w:tcPr>
            <w:tcW w:w="5024" w:type="dxa"/>
            <w:vAlign w:val="center"/>
          </w:tcPr>
          <w:p w14:paraId="50EE3AE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DC12V5A</w:t>
            </w:r>
          </w:p>
        </w:tc>
        <w:tc>
          <w:tcPr>
            <w:tcW w:w="743" w:type="dxa"/>
            <w:vAlign w:val="center"/>
          </w:tcPr>
          <w:p w14:paraId="5E5758EF">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57FBA390">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只</w:t>
            </w:r>
          </w:p>
        </w:tc>
      </w:tr>
      <w:tr w14:paraId="19F7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BA1BD0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758" w:type="dxa"/>
            <w:vAlign w:val="center"/>
          </w:tcPr>
          <w:p w14:paraId="56DDFB6D">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录像机</w:t>
            </w:r>
          </w:p>
        </w:tc>
        <w:tc>
          <w:tcPr>
            <w:tcW w:w="1037" w:type="dxa"/>
            <w:vAlign w:val="center"/>
          </w:tcPr>
          <w:p w14:paraId="1D0379CA">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海康威视、大华、宇视</w:t>
            </w:r>
          </w:p>
        </w:tc>
        <w:tc>
          <w:tcPr>
            <w:tcW w:w="5024" w:type="dxa"/>
            <w:vAlign w:val="center"/>
          </w:tcPr>
          <w:p w14:paraId="2963F12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存储接口：≥1个SATA接口，标配4TB硬盘一块</w:t>
            </w:r>
          </w:p>
          <w:p w14:paraId="7A275CE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视频接口：≥1×HDMI，1×VGA</w:t>
            </w:r>
          </w:p>
          <w:p w14:paraId="5323EDC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网络接口：≥1×RJ45 10/100Mbps自适应以太网口+4个10M/100Mbps自适应PoE网口</w:t>
            </w:r>
          </w:p>
          <w:p w14:paraId="246689E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报警接口：≥4路报警输入，1路报警输出</w:t>
            </w:r>
          </w:p>
          <w:p w14:paraId="0CC4E76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USB接口：2×USB 2.0</w:t>
            </w:r>
          </w:p>
          <w:p w14:paraId="78EEA37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【产品性能】</w:t>
            </w:r>
          </w:p>
          <w:p w14:paraId="760159B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输入带宽：≥40Mbps</w:t>
            </w:r>
          </w:p>
          <w:p w14:paraId="2CDC249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输出带宽：≥80Mbps</w:t>
            </w:r>
          </w:p>
          <w:p w14:paraId="14747D9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接入能力：≥4路H.264、H.265格式高清码流接入</w:t>
            </w:r>
          </w:p>
          <w:p w14:paraId="5403B1D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解码能力：≥最大支持6×1080P</w:t>
            </w:r>
          </w:p>
          <w:p w14:paraId="2CC9B19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显示能力：≥最大支持4K输出</w:t>
            </w:r>
          </w:p>
        </w:tc>
        <w:tc>
          <w:tcPr>
            <w:tcW w:w="743" w:type="dxa"/>
            <w:vAlign w:val="center"/>
          </w:tcPr>
          <w:p w14:paraId="50ADA6D8">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30E69BE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14:paraId="7A8B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B24746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758" w:type="dxa"/>
            <w:vAlign w:val="center"/>
          </w:tcPr>
          <w:p w14:paraId="0092CD8B">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配套线路及施工费</w:t>
            </w:r>
          </w:p>
        </w:tc>
        <w:tc>
          <w:tcPr>
            <w:tcW w:w="1037" w:type="dxa"/>
            <w:vAlign w:val="center"/>
          </w:tcPr>
          <w:p w14:paraId="1AE40878">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国产</w:t>
            </w:r>
          </w:p>
        </w:tc>
        <w:tc>
          <w:tcPr>
            <w:tcW w:w="5024" w:type="dxa"/>
            <w:vAlign w:val="center"/>
          </w:tcPr>
          <w:p w14:paraId="3925953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配套</w:t>
            </w:r>
          </w:p>
        </w:tc>
        <w:tc>
          <w:tcPr>
            <w:tcW w:w="743" w:type="dxa"/>
            <w:vAlign w:val="center"/>
          </w:tcPr>
          <w:p w14:paraId="71D98DF1">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p>
        </w:tc>
        <w:tc>
          <w:tcPr>
            <w:tcW w:w="564" w:type="dxa"/>
            <w:vAlign w:val="center"/>
          </w:tcPr>
          <w:p w14:paraId="422758ED">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只</w:t>
            </w:r>
          </w:p>
        </w:tc>
      </w:tr>
      <w:tr w14:paraId="4970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4EBD263D">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团体辅导（培训）室</w:t>
            </w:r>
          </w:p>
        </w:tc>
      </w:tr>
      <w:tr w14:paraId="3F52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737EEB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58" w:type="dxa"/>
            <w:vAlign w:val="center"/>
          </w:tcPr>
          <w:p w14:paraId="07CD69C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团体辅导活动箱</w:t>
            </w:r>
          </w:p>
        </w:tc>
        <w:tc>
          <w:tcPr>
            <w:tcW w:w="1037" w:type="dxa"/>
            <w:vAlign w:val="center"/>
          </w:tcPr>
          <w:p w14:paraId="6E5EB5FA">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阳光心健、新晨心理、惠明教育</w:t>
            </w:r>
          </w:p>
        </w:tc>
        <w:tc>
          <w:tcPr>
            <w:tcW w:w="5024" w:type="dxa"/>
            <w:vAlign w:val="center"/>
          </w:tcPr>
          <w:p w14:paraId="42781FB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团体辅导活动箱是用于开展团体心理课程及活动的辅助工具，内含十大活动主题：环境适应、人际交往、竞争合作、减压练习、创新实践、学习管理、自我意识、意志责任、感恩体验、心灵成长。</w:t>
            </w:r>
          </w:p>
          <w:p w14:paraId="1566B9D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（一）外观尺寸</w:t>
            </w:r>
          </w:p>
          <w:p w14:paraId="20F3D2E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 配备团体活动器材箱≥2个。</w:t>
            </w:r>
          </w:p>
          <w:p w14:paraId="44EDEBE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 内置拉杆，箱底部有≥2个内置轮，便于携带。</w:t>
            </w:r>
          </w:p>
          <w:p w14:paraId="7680323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 颜色明亮，分为红色和蓝色两种箱体颜色。</w:t>
            </w:r>
          </w:p>
          <w:p w14:paraId="2F14643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 尺寸为：≥长50cm *宽32cm*高15.5cm。</w:t>
            </w:r>
          </w:p>
          <w:p w14:paraId="3C5671C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（二）专业活动包</w:t>
            </w:r>
          </w:p>
          <w:p w14:paraId="5B5764D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45项团体活动内容：连环炮、相识接龙、组员心声、寻找我的那一半、戴高帽、找领袖、我说你画、做一个受欢迎的人、相亲相爱一家人、变形虫、传球夺秒、畅想拼图（卡片奇缘）、啄木鸟、解密大行动、同舟共济、互诉衷肠、五彩心情、比比谁高、个性名片、化妆舞会、建高塔、生活是个大馅饼、生命线、时间分割、风雨中相遇、个性发现表、价值拍卖、了解自己的才能、人际关系中的我、铁达尼号、信任考验、人生透视、手指的力量、水晶球传递、信任证言、信任之旅、把心留住、人生图绘、礼物大派送、我爱我家、描述他人、命运纸牌、倾听练习、真情告白  撒网捕鱼等。</w:t>
            </w:r>
          </w:p>
          <w:p w14:paraId="42C4508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与活动内容相匹配的800余件专用器材：彩带、荧光棒、带塑封练习板、名号卡、大头针、风雨雷电等象征物卡片、命运纸牌、彩色多形状卡片、彩色小球、扑克牌、吸管（颜色多样）、回形针、剪刀、固体胶、胶带（颜色多样）、双面胶、橡皮筋、心形卡片、面具、眼罩、阳光币、写字板、充气话筒、彩笔、口哨等。</w:t>
            </w:r>
          </w:p>
          <w:p w14:paraId="0051AB9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（三）多功能活动包</w:t>
            </w:r>
          </w:p>
          <w:p w14:paraId="582FF52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1、小型充气筒1个、腰挎式扩音机1套、秒表2块、PC翻页笔1个、U盘一个，拍卖响锤1个、水晶球2个、海绵垫1个、跳袋6个等。</w:t>
            </w:r>
          </w:p>
          <w:p w14:paraId="42DCAF5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团体活动手册：详细活动指南一本、团体活动教材一本（《学校团体心理游戏教程与案例》）、活动参考资料六份（成员自我评估表、团体辅导过程记录分析表、团体成员自我评价表、团体过程单元记录表、团体活动反馈表、 团体领导者个人评估）。</w:t>
            </w:r>
          </w:p>
          <w:p w14:paraId="273F5A2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三、团体辅导管理软件</w:t>
            </w:r>
          </w:p>
          <w:p w14:paraId="447135F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软件安装简便，易操作，可以在本地电脑轻松运行，涵盖用户管理、多媒体记录、数据录入三大模块。本系统囊括了团体辅导设计、记录、点评、反馈等过程，帮助使用单位打造信息化团体辅导档案库，帮助咨询师减轻工作负担，提高效率。</w:t>
            </w:r>
          </w:p>
          <w:p w14:paraId="46305BB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（一）用户管理</w:t>
            </w:r>
          </w:p>
          <w:p w14:paraId="483B2F2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1、用户账号管理：管理员可以对注册用户的用户名、性别、用户身份等信息进行编辑、统一管理，不同的角色具有网站使用的不同权限，极大的保证了用户信息安全。支持按照用户名筛选数据，查询用户信息。</w:t>
            </w:r>
          </w:p>
          <w:p w14:paraId="218DDE4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2、成员信息管理：支持与数据录入模块进行关联，简化心理咨询师数据录入工作。</w:t>
            </w:r>
          </w:p>
          <w:p w14:paraId="5A9589E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（二）多媒体记录</w:t>
            </w:r>
          </w:p>
          <w:p w14:paraId="35D87EF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1、图片记录：系统支持上传.jpg、 .bmp等文件格式图片，并可记录上传时间、录入人员、图片名称等信息，帮助咨询师记录活动的精彩瞬间。</w:t>
            </w:r>
          </w:p>
          <w:p w14:paraId="4D8CBDD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2、视频记录：系统支持上传wmv ,avi等文件格式影像，并可记录上传时间、录入人员、影片名称等信息，帮助心理咨询师深入研究团体辅导的细节，提升团体辅导水平。 </w:t>
            </w:r>
          </w:p>
          <w:p w14:paraId="2B5B228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（三）数据录入</w:t>
            </w:r>
          </w:p>
          <w:p w14:paraId="6248EEA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据录入模块包含了团体辅导添加、多媒体文件添加、团体活动反馈添加、团体过程单元添加、团体成员自评添加、成员评估添加、团体辅导过程添加、团体领导者评估添加八类团辅管理，过程完整，内容详尽，帮助心理咨询师对团体辅导过程的环节把控。</w:t>
            </w:r>
          </w:p>
          <w:p w14:paraId="22F7A94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1、团体辅导添加：可添加团体姓名、领导者、团体辅导时间、参加人数、活动地址、团体说明等活动信息的基本内容，心理咨询师对团体辅导活动进行更为细致深入地分析。</w:t>
            </w:r>
          </w:p>
          <w:p w14:paraId="1225B5E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2、多媒体文件添加：支持图片、视频两种格式文件上传保存，并支持快速与所属的辅导团体进行关联，丰富团体辅导记录形式，真实还原辅导细节，便于心理咨询师进行案例研究。</w:t>
            </w:r>
          </w:p>
          <w:p w14:paraId="4BC01FB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3、团体活动反馈添加：共有20多道反馈问题，包括目的、过程、感受等方面的内容，帮助心理咨询师全方位了解团体活动的反馈情况。</w:t>
            </w:r>
          </w:p>
          <w:p w14:paraId="248E275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4、团体过程单元添加：包括进程概况、成员参与情况、重要事件、领导者自我评论、督导意见等方面，全面监控团体辅导过程中关键环节。</w:t>
            </w:r>
          </w:p>
          <w:p w14:paraId="7C882FB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5、团体成员自评添加：包含团体成员参与团体辅导中的情感、行为、感悟等自评问题，加深成员对团体辅导活动的理解。</w:t>
            </w:r>
          </w:p>
          <w:p w14:paraId="0F9B43A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6、成员团体评估添加：成员通过讨论、总结等形式对本次团体辅导进行评估，帮助成员们自我成长，自我接纳。</w:t>
            </w:r>
          </w:p>
          <w:p w14:paraId="527FB5F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7、团体辅导过程添加：可详细记录团体辅导过程、团体氛围等，支持全方位、多角度对团体辅导活动进行衡量。</w:t>
            </w:r>
          </w:p>
          <w:p w14:paraId="08756D9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8、团体领导者评估添加：引导团体领导者进行反思，总结活动的优缺点，帮助心理咨询师快速成长。</w:t>
            </w:r>
          </w:p>
        </w:tc>
        <w:tc>
          <w:tcPr>
            <w:tcW w:w="743" w:type="dxa"/>
            <w:vAlign w:val="center"/>
          </w:tcPr>
          <w:p w14:paraId="1BFA536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6D5DB76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16B8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488AFA81">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心理放松室</w:t>
            </w:r>
          </w:p>
        </w:tc>
      </w:tr>
      <w:tr w14:paraId="006C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123792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58" w:type="dxa"/>
            <w:vAlign w:val="center"/>
          </w:tcPr>
          <w:p w14:paraId="58EBE81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音乐放松训练机</w:t>
            </w:r>
          </w:p>
        </w:tc>
        <w:tc>
          <w:tcPr>
            <w:tcW w:w="1037" w:type="dxa"/>
            <w:vAlign w:val="center"/>
          </w:tcPr>
          <w:p w14:paraId="6D34B90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阳光心健、新晨心理、惠明教育</w:t>
            </w:r>
          </w:p>
        </w:tc>
        <w:tc>
          <w:tcPr>
            <w:tcW w:w="5024" w:type="dxa"/>
            <w:vAlign w:val="center"/>
          </w:tcPr>
          <w:p w14:paraId="1AAA9A6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一、产品介绍</w:t>
            </w:r>
          </w:p>
          <w:p w14:paraId="1DF34EF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音乐放松训练系统能影响大脑某些递质如乙酰胆碱和去甲肾上素的释放，从而改善大脑皮层功能，调节训练者情绪，减少焦虑，同时音乐能超越意识直接作用于潜意识，对于人格的整合有极大的帮助。本系统涵盖学习中心、放松中心、音乐中心、记录中心四大模块，全方位打造放松减压平台。</w:t>
            </w:r>
          </w:p>
          <w:p w14:paraId="1A2A48B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二、系统软件描述</w:t>
            </w:r>
          </w:p>
          <w:p w14:paraId="6334FB5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1、软件设计：安装简便，易操作。</w:t>
            </w:r>
          </w:p>
          <w:p w14:paraId="029ADE1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2、软件安全：采用MD5加密技术，保证数据信息安全。</w:t>
            </w:r>
          </w:p>
          <w:p w14:paraId="0A462B7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三、功能特点</w:t>
            </w:r>
          </w:p>
          <w:p w14:paraId="40FF10D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（一）学习中心</w:t>
            </w:r>
          </w:p>
          <w:p w14:paraId="1434C11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具备自助式放松训练功能，包含意念式呼吸法、腹式呼吸法、基本渐进式肌肉放松法 等三种模式，提供专业真人教学视频。</w:t>
            </w:r>
          </w:p>
          <w:p w14:paraId="46E0492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1）意念式呼吸法：为用户打造舒适、惬意、放松的情景，可以有效地改善个体心理生理状态。</w:t>
            </w:r>
          </w:p>
          <w:p w14:paraId="25622C3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2）腹式呼吸法：在指导老师温柔的引导下，刺激副交感神经系统，舒缓肩膀、胸、隔肌等部位肌肉，缓解焦虑、愤怒、惊恐等情绪。</w:t>
            </w:r>
          </w:p>
          <w:p w14:paraId="424605E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3）基本渐进式肌肉放松法：该训练是一种逐渐的、有序的、使肌肉先紧张后放松的训练方法，易于使用者学习和掌握，可以消除人的生理和心理方面的紧张状态。</w:t>
            </w:r>
          </w:p>
          <w:p w14:paraId="135E42C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（二）音乐中心</w:t>
            </w:r>
          </w:p>
          <w:p w14:paraId="22353C9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包含专业音乐、α波音乐、纯音乐三大版块，支持自定义添加音乐，以满足用户可根据自身情况选择合适的音乐聆听，从而缓解精神疲惫，达到身心放松的效果。</w:t>
            </w:r>
          </w:p>
          <w:p w14:paraId="6F62345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1、专业音乐： 该版块下设中国古典、外国古典、中国民乐、外国民乐、自选音乐五种分类，每个分类都有20首经典特色的曲目，既包含空灵缥缈的东方音乐，又包含西方经典的世界名曲，缓解用户焦虑、忧伤等情绪。</w:t>
            </w:r>
          </w:p>
          <w:p w14:paraId="257EAC0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2、α波音乐：α波音乐是一种用来开发大脑、激发潜能、协调身心的。系统中存放了多首α波音乐，管理员可以对音乐进行删除、添加的操作。</w:t>
            </w:r>
          </w:p>
          <w:p w14:paraId="079A217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3、纯音乐：纯音乐拥有可以洗涤人们内心烦躁的功能，舒缓的纯音乐让人可以很好的进行放松。系统中自带了多首经典纯音乐，管理员可以对音乐进行添加、删除的操作。</w:t>
            </w:r>
          </w:p>
          <w:p w14:paraId="3F03CB4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（三）放松中心</w:t>
            </w:r>
          </w:p>
          <w:p w14:paraId="0F99F08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包含了放松方案、放松环境、辅助催眠、系统管理、放松情况、使用帮助6大模块。可以实时监测使用者心率、压力指数、HRV、PNN50等数值，更加深入地分析用户的身心状态。</w:t>
            </w:r>
          </w:p>
          <w:p w14:paraId="1FAC67E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1、放松方案：</w:t>
            </w:r>
          </w:p>
          <w:p w14:paraId="341B812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1）分别针对焦虑、恐怖、情绪低落、抑郁情绪状态研发出每种各8套音乐放松方案，令使用者达到自主神经系统平衡协调状态，缓解或消除焦虑、紧张、抑郁等情绪。</w:t>
            </w:r>
          </w:p>
          <w:p w14:paraId="1E36ACC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2）系统针对不同情绪状态均有详尽的说明，帮助用户了解来源、 特征、缓解方法，减轻内心压力。</w:t>
            </w:r>
          </w:p>
          <w:p w14:paraId="328E3E0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3）系统软件会根据这些采集到的实时生理数据进行系统分析，并自动为使用者提供最有针对性的放松方案。如果当前音乐对其没有产生放松作用，系统会根据生理采集器数据，自动选择播放适合于放松的音乐。</w:t>
            </w:r>
          </w:p>
          <w:p w14:paraId="15EF860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4）能生成并导出放松报告（可在记录中心查询），并给予放松建议。</w:t>
            </w:r>
          </w:p>
          <w:p w14:paraId="20F5F72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2、放松环境：</w:t>
            </w:r>
          </w:p>
          <w:p w14:paraId="1716DAD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1）内含山林幽静、田野夜色、下雨天、小桥流水、海边场景模式，高保真的音频播放让使用者仿佛身临其境，置身于大自然。</w:t>
            </w:r>
          </w:p>
          <w:p w14:paraId="62D593B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2）系统支持自定义添加放松环境，从而在舒适的放松环境中，引发使用者的生理、心理、情绪、认知体验，来达到保持、恢复、改善和促进身心健康的目的。</w:t>
            </w:r>
          </w:p>
          <w:p w14:paraId="36909CC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3、辅助催眠: </w:t>
            </w:r>
          </w:p>
          <w:p w14:paraId="64DAB10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内置实时语音及载入语音2大模块，可自主选择需要的方式进行辅助。</w:t>
            </w:r>
          </w:p>
          <w:p w14:paraId="34C6C26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1）实时语音包含：呼吸式放松法、想象式放松法、肌肉式放松引导语音，并可以查看语音文字，帮助心理咨询师更好的开展工作。</w:t>
            </w:r>
          </w:p>
          <w:p w14:paraId="481D716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2）载入语音包含：意念式呼吸法，按摩式呼吸法，松弛反应，可以自定义添加催眠语音以及文字，极大的丰富了催眠工作的方式。</w:t>
            </w:r>
          </w:p>
          <w:p w14:paraId="2C93E01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4、放松情况: </w:t>
            </w:r>
          </w:p>
          <w:p w14:paraId="4008DF9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可根据放松日期、用户所属查看放松情况，内容包括最大血氧、最大脉率、平均血氧、平均脉率、使用的方案等内容。</w:t>
            </w:r>
          </w:p>
          <w:p w14:paraId="2F76B31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5、系统管理：</w:t>
            </w:r>
          </w:p>
          <w:p w14:paraId="77C26B2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可以对新用户以及新设备进行系统的管理，不会出现随着训练者的越来越多，无效垃圾越来越多，系统出现混乱的情况，便于管理。</w:t>
            </w:r>
          </w:p>
          <w:p w14:paraId="789493A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6、使用帮助： </w:t>
            </w:r>
          </w:p>
          <w:p w14:paraId="76F220C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此模块详尽的介绍了音乐疗法的内容、软件安装环境要求、设备连接、系统操作说明等内容，帮助用户更好更快的熟悉本产品。</w:t>
            </w:r>
          </w:p>
          <w:p w14:paraId="41E120E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（四）记录中心</w:t>
            </w:r>
          </w:p>
          <w:p w14:paraId="74B916C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1、可以查询使用者本次及历次使用记录，可根据放松日期、用户名、用户所属进行查询用户训练记录，记录包含最大血氧、最大脉率、平均血氧、平均脉率、使用的方案等内容。</w:t>
            </w:r>
          </w:p>
          <w:p w14:paraId="7BAD06E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2、管理员可以对注册用户的用户名、性别、年龄等信息进行编辑、统一管理。支持按照用户名筛选数据，查询用户信息。</w:t>
            </w:r>
          </w:p>
          <w:p w14:paraId="37EF722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3、账号信息修改：为了用户信息管理，管理员用户具有管理所有用户账号信息的权限，可对账号的密码及其他信息进行修改，防止用户遗忘密码无法登录的问题发生。</w:t>
            </w:r>
          </w:p>
          <w:p w14:paraId="77FB746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四、硬件配置</w:t>
            </w:r>
          </w:p>
          <w:p w14:paraId="04AE31C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无线腕表式心率采集器</w:t>
            </w:r>
          </w:p>
          <w:p w14:paraId="29B91B9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尺寸：约55mm*55mm，显示屏为长24mm*宽度12mm，可以直接显示心率、血氧的实时数值及波形。</w:t>
            </w:r>
          </w:p>
          <w:p w14:paraId="3D63C6A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红外指套探头，尺寸约为47.5mm*37.5mm,可用于血氧饱和度和脉率的测量，可将脉搏变化信号实时传送并显示。</w:t>
            </w:r>
          </w:p>
          <w:p w14:paraId="37C8858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可以实现数据无线传输，随时取读使用者生理数据。使用者如有需要，可以自行在放松室走动，不受有线的束缚。</w:t>
            </w:r>
          </w:p>
          <w:p w14:paraId="22B760D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 外接15英寸液晶全屏触摸式显示器，只需手指轻触屏幕便可完成放松放松操作流程，设计更人性化，操作，和电脑同步显示。</w:t>
            </w:r>
          </w:p>
          <w:p w14:paraId="700BC97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 触摸屏支架固定于电脑操作台上，操作台边缘厚度不少于38mm，这可以保证支架安装更稳固。</w:t>
            </w:r>
          </w:p>
          <w:p w14:paraId="0F3BAEA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支架由铝合金压铸及不锈钢柱构成，立柱高度为20cm，支架臂长为58.5cm,单个支臂为铝合金一次成型。</w:t>
            </w:r>
          </w:p>
          <w:p w14:paraId="7FA7CB9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支架采取压弹式控制系统，隐藏式束线系统装置。</w:t>
            </w:r>
          </w:p>
          <w:p w14:paraId="6339CC3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支架可以实现 360度无障碍旋转，触摸屏可以实现85-负45度仰俯角调节。</w:t>
            </w:r>
          </w:p>
          <w:p w14:paraId="3B5C906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4、品牌电脑一台：</w:t>
            </w:r>
          </w:p>
          <w:p w14:paraId="691DB11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系统：Windows7或以上；</w:t>
            </w:r>
          </w:p>
          <w:p w14:paraId="3320879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400G以上硬盘；</w:t>
            </w:r>
          </w:p>
          <w:p w14:paraId="01FF895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21.5英寸显示器。</w:t>
            </w:r>
          </w:p>
          <w:p w14:paraId="4343EF3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 音乐放松椅尺寸约为椅长(展开）196cm*宽99cm*高115cm，蓝白皮料，训练椅靠背为蓝白弧形设计。电动多重姿势倾躺，可以满足训练者躺、仰、坐姿势。角度由105度—170度左右自由调整，腿部90度-170度。内置超静音电机，通过控制器控制放松椅升降角度。</w:t>
            </w:r>
          </w:p>
          <w:p w14:paraId="203D2EC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 可移动式电脑操作台：电脑显示屏搁置台高出台面2cm。台面下方设计有生理采集器或打印机搁置处。电脑主机放置处边框突出四公分设计。</w:t>
            </w:r>
          </w:p>
          <w:p w14:paraId="66388DA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尺寸：不小于长620mm* 宽550mm *高850mm，环保ABS塑料制作；</w:t>
            </w:r>
          </w:p>
          <w:p w14:paraId="229F98E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脚轮：灰色胶轮；</w:t>
            </w:r>
          </w:p>
          <w:p w14:paraId="5FB9060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鼠标托：抽拉式 18cm*18cm。</w:t>
            </w:r>
          </w:p>
          <w:p w14:paraId="5829BC1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底座：蝶形设计。</w:t>
            </w:r>
          </w:p>
          <w:p w14:paraId="5420E3D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7、耳机一副。</w:t>
            </w:r>
          </w:p>
        </w:tc>
        <w:tc>
          <w:tcPr>
            <w:tcW w:w="743" w:type="dxa"/>
            <w:vAlign w:val="center"/>
          </w:tcPr>
          <w:p w14:paraId="0CD19F2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60D2574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0788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0F4B45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58" w:type="dxa"/>
            <w:vAlign w:val="center"/>
          </w:tcPr>
          <w:p w14:paraId="56B77F7E">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身心调适运动系统</w:t>
            </w:r>
          </w:p>
        </w:tc>
        <w:tc>
          <w:tcPr>
            <w:tcW w:w="1037" w:type="dxa"/>
            <w:vAlign w:val="center"/>
          </w:tcPr>
          <w:p w14:paraId="58A2DCD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阳光心健、新晨心理、惠明教育</w:t>
            </w:r>
          </w:p>
        </w:tc>
        <w:tc>
          <w:tcPr>
            <w:tcW w:w="5024" w:type="dxa"/>
            <w:vAlign w:val="center"/>
          </w:tcPr>
          <w:p w14:paraId="7AFE01C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身心调适运动系统可以在运动中实时监控心率、呼吸指标，与个体进行互动训练，达到调适身心健康目的。此系统非常适合考前学生减压，并且同时适用于白领心理调适。 </w:t>
            </w:r>
          </w:p>
          <w:p w14:paraId="7D9851C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1、根据训练者的心率、呼吸、运动距离、运动速度、消耗卡路里等指标，智能调节训练者的训练状态，进行互动减压放松。</w:t>
            </w:r>
          </w:p>
          <w:p w14:paraId="5785B7E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二、系统详情</w:t>
            </w:r>
          </w:p>
          <w:p w14:paraId="3FEBE6F7">
            <w:pPr>
              <w:jc w:val="left"/>
              <w:rPr>
                <w:rFonts w:hint="eastAsia" w:ascii="仿宋" w:hAnsi="仿宋" w:eastAsia="仿宋" w:cs="仿宋"/>
                <w:b/>
                <w:bCs/>
                <w:color w:val="auto"/>
                <w:szCs w:val="21"/>
                <w:highlight w:val="none"/>
              </w:rPr>
            </w:pPr>
            <w:r>
              <w:rPr>
                <w:rFonts w:hint="eastAsia" w:ascii="仿宋" w:hAnsi="仿宋" w:eastAsia="仿宋" w:cs="仿宋"/>
                <w:color w:val="auto"/>
                <w:szCs w:val="21"/>
                <w:highlight w:val="none"/>
              </w:rPr>
              <w:t>系统涵盖个人中心、训练中心、数据中心、心理评估、放松体验、系统管理六大功能模块。</w:t>
            </w:r>
            <w:r>
              <w:rPr>
                <w:rFonts w:hint="eastAsia" w:ascii="仿宋" w:hAnsi="仿宋" w:eastAsia="仿宋" w:cs="仿宋"/>
                <w:b/>
                <w:bCs/>
                <w:color w:val="auto"/>
                <w:szCs w:val="21"/>
                <w:highlight w:val="none"/>
              </w:rPr>
              <w:t>（需提供以上功能真实场景界面截图佐证）</w:t>
            </w:r>
          </w:p>
          <w:p w14:paraId="58085C5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1、个人中心：</w:t>
            </w:r>
          </w:p>
          <w:p w14:paraId="53CC0BF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可以查看、修改个人信息、密码等基础信息。</w:t>
            </w:r>
          </w:p>
          <w:p w14:paraId="55F3D4B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2、训练中心：</w:t>
            </w:r>
          </w:p>
          <w:p w14:paraId="0633CC4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训练中心分为体心训练和身心训练两大模块，训练者可以进行自主训练，也可进行针对性的训练。</w:t>
            </w:r>
          </w:p>
          <w:p w14:paraId="0C3116F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1）体心训练：内含基础训练、加强训练、自主训练。</w:t>
            </w:r>
          </w:p>
          <w:p w14:paraId="524BB52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基础训练：系统可以根据训练者最大心率值，针对性的定制训练，训练者可以自行选择实景训练场景，从而增强训练者有氧耐力，增强体质，促进身心健康。</w:t>
            </w:r>
          </w:p>
          <w:p w14:paraId="3D71CA2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加强训练：系统提供不同的训练模式，让训练者可以尽情的发泄，释放自己。</w:t>
            </w:r>
          </w:p>
          <w:p w14:paraId="5164EEF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自主训练：训练者可以自主设定训练目标，满足不同训练者的需求。</w:t>
            </w:r>
          </w:p>
          <w:p w14:paraId="2831624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2）身心训练：设定了专业的训练方案，训练者可以根据自身的情况，进行专业的身体和心理的训练。</w:t>
            </w:r>
          </w:p>
          <w:p w14:paraId="0994667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3、数据中心：</w:t>
            </w:r>
          </w:p>
          <w:p w14:paraId="1D2B6B7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训练者可以查看自己的训练时间、心率、呼吸、速度等详细信息，系统采用可视化图表的方式展现数据。</w:t>
            </w:r>
          </w:p>
          <w:p w14:paraId="25C6DA0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4、心理评估：</w:t>
            </w:r>
          </w:p>
          <w:p w14:paraId="58A7D71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内置三种不同类型的专业心理量表，训练者可以根据专业评估，把握自身的情况。</w:t>
            </w:r>
          </w:p>
          <w:p w14:paraId="39F2D02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5、放松体验：</w:t>
            </w:r>
          </w:p>
          <w:p w14:paraId="3327BF8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1）音乐放松体验：内含多种音乐，可舒缓用户焦虑、紧张、抑郁等情绪。</w:t>
            </w:r>
          </w:p>
          <w:p w14:paraId="16EC998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2）图片放松体验：训练者可以根据自己喜好选择图片进行放松。</w:t>
            </w:r>
          </w:p>
          <w:p w14:paraId="0DCBB6C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6、系统管理：</w:t>
            </w:r>
          </w:p>
          <w:p w14:paraId="5B30A49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内置用户信息管理、训练中心管理、训练数据管理、心理评估管理、放松体验管理五个模块，管理员用户可对系统进行专业管理，多方面满足用户需求。</w:t>
            </w:r>
          </w:p>
          <w:p w14:paraId="742852E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1）用户信息管理</w:t>
            </w:r>
          </w:p>
          <w:p w14:paraId="4A0184B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用户账号管理：管理员可以对注册用户的性别、年龄等信息进行编辑、统一管理。</w:t>
            </w:r>
          </w:p>
          <w:p w14:paraId="374E4D9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账号信息修改：为了进行用户信息管理，管理员用户具有管理所有用户账号信息的权限，可对账号的密码及其他信息进行修改，防止用户遗忘密码无法登录的问题发生。</w:t>
            </w:r>
          </w:p>
          <w:p w14:paraId="5204125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2）训练中心管理</w:t>
            </w:r>
          </w:p>
          <w:p w14:paraId="013F938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训练中心包含基础训练、加强训练和身心训练三大模块，管理员可以自行设定训练信息，包括训练名称、训练时长、训练说明等内容。</w:t>
            </w:r>
          </w:p>
          <w:p w14:paraId="7F0C782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身心训练中，管理员可以针对用户需求发布训练任务，可指定用户设定训练名称、成功指标、训练说明等内容。</w:t>
            </w:r>
          </w:p>
          <w:p w14:paraId="1C6ACB5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3）训练数据管理</w:t>
            </w:r>
          </w:p>
          <w:p w14:paraId="48076CC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管理员可以查看所有用户的训练数据，包含：用户名、开始时间、结束时间、训练类型、训练结果。支持按照用户名筛选数据，查询训练信息。</w:t>
            </w:r>
          </w:p>
          <w:p w14:paraId="5FE59DA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4）心理评估管理</w:t>
            </w:r>
          </w:p>
          <w:p w14:paraId="06DF18A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可设置量表的开放状态，根据用户需求，设置评估节点，从评估结果中，展示训练者训练前后的心理状态，可以看到心理训练带来的变化，增强训练者信心。</w:t>
            </w:r>
          </w:p>
          <w:p w14:paraId="37C226A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5）放松体验管理</w:t>
            </w:r>
          </w:p>
          <w:p w14:paraId="2E516F9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管理员可对音乐资源、图片资源进行添加、删除操作。可设置资源的开放状态，满足不同用户需求。</w:t>
            </w:r>
          </w:p>
          <w:p w14:paraId="0531EF8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三、产品硬件</w:t>
            </w:r>
          </w:p>
          <w:p w14:paraId="67BF16C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1、平板：</w:t>
            </w:r>
          </w:p>
          <w:p w14:paraId="28DA09D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车头前置不小于10英寸多点触摸屏，可以让训练者进行模式选择，增加训练互动效果。</w:t>
            </w:r>
          </w:p>
          <w:p w14:paraId="4FB766E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2、生理采集器：</w:t>
            </w:r>
          </w:p>
          <w:p w14:paraId="49F271F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数据无线传输。</w:t>
            </w:r>
          </w:p>
          <w:p w14:paraId="750A313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1）心率探头为腕式设计。</w:t>
            </w:r>
          </w:p>
          <w:p w14:paraId="230E34A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显示屏可以直接显示心率、血氧的实时数值及波形；</w:t>
            </w:r>
          </w:p>
          <w:p w14:paraId="73072E0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红外指套探头,可用于血氧饱和度和脉率的测量，可将脉搏变化信号实时传送并显示。</w:t>
            </w:r>
          </w:p>
          <w:p w14:paraId="757CCAC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可以实现数据无线传输，随时取读训练者生理数据。训练者如有需要，可以自行在放松室走动，不受有线束缚。</w:t>
            </w:r>
          </w:p>
          <w:p w14:paraId="4F7D372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2）呼吸探头为腹式压带。</w:t>
            </w:r>
          </w:p>
          <w:p w14:paraId="11B97F7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呼吸探头由深灰色硅胶材料制作，采集探头为直径为不小于42mm的白色圆形环氧胶设计，专用于高精密传感，接收数据</w:t>
            </w:r>
          </w:p>
          <w:p w14:paraId="145B460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可调式呼吸带采用浅灰色弹性材质制作，整体长度为不小于900mm,调节范围为450~1600mm，可系于腰腹部，便于运动。</w:t>
            </w:r>
          </w:p>
          <w:p w14:paraId="0C9A5FE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整体呼吸采集器内置感应电路，采集呼吸等相关指数，双层感应结构，专用IER校正电路精确采集吸呼比，采集精度：±3%，采集范围：0-50次/分，响应延迟：≤0.01秒。</w:t>
            </w:r>
          </w:p>
          <w:p w14:paraId="195EB15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采集器采用无线传输。</w:t>
            </w:r>
          </w:p>
          <w:p w14:paraId="60C6DAF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3、速度踏频双模式传感器：</w:t>
            </w:r>
          </w:p>
          <w:p w14:paraId="47CBB0B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1）数据传输：</w:t>
            </w:r>
          </w:p>
          <w:p w14:paraId="6C482F8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传感器支持ANT+蓝牙 双协议传输，兼容多种设备，可实时将运动数据通过蓝牙等方式传输出去。</w:t>
            </w:r>
          </w:p>
          <w:p w14:paraId="28544B5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2）安装方式：</w:t>
            </w:r>
          </w:p>
          <w:p w14:paraId="44DA7D9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使用速度感应器测量，无需外置磁铁，无需复杂调整，随装随用。</w:t>
            </w:r>
          </w:p>
          <w:p w14:paraId="0D115D9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3）便捷式开关机：</w:t>
            </w:r>
          </w:p>
          <w:p w14:paraId="6E40C2E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拥有便捷的使用体验，打开传感器开关，平板、电脑灯设备查找。停止使用可以拨动开关，完全关机，节约能耗。速度传感器自带7.4v锂电池，缺电情况下，可以用usb线进行充电。</w:t>
            </w:r>
          </w:p>
          <w:p w14:paraId="4582B9B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4、单车硬件配置</w:t>
            </w:r>
          </w:p>
          <w:p w14:paraId="431C77F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1）单车淡蓝绿色设计，把手可以承受不小于152kg的承受能力。坐垫支架可以承受不小于290kg的压力。</w:t>
            </w:r>
          </w:p>
          <w:p w14:paraId="3633966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2）飞轮设计，训练感强。</w:t>
            </w:r>
          </w:p>
          <w:p w14:paraId="741CB19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3）极阻力系统，按压即停。</w:t>
            </w:r>
          </w:p>
          <w:p w14:paraId="0BD51FE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4）车体下方，移动滚轮设计。</w:t>
            </w:r>
          </w:p>
          <w:p w14:paraId="0A36CAE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5、平板支架</w:t>
            </w:r>
          </w:p>
          <w:p w14:paraId="7312A06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铁制支架的左右两边及下边均加不少于1cm挡板，平板支架与单车龙头统一出厂包胶设计，无需额外安装支架。</w:t>
            </w:r>
          </w:p>
        </w:tc>
        <w:tc>
          <w:tcPr>
            <w:tcW w:w="743" w:type="dxa"/>
            <w:vAlign w:val="center"/>
          </w:tcPr>
          <w:p w14:paraId="2CA1BC1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64" w:type="dxa"/>
            <w:vAlign w:val="center"/>
          </w:tcPr>
          <w:p w14:paraId="53B951E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14:paraId="2F34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137F8B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58" w:type="dxa"/>
            <w:vAlign w:val="center"/>
          </w:tcPr>
          <w:p w14:paraId="2B4C666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VR情绪调节训练系统</w:t>
            </w:r>
          </w:p>
        </w:tc>
        <w:tc>
          <w:tcPr>
            <w:tcW w:w="1037" w:type="dxa"/>
            <w:vAlign w:val="center"/>
          </w:tcPr>
          <w:p w14:paraId="2D008D6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阳光心健、新晨心理、惠明教育</w:t>
            </w:r>
          </w:p>
        </w:tc>
        <w:tc>
          <w:tcPr>
            <w:tcW w:w="5024" w:type="dxa"/>
            <w:vAlign w:val="center"/>
          </w:tcPr>
          <w:p w14:paraId="093D6D0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1、主机配置</w:t>
            </w:r>
          </w:p>
          <w:p w14:paraId="148D744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显卡不小于 GTX1060 。</w:t>
            </w:r>
          </w:p>
          <w:p w14:paraId="11B17DA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内存不小于16G 。</w:t>
            </w:r>
          </w:p>
          <w:p w14:paraId="612DAD8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CPU不小于 i7 九代或以上。</w:t>
            </w:r>
          </w:p>
          <w:p w14:paraId="30661F2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2、VR眼镜一部，手柄控制器两个。</w:t>
            </w:r>
          </w:p>
          <w:p w14:paraId="58C60D9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1）机身重量轻，为长时间使用，提供最佳舒适度。</w:t>
            </w:r>
          </w:p>
          <w:p w14:paraId="4103F4F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2）具备4颗摄像头传感器、4K超高清分辨率、120Hz刷新率、360度全方位移动，营造超强VR训练沉浸感。</w:t>
            </w:r>
          </w:p>
          <w:p w14:paraId="4FDA119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3）手柄控制器可以与系统进行无线连接，在进行场景训练时，具有移动、模块选择、功能确认等功能。</w:t>
            </w:r>
          </w:p>
          <w:p w14:paraId="7BE1572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3、无线腕表式心率采集器：</w:t>
            </w:r>
          </w:p>
          <w:p w14:paraId="0ED9145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1）尺寸：可以直接显示心率、血氧的实时数值及波形。</w:t>
            </w:r>
          </w:p>
          <w:p w14:paraId="38EEF93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2）红外指套探头,可用于血氧饱和度和脉率的测量，可将脉搏变化信号实时传送并显示。</w:t>
            </w:r>
          </w:p>
          <w:p w14:paraId="42DCA7F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3）可以实现数据无线传输，随时取读使用者生理数据。使用者如有需要，可以自行在放松室走动，不受有线束缚。</w:t>
            </w:r>
          </w:p>
          <w:p w14:paraId="2624DD3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4、VR数据管理</w:t>
            </w:r>
          </w:p>
          <w:p w14:paraId="6F48489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包括用户管理、数据管理、权限管理三大子模块。</w:t>
            </w:r>
          </w:p>
          <w:p w14:paraId="4314F9F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4.1 用户管理：</w:t>
            </w:r>
          </w:p>
          <w:p w14:paraId="16C5FBA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1）管理员可以对注册用户的用户名、姓名、出生日期、性别、手机号、电子邮箱等信息进行编辑、统一管理。不同角色用户具有不同的管理权限。支持按照用户名和组别，进行快速筛选。</w:t>
            </w:r>
          </w:p>
          <w:p w14:paraId="445412B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2）为了进行管理，管理员具有最高权限，可管理下属所有用户数据。</w:t>
            </w:r>
          </w:p>
          <w:p w14:paraId="685F5A5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4.2 数据管理：</w:t>
            </w:r>
          </w:p>
          <w:p w14:paraId="2D197D3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1）可对训练结果进行数据查询、删除、查看、刷新等操作，支持按照训练项目进行筛选；支持方案训练报告导出功能，报告中包括当前用户信息、测试数据详情、生理数据详情等内容。</w:t>
            </w:r>
          </w:p>
          <w:p w14:paraId="45E691D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2）普通用户可对自己的方案训练记录进行数据查看和导出操作。</w:t>
            </w:r>
          </w:p>
          <w:p w14:paraId="397672B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3）训练记录中包括训练项目、训练开始时间、训练结束时间、所用时间、训练进度等。</w:t>
            </w:r>
          </w:p>
          <w:p w14:paraId="101B055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4）管理员用户可为训练者建立训练方案，自定义方案名称，并根据实际需求，选择适合的场景，进行有计划、有目标的训练，以达到缓解心理问题的预期效果。 </w:t>
            </w:r>
          </w:p>
          <w:p w14:paraId="77A8729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4.3 权限管理：</w:t>
            </w:r>
          </w:p>
          <w:p w14:paraId="14409CC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管理员通过该模块实现不同角色的权限配置，进行用户的统一管理。</w:t>
            </w:r>
          </w:p>
          <w:p w14:paraId="0DCACE9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1）组别管理：管理员可自定义组别名称，并进行添加、删除等操作。</w:t>
            </w:r>
          </w:p>
          <w:p w14:paraId="38634F7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2）分配权限：自定义分配组别权限，满足不同用户群体使用需求，确保系统数据安全。</w:t>
            </w:r>
          </w:p>
          <w:p w14:paraId="54EC6A5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5、VR方案训练</w:t>
            </w:r>
          </w:p>
          <w:p w14:paraId="0CB74FF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模块训练场景配备生理传感器，实时采集生理数据，并可实现数据无线传输与软件对接。在训练中，对生理数据进行实时采集、输出、分析，并与训练场景进行深度绑定，在场景中，因情绪变化而引起生理数据异常波动时，系统会智能化调整训练内容，循序渐进，以缓解训练者在虚拟场景中所带来的情绪张力，缓解由特定场景引起的紧张、焦虑情绪。</w:t>
            </w:r>
          </w:p>
          <w:p w14:paraId="6F8456F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训练场景包含物体恐惧、社交恐惧、场所恐惧、其他恐惧等，为训练者提供全方位，强沉浸感的虚拟现实环境。</w:t>
            </w:r>
          </w:p>
          <w:p w14:paraId="4309AC4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5.1 物体恐惧：</w:t>
            </w:r>
          </w:p>
          <w:p w14:paraId="6522282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物体恐惧包括尖锐物体恐惧、皮毛动物恐惧（猫）、蠕动动物恐惧（毛毛虫、蛇）三类，有针对性的为训练者提供更好的VR方案训练。</w:t>
            </w:r>
          </w:p>
          <w:p w14:paraId="6A6A771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5.1.1 尖锐物体恐惧：场景内有尖锐物品，如刀、剪子等形式展示。用户可根据适应程度，自由控制与物品的接近距离，也可近距离接触或拿起尖锐物品，以达到分级训练、降低恐惧感受的训练效果。</w:t>
            </w:r>
          </w:p>
          <w:p w14:paraId="1168A0C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5.1.2 皮毛动物恐惧：场景以猫为恐惧动物，营造寂静的环境氛围，通过声音和恐惧动物出现的频率、远近，进行脱敏训练。</w:t>
            </w:r>
          </w:p>
          <w:p w14:paraId="75ECB4D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5.1.3 蠕动动物恐惧：将训练者所恐惧的动物形态、动作，刻画的栩栩如生，呈现恐惧动物出现的环境，给训练者真实的训练，有极强的训练效果。</w:t>
            </w:r>
          </w:p>
          <w:p w14:paraId="14E20E3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5.2 社交恐惧：</w:t>
            </w:r>
          </w:p>
          <w:p w14:paraId="3F4949A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分为交际恐惧和演讲恐惧。VR场景贴合现实生活，通过有针对性的多次训练，来达到心理不良情绪减缓功能。</w:t>
            </w:r>
          </w:p>
          <w:p w14:paraId="799B391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5.2.1 交际恐惧：模拟公众环境，从想法、行为、情绪上，让训练者的紧张状态随着场景暴露而逐渐消退。</w:t>
            </w:r>
          </w:p>
          <w:p w14:paraId="52E96A9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5.2.2 演讲恐惧：场景模拟真实演讲环境，演讲过程中，台下听众会根据演讲状态反馈各种情绪。通过反复训练，让训练者在公众场合中演讲焦虑得以降低焦虑等级，能提升个体演讲效果。演讲内容全程录音，支持在数据管理中查看录音详情。</w:t>
            </w:r>
          </w:p>
          <w:p w14:paraId="5FAAF0D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5.3 场所恐惧：</w:t>
            </w:r>
          </w:p>
          <w:p w14:paraId="3BE6DEC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分为电梯恐惧、高度恐惧、广场恐惧，以360度场景视角，让用户身临其境，感受场景带来的训练效果，让使用者有强烈的代入感，再通过多次训练，达到训练脱敏作用。</w:t>
            </w:r>
          </w:p>
          <w:p w14:paraId="22FD03E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5.3.1 电梯恐惧：运用模拟场景，对训练者乘坐电梯产生的心理阴影，进行引导和缓解，随之逐渐降低对电梯的恐惧程度。</w:t>
            </w:r>
          </w:p>
          <w:p w14:paraId="5F8BBB0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5.3.2 高度恐惧：场景模拟一定高度的建筑环境，在视觉上，通过眺望、俯瞰等方式，让训练者通过训练，逐步降低对高度的恐惧。</w:t>
            </w:r>
          </w:p>
          <w:p w14:paraId="0E934DB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5.3.3 广场恐惧：采用空旷的公共场合，让个体采取暴露场景法，逐步降低广场恐怖程度。</w:t>
            </w:r>
          </w:p>
          <w:p w14:paraId="4419529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5.4 其他恐惧：</w:t>
            </w:r>
          </w:p>
          <w:p w14:paraId="1A81BD3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恐怖具体分为死亡恐惧、雷声恐惧、黑暗恐惧、密集恐惧、血液恐惧。以不同VR环境，模拟训练者所恐惧的场景，在场景中，训练者可通过面对、近距离接触、甚至拿取等操作，采取冲击疗法，降低个体的恐惧程度，达到训练效果。</w:t>
            </w:r>
          </w:p>
          <w:p w14:paraId="7E451C2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5.4.1 死亡恐惧：采用殡仪馆的场景，运用冲击疗法+系统脱敏，让个体在场景进行训练，逐步缓解死亡焦虑情绪。</w:t>
            </w:r>
          </w:p>
          <w:p w14:paraId="3C560C5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2.4.2 雷声恐惧：模拟在户外昕雷声,看闪电的环境，将由弱到强、由小到大而逐渐训练其对雷声的敏感性，降低对雷声的敏感性，达到缓解恐惧的效果。</w:t>
            </w:r>
          </w:p>
          <w:p w14:paraId="4C23348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5.4.3 黑暗恐惧：通过调整场景声音和光暗的变化，让训练者转移注意力，逐渐减弱对黑暗环境的恐惧。</w:t>
            </w:r>
          </w:p>
          <w:p w14:paraId="7DA3D6B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5.4.4 密集恐惧：采用熟悉的动态物体，呈现出密集的环境场景，降低训练者对密集场景或物体的敏感性。训练者也可通过不同方位、不同距离等方式，进行心理反应的调节。</w:t>
            </w:r>
          </w:p>
          <w:p w14:paraId="117228D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5.5.5 血液恐惧：训练者可近距离通过观察献血，去接触血，通过多次反复训练，逐步降低训练者对血液的心理恐惧感。</w:t>
            </w:r>
          </w:p>
          <w:p w14:paraId="639596A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6、VR互动训练</w:t>
            </w:r>
          </w:p>
          <w:p w14:paraId="7CC1304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此模块包括花开世界、火山爆发、泡泡乐园、音乐喷泉，通过生理传感数据，场景将随着变化，达到调节情绪的效果同时，让训练者达到平缓心率的作用。</w:t>
            </w:r>
          </w:p>
          <w:p w14:paraId="1A65E2B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6.1 花开世界：该场景为满山遍野、春暖花开的草原环境，让训练者以感受周围美丽环境的方式，心情舒缓，达到减压放松的作用。</w:t>
            </w:r>
          </w:p>
          <w:p w14:paraId="51B6847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6.2 火山爆发：以火山爆发的形式，给予训练者暗示，从而达到缓解紧张不安情绪的目的。</w:t>
            </w:r>
          </w:p>
          <w:p w14:paraId="620536E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6.3 泡泡世界：场景的泡泡上显示可爱的动物、绿色的植物等图片，可让训练者在场景中，缓解紧张情绪，达到训练效果。</w:t>
            </w:r>
          </w:p>
          <w:p w14:paraId="7D181C0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6.4 音乐喷泉：构建唯美的灯光喷泉，再搭配舒缓紧张情绪的音乐，营造轻松快乐的放松氛围。</w:t>
            </w:r>
          </w:p>
          <w:p w14:paraId="20F8FA4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7、VR心理视界</w:t>
            </w:r>
          </w:p>
          <w:p w14:paraId="0AA69B2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本模块训练场景配备生理传感器，实时采集生理数据，训练场景包含VR减压放松、VR放松训练学习等，通过虚拟现实的放松方式疏导心理压力，让训练者在优美放松环境中放松自我，达到身心减压的效果。</w:t>
            </w:r>
          </w:p>
          <w:p w14:paraId="349B492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7.1 VR减压放松：</w:t>
            </w:r>
          </w:p>
          <w:p w14:paraId="44529ED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包含多个方式场景，有青青草原、梦幻星空、阳光沙滩、林间小路、童话王国、海上世界等不少于6个VR减压放松场景。</w:t>
            </w:r>
          </w:p>
          <w:p w14:paraId="30A5262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7.1.1 青青草原：系统建立了一望无际的草原场景，在绿色的大草原中，可以使训练者放松心情，缓解压力。</w:t>
            </w:r>
          </w:p>
          <w:p w14:paraId="4AB583E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7.1.2 梦幻星空：在辽阔、无边际的闪烁星空中，欣赏天空的无垠和闪亮的星光，忘却烦恼，达到放松效果。</w:t>
            </w:r>
          </w:p>
          <w:p w14:paraId="309217A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7.1.3 阳光沙滩：在海边沙滩上享受阳光的沐浴，漫步海边，让训练者仿佛置身于阳光灿烂、细软沙滩的场景中。该场景对心情低落、郁闷的训练者有放松心情、减压的作用。</w:t>
            </w:r>
          </w:p>
          <w:p w14:paraId="6FA30AC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7.1.4 林间小路：虚拟场景，让训练者仿佛置身于郁郁葱葱的山林之中，漫步走在遍地花朵和可爱动物之间，呈现出生态自然的放松环境。</w:t>
            </w:r>
          </w:p>
          <w:p w14:paraId="5CE0962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7.1.5 童话王国：营造浪漫，充满想象力的自然环境，达到减压放松的训练目的。</w:t>
            </w:r>
          </w:p>
          <w:p w14:paraId="2EEE5D8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7.1.6 海上世界：虚拟海洋的场景，让训练者感受海浪变化，近距离观赏海洋动物，沉浸在碧海连天的美感之中，达到放松身心的目的。</w:t>
            </w:r>
          </w:p>
          <w:p w14:paraId="098685F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7.2 VR放松训练学习：</w:t>
            </w:r>
          </w:p>
          <w:p w14:paraId="08CF307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场景具备腹式呼吸法、想象感受训练法、意念式呼吸法、按摩式呼吸法、基本渐进式肌肉放松法等不少于5种学习视频，训练者可自由切换放松视频，进行开始、暂停等操作。</w:t>
            </w:r>
          </w:p>
          <w:p w14:paraId="0F836B9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训练者可以在视频指导老师的引导下，放松肩膀、胸、隔肌等部位肌肉，缓解焦虑、愤怒、恐怖等心理状态。让每个认真学习过的训练者掌握自我放松的方法，随时随地进行自我的调适，以消除生理和心理方面的紧张状态。</w:t>
            </w:r>
          </w:p>
        </w:tc>
        <w:tc>
          <w:tcPr>
            <w:tcW w:w="743" w:type="dxa"/>
            <w:vAlign w:val="center"/>
          </w:tcPr>
          <w:p w14:paraId="3FC2A32B">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28FA8E60">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14:paraId="1448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69BDE24">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58" w:type="dxa"/>
            <w:vAlign w:val="center"/>
          </w:tcPr>
          <w:p w14:paraId="74A5C824">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心理挂图</w:t>
            </w:r>
          </w:p>
        </w:tc>
        <w:tc>
          <w:tcPr>
            <w:tcW w:w="1037" w:type="dxa"/>
            <w:vAlign w:val="center"/>
          </w:tcPr>
          <w:p w14:paraId="16FC0EB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阳光心健、新晨心理、惠明教育</w:t>
            </w:r>
          </w:p>
        </w:tc>
        <w:tc>
          <w:tcPr>
            <w:tcW w:w="5024" w:type="dxa"/>
            <w:vAlign w:val="center"/>
          </w:tcPr>
          <w:p w14:paraId="5ECCF28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不同心理场景的可供选择的心理挂图：分为催眠图、错觉图、深思图、激励图等。</w:t>
            </w:r>
          </w:p>
          <w:p w14:paraId="7780BE1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整体尺寸：不少于62*52cm；</w:t>
            </w:r>
          </w:p>
          <w:p w14:paraId="210885A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边框颜色：欧白花纹；</w:t>
            </w:r>
          </w:p>
          <w:p w14:paraId="5EFBBAF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边框宽度：不少于3cm；</w:t>
            </w:r>
          </w:p>
          <w:p w14:paraId="7A40A67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边框材质：实木；</w:t>
            </w:r>
          </w:p>
          <w:p w14:paraId="1D4006E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前档板：有机玻璃；</w:t>
            </w:r>
          </w:p>
          <w:p w14:paraId="3C56227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无痕挂钩：不少于30*15MM。</w:t>
            </w:r>
          </w:p>
        </w:tc>
        <w:tc>
          <w:tcPr>
            <w:tcW w:w="743" w:type="dxa"/>
            <w:vAlign w:val="center"/>
          </w:tcPr>
          <w:p w14:paraId="4F73FDF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2FE2364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幅</w:t>
            </w:r>
          </w:p>
        </w:tc>
      </w:tr>
      <w:tr w14:paraId="22EF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36A99617">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系统集成</w:t>
            </w:r>
          </w:p>
        </w:tc>
      </w:tr>
      <w:tr w14:paraId="1B83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388D93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58" w:type="dxa"/>
            <w:vAlign w:val="center"/>
          </w:tcPr>
          <w:p w14:paraId="1401A45E">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rPr>
              <w:t>系统集成</w:t>
            </w:r>
          </w:p>
        </w:tc>
        <w:tc>
          <w:tcPr>
            <w:tcW w:w="1037" w:type="dxa"/>
            <w:vAlign w:val="center"/>
          </w:tcPr>
          <w:p w14:paraId="1E0B630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国产</w:t>
            </w:r>
          </w:p>
        </w:tc>
        <w:tc>
          <w:tcPr>
            <w:tcW w:w="5024" w:type="dxa"/>
            <w:vAlign w:val="center"/>
          </w:tcPr>
          <w:p w14:paraId="35E28B7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以上设备布线安装调试、软件系统部署和培训及售后服务</w:t>
            </w:r>
          </w:p>
        </w:tc>
        <w:tc>
          <w:tcPr>
            <w:tcW w:w="743" w:type="dxa"/>
            <w:vAlign w:val="center"/>
          </w:tcPr>
          <w:p w14:paraId="4F0DF7A0">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65E19E5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项</w:t>
            </w:r>
          </w:p>
        </w:tc>
      </w:tr>
      <w:tr w14:paraId="18F7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2625F365">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七、AI实验空间</w:t>
            </w:r>
          </w:p>
        </w:tc>
      </w:tr>
      <w:tr w14:paraId="797A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F2BDDFE">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758" w:type="dxa"/>
            <w:vAlign w:val="center"/>
          </w:tcPr>
          <w:p w14:paraId="30F0477F">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AI教学平板</w:t>
            </w:r>
          </w:p>
        </w:tc>
        <w:tc>
          <w:tcPr>
            <w:tcW w:w="1037" w:type="dxa"/>
            <w:vAlign w:val="center"/>
          </w:tcPr>
          <w:p w14:paraId="0CF38E0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科大讯飞、联想、HUAWEI</w:t>
            </w:r>
          </w:p>
        </w:tc>
        <w:tc>
          <w:tcPr>
            <w:tcW w:w="5024" w:type="dxa"/>
            <w:vAlign w:val="center"/>
          </w:tcPr>
          <w:p w14:paraId="769C99E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1.CPU：≥八核心；主频≥1.8GHz</w:t>
            </w:r>
          </w:p>
          <w:p w14:paraId="70C91A5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2.运行内存：≥3GB；</w:t>
            </w:r>
          </w:p>
          <w:p w14:paraId="6E0388B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3.存储容量：≥32GB；</w:t>
            </w:r>
          </w:p>
          <w:p w14:paraId="18A1A97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4.屏幕尺寸：≥10.1英寸；</w:t>
            </w:r>
          </w:p>
          <w:p w14:paraId="0CEFA00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5.电池容量：≥5000mAh 锂聚合物电池</w:t>
            </w:r>
          </w:p>
          <w:p w14:paraId="5FDB56A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6.摄像头：前置≥800万像素；后置≥800万像素，自动焦距。</w:t>
            </w:r>
          </w:p>
        </w:tc>
        <w:tc>
          <w:tcPr>
            <w:tcW w:w="743" w:type="dxa"/>
            <w:vAlign w:val="center"/>
          </w:tcPr>
          <w:p w14:paraId="7C9744C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w:t>
            </w:r>
          </w:p>
        </w:tc>
        <w:tc>
          <w:tcPr>
            <w:tcW w:w="564" w:type="dxa"/>
            <w:vAlign w:val="center"/>
          </w:tcPr>
          <w:p w14:paraId="5235EAB8">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14:paraId="7D55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9DAF6E6">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758" w:type="dxa"/>
            <w:vAlign w:val="center"/>
          </w:tcPr>
          <w:p w14:paraId="103EBEAF">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教学机器人硬件</w:t>
            </w:r>
          </w:p>
        </w:tc>
        <w:tc>
          <w:tcPr>
            <w:tcW w:w="1037" w:type="dxa"/>
            <w:vAlign w:val="center"/>
          </w:tcPr>
          <w:p w14:paraId="5225ECF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畅言智AI、人动人、安凯斯</w:t>
            </w:r>
          </w:p>
        </w:tc>
        <w:tc>
          <w:tcPr>
            <w:tcW w:w="5024" w:type="dxa"/>
            <w:vAlign w:val="center"/>
          </w:tcPr>
          <w:p w14:paraId="140135D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操作系统：Linux；</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2.CPU≥四核，主频≥1.8GHz；</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3. 存储空间：≥2GB RAM，≥16GB ROM；</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4. 摄像头： ≥500万像素；</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5. 显示屏： ≥5.9英寸，LCD屏；屏幕分辨率≥1440*720；</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6.电池容量： 3200mAh</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7. 收音范围：语音识别距离≥2m；</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8.具备移动功能；</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9.需支持外接传感器及积木件，且需支持接口混插，实现教具间功能互通。</w:t>
            </w:r>
          </w:p>
        </w:tc>
        <w:tc>
          <w:tcPr>
            <w:tcW w:w="743" w:type="dxa"/>
            <w:vAlign w:val="center"/>
          </w:tcPr>
          <w:p w14:paraId="0D7C79F1">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w:t>
            </w:r>
          </w:p>
        </w:tc>
        <w:tc>
          <w:tcPr>
            <w:tcW w:w="564" w:type="dxa"/>
            <w:vAlign w:val="center"/>
          </w:tcPr>
          <w:p w14:paraId="7B5EC26D">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14:paraId="61E6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07658C4">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p>
        </w:tc>
        <w:tc>
          <w:tcPr>
            <w:tcW w:w="758" w:type="dxa"/>
            <w:vAlign w:val="center"/>
          </w:tcPr>
          <w:p w14:paraId="373847D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教学机器人软件</w:t>
            </w:r>
          </w:p>
        </w:tc>
        <w:tc>
          <w:tcPr>
            <w:tcW w:w="1037" w:type="dxa"/>
            <w:vAlign w:val="center"/>
          </w:tcPr>
          <w:p w14:paraId="05281D5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科大讯飞、</w:t>
            </w:r>
            <w:r>
              <w:rPr>
                <w:rFonts w:hint="eastAsia" w:ascii="仿宋" w:hAnsi="仿宋" w:eastAsia="仿宋" w:cs="仿宋"/>
                <w:color w:val="auto"/>
                <w:kern w:val="0"/>
                <w:sz w:val="20"/>
                <w:szCs w:val="20"/>
                <w:highlight w:val="none"/>
                <w:lang w:bidi="ar"/>
              </w:rPr>
              <w:t>人动人、安凯斯</w:t>
            </w:r>
          </w:p>
        </w:tc>
        <w:tc>
          <w:tcPr>
            <w:tcW w:w="5024" w:type="dxa"/>
            <w:vAlign w:val="center"/>
          </w:tcPr>
          <w:p w14:paraId="6EFAEC4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1、提供用户主动设置WiFi的入口，支持通过WiFi与平板教学软件进行连接；</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2、需支持响应平板完成的编程程序在机器人上运行，包含基础能力运行（如：运动、外观、声音、运算等），也包含AI能力运行，其中AI能力需满足：</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①需支持响应语音唤醒AI能力调用：支持响应所选择唤醒词，用语音将机器人从待机状态唤醒；</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②需支持响应语音合成AI能力调用，支持响应选择不同发音人和自主编辑合成的内容，让机器人用对应发音人声音说出对应内容；</w:t>
            </w:r>
          </w:p>
          <w:p w14:paraId="2B47067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③需支持响应语音评测AI能力调用：支持响应设定中英文词语或句子，在机器人上实现中英文发音评测，并反馈评测得分；</w:t>
            </w:r>
          </w:p>
          <w:p w14:paraId="5ECF85D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④需支持响应机器翻译AI能力调用：支持响应将听到的中文翻译成英文，也支持响应将听到的英文翻译成中文，并将翻译结果显示在屏幕上；</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⑤需支持响应声纹识别AI能力调用：支持注册声纹信息，让机器人能够通过声纹识别出用户信息；</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⑥需支持响应语音转写AI能力调用：让机器人能够将听到的语音转化为文字，并显示在屏幕上；</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⑦需支持响应文字识别AI能力调用：让机器人能够通过拍照手写体的英文或数字，并识别后转写成印刷体，在屏幕上进行显示；</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 xml:space="preserve">⑧需支持响应人脸识别AI能力调用：支持注册人脸信息，让机器人能够通过人脸识别出用户信息，识别结果可以在屏幕上进行显示； </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 xml:space="preserve">⑨需支持响应物体识别AI能力调用：支持机器人利用摄像头，自动识别出现在取景框里的物体名称，识别结果可在屏幕进行显示； </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⑩需支持响应人机对话AI能力调用：支持响应选择需要的人机对话技能，让机器人与用户能针对不同场景下对话，例如针对教育、生活等不同场景；</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⑪需支持响应AI文本模型分类训练：支持响应自主建立文本分类模型，输入文本数据，训练分类模型，让机器人对输入的文本进行模式识别，识别结果可在屏幕进行显示；</w:t>
            </w:r>
          </w:p>
          <w:p w14:paraId="5A4EE3B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4、云平台部署，终身可使用，三年内支持更新</w:t>
            </w:r>
          </w:p>
        </w:tc>
        <w:tc>
          <w:tcPr>
            <w:tcW w:w="743" w:type="dxa"/>
            <w:vAlign w:val="center"/>
          </w:tcPr>
          <w:p w14:paraId="1F83F14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w:t>
            </w:r>
          </w:p>
        </w:tc>
        <w:tc>
          <w:tcPr>
            <w:tcW w:w="564" w:type="dxa"/>
            <w:vAlign w:val="center"/>
          </w:tcPr>
          <w:p w14:paraId="23CBF0EF">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14:paraId="1A89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D689F9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p>
        </w:tc>
        <w:tc>
          <w:tcPr>
            <w:tcW w:w="758" w:type="dxa"/>
            <w:vAlign w:val="center"/>
          </w:tcPr>
          <w:p w14:paraId="61BE8B3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机器狗</w:t>
            </w:r>
          </w:p>
        </w:tc>
        <w:tc>
          <w:tcPr>
            <w:tcW w:w="1037" w:type="dxa"/>
            <w:vAlign w:val="center"/>
          </w:tcPr>
          <w:p w14:paraId="65EF9B7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宇树、云深处、小米</w:t>
            </w:r>
          </w:p>
        </w:tc>
        <w:tc>
          <w:tcPr>
            <w:tcW w:w="5024" w:type="dxa"/>
            <w:vAlign w:val="center"/>
          </w:tcPr>
          <w:p w14:paraId="342BFFF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1、硬件平台参数</w:t>
            </w:r>
          </w:p>
          <w:p w14:paraId="1706A6F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1.1整机重量（带电池）：不低于14kg，不高于16kg</w:t>
            </w:r>
          </w:p>
          <w:p w14:paraId="7540AA4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1.2长宽高（站立时）约 0.7*0.31*0.4 m</w:t>
            </w:r>
          </w:p>
          <w:p w14:paraId="4CD1170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1.3负载能力：行走时最大负载能力8kg</w:t>
            </w:r>
            <w:r>
              <w:rPr>
                <w:rFonts w:hint="eastAsia" w:ascii="仿宋" w:hAnsi="仿宋" w:eastAsia="仿宋" w:cs="仿宋"/>
                <w:color w:val="auto"/>
                <w:szCs w:val="21"/>
                <w:highlight w:val="none"/>
              </w:rPr>
              <w:tab/>
            </w:r>
          </w:p>
          <w:p w14:paraId="0C6D01B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1.4最大攀爬斜坡角度：40°</w:t>
            </w:r>
          </w:p>
          <w:p w14:paraId="4CE6CC3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1.5最大行走速度：≥3.5m/s</w:t>
            </w:r>
          </w:p>
          <w:p w14:paraId="4D34A5C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1.6膝关节内走线，关节热管辅助散热</w:t>
            </w:r>
          </w:p>
          <w:p w14:paraId="77C7C62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1.7最大攀爬落差高度≥15cm</w:t>
            </w:r>
          </w:p>
          <w:p w14:paraId="460A060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1.8全系支持智能OTA升级</w:t>
            </w:r>
            <w:r>
              <w:rPr>
                <w:rFonts w:hint="eastAsia" w:ascii="仿宋" w:hAnsi="仿宋" w:eastAsia="仿宋" w:cs="仿宋"/>
                <w:color w:val="auto"/>
                <w:szCs w:val="21"/>
                <w:highlight w:val="none"/>
              </w:rPr>
              <w:tab/>
            </w:r>
          </w:p>
          <w:p w14:paraId="09974E5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1.9配备4G通信，内置eSIM</w:t>
            </w:r>
          </w:p>
          <w:p w14:paraId="0CA4E76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1.10内置WiFi6双频无线模组，支持2.4G以及5.8G wifi ,且同时支持STA和AP 两种模式。内置蓝牙5.2模组</w:t>
            </w:r>
          </w:p>
          <w:p w14:paraId="2D4E09B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1.11具备Android及IOS端APP，具备APP高清图传、遥控、机器狗状态查看等功能，具备图形化编程功能</w:t>
            </w:r>
          </w:p>
          <w:p w14:paraId="25D6E31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1.12机器狗本体与电池应采用分体式设计，支持无工具辅助快速更换，单次更换时间≤5秒。</w:t>
            </w:r>
          </w:p>
          <w:p w14:paraId="3FD35CC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1.13电池宜采用锂电池，电池BMS（电池管理模块）需由机器狗制造商自主研发，确保稳定可靠</w:t>
            </w:r>
          </w:p>
          <w:p w14:paraId="2A9BDDB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1.14关节模组外径≥80mm，关节模组直径越大，关节输出扭矩越大，机器狗运动性能越好。采用外转子电机</w:t>
            </w:r>
          </w:p>
          <w:p w14:paraId="3895ACF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1.15机器狗膝关节电机附近内置专利热管辅助散热</w:t>
            </w:r>
          </w:p>
          <w:p w14:paraId="611A5B3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1.16机器狗膝关节内走线，机器狗小腿和大腿关节之间无外置线缆                                                                                                                  </w:t>
            </w:r>
          </w:p>
          <w:p w14:paraId="4B2B6AF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1.17</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小腿和大腿关节之间具备散热空间</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ab/>
            </w:r>
          </w:p>
          <w:p w14:paraId="5BB3287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1.18腿和机身连接处具备全向柔性缓冲结构，可有效吸收全向冲击，避免腿和机身连接处结构摔坏。</w:t>
            </w:r>
          </w:p>
          <w:p w14:paraId="032574C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1.19要求机器狗具备良好的缓冲功能，具备从高度1米处跌落不会损坏并能在2秒内继续行走的能力</w:t>
            </w:r>
          </w:p>
          <w:p w14:paraId="4EFD5AD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1.20电池容量不得低于8000mAh，额定能量不得低于236.8Wh</w:t>
            </w:r>
            <w:r>
              <w:rPr>
                <w:rFonts w:hint="eastAsia" w:ascii="仿宋" w:hAnsi="仿宋" w:eastAsia="仿宋" w:cs="仿宋"/>
                <w:color w:val="auto"/>
                <w:szCs w:val="21"/>
                <w:highlight w:val="none"/>
              </w:rPr>
              <w:tab/>
            </w:r>
          </w:p>
          <w:p w14:paraId="6893E46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2、运动控制模块</w:t>
            </w:r>
          </w:p>
          <w:p w14:paraId="0CAED1B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2.1配备月球步（即太空步）功能，配备并腿跑功能</w:t>
            </w:r>
          </w:p>
          <w:p w14:paraId="29AF073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2.2配备侧边步功能（即在右前脚右后脚悬空的情况下用左前脚左后脚移动，或在左前脚左后脚悬空的情况下用右前脚右后脚移动</w:t>
            </w:r>
            <w:r>
              <w:rPr>
                <w:rFonts w:hint="eastAsia" w:ascii="仿宋" w:hAnsi="仿宋" w:eastAsia="仿宋" w:cs="仿宋"/>
                <w:color w:val="auto"/>
                <w:szCs w:val="21"/>
                <w:highlight w:val="none"/>
              </w:rPr>
              <w:tab/>
            </w:r>
          </w:p>
          <w:p w14:paraId="3AB5486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2.3</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配备交叉步功能（即在右前脚左后脚悬空的情况下用左前脚右后脚移动，或在左前脚右后脚悬空的情况下用右前脚左后脚移动</w:t>
            </w:r>
          </w:p>
          <w:p w14:paraId="57A7C62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2.4提供多种展示动作，包括向上跳、向前跳、前空翻、握手、坐下、作揖、打滚等多种创意动作</w:t>
            </w:r>
          </w:p>
          <w:p w14:paraId="5A69901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2.5一键即可触发伸懒腰动作：机器狗伸懒腰的动作</w:t>
            </w:r>
          </w:p>
          <w:p w14:paraId="1ECAD9D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2.6一键即可触发扑人动作：后腿蹬地，身体竖立，两前腿延长，往前扑</w:t>
            </w:r>
          </w:p>
          <w:p w14:paraId="6712F79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3、智能感知模块</w:t>
            </w:r>
            <w:r>
              <w:rPr>
                <w:rFonts w:hint="eastAsia" w:ascii="仿宋" w:hAnsi="仿宋" w:eastAsia="仿宋" w:cs="仿宋"/>
                <w:color w:val="auto"/>
                <w:szCs w:val="21"/>
                <w:highlight w:val="none"/>
              </w:rPr>
              <w:tab/>
            </w:r>
          </w:p>
          <w:p w14:paraId="5DB280A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3.1内置语音识别模块，具备语音交互功能，毫秒级语音交互响应，采用行业先进的语音识别技术，识别准确率高，识字速度快</w:t>
            </w:r>
          </w:p>
          <w:p w14:paraId="23FE641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3.2广角摄像头具有1080P高清拍摄能力，通光孔径F2.2，支持人体跟踪识别等算法开发</w:t>
            </w:r>
            <w:r>
              <w:rPr>
                <w:rFonts w:hint="eastAsia" w:ascii="仿宋" w:hAnsi="仿宋" w:eastAsia="仿宋" w:cs="仿宋"/>
                <w:color w:val="auto"/>
                <w:szCs w:val="21"/>
                <w:highlight w:val="none"/>
              </w:rPr>
              <w:tab/>
            </w:r>
          </w:p>
          <w:p w14:paraId="715326B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3.3机器狗下巴处配置1台超广角3D激光雷达：FOV360°× 90°,扫描距离20m；近处盲区为0.05m；可实现探物避障</w:t>
            </w:r>
            <w:r>
              <w:rPr>
                <w:rFonts w:hint="eastAsia" w:ascii="仿宋" w:hAnsi="仿宋" w:eastAsia="仿宋" w:cs="仿宋"/>
                <w:color w:val="auto"/>
                <w:szCs w:val="21"/>
                <w:highlight w:val="none"/>
              </w:rPr>
              <w:tab/>
            </w:r>
          </w:p>
          <w:p w14:paraId="1E0027B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3.4配备无线矢量定位及控制系统，无需使用遥控器控制机器狗即可实现机器狗位于人的侧向余光视线内伴随</w:t>
            </w:r>
          </w:p>
        </w:tc>
        <w:tc>
          <w:tcPr>
            <w:tcW w:w="743" w:type="dxa"/>
            <w:vAlign w:val="center"/>
          </w:tcPr>
          <w:p w14:paraId="06FFB7F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1B40A86A">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14:paraId="63EE1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0CE6C8F">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w:t>
            </w:r>
          </w:p>
        </w:tc>
        <w:tc>
          <w:tcPr>
            <w:tcW w:w="758" w:type="dxa"/>
            <w:vAlign w:val="center"/>
          </w:tcPr>
          <w:p w14:paraId="7A2779BF">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AI互联智慧黑板</w:t>
            </w:r>
          </w:p>
        </w:tc>
        <w:tc>
          <w:tcPr>
            <w:tcW w:w="1037" w:type="dxa"/>
            <w:vAlign w:val="center"/>
          </w:tcPr>
          <w:p w14:paraId="57767F6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科大讯飞、惠科、讯学</w:t>
            </w:r>
          </w:p>
        </w:tc>
        <w:tc>
          <w:tcPr>
            <w:tcW w:w="5024" w:type="dxa"/>
            <w:vAlign w:val="center"/>
          </w:tcPr>
          <w:p w14:paraId="7801BB2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1.整机屏幕需采用 ≥86 英寸 UHD 超高清 A 规 LED 液晶屏，显示比例 16:9，屏幕图像分辨率≥3840*2160。</w:t>
            </w:r>
          </w:p>
          <w:p w14:paraId="7574A35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2.液晶显示层与钢化玻璃层需采用零贴合或全贴合设计。</w:t>
            </w:r>
          </w:p>
          <w:p w14:paraId="16AC715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3.整体外观尺寸：宽≥4200mm，高≥1200mm，厚≤106mm。整机需采用三拼接平面一体化设计(主副屏过渡平滑并在同一平面，中间无单独边框阻隔)，无推拉式结构及外露连接线。</w:t>
            </w:r>
          </w:p>
          <w:p w14:paraId="7084095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4.整机主屏和整机两侧副板需支持普通粉笔、液体粉笔、水溶性粉笔直接书写。</w:t>
            </w:r>
          </w:p>
          <w:p w14:paraId="146825E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5.整机需支持实现板书书写数据采集功能，可识别老师粉笔书写，板擦或手指擦除手势，且书写过程中可同步到一体机主屏，支持板书录制、回看和分享。</w:t>
            </w:r>
          </w:p>
          <w:p w14:paraId="7A83D9B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6.整机采用内置摄像头、麦克风，无需外接线材连接和任何可见外接线材及模块化拼接痕迹，不占用整机外部设备接口。</w:t>
            </w:r>
          </w:p>
          <w:p w14:paraId="2F448C3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配套智能笔</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1.外观：笔身造型需采用圆润一体化笔型设计，握笔处需采用人机工程学设计，方便用户握笔书写，表面采用手感漆工艺；长度≤170mm， 直径≤14mm，笔身重量≤25g。</w:t>
            </w:r>
          </w:p>
          <w:p w14:paraId="73C4C7B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2.压感 4096 级，需支持手笔分离功能（防误触），还原真实书写体验。</w:t>
            </w:r>
          </w:p>
          <w:p w14:paraId="5F2EA33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3.笔身配置需不少于六个按键，包括一键开关机、上下翻页、智能语音/ 扩音、书写颜色切换、无线鼠标（飞鼠/空鼠）。</w:t>
            </w:r>
          </w:p>
          <w:p w14:paraId="1B38C9B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3.支持智能笔贴放至一体机大屏放置磁吸位置后可自动登录教学应用系统，无需教师手动输入账号和密码，保护教师隐私。</w:t>
            </w:r>
          </w:p>
          <w:p w14:paraId="6C9ECBD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4.在配套整机运行环境下，智能笔需支持一键切换画笔颜色与板擦功 能；可切换颜色≥2 种，且支持教师自定义任意颜色。</w:t>
            </w:r>
            <w:r>
              <w:rPr>
                <w:rFonts w:hint="eastAsia" w:ascii="仿宋" w:hAnsi="仿宋" w:eastAsia="仿宋" w:cs="仿宋"/>
                <w:b/>
                <w:bCs/>
                <w:color w:val="auto"/>
                <w:szCs w:val="21"/>
                <w:highlight w:val="none"/>
              </w:rPr>
              <w:br w:type="textWrapping"/>
            </w:r>
            <w:r>
              <w:rPr>
                <w:rFonts w:hint="eastAsia" w:ascii="仿宋" w:hAnsi="仿宋" w:eastAsia="仿宋" w:cs="仿宋"/>
                <w:color w:val="auto"/>
                <w:szCs w:val="21"/>
                <w:highlight w:val="none"/>
              </w:rPr>
              <w:t>系统软件</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1.AI学科助手系统：1. 提供多种教师日常教学、工作所需助手，包括图片生成、课题灵感、项目式学习、班会设计、学生评语、家访沟通提纲、教学反思等。</w:t>
            </w:r>
          </w:p>
          <w:p w14:paraId="22FFD67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  支持根据教师教学设计结果自动生成课件。</w:t>
            </w:r>
          </w:p>
          <w:p w14:paraId="4BD2A25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3、教师可以用自然语言指令对课件进行二次创编，可针对课件内容进行润色、扩写、精简；也可智能生成图片、思维导图、实践作业等内容。</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2.AI课堂实录分析：1. 支持课堂教学实录视频自动上传至云端，形成用户自己的实录库。</w:t>
            </w:r>
          </w:p>
          <w:p w14:paraId="6AA9BB2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 支持按教学环节智能生成课程纪要文本和课程脉络思维导图；课程纪要文本支持编辑，课程脉络思维导图支持对节点进行增加、删除、修改</w:t>
            </w:r>
          </w:p>
        </w:tc>
        <w:tc>
          <w:tcPr>
            <w:tcW w:w="743" w:type="dxa"/>
            <w:vAlign w:val="center"/>
          </w:tcPr>
          <w:p w14:paraId="0C7E2DE0">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5FB2A844">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14:paraId="464D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F7DEDD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w:t>
            </w:r>
          </w:p>
        </w:tc>
        <w:tc>
          <w:tcPr>
            <w:tcW w:w="758" w:type="dxa"/>
            <w:vAlign w:val="center"/>
          </w:tcPr>
          <w:p w14:paraId="5D1A2D0B">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虚拟人</w:t>
            </w:r>
            <w:r>
              <w:rPr>
                <w:rFonts w:hint="eastAsia" w:ascii="仿宋" w:hAnsi="仿宋" w:eastAsia="仿宋" w:cs="仿宋"/>
                <w:color w:val="auto"/>
                <w:sz w:val="24"/>
                <w:highlight w:val="none"/>
              </w:rPr>
              <w:t>竖屏一体机</w:t>
            </w:r>
          </w:p>
        </w:tc>
        <w:tc>
          <w:tcPr>
            <w:tcW w:w="1037" w:type="dxa"/>
            <w:vAlign w:val="center"/>
          </w:tcPr>
          <w:p w14:paraId="503ED3F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科大讯飞、百度、果力智能</w:t>
            </w:r>
          </w:p>
        </w:tc>
        <w:tc>
          <w:tcPr>
            <w:tcW w:w="5024" w:type="dxa"/>
            <w:vAlign w:val="center"/>
          </w:tcPr>
          <w:p w14:paraId="155683D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一、互动展示端</w:t>
            </w:r>
          </w:p>
          <w:p w14:paraId="330BE80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1.尺寸≥43寸。</w:t>
            </w:r>
          </w:p>
          <w:p w14:paraId="6AD04A9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2.分辨率支持：1920×1080。</w:t>
            </w:r>
          </w:p>
          <w:p w14:paraId="53CAC06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3.CPU：≥双核处理器，主频≥2.1GHz。</w:t>
            </w:r>
          </w:p>
          <w:p w14:paraId="2444DE5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4.运行内存≥4GB。</w:t>
            </w:r>
          </w:p>
          <w:p w14:paraId="01130AD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5.存储容量≥120GB。</w:t>
            </w:r>
          </w:p>
          <w:p w14:paraId="5293ECB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6.物理形态：落地立式。</w:t>
            </w:r>
          </w:p>
          <w:p w14:paraId="0FEDFA9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7.需自带操作系统。</w:t>
            </w:r>
          </w:p>
          <w:p w14:paraId="37B2147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8.需支持声音外放，需提供麦克风接口。 </w:t>
            </w:r>
          </w:p>
          <w:p w14:paraId="45C8153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二、虚拟人</w:t>
            </w:r>
            <w:r>
              <w:rPr>
                <w:rFonts w:hint="eastAsia" w:ascii="仿宋" w:hAnsi="仿宋" w:eastAsia="仿宋" w:cs="仿宋"/>
                <w:color w:val="auto"/>
                <w:szCs w:val="21"/>
                <w:highlight w:val="none"/>
              </w:rPr>
              <w:tab/>
            </w:r>
          </w:p>
          <w:p w14:paraId="27E3903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1.可以针对不同的场景选择不同风格的虚拟名人进行对话交互，每个虚拟名人均具备特色的人物设定对话风格，支持切换标准版和卡通版，支持语音和文字两种对话方式。</w:t>
            </w:r>
          </w:p>
          <w:p w14:paraId="60214E2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2.需至少提供永久5位虚拟人使用，分别具备不同的形象及背景，覆盖科技、人文、美育、心育、劳育、体育六大领域。</w:t>
            </w:r>
          </w:p>
          <w:p w14:paraId="78BFE76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1）科技类虚拟人需具备通过通俗易懂的话语来揭示科技领域相关奥秘的能力，能够把复杂概念转变成生活中的实例；</w:t>
            </w:r>
          </w:p>
          <w:p w14:paraId="751D9EA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2）人文类虚拟人需具备文学创作能力，可以根据学生的个性特点和兴趣爱好，创作诗歌词句；</w:t>
            </w:r>
          </w:p>
          <w:p w14:paraId="0C5C621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3）美育类虚拟人需具备策略分析与问题解答能力，能够将古代智慧与现代创新理念有机融合，引导学生在故事创作中感受智谋运用的乐趣；</w:t>
            </w:r>
          </w:p>
          <w:p w14:paraId="4F2B8B6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4）心育类虚拟人需具备讲故事的能力，融合传统与现代，通过对话和故事传授仁爱、礼义、诚信等，将儒家思想与现代社会实际相结合。</w:t>
            </w:r>
          </w:p>
          <w:p w14:paraId="548EFA9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5）劳育类虚拟人需具备指导学生创作手工作品的能力，培养学生的创新思维和动手解决问题能力；</w:t>
            </w:r>
          </w:p>
          <w:p w14:paraId="0C2FE0A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6）体育类虚拟人需具备引导学生创造属于自己故事的能力，引导学生树立正确的观念，培养积极向上的性格特质。</w:t>
            </w:r>
          </w:p>
          <w:p w14:paraId="23CA14D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3.需支持切换标准版和卡通版：</w:t>
            </w:r>
          </w:p>
          <w:p w14:paraId="1A8DB84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1）标准版虚拟人需面向小学高年级学生提供探究科学原理、文学创作、策略规划的互动与引导。</w:t>
            </w:r>
          </w:p>
          <w:p w14:paraId="49E406B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2）卡通版虚拟人需面向小学低年级学生提供建立基础概念的互动与引导。</w:t>
            </w:r>
          </w:p>
          <w:p w14:paraId="4BE167E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4.需支持用户与不同领域的虚拟名人进行对话互动，互动时语音转写并吐出文字的响应时间≤200ms。</w:t>
            </w:r>
          </w:p>
          <w:p w14:paraId="215CCEB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三、虚拟人云资源</w:t>
            </w:r>
          </w:p>
          <w:p w14:paraId="0072C6E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虚拟人为使用云端建设资源，不涉及本地，使用期限永久</w:t>
            </w:r>
          </w:p>
        </w:tc>
        <w:tc>
          <w:tcPr>
            <w:tcW w:w="743" w:type="dxa"/>
            <w:vAlign w:val="center"/>
          </w:tcPr>
          <w:p w14:paraId="4E455AE4">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55BCC7E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14:paraId="0A21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F6C2734">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w:t>
            </w:r>
          </w:p>
        </w:tc>
        <w:tc>
          <w:tcPr>
            <w:tcW w:w="758" w:type="dxa"/>
            <w:vAlign w:val="center"/>
          </w:tcPr>
          <w:p w14:paraId="6328BCD9">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虚拟眼镜</w:t>
            </w:r>
          </w:p>
        </w:tc>
        <w:tc>
          <w:tcPr>
            <w:tcW w:w="1037" w:type="dxa"/>
            <w:vAlign w:val="center"/>
          </w:tcPr>
          <w:p w14:paraId="2CE1AB3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HTC VIVE Pro 2、pico、大朋</w:t>
            </w:r>
          </w:p>
        </w:tc>
        <w:tc>
          <w:tcPr>
            <w:tcW w:w="5024" w:type="dxa"/>
            <w:vAlign w:val="center"/>
          </w:tcPr>
          <w:p w14:paraId="6871794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头戴式设备参数:</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1.以5K分辨率，更宽的120˚视场角和更平滑的120Hz刷新率，带来新一代沉浸式视觉效果。2.Hi-Res认证耳机带来身临其境般的声音效果。</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3.体验优秀的追踪性能和舒适度。</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屏幕：双RGB低余辉LCD屏幕</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分辨率：单眼分辨率2448 x 2448（双眼分辨率4896 x 2448）</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刷新率：90/120 Hz（使用VIVE无线升级套件时仅支持90Hz）</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视场角：最高120度（水平）</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音频：Hi-Res认证头戴式设备（通过USB-C模拟信号），Hi-Res认证耳机（可拆卸），支持高阻抗耳机（通过USB-C模拟信号）</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音频输入：双集成麦克风</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连接口：蓝牙，用于外部设备的USB-C端口</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传感器：G-sensor校正，陀螺仪，距离传感器，IPD传感器，SteamVR定位追踪（2.0）（与SteamVR 1.0和2.0定位器兼容）</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人体工学设计：可调节镜头距离更保护眼睛，可调节双眼舒适度设置（IPD) 57-70mm，可调式耳机，可调式头带</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操控手柄参数：</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传感器：支持SteamVR™追踪技术2.0</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输入：多功能触摸面板，抓握键，二段式扳机，系统键，菜单键</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单次充电使用量：约6小时</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连接：Micro-USB充电接口，空间定位追踪设置，站姿 / 坐姿:，无最小空间限制</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空间规模（Room-scale）:使用不低于4个SteamVR定位器2.0可支持10米 x 10米的空间定位追踪。使用包装内含的2个定位器可支持5米 x 5米的空间定位追踪。</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最低电脑配置：</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处理器：不低于Intel® Core™ i5-4590 及 AMD Ryzen 1500 或更高版本</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GPU：不低于NVIDIA® GeForce® GTX 1060及 AMD Radeon RX 480 或更高版本</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内存：不低于8 GB RAM或以上</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视频输出：不低于DisplayPort 1.2或更高版本</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USB端口：不低于1个USB 3.0**或更高版本的端口</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操作系统：不低于Windows® 11 / Windows® 10</w:t>
            </w:r>
          </w:p>
        </w:tc>
        <w:tc>
          <w:tcPr>
            <w:tcW w:w="743" w:type="dxa"/>
            <w:vAlign w:val="center"/>
          </w:tcPr>
          <w:p w14:paraId="64456F2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56C62261">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14:paraId="16F8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B511A95">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w:t>
            </w:r>
          </w:p>
        </w:tc>
        <w:tc>
          <w:tcPr>
            <w:tcW w:w="758" w:type="dxa"/>
            <w:vAlign w:val="center"/>
          </w:tcPr>
          <w:p w14:paraId="0175B421">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VR主机</w:t>
            </w:r>
          </w:p>
        </w:tc>
        <w:tc>
          <w:tcPr>
            <w:tcW w:w="1037" w:type="dxa"/>
            <w:vAlign w:val="center"/>
          </w:tcPr>
          <w:p w14:paraId="1B8BFBF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神舟、联想、戴尔</w:t>
            </w:r>
          </w:p>
        </w:tc>
        <w:tc>
          <w:tcPr>
            <w:tcW w:w="5024" w:type="dxa"/>
            <w:vAlign w:val="center"/>
          </w:tcPr>
          <w:p w14:paraId="644E832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主机配置</w:t>
            </w:r>
          </w:p>
          <w:p w14:paraId="330B6D7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CPU：不低于i5 12400F</w:t>
            </w:r>
          </w:p>
          <w:p w14:paraId="58743A9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主板： 不低于B760</w:t>
            </w:r>
          </w:p>
          <w:p w14:paraId="7DF9699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内存： 不低于16G 3200</w:t>
            </w:r>
          </w:p>
          <w:p w14:paraId="64545D1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硬盘： 不低于500G M.2</w:t>
            </w:r>
          </w:p>
          <w:p w14:paraId="1383D47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显卡：不低于3050 6G</w:t>
            </w:r>
          </w:p>
        </w:tc>
        <w:tc>
          <w:tcPr>
            <w:tcW w:w="743" w:type="dxa"/>
            <w:vAlign w:val="center"/>
          </w:tcPr>
          <w:p w14:paraId="437A609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48D7B999">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14:paraId="4454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419DBB5">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w:t>
            </w:r>
          </w:p>
        </w:tc>
        <w:tc>
          <w:tcPr>
            <w:tcW w:w="758" w:type="dxa"/>
            <w:vAlign w:val="center"/>
          </w:tcPr>
          <w:p w14:paraId="2F0E7D21">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智能显示终端</w:t>
            </w:r>
          </w:p>
        </w:tc>
        <w:tc>
          <w:tcPr>
            <w:tcW w:w="1037" w:type="dxa"/>
            <w:vAlign w:val="center"/>
          </w:tcPr>
          <w:p w14:paraId="59E334A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创维、小米、三星</w:t>
            </w:r>
          </w:p>
        </w:tc>
        <w:tc>
          <w:tcPr>
            <w:tcW w:w="5024" w:type="dxa"/>
            <w:vAlign w:val="center"/>
          </w:tcPr>
          <w:p w14:paraId="7C68BAF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显示类型：LED显示</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是否触摸屏：非触摸屏</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主板型号：TP.ATM50.PC821</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主板参数：背光输出功率50V-90V/2A</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主板功耗：80W</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最大支持分辨率1920X1080</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对比度：3000:1 (Typ.) (透射)</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色域：62% NTSC</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帧频率：60Hz</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响应时间：6.5 (Typ.)(G to G) ms</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 xml:space="preserve">可视角度：89/89/89/89 (Typ.)(CR≥10) </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机身尺寸：55寸</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背光参数：40V-70V /80W   max 450mA  2路</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视频输入AV端口：一组</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高清输入HDMI端口：二组</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同轴输出COAX端口：一组</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视频传输VGA端口：一组</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多媒体USB端口：二组</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无线电射频RF端口：一组</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耳机输入/输出端口：一组</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主芯片：MT9255ABANAA</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高频头：R842（IEC 头）</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AC 输入电压范围：AC 输入全电压：90VAC-264VAC</w:t>
            </w:r>
          </w:p>
        </w:tc>
        <w:tc>
          <w:tcPr>
            <w:tcW w:w="743" w:type="dxa"/>
            <w:vAlign w:val="center"/>
          </w:tcPr>
          <w:p w14:paraId="58D8B78B">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0D06436A">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14:paraId="3C46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911715A">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w:t>
            </w:r>
          </w:p>
        </w:tc>
        <w:tc>
          <w:tcPr>
            <w:tcW w:w="758" w:type="dxa"/>
            <w:vAlign w:val="center"/>
          </w:tcPr>
          <w:p w14:paraId="7D3640D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显示移动支架</w:t>
            </w:r>
          </w:p>
        </w:tc>
        <w:tc>
          <w:tcPr>
            <w:tcW w:w="1037" w:type="dxa"/>
            <w:vAlign w:val="center"/>
          </w:tcPr>
          <w:p w14:paraId="25626C5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NB、恩利普、贝石</w:t>
            </w:r>
          </w:p>
        </w:tc>
        <w:tc>
          <w:tcPr>
            <w:tcW w:w="5024" w:type="dxa"/>
            <w:vAlign w:val="center"/>
          </w:tcPr>
          <w:p w14:paraId="4BE2552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1、适用单屏重量：40Kg</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2、挂架类型：移动推车</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3、适用尺寸：32-65</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4、挂架材质：冷轧钢板</w:t>
            </w:r>
          </w:p>
        </w:tc>
        <w:tc>
          <w:tcPr>
            <w:tcW w:w="743" w:type="dxa"/>
            <w:vAlign w:val="center"/>
          </w:tcPr>
          <w:p w14:paraId="44E90744">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3AC8969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14:paraId="675E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548607A">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w:t>
            </w:r>
          </w:p>
        </w:tc>
        <w:tc>
          <w:tcPr>
            <w:tcW w:w="758" w:type="dxa"/>
            <w:vAlign w:val="center"/>
          </w:tcPr>
          <w:p w14:paraId="24AA2228">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虚拟现实多终端课程管理系统</w:t>
            </w:r>
          </w:p>
        </w:tc>
        <w:tc>
          <w:tcPr>
            <w:tcW w:w="1037" w:type="dxa"/>
            <w:vAlign w:val="center"/>
          </w:tcPr>
          <w:p w14:paraId="2DED195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飞迅智瞳、旗云天成、文慧唯尔</w:t>
            </w:r>
          </w:p>
        </w:tc>
        <w:tc>
          <w:tcPr>
            <w:tcW w:w="5024" w:type="dxa"/>
            <w:vAlign w:val="center"/>
          </w:tcPr>
          <w:p w14:paraId="7BF2236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管理平台需基于Web网页的SAAS系统模式开发，可以运行在多种设备的主流网页浏览器上，包括但不限于Chrome、360、Firfox、Edge等主流浏览器，无需安装，直接网页打开登录使用，需包含以下功能：</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一、我的课程：</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1、资源筛选：可按课件资源来源、类型、课件所属学段、课件所属学科筛选；</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2、上传资源：可自行上传本地资源到云平台资源库在大屏上进行教学，资源类型包括但不限于图片、视频、PPT、Excel、Pdf、Word等；</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3、添加课件资源：可用鼠标拖动课件资源添加或点击课程添加按钮添加，课件资源包含已授权资源和自主上传资源。</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4、支持全景图片浏览：在Web端进行全景图片实时浏览查看，可投屏到大屏幕进行演示教学；</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二、播控管理</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1、设备信息列表：至少包含设备编号、设备联网状态、播放状态、模式状态、设备电量监控、声音是否开启、课件安装情况等信息；</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2、内容播放：需包含课件内容2D视频预览；可同时控制所有或指定的VR设备播控模式状态开启或关闭，切换设备处于播控模式或自由模式；可同时控制所有或指定的VR设备关机；可同时控制所有或指定的VR设备静音或开启声音；可批量控制所有设备，也可单独控制某一或指定多台VR设备的课件播放与停止</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三、资源管理</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1、资源列表：课件资源信息至少包含资源ID、封面图、资源名称、上传人、文件大小、上传时间等信息。</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2、新增资源：可上传资源文件，至少能够支持.png、.jpg、.jpeg格式全景图片、.mp4格式全景视频以及 .doc/.docx、.xsl/.xslx、.ppt、.pdf文档文件上传。</w:t>
            </w:r>
          </w:p>
          <w:p w14:paraId="134414F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云平台部署，终身使用权，三年内免费更新</w:t>
            </w:r>
          </w:p>
        </w:tc>
        <w:tc>
          <w:tcPr>
            <w:tcW w:w="743" w:type="dxa"/>
            <w:vAlign w:val="center"/>
          </w:tcPr>
          <w:p w14:paraId="35E5CBCF">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4BC889E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14:paraId="2115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E7EC02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w:t>
            </w:r>
          </w:p>
        </w:tc>
        <w:tc>
          <w:tcPr>
            <w:tcW w:w="758" w:type="dxa"/>
            <w:vAlign w:val="center"/>
          </w:tcPr>
          <w:p w14:paraId="4F9DDB40">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全沉浸课课程包</w:t>
            </w:r>
          </w:p>
        </w:tc>
        <w:tc>
          <w:tcPr>
            <w:tcW w:w="1037" w:type="dxa"/>
            <w:vAlign w:val="center"/>
          </w:tcPr>
          <w:p w14:paraId="75F10C9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飞迅智瞳、旗云天成、文慧唯尔</w:t>
            </w:r>
          </w:p>
        </w:tc>
        <w:tc>
          <w:tcPr>
            <w:tcW w:w="5024" w:type="dxa"/>
            <w:vAlign w:val="center"/>
          </w:tcPr>
          <w:p w14:paraId="3B7D4E6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课程包含：</w:t>
            </w:r>
          </w:p>
          <w:p w14:paraId="5136ADB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全沉浸VR套装精品课程包含校园安全、青少年法制、红色教育、青少年心理、青少年科学科普五大类课程；</w:t>
            </w:r>
          </w:p>
          <w:p w14:paraId="39B465C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一：校园安全课程，包含模拟校园火灾逃生，交互内容包含以下；</w:t>
            </w:r>
          </w:p>
          <w:p w14:paraId="58B18AF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1.拨打火警电话</w:t>
            </w:r>
          </w:p>
          <w:p w14:paraId="2E2DE3E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2.敲响火警警报</w:t>
            </w:r>
          </w:p>
          <w:p w14:paraId="318BEBA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3.湿毛巾捂口鼻</w:t>
            </w:r>
          </w:p>
          <w:p w14:paraId="5FDC595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4.灭火器使用</w:t>
            </w:r>
          </w:p>
          <w:p w14:paraId="235CE34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5.火场逃生弯腰行走</w:t>
            </w:r>
          </w:p>
          <w:p w14:paraId="3D88183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二：青少年法制课程，包含青少年法制科普及模拟法庭，具体内容需包括以下；</w:t>
            </w:r>
          </w:p>
          <w:p w14:paraId="29161F1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1.模拟庭审现场</w:t>
            </w:r>
          </w:p>
          <w:p w14:paraId="50B3B42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2.了解庭审时各岗位主要职能</w:t>
            </w:r>
          </w:p>
          <w:p w14:paraId="1912631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3.了解庭审时的流程</w:t>
            </w:r>
          </w:p>
          <w:p w14:paraId="716FD13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4.学习相关案例启示</w:t>
            </w:r>
          </w:p>
          <w:p w14:paraId="69BA8B8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三：红色教育课程需包含建党100周年、沉浸式爱国主题展厅、模拟飞夺泸定桥交互课程，其中模拟飞夺泸定桥需包含以下交互内容；</w:t>
            </w:r>
          </w:p>
          <w:p w14:paraId="3488158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1.战争局势历史了解</w:t>
            </w:r>
          </w:p>
          <w:p w14:paraId="63ADF70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2.历史战斗任务信息</w:t>
            </w:r>
          </w:p>
          <w:p w14:paraId="23EB1A2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3.战前准备部署内容</w:t>
            </w:r>
          </w:p>
          <w:p w14:paraId="0D57ADC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4.战前入党宣誓</w:t>
            </w:r>
          </w:p>
          <w:p w14:paraId="77B3649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5.战斗突击队伍布置</w:t>
            </w:r>
          </w:p>
          <w:p w14:paraId="3825F96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6.历史战斗环境模拟</w:t>
            </w:r>
          </w:p>
          <w:p w14:paraId="23DCA48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7.历史战斗敌方情景还原</w:t>
            </w:r>
          </w:p>
          <w:p w14:paraId="62A0A1E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8.爬锁链</w:t>
            </w:r>
          </w:p>
          <w:p w14:paraId="477063C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9.铁锅防御</w:t>
            </w:r>
          </w:p>
          <w:p w14:paraId="3DB1887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10.救起掉落战士</w:t>
            </w:r>
          </w:p>
          <w:p w14:paraId="5ECDF52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11.攻击敌方军队</w:t>
            </w:r>
          </w:p>
          <w:p w14:paraId="1E42DFE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12.被迫击炮轰炸后效果</w:t>
            </w:r>
          </w:p>
          <w:p w14:paraId="0693F7F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13.铺设木板</w:t>
            </w:r>
          </w:p>
          <w:p w14:paraId="759B57F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14.使用手雷炸暗堡</w:t>
            </w:r>
          </w:p>
          <w:p w14:paraId="6389F41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15.成功过桥，攻击残余部队</w:t>
            </w:r>
          </w:p>
          <w:p w14:paraId="3E662F6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16.插入旗帜占领建筑物</w:t>
            </w:r>
          </w:p>
          <w:p w14:paraId="713692A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四：青少年心理课程需包含心理脱敏及心理放松交互内容，其中心理脱敏内容需包含以下交互内容；</w:t>
            </w:r>
          </w:p>
          <w:p w14:paraId="55A629D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1.社交恐惧症治疗</w:t>
            </w:r>
          </w:p>
          <w:p w14:paraId="62A067C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2.幽闭恐惧症治疗</w:t>
            </w:r>
          </w:p>
          <w:p w14:paraId="3EBA70D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3.恐高症治疗</w:t>
            </w:r>
          </w:p>
          <w:p w14:paraId="11870A3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4.焦虑症治疗</w:t>
            </w:r>
          </w:p>
          <w:p w14:paraId="049FEFB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5.心理自我检测</w:t>
            </w:r>
          </w:p>
          <w:p w14:paraId="06BB41F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五：青少年科学科普内容需包含航空航天知识科普系列课程及海洋知识科普课程，其中航空航天知识科普课程内容需包含以下；</w:t>
            </w:r>
          </w:p>
          <w:p w14:paraId="58DEE42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1.中国航空航天发展历程介绍</w:t>
            </w:r>
          </w:p>
          <w:p w14:paraId="79E32E7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2.中国航空航天事业未来规划</w:t>
            </w:r>
          </w:p>
          <w:p w14:paraId="1B7B637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3.卫星介绍</w:t>
            </w:r>
          </w:p>
          <w:p w14:paraId="67A31E4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4.火箭介绍</w:t>
            </w:r>
          </w:p>
          <w:p w14:paraId="77CE3C8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5.宇宙知识介绍</w:t>
            </w:r>
          </w:p>
          <w:p w14:paraId="3DF5B92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6.太阳系知识介绍</w:t>
            </w:r>
          </w:p>
          <w:p w14:paraId="16CBDA9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7.八大行星知识介绍</w:t>
            </w:r>
          </w:p>
          <w:p w14:paraId="258E98A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8.中国火箭知识介绍</w:t>
            </w:r>
          </w:p>
          <w:p w14:paraId="6A82C31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9.火箭发射模拟</w:t>
            </w:r>
          </w:p>
          <w:p w14:paraId="3583185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10.中国登月计划介绍</w:t>
            </w:r>
          </w:p>
          <w:p w14:paraId="0149399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11.模拟中国登月</w:t>
            </w:r>
          </w:p>
          <w:p w14:paraId="71331EF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12.模拟探测车在月球表面探测</w:t>
            </w:r>
          </w:p>
          <w:p w14:paraId="51388E2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六、云平台部署，终身使用权，三年内免费更新</w:t>
            </w:r>
          </w:p>
        </w:tc>
        <w:tc>
          <w:tcPr>
            <w:tcW w:w="743" w:type="dxa"/>
            <w:vAlign w:val="center"/>
          </w:tcPr>
          <w:p w14:paraId="01B337A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5369E8D0">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14:paraId="52B6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BE2331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13</w:t>
            </w:r>
          </w:p>
        </w:tc>
        <w:tc>
          <w:tcPr>
            <w:tcW w:w="758" w:type="dxa"/>
            <w:vAlign w:val="center"/>
          </w:tcPr>
          <w:p w14:paraId="3FCECCAD">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信息科技教学套件</w:t>
            </w:r>
          </w:p>
        </w:tc>
        <w:tc>
          <w:tcPr>
            <w:tcW w:w="1037" w:type="dxa"/>
            <w:vAlign w:val="center"/>
          </w:tcPr>
          <w:p w14:paraId="7B8EE21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国产</w:t>
            </w:r>
          </w:p>
        </w:tc>
        <w:tc>
          <w:tcPr>
            <w:tcW w:w="5024" w:type="dxa"/>
            <w:vAlign w:val="center"/>
          </w:tcPr>
          <w:p w14:paraId="33844CA5">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信息技术上课配套套件</w:t>
            </w:r>
          </w:p>
        </w:tc>
        <w:tc>
          <w:tcPr>
            <w:tcW w:w="743" w:type="dxa"/>
            <w:vAlign w:val="center"/>
          </w:tcPr>
          <w:p w14:paraId="757D2A15">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45</w:t>
            </w:r>
          </w:p>
        </w:tc>
        <w:tc>
          <w:tcPr>
            <w:tcW w:w="564" w:type="dxa"/>
            <w:vAlign w:val="center"/>
          </w:tcPr>
          <w:p w14:paraId="5DC46728">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14:paraId="5B65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6295AD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14</w:t>
            </w:r>
          </w:p>
        </w:tc>
        <w:tc>
          <w:tcPr>
            <w:tcW w:w="758" w:type="dxa"/>
            <w:vAlign w:val="center"/>
          </w:tcPr>
          <w:p w14:paraId="6B8EACB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C类比赛空中机器人</w:t>
            </w:r>
          </w:p>
        </w:tc>
        <w:tc>
          <w:tcPr>
            <w:tcW w:w="1037" w:type="dxa"/>
            <w:vAlign w:val="center"/>
          </w:tcPr>
          <w:p w14:paraId="5B84D4A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国产</w:t>
            </w:r>
          </w:p>
        </w:tc>
        <w:tc>
          <w:tcPr>
            <w:tcW w:w="5024" w:type="dxa"/>
            <w:vAlign w:val="center"/>
          </w:tcPr>
          <w:p w14:paraId="11DFD5C7">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1、机架：PC+碳纤维材质；</w:t>
            </w:r>
          </w:p>
          <w:p w14:paraId="53190078">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2、重量：重量（裸机）≤95g；重量（含保护罩，不含电池）≤130g；</w:t>
            </w:r>
          </w:p>
          <w:p w14:paraId="0133D8E2">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3、额定电压、电流：额定电压：5V，额定电流：1A；</w:t>
            </w:r>
          </w:p>
          <w:p w14:paraId="3D140F0C">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4、轴距：190mm-240mm；</w:t>
            </w:r>
          </w:p>
          <w:p w14:paraId="45921AFF">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5、电池：1000mah/3.7v/1So</w:t>
            </w:r>
          </w:p>
          <w:p w14:paraId="11229390">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6、留空时间：10分钟以上；</w:t>
            </w:r>
          </w:p>
          <w:p w14:paraId="7683B681">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7、飞行环境：室内；</w:t>
            </w:r>
          </w:p>
          <w:p w14:paraId="35FD5FBC">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8、桨叶保护罩：快拆式保护罩；</w:t>
            </w:r>
          </w:p>
          <w:p w14:paraId="544E864A">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9、无人机遥控：遥控外壳采用同尺寸橡胶材质外包封装（非3D打印材质封装），并且须与无人机机体为同一品牌；</w:t>
            </w:r>
          </w:p>
          <w:p w14:paraId="63829A4D">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10、定位方式：视觉、光流</w:t>
            </w:r>
          </w:p>
          <w:p w14:paraId="24665883">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11、支持地面站修改通道及密码；</w:t>
            </w:r>
          </w:p>
          <w:p w14:paraId="055E5995">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12、支持外接设备：红外发射、舵机、电磁铁等；</w:t>
            </w:r>
          </w:p>
          <w:p w14:paraId="0F9F6141">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13、支持Mind+实时模式编程；</w:t>
            </w:r>
          </w:p>
          <w:p w14:paraId="7062AFF6">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14、遥控器可实时显示飞机电池电压和各类传感器状态；</w:t>
            </w:r>
          </w:p>
          <w:p w14:paraId="150556CC">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15、支持二维码识别功能：可通过图形化编程进行二维码识别功能的演示；并且遥控器上可实时显示识别到二维码的数据；</w:t>
            </w:r>
          </w:p>
          <w:p w14:paraId="08DF8F47">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16、支持选择性色块定位，支持定自定义标志定位；</w:t>
            </w:r>
          </w:p>
          <w:p w14:paraId="03884EFE">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17、标尺功能：可以用无人机测量两个点之间的距离，桌子的长度等。</w:t>
            </w:r>
          </w:p>
          <w:p w14:paraId="1F4B2298">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18、高度限定：无人机可以通过地面站软件设置最高高度。</w:t>
            </w:r>
          </w:p>
          <w:p w14:paraId="207ADD2A">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19、持全国学生信息素养提升实践活动机器人C类：可编程控制空中飞行器（市赛、省赛、全国赛）</w:t>
            </w:r>
          </w:p>
          <w:p w14:paraId="248353B9">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20、包含赛事包等配件</w:t>
            </w:r>
          </w:p>
          <w:p w14:paraId="5D2FB446">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21、支持采购后最新一年的赛事</w:t>
            </w:r>
          </w:p>
        </w:tc>
        <w:tc>
          <w:tcPr>
            <w:tcW w:w="743" w:type="dxa"/>
            <w:vAlign w:val="center"/>
          </w:tcPr>
          <w:p w14:paraId="0A23D9FE">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p>
        </w:tc>
        <w:tc>
          <w:tcPr>
            <w:tcW w:w="564" w:type="dxa"/>
            <w:vAlign w:val="center"/>
          </w:tcPr>
          <w:p w14:paraId="1C6EA2B8">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14:paraId="3C42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1453F15">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15</w:t>
            </w:r>
          </w:p>
        </w:tc>
        <w:tc>
          <w:tcPr>
            <w:tcW w:w="758" w:type="dxa"/>
            <w:vAlign w:val="center"/>
          </w:tcPr>
          <w:p w14:paraId="6891E251">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竞赛场地</w:t>
            </w:r>
          </w:p>
        </w:tc>
        <w:tc>
          <w:tcPr>
            <w:tcW w:w="1037" w:type="dxa"/>
            <w:vAlign w:val="center"/>
          </w:tcPr>
          <w:p w14:paraId="3FA42786">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国产</w:t>
            </w:r>
          </w:p>
        </w:tc>
        <w:tc>
          <w:tcPr>
            <w:tcW w:w="5024" w:type="dxa"/>
            <w:vAlign w:val="center"/>
          </w:tcPr>
          <w:p w14:paraId="178D2150">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1.5米竖杆：7套； 1米竖杆*3套；50cm圆环1套；60cm圆环1套；70cm圆环1套；30厘米直径*3厘米厚圆盘*4个；信息素养机器人C类竞赛地图*1张</w:t>
            </w:r>
          </w:p>
          <w:p w14:paraId="1C43C78A">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支持采购后最新一年的赛事</w:t>
            </w:r>
          </w:p>
        </w:tc>
        <w:tc>
          <w:tcPr>
            <w:tcW w:w="743" w:type="dxa"/>
            <w:vAlign w:val="center"/>
          </w:tcPr>
          <w:p w14:paraId="6F4ACBED">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564" w:type="dxa"/>
            <w:vAlign w:val="center"/>
          </w:tcPr>
          <w:p w14:paraId="237E384A">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14:paraId="5BDD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50AB6F67">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八、航天教室设备</w:t>
            </w:r>
          </w:p>
        </w:tc>
      </w:tr>
      <w:tr w14:paraId="6285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141905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58" w:type="dxa"/>
            <w:vAlign w:val="center"/>
          </w:tcPr>
          <w:p w14:paraId="2B4A640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多色3D打印机</w:t>
            </w:r>
          </w:p>
        </w:tc>
        <w:tc>
          <w:tcPr>
            <w:tcW w:w="1037" w:type="dxa"/>
            <w:vAlign w:val="center"/>
          </w:tcPr>
          <w:p w14:paraId="5FECD40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拓竹、闪铸、复志</w:t>
            </w:r>
          </w:p>
        </w:tc>
        <w:tc>
          <w:tcPr>
            <w:tcW w:w="5024" w:type="dxa"/>
            <w:vAlign w:val="center"/>
          </w:tcPr>
          <w:p w14:paraId="1B902A07">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1.成型技术：熔融沉积成型；</w:t>
            </w:r>
          </w:p>
          <w:p w14:paraId="04A91B93">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2.机身：外形尺寸不小于（长宽高）390*390*460 mm³，净重13kg内，打印尺寸（长×宽×高）不低于256*256*256 mm，钢材框架，外壳为塑料和玻璃构成；</w:t>
            </w:r>
          </w:p>
          <w:p w14:paraId="66937F63">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3.工具头：全金属热端、钢材挤出机齿轮、不锈钢喷嘴、喷嘴最高温度不低于300 ℃、喷嘴直径自带0.4 mm，可选0.2 mm, 0.6 mm, 0.8 mm；</w:t>
            </w:r>
          </w:p>
          <w:p w14:paraId="438AE084">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4.热床：机器自带双面纹理PEI打印面板，可选低温打印面板、高温打印面板、工程材料打印面板，热床最高温度不低于100℃；</w:t>
            </w:r>
          </w:p>
          <w:p w14:paraId="41D402D7">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5.速度：工具头最大移动速度不低于500 mm/s，工具头最大移动加速度不低于20 m/s²，热端最大流速不低于32 mm³/s（150*150mm单层外壁ABS材料，温度280℃测试）；主要依靠XY轴的震动抑制算法和精准的流量控制，来实现高速打印功能</w:t>
            </w:r>
          </w:p>
          <w:p w14:paraId="7D7DD89B">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6.支持耗材类型：可支持打印PLA, PETG, TPU, ASA, PVA, PET，尼龙线材（PA), 聚碳酸酯线材（PC), ABS 材料；自制Support系列支撑隔离材料，使支撑易剥离；</w:t>
            </w:r>
          </w:p>
          <w:p w14:paraId="5FEB9EBA">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7.冷却系统：内置冷却风扇系统，通过闭环控制来确保打印模型、打印机箱和主板的散热；</w:t>
            </w:r>
          </w:p>
          <w:p w14:paraId="6D353F7A">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8.传感器：内置低帧率相机1280 x 720 / 0.5fps机箱监控摄像头并支持延时摄影，支持挤出机断料检测，支持断电续打；</w:t>
            </w:r>
          </w:p>
          <w:p w14:paraId="2ED11977">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9.电子器件：机器自带2.7英寸192x64屏幕显示屏，支持Wi-Fi、Bluetooth通信，操作界面支持按键、手机端APP、电脑端应用三种形式；以通过APP和电脑端应用远程操控打印机和观看打印机视频；</w:t>
            </w:r>
          </w:p>
          <w:p w14:paraId="26CAC4AC">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健康管理系统：负责收集和监控整个系统状态，包括：硬件连接、工作状态机械状态，以及打印过程中AI功能检测到的问题（例如炒面缺陷），一旦出现任何异常，会通过APP、软件以及打印机屏幕上发送消息提醒用户，每个错误代码都有详细描述和对应的解决方案。</w:t>
            </w:r>
          </w:p>
          <w:p w14:paraId="4BE7B72D">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11.含一个自动供料系统：</w:t>
            </w:r>
          </w:p>
          <w:p w14:paraId="136B1823">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两级助力，确保能够顺利将耗材丝送入挤出机；</w:t>
            </w:r>
          </w:p>
          <w:p w14:paraId="0E89A194">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配有湿度传感器和密封外壳，配合干燥剂使用可以保证耗材干燥，并显示内部的湿度状态；</w:t>
            </w:r>
          </w:p>
          <w:p w14:paraId="51085A58">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物料识别技术：自动识别官方耗材的信息，同时可以估算原厂耗材的余量；</w:t>
            </w:r>
          </w:p>
          <w:p w14:paraId="487EC8EC">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通过进料缓冲器智能调节送料速度，确保自动供料系统送料和挤出机出料节奏保持同步；</w:t>
            </w:r>
          </w:p>
          <w:p w14:paraId="42EECF3D">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支持4*4级联，一台机器最多支持4台自动供料系统一起使用，支持实现16色打印；</w:t>
            </w:r>
          </w:p>
          <w:p w14:paraId="5E913844">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内置里程轮，可以统计从自动供料系统送出的耗材的长度；</w:t>
            </w:r>
          </w:p>
          <w:p w14:paraId="04287222">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自动续料功能，可在自动供料系统上放置几卷相同属性的材料，当一个槽用完后会自动切换到下一个槽的材料打印；</w:t>
            </w:r>
          </w:p>
        </w:tc>
        <w:tc>
          <w:tcPr>
            <w:tcW w:w="743" w:type="dxa"/>
            <w:vAlign w:val="center"/>
          </w:tcPr>
          <w:p w14:paraId="1EAF254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564" w:type="dxa"/>
            <w:vAlign w:val="center"/>
          </w:tcPr>
          <w:p w14:paraId="4035944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241D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681ABEE">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58" w:type="dxa"/>
            <w:vAlign w:val="center"/>
          </w:tcPr>
          <w:p w14:paraId="77ADA03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3D打印机</w:t>
            </w:r>
          </w:p>
        </w:tc>
        <w:tc>
          <w:tcPr>
            <w:tcW w:w="1037" w:type="dxa"/>
            <w:vAlign w:val="center"/>
          </w:tcPr>
          <w:p w14:paraId="5AE8B7F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拓竹、闪铸、复志</w:t>
            </w:r>
          </w:p>
        </w:tc>
        <w:tc>
          <w:tcPr>
            <w:tcW w:w="5024" w:type="dxa"/>
            <w:vAlign w:val="center"/>
          </w:tcPr>
          <w:p w14:paraId="2CE5A7E4">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成型技术：熔融沉积成型（FDM）</w:t>
            </w:r>
          </w:p>
          <w:p w14:paraId="01669BAA">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 打印尺寸：</w:t>
            </w:r>
          </w:p>
          <w:p w14:paraId="586E8752">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单喷嘴模式：不小于325*320*325 mm³</w:t>
            </w:r>
          </w:p>
          <w:p w14:paraId="234A4855">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双喷嘴交集：不小于300*320*325 mm³</w:t>
            </w:r>
          </w:p>
          <w:p w14:paraId="73C5A743">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双喷嘴并集：不小于350*320*325 mm³</w:t>
            </w:r>
          </w:p>
          <w:p w14:paraId="00AEB300">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 单机机身尺寸：不小于92*514*626 mm³</w:t>
            </w:r>
          </w:p>
          <w:p w14:paraId="4915ABA4">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 外壳框架：机壳为铝材和钢材构成，外壳为塑料和玻璃构成</w:t>
            </w:r>
          </w:p>
          <w:p w14:paraId="5F668599">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 挤出机类型：双挤出轮近程挤出机</w:t>
            </w:r>
          </w:p>
          <w:p w14:paraId="7B202DC6">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 挤出机齿轮类型：高强度硬化钢斜齿设计齿轮组，啮合传动过程平稳、寿命更长，适配多种耗材如TPU/PC等耗材，满足各场景打印需要</w:t>
            </w:r>
          </w:p>
          <w:p w14:paraId="1C88F40D">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 工具头：全金属热端，硬化钢喷嘴，内置工具头切刀</w:t>
            </w:r>
          </w:p>
          <w:p w14:paraId="4D075896">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 可打印耗材直径：≤1.75 mm</w:t>
            </w:r>
          </w:p>
          <w:p w14:paraId="2DDE3F5F">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9. 喷嘴直径：标配0.4mm口径硬化钢喷嘴；可拓展0.2mm、0.6mm、0.8mm直径喷</w:t>
            </w:r>
          </w:p>
          <w:p w14:paraId="4231E0ED">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嘴</w:t>
            </w:r>
          </w:p>
          <w:p w14:paraId="0E8EAD88">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 工具头最大移动速度：≤1000 mm/s</w:t>
            </w:r>
          </w:p>
          <w:p w14:paraId="12A3EE2F">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 工具头最大加速度：≤20000 m/s²</w:t>
            </w:r>
          </w:p>
          <w:p w14:paraId="35F54842">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 热端最大流量：≤65 mm³/s</w:t>
            </w:r>
          </w:p>
          <w:p w14:paraId="1DE1D4E2">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13. 喷嘴温度：≤350 ℃</w:t>
            </w:r>
          </w:p>
          <w:p w14:paraId="7BB0B1D2">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14. 热床温度：≤120 ℃</w:t>
            </w:r>
          </w:p>
          <w:p w14:paraId="44A2CFAF">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15. 主动腔温控制: 支持 </w:t>
            </w:r>
          </w:p>
          <w:p w14:paraId="350632EF">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16. 最高可控腔温:：≤65℃</w:t>
            </w:r>
          </w:p>
          <w:p w14:paraId="49DCC3CE">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17. 打印平台：标配PEI纹理打印面板，可扩展光面PEI打印面板</w:t>
            </w:r>
          </w:p>
          <w:p w14:paraId="35508C87">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18. 调平方式：全自动调平</w:t>
            </w:r>
          </w:p>
          <w:p w14:paraId="6E2BF6F3">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19. 打印方式：U盘/无线网络</w:t>
            </w:r>
          </w:p>
          <w:p w14:paraId="27ADB54D">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20. 联网方式：无线网络</w:t>
            </w:r>
          </w:p>
          <w:p w14:paraId="4E11098A">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21. WIFI协议：IEEE 802.11a/b/g/n</w:t>
            </w:r>
          </w:p>
          <w:p w14:paraId="7EA7C04E">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22. 显示屏：不小于5英寸，分辨率不小于1280*720，触摸屏</w:t>
            </w:r>
          </w:p>
          <w:p w14:paraId="048973FD">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23. 照明灯：支持，通过打印机屏幕控制开关，且可在APP端及PC端远程开关</w:t>
            </w:r>
          </w:p>
          <w:p w14:paraId="283369EF">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24. 存储：内置 8 GB EMMC 和 USB 端口</w:t>
            </w:r>
          </w:p>
          <w:p w14:paraId="5773B211">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25. 监控摄像头：机箱内置摄像头，分辨率不小于1920×1080，具备实时视频流、延时摄影、实时监控打印过程功能。能实时监控打印质量，打印炒面检出，检测打印异常及时暂停打印并自动提醒</w:t>
            </w:r>
          </w:p>
          <w:p w14:paraId="0C831184">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26. 喷嘴摄像头：H2D 配备了带微距镜头的 AI 喷嘴摄像头。智能监控系统持续跟踪挤出状态，即时检测耗材堆积、耗材挤出偏差和挤出故障。</w:t>
            </w:r>
          </w:p>
          <w:p w14:paraId="1B43B88A">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27. 灵玑挤出机系统：拓竹自研的 PMSM 伺服电机实现挤出系统的智能管控，执行 20kHz 的电流与位置信号采样，用以动态调节挤出扭矩。稳定挤出的同时，检测耗材磨料和堵塞。</w:t>
            </w:r>
          </w:p>
          <w:p w14:paraId="100B59D5">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28. 皮带自动张紧系统：皮带张紧结构会自动检测机器张力。如果需要调节,无需频繁试错，自动张力调节系统可以让皮带张力迅速恢复到最佳状态</w:t>
            </w:r>
          </w:p>
          <w:p w14:paraId="1E81EFBC">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29. 断电续打：断电自动保存数据，支持来电恢复打印，避免因外界因素导致的时间、耗材浪费</w:t>
            </w:r>
          </w:p>
          <w:p w14:paraId="79D6D157">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30. 冷却系统：内置部件冷却风扇、热端风扇、主板风扇、腔体外排风扇、腔体加热循环风扇、辅助部件冷却风扇，通过闭环控制来确保打印模型、打印机箱、电源板和主板的散热</w:t>
            </w:r>
          </w:p>
          <w:p w14:paraId="4129F2D6">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31. 主动流量补偿：利用挤出机上伺服电机的传感能力和喷嘴上的高分辨率涡流传感器，H2D 可通过测量喷嘴压力和校准每条耗材的 PA 参数来精确控制挤出，从而提高表面平滑度和棱角锐利度。</w:t>
            </w:r>
          </w:p>
          <w:p w14:paraId="0155DBE1">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32. 断料检测：挤出机具备断料检测传感器，能够实时检测到材料用尽并暂停打印，支持断料续打</w:t>
            </w:r>
          </w:p>
          <w:p w14:paraId="55E0FBF0">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33. 空气净化：高性能滤芯由G3初效过滤器、H12 HEPA滤芯和高性能椰壳活性炭滤芯复合而成。复合滤芯能够有效过滤打印过程中产生的颗粒物及气味，显著提升在密闭空间中的使用体验</w:t>
            </w:r>
          </w:p>
          <w:p w14:paraId="332DFEAE">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34. 振纹优化：支持振纹优化，降低了打印长直线时电机发出的噪音，并减轻了高速打印时的嗡嗡声。</w:t>
            </w:r>
          </w:p>
          <w:p w14:paraId="06902C03">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35. 支持耗材：PLA，PETG，TPU，PVA，BVOH，ABS，ASA，PC，PA，PET，PPA-CF，PPA-GF，PPS-CF，PPS-GF </w:t>
            </w:r>
          </w:p>
          <w:p w14:paraId="63F5178D">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36. 打印文件格式：Gcode</w:t>
            </w:r>
          </w:p>
          <w:p w14:paraId="4C95595C">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37. 切片支持格式：3mf、stl、stp、step、amf、obj格式</w:t>
            </w:r>
          </w:p>
          <w:p w14:paraId="1891EFCC">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38. 健康管理系统：负责收集和监控整个系统状态，包括：硬件连接、工作状态机械状态，以及打印过程中AI功能检测到的问题（例如炒面缺陷），系统一单检测异常，会通过APP、软件以及打印机屏幕上发送消息提醒用户，每个错误代码都有详细描述和对应的解决方案。</w:t>
            </w:r>
          </w:p>
          <w:p w14:paraId="31A922A0">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39. 视觉编码系统：超高精度视觉编码板，结合 5µm 分辨率光学测量对工具头运动情况进行校准，使 能够在整个工作空间内实现一致、可靠的、与运动距离无关的 50µm 运动精度，精度比前代产品提升一个数量级。</w:t>
            </w:r>
          </w:p>
          <w:p w14:paraId="40A232D6">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40. 自动供料系统</w:t>
            </w:r>
          </w:p>
          <w:p w14:paraId="298505FF">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a. 支持多色打印，至多可串联4台 </w:t>
            </w:r>
          </w:p>
          <w:p w14:paraId="6F43E1B3">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b. 具备耗材烘干功能，烘干最高温度</w:t>
            </w:r>
          </w:p>
        </w:tc>
        <w:tc>
          <w:tcPr>
            <w:tcW w:w="743" w:type="dxa"/>
            <w:vAlign w:val="center"/>
          </w:tcPr>
          <w:p w14:paraId="1A36769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3670E56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302A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4E0694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58" w:type="dxa"/>
            <w:vAlign w:val="center"/>
          </w:tcPr>
          <w:p w14:paraId="503463D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激光雕刻机</w:t>
            </w:r>
          </w:p>
        </w:tc>
        <w:tc>
          <w:tcPr>
            <w:tcW w:w="1037" w:type="dxa"/>
            <w:vAlign w:val="center"/>
          </w:tcPr>
          <w:p w14:paraId="04E844F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拓竹、闪铸、复志</w:t>
            </w:r>
          </w:p>
        </w:tc>
        <w:tc>
          <w:tcPr>
            <w:tcW w:w="5024" w:type="dxa"/>
            <w:vAlign w:val="center"/>
          </w:tcPr>
          <w:p w14:paraId="5DAB9C17">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一、产品描述：</w:t>
            </w:r>
          </w:p>
          <w:p w14:paraId="1B8FF3B4">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同时具备激光切割、刀切、喷墨打印、画笔绘制四个主要功能。并将激光加工功能（激光雕刻、激光切割）、刀切功能、喷墨打印和画笔绘制结合在同一台设备中。</w:t>
            </w:r>
          </w:p>
          <w:p w14:paraId="7C84EF98">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二、产品参数</w:t>
            </w:r>
          </w:p>
          <w:p w14:paraId="12E884B2">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1、产品尺寸：不小于620X498X178mm</w:t>
            </w:r>
          </w:p>
          <w:p w14:paraId="7D37587B">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2、激光系统：激光出光功率：不小于20W；激光光源：半导体激光（波长：不小于455nm）；安全等级：Class I( SRRC)</w:t>
            </w:r>
          </w:p>
          <w:p w14:paraId="4F4A7340">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3、材料加工</w:t>
            </w:r>
          </w:p>
          <w:p w14:paraId="76342ECC">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1）激光雕刻：</w:t>
            </w:r>
          </w:p>
          <w:p w14:paraId="4AF42C10">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最大雕刻速度：不小于400mm/s（位图加工）；</w:t>
            </w:r>
          </w:p>
          <w:p w14:paraId="144B47A5">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雕刻精度：不小于0.01mm</w:t>
            </w:r>
          </w:p>
          <w:p w14:paraId="270832A6">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可支持多种材料加工雕刻，包括但不限于木材雕刻、金属雕刻、圆柱体雕刻、刻字膜、烫印膜、不干胶、亚克力、橡胶、牛皮纸等；</w:t>
            </w:r>
          </w:p>
          <w:p w14:paraId="008BDC81">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2）激光切割：</w:t>
            </w:r>
          </w:p>
          <w:p w14:paraId="1096FE4F">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最大激光切割能力：不小于10mm椴木板；</w:t>
            </w:r>
          </w:p>
          <w:p w14:paraId="0BA6CE15">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3）刀头刀切： </w:t>
            </w:r>
          </w:p>
          <w:p w14:paraId="193CAF25">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细切刀：整体特点刀片较小,故其主要加工场景为轻薄的柔性材料,如:A4复印纸、不干胶贴纸、Vinyl等较为轻薄的材料。</w:t>
            </w:r>
          </w:p>
          <w:p w14:paraId="4817E06A">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裁切刀：裁切刀的主要作用是实现2.5mm厚材料的柔性材料加工,相比细切刀,它的切割能力会更强。如较厚的皮革,可以通过裁切刀实现加工。</w:t>
            </w:r>
          </w:p>
          <w:p w14:paraId="57092D04">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圆盘压切刀：主要功能是实现对织物材料加工。如丹宁布、棉布、麻布等。</w:t>
            </w:r>
          </w:p>
          <w:p w14:paraId="1610E732">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箔纸转印头：配合箔纸的使用可以在纸张上实现烫金的效果。在不配合箔纸使用的状态下可以实现压痕的工艺。</w:t>
            </w:r>
          </w:p>
          <w:p w14:paraId="21821C7E">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最大可刀切材料厚度：</w:t>
            </w:r>
          </w:p>
          <w:p w14:paraId="178BD183">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裁切刀/圆盘刀不小于2.5mm织物/皮革；细切刀不小于1.5mm柔性材料</w:t>
            </w:r>
          </w:p>
          <w:p w14:paraId="69F149DB">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4）墨盒打印</w:t>
            </w:r>
          </w:p>
          <w:p w14:paraId="68AB4A65">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喷墨头的功能是实现彩色喷印的功能,与喷墨打印机一样,采用了热发泡技术。配合激光切割,它可以让单调的木板充满颜色。配合刀切,如在制作贺卡的过程中,它可以让贺卡的效果丰富起来。适用材料:木板、纸张、相片纸</w:t>
            </w:r>
          </w:p>
          <w:p w14:paraId="0E51FDDB">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5）画笔绘制</w:t>
            </w:r>
          </w:p>
          <w:p w14:paraId="7A846304">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随机主机标配的为0.4笔尖的针管笔,共配有红、橙、黄、绿、青、蓝、紫、黑八种颜色的针管笔。画笔的主要功能是实现图案与文字的绘制。如在贺卡上书写文字。在纸张上绘制精美的图案。</w:t>
            </w:r>
          </w:p>
          <w:p w14:paraId="43D793F4">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4、工作空间</w:t>
            </w:r>
          </w:p>
          <w:p w14:paraId="4053C917">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工作区域：不小于300mm×300mm（激光加工）；不小于300mm×300mm刀切加工(细切刀、圆盘刀、压印头)；不小于295mm×295mm刀切加工(裁切刀)；不小于294mm×298mm（喷墨打印）</w:t>
            </w:r>
          </w:p>
          <w:p w14:paraId="69563BD6">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主机底盘可拆卸，设备可垫高（通过四角支撑件） ，可扩大材料加工厚度范围≤125mm。同时增高后可配合旋转附件使用，可实现不同速度在3-70mm直径范围内圆柱物体360°镭雕；</w:t>
            </w:r>
          </w:p>
          <w:p w14:paraId="2C4281B2">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三、配套软件</w:t>
            </w:r>
          </w:p>
          <w:p w14:paraId="0E76544C">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需提供激光软件，软件需支持切割文件的传输和加工参数设置，需包含以下功能：1）新建、打开、命名和保存项目文件，以及导入其它格式的图像或文件。2）画布的放大、缩小和拖动；软件语言设置；3）可插入线条、矩形、圆形以及内置的一些形状，添加文字；内置图形钢笔工具和布尔运算功能；4）可连接设备，设置加工文件的加工模式、材料、功率、速度和加工次数等；5） 对将要切割/雕刻的图像进行轨迹预览、查看工作预估时间、发送文件。6)软件需自带图库，包括常用图形，动物图形、通用素材、机械结构等。</w:t>
            </w:r>
          </w:p>
          <w:p w14:paraId="6C8C97C9">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2、软件环境</w:t>
            </w:r>
          </w:p>
          <w:p w14:paraId="68A7F25A">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连接方式：Wi-Fi、USB</w:t>
            </w:r>
          </w:p>
          <w:p w14:paraId="0E095C1C">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操作系统：Windows/macOS</w:t>
            </w:r>
          </w:p>
          <w:p w14:paraId="181F69DA">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支持文件格式：SVG, DXF, JPG, JPEG, PNG,</w:t>
            </w:r>
          </w:p>
          <w:p w14:paraId="082C9535">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3、提供软件及固件升级服务。</w:t>
            </w:r>
          </w:p>
          <w:p w14:paraId="3164D0E5">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四、包含配套空气净化器</w:t>
            </w:r>
          </w:p>
        </w:tc>
        <w:tc>
          <w:tcPr>
            <w:tcW w:w="743" w:type="dxa"/>
            <w:vAlign w:val="center"/>
          </w:tcPr>
          <w:p w14:paraId="03AEB55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606F7D6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0ED8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77A5535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58" w:type="dxa"/>
            <w:vAlign w:val="center"/>
          </w:tcPr>
          <w:p w14:paraId="1C7B483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VR眼镜</w:t>
            </w:r>
          </w:p>
        </w:tc>
        <w:tc>
          <w:tcPr>
            <w:tcW w:w="1037" w:type="dxa"/>
            <w:vAlign w:val="center"/>
          </w:tcPr>
          <w:p w14:paraId="408D1E9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苹果、HTC、pico</w:t>
            </w:r>
          </w:p>
        </w:tc>
        <w:tc>
          <w:tcPr>
            <w:tcW w:w="5024" w:type="dxa"/>
            <w:vAlign w:val="center"/>
          </w:tcPr>
          <w:p w14:paraId="00DBA02A">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屏幕：双Micro-OLED显示屏（单眼分辨率超4K，总像素2300万）。</w:t>
            </w:r>
          </w:p>
          <w:p w14:paraId="049C10CD">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刷新率：90Hz/96Hz/100Hz（自适应）。</w:t>
            </w:r>
          </w:p>
          <w:p w14:paraId="723D3C06">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亮度：最高5000尼特（HDR内容支持）。</w:t>
            </w:r>
          </w:p>
          <w:p w14:paraId="32349651">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光学技术：Pancake透镜，支持10-bit色深、广色域（P3）</w:t>
            </w:r>
          </w:p>
          <w:p w14:paraId="26777DD0">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传感器：12颗摄像头、5个传感器（包括深度传感器、LiDAR）、6个麦克风阵列</w:t>
            </w:r>
          </w:p>
          <w:p w14:paraId="51226CFA">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眼动追踪：高速红外摄像头 + LED扫描</w:t>
            </w:r>
          </w:p>
          <w:p w14:paraId="30BB998C">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手势控制：无需手柄，支持手指捏合、滑动等操作</w:t>
            </w:r>
          </w:p>
          <w:p w14:paraId="27FE6AD3">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空间音频：双驱动单元耳机，支持动态头部追踪</w:t>
            </w:r>
          </w:p>
          <w:p w14:paraId="6654E7C2">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存储：256GB</w:t>
            </w:r>
          </w:p>
          <w:p w14:paraId="624BE5C6">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连接：Wi-Fi 6E、蓝牙5.3、USB-C接口</w:t>
            </w:r>
          </w:p>
          <w:p w14:paraId="14BAD724">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IPD调节：电动瞳距调节</w:t>
            </w:r>
          </w:p>
          <w:p w14:paraId="5EDC3D5E">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应用生态：兼容iOS/iPadOS应用，支持Unity/虚幻引擎的3D内容开发</w:t>
            </w:r>
          </w:p>
        </w:tc>
        <w:tc>
          <w:tcPr>
            <w:tcW w:w="743" w:type="dxa"/>
            <w:vAlign w:val="center"/>
          </w:tcPr>
          <w:p w14:paraId="422B2F5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0DC30D0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14:paraId="787F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7E6BCF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758" w:type="dxa"/>
            <w:vAlign w:val="center"/>
          </w:tcPr>
          <w:p w14:paraId="09EC343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高清电视机</w:t>
            </w:r>
          </w:p>
        </w:tc>
        <w:tc>
          <w:tcPr>
            <w:tcW w:w="1037" w:type="dxa"/>
            <w:vAlign w:val="center"/>
          </w:tcPr>
          <w:p w14:paraId="459BC55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国产</w:t>
            </w:r>
          </w:p>
        </w:tc>
        <w:tc>
          <w:tcPr>
            <w:tcW w:w="5024" w:type="dxa"/>
            <w:vAlign w:val="center"/>
          </w:tcPr>
          <w:p w14:paraId="03EEB6FC">
            <w:pPr>
              <w:rPr>
                <w:rFonts w:hint="eastAsia" w:ascii="仿宋" w:hAnsi="仿宋" w:eastAsia="仿宋" w:cs="仿宋"/>
                <w:color w:val="auto"/>
                <w:highlight w:val="none"/>
              </w:rPr>
            </w:pPr>
            <w:r>
              <w:rPr>
                <w:rFonts w:hint="eastAsia" w:ascii="仿宋" w:hAnsi="仿宋" w:eastAsia="仿宋" w:cs="仿宋"/>
                <w:color w:val="auto"/>
                <w:highlight w:val="none"/>
              </w:rPr>
              <w:t>屏幕尺寸:不低于65英寸</w:t>
            </w:r>
          </w:p>
          <w:p w14:paraId="77EE983E">
            <w:pPr>
              <w:rPr>
                <w:rFonts w:hint="eastAsia" w:ascii="仿宋" w:hAnsi="仿宋" w:eastAsia="仿宋" w:cs="仿宋"/>
                <w:color w:val="auto"/>
                <w:highlight w:val="none"/>
              </w:rPr>
            </w:pPr>
            <w:r>
              <w:rPr>
                <w:rFonts w:hint="eastAsia" w:ascii="仿宋" w:hAnsi="仿宋" w:eastAsia="仿宋" w:cs="仿宋"/>
                <w:color w:val="auto"/>
                <w:highlight w:val="none"/>
              </w:rPr>
              <w:t>刷新率:不低于144Hz</w:t>
            </w:r>
          </w:p>
          <w:p w14:paraId="1753734B">
            <w:pPr>
              <w:rPr>
                <w:rFonts w:hint="eastAsia" w:ascii="仿宋" w:hAnsi="仿宋" w:eastAsia="仿宋" w:cs="仿宋"/>
                <w:color w:val="auto"/>
                <w:highlight w:val="none"/>
              </w:rPr>
            </w:pPr>
            <w:r>
              <w:rPr>
                <w:rFonts w:hint="eastAsia" w:ascii="仿宋" w:hAnsi="仿宋" w:eastAsia="仿宋" w:cs="仿宋"/>
                <w:color w:val="auto"/>
                <w:highlight w:val="none"/>
              </w:rPr>
              <w:t>支持护眼模式</w:t>
            </w:r>
          </w:p>
          <w:p w14:paraId="777AC5F5">
            <w:pPr>
              <w:rPr>
                <w:rFonts w:hint="eastAsia" w:ascii="仿宋" w:hAnsi="仿宋" w:eastAsia="仿宋" w:cs="仿宋"/>
                <w:color w:val="auto"/>
                <w:highlight w:val="none"/>
              </w:rPr>
            </w:pPr>
            <w:r>
              <w:rPr>
                <w:rFonts w:hint="eastAsia" w:ascii="仿宋" w:hAnsi="仿宋" w:eastAsia="仿宋" w:cs="仿宋"/>
                <w:color w:val="auto"/>
                <w:highlight w:val="none"/>
              </w:rPr>
              <w:t>WIFI频段：2.4G&amp;5G</w:t>
            </w:r>
          </w:p>
          <w:p w14:paraId="3C092D4F">
            <w:pPr>
              <w:rPr>
                <w:rFonts w:hint="eastAsia" w:ascii="仿宋" w:hAnsi="仿宋" w:eastAsia="仿宋" w:cs="仿宋"/>
                <w:color w:val="auto"/>
                <w:highlight w:val="none"/>
              </w:rPr>
            </w:pPr>
            <w:r>
              <w:rPr>
                <w:rFonts w:hint="eastAsia" w:ascii="仿宋" w:hAnsi="仿宋" w:eastAsia="仿宋" w:cs="仿宋"/>
                <w:color w:val="auto"/>
                <w:highlight w:val="none"/>
              </w:rPr>
              <w:t>屏占比：≥97%</w:t>
            </w:r>
          </w:p>
          <w:p w14:paraId="471BF95B">
            <w:pPr>
              <w:rPr>
                <w:rFonts w:hint="eastAsia" w:ascii="仿宋" w:hAnsi="仿宋" w:eastAsia="仿宋" w:cs="仿宋"/>
                <w:color w:val="auto"/>
                <w:highlight w:val="none"/>
              </w:rPr>
            </w:pPr>
            <w:r>
              <w:rPr>
                <w:rFonts w:hint="eastAsia" w:ascii="仿宋" w:hAnsi="仿宋" w:eastAsia="仿宋" w:cs="仿宋"/>
                <w:color w:val="auto"/>
                <w:highlight w:val="none"/>
              </w:rPr>
              <w:t>屏幕分辨率：超高清4K</w:t>
            </w:r>
          </w:p>
          <w:p w14:paraId="1739E0BE">
            <w:pPr>
              <w:rPr>
                <w:rFonts w:hint="eastAsia" w:ascii="仿宋" w:hAnsi="仿宋" w:eastAsia="仿宋" w:cs="仿宋"/>
                <w:color w:val="auto"/>
                <w:highlight w:val="none"/>
              </w:rPr>
            </w:pPr>
            <w:r>
              <w:rPr>
                <w:rFonts w:hint="eastAsia" w:ascii="仿宋" w:hAnsi="仿宋" w:eastAsia="仿宋" w:cs="仿宋"/>
                <w:color w:val="auto"/>
                <w:highlight w:val="none"/>
              </w:rPr>
              <w:t>响应时间：不高于6.5ms</w:t>
            </w:r>
          </w:p>
          <w:p w14:paraId="226F93D8">
            <w:pPr>
              <w:rPr>
                <w:rFonts w:hint="eastAsia" w:ascii="仿宋" w:hAnsi="仿宋" w:eastAsia="仿宋" w:cs="仿宋"/>
                <w:color w:val="auto"/>
                <w:highlight w:val="none"/>
              </w:rPr>
            </w:pPr>
            <w:r>
              <w:rPr>
                <w:rFonts w:hint="eastAsia" w:ascii="仿宋" w:hAnsi="仿宋" w:eastAsia="仿宋" w:cs="仿宋"/>
                <w:color w:val="auto"/>
                <w:highlight w:val="none"/>
              </w:rPr>
              <w:t>亮度：不低于300尼特</w:t>
            </w:r>
          </w:p>
          <w:p w14:paraId="2D878F80">
            <w:pPr>
              <w:rPr>
                <w:rFonts w:hint="eastAsia" w:ascii="仿宋" w:hAnsi="仿宋" w:eastAsia="仿宋" w:cs="仿宋"/>
                <w:color w:val="auto"/>
                <w:highlight w:val="none"/>
              </w:rPr>
            </w:pPr>
            <w:r>
              <w:rPr>
                <w:rFonts w:hint="eastAsia" w:ascii="仿宋" w:hAnsi="仿宋" w:eastAsia="仿宋" w:cs="仿宋"/>
                <w:color w:val="auto"/>
                <w:highlight w:val="none"/>
              </w:rPr>
              <w:t>含安装支架</w:t>
            </w:r>
          </w:p>
        </w:tc>
        <w:tc>
          <w:tcPr>
            <w:tcW w:w="743" w:type="dxa"/>
            <w:vAlign w:val="center"/>
          </w:tcPr>
          <w:p w14:paraId="4498E6A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38D5ADF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03E1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FF4A45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758" w:type="dxa"/>
            <w:vAlign w:val="center"/>
          </w:tcPr>
          <w:p w14:paraId="47514FE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人工智能社团专用笔记本电脑</w:t>
            </w:r>
          </w:p>
        </w:tc>
        <w:tc>
          <w:tcPr>
            <w:tcW w:w="1037" w:type="dxa"/>
            <w:vAlign w:val="center"/>
          </w:tcPr>
          <w:p w14:paraId="1572665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联想、戴尔、HP</w:t>
            </w:r>
          </w:p>
        </w:tc>
        <w:tc>
          <w:tcPr>
            <w:tcW w:w="5024" w:type="dxa"/>
            <w:vAlign w:val="center"/>
          </w:tcPr>
          <w:p w14:paraId="60CE191C">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处理器：≥Intel i5-1335U （12M、10核、12条线程）</w:t>
            </w:r>
          </w:p>
          <w:p w14:paraId="5DA635C4">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内存：≥16GB DDR4 3200内存，不少于2个独立内存插槽，最大支持64GB DDR4 3200MHz 双内存插槽及以上</w:t>
            </w:r>
          </w:p>
          <w:p w14:paraId="4C697DF0">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硬盘：≥1TB SSD固态硬盘，最高支持 2 TB PCIe NVMe SSD</w:t>
            </w:r>
          </w:p>
          <w:p w14:paraId="061142F2">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显示屏：≥14寸，IPS 1920*1080 250尼特全高清防眩光屏幕，支持400尼特；88%屏占比</w:t>
            </w:r>
          </w:p>
          <w:p w14:paraId="5F4200D3">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端口与接口：≥2 个SuperSpeed USB Type-A 5Gbps (1个支持关机充电), ≥2个Type-C（其中一个雷电接口），≥1个 HDMI2.1 ,≥1个耳麦二合一接口,≥ 1个电源接口,≥1个RJ45接口</w:t>
            </w:r>
          </w:p>
        </w:tc>
        <w:tc>
          <w:tcPr>
            <w:tcW w:w="743" w:type="dxa"/>
            <w:vAlign w:val="center"/>
          </w:tcPr>
          <w:p w14:paraId="0226805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564" w:type="dxa"/>
            <w:vAlign w:val="center"/>
          </w:tcPr>
          <w:p w14:paraId="1A171DDE">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3662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0137025C">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九、老校区操场舞台扩声设备</w:t>
            </w:r>
          </w:p>
        </w:tc>
      </w:tr>
      <w:tr w14:paraId="3F21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F7C774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58" w:type="dxa"/>
            <w:vAlign w:val="center"/>
          </w:tcPr>
          <w:p w14:paraId="14F8367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防水阵列扬声器</w:t>
            </w:r>
          </w:p>
        </w:tc>
        <w:tc>
          <w:tcPr>
            <w:tcW w:w="1037" w:type="dxa"/>
            <w:vAlign w:val="center"/>
          </w:tcPr>
          <w:p w14:paraId="114EF15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锐丰、飞达、湖山、得胜、音王</w:t>
            </w:r>
          </w:p>
        </w:tc>
        <w:tc>
          <w:tcPr>
            <w:tcW w:w="5024" w:type="dxa"/>
            <w:vAlign w:val="center"/>
          </w:tcPr>
          <w:p w14:paraId="1C8C61B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低音单元≥2×10寸铁磁低音，高音单元≥1×3寸铁磁高音</w:t>
            </w:r>
          </w:p>
          <w:p w14:paraId="508E0A5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频率响应范围：80Hz-18KHz，8Ω/16Ω额定阻抗，灵敏度≥90dB，输出最大声压级≥110dB，覆盖角度（H×V）≥90º×10º，防尘防水等级≥IP66</w:t>
            </w:r>
          </w:p>
          <w:p w14:paraId="742F896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额定功率≥400W</w:t>
            </w:r>
          </w:p>
        </w:tc>
        <w:tc>
          <w:tcPr>
            <w:tcW w:w="743" w:type="dxa"/>
            <w:vAlign w:val="center"/>
          </w:tcPr>
          <w:p w14:paraId="5EB7913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564" w:type="dxa"/>
            <w:vAlign w:val="center"/>
          </w:tcPr>
          <w:p w14:paraId="434B69A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r>
      <w:tr w14:paraId="137C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7EA41F3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58" w:type="dxa"/>
            <w:vAlign w:val="center"/>
          </w:tcPr>
          <w:p w14:paraId="794E61C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防水次低扬声器</w:t>
            </w:r>
          </w:p>
        </w:tc>
        <w:tc>
          <w:tcPr>
            <w:tcW w:w="1037" w:type="dxa"/>
            <w:vAlign w:val="center"/>
          </w:tcPr>
          <w:p w14:paraId="4F0A4FE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锐丰、飞达、湖山、得胜、音王</w:t>
            </w:r>
          </w:p>
        </w:tc>
        <w:tc>
          <w:tcPr>
            <w:tcW w:w="5024" w:type="dxa"/>
            <w:vAlign w:val="center"/>
          </w:tcPr>
          <w:p w14:paraId="59A95DA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低音单元≧1×18寸铁磁低音</w:t>
            </w:r>
          </w:p>
          <w:p w14:paraId="517B146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频率响应范围：35Hz-150Hz，4Ω/8Ω额定阻抗，灵敏度≥90dB，输出最大声压级≥110dB，覆盖角度（H×V）≥90º×10º，防尘防水等级≥IP66</w:t>
            </w:r>
          </w:p>
          <w:p w14:paraId="79CB995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额定功率≧800W</w:t>
            </w:r>
          </w:p>
        </w:tc>
        <w:tc>
          <w:tcPr>
            <w:tcW w:w="743" w:type="dxa"/>
            <w:vAlign w:val="center"/>
          </w:tcPr>
          <w:p w14:paraId="12C6DFE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564" w:type="dxa"/>
            <w:vAlign w:val="center"/>
          </w:tcPr>
          <w:p w14:paraId="72892C7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r>
      <w:tr w14:paraId="5CD2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AC94E0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58" w:type="dxa"/>
            <w:vAlign w:val="center"/>
          </w:tcPr>
          <w:p w14:paraId="07C2121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主席台流动返听音箱</w:t>
            </w:r>
          </w:p>
        </w:tc>
        <w:tc>
          <w:tcPr>
            <w:tcW w:w="1037" w:type="dxa"/>
            <w:vAlign w:val="center"/>
          </w:tcPr>
          <w:p w14:paraId="3B3CF01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锐丰、飞达、湖山、得胜、音王</w:t>
            </w:r>
          </w:p>
        </w:tc>
        <w:tc>
          <w:tcPr>
            <w:tcW w:w="5024" w:type="dxa"/>
            <w:vAlign w:val="center"/>
          </w:tcPr>
          <w:p w14:paraId="2BD4A11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低音单元≥1×12寸低音 ;高音单元≥1×1.75寸高音</w:t>
            </w:r>
          </w:p>
          <w:p w14:paraId="1734C24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频率响应范围：80Hz-18KHz，8Ω额定阻抗，灵敏度≥90dB，输出最大声压级≥110dB，覆盖角度（H×V）≥90º×60º</w:t>
            </w:r>
          </w:p>
          <w:p w14:paraId="5E0EE0B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额定功率≥450W</w:t>
            </w:r>
          </w:p>
        </w:tc>
        <w:tc>
          <w:tcPr>
            <w:tcW w:w="743" w:type="dxa"/>
            <w:vAlign w:val="center"/>
          </w:tcPr>
          <w:p w14:paraId="7BD0613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564" w:type="dxa"/>
            <w:vAlign w:val="center"/>
          </w:tcPr>
          <w:p w14:paraId="042D66E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r>
      <w:tr w14:paraId="0B3A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A36E4E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58" w:type="dxa"/>
            <w:vAlign w:val="center"/>
          </w:tcPr>
          <w:p w14:paraId="76F83FE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主扩线阵功放</w:t>
            </w:r>
          </w:p>
        </w:tc>
        <w:tc>
          <w:tcPr>
            <w:tcW w:w="1037" w:type="dxa"/>
            <w:vAlign w:val="center"/>
          </w:tcPr>
          <w:p w14:paraId="2CB8F79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锐丰、飞达、湖山、得胜、音王</w:t>
            </w:r>
          </w:p>
        </w:tc>
        <w:tc>
          <w:tcPr>
            <w:tcW w:w="5024" w:type="dxa"/>
            <w:vAlign w:val="center"/>
          </w:tcPr>
          <w:p w14:paraId="4EFEE77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频率响应范围：20Hz-20KHz</w:t>
            </w:r>
          </w:p>
          <w:p w14:paraId="2402C65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输出功率：8Ω≥1500W×4</w:t>
            </w:r>
          </w:p>
          <w:p w14:paraId="198049C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信噪比≥100dB</w:t>
            </w:r>
          </w:p>
          <w:p w14:paraId="699B446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带短路、开路、过热、过载等保护装置</w:t>
            </w:r>
          </w:p>
        </w:tc>
        <w:tc>
          <w:tcPr>
            <w:tcW w:w="743" w:type="dxa"/>
            <w:vAlign w:val="center"/>
          </w:tcPr>
          <w:p w14:paraId="049B75C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5B02887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3F94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5844F4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758" w:type="dxa"/>
            <w:vAlign w:val="center"/>
          </w:tcPr>
          <w:p w14:paraId="4FE2947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返听功放</w:t>
            </w:r>
          </w:p>
        </w:tc>
        <w:tc>
          <w:tcPr>
            <w:tcW w:w="1037" w:type="dxa"/>
            <w:vAlign w:val="center"/>
          </w:tcPr>
          <w:p w14:paraId="42655C4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锐丰、飞达、湖山、得胜、音王</w:t>
            </w:r>
          </w:p>
        </w:tc>
        <w:tc>
          <w:tcPr>
            <w:tcW w:w="5024" w:type="dxa"/>
            <w:vAlign w:val="center"/>
          </w:tcPr>
          <w:p w14:paraId="45914C6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频率响应范围：20Hz-20KHz</w:t>
            </w:r>
          </w:p>
          <w:p w14:paraId="722E0CD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输出功率：8Ω≥750W×2</w:t>
            </w:r>
          </w:p>
          <w:p w14:paraId="6BAFC87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信噪比≥100dB</w:t>
            </w:r>
          </w:p>
          <w:p w14:paraId="51AA126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带短路、开路、过热、过载等保护装置</w:t>
            </w:r>
          </w:p>
        </w:tc>
        <w:tc>
          <w:tcPr>
            <w:tcW w:w="743" w:type="dxa"/>
            <w:vAlign w:val="center"/>
          </w:tcPr>
          <w:p w14:paraId="049215C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7359300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00CD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C7754A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758" w:type="dxa"/>
            <w:vAlign w:val="center"/>
          </w:tcPr>
          <w:p w14:paraId="48F8199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调音台</w:t>
            </w:r>
          </w:p>
        </w:tc>
        <w:tc>
          <w:tcPr>
            <w:tcW w:w="1037" w:type="dxa"/>
            <w:vAlign w:val="center"/>
          </w:tcPr>
          <w:p w14:paraId="70FB485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锐丰、飞达、湖山、得胜、音王</w:t>
            </w:r>
          </w:p>
        </w:tc>
        <w:tc>
          <w:tcPr>
            <w:tcW w:w="5024" w:type="dxa"/>
            <w:vAlign w:val="center"/>
          </w:tcPr>
          <w:p w14:paraId="731232A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≥12通道调音台，立体声通道≥2，效果器≥4组，金属机身，内置≥4路48V幻象电源供电</w:t>
            </w:r>
          </w:p>
          <w:p w14:paraId="1C2EFC6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内置USB声卡模块，支持连接电脑进行音乐播放和声音录音</w:t>
            </w:r>
          </w:p>
          <w:p w14:paraId="5194CD8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支持U盘播放音乐功能</w:t>
            </w:r>
          </w:p>
        </w:tc>
        <w:tc>
          <w:tcPr>
            <w:tcW w:w="743" w:type="dxa"/>
            <w:vAlign w:val="center"/>
          </w:tcPr>
          <w:p w14:paraId="549CDDE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20F8B89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4C58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A23A4B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758" w:type="dxa"/>
            <w:vAlign w:val="center"/>
          </w:tcPr>
          <w:p w14:paraId="2472E47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数字音箱处理器</w:t>
            </w:r>
          </w:p>
        </w:tc>
        <w:tc>
          <w:tcPr>
            <w:tcW w:w="1037" w:type="dxa"/>
            <w:vAlign w:val="center"/>
          </w:tcPr>
          <w:p w14:paraId="66B2677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锐丰、飞达、湖山、得胜、音王</w:t>
            </w:r>
          </w:p>
        </w:tc>
        <w:tc>
          <w:tcPr>
            <w:tcW w:w="5024" w:type="dxa"/>
            <w:vAlign w:val="center"/>
          </w:tcPr>
          <w:p w14:paraId="653824B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≥4输入≥8输出，多种分频模式</w:t>
            </w:r>
          </w:p>
          <w:p w14:paraId="35E523D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可以输入、输出按秒为单位延时调整</w:t>
            </w:r>
          </w:p>
          <w:p w14:paraId="329D0B7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每个输入/输出通道均有压缩器，可调节各压缩器的门限值，每个输出通道带相位反转功能</w:t>
            </w:r>
          </w:p>
          <w:p w14:paraId="4DCE4AB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频率响应：20Hz-25KHz</w:t>
            </w:r>
          </w:p>
        </w:tc>
        <w:tc>
          <w:tcPr>
            <w:tcW w:w="743" w:type="dxa"/>
            <w:vAlign w:val="center"/>
          </w:tcPr>
          <w:p w14:paraId="7E164BC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38666C6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2034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547C9F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758" w:type="dxa"/>
            <w:vAlign w:val="center"/>
          </w:tcPr>
          <w:p w14:paraId="2E1BD10A">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无线手持话筒</w:t>
            </w:r>
          </w:p>
        </w:tc>
        <w:tc>
          <w:tcPr>
            <w:tcW w:w="1037" w:type="dxa"/>
            <w:vAlign w:val="center"/>
          </w:tcPr>
          <w:p w14:paraId="7C2F2AF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锐丰、飞达、湖山、得胜、音王</w:t>
            </w:r>
          </w:p>
        </w:tc>
        <w:tc>
          <w:tcPr>
            <w:tcW w:w="5024" w:type="dxa"/>
            <w:vAlign w:val="center"/>
          </w:tcPr>
          <w:p w14:paraId="3890711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一拖二无线手持话筒（含对应的接收主机）</w:t>
            </w:r>
          </w:p>
          <w:p w14:paraId="184F691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UHF技术，PLL锁相环合成，红外对频，发送距离≥50米，≥50个可选信道</w:t>
            </w:r>
          </w:p>
          <w:p w14:paraId="397F096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频率指标支持至少其中一个频段：470-510MHz、540-590MHz、640-690MHz、807-830MHz（不得再使用工信部已经将700MHz划归5G移动通讯的频段）</w:t>
            </w:r>
          </w:p>
          <w:p w14:paraId="59992FF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发射机供电方式：两节AA电池</w:t>
            </w:r>
          </w:p>
          <w:p w14:paraId="64D1749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发射机功率≤10mW，使用时间≥6小时</w:t>
            </w:r>
          </w:p>
        </w:tc>
        <w:tc>
          <w:tcPr>
            <w:tcW w:w="743" w:type="dxa"/>
            <w:vAlign w:val="center"/>
          </w:tcPr>
          <w:p w14:paraId="527198B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564" w:type="dxa"/>
            <w:vAlign w:val="center"/>
          </w:tcPr>
          <w:p w14:paraId="6AFDA87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14:paraId="51D6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8F4204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758" w:type="dxa"/>
            <w:vAlign w:val="center"/>
          </w:tcPr>
          <w:p w14:paraId="688739E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无线头戴话筒</w:t>
            </w:r>
          </w:p>
        </w:tc>
        <w:tc>
          <w:tcPr>
            <w:tcW w:w="1037" w:type="dxa"/>
            <w:vAlign w:val="center"/>
          </w:tcPr>
          <w:p w14:paraId="26C450C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锐丰、飞达、湖山、得胜、音王</w:t>
            </w:r>
          </w:p>
        </w:tc>
        <w:tc>
          <w:tcPr>
            <w:tcW w:w="5024" w:type="dxa"/>
            <w:vAlign w:val="center"/>
          </w:tcPr>
          <w:p w14:paraId="545B5BD9">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一拖二无线头戴话筒（含对应的接收主机）</w:t>
            </w:r>
          </w:p>
          <w:p w14:paraId="4FDF7C3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UHF技术，PLL锁相环合成，红外对频，发送距离≥50米，≥50个可选信道</w:t>
            </w:r>
          </w:p>
          <w:p w14:paraId="4BACD81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频率指标支持至少其中一个频段：470-510MHz、540-590MHz、640-690MHz、807-830MHz（不得再使用工信部已经将700MHz划归5G移动通讯的频段）</w:t>
            </w:r>
          </w:p>
          <w:p w14:paraId="40E9E3B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发射机供电方式：两节AA电池</w:t>
            </w:r>
          </w:p>
          <w:p w14:paraId="67D1874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发射机功率≤10mW，使用时间≥6小时</w:t>
            </w:r>
          </w:p>
        </w:tc>
        <w:tc>
          <w:tcPr>
            <w:tcW w:w="743" w:type="dxa"/>
            <w:vAlign w:val="center"/>
          </w:tcPr>
          <w:p w14:paraId="6C4041B4">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564" w:type="dxa"/>
            <w:vAlign w:val="center"/>
          </w:tcPr>
          <w:p w14:paraId="7825811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14:paraId="7256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DFD4BA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758" w:type="dxa"/>
            <w:vAlign w:val="center"/>
          </w:tcPr>
          <w:p w14:paraId="194CE240">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天线分配器</w:t>
            </w:r>
          </w:p>
          <w:p w14:paraId="35905FC8">
            <w:pPr>
              <w:jc w:val="left"/>
              <w:rPr>
                <w:rFonts w:hint="eastAsia" w:ascii="仿宋" w:hAnsi="仿宋" w:eastAsia="仿宋" w:cs="仿宋"/>
                <w:color w:val="auto"/>
                <w:szCs w:val="21"/>
                <w:highlight w:val="none"/>
              </w:rPr>
            </w:pPr>
          </w:p>
        </w:tc>
        <w:tc>
          <w:tcPr>
            <w:tcW w:w="1037" w:type="dxa"/>
            <w:vAlign w:val="center"/>
          </w:tcPr>
          <w:p w14:paraId="7EB74DC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锐丰、飞达、湖山、得胜、音王</w:t>
            </w:r>
          </w:p>
        </w:tc>
        <w:tc>
          <w:tcPr>
            <w:tcW w:w="5024" w:type="dxa"/>
            <w:vAlign w:val="center"/>
          </w:tcPr>
          <w:p w14:paraId="592FA82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UHF频段接收用对数天线，外接延长天线，对需要特定方位使用，内建可调增益放大器，根据实际使用环境调整增益，载波频率范围、设备数量要求与上面无线手持、头戴话筒配套</w:t>
            </w:r>
          </w:p>
        </w:tc>
        <w:tc>
          <w:tcPr>
            <w:tcW w:w="743" w:type="dxa"/>
            <w:vAlign w:val="center"/>
          </w:tcPr>
          <w:p w14:paraId="1451D5EE">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2288BA1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14:paraId="550E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D58C46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11</w:t>
            </w:r>
          </w:p>
        </w:tc>
        <w:tc>
          <w:tcPr>
            <w:tcW w:w="758" w:type="dxa"/>
            <w:vAlign w:val="center"/>
          </w:tcPr>
          <w:p w14:paraId="2174191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电源时序器</w:t>
            </w:r>
          </w:p>
        </w:tc>
        <w:tc>
          <w:tcPr>
            <w:tcW w:w="1037" w:type="dxa"/>
            <w:vAlign w:val="center"/>
          </w:tcPr>
          <w:p w14:paraId="7DF411A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保伦电子、迪士普、世邦、湖山</w:t>
            </w:r>
          </w:p>
        </w:tc>
        <w:tc>
          <w:tcPr>
            <w:tcW w:w="5024" w:type="dxa"/>
            <w:vAlign w:val="center"/>
          </w:tcPr>
          <w:p w14:paraId="1755FC4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按顺序开启或关闭受控设备电源≥10路，每路电压220V，电流≥10A，总容量≥3KVA，可通过定时器自动控制或人工控制</w:t>
            </w:r>
          </w:p>
          <w:p w14:paraId="58BBE3B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如果控制设备较多，可根据学校需要选择可控路数</w:t>
            </w:r>
          </w:p>
          <w:p w14:paraId="3B1BDEF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总功率、容量要求满足上述整套音响系统功放、调音台、无线话筒等设备需求，并有20%的冗余</w:t>
            </w:r>
          </w:p>
        </w:tc>
        <w:tc>
          <w:tcPr>
            <w:tcW w:w="743" w:type="dxa"/>
            <w:vAlign w:val="center"/>
          </w:tcPr>
          <w:p w14:paraId="37456A6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564" w:type="dxa"/>
            <w:vAlign w:val="center"/>
          </w:tcPr>
          <w:p w14:paraId="7D0F752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241F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E7F996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758" w:type="dxa"/>
            <w:vAlign w:val="center"/>
          </w:tcPr>
          <w:p w14:paraId="702CAAC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线阵扬声器吊架</w:t>
            </w:r>
          </w:p>
        </w:tc>
        <w:tc>
          <w:tcPr>
            <w:tcW w:w="1037" w:type="dxa"/>
          </w:tcPr>
          <w:p w14:paraId="7CA0947E">
            <w:pPr>
              <w:jc w:val="left"/>
              <w:rPr>
                <w:rFonts w:hint="eastAsia" w:ascii="仿宋" w:hAnsi="仿宋" w:eastAsia="仿宋" w:cs="仿宋"/>
                <w:color w:val="auto"/>
                <w:szCs w:val="21"/>
                <w:highlight w:val="none"/>
              </w:rPr>
            </w:pPr>
          </w:p>
        </w:tc>
        <w:tc>
          <w:tcPr>
            <w:tcW w:w="5024" w:type="dxa"/>
            <w:vAlign w:val="center"/>
          </w:tcPr>
          <w:p w14:paraId="376D9DE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配套</w:t>
            </w:r>
          </w:p>
        </w:tc>
        <w:tc>
          <w:tcPr>
            <w:tcW w:w="743" w:type="dxa"/>
            <w:vAlign w:val="center"/>
          </w:tcPr>
          <w:p w14:paraId="034EC78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564" w:type="dxa"/>
            <w:vAlign w:val="center"/>
          </w:tcPr>
          <w:p w14:paraId="0049A3D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14:paraId="7878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251F12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13</w:t>
            </w:r>
          </w:p>
        </w:tc>
        <w:tc>
          <w:tcPr>
            <w:tcW w:w="758" w:type="dxa"/>
            <w:vAlign w:val="center"/>
          </w:tcPr>
          <w:p w14:paraId="7C9D149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户外防水音响框架</w:t>
            </w:r>
          </w:p>
        </w:tc>
        <w:tc>
          <w:tcPr>
            <w:tcW w:w="1037" w:type="dxa"/>
          </w:tcPr>
          <w:p w14:paraId="312C0A99">
            <w:pPr>
              <w:jc w:val="left"/>
              <w:rPr>
                <w:rFonts w:hint="eastAsia" w:ascii="仿宋" w:hAnsi="仿宋" w:eastAsia="仿宋" w:cs="仿宋"/>
                <w:color w:val="auto"/>
                <w:szCs w:val="21"/>
                <w:highlight w:val="none"/>
              </w:rPr>
            </w:pPr>
          </w:p>
        </w:tc>
        <w:tc>
          <w:tcPr>
            <w:tcW w:w="5024" w:type="dxa"/>
            <w:vAlign w:val="center"/>
          </w:tcPr>
          <w:p w14:paraId="019F615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定制，上部可挂线阵音响，下部内置防水音响设备机柜</w:t>
            </w:r>
          </w:p>
        </w:tc>
        <w:tc>
          <w:tcPr>
            <w:tcW w:w="743" w:type="dxa"/>
            <w:vAlign w:val="center"/>
          </w:tcPr>
          <w:p w14:paraId="5A65B3D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564" w:type="dxa"/>
            <w:vAlign w:val="center"/>
          </w:tcPr>
          <w:p w14:paraId="0AB2627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r>
      <w:tr w14:paraId="76EB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040C43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14</w:t>
            </w:r>
          </w:p>
        </w:tc>
        <w:tc>
          <w:tcPr>
            <w:tcW w:w="758" w:type="dxa"/>
            <w:vAlign w:val="center"/>
          </w:tcPr>
          <w:p w14:paraId="5FB4ED5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二芯音箱线</w:t>
            </w:r>
          </w:p>
        </w:tc>
        <w:tc>
          <w:tcPr>
            <w:tcW w:w="1037" w:type="dxa"/>
            <w:vAlign w:val="center"/>
          </w:tcPr>
          <w:p w14:paraId="3B02F22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秋叶原、绿联、山泽、甬声</w:t>
            </w:r>
          </w:p>
        </w:tc>
        <w:tc>
          <w:tcPr>
            <w:tcW w:w="5024" w:type="dxa"/>
            <w:vAlign w:val="center"/>
          </w:tcPr>
          <w:p w14:paraId="7B0FEB0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EVJV2×2.5，纯无氧铜，≧280芯以上铜丝，≧4根神经丝</w:t>
            </w:r>
          </w:p>
        </w:tc>
        <w:tc>
          <w:tcPr>
            <w:tcW w:w="743" w:type="dxa"/>
            <w:vAlign w:val="center"/>
          </w:tcPr>
          <w:p w14:paraId="2CB83BDE">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200</w:t>
            </w:r>
          </w:p>
        </w:tc>
        <w:tc>
          <w:tcPr>
            <w:tcW w:w="564" w:type="dxa"/>
            <w:vAlign w:val="center"/>
          </w:tcPr>
          <w:p w14:paraId="32DD82B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米</w:t>
            </w:r>
          </w:p>
        </w:tc>
      </w:tr>
      <w:tr w14:paraId="425C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0E55CC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15</w:t>
            </w:r>
          </w:p>
        </w:tc>
        <w:tc>
          <w:tcPr>
            <w:tcW w:w="758" w:type="dxa"/>
            <w:vAlign w:val="center"/>
          </w:tcPr>
          <w:p w14:paraId="0A2489E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电源线</w:t>
            </w:r>
          </w:p>
        </w:tc>
        <w:tc>
          <w:tcPr>
            <w:tcW w:w="1037" w:type="dxa"/>
            <w:vAlign w:val="center"/>
          </w:tcPr>
          <w:p w14:paraId="36CBD77C">
            <w:pPr>
              <w:jc w:val="left"/>
              <w:rPr>
                <w:rFonts w:hint="eastAsia" w:ascii="仿宋" w:hAnsi="仿宋" w:eastAsia="仿宋" w:cs="仿宋"/>
                <w:color w:val="auto"/>
                <w:szCs w:val="21"/>
                <w:highlight w:val="none"/>
              </w:rPr>
            </w:pPr>
            <w:r>
              <w:rPr>
                <w:rFonts w:hint="eastAsia" w:ascii="仿宋" w:hAnsi="仿宋" w:eastAsia="仿宋" w:cs="仿宋"/>
                <w:color w:val="auto"/>
                <w:sz w:val="20"/>
                <w:szCs w:val="20"/>
                <w:highlight w:val="none"/>
              </w:rPr>
              <w:t>江南、中策、远东、一舟、普天天纪、罗格朗</w:t>
            </w:r>
          </w:p>
        </w:tc>
        <w:tc>
          <w:tcPr>
            <w:tcW w:w="5024" w:type="dxa"/>
            <w:vAlign w:val="center"/>
          </w:tcPr>
          <w:p w14:paraId="45168517">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RVV3*2.5</w:t>
            </w:r>
          </w:p>
        </w:tc>
        <w:tc>
          <w:tcPr>
            <w:tcW w:w="743" w:type="dxa"/>
            <w:vAlign w:val="center"/>
          </w:tcPr>
          <w:p w14:paraId="0BFCA36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500</w:t>
            </w:r>
          </w:p>
        </w:tc>
        <w:tc>
          <w:tcPr>
            <w:tcW w:w="564" w:type="dxa"/>
            <w:vAlign w:val="center"/>
          </w:tcPr>
          <w:p w14:paraId="7615EE1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米</w:t>
            </w:r>
          </w:p>
        </w:tc>
      </w:tr>
      <w:tr w14:paraId="6EB6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6DF5E6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16</w:t>
            </w:r>
          </w:p>
        </w:tc>
        <w:tc>
          <w:tcPr>
            <w:tcW w:w="758" w:type="dxa"/>
            <w:vAlign w:val="center"/>
          </w:tcPr>
          <w:p w14:paraId="2235962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配套线管</w:t>
            </w:r>
          </w:p>
        </w:tc>
        <w:tc>
          <w:tcPr>
            <w:tcW w:w="1037" w:type="dxa"/>
          </w:tcPr>
          <w:p w14:paraId="7CCDE586">
            <w:pPr>
              <w:jc w:val="left"/>
              <w:rPr>
                <w:rFonts w:hint="eastAsia" w:ascii="仿宋" w:hAnsi="仿宋" w:eastAsia="仿宋" w:cs="仿宋"/>
                <w:color w:val="auto"/>
                <w:szCs w:val="21"/>
                <w:highlight w:val="none"/>
              </w:rPr>
            </w:pPr>
          </w:p>
        </w:tc>
        <w:tc>
          <w:tcPr>
            <w:tcW w:w="5024" w:type="dxa"/>
            <w:vAlign w:val="center"/>
          </w:tcPr>
          <w:p w14:paraId="01EB4EF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配套</w:t>
            </w:r>
          </w:p>
        </w:tc>
        <w:tc>
          <w:tcPr>
            <w:tcW w:w="743" w:type="dxa"/>
            <w:vAlign w:val="center"/>
          </w:tcPr>
          <w:p w14:paraId="3B40912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370C521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w:t>
            </w:r>
          </w:p>
        </w:tc>
      </w:tr>
      <w:tr w14:paraId="5920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D3E8E2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17</w:t>
            </w:r>
          </w:p>
        </w:tc>
        <w:tc>
          <w:tcPr>
            <w:tcW w:w="758" w:type="dxa"/>
            <w:vAlign w:val="center"/>
          </w:tcPr>
          <w:p w14:paraId="43E03B6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安装施工费</w:t>
            </w:r>
          </w:p>
        </w:tc>
        <w:tc>
          <w:tcPr>
            <w:tcW w:w="1037" w:type="dxa"/>
          </w:tcPr>
          <w:p w14:paraId="0C545C21">
            <w:pPr>
              <w:jc w:val="left"/>
              <w:rPr>
                <w:rFonts w:hint="eastAsia" w:ascii="仿宋" w:hAnsi="仿宋" w:eastAsia="仿宋" w:cs="仿宋"/>
                <w:color w:val="auto"/>
                <w:szCs w:val="21"/>
                <w:highlight w:val="none"/>
              </w:rPr>
            </w:pPr>
          </w:p>
        </w:tc>
        <w:tc>
          <w:tcPr>
            <w:tcW w:w="5024" w:type="dxa"/>
            <w:vAlign w:val="center"/>
          </w:tcPr>
          <w:p w14:paraId="1B5F12D1">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配套</w:t>
            </w:r>
          </w:p>
        </w:tc>
        <w:tc>
          <w:tcPr>
            <w:tcW w:w="743" w:type="dxa"/>
            <w:vAlign w:val="center"/>
          </w:tcPr>
          <w:p w14:paraId="2961919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1F1A905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w:t>
            </w:r>
          </w:p>
        </w:tc>
      </w:tr>
      <w:tr w14:paraId="3245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42A7967E">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十、新媒体视频直播宣传设备</w:t>
            </w:r>
          </w:p>
        </w:tc>
      </w:tr>
      <w:tr w14:paraId="0334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494EFA6">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758" w:type="dxa"/>
            <w:vAlign w:val="center"/>
          </w:tcPr>
          <w:p w14:paraId="00BA7DCA">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4K云台摄像机</w:t>
            </w:r>
          </w:p>
        </w:tc>
        <w:tc>
          <w:tcPr>
            <w:tcW w:w="1037" w:type="dxa"/>
            <w:vAlign w:val="center"/>
          </w:tcPr>
          <w:p w14:paraId="0D7850A1">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索尼、松下、佳能、JVC、洋铭、圆展、Lumens</w:t>
            </w:r>
          </w:p>
        </w:tc>
        <w:tc>
          <w:tcPr>
            <w:tcW w:w="5024" w:type="dxa"/>
            <w:vAlign w:val="center"/>
          </w:tcPr>
          <w:p w14:paraId="5BB9E457">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1/2.5寸或更大尺寸传感器，≥800万有效像素，最高支持2160/P30视频输出，支持多种跟踪模式，支持NDI|Hx2或以上、HTTP、RTSP、RTMP、SRT等协议，支持3.5mm 麦克风或线路输入，支持POE网线供电，至少带3G SDI或以上SDI接口与HDMI 2.0接口，≥20倍光学变焦</w:t>
            </w:r>
          </w:p>
        </w:tc>
        <w:tc>
          <w:tcPr>
            <w:tcW w:w="743" w:type="dxa"/>
            <w:vAlign w:val="center"/>
          </w:tcPr>
          <w:p w14:paraId="0579B743">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564" w:type="dxa"/>
            <w:vAlign w:val="center"/>
          </w:tcPr>
          <w:p w14:paraId="29783273">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7A82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2B94D45">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758" w:type="dxa"/>
            <w:vAlign w:val="center"/>
          </w:tcPr>
          <w:p w14:paraId="19D5FE74">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4K云台摄像机</w:t>
            </w:r>
          </w:p>
        </w:tc>
        <w:tc>
          <w:tcPr>
            <w:tcW w:w="1037" w:type="dxa"/>
            <w:vAlign w:val="center"/>
          </w:tcPr>
          <w:p w14:paraId="418F5CF6">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索尼、松下、佳能、JVC、洋铭、圆展、Lumens</w:t>
            </w:r>
          </w:p>
        </w:tc>
        <w:tc>
          <w:tcPr>
            <w:tcW w:w="5024" w:type="dxa"/>
            <w:vAlign w:val="center"/>
          </w:tcPr>
          <w:p w14:paraId="33EE1DC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1/2.5寸或更大尺寸传感器，≥800万有效像素，最高支持2160/P30视频输出，支持多种跟踪模式，支持NDI|Hx2或以上、HTTP、RTSP、RTMP、SRT等协议，支持3.5mm 麦克风或线路输入，支持POE网线供电，至少带3G SDI或以上SDI接口与HDMI 2.0接口，≥10倍光学变焦，</w:t>
            </w:r>
          </w:p>
        </w:tc>
        <w:tc>
          <w:tcPr>
            <w:tcW w:w="743" w:type="dxa"/>
            <w:vAlign w:val="center"/>
          </w:tcPr>
          <w:p w14:paraId="50F85B51">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62D402F9">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6911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C0117D3">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758" w:type="dxa"/>
            <w:vAlign w:val="center"/>
          </w:tcPr>
          <w:p w14:paraId="20FBBFDD">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4K视频切换台</w:t>
            </w:r>
          </w:p>
        </w:tc>
        <w:tc>
          <w:tcPr>
            <w:tcW w:w="1037" w:type="dxa"/>
            <w:vAlign w:val="center"/>
          </w:tcPr>
          <w:p w14:paraId="74FC3C53">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Blackmagic、洋铭、松下、JVC、纳加</w:t>
            </w:r>
          </w:p>
        </w:tc>
        <w:tc>
          <w:tcPr>
            <w:tcW w:w="5024" w:type="dxa"/>
            <w:vAlign w:val="center"/>
          </w:tcPr>
          <w:p w14:paraId="0BA3417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≥4路带帧率和格式转换的3G SDI或以上SDI接口输入接口、≥2路3G SDI或以上SDI接口辅助输出，支持多画面分割输出到监视器，至少带1路XLR平衡和1路RCA立体声模拟音频输入接口，每路输入接口均带嵌入式音频输入，输入输出视频信号最高支持2160/p60，带录像功能，可录制4K视频，可通过内置存储或USB接口录制，支持RTMP直播推流</w:t>
            </w:r>
          </w:p>
        </w:tc>
        <w:tc>
          <w:tcPr>
            <w:tcW w:w="743" w:type="dxa"/>
            <w:vAlign w:val="center"/>
          </w:tcPr>
          <w:p w14:paraId="1112B804">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162A1FC3">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0568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4C6B749">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758" w:type="dxa"/>
            <w:vAlign w:val="center"/>
          </w:tcPr>
          <w:p w14:paraId="66724641">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4K双频无线图传</w:t>
            </w:r>
          </w:p>
        </w:tc>
        <w:tc>
          <w:tcPr>
            <w:tcW w:w="1037" w:type="dxa"/>
            <w:vAlign w:val="center"/>
          </w:tcPr>
          <w:p w14:paraId="48FE2A8B">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猛玛、致迅、视晶</w:t>
            </w:r>
          </w:p>
        </w:tc>
        <w:tc>
          <w:tcPr>
            <w:tcW w:w="5024" w:type="dxa"/>
            <w:vAlign w:val="center"/>
          </w:tcPr>
          <w:p w14:paraId="59B2E4CB">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至少带1个SDI接口用于接入视频切换台，至少提供DC、USB二种供电模式，保证不断电更换电源，支持4K图传，支持双频无线传输，传输距离大于300米，延迟小于0.1秒。1套含接收与发送各1个及配套电池，采购2套，另加一块同一品牌监视器</w:t>
            </w:r>
          </w:p>
        </w:tc>
        <w:tc>
          <w:tcPr>
            <w:tcW w:w="743" w:type="dxa"/>
            <w:vAlign w:val="center"/>
          </w:tcPr>
          <w:p w14:paraId="3F0038D5">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564" w:type="dxa"/>
            <w:vAlign w:val="center"/>
          </w:tcPr>
          <w:p w14:paraId="06910B3D">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1CA2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31B9016">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758" w:type="dxa"/>
            <w:vAlign w:val="center"/>
          </w:tcPr>
          <w:p w14:paraId="73735D07">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4K编码器</w:t>
            </w:r>
          </w:p>
        </w:tc>
        <w:tc>
          <w:tcPr>
            <w:tcW w:w="1037" w:type="dxa"/>
            <w:vAlign w:val="center"/>
          </w:tcPr>
          <w:p w14:paraId="2BC4C8DC">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洋铭、Blackmagic、AJA、美乐威</w:t>
            </w:r>
          </w:p>
        </w:tc>
        <w:tc>
          <w:tcPr>
            <w:tcW w:w="5024" w:type="dxa"/>
            <w:vAlign w:val="center"/>
          </w:tcPr>
          <w:p w14:paraId="375A686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最高支持4K流媒体编码输出，支持RTMP、SRT等主流协议，可同时推流到≥2个直播平台</w:t>
            </w:r>
          </w:p>
        </w:tc>
        <w:tc>
          <w:tcPr>
            <w:tcW w:w="743" w:type="dxa"/>
            <w:vAlign w:val="center"/>
          </w:tcPr>
          <w:p w14:paraId="22631D84">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4F702758">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块</w:t>
            </w:r>
          </w:p>
        </w:tc>
      </w:tr>
      <w:tr w14:paraId="1C92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84BFE4B">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758" w:type="dxa"/>
            <w:vAlign w:val="center"/>
          </w:tcPr>
          <w:p w14:paraId="3667403D">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4K解码器</w:t>
            </w:r>
          </w:p>
        </w:tc>
        <w:tc>
          <w:tcPr>
            <w:tcW w:w="1037" w:type="dxa"/>
            <w:vAlign w:val="center"/>
          </w:tcPr>
          <w:p w14:paraId="32183875">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洋铭、Blackmagic、AJA、美乐威</w:t>
            </w:r>
          </w:p>
        </w:tc>
        <w:tc>
          <w:tcPr>
            <w:tcW w:w="5024" w:type="dxa"/>
            <w:vAlign w:val="center"/>
          </w:tcPr>
          <w:p w14:paraId="663AA13D">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可将直播推流的H.264或H.265音视频数据流转换成SDI或HDMI信号，可解码常见的推流协议，例如SRT、RTSP、RTMP、HLS和MPEG-TS</w:t>
            </w:r>
          </w:p>
        </w:tc>
        <w:tc>
          <w:tcPr>
            <w:tcW w:w="743" w:type="dxa"/>
            <w:vAlign w:val="center"/>
          </w:tcPr>
          <w:p w14:paraId="72489EF6">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564" w:type="dxa"/>
            <w:vAlign w:val="center"/>
          </w:tcPr>
          <w:p w14:paraId="67074298">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5FCE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1CBC3AB">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758" w:type="dxa"/>
            <w:vAlign w:val="center"/>
          </w:tcPr>
          <w:p w14:paraId="411E5E99">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4K监视器</w:t>
            </w:r>
          </w:p>
        </w:tc>
        <w:tc>
          <w:tcPr>
            <w:tcW w:w="1037" w:type="dxa"/>
            <w:vAlign w:val="center"/>
          </w:tcPr>
          <w:p w14:paraId="451FE780">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阿童木、洋铭、Blackmagic</w:t>
            </w:r>
          </w:p>
        </w:tc>
        <w:tc>
          <w:tcPr>
            <w:tcW w:w="5024" w:type="dxa"/>
            <w:vAlign w:val="center"/>
          </w:tcPr>
          <w:p w14:paraId="7401041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≥7英寸液晶监视器，3G SDI或以上SDI接口与HDMI输入</w:t>
            </w:r>
          </w:p>
        </w:tc>
        <w:tc>
          <w:tcPr>
            <w:tcW w:w="743" w:type="dxa"/>
            <w:vAlign w:val="center"/>
          </w:tcPr>
          <w:p w14:paraId="6608054E">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5CC07ED7">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0252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EAC402A">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w:t>
            </w:r>
          </w:p>
        </w:tc>
        <w:tc>
          <w:tcPr>
            <w:tcW w:w="758" w:type="dxa"/>
            <w:vAlign w:val="center"/>
          </w:tcPr>
          <w:p w14:paraId="51264BFF">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云台摄像机控制键盘</w:t>
            </w:r>
          </w:p>
        </w:tc>
        <w:tc>
          <w:tcPr>
            <w:tcW w:w="1037" w:type="dxa"/>
            <w:vAlign w:val="center"/>
          </w:tcPr>
          <w:p w14:paraId="453E4D14">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索尼、松下、佳能、JVC、洋铭、圆展、Lumens</w:t>
            </w:r>
          </w:p>
        </w:tc>
        <w:tc>
          <w:tcPr>
            <w:tcW w:w="5024" w:type="dxa"/>
            <w:vAlign w:val="center"/>
          </w:tcPr>
          <w:p w14:paraId="021FD12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要求与云台摄像机配套，支持网络与RS-422/RS-485两种或以上控制方式，最高控制8台云台摄像机，网络模式下支持ONVIF、IP VISCA、Sony VISCA Over IP等协议，最多4个摄像机快捷控制按键，带显示屏方便设置。另外配1个导播切换键盘，支持OBS、Vmix等主流直播软件，导播切换键盘Elgato、天创恒达、天影视通中选择1个</w:t>
            </w:r>
          </w:p>
        </w:tc>
        <w:tc>
          <w:tcPr>
            <w:tcW w:w="743" w:type="dxa"/>
            <w:vAlign w:val="center"/>
          </w:tcPr>
          <w:p w14:paraId="19A6C92A">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2E801280">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6418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FFF3C3E">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c>
          <w:tcPr>
            <w:tcW w:w="758" w:type="dxa"/>
            <w:vAlign w:val="center"/>
          </w:tcPr>
          <w:p w14:paraId="6DB6E2A7">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视频存储耗材</w:t>
            </w:r>
          </w:p>
        </w:tc>
        <w:tc>
          <w:tcPr>
            <w:tcW w:w="1037" w:type="dxa"/>
            <w:vAlign w:val="center"/>
          </w:tcPr>
          <w:p w14:paraId="1C220021">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西部数据、金士顿、闪迪、索尼</w:t>
            </w:r>
          </w:p>
        </w:tc>
        <w:tc>
          <w:tcPr>
            <w:tcW w:w="5024" w:type="dxa"/>
            <w:vAlign w:val="center"/>
          </w:tcPr>
          <w:p w14:paraId="5F6BB55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1、usb-c接口，必须保证视频切换台上4K视频录制，容量≥2TB</w:t>
            </w:r>
          </w:p>
          <w:p w14:paraId="4218FC7C">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2、四张SD存储卡，容量≥128G，读取速度≥200MB/S，写入速度≥100MB/S</w:t>
            </w:r>
          </w:p>
          <w:p w14:paraId="539B032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要求二种存储卡读写速度必须满足4K视频录制</w:t>
            </w:r>
          </w:p>
        </w:tc>
        <w:tc>
          <w:tcPr>
            <w:tcW w:w="743" w:type="dxa"/>
            <w:vAlign w:val="center"/>
          </w:tcPr>
          <w:p w14:paraId="7CD3D9E8">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665BA013">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2241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BCBE17C">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9</w:t>
            </w:r>
          </w:p>
        </w:tc>
        <w:tc>
          <w:tcPr>
            <w:tcW w:w="758" w:type="dxa"/>
            <w:vAlign w:val="center"/>
          </w:tcPr>
          <w:p w14:paraId="479616C2">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云台相机</w:t>
            </w:r>
          </w:p>
        </w:tc>
        <w:tc>
          <w:tcPr>
            <w:tcW w:w="1037" w:type="dxa"/>
            <w:vAlign w:val="center"/>
          </w:tcPr>
          <w:p w14:paraId="63F3D99B">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大疆、影石、GoPro</w:t>
            </w:r>
          </w:p>
        </w:tc>
        <w:tc>
          <w:tcPr>
            <w:tcW w:w="5024" w:type="dxa"/>
            <w:vAlign w:val="center"/>
          </w:tcPr>
          <w:p w14:paraId="1CEFF3F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≥1英寸CMOS，≥2英寸显示屏，三轴云台机械增稳，智能跟随，立体声收音，带128G存储卡</w:t>
            </w:r>
          </w:p>
        </w:tc>
        <w:tc>
          <w:tcPr>
            <w:tcW w:w="743" w:type="dxa"/>
            <w:vAlign w:val="center"/>
          </w:tcPr>
          <w:p w14:paraId="3C6E15DB">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664939F7">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7AF0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93915DB">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w:t>
            </w:r>
          </w:p>
        </w:tc>
        <w:tc>
          <w:tcPr>
            <w:tcW w:w="758" w:type="dxa"/>
            <w:vAlign w:val="center"/>
          </w:tcPr>
          <w:p w14:paraId="2E0857B7">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无线音频传输</w:t>
            </w:r>
          </w:p>
        </w:tc>
        <w:tc>
          <w:tcPr>
            <w:tcW w:w="1037" w:type="dxa"/>
            <w:vAlign w:val="center"/>
          </w:tcPr>
          <w:p w14:paraId="1119C334">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索尼、舒尔、森海塞尔、罗德，大疆</w:t>
            </w:r>
          </w:p>
        </w:tc>
        <w:tc>
          <w:tcPr>
            <w:tcW w:w="5024" w:type="dxa"/>
            <w:vAlign w:val="center"/>
          </w:tcPr>
          <w:p w14:paraId="24624C7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1、一拖三收音无线麦克风，接收器1个，腰包式发射器1个（含麦克风）、XLR插接式发射器1个，带3.5mm音频输出，不与广电700Mhz频率冲突</w:t>
            </w:r>
          </w:p>
          <w:p w14:paraId="6A1BB83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2、一拖二收音无线麦克风，包含2个发射器、1个接收器、原厂充电盒，带3.5mm音频输出</w:t>
            </w:r>
          </w:p>
        </w:tc>
        <w:tc>
          <w:tcPr>
            <w:tcW w:w="743" w:type="dxa"/>
            <w:vAlign w:val="center"/>
          </w:tcPr>
          <w:p w14:paraId="4476C0B1">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1ACB0E4F">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5C18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7F70EB28">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w:t>
            </w:r>
          </w:p>
        </w:tc>
        <w:tc>
          <w:tcPr>
            <w:tcW w:w="758" w:type="dxa"/>
            <w:vAlign w:val="center"/>
          </w:tcPr>
          <w:p w14:paraId="29FA6C1F">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音频隔离器</w:t>
            </w:r>
          </w:p>
        </w:tc>
        <w:tc>
          <w:tcPr>
            <w:tcW w:w="1037" w:type="dxa"/>
            <w:vAlign w:val="center"/>
          </w:tcPr>
          <w:p w14:paraId="0712AE38">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洋铭、剑桥、百灵达</w:t>
            </w:r>
          </w:p>
        </w:tc>
        <w:tc>
          <w:tcPr>
            <w:tcW w:w="5024" w:type="dxa"/>
            <w:vAlign w:val="center"/>
          </w:tcPr>
          <w:p w14:paraId="72B23C5C">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2路XLR平衡式输入与2路XLR平衡式输出隔离器，消除由接地回路引起噪声，二通道相位转换</w:t>
            </w:r>
          </w:p>
        </w:tc>
        <w:tc>
          <w:tcPr>
            <w:tcW w:w="743" w:type="dxa"/>
            <w:vAlign w:val="center"/>
          </w:tcPr>
          <w:p w14:paraId="3AC28118">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564" w:type="dxa"/>
            <w:vAlign w:val="center"/>
          </w:tcPr>
          <w:p w14:paraId="52DF504E">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64F4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A57BA0F">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12</w:t>
            </w:r>
          </w:p>
        </w:tc>
        <w:tc>
          <w:tcPr>
            <w:tcW w:w="758" w:type="dxa"/>
            <w:vAlign w:val="center"/>
          </w:tcPr>
          <w:p w14:paraId="5289A36C">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调音台</w:t>
            </w:r>
          </w:p>
        </w:tc>
        <w:tc>
          <w:tcPr>
            <w:tcW w:w="1037" w:type="dxa"/>
            <w:vAlign w:val="center"/>
          </w:tcPr>
          <w:p w14:paraId="054F3523">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雅马哈、百灵达、声艺</w:t>
            </w:r>
          </w:p>
        </w:tc>
        <w:tc>
          <w:tcPr>
            <w:tcW w:w="5024" w:type="dxa"/>
            <w:vAlign w:val="center"/>
          </w:tcPr>
          <w:p w14:paraId="4AB63D7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≥2路XLR输入，带幻象供电，≥1路立体声线路输入，带监听口，高解析度（24-bit，192 kHz）2轨音频录制和播放，支持 USB-C 连接，支持USB声卡功能，可USB供电</w:t>
            </w:r>
          </w:p>
        </w:tc>
        <w:tc>
          <w:tcPr>
            <w:tcW w:w="743" w:type="dxa"/>
            <w:vAlign w:val="center"/>
          </w:tcPr>
          <w:p w14:paraId="4C607EC1">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2CEB965E">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5A88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0601242">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13</w:t>
            </w:r>
          </w:p>
        </w:tc>
        <w:tc>
          <w:tcPr>
            <w:tcW w:w="758" w:type="dxa"/>
            <w:vAlign w:val="center"/>
          </w:tcPr>
          <w:p w14:paraId="50A9238D">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POE供电交换机</w:t>
            </w:r>
          </w:p>
        </w:tc>
        <w:tc>
          <w:tcPr>
            <w:tcW w:w="1037" w:type="dxa"/>
            <w:vAlign w:val="center"/>
          </w:tcPr>
          <w:p w14:paraId="03C5AD32">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华为、华三、锐捷</w:t>
            </w:r>
          </w:p>
        </w:tc>
        <w:tc>
          <w:tcPr>
            <w:tcW w:w="5024" w:type="dxa"/>
            <w:vAlign w:val="center"/>
          </w:tcPr>
          <w:p w14:paraId="519209E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8口、千兆、静音无风扇设计，POE要求全功率，须满足云台摄像机远程供电要求</w:t>
            </w:r>
          </w:p>
        </w:tc>
        <w:tc>
          <w:tcPr>
            <w:tcW w:w="743" w:type="dxa"/>
            <w:vAlign w:val="center"/>
          </w:tcPr>
          <w:p w14:paraId="6A92488A">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08F5D8BD">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7701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F0E90E6">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14</w:t>
            </w:r>
          </w:p>
        </w:tc>
        <w:tc>
          <w:tcPr>
            <w:tcW w:w="758" w:type="dxa"/>
            <w:vAlign w:val="center"/>
          </w:tcPr>
          <w:p w14:paraId="2CD9A1C5">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5G无线路由器</w:t>
            </w:r>
          </w:p>
        </w:tc>
        <w:tc>
          <w:tcPr>
            <w:tcW w:w="1037" w:type="dxa"/>
            <w:vAlign w:val="center"/>
          </w:tcPr>
          <w:p w14:paraId="341FD0B8">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华为、中兴、普联</w:t>
            </w:r>
          </w:p>
        </w:tc>
        <w:tc>
          <w:tcPr>
            <w:tcW w:w="5024" w:type="dxa"/>
            <w:vAlign w:val="center"/>
          </w:tcPr>
          <w:p w14:paraId="4396E7A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支持5G双SIM卡槽，插卡即用，5G网络/宽带网络冗余备份，≥1个千兆WAN口，≥2个千兆LAN口，支持多宽带混合接入，11AX双频</w:t>
            </w:r>
          </w:p>
        </w:tc>
        <w:tc>
          <w:tcPr>
            <w:tcW w:w="743" w:type="dxa"/>
            <w:vAlign w:val="center"/>
          </w:tcPr>
          <w:p w14:paraId="0F40DB97">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4634EA00">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11C2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D169BE2">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w:t>
            </w:r>
          </w:p>
        </w:tc>
        <w:tc>
          <w:tcPr>
            <w:tcW w:w="758" w:type="dxa"/>
            <w:vAlign w:val="center"/>
          </w:tcPr>
          <w:p w14:paraId="0766F676">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流量卡</w:t>
            </w:r>
          </w:p>
        </w:tc>
        <w:tc>
          <w:tcPr>
            <w:tcW w:w="1037" w:type="dxa"/>
            <w:vAlign w:val="center"/>
          </w:tcPr>
          <w:p w14:paraId="1409B9AD">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移动、电信、联通</w:t>
            </w:r>
          </w:p>
        </w:tc>
        <w:tc>
          <w:tcPr>
            <w:tcW w:w="5024" w:type="dxa"/>
            <w:vAlign w:val="center"/>
          </w:tcPr>
          <w:p w14:paraId="5424ED2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选择其中2个运营商各5年，按平均30元/月的流量套餐计算</w:t>
            </w:r>
          </w:p>
        </w:tc>
        <w:tc>
          <w:tcPr>
            <w:tcW w:w="743" w:type="dxa"/>
            <w:vAlign w:val="center"/>
          </w:tcPr>
          <w:p w14:paraId="27AAB9B3">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564" w:type="dxa"/>
            <w:vAlign w:val="center"/>
          </w:tcPr>
          <w:p w14:paraId="5BA2DB45">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张</w:t>
            </w:r>
          </w:p>
        </w:tc>
      </w:tr>
      <w:tr w14:paraId="064D2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7BE663CC">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16</w:t>
            </w:r>
          </w:p>
        </w:tc>
        <w:tc>
          <w:tcPr>
            <w:tcW w:w="758" w:type="dxa"/>
            <w:vAlign w:val="center"/>
          </w:tcPr>
          <w:p w14:paraId="508F8318">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直播平台</w:t>
            </w:r>
          </w:p>
        </w:tc>
        <w:tc>
          <w:tcPr>
            <w:tcW w:w="1037" w:type="dxa"/>
            <w:vAlign w:val="center"/>
          </w:tcPr>
          <w:p w14:paraId="2CA4FE78">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微赞、目睹、奥点云</w:t>
            </w:r>
          </w:p>
        </w:tc>
        <w:tc>
          <w:tcPr>
            <w:tcW w:w="5024" w:type="dxa"/>
            <w:vAlign w:val="center"/>
          </w:tcPr>
          <w:p w14:paraId="50C317C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支持电脑、手机收看直播，至少满足每个月1-2场重大活动的直播，每场直播观看并发人数≥3000人、5-6小时时长、1080P信号、码率2Mbps，支持小程序、微信等直播推广，5年</w:t>
            </w:r>
          </w:p>
        </w:tc>
        <w:tc>
          <w:tcPr>
            <w:tcW w:w="743" w:type="dxa"/>
            <w:vAlign w:val="center"/>
          </w:tcPr>
          <w:p w14:paraId="67736955">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564" w:type="dxa"/>
            <w:vAlign w:val="center"/>
          </w:tcPr>
          <w:p w14:paraId="519CC562">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r>
      <w:tr w14:paraId="42EB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83E243D">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17</w:t>
            </w:r>
          </w:p>
        </w:tc>
        <w:tc>
          <w:tcPr>
            <w:tcW w:w="758" w:type="dxa"/>
            <w:vAlign w:val="center"/>
          </w:tcPr>
          <w:p w14:paraId="63011059">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配件耗材</w:t>
            </w:r>
          </w:p>
        </w:tc>
        <w:tc>
          <w:tcPr>
            <w:tcW w:w="1037" w:type="dxa"/>
            <w:vAlign w:val="center"/>
          </w:tcPr>
          <w:p w14:paraId="3ADD1E85">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根据不同配件从中选择</w:t>
            </w:r>
          </w:p>
        </w:tc>
        <w:tc>
          <w:tcPr>
            <w:tcW w:w="5024" w:type="dxa"/>
            <w:vAlign w:val="center"/>
          </w:tcPr>
          <w:p w14:paraId="4FE89547">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1、12G-SDI线缆（品牌佳耐美、莱尔德、百通），纽崔克或线缆厂家BNC接头，要求30米2条（绝缘层外径≥3mm，每条带绕线盘，含BNC座），5米4条，2米4条，每条确保2160/P60视频传输</w:t>
            </w:r>
          </w:p>
          <w:p w14:paraId="28B3B12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2、光纤HDMI（绿联、飞利浦、秋叶原），支持4K视频传输，光纤材质，5米、10米与15米各2条</w:t>
            </w:r>
          </w:p>
          <w:p w14:paraId="109F7E9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3、音频传输、转换线缆（绿联、秋叶原、飞利浦），根据方案提供，其中话筒线须为120网或以上纯铜材质，接头须为纽崔克或线缆厂家原装</w:t>
            </w:r>
          </w:p>
          <w:p w14:paraId="51C7DF1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4、充电锂电池（南孚、品胜、双鹿），7号（≥1100mWh）、5号（≥3000mWh）各8节，带电池同一品牌充电器各1个</w:t>
            </w:r>
          </w:p>
        </w:tc>
        <w:tc>
          <w:tcPr>
            <w:tcW w:w="743" w:type="dxa"/>
            <w:vAlign w:val="center"/>
          </w:tcPr>
          <w:p w14:paraId="7BC546D8">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5A3BCB19">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r>
      <w:tr w14:paraId="2A4C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59764BF5">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十一、道闸及伸缩门</w:t>
            </w:r>
          </w:p>
        </w:tc>
      </w:tr>
      <w:tr w14:paraId="36CC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616690C6">
            <w:pPr>
              <w:widowControl/>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西门地库</w:t>
            </w:r>
          </w:p>
        </w:tc>
      </w:tr>
      <w:tr w14:paraId="75C8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F6A879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58" w:type="dxa"/>
            <w:vAlign w:val="center"/>
          </w:tcPr>
          <w:p w14:paraId="64E15C7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电动道闸</w:t>
            </w:r>
          </w:p>
        </w:tc>
        <w:tc>
          <w:tcPr>
            <w:tcW w:w="1037" w:type="dxa"/>
            <w:vAlign w:val="center"/>
          </w:tcPr>
          <w:p w14:paraId="34A41CC4">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大华、海康威视、宇视</w:t>
            </w:r>
          </w:p>
        </w:tc>
        <w:tc>
          <w:tcPr>
            <w:tcW w:w="5024" w:type="dxa"/>
            <w:vAlign w:val="center"/>
          </w:tcPr>
          <w:p w14:paraId="16F04A2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适用于日均车流量≤1000辆场景</w:t>
            </w:r>
          </w:p>
          <w:p w14:paraId="1B59371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右向4米广告型道闸主机，配套4米广告型杆</w:t>
            </w:r>
          </w:p>
          <w:p w14:paraId="48A382C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采用一体化机芯，模具化生产，有效保证闸机运行平稳可靠</w:t>
            </w:r>
          </w:p>
          <w:p w14:paraId="43DC540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升落杆速度可调，闸杆运行更平稳</w:t>
            </w:r>
          </w:p>
          <w:p w14:paraId="7690343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道闸开关限位位置可调，灵活适应各种场景</w:t>
            </w:r>
          </w:p>
          <w:p w14:paraId="152FC0C7">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支持外接雷达、 线圈防砸功能，使闸机具有自动关闸和完善的防砸车功能</w:t>
            </w:r>
          </w:p>
          <w:p w14:paraId="64035EF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标配遇阻反弹功能， 当杆子下落过程中受阻时会自动反弹</w:t>
            </w:r>
          </w:p>
          <w:p w14:paraId="705E3CC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断电手摇起落杆，断电之后可以通过手摇电机把手控制起落杆</w:t>
            </w:r>
          </w:p>
          <w:p w14:paraId="6A4EC0C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无线摇控功能，采用学习码遥控技术，方便且保密性高，最大遥控距离≥30米</w:t>
            </w:r>
          </w:p>
          <w:p w14:paraId="6A47C4A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支持道闸计数模式</w:t>
            </w:r>
          </w:p>
          <w:p w14:paraId="5E50136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电机寿命≥200万次</w:t>
            </w:r>
          </w:p>
          <w:p w14:paraId="410472D7">
            <w:pPr>
              <w:jc w:val="left"/>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弹簧寿命≥50万次</w:t>
            </w:r>
          </w:p>
        </w:tc>
        <w:tc>
          <w:tcPr>
            <w:tcW w:w="743" w:type="dxa"/>
            <w:vAlign w:val="center"/>
          </w:tcPr>
          <w:p w14:paraId="62B66C9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564" w:type="dxa"/>
            <w:vAlign w:val="center"/>
          </w:tcPr>
          <w:p w14:paraId="0B707F1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1966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0EC7DC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58" w:type="dxa"/>
            <w:vAlign w:val="center"/>
          </w:tcPr>
          <w:p w14:paraId="7BA166B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防砸雷达</w:t>
            </w:r>
          </w:p>
        </w:tc>
        <w:tc>
          <w:tcPr>
            <w:tcW w:w="1037" w:type="dxa"/>
            <w:vAlign w:val="center"/>
          </w:tcPr>
          <w:p w14:paraId="79EDB81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大华、海康威视、宇视</w:t>
            </w:r>
          </w:p>
        </w:tc>
        <w:tc>
          <w:tcPr>
            <w:tcW w:w="5024" w:type="dxa"/>
            <w:vAlign w:val="center"/>
          </w:tcPr>
          <w:p w14:paraId="2FBC4D4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检测目标：人、车</w:t>
            </w:r>
          </w:p>
          <w:p w14:paraId="65EC9D0A">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检测区域：0.3~6m</w:t>
            </w:r>
          </w:p>
          <w:p w14:paraId="41516E1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防砸区域：0~2m</w:t>
            </w:r>
          </w:p>
          <w:p w14:paraId="6BF9199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支持在线调试与升级功能</w:t>
            </w:r>
          </w:p>
        </w:tc>
        <w:tc>
          <w:tcPr>
            <w:tcW w:w="743" w:type="dxa"/>
            <w:vAlign w:val="center"/>
          </w:tcPr>
          <w:p w14:paraId="4E574FEE">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564" w:type="dxa"/>
            <w:vAlign w:val="center"/>
          </w:tcPr>
          <w:p w14:paraId="06A23F6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34C6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72D7D8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58" w:type="dxa"/>
            <w:vAlign w:val="center"/>
          </w:tcPr>
          <w:p w14:paraId="47354E0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抓拍显示一体机</w:t>
            </w:r>
          </w:p>
        </w:tc>
        <w:tc>
          <w:tcPr>
            <w:tcW w:w="1037" w:type="dxa"/>
            <w:vAlign w:val="center"/>
          </w:tcPr>
          <w:p w14:paraId="62FE4B6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大华、海康威视、宇视</w:t>
            </w:r>
          </w:p>
        </w:tc>
        <w:tc>
          <w:tcPr>
            <w:tcW w:w="5024" w:type="dxa"/>
            <w:vAlign w:val="center"/>
          </w:tcPr>
          <w:p w14:paraId="509FED2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显示屏≥256mm×256mm（长×宽）；</w:t>
            </w:r>
          </w:p>
          <w:p w14:paraId="225B0F7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补光灯数量：≥3颗；</w:t>
            </w:r>
          </w:p>
          <w:p w14:paraId="1A6C6D6C">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传感器类型：1/2.7英寸CMOS；</w:t>
            </w:r>
          </w:p>
          <w:p w14:paraId="4CAE760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图像分辨率：1920×1080</w:t>
            </w:r>
          </w:p>
          <w:p w14:paraId="5BF2509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视频压缩标准：H.265;H.264；</w:t>
            </w:r>
          </w:p>
          <w:p w14:paraId="7A0B9D1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抓拍距离：2.5~6m；</w:t>
            </w:r>
          </w:p>
          <w:p w14:paraId="2A9606B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支持自动除雾；</w:t>
            </w:r>
          </w:p>
          <w:p w14:paraId="588D983D">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镜头焦距：2.7mm～13.5mm（可根据实际安装需要调整）</w:t>
            </w:r>
          </w:p>
        </w:tc>
        <w:tc>
          <w:tcPr>
            <w:tcW w:w="743" w:type="dxa"/>
            <w:vAlign w:val="center"/>
          </w:tcPr>
          <w:p w14:paraId="4B16479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564" w:type="dxa"/>
            <w:vAlign w:val="center"/>
          </w:tcPr>
          <w:p w14:paraId="30C5F14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1F83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0D9E94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58" w:type="dxa"/>
            <w:vAlign w:val="center"/>
          </w:tcPr>
          <w:p w14:paraId="32D6186A">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出入口终端（含管理软件）</w:t>
            </w:r>
          </w:p>
        </w:tc>
        <w:tc>
          <w:tcPr>
            <w:tcW w:w="1037" w:type="dxa"/>
            <w:vAlign w:val="center"/>
          </w:tcPr>
          <w:p w14:paraId="5A735E04">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大华、海康威视、宇视</w:t>
            </w:r>
          </w:p>
        </w:tc>
        <w:tc>
          <w:tcPr>
            <w:tcW w:w="5024" w:type="dxa"/>
            <w:vAlign w:val="center"/>
          </w:tcPr>
          <w:p w14:paraId="16EAB28C">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与出入口管理道闸需兼容、适配</w:t>
            </w:r>
          </w:p>
          <w:p w14:paraId="44D0585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≥4G内存、≥128G固态硬盘；</w:t>
            </w:r>
          </w:p>
          <w:p w14:paraId="07D9ACEB">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≥4个USB接口、1个VGA、1个HDMI、1路音频输入、1路音频输出，双网卡设计；</w:t>
            </w:r>
          </w:p>
          <w:p w14:paraId="44CB666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支持车道上车辆滞留超过设置时间语音文字提醒功能，有报警显示、语音提醒功能；</w:t>
            </w:r>
          </w:p>
          <w:p w14:paraId="4A24254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支持车辆倒车离场报警功能；</w:t>
            </w:r>
          </w:p>
          <w:p w14:paraId="67B706E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支持获取显示道闸实时状态、使用次数、LED屏实时状态功能。</w:t>
            </w:r>
          </w:p>
          <w:p w14:paraId="7390E49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东西门道闸需统一联网管理</w:t>
            </w:r>
          </w:p>
        </w:tc>
        <w:tc>
          <w:tcPr>
            <w:tcW w:w="743" w:type="dxa"/>
            <w:vAlign w:val="center"/>
          </w:tcPr>
          <w:p w14:paraId="189F88A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3B49F68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14:paraId="3B24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CC4F09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758" w:type="dxa"/>
            <w:vAlign w:val="center"/>
          </w:tcPr>
          <w:p w14:paraId="4A4D7850">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配套管线</w:t>
            </w:r>
          </w:p>
        </w:tc>
        <w:tc>
          <w:tcPr>
            <w:tcW w:w="1037" w:type="dxa"/>
            <w:vAlign w:val="center"/>
          </w:tcPr>
          <w:p w14:paraId="190D712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国产</w:t>
            </w:r>
          </w:p>
        </w:tc>
        <w:tc>
          <w:tcPr>
            <w:tcW w:w="5024" w:type="dxa"/>
            <w:vAlign w:val="center"/>
          </w:tcPr>
          <w:p w14:paraId="33BAA1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配套</w:t>
            </w:r>
          </w:p>
        </w:tc>
        <w:tc>
          <w:tcPr>
            <w:tcW w:w="743" w:type="dxa"/>
            <w:vAlign w:val="center"/>
          </w:tcPr>
          <w:p w14:paraId="19DA93F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716B443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w:t>
            </w:r>
          </w:p>
        </w:tc>
      </w:tr>
      <w:tr w14:paraId="4A62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703B1C2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758" w:type="dxa"/>
            <w:vAlign w:val="center"/>
          </w:tcPr>
          <w:p w14:paraId="26B2F14F">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道闸基础</w:t>
            </w:r>
          </w:p>
        </w:tc>
        <w:tc>
          <w:tcPr>
            <w:tcW w:w="1037" w:type="dxa"/>
            <w:vAlign w:val="center"/>
          </w:tcPr>
          <w:p w14:paraId="39E03CF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国产</w:t>
            </w:r>
          </w:p>
        </w:tc>
        <w:tc>
          <w:tcPr>
            <w:tcW w:w="5024" w:type="dxa"/>
            <w:vAlign w:val="center"/>
          </w:tcPr>
          <w:p w14:paraId="6A8EA9D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定制</w:t>
            </w:r>
          </w:p>
        </w:tc>
        <w:tc>
          <w:tcPr>
            <w:tcW w:w="743" w:type="dxa"/>
            <w:vAlign w:val="center"/>
          </w:tcPr>
          <w:p w14:paraId="7E16711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3DFDBDA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w:t>
            </w:r>
          </w:p>
        </w:tc>
      </w:tr>
      <w:tr w14:paraId="5CA3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9C02E8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758" w:type="dxa"/>
            <w:vAlign w:val="center"/>
          </w:tcPr>
          <w:p w14:paraId="1CC5297D">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减速带</w:t>
            </w:r>
          </w:p>
        </w:tc>
        <w:tc>
          <w:tcPr>
            <w:tcW w:w="1037" w:type="dxa"/>
            <w:vAlign w:val="center"/>
          </w:tcPr>
          <w:p w14:paraId="52D56857">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6010B9D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材质：橡胶</w:t>
            </w:r>
          </w:p>
        </w:tc>
        <w:tc>
          <w:tcPr>
            <w:tcW w:w="743" w:type="dxa"/>
            <w:vAlign w:val="center"/>
          </w:tcPr>
          <w:p w14:paraId="7CB5ED41">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564" w:type="dxa"/>
            <w:vAlign w:val="center"/>
          </w:tcPr>
          <w:p w14:paraId="6A5BBE63">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r>
      <w:tr w14:paraId="3F26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12CF8B7D">
            <w:pPr>
              <w:widowControl/>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东门（地库入口及地面入口）</w:t>
            </w:r>
          </w:p>
        </w:tc>
      </w:tr>
      <w:tr w14:paraId="6155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5D6D43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58" w:type="dxa"/>
            <w:vAlign w:val="center"/>
          </w:tcPr>
          <w:p w14:paraId="2D98F45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电动道闸</w:t>
            </w:r>
          </w:p>
        </w:tc>
        <w:tc>
          <w:tcPr>
            <w:tcW w:w="1037" w:type="dxa"/>
            <w:vAlign w:val="center"/>
          </w:tcPr>
          <w:p w14:paraId="5FE3633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大华、海康威视、宇视</w:t>
            </w:r>
          </w:p>
        </w:tc>
        <w:tc>
          <w:tcPr>
            <w:tcW w:w="5024" w:type="dxa"/>
            <w:vAlign w:val="center"/>
          </w:tcPr>
          <w:p w14:paraId="3161D6C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适用于日均车流量≤1000辆场景</w:t>
            </w:r>
          </w:p>
          <w:p w14:paraId="117940B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右向4米广告型道闸主机，配套4米广告杆</w:t>
            </w:r>
          </w:p>
          <w:p w14:paraId="73B3D38A">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采用一体化机芯，模具化生产，有效保证闸机运行平稳可靠</w:t>
            </w:r>
          </w:p>
          <w:p w14:paraId="54C73E0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升落杆速度可调，闸杆运行更平稳</w:t>
            </w:r>
          </w:p>
          <w:p w14:paraId="7AA39E2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道闸开关限位位置可调，灵活适应各种场景</w:t>
            </w:r>
          </w:p>
          <w:p w14:paraId="71F6676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支持外接雷达、 线圈防砸功能，使闸机具有自动关闸和完善的防砸车功能</w:t>
            </w:r>
          </w:p>
          <w:p w14:paraId="14E9A75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标配遇阻反弹功能， 当杆子下落过程中受阻时会自动反弹</w:t>
            </w:r>
          </w:p>
          <w:p w14:paraId="62C6AFF7">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断电手摇起落杆，断电之后可以通过手摇电机把手控制起落杆</w:t>
            </w:r>
          </w:p>
          <w:p w14:paraId="7B59895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无线摇控功能，采用学习码遥控技术，方便且保密性高，最大遥控距离≥30米</w:t>
            </w:r>
          </w:p>
          <w:p w14:paraId="34F7D7E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支持道闸计数模式</w:t>
            </w:r>
          </w:p>
          <w:p w14:paraId="2322A36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电机寿命≥200万次</w:t>
            </w:r>
          </w:p>
          <w:p w14:paraId="02E31171">
            <w:pPr>
              <w:jc w:val="left"/>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弹簧寿命≥50万次</w:t>
            </w:r>
          </w:p>
        </w:tc>
        <w:tc>
          <w:tcPr>
            <w:tcW w:w="743" w:type="dxa"/>
            <w:vAlign w:val="center"/>
          </w:tcPr>
          <w:p w14:paraId="5C20D4E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564" w:type="dxa"/>
            <w:vAlign w:val="center"/>
          </w:tcPr>
          <w:p w14:paraId="7295366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4033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620C82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58" w:type="dxa"/>
            <w:vAlign w:val="center"/>
          </w:tcPr>
          <w:p w14:paraId="02AA9BE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重型电动道闸</w:t>
            </w:r>
          </w:p>
        </w:tc>
        <w:tc>
          <w:tcPr>
            <w:tcW w:w="1037" w:type="dxa"/>
            <w:vAlign w:val="center"/>
          </w:tcPr>
          <w:p w14:paraId="662C387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大华、海康威视、宇视</w:t>
            </w:r>
          </w:p>
        </w:tc>
        <w:tc>
          <w:tcPr>
            <w:tcW w:w="5024" w:type="dxa"/>
            <w:vAlign w:val="center"/>
          </w:tcPr>
          <w:p w14:paraId="49804DD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1.广告型闸杆最长含机箱6米；</w:t>
            </w:r>
          </w:p>
          <w:p w14:paraId="5A36D23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2.广告型闸杆起落时间 5-12s可调；</w:t>
            </w:r>
          </w:p>
          <w:p w14:paraId="042BB97D">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3.大于500万次运行。</w:t>
            </w:r>
          </w:p>
          <w:p w14:paraId="1C77AFA7">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主要功能：</w:t>
            </w:r>
          </w:p>
          <w:p w14:paraId="369A58D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 速度可调节，起落平稳；</w:t>
            </w:r>
          </w:p>
          <w:p w14:paraId="5A4EC1F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 热敏、过载或者过热保护；</w:t>
            </w:r>
          </w:p>
          <w:p w14:paraId="1A72F6D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 手动离合装置；</w:t>
            </w:r>
          </w:p>
          <w:p w14:paraId="477584F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 防砸装置；</w:t>
            </w:r>
          </w:p>
          <w:p w14:paraId="027A6A7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 电刹车装置；</w:t>
            </w:r>
          </w:p>
          <w:p w14:paraId="2D5351AA">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 釆用国标强拉伸冷板；</w:t>
            </w:r>
          </w:p>
          <w:p w14:paraId="7070B8F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 一体化机箱，无需分左右方向；</w:t>
            </w:r>
          </w:p>
          <w:p w14:paraId="2F74637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8. 机械四连杆传动结构。 </w:t>
            </w:r>
          </w:p>
        </w:tc>
        <w:tc>
          <w:tcPr>
            <w:tcW w:w="743" w:type="dxa"/>
            <w:vAlign w:val="center"/>
          </w:tcPr>
          <w:p w14:paraId="1F18018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76FF6E3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3799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19C8CC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58" w:type="dxa"/>
            <w:vAlign w:val="center"/>
          </w:tcPr>
          <w:p w14:paraId="0DD08AF4">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防砸雷达</w:t>
            </w:r>
          </w:p>
        </w:tc>
        <w:tc>
          <w:tcPr>
            <w:tcW w:w="1037" w:type="dxa"/>
            <w:vAlign w:val="center"/>
          </w:tcPr>
          <w:p w14:paraId="146F670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大华、海康威视、宇视</w:t>
            </w:r>
          </w:p>
        </w:tc>
        <w:tc>
          <w:tcPr>
            <w:tcW w:w="5024" w:type="dxa"/>
            <w:vAlign w:val="center"/>
          </w:tcPr>
          <w:p w14:paraId="10CFDD0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检测目标：人、车</w:t>
            </w:r>
          </w:p>
          <w:p w14:paraId="115ED71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检测区域：0.3~6m</w:t>
            </w:r>
          </w:p>
          <w:p w14:paraId="7E6F6C9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防砸区域：0~2m</w:t>
            </w:r>
          </w:p>
          <w:p w14:paraId="13A6D79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支持在线调试与升级功能</w:t>
            </w:r>
          </w:p>
        </w:tc>
        <w:tc>
          <w:tcPr>
            <w:tcW w:w="743" w:type="dxa"/>
            <w:vAlign w:val="center"/>
          </w:tcPr>
          <w:p w14:paraId="02AAA9B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564" w:type="dxa"/>
            <w:vAlign w:val="center"/>
          </w:tcPr>
          <w:p w14:paraId="683E42E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5824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0587A1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58" w:type="dxa"/>
            <w:vAlign w:val="center"/>
          </w:tcPr>
          <w:p w14:paraId="2D4FE6B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抓拍显示一体机</w:t>
            </w:r>
          </w:p>
        </w:tc>
        <w:tc>
          <w:tcPr>
            <w:tcW w:w="1037" w:type="dxa"/>
            <w:vAlign w:val="center"/>
          </w:tcPr>
          <w:p w14:paraId="6D52128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大华、海康威视、宇视</w:t>
            </w:r>
          </w:p>
        </w:tc>
        <w:tc>
          <w:tcPr>
            <w:tcW w:w="5024" w:type="dxa"/>
            <w:vAlign w:val="center"/>
          </w:tcPr>
          <w:p w14:paraId="009EADE7">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显示屏≥256mm×256mm（长×宽）；</w:t>
            </w:r>
          </w:p>
          <w:p w14:paraId="6282220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补光灯数量：≥3颗</w:t>
            </w:r>
          </w:p>
          <w:p w14:paraId="355F44DA">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传感器类型：1/2.7英寸CMOS；</w:t>
            </w:r>
          </w:p>
          <w:p w14:paraId="22E11EE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图像分辨率：1920×1080</w:t>
            </w:r>
          </w:p>
          <w:p w14:paraId="316AAD1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视频压缩标准：H.265;H.264；</w:t>
            </w:r>
          </w:p>
          <w:p w14:paraId="647E9E1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抓拍距离：2.5~6m；</w:t>
            </w:r>
          </w:p>
          <w:p w14:paraId="68840A0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支持自动除雾；</w:t>
            </w:r>
          </w:p>
          <w:p w14:paraId="2C80E24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镜头焦距：2.7mm～13.5mm（可根据实际安装需要调整）</w:t>
            </w:r>
          </w:p>
        </w:tc>
        <w:tc>
          <w:tcPr>
            <w:tcW w:w="743" w:type="dxa"/>
            <w:vAlign w:val="center"/>
          </w:tcPr>
          <w:p w14:paraId="677527F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564" w:type="dxa"/>
            <w:vAlign w:val="center"/>
          </w:tcPr>
          <w:p w14:paraId="148BF43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61D0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A4AF3A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758" w:type="dxa"/>
            <w:vAlign w:val="center"/>
          </w:tcPr>
          <w:p w14:paraId="4871C427">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出入口终端（含管理软件）</w:t>
            </w:r>
          </w:p>
        </w:tc>
        <w:tc>
          <w:tcPr>
            <w:tcW w:w="1037" w:type="dxa"/>
            <w:vAlign w:val="center"/>
          </w:tcPr>
          <w:p w14:paraId="4F7EE36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大华、海康威视、宇视</w:t>
            </w:r>
          </w:p>
        </w:tc>
        <w:tc>
          <w:tcPr>
            <w:tcW w:w="5024" w:type="dxa"/>
            <w:vAlign w:val="center"/>
          </w:tcPr>
          <w:p w14:paraId="51E610ED">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与出入口管理道闸需兼容、适配</w:t>
            </w:r>
          </w:p>
          <w:p w14:paraId="0224244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≥4G内存、≥128G固态硬盘；</w:t>
            </w:r>
          </w:p>
          <w:p w14:paraId="3F90528B">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≥4个USB接口、1个VGA、1个HDMI、1路音频输入、1路音频输出，双网卡设计；</w:t>
            </w:r>
          </w:p>
          <w:p w14:paraId="1EBB726C">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支持车道上车辆滞留超过设置时间语音文字提醒功能，有报警显示、语音提醒功能；</w:t>
            </w:r>
          </w:p>
          <w:p w14:paraId="18214E2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支持车辆倒车离场报警功能；</w:t>
            </w:r>
          </w:p>
          <w:p w14:paraId="50BF515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支持获取显示道闸实时状态、使用次数、LED屏实时状态功能。</w:t>
            </w:r>
          </w:p>
          <w:p w14:paraId="56A001B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东西门道闸需统一联网管理</w:t>
            </w:r>
          </w:p>
        </w:tc>
        <w:tc>
          <w:tcPr>
            <w:tcW w:w="743" w:type="dxa"/>
            <w:vAlign w:val="center"/>
          </w:tcPr>
          <w:p w14:paraId="536DDF0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3911254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14:paraId="743D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A7FA8F5">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758" w:type="dxa"/>
            <w:vAlign w:val="center"/>
          </w:tcPr>
          <w:p w14:paraId="2E8177E0">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无刷通用摆闸（单机芯）</w:t>
            </w:r>
          </w:p>
        </w:tc>
        <w:tc>
          <w:tcPr>
            <w:tcW w:w="1037" w:type="dxa"/>
            <w:vAlign w:val="center"/>
          </w:tcPr>
          <w:p w14:paraId="37E0A10B">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大华、海康威视、宇视</w:t>
            </w:r>
          </w:p>
        </w:tc>
        <w:tc>
          <w:tcPr>
            <w:tcW w:w="5024" w:type="dxa"/>
            <w:vAlign w:val="center"/>
          </w:tcPr>
          <w:p w14:paraId="3F8F069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机箱采用国标304不锈钢材质，机箱厚度1.2mm；</w:t>
            </w:r>
          </w:p>
          <w:p w14:paraId="6CFC1E9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≥10对红外检测；</w:t>
            </w:r>
          </w:p>
          <w:p w14:paraId="1F2ED4B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标配超级电容，支持断电开闸功能;</w:t>
            </w:r>
          </w:p>
          <w:p w14:paraId="62A2163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支持开门超时自动复位功能；</w:t>
            </w:r>
          </w:p>
          <w:p w14:paraId="7F3B113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支持声光报警提示，支持音量调节；</w:t>
            </w:r>
          </w:p>
          <w:p w14:paraId="181192DA">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不锈钢摆臂通道宽度支持：600mm-1100mm具体根据现场确定宽度；</w:t>
            </w:r>
          </w:p>
          <w:p w14:paraId="753B7D8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支持消防应急常开功能；支持报警信号输出功能；</w:t>
            </w:r>
          </w:p>
          <w:p w14:paraId="064A7C3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支持机械防夹功能，支持防冲撞功能；</w:t>
            </w:r>
          </w:p>
          <w:p w14:paraId="728BB58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≥4种通行模式组合；</w:t>
            </w:r>
          </w:p>
          <w:p w14:paraId="74BFBF5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支持开关门速度调节；支持通行时间设置；支持延时关闸时间设置；</w:t>
            </w:r>
          </w:p>
          <w:p w14:paraId="7B1BD7D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支持二次开启功能，人员在通道内可以授权；</w:t>
            </w:r>
          </w:p>
          <w:p w14:paraId="7634940B">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支持非法闯入、尾随、反向闯入、滞留、异常开门、非法翻越等声光报警提示；</w:t>
            </w:r>
          </w:p>
        </w:tc>
        <w:tc>
          <w:tcPr>
            <w:tcW w:w="743" w:type="dxa"/>
            <w:vAlign w:val="center"/>
          </w:tcPr>
          <w:p w14:paraId="5A205FB5">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564" w:type="dxa"/>
            <w:vAlign w:val="center"/>
          </w:tcPr>
          <w:p w14:paraId="27048A62">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3257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785AB419">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w:t>
            </w:r>
          </w:p>
        </w:tc>
        <w:tc>
          <w:tcPr>
            <w:tcW w:w="758" w:type="dxa"/>
            <w:vAlign w:val="center"/>
          </w:tcPr>
          <w:p w14:paraId="4ABC0FF4">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无刷通用摆闸（双机芯）</w:t>
            </w:r>
          </w:p>
        </w:tc>
        <w:tc>
          <w:tcPr>
            <w:tcW w:w="1037" w:type="dxa"/>
            <w:vAlign w:val="center"/>
          </w:tcPr>
          <w:p w14:paraId="2BBCDAA2">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大华、海康威视、宇视</w:t>
            </w:r>
          </w:p>
        </w:tc>
        <w:tc>
          <w:tcPr>
            <w:tcW w:w="5024" w:type="dxa"/>
            <w:vAlign w:val="center"/>
          </w:tcPr>
          <w:p w14:paraId="071C4E4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机箱采用国标304不锈钢材质，机箱厚度1.2mm；</w:t>
            </w:r>
          </w:p>
          <w:p w14:paraId="63F3899A">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≥10对红外检测；</w:t>
            </w:r>
          </w:p>
          <w:p w14:paraId="10F2BF4D">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标配超级电容，支持断电开闸功能;</w:t>
            </w:r>
          </w:p>
          <w:p w14:paraId="4BA1A51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支持开门超时自动复位功能；</w:t>
            </w:r>
          </w:p>
          <w:p w14:paraId="1347656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支持声光报警提示，支持音量调节；</w:t>
            </w:r>
          </w:p>
          <w:p w14:paraId="350B136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不锈钢摆臂通道宽度支持：600mm-1100mm具体根据现场确定宽度；</w:t>
            </w:r>
          </w:p>
          <w:p w14:paraId="04F3A26C">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支持消防应急常开功能；支持报警信号输出功能；</w:t>
            </w:r>
          </w:p>
          <w:p w14:paraId="11AABA77">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支持机械防夹功能，支持防冲撞功能；</w:t>
            </w:r>
          </w:p>
          <w:p w14:paraId="5DC027AB">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≥4种通行模式组合；</w:t>
            </w:r>
          </w:p>
          <w:p w14:paraId="2FBEAD0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支持开关门速度调节；支持通行时间设置；支持延时关闸时间设置；</w:t>
            </w:r>
          </w:p>
          <w:p w14:paraId="4101B51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支持二次开启功能，人员在通道内可以授权；</w:t>
            </w:r>
          </w:p>
          <w:p w14:paraId="798C5C3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支持非法闯入、尾随、反向闯入、滞留、异常开门、非法翻越等声光报警提示；</w:t>
            </w:r>
          </w:p>
        </w:tc>
        <w:tc>
          <w:tcPr>
            <w:tcW w:w="743" w:type="dxa"/>
            <w:vAlign w:val="center"/>
          </w:tcPr>
          <w:p w14:paraId="18BA7A4E">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44F2D16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4AA4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40814F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758" w:type="dxa"/>
            <w:vAlign w:val="center"/>
          </w:tcPr>
          <w:p w14:paraId="25189348">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通道识别一体机（带防雨罩）</w:t>
            </w:r>
          </w:p>
        </w:tc>
        <w:tc>
          <w:tcPr>
            <w:tcW w:w="1037" w:type="dxa"/>
            <w:vAlign w:val="center"/>
          </w:tcPr>
          <w:p w14:paraId="3AD7054D">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大华、海康威视、宇视</w:t>
            </w:r>
          </w:p>
        </w:tc>
        <w:tc>
          <w:tcPr>
            <w:tcW w:w="5024" w:type="dxa"/>
            <w:vAlign w:val="center"/>
          </w:tcPr>
          <w:p w14:paraId="65F3342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支持认证方式：人脸识别、二维码识别、刷卡识别</w:t>
            </w:r>
          </w:p>
          <w:p w14:paraId="3E24026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屏幕参数： ≥8英寸IPS触摸屏</w:t>
            </w:r>
          </w:p>
          <w:p w14:paraId="067CDB2D">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摄像头：双摄200万像素；</w:t>
            </w:r>
          </w:p>
          <w:p w14:paraId="7EF0F1D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扫码能力：支持摄像头反扫二维码</w:t>
            </w:r>
          </w:p>
          <w:p w14:paraId="7C7A8A3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≥1个网口，≥1个USB接口</w:t>
            </w:r>
          </w:p>
          <w:p w14:paraId="04143F9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内置IC卡读卡器，支持读取非接触式卡、CPU卡、身份证</w:t>
            </w:r>
          </w:p>
          <w:p w14:paraId="17D72EFD">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支持红外补光，支持访客管理</w:t>
            </w:r>
          </w:p>
          <w:p w14:paraId="353251D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支持考勤组管理、班次管理、节假日设置，可导出考勤报表，考勤结果分析，设备端刷脸开门的同时完成考勤打卡。</w:t>
            </w:r>
          </w:p>
        </w:tc>
        <w:tc>
          <w:tcPr>
            <w:tcW w:w="743" w:type="dxa"/>
            <w:vAlign w:val="center"/>
          </w:tcPr>
          <w:p w14:paraId="6679715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564" w:type="dxa"/>
            <w:vAlign w:val="center"/>
          </w:tcPr>
          <w:p w14:paraId="5BFE6CE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14:paraId="0400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8A58CC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758" w:type="dxa"/>
            <w:vAlign w:val="center"/>
          </w:tcPr>
          <w:p w14:paraId="72165E9E">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配套管线</w:t>
            </w:r>
          </w:p>
        </w:tc>
        <w:tc>
          <w:tcPr>
            <w:tcW w:w="1037" w:type="dxa"/>
            <w:vAlign w:val="center"/>
          </w:tcPr>
          <w:p w14:paraId="5F38D9A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国产</w:t>
            </w:r>
          </w:p>
        </w:tc>
        <w:tc>
          <w:tcPr>
            <w:tcW w:w="5024" w:type="dxa"/>
            <w:vAlign w:val="center"/>
          </w:tcPr>
          <w:p w14:paraId="2303622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配套</w:t>
            </w:r>
          </w:p>
        </w:tc>
        <w:tc>
          <w:tcPr>
            <w:tcW w:w="743" w:type="dxa"/>
            <w:vAlign w:val="center"/>
          </w:tcPr>
          <w:p w14:paraId="53D8E3EE">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42AD0E08">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w:t>
            </w:r>
          </w:p>
        </w:tc>
      </w:tr>
      <w:tr w14:paraId="4C5B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5641E0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758" w:type="dxa"/>
            <w:vAlign w:val="center"/>
          </w:tcPr>
          <w:p w14:paraId="3CDF9ECC">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道闸基础</w:t>
            </w:r>
          </w:p>
        </w:tc>
        <w:tc>
          <w:tcPr>
            <w:tcW w:w="1037" w:type="dxa"/>
            <w:vAlign w:val="center"/>
          </w:tcPr>
          <w:p w14:paraId="69DBC5C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国产</w:t>
            </w:r>
          </w:p>
        </w:tc>
        <w:tc>
          <w:tcPr>
            <w:tcW w:w="5024" w:type="dxa"/>
            <w:vAlign w:val="center"/>
          </w:tcPr>
          <w:p w14:paraId="2F407DE7">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定制</w:t>
            </w:r>
          </w:p>
        </w:tc>
        <w:tc>
          <w:tcPr>
            <w:tcW w:w="743" w:type="dxa"/>
            <w:vAlign w:val="center"/>
          </w:tcPr>
          <w:p w14:paraId="582AC96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7C7C6C7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w:t>
            </w:r>
          </w:p>
        </w:tc>
      </w:tr>
      <w:tr w14:paraId="66DC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617F703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11</w:t>
            </w:r>
          </w:p>
        </w:tc>
        <w:tc>
          <w:tcPr>
            <w:tcW w:w="758" w:type="dxa"/>
            <w:vAlign w:val="center"/>
          </w:tcPr>
          <w:p w14:paraId="71003FD2">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减速带</w:t>
            </w:r>
          </w:p>
        </w:tc>
        <w:tc>
          <w:tcPr>
            <w:tcW w:w="1037" w:type="dxa"/>
            <w:vAlign w:val="center"/>
          </w:tcPr>
          <w:p w14:paraId="319D5FB0">
            <w:pPr>
              <w:widowControl/>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7D6CBB4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材质：橡胶</w:t>
            </w:r>
          </w:p>
        </w:tc>
        <w:tc>
          <w:tcPr>
            <w:tcW w:w="743" w:type="dxa"/>
            <w:vAlign w:val="center"/>
          </w:tcPr>
          <w:p w14:paraId="4F59728D">
            <w:pPr>
              <w:widowControl/>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6</w:t>
            </w:r>
          </w:p>
        </w:tc>
        <w:tc>
          <w:tcPr>
            <w:tcW w:w="564" w:type="dxa"/>
            <w:vAlign w:val="center"/>
          </w:tcPr>
          <w:p w14:paraId="358C6A75">
            <w:pPr>
              <w:widowControl/>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套</w:t>
            </w:r>
          </w:p>
        </w:tc>
      </w:tr>
      <w:tr w14:paraId="7D4C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26A7E9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758" w:type="dxa"/>
            <w:vAlign w:val="center"/>
          </w:tcPr>
          <w:p w14:paraId="0A864384">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东门伸缩段滑门</w:t>
            </w:r>
          </w:p>
        </w:tc>
        <w:tc>
          <w:tcPr>
            <w:tcW w:w="1037" w:type="dxa"/>
            <w:vAlign w:val="center"/>
          </w:tcPr>
          <w:p w14:paraId="5BD8D354">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2830161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总长11.2米*高1.6米</w:t>
            </w:r>
          </w:p>
        </w:tc>
        <w:tc>
          <w:tcPr>
            <w:tcW w:w="743" w:type="dxa"/>
            <w:vAlign w:val="center"/>
          </w:tcPr>
          <w:p w14:paraId="57CBF1EE">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11.2</w:t>
            </w:r>
          </w:p>
        </w:tc>
        <w:tc>
          <w:tcPr>
            <w:tcW w:w="564" w:type="dxa"/>
            <w:vAlign w:val="center"/>
          </w:tcPr>
          <w:p w14:paraId="460D0A2F">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米</w:t>
            </w:r>
          </w:p>
        </w:tc>
      </w:tr>
      <w:tr w14:paraId="5C32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792EAFB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13</w:t>
            </w:r>
          </w:p>
        </w:tc>
        <w:tc>
          <w:tcPr>
            <w:tcW w:w="758" w:type="dxa"/>
            <w:vAlign w:val="center"/>
          </w:tcPr>
          <w:p w14:paraId="0F17F6FF">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东门机电配置无轨驱动控制系统</w:t>
            </w:r>
          </w:p>
        </w:tc>
        <w:tc>
          <w:tcPr>
            <w:tcW w:w="1037" w:type="dxa"/>
            <w:vAlign w:val="center"/>
          </w:tcPr>
          <w:p w14:paraId="256B3D53">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1E1C64D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定制420A电机</w:t>
            </w:r>
          </w:p>
          <w:p w14:paraId="4255046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输入功率≥300W</w:t>
            </w:r>
          </w:p>
          <w:p w14:paraId="52962EF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输出功率≥400W</w:t>
            </w:r>
          </w:p>
          <w:p w14:paraId="6694B43C">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输出扭矩≥20N.M</w:t>
            </w:r>
          </w:p>
          <w:p w14:paraId="71D3615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输出转速≥40转/分</w:t>
            </w:r>
          </w:p>
        </w:tc>
        <w:tc>
          <w:tcPr>
            <w:tcW w:w="743" w:type="dxa"/>
            <w:vAlign w:val="center"/>
          </w:tcPr>
          <w:p w14:paraId="55498CD6">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01ACC5F0">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r>
      <w:tr w14:paraId="6C8D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CF4284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14</w:t>
            </w:r>
          </w:p>
        </w:tc>
        <w:tc>
          <w:tcPr>
            <w:tcW w:w="758" w:type="dxa"/>
            <w:vAlign w:val="center"/>
          </w:tcPr>
          <w:p w14:paraId="0DB9BC0E">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东门智能控制系统</w:t>
            </w:r>
          </w:p>
        </w:tc>
        <w:tc>
          <w:tcPr>
            <w:tcW w:w="1037" w:type="dxa"/>
            <w:vAlign w:val="center"/>
          </w:tcPr>
          <w:p w14:paraId="29702886">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4ECF627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无线遥控</w:t>
            </w:r>
          </w:p>
        </w:tc>
        <w:tc>
          <w:tcPr>
            <w:tcW w:w="743" w:type="dxa"/>
            <w:vAlign w:val="center"/>
          </w:tcPr>
          <w:p w14:paraId="050040A7">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75BCF199">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r>
      <w:tr w14:paraId="4DD8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B221D64">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15</w:t>
            </w:r>
          </w:p>
        </w:tc>
        <w:tc>
          <w:tcPr>
            <w:tcW w:w="758" w:type="dxa"/>
            <w:vAlign w:val="center"/>
          </w:tcPr>
          <w:p w14:paraId="36CE4F49">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西门伸缩段滑门</w:t>
            </w:r>
          </w:p>
        </w:tc>
        <w:tc>
          <w:tcPr>
            <w:tcW w:w="1037" w:type="dxa"/>
            <w:vAlign w:val="center"/>
          </w:tcPr>
          <w:p w14:paraId="23C461B6">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3FE553D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总长6米*高1.6米</w:t>
            </w:r>
          </w:p>
        </w:tc>
        <w:tc>
          <w:tcPr>
            <w:tcW w:w="743" w:type="dxa"/>
            <w:vAlign w:val="center"/>
          </w:tcPr>
          <w:p w14:paraId="5BCD4474">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564" w:type="dxa"/>
            <w:vAlign w:val="center"/>
          </w:tcPr>
          <w:p w14:paraId="6CC7F393">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米</w:t>
            </w:r>
          </w:p>
        </w:tc>
      </w:tr>
      <w:tr w14:paraId="3659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7B7522D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16</w:t>
            </w:r>
          </w:p>
        </w:tc>
        <w:tc>
          <w:tcPr>
            <w:tcW w:w="758" w:type="dxa"/>
            <w:vAlign w:val="center"/>
          </w:tcPr>
          <w:p w14:paraId="57C6CCFA">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西门机电配置无轨驱动控制系统</w:t>
            </w:r>
          </w:p>
        </w:tc>
        <w:tc>
          <w:tcPr>
            <w:tcW w:w="1037" w:type="dxa"/>
            <w:vAlign w:val="center"/>
          </w:tcPr>
          <w:p w14:paraId="00B26D43">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5816600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定制420A电机</w:t>
            </w:r>
          </w:p>
          <w:p w14:paraId="6D6EF1B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输入功率≥300W</w:t>
            </w:r>
          </w:p>
          <w:p w14:paraId="543AEFFC">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输出功率≥400W</w:t>
            </w:r>
          </w:p>
          <w:p w14:paraId="74158AE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输出扭矩≥20N.M</w:t>
            </w:r>
          </w:p>
          <w:p w14:paraId="797EE9DA">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输出转速≥40转/分</w:t>
            </w:r>
          </w:p>
        </w:tc>
        <w:tc>
          <w:tcPr>
            <w:tcW w:w="743" w:type="dxa"/>
            <w:vAlign w:val="center"/>
          </w:tcPr>
          <w:p w14:paraId="14DE4EE7">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2F85AD64">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r>
      <w:tr w14:paraId="207B1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5B6A36E">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17</w:t>
            </w:r>
          </w:p>
        </w:tc>
        <w:tc>
          <w:tcPr>
            <w:tcW w:w="758" w:type="dxa"/>
            <w:vAlign w:val="center"/>
          </w:tcPr>
          <w:p w14:paraId="6AA878CB">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西门智能控制系统</w:t>
            </w:r>
          </w:p>
        </w:tc>
        <w:tc>
          <w:tcPr>
            <w:tcW w:w="1037" w:type="dxa"/>
            <w:vAlign w:val="center"/>
          </w:tcPr>
          <w:p w14:paraId="5C2EE8AC">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0EA10207">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无线遥控</w:t>
            </w:r>
          </w:p>
        </w:tc>
        <w:tc>
          <w:tcPr>
            <w:tcW w:w="743" w:type="dxa"/>
            <w:vAlign w:val="center"/>
          </w:tcPr>
          <w:p w14:paraId="51D77D77">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64" w:type="dxa"/>
            <w:vAlign w:val="center"/>
          </w:tcPr>
          <w:p w14:paraId="52F51D8A">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r>
      <w:tr w14:paraId="0F5D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2C8BEF07">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十二、西门附近监控</w:t>
            </w:r>
          </w:p>
        </w:tc>
      </w:tr>
      <w:tr w14:paraId="4DCC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6399D55">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758" w:type="dxa"/>
            <w:vAlign w:val="center"/>
          </w:tcPr>
          <w:p w14:paraId="3B5589D7">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室外彩色网络枪式摄像机(红外)</w:t>
            </w:r>
          </w:p>
        </w:tc>
        <w:tc>
          <w:tcPr>
            <w:tcW w:w="1037" w:type="dxa"/>
            <w:vAlign w:val="center"/>
          </w:tcPr>
          <w:p w14:paraId="5B95CD47">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大华、海康威视、宇视</w:t>
            </w:r>
          </w:p>
        </w:tc>
        <w:tc>
          <w:tcPr>
            <w:tcW w:w="5024" w:type="dxa"/>
            <w:vAlign w:val="center"/>
          </w:tcPr>
          <w:p w14:paraId="1CF1044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传感器类型1/3英寸CMOS，像素400万；最大分辨率2500×1500</w:t>
            </w:r>
          </w:p>
          <w:p w14:paraId="653D9EFC">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红外补光距离≥50米</w:t>
            </w:r>
          </w:p>
          <w:p w14:paraId="0809142C">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支持多种智能功能，区域入侵，绊线入侵，物品遗留，物品搬移，场景变更，人脸检测，人员聚集，徘徊检测，快速移动，停车检测，音频异常侦测</w:t>
            </w:r>
          </w:p>
          <w:p w14:paraId="5F57A1AB">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镜头焦距：3.6mm/6.0mm/8.0mm/16.0mm（根据安装现场选择）</w:t>
            </w:r>
          </w:p>
          <w:p w14:paraId="3FE1F41D">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支持H.265、H.264主流视频编码</w:t>
            </w:r>
          </w:p>
          <w:p w14:paraId="5A5ED1F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支持HTTP、RTSP、RTP、RTCP、SMTP、DHCP、DNS、IPv4/v6等主流协议</w:t>
            </w:r>
          </w:p>
          <w:p w14:paraId="02A95A2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支持ONVIF、GB/T28181、CGI、PSIA等主流接入标准</w:t>
            </w:r>
          </w:p>
          <w:p w14:paraId="35F556B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IP67防护，工作温度-30℃到+60℃</w:t>
            </w:r>
          </w:p>
          <w:p w14:paraId="200BEF8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支持DC/POE供电方式，可根据需要选择其中一种或二种</w:t>
            </w:r>
          </w:p>
        </w:tc>
        <w:tc>
          <w:tcPr>
            <w:tcW w:w="743" w:type="dxa"/>
            <w:vAlign w:val="center"/>
          </w:tcPr>
          <w:p w14:paraId="04F0674F">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564" w:type="dxa"/>
            <w:vAlign w:val="center"/>
          </w:tcPr>
          <w:p w14:paraId="15B7F8B3">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r>
      <w:tr w14:paraId="764D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FC6B71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58" w:type="dxa"/>
            <w:vAlign w:val="center"/>
          </w:tcPr>
          <w:p w14:paraId="4569E702">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枪机立杆</w:t>
            </w:r>
          </w:p>
        </w:tc>
        <w:tc>
          <w:tcPr>
            <w:tcW w:w="1037" w:type="dxa"/>
            <w:vAlign w:val="center"/>
          </w:tcPr>
          <w:p w14:paraId="0AD01DC8">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6D134444">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含支架，不锈钢立杆，高度等要求参照图纸，水泥浇注固定</w:t>
            </w:r>
          </w:p>
        </w:tc>
        <w:tc>
          <w:tcPr>
            <w:tcW w:w="743" w:type="dxa"/>
            <w:vAlign w:val="center"/>
          </w:tcPr>
          <w:p w14:paraId="172ED0E7">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564" w:type="dxa"/>
            <w:vAlign w:val="center"/>
          </w:tcPr>
          <w:p w14:paraId="7A10EC7B">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个</w:t>
            </w:r>
          </w:p>
        </w:tc>
      </w:tr>
      <w:tr w14:paraId="5C37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78D4E2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58" w:type="dxa"/>
            <w:vAlign w:val="center"/>
          </w:tcPr>
          <w:p w14:paraId="52FBA866">
            <w:pPr>
              <w:widowControl/>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8口POE交换机</w:t>
            </w:r>
          </w:p>
        </w:tc>
        <w:tc>
          <w:tcPr>
            <w:tcW w:w="1037" w:type="dxa"/>
            <w:vAlign w:val="center"/>
          </w:tcPr>
          <w:p w14:paraId="1B782B6C">
            <w:pPr>
              <w:widowControl/>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华三、华为、锐捷</w:t>
            </w:r>
          </w:p>
        </w:tc>
        <w:tc>
          <w:tcPr>
            <w:tcW w:w="5024" w:type="dxa"/>
          </w:tcPr>
          <w:p w14:paraId="6C2683F5">
            <w:pPr>
              <w:widowControl/>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8个千兆接入端口（支持POE供电，单端口最大PoE供电功率≥30W），1个10/100/1000Base-T以太网端口或1个复用千兆Combo SFP</w:t>
            </w:r>
          </w:p>
        </w:tc>
        <w:tc>
          <w:tcPr>
            <w:tcW w:w="743" w:type="dxa"/>
            <w:vAlign w:val="center"/>
          </w:tcPr>
          <w:p w14:paraId="1CA130E9">
            <w:pPr>
              <w:widowControl/>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564" w:type="dxa"/>
            <w:vAlign w:val="center"/>
          </w:tcPr>
          <w:p w14:paraId="6EDE2B7D">
            <w:pPr>
              <w:widowControl/>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台</w:t>
            </w:r>
          </w:p>
        </w:tc>
      </w:tr>
      <w:tr w14:paraId="71CF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28DAB8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58" w:type="dxa"/>
            <w:vAlign w:val="center"/>
          </w:tcPr>
          <w:p w14:paraId="1FF9496F">
            <w:pPr>
              <w:widowControl/>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千兆光模块</w:t>
            </w:r>
          </w:p>
        </w:tc>
        <w:tc>
          <w:tcPr>
            <w:tcW w:w="1037" w:type="dxa"/>
            <w:vAlign w:val="center"/>
          </w:tcPr>
          <w:p w14:paraId="3982EB6F">
            <w:pPr>
              <w:widowControl/>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华三、华为、锐捷</w:t>
            </w:r>
          </w:p>
        </w:tc>
        <w:tc>
          <w:tcPr>
            <w:tcW w:w="5024" w:type="dxa"/>
            <w:vAlign w:val="center"/>
          </w:tcPr>
          <w:p w14:paraId="6E8EDF6E">
            <w:pPr>
              <w:widowControl/>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要求与交换机兼容、适配， SFP封装，波长与光纤配套，单模</w:t>
            </w:r>
          </w:p>
        </w:tc>
        <w:tc>
          <w:tcPr>
            <w:tcW w:w="743" w:type="dxa"/>
            <w:vAlign w:val="center"/>
          </w:tcPr>
          <w:p w14:paraId="7A1E848E">
            <w:pPr>
              <w:widowControl/>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564" w:type="dxa"/>
            <w:vAlign w:val="center"/>
          </w:tcPr>
          <w:p w14:paraId="7FD036B1">
            <w:pPr>
              <w:widowControl/>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块</w:t>
            </w:r>
          </w:p>
        </w:tc>
      </w:tr>
      <w:tr w14:paraId="5176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2F7C5FDB">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十三、综合素质评价系统</w:t>
            </w:r>
          </w:p>
        </w:tc>
      </w:tr>
      <w:tr w14:paraId="771A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3E7FC97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58" w:type="dxa"/>
            <w:vAlign w:val="center"/>
          </w:tcPr>
          <w:p w14:paraId="476172D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指标评价</w:t>
            </w:r>
          </w:p>
        </w:tc>
        <w:tc>
          <w:tcPr>
            <w:tcW w:w="1037" w:type="dxa"/>
            <w:vAlign w:val="center"/>
          </w:tcPr>
          <w:p w14:paraId="007F5EF4">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316A56A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终结性评价，基于教育部评价指标方案进行师评，学生互评、自评。并可在此基础上进行指标扩展。</w:t>
            </w:r>
          </w:p>
        </w:tc>
        <w:tc>
          <w:tcPr>
            <w:tcW w:w="743" w:type="dxa"/>
            <w:vAlign w:val="center"/>
          </w:tcPr>
          <w:p w14:paraId="578A743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5年</w:t>
            </w:r>
          </w:p>
        </w:tc>
        <w:tc>
          <w:tcPr>
            <w:tcW w:w="564" w:type="dxa"/>
            <w:vAlign w:val="center"/>
          </w:tcPr>
          <w:p w14:paraId="7598845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套/年</w:t>
            </w:r>
          </w:p>
        </w:tc>
      </w:tr>
      <w:tr w14:paraId="114E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F86356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58" w:type="dxa"/>
            <w:vAlign w:val="center"/>
          </w:tcPr>
          <w:p w14:paraId="6ABB933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奖卡评价</w:t>
            </w:r>
          </w:p>
        </w:tc>
        <w:tc>
          <w:tcPr>
            <w:tcW w:w="1037" w:type="dxa"/>
            <w:vAlign w:val="center"/>
          </w:tcPr>
          <w:p w14:paraId="390CC821">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3A66779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过程性评价，通过对学生发放实物奖卡，由学生自主兑换累计的趣味性方式进行评价，结合终端设备可打造学校积分银行等特色项目。</w:t>
            </w:r>
          </w:p>
        </w:tc>
        <w:tc>
          <w:tcPr>
            <w:tcW w:w="743" w:type="dxa"/>
            <w:vAlign w:val="center"/>
          </w:tcPr>
          <w:p w14:paraId="0806173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5年</w:t>
            </w:r>
          </w:p>
        </w:tc>
        <w:tc>
          <w:tcPr>
            <w:tcW w:w="564" w:type="dxa"/>
            <w:vAlign w:val="center"/>
          </w:tcPr>
          <w:p w14:paraId="6CB5B0D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套/年</w:t>
            </w:r>
          </w:p>
        </w:tc>
      </w:tr>
      <w:tr w14:paraId="00AB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67D3B6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58" w:type="dxa"/>
            <w:vAlign w:val="center"/>
          </w:tcPr>
          <w:p w14:paraId="5D5BB15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奖惩点评</w:t>
            </w:r>
          </w:p>
        </w:tc>
        <w:tc>
          <w:tcPr>
            <w:tcW w:w="1037" w:type="dxa"/>
            <w:vAlign w:val="center"/>
          </w:tcPr>
          <w:p w14:paraId="21AEF374">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4FBE805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过程性评价，主打课堂场景，对学生课堂表现等行为进行即时点评，同时可以小组形式对班级小组或学生进行点评。</w:t>
            </w:r>
          </w:p>
        </w:tc>
        <w:tc>
          <w:tcPr>
            <w:tcW w:w="743" w:type="dxa"/>
            <w:vAlign w:val="center"/>
          </w:tcPr>
          <w:p w14:paraId="5A4F0D6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564" w:type="dxa"/>
            <w:vAlign w:val="center"/>
          </w:tcPr>
          <w:p w14:paraId="25C138C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套/年</w:t>
            </w:r>
          </w:p>
        </w:tc>
      </w:tr>
      <w:tr w14:paraId="25D1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5E72C8B3">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58" w:type="dxa"/>
            <w:vAlign w:val="center"/>
          </w:tcPr>
          <w:p w14:paraId="748A65A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日常评价</w:t>
            </w:r>
          </w:p>
        </w:tc>
        <w:tc>
          <w:tcPr>
            <w:tcW w:w="1037" w:type="dxa"/>
            <w:vAlign w:val="center"/>
          </w:tcPr>
          <w:p w14:paraId="7C6A88D0">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1E0F88F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主打学生日常行规点评，如进校、出操、早读、眼保健操、午休、晚自习等学生日常行为规范类的项目点评。</w:t>
            </w:r>
          </w:p>
        </w:tc>
        <w:tc>
          <w:tcPr>
            <w:tcW w:w="743" w:type="dxa"/>
            <w:vAlign w:val="center"/>
          </w:tcPr>
          <w:p w14:paraId="5506AA9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564" w:type="dxa"/>
            <w:vAlign w:val="center"/>
          </w:tcPr>
          <w:p w14:paraId="7BCA956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套/年</w:t>
            </w:r>
          </w:p>
        </w:tc>
      </w:tr>
      <w:tr w14:paraId="64B8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72D2F8D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758" w:type="dxa"/>
            <w:vAlign w:val="center"/>
          </w:tcPr>
          <w:p w14:paraId="22A1C62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班级评价</w:t>
            </w:r>
          </w:p>
        </w:tc>
        <w:tc>
          <w:tcPr>
            <w:tcW w:w="1037" w:type="dxa"/>
            <w:vAlign w:val="center"/>
          </w:tcPr>
          <w:p w14:paraId="333C4CF1">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2B6093E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主打班级日常点评，对班级整体进行评价，如班级纪律、卫生等情况的扣加分操作。</w:t>
            </w:r>
          </w:p>
        </w:tc>
        <w:tc>
          <w:tcPr>
            <w:tcW w:w="743" w:type="dxa"/>
            <w:vAlign w:val="center"/>
          </w:tcPr>
          <w:p w14:paraId="33175419">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564" w:type="dxa"/>
            <w:vAlign w:val="center"/>
          </w:tcPr>
          <w:p w14:paraId="2101FFA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套/年</w:t>
            </w:r>
          </w:p>
        </w:tc>
      </w:tr>
      <w:tr w14:paraId="66A9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25FC2E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758" w:type="dxa"/>
            <w:vAlign w:val="center"/>
          </w:tcPr>
          <w:p w14:paraId="7EC5ACE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数据大屏</w:t>
            </w:r>
          </w:p>
        </w:tc>
        <w:tc>
          <w:tcPr>
            <w:tcW w:w="1037" w:type="dxa"/>
            <w:vAlign w:val="center"/>
          </w:tcPr>
          <w:p w14:paraId="0087EE19">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79C5DB1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实现校园评价数据可视化，评价情况，学生得分滚动，教师评价量统计等信息一目了然，助力学校素质评价改革。</w:t>
            </w:r>
          </w:p>
        </w:tc>
        <w:tc>
          <w:tcPr>
            <w:tcW w:w="743" w:type="dxa"/>
            <w:vAlign w:val="center"/>
          </w:tcPr>
          <w:p w14:paraId="36721EE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564" w:type="dxa"/>
            <w:vAlign w:val="center"/>
          </w:tcPr>
          <w:p w14:paraId="53184F5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套/年</w:t>
            </w:r>
          </w:p>
        </w:tc>
      </w:tr>
      <w:tr w14:paraId="054E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1A1CF93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758" w:type="dxa"/>
            <w:vAlign w:val="center"/>
          </w:tcPr>
          <w:p w14:paraId="6490797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学生综合素质报告单</w:t>
            </w:r>
          </w:p>
        </w:tc>
        <w:tc>
          <w:tcPr>
            <w:tcW w:w="1037" w:type="dxa"/>
            <w:vAlign w:val="center"/>
          </w:tcPr>
          <w:p w14:paraId="1590613D">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5EEF0B9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学生综合素质报告单属于定制性增值功能，可根据学校定制个性化素质报告单。</w:t>
            </w:r>
          </w:p>
          <w:p w14:paraId="139BB28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包含学业水平、综合素质评价、体质健康、奖惩情况、班主任寄语、学生出勤信息以及自定义模块等信息的录入，报告单导出生成、打印等功能。</w:t>
            </w:r>
          </w:p>
          <w:p w14:paraId="571D0B1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可对家长推送移动端报告单。</w:t>
            </w:r>
          </w:p>
        </w:tc>
        <w:tc>
          <w:tcPr>
            <w:tcW w:w="743" w:type="dxa"/>
            <w:vAlign w:val="center"/>
          </w:tcPr>
          <w:p w14:paraId="103F124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564" w:type="dxa"/>
            <w:vAlign w:val="center"/>
          </w:tcPr>
          <w:p w14:paraId="5EABF11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套/年</w:t>
            </w:r>
          </w:p>
        </w:tc>
      </w:tr>
      <w:tr w14:paraId="5D02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21D0A97A">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十四、巡课系统</w:t>
            </w:r>
          </w:p>
        </w:tc>
      </w:tr>
      <w:tr w14:paraId="3ADF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4192A96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58" w:type="dxa"/>
            <w:vAlign w:val="center"/>
          </w:tcPr>
          <w:p w14:paraId="32798ABE">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日常巡课系统</w:t>
            </w:r>
          </w:p>
        </w:tc>
        <w:tc>
          <w:tcPr>
            <w:tcW w:w="1037" w:type="dxa"/>
            <w:vAlign w:val="center"/>
          </w:tcPr>
          <w:p w14:paraId="7BCC68F2">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6BE30884">
            <w:pPr>
              <w:numPr>
                <w:ilvl w:val="0"/>
                <w:numId w:val="8"/>
              </w:num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历史巡课：系统设定相关检查人员老师，进行不同教学楼上课巡查，对于违规原因和课堂表扬好的老师进行点评，钉钉系统自动推送给该老师，支持照片或视频上传。</w:t>
            </w:r>
          </w:p>
          <w:p w14:paraId="7FCAB2D9">
            <w:pPr>
              <w:numPr>
                <w:ilvl w:val="0"/>
                <w:numId w:val="8"/>
              </w:num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巡查管理：校领导支持数据查看、修改和数据导出，普通老师只能查看自己推送的数据情况</w:t>
            </w:r>
          </w:p>
          <w:p w14:paraId="1E3C3BA0">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3、云平台部署，终身可使用</w:t>
            </w:r>
          </w:p>
        </w:tc>
        <w:tc>
          <w:tcPr>
            <w:tcW w:w="743" w:type="dxa"/>
            <w:vAlign w:val="center"/>
          </w:tcPr>
          <w:p w14:paraId="07C8284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24BE7D7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14:paraId="3C1B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0DCFA3E">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58" w:type="dxa"/>
            <w:vAlign w:val="center"/>
          </w:tcPr>
          <w:p w14:paraId="5878DBF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课后服务系统</w:t>
            </w:r>
          </w:p>
        </w:tc>
        <w:tc>
          <w:tcPr>
            <w:tcW w:w="1037" w:type="dxa"/>
            <w:vAlign w:val="center"/>
          </w:tcPr>
          <w:p w14:paraId="2F9C4CFB">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1A420B62">
            <w:pPr>
              <w:numPr>
                <w:ilvl w:val="0"/>
                <w:numId w:val="9"/>
              </w:numP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课后服务巡查：系统设定指定的巡查老师，系统自动显示单日带班老师系统，记录出勤情况，每个班级支持支持照片或视频上传,对于违规原因的老师或者班级进行记录，实时钉钉推送.</w:t>
            </w:r>
          </w:p>
          <w:p w14:paraId="72BB6C0A">
            <w:pPr>
              <w:numPr>
                <w:ilvl w:val="0"/>
                <w:numId w:val="9"/>
              </w:num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历史数据：校领导支持数据查看、修改和数据导出</w:t>
            </w:r>
          </w:p>
          <w:p w14:paraId="1B2CB9BD">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3、云平台部署，终身可使用</w:t>
            </w:r>
          </w:p>
        </w:tc>
        <w:tc>
          <w:tcPr>
            <w:tcW w:w="743" w:type="dxa"/>
            <w:vAlign w:val="center"/>
          </w:tcPr>
          <w:p w14:paraId="1DDE561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759A50D4">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14:paraId="7C9F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0EE1845C">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十五、调代课系统</w:t>
            </w:r>
          </w:p>
        </w:tc>
      </w:tr>
      <w:tr w14:paraId="0F46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A64E89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58" w:type="dxa"/>
            <w:vAlign w:val="center"/>
          </w:tcPr>
          <w:p w14:paraId="5C3CC68B">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课表查看</w:t>
            </w:r>
          </w:p>
        </w:tc>
        <w:tc>
          <w:tcPr>
            <w:tcW w:w="1037" w:type="dxa"/>
            <w:vAlign w:val="center"/>
          </w:tcPr>
          <w:p w14:paraId="2299B7D6">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7E2E5173">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普通任课老师：手机随时查看个人/班级课表 </w:t>
            </w:r>
          </w:p>
          <w:p w14:paraId="51F7984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管理者：教务管理者查看全校课表 实时动态更新课表</w:t>
            </w:r>
          </w:p>
          <w:p w14:paraId="229973B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云平台部署，终身可使用</w:t>
            </w:r>
          </w:p>
        </w:tc>
        <w:tc>
          <w:tcPr>
            <w:tcW w:w="743" w:type="dxa"/>
            <w:vAlign w:val="center"/>
          </w:tcPr>
          <w:p w14:paraId="73F84B54">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176EC34A">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14:paraId="7964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2444511D">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58" w:type="dxa"/>
            <w:vAlign w:val="center"/>
          </w:tcPr>
          <w:p w14:paraId="6BE88034">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（代）发起调课、代课</w:t>
            </w:r>
          </w:p>
        </w:tc>
        <w:tc>
          <w:tcPr>
            <w:tcW w:w="1037" w:type="dxa"/>
            <w:vAlign w:val="center"/>
          </w:tcPr>
          <w:p w14:paraId="518B2D58">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63577CE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1.多种审批模式:管理员/被调代课老师审批</w:t>
            </w:r>
          </w:p>
          <w:p w14:paraId="2E5EC3D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2.手机端随时发起调代课申请</w:t>
            </w:r>
          </w:p>
          <w:p w14:paraId="048CE65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3.区分因公因私申请类型</w:t>
            </w:r>
          </w:p>
          <w:p w14:paraId="2C6DE83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4.实时推送钉钉课表变更通知</w:t>
            </w:r>
          </w:p>
        </w:tc>
        <w:tc>
          <w:tcPr>
            <w:tcW w:w="743" w:type="dxa"/>
            <w:vAlign w:val="center"/>
          </w:tcPr>
          <w:p w14:paraId="0F72071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2487661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14:paraId="2EC3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F683AA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58" w:type="dxa"/>
            <w:vAlign w:val="center"/>
          </w:tcPr>
          <w:p w14:paraId="2C9DF24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课时统计</w:t>
            </w:r>
          </w:p>
        </w:tc>
        <w:tc>
          <w:tcPr>
            <w:tcW w:w="1037" w:type="dxa"/>
            <w:vAlign w:val="center"/>
          </w:tcPr>
          <w:p w14:paraId="42637131">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7BFA4CDF">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1.智能汇总代课/假期/补课等变更情况 </w:t>
            </w:r>
          </w:p>
          <w:p w14:paraId="4C6412A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2.统计实际课时为教师绩效提供依据 </w:t>
            </w:r>
          </w:p>
          <w:p w14:paraId="362D66DE">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3.筛选时段一键导出课时统计报表</w:t>
            </w:r>
          </w:p>
          <w:p w14:paraId="06D01B5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4.云平台部署，终身可使用</w:t>
            </w:r>
          </w:p>
        </w:tc>
        <w:tc>
          <w:tcPr>
            <w:tcW w:w="743" w:type="dxa"/>
            <w:vAlign w:val="center"/>
          </w:tcPr>
          <w:p w14:paraId="78B546B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5D660B0E">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14:paraId="430A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Align w:val="center"/>
          </w:tcPr>
          <w:p w14:paraId="0A6E444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58" w:type="dxa"/>
            <w:vAlign w:val="center"/>
          </w:tcPr>
          <w:p w14:paraId="433D172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排课系统</w:t>
            </w:r>
          </w:p>
        </w:tc>
        <w:tc>
          <w:tcPr>
            <w:tcW w:w="1037" w:type="dxa"/>
            <w:vAlign w:val="center"/>
          </w:tcPr>
          <w:p w14:paraId="19AE0D16">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国产</w:t>
            </w:r>
          </w:p>
        </w:tc>
        <w:tc>
          <w:tcPr>
            <w:tcW w:w="5024" w:type="dxa"/>
            <w:vAlign w:val="center"/>
          </w:tcPr>
          <w:p w14:paraId="4538B74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基础规则要求：1、教案按周平齐，连堂课；2、教案按天平齐，合班课；3、同时上课、课程互斥、单双周</w:t>
            </w:r>
          </w:p>
          <w:p w14:paraId="2BDBA756">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课程合理性要求：1、课程跟随；2、课程不相邻；3、课程相邻</w:t>
            </w:r>
          </w:p>
          <w:p w14:paraId="24AF5CD8">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个人课表质量要求：1、当日两课不跨上下午；2、上下午课程数均衡；3、班级交替上课；4、跳课减少及均衡；4、减少上下课连续上课；、教案不穿插</w:t>
            </w:r>
          </w:p>
          <w:p w14:paraId="768992B2">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老师个人特殊要求：1、首末节避免排课；2、师徒教师不同时上课等</w:t>
            </w:r>
          </w:p>
          <w:p w14:paraId="16CDBAC4">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学校活动安排要求：1、集体活动不排课； 2、参会老师不排课； 3、教研活动不排课；</w:t>
            </w:r>
          </w:p>
          <w:p w14:paraId="6D82ADAB">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发布应用课表：1、自动生成总课表、班级课表、教师课表；2、学期中有安排调整，可以轻松调整发布，再不用担心纸张浪费</w:t>
            </w:r>
          </w:p>
          <w:p w14:paraId="494D695D">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查看课表：1、查看课表，不用放大镜，电脑端或手机端查看，清晰美观的课表页面，方便教务巡课，找人。</w:t>
            </w:r>
          </w:p>
          <w:p w14:paraId="39CFF285">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云平台部署，终身可使用</w:t>
            </w:r>
          </w:p>
        </w:tc>
        <w:tc>
          <w:tcPr>
            <w:tcW w:w="743" w:type="dxa"/>
            <w:vAlign w:val="center"/>
          </w:tcPr>
          <w:p w14:paraId="7997BB1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64" w:type="dxa"/>
            <w:vAlign w:val="center"/>
          </w:tcPr>
          <w:p w14:paraId="4CF08AD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bl>
    <w:p w14:paraId="78C71E61">
      <w:pPr>
        <w:rPr>
          <w:color w:val="auto"/>
          <w:highlight w:val="none"/>
        </w:rPr>
      </w:pPr>
    </w:p>
    <w:p w14:paraId="3FA6AE2E">
      <w:pPr>
        <w:pStyle w:val="2"/>
        <w:rPr>
          <w:color w:val="auto"/>
          <w:sz w:val="28"/>
          <w:szCs w:val="28"/>
          <w:highlight w:val="none"/>
        </w:rPr>
      </w:pPr>
      <w:bookmarkStart w:id="68" w:name="_Toc19388"/>
      <w:r>
        <w:rPr>
          <w:rFonts w:hint="eastAsia"/>
          <w:color w:val="auto"/>
          <w:sz w:val="28"/>
          <w:szCs w:val="28"/>
          <w:highlight w:val="none"/>
        </w:rPr>
        <w:t>5.1新媒体视频直播宣传设备招标要求</w:t>
      </w:r>
      <w:bookmarkEnd w:id="68"/>
    </w:p>
    <w:p w14:paraId="7874F7C5">
      <w:pPr>
        <w:spacing w:line="500" w:lineRule="exact"/>
        <w:ind w:firstLine="560" w:firstLineChars="200"/>
        <w:rPr>
          <w:rFonts w:hint="eastAsia"/>
          <w:color w:val="auto"/>
          <w:sz w:val="28"/>
          <w:szCs w:val="28"/>
          <w:highlight w:val="none"/>
        </w:rPr>
      </w:pPr>
      <w:r>
        <w:rPr>
          <w:rFonts w:hint="eastAsia"/>
          <w:color w:val="auto"/>
          <w:sz w:val="28"/>
          <w:szCs w:val="28"/>
          <w:highlight w:val="none"/>
        </w:rPr>
        <w:t>1）要求在大型文艺会演中声音采集清晰，图像、色彩、亮度等视频还原度好，能够快速适应灯光变换的要求。</w:t>
      </w:r>
    </w:p>
    <w:p w14:paraId="3A523156">
      <w:pPr>
        <w:spacing w:line="500" w:lineRule="exact"/>
        <w:ind w:firstLine="560" w:firstLineChars="200"/>
        <w:rPr>
          <w:color w:val="auto"/>
          <w:sz w:val="28"/>
          <w:szCs w:val="28"/>
          <w:highlight w:val="none"/>
        </w:rPr>
      </w:pPr>
      <w:r>
        <w:rPr>
          <w:rFonts w:hint="eastAsia"/>
          <w:color w:val="auto"/>
          <w:sz w:val="28"/>
          <w:szCs w:val="28"/>
          <w:highlight w:val="none"/>
        </w:rPr>
        <w:t>2）验收时间2025年下半年金秋音乐会期间，要求中标产品现场直播、录制一场节目，声音、视频优于上半年六一文艺会演（可通过微信扫一扫观看上半年六一文艺会演二个录制的示例视频），直播信号稳定</w:t>
      </w:r>
    </w:p>
    <w:p w14:paraId="7E3B71F3">
      <w:pPr>
        <w:spacing w:line="500" w:lineRule="exact"/>
        <w:ind w:firstLine="560" w:firstLineChars="200"/>
        <w:rPr>
          <w:rFonts w:hint="eastAsia"/>
          <w:color w:val="auto"/>
          <w:sz w:val="28"/>
          <w:szCs w:val="28"/>
          <w:highlight w:val="none"/>
        </w:rPr>
      </w:pPr>
      <w:r>
        <w:rPr>
          <w:rFonts w:hint="eastAsia"/>
          <w:color w:val="auto"/>
          <w:sz w:val="28"/>
          <w:szCs w:val="28"/>
          <w:highlight w:val="none"/>
        </w:rPr>
        <w:t>3）为防止采购的直播平台较差，特别强调“满足每个月1-2场重大活动的直播，每场直播观看并发人数≥3000人、5-6小时时长、1080P信号、码率2Mbps“</w:t>
      </w:r>
    </w:p>
    <w:p w14:paraId="498F82F2">
      <w:pPr>
        <w:spacing w:line="500" w:lineRule="exact"/>
        <w:rPr>
          <w:color w:val="auto"/>
          <w:sz w:val="28"/>
          <w:szCs w:val="28"/>
          <w:highlight w:val="none"/>
        </w:rPr>
      </w:pPr>
    </w:p>
    <w:tbl>
      <w:tblPr>
        <w:tblStyle w:val="63"/>
        <w:tblW w:w="7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6"/>
        <w:gridCol w:w="4146"/>
      </w:tblGrid>
      <w:tr w14:paraId="124F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1" w:hRule="atLeast"/>
        </w:trPr>
        <w:tc>
          <w:tcPr>
            <w:tcW w:w="3590" w:type="dxa"/>
          </w:tcPr>
          <w:p w14:paraId="219F4792">
            <w:pPr>
              <w:rPr>
                <w:rFonts w:hint="eastAsia"/>
                <w:color w:val="auto"/>
                <w:sz w:val="28"/>
                <w:szCs w:val="28"/>
                <w:highlight w:val="none"/>
              </w:rPr>
            </w:pPr>
            <w:r>
              <w:rPr>
                <w:rFonts w:hint="eastAsia"/>
                <w:color w:val="auto"/>
                <w:sz w:val="28"/>
                <w:szCs w:val="28"/>
                <w:highlight w:val="none"/>
              </w:rPr>
              <w:drawing>
                <wp:inline distT="0" distB="0" distL="0" distR="0">
                  <wp:extent cx="2425700" cy="2406650"/>
                  <wp:effectExtent l="0" t="0" r="12700" b="12700"/>
                  <wp:docPr id="1" name="图片 3" descr="QR 代码&#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QR 代码&#10;&#10;AI 生成的内容可能不正确。"/>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425700" cy="2406650"/>
                          </a:xfrm>
                          <a:prstGeom prst="rect">
                            <a:avLst/>
                          </a:prstGeom>
                          <a:noFill/>
                          <a:ln>
                            <a:noFill/>
                          </a:ln>
                        </pic:spPr>
                      </pic:pic>
                    </a:graphicData>
                  </a:graphic>
                </wp:inline>
              </w:drawing>
            </w:r>
          </w:p>
        </w:tc>
        <w:tc>
          <w:tcPr>
            <w:tcW w:w="3590" w:type="dxa"/>
          </w:tcPr>
          <w:p w14:paraId="768974B7">
            <w:pPr>
              <w:rPr>
                <w:rFonts w:hint="eastAsia"/>
                <w:color w:val="auto"/>
                <w:sz w:val="28"/>
                <w:szCs w:val="28"/>
                <w:highlight w:val="none"/>
              </w:rPr>
            </w:pPr>
            <w:r>
              <w:rPr>
                <w:rFonts w:hint="eastAsia"/>
                <w:color w:val="auto"/>
                <w:sz w:val="28"/>
                <w:szCs w:val="28"/>
                <w:highlight w:val="none"/>
              </w:rPr>
              <w:drawing>
                <wp:inline distT="0" distB="0" distL="0" distR="0">
                  <wp:extent cx="2495550" cy="2387600"/>
                  <wp:effectExtent l="0" t="0" r="0" b="12700"/>
                  <wp:docPr id="2" name="图片 4" descr="QR 代码&#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QR 代码&#10;&#10;AI 生成的内容可能不正确。"/>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495550" cy="2387600"/>
                          </a:xfrm>
                          <a:prstGeom prst="rect">
                            <a:avLst/>
                          </a:prstGeom>
                          <a:noFill/>
                          <a:ln>
                            <a:noFill/>
                          </a:ln>
                        </pic:spPr>
                      </pic:pic>
                    </a:graphicData>
                  </a:graphic>
                </wp:inline>
              </w:drawing>
            </w:r>
          </w:p>
        </w:tc>
      </w:tr>
      <w:tr w14:paraId="007D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90" w:type="dxa"/>
          </w:tcPr>
          <w:p w14:paraId="12880EA6">
            <w:pPr>
              <w:jc w:val="center"/>
              <w:rPr>
                <w:rFonts w:hint="eastAsia"/>
                <w:color w:val="auto"/>
                <w:sz w:val="28"/>
                <w:szCs w:val="28"/>
                <w:highlight w:val="none"/>
              </w:rPr>
            </w:pPr>
            <w:r>
              <w:rPr>
                <w:rFonts w:hint="eastAsia"/>
                <w:color w:val="auto"/>
                <w:sz w:val="28"/>
                <w:szCs w:val="28"/>
                <w:highlight w:val="none"/>
              </w:rPr>
              <w:t>湖塘小学</w:t>
            </w:r>
          </w:p>
        </w:tc>
        <w:tc>
          <w:tcPr>
            <w:tcW w:w="3590" w:type="dxa"/>
          </w:tcPr>
          <w:p w14:paraId="08A6C26F">
            <w:pPr>
              <w:jc w:val="center"/>
              <w:rPr>
                <w:rFonts w:hint="eastAsia"/>
                <w:color w:val="auto"/>
                <w:sz w:val="28"/>
                <w:szCs w:val="28"/>
                <w:highlight w:val="none"/>
              </w:rPr>
            </w:pPr>
            <w:r>
              <w:rPr>
                <w:rFonts w:hint="eastAsia"/>
                <w:color w:val="auto"/>
                <w:sz w:val="28"/>
                <w:szCs w:val="28"/>
                <w:highlight w:val="none"/>
              </w:rPr>
              <w:t>漓渚小学</w:t>
            </w:r>
          </w:p>
        </w:tc>
      </w:tr>
    </w:tbl>
    <w:p w14:paraId="581EA0BB">
      <w:pPr>
        <w:snapToGrid w:val="0"/>
        <w:spacing w:line="360" w:lineRule="auto"/>
        <w:jc w:val="center"/>
        <w:rPr>
          <w:rFonts w:hint="eastAsia" w:ascii="仿宋" w:hAnsi="仿宋" w:eastAsia="仿宋" w:cs="仿宋_GB2312"/>
          <w:b/>
          <w:color w:val="auto"/>
          <w:sz w:val="32"/>
          <w:highlight w:val="none"/>
        </w:rPr>
      </w:pPr>
    </w:p>
    <w:p w14:paraId="582A3C33">
      <w:pPr>
        <w:snapToGrid w:val="0"/>
        <w:spacing w:line="360" w:lineRule="auto"/>
        <w:jc w:val="center"/>
        <w:rPr>
          <w:rFonts w:hint="eastAsia" w:ascii="仿宋" w:hAnsi="仿宋" w:eastAsia="仿宋" w:cs="仿宋_GB2312"/>
          <w:b/>
          <w:color w:val="auto"/>
          <w:sz w:val="32"/>
          <w:highlight w:val="none"/>
        </w:rPr>
      </w:pPr>
    </w:p>
    <w:p w14:paraId="7DF52A43">
      <w:pPr>
        <w:snapToGrid w:val="0"/>
        <w:spacing w:line="360" w:lineRule="auto"/>
        <w:jc w:val="center"/>
        <w:rPr>
          <w:rFonts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3CAEF9D5">
      <w:pPr>
        <w:widowControl/>
        <w:snapToGrid w:val="0"/>
        <w:spacing w:line="360" w:lineRule="auto"/>
        <w:rPr>
          <w:rFonts w:ascii="仿宋" w:eastAsia="仿宋"/>
          <w:b/>
          <w:bCs/>
          <w:color w:val="auto"/>
          <w:kern w:val="0"/>
          <w:sz w:val="24"/>
          <w:highlight w:val="none"/>
        </w:rPr>
      </w:pPr>
      <w:r>
        <w:rPr>
          <w:rFonts w:hint="eastAsia" w:ascii="仿宋" w:eastAsia="仿宋"/>
          <w:b/>
          <w:bCs/>
          <w:color w:val="auto"/>
          <w:kern w:val="0"/>
          <w:sz w:val="24"/>
          <w:highlight w:val="none"/>
        </w:rPr>
        <w:t>2.1供货期限</w:t>
      </w:r>
    </w:p>
    <w:p w14:paraId="46B89809">
      <w:pPr>
        <w:widowControl/>
        <w:snapToGrid w:val="0"/>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自合同签订之后，45日历天内完成供货安装及调试。</w:t>
      </w:r>
    </w:p>
    <w:p w14:paraId="59A0F346">
      <w:pPr>
        <w:widowControl/>
        <w:snapToGrid w:val="0"/>
        <w:spacing w:line="360" w:lineRule="auto"/>
        <w:rPr>
          <w:rFonts w:hint="eastAsia" w:ascii="仿宋" w:eastAsia="仿宋"/>
          <w:b/>
          <w:bCs/>
          <w:color w:val="auto"/>
          <w:kern w:val="0"/>
          <w:sz w:val="24"/>
          <w:highlight w:val="none"/>
        </w:rPr>
      </w:pPr>
      <w:r>
        <w:rPr>
          <w:rFonts w:hint="eastAsia" w:ascii="仿宋" w:eastAsia="仿宋"/>
          <w:b/>
          <w:bCs/>
          <w:color w:val="auto"/>
          <w:kern w:val="0"/>
          <w:sz w:val="24"/>
          <w:highlight w:val="none"/>
        </w:rPr>
        <w:t>2.2供货地点</w:t>
      </w:r>
    </w:p>
    <w:p w14:paraId="4C8ABF9E">
      <w:pPr>
        <w:widowControl/>
        <w:snapToGrid w:val="0"/>
        <w:spacing w:line="360" w:lineRule="auto"/>
        <w:ind w:firstLine="480" w:firstLineChars="200"/>
        <w:rPr>
          <w:rFonts w:hint="eastAsia"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华舍小学。</w:t>
      </w:r>
    </w:p>
    <w:p w14:paraId="30599B47">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2.3质保期</w:t>
      </w:r>
    </w:p>
    <w:p w14:paraId="689F55CC">
      <w:pPr>
        <w:pStyle w:val="3"/>
        <w:numPr>
          <w:ilvl w:val="0"/>
          <w:numId w:val="0"/>
        </w:numPr>
        <w:ind w:leftChars="0" w:firstLine="480" w:firstLineChars="200"/>
        <w:rPr>
          <w:rFonts w:hint="eastAsia" w:ascii="仿宋" w:eastAsia="仿宋"/>
          <w:b w:val="0"/>
          <w:bCs w:val="0"/>
          <w:color w:val="auto"/>
          <w:sz w:val="24"/>
          <w:highlight w:val="none"/>
        </w:rPr>
      </w:pPr>
      <w:r>
        <w:rPr>
          <w:rFonts w:hint="eastAsia" w:ascii="仿宋" w:eastAsia="仿宋"/>
          <w:b w:val="0"/>
          <w:bCs w:val="0"/>
          <w:color w:val="auto"/>
          <w:sz w:val="24"/>
          <w:highlight w:val="none"/>
        </w:rPr>
        <w:t>本次采购质保期为</w:t>
      </w:r>
      <w:r>
        <w:rPr>
          <w:rFonts w:hint="eastAsia" w:ascii="仿宋" w:hAnsi="仿宋" w:eastAsia="仿宋" w:cs="Arial"/>
          <w:b w:val="0"/>
          <w:bCs w:val="0"/>
          <w:color w:val="auto"/>
          <w:kern w:val="0"/>
          <w:sz w:val="24"/>
          <w:highlight w:val="none"/>
          <w:u w:val="single"/>
        </w:rPr>
        <w:t xml:space="preserve"> </w:t>
      </w:r>
      <w:r>
        <w:rPr>
          <w:rFonts w:hint="eastAsia" w:ascii="仿宋" w:eastAsia="仿宋" w:cs="Arial"/>
          <w:b w:val="0"/>
          <w:bCs w:val="0"/>
          <w:color w:val="auto"/>
          <w:kern w:val="0"/>
          <w:sz w:val="24"/>
          <w:highlight w:val="none"/>
          <w:u w:val="single"/>
          <w:lang w:val="en-US" w:eastAsia="zh-CN"/>
        </w:rPr>
        <w:t>5</w:t>
      </w:r>
      <w:r>
        <w:rPr>
          <w:rFonts w:hint="eastAsia" w:ascii="仿宋" w:hAnsi="仿宋" w:eastAsia="仿宋" w:cs="Arial"/>
          <w:b w:val="0"/>
          <w:bCs w:val="0"/>
          <w:color w:val="auto"/>
          <w:kern w:val="0"/>
          <w:sz w:val="24"/>
          <w:highlight w:val="none"/>
          <w:u w:val="single"/>
        </w:rPr>
        <w:t xml:space="preserve"> </w:t>
      </w:r>
      <w:r>
        <w:rPr>
          <w:rFonts w:hint="eastAsia" w:ascii="仿宋" w:eastAsia="仿宋"/>
          <w:b w:val="0"/>
          <w:bCs w:val="0"/>
          <w:color w:val="auto"/>
          <w:sz w:val="24"/>
          <w:highlight w:val="none"/>
        </w:rPr>
        <w:t>年。</w:t>
      </w:r>
    </w:p>
    <w:p w14:paraId="03EB7D90">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2.4售后服务</w:t>
      </w:r>
    </w:p>
    <w:p w14:paraId="4C9D1E92">
      <w:pPr>
        <w:widowControl/>
        <w:snapToGrid w:val="0"/>
        <w:spacing w:line="360" w:lineRule="auto"/>
        <w:ind w:firstLine="479"/>
        <w:rPr>
          <w:rFonts w:hint="eastAsia" w:ascii="仿宋" w:eastAsia="仿宋"/>
          <w:color w:val="auto"/>
          <w:sz w:val="24"/>
          <w:highlight w:val="none"/>
        </w:rPr>
      </w:pPr>
      <w:r>
        <w:rPr>
          <w:rFonts w:hint="eastAsia" w:ascii="仿宋" w:eastAsia="仿宋"/>
          <w:color w:val="auto"/>
          <w:kern w:val="0"/>
          <w:sz w:val="24"/>
          <w:highlight w:val="none"/>
        </w:rPr>
        <w:t>中标人需提供专门的售后服务电话，中标人在接到采购人通知后，</w:t>
      </w:r>
      <w:r>
        <w:rPr>
          <w:rFonts w:hint="eastAsia" w:ascii="仿宋" w:hAnsi="仿宋" w:eastAsia="仿宋" w:cs="Arial"/>
          <w:color w:val="auto"/>
          <w:kern w:val="0"/>
          <w:sz w:val="24"/>
          <w:highlight w:val="none"/>
          <w:u w:val="single"/>
        </w:rPr>
        <w:t xml:space="preserve"> </w:t>
      </w:r>
      <w:r>
        <w:rPr>
          <w:rFonts w:hint="eastAsia" w:ascii="仿宋" w:hAnsi="仿宋" w:eastAsia="仿宋" w:cs="Arial"/>
          <w:color w:val="auto"/>
          <w:kern w:val="0"/>
          <w:sz w:val="24"/>
          <w:highlight w:val="none"/>
          <w:u w:val="single"/>
          <w:lang w:val="en-US" w:eastAsia="zh-CN"/>
        </w:rPr>
        <w:t xml:space="preserve">2 </w:t>
      </w:r>
      <w:r>
        <w:rPr>
          <w:rFonts w:hint="eastAsia" w:ascii="仿宋" w:eastAsia="仿宋"/>
          <w:color w:val="auto"/>
          <w:kern w:val="0"/>
          <w:sz w:val="24"/>
          <w:highlight w:val="none"/>
        </w:rPr>
        <w:t>小时内做出响应，</w:t>
      </w:r>
      <w:r>
        <w:rPr>
          <w:rFonts w:hint="eastAsia" w:ascii="仿宋" w:hAnsi="仿宋" w:eastAsia="仿宋" w:cs="Arial"/>
          <w:color w:val="auto"/>
          <w:kern w:val="0"/>
          <w:sz w:val="24"/>
          <w:highlight w:val="none"/>
          <w:u w:val="single"/>
        </w:rPr>
        <w:t xml:space="preserve"> </w:t>
      </w:r>
      <w:r>
        <w:rPr>
          <w:rFonts w:hint="eastAsia" w:ascii="仿宋" w:hAnsi="仿宋" w:eastAsia="仿宋" w:cs="Arial"/>
          <w:color w:val="auto"/>
          <w:kern w:val="0"/>
          <w:sz w:val="24"/>
          <w:highlight w:val="none"/>
          <w:u w:val="single"/>
          <w:lang w:val="en-US" w:eastAsia="zh-CN"/>
        </w:rPr>
        <w:t>4</w:t>
      </w:r>
      <w:r>
        <w:rPr>
          <w:rFonts w:hint="eastAsia" w:ascii="仿宋" w:hAnsi="仿宋" w:eastAsia="仿宋" w:cs="Arial"/>
          <w:color w:val="auto"/>
          <w:kern w:val="0"/>
          <w:sz w:val="24"/>
          <w:highlight w:val="none"/>
          <w:u w:val="single"/>
        </w:rPr>
        <w:t xml:space="preserve"> </w:t>
      </w:r>
      <w:r>
        <w:rPr>
          <w:rFonts w:hint="eastAsia" w:ascii="仿宋" w:eastAsia="仿宋"/>
          <w:color w:val="auto"/>
          <w:kern w:val="0"/>
          <w:sz w:val="24"/>
          <w:highlight w:val="none"/>
        </w:rPr>
        <w:t>小时内派人赴现场处理问题。</w:t>
      </w:r>
      <w:r>
        <w:rPr>
          <w:rFonts w:hint="eastAsia" w:ascii="仿宋" w:hAnsi="仿宋" w:eastAsia="仿宋" w:cs="Arial"/>
          <w:color w:val="auto"/>
          <w:kern w:val="0"/>
          <w:sz w:val="24"/>
          <w:highlight w:val="none"/>
          <w:u w:val="single"/>
        </w:rPr>
        <w:t xml:space="preserve"> 24 </w:t>
      </w:r>
      <w:r>
        <w:rPr>
          <w:rFonts w:hint="eastAsia" w:ascii="仿宋" w:eastAsia="仿宋"/>
          <w:color w:val="auto"/>
          <w:kern w:val="0"/>
          <w:sz w:val="24"/>
          <w:highlight w:val="none"/>
        </w:rPr>
        <w:t>小时内无法修复的，中标人需</w:t>
      </w:r>
      <w:r>
        <w:rPr>
          <w:rFonts w:hint="eastAsia" w:ascii="仿宋" w:eastAsia="仿宋"/>
          <w:color w:val="auto"/>
          <w:sz w:val="24"/>
          <w:highlight w:val="none"/>
        </w:rPr>
        <w:t>无偿提供备机或备用零件供采购人使用。</w:t>
      </w:r>
    </w:p>
    <w:p w14:paraId="42F76C18">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2.5技术培训</w:t>
      </w:r>
    </w:p>
    <w:p w14:paraId="13422C21">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中标人需负责对采购人的技术人员进行培训。供应商须在投标文件中提供详细的培训计划，包括培训内容、培训时间、培训费用等。技术培训费用应包含在投标总价。</w:t>
      </w:r>
    </w:p>
    <w:p w14:paraId="6334B351">
      <w:pPr>
        <w:widowControl/>
        <w:snapToGrid w:val="0"/>
        <w:spacing w:line="360" w:lineRule="auto"/>
        <w:rPr>
          <w:rFonts w:hint="eastAsia" w:ascii="仿宋" w:hAnsi="Times New Roman" w:eastAsia="仿宋" w:cs="Times New Roman"/>
          <w:b/>
          <w:bCs/>
          <w:color w:val="auto"/>
          <w:kern w:val="0"/>
          <w:sz w:val="24"/>
          <w:highlight w:val="none"/>
        </w:rPr>
      </w:pPr>
      <w:r>
        <w:rPr>
          <w:rFonts w:hint="eastAsia" w:ascii="仿宋" w:hAnsi="Times New Roman" w:eastAsia="仿宋" w:cs="Times New Roman"/>
          <w:b/>
          <w:bCs/>
          <w:color w:val="auto"/>
          <w:kern w:val="0"/>
          <w:sz w:val="24"/>
          <w:highlight w:val="none"/>
        </w:rPr>
        <w:t>2.</w:t>
      </w:r>
      <w:r>
        <w:rPr>
          <w:rFonts w:hint="eastAsia" w:ascii="仿宋" w:hAnsi="Times New Roman" w:eastAsia="仿宋" w:cs="Times New Roman"/>
          <w:b/>
          <w:bCs/>
          <w:color w:val="auto"/>
          <w:kern w:val="0"/>
          <w:sz w:val="24"/>
          <w:highlight w:val="none"/>
          <w:lang w:val="en-US" w:eastAsia="zh-CN"/>
        </w:rPr>
        <w:t>6</w:t>
      </w:r>
      <w:r>
        <w:rPr>
          <w:rFonts w:hint="eastAsia" w:ascii="仿宋" w:hAnsi="Times New Roman" w:eastAsia="仿宋" w:cs="Times New Roman"/>
          <w:b/>
          <w:bCs/>
          <w:color w:val="auto"/>
          <w:kern w:val="0"/>
          <w:sz w:val="24"/>
          <w:highlight w:val="none"/>
        </w:rPr>
        <w:t>付款方式</w:t>
      </w:r>
    </w:p>
    <w:p w14:paraId="21C07830">
      <w:pPr>
        <w:pStyle w:val="24"/>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2.3.1合同签订后支付合同总价的40%作为预付款；</w:t>
      </w:r>
    </w:p>
    <w:p w14:paraId="227A8935">
      <w:pPr>
        <w:pStyle w:val="24"/>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2.3.2验收</w:t>
      </w:r>
      <w:r>
        <w:rPr>
          <w:rFonts w:hint="eastAsia" w:ascii="仿宋" w:hAnsi="仿宋" w:eastAsia="仿宋" w:cs="仿宋"/>
          <w:color w:val="auto"/>
          <w:highlight w:val="none"/>
          <w:lang w:val="en-US" w:eastAsia="zh-CN"/>
        </w:rPr>
        <w:t>并调试</w:t>
      </w:r>
      <w:r>
        <w:rPr>
          <w:rFonts w:hint="eastAsia" w:ascii="仿宋" w:hAnsi="仿宋" w:eastAsia="仿宋" w:cs="仿宋"/>
          <w:color w:val="auto"/>
          <w:highlight w:val="none"/>
        </w:rPr>
        <w:t>合格后付至合同总价的100%；</w:t>
      </w:r>
    </w:p>
    <w:p w14:paraId="261D185C">
      <w:pPr>
        <w:pStyle w:val="24"/>
        <w:ind w:left="0" w:leftChars="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t>2.3.3中标人未能在约定的时间内完成的，未达到招标文件规定的参数、质量要求，采购人有权暂缓支付</w:t>
      </w:r>
      <w:r>
        <w:rPr>
          <w:rFonts w:hint="eastAsia" w:ascii="仿宋" w:hAnsi="仿宋" w:eastAsia="仿宋" w:cs="仿宋"/>
          <w:color w:val="auto"/>
          <w:highlight w:val="none"/>
          <w:lang w:val="en-US" w:eastAsia="zh-CN"/>
        </w:rPr>
        <w:t>货</w:t>
      </w:r>
      <w:r>
        <w:rPr>
          <w:rFonts w:hint="eastAsia" w:ascii="仿宋" w:hAnsi="仿宋" w:eastAsia="仿宋" w:cs="仿宋"/>
          <w:color w:val="auto"/>
          <w:highlight w:val="none"/>
        </w:rPr>
        <w:t>款</w:t>
      </w:r>
      <w:r>
        <w:rPr>
          <w:rFonts w:hint="eastAsia" w:ascii="仿宋" w:hAnsi="仿宋" w:eastAsia="仿宋" w:cs="仿宋"/>
          <w:color w:val="auto"/>
          <w:highlight w:val="none"/>
          <w:lang w:eastAsia="zh-CN"/>
        </w:rPr>
        <w:t>；</w:t>
      </w:r>
    </w:p>
    <w:p w14:paraId="044538AA">
      <w:pPr>
        <w:pStyle w:val="24"/>
        <w:ind w:left="0" w:leftChars="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t>2.3.4发票应随付款进度同时提供增值税专用发票（按照国家有关规定缴纳相应税费）</w:t>
      </w:r>
      <w:r>
        <w:rPr>
          <w:rFonts w:hint="eastAsia" w:ascii="仿宋" w:hAnsi="仿宋" w:eastAsia="仿宋" w:cs="仿宋"/>
          <w:color w:val="auto"/>
          <w:highlight w:val="none"/>
          <w:lang w:eastAsia="zh-CN"/>
        </w:rPr>
        <w:t>；</w:t>
      </w:r>
    </w:p>
    <w:p w14:paraId="2664C022">
      <w:pPr>
        <w:spacing w:line="360" w:lineRule="auto"/>
        <w:ind w:firstLine="420" w:firstLineChars="200"/>
        <w:rPr>
          <w:rFonts w:hint="eastAsia" w:ascii="仿宋" w:hAnsi="仿宋" w:eastAsia="仿宋" w:cs="仿宋"/>
          <w:color w:val="auto"/>
          <w:kern w:val="2"/>
          <w:highlight w:val="none"/>
        </w:rPr>
      </w:pPr>
      <w:r>
        <w:rPr>
          <w:rFonts w:hint="eastAsia" w:ascii="仿宋" w:hAnsi="仿宋" w:eastAsia="仿宋" w:cs="仿宋"/>
          <w:color w:val="auto"/>
          <w:highlight w:val="none"/>
          <w:lang w:val="en-US" w:eastAsia="zh-CN"/>
        </w:rPr>
        <w:t>2.3.5</w:t>
      </w:r>
      <w:r>
        <w:rPr>
          <w:rFonts w:hint="eastAsia" w:ascii="仿宋" w:eastAsia="仿宋"/>
          <w:color w:val="auto"/>
          <w:sz w:val="24"/>
          <w:highlight w:val="none"/>
        </w:rPr>
        <w:t>涉及中小企业合同的，付款根据浙财采监〔2022〕3号文件相关规定执行。</w:t>
      </w:r>
    </w:p>
    <w:p w14:paraId="2E81AEFD">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w:t>
      </w:r>
      <w:r>
        <w:rPr>
          <w:rFonts w:hint="eastAsia" w:ascii="仿宋" w:hAnsi="仿宋" w:eastAsia="仿宋" w:cs="仿宋"/>
          <w:b/>
          <w:bCs/>
          <w:color w:val="auto"/>
          <w:kern w:val="0"/>
          <w:sz w:val="24"/>
          <w:highlight w:val="none"/>
          <w:lang w:val="en-US" w:eastAsia="zh-CN"/>
        </w:rPr>
        <w:t>7</w:t>
      </w:r>
      <w:r>
        <w:rPr>
          <w:rFonts w:hint="eastAsia" w:ascii="仿宋" w:hAnsi="仿宋" w:eastAsia="仿宋" w:cs="仿宋"/>
          <w:b/>
          <w:bCs/>
          <w:color w:val="auto"/>
          <w:kern w:val="0"/>
          <w:sz w:val="24"/>
          <w:highlight w:val="none"/>
        </w:rPr>
        <w:t>结算原则</w:t>
      </w:r>
    </w:p>
    <w:p w14:paraId="7C14468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2.</w:t>
      </w:r>
      <w:r>
        <w:rPr>
          <w:rFonts w:hint="eastAsia" w:ascii="仿宋" w:hAnsi="Times New Roman" w:eastAsia="仿宋" w:cs="Times New Roman"/>
          <w:color w:val="auto"/>
          <w:kern w:val="0"/>
          <w:sz w:val="24"/>
          <w:highlight w:val="none"/>
          <w:lang w:val="en-US" w:eastAsia="zh-CN"/>
        </w:rPr>
        <w:t>6</w:t>
      </w:r>
      <w:r>
        <w:rPr>
          <w:rFonts w:hint="eastAsia" w:ascii="仿宋" w:hAnsi="Times New Roman" w:eastAsia="仿宋" w:cs="Times New Roman"/>
          <w:color w:val="auto"/>
          <w:kern w:val="0"/>
          <w:sz w:val="24"/>
          <w:highlight w:val="none"/>
        </w:rPr>
        <w:t>.1招标文件、招标答疑会纪要、中标单位的中标报价等作为结算依据；</w:t>
      </w:r>
    </w:p>
    <w:p w14:paraId="776B669F">
      <w:pPr>
        <w:keepNext w:val="0"/>
        <w:keepLines w:val="0"/>
        <w:pageBreakBefore w:val="0"/>
        <w:widowControl/>
        <w:kinsoku/>
        <w:wordWrap/>
        <w:overflowPunct/>
        <w:topLinePunct w:val="0"/>
        <w:autoSpaceDE/>
        <w:autoSpaceDN/>
        <w:bidi w:val="0"/>
        <w:adjustRightInd w:val="0"/>
        <w:snapToGrid w:val="0"/>
        <w:spacing w:line="360" w:lineRule="auto"/>
        <w:ind w:firstLine="479"/>
        <w:textAlignment w:val="auto"/>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2.</w:t>
      </w:r>
      <w:r>
        <w:rPr>
          <w:rFonts w:hint="eastAsia" w:ascii="仿宋" w:hAnsi="Times New Roman" w:eastAsia="仿宋" w:cs="Times New Roman"/>
          <w:color w:val="auto"/>
          <w:kern w:val="0"/>
          <w:sz w:val="24"/>
          <w:highlight w:val="none"/>
          <w:lang w:val="en-US" w:eastAsia="zh-CN"/>
        </w:rPr>
        <w:t>6</w:t>
      </w:r>
      <w:r>
        <w:rPr>
          <w:rFonts w:hint="eastAsia" w:ascii="仿宋" w:hAnsi="Times New Roman" w:eastAsia="仿宋" w:cs="Times New Roman"/>
          <w:color w:val="auto"/>
          <w:kern w:val="0"/>
          <w:sz w:val="24"/>
          <w:highlight w:val="none"/>
        </w:rPr>
        <w:t>.2</w:t>
      </w:r>
      <w:r>
        <w:rPr>
          <w:rFonts w:hint="eastAsia" w:ascii="仿宋" w:hAnsi="Times New Roman" w:eastAsia="仿宋" w:cs="Times New Roman"/>
          <w:color w:val="auto"/>
          <w:kern w:val="0"/>
          <w:sz w:val="24"/>
          <w:highlight w:val="none"/>
          <w:lang w:val="en-US" w:eastAsia="zh-CN"/>
        </w:rPr>
        <w:t>中标单价</w:t>
      </w:r>
      <w:r>
        <w:rPr>
          <w:rFonts w:hint="eastAsia" w:ascii="仿宋" w:hAnsi="Times New Roman" w:eastAsia="仿宋" w:cs="Times New Roman"/>
          <w:color w:val="auto"/>
          <w:kern w:val="0"/>
          <w:sz w:val="24"/>
          <w:highlight w:val="none"/>
        </w:rPr>
        <w:t>一次性包死，不再调整。</w:t>
      </w:r>
    </w:p>
    <w:p w14:paraId="647B37A3">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仿宋" w:eastAsia="仿宋"/>
          <w:b/>
          <w:bCs/>
          <w:color w:val="auto"/>
          <w:sz w:val="24"/>
          <w:highlight w:val="none"/>
        </w:rPr>
      </w:pP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8</w:t>
      </w:r>
      <w:r>
        <w:rPr>
          <w:rFonts w:hint="eastAsia" w:ascii="仿宋" w:eastAsia="仿宋"/>
          <w:b/>
          <w:bCs/>
          <w:color w:val="auto"/>
          <w:sz w:val="24"/>
          <w:highlight w:val="none"/>
        </w:rPr>
        <w:t>数量调整</w:t>
      </w:r>
    </w:p>
    <w:p w14:paraId="46A34AF9">
      <w:pPr>
        <w:widowControl/>
        <w:snapToGrid w:val="0"/>
        <w:spacing w:line="360" w:lineRule="auto"/>
        <w:ind w:firstLine="479"/>
        <w:rPr>
          <w:rFonts w:hint="eastAsia"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282A4FB1">
      <w:pPr>
        <w:widowControl/>
        <w:snapToGrid w:val="0"/>
        <w:spacing w:line="360" w:lineRule="auto"/>
        <w:rPr>
          <w:rFonts w:hint="eastAsia" w:ascii="仿宋" w:eastAsia="仿宋"/>
          <w:b/>
          <w:bCs/>
          <w:color w:val="auto"/>
          <w:kern w:val="0"/>
          <w:sz w:val="24"/>
          <w:highlight w:val="none"/>
        </w:rPr>
      </w:pPr>
      <w:r>
        <w:rPr>
          <w:rFonts w:hint="eastAsia" w:ascii="仿宋" w:eastAsia="仿宋"/>
          <w:b/>
          <w:bCs/>
          <w:color w:val="auto"/>
          <w:kern w:val="0"/>
          <w:sz w:val="24"/>
          <w:highlight w:val="none"/>
        </w:rPr>
        <w:t>2.</w:t>
      </w:r>
      <w:r>
        <w:rPr>
          <w:rFonts w:hint="eastAsia" w:ascii="仿宋" w:eastAsia="仿宋"/>
          <w:b/>
          <w:bCs/>
          <w:color w:val="auto"/>
          <w:kern w:val="0"/>
          <w:sz w:val="24"/>
          <w:highlight w:val="none"/>
          <w:lang w:val="en-US" w:eastAsia="zh-CN"/>
        </w:rPr>
        <w:t>9</w:t>
      </w:r>
      <w:r>
        <w:rPr>
          <w:rFonts w:hint="eastAsia" w:ascii="仿宋" w:eastAsia="仿宋"/>
          <w:b/>
          <w:bCs/>
          <w:color w:val="auto"/>
          <w:kern w:val="0"/>
          <w:sz w:val="24"/>
          <w:highlight w:val="none"/>
        </w:rPr>
        <w:t>验收要求、标准</w:t>
      </w:r>
    </w:p>
    <w:p w14:paraId="2194D997">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2.9.</w:t>
      </w:r>
      <w:r>
        <w:rPr>
          <w:rFonts w:hint="eastAsia" w:ascii="仿宋" w:hAnsi="Times New Roman" w:eastAsia="仿宋" w:cs="Times New Roman"/>
          <w:color w:val="auto"/>
          <w:kern w:val="0"/>
          <w:sz w:val="24"/>
          <w:highlight w:val="none"/>
        </w:rPr>
        <w:t>1验收以采购文件和投标文件、合同及安装技术要求为依据。</w:t>
      </w:r>
    </w:p>
    <w:p w14:paraId="259984EA">
      <w:pPr>
        <w:keepNext w:val="0"/>
        <w:keepLines/>
        <w:pageBreakBefore w:val="0"/>
        <w:widowControl w:val="0"/>
        <w:kinsoku/>
        <w:wordWrap/>
        <w:overflowPunct/>
        <w:topLinePunct w:val="0"/>
        <w:autoSpaceDE/>
        <w:autoSpaceDN/>
        <w:bidi w:val="0"/>
        <w:adjustRightInd w:val="0"/>
        <w:snapToGrid w:val="0"/>
        <w:spacing w:line="360" w:lineRule="auto"/>
        <w:ind w:firstLine="476"/>
        <w:textAlignment w:val="auto"/>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2.</w:t>
      </w:r>
      <w:r>
        <w:rPr>
          <w:rFonts w:hint="eastAsia" w:ascii="仿宋" w:hAnsi="Times New Roman" w:eastAsia="仿宋" w:cs="Times New Roman"/>
          <w:color w:val="auto"/>
          <w:kern w:val="0"/>
          <w:sz w:val="24"/>
          <w:highlight w:val="none"/>
          <w:lang w:val="en-US" w:eastAsia="zh-CN"/>
        </w:rPr>
        <w:t>9</w:t>
      </w:r>
      <w:r>
        <w:rPr>
          <w:rFonts w:hint="eastAsia" w:ascii="仿宋" w:hAnsi="Times New Roman" w:eastAsia="仿宋" w:cs="Times New Roman"/>
          <w:color w:val="auto"/>
          <w:kern w:val="0"/>
          <w:sz w:val="24"/>
          <w:highlight w:val="none"/>
        </w:rPr>
        <w:t>.2供货安装完成后，中标</w:t>
      </w:r>
      <w:r>
        <w:rPr>
          <w:rFonts w:hint="eastAsia" w:ascii="仿宋" w:hAnsi="Times New Roman" w:eastAsia="仿宋" w:cs="Times New Roman"/>
          <w:color w:val="auto"/>
          <w:kern w:val="0"/>
          <w:sz w:val="24"/>
          <w:highlight w:val="none"/>
          <w:lang w:val="en-US" w:eastAsia="zh-CN"/>
        </w:rPr>
        <w:t>人</w:t>
      </w:r>
      <w:r>
        <w:rPr>
          <w:rFonts w:hint="eastAsia" w:ascii="仿宋" w:hAnsi="Times New Roman" w:eastAsia="仿宋" w:cs="Times New Roman"/>
          <w:color w:val="auto"/>
          <w:kern w:val="0"/>
          <w:sz w:val="24"/>
          <w:highlight w:val="none"/>
        </w:rPr>
        <w:t>应该向采购人提交申请验收报告，并且提供主要货物的出厂合格证书（或报告）、检测报告等完整的技术档案资料，若中标供应商未能按照上述要求履行的，导致无法及时验收的，则须由中标</w:t>
      </w:r>
      <w:r>
        <w:rPr>
          <w:rFonts w:hint="eastAsia" w:ascii="仿宋" w:hAnsi="Times New Roman" w:eastAsia="仿宋" w:cs="Times New Roman"/>
          <w:color w:val="auto"/>
          <w:kern w:val="0"/>
          <w:sz w:val="24"/>
          <w:highlight w:val="none"/>
          <w:lang w:val="en-US" w:eastAsia="zh-CN"/>
        </w:rPr>
        <w:t>人</w:t>
      </w:r>
      <w:r>
        <w:rPr>
          <w:rFonts w:hint="eastAsia" w:ascii="仿宋" w:hAnsi="Times New Roman" w:eastAsia="仿宋" w:cs="Times New Roman"/>
          <w:color w:val="auto"/>
          <w:kern w:val="0"/>
          <w:sz w:val="24"/>
          <w:highlight w:val="none"/>
        </w:rPr>
        <w:t>承担一切责任。</w:t>
      </w:r>
    </w:p>
    <w:p w14:paraId="697B4099">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2.</w:t>
      </w:r>
      <w:r>
        <w:rPr>
          <w:rFonts w:hint="eastAsia" w:ascii="仿宋" w:hAnsi="Times New Roman" w:eastAsia="仿宋" w:cs="Times New Roman"/>
          <w:color w:val="auto"/>
          <w:kern w:val="0"/>
          <w:sz w:val="24"/>
          <w:highlight w:val="none"/>
          <w:lang w:val="en-US" w:eastAsia="zh-CN"/>
        </w:rPr>
        <w:t>9</w:t>
      </w:r>
      <w:r>
        <w:rPr>
          <w:rFonts w:hint="eastAsia" w:ascii="仿宋" w:hAnsi="Times New Roman" w:eastAsia="仿宋" w:cs="Times New Roman"/>
          <w:color w:val="auto"/>
          <w:kern w:val="0"/>
          <w:sz w:val="24"/>
          <w:highlight w:val="none"/>
        </w:rPr>
        <w:t>.3验收按国家有关规范标准（国家无验收规范标准的按双方合同规定的要求）进行。采购人保留邀请参加本项目的其他供应商或者第三方机构或相关技术专家参与验收的权利。参与验收的供应商或者第三方机构的意见作为验收书的参考资料一并存档。</w:t>
      </w:r>
    </w:p>
    <w:p w14:paraId="1ABB3277">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2.</w:t>
      </w:r>
      <w:r>
        <w:rPr>
          <w:rFonts w:hint="eastAsia" w:ascii="仿宋" w:hAnsi="Times New Roman" w:eastAsia="仿宋" w:cs="Times New Roman"/>
          <w:color w:val="auto"/>
          <w:kern w:val="0"/>
          <w:sz w:val="24"/>
          <w:highlight w:val="none"/>
          <w:lang w:val="en-US" w:eastAsia="zh-CN"/>
        </w:rPr>
        <w:t>9</w:t>
      </w:r>
      <w:r>
        <w:rPr>
          <w:rFonts w:hint="eastAsia" w:ascii="仿宋" w:hAnsi="Times New Roman" w:eastAsia="仿宋" w:cs="Times New Roman"/>
          <w:color w:val="auto"/>
          <w:kern w:val="0"/>
          <w:sz w:val="24"/>
          <w:highlight w:val="none"/>
        </w:rPr>
        <w:t>.4符合验收条件的，由采购人组织有关部门按照国家、地方有关规范、标准及设计要求进行验收。验收后中标供应商应按照验收中提出的意见整改。</w:t>
      </w:r>
    </w:p>
    <w:p w14:paraId="1D74E51F">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2.</w:t>
      </w:r>
      <w:r>
        <w:rPr>
          <w:rFonts w:hint="eastAsia" w:ascii="仿宋" w:hAnsi="Times New Roman" w:eastAsia="仿宋" w:cs="Times New Roman"/>
          <w:color w:val="auto"/>
          <w:kern w:val="0"/>
          <w:sz w:val="24"/>
          <w:highlight w:val="none"/>
          <w:lang w:val="en-US" w:eastAsia="zh-CN"/>
        </w:rPr>
        <w:t>9</w:t>
      </w:r>
      <w:r>
        <w:rPr>
          <w:rFonts w:hint="eastAsia" w:ascii="仿宋" w:hAnsi="Times New Roman" w:eastAsia="仿宋" w:cs="Times New Roman"/>
          <w:color w:val="auto"/>
          <w:kern w:val="0"/>
          <w:sz w:val="24"/>
          <w:highlight w:val="none"/>
        </w:rPr>
        <w:t>.5整改完毕且复验合格后将本项目货物交给采购人使用，完成日期以通过复验日期为准。</w:t>
      </w:r>
    </w:p>
    <w:p w14:paraId="37CCD5B5">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2.</w:t>
      </w:r>
      <w:r>
        <w:rPr>
          <w:rFonts w:hint="eastAsia" w:ascii="仿宋" w:hAnsi="Times New Roman" w:eastAsia="仿宋" w:cs="Times New Roman"/>
          <w:color w:val="auto"/>
          <w:kern w:val="0"/>
          <w:sz w:val="24"/>
          <w:highlight w:val="none"/>
          <w:lang w:val="en-US" w:eastAsia="zh-CN"/>
        </w:rPr>
        <w:t>9</w:t>
      </w:r>
      <w:r>
        <w:rPr>
          <w:rFonts w:hint="eastAsia" w:ascii="仿宋" w:hAnsi="Times New Roman" w:eastAsia="仿宋" w:cs="Times New Roman"/>
          <w:color w:val="auto"/>
          <w:kern w:val="0"/>
          <w:sz w:val="24"/>
          <w:highlight w:val="none"/>
        </w:rPr>
        <w:t>.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14:paraId="7461D9A9">
      <w:pPr>
        <w:spacing w:line="360" w:lineRule="auto"/>
        <w:ind w:left="720" w:leftChars="343" w:firstLine="1084" w:firstLineChars="300"/>
        <w:outlineLvl w:val="0"/>
        <w:rPr>
          <w:rFonts w:ascii="仿宋" w:hAnsi="仿宋" w:eastAsia="仿宋" w:cs="仿宋"/>
          <w:b/>
          <w:color w:val="auto"/>
          <w:sz w:val="36"/>
          <w:szCs w:val="36"/>
          <w:highlight w:val="none"/>
        </w:rPr>
      </w:pPr>
    </w:p>
    <w:p w14:paraId="38F4CB3F">
      <w:pPr>
        <w:spacing w:line="360" w:lineRule="auto"/>
        <w:ind w:left="720" w:leftChars="343" w:firstLine="1084" w:firstLineChars="300"/>
        <w:outlineLvl w:val="0"/>
        <w:rPr>
          <w:rFonts w:ascii="仿宋" w:hAnsi="仿宋" w:eastAsia="仿宋" w:cs="仿宋"/>
          <w:b/>
          <w:color w:val="auto"/>
          <w:sz w:val="36"/>
          <w:szCs w:val="36"/>
          <w:highlight w:val="none"/>
        </w:rPr>
      </w:pPr>
    </w:p>
    <w:p w14:paraId="27F91C73">
      <w:pPr>
        <w:spacing w:line="360" w:lineRule="auto"/>
        <w:ind w:left="720" w:leftChars="343" w:firstLine="1084" w:firstLineChars="300"/>
        <w:outlineLvl w:val="0"/>
        <w:rPr>
          <w:rFonts w:ascii="仿宋" w:hAnsi="仿宋" w:eastAsia="仿宋" w:cs="仿宋"/>
          <w:b/>
          <w:color w:val="auto"/>
          <w:sz w:val="36"/>
          <w:szCs w:val="36"/>
          <w:highlight w:val="none"/>
        </w:rPr>
      </w:pPr>
    </w:p>
    <w:p w14:paraId="3675A476">
      <w:pPr>
        <w:spacing w:line="360" w:lineRule="auto"/>
        <w:ind w:left="720" w:leftChars="343" w:firstLine="1084" w:firstLineChars="300"/>
        <w:outlineLvl w:val="0"/>
        <w:rPr>
          <w:rFonts w:ascii="仿宋" w:hAnsi="仿宋" w:eastAsia="仿宋" w:cs="仿宋"/>
          <w:b/>
          <w:color w:val="auto"/>
          <w:sz w:val="36"/>
          <w:szCs w:val="36"/>
          <w:highlight w:val="none"/>
        </w:rPr>
      </w:pPr>
    </w:p>
    <w:p w14:paraId="5A9E6131">
      <w:pPr>
        <w:spacing w:line="360" w:lineRule="auto"/>
        <w:ind w:left="720" w:leftChars="343" w:firstLine="1084" w:firstLineChars="300"/>
        <w:outlineLvl w:val="0"/>
        <w:rPr>
          <w:rFonts w:ascii="仿宋" w:hAnsi="仿宋" w:eastAsia="仿宋" w:cs="仿宋"/>
          <w:b/>
          <w:color w:val="auto"/>
          <w:sz w:val="36"/>
          <w:szCs w:val="36"/>
          <w:highlight w:val="none"/>
        </w:rPr>
      </w:pPr>
    </w:p>
    <w:p w14:paraId="362C0EF6">
      <w:pPr>
        <w:pStyle w:val="80"/>
        <w:ind w:firstLine="723"/>
        <w:rPr>
          <w:rFonts w:ascii="仿宋" w:hAnsi="仿宋" w:eastAsia="仿宋" w:cs="仿宋"/>
          <w:b/>
          <w:color w:val="auto"/>
          <w:sz w:val="36"/>
          <w:szCs w:val="36"/>
          <w:highlight w:val="none"/>
        </w:rPr>
      </w:pPr>
    </w:p>
    <w:p w14:paraId="0D2BBD74">
      <w:pPr>
        <w:ind w:firstLine="1807" w:firstLineChars="500"/>
        <w:rPr>
          <w:rFonts w:ascii="仿宋" w:hAnsi="仿宋" w:eastAsia="仿宋" w:cs="仿宋"/>
          <w:b/>
          <w:color w:val="auto"/>
          <w:kern w:val="0"/>
          <w:sz w:val="36"/>
          <w:szCs w:val="36"/>
          <w:highlight w:val="none"/>
          <w:lang w:val="en"/>
        </w:rPr>
      </w:pPr>
      <w:r>
        <w:rPr>
          <w:rFonts w:hint="eastAsia" w:ascii="仿宋" w:hAnsi="仿宋" w:eastAsia="仿宋" w:cs="仿宋"/>
          <w:b/>
          <w:color w:val="auto"/>
          <w:sz w:val="36"/>
          <w:szCs w:val="36"/>
          <w:highlight w:val="none"/>
        </w:rPr>
        <w:t>第四部分 拟签订的合同文本</w:t>
      </w:r>
    </w:p>
    <w:p w14:paraId="747AF085">
      <w:pPr>
        <w:adjustRightInd/>
        <w:snapToGrid w:val="0"/>
        <w:spacing w:line="440" w:lineRule="exact"/>
        <w:outlineLvl w:val="0"/>
        <w:rPr>
          <w:rFonts w:ascii="仿宋" w:hAnsi="仿宋" w:eastAsia="仿宋" w:cs="仿宋"/>
          <w:b/>
          <w:color w:val="auto"/>
          <w:kern w:val="0"/>
          <w:sz w:val="36"/>
          <w:szCs w:val="36"/>
          <w:highlight w:val="none"/>
        </w:rPr>
      </w:pPr>
    </w:p>
    <w:p w14:paraId="34B1A7AE">
      <w:pPr>
        <w:adjustRightInd/>
        <w:spacing w:line="440" w:lineRule="exact"/>
        <w:jc w:val="center"/>
        <w:rPr>
          <w:rFonts w:ascii="仿宋" w:hAnsi="仿宋" w:eastAsia="仿宋" w:cs="仿宋"/>
          <w:b/>
          <w:color w:val="auto"/>
          <w:kern w:val="0"/>
          <w:sz w:val="28"/>
          <w:szCs w:val="28"/>
          <w:highlight w:val="none"/>
        </w:rPr>
      </w:pPr>
    </w:p>
    <w:p w14:paraId="0C4E985E">
      <w:pPr>
        <w:pStyle w:val="3"/>
        <w:rPr>
          <w:color w:val="auto"/>
          <w:highlight w:val="none"/>
        </w:rPr>
      </w:pPr>
    </w:p>
    <w:p w14:paraId="3FB22A83">
      <w:pPr>
        <w:adjustRightInd/>
        <w:spacing w:line="440" w:lineRule="exact"/>
        <w:rPr>
          <w:rFonts w:ascii="仿宋" w:hAnsi="仿宋" w:eastAsia="仿宋" w:cs="仿宋"/>
          <w:b/>
          <w:color w:val="auto"/>
          <w:kern w:val="0"/>
          <w:sz w:val="24"/>
          <w:szCs w:val="20"/>
          <w:highlight w:val="none"/>
        </w:rPr>
      </w:pPr>
    </w:p>
    <w:p w14:paraId="2E86A4DB">
      <w:pPr>
        <w:adjustRightInd/>
        <w:spacing w:line="44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3336C8A">
      <w:pPr>
        <w:adjustRightInd/>
        <w:spacing w:line="44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1F45E5CE">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0AF7FD0F">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2EA4C54C">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246A6DF5">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754E1C18">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76D08702">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417C5702">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1526C79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6348D12E">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 用 说 明</w:t>
      </w:r>
    </w:p>
    <w:p w14:paraId="5C7EDA3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66E303B9">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14:paraId="2F5015C7">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14:paraId="6F6CE84C">
      <w:p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14:paraId="743D3CA9">
      <w:pPr>
        <w:spacing w:line="440" w:lineRule="exact"/>
        <w:ind w:left="-420" w:leftChars="-200" w:right="-420" w:rightChars="-200" w:firstLine="480" w:firstLineChars="200"/>
        <w:rPr>
          <w:rFonts w:ascii="仿宋" w:hAnsi="仿宋" w:eastAsia="仿宋" w:cs="仿宋"/>
          <w:color w:val="auto"/>
          <w:sz w:val="24"/>
          <w:highlight w:val="none"/>
        </w:rPr>
        <w:sectPr>
          <w:headerReference r:id="rId13" w:type="default"/>
          <w:footerReference r:id="rId14" w:type="default"/>
          <w:pgSz w:w="11906" w:h="16838"/>
          <w:pgMar w:top="1440" w:right="1800" w:bottom="1440" w:left="1800" w:header="851" w:footer="992" w:gutter="0"/>
          <w:cols w:space="720" w:num="1"/>
          <w:docGrid w:type="lines" w:linePitch="312" w:charSpace="0"/>
        </w:sectPr>
      </w:pPr>
    </w:p>
    <w:p w14:paraId="03E27846">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bookmarkStart w:id="69" w:name="_Toc22209"/>
      <w:r>
        <w:rPr>
          <w:rFonts w:hint="eastAsia" w:ascii="仿宋" w:hAnsi="仿宋" w:eastAsia="仿宋" w:cs="仿宋"/>
          <w:b/>
          <w:bCs/>
          <w:color w:val="auto"/>
          <w:kern w:val="0"/>
          <w:sz w:val="24"/>
          <w:szCs w:val="20"/>
          <w:highlight w:val="none"/>
        </w:rPr>
        <w:t>第一节 政府采购合同协议书</w:t>
      </w:r>
      <w:bookmarkEnd w:id="69"/>
    </w:p>
    <w:p w14:paraId="04A0A2C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59B180C4">
      <w:pPr>
        <w:adjustRightInd/>
        <w:spacing w:line="44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（采购人、受采购人委托签订合同的单位或采购</w:t>
      </w:r>
    </w:p>
    <w:p w14:paraId="5D24DAD8">
      <w:pPr>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6E319CF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乙方1（全称）：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（供应商）</w:t>
      </w:r>
    </w:p>
    <w:p w14:paraId="288B9C02">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1598CE6D">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14:paraId="7A2CAAEE">
      <w:pPr>
        <w:adjustRightInd/>
        <w:spacing w:line="440" w:lineRule="exact"/>
        <w:ind w:right="-420" w:rightChars="-200"/>
        <w:rPr>
          <w:rFonts w:ascii="仿宋" w:hAnsi="仿宋" w:eastAsia="仿宋" w:cs="仿宋"/>
          <w:color w:val="auto"/>
          <w:kern w:val="0"/>
          <w:sz w:val="24"/>
          <w:szCs w:val="20"/>
          <w:highlight w:val="none"/>
        </w:rPr>
      </w:pPr>
    </w:p>
    <w:p w14:paraId="46F2F26C">
      <w:pPr>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786309E">
      <w:pPr>
        <w:numPr>
          <w:ilvl w:val="0"/>
          <w:numId w:val="10"/>
        </w:numPr>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3BB426CB">
      <w:pPr>
        <w:numPr>
          <w:ilvl w:val="255"/>
          <w:numId w:val="0"/>
        </w:numPr>
        <w:adjustRightInd/>
        <w:spacing w:line="44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4A895D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59F0150">
      <w:pPr>
        <w:numPr>
          <w:ilvl w:val="0"/>
          <w:numId w:val="11"/>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3831A05">
      <w:pPr>
        <w:numPr>
          <w:ilvl w:val="0"/>
          <w:numId w:val="11"/>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1D3E902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采购标的及数量（台/套</w:t>
      </w:r>
      <w:r>
        <w:rPr>
          <w:rFonts w:hint="eastAsia" w:ascii="仿宋" w:hAnsi="仿宋" w:eastAsia="仿宋" w:cs="仿宋"/>
          <w:color w:val="auto"/>
          <w:kern w:val="0"/>
          <w:sz w:val="24"/>
          <w:szCs w:val="20"/>
          <w:highlight w:val="none"/>
          <w:lang w:val="en"/>
        </w:rPr>
        <w:t>/个/架/组等</w:t>
      </w:r>
      <w:r>
        <w:rPr>
          <w:rFonts w:hint="eastAsia" w:ascii="仿宋" w:hAnsi="仿宋" w:eastAsia="仿宋" w:cs="仿宋"/>
          <w:color w:val="auto"/>
          <w:kern w:val="0"/>
          <w:sz w:val="24"/>
          <w:szCs w:val="20"/>
          <w:highlight w:val="none"/>
        </w:rPr>
        <w:t>）：</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2EC51F3">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rPr>
        <w:t xml:space="preserve">   </w:t>
      </w:r>
      <w:r>
        <w:rPr>
          <w:rFonts w:hint="eastAsia" w:ascii="仿宋" w:hAnsi="仿宋" w:eastAsia="仿宋" w:cs="仿宋"/>
          <w:color w:val="auto"/>
          <w:kern w:val="0"/>
          <w:sz w:val="24"/>
          <w:szCs w:val="20"/>
          <w:highlight w:val="none"/>
        </w:rPr>
        <w:t>规格型号：</w:t>
      </w:r>
      <w:r>
        <w:rPr>
          <w:rFonts w:ascii="宋体" w:hAnsi="宋体"/>
          <w:color w:val="auto"/>
          <w:kern w:val="0"/>
          <w:sz w:val="34"/>
          <w:szCs w:val="21"/>
          <w:highlight w:val="none"/>
          <w:u w:val="single"/>
        </w:rPr>
        <w:t xml:space="preserve">            </w:t>
      </w:r>
    </w:p>
    <w:p w14:paraId="37F382D1">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14:paraId="267E799A">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14:paraId="650A7468">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F6937D6">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6D538250">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3C2A70F2">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1E8633DB">
      <w:pPr>
        <w:adjustRightInd/>
        <w:spacing w:line="44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1096756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14:paraId="48EDE52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数量：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5581C5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E570E8D">
      <w:pPr>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
        </w:rPr>
        <w:t>4</w:t>
      </w:r>
      <w:r>
        <w:rPr>
          <w:rFonts w:hint="eastAsia" w:ascii="仿宋" w:hAnsi="仿宋" w:eastAsia="仿宋" w:cs="仿宋"/>
          <w:color w:val="auto"/>
          <w:kern w:val="0"/>
          <w:sz w:val="24"/>
          <w:szCs w:val="20"/>
          <w:highlight w:val="none"/>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政府集中采购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FE"/>
      </w:r>
      <w:r>
        <w:rPr>
          <w:rFonts w:hint="eastAsia" w:ascii="仿宋" w:hAnsi="仿宋" w:eastAsia="仿宋" w:cs="仿宋"/>
          <w:color w:val="auto"/>
          <w:kern w:val="0"/>
          <w:sz w:val="24"/>
          <w:szCs w:val="20"/>
          <w:highlight w:val="none"/>
        </w:rPr>
        <w:t>分散采购</w:t>
      </w:r>
    </w:p>
    <w:p w14:paraId="65F79BB8">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5</w:t>
      </w:r>
      <w:r>
        <w:rPr>
          <w:rFonts w:hint="eastAsia" w:ascii="仿宋" w:hAnsi="仿宋" w:eastAsia="仿宋" w:cs="仿宋"/>
          <w:color w:val="auto"/>
          <w:kern w:val="0"/>
          <w:sz w:val="24"/>
          <w:szCs w:val="20"/>
          <w:highlight w:val="none"/>
        </w:rPr>
        <w:t>）政府采购方式：</w:t>
      </w:r>
      <w:r>
        <w:rPr>
          <w:rFonts w:hint="eastAsia" w:ascii="仿宋" w:hAnsi="仿宋" w:eastAsia="仿宋" w:cs="仿宋"/>
          <w:color w:val="auto"/>
          <w:kern w:val="0"/>
          <w:sz w:val="24"/>
          <w:szCs w:val="20"/>
          <w:highlight w:val="none"/>
        </w:rPr>
        <w:sym w:font="Wingdings" w:char="00FE"/>
      </w:r>
      <w:r>
        <w:rPr>
          <w:rFonts w:hint="eastAsia" w:ascii="仿宋" w:hAnsi="仿宋" w:eastAsia="仿宋" w:cs="仿宋"/>
          <w:color w:val="auto"/>
          <w:kern w:val="0"/>
          <w:sz w:val="24"/>
          <w:szCs w:val="20"/>
          <w:highlight w:val="none"/>
        </w:rPr>
        <w:t xml:space="preserve">公开招标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邀请招标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竞争性谈判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14:paraId="4C05B577">
      <w:pPr>
        <w:adjustRightInd/>
        <w:spacing w:line="44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询价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单一来源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框架协议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3D3E73D">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14:paraId="3CB3B205">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6</w:t>
      </w:r>
      <w:r>
        <w:rPr>
          <w:rFonts w:hint="eastAsia" w:ascii="仿宋" w:hAnsi="仿宋" w:eastAsia="仿宋" w:cs="仿宋"/>
          <w:color w:val="auto"/>
          <w:kern w:val="0"/>
          <w:sz w:val="24"/>
          <w:szCs w:val="20"/>
          <w:highlight w:val="none"/>
        </w:rPr>
        <w:t>）中标（成交）采购标的制造商是否为中小企业：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F1CCC8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864161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CF9902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516BE1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CF3BCCB">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A0A243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分包主要内容：                                            </w:t>
      </w:r>
    </w:p>
    <w:p w14:paraId="5313DCD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分包供应商/制造商名称（如供应商和制造商不同，请分别填写）：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10435E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分包供应商/制造商类型（如果供应商和制造商不同，只填写制造商类型）：</w:t>
      </w:r>
    </w:p>
    <w:p w14:paraId="4B628C9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小微型企业  </w:t>
      </w:r>
    </w:p>
    <w:p w14:paraId="42DCBB98">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残疾人福利性单位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监狱企业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554E3BB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
        </w:rPr>
        <w:t>8</w:t>
      </w:r>
      <w:r>
        <w:rPr>
          <w:rFonts w:hint="eastAsia" w:ascii="仿宋" w:hAnsi="仿宋" w:eastAsia="仿宋" w:cs="仿宋"/>
          <w:color w:val="auto"/>
          <w:kern w:val="0"/>
          <w:sz w:val="24"/>
          <w:szCs w:val="20"/>
          <w:highlight w:val="none"/>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AFE36E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14:paraId="0A2275B5">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9</w:t>
      </w:r>
      <w:r>
        <w:rPr>
          <w:rFonts w:hint="eastAsia" w:ascii="仿宋" w:hAnsi="仿宋" w:eastAsia="仿宋" w:cs="仿宋"/>
          <w:color w:val="auto"/>
          <w:kern w:val="0"/>
          <w:sz w:val="24"/>
          <w:szCs w:val="20"/>
          <w:highlight w:val="none"/>
        </w:rPr>
        <w:t>）是否涉及进口产品：</w:t>
      </w:r>
    </w:p>
    <w:p w14:paraId="383079D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768001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BEE9C52">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A72FB3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w:t>
      </w:r>
      <w:r>
        <w:rPr>
          <w:rFonts w:hint="eastAsia" w:ascii="仿宋" w:hAnsi="仿宋" w:eastAsia="仿宋" w:cs="仿宋"/>
          <w:color w:val="auto"/>
          <w:kern w:val="0"/>
          <w:sz w:val="24"/>
          <w:szCs w:val="20"/>
          <w:highlight w:val="none"/>
          <w:lang w:val="en"/>
        </w:rPr>
        <w:t>0</w:t>
      </w:r>
      <w:r>
        <w:rPr>
          <w:rFonts w:hint="eastAsia" w:ascii="仿宋" w:hAnsi="仿宋" w:eastAsia="仿宋" w:cs="仿宋"/>
          <w:color w:val="auto"/>
          <w:kern w:val="0"/>
          <w:sz w:val="24"/>
          <w:szCs w:val="20"/>
          <w:highlight w:val="none"/>
        </w:rPr>
        <w:t>）是否涉及节能产品：</w:t>
      </w:r>
    </w:p>
    <w:p w14:paraId="183A4B5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AC574F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143FB30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D760C6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14:paraId="25F5DB9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r>
        <w:rPr>
          <w:rFonts w:ascii="宋体" w:hAnsi="宋体"/>
          <w:color w:val="auto"/>
          <w:kern w:val="0"/>
          <w:sz w:val="34"/>
          <w:szCs w:val="21"/>
          <w:highlight w:val="none"/>
          <w:u w:val="single"/>
        </w:rPr>
        <w:t xml:space="preserve">        </w:t>
      </w:r>
    </w:p>
    <w:p w14:paraId="213E3D7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7733A6B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671FA0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14:paraId="0393D00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是，绿色产品政府采购相关政策确定的底级品目名称：         </w:t>
      </w:r>
    </w:p>
    <w:p w14:paraId="56CF321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248FC38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6E3F3D8">
      <w:pPr>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
        </w:rPr>
        <w:t>1</w:t>
      </w:r>
      <w:r>
        <w:rPr>
          <w:rFonts w:hint="eastAsia" w:ascii="仿宋" w:hAnsi="仿宋" w:eastAsia="仿宋" w:cs="仿宋"/>
          <w:color w:val="auto"/>
          <w:kern w:val="0"/>
          <w:sz w:val="24"/>
          <w:szCs w:val="20"/>
          <w:highlight w:val="none"/>
        </w:rPr>
        <w:t>）涉及商品包装和快递包装的，是否参考《商品包装政府采购需求标准（试行）》、《快递包装政府采购需求标准（试行）》明确产品及相关快递服务的具体包装要求：</w:t>
      </w:r>
    </w:p>
    <w:p w14:paraId="6484D338">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否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14:paraId="1BBD860E">
      <w:pPr>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14:paraId="19D741CF">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8D7DDF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182BD5B">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分包金额（如有）小写：</w:t>
      </w:r>
      <w:r>
        <w:rPr>
          <w:rFonts w:ascii="宋体" w:hAnsi="宋体"/>
          <w:color w:val="auto"/>
          <w:kern w:val="0"/>
          <w:sz w:val="34"/>
          <w:szCs w:val="21"/>
          <w:highlight w:val="none"/>
          <w:u w:val="single"/>
        </w:rPr>
        <w:t xml:space="preserve">             </w:t>
      </w:r>
    </w:p>
    <w:p w14:paraId="1FF209E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0502A4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（注：固定单价合同应填写单价和最高限价）</w:t>
      </w:r>
    </w:p>
    <w:p w14:paraId="242D7B9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（2）合同定价方式（采用组合定价方式的，可以勾选多项）：</w:t>
      </w:r>
    </w:p>
    <w:p w14:paraId="6E60B42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固定单价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固定费率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其他       </w:t>
      </w:r>
    </w:p>
    <w:p w14:paraId="1B7AD1EC">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14:paraId="5F704D15">
      <w:pPr>
        <w:adjustRightInd/>
        <w:spacing w:line="440" w:lineRule="exact"/>
        <w:ind w:left="-420" w:leftChars="-200"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color w:val="auto"/>
          <w:kern w:val="0"/>
          <w:sz w:val="34"/>
          <w:szCs w:val="21"/>
          <w:highlight w:val="none"/>
          <w:u w:val="single"/>
        </w:rPr>
        <w:t xml:space="preserve">     </w:t>
      </w:r>
      <w:r>
        <w:rPr>
          <w:rFonts w:hint="eastAsia" w:ascii="仿宋" w:hAnsi="仿宋" w:eastAsia="仿宋" w:cs="仿宋"/>
          <w:color w:val="auto"/>
          <w:kern w:val="0"/>
          <w:sz w:val="24"/>
          <w:highlight w:val="none"/>
          <w:u w:val="single"/>
        </w:rPr>
        <w:t>（应明确一次性支付合同款项的条件）</w:t>
      </w:r>
      <w:r>
        <w:rPr>
          <w:rFonts w:hint="eastAsia" w:ascii="宋体" w:hAnsi="宋体"/>
          <w:color w:val="auto"/>
          <w:kern w:val="0"/>
          <w:sz w:val="34"/>
          <w:szCs w:val="21"/>
          <w:highlight w:val="none"/>
          <w:u w:val="single"/>
        </w:rPr>
        <w:t xml:space="preserve">                    </w:t>
      </w:r>
    </w:p>
    <w:p w14:paraId="10B655F4">
      <w:pPr>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14:paraId="0E5C8803">
      <w:pPr>
        <w:adjustRightInd/>
        <w:spacing w:line="44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（采购人应明确涉及中小企业合同的，按采购文件“授予合同第5点”的条款执行）</w:t>
      </w:r>
    </w:p>
    <w:p w14:paraId="51B3D4D3">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6E716097">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5514532E">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14:paraId="3BA9468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7B94DD6A">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CA1338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5D3178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217029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B3C2DC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BD0553C">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3A14E2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A1C9064">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14:paraId="090A127B">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4537C1EB">
      <w:pPr>
        <w:adjustRightInd/>
        <w:spacing w:line="440" w:lineRule="exact"/>
        <w:ind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r>
        <w:rPr>
          <w:rFonts w:ascii="宋体" w:hAnsi="宋体"/>
          <w:color w:val="auto"/>
          <w:kern w:val="0"/>
          <w:sz w:val="34"/>
          <w:szCs w:val="21"/>
          <w:highlight w:val="none"/>
          <w:u w:val="single"/>
        </w:rPr>
        <w:t xml:space="preserve">                      </w:t>
      </w:r>
    </w:p>
    <w:p w14:paraId="5806FB5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563412C">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B847856">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98D880F">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BE9594D">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是，抽查比例：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B524467">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14:paraId="25F25B7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5F975F0">
      <w:pPr>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A52E3E7">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14:paraId="68A9CD11">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6924FA9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 xml:space="preserve"> （应明确分期</w:t>
      </w:r>
      <w:r>
        <w:rPr>
          <w:rFonts w:hint="eastAsia" w:ascii="仿宋" w:hAnsi="仿宋" w:eastAsia="仿宋" w:cs="仿宋"/>
          <w:bCs/>
          <w:color w:val="auto"/>
          <w:kern w:val="0"/>
          <w:sz w:val="24"/>
          <w:highlight w:val="none"/>
          <w:u w:val="single"/>
          <w:lang w:val="en"/>
        </w:rPr>
        <w:t>/分项验收的工作安排</w:t>
      </w:r>
      <w:r>
        <w:rPr>
          <w:rFonts w:hint="eastAsia"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14:paraId="11C81DC7">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4F5C1A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52AE0AD1">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DEFF8D6">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B70223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2CF9ADE9">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14:paraId="5893DAA2">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71E36B1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14:paraId="4A5A5A4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14:paraId="5D786D3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14:paraId="64BB62A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14:paraId="634E8C5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14:paraId="5A20D49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1479B09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7504225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14:paraId="3288A2D2">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14:paraId="34FAC624">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highlight w:val="none"/>
          <w:u w:val="single"/>
        </w:rPr>
        <w:t xml:space="preserve">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生效。</w:t>
      </w:r>
    </w:p>
    <w:p w14:paraId="29EABB8E">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14:paraId="4ED3350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份，甲方执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份，乙方执</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份，均具有同等法律效力。</w:t>
      </w:r>
    </w:p>
    <w:p w14:paraId="2B937600">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月</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日</w:t>
      </w:r>
    </w:p>
    <w:p w14:paraId="1DEA669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14:paraId="5C379D2E">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14:paraId="36366A2F">
      <w:pPr>
        <w:pStyle w:val="3"/>
        <w:rPr>
          <w:color w:val="auto"/>
          <w:highlight w:val="none"/>
        </w:rPr>
      </w:pPr>
    </w:p>
    <w:tbl>
      <w:tblPr>
        <w:tblStyle w:val="62"/>
        <w:tblW w:w="9040"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14:paraId="0338A19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4632" w:type="dxa"/>
            <w:gridSpan w:val="2"/>
            <w:tcBorders>
              <w:bottom w:val="single" w:color="auto" w:sz="2" w:space="0"/>
              <w:right w:val="single" w:color="auto" w:sz="2" w:space="0"/>
            </w:tcBorders>
            <w:vAlign w:val="center"/>
          </w:tcPr>
          <w:p w14:paraId="5649B411">
            <w:pPr>
              <w:adjustRightInd/>
              <w:spacing w:line="440" w:lineRule="exact"/>
              <w:ind w:left="-420" w:leftChars="-200" w:right="-420" w:rightChars="-200" w:firstLine="630" w:firstLineChars="3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甲方（采购人、受采购人委托签订合同的</w:t>
            </w:r>
          </w:p>
          <w:p w14:paraId="0E2AA000">
            <w:pPr>
              <w:adjustRightInd/>
              <w:spacing w:line="44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4408" w:type="dxa"/>
            <w:gridSpan w:val="2"/>
            <w:tcBorders>
              <w:left w:val="single" w:color="auto" w:sz="2" w:space="0"/>
              <w:bottom w:val="single" w:color="auto" w:sz="2" w:space="0"/>
            </w:tcBorders>
            <w:vAlign w:val="center"/>
          </w:tcPr>
          <w:p w14:paraId="3B083FCB">
            <w:pPr>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07A8D84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2036" w:type="dxa"/>
            <w:tcBorders>
              <w:top w:val="single" w:color="auto" w:sz="2" w:space="0"/>
              <w:bottom w:val="single" w:color="auto" w:sz="2" w:space="0"/>
              <w:right w:val="single" w:color="auto" w:sz="2" w:space="0"/>
            </w:tcBorders>
            <w:vAlign w:val="center"/>
          </w:tcPr>
          <w:p w14:paraId="093FAA20">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0F3326D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2596" w:type="dxa"/>
            <w:tcBorders>
              <w:top w:val="single" w:color="auto" w:sz="2" w:space="0"/>
              <w:left w:val="single" w:color="auto" w:sz="2" w:space="0"/>
              <w:bottom w:val="single" w:color="auto" w:sz="2" w:space="0"/>
              <w:right w:val="single" w:color="auto" w:sz="2" w:space="0"/>
            </w:tcBorders>
            <w:vAlign w:val="center"/>
          </w:tcPr>
          <w:p w14:paraId="4A32A90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54222F8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31D1CCE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2278" w:type="dxa"/>
            <w:tcBorders>
              <w:top w:val="single" w:color="auto" w:sz="2" w:space="0"/>
              <w:left w:val="single" w:color="auto" w:sz="2" w:space="0"/>
              <w:bottom w:val="single" w:color="auto" w:sz="2" w:space="0"/>
            </w:tcBorders>
            <w:vAlign w:val="center"/>
          </w:tcPr>
          <w:p w14:paraId="47A534C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2D2C3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2036" w:type="dxa"/>
            <w:vMerge w:val="restart"/>
            <w:tcBorders>
              <w:top w:val="single" w:color="auto" w:sz="2" w:space="0"/>
              <w:right w:val="single" w:color="auto" w:sz="2" w:space="0"/>
            </w:tcBorders>
            <w:vAlign w:val="center"/>
          </w:tcPr>
          <w:p w14:paraId="347E9F9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685296C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2596" w:type="dxa"/>
            <w:vMerge w:val="restart"/>
            <w:tcBorders>
              <w:top w:val="single" w:color="auto" w:sz="2" w:space="0"/>
              <w:left w:val="single" w:color="auto" w:sz="2" w:space="0"/>
              <w:right w:val="single" w:color="auto" w:sz="2" w:space="0"/>
            </w:tcBorders>
            <w:vAlign w:val="center"/>
          </w:tcPr>
          <w:p w14:paraId="61F6176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right w:val="single" w:color="auto" w:sz="2" w:space="0"/>
            </w:tcBorders>
            <w:vAlign w:val="center"/>
          </w:tcPr>
          <w:p w14:paraId="3401DAB5">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托代理人（签章）</w:t>
            </w:r>
          </w:p>
        </w:tc>
        <w:tc>
          <w:tcPr>
            <w:tcW w:w="2278" w:type="dxa"/>
            <w:tcBorders>
              <w:top w:val="single" w:color="auto" w:sz="2" w:space="0"/>
              <w:left w:val="single" w:color="auto" w:sz="2" w:space="0"/>
              <w:bottom w:val="single" w:color="auto" w:sz="2" w:space="0"/>
            </w:tcBorders>
            <w:vAlign w:val="center"/>
          </w:tcPr>
          <w:p w14:paraId="12F87C1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5D5B7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Merge w:val="continue"/>
            <w:tcBorders>
              <w:bottom w:val="single" w:color="auto" w:sz="2" w:space="0"/>
              <w:right w:val="single" w:color="auto" w:sz="2" w:space="0"/>
            </w:tcBorders>
            <w:vAlign w:val="center"/>
          </w:tcPr>
          <w:p w14:paraId="2F88784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vMerge w:val="continue"/>
            <w:tcBorders>
              <w:left w:val="single" w:color="auto" w:sz="2" w:space="0"/>
              <w:bottom w:val="single" w:color="auto" w:sz="2" w:space="0"/>
              <w:right w:val="single" w:color="auto" w:sz="2" w:space="0"/>
            </w:tcBorders>
            <w:vAlign w:val="center"/>
          </w:tcPr>
          <w:p w14:paraId="7D3CB24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0FD9DF9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2278" w:type="dxa"/>
            <w:tcBorders>
              <w:top w:val="single" w:color="auto" w:sz="2" w:space="0"/>
              <w:left w:val="single" w:color="auto" w:sz="2" w:space="0"/>
              <w:bottom w:val="single" w:color="auto" w:sz="2" w:space="0"/>
            </w:tcBorders>
            <w:vAlign w:val="center"/>
          </w:tcPr>
          <w:p w14:paraId="6BEBAC2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76D48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38C437BE">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2596" w:type="dxa"/>
            <w:tcBorders>
              <w:top w:val="single" w:color="auto" w:sz="2" w:space="0"/>
              <w:left w:val="single" w:color="auto" w:sz="2" w:space="0"/>
              <w:bottom w:val="single" w:color="auto" w:sz="2" w:space="0"/>
              <w:right w:val="single" w:color="auto" w:sz="2" w:space="0"/>
            </w:tcBorders>
            <w:vAlign w:val="center"/>
          </w:tcPr>
          <w:p w14:paraId="69FD828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14:paraId="42E48F50">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2278" w:type="dxa"/>
            <w:tcBorders>
              <w:top w:val="single" w:color="auto" w:sz="2" w:space="0"/>
              <w:left w:val="single" w:color="auto" w:sz="2" w:space="0"/>
              <w:bottom w:val="single" w:color="auto" w:sz="2" w:space="0"/>
            </w:tcBorders>
            <w:vAlign w:val="center"/>
          </w:tcPr>
          <w:p w14:paraId="1972944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87FC5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2B7D5FF2">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2596" w:type="dxa"/>
            <w:tcBorders>
              <w:top w:val="single" w:color="auto" w:sz="2" w:space="0"/>
              <w:left w:val="single" w:color="auto" w:sz="2" w:space="0"/>
              <w:bottom w:val="single" w:color="auto" w:sz="2" w:space="0"/>
              <w:right w:val="single" w:color="auto" w:sz="2" w:space="0"/>
            </w:tcBorders>
            <w:vAlign w:val="center"/>
          </w:tcPr>
          <w:p w14:paraId="338FB21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14:paraId="3FFA92F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2278" w:type="dxa"/>
            <w:tcBorders>
              <w:top w:val="single" w:color="auto" w:sz="2" w:space="0"/>
              <w:left w:val="single" w:color="auto" w:sz="2" w:space="0"/>
              <w:bottom w:val="single" w:color="auto" w:sz="2" w:space="0"/>
            </w:tcBorders>
            <w:vAlign w:val="center"/>
          </w:tcPr>
          <w:p w14:paraId="4BA5746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9A134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4026D14C">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14:paraId="0088427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2A0BEB6">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2278" w:type="dxa"/>
            <w:tcBorders>
              <w:top w:val="single" w:color="auto" w:sz="2" w:space="0"/>
              <w:left w:val="single" w:color="auto" w:sz="2" w:space="0"/>
              <w:bottom w:val="single" w:color="auto" w:sz="2" w:space="0"/>
            </w:tcBorders>
            <w:vAlign w:val="center"/>
          </w:tcPr>
          <w:p w14:paraId="17B2FA6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5C16A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289CB10E">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14:paraId="5790E86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0B9527E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2278" w:type="dxa"/>
            <w:tcBorders>
              <w:top w:val="single" w:color="auto" w:sz="2" w:space="0"/>
              <w:left w:val="single" w:color="auto" w:sz="2" w:space="0"/>
              <w:bottom w:val="single" w:color="auto" w:sz="2" w:space="0"/>
            </w:tcBorders>
            <w:vAlign w:val="center"/>
          </w:tcPr>
          <w:p w14:paraId="320E8A7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588D0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68299FDE">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14:paraId="4172279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411381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2278" w:type="dxa"/>
            <w:tcBorders>
              <w:top w:val="single" w:color="auto" w:sz="2" w:space="0"/>
              <w:left w:val="single" w:color="auto" w:sz="2" w:space="0"/>
              <w:bottom w:val="single" w:color="auto" w:sz="2" w:space="0"/>
            </w:tcBorders>
            <w:vAlign w:val="center"/>
          </w:tcPr>
          <w:p w14:paraId="16F6E31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E1A7A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59CE46A1">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14:paraId="4AA9A08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09DAD8B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2278" w:type="dxa"/>
            <w:tcBorders>
              <w:top w:val="single" w:color="auto" w:sz="2" w:space="0"/>
              <w:left w:val="single" w:color="auto" w:sz="2" w:space="0"/>
              <w:bottom w:val="single" w:color="auto" w:sz="2" w:space="0"/>
            </w:tcBorders>
            <w:vAlign w:val="center"/>
          </w:tcPr>
          <w:p w14:paraId="4D34E3E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13393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0D9562FE">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14:paraId="584391C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14:paraId="4924C2F1">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2278" w:type="dxa"/>
            <w:tcBorders>
              <w:top w:val="single" w:color="auto" w:sz="2" w:space="0"/>
              <w:left w:val="single" w:color="auto" w:sz="2" w:space="0"/>
              <w:bottom w:val="single" w:color="auto" w:sz="2" w:space="0"/>
            </w:tcBorders>
            <w:vAlign w:val="center"/>
          </w:tcPr>
          <w:p w14:paraId="3E597D7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855FF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23A2744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3E70B81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3103CBF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2278" w:type="dxa"/>
            <w:tcBorders>
              <w:top w:val="single" w:color="auto" w:sz="2" w:space="0"/>
              <w:left w:val="single" w:color="auto" w:sz="2" w:space="0"/>
              <w:bottom w:val="single" w:color="auto" w:sz="2" w:space="0"/>
            </w:tcBorders>
            <w:vAlign w:val="center"/>
          </w:tcPr>
          <w:p w14:paraId="3B2B2BF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C78C1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10334D4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1C688F0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1E08C36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2278" w:type="dxa"/>
            <w:tcBorders>
              <w:top w:val="single" w:color="auto" w:sz="2" w:space="0"/>
              <w:left w:val="single" w:color="auto" w:sz="2" w:space="0"/>
              <w:bottom w:val="single" w:color="auto" w:sz="2" w:space="0"/>
            </w:tcBorders>
            <w:vAlign w:val="center"/>
          </w:tcPr>
          <w:p w14:paraId="1223CA4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797BF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215ECC3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38AFE8A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6121A1E">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2278" w:type="dxa"/>
            <w:tcBorders>
              <w:top w:val="single" w:color="auto" w:sz="2" w:space="0"/>
              <w:left w:val="single" w:color="auto" w:sz="2" w:space="0"/>
              <w:bottom w:val="single" w:color="auto" w:sz="2" w:space="0"/>
            </w:tcBorders>
            <w:vAlign w:val="center"/>
          </w:tcPr>
          <w:p w14:paraId="41D056F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16D28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9040" w:type="dxa"/>
            <w:gridSpan w:val="4"/>
            <w:tcBorders>
              <w:top w:val="single" w:color="auto" w:sz="2" w:space="0"/>
            </w:tcBorders>
            <w:vAlign w:val="center"/>
          </w:tcPr>
          <w:p w14:paraId="07DAC2BE">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0E53696C">
      <w:pPr>
        <w:numPr>
          <w:ilvl w:val="0"/>
          <w:numId w:val="12"/>
        </w:numPr>
        <w:adjustRightInd/>
        <w:spacing w:line="44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70" w:name="_Toc27624"/>
      <w:r>
        <w:rPr>
          <w:rFonts w:hint="eastAsia" w:ascii="仿宋" w:hAnsi="仿宋" w:eastAsia="仿宋" w:cs="仿宋"/>
          <w:b/>
          <w:bCs/>
          <w:color w:val="auto"/>
          <w:kern w:val="0"/>
          <w:sz w:val="24"/>
          <w:szCs w:val="20"/>
          <w:highlight w:val="none"/>
        </w:rPr>
        <w:t>政府采购合同通用条款</w:t>
      </w:r>
      <w:bookmarkEnd w:id="70"/>
    </w:p>
    <w:p w14:paraId="378D816A">
      <w:pPr>
        <w:numPr>
          <w:ilvl w:val="255"/>
          <w:numId w:val="0"/>
        </w:num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186BA52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0911EBC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14:paraId="78ADEFC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14:paraId="232B2CD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69646DF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5358109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6B522BE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14:paraId="768AEDD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技术资料和材料等。</w:t>
      </w:r>
    </w:p>
    <w:p w14:paraId="7F0D213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088E4B4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49E5558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5613F97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14:paraId="11DE711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14:paraId="775B202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00E4E5E2">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14:paraId="62743B5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 乙方应当在约定的时间、地点，按照约定方式履行合同。</w:t>
      </w:r>
    </w:p>
    <w:p w14:paraId="34A7D363">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14:paraId="424CC7FD">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1671AA4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14:paraId="687C1826">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 甲方有权要求乙方对缺陷部分予以修复，并按合同约定享有货物保修及其他合同约定的权利。</w:t>
      </w:r>
    </w:p>
    <w:p w14:paraId="2AF43D5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14:paraId="43E6E948">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 甲方应当根据合同约定及时向乙方支付合同价款，不得以内部人员变更、履行内部付款流程等为由，拒绝或迟延支付。</w:t>
      </w:r>
    </w:p>
    <w:p w14:paraId="1226A88F">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 国家法律法规规定及【政府采购合同专用条款】约定应由甲方承担的其他义务和责任。</w:t>
      </w:r>
    </w:p>
    <w:p w14:paraId="332F85D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14:paraId="520FBA3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 签署合同后，乙方应确定项目负责人（或项目联系人），负责与本合同有关的事务。</w:t>
      </w:r>
    </w:p>
    <w:p w14:paraId="3196711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E0ABD7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14:paraId="78CC965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14:paraId="723C76A7">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14:paraId="225B828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 甲乙双方应当按照【政府采购合同专用条款】约定顺序履行合同义务；如果没有先后顺序的，应当同时履行。</w:t>
      </w:r>
    </w:p>
    <w:p w14:paraId="0C01B0A3">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14:paraId="3377A30B">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14:paraId="4516DE18">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76977473">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14:paraId="50C26BD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 货物保险要求按【政府采购合同专用条款】规定执行。</w:t>
      </w:r>
    </w:p>
    <w:p w14:paraId="27A0FB41">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821423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 乙方在运输到达之前应提前通知甲方，并提示货物运输装卸的注意事项，甲方配合乙方做好货物的接收工作。</w:t>
      </w:r>
    </w:p>
    <w:p w14:paraId="0E3A2D4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 如因包装、运输问题导致货物损毁、丢失或者品质下降，甲方有权要求降价、换货、拒收部分或整批货物，由此产生的费用和损失，均由乙方承担。</w:t>
      </w:r>
    </w:p>
    <w:p w14:paraId="235880A1">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14:paraId="766D2D5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 质量标准</w:t>
      </w:r>
    </w:p>
    <w:p w14:paraId="60B3FBD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96B9A5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22921F7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14:paraId="38DDAE1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3FD3A0D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 保证</w:t>
      </w:r>
    </w:p>
    <w:p w14:paraId="485F6BD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20F730D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057E646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14:paraId="5084D8B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35678C3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14:paraId="477E8A41">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14:paraId="168F361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 乙方保证对其出售的货物享有合法的权利。</w:t>
      </w:r>
    </w:p>
    <w:p w14:paraId="288360A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 乙方保证在交付的货物上不存在抵押权等担保物权。</w:t>
      </w:r>
    </w:p>
    <w:p w14:paraId="66339C8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 如甲方使用上述货物构成对第三人侵权的，则由乙方承担全部责任。</w:t>
      </w:r>
    </w:p>
    <w:p w14:paraId="4BCBC97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14:paraId="605E8022">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 乙方对其所销售的货物应当享有知识产权或经权利人合法授权，保证没有侵犯任何第三人的知识产权等权利。</w:t>
      </w:r>
      <w:bookmarkStart w:id="71"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71"/>
      <w:r>
        <w:rPr>
          <w:rFonts w:hint="eastAsia" w:ascii="仿宋" w:hAnsi="仿宋" w:eastAsia="仿宋" w:cs="仿宋"/>
          <w:color w:val="auto"/>
          <w:kern w:val="0"/>
          <w:sz w:val="24"/>
          <w:szCs w:val="20"/>
          <w:highlight w:val="none"/>
        </w:rPr>
        <w:t>。</w:t>
      </w:r>
    </w:p>
    <w:p w14:paraId="6B021396">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14:paraId="71251ACE">
      <w:pPr>
        <w:adjustRightInd/>
        <w:spacing w:line="44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5A7D3C4B">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 合同价款支付</w:t>
      </w:r>
    </w:p>
    <w:p w14:paraId="771F5CD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 合同价款支付按照国库集中支付制度及财政管理相关规定执行。</w:t>
      </w:r>
    </w:p>
    <w:p w14:paraId="0E0A798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6BA5BDCE">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14:paraId="4ADD5AC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 乙方应当以支票、汇票、本票或者金融机构、担保机构出具的保函等非现金形式提交。</w:t>
      </w:r>
    </w:p>
    <w:p w14:paraId="45DA77B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3E4F3DE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14:paraId="7CA09116">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14:paraId="392D255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 除项目不涉及或采购活动中明确约定无须承担外，乙方还应提供下列服务：</w:t>
      </w:r>
    </w:p>
    <w:p w14:paraId="1BEF073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4B4822C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383A069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14:paraId="3AE1CBE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14:paraId="542543C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3C6A457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14:paraId="6B78C8F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 乙方提供的售后服务的费用已包含在合同价款中，甲方不再另行支付。</w:t>
      </w:r>
    </w:p>
    <w:p w14:paraId="2407CE9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14:paraId="395823F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14:paraId="265374F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4B4B420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 迟延交货的违约责任</w:t>
      </w:r>
    </w:p>
    <w:p w14:paraId="1A9DB6F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926B4C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04BDAF4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 迟延支付的违约责任</w:t>
      </w:r>
    </w:p>
    <w:p w14:paraId="23D3738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7B878F5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14:paraId="4F3791CA">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14:paraId="1C37876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16.1合同的变更</w:t>
      </w:r>
    </w:p>
    <w:p w14:paraId="1E1B0E4B">
      <w:pPr>
        <w:adjustRightInd/>
        <w:spacing w:line="44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58163BF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14:paraId="537AD24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14:paraId="2C92362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7A47A4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647A85E0">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14:paraId="03B999B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14:paraId="5AD7E2F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00B37AB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14:paraId="31A0C87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 涉及国家利益、社会公共利益的情形</w:t>
      </w:r>
    </w:p>
    <w:p w14:paraId="4C9D40E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0C00656E">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14:paraId="72E0C73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 乙方不得将合同转包给其他供应商。涉及合同分包的，乙方应根据采购文件和投标（响应）文件规定进行合同分包。</w:t>
      </w:r>
    </w:p>
    <w:p w14:paraId="560EB1B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 乙方执行政府采购政策向中小企业依法分包的，乙方应当按采购文件和投标（响应）文件签订分包意向协议，分包意向协议属于本合同组成部分。</w:t>
      </w:r>
    </w:p>
    <w:p w14:paraId="14869C17">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14:paraId="1A02449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 不可抗力是指合同双方不能预见、不能避免且不能克服的客观情况。</w:t>
      </w:r>
    </w:p>
    <w:p w14:paraId="1F6CA67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 任何一方对由于不可抗力造成的部分或全部不能履行合同不承担违约责任。但迟延履行后发生不可抗力的，不能免除责任。</w:t>
      </w:r>
    </w:p>
    <w:p w14:paraId="26073BB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7AA7F2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14:paraId="7A64EF06">
      <w:pPr>
        <w:adjustRightInd/>
        <w:spacing w:line="440" w:lineRule="exact"/>
        <w:ind w:left="-199" w:leftChars="-95" w:right="-420" w:rightChars="-200" w:firstLine="501" w:firstLineChars="208"/>
        <w:rPr>
          <w:rFonts w:ascii="仿宋" w:hAnsi="仿宋" w:eastAsia="仿宋" w:cs="仿宋"/>
          <w:color w:val="auto"/>
          <w:kern w:val="0"/>
          <w:sz w:val="24"/>
          <w:szCs w:val="20"/>
          <w:highlight w:val="none"/>
        </w:rPr>
      </w:pPr>
      <w:r>
        <w:rPr>
          <w:rFonts w:ascii="仿宋" w:hAnsi="仿宋" w:eastAsia="仿宋" w:cs="仿宋"/>
          <w:b/>
          <w:bCs/>
          <w:color w:val="auto"/>
          <w:kern w:val="0"/>
          <w:sz w:val="24"/>
          <w:szCs w:val="20"/>
          <w:highlight w:val="none"/>
        </w:rPr>
        <w:t xml:space="preserve">19.1 </w:t>
      </w:r>
      <w:r>
        <w:rPr>
          <w:rFonts w:hint="eastAsia" w:ascii="仿宋" w:hAnsi="仿宋" w:eastAsia="仿宋" w:cs="仿宋"/>
          <w:color w:val="auto"/>
          <w:kern w:val="0"/>
          <w:sz w:val="24"/>
          <w:szCs w:val="20"/>
          <w:highlight w:val="none"/>
        </w:rPr>
        <w:t>因本合同及合同有关事项发生的争议，由甲乙双方友好协商解决。协商不成时，可以向有关组织申请调解。合同一方或双方不愿调解或调解不成的，可以通过仲裁的方式解决争议，将争议提交绍兴仲裁委员会</w:t>
      </w:r>
      <w:bookmarkStart w:id="72" w:name="OLE_LINK11"/>
      <w:r>
        <w:rPr>
          <w:rFonts w:hint="eastAsia" w:ascii="仿宋" w:hAnsi="仿宋" w:eastAsia="仿宋" w:cs="仿宋"/>
          <w:color w:val="auto"/>
          <w:kern w:val="0"/>
          <w:sz w:val="24"/>
          <w:szCs w:val="20"/>
          <w:highlight w:val="none"/>
        </w:rPr>
        <w:t>柯桥分会</w:t>
      </w:r>
      <w:bookmarkEnd w:id="72"/>
      <w:r>
        <w:rPr>
          <w:rFonts w:hint="eastAsia" w:ascii="仿宋" w:hAnsi="仿宋" w:eastAsia="仿宋" w:cs="仿宋"/>
          <w:color w:val="auto"/>
          <w:kern w:val="0"/>
          <w:sz w:val="24"/>
          <w:szCs w:val="20"/>
          <w:highlight w:val="none"/>
        </w:rPr>
        <w:t>仲裁。</w:t>
      </w:r>
    </w:p>
    <w:p w14:paraId="33BA3F38">
      <w:pPr>
        <w:adjustRightInd/>
        <w:spacing w:line="440" w:lineRule="exact"/>
        <w:ind w:left="-199" w:leftChars="-95" w:right="-420" w:rightChars="-200" w:firstLine="501" w:firstLineChars="208"/>
        <w:rPr>
          <w:rFonts w:ascii="仿宋" w:hAnsi="仿宋" w:eastAsia="仿宋" w:cs="仿宋"/>
          <w:color w:val="auto"/>
          <w:kern w:val="0"/>
          <w:sz w:val="24"/>
          <w:szCs w:val="20"/>
          <w:highlight w:val="none"/>
        </w:rPr>
      </w:pPr>
      <w:r>
        <w:rPr>
          <w:rFonts w:ascii="仿宋" w:hAnsi="仿宋" w:eastAsia="仿宋" w:cs="仿宋"/>
          <w:b/>
          <w:bCs/>
          <w:color w:val="auto"/>
          <w:kern w:val="0"/>
          <w:sz w:val="24"/>
          <w:szCs w:val="20"/>
          <w:highlight w:val="none"/>
        </w:rPr>
        <w:t xml:space="preserve">19.2 </w:t>
      </w:r>
      <w:r>
        <w:rPr>
          <w:rFonts w:hint="eastAsia" w:ascii="仿宋" w:hAnsi="仿宋" w:eastAsia="仿宋" w:cs="仿宋"/>
          <w:color w:val="auto"/>
          <w:kern w:val="0"/>
          <w:sz w:val="24"/>
          <w:szCs w:val="20"/>
          <w:highlight w:val="none"/>
        </w:rPr>
        <w:t>如甲乙双方有争议的事项不影响合同其他部分的履行，在争议解决期间，合同其他部分应当继续履行。</w:t>
      </w:r>
    </w:p>
    <w:p w14:paraId="67EC4CF5">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14:paraId="34CF96F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42CE77A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 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2D5B302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CD5BFB4">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14:paraId="4289335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本合同的订立、生效、解释、履行及与本合同有关的争议解决，均适用法律、行政法规。</w:t>
      </w:r>
    </w:p>
    <w:p w14:paraId="09F60AF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本合同条款与法律、行政法规的强制性规定不一致的，双方当事人应按照法律、行政法规的强制性规定修改本合同的相关条款。</w:t>
      </w:r>
    </w:p>
    <w:p w14:paraId="1483329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14:paraId="36051D8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 本合同任何一方向对方发出的通知、信件、数据电文等，应当发送至本合同第一部分《政府采购合同协议书》所约定的通讯地址、联系人、联系电话或电子邮箱。</w:t>
      </w:r>
    </w:p>
    <w:p w14:paraId="085E4D3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 一方当事人变更名称、住所、联系人、联系电话或电子邮箱等信息的，应当在变更后3日内及时书面通知对方，对方实际收到变更通知前的送达仍为有效送达。</w:t>
      </w:r>
    </w:p>
    <w:p w14:paraId="5BB7280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14:paraId="61283F6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14:paraId="454778E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14:paraId="4D9F621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14:paraId="1BDD021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 合同附件与合同正文具有同等的法律效力。</w:t>
      </w:r>
      <w:bookmarkStart w:id="73" w:name="_Toc20313"/>
    </w:p>
    <w:p w14:paraId="6F9758E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1E6C9B03">
      <w:pPr>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73"/>
    </w:p>
    <w:tbl>
      <w:tblPr>
        <w:tblStyle w:val="62"/>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76CFC0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D091E7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FF6E53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vAlign w:val="center"/>
          </w:tcPr>
          <w:p w14:paraId="4C2DB2F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vAlign w:val="center"/>
          </w:tcPr>
          <w:p w14:paraId="3834D5A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547D5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787" w:type="dxa"/>
            <w:vAlign w:val="center"/>
          </w:tcPr>
          <w:p w14:paraId="1E1C065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E4C51C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vAlign w:val="center"/>
          </w:tcPr>
          <w:p w14:paraId="0CB6010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vAlign w:val="center"/>
          </w:tcPr>
          <w:p w14:paraId="6940B46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63C47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FBA3EF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93D48C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vAlign w:val="center"/>
          </w:tcPr>
          <w:p w14:paraId="072E2FC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14:paraId="028A434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14:paraId="1BE1A3C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vAlign w:val="center"/>
          </w:tcPr>
          <w:p w14:paraId="0124C04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E51D9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4E27A06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8D6FB9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vAlign w:val="center"/>
          </w:tcPr>
          <w:p w14:paraId="541ACF0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14:paraId="6536424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39C241E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4BC9D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C89F5A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17ABA0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vAlign w:val="center"/>
          </w:tcPr>
          <w:p w14:paraId="41ABEEB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14:paraId="5EDB8EF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3281692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7F579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7D0994C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539275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vAlign w:val="center"/>
          </w:tcPr>
          <w:p w14:paraId="10271F2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14:paraId="7F5E78F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vAlign w:val="center"/>
          </w:tcPr>
          <w:p w14:paraId="5367F94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7BE26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restart"/>
            <w:vAlign w:val="center"/>
          </w:tcPr>
          <w:p w14:paraId="26551C8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A41BA9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vAlign w:val="center"/>
          </w:tcPr>
          <w:p w14:paraId="024F53C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vAlign w:val="center"/>
          </w:tcPr>
          <w:p w14:paraId="72CC38A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7D398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continue"/>
            <w:vAlign w:val="center"/>
          </w:tcPr>
          <w:p w14:paraId="3627472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vAlign w:val="center"/>
          </w:tcPr>
          <w:p w14:paraId="62AF0FA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vAlign w:val="center"/>
          </w:tcPr>
          <w:p w14:paraId="6A56910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CB6E2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87" w:type="dxa"/>
            <w:vAlign w:val="center"/>
          </w:tcPr>
          <w:p w14:paraId="1FA9B4D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2DEF04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vAlign w:val="center"/>
          </w:tcPr>
          <w:p w14:paraId="2C682FE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vAlign w:val="center"/>
          </w:tcPr>
          <w:p w14:paraId="57D9215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B8284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Align w:val="center"/>
          </w:tcPr>
          <w:p w14:paraId="40EF2AE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D34AB2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vAlign w:val="center"/>
          </w:tcPr>
          <w:p w14:paraId="0910F74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vAlign w:val="center"/>
          </w:tcPr>
          <w:p w14:paraId="787FA2A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57D42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41B8293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39AA72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vAlign w:val="center"/>
          </w:tcPr>
          <w:p w14:paraId="31B36FC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vAlign w:val="center"/>
          </w:tcPr>
          <w:p w14:paraId="4D43141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5A37B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A21D7E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25A6AD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vAlign w:val="center"/>
          </w:tcPr>
          <w:p w14:paraId="5019A81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14:paraId="673B11D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vAlign w:val="center"/>
          </w:tcPr>
          <w:p w14:paraId="4EF29FB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2E697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1543249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BB089A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vAlign w:val="center"/>
          </w:tcPr>
          <w:p w14:paraId="0C1EE50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14:paraId="6E6C348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vAlign w:val="center"/>
          </w:tcPr>
          <w:p w14:paraId="453E8F5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05E96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41452B6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8D2A4D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vAlign w:val="center"/>
          </w:tcPr>
          <w:p w14:paraId="138A51B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08E6AB0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vAlign w:val="center"/>
          </w:tcPr>
          <w:p w14:paraId="6988B6C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041FB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41B9311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8F8334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vAlign w:val="center"/>
          </w:tcPr>
          <w:p w14:paraId="2BF7B51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14:paraId="286CD03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vAlign w:val="center"/>
          </w:tcPr>
          <w:p w14:paraId="0162DE7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p>
        </w:tc>
      </w:tr>
      <w:tr w14:paraId="3FBE5B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66482F7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1F7BE0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vAlign w:val="center"/>
          </w:tcPr>
          <w:p w14:paraId="658D79D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29A61A4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14:paraId="5083AC2D">
            <w:pPr>
              <w:adjustRightInd/>
              <w:spacing w:line="44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vAlign w:val="center"/>
          </w:tcPr>
          <w:p w14:paraId="5620B1D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p>
        </w:tc>
      </w:tr>
      <w:tr w14:paraId="1264F4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4711D90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5C924C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vAlign w:val="center"/>
          </w:tcPr>
          <w:p w14:paraId="1473683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14:paraId="510A533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vAlign w:val="center"/>
          </w:tcPr>
          <w:p w14:paraId="262FE56A">
            <w:pPr>
              <w:adjustRightInd/>
              <w:spacing w:line="440" w:lineRule="exact"/>
              <w:ind w:right="-420" w:rightChars="-200"/>
              <w:rPr>
                <w:rFonts w:ascii="仿宋" w:hAnsi="仿宋" w:eastAsia="仿宋" w:cs="仿宋"/>
                <w:color w:val="auto"/>
                <w:kern w:val="0"/>
                <w:sz w:val="24"/>
                <w:szCs w:val="20"/>
                <w:highlight w:val="none"/>
              </w:rPr>
            </w:pPr>
          </w:p>
        </w:tc>
      </w:tr>
      <w:tr w14:paraId="09B79E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1E9C267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239E1C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vAlign w:val="center"/>
          </w:tcPr>
          <w:p w14:paraId="5D10A2C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vAlign w:val="center"/>
          </w:tcPr>
          <w:p w14:paraId="36E30FB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8714E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0AD3B7A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524206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vAlign w:val="center"/>
          </w:tcPr>
          <w:p w14:paraId="2FCC196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7C19B1C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vAlign w:val="center"/>
          </w:tcPr>
          <w:p w14:paraId="0D0484A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F20DC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50E9E81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48F815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vAlign w:val="center"/>
          </w:tcPr>
          <w:p w14:paraId="11C1EF1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14:paraId="08AD4C6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vAlign w:val="center"/>
          </w:tcPr>
          <w:p w14:paraId="394BBF6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4D356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42ECB3E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F57981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vAlign w:val="center"/>
          </w:tcPr>
          <w:p w14:paraId="7387621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vAlign w:val="center"/>
          </w:tcPr>
          <w:p w14:paraId="531515D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延期按1000元/天赔付</w:t>
            </w:r>
          </w:p>
        </w:tc>
      </w:tr>
      <w:tr w14:paraId="653FA7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0648656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9E92AB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vAlign w:val="center"/>
          </w:tcPr>
          <w:p w14:paraId="1C16BCF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vAlign w:val="center"/>
          </w:tcPr>
          <w:p w14:paraId="15293F7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F1B3E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87" w:type="dxa"/>
            <w:tcBorders>
              <w:bottom w:val="single" w:color="auto" w:sz="2" w:space="0"/>
              <w:right w:val="single" w:color="auto" w:sz="2" w:space="0"/>
            </w:tcBorders>
            <w:vAlign w:val="center"/>
          </w:tcPr>
          <w:p w14:paraId="6B8A905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D6E52C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14:paraId="5AD9910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vAlign w:val="center"/>
          </w:tcPr>
          <w:p w14:paraId="0B4F570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E6D2D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7" w:type="dxa"/>
            <w:tcBorders>
              <w:top w:val="single" w:color="auto" w:sz="2" w:space="0"/>
              <w:right w:val="single" w:color="auto" w:sz="2" w:space="0"/>
            </w:tcBorders>
            <w:vAlign w:val="center"/>
          </w:tcPr>
          <w:p w14:paraId="2331677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11EEAF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14:paraId="1791957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vAlign w:val="center"/>
          </w:tcPr>
          <w:p w14:paraId="0EC28390">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188617C9">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05DD82F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议提交绍兴仲裁委员会柯桥分会仲裁。</w:t>
            </w:r>
          </w:p>
        </w:tc>
      </w:tr>
      <w:tr w14:paraId="17657D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787" w:type="dxa"/>
            <w:vAlign w:val="center"/>
          </w:tcPr>
          <w:p w14:paraId="394B342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5561E8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vAlign w:val="center"/>
          </w:tcPr>
          <w:p w14:paraId="768F902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vAlign w:val="center"/>
          </w:tcPr>
          <w:p w14:paraId="292784B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14:paraId="75813DB5">
      <w:pPr>
        <w:spacing w:line="360" w:lineRule="auto"/>
        <w:jc w:val="center"/>
        <w:rPr>
          <w:rFonts w:ascii="仿宋" w:hAnsi="仿宋" w:eastAsia="仿宋" w:cs="仿宋"/>
          <w:b/>
          <w:color w:val="auto"/>
          <w:sz w:val="36"/>
          <w:szCs w:val="36"/>
          <w:highlight w:val="none"/>
        </w:rPr>
      </w:pPr>
    </w:p>
    <w:p w14:paraId="5786D17D">
      <w:pP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095C35F5">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4BADDB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6BD2F1F">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763458A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959B355">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DC4BFC9">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14:paraId="5FE97DEB">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60</w:t>
      </w:r>
      <w:r>
        <w:rPr>
          <w:rFonts w:hint="eastAsia" w:ascii="仿宋" w:hAnsi="仿宋" w:eastAsia="仿宋" w:cs="仿宋"/>
          <w:b/>
          <w:bCs/>
          <w:iCs/>
          <w:color w:val="auto"/>
          <w:sz w:val="24"/>
          <w:highlight w:val="none"/>
        </w:rPr>
        <w:t>分）</w:t>
      </w:r>
    </w:p>
    <w:tbl>
      <w:tblPr>
        <w:tblStyle w:val="6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465"/>
        <w:gridCol w:w="6354"/>
        <w:gridCol w:w="709"/>
      </w:tblGrid>
      <w:tr w14:paraId="3B3F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81" w:type="dxa"/>
            <w:tcBorders>
              <w:top w:val="single" w:color="auto" w:sz="4" w:space="0"/>
              <w:left w:val="single" w:color="auto" w:sz="4" w:space="0"/>
              <w:bottom w:val="single" w:color="auto" w:sz="4" w:space="0"/>
              <w:right w:val="single" w:color="auto" w:sz="4" w:space="0"/>
            </w:tcBorders>
            <w:noWrap w:val="0"/>
            <w:vAlign w:val="center"/>
          </w:tcPr>
          <w:p w14:paraId="43658B8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465" w:type="dxa"/>
            <w:tcBorders>
              <w:top w:val="single" w:color="auto" w:sz="4" w:space="0"/>
              <w:left w:val="single" w:color="auto" w:sz="4" w:space="0"/>
              <w:bottom w:val="single" w:color="auto" w:sz="4" w:space="0"/>
              <w:right w:val="single" w:color="auto" w:sz="4" w:space="0"/>
            </w:tcBorders>
            <w:noWrap w:val="0"/>
            <w:vAlign w:val="center"/>
          </w:tcPr>
          <w:p w14:paraId="1F618C1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tc>
        <w:tc>
          <w:tcPr>
            <w:tcW w:w="6354" w:type="dxa"/>
            <w:tcBorders>
              <w:top w:val="single" w:color="auto" w:sz="4" w:space="0"/>
              <w:left w:val="single" w:color="auto" w:sz="4" w:space="0"/>
              <w:bottom w:val="single" w:color="auto" w:sz="4" w:space="0"/>
              <w:right w:val="single" w:color="auto" w:sz="4" w:space="0"/>
            </w:tcBorders>
            <w:noWrap w:val="0"/>
            <w:vAlign w:val="center"/>
          </w:tcPr>
          <w:p w14:paraId="142B70B5">
            <w:pPr>
              <w:keepNext w:val="0"/>
              <w:keepLines w:val="0"/>
              <w:pageBreakBefore w:val="0"/>
              <w:kinsoku/>
              <w:wordWrap/>
              <w:overflowPunct/>
              <w:topLinePunct w:val="0"/>
              <w:autoSpaceDE/>
              <w:autoSpaceDN/>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评分内容和标准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48C7CF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r>
      <w:tr w14:paraId="7F2C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681" w:type="dxa"/>
            <w:tcBorders>
              <w:top w:val="single" w:color="auto" w:sz="4" w:space="0"/>
              <w:left w:val="single" w:color="auto" w:sz="4" w:space="0"/>
              <w:bottom w:val="single" w:color="auto" w:sz="4" w:space="0"/>
              <w:right w:val="single" w:color="auto" w:sz="4" w:space="0"/>
            </w:tcBorders>
            <w:noWrap w:val="0"/>
            <w:vAlign w:val="center"/>
          </w:tcPr>
          <w:p w14:paraId="712867C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465" w:type="dxa"/>
            <w:tcBorders>
              <w:top w:val="single" w:color="auto" w:sz="4" w:space="0"/>
              <w:left w:val="single" w:color="auto" w:sz="4" w:space="0"/>
              <w:bottom w:val="single" w:color="auto" w:sz="4" w:space="0"/>
              <w:right w:val="single" w:color="auto" w:sz="4" w:space="0"/>
            </w:tcBorders>
            <w:noWrap w:val="0"/>
            <w:vAlign w:val="center"/>
          </w:tcPr>
          <w:p w14:paraId="2B26450B">
            <w:pPr>
              <w:jc w:val="center"/>
              <w:rPr>
                <w:rFonts w:hint="eastAsia" w:ascii="仿宋" w:hAnsi="仿宋" w:eastAsia="仿宋" w:cs="仿宋"/>
                <w:color w:val="auto"/>
                <w:sz w:val="24"/>
                <w:szCs w:val="24"/>
                <w:highlight w:val="none"/>
              </w:rPr>
            </w:pPr>
            <w:r>
              <w:rPr>
                <w:rFonts w:hint="eastAsia" w:ascii="仿宋" w:hAnsi="仿宋" w:eastAsia="仿宋" w:cs="仿宋"/>
                <w:color w:val="auto"/>
                <w:kern w:val="0"/>
                <w:szCs w:val="21"/>
                <w:highlight w:val="none"/>
                <w:lang w:bidi="ar"/>
              </w:rPr>
              <w:t>业绩</w:t>
            </w:r>
          </w:p>
        </w:tc>
        <w:tc>
          <w:tcPr>
            <w:tcW w:w="6354" w:type="dxa"/>
            <w:tcBorders>
              <w:top w:val="single" w:color="auto" w:sz="4" w:space="0"/>
              <w:left w:val="single" w:color="auto" w:sz="4" w:space="0"/>
              <w:bottom w:val="single" w:color="auto" w:sz="4" w:space="0"/>
              <w:right w:val="single" w:color="auto" w:sz="4" w:space="0"/>
            </w:tcBorders>
            <w:noWrap w:val="0"/>
            <w:vAlign w:val="center"/>
          </w:tcPr>
          <w:p w14:paraId="4788E7B1">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自2022年1月1日以来（以合同签订时间为准）同类项目业绩，每提供一个业绩合同得1分，最高得3分。</w:t>
            </w:r>
          </w:p>
          <w:p w14:paraId="19F7E832">
            <w:pPr>
              <w:keepNext w:val="0"/>
              <w:keepLines w:val="0"/>
              <w:pageBreakBefore w:val="0"/>
              <w:kinsoku/>
              <w:wordWrap/>
              <w:overflowPunct/>
              <w:topLinePunct w:val="0"/>
              <w:autoSpaceDE/>
              <w:autoSpaceDN/>
              <w:bidi w:val="0"/>
              <w:adjustRightInd w:val="0"/>
              <w:spacing w:line="32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Cs w:val="21"/>
                <w:highlight w:val="none"/>
              </w:rPr>
              <w:t>注：投标文件中提供业绩项目的合同复印件并加盖投标单位公章，时间以合同签订时间为准。未提供不得分。</w:t>
            </w:r>
            <w:r>
              <w:rPr>
                <w:rFonts w:hint="eastAsia" w:ascii="仿宋" w:hAnsi="仿宋" w:eastAsia="仿宋" w:cs="仿宋"/>
                <w:color w:val="auto"/>
                <w:kern w:val="0"/>
                <w:szCs w:val="21"/>
                <w:highlight w:val="none"/>
                <w:lang w:bidi="ar"/>
              </w:rPr>
              <w:t>注：投标文件中提供业绩项目的合同扫描件，时间以合同签订时间为准。若不能体现项目规模、项目特征等内容，需同时提供业主证明材料并加盖业主单位公章。未提供不得分。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7553F0E">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r>
      <w:tr w14:paraId="77E0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681" w:type="dxa"/>
            <w:tcBorders>
              <w:top w:val="single" w:color="auto" w:sz="4" w:space="0"/>
              <w:left w:val="single" w:color="auto" w:sz="4" w:space="0"/>
              <w:bottom w:val="single" w:color="auto" w:sz="4" w:space="0"/>
              <w:right w:val="single" w:color="auto" w:sz="4" w:space="0"/>
            </w:tcBorders>
            <w:noWrap w:val="0"/>
            <w:vAlign w:val="center"/>
          </w:tcPr>
          <w:p w14:paraId="3FC6730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465" w:type="dxa"/>
            <w:tcBorders>
              <w:top w:val="single" w:color="auto" w:sz="4" w:space="0"/>
              <w:left w:val="single" w:color="auto" w:sz="4" w:space="0"/>
              <w:bottom w:val="single" w:color="auto" w:sz="4" w:space="0"/>
              <w:right w:val="single" w:color="auto" w:sz="4" w:space="0"/>
            </w:tcBorders>
            <w:noWrap w:val="0"/>
            <w:vAlign w:val="center"/>
          </w:tcPr>
          <w:p w14:paraId="1F1D43D3">
            <w:pPr>
              <w:widowControl/>
              <w:jc w:val="center"/>
              <w:textAlignment w:val="center"/>
              <w:rPr>
                <w:rFonts w:hint="eastAsia" w:ascii="仿宋" w:hAnsi="仿宋" w:eastAsia="仿宋" w:cs="仿宋"/>
                <w:bCs w:val="0"/>
                <w:color w:val="auto"/>
                <w:kern w:val="0"/>
                <w:sz w:val="24"/>
                <w:szCs w:val="24"/>
                <w:highlight w:val="none"/>
                <w:lang w:eastAsia="zh-CN"/>
              </w:rPr>
            </w:pPr>
            <w:r>
              <w:rPr>
                <w:rFonts w:hint="eastAsia" w:ascii="仿宋" w:hAnsi="仿宋" w:eastAsia="仿宋" w:cs="仿宋"/>
                <w:color w:val="auto"/>
                <w:kern w:val="0"/>
                <w:szCs w:val="21"/>
                <w:highlight w:val="none"/>
                <w:lang w:bidi="ar"/>
              </w:rPr>
              <w:t>项目团队人员</w:t>
            </w:r>
          </w:p>
        </w:tc>
        <w:tc>
          <w:tcPr>
            <w:tcW w:w="6354" w:type="dxa"/>
            <w:tcBorders>
              <w:top w:val="single" w:color="auto" w:sz="4" w:space="0"/>
              <w:left w:val="single" w:color="auto" w:sz="4" w:space="0"/>
              <w:bottom w:val="single" w:color="auto" w:sz="4" w:space="0"/>
              <w:right w:val="single" w:color="auto" w:sz="4" w:space="0"/>
            </w:tcBorders>
            <w:noWrap w:val="0"/>
            <w:vAlign w:val="center"/>
          </w:tcPr>
          <w:p w14:paraId="08D2A710">
            <w:pPr>
              <w:autoSpaceDE w:val="0"/>
              <w:autoSpaceDN w:val="0"/>
              <w:spacing w:line="360" w:lineRule="exact"/>
              <w:rPr>
                <w:rFonts w:hint="eastAsia" w:ascii="仿宋" w:hAnsi="仿宋" w:eastAsia="仿宋" w:cs="仿宋"/>
                <w:b/>
                <w:bCs/>
                <w:color w:val="auto"/>
                <w:szCs w:val="21"/>
                <w:highlight w:val="none"/>
                <w:lang w:bidi="zh-CN"/>
              </w:rPr>
            </w:pPr>
            <w:r>
              <w:rPr>
                <w:rFonts w:hint="eastAsia" w:ascii="仿宋" w:hAnsi="仿宋" w:eastAsia="仿宋" w:cs="仿宋"/>
                <w:b/>
                <w:bCs/>
                <w:color w:val="auto"/>
                <w:szCs w:val="21"/>
                <w:highlight w:val="none"/>
                <w:lang w:bidi="zh-CN"/>
              </w:rPr>
              <w:t>1、根据投标人拟为本项目提供的项目负责人进行打分：</w:t>
            </w:r>
          </w:p>
          <w:p w14:paraId="149A0A47">
            <w:pPr>
              <w:autoSpaceDE w:val="0"/>
              <w:autoSpaceDN w:val="0"/>
              <w:spacing w:line="360" w:lineRule="exact"/>
              <w:rPr>
                <w:rFonts w:hint="eastAsia" w:ascii="仿宋" w:hAnsi="仿宋" w:eastAsia="仿宋" w:cs="仿宋"/>
                <w:color w:val="auto"/>
                <w:szCs w:val="21"/>
                <w:highlight w:val="none"/>
                <w:lang w:bidi="zh-CN"/>
              </w:rPr>
            </w:pPr>
            <w:r>
              <w:rPr>
                <w:rFonts w:hint="eastAsia" w:ascii="仿宋" w:hAnsi="仿宋" w:eastAsia="仿宋" w:cs="仿宋"/>
                <w:color w:val="auto"/>
                <w:szCs w:val="21"/>
                <w:highlight w:val="none"/>
                <w:lang w:bidi="zh-CN"/>
              </w:rPr>
              <w:t>项目负责人具有中级及以上工程师职称证书的得</w:t>
            </w:r>
            <w:r>
              <w:rPr>
                <w:rFonts w:hint="eastAsia" w:ascii="仿宋" w:hAnsi="仿宋" w:eastAsia="仿宋" w:cs="仿宋"/>
                <w:color w:val="auto"/>
                <w:szCs w:val="21"/>
                <w:highlight w:val="none"/>
                <w:lang w:val="en-US" w:bidi="zh-CN"/>
              </w:rPr>
              <w:t>1</w:t>
            </w:r>
            <w:r>
              <w:rPr>
                <w:rFonts w:hint="eastAsia" w:ascii="仿宋" w:hAnsi="仿宋" w:eastAsia="仿宋" w:cs="仿宋"/>
                <w:color w:val="auto"/>
                <w:szCs w:val="21"/>
                <w:highlight w:val="none"/>
                <w:lang w:bidi="zh-CN"/>
              </w:rPr>
              <w:t>分。</w:t>
            </w:r>
          </w:p>
          <w:p w14:paraId="366ABA0B">
            <w:pPr>
              <w:autoSpaceDE w:val="0"/>
              <w:autoSpaceDN w:val="0"/>
              <w:spacing w:line="360" w:lineRule="exact"/>
              <w:rPr>
                <w:rFonts w:hint="eastAsia" w:ascii="仿宋" w:hAnsi="仿宋" w:eastAsia="仿宋" w:cs="仿宋"/>
                <w:b/>
                <w:bCs/>
                <w:color w:val="auto"/>
                <w:szCs w:val="21"/>
                <w:highlight w:val="none"/>
                <w:lang w:bidi="zh-CN"/>
              </w:rPr>
            </w:pPr>
            <w:r>
              <w:rPr>
                <w:rFonts w:hint="eastAsia" w:ascii="仿宋" w:hAnsi="仿宋" w:eastAsia="仿宋" w:cs="仿宋"/>
                <w:b/>
                <w:bCs/>
                <w:color w:val="auto"/>
                <w:szCs w:val="21"/>
                <w:highlight w:val="none"/>
                <w:lang w:bidi="zh-CN"/>
              </w:rPr>
              <w:t>2、根据投标人拟为本项目提供的技术负责人进行打分：</w:t>
            </w:r>
          </w:p>
          <w:p w14:paraId="376FFDE8">
            <w:pPr>
              <w:autoSpaceDE w:val="0"/>
              <w:autoSpaceDN w:val="0"/>
              <w:spacing w:line="360" w:lineRule="exact"/>
              <w:rPr>
                <w:rFonts w:hint="eastAsia" w:ascii="仿宋" w:hAnsi="仿宋" w:eastAsia="仿宋" w:cs="仿宋"/>
                <w:color w:val="auto"/>
                <w:szCs w:val="21"/>
                <w:highlight w:val="none"/>
                <w:lang w:bidi="zh-CN"/>
              </w:rPr>
            </w:pPr>
            <w:r>
              <w:rPr>
                <w:rFonts w:hint="eastAsia" w:ascii="仿宋" w:hAnsi="仿宋" w:eastAsia="仿宋" w:cs="仿宋"/>
                <w:color w:val="auto"/>
                <w:szCs w:val="21"/>
                <w:highlight w:val="none"/>
                <w:lang w:bidi="zh-CN"/>
              </w:rPr>
              <w:t>技术负责人具备中级工程师证书的得0.5分；高级及以上工程师职称证书的得1分。本项最高得1分。</w:t>
            </w:r>
          </w:p>
          <w:p w14:paraId="5E6C72D0">
            <w:pPr>
              <w:autoSpaceDE w:val="0"/>
              <w:autoSpaceDN w:val="0"/>
              <w:spacing w:line="360" w:lineRule="exact"/>
              <w:rPr>
                <w:rFonts w:hint="eastAsia" w:ascii="仿宋" w:hAnsi="仿宋" w:eastAsia="仿宋" w:cs="仿宋"/>
                <w:b/>
                <w:bCs/>
                <w:color w:val="auto"/>
                <w:szCs w:val="21"/>
                <w:highlight w:val="none"/>
                <w:lang w:bidi="zh-CN"/>
              </w:rPr>
            </w:pPr>
            <w:r>
              <w:rPr>
                <w:rFonts w:hint="eastAsia" w:ascii="仿宋" w:hAnsi="仿宋" w:eastAsia="仿宋" w:cs="仿宋"/>
                <w:b/>
                <w:bCs/>
                <w:color w:val="auto"/>
                <w:szCs w:val="21"/>
                <w:highlight w:val="none"/>
                <w:lang w:bidi="zh-CN"/>
              </w:rPr>
              <w:t>3、根据投标人项目实施团队技术力量情况进行评分：</w:t>
            </w:r>
          </w:p>
          <w:p w14:paraId="017D84FC">
            <w:pPr>
              <w:widowControl/>
              <w:textAlignment w:val="center"/>
              <w:rPr>
                <w:rFonts w:hint="eastAsia" w:ascii="仿宋" w:hAnsi="仿宋" w:eastAsia="仿宋" w:cs="仿宋"/>
                <w:color w:val="auto"/>
                <w:szCs w:val="21"/>
                <w:highlight w:val="none"/>
                <w:lang w:bidi="zh-CN"/>
              </w:rPr>
            </w:pPr>
            <w:r>
              <w:rPr>
                <w:rFonts w:hint="eastAsia" w:ascii="仿宋" w:hAnsi="仿宋" w:eastAsia="仿宋" w:cs="仿宋"/>
                <w:color w:val="auto"/>
                <w:szCs w:val="21"/>
                <w:highlight w:val="none"/>
                <w:lang w:bidi="zh-CN"/>
              </w:rPr>
              <w:t>团队成员（不含项目负责人和技术负责人）中具有中级及以上工程师证书的得0.5分。本项最高得1分；</w:t>
            </w:r>
          </w:p>
          <w:p w14:paraId="6EFC91D9">
            <w:pPr>
              <w:keepNext w:val="0"/>
              <w:keepLines w:val="0"/>
              <w:pageBreakBefore w:val="0"/>
              <w:kinsoku/>
              <w:wordWrap/>
              <w:overflowPunct/>
              <w:topLinePunct w:val="0"/>
              <w:autoSpaceDE/>
              <w:autoSpaceDN/>
              <w:bidi w:val="0"/>
              <w:adjustRightInd w:val="0"/>
              <w:spacing w:line="320" w:lineRule="exact"/>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Cs w:val="21"/>
                <w:highlight w:val="none"/>
                <w:lang w:bidi="zh-CN"/>
              </w:rPr>
              <w:t>注：上述所有项目组人员须为投标企业在职职工，须提供相关证书及缴费期限为近三个月的投标人所属社保机构养老保险交纳清单或证明（缴费单位和投标单位名称必须一致）。社保证明需在社保机构或社保机构网站上打印，并加盖投标人公章。</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9FBAC6F">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r>
      <w:tr w14:paraId="5E5B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81" w:type="dxa"/>
            <w:tcBorders>
              <w:top w:val="single" w:color="auto" w:sz="4" w:space="0"/>
              <w:left w:val="single" w:color="auto" w:sz="4" w:space="0"/>
              <w:bottom w:val="single" w:color="auto" w:sz="4" w:space="0"/>
              <w:right w:val="single" w:color="auto" w:sz="4" w:space="0"/>
            </w:tcBorders>
            <w:noWrap w:val="0"/>
            <w:vAlign w:val="center"/>
          </w:tcPr>
          <w:p w14:paraId="0FFDD7A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465" w:type="dxa"/>
            <w:tcBorders>
              <w:top w:val="single" w:color="auto" w:sz="4" w:space="0"/>
              <w:left w:val="single" w:color="auto" w:sz="4" w:space="0"/>
              <w:bottom w:val="single" w:color="auto" w:sz="4" w:space="0"/>
              <w:right w:val="single" w:color="auto" w:sz="4" w:space="0"/>
            </w:tcBorders>
            <w:noWrap w:val="0"/>
            <w:vAlign w:val="center"/>
          </w:tcPr>
          <w:p w14:paraId="501A522B">
            <w:pPr>
              <w:spacing w:line="440" w:lineRule="exact"/>
              <w:jc w:val="center"/>
              <w:rPr>
                <w:rFonts w:hint="eastAsia" w:ascii="仿宋" w:hAnsi="仿宋" w:eastAsia="仿宋" w:cs="仿宋"/>
                <w:bCs w:val="0"/>
                <w:color w:val="auto"/>
                <w:kern w:val="0"/>
                <w:sz w:val="24"/>
                <w:szCs w:val="24"/>
                <w:highlight w:val="none"/>
              </w:rPr>
            </w:pPr>
            <w:r>
              <w:rPr>
                <w:rFonts w:hint="eastAsia" w:ascii="仿宋" w:hAnsi="仿宋" w:eastAsia="仿宋" w:cs="仿宋"/>
                <w:color w:val="auto"/>
                <w:szCs w:val="21"/>
                <w:highlight w:val="none"/>
              </w:rPr>
              <w:t>体系认证</w:t>
            </w:r>
          </w:p>
        </w:tc>
        <w:tc>
          <w:tcPr>
            <w:tcW w:w="6354" w:type="dxa"/>
            <w:tcBorders>
              <w:top w:val="single" w:color="auto" w:sz="4" w:space="0"/>
              <w:left w:val="single" w:color="auto" w:sz="4" w:space="0"/>
              <w:bottom w:val="single" w:color="auto" w:sz="4" w:space="0"/>
              <w:right w:val="single" w:color="auto" w:sz="4" w:space="0"/>
            </w:tcBorders>
            <w:noWrap w:val="0"/>
            <w:vAlign w:val="center"/>
          </w:tcPr>
          <w:p w14:paraId="155C3EAA">
            <w:pPr>
              <w:autoSpaceDE w:val="0"/>
              <w:autoSpaceDN w:val="0"/>
              <w:spacing w:line="360" w:lineRule="exact"/>
              <w:rPr>
                <w:rFonts w:hint="eastAsia" w:ascii="仿宋" w:hAnsi="仿宋" w:eastAsia="仿宋" w:cs="仿宋"/>
                <w:color w:val="auto"/>
                <w:szCs w:val="21"/>
                <w:highlight w:val="none"/>
                <w:lang w:bidi="zh-CN"/>
              </w:rPr>
            </w:pPr>
            <w:r>
              <w:rPr>
                <w:rFonts w:hint="eastAsia" w:ascii="仿宋" w:hAnsi="仿宋" w:eastAsia="仿宋" w:cs="仿宋"/>
                <w:color w:val="auto"/>
                <w:szCs w:val="21"/>
                <w:highlight w:val="none"/>
                <w:lang w:val="zh-CN" w:bidi="zh-CN"/>
              </w:rPr>
              <w:t>投标人</w:t>
            </w:r>
            <w:r>
              <w:rPr>
                <w:rFonts w:hint="eastAsia" w:ascii="仿宋" w:hAnsi="仿宋" w:eastAsia="仿宋" w:cs="仿宋"/>
                <w:color w:val="auto"/>
                <w:szCs w:val="21"/>
                <w:highlight w:val="none"/>
                <w:lang w:bidi="zh-CN"/>
              </w:rPr>
              <w:t>同时</w:t>
            </w:r>
            <w:r>
              <w:rPr>
                <w:rFonts w:hint="eastAsia" w:ascii="仿宋" w:hAnsi="仿宋" w:eastAsia="仿宋" w:cs="仿宋"/>
                <w:color w:val="auto"/>
                <w:szCs w:val="21"/>
                <w:highlight w:val="none"/>
                <w:lang w:val="zh-CN" w:bidi="zh-CN"/>
              </w:rPr>
              <w:t>具有有效期内的质量管理体系认证证书、职业健康安全管理体系认证证书</w:t>
            </w:r>
            <w:r>
              <w:rPr>
                <w:rFonts w:hint="eastAsia" w:ascii="仿宋" w:hAnsi="仿宋" w:eastAsia="仿宋" w:cs="仿宋"/>
                <w:color w:val="auto"/>
                <w:szCs w:val="21"/>
                <w:highlight w:val="none"/>
                <w:lang w:bidi="zh-CN"/>
              </w:rPr>
              <w:t>的得2分，每缺一项扣1分，扣完为止；</w:t>
            </w:r>
          </w:p>
          <w:p w14:paraId="4D1298D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eastAsia="zh-CN"/>
              </w:rPr>
            </w:pPr>
            <w:r>
              <w:rPr>
                <w:rFonts w:hint="eastAsia" w:ascii="仿宋" w:hAnsi="仿宋" w:eastAsia="仿宋" w:cs="仿宋"/>
                <w:b/>
                <w:bCs/>
                <w:color w:val="auto"/>
                <w:szCs w:val="21"/>
                <w:highlight w:val="none"/>
                <w:lang w:val="zh-CN" w:bidi="zh-CN"/>
              </w:rPr>
              <w:t>注：投标文件中提供相关证书扫描件加盖投标单位公章和全国认证认可信息公共服务平台http://cx.cnca.cn/CertECloud/index/index/page 查询结果截图，未提供相应证书、 查询结果截图的，相应得分项不得分。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6542DCD">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r>
      <w:tr w14:paraId="4485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681" w:type="dxa"/>
            <w:tcBorders>
              <w:top w:val="single" w:color="auto" w:sz="4" w:space="0"/>
              <w:left w:val="single" w:color="auto" w:sz="4" w:space="0"/>
              <w:bottom w:val="single" w:color="auto" w:sz="4" w:space="0"/>
              <w:right w:val="single" w:color="auto" w:sz="4" w:space="0"/>
            </w:tcBorders>
            <w:noWrap w:val="0"/>
            <w:vAlign w:val="center"/>
          </w:tcPr>
          <w:p w14:paraId="0438F6C5">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1465" w:type="dxa"/>
            <w:tcBorders>
              <w:top w:val="single" w:color="auto" w:sz="4" w:space="0"/>
              <w:left w:val="single" w:color="auto" w:sz="4" w:space="0"/>
              <w:bottom w:val="single" w:color="auto" w:sz="4" w:space="0"/>
              <w:right w:val="single" w:color="auto" w:sz="4" w:space="0"/>
            </w:tcBorders>
            <w:noWrap w:val="0"/>
            <w:vAlign w:val="center"/>
          </w:tcPr>
          <w:p w14:paraId="68F88513">
            <w:pPr>
              <w:widowControl/>
              <w:jc w:val="center"/>
              <w:textAlignment w:val="center"/>
              <w:rPr>
                <w:rFonts w:hint="eastAsia" w:ascii="仿宋" w:hAnsi="仿宋" w:eastAsia="仿宋" w:cs="仿宋"/>
                <w:color w:val="auto"/>
                <w:sz w:val="24"/>
                <w:szCs w:val="24"/>
                <w:highlight w:val="none"/>
              </w:rPr>
            </w:pPr>
            <w:bookmarkStart w:id="74" w:name="OLE_LINK4"/>
            <w:r>
              <w:rPr>
                <w:rFonts w:hint="eastAsia" w:ascii="仿宋" w:hAnsi="仿宋" w:eastAsia="仿宋" w:cs="仿宋"/>
                <w:color w:val="auto"/>
                <w:kern w:val="0"/>
                <w:szCs w:val="21"/>
                <w:highlight w:val="none"/>
                <w:lang w:bidi="ar"/>
              </w:rPr>
              <w:t>技术参数指标响应情况</w:t>
            </w:r>
            <w:bookmarkEnd w:id="74"/>
          </w:p>
        </w:tc>
        <w:tc>
          <w:tcPr>
            <w:tcW w:w="6354" w:type="dxa"/>
            <w:tcBorders>
              <w:top w:val="single" w:color="auto" w:sz="4" w:space="0"/>
              <w:left w:val="single" w:color="auto" w:sz="4" w:space="0"/>
              <w:bottom w:val="single" w:color="auto" w:sz="4" w:space="0"/>
              <w:right w:val="single" w:color="auto" w:sz="4" w:space="0"/>
            </w:tcBorders>
            <w:noWrap w:val="0"/>
            <w:vAlign w:val="center"/>
          </w:tcPr>
          <w:p w14:paraId="004D4951">
            <w:pPr>
              <w:keepNext w:val="0"/>
              <w:keepLines w:val="0"/>
              <w:pageBreakBefore w:val="0"/>
              <w:kinsoku/>
              <w:wordWrap/>
              <w:overflowPunct/>
              <w:topLinePunct w:val="0"/>
              <w:autoSpaceDE/>
              <w:autoSpaceDN/>
              <w:bidi w:val="0"/>
              <w:adjustRightInd w:val="0"/>
              <w:spacing w:line="32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Cs w:val="21"/>
                <w:highlight w:val="none"/>
                <w:lang w:bidi="ar"/>
              </w:rPr>
              <w:t>对根据投标文件的设备技术参数配置是否符合招标文件的要求及符合程度进行评价，基本性能满足或高于招标文件要求得满分。参数每负偏离一项扣2分（同一产品同一指标负偏离的不重复扣分），直到扣完为止。</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3001F45">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r>
      <w:tr w14:paraId="34C2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681" w:type="dxa"/>
            <w:tcBorders>
              <w:top w:val="single" w:color="auto" w:sz="4" w:space="0"/>
              <w:left w:val="single" w:color="auto" w:sz="4" w:space="0"/>
              <w:bottom w:val="single" w:color="auto" w:sz="4" w:space="0"/>
              <w:right w:val="single" w:color="auto" w:sz="4" w:space="0"/>
            </w:tcBorders>
            <w:noWrap w:val="0"/>
            <w:vAlign w:val="center"/>
          </w:tcPr>
          <w:p w14:paraId="44ED99B0">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1465" w:type="dxa"/>
            <w:tcBorders>
              <w:top w:val="single" w:color="auto" w:sz="4" w:space="0"/>
              <w:left w:val="single" w:color="auto" w:sz="4" w:space="0"/>
              <w:bottom w:val="single" w:color="auto" w:sz="4" w:space="0"/>
              <w:right w:val="single" w:color="auto" w:sz="4" w:space="0"/>
            </w:tcBorders>
            <w:noWrap w:val="0"/>
            <w:vAlign w:val="center"/>
          </w:tcPr>
          <w:p w14:paraId="6E581539">
            <w:pPr>
              <w:widowControl/>
              <w:adjustRightInd w:val="0"/>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施工组织方案及技术培训服务方案</w:t>
            </w:r>
          </w:p>
        </w:tc>
        <w:tc>
          <w:tcPr>
            <w:tcW w:w="6354" w:type="dxa"/>
            <w:tcBorders>
              <w:top w:val="single" w:color="auto" w:sz="4" w:space="0"/>
              <w:left w:val="single" w:color="auto" w:sz="4" w:space="0"/>
              <w:bottom w:val="single" w:color="auto" w:sz="4" w:space="0"/>
              <w:right w:val="single" w:color="auto" w:sz="4" w:space="0"/>
            </w:tcBorders>
            <w:noWrap w:val="0"/>
            <w:vAlign w:val="center"/>
          </w:tcPr>
          <w:p w14:paraId="1CDFD2E4">
            <w:pPr>
              <w:autoSpaceDE w:val="0"/>
              <w:autoSpaceDN w:val="0"/>
              <w:spacing w:line="360" w:lineRule="exact"/>
              <w:rPr>
                <w:rFonts w:hint="eastAsia" w:ascii="仿宋" w:hAnsi="仿宋" w:eastAsia="仿宋" w:cs="仿宋"/>
                <w:b/>
                <w:bCs/>
                <w:color w:val="auto"/>
                <w:szCs w:val="21"/>
                <w:highlight w:val="none"/>
                <w:lang w:val="zh-CN" w:bidi="zh-CN"/>
              </w:rPr>
            </w:pPr>
            <w:r>
              <w:rPr>
                <w:rFonts w:hint="eastAsia" w:ascii="仿宋" w:hAnsi="仿宋" w:eastAsia="仿宋" w:cs="仿宋"/>
                <w:b/>
                <w:bCs/>
                <w:color w:val="auto"/>
                <w:szCs w:val="21"/>
                <w:highlight w:val="none"/>
                <w:lang w:val="zh-CN" w:bidi="zh-CN"/>
              </w:rPr>
              <w:t>1、对总体施工部署方案的系统性、全面性、针对性等内容进行评分（总分</w:t>
            </w:r>
            <w:r>
              <w:rPr>
                <w:rFonts w:hint="eastAsia" w:ascii="仿宋" w:hAnsi="仿宋" w:eastAsia="仿宋" w:cs="仿宋"/>
                <w:b/>
                <w:bCs/>
                <w:color w:val="auto"/>
                <w:szCs w:val="21"/>
                <w:highlight w:val="none"/>
                <w:lang w:val="en-US" w:bidi="zh-CN"/>
              </w:rPr>
              <w:t>6</w:t>
            </w:r>
            <w:r>
              <w:rPr>
                <w:rFonts w:hint="eastAsia" w:ascii="仿宋" w:hAnsi="仿宋" w:eastAsia="仿宋" w:cs="仿宋"/>
                <w:b/>
                <w:bCs/>
                <w:color w:val="auto"/>
                <w:szCs w:val="21"/>
                <w:highlight w:val="none"/>
                <w:lang w:bidi="zh-CN"/>
              </w:rPr>
              <w:t>分</w:t>
            </w:r>
            <w:r>
              <w:rPr>
                <w:rFonts w:hint="eastAsia" w:ascii="仿宋" w:hAnsi="仿宋" w:eastAsia="仿宋" w:cs="仿宋"/>
                <w:b/>
                <w:bCs/>
                <w:color w:val="auto"/>
                <w:szCs w:val="21"/>
                <w:highlight w:val="none"/>
                <w:lang w:val="zh-CN" w:bidi="zh-CN"/>
              </w:rPr>
              <w:t>）：</w:t>
            </w:r>
          </w:p>
          <w:p w14:paraId="51AA3C3C">
            <w:pPr>
              <w:autoSpaceDE w:val="0"/>
              <w:autoSpaceDN w:val="0"/>
              <w:spacing w:line="360" w:lineRule="exact"/>
              <w:rPr>
                <w:rFonts w:hint="eastAsia"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fldChar w:fldCharType="begin"/>
            </w:r>
            <w:r>
              <w:rPr>
                <w:rFonts w:hint="eastAsia" w:ascii="仿宋" w:hAnsi="仿宋" w:eastAsia="仿宋" w:cs="仿宋"/>
                <w:color w:val="auto"/>
                <w:szCs w:val="21"/>
                <w:highlight w:val="none"/>
                <w:lang w:val="zh-CN" w:bidi="zh-CN"/>
              </w:rPr>
              <w:instrText xml:space="preserve"> = 1 \* GB3 \* MERGEFORMAT </w:instrText>
            </w:r>
            <w:r>
              <w:rPr>
                <w:rFonts w:hint="eastAsia" w:ascii="仿宋" w:hAnsi="仿宋" w:eastAsia="仿宋" w:cs="仿宋"/>
                <w:color w:val="auto"/>
                <w:szCs w:val="21"/>
                <w:highlight w:val="none"/>
                <w:lang w:val="zh-CN" w:bidi="zh-CN"/>
              </w:rPr>
              <w:fldChar w:fldCharType="separate"/>
            </w:r>
            <w:r>
              <w:rPr>
                <w:rFonts w:hint="eastAsia" w:ascii="仿宋" w:hAnsi="仿宋" w:eastAsia="仿宋" w:cs="仿宋"/>
                <w:color w:val="auto"/>
                <w:szCs w:val="21"/>
                <w:highlight w:val="none"/>
                <w:lang w:val="zh-CN" w:bidi="zh-CN"/>
              </w:rPr>
              <w:t>①</w:t>
            </w:r>
            <w:r>
              <w:rPr>
                <w:rFonts w:hint="eastAsia" w:ascii="仿宋" w:hAnsi="仿宋" w:eastAsia="仿宋" w:cs="仿宋"/>
                <w:color w:val="auto"/>
                <w:szCs w:val="21"/>
                <w:highlight w:val="none"/>
                <w:lang w:val="zh-CN" w:bidi="zh-CN"/>
              </w:rPr>
              <w:fldChar w:fldCharType="end"/>
            </w:r>
            <w:r>
              <w:rPr>
                <w:rFonts w:hint="eastAsia" w:ascii="仿宋" w:hAnsi="仿宋" w:eastAsia="仿宋" w:cs="仿宋"/>
                <w:color w:val="auto"/>
                <w:szCs w:val="21"/>
                <w:highlight w:val="none"/>
                <w:lang w:val="zh-CN" w:bidi="zh-CN"/>
              </w:rPr>
              <w:t>方案系统性强、全面、针对性强的为优，得3.1-</w:t>
            </w:r>
            <w:r>
              <w:rPr>
                <w:rFonts w:hint="eastAsia" w:ascii="仿宋" w:hAnsi="仿宋" w:eastAsia="仿宋" w:cs="仿宋"/>
                <w:color w:val="auto"/>
                <w:szCs w:val="21"/>
                <w:highlight w:val="none"/>
                <w:lang w:val="en-US" w:bidi="zh-CN"/>
              </w:rPr>
              <w:t>6</w:t>
            </w:r>
            <w:r>
              <w:rPr>
                <w:rFonts w:hint="eastAsia" w:ascii="仿宋" w:hAnsi="仿宋" w:eastAsia="仿宋" w:cs="仿宋"/>
                <w:color w:val="auto"/>
                <w:szCs w:val="21"/>
                <w:highlight w:val="none"/>
                <w:lang w:val="zh-CN" w:bidi="zh-CN"/>
              </w:rPr>
              <w:t>.0分；</w:t>
            </w:r>
          </w:p>
          <w:p w14:paraId="0AD5A79C">
            <w:pPr>
              <w:autoSpaceDE w:val="0"/>
              <w:autoSpaceDN w:val="0"/>
              <w:spacing w:line="360" w:lineRule="exact"/>
              <w:rPr>
                <w:rFonts w:hint="eastAsia"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fldChar w:fldCharType="begin"/>
            </w:r>
            <w:r>
              <w:rPr>
                <w:rFonts w:hint="eastAsia" w:ascii="仿宋" w:hAnsi="仿宋" w:eastAsia="仿宋" w:cs="仿宋"/>
                <w:color w:val="auto"/>
                <w:szCs w:val="21"/>
                <w:highlight w:val="none"/>
                <w:lang w:val="zh-CN" w:bidi="zh-CN"/>
              </w:rPr>
              <w:instrText xml:space="preserve"> = 2 \* GB3 \* MERGEFORMAT </w:instrText>
            </w:r>
            <w:r>
              <w:rPr>
                <w:rFonts w:hint="eastAsia" w:ascii="仿宋" w:hAnsi="仿宋" w:eastAsia="仿宋" w:cs="仿宋"/>
                <w:color w:val="auto"/>
                <w:szCs w:val="21"/>
                <w:highlight w:val="none"/>
                <w:lang w:val="zh-CN" w:bidi="zh-CN"/>
              </w:rPr>
              <w:fldChar w:fldCharType="separate"/>
            </w:r>
            <w:r>
              <w:rPr>
                <w:rFonts w:hint="eastAsia" w:ascii="仿宋" w:hAnsi="仿宋" w:eastAsia="仿宋" w:cs="仿宋"/>
                <w:color w:val="auto"/>
                <w:szCs w:val="21"/>
                <w:highlight w:val="none"/>
                <w:lang w:val="zh-CN" w:bidi="zh-CN"/>
              </w:rPr>
              <w:t>②</w:t>
            </w:r>
            <w:r>
              <w:rPr>
                <w:rFonts w:hint="eastAsia" w:ascii="仿宋" w:hAnsi="仿宋" w:eastAsia="仿宋" w:cs="仿宋"/>
                <w:color w:val="auto"/>
                <w:szCs w:val="21"/>
                <w:highlight w:val="none"/>
                <w:lang w:val="zh-CN" w:bidi="zh-CN"/>
              </w:rPr>
              <w:fldChar w:fldCharType="end"/>
            </w:r>
            <w:r>
              <w:rPr>
                <w:rFonts w:hint="eastAsia" w:ascii="仿宋" w:hAnsi="仿宋" w:eastAsia="仿宋" w:cs="仿宋"/>
                <w:color w:val="auto"/>
                <w:szCs w:val="21"/>
                <w:highlight w:val="none"/>
                <w:lang w:val="zh-CN" w:bidi="zh-CN"/>
              </w:rPr>
              <w:t>方案系统性较强、较全面、针对性较强的为良，得1.1-</w:t>
            </w:r>
            <w:r>
              <w:rPr>
                <w:rFonts w:hint="eastAsia" w:ascii="仿宋" w:hAnsi="仿宋" w:eastAsia="仿宋" w:cs="仿宋"/>
                <w:color w:val="auto"/>
                <w:szCs w:val="21"/>
                <w:highlight w:val="none"/>
                <w:lang w:bidi="zh-CN"/>
              </w:rPr>
              <w:t>3</w:t>
            </w:r>
            <w:r>
              <w:rPr>
                <w:rFonts w:hint="eastAsia" w:ascii="仿宋" w:hAnsi="仿宋" w:eastAsia="仿宋" w:cs="仿宋"/>
                <w:color w:val="auto"/>
                <w:szCs w:val="21"/>
                <w:highlight w:val="none"/>
                <w:lang w:val="zh-CN" w:bidi="zh-CN"/>
              </w:rPr>
              <w:t>.0分；</w:t>
            </w:r>
          </w:p>
          <w:p w14:paraId="418BCF08">
            <w:pPr>
              <w:autoSpaceDE w:val="0"/>
              <w:autoSpaceDN w:val="0"/>
              <w:spacing w:line="360" w:lineRule="exact"/>
              <w:rPr>
                <w:rFonts w:hint="eastAsia"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fldChar w:fldCharType="begin"/>
            </w:r>
            <w:r>
              <w:rPr>
                <w:rFonts w:hint="eastAsia" w:ascii="仿宋" w:hAnsi="仿宋" w:eastAsia="仿宋" w:cs="仿宋"/>
                <w:color w:val="auto"/>
                <w:szCs w:val="21"/>
                <w:highlight w:val="none"/>
                <w:lang w:val="zh-CN" w:bidi="zh-CN"/>
              </w:rPr>
              <w:instrText xml:space="preserve"> = 3 \* GB3 \* MERGEFORMAT </w:instrText>
            </w:r>
            <w:r>
              <w:rPr>
                <w:rFonts w:hint="eastAsia" w:ascii="仿宋" w:hAnsi="仿宋" w:eastAsia="仿宋" w:cs="仿宋"/>
                <w:color w:val="auto"/>
                <w:szCs w:val="21"/>
                <w:highlight w:val="none"/>
                <w:lang w:val="zh-CN" w:bidi="zh-CN"/>
              </w:rPr>
              <w:fldChar w:fldCharType="separate"/>
            </w:r>
            <w:r>
              <w:rPr>
                <w:rFonts w:hint="eastAsia" w:ascii="仿宋" w:hAnsi="仿宋" w:eastAsia="仿宋" w:cs="仿宋"/>
                <w:color w:val="auto"/>
                <w:szCs w:val="21"/>
                <w:highlight w:val="none"/>
                <w:lang w:val="zh-CN" w:bidi="zh-CN"/>
              </w:rPr>
              <w:t>③</w:t>
            </w:r>
            <w:r>
              <w:rPr>
                <w:rFonts w:hint="eastAsia" w:ascii="仿宋" w:hAnsi="仿宋" w:eastAsia="仿宋" w:cs="仿宋"/>
                <w:color w:val="auto"/>
                <w:szCs w:val="21"/>
                <w:highlight w:val="none"/>
                <w:lang w:val="zh-CN" w:bidi="zh-CN"/>
              </w:rPr>
              <w:fldChar w:fldCharType="end"/>
            </w:r>
            <w:r>
              <w:rPr>
                <w:rFonts w:hint="eastAsia" w:ascii="仿宋" w:hAnsi="仿宋" w:eastAsia="仿宋" w:cs="仿宋"/>
                <w:color w:val="auto"/>
                <w:szCs w:val="21"/>
                <w:highlight w:val="none"/>
                <w:lang w:val="zh-CN" w:bidi="zh-CN"/>
              </w:rPr>
              <w:t>方案系统性一般、不全面、针对性弱的为一般，得0-1.0分。</w:t>
            </w:r>
          </w:p>
          <w:p w14:paraId="2B924B10">
            <w:pPr>
              <w:autoSpaceDE w:val="0"/>
              <w:autoSpaceDN w:val="0"/>
              <w:spacing w:line="360" w:lineRule="exact"/>
              <w:rPr>
                <w:rFonts w:hint="eastAsia" w:ascii="仿宋" w:hAnsi="仿宋" w:eastAsia="仿宋" w:cs="仿宋"/>
                <w:b/>
                <w:bCs/>
                <w:color w:val="auto"/>
                <w:szCs w:val="21"/>
                <w:highlight w:val="none"/>
                <w:lang w:val="zh-CN" w:bidi="zh-CN"/>
              </w:rPr>
            </w:pPr>
            <w:r>
              <w:rPr>
                <w:rFonts w:hint="eastAsia" w:ascii="仿宋" w:hAnsi="仿宋" w:eastAsia="仿宋" w:cs="仿宋"/>
                <w:b/>
                <w:bCs/>
                <w:color w:val="auto"/>
                <w:szCs w:val="21"/>
                <w:highlight w:val="none"/>
                <w:lang w:val="zh-CN" w:bidi="zh-CN"/>
              </w:rPr>
              <w:t>2、对施工进度计划方案的合理性、周密性、可行性等内容进行评分（总分</w:t>
            </w:r>
            <w:r>
              <w:rPr>
                <w:rFonts w:hint="eastAsia" w:ascii="仿宋" w:hAnsi="仿宋" w:eastAsia="仿宋" w:cs="仿宋"/>
                <w:b/>
                <w:bCs/>
                <w:color w:val="auto"/>
                <w:szCs w:val="21"/>
                <w:highlight w:val="none"/>
                <w:lang w:val="en-US" w:bidi="zh-CN"/>
              </w:rPr>
              <w:t>6</w:t>
            </w:r>
            <w:r>
              <w:rPr>
                <w:rFonts w:hint="eastAsia" w:ascii="仿宋" w:hAnsi="仿宋" w:eastAsia="仿宋" w:cs="仿宋"/>
                <w:b/>
                <w:bCs/>
                <w:color w:val="auto"/>
                <w:szCs w:val="21"/>
                <w:highlight w:val="none"/>
                <w:lang w:bidi="zh-CN"/>
              </w:rPr>
              <w:t>分</w:t>
            </w:r>
            <w:r>
              <w:rPr>
                <w:rFonts w:hint="eastAsia" w:ascii="仿宋" w:hAnsi="仿宋" w:eastAsia="仿宋" w:cs="仿宋"/>
                <w:b/>
                <w:bCs/>
                <w:color w:val="auto"/>
                <w:szCs w:val="21"/>
                <w:highlight w:val="none"/>
                <w:lang w:val="zh-CN" w:bidi="zh-CN"/>
              </w:rPr>
              <w:t>）：</w:t>
            </w:r>
          </w:p>
          <w:p w14:paraId="26566088">
            <w:pPr>
              <w:autoSpaceDE w:val="0"/>
              <w:autoSpaceDN w:val="0"/>
              <w:spacing w:line="360" w:lineRule="exact"/>
              <w:rPr>
                <w:rFonts w:hint="eastAsia"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fldChar w:fldCharType="begin"/>
            </w:r>
            <w:r>
              <w:rPr>
                <w:rFonts w:hint="eastAsia" w:ascii="仿宋" w:hAnsi="仿宋" w:eastAsia="仿宋" w:cs="仿宋"/>
                <w:color w:val="auto"/>
                <w:szCs w:val="21"/>
                <w:highlight w:val="none"/>
                <w:lang w:val="zh-CN" w:bidi="zh-CN"/>
              </w:rPr>
              <w:instrText xml:space="preserve"> = 1 \* GB3 \* MERGEFORMAT </w:instrText>
            </w:r>
            <w:r>
              <w:rPr>
                <w:rFonts w:hint="eastAsia" w:ascii="仿宋" w:hAnsi="仿宋" w:eastAsia="仿宋" w:cs="仿宋"/>
                <w:color w:val="auto"/>
                <w:szCs w:val="21"/>
                <w:highlight w:val="none"/>
                <w:lang w:val="zh-CN" w:bidi="zh-CN"/>
              </w:rPr>
              <w:fldChar w:fldCharType="separate"/>
            </w:r>
            <w:r>
              <w:rPr>
                <w:rFonts w:hint="eastAsia" w:ascii="仿宋" w:hAnsi="仿宋" w:eastAsia="仿宋" w:cs="仿宋"/>
                <w:color w:val="auto"/>
                <w:szCs w:val="21"/>
                <w:highlight w:val="none"/>
                <w:lang w:val="zh-CN" w:bidi="zh-CN"/>
              </w:rPr>
              <w:t>①</w:t>
            </w:r>
            <w:r>
              <w:rPr>
                <w:rFonts w:hint="eastAsia" w:ascii="仿宋" w:hAnsi="仿宋" w:eastAsia="仿宋" w:cs="仿宋"/>
                <w:color w:val="auto"/>
                <w:szCs w:val="21"/>
                <w:highlight w:val="none"/>
                <w:lang w:val="zh-CN" w:bidi="zh-CN"/>
              </w:rPr>
              <w:fldChar w:fldCharType="end"/>
            </w:r>
            <w:r>
              <w:rPr>
                <w:rFonts w:hint="eastAsia" w:ascii="仿宋" w:hAnsi="仿宋" w:eastAsia="仿宋" w:cs="仿宋"/>
                <w:color w:val="auto"/>
                <w:szCs w:val="21"/>
                <w:highlight w:val="none"/>
                <w:lang w:val="zh-CN" w:bidi="zh-CN"/>
              </w:rPr>
              <w:t>方案合理、周密、可行性强的为优，得3.1-</w:t>
            </w:r>
            <w:r>
              <w:rPr>
                <w:rFonts w:hint="eastAsia" w:ascii="仿宋" w:hAnsi="仿宋" w:eastAsia="仿宋" w:cs="仿宋"/>
                <w:color w:val="auto"/>
                <w:szCs w:val="21"/>
                <w:highlight w:val="none"/>
                <w:lang w:val="en-US" w:bidi="zh-CN"/>
              </w:rPr>
              <w:t>6</w:t>
            </w:r>
            <w:r>
              <w:rPr>
                <w:rFonts w:hint="eastAsia" w:ascii="仿宋" w:hAnsi="仿宋" w:eastAsia="仿宋" w:cs="仿宋"/>
                <w:color w:val="auto"/>
                <w:szCs w:val="21"/>
                <w:highlight w:val="none"/>
                <w:lang w:val="zh-CN" w:bidi="zh-CN"/>
              </w:rPr>
              <w:t>.0分；</w:t>
            </w:r>
          </w:p>
          <w:p w14:paraId="5AC21254">
            <w:pPr>
              <w:autoSpaceDE w:val="0"/>
              <w:autoSpaceDN w:val="0"/>
              <w:spacing w:line="360" w:lineRule="exact"/>
              <w:rPr>
                <w:rFonts w:hint="eastAsia"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fldChar w:fldCharType="begin"/>
            </w:r>
            <w:r>
              <w:rPr>
                <w:rFonts w:hint="eastAsia" w:ascii="仿宋" w:hAnsi="仿宋" w:eastAsia="仿宋" w:cs="仿宋"/>
                <w:color w:val="auto"/>
                <w:szCs w:val="21"/>
                <w:highlight w:val="none"/>
                <w:lang w:val="zh-CN" w:bidi="zh-CN"/>
              </w:rPr>
              <w:instrText xml:space="preserve"> = 2 \* GB3 \* MERGEFORMAT </w:instrText>
            </w:r>
            <w:r>
              <w:rPr>
                <w:rFonts w:hint="eastAsia" w:ascii="仿宋" w:hAnsi="仿宋" w:eastAsia="仿宋" w:cs="仿宋"/>
                <w:color w:val="auto"/>
                <w:szCs w:val="21"/>
                <w:highlight w:val="none"/>
                <w:lang w:val="zh-CN" w:bidi="zh-CN"/>
              </w:rPr>
              <w:fldChar w:fldCharType="separate"/>
            </w:r>
            <w:r>
              <w:rPr>
                <w:rFonts w:hint="eastAsia" w:ascii="仿宋" w:hAnsi="仿宋" w:eastAsia="仿宋" w:cs="仿宋"/>
                <w:color w:val="auto"/>
                <w:szCs w:val="21"/>
                <w:highlight w:val="none"/>
                <w:lang w:val="zh-CN" w:bidi="zh-CN"/>
              </w:rPr>
              <w:t>②</w:t>
            </w:r>
            <w:r>
              <w:rPr>
                <w:rFonts w:hint="eastAsia" w:ascii="仿宋" w:hAnsi="仿宋" w:eastAsia="仿宋" w:cs="仿宋"/>
                <w:color w:val="auto"/>
                <w:szCs w:val="21"/>
                <w:highlight w:val="none"/>
                <w:lang w:val="zh-CN" w:bidi="zh-CN"/>
              </w:rPr>
              <w:fldChar w:fldCharType="end"/>
            </w:r>
            <w:r>
              <w:rPr>
                <w:rFonts w:hint="eastAsia" w:ascii="仿宋" w:hAnsi="仿宋" w:eastAsia="仿宋" w:cs="仿宋"/>
                <w:color w:val="auto"/>
                <w:szCs w:val="21"/>
                <w:highlight w:val="none"/>
                <w:lang w:val="zh-CN" w:bidi="zh-CN"/>
              </w:rPr>
              <w:t>方案合理、较周密、可行性较强的为良，得1.1-</w:t>
            </w:r>
            <w:r>
              <w:rPr>
                <w:rFonts w:hint="eastAsia" w:ascii="仿宋" w:hAnsi="仿宋" w:eastAsia="仿宋" w:cs="仿宋"/>
                <w:color w:val="auto"/>
                <w:szCs w:val="21"/>
                <w:highlight w:val="none"/>
                <w:lang w:bidi="zh-CN"/>
              </w:rPr>
              <w:t>3</w:t>
            </w:r>
            <w:r>
              <w:rPr>
                <w:rFonts w:hint="eastAsia" w:ascii="仿宋" w:hAnsi="仿宋" w:eastAsia="仿宋" w:cs="仿宋"/>
                <w:color w:val="auto"/>
                <w:szCs w:val="21"/>
                <w:highlight w:val="none"/>
                <w:lang w:val="zh-CN" w:bidi="zh-CN"/>
              </w:rPr>
              <w:t>.0分；</w:t>
            </w:r>
          </w:p>
          <w:p w14:paraId="624600F2">
            <w:pPr>
              <w:autoSpaceDE w:val="0"/>
              <w:autoSpaceDN w:val="0"/>
              <w:spacing w:line="360" w:lineRule="exact"/>
              <w:rPr>
                <w:rFonts w:hint="eastAsia"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fldChar w:fldCharType="begin"/>
            </w:r>
            <w:r>
              <w:rPr>
                <w:rFonts w:hint="eastAsia" w:ascii="仿宋" w:hAnsi="仿宋" w:eastAsia="仿宋" w:cs="仿宋"/>
                <w:color w:val="auto"/>
                <w:szCs w:val="21"/>
                <w:highlight w:val="none"/>
                <w:lang w:val="zh-CN" w:bidi="zh-CN"/>
              </w:rPr>
              <w:instrText xml:space="preserve"> = 3 \* GB3 \* MERGEFORMAT </w:instrText>
            </w:r>
            <w:r>
              <w:rPr>
                <w:rFonts w:hint="eastAsia" w:ascii="仿宋" w:hAnsi="仿宋" w:eastAsia="仿宋" w:cs="仿宋"/>
                <w:color w:val="auto"/>
                <w:szCs w:val="21"/>
                <w:highlight w:val="none"/>
                <w:lang w:val="zh-CN" w:bidi="zh-CN"/>
              </w:rPr>
              <w:fldChar w:fldCharType="separate"/>
            </w:r>
            <w:r>
              <w:rPr>
                <w:rFonts w:hint="eastAsia" w:ascii="仿宋" w:hAnsi="仿宋" w:eastAsia="仿宋" w:cs="仿宋"/>
                <w:color w:val="auto"/>
                <w:szCs w:val="21"/>
                <w:highlight w:val="none"/>
                <w:lang w:val="zh-CN" w:bidi="zh-CN"/>
              </w:rPr>
              <w:t>③</w:t>
            </w:r>
            <w:r>
              <w:rPr>
                <w:rFonts w:hint="eastAsia" w:ascii="仿宋" w:hAnsi="仿宋" w:eastAsia="仿宋" w:cs="仿宋"/>
                <w:color w:val="auto"/>
                <w:szCs w:val="21"/>
                <w:highlight w:val="none"/>
                <w:lang w:val="zh-CN" w:bidi="zh-CN"/>
              </w:rPr>
              <w:fldChar w:fldCharType="end"/>
            </w:r>
            <w:r>
              <w:rPr>
                <w:rFonts w:hint="eastAsia" w:ascii="仿宋" w:hAnsi="仿宋" w:eastAsia="仿宋" w:cs="仿宋"/>
                <w:color w:val="auto"/>
                <w:szCs w:val="21"/>
                <w:highlight w:val="none"/>
                <w:lang w:val="zh-CN" w:bidi="zh-CN"/>
              </w:rPr>
              <w:t>方案不合理、不周密、可行性差的为一般，得0-1.0分。</w:t>
            </w:r>
          </w:p>
          <w:p w14:paraId="329F3B5A">
            <w:pPr>
              <w:autoSpaceDE w:val="0"/>
              <w:autoSpaceDN w:val="0"/>
              <w:spacing w:line="360" w:lineRule="exact"/>
              <w:rPr>
                <w:rFonts w:hint="eastAsia" w:ascii="仿宋" w:hAnsi="仿宋" w:eastAsia="仿宋" w:cs="仿宋"/>
                <w:b/>
                <w:bCs/>
                <w:color w:val="auto"/>
                <w:szCs w:val="21"/>
                <w:highlight w:val="none"/>
                <w:lang w:val="zh-CN" w:bidi="zh-CN"/>
              </w:rPr>
            </w:pPr>
            <w:r>
              <w:rPr>
                <w:rFonts w:hint="eastAsia" w:ascii="仿宋" w:hAnsi="仿宋" w:eastAsia="仿宋" w:cs="仿宋"/>
                <w:b/>
                <w:bCs/>
                <w:color w:val="auto"/>
                <w:szCs w:val="21"/>
                <w:highlight w:val="none"/>
                <w:lang w:val="zh-CN" w:bidi="zh-CN"/>
              </w:rPr>
              <w:t>3、对施工质量管理方案的完整性、合理性、可行性等内容进行评分（总分</w:t>
            </w:r>
            <w:r>
              <w:rPr>
                <w:rFonts w:hint="eastAsia" w:ascii="仿宋" w:hAnsi="仿宋" w:eastAsia="仿宋" w:cs="仿宋"/>
                <w:b/>
                <w:bCs/>
                <w:color w:val="auto"/>
                <w:szCs w:val="21"/>
                <w:highlight w:val="none"/>
                <w:lang w:val="en-US" w:bidi="zh-CN"/>
              </w:rPr>
              <w:t>6</w:t>
            </w:r>
            <w:r>
              <w:rPr>
                <w:rFonts w:hint="eastAsia" w:ascii="仿宋" w:hAnsi="仿宋" w:eastAsia="仿宋" w:cs="仿宋"/>
                <w:b/>
                <w:bCs/>
                <w:color w:val="auto"/>
                <w:szCs w:val="21"/>
                <w:highlight w:val="none"/>
                <w:lang w:bidi="zh-CN"/>
              </w:rPr>
              <w:t>分</w:t>
            </w:r>
            <w:r>
              <w:rPr>
                <w:rFonts w:hint="eastAsia" w:ascii="仿宋" w:hAnsi="仿宋" w:eastAsia="仿宋" w:cs="仿宋"/>
                <w:b/>
                <w:bCs/>
                <w:color w:val="auto"/>
                <w:szCs w:val="21"/>
                <w:highlight w:val="none"/>
                <w:lang w:val="zh-CN" w:bidi="zh-CN"/>
              </w:rPr>
              <w:t>）：</w:t>
            </w:r>
          </w:p>
          <w:p w14:paraId="21B4B3B4">
            <w:pPr>
              <w:autoSpaceDE w:val="0"/>
              <w:autoSpaceDN w:val="0"/>
              <w:spacing w:line="360" w:lineRule="exact"/>
              <w:rPr>
                <w:rFonts w:hint="eastAsia"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fldChar w:fldCharType="begin"/>
            </w:r>
            <w:r>
              <w:rPr>
                <w:rFonts w:hint="eastAsia" w:ascii="仿宋" w:hAnsi="仿宋" w:eastAsia="仿宋" w:cs="仿宋"/>
                <w:color w:val="auto"/>
                <w:szCs w:val="21"/>
                <w:highlight w:val="none"/>
                <w:lang w:val="zh-CN" w:bidi="zh-CN"/>
              </w:rPr>
              <w:instrText xml:space="preserve"> = 1 \* GB3 \* MERGEFORMAT </w:instrText>
            </w:r>
            <w:r>
              <w:rPr>
                <w:rFonts w:hint="eastAsia" w:ascii="仿宋" w:hAnsi="仿宋" w:eastAsia="仿宋" w:cs="仿宋"/>
                <w:color w:val="auto"/>
                <w:szCs w:val="21"/>
                <w:highlight w:val="none"/>
                <w:lang w:val="zh-CN" w:bidi="zh-CN"/>
              </w:rPr>
              <w:fldChar w:fldCharType="separate"/>
            </w:r>
            <w:r>
              <w:rPr>
                <w:rFonts w:hint="eastAsia" w:ascii="仿宋" w:hAnsi="仿宋" w:eastAsia="仿宋" w:cs="仿宋"/>
                <w:color w:val="auto"/>
                <w:szCs w:val="21"/>
                <w:highlight w:val="none"/>
                <w:lang w:val="zh-CN" w:bidi="zh-CN"/>
              </w:rPr>
              <w:t>①</w:t>
            </w:r>
            <w:r>
              <w:rPr>
                <w:rFonts w:hint="eastAsia" w:ascii="仿宋" w:hAnsi="仿宋" w:eastAsia="仿宋" w:cs="仿宋"/>
                <w:color w:val="auto"/>
                <w:szCs w:val="21"/>
                <w:highlight w:val="none"/>
                <w:lang w:val="zh-CN" w:bidi="zh-CN"/>
              </w:rPr>
              <w:fldChar w:fldCharType="end"/>
            </w:r>
            <w:r>
              <w:rPr>
                <w:rFonts w:hint="eastAsia" w:ascii="仿宋" w:hAnsi="仿宋" w:eastAsia="仿宋" w:cs="仿宋"/>
                <w:color w:val="auto"/>
                <w:szCs w:val="21"/>
                <w:highlight w:val="none"/>
                <w:lang w:val="zh-CN" w:bidi="zh-CN"/>
              </w:rPr>
              <w:t>方案完整、合理、可行性强的为优，得3.1-</w:t>
            </w:r>
            <w:r>
              <w:rPr>
                <w:rFonts w:hint="eastAsia" w:ascii="仿宋" w:hAnsi="仿宋" w:eastAsia="仿宋" w:cs="仿宋"/>
                <w:color w:val="auto"/>
                <w:szCs w:val="21"/>
                <w:highlight w:val="none"/>
                <w:lang w:val="en-US" w:bidi="zh-CN"/>
              </w:rPr>
              <w:t>6</w:t>
            </w:r>
            <w:r>
              <w:rPr>
                <w:rFonts w:hint="eastAsia" w:ascii="仿宋" w:hAnsi="仿宋" w:eastAsia="仿宋" w:cs="仿宋"/>
                <w:color w:val="auto"/>
                <w:szCs w:val="21"/>
                <w:highlight w:val="none"/>
                <w:lang w:val="zh-CN" w:bidi="zh-CN"/>
              </w:rPr>
              <w:t>.0分；</w:t>
            </w:r>
          </w:p>
          <w:p w14:paraId="2C5EC939">
            <w:pPr>
              <w:autoSpaceDE w:val="0"/>
              <w:autoSpaceDN w:val="0"/>
              <w:spacing w:line="360" w:lineRule="exact"/>
              <w:rPr>
                <w:rFonts w:hint="eastAsia"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fldChar w:fldCharType="begin"/>
            </w:r>
            <w:r>
              <w:rPr>
                <w:rFonts w:hint="eastAsia" w:ascii="仿宋" w:hAnsi="仿宋" w:eastAsia="仿宋" w:cs="仿宋"/>
                <w:color w:val="auto"/>
                <w:szCs w:val="21"/>
                <w:highlight w:val="none"/>
                <w:lang w:val="zh-CN" w:bidi="zh-CN"/>
              </w:rPr>
              <w:instrText xml:space="preserve"> = 2 \* GB3 \* MERGEFORMAT </w:instrText>
            </w:r>
            <w:r>
              <w:rPr>
                <w:rFonts w:hint="eastAsia" w:ascii="仿宋" w:hAnsi="仿宋" w:eastAsia="仿宋" w:cs="仿宋"/>
                <w:color w:val="auto"/>
                <w:szCs w:val="21"/>
                <w:highlight w:val="none"/>
                <w:lang w:val="zh-CN" w:bidi="zh-CN"/>
              </w:rPr>
              <w:fldChar w:fldCharType="separate"/>
            </w:r>
            <w:r>
              <w:rPr>
                <w:rFonts w:hint="eastAsia" w:ascii="仿宋" w:hAnsi="仿宋" w:eastAsia="仿宋" w:cs="仿宋"/>
                <w:color w:val="auto"/>
                <w:szCs w:val="21"/>
                <w:highlight w:val="none"/>
                <w:lang w:val="zh-CN" w:bidi="zh-CN"/>
              </w:rPr>
              <w:t>②</w:t>
            </w:r>
            <w:r>
              <w:rPr>
                <w:rFonts w:hint="eastAsia" w:ascii="仿宋" w:hAnsi="仿宋" w:eastAsia="仿宋" w:cs="仿宋"/>
                <w:color w:val="auto"/>
                <w:szCs w:val="21"/>
                <w:highlight w:val="none"/>
                <w:lang w:val="zh-CN" w:bidi="zh-CN"/>
              </w:rPr>
              <w:fldChar w:fldCharType="end"/>
            </w:r>
            <w:r>
              <w:rPr>
                <w:rFonts w:hint="eastAsia" w:ascii="仿宋" w:hAnsi="仿宋" w:eastAsia="仿宋" w:cs="仿宋"/>
                <w:color w:val="auto"/>
                <w:szCs w:val="21"/>
                <w:highlight w:val="none"/>
                <w:lang w:val="zh-CN" w:bidi="zh-CN"/>
              </w:rPr>
              <w:t>方案较完整、较合理、可行性较强的为良，得1.1-</w:t>
            </w:r>
            <w:r>
              <w:rPr>
                <w:rFonts w:hint="eastAsia" w:ascii="仿宋" w:hAnsi="仿宋" w:eastAsia="仿宋" w:cs="仿宋"/>
                <w:color w:val="auto"/>
                <w:szCs w:val="21"/>
                <w:highlight w:val="none"/>
                <w:lang w:bidi="zh-CN"/>
              </w:rPr>
              <w:t>3</w:t>
            </w:r>
            <w:r>
              <w:rPr>
                <w:rFonts w:hint="eastAsia" w:ascii="仿宋" w:hAnsi="仿宋" w:eastAsia="仿宋" w:cs="仿宋"/>
                <w:color w:val="auto"/>
                <w:szCs w:val="21"/>
                <w:highlight w:val="none"/>
                <w:lang w:val="zh-CN" w:bidi="zh-CN"/>
              </w:rPr>
              <w:t>.0分；</w:t>
            </w:r>
          </w:p>
          <w:p w14:paraId="4B5A5876">
            <w:pPr>
              <w:autoSpaceDE w:val="0"/>
              <w:autoSpaceDN w:val="0"/>
              <w:spacing w:line="360" w:lineRule="exact"/>
              <w:rPr>
                <w:rFonts w:hint="eastAsia"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fldChar w:fldCharType="begin"/>
            </w:r>
            <w:r>
              <w:rPr>
                <w:rFonts w:hint="eastAsia" w:ascii="仿宋" w:hAnsi="仿宋" w:eastAsia="仿宋" w:cs="仿宋"/>
                <w:color w:val="auto"/>
                <w:szCs w:val="21"/>
                <w:highlight w:val="none"/>
                <w:lang w:val="zh-CN" w:bidi="zh-CN"/>
              </w:rPr>
              <w:instrText xml:space="preserve"> = 3 \* GB3 \* MERGEFORMAT </w:instrText>
            </w:r>
            <w:r>
              <w:rPr>
                <w:rFonts w:hint="eastAsia" w:ascii="仿宋" w:hAnsi="仿宋" w:eastAsia="仿宋" w:cs="仿宋"/>
                <w:color w:val="auto"/>
                <w:szCs w:val="21"/>
                <w:highlight w:val="none"/>
                <w:lang w:val="zh-CN" w:bidi="zh-CN"/>
              </w:rPr>
              <w:fldChar w:fldCharType="separate"/>
            </w:r>
            <w:r>
              <w:rPr>
                <w:rFonts w:hint="eastAsia" w:ascii="仿宋" w:hAnsi="仿宋" w:eastAsia="仿宋" w:cs="仿宋"/>
                <w:color w:val="auto"/>
                <w:szCs w:val="21"/>
                <w:highlight w:val="none"/>
                <w:lang w:val="zh-CN" w:bidi="zh-CN"/>
              </w:rPr>
              <w:t>③</w:t>
            </w:r>
            <w:r>
              <w:rPr>
                <w:rFonts w:hint="eastAsia" w:ascii="仿宋" w:hAnsi="仿宋" w:eastAsia="仿宋" w:cs="仿宋"/>
                <w:color w:val="auto"/>
                <w:szCs w:val="21"/>
                <w:highlight w:val="none"/>
                <w:lang w:val="zh-CN" w:bidi="zh-CN"/>
              </w:rPr>
              <w:fldChar w:fldCharType="end"/>
            </w:r>
            <w:r>
              <w:rPr>
                <w:rFonts w:hint="eastAsia" w:ascii="仿宋" w:hAnsi="仿宋" w:eastAsia="仿宋" w:cs="仿宋"/>
                <w:color w:val="auto"/>
                <w:szCs w:val="21"/>
                <w:highlight w:val="none"/>
                <w:lang w:val="zh-CN" w:bidi="zh-CN"/>
              </w:rPr>
              <w:t>方案不完整、不合理、可行性差的为一般，得0-1.0分。</w:t>
            </w:r>
          </w:p>
          <w:p w14:paraId="64008F04">
            <w:pPr>
              <w:autoSpaceDE w:val="0"/>
              <w:autoSpaceDN w:val="0"/>
              <w:spacing w:line="360" w:lineRule="exact"/>
              <w:rPr>
                <w:rFonts w:hint="eastAsia" w:ascii="仿宋" w:hAnsi="仿宋" w:eastAsia="仿宋" w:cs="仿宋"/>
                <w:b/>
                <w:bCs/>
                <w:color w:val="auto"/>
                <w:szCs w:val="21"/>
                <w:highlight w:val="none"/>
                <w:lang w:val="zh-CN" w:bidi="zh-CN"/>
              </w:rPr>
            </w:pPr>
            <w:r>
              <w:rPr>
                <w:rFonts w:hint="eastAsia" w:ascii="仿宋" w:hAnsi="仿宋" w:eastAsia="仿宋" w:cs="仿宋"/>
                <w:b/>
                <w:bCs/>
                <w:color w:val="auto"/>
                <w:szCs w:val="21"/>
                <w:highlight w:val="none"/>
                <w:lang w:val="zh-CN" w:bidi="zh-CN"/>
              </w:rPr>
              <w:t>4、对技术培训方案的完整性、合理性、针对性等内容进行评分（总分</w:t>
            </w:r>
            <w:r>
              <w:rPr>
                <w:rFonts w:hint="eastAsia" w:ascii="仿宋" w:hAnsi="仿宋" w:eastAsia="仿宋" w:cs="仿宋"/>
                <w:b/>
                <w:bCs/>
                <w:color w:val="auto"/>
                <w:szCs w:val="21"/>
                <w:highlight w:val="none"/>
                <w:lang w:val="en-US" w:bidi="zh-CN"/>
              </w:rPr>
              <w:t>6</w:t>
            </w:r>
            <w:r>
              <w:rPr>
                <w:rFonts w:hint="eastAsia" w:ascii="仿宋" w:hAnsi="仿宋" w:eastAsia="仿宋" w:cs="仿宋"/>
                <w:b/>
                <w:bCs/>
                <w:color w:val="auto"/>
                <w:szCs w:val="21"/>
                <w:highlight w:val="none"/>
                <w:lang w:bidi="zh-CN"/>
              </w:rPr>
              <w:t>分</w:t>
            </w:r>
            <w:r>
              <w:rPr>
                <w:rFonts w:hint="eastAsia" w:ascii="仿宋" w:hAnsi="仿宋" w:eastAsia="仿宋" w:cs="仿宋"/>
                <w:b/>
                <w:bCs/>
                <w:color w:val="auto"/>
                <w:szCs w:val="21"/>
                <w:highlight w:val="none"/>
                <w:lang w:val="zh-CN" w:bidi="zh-CN"/>
              </w:rPr>
              <w:t>）：</w:t>
            </w:r>
          </w:p>
          <w:p w14:paraId="047B78BA">
            <w:pPr>
              <w:autoSpaceDE w:val="0"/>
              <w:autoSpaceDN w:val="0"/>
              <w:spacing w:line="360" w:lineRule="exact"/>
              <w:rPr>
                <w:rFonts w:hint="eastAsia"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fldChar w:fldCharType="begin"/>
            </w:r>
            <w:r>
              <w:rPr>
                <w:rFonts w:hint="eastAsia" w:ascii="仿宋" w:hAnsi="仿宋" w:eastAsia="仿宋" w:cs="仿宋"/>
                <w:color w:val="auto"/>
                <w:szCs w:val="21"/>
                <w:highlight w:val="none"/>
                <w:lang w:val="zh-CN" w:bidi="zh-CN"/>
              </w:rPr>
              <w:instrText xml:space="preserve"> = 1 \* GB3 \* MERGEFORMAT </w:instrText>
            </w:r>
            <w:r>
              <w:rPr>
                <w:rFonts w:hint="eastAsia" w:ascii="仿宋" w:hAnsi="仿宋" w:eastAsia="仿宋" w:cs="仿宋"/>
                <w:color w:val="auto"/>
                <w:szCs w:val="21"/>
                <w:highlight w:val="none"/>
                <w:lang w:val="zh-CN" w:bidi="zh-CN"/>
              </w:rPr>
              <w:fldChar w:fldCharType="separate"/>
            </w:r>
            <w:r>
              <w:rPr>
                <w:rFonts w:hint="eastAsia" w:ascii="仿宋" w:hAnsi="仿宋" w:eastAsia="仿宋" w:cs="仿宋"/>
                <w:color w:val="auto"/>
                <w:szCs w:val="21"/>
                <w:highlight w:val="none"/>
                <w:lang w:val="zh-CN" w:bidi="zh-CN"/>
              </w:rPr>
              <w:t>①</w:t>
            </w:r>
            <w:r>
              <w:rPr>
                <w:rFonts w:hint="eastAsia" w:ascii="仿宋" w:hAnsi="仿宋" w:eastAsia="仿宋" w:cs="仿宋"/>
                <w:color w:val="auto"/>
                <w:szCs w:val="21"/>
                <w:highlight w:val="none"/>
                <w:lang w:val="zh-CN" w:bidi="zh-CN"/>
              </w:rPr>
              <w:fldChar w:fldCharType="end"/>
            </w:r>
            <w:r>
              <w:rPr>
                <w:rFonts w:hint="eastAsia" w:ascii="仿宋" w:hAnsi="仿宋" w:eastAsia="仿宋" w:cs="仿宋"/>
                <w:color w:val="auto"/>
                <w:szCs w:val="21"/>
                <w:highlight w:val="none"/>
                <w:lang w:val="zh-CN" w:bidi="zh-CN"/>
              </w:rPr>
              <w:t>方案完整、合理、可行性强的为优，得</w:t>
            </w:r>
            <w:r>
              <w:rPr>
                <w:rFonts w:hint="eastAsia" w:ascii="仿宋" w:hAnsi="仿宋" w:eastAsia="仿宋" w:cs="仿宋"/>
                <w:color w:val="auto"/>
                <w:szCs w:val="21"/>
                <w:highlight w:val="none"/>
                <w:lang w:bidi="zh-CN"/>
              </w:rPr>
              <w:t>3</w:t>
            </w:r>
            <w:r>
              <w:rPr>
                <w:rFonts w:hint="eastAsia" w:ascii="仿宋" w:hAnsi="仿宋" w:eastAsia="仿宋" w:cs="仿宋"/>
                <w:color w:val="auto"/>
                <w:szCs w:val="21"/>
                <w:highlight w:val="none"/>
                <w:lang w:val="zh-CN" w:bidi="zh-CN"/>
              </w:rPr>
              <w:t>.1-</w:t>
            </w:r>
            <w:r>
              <w:rPr>
                <w:rFonts w:hint="eastAsia" w:ascii="仿宋" w:hAnsi="仿宋" w:eastAsia="仿宋" w:cs="仿宋"/>
                <w:color w:val="auto"/>
                <w:szCs w:val="21"/>
                <w:highlight w:val="none"/>
                <w:lang w:val="en-US" w:bidi="zh-CN"/>
              </w:rPr>
              <w:t>6</w:t>
            </w:r>
            <w:r>
              <w:rPr>
                <w:rFonts w:hint="eastAsia" w:ascii="仿宋" w:hAnsi="仿宋" w:eastAsia="仿宋" w:cs="仿宋"/>
                <w:color w:val="auto"/>
                <w:szCs w:val="21"/>
                <w:highlight w:val="none"/>
                <w:lang w:val="zh-CN" w:bidi="zh-CN"/>
              </w:rPr>
              <w:t>.0分；</w:t>
            </w:r>
          </w:p>
          <w:p w14:paraId="0FD33D1B">
            <w:pPr>
              <w:autoSpaceDE w:val="0"/>
              <w:autoSpaceDN w:val="0"/>
              <w:spacing w:line="360" w:lineRule="exact"/>
              <w:rPr>
                <w:rFonts w:hint="eastAsia"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fldChar w:fldCharType="begin"/>
            </w:r>
            <w:r>
              <w:rPr>
                <w:rFonts w:hint="eastAsia" w:ascii="仿宋" w:hAnsi="仿宋" w:eastAsia="仿宋" w:cs="仿宋"/>
                <w:color w:val="auto"/>
                <w:szCs w:val="21"/>
                <w:highlight w:val="none"/>
                <w:lang w:val="zh-CN" w:bidi="zh-CN"/>
              </w:rPr>
              <w:instrText xml:space="preserve"> = 2 \* GB3 \* MERGEFORMAT </w:instrText>
            </w:r>
            <w:r>
              <w:rPr>
                <w:rFonts w:hint="eastAsia" w:ascii="仿宋" w:hAnsi="仿宋" w:eastAsia="仿宋" w:cs="仿宋"/>
                <w:color w:val="auto"/>
                <w:szCs w:val="21"/>
                <w:highlight w:val="none"/>
                <w:lang w:val="zh-CN" w:bidi="zh-CN"/>
              </w:rPr>
              <w:fldChar w:fldCharType="separate"/>
            </w:r>
            <w:r>
              <w:rPr>
                <w:rFonts w:hint="eastAsia" w:ascii="仿宋" w:hAnsi="仿宋" w:eastAsia="仿宋" w:cs="仿宋"/>
                <w:color w:val="auto"/>
                <w:szCs w:val="21"/>
                <w:highlight w:val="none"/>
                <w:lang w:val="zh-CN" w:bidi="zh-CN"/>
              </w:rPr>
              <w:t>②</w:t>
            </w:r>
            <w:r>
              <w:rPr>
                <w:rFonts w:hint="eastAsia" w:ascii="仿宋" w:hAnsi="仿宋" w:eastAsia="仿宋" w:cs="仿宋"/>
                <w:color w:val="auto"/>
                <w:szCs w:val="21"/>
                <w:highlight w:val="none"/>
                <w:lang w:val="zh-CN" w:bidi="zh-CN"/>
              </w:rPr>
              <w:fldChar w:fldCharType="end"/>
            </w:r>
            <w:r>
              <w:rPr>
                <w:rFonts w:hint="eastAsia" w:ascii="仿宋" w:hAnsi="仿宋" w:eastAsia="仿宋" w:cs="仿宋"/>
                <w:color w:val="auto"/>
                <w:szCs w:val="21"/>
                <w:highlight w:val="none"/>
                <w:lang w:val="zh-CN" w:bidi="zh-CN"/>
              </w:rPr>
              <w:t>方案较完整、较合理、可行性较强的为良，得1.1-</w:t>
            </w:r>
            <w:r>
              <w:rPr>
                <w:rFonts w:hint="eastAsia" w:ascii="仿宋" w:hAnsi="仿宋" w:eastAsia="仿宋" w:cs="仿宋"/>
                <w:color w:val="auto"/>
                <w:szCs w:val="21"/>
                <w:highlight w:val="none"/>
                <w:lang w:bidi="zh-CN"/>
              </w:rPr>
              <w:t>3</w:t>
            </w:r>
            <w:r>
              <w:rPr>
                <w:rFonts w:hint="eastAsia" w:ascii="仿宋" w:hAnsi="仿宋" w:eastAsia="仿宋" w:cs="仿宋"/>
                <w:color w:val="auto"/>
                <w:szCs w:val="21"/>
                <w:highlight w:val="none"/>
                <w:lang w:val="zh-CN" w:bidi="zh-CN"/>
              </w:rPr>
              <w:t>.0分；</w:t>
            </w:r>
          </w:p>
          <w:p w14:paraId="67BC1550">
            <w:pPr>
              <w:keepNext w:val="0"/>
              <w:keepLines w:val="0"/>
              <w:pageBreakBefore w:val="0"/>
              <w:kinsoku/>
              <w:wordWrap/>
              <w:overflowPunct/>
              <w:topLinePunct w:val="0"/>
              <w:autoSpaceDE/>
              <w:autoSpaceDN/>
              <w:bidi w:val="0"/>
              <w:adjustRightIn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Cs w:val="21"/>
                <w:highlight w:val="none"/>
                <w:lang w:val="zh-CN" w:bidi="zh-CN"/>
              </w:rPr>
              <w:fldChar w:fldCharType="begin"/>
            </w:r>
            <w:r>
              <w:rPr>
                <w:rFonts w:hint="eastAsia" w:ascii="仿宋" w:hAnsi="仿宋" w:eastAsia="仿宋" w:cs="仿宋"/>
                <w:color w:val="auto"/>
                <w:szCs w:val="21"/>
                <w:highlight w:val="none"/>
                <w:lang w:val="zh-CN" w:bidi="zh-CN"/>
              </w:rPr>
              <w:instrText xml:space="preserve"> = 3 \* GB3 \* MERGEFORMAT </w:instrText>
            </w:r>
            <w:r>
              <w:rPr>
                <w:rFonts w:hint="eastAsia" w:ascii="仿宋" w:hAnsi="仿宋" w:eastAsia="仿宋" w:cs="仿宋"/>
                <w:color w:val="auto"/>
                <w:szCs w:val="21"/>
                <w:highlight w:val="none"/>
                <w:lang w:val="zh-CN" w:bidi="zh-CN"/>
              </w:rPr>
              <w:fldChar w:fldCharType="separate"/>
            </w:r>
            <w:r>
              <w:rPr>
                <w:rFonts w:hint="eastAsia" w:ascii="仿宋" w:hAnsi="仿宋" w:eastAsia="仿宋" w:cs="仿宋"/>
                <w:color w:val="auto"/>
                <w:szCs w:val="21"/>
                <w:highlight w:val="none"/>
                <w:lang w:val="zh-CN" w:bidi="zh-CN"/>
              </w:rPr>
              <w:t>③</w:t>
            </w:r>
            <w:r>
              <w:rPr>
                <w:rFonts w:hint="eastAsia" w:ascii="仿宋" w:hAnsi="仿宋" w:eastAsia="仿宋" w:cs="仿宋"/>
                <w:color w:val="auto"/>
                <w:szCs w:val="21"/>
                <w:highlight w:val="none"/>
                <w:lang w:val="zh-CN" w:bidi="zh-CN"/>
              </w:rPr>
              <w:fldChar w:fldCharType="end"/>
            </w:r>
            <w:r>
              <w:rPr>
                <w:rFonts w:hint="eastAsia" w:ascii="仿宋" w:hAnsi="仿宋" w:eastAsia="仿宋" w:cs="仿宋"/>
                <w:color w:val="auto"/>
                <w:szCs w:val="21"/>
                <w:highlight w:val="none"/>
                <w:lang w:val="zh-CN" w:bidi="zh-CN"/>
              </w:rPr>
              <w:t>方案不完整、不合理、可行性差的为一般，得0-1.0分。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15877A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r>
      <w:tr w14:paraId="0BB5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681" w:type="dxa"/>
            <w:tcBorders>
              <w:top w:val="single" w:color="auto" w:sz="4" w:space="0"/>
              <w:left w:val="single" w:color="auto" w:sz="4" w:space="0"/>
              <w:bottom w:val="single" w:color="auto" w:sz="4" w:space="0"/>
              <w:right w:val="single" w:color="auto" w:sz="4" w:space="0"/>
            </w:tcBorders>
            <w:noWrap w:val="0"/>
            <w:vAlign w:val="center"/>
          </w:tcPr>
          <w:p w14:paraId="4B13158A">
            <w:pPr>
              <w:widowControl/>
              <w:ind w:firstLine="120" w:firstLineChars="5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1465" w:type="dxa"/>
            <w:tcBorders>
              <w:top w:val="single" w:color="auto" w:sz="4" w:space="0"/>
              <w:left w:val="single" w:color="auto" w:sz="4" w:space="0"/>
              <w:bottom w:val="single" w:color="auto" w:sz="4" w:space="0"/>
              <w:right w:val="single" w:color="auto" w:sz="4" w:space="0"/>
            </w:tcBorders>
            <w:noWrap w:val="0"/>
            <w:vAlign w:val="center"/>
          </w:tcPr>
          <w:p w14:paraId="718D0B87">
            <w:pPr>
              <w:widowControl/>
              <w:adjustRightInd w:val="0"/>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售后服务方案</w:t>
            </w:r>
          </w:p>
        </w:tc>
        <w:tc>
          <w:tcPr>
            <w:tcW w:w="6354" w:type="dxa"/>
            <w:tcBorders>
              <w:top w:val="single" w:color="auto" w:sz="4" w:space="0"/>
              <w:left w:val="single" w:color="auto" w:sz="4" w:space="0"/>
              <w:bottom w:val="single" w:color="auto" w:sz="4" w:space="0"/>
              <w:right w:val="single" w:color="auto" w:sz="4" w:space="0"/>
            </w:tcBorders>
            <w:noWrap w:val="0"/>
            <w:vAlign w:val="center"/>
          </w:tcPr>
          <w:p w14:paraId="68CB4C3F">
            <w:pPr>
              <w:autoSpaceDE w:val="0"/>
              <w:autoSpaceDN w:val="0"/>
              <w:spacing w:line="36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对投标人提供的售后服务方案的完善性、可操作性、响应及时性以及售后保障措施（含技术支持能力、质保期服务）、备品备件情况等方面进行综合评审：</w:t>
            </w:r>
          </w:p>
          <w:p w14:paraId="5A38F81C">
            <w:pPr>
              <w:autoSpaceDE w:val="0"/>
              <w:autoSpaceDN w:val="0"/>
              <w:spacing w:line="36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方案完善、可操作性强、响应及时、售后保障措施完善、备品备件充足的评定为优得</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.0分；</w:t>
            </w:r>
          </w:p>
          <w:p w14:paraId="5693213D">
            <w:pPr>
              <w:autoSpaceDE w:val="0"/>
              <w:autoSpaceDN w:val="0"/>
              <w:spacing w:line="36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方案完善、可操作性强、响应及时、售后保障措施完善、备品备件较充足的评定为的为良得2.1-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.0分；</w:t>
            </w:r>
          </w:p>
          <w:p w14:paraId="656EFD8B">
            <w:pPr>
              <w:autoSpaceDE w:val="0"/>
              <w:autoSpaceDN w:val="0"/>
              <w:spacing w:line="36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方案较完善、可操作性一般、响应较及时、售后保障措施不完善、备品备件不充足的评定为的为一般得1.1-2.0分；</w:t>
            </w:r>
          </w:p>
          <w:p w14:paraId="6E01BC46">
            <w:pPr>
              <w:autoSpaceDE w:val="0"/>
              <w:autoSpaceDN w:val="0"/>
              <w:spacing w:line="360" w:lineRule="exact"/>
              <w:jc w:val="left"/>
              <w:rPr>
                <w:rFonts w:hint="eastAsia" w:ascii="仿宋" w:hAnsi="仿宋" w:eastAsia="仿宋" w:cs="仿宋"/>
                <w:color w:val="auto"/>
                <w:highlight w:val="none"/>
              </w:rPr>
            </w:pPr>
            <w:r>
              <w:rPr>
                <w:rFonts w:hint="eastAsia" w:ascii="仿宋" w:hAnsi="仿宋" w:eastAsia="仿宋" w:cs="仿宋"/>
                <w:color w:val="auto"/>
                <w:szCs w:val="21"/>
                <w:highlight w:val="none"/>
              </w:rPr>
              <w:t>方案不完善、可操作性不强、响应不及时、售后保障措施不完善、备品备件不充足的评定为的为差得0-1.0分；</w:t>
            </w:r>
          </w:p>
          <w:p w14:paraId="7422B0F5">
            <w:pPr>
              <w:keepNext w:val="0"/>
              <w:keepLines w:val="0"/>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adjustRightInd w:val="0"/>
              <w:spacing w:line="32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未提供售后服务方案的不得分</w:t>
            </w:r>
            <w:r>
              <w:rPr>
                <w:rFonts w:hint="eastAsia" w:ascii="仿宋" w:hAnsi="仿宋" w:eastAsia="仿宋" w:cs="仿宋"/>
                <w:color w:val="auto"/>
                <w:kern w:val="0"/>
                <w:szCs w:val="21"/>
                <w:highlight w:val="none"/>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52EDF1E">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bl>
    <w:p w14:paraId="32FE12C9">
      <w:pPr>
        <w:pStyle w:val="132"/>
        <w:snapToGrid w:val="0"/>
        <w:spacing w:line="440" w:lineRule="exact"/>
        <w:ind w:firstLine="480"/>
        <w:rPr>
          <w:rFonts w:ascii="仿宋" w:hAnsi="仿宋" w:eastAsia="仿宋"/>
          <w:b/>
          <w:bCs/>
          <w:color w:val="auto"/>
          <w:highlight w:val="none"/>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w:t>
      </w:r>
      <w:r>
        <w:rPr>
          <w:rFonts w:hint="eastAsia" w:ascii="仿宋" w:hAnsi="仿宋" w:eastAsia="仿宋" w:cs="仿宋_GB2312"/>
          <w:b/>
          <w:bCs/>
          <w:color w:val="auto"/>
          <w:highlight w:val="none"/>
          <w:lang w:val="en-US" w:eastAsia="zh-CN"/>
        </w:rPr>
        <w:t>36</w:t>
      </w:r>
      <w:r>
        <w:rPr>
          <w:rFonts w:hint="eastAsia" w:ascii="仿宋" w:hAnsi="仿宋" w:eastAsia="仿宋" w:cs="仿宋_GB2312"/>
          <w:b/>
          <w:bCs/>
          <w:color w:val="auto"/>
          <w:highlight w:val="none"/>
        </w:rPr>
        <w:t>分的，</w:t>
      </w:r>
      <w:r>
        <w:rPr>
          <w:rFonts w:hint="eastAsia" w:ascii="仿宋" w:hAnsi="仿宋" w:eastAsia="仿宋"/>
          <w:b/>
          <w:bCs/>
          <w:color w:val="auto"/>
          <w:highlight w:val="none"/>
        </w:rPr>
        <w:t>视为采购人不能接受的附加条件。</w:t>
      </w:r>
    </w:p>
    <w:p w14:paraId="3E83A8FD">
      <w:pPr>
        <w:pStyle w:val="132"/>
        <w:snapToGrid w:val="0"/>
        <w:spacing w:line="440" w:lineRule="exact"/>
        <w:ind w:firstLine="482"/>
        <w:rPr>
          <w:rFonts w:ascii="仿宋" w:hAnsi="仿宋" w:eastAsia="仿宋" w:cs="仿宋"/>
          <w:color w:val="auto"/>
          <w:highlight w:val="none"/>
        </w:rPr>
      </w:pPr>
      <w:r>
        <w:rPr>
          <w:rFonts w:hint="eastAsia" w:ascii="仿宋" w:hAnsi="仿宋" w:eastAsia="仿宋" w:cs="仿宋"/>
          <w:b/>
          <w:color w:val="auto"/>
          <w:highlight w:val="none"/>
        </w:rPr>
        <w:t>备注：</w:t>
      </w:r>
      <w:r>
        <w:rPr>
          <w:rFonts w:hint="eastAsia" w:ascii="仿宋" w:hAnsi="仿宋" w:eastAsia="仿宋" w:cs="仿宋"/>
          <w:color w:val="auto"/>
          <w:highlight w:val="none"/>
        </w:rPr>
        <w:t>投标人编制投标文件（商务技术文件部分）时，建议按此目录（序号和内容）提供评标标准相应的商务技术资料。 </w:t>
      </w:r>
    </w:p>
    <w:p w14:paraId="301E9BC1">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40</w:t>
      </w:r>
      <w:r>
        <w:rPr>
          <w:rFonts w:hint="eastAsia" w:ascii="仿宋" w:hAnsi="仿宋" w:eastAsia="仿宋" w:cs="仿宋"/>
          <w:b/>
          <w:bCs/>
          <w:iCs/>
          <w:color w:val="auto"/>
          <w:sz w:val="24"/>
          <w:highlight w:val="none"/>
        </w:rPr>
        <w:t>分）</w:t>
      </w:r>
    </w:p>
    <w:p w14:paraId="0F436D53">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55F3AFA">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C19C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4FF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40</w:t>
      </w:r>
    </w:p>
    <w:p w14:paraId="2F5438D9">
      <w:pPr>
        <w:spacing w:line="360" w:lineRule="auto"/>
        <w:ind w:left="720" w:firstLine="723" w:firstLineChars="200"/>
        <w:outlineLvl w:val="0"/>
        <w:rPr>
          <w:rFonts w:ascii="仿宋" w:hAnsi="仿宋" w:eastAsia="仿宋" w:cs="仿宋"/>
          <w:b/>
          <w:color w:val="auto"/>
          <w:sz w:val="36"/>
          <w:szCs w:val="20"/>
          <w:highlight w:val="none"/>
        </w:rPr>
      </w:pPr>
    </w:p>
    <w:bookmarkEnd w:id="66"/>
    <w:bookmarkEnd w:id="67"/>
    <w:p w14:paraId="4440F053">
      <w:pPr>
        <w:pageBreakBefore/>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1CA3304">
      <w:pPr>
        <w:spacing w:line="360" w:lineRule="auto"/>
        <w:jc w:val="center"/>
        <w:outlineLvl w:val="0"/>
        <w:rPr>
          <w:rFonts w:ascii="仿宋" w:hAnsi="仿宋" w:eastAsia="仿宋" w:cs="仿宋"/>
          <w:b/>
          <w:color w:val="auto"/>
          <w:kern w:val="0"/>
          <w:sz w:val="36"/>
          <w:szCs w:val="36"/>
          <w:highlight w:val="none"/>
        </w:rPr>
      </w:pPr>
    </w:p>
    <w:p w14:paraId="2472C211">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1662FE1">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34845A9">
      <w:pPr>
        <w:spacing w:line="360" w:lineRule="auto"/>
        <w:jc w:val="center"/>
        <w:outlineLvl w:val="0"/>
        <w:rPr>
          <w:rFonts w:ascii="仿宋" w:hAnsi="仿宋" w:eastAsia="仿宋" w:cs="仿宋"/>
          <w:b/>
          <w:color w:val="auto"/>
          <w:kern w:val="0"/>
          <w:sz w:val="36"/>
          <w:szCs w:val="36"/>
          <w:highlight w:val="none"/>
        </w:rPr>
      </w:pPr>
    </w:p>
    <w:p w14:paraId="419C921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6FAC800">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27E2A982">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0472C4C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62F4FB5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13E6383E">
      <w:pPr>
        <w:snapToGrid w:val="0"/>
        <w:spacing w:line="360" w:lineRule="auto"/>
        <w:rPr>
          <w:rFonts w:ascii="仿宋" w:hAnsi="仿宋" w:eastAsia="仿宋" w:cs="仿宋"/>
          <w:color w:val="auto"/>
          <w:sz w:val="24"/>
          <w:highlight w:val="none"/>
        </w:rPr>
      </w:pPr>
    </w:p>
    <w:p w14:paraId="0FC08389">
      <w:pPr>
        <w:snapToGrid w:val="0"/>
        <w:spacing w:line="360" w:lineRule="auto"/>
        <w:ind w:firstLine="480" w:firstLineChars="200"/>
        <w:rPr>
          <w:rFonts w:ascii="仿宋" w:hAnsi="仿宋" w:eastAsia="仿宋" w:cs="仿宋"/>
          <w:color w:val="auto"/>
          <w:sz w:val="24"/>
          <w:highlight w:val="none"/>
        </w:rPr>
      </w:pPr>
    </w:p>
    <w:p w14:paraId="517C240E">
      <w:pPr>
        <w:spacing w:line="360" w:lineRule="auto"/>
        <w:ind w:firstLine="480" w:firstLineChars="200"/>
        <w:rPr>
          <w:rFonts w:ascii="仿宋" w:hAnsi="仿宋" w:eastAsia="仿宋" w:cs="仿宋"/>
          <w:color w:val="auto"/>
          <w:sz w:val="24"/>
          <w:highlight w:val="none"/>
        </w:rPr>
      </w:pPr>
    </w:p>
    <w:p w14:paraId="2A193384">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44E323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u w:val="single"/>
        </w:rPr>
        <w:t>、浙江中兴工程项目管理有限公司</w:t>
      </w:r>
      <w:r>
        <w:rPr>
          <w:rFonts w:hint="eastAsia" w:ascii="仿宋" w:hAnsi="仿宋" w:eastAsia="仿宋" w:cs="仿宋"/>
          <w:color w:val="auto"/>
          <w:sz w:val="24"/>
          <w:highlight w:val="none"/>
        </w:rPr>
        <w:t>：</w:t>
      </w:r>
    </w:p>
    <w:p w14:paraId="7378FBB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eastAsia="zh-CN"/>
        </w:rPr>
        <w:t>华舍小学扩建改造工程（一期）数字化设备等采购项目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政府采购活动，郑重承诺：</w:t>
      </w:r>
    </w:p>
    <w:p w14:paraId="51323FDF">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B148E9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9D179A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2F4B24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1AC9A4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532788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BD83F4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6DFC81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0D9B80D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7DEEBE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9CED0A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4AC25DE">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E5D9848">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61EDB48">
      <w:pPr>
        <w:snapToGrid w:val="0"/>
        <w:spacing w:line="360" w:lineRule="auto"/>
        <w:ind w:right="480"/>
        <w:jc w:val="center"/>
        <w:rPr>
          <w:rFonts w:ascii="仿宋" w:hAnsi="仿宋" w:eastAsia="仿宋" w:cs="仿宋"/>
          <w:b/>
          <w:color w:val="auto"/>
          <w:kern w:val="0"/>
          <w:sz w:val="32"/>
          <w:szCs w:val="32"/>
          <w:highlight w:val="none"/>
        </w:rPr>
      </w:pPr>
    </w:p>
    <w:p w14:paraId="4294286E">
      <w:pPr>
        <w:pageBreakBefore/>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835F3A0">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6F2BDCDF">
      <w:pPr>
        <w:pStyle w:val="81"/>
        <w:rPr>
          <w:color w:val="auto"/>
          <w:highlight w:val="none"/>
        </w:rPr>
      </w:pPr>
    </w:p>
    <w:p w14:paraId="4B1C101B">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E930C0A">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49C9DD78">
      <w:pPr>
        <w:snapToGrid w:val="0"/>
        <w:spacing w:line="360" w:lineRule="auto"/>
        <w:ind w:right="480"/>
        <w:jc w:val="center"/>
        <w:rPr>
          <w:rFonts w:ascii="仿宋" w:hAnsi="仿宋" w:eastAsia="仿宋" w:cs="仿宋"/>
          <w:b/>
          <w:color w:val="auto"/>
          <w:kern w:val="0"/>
          <w:sz w:val="32"/>
          <w:szCs w:val="32"/>
          <w:highlight w:val="none"/>
        </w:rPr>
      </w:pPr>
    </w:p>
    <w:p w14:paraId="13E3B4BF">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3CEAB47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236A2B8">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79B8B1C4">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4417406">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DB500F7">
      <w:pPr>
        <w:pStyle w:val="8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41220A58">
      <w:pPr>
        <w:widowControl/>
        <w:spacing w:line="360" w:lineRule="auto"/>
        <w:ind w:left="150"/>
        <w:jc w:val="center"/>
        <w:rPr>
          <w:rFonts w:ascii="仿宋" w:hAnsi="仿宋" w:eastAsia="仿宋" w:cs="仿宋"/>
          <w:b/>
          <w:color w:val="auto"/>
          <w:kern w:val="0"/>
          <w:sz w:val="32"/>
          <w:szCs w:val="32"/>
          <w:highlight w:val="none"/>
        </w:rPr>
      </w:pPr>
    </w:p>
    <w:p w14:paraId="26EE11D4">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FD0E66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39A75750">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48C30FD">
      <w:pPr>
        <w:spacing w:line="336" w:lineRule="auto"/>
        <w:jc w:val="center"/>
        <w:outlineLvl w:val="0"/>
        <w:rPr>
          <w:rFonts w:ascii="仿宋" w:hAnsi="仿宋" w:eastAsia="仿宋" w:cs="仿宋"/>
          <w:b/>
          <w:color w:val="auto"/>
          <w:kern w:val="0"/>
          <w:sz w:val="24"/>
          <w:highlight w:val="none"/>
        </w:rPr>
      </w:pPr>
    </w:p>
    <w:p w14:paraId="5CCF5D5F">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8950AAD">
      <w:pPr>
        <w:pStyle w:val="906"/>
        <w:numPr>
          <w:ilvl w:val="0"/>
          <w:numId w:val="1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2D40AA18">
      <w:pPr>
        <w:pStyle w:val="906"/>
        <w:numPr>
          <w:ilvl w:val="0"/>
          <w:numId w:val="1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745E59BD">
      <w:pPr>
        <w:pStyle w:val="906"/>
        <w:numPr>
          <w:ilvl w:val="0"/>
          <w:numId w:val="1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56C983DF">
      <w:pPr>
        <w:pStyle w:val="906"/>
        <w:numPr>
          <w:ilvl w:val="0"/>
          <w:numId w:val="1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14:paraId="4923B560">
      <w:pPr>
        <w:pStyle w:val="906"/>
        <w:numPr>
          <w:ilvl w:val="0"/>
          <w:numId w:val="1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14:paraId="04890811">
      <w:pPr>
        <w:pStyle w:val="906"/>
        <w:numPr>
          <w:ilvl w:val="0"/>
          <w:numId w:val="1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14:paraId="3DF0E1F0">
      <w:pPr>
        <w:pStyle w:val="906"/>
        <w:numPr>
          <w:ilvl w:val="0"/>
          <w:numId w:val="1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188F445F">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121205C9">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A889A19">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03C86EFA">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079466BF">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14:paraId="5B6EFAC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1257701F">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39E9094B">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55C1C7F9">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245CFEFB">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353B15A8">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2E2FB911">
      <w:pPr>
        <w:snapToGrid w:val="0"/>
        <w:spacing w:line="360" w:lineRule="auto"/>
        <w:jc w:val="center"/>
        <w:rPr>
          <w:rFonts w:ascii="仿宋" w:hAnsi="仿宋" w:eastAsia="仿宋" w:cs="仿宋"/>
          <w:b/>
          <w:color w:val="auto"/>
          <w:kern w:val="0"/>
          <w:sz w:val="32"/>
          <w:szCs w:val="32"/>
          <w:highlight w:val="none"/>
          <w:lang w:val="zh-CN"/>
        </w:rPr>
      </w:pPr>
    </w:p>
    <w:p w14:paraId="673E340C">
      <w:pPr>
        <w:snapToGrid w:val="0"/>
        <w:spacing w:line="360" w:lineRule="auto"/>
        <w:jc w:val="center"/>
        <w:rPr>
          <w:rFonts w:ascii="仿宋" w:hAnsi="仿宋" w:eastAsia="仿宋" w:cs="仿宋"/>
          <w:b/>
          <w:color w:val="auto"/>
          <w:kern w:val="0"/>
          <w:sz w:val="32"/>
          <w:szCs w:val="32"/>
          <w:highlight w:val="none"/>
          <w:lang w:val="zh-CN"/>
        </w:rPr>
      </w:pPr>
    </w:p>
    <w:p w14:paraId="2CB2E6EC">
      <w:pPr>
        <w:snapToGrid w:val="0"/>
        <w:spacing w:line="360" w:lineRule="auto"/>
        <w:jc w:val="center"/>
        <w:rPr>
          <w:rFonts w:ascii="仿宋" w:hAnsi="仿宋" w:eastAsia="仿宋" w:cs="仿宋"/>
          <w:b/>
          <w:color w:val="auto"/>
          <w:kern w:val="0"/>
          <w:sz w:val="32"/>
          <w:szCs w:val="32"/>
          <w:highlight w:val="none"/>
          <w:lang w:val="zh-CN"/>
        </w:rPr>
      </w:pPr>
    </w:p>
    <w:p w14:paraId="1DB3F6AD">
      <w:pPr>
        <w:snapToGrid w:val="0"/>
        <w:spacing w:line="360" w:lineRule="auto"/>
        <w:jc w:val="center"/>
        <w:rPr>
          <w:rFonts w:ascii="仿宋" w:hAnsi="仿宋" w:eastAsia="仿宋" w:cs="仿宋"/>
          <w:b/>
          <w:color w:val="auto"/>
          <w:kern w:val="0"/>
          <w:sz w:val="32"/>
          <w:szCs w:val="32"/>
          <w:highlight w:val="none"/>
          <w:lang w:val="zh-CN"/>
        </w:rPr>
      </w:pPr>
    </w:p>
    <w:p w14:paraId="1BCE480F">
      <w:pPr>
        <w:pageBreakBefore/>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AF66CF0">
      <w:pPr>
        <w:pStyle w:val="397"/>
        <w:spacing w:after="120" w:line="44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highlight w:val="none"/>
          <w:u w:val="single"/>
          <w:lang w:eastAsia="zh-CN"/>
        </w:rPr>
        <w:t>绍兴市柯桥区华舍小学</w:t>
      </w:r>
      <w:r>
        <w:rPr>
          <w:rFonts w:hint="eastAsia" w:ascii="仿宋" w:hAnsi="仿宋" w:eastAsia="仿宋" w:cs="仿宋"/>
          <w:color w:val="auto"/>
          <w:highlight w:val="none"/>
          <w:u w:val="single"/>
        </w:rPr>
        <w:t>、浙江中兴工程项目管理有限公司</w:t>
      </w:r>
      <w:r>
        <w:rPr>
          <w:rFonts w:hint="eastAsia" w:ascii="仿宋" w:hAnsi="仿宋" w:eastAsia="仿宋" w:cs="仿宋"/>
          <w:color w:val="auto"/>
          <w:szCs w:val="24"/>
          <w:highlight w:val="none"/>
          <w:u w:val="single"/>
        </w:rPr>
        <w:t xml:space="preserve"> </w:t>
      </w:r>
    </w:p>
    <w:p w14:paraId="7A5CC0E1">
      <w:pPr>
        <w:pStyle w:val="39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lang w:eastAsia="zh-CN"/>
        </w:rPr>
        <w:t>绍柯采[2025]   号</w:t>
      </w:r>
      <w:r>
        <w:rPr>
          <w:rFonts w:hint="eastAsia" w:ascii="仿宋" w:hAnsi="仿宋" w:eastAsia="仿宋" w:cs="仿宋"/>
          <w:b/>
          <w:color w:val="auto"/>
          <w:szCs w:val="24"/>
          <w:highlight w:val="none"/>
          <w:u w:val="single"/>
        </w:rPr>
        <w:t xml:space="preserve"> </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28EE889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我方已完全明白招标文件的所有条款要求，兹声明同意如下：</w:t>
      </w:r>
    </w:p>
    <w:p w14:paraId="478948F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1.我方同意在投标人须知规定的开标日期起遵守本投标文件中的承诺且在投标有效期满之前均具有约束力。</w:t>
      </w:r>
    </w:p>
    <w:p w14:paraId="05FDE91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2.我方承诺已经具备《中华人民共和国政府采购法》中规定的参加政府采购活动的供应商应当具备的条件。</w:t>
      </w:r>
    </w:p>
    <w:p w14:paraId="0D8ECD1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9C89ED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4.我方理解贵方将不受你们所收到的最低报价的约束。</w:t>
      </w:r>
    </w:p>
    <w:p w14:paraId="1B219E3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5.本投标自开标之日（投标截止之日）起90天内有效。</w:t>
      </w:r>
    </w:p>
    <w:p w14:paraId="0E40FF8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43F18C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DC6563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7059FC3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38BFC15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05FDCEB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7818B60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020702C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0847480">
      <w:pPr>
        <w:pStyle w:val="39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2DD06D59">
      <w:pPr>
        <w:pStyle w:val="39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12571E68">
      <w:pPr>
        <w:pStyle w:val="39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282F951">
      <w:pPr>
        <w:pStyle w:val="39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77C163AE">
      <w:pPr>
        <w:snapToGrid w:val="0"/>
        <w:spacing w:line="440" w:lineRule="exact"/>
        <w:ind w:firstLine="480" w:firstLineChars="200"/>
        <w:jc w:val="left"/>
        <w:rPr>
          <w:rFonts w:ascii="仿宋" w:hAnsi="仿宋" w:eastAsia="仿宋" w:cs="仿宋"/>
          <w:color w:val="auto"/>
          <w:sz w:val="24"/>
          <w:highlight w:val="none"/>
        </w:rPr>
      </w:pPr>
    </w:p>
    <w:p w14:paraId="18ADB53E">
      <w:pPr>
        <w:snapToGrid w:val="0"/>
        <w:spacing w:line="440" w:lineRule="exact"/>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381C21D2">
      <w:pPr>
        <w:snapToGrid w:val="0"/>
        <w:spacing w:line="360" w:lineRule="auto"/>
        <w:jc w:val="center"/>
        <w:rPr>
          <w:rFonts w:ascii="仿宋" w:hAnsi="仿宋" w:eastAsia="仿宋" w:cs="仿宋"/>
          <w:b/>
          <w:color w:val="auto"/>
          <w:kern w:val="0"/>
          <w:sz w:val="32"/>
          <w:szCs w:val="32"/>
          <w:highlight w:val="none"/>
        </w:rPr>
      </w:pPr>
    </w:p>
    <w:p w14:paraId="6959956F">
      <w:pPr>
        <w:snapToGrid w:val="0"/>
        <w:spacing w:line="360" w:lineRule="auto"/>
        <w:rPr>
          <w:rFonts w:ascii="仿宋" w:hAnsi="仿宋" w:eastAsia="仿宋" w:cs="仿宋"/>
          <w:color w:val="auto"/>
          <w:sz w:val="24"/>
          <w:highlight w:val="none"/>
        </w:rPr>
      </w:pPr>
    </w:p>
    <w:p w14:paraId="07AC3FF8">
      <w:pPr>
        <w:jc w:val="center"/>
        <w:rPr>
          <w:rFonts w:ascii="仿宋" w:hAnsi="仿宋" w:eastAsia="仿宋" w:cs="仿宋"/>
          <w:b/>
          <w:color w:val="auto"/>
          <w:kern w:val="0"/>
          <w:sz w:val="32"/>
          <w:szCs w:val="32"/>
          <w:highlight w:val="none"/>
        </w:rPr>
      </w:pPr>
    </w:p>
    <w:p w14:paraId="4E217343">
      <w:pPr>
        <w:jc w:val="center"/>
        <w:rPr>
          <w:rFonts w:ascii="仿宋" w:hAnsi="仿宋" w:eastAsia="仿宋" w:cs="仿宋"/>
          <w:b/>
          <w:color w:val="auto"/>
          <w:kern w:val="0"/>
          <w:sz w:val="32"/>
          <w:szCs w:val="32"/>
          <w:highlight w:val="none"/>
        </w:rPr>
      </w:pPr>
    </w:p>
    <w:p w14:paraId="3070B87C">
      <w:pPr>
        <w:jc w:val="center"/>
        <w:rPr>
          <w:rFonts w:ascii="仿宋" w:hAnsi="仿宋" w:eastAsia="仿宋" w:cs="仿宋"/>
          <w:b/>
          <w:color w:val="auto"/>
          <w:kern w:val="0"/>
          <w:sz w:val="32"/>
          <w:szCs w:val="32"/>
          <w:highlight w:val="none"/>
        </w:rPr>
      </w:pPr>
    </w:p>
    <w:p w14:paraId="70347380">
      <w:pPr>
        <w:jc w:val="center"/>
        <w:rPr>
          <w:rFonts w:ascii="仿宋" w:hAnsi="仿宋" w:eastAsia="仿宋" w:cs="仿宋"/>
          <w:b/>
          <w:color w:val="auto"/>
          <w:kern w:val="0"/>
          <w:sz w:val="32"/>
          <w:szCs w:val="32"/>
          <w:highlight w:val="none"/>
        </w:rPr>
      </w:pPr>
    </w:p>
    <w:p w14:paraId="48569436">
      <w:pPr>
        <w:jc w:val="center"/>
        <w:rPr>
          <w:rFonts w:ascii="仿宋" w:hAnsi="仿宋" w:eastAsia="仿宋" w:cs="仿宋"/>
          <w:b/>
          <w:color w:val="auto"/>
          <w:kern w:val="0"/>
          <w:sz w:val="32"/>
          <w:szCs w:val="32"/>
          <w:highlight w:val="none"/>
        </w:rPr>
      </w:pPr>
    </w:p>
    <w:p w14:paraId="1F3A59D5">
      <w:pPr>
        <w:jc w:val="center"/>
        <w:rPr>
          <w:rFonts w:ascii="仿宋" w:hAnsi="仿宋" w:eastAsia="仿宋" w:cs="仿宋"/>
          <w:b/>
          <w:color w:val="auto"/>
          <w:kern w:val="0"/>
          <w:sz w:val="32"/>
          <w:szCs w:val="32"/>
          <w:highlight w:val="none"/>
        </w:rPr>
      </w:pPr>
    </w:p>
    <w:p w14:paraId="16AD4313">
      <w:pPr>
        <w:jc w:val="center"/>
        <w:rPr>
          <w:rFonts w:ascii="仿宋" w:hAnsi="仿宋" w:eastAsia="仿宋" w:cs="仿宋"/>
          <w:b/>
          <w:color w:val="auto"/>
          <w:kern w:val="0"/>
          <w:sz w:val="32"/>
          <w:szCs w:val="32"/>
          <w:highlight w:val="none"/>
        </w:rPr>
      </w:pPr>
    </w:p>
    <w:p w14:paraId="3507AC9C">
      <w:pPr>
        <w:jc w:val="center"/>
        <w:rPr>
          <w:rFonts w:ascii="仿宋" w:hAnsi="仿宋" w:eastAsia="仿宋" w:cs="仿宋"/>
          <w:b/>
          <w:color w:val="auto"/>
          <w:kern w:val="0"/>
          <w:sz w:val="32"/>
          <w:szCs w:val="32"/>
          <w:highlight w:val="none"/>
        </w:rPr>
      </w:pPr>
    </w:p>
    <w:p w14:paraId="12521C04">
      <w:pPr>
        <w:jc w:val="center"/>
        <w:rPr>
          <w:rFonts w:ascii="仿宋" w:hAnsi="仿宋" w:eastAsia="仿宋" w:cs="仿宋"/>
          <w:b/>
          <w:color w:val="auto"/>
          <w:kern w:val="0"/>
          <w:sz w:val="32"/>
          <w:szCs w:val="32"/>
          <w:highlight w:val="none"/>
        </w:rPr>
      </w:pPr>
    </w:p>
    <w:p w14:paraId="1D20B9EC">
      <w:pPr>
        <w:jc w:val="center"/>
        <w:rPr>
          <w:rFonts w:ascii="仿宋" w:hAnsi="仿宋" w:eastAsia="仿宋" w:cs="仿宋"/>
          <w:b/>
          <w:color w:val="auto"/>
          <w:kern w:val="0"/>
          <w:sz w:val="32"/>
          <w:szCs w:val="32"/>
          <w:highlight w:val="none"/>
        </w:rPr>
      </w:pPr>
    </w:p>
    <w:p w14:paraId="3A082DF3">
      <w:pPr>
        <w:jc w:val="center"/>
        <w:rPr>
          <w:rFonts w:ascii="仿宋" w:hAnsi="仿宋" w:eastAsia="仿宋" w:cs="仿宋"/>
          <w:b/>
          <w:color w:val="auto"/>
          <w:kern w:val="0"/>
          <w:sz w:val="32"/>
          <w:szCs w:val="32"/>
          <w:highlight w:val="none"/>
        </w:rPr>
      </w:pPr>
    </w:p>
    <w:p w14:paraId="25DBD079">
      <w:pPr>
        <w:jc w:val="center"/>
        <w:rPr>
          <w:rFonts w:ascii="仿宋" w:hAnsi="仿宋" w:eastAsia="仿宋" w:cs="仿宋"/>
          <w:b/>
          <w:color w:val="auto"/>
          <w:kern w:val="0"/>
          <w:sz w:val="32"/>
          <w:szCs w:val="32"/>
          <w:highlight w:val="none"/>
        </w:rPr>
      </w:pPr>
    </w:p>
    <w:p w14:paraId="0D7579C7">
      <w:pPr>
        <w:jc w:val="center"/>
        <w:rPr>
          <w:rFonts w:ascii="仿宋" w:hAnsi="仿宋" w:eastAsia="仿宋" w:cs="仿宋"/>
          <w:b/>
          <w:color w:val="auto"/>
          <w:kern w:val="0"/>
          <w:sz w:val="32"/>
          <w:szCs w:val="32"/>
          <w:highlight w:val="none"/>
        </w:rPr>
      </w:pPr>
    </w:p>
    <w:p w14:paraId="292290C4">
      <w:pPr>
        <w:jc w:val="center"/>
        <w:rPr>
          <w:rFonts w:ascii="仿宋" w:hAnsi="仿宋" w:eastAsia="仿宋" w:cs="仿宋"/>
          <w:b/>
          <w:color w:val="auto"/>
          <w:kern w:val="0"/>
          <w:sz w:val="32"/>
          <w:szCs w:val="32"/>
          <w:highlight w:val="none"/>
        </w:rPr>
      </w:pPr>
    </w:p>
    <w:p w14:paraId="08ED4779">
      <w:pPr>
        <w:jc w:val="center"/>
        <w:rPr>
          <w:rFonts w:ascii="仿宋" w:hAnsi="仿宋" w:eastAsia="仿宋" w:cs="仿宋"/>
          <w:b/>
          <w:color w:val="auto"/>
          <w:kern w:val="0"/>
          <w:sz w:val="32"/>
          <w:szCs w:val="32"/>
          <w:highlight w:val="none"/>
        </w:rPr>
      </w:pPr>
    </w:p>
    <w:p w14:paraId="67AB00CA">
      <w:pPr>
        <w:jc w:val="center"/>
        <w:rPr>
          <w:rFonts w:ascii="仿宋" w:hAnsi="仿宋" w:eastAsia="仿宋" w:cs="仿宋"/>
          <w:b/>
          <w:color w:val="auto"/>
          <w:kern w:val="0"/>
          <w:sz w:val="32"/>
          <w:szCs w:val="32"/>
          <w:highlight w:val="none"/>
        </w:rPr>
      </w:pPr>
    </w:p>
    <w:p w14:paraId="783D4BD9">
      <w:pPr>
        <w:jc w:val="center"/>
        <w:rPr>
          <w:rFonts w:ascii="仿宋" w:hAnsi="仿宋" w:eastAsia="仿宋" w:cs="仿宋"/>
          <w:b/>
          <w:color w:val="auto"/>
          <w:kern w:val="0"/>
          <w:sz w:val="32"/>
          <w:szCs w:val="32"/>
          <w:highlight w:val="none"/>
        </w:rPr>
      </w:pPr>
    </w:p>
    <w:p w14:paraId="59EC919C">
      <w:pPr>
        <w:jc w:val="center"/>
        <w:rPr>
          <w:rFonts w:ascii="仿宋" w:hAnsi="仿宋" w:eastAsia="仿宋" w:cs="仿宋"/>
          <w:b/>
          <w:color w:val="auto"/>
          <w:kern w:val="0"/>
          <w:sz w:val="32"/>
          <w:szCs w:val="32"/>
          <w:highlight w:val="none"/>
        </w:rPr>
      </w:pPr>
    </w:p>
    <w:p w14:paraId="3D213381">
      <w:pPr>
        <w:jc w:val="center"/>
        <w:rPr>
          <w:rFonts w:ascii="仿宋" w:hAnsi="仿宋" w:eastAsia="仿宋" w:cs="仿宋"/>
          <w:b/>
          <w:color w:val="auto"/>
          <w:kern w:val="0"/>
          <w:sz w:val="32"/>
          <w:szCs w:val="32"/>
          <w:highlight w:val="none"/>
        </w:rPr>
      </w:pPr>
    </w:p>
    <w:p w14:paraId="42D13747">
      <w:pPr>
        <w:pageBreakBefore/>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1A80E460">
      <w:pPr>
        <w:jc w:val="center"/>
        <w:rPr>
          <w:rFonts w:ascii="仿宋" w:hAnsi="仿宋" w:eastAsia="仿宋" w:cs="仿宋"/>
          <w:b/>
          <w:color w:val="auto"/>
          <w:sz w:val="24"/>
          <w:highlight w:val="none"/>
        </w:rPr>
      </w:pPr>
    </w:p>
    <w:p w14:paraId="4F2ADE4C">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u w:val="single"/>
        </w:rPr>
        <w:t>、浙江中兴工程项目管理有限公司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华舍小学扩建改造工程（一期）数字化设备等采购项目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620799A">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7BE771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4AAECEA">
      <w:pPr>
        <w:snapToGrid w:val="0"/>
        <w:spacing w:line="600" w:lineRule="exact"/>
        <w:jc w:val="left"/>
        <w:rPr>
          <w:rFonts w:ascii="仿宋" w:hAnsi="仿宋" w:eastAsia="仿宋" w:cs="仿宋"/>
          <w:color w:val="auto"/>
          <w:sz w:val="24"/>
          <w:highlight w:val="none"/>
        </w:rPr>
      </w:pPr>
    </w:p>
    <w:p w14:paraId="6BD61E43">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8D5FD0">
      <w:pPr>
        <w:spacing w:line="360" w:lineRule="exact"/>
        <w:rPr>
          <w:rFonts w:ascii="仿宋" w:hAnsi="仿宋" w:eastAsia="仿宋" w:cs="仿宋"/>
          <w:color w:val="auto"/>
          <w:sz w:val="24"/>
          <w:highlight w:val="none"/>
        </w:rPr>
      </w:pPr>
    </w:p>
    <w:p w14:paraId="25BF907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9B4667B">
      <w:pPr>
        <w:spacing w:line="360" w:lineRule="exact"/>
        <w:rPr>
          <w:rFonts w:ascii="仿宋" w:hAnsi="仿宋" w:eastAsia="仿宋" w:cs="仿宋"/>
          <w:color w:val="auto"/>
          <w:sz w:val="24"/>
          <w:highlight w:val="none"/>
        </w:rPr>
      </w:pPr>
    </w:p>
    <w:p w14:paraId="12FDA940">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B712C1F">
      <w:pPr>
        <w:spacing w:line="360" w:lineRule="exact"/>
        <w:rPr>
          <w:rFonts w:ascii="仿宋" w:hAnsi="仿宋" w:eastAsia="仿宋" w:cs="仿宋"/>
          <w:color w:val="auto"/>
          <w:sz w:val="24"/>
          <w:highlight w:val="none"/>
        </w:rPr>
      </w:pPr>
    </w:p>
    <w:p w14:paraId="229BF1FA">
      <w:pPr>
        <w:spacing w:line="360" w:lineRule="exact"/>
        <w:rPr>
          <w:rFonts w:ascii="仿宋" w:hAnsi="仿宋" w:eastAsia="仿宋" w:cs="仿宋"/>
          <w:color w:val="auto"/>
          <w:sz w:val="24"/>
          <w:highlight w:val="none"/>
        </w:rPr>
      </w:pPr>
    </w:p>
    <w:p w14:paraId="76F3284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4FA7B32">
      <w:pPr>
        <w:spacing w:line="360" w:lineRule="exact"/>
        <w:rPr>
          <w:rFonts w:ascii="仿宋" w:hAnsi="仿宋" w:eastAsia="仿宋" w:cs="仿宋"/>
          <w:color w:val="auto"/>
          <w:sz w:val="24"/>
          <w:highlight w:val="none"/>
        </w:rPr>
      </w:pPr>
    </w:p>
    <w:p w14:paraId="29BFA869">
      <w:pPr>
        <w:spacing w:line="360" w:lineRule="exact"/>
        <w:rPr>
          <w:rFonts w:ascii="仿宋" w:hAnsi="仿宋" w:eastAsia="仿宋" w:cs="仿宋"/>
          <w:color w:val="auto"/>
          <w:sz w:val="24"/>
          <w:highlight w:val="none"/>
        </w:rPr>
      </w:pPr>
    </w:p>
    <w:p w14:paraId="3E0377D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25203B5">
      <w:pPr>
        <w:spacing w:line="360" w:lineRule="exact"/>
        <w:rPr>
          <w:rFonts w:ascii="仿宋" w:hAnsi="仿宋" w:eastAsia="仿宋" w:cs="仿宋"/>
          <w:color w:val="auto"/>
          <w:sz w:val="24"/>
          <w:highlight w:val="none"/>
        </w:rPr>
      </w:pPr>
    </w:p>
    <w:p w14:paraId="029B3270">
      <w:pPr>
        <w:spacing w:line="360" w:lineRule="exact"/>
        <w:rPr>
          <w:rFonts w:ascii="仿宋" w:hAnsi="仿宋" w:eastAsia="仿宋" w:cs="仿宋"/>
          <w:color w:val="auto"/>
          <w:sz w:val="24"/>
          <w:highlight w:val="none"/>
        </w:rPr>
      </w:pPr>
    </w:p>
    <w:p w14:paraId="65956B91">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5965A73">
      <w:pPr>
        <w:ind w:firstLine="4920" w:firstLineChars="2050"/>
        <w:jc w:val="left"/>
        <w:rPr>
          <w:rFonts w:ascii="仿宋" w:hAnsi="仿宋" w:eastAsia="仿宋" w:cs="仿宋"/>
          <w:color w:val="auto"/>
          <w:sz w:val="24"/>
          <w:highlight w:val="none"/>
        </w:rPr>
      </w:pPr>
    </w:p>
    <w:p w14:paraId="2A35D5A0">
      <w:pPr>
        <w:spacing w:line="800" w:lineRule="exact"/>
        <w:rPr>
          <w:rFonts w:ascii="仿宋" w:hAnsi="仿宋" w:eastAsia="仿宋" w:cs="仿宋"/>
          <w:b/>
          <w:color w:val="auto"/>
          <w:sz w:val="24"/>
          <w:highlight w:val="none"/>
        </w:rPr>
      </w:pPr>
    </w:p>
    <w:p w14:paraId="4A83D558">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76B2AF3D">
      <w:pPr>
        <w:jc w:val="center"/>
        <w:rPr>
          <w:rFonts w:ascii="仿宋" w:hAnsi="仿宋" w:eastAsia="仿宋" w:cs="仿宋"/>
          <w:b/>
          <w:color w:val="auto"/>
          <w:sz w:val="24"/>
          <w:highlight w:val="none"/>
        </w:rPr>
      </w:pPr>
    </w:p>
    <w:p w14:paraId="04333F15">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64E8C4B">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u w:val="single"/>
        </w:rPr>
        <w:t>、浙江中兴工程项目管理有限公司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华舍小学扩建改造工程（一期）数字化设备等采购项目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CAF2CB3">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02CDFF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37EAD4D">
      <w:pPr>
        <w:snapToGrid w:val="0"/>
        <w:spacing w:line="600" w:lineRule="exact"/>
        <w:jc w:val="left"/>
        <w:rPr>
          <w:rFonts w:ascii="仿宋" w:hAnsi="仿宋" w:eastAsia="仿宋" w:cs="仿宋"/>
          <w:color w:val="auto"/>
          <w:sz w:val="24"/>
          <w:highlight w:val="none"/>
        </w:rPr>
      </w:pPr>
    </w:p>
    <w:p w14:paraId="3F5CAF7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AEB839C">
      <w:pPr>
        <w:spacing w:line="360" w:lineRule="exact"/>
        <w:rPr>
          <w:rFonts w:ascii="仿宋" w:hAnsi="仿宋" w:eastAsia="仿宋" w:cs="仿宋"/>
          <w:color w:val="auto"/>
          <w:sz w:val="24"/>
          <w:highlight w:val="none"/>
        </w:rPr>
      </w:pPr>
    </w:p>
    <w:p w14:paraId="0A112AE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EEF848C">
      <w:pPr>
        <w:spacing w:line="360" w:lineRule="exact"/>
        <w:rPr>
          <w:rFonts w:ascii="仿宋" w:hAnsi="仿宋" w:eastAsia="仿宋" w:cs="仿宋"/>
          <w:color w:val="auto"/>
          <w:sz w:val="24"/>
          <w:highlight w:val="none"/>
        </w:rPr>
      </w:pPr>
    </w:p>
    <w:p w14:paraId="5B1125D8">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34C414F">
      <w:pPr>
        <w:spacing w:line="360" w:lineRule="exact"/>
        <w:rPr>
          <w:rFonts w:ascii="仿宋" w:hAnsi="仿宋" w:eastAsia="仿宋" w:cs="仿宋"/>
          <w:color w:val="auto"/>
          <w:sz w:val="24"/>
          <w:highlight w:val="none"/>
        </w:rPr>
      </w:pPr>
    </w:p>
    <w:p w14:paraId="357CD55E">
      <w:pPr>
        <w:spacing w:line="360" w:lineRule="exact"/>
        <w:rPr>
          <w:rFonts w:ascii="仿宋" w:hAnsi="仿宋" w:eastAsia="仿宋" w:cs="仿宋"/>
          <w:color w:val="auto"/>
          <w:sz w:val="24"/>
          <w:highlight w:val="none"/>
        </w:rPr>
      </w:pPr>
    </w:p>
    <w:p w14:paraId="482E02F1">
      <w:pPr>
        <w:jc w:val="center"/>
        <w:rPr>
          <w:rFonts w:ascii="仿宋" w:hAnsi="仿宋" w:eastAsia="仿宋" w:cs="仿宋"/>
          <w:b/>
          <w:color w:val="auto"/>
          <w:kern w:val="0"/>
          <w:sz w:val="32"/>
          <w:szCs w:val="32"/>
          <w:highlight w:val="none"/>
        </w:rPr>
      </w:pPr>
    </w:p>
    <w:p w14:paraId="0F9B2C01">
      <w:pPr>
        <w:rPr>
          <w:rFonts w:ascii="仿宋" w:hAnsi="仿宋" w:eastAsia="仿宋" w:cs="仿宋"/>
          <w:color w:val="auto"/>
          <w:highlight w:val="none"/>
        </w:rPr>
      </w:pPr>
    </w:p>
    <w:p w14:paraId="7005110E">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18DBE4">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A8F56B0">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D93EDCF">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E127D92">
      <w:pPr>
        <w:autoSpaceDE w:val="0"/>
        <w:autoSpaceDN w:val="0"/>
        <w:spacing w:line="360" w:lineRule="auto"/>
        <w:jc w:val="center"/>
        <w:rPr>
          <w:rFonts w:ascii="仿宋" w:hAnsi="仿宋" w:eastAsia="仿宋" w:cs="仿宋"/>
          <w:b/>
          <w:color w:val="auto"/>
          <w:kern w:val="0"/>
          <w:sz w:val="32"/>
          <w:szCs w:val="32"/>
          <w:highlight w:val="none"/>
          <w:lang w:val="zh-CN"/>
        </w:rPr>
      </w:pPr>
    </w:p>
    <w:p w14:paraId="265E8062">
      <w:pPr>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14:paraId="37E2E8A5">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46D3483">
      <w:pPr>
        <w:pStyle w:val="3"/>
        <w:rPr>
          <w:rFonts w:hAnsi="宋体"/>
          <w:color w:val="auto"/>
          <w:sz w:val="24"/>
          <w:highlight w:val="none"/>
          <w:u w:val="wave"/>
        </w:rPr>
      </w:pPr>
    </w:p>
    <w:p w14:paraId="584BCCE4">
      <w:pPr>
        <w:rPr>
          <w:rFonts w:ascii="仿宋_GB2312" w:hAnsi="宋体" w:eastAsia="仿宋_GB2312"/>
          <w:color w:val="auto"/>
          <w:sz w:val="24"/>
          <w:highlight w:val="none"/>
          <w:u w:val="wave"/>
        </w:rPr>
      </w:pPr>
    </w:p>
    <w:p w14:paraId="7D6B4773">
      <w:pPr>
        <w:pStyle w:val="3"/>
        <w:rPr>
          <w:color w:val="auto"/>
          <w:highlight w:val="none"/>
        </w:rPr>
      </w:pPr>
    </w:p>
    <w:p w14:paraId="0C0AB5DC">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67D04880">
      <w:pPr>
        <w:spacing w:line="800" w:lineRule="exact"/>
        <w:rPr>
          <w:rFonts w:ascii="仿宋" w:hAnsi="仿宋" w:eastAsia="仿宋" w:cs="仿宋"/>
          <w:b/>
          <w:color w:val="auto"/>
          <w:sz w:val="24"/>
          <w:highlight w:val="none"/>
        </w:rPr>
      </w:pPr>
    </w:p>
    <w:p w14:paraId="1B2FC8B3">
      <w:pPr>
        <w:pStyle w:val="3"/>
        <w:rPr>
          <w:rFonts w:ascii="仿宋" w:eastAsia="仿宋" w:cs="仿宋"/>
          <w:color w:val="auto"/>
          <w:sz w:val="24"/>
          <w:highlight w:val="none"/>
        </w:rPr>
      </w:pPr>
    </w:p>
    <w:p w14:paraId="3119A3A5">
      <w:pPr>
        <w:rPr>
          <w:color w:val="auto"/>
          <w:highlight w:val="none"/>
        </w:rPr>
      </w:pPr>
    </w:p>
    <w:p w14:paraId="14E73A05">
      <w:pPr>
        <w:spacing w:line="800" w:lineRule="exact"/>
        <w:rPr>
          <w:rFonts w:ascii="仿宋" w:hAnsi="仿宋" w:eastAsia="仿宋" w:cs="仿宋"/>
          <w:b/>
          <w:color w:val="auto"/>
          <w:sz w:val="24"/>
          <w:highlight w:val="none"/>
        </w:rPr>
      </w:pPr>
    </w:p>
    <w:p w14:paraId="60920536">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0387061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368362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D504A3B">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99B9589">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53D793A">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FE0C3A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E54675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8885954">
      <w:pPr>
        <w:spacing w:line="440" w:lineRule="exact"/>
        <w:rPr>
          <w:rFonts w:ascii="仿宋" w:hAnsi="仿宋" w:eastAsia="仿宋" w:cs="仿宋"/>
          <w:color w:val="auto"/>
          <w:sz w:val="24"/>
          <w:highlight w:val="none"/>
        </w:rPr>
      </w:pPr>
    </w:p>
    <w:p w14:paraId="31DF899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33A6EC1F">
      <w:pPr>
        <w:spacing w:line="440" w:lineRule="exact"/>
        <w:ind w:right="480"/>
        <w:rPr>
          <w:rFonts w:ascii="仿宋" w:hAnsi="仿宋" w:eastAsia="仿宋" w:cs="仿宋"/>
          <w:color w:val="auto"/>
          <w:sz w:val="24"/>
          <w:highlight w:val="none"/>
        </w:rPr>
      </w:pPr>
    </w:p>
    <w:p w14:paraId="7DF326E6">
      <w:pPr>
        <w:jc w:val="righ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年   月   日</w:t>
      </w:r>
      <w:r>
        <w:rPr>
          <w:rFonts w:hint="eastAsia" w:ascii="仿宋" w:hAnsi="仿宋" w:eastAsia="仿宋" w:cs="仿宋"/>
          <w:b/>
          <w:color w:val="auto"/>
          <w:kern w:val="0"/>
          <w:sz w:val="32"/>
          <w:szCs w:val="32"/>
          <w:highlight w:val="none"/>
        </w:rPr>
        <w:br w:type="page"/>
      </w:r>
    </w:p>
    <w:p w14:paraId="2F04F72D">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2E3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C53E39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113E92F">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98FA13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71A6E8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298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55EA42D">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F5DE3BB">
            <w:pPr>
              <w:jc w:val="center"/>
              <w:rPr>
                <w:rFonts w:ascii="仿宋" w:hAnsi="仿宋" w:eastAsia="仿宋" w:cs="仿宋"/>
                <w:b/>
                <w:color w:val="auto"/>
                <w:kern w:val="0"/>
                <w:sz w:val="32"/>
                <w:szCs w:val="32"/>
                <w:highlight w:val="none"/>
              </w:rPr>
            </w:pPr>
          </w:p>
        </w:tc>
        <w:tc>
          <w:tcPr>
            <w:tcW w:w="3546" w:type="dxa"/>
          </w:tcPr>
          <w:p w14:paraId="0A275FBE">
            <w:pPr>
              <w:jc w:val="center"/>
              <w:rPr>
                <w:rFonts w:ascii="仿宋" w:hAnsi="仿宋" w:eastAsia="仿宋" w:cs="仿宋"/>
                <w:b/>
                <w:color w:val="auto"/>
                <w:kern w:val="0"/>
                <w:sz w:val="32"/>
                <w:szCs w:val="32"/>
                <w:highlight w:val="none"/>
              </w:rPr>
            </w:pPr>
          </w:p>
        </w:tc>
        <w:tc>
          <w:tcPr>
            <w:tcW w:w="1276" w:type="dxa"/>
          </w:tcPr>
          <w:p w14:paraId="00690B4E">
            <w:pPr>
              <w:jc w:val="center"/>
              <w:rPr>
                <w:rFonts w:ascii="仿宋" w:hAnsi="仿宋" w:eastAsia="仿宋" w:cs="仿宋"/>
                <w:b/>
                <w:color w:val="auto"/>
                <w:kern w:val="0"/>
                <w:sz w:val="32"/>
                <w:szCs w:val="32"/>
                <w:highlight w:val="none"/>
              </w:rPr>
            </w:pPr>
          </w:p>
        </w:tc>
      </w:tr>
      <w:tr w14:paraId="43BF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0250A89">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3D1EF9F">
            <w:pPr>
              <w:jc w:val="center"/>
              <w:rPr>
                <w:rFonts w:ascii="仿宋" w:hAnsi="仿宋" w:eastAsia="仿宋" w:cs="仿宋"/>
                <w:b/>
                <w:color w:val="auto"/>
                <w:kern w:val="0"/>
                <w:sz w:val="32"/>
                <w:szCs w:val="32"/>
                <w:highlight w:val="none"/>
              </w:rPr>
            </w:pPr>
          </w:p>
        </w:tc>
        <w:tc>
          <w:tcPr>
            <w:tcW w:w="3546" w:type="dxa"/>
          </w:tcPr>
          <w:p w14:paraId="55E3A7F9">
            <w:pPr>
              <w:jc w:val="center"/>
              <w:rPr>
                <w:rFonts w:ascii="仿宋" w:hAnsi="仿宋" w:eastAsia="仿宋" w:cs="仿宋"/>
                <w:b/>
                <w:color w:val="auto"/>
                <w:kern w:val="0"/>
                <w:sz w:val="32"/>
                <w:szCs w:val="32"/>
                <w:highlight w:val="none"/>
              </w:rPr>
            </w:pPr>
          </w:p>
        </w:tc>
        <w:tc>
          <w:tcPr>
            <w:tcW w:w="1276" w:type="dxa"/>
          </w:tcPr>
          <w:p w14:paraId="11F8A4D9">
            <w:pPr>
              <w:jc w:val="center"/>
              <w:rPr>
                <w:rFonts w:ascii="仿宋" w:hAnsi="仿宋" w:eastAsia="仿宋" w:cs="仿宋"/>
                <w:b/>
                <w:color w:val="auto"/>
                <w:kern w:val="0"/>
                <w:sz w:val="32"/>
                <w:szCs w:val="32"/>
                <w:highlight w:val="none"/>
              </w:rPr>
            </w:pPr>
          </w:p>
        </w:tc>
      </w:tr>
      <w:tr w14:paraId="2B09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27EB2F">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FE522C5">
            <w:pPr>
              <w:jc w:val="center"/>
              <w:rPr>
                <w:rFonts w:ascii="仿宋" w:hAnsi="仿宋" w:eastAsia="仿宋" w:cs="仿宋"/>
                <w:b/>
                <w:color w:val="auto"/>
                <w:kern w:val="0"/>
                <w:sz w:val="32"/>
                <w:szCs w:val="32"/>
                <w:highlight w:val="none"/>
              </w:rPr>
            </w:pPr>
          </w:p>
        </w:tc>
        <w:tc>
          <w:tcPr>
            <w:tcW w:w="3546" w:type="dxa"/>
          </w:tcPr>
          <w:p w14:paraId="0413D703">
            <w:pPr>
              <w:jc w:val="center"/>
              <w:rPr>
                <w:rFonts w:ascii="仿宋" w:hAnsi="仿宋" w:eastAsia="仿宋" w:cs="仿宋"/>
                <w:b/>
                <w:color w:val="auto"/>
                <w:kern w:val="0"/>
                <w:sz w:val="32"/>
                <w:szCs w:val="32"/>
                <w:highlight w:val="none"/>
              </w:rPr>
            </w:pPr>
          </w:p>
        </w:tc>
        <w:tc>
          <w:tcPr>
            <w:tcW w:w="1276" w:type="dxa"/>
          </w:tcPr>
          <w:p w14:paraId="10B3E02E">
            <w:pPr>
              <w:jc w:val="center"/>
              <w:rPr>
                <w:rFonts w:ascii="仿宋" w:hAnsi="仿宋" w:eastAsia="仿宋" w:cs="仿宋"/>
                <w:b/>
                <w:color w:val="auto"/>
                <w:kern w:val="0"/>
                <w:sz w:val="32"/>
                <w:szCs w:val="32"/>
                <w:highlight w:val="none"/>
              </w:rPr>
            </w:pPr>
          </w:p>
        </w:tc>
      </w:tr>
    </w:tbl>
    <w:p w14:paraId="749E8176">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D032828">
      <w:pPr>
        <w:jc w:val="center"/>
        <w:rPr>
          <w:rFonts w:ascii="仿宋" w:hAnsi="仿宋" w:eastAsia="仿宋" w:cs="仿宋"/>
          <w:b/>
          <w:color w:val="auto"/>
          <w:kern w:val="0"/>
          <w:sz w:val="32"/>
          <w:szCs w:val="32"/>
          <w:highlight w:val="none"/>
        </w:rPr>
      </w:pPr>
    </w:p>
    <w:p w14:paraId="0359FE42">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40A24B8">
      <w:pPr>
        <w:ind w:firstLine="1911" w:firstLineChars="595"/>
        <w:rPr>
          <w:rFonts w:ascii="仿宋" w:hAnsi="仿宋" w:eastAsia="仿宋" w:cs="仿宋"/>
          <w:b/>
          <w:bCs/>
          <w:color w:val="auto"/>
          <w:sz w:val="32"/>
          <w:szCs w:val="32"/>
          <w:highlight w:val="none"/>
        </w:rPr>
      </w:pPr>
    </w:p>
    <w:p w14:paraId="392C33A7">
      <w:pPr>
        <w:pageBreakBefore/>
        <w:widowControl/>
        <w:tabs>
          <w:tab w:val="left" w:pos="1538"/>
          <w:tab w:val="center" w:pos="4541"/>
        </w:tabs>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FCCA2D1">
      <w:pPr>
        <w:snapToGrid w:val="0"/>
        <w:spacing w:line="360" w:lineRule="auto"/>
        <w:rPr>
          <w:rFonts w:ascii="仿宋" w:hAnsi="仿宋" w:eastAsia="仿宋" w:cs="仿宋"/>
          <w:color w:val="auto"/>
          <w:sz w:val="24"/>
          <w:highlight w:val="none"/>
        </w:rPr>
      </w:pPr>
    </w:p>
    <w:p w14:paraId="407A3C9A">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u w:val="single"/>
        </w:rPr>
        <w:t>、浙江中兴工程项目管理有限公司</w:t>
      </w:r>
      <w:r>
        <w:rPr>
          <w:rFonts w:hint="eastAsia" w:ascii="仿宋" w:hAnsi="仿宋" w:eastAsia="仿宋" w:cs="仿宋"/>
          <w:color w:val="auto"/>
          <w:kern w:val="0"/>
          <w:sz w:val="24"/>
          <w:highlight w:val="none"/>
          <w:lang w:val="zh-CN"/>
        </w:rPr>
        <w:t>：</w:t>
      </w:r>
    </w:p>
    <w:p w14:paraId="73CD495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4A529AE">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84304F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F7E506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39961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97F9ECC">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8F56432">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27F9473">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45A2C10">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A7C13A4">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11CDCFE">
      <w:pPr>
        <w:autoSpaceDE w:val="0"/>
        <w:autoSpaceDN w:val="0"/>
        <w:spacing w:line="360" w:lineRule="auto"/>
        <w:ind w:left="2"/>
        <w:jc w:val="left"/>
        <w:rPr>
          <w:rFonts w:ascii="仿宋" w:hAnsi="仿宋" w:eastAsia="仿宋" w:cs="仿宋"/>
          <w:color w:val="auto"/>
          <w:kern w:val="0"/>
          <w:sz w:val="24"/>
          <w:highlight w:val="none"/>
          <w:lang w:val="zh-CN"/>
        </w:rPr>
      </w:pPr>
    </w:p>
    <w:p w14:paraId="6E1A7F0A">
      <w:pPr>
        <w:autoSpaceDE w:val="0"/>
        <w:autoSpaceDN w:val="0"/>
        <w:spacing w:line="360" w:lineRule="auto"/>
        <w:ind w:left="2"/>
        <w:jc w:val="left"/>
        <w:rPr>
          <w:rFonts w:ascii="仿宋" w:hAnsi="仿宋" w:eastAsia="仿宋" w:cs="仿宋"/>
          <w:color w:val="auto"/>
          <w:kern w:val="0"/>
          <w:sz w:val="24"/>
          <w:highlight w:val="none"/>
          <w:lang w:val="zh-CN"/>
        </w:rPr>
      </w:pPr>
    </w:p>
    <w:p w14:paraId="74AF9A9D">
      <w:pPr>
        <w:autoSpaceDE w:val="0"/>
        <w:autoSpaceDN w:val="0"/>
        <w:spacing w:line="360" w:lineRule="auto"/>
        <w:ind w:left="2"/>
        <w:jc w:val="left"/>
        <w:rPr>
          <w:rFonts w:ascii="仿宋" w:hAnsi="仿宋" w:eastAsia="仿宋" w:cs="仿宋"/>
          <w:color w:val="auto"/>
          <w:kern w:val="0"/>
          <w:sz w:val="24"/>
          <w:highlight w:val="none"/>
          <w:lang w:val="zh-CN"/>
        </w:rPr>
      </w:pPr>
    </w:p>
    <w:p w14:paraId="0D89C7E9">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000AA56">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731D0A0">
      <w:pPr>
        <w:spacing w:line="360" w:lineRule="auto"/>
        <w:jc w:val="center"/>
        <w:rPr>
          <w:rFonts w:ascii="仿宋" w:hAnsi="仿宋" w:eastAsia="仿宋" w:cs="仿宋"/>
          <w:b/>
          <w:bCs/>
          <w:color w:val="auto"/>
          <w:sz w:val="24"/>
          <w:highlight w:val="none"/>
        </w:rPr>
      </w:pPr>
    </w:p>
    <w:p w14:paraId="0ACAA3DB">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294E497">
      <w:pPr>
        <w:spacing w:line="360" w:lineRule="auto"/>
        <w:jc w:val="center"/>
        <w:rPr>
          <w:rFonts w:ascii="仿宋_GB2312" w:hAnsi="仿宋_GB2312" w:eastAsia="仿宋_GB2312" w:cs="仿宋_GB2312"/>
          <w:b/>
          <w:color w:val="auto"/>
          <w:sz w:val="32"/>
          <w:szCs w:val="32"/>
          <w:highlight w:val="none"/>
        </w:rPr>
      </w:pPr>
    </w:p>
    <w:p w14:paraId="2F60A3C0">
      <w:pPr>
        <w:spacing w:line="360" w:lineRule="auto"/>
        <w:jc w:val="center"/>
        <w:rPr>
          <w:rFonts w:ascii="仿宋_GB2312" w:hAnsi="仿宋_GB2312" w:eastAsia="仿宋_GB2312" w:cs="仿宋_GB2312"/>
          <w:b/>
          <w:color w:val="auto"/>
          <w:sz w:val="32"/>
          <w:szCs w:val="32"/>
          <w:highlight w:val="none"/>
        </w:rPr>
      </w:pPr>
    </w:p>
    <w:p w14:paraId="709F0FE8">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3EBEEDD4">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73F016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78361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70C4B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456F3A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EBA34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C296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20E00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9BFB7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BAD3F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D19E2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A4523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838E63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493003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11718D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BC133B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AC13A1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D6A5E3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F84EF5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BEDBE33">
            <w:pPr>
              <w:autoSpaceDE w:val="0"/>
              <w:autoSpaceDN w:val="0"/>
              <w:spacing w:line="360" w:lineRule="auto"/>
              <w:rPr>
                <w:rFonts w:ascii="仿宋_GB2312" w:hAnsi="仿宋_GB2312" w:eastAsia="仿宋_GB2312" w:cs="仿宋_GB2312"/>
                <w:color w:val="auto"/>
                <w:sz w:val="24"/>
                <w:highlight w:val="none"/>
              </w:rPr>
            </w:pPr>
          </w:p>
        </w:tc>
      </w:tr>
      <w:tr w14:paraId="7C06972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056589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DC4292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941B16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0AAE58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581BEE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178819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5DE7033">
            <w:pPr>
              <w:autoSpaceDE w:val="0"/>
              <w:autoSpaceDN w:val="0"/>
              <w:spacing w:line="360" w:lineRule="auto"/>
              <w:rPr>
                <w:rFonts w:ascii="仿宋_GB2312" w:hAnsi="仿宋_GB2312" w:eastAsia="仿宋_GB2312" w:cs="仿宋_GB2312"/>
                <w:color w:val="auto"/>
                <w:sz w:val="24"/>
                <w:highlight w:val="none"/>
              </w:rPr>
            </w:pPr>
          </w:p>
        </w:tc>
      </w:tr>
      <w:tr w14:paraId="12E8359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D2DF87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5715C5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7313A2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304426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C94017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5306D9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CDA06FE">
            <w:pPr>
              <w:autoSpaceDE w:val="0"/>
              <w:autoSpaceDN w:val="0"/>
              <w:spacing w:line="360" w:lineRule="auto"/>
              <w:rPr>
                <w:rFonts w:ascii="仿宋_GB2312" w:hAnsi="仿宋_GB2312" w:eastAsia="仿宋_GB2312" w:cs="仿宋_GB2312"/>
                <w:color w:val="auto"/>
                <w:sz w:val="24"/>
                <w:highlight w:val="none"/>
              </w:rPr>
            </w:pPr>
          </w:p>
        </w:tc>
      </w:tr>
    </w:tbl>
    <w:p w14:paraId="74FB182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449FB65">
      <w:pPr>
        <w:autoSpaceDE w:val="0"/>
        <w:autoSpaceDN w:val="0"/>
        <w:spacing w:line="360" w:lineRule="auto"/>
        <w:rPr>
          <w:rFonts w:ascii="仿宋_GB2312" w:hAnsi="仿宋_GB2312" w:eastAsia="仿宋_GB2312" w:cs="仿宋_GB2312"/>
          <w:b/>
          <w:color w:val="auto"/>
          <w:sz w:val="24"/>
          <w:highlight w:val="none"/>
        </w:rPr>
      </w:pPr>
    </w:p>
    <w:p w14:paraId="7825C7BB">
      <w:pPr>
        <w:autoSpaceDE w:val="0"/>
        <w:autoSpaceDN w:val="0"/>
        <w:spacing w:line="360" w:lineRule="auto"/>
        <w:rPr>
          <w:rFonts w:ascii="仿宋_GB2312" w:hAnsi="仿宋_GB2312" w:eastAsia="仿宋_GB2312" w:cs="仿宋_GB2312"/>
          <w:color w:val="auto"/>
          <w:sz w:val="24"/>
          <w:highlight w:val="none"/>
        </w:rPr>
      </w:pPr>
    </w:p>
    <w:p w14:paraId="32C864D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B6E2EE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3A657B">
      <w:pPr>
        <w:pStyle w:val="649"/>
        <w:ind w:firstLine="0"/>
        <w:jc w:val="both"/>
        <w:rPr>
          <w:rFonts w:hAnsi="仿宋_GB2312" w:cs="仿宋_GB2312"/>
          <w:color w:val="auto"/>
          <w:highlight w:val="none"/>
        </w:rPr>
      </w:pPr>
    </w:p>
    <w:p w14:paraId="56321BC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0BFC121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FF52EDD">
      <w:pPr>
        <w:spacing w:line="360" w:lineRule="auto"/>
        <w:jc w:val="center"/>
        <w:rPr>
          <w:rFonts w:ascii="仿宋_GB2312" w:hAnsi="仿宋_GB2312" w:eastAsia="仿宋_GB2312" w:cs="仿宋_GB2312"/>
          <w:color w:val="auto"/>
          <w:sz w:val="24"/>
          <w:highlight w:val="none"/>
        </w:rPr>
      </w:pPr>
    </w:p>
    <w:p w14:paraId="548DCE20">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EC6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BA8F04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FDB8E1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8253EF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1E0048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2887D2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7813B1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56F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42B4FC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3B1C4C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72F709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94E231E">
            <w:pPr>
              <w:spacing w:line="360" w:lineRule="auto"/>
              <w:jc w:val="center"/>
              <w:rPr>
                <w:rFonts w:ascii="仿宋_GB2312" w:hAnsi="仿宋_GB2312" w:eastAsia="仿宋_GB2312" w:cs="仿宋_GB2312"/>
                <w:color w:val="auto"/>
                <w:sz w:val="24"/>
                <w:highlight w:val="none"/>
              </w:rPr>
            </w:pPr>
          </w:p>
        </w:tc>
        <w:tc>
          <w:tcPr>
            <w:tcW w:w="1080" w:type="dxa"/>
            <w:vAlign w:val="center"/>
          </w:tcPr>
          <w:p w14:paraId="7188EC65">
            <w:pPr>
              <w:spacing w:line="360" w:lineRule="auto"/>
              <w:jc w:val="center"/>
              <w:rPr>
                <w:rFonts w:ascii="仿宋_GB2312" w:hAnsi="仿宋_GB2312" w:eastAsia="仿宋_GB2312" w:cs="仿宋_GB2312"/>
                <w:color w:val="auto"/>
                <w:sz w:val="24"/>
                <w:highlight w:val="none"/>
              </w:rPr>
            </w:pPr>
          </w:p>
        </w:tc>
        <w:tc>
          <w:tcPr>
            <w:tcW w:w="1332" w:type="dxa"/>
            <w:vAlign w:val="center"/>
          </w:tcPr>
          <w:p w14:paraId="1158E7D4">
            <w:pPr>
              <w:spacing w:line="360" w:lineRule="auto"/>
              <w:jc w:val="center"/>
              <w:rPr>
                <w:rFonts w:ascii="仿宋_GB2312" w:hAnsi="仿宋_GB2312" w:eastAsia="仿宋_GB2312" w:cs="仿宋_GB2312"/>
                <w:color w:val="auto"/>
                <w:sz w:val="24"/>
                <w:highlight w:val="none"/>
              </w:rPr>
            </w:pPr>
          </w:p>
        </w:tc>
      </w:tr>
      <w:tr w14:paraId="6487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54530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D0E732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DD3B53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3485685">
            <w:pPr>
              <w:spacing w:line="360" w:lineRule="auto"/>
              <w:jc w:val="center"/>
              <w:rPr>
                <w:rFonts w:ascii="仿宋_GB2312" w:hAnsi="仿宋_GB2312" w:eastAsia="仿宋_GB2312" w:cs="仿宋_GB2312"/>
                <w:color w:val="auto"/>
                <w:sz w:val="24"/>
                <w:highlight w:val="none"/>
              </w:rPr>
            </w:pPr>
          </w:p>
        </w:tc>
        <w:tc>
          <w:tcPr>
            <w:tcW w:w="1080" w:type="dxa"/>
            <w:vAlign w:val="center"/>
          </w:tcPr>
          <w:p w14:paraId="3DBAC8E8">
            <w:pPr>
              <w:spacing w:line="360" w:lineRule="auto"/>
              <w:jc w:val="center"/>
              <w:rPr>
                <w:rFonts w:ascii="仿宋_GB2312" w:hAnsi="仿宋_GB2312" w:eastAsia="仿宋_GB2312" w:cs="仿宋_GB2312"/>
                <w:color w:val="auto"/>
                <w:sz w:val="24"/>
                <w:highlight w:val="none"/>
              </w:rPr>
            </w:pPr>
          </w:p>
        </w:tc>
        <w:tc>
          <w:tcPr>
            <w:tcW w:w="1332" w:type="dxa"/>
            <w:vAlign w:val="center"/>
          </w:tcPr>
          <w:p w14:paraId="376E5A60">
            <w:pPr>
              <w:spacing w:line="360" w:lineRule="auto"/>
              <w:jc w:val="center"/>
              <w:rPr>
                <w:rFonts w:ascii="仿宋_GB2312" w:hAnsi="仿宋_GB2312" w:eastAsia="仿宋_GB2312" w:cs="仿宋_GB2312"/>
                <w:color w:val="auto"/>
                <w:sz w:val="24"/>
                <w:highlight w:val="none"/>
              </w:rPr>
            </w:pPr>
          </w:p>
        </w:tc>
      </w:tr>
      <w:tr w14:paraId="6011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D7472B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13BA60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6EE944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203B1F2">
            <w:pPr>
              <w:spacing w:line="360" w:lineRule="auto"/>
              <w:jc w:val="center"/>
              <w:rPr>
                <w:rFonts w:ascii="仿宋_GB2312" w:hAnsi="仿宋_GB2312" w:eastAsia="仿宋_GB2312" w:cs="仿宋_GB2312"/>
                <w:color w:val="auto"/>
                <w:sz w:val="24"/>
                <w:highlight w:val="none"/>
              </w:rPr>
            </w:pPr>
          </w:p>
        </w:tc>
        <w:tc>
          <w:tcPr>
            <w:tcW w:w="1080" w:type="dxa"/>
            <w:vAlign w:val="center"/>
          </w:tcPr>
          <w:p w14:paraId="7AA8E80A">
            <w:pPr>
              <w:spacing w:line="360" w:lineRule="auto"/>
              <w:jc w:val="center"/>
              <w:rPr>
                <w:rFonts w:ascii="仿宋_GB2312" w:hAnsi="仿宋_GB2312" w:eastAsia="仿宋_GB2312" w:cs="仿宋_GB2312"/>
                <w:color w:val="auto"/>
                <w:sz w:val="24"/>
                <w:highlight w:val="none"/>
              </w:rPr>
            </w:pPr>
          </w:p>
        </w:tc>
        <w:tc>
          <w:tcPr>
            <w:tcW w:w="1332" w:type="dxa"/>
            <w:vAlign w:val="center"/>
          </w:tcPr>
          <w:p w14:paraId="7B04E648">
            <w:pPr>
              <w:spacing w:line="360" w:lineRule="auto"/>
              <w:jc w:val="center"/>
              <w:rPr>
                <w:rFonts w:ascii="仿宋_GB2312" w:hAnsi="仿宋_GB2312" w:eastAsia="仿宋_GB2312" w:cs="仿宋_GB2312"/>
                <w:color w:val="auto"/>
                <w:sz w:val="24"/>
                <w:highlight w:val="none"/>
              </w:rPr>
            </w:pPr>
          </w:p>
        </w:tc>
      </w:tr>
      <w:tr w14:paraId="29CB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5E34E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F3050B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9C162F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5E91F45">
            <w:pPr>
              <w:spacing w:line="360" w:lineRule="auto"/>
              <w:jc w:val="center"/>
              <w:rPr>
                <w:rFonts w:ascii="仿宋_GB2312" w:hAnsi="仿宋_GB2312" w:eastAsia="仿宋_GB2312" w:cs="仿宋_GB2312"/>
                <w:color w:val="auto"/>
                <w:sz w:val="24"/>
                <w:highlight w:val="none"/>
              </w:rPr>
            </w:pPr>
          </w:p>
        </w:tc>
        <w:tc>
          <w:tcPr>
            <w:tcW w:w="1080" w:type="dxa"/>
            <w:vAlign w:val="center"/>
          </w:tcPr>
          <w:p w14:paraId="74B45186">
            <w:pPr>
              <w:spacing w:line="360" w:lineRule="auto"/>
              <w:jc w:val="center"/>
              <w:rPr>
                <w:rFonts w:ascii="仿宋_GB2312" w:hAnsi="仿宋_GB2312" w:eastAsia="仿宋_GB2312" w:cs="仿宋_GB2312"/>
                <w:color w:val="auto"/>
                <w:sz w:val="24"/>
                <w:highlight w:val="none"/>
              </w:rPr>
            </w:pPr>
          </w:p>
        </w:tc>
        <w:tc>
          <w:tcPr>
            <w:tcW w:w="1332" w:type="dxa"/>
            <w:vAlign w:val="center"/>
          </w:tcPr>
          <w:p w14:paraId="0CC839AB">
            <w:pPr>
              <w:spacing w:line="360" w:lineRule="auto"/>
              <w:jc w:val="center"/>
              <w:rPr>
                <w:rFonts w:ascii="仿宋_GB2312" w:hAnsi="仿宋_GB2312" w:eastAsia="仿宋_GB2312" w:cs="仿宋_GB2312"/>
                <w:color w:val="auto"/>
                <w:sz w:val="24"/>
                <w:highlight w:val="none"/>
              </w:rPr>
            </w:pPr>
          </w:p>
        </w:tc>
      </w:tr>
      <w:tr w14:paraId="70E4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D6D7C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90AA6C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9DA56E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01144B9">
            <w:pPr>
              <w:spacing w:line="360" w:lineRule="auto"/>
              <w:jc w:val="center"/>
              <w:rPr>
                <w:rFonts w:ascii="仿宋_GB2312" w:hAnsi="仿宋_GB2312" w:eastAsia="仿宋_GB2312" w:cs="仿宋_GB2312"/>
                <w:color w:val="auto"/>
                <w:sz w:val="24"/>
                <w:highlight w:val="none"/>
              </w:rPr>
            </w:pPr>
          </w:p>
        </w:tc>
        <w:tc>
          <w:tcPr>
            <w:tcW w:w="1080" w:type="dxa"/>
            <w:vAlign w:val="center"/>
          </w:tcPr>
          <w:p w14:paraId="34E49145">
            <w:pPr>
              <w:spacing w:line="360" w:lineRule="auto"/>
              <w:jc w:val="center"/>
              <w:rPr>
                <w:rFonts w:ascii="仿宋_GB2312" w:hAnsi="仿宋_GB2312" w:eastAsia="仿宋_GB2312" w:cs="仿宋_GB2312"/>
                <w:color w:val="auto"/>
                <w:sz w:val="24"/>
                <w:highlight w:val="none"/>
              </w:rPr>
            </w:pPr>
          </w:p>
        </w:tc>
        <w:tc>
          <w:tcPr>
            <w:tcW w:w="1332" w:type="dxa"/>
            <w:vAlign w:val="center"/>
          </w:tcPr>
          <w:p w14:paraId="772D2972">
            <w:pPr>
              <w:spacing w:line="360" w:lineRule="auto"/>
              <w:jc w:val="center"/>
              <w:rPr>
                <w:rFonts w:ascii="仿宋_GB2312" w:hAnsi="仿宋_GB2312" w:eastAsia="仿宋_GB2312" w:cs="仿宋_GB2312"/>
                <w:color w:val="auto"/>
                <w:sz w:val="24"/>
                <w:highlight w:val="none"/>
              </w:rPr>
            </w:pPr>
          </w:p>
        </w:tc>
      </w:tr>
    </w:tbl>
    <w:p w14:paraId="2ADC0A8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68CAD01">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9A895F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1.95pt;width:443.25pt;" o:ole="t" filled="f" o:preferrelative="t" stroked="f" coordsize="21600,21600">
            <v:path/>
            <v:fill on="f" focussize="0,0"/>
            <v:stroke on="f" joinstyle="miter"/>
            <v:imagedata r:id="rId32" o:title=""/>
            <o:lock v:ext="edit" aspectratio="t"/>
            <w10:wrap type="none"/>
            <w10:anchorlock/>
          </v:shape>
          <o:OLEObject Type="Embed" ProgID="Package" ShapeID="_x0000_i1025" DrawAspect="Content" ObjectID="_1468075725" r:id="rId3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1.95pt;width:441.4pt;" o:ole="t" filled="f" o:preferrelative="t" stroked="f" coordsize="21600,21600">
            <v:path/>
            <v:fill on="f" focussize="0,0"/>
            <v:stroke on="f" joinstyle="miter"/>
            <v:imagedata r:id="rId34" o:title=""/>
            <o:lock v:ext="edit" aspectratio="t"/>
            <w10:wrap type="none"/>
            <w10:anchorlock/>
          </v:shape>
          <o:OLEObject Type="Embed" ProgID="Package" ShapeID="_x0000_i1026" DrawAspect="Content" ObjectID="_1468075726" r:id="rId33">
            <o:LockedField>false</o:LockedField>
          </o:OLEObject>
        </w:object>
      </w:r>
    </w:p>
    <w:p w14:paraId="03DC00DE">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C265E7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697F50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80BED9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7B920A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E77180B">
      <w:pPr>
        <w:rPr>
          <w:rFonts w:ascii="仿宋_GB2312" w:hAnsi="仿宋_GB2312" w:eastAsia="仿宋_GB2312" w:cs="仿宋_GB2312"/>
          <w:b/>
          <w:bCs/>
          <w:color w:val="auto"/>
          <w:kern w:val="0"/>
          <w:sz w:val="32"/>
          <w:szCs w:val="32"/>
          <w:highlight w:val="none"/>
        </w:rPr>
      </w:pPr>
      <w:r>
        <w:rPr>
          <w:rFonts w:hint="eastAsia" w:ascii="仿宋_GB2312" w:hAnsi="仿宋_GB2312" w:eastAsia="仿宋_GB2312" w:cs="仿宋_GB2312"/>
          <w:b/>
          <w:bCs/>
          <w:color w:val="auto"/>
          <w:kern w:val="0"/>
          <w:sz w:val="32"/>
          <w:szCs w:val="32"/>
          <w:highlight w:val="none"/>
        </w:rPr>
        <w:br w:type="page"/>
      </w:r>
    </w:p>
    <w:p w14:paraId="3F2942B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6DB30C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AB2B634">
      <w:pPr>
        <w:pStyle w:val="81"/>
        <w:rPr>
          <w:color w:val="auto"/>
          <w:highlight w:val="none"/>
        </w:rPr>
      </w:pPr>
    </w:p>
    <w:p w14:paraId="7942D9F4">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881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9DEB42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22E3475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369ED1A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73AD89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679619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D6EE9A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17AB8A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4E3F37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87B483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132ED4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434B29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994F4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EFAD4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FAC6A7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7A7C88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A6D5B2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2AE495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C28920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421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2A80F9D">
            <w:pPr>
              <w:spacing w:line="360" w:lineRule="auto"/>
              <w:rPr>
                <w:rFonts w:ascii="仿宋_GB2312" w:hAnsi="仿宋_GB2312" w:eastAsia="仿宋_GB2312" w:cs="仿宋_GB2312"/>
                <w:color w:val="auto"/>
                <w:sz w:val="24"/>
                <w:highlight w:val="none"/>
              </w:rPr>
            </w:pPr>
          </w:p>
        </w:tc>
        <w:tc>
          <w:tcPr>
            <w:tcW w:w="552" w:type="dxa"/>
          </w:tcPr>
          <w:p w14:paraId="72AE877D">
            <w:pPr>
              <w:spacing w:line="360" w:lineRule="auto"/>
              <w:rPr>
                <w:rFonts w:ascii="仿宋_GB2312" w:hAnsi="仿宋_GB2312" w:eastAsia="仿宋_GB2312" w:cs="仿宋_GB2312"/>
                <w:color w:val="auto"/>
                <w:sz w:val="24"/>
                <w:highlight w:val="none"/>
              </w:rPr>
            </w:pPr>
          </w:p>
        </w:tc>
        <w:tc>
          <w:tcPr>
            <w:tcW w:w="552" w:type="dxa"/>
          </w:tcPr>
          <w:p w14:paraId="159952CF">
            <w:pPr>
              <w:spacing w:line="360" w:lineRule="auto"/>
              <w:rPr>
                <w:rFonts w:ascii="仿宋_GB2312" w:hAnsi="仿宋_GB2312" w:eastAsia="仿宋_GB2312" w:cs="仿宋_GB2312"/>
                <w:color w:val="auto"/>
                <w:sz w:val="24"/>
                <w:highlight w:val="none"/>
              </w:rPr>
            </w:pPr>
          </w:p>
        </w:tc>
        <w:tc>
          <w:tcPr>
            <w:tcW w:w="552" w:type="dxa"/>
          </w:tcPr>
          <w:p w14:paraId="6C167461">
            <w:pPr>
              <w:spacing w:line="360" w:lineRule="auto"/>
              <w:rPr>
                <w:rFonts w:ascii="仿宋_GB2312" w:hAnsi="仿宋_GB2312" w:eastAsia="仿宋_GB2312" w:cs="仿宋_GB2312"/>
                <w:color w:val="auto"/>
                <w:sz w:val="24"/>
                <w:highlight w:val="none"/>
              </w:rPr>
            </w:pPr>
          </w:p>
        </w:tc>
        <w:tc>
          <w:tcPr>
            <w:tcW w:w="552" w:type="dxa"/>
          </w:tcPr>
          <w:p w14:paraId="62535111">
            <w:pPr>
              <w:spacing w:line="360" w:lineRule="auto"/>
              <w:rPr>
                <w:rFonts w:ascii="仿宋_GB2312" w:hAnsi="仿宋_GB2312" w:eastAsia="仿宋_GB2312" w:cs="仿宋_GB2312"/>
                <w:color w:val="auto"/>
                <w:sz w:val="24"/>
                <w:highlight w:val="none"/>
              </w:rPr>
            </w:pPr>
          </w:p>
        </w:tc>
        <w:tc>
          <w:tcPr>
            <w:tcW w:w="552" w:type="dxa"/>
          </w:tcPr>
          <w:p w14:paraId="4311E2F3">
            <w:pPr>
              <w:spacing w:line="360" w:lineRule="auto"/>
              <w:rPr>
                <w:rFonts w:ascii="仿宋_GB2312" w:hAnsi="仿宋_GB2312" w:eastAsia="仿宋_GB2312" w:cs="仿宋_GB2312"/>
                <w:color w:val="auto"/>
                <w:sz w:val="24"/>
                <w:highlight w:val="none"/>
              </w:rPr>
            </w:pPr>
          </w:p>
        </w:tc>
        <w:tc>
          <w:tcPr>
            <w:tcW w:w="552" w:type="dxa"/>
          </w:tcPr>
          <w:p w14:paraId="5E40134E">
            <w:pPr>
              <w:spacing w:line="360" w:lineRule="auto"/>
              <w:rPr>
                <w:rFonts w:ascii="仿宋_GB2312" w:hAnsi="仿宋_GB2312" w:eastAsia="仿宋_GB2312" w:cs="仿宋_GB2312"/>
                <w:color w:val="auto"/>
                <w:sz w:val="24"/>
                <w:highlight w:val="none"/>
              </w:rPr>
            </w:pPr>
          </w:p>
        </w:tc>
        <w:tc>
          <w:tcPr>
            <w:tcW w:w="553" w:type="dxa"/>
          </w:tcPr>
          <w:p w14:paraId="152E72BC">
            <w:pPr>
              <w:spacing w:line="360" w:lineRule="auto"/>
              <w:rPr>
                <w:rFonts w:ascii="仿宋_GB2312" w:hAnsi="仿宋_GB2312" w:eastAsia="仿宋_GB2312" w:cs="仿宋_GB2312"/>
                <w:color w:val="auto"/>
                <w:sz w:val="24"/>
                <w:highlight w:val="none"/>
              </w:rPr>
            </w:pPr>
          </w:p>
        </w:tc>
        <w:tc>
          <w:tcPr>
            <w:tcW w:w="553" w:type="dxa"/>
          </w:tcPr>
          <w:p w14:paraId="6C205167">
            <w:pPr>
              <w:spacing w:line="360" w:lineRule="auto"/>
              <w:rPr>
                <w:rFonts w:ascii="仿宋_GB2312" w:hAnsi="仿宋_GB2312" w:eastAsia="仿宋_GB2312" w:cs="仿宋_GB2312"/>
                <w:color w:val="auto"/>
                <w:sz w:val="24"/>
                <w:highlight w:val="none"/>
              </w:rPr>
            </w:pPr>
          </w:p>
        </w:tc>
        <w:tc>
          <w:tcPr>
            <w:tcW w:w="553" w:type="dxa"/>
          </w:tcPr>
          <w:p w14:paraId="3754AB76">
            <w:pPr>
              <w:spacing w:line="360" w:lineRule="auto"/>
              <w:rPr>
                <w:rFonts w:ascii="仿宋_GB2312" w:hAnsi="仿宋_GB2312" w:eastAsia="仿宋_GB2312" w:cs="仿宋_GB2312"/>
                <w:color w:val="auto"/>
                <w:sz w:val="24"/>
                <w:highlight w:val="none"/>
              </w:rPr>
            </w:pPr>
          </w:p>
        </w:tc>
        <w:tc>
          <w:tcPr>
            <w:tcW w:w="553" w:type="dxa"/>
          </w:tcPr>
          <w:p w14:paraId="6949E451">
            <w:pPr>
              <w:spacing w:line="360" w:lineRule="auto"/>
              <w:rPr>
                <w:rFonts w:ascii="仿宋_GB2312" w:hAnsi="仿宋_GB2312" w:eastAsia="仿宋_GB2312" w:cs="仿宋_GB2312"/>
                <w:color w:val="auto"/>
                <w:sz w:val="24"/>
                <w:highlight w:val="none"/>
              </w:rPr>
            </w:pPr>
          </w:p>
        </w:tc>
        <w:tc>
          <w:tcPr>
            <w:tcW w:w="553" w:type="dxa"/>
          </w:tcPr>
          <w:p w14:paraId="4F58C990">
            <w:pPr>
              <w:spacing w:line="360" w:lineRule="auto"/>
              <w:rPr>
                <w:rFonts w:ascii="仿宋_GB2312" w:hAnsi="仿宋_GB2312" w:eastAsia="仿宋_GB2312" w:cs="仿宋_GB2312"/>
                <w:color w:val="auto"/>
                <w:sz w:val="24"/>
                <w:highlight w:val="none"/>
              </w:rPr>
            </w:pPr>
          </w:p>
        </w:tc>
        <w:tc>
          <w:tcPr>
            <w:tcW w:w="553" w:type="dxa"/>
          </w:tcPr>
          <w:p w14:paraId="44DF976C">
            <w:pPr>
              <w:spacing w:line="360" w:lineRule="auto"/>
              <w:rPr>
                <w:rFonts w:ascii="仿宋_GB2312" w:hAnsi="仿宋_GB2312" w:eastAsia="仿宋_GB2312" w:cs="仿宋_GB2312"/>
                <w:color w:val="auto"/>
                <w:sz w:val="24"/>
                <w:highlight w:val="none"/>
              </w:rPr>
            </w:pPr>
          </w:p>
        </w:tc>
        <w:tc>
          <w:tcPr>
            <w:tcW w:w="553" w:type="dxa"/>
          </w:tcPr>
          <w:p w14:paraId="06627021">
            <w:pPr>
              <w:spacing w:line="360" w:lineRule="auto"/>
              <w:rPr>
                <w:rFonts w:ascii="仿宋_GB2312" w:hAnsi="仿宋_GB2312" w:eastAsia="仿宋_GB2312" w:cs="仿宋_GB2312"/>
                <w:color w:val="auto"/>
                <w:sz w:val="24"/>
                <w:highlight w:val="none"/>
              </w:rPr>
            </w:pPr>
          </w:p>
        </w:tc>
        <w:tc>
          <w:tcPr>
            <w:tcW w:w="553" w:type="dxa"/>
          </w:tcPr>
          <w:p w14:paraId="4AAD0551">
            <w:pPr>
              <w:spacing w:line="360" w:lineRule="auto"/>
              <w:rPr>
                <w:rFonts w:ascii="仿宋_GB2312" w:hAnsi="仿宋_GB2312" w:eastAsia="仿宋_GB2312" w:cs="仿宋_GB2312"/>
                <w:color w:val="auto"/>
                <w:sz w:val="24"/>
                <w:highlight w:val="none"/>
              </w:rPr>
            </w:pPr>
          </w:p>
        </w:tc>
        <w:tc>
          <w:tcPr>
            <w:tcW w:w="553" w:type="dxa"/>
          </w:tcPr>
          <w:p w14:paraId="7ACF0456">
            <w:pPr>
              <w:spacing w:line="360" w:lineRule="auto"/>
              <w:rPr>
                <w:rFonts w:ascii="仿宋_GB2312" w:hAnsi="仿宋_GB2312" w:eastAsia="仿宋_GB2312" w:cs="仿宋_GB2312"/>
                <w:color w:val="auto"/>
                <w:sz w:val="24"/>
                <w:highlight w:val="none"/>
              </w:rPr>
            </w:pPr>
          </w:p>
        </w:tc>
        <w:tc>
          <w:tcPr>
            <w:tcW w:w="553" w:type="dxa"/>
          </w:tcPr>
          <w:p w14:paraId="79E92155">
            <w:pPr>
              <w:spacing w:line="360" w:lineRule="auto"/>
              <w:rPr>
                <w:rFonts w:ascii="仿宋_GB2312" w:hAnsi="仿宋_GB2312" w:eastAsia="仿宋_GB2312" w:cs="仿宋_GB2312"/>
                <w:color w:val="auto"/>
                <w:sz w:val="24"/>
                <w:highlight w:val="none"/>
              </w:rPr>
            </w:pPr>
          </w:p>
        </w:tc>
      </w:tr>
      <w:tr w14:paraId="3733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BAB5ED2">
            <w:pPr>
              <w:spacing w:line="360" w:lineRule="auto"/>
              <w:rPr>
                <w:rFonts w:ascii="仿宋_GB2312" w:hAnsi="仿宋_GB2312" w:eastAsia="仿宋_GB2312" w:cs="仿宋_GB2312"/>
                <w:color w:val="auto"/>
                <w:sz w:val="24"/>
                <w:highlight w:val="none"/>
              </w:rPr>
            </w:pPr>
          </w:p>
        </w:tc>
        <w:tc>
          <w:tcPr>
            <w:tcW w:w="552" w:type="dxa"/>
          </w:tcPr>
          <w:p w14:paraId="13F8A067">
            <w:pPr>
              <w:spacing w:line="360" w:lineRule="auto"/>
              <w:rPr>
                <w:rFonts w:ascii="仿宋_GB2312" w:hAnsi="仿宋_GB2312" w:eastAsia="仿宋_GB2312" w:cs="仿宋_GB2312"/>
                <w:color w:val="auto"/>
                <w:sz w:val="24"/>
                <w:highlight w:val="none"/>
              </w:rPr>
            </w:pPr>
          </w:p>
        </w:tc>
        <w:tc>
          <w:tcPr>
            <w:tcW w:w="552" w:type="dxa"/>
          </w:tcPr>
          <w:p w14:paraId="7BFEA410">
            <w:pPr>
              <w:spacing w:line="360" w:lineRule="auto"/>
              <w:rPr>
                <w:rFonts w:ascii="仿宋_GB2312" w:hAnsi="仿宋_GB2312" w:eastAsia="仿宋_GB2312" w:cs="仿宋_GB2312"/>
                <w:color w:val="auto"/>
                <w:sz w:val="24"/>
                <w:highlight w:val="none"/>
              </w:rPr>
            </w:pPr>
          </w:p>
        </w:tc>
        <w:tc>
          <w:tcPr>
            <w:tcW w:w="552" w:type="dxa"/>
          </w:tcPr>
          <w:p w14:paraId="3951DEB8">
            <w:pPr>
              <w:spacing w:line="360" w:lineRule="auto"/>
              <w:rPr>
                <w:rFonts w:ascii="仿宋_GB2312" w:hAnsi="仿宋_GB2312" w:eastAsia="仿宋_GB2312" w:cs="仿宋_GB2312"/>
                <w:color w:val="auto"/>
                <w:sz w:val="24"/>
                <w:highlight w:val="none"/>
              </w:rPr>
            </w:pPr>
          </w:p>
        </w:tc>
        <w:tc>
          <w:tcPr>
            <w:tcW w:w="552" w:type="dxa"/>
          </w:tcPr>
          <w:p w14:paraId="086DD86C">
            <w:pPr>
              <w:spacing w:line="360" w:lineRule="auto"/>
              <w:rPr>
                <w:rFonts w:ascii="仿宋_GB2312" w:hAnsi="仿宋_GB2312" w:eastAsia="仿宋_GB2312" w:cs="仿宋_GB2312"/>
                <w:color w:val="auto"/>
                <w:sz w:val="24"/>
                <w:highlight w:val="none"/>
              </w:rPr>
            </w:pPr>
          </w:p>
        </w:tc>
        <w:tc>
          <w:tcPr>
            <w:tcW w:w="552" w:type="dxa"/>
          </w:tcPr>
          <w:p w14:paraId="5EBB54FF">
            <w:pPr>
              <w:spacing w:line="360" w:lineRule="auto"/>
              <w:rPr>
                <w:rFonts w:ascii="仿宋_GB2312" w:hAnsi="仿宋_GB2312" w:eastAsia="仿宋_GB2312" w:cs="仿宋_GB2312"/>
                <w:color w:val="auto"/>
                <w:sz w:val="24"/>
                <w:highlight w:val="none"/>
              </w:rPr>
            </w:pPr>
          </w:p>
        </w:tc>
        <w:tc>
          <w:tcPr>
            <w:tcW w:w="552" w:type="dxa"/>
          </w:tcPr>
          <w:p w14:paraId="57A64DB5">
            <w:pPr>
              <w:spacing w:line="360" w:lineRule="auto"/>
              <w:rPr>
                <w:rFonts w:ascii="仿宋_GB2312" w:hAnsi="仿宋_GB2312" w:eastAsia="仿宋_GB2312" w:cs="仿宋_GB2312"/>
                <w:color w:val="auto"/>
                <w:sz w:val="24"/>
                <w:highlight w:val="none"/>
              </w:rPr>
            </w:pPr>
          </w:p>
        </w:tc>
        <w:tc>
          <w:tcPr>
            <w:tcW w:w="553" w:type="dxa"/>
          </w:tcPr>
          <w:p w14:paraId="2C795DCF">
            <w:pPr>
              <w:spacing w:line="360" w:lineRule="auto"/>
              <w:rPr>
                <w:rFonts w:ascii="仿宋_GB2312" w:hAnsi="仿宋_GB2312" w:eastAsia="仿宋_GB2312" w:cs="仿宋_GB2312"/>
                <w:color w:val="auto"/>
                <w:sz w:val="24"/>
                <w:highlight w:val="none"/>
              </w:rPr>
            </w:pPr>
          </w:p>
        </w:tc>
        <w:tc>
          <w:tcPr>
            <w:tcW w:w="553" w:type="dxa"/>
          </w:tcPr>
          <w:p w14:paraId="23B18E98">
            <w:pPr>
              <w:spacing w:line="360" w:lineRule="auto"/>
              <w:rPr>
                <w:rFonts w:ascii="仿宋_GB2312" w:hAnsi="仿宋_GB2312" w:eastAsia="仿宋_GB2312" w:cs="仿宋_GB2312"/>
                <w:color w:val="auto"/>
                <w:sz w:val="24"/>
                <w:highlight w:val="none"/>
              </w:rPr>
            </w:pPr>
          </w:p>
        </w:tc>
        <w:tc>
          <w:tcPr>
            <w:tcW w:w="553" w:type="dxa"/>
          </w:tcPr>
          <w:p w14:paraId="50B463DE">
            <w:pPr>
              <w:spacing w:line="360" w:lineRule="auto"/>
              <w:rPr>
                <w:rFonts w:ascii="仿宋_GB2312" w:hAnsi="仿宋_GB2312" w:eastAsia="仿宋_GB2312" w:cs="仿宋_GB2312"/>
                <w:color w:val="auto"/>
                <w:sz w:val="24"/>
                <w:highlight w:val="none"/>
              </w:rPr>
            </w:pPr>
          </w:p>
        </w:tc>
        <w:tc>
          <w:tcPr>
            <w:tcW w:w="553" w:type="dxa"/>
          </w:tcPr>
          <w:p w14:paraId="35697435">
            <w:pPr>
              <w:spacing w:line="360" w:lineRule="auto"/>
              <w:rPr>
                <w:rFonts w:ascii="仿宋_GB2312" w:hAnsi="仿宋_GB2312" w:eastAsia="仿宋_GB2312" w:cs="仿宋_GB2312"/>
                <w:color w:val="auto"/>
                <w:sz w:val="24"/>
                <w:highlight w:val="none"/>
              </w:rPr>
            </w:pPr>
          </w:p>
        </w:tc>
        <w:tc>
          <w:tcPr>
            <w:tcW w:w="553" w:type="dxa"/>
          </w:tcPr>
          <w:p w14:paraId="50D04C50">
            <w:pPr>
              <w:spacing w:line="360" w:lineRule="auto"/>
              <w:rPr>
                <w:rFonts w:ascii="仿宋_GB2312" w:hAnsi="仿宋_GB2312" w:eastAsia="仿宋_GB2312" w:cs="仿宋_GB2312"/>
                <w:color w:val="auto"/>
                <w:sz w:val="24"/>
                <w:highlight w:val="none"/>
              </w:rPr>
            </w:pPr>
          </w:p>
        </w:tc>
        <w:tc>
          <w:tcPr>
            <w:tcW w:w="553" w:type="dxa"/>
          </w:tcPr>
          <w:p w14:paraId="24DF484A">
            <w:pPr>
              <w:spacing w:line="360" w:lineRule="auto"/>
              <w:rPr>
                <w:rFonts w:ascii="仿宋_GB2312" w:hAnsi="仿宋_GB2312" w:eastAsia="仿宋_GB2312" w:cs="仿宋_GB2312"/>
                <w:color w:val="auto"/>
                <w:sz w:val="24"/>
                <w:highlight w:val="none"/>
              </w:rPr>
            </w:pPr>
          </w:p>
        </w:tc>
        <w:tc>
          <w:tcPr>
            <w:tcW w:w="553" w:type="dxa"/>
          </w:tcPr>
          <w:p w14:paraId="36AE6863">
            <w:pPr>
              <w:spacing w:line="360" w:lineRule="auto"/>
              <w:rPr>
                <w:rFonts w:ascii="仿宋_GB2312" w:hAnsi="仿宋_GB2312" w:eastAsia="仿宋_GB2312" w:cs="仿宋_GB2312"/>
                <w:color w:val="auto"/>
                <w:sz w:val="24"/>
                <w:highlight w:val="none"/>
              </w:rPr>
            </w:pPr>
          </w:p>
        </w:tc>
        <w:tc>
          <w:tcPr>
            <w:tcW w:w="553" w:type="dxa"/>
          </w:tcPr>
          <w:p w14:paraId="75516EBA">
            <w:pPr>
              <w:spacing w:line="360" w:lineRule="auto"/>
              <w:rPr>
                <w:rFonts w:ascii="仿宋_GB2312" w:hAnsi="仿宋_GB2312" w:eastAsia="仿宋_GB2312" w:cs="仿宋_GB2312"/>
                <w:color w:val="auto"/>
                <w:sz w:val="24"/>
                <w:highlight w:val="none"/>
              </w:rPr>
            </w:pPr>
          </w:p>
        </w:tc>
        <w:tc>
          <w:tcPr>
            <w:tcW w:w="553" w:type="dxa"/>
          </w:tcPr>
          <w:p w14:paraId="75759640">
            <w:pPr>
              <w:spacing w:line="360" w:lineRule="auto"/>
              <w:rPr>
                <w:rFonts w:ascii="仿宋_GB2312" w:hAnsi="仿宋_GB2312" w:eastAsia="仿宋_GB2312" w:cs="仿宋_GB2312"/>
                <w:color w:val="auto"/>
                <w:sz w:val="24"/>
                <w:highlight w:val="none"/>
              </w:rPr>
            </w:pPr>
          </w:p>
        </w:tc>
        <w:tc>
          <w:tcPr>
            <w:tcW w:w="553" w:type="dxa"/>
          </w:tcPr>
          <w:p w14:paraId="6752465F">
            <w:pPr>
              <w:spacing w:line="360" w:lineRule="auto"/>
              <w:rPr>
                <w:rFonts w:ascii="仿宋_GB2312" w:hAnsi="仿宋_GB2312" w:eastAsia="仿宋_GB2312" w:cs="仿宋_GB2312"/>
                <w:color w:val="auto"/>
                <w:sz w:val="24"/>
                <w:highlight w:val="none"/>
              </w:rPr>
            </w:pPr>
          </w:p>
        </w:tc>
      </w:tr>
      <w:tr w14:paraId="1A86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0D15CFD">
            <w:pPr>
              <w:spacing w:line="360" w:lineRule="auto"/>
              <w:rPr>
                <w:rFonts w:ascii="仿宋_GB2312" w:hAnsi="仿宋_GB2312" w:eastAsia="仿宋_GB2312" w:cs="仿宋_GB2312"/>
                <w:color w:val="auto"/>
                <w:sz w:val="24"/>
                <w:highlight w:val="none"/>
              </w:rPr>
            </w:pPr>
          </w:p>
        </w:tc>
        <w:tc>
          <w:tcPr>
            <w:tcW w:w="552" w:type="dxa"/>
          </w:tcPr>
          <w:p w14:paraId="3968E318">
            <w:pPr>
              <w:spacing w:line="360" w:lineRule="auto"/>
              <w:rPr>
                <w:rFonts w:ascii="仿宋_GB2312" w:hAnsi="仿宋_GB2312" w:eastAsia="仿宋_GB2312" w:cs="仿宋_GB2312"/>
                <w:color w:val="auto"/>
                <w:sz w:val="24"/>
                <w:highlight w:val="none"/>
              </w:rPr>
            </w:pPr>
          </w:p>
        </w:tc>
        <w:tc>
          <w:tcPr>
            <w:tcW w:w="552" w:type="dxa"/>
          </w:tcPr>
          <w:p w14:paraId="3317FDAB">
            <w:pPr>
              <w:spacing w:line="360" w:lineRule="auto"/>
              <w:rPr>
                <w:rFonts w:ascii="仿宋_GB2312" w:hAnsi="仿宋_GB2312" w:eastAsia="仿宋_GB2312" w:cs="仿宋_GB2312"/>
                <w:color w:val="auto"/>
                <w:sz w:val="24"/>
                <w:highlight w:val="none"/>
              </w:rPr>
            </w:pPr>
          </w:p>
        </w:tc>
        <w:tc>
          <w:tcPr>
            <w:tcW w:w="552" w:type="dxa"/>
          </w:tcPr>
          <w:p w14:paraId="5FD95717">
            <w:pPr>
              <w:spacing w:line="360" w:lineRule="auto"/>
              <w:rPr>
                <w:rFonts w:ascii="仿宋_GB2312" w:hAnsi="仿宋_GB2312" w:eastAsia="仿宋_GB2312" w:cs="仿宋_GB2312"/>
                <w:color w:val="auto"/>
                <w:sz w:val="24"/>
                <w:highlight w:val="none"/>
              </w:rPr>
            </w:pPr>
          </w:p>
        </w:tc>
        <w:tc>
          <w:tcPr>
            <w:tcW w:w="552" w:type="dxa"/>
          </w:tcPr>
          <w:p w14:paraId="7D8D4FDF">
            <w:pPr>
              <w:spacing w:line="360" w:lineRule="auto"/>
              <w:rPr>
                <w:rFonts w:ascii="仿宋_GB2312" w:hAnsi="仿宋_GB2312" w:eastAsia="仿宋_GB2312" w:cs="仿宋_GB2312"/>
                <w:color w:val="auto"/>
                <w:sz w:val="24"/>
                <w:highlight w:val="none"/>
              </w:rPr>
            </w:pPr>
          </w:p>
        </w:tc>
        <w:tc>
          <w:tcPr>
            <w:tcW w:w="552" w:type="dxa"/>
          </w:tcPr>
          <w:p w14:paraId="2E91A145">
            <w:pPr>
              <w:spacing w:line="360" w:lineRule="auto"/>
              <w:rPr>
                <w:rFonts w:ascii="仿宋_GB2312" w:hAnsi="仿宋_GB2312" w:eastAsia="仿宋_GB2312" w:cs="仿宋_GB2312"/>
                <w:color w:val="auto"/>
                <w:sz w:val="24"/>
                <w:highlight w:val="none"/>
              </w:rPr>
            </w:pPr>
          </w:p>
        </w:tc>
        <w:tc>
          <w:tcPr>
            <w:tcW w:w="552" w:type="dxa"/>
          </w:tcPr>
          <w:p w14:paraId="589DD8ED">
            <w:pPr>
              <w:spacing w:line="360" w:lineRule="auto"/>
              <w:rPr>
                <w:rFonts w:ascii="仿宋_GB2312" w:hAnsi="仿宋_GB2312" w:eastAsia="仿宋_GB2312" w:cs="仿宋_GB2312"/>
                <w:color w:val="auto"/>
                <w:sz w:val="24"/>
                <w:highlight w:val="none"/>
              </w:rPr>
            </w:pPr>
          </w:p>
        </w:tc>
        <w:tc>
          <w:tcPr>
            <w:tcW w:w="553" w:type="dxa"/>
          </w:tcPr>
          <w:p w14:paraId="2C3DF9A3">
            <w:pPr>
              <w:spacing w:line="360" w:lineRule="auto"/>
              <w:rPr>
                <w:rFonts w:ascii="仿宋_GB2312" w:hAnsi="仿宋_GB2312" w:eastAsia="仿宋_GB2312" w:cs="仿宋_GB2312"/>
                <w:color w:val="auto"/>
                <w:sz w:val="24"/>
                <w:highlight w:val="none"/>
              </w:rPr>
            </w:pPr>
          </w:p>
        </w:tc>
        <w:tc>
          <w:tcPr>
            <w:tcW w:w="553" w:type="dxa"/>
          </w:tcPr>
          <w:p w14:paraId="686256C5">
            <w:pPr>
              <w:spacing w:line="360" w:lineRule="auto"/>
              <w:rPr>
                <w:rFonts w:ascii="仿宋_GB2312" w:hAnsi="仿宋_GB2312" w:eastAsia="仿宋_GB2312" w:cs="仿宋_GB2312"/>
                <w:color w:val="auto"/>
                <w:sz w:val="24"/>
                <w:highlight w:val="none"/>
              </w:rPr>
            </w:pPr>
          </w:p>
        </w:tc>
        <w:tc>
          <w:tcPr>
            <w:tcW w:w="553" w:type="dxa"/>
          </w:tcPr>
          <w:p w14:paraId="240694F5">
            <w:pPr>
              <w:spacing w:line="360" w:lineRule="auto"/>
              <w:rPr>
                <w:rFonts w:ascii="仿宋_GB2312" w:hAnsi="仿宋_GB2312" w:eastAsia="仿宋_GB2312" w:cs="仿宋_GB2312"/>
                <w:color w:val="auto"/>
                <w:sz w:val="24"/>
                <w:highlight w:val="none"/>
              </w:rPr>
            </w:pPr>
          </w:p>
        </w:tc>
        <w:tc>
          <w:tcPr>
            <w:tcW w:w="553" w:type="dxa"/>
          </w:tcPr>
          <w:p w14:paraId="59B3BF4C">
            <w:pPr>
              <w:spacing w:line="360" w:lineRule="auto"/>
              <w:rPr>
                <w:rFonts w:ascii="仿宋_GB2312" w:hAnsi="仿宋_GB2312" w:eastAsia="仿宋_GB2312" w:cs="仿宋_GB2312"/>
                <w:color w:val="auto"/>
                <w:sz w:val="24"/>
                <w:highlight w:val="none"/>
              </w:rPr>
            </w:pPr>
          </w:p>
        </w:tc>
        <w:tc>
          <w:tcPr>
            <w:tcW w:w="553" w:type="dxa"/>
          </w:tcPr>
          <w:p w14:paraId="56417E73">
            <w:pPr>
              <w:spacing w:line="360" w:lineRule="auto"/>
              <w:rPr>
                <w:rFonts w:ascii="仿宋_GB2312" w:hAnsi="仿宋_GB2312" w:eastAsia="仿宋_GB2312" w:cs="仿宋_GB2312"/>
                <w:color w:val="auto"/>
                <w:sz w:val="24"/>
                <w:highlight w:val="none"/>
              </w:rPr>
            </w:pPr>
          </w:p>
        </w:tc>
        <w:tc>
          <w:tcPr>
            <w:tcW w:w="553" w:type="dxa"/>
          </w:tcPr>
          <w:p w14:paraId="6F351450">
            <w:pPr>
              <w:spacing w:line="360" w:lineRule="auto"/>
              <w:rPr>
                <w:rFonts w:ascii="仿宋_GB2312" w:hAnsi="仿宋_GB2312" w:eastAsia="仿宋_GB2312" w:cs="仿宋_GB2312"/>
                <w:color w:val="auto"/>
                <w:sz w:val="24"/>
                <w:highlight w:val="none"/>
              </w:rPr>
            </w:pPr>
          </w:p>
        </w:tc>
        <w:tc>
          <w:tcPr>
            <w:tcW w:w="553" w:type="dxa"/>
          </w:tcPr>
          <w:p w14:paraId="182036DC">
            <w:pPr>
              <w:spacing w:line="360" w:lineRule="auto"/>
              <w:rPr>
                <w:rFonts w:ascii="仿宋_GB2312" w:hAnsi="仿宋_GB2312" w:eastAsia="仿宋_GB2312" w:cs="仿宋_GB2312"/>
                <w:color w:val="auto"/>
                <w:sz w:val="24"/>
                <w:highlight w:val="none"/>
              </w:rPr>
            </w:pPr>
          </w:p>
        </w:tc>
        <w:tc>
          <w:tcPr>
            <w:tcW w:w="553" w:type="dxa"/>
          </w:tcPr>
          <w:p w14:paraId="31026FE4">
            <w:pPr>
              <w:spacing w:line="360" w:lineRule="auto"/>
              <w:rPr>
                <w:rFonts w:ascii="仿宋_GB2312" w:hAnsi="仿宋_GB2312" w:eastAsia="仿宋_GB2312" w:cs="仿宋_GB2312"/>
                <w:color w:val="auto"/>
                <w:sz w:val="24"/>
                <w:highlight w:val="none"/>
              </w:rPr>
            </w:pPr>
          </w:p>
        </w:tc>
        <w:tc>
          <w:tcPr>
            <w:tcW w:w="553" w:type="dxa"/>
          </w:tcPr>
          <w:p w14:paraId="0A73A5CD">
            <w:pPr>
              <w:spacing w:line="360" w:lineRule="auto"/>
              <w:rPr>
                <w:rFonts w:ascii="仿宋_GB2312" w:hAnsi="仿宋_GB2312" w:eastAsia="仿宋_GB2312" w:cs="仿宋_GB2312"/>
                <w:color w:val="auto"/>
                <w:sz w:val="24"/>
                <w:highlight w:val="none"/>
              </w:rPr>
            </w:pPr>
          </w:p>
        </w:tc>
        <w:tc>
          <w:tcPr>
            <w:tcW w:w="553" w:type="dxa"/>
          </w:tcPr>
          <w:p w14:paraId="71CAC267">
            <w:pPr>
              <w:spacing w:line="360" w:lineRule="auto"/>
              <w:rPr>
                <w:rFonts w:ascii="仿宋_GB2312" w:hAnsi="仿宋_GB2312" w:eastAsia="仿宋_GB2312" w:cs="仿宋_GB2312"/>
                <w:color w:val="auto"/>
                <w:sz w:val="24"/>
                <w:highlight w:val="none"/>
              </w:rPr>
            </w:pPr>
          </w:p>
        </w:tc>
      </w:tr>
    </w:tbl>
    <w:p w14:paraId="4CF7E7E1">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256C9B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D069D8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C7CA166">
      <w:pPr>
        <w:spacing w:line="360" w:lineRule="auto"/>
        <w:rPr>
          <w:rFonts w:ascii="仿宋_GB2312" w:hAnsi="仿宋_GB2312" w:eastAsia="仿宋_GB2312" w:cs="仿宋_GB2312"/>
          <w:color w:val="auto"/>
          <w:kern w:val="0"/>
          <w:sz w:val="24"/>
          <w:highlight w:val="none"/>
        </w:rPr>
      </w:pPr>
    </w:p>
    <w:p w14:paraId="3D15631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34A908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01CC223">
      <w:pPr>
        <w:pStyle w:val="81"/>
        <w:rPr>
          <w:color w:val="auto"/>
          <w:highlight w:val="none"/>
        </w:rPr>
      </w:pPr>
    </w:p>
    <w:p w14:paraId="4688D6B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41E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215DB6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C89B43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A5233B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7F2BFE7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429C97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40AFEA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883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A73C3A">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5CB563E">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7A7379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3D4758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1B9810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A0D778A">
            <w:pPr>
              <w:autoSpaceDE w:val="0"/>
              <w:autoSpaceDN w:val="0"/>
              <w:spacing w:line="360" w:lineRule="auto"/>
              <w:jc w:val="center"/>
              <w:rPr>
                <w:rFonts w:ascii="仿宋_GB2312" w:hAnsi="仿宋_GB2312" w:eastAsia="仿宋_GB2312" w:cs="仿宋_GB2312"/>
                <w:color w:val="auto"/>
                <w:sz w:val="24"/>
                <w:highlight w:val="none"/>
              </w:rPr>
            </w:pPr>
          </w:p>
        </w:tc>
      </w:tr>
      <w:tr w14:paraId="3376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453B1D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C56F5A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94CC72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4EBF28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9B43F1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0215657">
            <w:pPr>
              <w:autoSpaceDE w:val="0"/>
              <w:autoSpaceDN w:val="0"/>
              <w:spacing w:line="360" w:lineRule="auto"/>
              <w:jc w:val="center"/>
              <w:rPr>
                <w:rFonts w:ascii="仿宋_GB2312" w:hAnsi="仿宋_GB2312" w:eastAsia="仿宋_GB2312" w:cs="仿宋_GB2312"/>
                <w:color w:val="auto"/>
                <w:sz w:val="24"/>
                <w:highlight w:val="none"/>
              </w:rPr>
            </w:pPr>
          </w:p>
        </w:tc>
      </w:tr>
      <w:tr w14:paraId="1DE2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DEAFD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130C5C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59BED3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7633A8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C342D3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B90D658">
            <w:pPr>
              <w:autoSpaceDE w:val="0"/>
              <w:autoSpaceDN w:val="0"/>
              <w:spacing w:line="360" w:lineRule="auto"/>
              <w:jc w:val="center"/>
              <w:rPr>
                <w:rFonts w:ascii="仿宋_GB2312" w:hAnsi="仿宋_GB2312" w:eastAsia="仿宋_GB2312" w:cs="仿宋_GB2312"/>
                <w:color w:val="auto"/>
                <w:sz w:val="24"/>
                <w:highlight w:val="none"/>
              </w:rPr>
            </w:pPr>
          </w:p>
        </w:tc>
      </w:tr>
    </w:tbl>
    <w:p w14:paraId="44A1E32E">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D69193D">
      <w:pPr>
        <w:autoSpaceDE w:val="0"/>
        <w:autoSpaceDN w:val="0"/>
        <w:rPr>
          <w:rFonts w:ascii="仿宋_GB2312" w:hAnsi="仿宋_GB2312" w:eastAsia="仿宋_GB2312" w:cs="仿宋_GB2312"/>
          <w:b/>
          <w:color w:val="auto"/>
          <w:kern w:val="0"/>
          <w:sz w:val="24"/>
          <w:highlight w:val="none"/>
        </w:rPr>
      </w:pPr>
    </w:p>
    <w:p w14:paraId="6EF9C52E">
      <w:pPr>
        <w:autoSpaceDE w:val="0"/>
        <w:autoSpaceDN w:val="0"/>
        <w:rPr>
          <w:rFonts w:ascii="仿宋_GB2312" w:hAnsi="仿宋_GB2312" w:eastAsia="仿宋_GB2312" w:cs="仿宋_GB2312"/>
          <w:b/>
          <w:color w:val="auto"/>
          <w:kern w:val="0"/>
          <w:sz w:val="24"/>
          <w:highlight w:val="none"/>
        </w:rPr>
      </w:pPr>
    </w:p>
    <w:p w14:paraId="2CB1087F">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D4EC0A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DE9B45D">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3B9C8C5">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02CD489">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275C900">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F15DAB6">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161A5AB">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9A97354">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E336035">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3BCE35C">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852F2E3">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316FFDD">
            <w:pPr>
              <w:autoSpaceDE w:val="0"/>
              <w:autoSpaceDN w:val="0"/>
              <w:spacing w:line="240" w:lineRule="exact"/>
              <w:ind w:left="-36" w:leftChars="-17" w:right="-181" w:rightChars="-86"/>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到达现场时间</w:t>
            </w:r>
          </w:p>
        </w:tc>
      </w:tr>
      <w:tr w14:paraId="529CE0A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2DCE4D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690C9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193359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7D738D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44D7D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A7708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5648F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4C0EF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B9D0E0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59FBB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F746E6C">
            <w:pPr>
              <w:autoSpaceDE w:val="0"/>
              <w:autoSpaceDN w:val="0"/>
              <w:spacing w:line="240" w:lineRule="exact"/>
              <w:rPr>
                <w:rFonts w:ascii="仿宋_GB2312" w:hAnsi="仿宋_GB2312" w:eastAsia="仿宋_GB2312" w:cs="仿宋_GB2312"/>
                <w:color w:val="auto"/>
                <w:sz w:val="24"/>
                <w:highlight w:val="none"/>
              </w:rPr>
            </w:pPr>
          </w:p>
        </w:tc>
      </w:tr>
      <w:tr w14:paraId="1F5346F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47452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2B3515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07A753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801A15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37C3A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2C721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C8FB5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21209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C0F0A3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DA6E24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C385B59">
            <w:pPr>
              <w:autoSpaceDE w:val="0"/>
              <w:autoSpaceDN w:val="0"/>
              <w:spacing w:line="240" w:lineRule="exact"/>
              <w:rPr>
                <w:rFonts w:ascii="仿宋_GB2312" w:hAnsi="仿宋_GB2312" w:eastAsia="仿宋_GB2312" w:cs="仿宋_GB2312"/>
                <w:color w:val="auto"/>
                <w:sz w:val="24"/>
                <w:highlight w:val="none"/>
              </w:rPr>
            </w:pPr>
          </w:p>
        </w:tc>
      </w:tr>
      <w:tr w14:paraId="14299B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450481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3EF3EF8">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AF7438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ECD6E6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E33CA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971F4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04B24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F614B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F95236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F7B61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F84B6E">
            <w:pPr>
              <w:autoSpaceDE w:val="0"/>
              <w:autoSpaceDN w:val="0"/>
              <w:spacing w:line="240" w:lineRule="exact"/>
              <w:rPr>
                <w:rFonts w:ascii="仿宋_GB2312" w:hAnsi="仿宋_GB2312" w:eastAsia="仿宋_GB2312" w:cs="仿宋_GB2312"/>
                <w:color w:val="auto"/>
                <w:sz w:val="24"/>
                <w:highlight w:val="none"/>
              </w:rPr>
            </w:pPr>
          </w:p>
        </w:tc>
      </w:tr>
    </w:tbl>
    <w:p w14:paraId="77775FAF">
      <w:pPr>
        <w:spacing w:line="360" w:lineRule="auto"/>
        <w:ind w:firstLine="480" w:firstLineChars="200"/>
        <w:rPr>
          <w:rFonts w:ascii="仿宋_GB2312" w:hAnsi="仿宋_GB2312" w:eastAsia="仿宋_GB2312" w:cs="仿宋_GB2312"/>
          <w:color w:val="auto"/>
          <w:sz w:val="24"/>
          <w:szCs w:val="20"/>
          <w:highlight w:val="none"/>
        </w:rPr>
      </w:pPr>
    </w:p>
    <w:p w14:paraId="1644F07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B1BAE2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29E46B">
      <w:pPr>
        <w:spacing w:line="360" w:lineRule="auto"/>
        <w:rPr>
          <w:rFonts w:ascii="仿宋_GB2312" w:hAnsi="仿宋_GB2312" w:eastAsia="仿宋_GB2312" w:cs="仿宋_GB2312"/>
          <w:b/>
          <w:color w:val="auto"/>
          <w:sz w:val="30"/>
          <w:szCs w:val="30"/>
          <w:highlight w:val="none"/>
        </w:rPr>
      </w:pPr>
    </w:p>
    <w:p w14:paraId="440CE813">
      <w:pPr>
        <w:spacing w:line="360" w:lineRule="auto"/>
        <w:rPr>
          <w:rFonts w:ascii="仿宋_GB2312" w:hAnsi="仿宋_GB2312" w:eastAsia="仿宋_GB2312" w:cs="仿宋_GB2312"/>
          <w:b/>
          <w:color w:val="auto"/>
          <w:sz w:val="30"/>
          <w:szCs w:val="30"/>
          <w:highlight w:val="none"/>
        </w:rPr>
      </w:pPr>
    </w:p>
    <w:p w14:paraId="19978749">
      <w:pPr>
        <w:spacing w:line="360" w:lineRule="auto"/>
        <w:rPr>
          <w:rFonts w:ascii="仿宋_GB2312" w:hAnsi="仿宋_GB2312" w:eastAsia="仿宋_GB2312" w:cs="仿宋_GB2312"/>
          <w:b/>
          <w:color w:val="auto"/>
          <w:sz w:val="30"/>
          <w:szCs w:val="30"/>
          <w:highlight w:val="none"/>
        </w:rPr>
      </w:pPr>
    </w:p>
    <w:p w14:paraId="068788E0">
      <w:pP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br w:type="page"/>
      </w:r>
    </w:p>
    <w:p w14:paraId="4A71DBA9">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30784D3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4D230B18">
      <w:pPr>
        <w:spacing w:line="336" w:lineRule="auto"/>
        <w:ind w:firstLine="3600" w:firstLineChars="1500"/>
        <w:rPr>
          <w:rFonts w:ascii="仿宋" w:hAnsi="仿宋" w:eastAsia="仿宋" w:cs="仿宋"/>
          <w:color w:val="auto"/>
          <w:sz w:val="24"/>
          <w:highlight w:val="none"/>
        </w:rPr>
      </w:pPr>
    </w:p>
    <w:p w14:paraId="1EEF1B19">
      <w:pPr>
        <w:pStyle w:val="81"/>
        <w:rPr>
          <w:color w:val="auto"/>
          <w:highlight w:val="none"/>
        </w:rPr>
      </w:pPr>
    </w:p>
    <w:p w14:paraId="09AE497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F3BF6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936F87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5C97012F">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42E213B">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BC9C1A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8EFF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09DFA8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482F6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14:paraId="1EAEBD67">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AFF851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4368D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86428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8B3125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28603BD0">
            <w:pPr>
              <w:autoSpaceDE w:val="0"/>
              <w:autoSpaceDN w:val="0"/>
              <w:spacing w:line="360" w:lineRule="auto"/>
              <w:jc w:val="center"/>
              <w:rPr>
                <w:rFonts w:ascii="仿宋_GB2312" w:hAnsi="仿宋_GB2312" w:eastAsia="仿宋_GB2312" w:cs="仿宋_GB2312"/>
                <w:color w:val="auto"/>
                <w:sz w:val="24"/>
                <w:highlight w:val="none"/>
              </w:rPr>
            </w:pPr>
          </w:p>
        </w:tc>
      </w:tr>
      <w:tr w14:paraId="16D9CE8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63AC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EE7C9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DFB269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7B68266">
            <w:pPr>
              <w:autoSpaceDE w:val="0"/>
              <w:autoSpaceDN w:val="0"/>
              <w:spacing w:line="360" w:lineRule="auto"/>
              <w:jc w:val="center"/>
              <w:rPr>
                <w:rFonts w:ascii="仿宋_GB2312" w:hAnsi="仿宋_GB2312" w:eastAsia="仿宋_GB2312" w:cs="仿宋_GB2312"/>
                <w:color w:val="auto"/>
                <w:sz w:val="24"/>
                <w:highlight w:val="none"/>
              </w:rPr>
            </w:pPr>
          </w:p>
        </w:tc>
      </w:tr>
      <w:tr w14:paraId="5A0C273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4D48A4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E6ADC0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0B589C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5F10D1E">
            <w:pPr>
              <w:autoSpaceDE w:val="0"/>
              <w:autoSpaceDN w:val="0"/>
              <w:spacing w:line="360" w:lineRule="auto"/>
              <w:jc w:val="center"/>
              <w:rPr>
                <w:rFonts w:ascii="仿宋_GB2312" w:hAnsi="仿宋_GB2312" w:eastAsia="仿宋_GB2312" w:cs="仿宋_GB2312"/>
                <w:color w:val="auto"/>
                <w:sz w:val="24"/>
                <w:highlight w:val="none"/>
              </w:rPr>
            </w:pPr>
          </w:p>
        </w:tc>
      </w:tr>
      <w:tr w14:paraId="460263B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CC0F6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F8FB24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BC4418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226B267">
            <w:pPr>
              <w:autoSpaceDE w:val="0"/>
              <w:autoSpaceDN w:val="0"/>
              <w:spacing w:line="360" w:lineRule="auto"/>
              <w:jc w:val="center"/>
              <w:rPr>
                <w:rFonts w:ascii="仿宋_GB2312" w:hAnsi="仿宋_GB2312" w:eastAsia="仿宋_GB2312" w:cs="仿宋_GB2312"/>
                <w:color w:val="auto"/>
                <w:sz w:val="24"/>
                <w:highlight w:val="none"/>
              </w:rPr>
            </w:pPr>
          </w:p>
        </w:tc>
      </w:tr>
      <w:tr w14:paraId="4FA5077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28623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01A95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E779A9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5B1AD7E">
            <w:pPr>
              <w:autoSpaceDE w:val="0"/>
              <w:autoSpaceDN w:val="0"/>
              <w:spacing w:line="360" w:lineRule="auto"/>
              <w:jc w:val="center"/>
              <w:rPr>
                <w:rFonts w:ascii="仿宋_GB2312" w:hAnsi="仿宋_GB2312" w:eastAsia="仿宋_GB2312" w:cs="仿宋_GB2312"/>
                <w:color w:val="auto"/>
                <w:sz w:val="24"/>
                <w:highlight w:val="none"/>
              </w:rPr>
            </w:pPr>
          </w:p>
        </w:tc>
      </w:tr>
      <w:tr w14:paraId="5FE893D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7CEE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C6DAD2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8155B2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9FCFCCF">
            <w:pPr>
              <w:autoSpaceDE w:val="0"/>
              <w:autoSpaceDN w:val="0"/>
              <w:spacing w:line="360" w:lineRule="auto"/>
              <w:jc w:val="center"/>
              <w:rPr>
                <w:rFonts w:ascii="仿宋_GB2312" w:hAnsi="仿宋_GB2312" w:eastAsia="仿宋_GB2312" w:cs="仿宋_GB2312"/>
                <w:color w:val="auto"/>
                <w:sz w:val="24"/>
                <w:highlight w:val="none"/>
              </w:rPr>
            </w:pPr>
          </w:p>
        </w:tc>
      </w:tr>
      <w:tr w14:paraId="3103F90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0AA691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5643DA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BF222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379D2C5">
            <w:pPr>
              <w:autoSpaceDE w:val="0"/>
              <w:autoSpaceDN w:val="0"/>
              <w:spacing w:line="360" w:lineRule="auto"/>
              <w:jc w:val="center"/>
              <w:rPr>
                <w:rFonts w:ascii="仿宋_GB2312" w:hAnsi="仿宋_GB2312" w:eastAsia="仿宋_GB2312" w:cs="仿宋_GB2312"/>
                <w:color w:val="auto"/>
                <w:sz w:val="24"/>
                <w:highlight w:val="none"/>
              </w:rPr>
            </w:pPr>
          </w:p>
        </w:tc>
      </w:tr>
      <w:tr w14:paraId="7E60E94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C727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F81D9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7B71FB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E20DE58">
            <w:pPr>
              <w:autoSpaceDE w:val="0"/>
              <w:autoSpaceDN w:val="0"/>
              <w:spacing w:line="360" w:lineRule="auto"/>
              <w:jc w:val="center"/>
              <w:rPr>
                <w:rFonts w:ascii="仿宋_GB2312" w:hAnsi="仿宋_GB2312" w:eastAsia="仿宋_GB2312" w:cs="仿宋_GB2312"/>
                <w:color w:val="auto"/>
                <w:sz w:val="24"/>
                <w:highlight w:val="none"/>
              </w:rPr>
            </w:pPr>
          </w:p>
        </w:tc>
      </w:tr>
      <w:tr w14:paraId="29DE94F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7F1C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A5464C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DA354E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DDEBD5F">
            <w:pPr>
              <w:autoSpaceDE w:val="0"/>
              <w:autoSpaceDN w:val="0"/>
              <w:spacing w:line="360" w:lineRule="auto"/>
              <w:jc w:val="center"/>
              <w:rPr>
                <w:rFonts w:ascii="仿宋_GB2312" w:hAnsi="仿宋_GB2312" w:eastAsia="仿宋_GB2312" w:cs="仿宋_GB2312"/>
                <w:color w:val="auto"/>
                <w:sz w:val="24"/>
                <w:highlight w:val="none"/>
              </w:rPr>
            </w:pPr>
          </w:p>
        </w:tc>
      </w:tr>
    </w:tbl>
    <w:p w14:paraId="79663CB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545982C">
      <w:pPr>
        <w:pStyle w:val="81"/>
        <w:rPr>
          <w:color w:val="auto"/>
          <w:highlight w:val="none"/>
        </w:rPr>
      </w:pPr>
    </w:p>
    <w:p w14:paraId="05BE8BB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57F152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46374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4C127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1085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3B1D8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9BEBD6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B34A8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40742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7A83A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21161A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0BCE4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21879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5CF89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0B8A0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F9D0B3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519FE5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2E64BAE">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5624D3E">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1DCEC9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3D87AA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BA84D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36737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3C91465">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51111C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D84F236">
            <w:pPr>
              <w:autoSpaceDE w:val="0"/>
              <w:autoSpaceDN w:val="0"/>
              <w:spacing w:line="360" w:lineRule="auto"/>
              <w:rPr>
                <w:rFonts w:ascii="仿宋_GB2312" w:hAnsi="仿宋_GB2312" w:eastAsia="仿宋_GB2312" w:cs="仿宋_GB2312"/>
                <w:color w:val="auto"/>
                <w:sz w:val="24"/>
                <w:highlight w:val="none"/>
              </w:rPr>
            </w:pPr>
          </w:p>
        </w:tc>
      </w:tr>
      <w:tr w14:paraId="1B67585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4310AF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CA497CC">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E10BFEB">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7E45EE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BBF35C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0F554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35340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742DE5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04ADA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FB17321">
            <w:pPr>
              <w:autoSpaceDE w:val="0"/>
              <w:autoSpaceDN w:val="0"/>
              <w:spacing w:line="360" w:lineRule="auto"/>
              <w:rPr>
                <w:rFonts w:ascii="仿宋_GB2312" w:hAnsi="仿宋_GB2312" w:eastAsia="仿宋_GB2312" w:cs="仿宋_GB2312"/>
                <w:color w:val="auto"/>
                <w:sz w:val="24"/>
                <w:highlight w:val="none"/>
              </w:rPr>
            </w:pPr>
          </w:p>
        </w:tc>
      </w:tr>
    </w:tbl>
    <w:p w14:paraId="356441D7">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0A3CA2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01E49C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66EBA90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AD0938">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64CCB51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EBC8A44">
      <w:pPr>
        <w:spacing w:line="360" w:lineRule="auto"/>
        <w:rPr>
          <w:rFonts w:ascii="仿宋_GB2312" w:hAnsi="仿宋_GB2312" w:eastAsia="仿宋_GB2312" w:cs="仿宋_GB2312"/>
          <w:color w:val="auto"/>
          <w:sz w:val="18"/>
          <w:szCs w:val="18"/>
          <w:highlight w:val="none"/>
        </w:rPr>
      </w:pPr>
    </w:p>
    <w:p w14:paraId="6A2E88D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8EEB76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801F29">
      <w:pPr>
        <w:spacing w:line="360" w:lineRule="auto"/>
        <w:rPr>
          <w:rFonts w:ascii="仿宋_GB2312" w:hAnsi="仿宋_GB2312" w:eastAsia="仿宋_GB2312" w:cs="仿宋_GB2312"/>
          <w:b/>
          <w:bCs/>
          <w:color w:val="auto"/>
          <w:sz w:val="18"/>
          <w:szCs w:val="18"/>
          <w:highlight w:val="none"/>
        </w:rPr>
      </w:pPr>
    </w:p>
    <w:p w14:paraId="1FDF0451">
      <w:pPr>
        <w:spacing w:line="360" w:lineRule="auto"/>
        <w:rPr>
          <w:rFonts w:ascii="仿宋_GB2312" w:hAnsi="仿宋_GB2312" w:eastAsia="仿宋_GB2312" w:cs="仿宋_GB2312"/>
          <w:b/>
          <w:bCs/>
          <w:color w:val="auto"/>
          <w:sz w:val="32"/>
          <w:szCs w:val="32"/>
          <w:highlight w:val="none"/>
        </w:rPr>
      </w:pPr>
    </w:p>
    <w:p w14:paraId="4709D73B">
      <w:pPr>
        <w:spacing w:line="360" w:lineRule="auto"/>
        <w:rPr>
          <w:rFonts w:ascii="仿宋_GB2312" w:hAnsi="仿宋_GB2312" w:eastAsia="仿宋_GB2312" w:cs="仿宋_GB2312"/>
          <w:b/>
          <w:bCs/>
          <w:color w:val="auto"/>
          <w:sz w:val="32"/>
          <w:szCs w:val="32"/>
          <w:highlight w:val="none"/>
        </w:rPr>
      </w:pPr>
    </w:p>
    <w:p w14:paraId="5B0BDF34">
      <w:pPr>
        <w:spacing w:line="360" w:lineRule="auto"/>
        <w:jc w:val="center"/>
        <w:rPr>
          <w:rFonts w:ascii="仿宋_GB2312" w:hAnsi="仿宋_GB2312" w:eastAsia="仿宋_GB2312" w:cs="仿宋_GB2312"/>
          <w:b/>
          <w:bCs/>
          <w:color w:val="auto"/>
          <w:sz w:val="32"/>
          <w:szCs w:val="32"/>
          <w:highlight w:val="none"/>
        </w:rPr>
      </w:pPr>
    </w:p>
    <w:p w14:paraId="34784D8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726515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B7CFCB5">
      <w:pPr>
        <w:snapToGrid w:val="0"/>
        <w:spacing w:line="360" w:lineRule="auto"/>
        <w:ind w:right="960"/>
        <w:jc w:val="right"/>
        <w:rPr>
          <w:rFonts w:ascii="仿宋_GB2312" w:hAnsi="仿宋_GB2312" w:eastAsia="仿宋_GB2312" w:cs="仿宋_GB2312"/>
          <w:color w:val="auto"/>
          <w:kern w:val="0"/>
          <w:sz w:val="24"/>
          <w:highlight w:val="none"/>
          <w:lang w:val="zh-CN"/>
        </w:rPr>
      </w:pPr>
    </w:p>
    <w:p w14:paraId="3894827A">
      <w:pPr>
        <w:snapToGrid w:val="0"/>
        <w:spacing w:line="360" w:lineRule="auto"/>
        <w:ind w:right="960"/>
        <w:jc w:val="right"/>
        <w:rPr>
          <w:rFonts w:ascii="仿宋_GB2312" w:hAnsi="仿宋_GB2312" w:eastAsia="仿宋_GB2312" w:cs="仿宋_GB2312"/>
          <w:color w:val="auto"/>
          <w:kern w:val="0"/>
          <w:sz w:val="24"/>
          <w:highlight w:val="none"/>
          <w:lang w:val="zh-CN"/>
        </w:rPr>
      </w:pPr>
    </w:p>
    <w:p w14:paraId="0B173DD4">
      <w:pPr>
        <w:snapToGrid w:val="0"/>
        <w:spacing w:line="360" w:lineRule="auto"/>
        <w:ind w:right="960"/>
        <w:jc w:val="right"/>
        <w:rPr>
          <w:rFonts w:ascii="仿宋_GB2312" w:hAnsi="仿宋_GB2312" w:eastAsia="仿宋_GB2312" w:cs="仿宋_GB2312"/>
          <w:color w:val="auto"/>
          <w:kern w:val="0"/>
          <w:sz w:val="24"/>
          <w:highlight w:val="none"/>
          <w:lang w:val="zh-CN"/>
        </w:rPr>
      </w:pPr>
    </w:p>
    <w:p w14:paraId="76FC7719">
      <w:pPr>
        <w:snapToGrid w:val="0"/>
        <w:spacing w:line="360" w:lineRule="auto"/>
        <w:ind w:right="960"/>
        <w:jc w:val="right"/>
        <w:rPr>
          <w:rFonts w:ascii="仿宋_GB2312" w:hAnsi="仿宋_GB2312" w:eastAsia="仿宋_GB2312" w:cs="仿宋_GB2312"/>
          <w:color w:val="auto"/>
          <w:kern w:val="0"/>
          <w:sz w:val="24"/>
          <w:highlight w:val="none"/>
          <w:lang w:val="zh-CN"/>
        </w:rPr>
      </w:pPr>
    </w:p>
    <w:p w14:paraId="2C63899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B07C07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D81CED">
      <w:pP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br w:type="page"/>
      </w:r>
    </w:p>
    <w:p w14:paraId="60710ED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72C5250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41A7812">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D372DB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1CAA76DA">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clear" w:color="auto" w:fill="auto"/>
          </w:tcPr>
          <w:p w14:paraId="3FB5777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clear" w:color="auto" w:fill="auto"/>
            <w:vAlign w:val="center"/>
          </w:tcPr>
          <w:p w14:paraId="457A884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14:paraId="1539347E">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14:paraId="79969B4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clear" w:color="auto" w:fill="auto"/>
            <w:vAlign w:val="center"/>
          </w:tcPr>
          <w:p w14:paraId="315BE433">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23548C0D">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D08491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14:paraId="7BE4884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shd w:val="clear" w:color="auto" w:fill="auto"/>
          </w:tcPr>
          <w:p w14:paraId="636717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shd w:val="clear" w:color="auto" w:fill="auto"/>
          </w:tcPr>
          <w:p w14:paraId="69AA8CE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shd w:val="clear" w:color="auto" w:fill="auto"/>
          </w:tcPr>
          <w:p w14:paraId="43EA862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shd w:val="clear" w:color="auto" w:fill="auto"/>
          </w:tcPr>
          <w:p w14:paraId="1B376AB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shd w:val="clear" w:color="auto" w:fill="auto"/>
          </w:tcPr>
          <w:p w14:paraId="6E710CB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shd w:val="clear" w:color="auto" w:fill="auto"/>
          </w:tcPr>
          <w:p w14:paraId="0AF012D9">
            <w:pPr>
              <w:suppressAutoHyphens/>
              <w:autoSpaceDE w:val="0"/>
              <w:autoSpaceDN w:val="0"/>
              <w:spacing w:line="360" w:lineRule="auto"/>
              <w:rPr>
                <w:rFonts w:ascii="仿宋_GB2312" w:hAnsi="仿宋_GB2312" w:eastAsia="仿宋_GB2312" w:cs="仿宋_GB2312"/>
                <w:color w:val="auto"/>
                <w:sz w:val="24"/>
                <w:highlight w:val="none"/>
              </w:rPr>
            </w:pPr>
          </w:p>
        </w:tc>
      </w:tr>
      <w:tr w14:paraId="0F02C78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66952DB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3D5CE0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12B3D3E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0B5B18F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58802C3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1ACE841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4CC6E11D">
            <w:pPr>
              <w:suppressAutoHyphens/>
              <w:autoSpaceDE w:val="0"/>
              <w:autoSpaceDN w:val="0"/>
              <w:spacing w:line="360" w:lineRule="auto"/>
              <w:rPr>
                <w:rFonts w:ascii="仿宋_GB2312" w:hAnsi="仿宋_GB2312" w:eastAsia="仿宋_GB2312" w:cs="仿宋_GB2312"/>
                <w:color w:val="auto"/>
                <w:sz w:val="24"/>
                <w:highlight w:val="none"/>
              </w:rPr>
            </w:pPr>
          </w:p>
        </w:tc>
      </w:tr>
    </w:tbl>
    <w:p w14:paraId="427E347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31C7A8C">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018014C">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488AC4F">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4270CF85">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091FE31">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B70E4E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B39EB4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DB87E38">
      <w:pPr>
        <w:spacing w:line="360" w:lineRule="auto"/>
        <w:ind w:firstLine="480" w:firstLineChars="200"/>
        <w:rPr>
          <w:rFonts w:ascii="仿宋_GB2312" w:hAnsi="仿宋_GB2312" w:eastAsia="仿宋_GB2312" w:cs="仿宋_GB2312"/>
          <w:color w:val="auto"/>
          <w:sz w:val="24"/>
          <w:szCs w:val="20"/>
          <w:highlight w:val="none"/>
        </w:rPr>
      </w:pPr>
    </w:p>
    <w:p w14:paraId="34CE07F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E141C4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22312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4840BBE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E34DF38">
      <w:pPr>
        <w:spacing w:line="360" w:lineRule="auto"/>
        <w:jc w:val="center"/>
        <w:rPr>
          <w:rFonts w:ascii="仿宋_GB2312" w:hAnsi="仿宋_GB2312" w:eastAsia="仿宋_GB2312" w:cs="仿宋_GB2312"/>
          <w:color w:val="auto"/>
          <w:sz w:val="24"/>
          <w:highlight w:val="none"/>
        </w:rPr>
      </w:pPr>
    </w:p>
    <w:p w14:paraId="796AD6A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162A73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07F87E">
      <w:pPr>
        <w:spacing w:line="360" w:lineRule="auto"/>
        <w:jc w:val="center"/>
        <w:rPr>
          <w:rFonts w:ascii="仿宋_GB2312" w:hAnsi="仿宋_GB2312" w:eastAsia="仿宋_GB2312" w:cs="仿宋_GB2312"/>
          <w:b/>
          <w:bCs/>
          <w:color w:val="auto"/>
          <w:sz w:val="30"/>
          <w:szCs w:val="30"/>
          <w:highlight w:val="none"/>
        </w:rPr>
      </w:pPr>
    </w:p>
    <w:p w14:paraId="37CB9173">
      <w:pPr>
        <w:spacing w:line="360" w:lineRule="auto"/>
        <w:jc w:val="center"/>
        <w:rPr>
          <w:rFonts w:ascii="仿宋_GB2312" w:hAnsi="仿宋_GB2312" w:eastAsia="仿宋_GB2312" w:cs="仿宋_GB2312"/>
          <w:b/>
          <w:bCs/>
          <w:color w:val="auto"/>
          <w:sz w:val="30"/>
          <w:szCs w:val="30"/>
          <w:highlight w:val="none"/>
        </w:rPr>
      </w:pPr>
    </w:p>
    <w:p w14:paraId="04A76B80">
      <w:pPr>
        <w:spacing w:line="360" w:lineRule="auto"/>
        <w:jc w:val="center"/>
        <w:rPr>
          <w:rFonts w:ascii="仿宋_GB2312" w:hAnsi="仿宋_GB2312" w:eastAsia="仿宋_GB2312" w:cs="仿宋_GB2312"/>
          <w:b/>
          <w:bCs/>
          <w:color w:val="auto"/>
          <w:sz w:val="24"/>
          <w:highlight w:val="none"/>
        </w:rPr>
      </w:pPr>
    </w:p>
    <w:p w14:paraId="5564A11B">
      <w:pPr>
        <w:spacing w:line="360" w:lineRule="auto"/>
        <w:jc w:val="center"/>
        <w:rPr>
          <w:rFonts w:ascii="仿宋_GB2312" w:hAnsi="仿宋_GB2312" w:eastAsia="仿宋_GB2312" w:cs="仿宋_GB2312"/>
          <w:b/>
          <w:bCs/>
          <w:color w:val="auto"/>
          <w:sz w:val="24"/>
          <w:highlight w:val="none"/>
        </w:rPr>
      </w:pPr>
    </w:p>
    <w:p w14:paraId="0CE6A11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5CB548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E3C96B4">
      <w:pPr>
        <w:spacing w:line="360" w:lineRule="auto"/>
        <w:rPr>
          <w:rFonts w:ascii="仿宋_GB2312" w:hAnsi="仿宋_GB2312" w:eastAsia="仿宋_GB2312" w:cs="仿宋_GB2312"/>
          <w:color w:val="auto"/>
          <w:sz w:val="24"/>
          <w:highlight w:val="none"/>
        </w:rPr>
      </w:pPr>
    </w:p>
    <w:p w14:paraId="71301A6E">
      <w:pPr>
        <w:pStyle w:val="81"/>
        <w:rPr>
          <w:color w:val="auto"/>
          <w:highlight w:val="none"/>
        </w:rPr>
      </w:pPr>
    </w:p>
    <w:p w14:paraId="0439312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03437B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0407C9">
      <w:pPr>
        <w:pStyle w:val="82"/>
        <w:rPr>
          <w:color w:val="auto"/>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7BF15209">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8D390AD">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64C4BA9">
      <w:pPr>
        <w:spacing w:line="360" w:lineRule="auto"/>
        <w:jc w:val="center"/>
        <w:outlineLvl w:val="0"/>
        <w:rPr>
          <w:rFonts w:ascii="仿宋" w:hAnsi="仿宋" w:eastAsia="仿宋" w:cs="仿宋"/>
          <w:b/>
          <w:color w:val="auto"/>
          <w:kern w:val="0"/>
          <w:sz w:val="36"/>
          <w:szCs w:val="36"/>
          <w:highlight w:val="none"/>
        </w:rPr>
      </w:pPr>
    </w:p>
    <w:p w14:paraId="189B78C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790C08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）中小企业声明函（如有）………………………………………………………（页码）</w:t>
      </w:r>
    </w:p>
    <w:p w14:paraId="1228301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）残疾人福利性单位声明函（如有）…………………………………………（页码）</w:t>
      </w:r>
    </w:p>
    <w:p w14:paraId="41F94E1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）投标人针对报价需要说明的其他文件和说明（如有，格式自拟）………（页码）</w:t>
      </w:r>
    </w:p>
    <w:p w14:paraId="385FE341">
      <w:pPr>
        <w:snapToGrid w:val="0"/>
        <w:spacing w:line="360" w:lineRule="auto"/>
        <w:rPr>
          <w:rFonts w:ascii="仿宋" w:hAnsi="仿宋" w:eastAsia="仿宋" w:cs="仿宋"/>
          <w:color w:val="auto"/>
          <w:sz w:val="24"/>
          <w:highlight w:val="none"/>
        </w:rPr>
      </w:pPr>
    </w:p>
    <w:p w14:paraId="56FB7A02">
      <w:pPr>
        <w:snapToGrid w:val="0"/>
        <w:spacing w:line="360" w:lineRule="auto"/>
        <w:ind w:right="480"/>
        <w:jc w:val="center"/>
        <w:rPr>
          <w:rFonts w:ascii="仿宋" w:hAnsi="仿宋" w:eastAsia="仿宋" w:cs="仿宋"/>
          <w:b/>
          <w:color w:val="auto"/>
          <w:kern w:val="0"/>
          <w:sz w:val="32"/>
          <w:szCs w:val="32"/>
          <w:highlight w:val="none"/>
        </w:rPr>
      </w:pPr>
    </w:p>
    <w:p w14:paraId="6DFF782E">
      <w:pPr>
        <w:snapToGrid w:val="0"/>
        <w:spacing w:line="360" w:lineRule="auto"/>
        <w:ind w:right="480"/>
        <w:jc w:val="center"/>
        <w:rPr>
          <w:rFonts w:ascii="仿宋" w:hAnsi="仿宋" w:eastAsia="仿宋" w:cs="仿宋"/>
          <w:b/>
          <w:color w:val="auto"/>
          <w:kern w:val="0"/>
          <w:sz w:val="32"/>
          <w:szCs w:val="32"/>
          <w:highlight w:val="none"/>
        </w:rPr>
      </w:pPr>
    </w:p>
    <w:p w14:paraId="3018A450">
      <w:pPr>
        <w:snapToGrid w:val="0"/>
        <w:spacing w:line="360" w:lineRule="auto"/>
        <w:ind w:right="480"/>
        <w:jc w:val="center"/>
        <w:rPr>
          <w:rFonts w:ascii="仿宋" w:hAnsi="仿宋" w:eastAsia="仿宋" w:cs="仿宋"/>
          <w:b/>
          <w:color w:val="auto"/>
          <w:kern w:val="0"/>
          <w:sz w:val="32"/>
          <w:szCs w:val="32"/>
          <w:highlight w:val="none"/>
        </w:rPr>
      </w:pPr>
    </w:p>
    <w:p w14:paraId="021EB85B">
      <w:pPr>
        <w:snapToGrid w:val="0"/>
        <w:spacing w:line="360" w:lineRule="auto"/>
        <w:ind w:right="480"/>
        <w:jc w:val="center"/>
        <w:rPr>
          <w:rFonts w:ascii="仿宋" w:hAnsi="仿宋" w:eastAsia="仿宋" w:cs="仿宋"/>
          <w:b/>
          <w:color w:val="auto"/>
          <w:kern w:val="0"/>
          <w:sz w:val="32"/>
          <w:szCs w:val="32"/>
          <w:highlight w:val="none"/>
        </w:rPr>
      </w:pPr>
    </w:p>
    <w:p w14:paraId="1CD3C240">
      <w:pPr>
        <w:snapToGrid w:val="0"/>
        <w:spacing w:line="360" w:lineRule="auto"/>
        <w:ind w:right="480"/>
        <w:jc w:val="center"/>
        <w:rPr>
          <w:rFonts w:ascii="仿宋" w:hAnsi="仿宋" w:eastAsia="仿宋" w:cs="仿宋"/>
          <w:b/>
          <w:color w:val="auto"/>
          <w:kern w:val="0"/>
          <w:sz w:val="32"/>
          <w:szCs w:val="32"/>
          <w:highlight w:val="none"/>
        </w:rPr>
      </w:pPr>
    </w:p>
    <w:p w14:paraId="5590A1A8">
      <w:pPr>
        <w:snapToGrid w:val="0"/>
        <w:spacing w:line="360" w:lineRule="auto"/>
        <w:ind w:right="480"/>
        <w:jc w:val="center"/>
        <w:rPr>
          <w:rFonts w:ascii="仿宋" w:hAnsi="仿宋" w:eastAsia="仿宋" w:cs="仿宋"/>
          <w:b/>
          <w:color w:val="auto"/>
          <w:kern w:val="0"/>
          <w:sz w:val="32"/>
          <w:szCs w:val="32"/>
          <w:highlight w:val="none"/>
        </w:rPr>
      </w:pPr>
    </w:p>
    <w:p w14:paraId="4046CB6F">
      <w:pPr>
        <w:snapToGrid w:val="0"/>
        <w:spacing w:line="360" w:lineRule="auto"/>
        <w:ind w:right="480"/>
        <w:jc w:val="center"/>
        <w:rPr>
          <w:rFonts w:ascii="仿宋" w:hAnsi="仿宋" w:eastAsia="仿宋" w:cs="仿宋"/>
          <w:b/>
          <w:color w:val="auto"/>
          <w:kern w:val="0"/>
          <w:sz w:val="32"/>
          <w:szCs w:val="32"/>
          <w:highlight w:val="none"/>
        </w:rPr>
      </w:pPr>
    </w:p>
    <w:p w14:paraId="6B62993B">
      <w:pPr>
        <w:snapToGrid w:val="0"/>
        <w:spacing w:line="360" w:lineRule="auto"/>
        <w:ind w:right="480"/>
        <w:jc w:val="center"/>
        <w:rPr>
          <w:rFonts w:ascii="仿宋" w:hAnsi="仿宋" w:eastAsia="仿宋" w:cs="仿宋"/>
          <w:b/>
          <w:color w:val="auto"/>
          <w:kern w:val="0"/>
          <w:sz w:val="32"/>
          <w:szCs w:val="32"/>
          <w:highlight w:val="none"/>
        </w:rPr>
      </w:pPr>
    </w:p>
    <w:p w14:paraId="52BEE643">
      <w:pPr>
        <w:snapToGrid w:val="0"/>
        <w:spacing w:line="360" w:lineRule="auto"/>
        <w:ind w:right="480"/>
        <w:jc w:val="center"/>
        <w:rPr>
          <w:rFonts w:ascii="仿宋" w:hAnsi="仿宋" w:eastAsia="仿宋" w:cs="仿宋"/>
          <w:b/>
          <w:color w:val="auto"/>
          <w:kern w:val="0"/>
          <w:sz w:val="32"/>
          <w:szCs w:val="32"/>
          <w:highlight w:val="none"/>
        </w:rPr>
      </w:pPr>
    </w:p>
    <w:p w14:paraId="5DCEDD4D">
      <w:pPr>
        <w:snapToGrid w:val="0"/>
        <w:spacing w:line="360" w:lineRule="auto"/>
        <w:ind w:right="480"/>
        <w:jc w:val="center"/>
        <w:rPr>
          <w:rFonts w:ascii="仿宋" w:hAnsi="仿宋" w:eastAsia="仿宋" w:cs="仿宋"/>
          <w:b/>
          <w:color w:val="auto"/>
          <w:kern w:val="0"/>
          <w:sz w:val="32"/>
          <w:szCs w:val="32"/>
          <w:highlight w:val="none"/>
        </w:rPr>
      </w:pPr>
    </w:p>
    <w:p w14:paraId="0BF64B44">
      <w:pPr>
        <w:snapToGrid w:val="0"/>
        <w:spacing w:line="360" w:lineRule="auto"/>
        <w:ind w:right="480"/>
        <w:jc w:val="center"/>
        <w:rPr>
          <w:rFonts w:ascii="仿宋" w:hAnsi="仿宋" w:eastAsia="仿宋" w:cs="仿宋"/>
          <w:b/>
          <w:color w:val="auto"/>
          <w:kern w:val="0"/>
          <w:sz w:val="32"/>
          <w:szCs w:val="32"/>
          <w:highlight w:val="none"/>
        </w:rPr>
      </w:pPr>
    </w:p>
    <w:p w14:paraId="138B7113">
      <w:pPr>
        <w:snapToGrid w:val="0"/>
        <w:spacing w:line="360" w:lineRule="auto"/>
        <w:ind w:right="480"/>
        <w:jc w:val="center"/>
        <w:rPr>
          <w:rFonts w:ascii="仿宋" w:hAnsi="仿宋" w:eastAsia="仿宋" w:cs="仿宋"/>
          <w:b/>
          <w:color w:val="auto"/>
          <w:kern w:val="0"/>
          <w:sz w:val="32"/>
          <w:szCs w:val="32"/>
          <w:highlight w:val="none"/>
        </w:rPr>
      </w:pPr>
    </w:p>
    <w:p w14:paraId="4C25C902">
      <w:pPr>
        <w:snapToGrid w:val="0"/>
        <w:spacing w:line="360" w:lineRule="auto"/>
        <w:ind w:right="480"/>
        <w:rPr>
          <w:rFonts w:ascii="仿宋" w:hAnsi="仿宋" w:eastAsia="仿宋" w:cs="仿宋"/>
          <w:b/>
          <w:color w:val="auto"/>
          <w:kern w:val="0"/>
          <w:sz w:val="32"/>
          <w:szCs w:val="32"/>
          <w:highlight w:val="none"/>
        </w:rPr>
      </w:pPr>
    </w:p>
    <w:p w14:paraId="7BA778FC">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3A5960E">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56A09A0">
      <w:pPr>
        <w:snapToGrid w:val="0"/>
        <w:spacing w:line="360" w:lineRule="auto"/>
        <w:rPr>
          <w:rFonts w:ascii="仿宋" w:hAnsi="仿宋" w:eastAsia="仿宋" w:cs="仿宋"/>
          <w:b/>
          <w:bCs/>
          <w:color w:val="auto"/>
          <w:kern w:val="0"/>
          <w:sz w:val="24"/>
          <w:highlight w:val="none"/>
        </w:rPr>
      </w:pPr>
      <w:r>
        <w:rPr>
          <w:rFonts w:hint="eastAsia" w:ascii="仿宋" w:hAnsi="仿宋" w:eastAsia="仿宋" w:cs="仿宋"/>
          <w:b/>
          <w:bCs/>
          <w:color w:val="auto"/>
          <w:sz w:val="24"/>
          <w:highlight w:val="none"/>
          <w:u w:val="single"/>
          <w:lang w:eastAsia="zh-CN"/>
        </w:rPr>
        <w:t>绍兴市柯桥区华舍小学</w:t>
      </w:r>
      <w:r>
        <w:rPr>
          <w:rFonts w:hint="eastAsia" w:ascii="仿宋" w:hAnsi="仿宋" w:eastAsia="仿宋" w:cs="仿宋"/>
          <w:b/>
          <w:bCs/>
          <w:color w:val="auto"/>
          <w:sz w:val="24"/>
          <w:highlight w:val="none"/>
          <w:u w:val="single"/>
        </w:rPr>
        <w:t>、浙江中兴工程项目管理有限公司</w:t>
      </w:r>
      <w:r>
        <w:rPr>
          <w:rFonts w:hint="eastAsia" w:ascii="仿宋" w:hAnsi="仿宋" w:eastAsia="仿宋" w:cs="仿宋"/>
          <w:b/>
          <w:bCs/>
          <w:color w:val="auto"/>
          <w:kern w:val="0"/>
          <w:sz w:val="24"/>
          <w:highlight w:val="none"/>
          <w:lang w:val="zh-CN"/>
        </w:rPr>
        <w:t>：</w:t>
      </w:r>
    </w:p>
    <w:p w14:paraId="28C3E9A5">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b/>
          <w:bCs/>
          <w:color w:val="auto"/>
          <w:sz w:val="24"/>
          <w:highlight w:val="none"/>
          <w:u w:val="single"/>
          <w:lang w:eastAsia="zh-CN"/>
        </w:rPr>
        <w:t>华舍小学扩建改造工程（一期）数字化设备等采购项目</w:t>
      </w:r>
      <w:r>
        <w:rPr>
          <w:rFonts w:hint="eastAsia" w:ascii="仿宋" w:hAnsi="仿宋" w:eastAsia="仿宋" w:cs="仿宋"/>
          <w:b/>
          <w:bCs/>
          <w:color w:val="auto"/>
          <w:kern w:val="0"/>
          <w:sz w:val="24"/>
          <w:highlight w:val="none"/>
          <w:u w:val="single"/>
          <w:lang w:val="zh-CN"/>
        </w:rPr>
        <w:t>【招标编号：</w:t>
      </w:r>
      <w:r>
        <w:rPr>
          <w:rFonts w:hint="eastAsia" w:ascii="仿宋" w:hAnsi="仿宋" w:eastAsia="仿宋" w:cs="仿宋"/>
          <w:b/>
          <w:bCs/>
          <w:color w:val="auto"/>
          <w:sz w:val="24"/>
          <w:highlight w:val="none"/>
          <w:u w:val="single"/>
          <w:lang w:eastAsia="zh-CN"/>
        </w:rPr>
        <w:t>绍柯采[2025]   号</w:t>
      </w:r>
      <w:r>
        <w:rPr>
          <w:rFonts w:hint="eastAsia" w:ascii="仿宋" w:hAnsi="仿宋" w:eastAsia="仿宋" w:cs="仿宋"/>
          <w:b/>
          <w:bCs/>
          <w:color w:val="auto"/>
          <w:sz w:val="24"/>
          <w:highlight w:val="none"/>
          <w:u w:val="single"/>
        </w:rPr>
        <w:t>】</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59D54CA2">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74"/>
        <w:gridCol w:w="1141"/>
        <w:gridCol w:w="1948"/>
        <w:gridCol w:w="607"/>
        <w:gridCol w:w="964"/>
        <w:gridCol w:w="1230"/>
        <w:gridCol w:w="1949"/>
      </w:tblGrid>
      <w:tr w14:paraId="07A4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457" w:type="dxa"/>
            <w:vAlign w:val="center"/>
          </w:tcPr>
          <w:p w14:paraId="32F72A6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74" w:type="dxa"/>
            <w:vAlign w:val="center"/>
          </w:tcPr>
          <w:p w14:paraId="40DC2A8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141" w:type="dxa"/>
          </w:tcPr>
          <w:p w14:paraId="145D952B">
            <w:pPr>
              <w:spacing w:line="360" w:lineRule="auto"/>
              <w:jc w:val="center"/>
              <w:rPr>
                <w:rFonts w:ascii="仿宋" w:hAnsi="仿宋" w:eastAsia="仿宋" w:cs="仿宋"/>
                <w:b/>
                <w:color w:val="auto"/>
                <w:sz w:val="24"/>
                <w:highlight w:val="none"/>
              </w:rPr>
            </w:pPr>
          </w:p>
          <w:p w14:paraId="04E2A0E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1948" w:type="dxa"/>
            <w:vAlign w:val="center"/>
          </w:tcPr>
          <w:p w14:paraId="0438128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607" w:type="dxa"/>
            <w:vAlign w:val="center"/>
          </w:tcPr>
          <w:p w14:paraId="778EB73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964" w:type="dxa"/>
            <w:vAlign w:val="center"/>
          </w:tcPr>
          <w:p w14:paraId="3E8C436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230" w:type="dxa"/>
            <w:vAlign w:val="center"/>
          </w:tcPr>
          <w:p w14:paraId="79B8C5D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1949" w:type="dxa"/>
            <w:vAlign w:val="center"/>
          </w:tcPr>
          <w:p w14:paraId="714F9D41">
            <w:pPr>
              <w:spacing w:line="360" w:lineRule="auto"/>
              <w:jc w:val="center"/>
              <w:rPr>
                <w:rFonts w:ascii="仿宋" w:hAnsi="仿宋" w:eastAsia="仿宋" w:cs="仿宋"/>
                <w:b/>
                <w:color w:val="auto"/>
                <w:sz w:val="24"/>
                <w:highlight w:val="none"/>
              </w:rPr>
            </w:pPr>
          </w:p>
          <w:p w14:paraId="264422B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2B03E194">
            <w:pPr>
              <w:spacing w:line="360" w:lineRule="auto"/>
              <w:jc w:val="center"/>
              <w:rPr>
                <w:rFonts w:ascii="仿宋" w:hAnsi="仿宋" w:eastAsia="仿宋" w:cs="仿宋"/>
                <w:b/>
                <w:color w:val="auto"/>
                <w:sz w:val="24"/>
                <w:highlight w:val="none"/>
              </w:rPr>
            </w:pPr>
          </w:p>
        </w:tc>
      </w:tr>
      <w:tr w14:paraId="69F1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7" w:type="dxa"/>
            <w:vAlign w:val="center"/>
          </w:tcPr>
          <w:p w14:paraId="7A90823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74" w:type="dxa"/>
            <w:vAlign w:val="center"/>
          </w:tcPr>
          <w:p w14:paraId="26048C7B">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141" w:type="dxa"/>
            <w:vAlign w:val="center"/>
          </w:tcPr>
          <w:p w14:paraId="25DB1A0B">
            <w:pPr>
              <w:snapToGrid w:val="0"/>
              <w:spacing w:line="360" w:lineRule="auto"/>
              <w:jc w:val="center"/>
              <w:rPr>
                <w:rFonts w:ascii="仿宋" w:hAnsi="仿宋" w:eastAsia="仿宋" w:cs="仿宋"/>
                <w:color w:val="auto"/>
                <w:sz w:val="24"/>
                <w:highlight w:val="none"/>
              </w:rPr>
            </w:pPr>
          </w:p>
        </w:tc>
        <w:tc>
          <w:tcPr>
            <w:tcW w:w="1948" w:type="dxa"/>
            <w:vAlign w:val="center"/>
          </w:tcPr>
          <w:p w14:paraId="1DF9BAFE">
            <w:pPr>
              <w:snapToGrid w:val="0"/>
              <w:spacing w:line="360" w:lineRule="auto"/>
              <w:jc w:val="center"/>
              <w:rPr>
                <w:rFonts w:ascii="仿宋" w:hAnsi="仿宋" w:eastAsia="仿宋" w:cs="仿宋"/>
                <w:color w:val="auto"/>
                <w:sz w:val="24"/>
                <w:highlight w:val="none"/>
              </w:rPr>
            </w:pPr>
          </w:p>
        </w:tc>
        <w:tc>
          <w:tcPr>
            <w:tcW w:w="607" w:type="dxa"/>
            <w:vAlign w:val="center"/>
          </w:tcPr>
          <w:p w14:paraId="113FAF8B">
            <w:pPr>
              <w:snapToGrid w:val="0"/>
              <w:spacing w:line="360" w:lineRule="auto"/>
              <w:jc w:val="center"/>
              <w:rPr>
                <w:rFonts w:ascii="仿宋" w:hAnsi="仿宋" w:eastAsia="仿宋" w:cs="仿宋"/>
                <w:color w:val="auto"/>
                <w:sz w:val="24"/>
                <w:highlight w:val="none"/>
              </w:rPr>
            </w:pPr>
          </w:p>
        </w:tc>
        <w:tc>
          <w:tcPr>
            <w:tcW w:w="964" w:type="dxa"/>
            <w:vAlign w:val="center"/>
          </w:tcPr>
          <w:p w14:paraId="4197A623">
            <w:pPr>
              <w:spacing w:line="360" w:lineRule="auto"/>
              <w:jc w:val="center"/>
              <w:rPr>
                <w:rFonts w:ascii="仿宋" w:hAnsi="仿宋" w:eastAsia="仿宋" w:cs="仿宋"/>
                <w:color w:val="auto"/>
                <w:sz w:val="24"/>
                <w:highlight w:val="none"/>
              </w:rPr>
            </w:pPr>
          </w:p>
        </w:tc>
        <w:tc>
          <w:tcPr>
            <w:tcW w:w="1230" w:type="dxa"/>
            <w:vAlign w:val="center"/>
          </w:tcPr>
          <w:p w14:paraId="4F788FFE">
            <w:pPr>
              <w:spacing w:line="360" w:lineRule="auto"/>
              <w:jc w:val="center"/>
              <w:rPr>
                <w:rFonts w:ascii="仿宋" w:hAnsi="仿宋" w:eastAsia="仿宋" w:cs="仿宋"/>
                <w:color w:val="auto"/>
                <w:sz w:val="24"/>
                <w:highlight w:val="none"/>
              </w:rPr>
            </w:pPr>
          </w:p>
        </w:tc>
        <w:tc>
          <w:tcPr>
            <w:tcW w:w="1949" w:type="dxa"/>
            <w:vAlign w:val="center"/>
          </w:tcPr>
          <w:p w14:paraId="6C23B3CF">
            <w:pPr>
              <w:spacing w:line="360" w:lineRule="auto"/>
              <w:jc w:val="center"/>
              <w:rPr>
                <w:rFonts w:ascii="仿宋" w:hAnsi="仿宋" w:eastAsia="仿宋" w:cs="仿宋"/>
                <w:color w:val="auto"/>
                <w:sz w:val="24"/>
                <w:highlight w:val="none"/>
              </w:rPr>
            </w:pPr>
          </w:p>
        </w:tc>
      </w:tr>
      <w:tr w14:paraId="7EF2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0CB46D9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74" w:type="dxa"/>
            <w:vAlign w:val="center"/>
          </w:tcPr>
          <w:p w14:paraId="6DF2380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141" w:type="dxa"/>
            <w:vAlign w:val="center"/>
          </w:tcPr>
          <w:p w14:paraId="6EDA1BBF">
            <w:pPr>
              <w:snapToGrid w:val="0"/>
              <w:spacing w:line="360" w:lineRule="auto"/>
              <w:jc w:val="center"/>
              <w:rPr>
                <w:rFonts w:ascii="仿宋" w:hAnsi="仿宋" w:eastAsia="仿宋" w:cs="仿宋"/>
                <w:color w:val="auto"/>
                <w:sz w:val="24"/>
                <w:highlight w:val="none"/>
              </w:rPr>
            </w:pPr>
          </w:p>
        </w:tc>
        <w:tc>
          <w:tcPr>
            <w:tcW w:w="1948" w:type="dxa"/>
            <w:vAlign w:val="center"/>
          </w:tcPr>
          <w:p w14:paraId="10598687">
            <w:pPr>
              <w:snapToGrid w:val="0"/>
              <w:spacing w:line="360" w:lineRule="auto"/>
              <w:jc w:val="center"/>
              <w:rPr>
                <w:rFonts w:ascii="仿宋" w:hAnsi="仿宋" w:eastAsia="仿宋" w:cs="仿宋"/>
                <w:color w:val="auto"/>
                <w:sz w:val="24"/>
                <w:highlight w:val="none"/>
              </w:rPr>
            </w:pPr>
          </w:p>
        </w:tc>
        <w:tc>
          <w:tcPr>
            <w:tcW w:w="607" w:type="dxa"/>
            <w:vAlign w:val="center"/>
          </w:tcPr>
          <w:p w14:paraId="4CC735FF">
            <w:pPr>
              <w:snapToGrid w:val="0"/>
              <w:spacing w:line="360" w:lineRule="auto"/>
              <w:jc w:val="center"/>
              <w:rPr>
                <w:rFonts w:ascii="仿宋" w:hAnsi="仿宋" w:eastAsia="仿宋" w:cs="仿宋"/>
                <w:color w:val="auto"/>
                <w:sz w:val="24"/>
                <w:highlight w:val="none"/>
              </w:rPr>
            </w:pPr>
          </w:p>
        </w:tc>
        <w:tc>
          <w:tcPr>
            <w:tcW w:w="964" w:type="dxa"/>
            <w:vAlign w:val="center"/>
          </w:tcPr>
          <w:p w14:paraId="0F848F23">
            <w:pPr>
              <w:spacing w:line="360" w:lineRule="auto"/>
              <w:jc w:val="center"/>
              <w:rPr>
                <w:rFonts w:ascii="仿宋" w:hAnsi="仿宋" w:eastAsia="仿宋" w:cs="仿宋"/>
                <w:color w:val="auto"/>
                <w:sz w:val="24"/>
                <w:highlight w:val="none"/>
              </w:rPr>
            </w:pPr>
          </w:p>
        </w:tc>
        <w:tc>
          <w:tcPr>
            <w:tcW w:w="1230" w:type="dxa"/>
            <w:vAlign w:val="center"/>
          </w:tcPr>
          <w:p w14:paraId="3801C35D">
            <w:pPr>
              <w:spacing w:line="360" w:lineRule="auto"/>
              <w:jc w:val="center"/>
              <w:rPr>
                <w:rFonts w:ascii="仿宋" w:hAnsi="仿宋" w:eastAsia="仿宋" w:cs="仿宋"/>
                <w:color w:val="auto"/>
                <w:sz w:val="24"/>
                <w:highlight w:val="none"/>
              </w:rPr>
            </w:pPr>
          </w:p>
        </w:tc>
        <w:tc>
          <w:tcPr>
            <w:tcW w:w="1949" w:type="dxa"/>
            <w:vAlign w:val="center"/>
          </w:tcPr>
          <w:p w14:paraId="0107BB53">
            <w:pPr>
              <w:spacing w:line="360" w:lineRule="auto"/>
              <w:jc w:val="center"/>
              <w:rPr>
                <w:rFonts w:ascii="仿宋" w:hAnsi="仿宋" w:eastAsia="仿宋" w:cs="仿宋"/>
                <w:color w:val="auto"/>
                <w:sz w:val="24"/>
                <w:highlight w:val="none"/>
              </w:rPr>
            </w:pPr>
          </w:p>
        </w:tc>
      </w:tr>
      <w:tr w14:paraId="1EBE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6E114A6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874" w:type="dxa"/>
            <w:vAlign w:val="center"/>
          </w:tcPr>
          <w:p w14:paraId="4D41EDE8">
            <w:pPr>
              <w:snapToGrid w:val="0"/>
              <w:spacing w:line="360" w:lineRule="auto"/>
              <w:jc w:val="center"/>
              <w:rPr>
                <w:rFonts w:ascii="仿宋" w:hAnsi="仿宋" w:eastAsia="仿宋" w:cs="仿宋"/>
                <w:color w:val="auto"/>
                <w:sz w:val="24"/>
                <w:highlight w:val="none"/>
              </w:rPr>
            </w:pPr>
          </w:p>
        </w:tc>
        <w:tc>
          <w:tcPr>
            <w:tcW w:w="1141" w:type="dxa"/>
            <w:vAlign w:val="center"/>
          </w:tcPr>
          <w:p w14:paraId="29F378C4">
            <w:pPr>
              <w:snapToGrid w:val="0"/>
              <w:spacing w:line="360" w:lineRule="auto"/>
              <w:jc w:val="center"/>
              <w:rPr>
                <w:rFonts w:ascii="仿宋" w:hAnsi="仿宋" w:eastAsia="仿宋" w:cs="仿宋"/>
                <w:color w:val="auto"/>
                <w:sz w:val="24"/>
                <w:highlight w:val="none"/>
              </w:rPr>
            </w:pPr>
          </w:p>
        </w:tc>
        <w:tc>
          <w:tcPr>
            <w:tcW w:w="1948" w:type="dxa"/>
            <w:vAlign w:val="center"/>
          </w:tcPr>
          <w:p w14:paraId="7B3BECCC">
            <w:pPr>
              <w:snapToGrid w:val="0"/>
              <w:spacing w:line="360" w:lineRule="auto"/>
              <w:jc w:val="center"/>
              <w:rPr>
                <w:rFonts w:ascii="仿宋" w:hAnsi="仿宋" w:eastAsia="仿宋" w:cs="仿宋"/>
                <w:color w:val="auto"/>
                <w:sz w:val="24"/>
                <w:highlight w:val="none"/>
              </w:rPr>
            </w:pPr>
          </w:p>
        </w:tc>
        <w:tc>
          <w:tcPr>
            <w:tcW w:w="607" w:type="dxa"/>
            <w:vAlign w:val="center"/>
          </w:tcPr>
          <w:p w14:paraId="565F2DB5">
            <w:pPr>
              <w:snapToGrid w:val="0"/>
              <w:spacing w:line="360" w:lineRule="auto"/>
              <w:jc w:val="center"/>
              <w:rPr>
                <w:rFonts w:ascii="仿宋" w:hAnsi="仿宋" w:eastAsia="仿宋" w:cs="仿宋"/>
                <w:color w:val="auto"/>
                <w:sz w:val="24"/>
                <w:highlight w:val="none"/>
              </w:rPr>
            </w:pPr>
          </w:p>
        </w:tc>
        <w:tc>
          <w:tcPr>
            <w:tcW w:w="964" w:type="dxa"/>
            <w:vAlign w:val="center"/>
          </w:tcPr>
          <w:p w14:paraId="0A318BE7">
            <w:pPr>
              <w:spacing w:line="360" w:lineRule="auto"/>
              <w:jc w:val="center"/>
              <w:rPr>
                <w:rFonts w:ascii="仿宋" w:hAnsi="仿宋" w:eastAsia="仿宋" w:cs="仿宋"/>
                <w:color w:val="auto"/>
                <w:sz w:val="24"/>
                <w:highlight w:val="none"/>
              </w:rPr>
            </w:pPr>
          </w:p>
        </w:tc>
        <w:tc>
          <w:tcPr>
            <w:tcW w:w="1230" w:type="dxa"/>
            <w:vAlign w:val="center"/>
          </w:tcPr>
          <w:p w14:paraId="1DF7878B">
            <w:pPr>
              <w:spacing w:line="360" w:lineRule="auto"/>
              <w:jc w:val="center"/>
              <w:rPr>
                <w:rFonts w:ascii="仿宋" w:hAnsi="仿宋" w:eastAsia="仿宋" w:cs="仿宋"/>
                <w:color w:val="auto"/>
                <w:sz w:val="24"/>
                <w:highlight w:val="none"/>
              </w:rPr>
            </w:pPr>
          </w:p>
        </w:tc>
        <w:tc>
          <w:tcPr>
            <w:tcW w:w="1949" w:type="dxa"/>
            <w:vAlign w:val="center"/>
          </w:tcPr>
          <w:p w14:paraId="6AC7FC49">
            <w:pPr>
              <w:spacing w:line="360" w:lineRule="auto"/>
              <w:jc w:val="center"/>
              <w:rPr>
                <w:rFonts w:ascii="仿宋" w:hAnsi="仿宋" w:eastAsia="仿宋" w:cs="仿宋"/>
                <w:color w:val="auto"/>
                <w:sz w:val="24"/>
                <w:highlight w:val="none"/>
              </w:rPr>
            </w:pPr>
          </w:p>
        </w:tc>
      </w:tr>
      <w:tr w14:paraId="5315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278D43C4">
            <w:pPr>
              <w:spacing w:line="360" w:lineRule="auto"/>
              <w:jc w:val="center"/>
              <w:rPr>
                <w:rFonts w:ascii="仿宋" w:hAnsi="仿宋" w:eastAsia="仿宋" w:cs="仿宋"/>
                <w:color w:val="auto"/>
                <w:sz w:val="24"/>
                <w:highlight w:val="none"/>
              </w:rPr>
            </w:pPr>
          </w:p>
        </w:tc>
        <w:tc>
          <w:tcPr>
            <w:tcW w:w="874" w:type="dxa"/>
            <w:vAlign w:val="center"/>
          </w:tcPr>
          <w:p w14:paraId="5194E9AF">
            <w:pPr>
              <w:snapToGrid w:val="0"/>
              <w:spacing w:line="360" w:lineRule="auto"/>
              <w:jc w:val="center"/>
              <w:rPr>
                <w:rFonts w:ascii="仿宋" w:hAnsi="仿宋" w:eastAsia="仿宋" w:cs="仿宋"/>
                <w:color w:val="auto"/>
                <w:sz w:val="24"/>
                <w:highlight w:val="none"/>
              </w:rPr>
            </w:pPr>
          </w:p>
        </w:tc>
        <w:tc>
          <w:tcPr>
            <w:tcW w:w="1141" w:type="dxa"/>
            <w:vAlign w:val="center"/>
          </w:tcPr>
          <w:p w14:paraId="65262890">
            <w:pPr>
              <w:snapToGrid w:val="0"/>
              <w:spacing w:line="360" w:lineRule="auto"/>
              <w:jc w:val="center"/>
              <w:rPr>
                <w:rFonts w:ascii="仿宋" w:hAnsi="仿宋" w:eastAsia="仿宋" w:cs="仿宋"/>
                <w:color w:val="auto"/>
                <w:sz w:val="24"/>
                <w:highlight w:val="none"/>
              </w:rPr>
            </w:pPr>
          </w:p>
        </w:tc>
        <w:tc>
          <w:tcPr>
            <w:tcW w:w="1948" w:type="dxa"/>
            <w:vAlign w:val="center"/>
          </w:tcPr>
          <w:p w14:paraId="07805560">
            <w:pPr>
              <w:snapToGrid w:val="0"/>
              <w:spacing w:line="360" w:lineRule="auto"/>
              <w:jc w:val="center"/>
              <w:rPr>
                <w:rFonts w:ascii="仿宋" w:hAnsi="仿宋" w:eastAsia="仿宋" w:cs="仿宋"/>
                <w:color w:val="auto"/>
                <w:sz w:val="24"/>
                <w:highlight w:val="none"/>
              </w:rPr>
            </w:pPr>
          </w:p>
        </w:tc>
        <w:tc>
          <w:tcPr>
            <w:tcW w:w="607" w:type="dxa"/>
            <w:vAlign w:val="center"/>
          </w:tcPr>
          <w:p w14:paraId="4E03FD70">
            <w:pPr>
              <w:snapToGrid w:val="0"/>
              <w:spacing w:line="360" w:lineRule="auto"/>
              <w:jc w:val="center"/>
              <w:rPr>
                <w:rFonts w:ascii="仿宋" w:hAnsi="仿宋" w:eastAsia="仿宋" w:cs="仿宋"/>
                <w:color w:val="auto"/>
                <w:sz w:val="24"/>
                <w:highlight w:val="none"/>
              </w:rPr>
            </w:pPr>
          </w:p>
        </w:tc>
        <w:tc>
          <w:tcPr>
            <w:tcW w:w="964" w:type="dxa"/>
            <w:vAlign w:val="center"/>
          </w:tcPr>
          <w:p w14:paraId="3955B132">
            <w:pPr>
              <w:spacing w:line="360" w:lineRule="auto"/>
              <w:jc w:val="center"/>
              <w:rPr>
                <w:rFonts w:ascii="仿宋" w:hAnsi="仿宋" w:eastAsia="仿宋" w:cs="仿宋"/>
                <w:color w:val="auto"/>
                <w:sz w:val="24"/>
                <w:highlight w:val="none"/>
              </w:rPr>
            </w:pPr>
          </w:p>
        </w:tc>
        <w:tc>
          <w:tcPr>
            <w:tcW w:w="1230" w:type="dxa"/>
            <w:vAlign w:val="center"/>
          </w:tcPr>
          <w:p w14:paraId="3CDB6241">
            <w:pPr>
              <w:spacing w:line="360" w:lineRule="auto"/>
              <w:jc w:val="center"/>
              <w:rPr>
                <w:rFonts w:ascii="仿宋" w:hAnsi="仿宋" w:eastAsia="仿宋" w:cs="仿宋"/>
                <w:color w:val="auto"/>
                <w:sz w:val="24"/>
                <w:highlight w:val="none"/>
              </w:rPr>
            </w:pPr>
          </w:p>
        </w:tc>
        <w:tc>
          <w:tcPr>
            <w:tcW w:w="1949" w:type="dxa"/>
            <w:vAlign w:val="center"/>
          </w:tcPr>
          <w:p w14:paraId="6FDDA584">
            <w:pPr>
              <w:spacing w:line="360" w:lineRule="auto"/>
              <w:jc w:val="center"/>
              <w:rPr>
                <w:rFonts w:ascii="仿宋" w:hAnsi="仿宋" w:eastAsia="仿宋" w:cs="仿宋"/>
                <w:color w:val="auto"/>
                <w:sz w:val="24"/>
                <w:highlight w:val="none"/>
              </w:rPr>
            </w:pPr>
          </w:p>
        </w:tc>
      </w:tr>
      <w:tr w14:paraId="43AC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420" w:type="dxa"/>
            <w:gridSpan w:val="4"/>
            <w:vAlign w:val="center"/>
          </w:tcPr>
          <w:p w14:paraId="26F8ACC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4750" w:type="dxa"/>
            <w:gridSpan w:val="4"/>
            <w:vAlign w:val="center"/>
          </w:tcPr>
          <w:p w14:paraId="12F47493">
            <w:pPr>
              <w:spacing w:line="360" w:lineRule="auto"/>
              <w:jc w:val="center"/>
              <w:rPr>
                <w:rFonts w:ascii="仿宋" w:hAnsi="仿宋" w:eastAsia="仿宋" w:cs="仿宋"/>
                <w:color w:val="auto"/>
                <w:sz w:val="24"/>
                <w:highlight w:val="none"/>
              </w:rPr>
            </w:pPr>
          </w:p>
        </w:tc>
      </w:tr>
      <w:tr w14:paraId="632B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420" w:type="dxa"/>
            <w:gridSpan w:val="4"/>
            <w:vAlign w:val="center"/>
          </w:tcPr>
          <w:p w14:paraId="29A1A60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4750" w:type="dxa"/>
            <w:gridSpan w:val="4"/>
            <w:vAlign w:val="center"/>
          </w:tcPr>
          <w:p w14:paraId="6DBF05A2">
            <w:pPr>
              <w:spacing w:line="360" w:lineRule="auto"/>
              <w:jc w:val="center"/>
              <w:rPr>
                <w:rFonts w:ascii="仿宋" w:hAnsi="仿宋" w:eastAsia="仿宋" w:cs="仿宋"/>
                <w:color w:val="auto"/>
                <w:sz w:val="24"/>
                <w:highlight w:val="none"/>
              </w:rPr>
            </w:pPr>
          </w:p>
        </w:tc>
      </w:tr>
    </w:tbl>
    <w:p w14:paraId="238D2AA4">
      <w:pPr>
        <w:snapToGrid w:val="0"/>
        <w:spacing w:line="360" w:lineRule="auto"/>
        <w:jc w:val="right"/>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14:paraId="03ACDE5E">
      <w:pPr>
        <w:pStyle w:val="81"/>
        <w:jc w:val="right"/>
        <w:rPr>
          <w:color w:val="auto"/>
          <w:highlight w:val="none"/>
          <w:lang w:val="zh-CN"/>
        </w:rPr>
      </w:pPr>
      <w:r>
        <w:rPr>
          <w:rFonts w:hint="eastAsia" w:ascii="仿宋" w:hAnsi="仿宋" w:eastAsia="仿宋" w:cs="仿宋"/>
          <w:color w:val="auto"/>
          <w:highlight w:val="none"/>
        </w:rPr>
        <w:t>日期：  年   月   日</w:t>
      </w:r>
    </w:p>
    <w:p w14:paraId="78C3FCD7">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42B511D">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7B4C2294">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3C5D26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71236C2A">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65DDD79">
      <w:pPr>
        <w:spacing w:line="360" w:lineRule="auto"/>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5、5、</w:t>
      </w:r>
      <w:r>
        <w:rPr>
          <w:rFonts w:hint="eastAsia" w:ascii="仿宋" w:hAnsi="仿宋" w:eastAsia="仿宋" w:cs="仿宋_GB2312"/>
          <w:b/>
          <w:color w:val="auto"/>
          <w:szCs w:val="21"/>
          <w:highlight w:val="none"/>
        </w:rPr>
        <w:t>报价低于项目预算50%的，应当在报价文件中详细阐述不影响产品质量或者诚信履约的具体原因</w:t>
      </w:r>
      <w:r>
        <w:rPr>
          <w:rFonts w:hint="eastAsia" w:ascii="仿宋" w:hAnsi="仿宋" w:eastAsia="仿宋" w:cs="仿宋"/>
          <w:b/>
          <w:color w:val="auto"/>
          <w:kern w:val="0"/>
          <w:sz w:val="24"/>
          <w:highlight w:val="none"/>
        </w:rPr>
        <w:t>。</w:t>
      </w:r>
    </w:p>
    <w:p w14:paraId="416C7E5F">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二、</w:t>
      </w:r>
      <w:r>
        <w:rPr>
          <w:rFonts w:hint="eastAsia" w:ascii="仿宋" w:hAnsi="仿宋" w:eastAsia="仿宋" w:cs="仿宋"/>
          <w:color w:val="auto"/>
          <w:sz w:val="32"/>
          <w:szCs w:val="32"/>
          <w:highlight w:val="none"/>
        </w:rPr>
        <w:t>中小企业声明函</w:t>
      </w:r>
      <w:r>
        <w:rPr>
          <w:rFonts w:hint="default" w:ascii="仿宋" w:hAnsi="仿宋" w:eastAsia="仿宋" w:cs="仿宋"/>
          <w:b/>
          <w:bCs/>
          <w:i w:val="0"/>
          <w:iCs w:val="0"/>
          <w:color w:val="auto"/>
          <w:kern w:val="2"/>
          <w:sz w:val="32"/>
          <w:szCs w:val="32"/>
          <w:highlight w:val="none"/>
          <w:vertAlign w:val="baseline"/>
          <w:lang w:val="en-US" w:eastAsia="zh-CN" w:bidi="ar-SA"/>
        </w:rPr>
        <w:t>（如有）</w:t>
      </w:r>
    </w:p>
    <w:p w14:paraId="211ABFF7">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B311156">
      <w:pPr>
        <w:pStyle w:val="81"/>
        <w:rPr>
          <w:rFonts w:hint="eastAsia" w:ascii="仿宋" w:hAnsi="仿宋" w:eastAsia="仿宋" w:cs="仿宋"/>
          <w:b/>
          <w:color w:val="auto"/>
          <w:sz w:val="24"/>
          <w:highlight w:val="none"/>
        </w:rPr>
      </w:pPr>
    </w:p>
    <w:p w14:paraId="5D2A088E">
      <w:pPr>
        <w:pStyle w:val="82"/>
        <w:rPr>
          <w:rFonts w:hint="eastAsia" w:ascii="仿宋" w:hAnsi="仿宋" w:eastAsia="仿宋" w:cs="仿宋"/>
          <w:b/>
          <w:color w:val="auto"/>
          <w:sz w:val="24"/>
          <w:highlight w:val="none"/>
        </w:rPr>
      </w:pPr>
    </w:p>
    <w:p w14:paraId="18F85262">
      <w:pPr>
        <w:rPr>
          <w:rFonts w:hint="eastAsia" w:ascii="仿宋" w:hAnsi="仿宋" w:eastAsia="仿宋" w:cs="仿宋"/>
          <w:b/>
          <w:color w:val="auto"/>
          <w:sz w:val="24"/>
          <w:highlight w:val="none"/>
        </w:rPr>
      </w:pPr>
    </w:p>
    <w:p w14:paraId="6DF9B444">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lang w:eastAsia="zh-CN"/>
        </w:rPr>
        <w:t>三</w:t>
      </w:r>
      <w:r>
        <w:rPr>
          <w:rFonts w:hint="eastAsia" w:ascii="仿宋" w:hAnsi="仿宋" w:eastAsia="仿宋" w:cs="仿宋"/>
          <w:b/>
          <w:bCs/>
          <w:color w:val="auto"/>
          <w:sz w:val="32"/>
          <w:szCs w:val="32"/>
          <w:highlight w:val="none"/>
        </w:rPr>
        <w:t>、</w:t>
      </w:r>
      <w:r>
        <w:rPr>
          <w:rFonts w:hint="default" w:ascii="仿宋" w:hAnsi="仿宋" w:eastAsia="仿宋" w:cs="仿宋"/>
          <w:b/>
          <w:bCs/>
          <w:i w:val="0"/>
          <w:iCs w:val="0"/>
          <w:color w:val="auto"/>
          <w:kern w:val="2"/>
          <w:sz w:val="32"/>
          <w:szCs w:val="32"/>
          <w:highlight w:val="none"/>
          <w:vertAlign w:val="baseline"/>
          <w:lang w:val="en-US" w:eastAsia="zh-CN" w:bidi="ar-SA"/>
        </w:rPr>
        <w:t>残疾人福利性单位声明函（如有）</w:t>
      </w:r>
    </w:p>
    <w:p w14:paraId="37C2B6AF">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73EC19B5">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0D56355C">
      <w:pPr>
        <w:widowControl/>
        <w:spacing w:line="360" w:lineRule="auto"/>
        <w:ind w:firstLine="161" w:firstLineChars="50"/>
        <w:jc w:val="center"/>
        <w:rPr>
          <w:rFonts w:hint="eastAsia" w:ascii="仿宋" w:hAnsi="仿宋" w:eastAsia="仿宋" w:cs="仿宋"/>
          <w:b/>
          <w:bCs/>
          <w:color w:val="auto"/>
          <w:sz w:val="32"/>
          <w:szCs w:val="32"/>
          <w:highlight w:val="none"/>
        </w:rPr>
      </w:pPr>
    </w:p>
    <w:p w14:paraId="3DF672DC">
      <w:pPr>
        <w:widowControl/>
        <w:spacing w:line="360" w:lineRule="auto"/>
        <w:ind w:firstLine="161" w:firstLineChars="50"/>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四</w:t>
      </w:r>
      <w:r>
        <w:rPr>
          <w:rFonts w:hint="eastAsia" w:ascii="仿宋" w:hAnsi="仿宋" w:eastAsia="仿宋" w:cs="仿宋"/>
          <w:b/>
          <w:bCs/>
          <w:color w:val="auto"/>
          <w:sz w:val="32"/>
          <w:szCs w:val="32"/>
          <w:highlight w:val="none"/>
        </w:rPr>
        <w:t>、投标人针对报价需要说明的其他文件和说明</w:t>
      </w:r>
    </w:p>
    <w:p w14:paraId="43E96344">
      <w:pPr>
        <w:widowControl/>
        <w:autoSpaceDE w:val="0"/>
        <w:autoSpaceDN w:val="0"/>
        <w:spacing w:line="360" w:lineRule="auto"/>
        <w:ind w:firstLine="120" w:firstLineChars="50"/>
        <w:jc w:val="center"/>
        <w:rPr>
          <w:rFonts w:ascii="仿宋" w:hAnsi="仿宋" w:eastAsia="仿宋" w:cs="仿宋"/>
          <w:b/>
          <w:bCs/>
          <w:snapToGrid w:val="0"/>
          <w:color w:val="auto"/>
          <w:sz w:val="24"/>
          <w:szCs w:val="21"/>
          <w:highlight w:val="none"/>
          <w:lang w:val="zh-CN"/>
        </w:rPr>
      </w:pPr>
      <w:r>
        <w:rPr>
          <w:rFonts w:hint="eastAsia" w:ascii="仿宋" w:hAnsi="仿宋" w:eastAsia="仿宋" w:cs="仿宋"/>
          <w:b/>
          <w:bCs/>
          <w:snapToGrid w:val="0"/>
          <w:color w:val="auto"/>
          <w:sz w:val="24"/>
          <w:szCs w:val="21"/>
          <w:highlight w:val="none"/>
          <w:lang w:val="zh-CN"/>
        </w:rPr>
        <w:t>[报价低于项目预算50%的，应当在报价文件中详细阐述不影响产品质量或者诚信履约的具体原因，如成本测算资料]</w:t>
      </w:r>
    </w:p>
    <w:p w14:paraId="0F38C6F6">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23DFD766">
      <w:pPr>
        <w:spacing w:line="360" w:lineRule="auto"/>
        <w:ind w:right="420" w:firstLine="3614" w:firstLineChars="1000"/>
        <w:rPr>
          <w:rFonts w:ascii="仿宋" w:hAnsi="仿宋" w:eastAsia="仿宋" w:cs="仿宋"/>
          <w:b/>
          <w:color w:val="auto"/>
          <w:kern w:val="0"/>
          <w:sz w:val="36"/>
          <w:szCs w:val="36"/>
          <w:highlight w:val="none"/>
        </w:rPr>
      </w:pPr>
    </w:p>
    <w:p w14:paraId="327EFC0F">
      <w:pPr>
        <w:spacing w:line="360" w:lineRule="auto"/>
        <w:ind w:right="420" w:firstLine="3614" w:firstLineChars="1000"/>
        <w:rPr>
          <w:rFonts w:ascii="仿宋" w:hAnsi="仿宋" w:eastAsia="仿宋" w:cs="仿宋"/>
          <w:b/>
          <w:color w:val="auto"/>
          <w:kern w:val="0"/>
          <w:sz w:val="36"/>
          <w:szCs w:val="36"/>
          <w:highlight w:val="none"/>
        </w:rPr>
      </w:pPr>
    </w:p>
    <w:p w14:paraId="234D5FA8">
      <w:pPr>
        <w:spacing w:line="360" w:lineRule="auto"/>
        <w:ind w:right="420" w:firstLine="3614" w:firstLineChars="1000"/>
        <w:rPr>
          <w:rFonts w:ascii="仿宋" w:hAnsi="仿宋" w:eastAsia="仿宋" w:cs="仿宋"/>
          <w:b/>
          <w:color w:val="auto"/>
          <w:kern w:val="0"/>
          <w:sz w:val="36"/>
          <w:szCs w:val="36"/>
          <w:highlight w:val="none"/>
        </w:rPr>
      </w:pPr>
    </w:p>
    <w:p w14:paraId="1BF5942A">
      <w:pPr>
        <w:spacing w:line="360" w:lineRule="auto"/>
        <w:ind w:right="420" w:firstLine="3614" w:firstLineChars="1000"/>
        <w:rPr>
          <w:rFonts w:ascii="仿宋" w:hAnsi="仿宋" w:eastAsia="仿宋" w:cs="仿宋"/>
          <w:b/>
          <w:color w:val="auto"/>
          <w:kern w:val="0"/>
          <w:sz w:val="36"/>
          <w:szCs w:val="36"/>
          <w:highlight w:val="none"/>
        </w:rPr>
      </w:pPr>
    </w:p>
    <w:p w14:paraId="10756AB5">
      <w:pPr>
        <w:spacing w:line="360" w:lineRule="auto"/>
        <w:ind w:right="420" w:firstLine="3614" w:firstLineChars="1000"/>
        <w:rPr>
          <w:rFonts w:ascii="仿宋" w:hAnsi="仿宋" w:eastAsia="仿宋" w:cs="仿宋"/>
          <w:b/>
          <w:color w:val="auto"/>
          <w:kern w:val="0"/>
          <w:sz w:val="36"/>
          <w:szCs w:val="36"/>
          <w:highlight w:val="none"/>
        </w:rPr>
      </w:pPr>
    </w:p>
    <w:p w14:paraId="4CE731A2">
      <w:pPr>
        <w:spacing w:line="360" w:lineRule="auto"/>
        <w:ind w:right="420" w:firstLine="3614" w:firstLineChars="1000"/>
        <w:rPr>
          <w:rFonts w:ascii="仿宋" w:hAnsi="仿宋" w:eastAsia="仿宋" w:cs="仿宋"/>
          <w:b/>
          <w:color w:val="auto"/>
          <w:kern w:val="0"/>
          <w:sz w:val="36"/>
          <w:szCs w:val="36"/>
          <w:highlight w:val="none"/>
        </w:rPr>
      </w:pPr>
    </w:p>
    <w:p w14:paraId="19E70130">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bookmarkStart w:id="75" w:name="_Toc465665161"/>
      <w:r>
        <w:rPr>
          <w:rFonts w:hint="eastAsia" w:ascii="仿宋" w:hAnsi="仿宋" w:eastAsia="仿宋" w:cs="仿宋"/>
          <w:color w:val="auto"/>
          <w:highlight w:val="none"/>
        </w:rPr>
        <w:t>附件</w:t>
      </w:r>
      <w:bookmarkEnd w:id="75"/>
    </w:p>
    <w:p w14:paraId="373E485A">
      <w:pPr>
        <w:spacing w:line="360" w:lineRule="auto"/>
        <w:rPr>
          <w:rFonts w:ascii="仿宋" w:hAnsi="仿宋" w:eastAsia="仿宋" w:cs="仿宋"/>
          <w:b/>
          <w:color w:val="auto"/>
          <w:sz w:val="24"/>
          <w:highlight w:val="none"/>
        </w:rPr>
      </w:pPr>
    </w:p>
    <w:p w14:paraId="47CE6E2D">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A84B2EF">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87D4A47">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41F1A0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D6985E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06D412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E82355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CB05D0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715957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7F708BD">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F87FF0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72D946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56C270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6D4E37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B5120BF">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AF7F79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B3CD42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D5297B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8568A9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DDFE46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ADD825C">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BA1394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A14C431">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2C37FD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32CB99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5B7045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55A1566">
      <w:pPr>
        <w:spacing w:line="360" w:lineRule="auto"/>
        <w:jc w:val="center"/>
        <w:rPr>
          <w:rFonts w:ascii="仿宋" w:hAnsi="仿宋" w:eastAsia="仿宋" w:cs="仿宋"/>
          <w:b/>
          <w:bCs/>
          <w:color w:val="auto"/>
          <w:sz w:val="24"/>
          <w:highlight w:val="none"/>
        </w:rPr>
      </w:pPr>
    </w:p>
    <w:p w14:paraId="26A3189C">
      <w:pPr>
        <w:spacing w:line="360" w:lineRule="auto"/>
        <w:rPr>
          <w:rFonts w:ascii="仿宋" w:hAnsi="仿宋" w:eastAsia="仿宋" w:cs="仿宋"/>
          <w:b/>
          <w:color w:val="auto"/>
          <w:sz w:val="24"/>
          <w:highlight w:val="none"/>
        </w:rPr>
      </w:pPr>
    </w:p>
    <w:p w14:paraId="08028B7A">
      <w:pPr>
        <w:spacing w:line="360" w:lineRule="auto"/>
        <w:rPr>
          <w:rFonts w:ascii="仿宋" w:hAnsi="仿宋" w:eastAsia="仿宋" w:cs="仿宋"/>
          <w:b/>
          <w:color w:val="auto"/>
          <w:sz w:val="24"/>
          <w:highlight w:val="none"/>
        </w:rPr>
      </w:pPr>
    </w:p>
    <w:p w14:paraId="32EF20FD">
      <w:pPr>
        <w:spacing w:line="360" w:lineRule="auto"/>
        <w:rPr>
          <w:rFonts w:ascii="仿宋" w:hAnsi="仿宋" w:eastAsia="仿宋" w:cs="仿宋"/>
          <w:b/>
          <w:color w:val="auto"/>
          <w:sz w:val="24"/>
          <w:highlight w:val="none"/>
        </w:rPr>
      </w:pPr>
    </w:p>
    <w:p w14:paraId="107D79F6">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512760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9CE74F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B10BBC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28F068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96F75A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881FE4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C28A79F">
      <w:pPr>
        <w:widowControl/>
        <w:spacing w:line="360" w:lineRule="auto"/>
        <w:ind w:firstLine="600" w:firstLineChars="200"/>
        <w:jc w:val="left"/>
        <w:rPr>
          <w:rFonts w:ascii="仿宋" w:hAnsi="仿宋" w:eastAsia="仿宋" w:cs="仿宋"/>
          <w:color w:val="auto"/>
          <w:sz w:val="30"/>
          <w:szCs w:val="30"/>
          <w:highlight w:val="none"/>
        </w:rPr>
      </w:pPr>
    </w:p>
    <w:p w14:paraId="5A3980D3">
      <w:pPr>
        <w:spacing w:line="360" w:lineRule="auto"/>
        <w:jc w:val="center"/>
        <w:rPr>
          <w:rFonts w:ascii="仿宋" w:hAnsi="仿宋" w:eastAsia="仿宋" w:cs="仿宋"/>
          <w:b/>
          <w:color w:val="auto"/>
          <w:spacing w:val="6"/>
          <w:sz w:val="32"/>
          <w:szCs w:val="32"/>
          <w:highlight w:val="none"/>
        </w:rPr>
      </w:pPr>
    </w:p>
    <w:p w14:paraId="1C100E4F">
      <w:pPr>
        <w:spacing w:line="360" w:lineRule="auto"/>
        <w:jc w:val="center"/>
        <w:rPr>
          <w:rFonts w:ascii="仿宋" w:hAnsi="仿宋" w:eastAsia="仿宋" w:cs="仿宋"/>
          <w:b/>
          <w:color w:val="auto"/>
          <w:spacing w:val="6"/>
          <w:sz w:val="32"/>
          <w:szCs w:val="32"/>
          <w:highlight w:val="none"/>
        </w:rPr>
      </w:pPr>
    </w:p>
    <w:p w14:paraId="6991D40F">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0C363C78">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0912419A">
      <w:pPr>
        <w:spacing w:line="360" w:lineRule="auto"/>
        <w:jc w:val="center"/>
        <w:rPr>
          <w:rFonts w:ascii="仿宋" w:hAnsi="仿宋" w:eastAsia="仿宋" w:cs="仿宋"/>
          <w:b/>
          <w:color w:val="auto"/>
          <w:sz w:val="24"/>
          <w:highlight w:val="none"/>
        </w:rPr>
      </w:pPr>
    </w:p>
    <w:p w14:paraId="6462942B">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FE2E80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70A21A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9A8965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554F6F3">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940E310">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A38006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E6D379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E4C44D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p>
    <w:p w14:paraId="66963B6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8CECD1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8C43EE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F453DD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D6BDC0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p>
    <w:p w14:paraId="0205C1F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396793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C84930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8060BC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3D2B5A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7976FD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8D96E0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97DC14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A730BC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7A24E6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8CA2E04">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7F063C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9B2CA0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933465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8C3387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CCD1D8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C86248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7D237B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6A0C59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AB3BFC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F59AB2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B6C15B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901591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EC34C2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E8E9C6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212BC0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B6599A1">
      <w:pPr>
        <w:spacing w:line="360" w:lineRule="auto"/>
        <w:rPr>
          <w:rFonts w:ascii="仿宋" w:hAnsi="仿宋" w:eastAsia="仿宋" w:cs="仿宋"/>
          <w:b/>
          <w:color w:val="auto"/>
          <w:sz w:val="24"/>
          <w:highlight w:val="none"/>
        </w:rPr>
      </w:pPr>
    </w:p>
    <w:p w14:paraId="19C60D10">
      <w:pPr>
        <w:spacing w:line="360" w:lineRule="auto"/>
        <w:rPr>
          <w:rFonts w:ascii="仿宋" w:hAnsi="仿宋" w:eastAsia="仿宋" w:cs="仿宋"/>
          <w:b/>
          <w:color w:val="auto"/>
          <w:sz w:val="24"/>
          <w:highlight w:val="none"/>
        </w:rPr>
      </w:pPr>
    </w:p>
    <w:p w14:paraId="5C767220">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E7540A8">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3E2DEF1">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97A8B1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D555DC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F15C97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C7ADA3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493252B">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5AB9A27">
      <w:pPr>
        <w:spacing w:line="360" w:lineRule="auto"/>
        <w:rPr>
          <w:rFonts w:ascii="仿宋" w:hAnsi="仿宋" w:eastAsia="仿宋" w:cs="仿宋"/>
          <w:b/>
          <w:color w:val="auto"/>
          <w:sz w:val="24"/>
          <w:highlight w:val="none"/>
        </w:rPr>
      </w:pPr>
    </w:p>
    <w:p w14:paraId="08F2EC45">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187B21D">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5430CBDF">
      <w:pPr>
        <w:spacing w:line="360" w:lineRule="auto"/>
        <w:rPr>
          <w:rFonts w:ascii="仿宋" w:hAnsi="仿宋" w:eastAsia="仿宋" w:cs="仿宋"/>
          <w:color w:val="auto"/>
          <w:sz w:val="24"/>
          <w:highlight w:val="none"/>
          <w:u w:val="single"/>
        </w:rPr>
      </w:pPr>
    </w:p>
    <w:p w14:paraId="3615580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u w:val="single"/>
        </w:rPr>
        <w:t>、浙江中兴工程项目管理有限公司：</w:t>
      </w:r>
    </w:p>
    <w:p w14:paraId="5E8A5B8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u w:val="single"/>
          <w:lang w:eastAsia="zh-CN"/>
        </w:rPr>
        <w:t>华舍小学扩建改造工程（一期）数字化设备等采购项目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9F2D41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7646B2B">
      <w:pPr>
        <w:spacing w:line="360" w:lineRule="auto"/>
        <w:ind w:firstLine="494"/>
        <w:rPr>
          <w:rFonts w:ascii="仿宋" w:hAnsi="仿宋" w:eastAsia="仿宋" w:cs="仿宋"/>
          <w:color w:val="auto"/>
          <w:sz w:val="24"/>
          <w:highlight w:val="none"/>
        </w:rPr>
      </w:pPr>
    </w:p>
    <w:p w14:paraId="2D70210F">
      <w:pPr>
        <w:spacing w:line="360" w:lineRule="auto"/>
        <w:ind w:firstLine="494"/>
        <w:rPr>
          <w:rFonts w:ascii="仿宋" w:hAnsi="仿宋" w:eastAsia="仿宋" w:cs="仿宋"/>
          <w:color w:val="auto"/>
          <w:sz w:val="24"/>
          <w:highlight w:val="none"/>
        </w:rPr>
      </w:pPr>
    </w:p>
    <w:p w14:paraId="0364063C">
      <w:pPr>
        <w:spacing w:line="360" w:lineRule="auto"/>
        <w:ind w:firstLine="494"/>
        <w:rPr>
          <w:rFonts w:ascii="仿宋" w:hAnsi="仿宋" w:eastAsia="仿宋" w:cs="仿宋"/>
          <w:color w:val="auto"/>
          <w:sz w:val="24"/>
          <w:highlight w:val="none"/>
        </w:rPr>
      </w:pPr>
    </w:p>
    <w:p w14:paraId="0CA1E851">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390BDFA">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AC19B3">
      <w:pPr>
        <w:pStyle w:val="81"/>
        <w:rPr>
          <w:color w:val="auto"/>
          <w:highlight w:val="none"/>
        </w:rPr>
      </w:pPr>
    </w:p>
    <w:p w14:paraId="7D9EC74E">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7528A288">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BA25B3B">
      <w:pPr>
        <w:autoSpaceDE w:val="0"/>
        <w:autoSpaceDN w:val="0"/>
        <w:jc w:val="center"/>
        <w:rPr>
          <w:rFonts w:ascii="仿宋" w:hAnsi="仿宋" w:eastAsia="仿宋" w:cs="仿宋"/>
          <w:b/>
          <w:color w:val="auto"/>
          <w:spacing w:val="6"/>
          <w:sz w:val="32"/>
          <w:szCs w:val="32"/>
          <w:highlight w:val="none"/>
        </w:rPr>
      </w:pPr>
    </w:p>
    <w:p w14:paraId="099383BD">
      <w:pPr>
        <w:autoSpaceDE w:val="0"/>
        <w:autoSpaceDN w:val="0"/>
        <w:jc w:val="center"/>
        <w:rPr>
          <w:rFonts w:ascii="仿宋" w:hAnsi="仿宋" w:eastAsia="仿宋" w:cs="仿宋"/>
          <w:b/>
          <w:color w:val="auto"/>
          <w:spacing w:val="6"/>
          <w:sz w:val="32"/>
          <w:szCs w:val="32"/>
          <w:highlight w:val="none"/>
        </w:rPr>
      </w:pPr>
    </w:p>
    <w:p w14:paraId="1BD4120F">
      <w:pPr>
        <w:autoSpaceDE w:val="0"/>
        <w:autoSpaceDN w:val="0"/>
        <w:jc w:val="center"/>
        <w:rPr>
          <w:rFonts w:ascii="仿宋" w:hAnsi="仿宋" w:eastAsia="仿宋" w:cs="仿宋"/>
          <w:b/>
          <w:color w:val="auto"/>
          <w:spacing w:val="6"/>
          <w:sz w:val="32"/>
          <w:szCs w:val="32"/>
          <w:highlight w:val="none"/>
        </w:rPr>
      </w:pPr>
    </w:p>
    <w:p w14:paraId="06C462ED">
      <w:pPr>
        <w:autoSpaceDE w:val="0"/>
        <w:autoSpaceDN w:val="0"/>
        <w:jc w:val="center"/>
        <w:rPr>
          <w:rFonts w:ascii="仿宋" w:hAnsi="仿宋" w:eastAsia="仿宋" w:cs="仿宋"/>
          <w:b/>
          <w:color w:val="auto"/>
          <w:spacing w:val="6"/>
          <w:sz w:val="32"/>
          <w:szCs w:val="32"/>
          <w:highlight w:val="none"/>
        </w:rPr>
      </w:pPr>
    </w:p>
    <w:p w14:paraId="2F36E7C6">
      <w:pPr>
        <w:autoSpaceDE w:val="0"/>
        <w:autoSpaceDN w:val="0"/>
        <w:jc w:val="center"/>
        <w:rPr>
          <w:rFonts w:ascii="仿宋" w:hAnsi="仿宋" w:eastAsia="仿宋" w:cs="仿宋"/>
          <w:b/>
          <w:color w:val="auto"/>
          <w:spacing w:val="6"/>
          <w:sz w:val="32"/>
          <w:szCs w:val="32"/>
          <w:highlight w:val="none"/>
        </w:rPr>
      </w:pPr>
    </w:p>
    <w:p w14:paraId="3A1CB93A">
      <w:pPr>
        <w:autoSpaceDE w:val="0"/>
        <w:autoSpaceDN w:val="0"/>
        <w:jc w:val="center"/>
        <w:rPr>
          <w:rFonts w:ascii="仿宋" w:hAnsi="仿宋" w:eastAsia="仿宋" w:cs="仿宋"/>
          <w:b/>
          <w:color w:val="auto"/>
          <w:spacing w:val="6"/>
          <w:sz w:val="32"/>
          <w:szCs w:val="32"/>
          <w:highlight w:val="none"/>
        </w:rPr>
      </w:pPr>
    </w:p>
    <w:p w14:paraId="26B12C31">
      <w:pPr>
        <w:autoSpaceDE w:val="0"/>
        <w:autoSpaceDN w:val="0"/>
        <w:jc w:val="center"/>
        <w:rPr>
          <w:rFonts w:ascii="仿宋" w:hAnsi="仿宋" w:eastAsia="仿宋" w:cs="仿宋"/>
          <w:b/>
          <w:color w:val="auto"/>
          <w:spacing w:val="6"/>
          <w:sz w:val="32"/>
          <w:szCs w:val="32"/>
          <w:highlight w:val="none"/>
        </w:rPr>
      </w:pPr>
    </w:p>
    <w:p w14:paraId="4BF332DA">
      <w:pPr>
        <w:autoSpaceDE w:val="0"/>
        <w:autoSpaceDN w:val="0"/>
        <w:jc w:val="center"/>
        <w:rPr>
          <w:rFonts w:ascii="仿宋" w:hAnsi="仿宋" w:eastAsia="仿宋" w:cs="仿宋"/>
          <w:b/>
          <w:color w:val="auto"/>
          <w:spacing w:val="6"/>
          <w:sz w:val="32"/>
          <w:szCs w:val="32"/>
          <w:highlight w:val="none"/>
        </w:rPr>
      </w:pPr>
    </w:p>
    <w:p w14:paraId="54662A7A">
      <w:pPr>
        <w:autoSpaceDE w:val="0"/>
        <w:autoSpaceDN w:val="0"/>
        <w:jc w:val="center"/>
        <w:rPr>
          <w:rFonts w:ascii="仿宋" w:hAnsi="仿宋" w:eastAsia="仿宋" w:cs="仿宋"/>
          <w:b/>
          <w:color w:val="auto"/>
          <w:spacing w:val="6"/>
          <w:sz w:val="32"/>
          <w:szCs w:val="32"/>
          <w:highlight w:val="none"/>
        </w:rPr>
      </w:pPr>
    </w:p>
    <w:p w14:paraId="44C2EAD8">
      <w:pPr>
        <w:autoSpaceDE w:val="0"/>
        <w:autoSpaceDN w:val="0"/>
        <w:jc w:val="center"/>
        <w:rPr>
          <w:rFonts w:ascii="仿宋" w:hAnsi="仿宋" w:eastAsia="仿宋" w:cs="仿宋"/>
          <w:b/>
          <w:color w:val="auto"/>
          <w:spacing w:val="6"/>
          <w:sz w:val="32"/>
          <w:szCs w:val="32"/>
          <w:highlight w:val="none"/>
        </w:rPr>
      </w:pPr>
    </w:p>
    <w:p w14:paraId="6430F4DD">
      <w:pPr>
        <w:autoSpaceDE w:val="0"/>
        <w:autoSpaceDN w:val="0"/>
        <w:jc w:val="center"/>
        <w:rPr>
          <w:rFonts w:ascii="仿宋" w:hAnsi="仿宋" w:eastAsia="仿宋" w:cs="仿宋"/>
          <w:b/>
          <w:color w:val="auto"/>
          <w:spacing w:val="6"/>
          <w:sz w:val="32"/>
          <w:szCs w:val="32"/>
          <w:highlight w:val="none"/>
        </w:rPr>
      </w:pPr>
    </w:p>
    <w:p w14:paraId="470B4674">
      <w:pPr>
        <w:autoSpaceDE w:val="0"/>
        <w:autoSpaceDN w:val="0"/>
        <w:jc w:val="center"/>
        <w:rPr>
          <w:rFonts w:ascii="仿宋" w:hAnsi="仿宋" w:eastAsia="仿宋" w:cs="仿宋"/>
          <w:b/>
          <w:color w:val="auto"/>
          <w:spacing w:val="6"/>
          <w:sz w:val="32"/>
          <w:szCs w:val="32"/>
          <w:highlight w:val="none"/>
        </w:rPr>
      </w:pPr>
    </w:p>
    <w:p w14:paraId="077F7D08">
      <w:pPr>
        <w:autoSpaceDE w:val="0"/>
        <w:autoSpaceDN w:val="0"/>
        <w:jc w:val="center"/>
        <w:rPr>
          <w:rFonts w:ascii="仿宋" w:hAnsi="仿宋" w:eastAsia="仿宋" w:cs="仿宋"/>
          <w:b/>
          <w:color w:val="auto"/>
          <w:spacing w:val="6"/>
          <w:sz w:val="32"/>
          <w:szCs w:val="32"/>
          <w:highlight w:val="none"/>
        </w:rPr>
      </w:pPr>
    </w:p>
    <w:p w14:paraId="351C0064">
      <w:pPr>
        <w:autoSpaceDE w:val="0"/>
        <w:autoSpaceDN w:val="0"/>
        <w:jc w:val="center"/>
        <w:rPr>
          <w:rFonts w:ascii="仿宋" w:hAnsi="仿宋" w:eastAsia="仿宋" w:cs="仿宋"/>
          <w:b/>
          <w:color w:val="auto"/>
          <w:spacing w:val="6"/>
          <w:sz w:val="32"/>
          <w:szCs w:val="32"/>
          <w:highlight w:val="none"/>
        </w:rPr>
      </w:pPr>
    </w:p>
    <w:p w14:paraId="3CB398F6">
      <w:pPr>
        <w:autoSpaceDE w:val="0"/>
        <w:autoSpaceDN w:val="0"/>
        <w:jc w:val="center"/>
        <w:rPr>
          <w:rFonts w:ascii="仿宋" w:hAnsi="仿宋" w:eastAsia="仿宋" w:cs="仿宋"/>
          <w:b/>
          <w:color w:val="auto"/>
          <w:spacing w:val="6"/>
          <w:sz w:val="32"/>
          <w:szCs w:val="32"/>
          <w:highlight w:val="none"/>
        </w:rPr>
      </w:pPr>
    </w:p>
    <w:p w14:paraId="31E03DBC">
      <w:pP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6C63FA2">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62030C22">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908A1D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u w:val="single"/>
          <w:lang w:eastAsia="zh-CN"/>
        </w:rPr>
        <w:t>华舍小学扩建改造工程（一期）数字化设备等采购项目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 xml:space="preserve">投标。 </w:t>
      </w:r>
    </w:p>
    <w:p w14:paraId="27AC9FE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D681C1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959D94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2CC5B7F">
      <w:pPr>
        <w:snapToGrid w:val="0"/>
        <w:spacing w:line="360" w:lineRule="auto"/>
        <w:ind w:firstLine="576"/>
        <w:rPr>
          <w:rFonts w:ascii="仿宋" w:hAnsi="仿宋" w:eastAsia="仿宋" w:cs="仿宋"/>
          <w:color w:val="auto"/>
          <w:kern w:val="0"/>
          <w:sz w:val="24"/>
          <w:highlight w:val="none"/>
          <w:lang w:val="zh-CN"/>
        </w:rPr>
      </w:pPr>
      <w:bookmarkStart w:id="76"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7F4B6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415EB1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76"/>
    <w:p w14:paraId="49AAA2A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C230528">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E9816E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D72F0E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872266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107E0B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043E55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86E2D0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7339E10">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EAE09F">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816ECCD">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53BD1C6">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394A6AF">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88A2641">
      <w:pPr>
        <w:autoSpaceDE w:val="0"/>
        <w:autoSpaceDN w:val="0"/>
        <w:jc w:val="center"/>
        <w:rPr>
          <w:rFonts w:ascii="仿宋" w:hAnsi="仿宋" w:eastAsia="仿宋" w:cs="仿宋"/>
          <w:b/>
          <w:color w:val="auto"/>
          <w:spacing w:val="6"/>
          <w:sz w:val="32"/>
          <w:szCs w:val="32"/>
          <w:highlight w:val="none"/>
        </w:rPr>
      </w:pPr>
    </w:p>
    <w:p w14:paraId="62212394">
      <w:pPr>
        <w:autoSpaceDE w:val="0"/>
        <w:autoSpaceDN w:val="0"/>
        <w:jc w:val="center"/>
        <w:rPr>
          <w:rFonts w:ascii="仿宋" w:hAnsi="仿宋" w:eastAsia="仿宋" w:cs="仿宋"/>
          <w:b/>
          <w:color w:val="auto"/>
          <w:spacing w:val="6"/>
          <w:sz w:val="32"/>
          <w:szCs w:val="32"/>
          <w:highlight w:val="none"/>
        </w:rPr>
      </w:pPr>
    </w:p>
    <w:p w14:paraId="766D45F3">
      <w:pPr>
        <w:autoSpaceDE w:val="0"/>
        <w:autoSpaceDN w:val="0"/>
        <w:jc w:val="center"/>
        <w:rPr>
          <w:rFonts w:ascii="仿宋" w:hAnsi="仿宋" w:eastAsia="仿宋" w:cs="仿宋"/>
          <w:b/>
          <w:color w:val="auto"/>
          <w:spacing w:val="6"/>
          <w:sz w:val="32"/>
          <w:szCs w:val="32"/>
          <w:highlight w:val="none"/>
        </w:rPr>
      </w:pPr>
    </w:p>
    <w:p w14:paraId="5AA04214">
      <w:pPr>
        <w:autoSpaceDE w:val="0"/>
        <w:autoSpaceDN w:val="0"/>
        <w:jc w:val="center"/>
        <w:rPr>
          <w:rFonts w:ascii="仿宋" w:hAnsi="仿宋" w:eastAsia="仿宋" w:cs="仿宋"/>
          <w:b/>
          <w:color w:val="auto"/>
          <w:spacing w:val="6"/>
          <w:sz w:val="32"/>
          <w:szCs w:val="32"/>
          <w:highlight w:val="none"/>
        </w:rPr>
      </w:pPr>
    </w:p>
    <w:p w14:paraId="6E531631">
      <w:pPr>
        <w:autoSpaceDE w:val="0"/>
        <w:autoSpaceDN w:val="0"/>
        <w:jc w:val="center"/>
        <w:rPr>
          <w:rFonts w:ascii="仿宋" w:hAnsi="仿宋" w:eastAsia="仿宋" w:cs="仿宋"/>
          <w:b/>
          <w:color w:val="auto"/>
          <w:spacing w:val="6"/>
          <w:sz w:val="32"/>
          <w:szCs w:val="32"/>
          <w:highlight w:val="none"/>
        </w:rPr>
      </w:pPr>
    </w:p>
    <w:p w14:paraId="4841AB20">
      <w:pPr>
        <w:autoSpaceDE w:val="0"/>
        <w:autoSpaceDN w:val="0"/>
        <w:jc w:val="center"/>
        <w:rPr>
          <w:rFonts w:ascii="仿宋" w:hAnsi="仿宋" w:eastAsia="仿宋" w:cs="仿宋"/>
          <w:b/>
          <w:color w:val="auto"/>
          <w:spacing w:val="6"/>
          <w:sz w:val="32"/>
          <w:szCs w:val="32"/>
          <w:highlight w:val="none"/>
        </w:rPr>
      </w:pPr>
    </w:p>
    <w:p w14:paraId="70FBF25B">
      <w:pPr>
        <w:autoSpaceDE w:val="0"/>
        <w:autoSpaceDN w:val="0"/>
        <w:jc w:val="center"/>
        <w:rPr>
          <w:rFonts w:ascii="仿宋" w:hAnsi="仿宋" w:eastAsia="仿宋" w:cs="仿宋"/>
          <w:b/>
          <w:color w:val="auto"/>
          <w:spacing w:val="6"/>
          <w:sz w:val="32"/>
          <w:szCs w:val="32"/>
          <w:highlight w:val="none"/>
        </w:rPr>
      </w:pPr>
    </w:p>
    <w:p w14:paraId="523620EA">
      <w:pPr>
        <w:autoSpaceDE w:val="0"/>
        <w:autoSpaceDN w:val="0"/>
        <w:jc w:val="center"/>
        <w:rPr>
          <w:rFonts w:ascii="仿宋" w:hAnsi="仿宋" w:eastAsia="仿宋" w:cs="仿宋"/>
          <w:b/>
          <w:color w:val="auto"/>
          <w:spacing w:val="6"/>
          <w:sz w:val="32"/>
          <w:szCs w:val="32"/>
          <w:highlight w:val="none"/>
        </w:rPr>
      </w:pPr>
    </w:p>
    <w:p w14:paraId="204F5037">
      <w:pPr>
        <w:autoSpaceDE w:val="0"/>
        <w:autoSpaceDN w:val="0"/>
        <w:jc w:val="center"/>
        <w:rPr>
          <w:rFonts w:ascii="仿宋" w:hAnsi="仿宋" w:eastAsia="仿宋" w:cs="仿宋"/>
          <w:b/>
          <w:color w:val="auto"/>
          <w:spacing w:val="6"/>
          <w:sz w:val="32"/>
          <w:szCs w:val="32"/>
          <w:highlight w:val="none"/>
        </w:rPr>
      </w:pPr>
    </w:p>
    <w:p w14:paraId="7349DE29">
      <w:pPr>
        <w:autoSpaceDE w:val="0"/>
        <w:autoSpaceDN w:val="0"/>
        <w:jc w:val="center"/>
        <w:rPr>
          <w:rFonts w:ascii="仿宋" w:hAnsi="仿宋" w:eastAsia="仿宋" w:cs="仿宋"/>
          <w:b/>
          <w:color w:val="auto"/>
          <w:spacing w:val="6"/>
          <w:sz w:val="32"/>
          <w:szCs w:val="32"/>
          <w:highlight w:val="none"/>
        </w:rPr>
      </w:pPr>
    </w:p>
    <w:p w14:paraId="35A768B7">
      <w:pPr>
        <w:autoSpaceDE w:val="0"/>
        <w:autoSpaceDN w:val="0"/>
        <w:jc w:val="center"/>
        <w:rPr>
          <w:rFonts w:ascii="仿宋" w:hAnsi="仿宋" w:eastAsia="仿宋" w:cs="仿宋"/>
          <w:b/>
          <w:color w:val="auto"/>
          <w:spacing w:val="6"/>
          <w:sz w:val="32"/>
          <w:szCs w:val="32"/>
          <w:highlight w:val="none"/>
        </w:rPr>
      </w:pPr>
    </w:p>
    <w:p w14:paraId="37DEC0E3">
      <w:pPr>
        <w:autoSpaceDE w:val="0"/>
        <w:autoSpaceDN w:val="0"/>
        <w:jc w:val="center"/>
        <w:rPr>
          <w:rFonts w:ascii="仿宋" w:hAnsi="仿宋" w:eastAsia="仿宋" w:cs="仿宋"/>
          <w:b/>
          <w:color w:val="auto"/>
          <w:spacing w:val="6"/>
          <w:sz w:val="32"/>
          <w:szCs w:val="32"/>
          <w:highlight w:val="none"/>
        </w:rPr>
      </w:pPr>
    </w:p>
    <w:p w14:paraId="39CCF349">
      <w:pPr>
        <w:autoSpaceDE w:val="0"/>
        <w:autoSpaceDN w:val="0"/>
        <w:jc w:val="center"/>
        <w:rPr>
          <w:rFonts w:ascii="仿宋" w:hAnsi="仿宋" w:eastAsia="仿宋" w:cs="仿宋"/>
          <w:b/>
          <w:color w:val="auto"/>
          <w:spacing w:val="6"/>
          <w:sz w:val="32"/>
          <w:szCs w:val="32"/>
          <w:highlight w:val="none"/>
        </w:rPr>
      </w:pPr>
    </w:p>
    <w:p w14:paraId="1D0F53D5">
      <w:pPr>
        <w:autoSpaceDE w:val="0"/>
        <w:autoSpaceDN w:val="0"/>
        <w:jc w:val="center"/>
        <w:rPr>
          <w:rFonts w:ascii="仿宋" w:hAnsi="仿宋" w:eastAsia="仿宋" w:cs="仿宋"/>
          <w:b/>
          <w:color w:val="auto"/>
          <w:spacing w:val="6"/>
          <w:sz w:val="32"/>
          <w:szCs w:val="32"/>
          <w:highlight w:val="none"/>
        </w:rPr>
      </w:pPr>
    </w:p>
    <w:p w14:paraId="6C9A740D">
      <w:pPr>
        <w:autoSpaceDE w:val="0"/>
        <w:autoSpaceDN w:val="0"/>
        <w:jc w:val="center"/>
        <w:rPr>
          <w:rFonts w:ascii="仿宋" w:hAnsi="仿宋" w:eastAsia="仿宋" w:cs="仿宋"/>
          <w:b/>
          <w:color w:val="auto"/>
          <w:spacing w:val="6"/>
          <w:sz w:val="32"/>
          <w:szCs w:val="32"/>
          <w:highlight w:val="none"/>
        </w:rPr>
      </w:pPr>
    </w:p>
    <w:p w14:paraId="0705B794">
      <w:pPr>
        <w:autoSpaceDE w:val="0"/>
        <w:autoSpaceDN w:val="0"/>
        <w:jc w:val="center"/>
        <w:rPr>
          <w:rFonts w:ascii="仿宋" w:hAnsi="仿宋" w:eastAsia="仿宋" w:cs="仿宋"/>
          <w:b/>
          <w:color w:val="auto"/>
          <w:spacing w:val="6"/>
          <w:sz w:val="32"/>
          <w:szCs w:val="32"/>
          <w:highlight w:val="none"/>
        </w:rPr>
      </w:pPr>
    </w:p>
    <w:p w14:paraId="40694E9F">
      <w:pPr>
        <w:snapToGrid w:val="0"/>
        <w:spacing w:line="360" w:lineRule="auto"/>
        <w:jc w:val="center"/>
        <w:outlineLvl w:val="0"/>
        <w:rPr>
          <w:rFonts w:ascii="仿宋" w:hAnsi="仿宋" w:eastAsia="仿宋" w:cs="仿宋"/>
          <w:b/>
          <w:color w:val="auto"/>
          <w:kern w:val="0"/>
          <w:sz w:val="32"/>
          <w:szCs w:val="32"/>
          <w:highlight w:val="none"/>
        </w:rPr>
      </w:pPr>
    </w:p>
    <w:p w14:paraId="20EDFA70">
      <w:pPr>
        <w:snapToGrid w:val="0"/>
        <w:spacing w:line="360" w:lineRule="auto"/>
        <w:jc w:val="center"/>
        <w:outlineLvl w:val="0"/>
        <w:rPr>
          <w:rFonts w:ascii="仿宋" w:hAnsi="仿宋" w:eastAsia="仿宋" w:cs="仿宋"/>
          <w:b/>
          <w:color w:val="auto"/>
          <w:kern w:val="0"/>
          <w:sz w:val="32"/>
          <w:szCs w:val="32"/>
          <w:highlight w:val="none"/>
        </w:rPr>
      </w:pPr>
    </w:p>
    <w:p w14:paraId="0B1E5452">
      <w:pPr>
        <w:snapToGrid w:val="0"/>
        <w:spacing w:line="360" w:lineRule="auto"/>
        <w:jc w:val="center"/>
        <w:outlineLvl w:val="0"/>
        <w:rPr>
          <w:rFonts w:ascii="仿宋" w:hAnsi="仿宋" w:eastAsia="仿宋" w:cs="仿宋"/>
          <w:b/>
          <w:color w:val="auto"/>
          <w:kern w:val="0"/>
          <w:sz w:val="32"/>
          <w:szCs w:val="32"/>
          <w:highlight w:val="none"/>
        </w:rPr>
      </w:pPr>
    </w:p>
    <w:p w14:paraId="369F5213">
      <w:pP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A4A09C7">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3934D3D6">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121459A">
      <w:pPr>
        <w:snapToGrid w:val="0"/>
        <w:spacing w:line="360" w:lineRule="auto"/>
        <w:ind w:firstLine="576"/>
        <w:rPr>
          <w:rFonts w:ascii="仿宋" w:hAnsi="仿宋" w:eastAsia="仿宋" w:cs="仿宋"/>
          <w:color w:val="auto"/>
          <w:kern w:val="0"/>
          <w:sz w:val="24"/>
          <w:highlight w:val="none"/>
          <w:u w:val="single"/>
        </w:rPr>
      </w:pPr>
    </w:p>
    <w:p w14:paraId="0CC4696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u w:val="single"/>
          <w:lang w:eastAsia="zh-CN"/>
        </w:rPr>
        <w:t>华舍小学扩建改造工程（一期）数字化设备等采购项目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FE00AE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E4556A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907552D">
      <w:pPr>
        <w:pStyle w:val="3"/>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2CF2EA7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1527610">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BF0351E">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77"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77"/>
    </w:p>
    <w:p w14:paraId="2F30DB2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D40A92B">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47BBBA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FE55D9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C32F6D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A0EFA20">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E6FBCE6">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5DB8C5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C07DDE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E79771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BC84AA7">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1A54BAFA">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6468C43">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133DD26">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DFA488D">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777AA2">
      <w:pPr>
        <w:autoSpaceDE w:val="0"/>
        <w:autoSpaceDN w:val="0"/>
        <w:jc w:val="center"/>
        <w:rPr>
          <w:rFonts w:ascii="仿宋" w:hAnsi="仿宋" w:eastAsia="仿宋" w:cs="仿宋"/>
          <w:b/>
          <w:color w:val="auto"/>
          <w:spacing w:val="6"/>
          <w:sz w:val="32"/>
          <w:szCs w:val="32"/>
          <w:highlight w:val="none"/>
        </w:rPr>
      </w:pPr>
    </w:p>
    <w:p w14:paraId="1FD247C7">
      <w:pPr>
        <w:autoSpaceDE w:val="0"/>
        <w:autoSpaceDN w:val="0"/>
        <w:jc w:val="center"/>
        <w:rPr>
          <w:rFonts w:ascii="仿宋" w:hAnsi="仿宋" w:eastAsia="仿宋" w:cs="仿宋"/>
          <w:b/>
          <w:color w:val="auto"/>
          <w:spacing w:val="6"/>
          <w:sz w:val="32"/>
          <w:szCs w:val="32"/>
          <w:highlight w:val="none"/>
        </w:rPr>
      </w:pPr>
    </w:p>
    <w:p w14:paraId="7373D944">
      <w:pPr>
        <w:autoSpaceDE w:val="0"/>
        <w:autoSpaceDN w:val="0"/>
        <w:jc w:val="center"/>
        <w:rPr>
          <w:rFonts w:ascii="仿宋" w:hAnsi="仿宋" w:eastAsia="仿宋" w:cs="仿宋"/>
          <w:b/>
          <w:color w:val="auto"/>
          <w:spacing w:val="6"/>
          <w:sz w:val="32"/>
          <w:szCs w:val="32"/>
          <w:highlight w:val="none"/>
        </w:rPr>
      </w:pPr>
    </w:p>
    <w:p w14:paraId="528DEF15">
      <w:pPr>
        <w:autoSpaceDE w:val="0"/>
        <w:autoSpaceDN w:val="0"/>
        <w:jc w:val="center"/>
        <w:rPr>
          <w:rFonts w:ascii="仿宋" w:hAnsi="仿宋" w:eastAsia="仿宋" w:cs="仿宋"/>
          <w:b/>
          <w:color w:val="auto"/>
          <w:spacing w:val="6"/>
          <w:sz w:val="32"/>
          <w:szCs w:val="32"/>
          <w:highlight w:val="none"/>
        </w:rPr>
      </w:pPr>
    </w:p>
    <w:p w14:paraId="24734737">
      <w:pPr>
        <w:autoSpaceDE w:val="0"/>
        <w:autoSpaceDN w:val="0"/>
        <w:jc w:val="center"/>
        <w:rPr>
          <w:rFonts w:ascii="仿宋" w:hAnsi="仿宋" w:eastAsia="仿宋" w:cs="仿宋"/>
          <w:b/>
          <w:color w:val="auto"/>
          <w:spacing w:val="6"/>
          <w:sz w:val="32"/>
          <w:szCs w:val="32"/>
          <w:highlight w:val="none"/>
        </w:rPr>
      </w:pPr>
    </w:p>
    <w:p w14:paraId="4A98570A">
      <w:pPr>
        <w:autoSpaceDE w:val="0"/>
        <w:autoSpaceDN w:val="0"/>
        <w:jc w:val="center"/>
        <w:rPr>
          <w:rFonts w:ascii="仿宋" w:hAnsi="仿宋" w:eastAsia="仿宋" w:cs="仿宋"/>
          <w:b/>
          <w:color w:val="auto"/>
          <w:spacing w:val="6"/>
          <w:sz w:val="32"/>
          <w:szCs w:val="32"/>
          <w:highlight w:val="none"/>
        </w:rPr>
      </w:pPr>
    </w:p>
    <w:p w14:paraId="38AE5821">
      <w:pPr>
        <w:autoSpaceDE w:val="0"/>
        <w:autoSpaceDN w:val="0"/>
        <w:jc w:val="center"/>
        <w:rPr>
          <w:rFonts w:ascii="仿宋" w:hAnsi="仿宋" w:eastAsia="仿宋" w:cs="仿宋"/>
          <w:b/>
          <w:color w:val="auto"/>
          <w:spacing w:val="6"/>
          <w:sz w:val="32"/>
          <w:szCs w:val="32"/>
          <w:highlight w:val="none"/>
        </w:rPr>
      </w:pPr>
    </w:p>
    <w:p w14:paraId="278C566D">
      <w:pPr>
        <w:autoSpaceDE w:val="0"/>
        <w:autoSpaceDN w:val="0"/>
        <w:jc w:val="center"/>
        <w:rPr>
          <w:rFonts w:ascii="仿宋" w:hAnsi="仿宋" w:eastAsia="仿宋" w:cs="仿宋"/>
          <w:b/>
          <w:color w:val="auto"/>
          <w:spacing w:val="6"/>
          <w:sz w:val="32"/>
          <w:szCs w:val="32"/>
          <w:highlight w:val="none"/>
        </w:rPr>
      </w:pPr>
    </w:p>
    <w:p w14:paraId="7FA157F7">
      <w:pPr>
        <w:autoSpaceDE w:val="0"/>
        <w:autoSpaceDN w:val="0"/>
        <w:jc w:val="center"/>
        <w:rPr>
          <w:rFonts w:ascii="仿宋" w:hAnsi="仿宋" w:eastAsia="仿宋" w:cs="仿宋"/>
          <w:b/>
          <w:color w:val="auto"/>
          <w:spacing w:val="6"/>
          <w:sz w:val="32"/>
          <w:szCs w:val="32"/>
          <w:highlight w:val="none"/>
        </w:rPr>
      </w:pPr>
    </w:p>
    <w:p w14:paraId="61826AC6">
      <w:pPr>
        <w:autoSpaceDE w:val="0"/>
        <w:autoSpaceDN w:val="0"/>
        <w:jc w:val="center"/>
        <w:rPr>
          <w:rFonts w:ascii="仿宋" w:hAnsi="仿宋" w:eastAsia="仿宋" w:cs="仿宋"/>
          <w:b/>
          <w:color w:val="auto"/>
          <w:spacing w:val="6"/>
          <w:sz w:val="32"/>
          <w:szCs w:val="32"/>
          <w:highlight w:val="none"/>
        </w:rPr>
      </w:pPr>
    </w:p>
    <w:p w14:paraId="682D0704">
      <w:pPr>
        <w:autoSpaceDE w:val="0"/>
        <w:autoSpaceDN w:val="0"/>
        <w:jc w:val="center"/>
        <w:rPr>
          <w:rFonts w:ascii="仿宋" w:hAnsi="仿宋" w:eastAsia="仿宋" w:cs="仿宋"/>
          <w:b/>
          <w:color w:val="auto"/>
          <w:spacing w:val="6"/>
          <w:sz w:val="32"/>
          <w:szCs w:val="32"/>
          <w:highlight w:val="none"/>
        </w:rPr>
      </w:pPr>
    </w:p>
    <w:p w14:paraId="2986F00A">
      <w:pPr>
        <w:pStyle w:val="81"/>
        <w:rPr>
          <w:rFonts w:ascii="仿宋" w:hAnsi="仿宋" w:eastAsia="仿宋" w:cs="仿宋"/>
          <w:b/>
          <w:color w:val="auto"/>
          <w:spacing w:val="6"/>
          <w:sz w:val="32"/>
          <w:szCs w:val="32"/>
          <w:highlight w:val="none"/>
        </w:rPr>
      </w:pPr>
    </w:p>
    <w:p w14:paraId="4C0A7BCA">
      <w:pPr>
        <w:pStyle w:val="82"/>
        <w:rPr>
          <w:rFonts w:ascii="仿宋" w:hAnsi="仿宋" w:eastAsia="仿宋" w:cs="仿宋"/>
          <w:b/>
          <w:color w:val="auto"/>
          <w:spacing w:val="6"/>
          <w:sz w:val="32"/>
          <w:szCs w:val="32"/>
          <w:highlight w:val="none"/>
        </w:rPr>
      </w:pPr>
    </w:p>
    <w:p w14:paraId="4ADAB62E">
      <w:pPr>
        <w:spacing w:line="360" w:lineRule="auto"/>
        <w:rPr>
          <w:rFonts w:ascii="仿宋" w:hAnsi="仿宋" w:eastAsia="仿宋" w:cs="仿宋"/>
          <w:b/>
          <w:color w:val="auto"/>
          <w:spacing w:val="6"/>
          <w:sz w:val="32"/>
          <w:szCs w:val="32"/>
          <w:highlight w:val="none"/>
        </w:rPr>
      </w:pPr>
      <w:bookmarkStart w:id="78" w:name="OLE_LINK13"/>
      <w:bookmarkStart w:id="79" w:name="OLE_LINK14"/>
    </w:p>
    <w:p w14:paraId="5FC8ED01">
      <w:pPr>
        <w:rPr>
          <w:rFonts w:ascii="仿宋" w:hAnsi="仿宋" w:eastAsia="仿宋" w:cs="仿宋"/>
          <w:b/>
          <w:color w:val="auto"/>
          <w:spacing w:val="6"/>
          <w:sz w:val="32"/>
          <w:szCs w:val="32"/>
          <w:highlight w:val="none"/>
        </w:rPr>
      </w:pPr>
    </w:p>
    <w:p w14:paraId="64D6AF3E">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CBE5EFC">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0479CD83">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78"/>
    <w:bookmarkEnd w:id="79"/>
    <w:p w14:paraId="1B401A8F">
      <w:pPr>
        <w:spacing w:line="360" w:lineRule="auto"/>
        <w:rPr>
          <w:rFonts w:ascii="仿宋" w:hAnsi="仿宋" w:eastAsia="仿宋" w:cs="仿宋"/>
          <w:b/>
          <w:color w:val="auto"/>
          <w:spacing w:val="6"/>
          <w:sz w:val="30"/>
          <w:szCs w:val="30"/>
          <w:highlight w:val="none"/>
        </w:rPr>
      </w:pPr>
    </w:p>
    <w:p w14:paraId="6F4D3A3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eastAsia="zh-CN"/>
        </w:rPr>
        <w:t>华舍小学扩建改造工程（一期）数字化设备等采购项目</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0CF5722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2536A84">
      <w:pPr>
        <w:spacing w:line="360" w:lineRule="auto"/>
        <w:ind w:firstLine="480" w:firstLineChars="200"/>
        <w:rPr>
          <w:rFonts w:ascii="仿宋" w:hAnsi="仿宋" w:eastAsia="仿宋" w:cs="仿宋"/>
          <w:color w:val="auto"/>
          <w:sz w:val="24"/>
          <w:highlight w:val="none"/>
        </w:rPr>
      </w:pPr>
    </w:p>
    <w:p w14:paraId="6FE15629">
      <w:pPr>
        <w:spacing w:line="360" w:lineRule="auto"/>
        <w:ind w:firstLine="480" w:firstLineChars="200"/>
        <w:rPr>
          <w:rFonts w:ascii="仿宋" w:hAnsi="仿宋" w:eastAsia="仿宋" w:cs="仿宋"/>
          <w:color w:val="auto"/>
          <w:sz w:val="24"/>
          <w:highlight w:val="none"/>
        </w:rPr>
      </w:pPr>
    </w:p>
    <w:p w14:paraId="2208485E">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CBB14DA">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140021F">
      <w:pPr>
        <w:autoSpaceDE w:val="0"/>
        <w:autoSpaceDN w:val="0"/>
        <w:jc w:val="center"/>
        <w:rPr>
          <w:rFonts w:ascii="仿宋" w:hAnsi="仿宋" w:eastAsia="仿宋" w:cs="仿宋"/>
          <w:b/>
          <w:color w:val="auto"/>
          <w:spacing w:val="6"/>
          <w:sz w:val="32"/>
          <w:szCs w:val="32"/>
          <w:highlight w:val="none"/>
        </w:rPr>
      </w:pPr>
    </w:p>
    <w:p w14:paraId="6C723F33">
      <w:pPr>
        <w:autoSpaceDE w:val="0"/>
        <w:autoSpaceDN w:val="0"/>
        <w:jc w:val="center"/>
        <w:rPr>
          <w:rFonts w:ascii="仿宋" w:hAnsi="仿宋" w:eastAsia="仿宋" w:cs="仿宋"/>
          <w:b/>
          <w:color w:val="auto"/>
          <w:spacing w:val="6"/>
          <w:sz w:val="32"/>
          <w:szCs w:val="32"/>
          <w:highlight w:val="none"/>
        </w:rPr>
      </w:pPr>
    </w:p>
    <w:p w14:paraId="5EA7D877">
      <w:pPr>
        <w:autoSpaceDE w:val="0"/>
        <w:autoSpaceDN w:val="0"/>
        <w:jc w:val="center"/>
        <w:rPr>
          <w:rFonts w:ascii="仿宋" w:hAnsi="仿宋" w:eastAsia="仿宋" w:cs="仿宋"/>
          <w:b/>
          <w:color w:val="auto"/>
          <w:spacing w:val="6"/>
          <w:sz w:val="32"/>
          <w:szCs w:val="32"/>
          <w:highlight w:val="none"/>
        </w:rPr>
      </w:pPr>
    </w:p>
    <w:p w14:paraId="323EF9E0">
      <w:pPr>
        <w:autoSpaceDE w:val="0"/>
        <w:autoSpaceDN w:val="0"/>
        <w:jc w:val="center"/>
        <w:rPr>
          <w:rFonts w:ascii="仿宋" w:hAnsi="仿宋" w:eastAsia="仿宋" w:cs="仿宋"/>
          <w:b/>
          <w:color w:val="auto"/>
          <w:spacing w:val="6"/>
          <w:sz w:val="32"/>
          <w:szCs w:val="32"/>
          <w:highlight w:val="none"/>
        </w:rPr>
      </w:pPr>
    </w:p>
    <w:p w14:paraId="29770D6F">
      <w:pPr>
        <w:autoSpaceDE w:val="0"/>
        <w:autoSpaceDN w:val="0"/>
        <w:jc w:val="center"/>
        <w:rPr>
          <w:rFonts w:ascii="仿宋" w:hAnsi="仿宋" w:eastAsia="仿宋" w:cs="仿宋"/>
          <w:b/>
          <w:color w:val="auto"/>
          <w:spacing w:val="6"/>
          <w:sz w:val="32"/>
          <w:szCs w:val="32"/>
          <w:highlight w:val="none"/>
        </w:rPr>
      </w:pPr>
    </w:p>
    <w:p w14:paraId="6A3E64F2">
      <w:pPr>
        <w:autoSpaceDE w:val="0"/>
        <w:autoSpaceDN w:val="0"/>
        <w:jc w:val="center"/>
        <w:rPr>
          <w:rFonts w:ascii="仿宋" w:hAnsi="仿宋" w:eastAsia="仿宋" w:cs="仿宋"/>
          <w:b/>
          <w:color w:val="auto"/>
          <w:spacing w:val="6"/>
          <w:sz w:val="32"/>
          <w:szCs w:val="32"/>
          <w:highlight w:val="none"/>
        </w:rPr>
      </w:pPr>
    </w:p>
    <w:p w14:paraId="11581753">
      <w:pPr>
        <w:autoSpaceDE w:val="0"/>
        <w:autoSpaceDN w:val="0"/>
        <w:jc w:val="center"/>
        <w:rPr>
          <w:rFonts w:ascii="仿宋" w:hAnsi="仿宋" w:eastAsia="仿宋" w:cs="仿宋"/>
          <w:b/>
          <w:color w:val="auto"/>
          <w:spacing w:val="6"/>
          <w:sz w:val="32"/>
          <w:szCs w:val="32"/>
          <w:highlight w:val="none"/>
        </w:rPr>
      </w:pPr>
    </w:p>
    <w:p w14:paraId="256873E1">
      <w:pPr>
        <w:autoSpaceDE w:val="0"/>
        <w:autoSpaceDN w:val="0"/>
        <w:jc w:val="center"/>
        <w:rPr>
          <w:rFonts w:ascii="仿宋" w:hAnsi="仿宋" w:eastAsia="仿宋" w:cs="仿宋"/>
          <w:b/>
          <w:color w:val="auto"/>
          <w:spacing w:val="6"/>
          <w:sz w:val="32"/>
          <w:szCs w:val="32"/>
          <w:highlight w:val="none"/>
        </w:rPr>
      </w:pPr>
    </w:p>
    <w:p w14:paraId="6E04ED81">
      <w:pPr>
        <w:autoSpaceDE w:val="0"/>
        <w:autoSpaceDN w:val="0"/>
        <w:jc w:val="center"/>
        <w:rPr>
          <w:rFonts w:ascii="仿宋" w:hAnsi="仿宋" w:eastAsia="仿宋" w:cs="仿宋"/>
          <w:b/>
          <w:color w:val="auto"/>
          <w:spacing w:val="6"/>
          <w:sz w:val="32"/>
          <w:szCs w:val="32"/>
          <w:highlight w:val="none"/>
        </w:rPr>
      </w:pPr>
    </w:p>
    <w:p w14:paraId="413C7258">
      <w:pPr>
        <w:autoSpaceDE w:val="0"/>
        <w:autoSpaceDN w:val="0"/>
        <w:jc w:val="center"/>
        <w:rPr>
          <w:rFonts w:ascii="仿宋" w:hAnsi="仿宋" w:eastAsia="仿宋" w:cs="仿宋"/>
          <w:b/>
          <w:color w:val="auto"/>
          <w:spacing w:val="6"/>
          <w:sz w:val="32"/>
          <w:szCs w:val="32"/>
          <w:highlight w:val="none"/>
        </w:rPr>
      </w:pPr>
    </w:p>
    <w:p w14:paraId="7B9A430A">
      <w:pPr>
        <w:autoSpaceDE w:val="0"/>
        <w:autoSpaceDN w:val="0"/>
        <w:jc w:val="center"/>
        <w:rPr>
          <w:rFonts w:ascii="仿宋" w:hAnsi="仿宋" w:eastAsia="仿宋" w:cs="仿宋"/>
          <w:b/>
          <w:color w:val="auto"/>
          <w:spacing w:val="6"/>
          <w:sz w:val="32"/>
          <w:szCs w:val="32"/>
          <w:highlight w:val="none"/>
        </w:rPr>
      </w:pPr>
    </w:p>
    <w:p w14:paraId="05B60A70">
      <w:pPr>
        <w:autoSpaceDE w:val="0"/>
        <w:autoSpaceDN w:val="0"/>
        <w:jc w:val="center"/>
        <w:rPr>
          <w:rFonts w:ascii="仿宋" w:hAnsi="仿宋" w:eastAsia="仿宋" w:cs="仿宋"/>
          <w:b/>
          <w:color w:val="auto"/>
          <w:spacing w:val="6"/>
          <w:sz w:val="32"/>
          <w:szCs w:val="32"/>
          <w:highlight w:val="none"/>
        </w:rPr>
      </w:pPr>
    </w:p>
    <w:p w14:paraId="493FD47A">
      <w:pPr>
        <w:autoSpaceDE w:val="0"/>
        <w:autoSpaceDN w:val="0"/>
        <w:jc w:val="center"/>
        <w:rPr>
          <w:rFonts w:ascii="仿宋" w:hAnsi="仿宋" w:eastAsia="仿宋" w:cs="仿宋"/>
          <w:b/>
          <w:color w:val="auto"/>
          <w:spacing w:val="6"/>
          <w:sz w:val="32"/>
          <w:szCs w:val="32"/>
          <w:highlight w:val="none"/>
        </w:rPr>
      </w:pPr>
    </w:p>
    <w:p w14:paraId="2A396CBE">
      <w:pPr>
        <w:autoSpaceDE w:val="0"/>
        <w:autoSpaceDN w:val="0"/>
        <w:jc w:val="center"/>
        <w:rPr>
          <w:rFonts w:ascii="仿宋" w:hAnsi="仿宋" w:eastAsia="仿宋" w:cs="仿宋"/>
          <w:b/>
          <w:color w:val="auto"/>
          <w:spacing w:val="6"/>
          <w:sz w:val="32"/>
          <w:szCs w:val="32"/>
          <w:highlight w:val="none"/>
        </w:rPr>
      </w:pPr>
    </w:p>
    <w:p w14:paraId="51898BEF">
      <w:pPr>
        <w:spacing w:line="360" w:lineRule="auto"/>
        <w:rPr>
          <w:rFonts w:ascii="仿宋" w:hAnsi="仿宋" w:eastAsia="仿宋" w:cs="仿宋"/>
          <w:b/>
          <w:color w:val="auto"/>
          <w:spacing w:val="6"/>
          <w:sz w:val="32"/>
          <w:szCs w:val="32"/>
          <w:highlight w:val="none"/>
        </w:rPr>
      </w:pPr>
    </w:p>
    <w:p w14:paraId="4730FFBA">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C1B6570">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269D32F1">
      <w:pPr>
        <w:jc w:val="center"/>
        <w:rPr>
          <w:rFonts w:ascii="仿宋" w:hAnsi="仿宋" w:eastAsia="仿宋" w:cs="仿宋"/>
          <w:color w:val="auto"/>
          <w:sz w:val="24"/>
          <w:highlight w:val="none"/>
          <w:u w:val="single"/>
        </w:rPr>
      </w:pPr>
    </w:p>
    <w:p w14:paraId="6FB619D2">
      <w:pPr>
        <w:snapToGrid w:val="0"/>
        <w:spacing w:before="50" w:after="50"/>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中小企业声明函（货物）</w:t>
      </w:r>
    </w:p>
    <w:p w14:paraId="01413A33">
      <w:pPr>
        <w:snapToGrid w:val="0"/>
        <w:spacing w:line="360" w:lineRule="auto"/>
        <w:rPr>
          <w:rFonts w:ascii="仿宋" w:hAnsi="仿宋" w:eastAsia="仿宋" w:cs="仿宋"/>
          <w:color w:val="auto"/>
          <w:sz w:val="28"/>
          <w:szCs w:val="28"/>
          <w:highlight w:val="none"/>
        </w:rPr>
      </w:pPr>
    </w:p>
    <w:p w14:paraId="2CE595D3">
      <w:pPr>
        <w:snapToGrid w:val="0"/>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s="仿宋"/>
          <w:color w:val="auto"/>
          <w:sz w:val="28"/>
          <w:szCs w:val="28"/>
          <w:highlight w:val="none"/>
          <w:u w:val="single"/>
          <w:lang w:eastAsia="zh-CN"/>
        </w:rPr>
        <w:t>绍兴市柯桥区华舍小学</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u w:val="single"/>
          <w:lang w:eastAsia="zh-CN"/>
        </w:rPr>
        <w:t>华舍小学扩建改造工程（一期）数字化设备等采购项目</w:t>
      </w:r>
      <w:r>
        <w:rPr>
          <w:rFonts w:hint="eastAsia" w:ascii="仿宋" w:hAnsi="仿宋" w:eastAsia="仿宋" w:cs="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0CCE3CF8">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F95E6DB">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763B82E5">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0A43BE58">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AAC7DC6">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EAE29AF">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146C35D">
            <w:pPr>
              <w:widowControl/>
              <w:jc w:val="center"/>
              <w:textAlignment w:val="center"/>
              <w:rPr>
                <w:rFonts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营业收入</w:t>
            </w:r>
          </w:p>
          <w:p w14:paraId="48CCF468">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6717994">
            <w:pPr>
              <w:widowControl/>
              <w:jc w:val="center"/>
              <w:textAlignment w:val="center"/>
              <w:rPr>
                <w:rFonts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资产总额</w:t>
            </w:r>
          </w:p>
          <w:p w14:paraId="0B290D5E">
            <w:pPr>
              <w:widowControl/>
              <w:jc w:val="center"/>
              <w:textAlignment w:val="center"/>
              <w:rPr>
                <w:rFonts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5741C81">
            <w:pPr>
              <w:widowControl/>
              <w:jc w:val="center"/>
              <w:textAlignment w:val="center"/>
              <w:rPr>
                <w:rFonts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属于（中型企业、小型企业、微型企业）</w:t>
            </w:r>
          </w:p>
        </w:tc>
      </w:tr>
      <w:tr w14:paraId="003879C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ED5B11A">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4BFE7CFE">
            <w:pPr>
              <w:widowControl/>
              <w:jc w:val="center"/>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4C49838">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43B480E">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2F00BFC">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C712D08">
            <w:pPr>
              <w:widowControl/>
              <w:spacing w:before="24" w:beforeLines="10" w:after="24" w:afterLines="10"/>
              <w:jc w:val="center"/>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9F506A8">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13BF993">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r>
      <w:tr w14:paraId="3A1D13B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42C2218">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51DAB856">
            <w:pPr>
              <w:widowControl/>
              <w:tabs>
                <w:tab w:val="center" w:pos="822"/>
                <w:tab w:val="right" w:pos="1524"/>
              </w:tabs>
              <w:jc w:val="left"/>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69884D9">
            <w:pPr>
              <w:spacing w:before="24" w:beforeLines="10" w:after="24" w:afterLines="10"/>
              <w:jc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94A35F3">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20D76DA">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192231E">
            <w:pPr>
              <w:widowControl/>
              <w:spacing w:before="24" w:beforeLines="10" w:after="24" w:afterLines="10"/>
              <w:jc w:val="left"/>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8C12D08">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3BE7BF9">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r>
      <w:tr w14:paraId="256904E2">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432038A">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3393409B">
            <w:pPr>
              <w:widowControl/>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DE32ACE">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7E7B900">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2FEBEEA">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172D4AE">
            <w:pPr>
              <w:widowControl/>
              <w:spacing w:before="24" w:beforeLines="10" w:after="24" w:afterLines="10"/>
              <w:jc w:val="left"/>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AAD81F9">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0DCF30E">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r>
      <w:tr w14:paraId="48BF63BD">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1CD63A2">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5E092656">
            <w:pPr>
              <w:widowControl/>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D8D1DA6">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677748C">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D70F89B">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8274E8B">
            <w:pPr>
              <w:widowControl/>
              <w:spacing w:before="24" w:beforeLines="10" w:after="24" w:afterLines="10"/>
              <w:jc w:val="left"/>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CD2B005">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7668CB2">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r>
      <w:tr w14:paraId="3DA819F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80700CC">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0F3592B5">
            <w:pPr>
              <w:widowControl/>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5DD3AD5">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0146E5C">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58652B9">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62800EE">
            <w:pPr>
              <w:widowControl/>
              <w:spacing w:before="24" w:beforeLines="10" w:after="24" w:afterLines="10"/>
              <w:jc w:val="center"/>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C736A9F">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16940AF">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r>
      <w:tr w14:paraId="160B3A5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FE9321F">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17502363">
            <w:pPr>
              <w:widowControl/>
              <w:jc w:val="center"/>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0338432">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DAE7AC9">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75D4CAF">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5BD9261">
            <w:pPr>
              <w:widowControl/>
              <w:spacing w:before="24" w:beforeLines="10" w:after="24" w:afterLines="10"/>
              <w:jc w:val="left"/>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C04B840">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9B93710">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r>
      <w:tr w14:paraId="0D2D8DC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025E27F">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70090FA5">
            <w:pPr>
              <w:widowControl/>
              <w:jc w:val="center"/>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94475BC">
            <w:pPr>
              <w:spacing w:before="24" w:beforeLines="10" w:after="24" w:afterLines="10"/>
              <w:jc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AD80407">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7B311CC">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063978B">
            <w:pPr>
              <w:widowControl/>
              <w:spacing w:before="24" w:beforeLines="10" w:after="24" w:afterLines="10"/>
              <w:jc w:val="left"/>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FBF5C51">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DDA62F2">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r>
      <w:tr w14:paraId="7491F011">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8679142">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6F77D3A5">
            <w:pPr>
              <w:widowControl/>
              <w:jc w:val="center"/>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07B8B77">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5E26EAF">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B42640C">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3A73F66">
            <w:pPr>
              <w:widowControl/>
              <w:spacing w:before="24" w:beforeLines="10" w:after="24" w:afterLines="10"/>
              <w:jc w:val="center"/>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4350AAD">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7EB4B1C">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r>
      <w:tr w14:paraId="75EF19B8">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4EA88F0">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7BDF8C50">
            <w:pPr>
              <w:widowControl/>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DA2D664">
            <w:pPr>
              <w:spacing w:before="24" w:beforeLines="10" w:after="24" w:afterLines="10"/>
              <w:jc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F00CB29">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78E70E0">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8EB6F5A">
            <w:pPr>
              <w:widowControl/>
              <w:spacing w:before="24" w:beforeLines="10" w:after="24" w:afterLines="10"/>
              <w:jc w:val="center"/>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A7BDA4F">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234B066">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r>
      <w:tr w14:paraId="680332A2">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8E826A7">
            <w:pPr>
              <w:widowControl/>
              <w:jc w:val="center"/>
              <w:textAlignment w:val="center"/>
              <w:rPr>
                <w:rFonts w:ascii="仿宋" w:hAnsi="仿宋" w:eastAsia="仿宋" w:cs="仿宋"/>
                <w:color w:val="auto"/>
                <w:kern w:val="0"/>
                <w:sz w:val="18"/>
                <w:szCs w:val="18"/>
                <w:highlight w:val="none"/>
                <w:lang w:bidi="ar"/>
              </w:rPr>
            </w:pPr>
            <w:r>
              <w:rPr>
                <w:rFonts w:ascii="仿宋" w:hAnsi="仿宋" w:eastAsia="仿宋" w:cs="仿宋"/>
                <w:color w:val="auto"/>
                <w:kern w:val="0"/>
                <w:sz w:val="18"/>
                <w:szCs w:val="18"/>
                <w:highlight w:val="none"/>
                <w:lang w:bidi="ar"/>
              </w:rPr>
              <w:t>…</w:t>
            </w:r>
          </w:p>
        </w:tc>
        <w:tc>
          <w:tcPr>
            <w:tcW w:w="1740" w:type="dxa"/>
            <w:tcBorders>
              <w:top w:val="single" w:color="000000" w:sz="4" w:space="0"/>
              <w:left w:val="single" w:color="000000" w:sz="4" w:space="0"/>
              <w:bottom w:val="single" w:color="000000" w:sz="4" w:space="0"/>
              <w:right w:val="single" w:color="000000" w:sz="4" w:space="0"/>
            </w:tcBorders>
            <w:vAlign w:val="center"/>
          </w:tcPr>
          <w:p w14:paraId="0EC294A2">
            <w:pPr>
              <w:widowControl/>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A1B7516">
            <w:pPr>
              <w:spacing w:before="24" w:beforeLines="10" w:after="24" w:afterLines="10"/>
              <w:jc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527C802">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6B10674">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21F135E">
            <w:pPr>
              <w:widowControl/>
              <w:spacing w:before="24" w:beforeLines="10" w:after="24" w:afterLines="10"/>
              <w:jc w:val="center"/>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213BEEE">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3AB7110">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r>
    </w:tbl>
    <w:p w14:paraId="642115CB">
      <w:pPr>
        <w:snapToGrid w:val="0"/>
        <w:spacing w:line="360" w:lineRule="auto"/>
        <w:ind w:firstLine="560" w:firstLineChars="200"/>
        <w:jc w:val="left"/>
        <w:rPr>
          <w:rFonts w:ascii="仿宋" w:hAnsi="仿宋" w:eastAsia="仿宋" w:cs="仿宋"/>
          <w:color w:val="auto"/>
          <w:sz w:val="28"/>
          <w:szCs w:val="28"/>
          <w:highlight w:val="none"/>
        </w:rPr>
      </w:pPr>
    </w:p>
    <w:p w14:paraId="197929DF">
      <w:pPr>
        <w:snapToGrid w:val="0"/>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以上企业，不属于大企业的分支机构，不存在控股股东为大企业的情形，也不存在与大企业的负责人为同一人的情形。 </w:t>
      </w:r>
    </w:p>
    <w:p w14:paraId="09B68368">
      <w:pPr>
        <w:snapToGrid w:val="0"/>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本企业对上述声明内容的真实性负责。如有虚假，将依法承担相应责任。</w:t>
      </w:r>
    </w:p>
    <w:p w14:paraId="086D489E">
      <w:pPr>
        <w:snapToGrid w:val="0"/>
        <w:spacing w:line="360" w:lineRule="auto"/>
        <w:ind w:left="3640" w:firstLine="560" w:firstLineChars="200"/>
        <w:jc w:val="lef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投标人名称（盖章）：</w:t>
      </w:r>
      <w:r>
        <w:rPr>
          <w:rFonts w:hint="eastAsia" w:ascii="仿宋" w:hAnsi="仿宋" w:eastAsia="仿宋" w:cs="仿宋"/>
          <w:color w:val="auto"/>
          <w:sz w:val="28"/>
          <w:szCs w:val="28"/>
          <w:highlight w:val="none"/>
          <w:u w:val="single"/>
        </w:rPr>
        <w:t xml:space="preserve">         </w:t>
      </w:r>
    </w:p>
    <w:p w14:paraId="2E6409BB">
      <w:pPr>
        <w:wordWrap w:val="0"/>
        <w:snapToGrid w:val="0"/>
        <w:spacing w:line="360" w:lineRule="auto"/>
        <w:ind w:right="1120"/>
        <w:jc w:val="righ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日  期：</w:t>
      </w:r>
      <w:r>
        <w:rPr>
          <w:rFonts w:hint="eastAsia" w:ascii="仿宋" w:hAnsi="仿宋" w:eastAsia="仿宋" w:cs="仿宋"/>
          <w:color w:val="auto"/>
          <w:sz w:val="28"/>
          <w:szCs w:val="28"/>
          <w:highlight w:val="none"/>
          <w:u w:val="single"/>
        </w:rPr>
        <w:t xml:space="preserve">            </w:t>
      </w:r>
    </w:p>
    <w:p w14:paraId="3A63D2B3">
      <w:pPr>
        <w:pStyle w:val="34"/>
        <w:spacing w:before="120" w:after="120" w:line="360" w:lineRule="auto"/>
        <w:ind w:firstLine="360" w:firstLineChars="200"/>
        <w:rPr>
          <w:rFonts w:ascii="仿宋" w:hAnsi="仿宋" w:eastAsia="仿宋" w:cs="仿宋"/>
          <w:color w:val="auto"/>
          <w:sz w:val="18"/>
          <w:highlight w:val="none"/>
        </w:rPr>
      </w:pPr>
      <w:r>
        <w:rPr>
          <w:rFonts w:hint="eastAsia" w:ascii="仿宋" w:hAnsi="仿宋" w:eastAsia="仿宋" w:cs="仿宋"/>
          <w:color w:val="auto"/>
          <w:sz w:val="18"/>
          <w:highlight w:val="none"/>
        </w:rPr>
        <w:t>从业人员、营业收入、资产总额填报上一年度数据，无上一年度数据的新成立企业可不填报。</w:t>
      </w:r>
    </w:p>
    <w:p w14:paraId="5AD6FBC9">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42F5B1CA">
      <w:pPr>
        <w:pStyle w:val="34"/>
        <w:spacing w:before="120" w:after="120" w:line="360" w:lineRule="auto"/>
        <w:ind w:firstLine="480" w:firstLineChars="200"/>
        <w:rPr>
          <w:rFonts w:ascii="仿宋" w:hAnsi="仿宋" w:eastAsia="仿宋" w:cs="仿宋"/>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 w:hAnsi="仿宋" w:eastAsia="仿宋" w:cs="仿宋"/>
          <w:bCs/>
          <w:color w:val="auto"/>
          <w:sz w:val="24"/>
          <w:highlight w:val="none"/>
        </w:rPr>
        <w:t>中小企业优惠措施中</w:t>
      </w:r>
      <w:r>
        <w:rPr>
          <w:rFonts w:hint="eastAsia" w:ascii="仿宋" w:hAnsi="仿宋" w:eastAsia="仿宋" w:cs="仿宋"/>
          <w:color w:val="auto"/>
          <w:sz w:val="24"/>
          <w:highlight w:val="none"/>
        </w:rPr>
        <w:t>所对应的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8A2322B">
      <w:pPr>
        <w:pageBreakBefore/>
        <w:shd w:val="clear" w:color="auto" w:fill="FFFFFF"/>
        <w:spacing w:line="42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0647DCC">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9F30B65">
      <w:pPr>
        <w:widowControl/>
        <w:shd w:val="clear" w:color="auto" w:fill="FFFFFF"/>
        <w:spacing w:before="150" w:line="420" w:lineRule="exac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853A997">
      <w:pPr>
        <w:widowControl/>
        <w:spacing w:line="420" w:lineRule="exact"/>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C2F49FD">
      <w:pPr>
        <w:widowControl/>
        <w:shd w:val="clear" w:color="auto" w:fill="FFFFFF"/>
        <w:spacing w:before="150" w:line="420" w:lineRule="exac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EBCB0B2">
      <w:pPr>
        <w:widowControl/>
        <w:shd w:val="clear" w:color="auto" w:fill="FFFFFF"/>
        <w:spacing w:before="150" w:line="420" w:lineRule="exac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9921788">
      <w:pPr>
        <w:pStyle w:val="23"/>
        <w:spacing w:line="420" w:lineRule="exact"/>
        <w:rPr>
          <w:color w:val="auto"/>
          <w:highlight w:val="none"/>
          <w:lang w:val="en-US"/>
        </w:rPr>
      </w:pPr>
    </w:p>
    <w:p w14:paraId="18EDE8D1">
      <w:pPr>
        <w:widowControl/>
        <w:shd w:val="clear" w:color="auto" w:fill="FFFFFF"/>
        <w:spacing w:before="150" w:line="42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AB4FE01">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6B63FA7">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3815FA4">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5BA6A58">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88EDFE9">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0B0722E">
      <w:pPr>
        <w:widowControl/>
        <w:shd w:val="clear" w:color="auto" w:fill="FFFFFF"/>
        <w:spacing w:before="150" w:line="38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CA5DDFD">
      <w:pPr>
        <w:widowControl/>
        <w:shd w:val="clear" w:color="auto" w:fill="FFFFFF"/>
        <w:spacing w:before="150" w:line="380" w:lineRule="exact"/>
        <w:jc w:val="left"/>
        <w:textAlignment w:val="baseline"/>
        <w:rPr>
          <w:rFonts w:ascii="仿宋" w:hAnsi="仿宋" w:eastAsia="仿宋" w:cs="仿宋"/>
          <w:color w:val="auto"/>
          <w:kern w:val="0"/>
          <w:szCs w:val="21"/>
          <w:highlight w:val="none"/>
        </w:rPr>
      </w:pPr>
    </w:p>
    <w:p w14:paraId="48D5B522">
      <w:pPr>
        <w:widowControl/>
        <w:shd w:val="clear" w:color="auto" w:fill="FFFFFF"/>
        <w:spacing w:before="150" w:line="38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DA77E0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BC69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7BBC37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E3F289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1D31F5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DB76C7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23FBB3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923D8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FFA379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2488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14A05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9F397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B28C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7392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920ED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2793E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42212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2AF9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5FC8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A9671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0293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16AC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72B1D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639AA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88BA4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8C68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42F940">
            <w:pPr>
              <w:widowControl/>
              <w:jc w:val="left"/>
              <w:rPr>
                <w:rFonts w:ascii="仿宋" w:hAnsi="仿宋" w:eastAsia="仿宋" w:cs="仿宋"/>
                <w:color w:val="auto"/>
                <w:kern w:val="0"/>
                <w:sz w:val="24"/>
                <w:highlight w:val="none"/>
              </w:rPr>
            </w:pPr>
          </w:p>
        </w:tc>
        <w:tc>
          <w:tcPr>
            <w:tcW w:w="1560" w:type="dxa"/>
            <w:vAlign w:val="center"/>
          </w:tcPr>
          <w:p w14:paraId="6519DC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860F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A1444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1D277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37BF3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0813F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FBC9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3184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C87C9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BAEB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64DF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A5AF6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3E4EB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25254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DA12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7FED77">
            <w:pPr>
              <w:widowControl/>
              <w:jc w:val="left"/>
              <w:rPr>
                <w:rFonts w:ascii="仿宋" w:hAnsi="仿宋" w:eastAsia="仿宋" w:cs="仿宋"/>
                <w:color w:val="auto"/>
                <w:kern w:val="0"/>
                <w:sz w:val="24"/>
                <w:highlight w:val="none"/>
              </w:rPr>
            </w:pPr>
          </w:p>
        </w:tc>
        <w:tc>
          <w:tcPr>
            <w:tcW w:w="1560" w:type="dxa"/>
            <w:vAlign w:val="center"/>
          </w:tcPr>
          <w:p w14:paraId="6F1A3A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D7B03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5D33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D5163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E74EF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9EAF5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5A60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3FDC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DF2C1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BA97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DAE6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15BB7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C87DC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3C3F9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BA4E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69ABFE">
            <w:pPr>
              <w:widowControl/>
              <w:jc w:val="left"/>
              <w:rPr>
                <w:rFonts w:ascii="仿宋" w:hAnsi="仿宋" w:eastAsia="仿宋" w:cs="仿宋"/>
                <w:color w:val="auto"/>
                <w:kern w:val="0"/>
                <w:sz w:val="24"/>
                <w:highlight w:val="none"/>
              </w:rPr>
            </w:pPr>
          </w:p>
        </w:tc>
        <w:tc>
          <w:tcPr>
            <w:tcW w:w="1560" w:type="dxa"/>
            <w:vAlign w:val="center"/>
          </w:tcPr>
          <w:p w14:paraId="5C6F48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B8A3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7887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7FB4F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DA69E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3F9F4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2364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0EE4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08BD0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AFAF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7A05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8A501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E8655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5696D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1AB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E9B051">
            <w:pPr>
              <w:widowControl/>
              <w:jc w:val="left"/>
              <w:rPr>
                <w:rFonts w:ascii="仿宋" w:hAnsi="仿宋" w:eastAsia="仿宋" w:cs="仿宋"/>
                <w:color w:val="auto"/>
                <w:kern w:val="0"/>
                <w:sz w:val="24"/>
                <w:highlight w:val="none"/>
              </w:rPr>
            </w:pPr>
          </w:p>
        </w:tc>
        <w:tc>
          <w:tcPr>
            <w:tcW w:w="1560" w:type="dxa"/>
            <w:vAlign w:val="center"/>
          </w:tcPr>
          <w:p w14:paraId="2747AF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0F03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D3D0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0DBAD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E9764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62A7B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976A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E788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69EBB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30D9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B155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D7DC4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190B7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6D6B3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1078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0BE99E">
            <w:pPr>
              <w:widowControl/>
              <w:jc w:val="left"/>
              <w:rPr>
                <w:rFonts w:ascii="仿宋" w:hAnsi="仿宋" w:eastAsia="仿宋" w:cs="仿宋"/>
                <w:color w:val="auto"/>
                <w:kern w:val="0"/>
                <w:sz w:val="24"/>
                <w:highlight w:val="none"/>
              </w:rPr>
            </w:pPr>
          </w:p>
        </w:tc>
        <w:tc>
          <w:tcPr>
            <w:tcW w:w="1560" w:type="dxa"/>
            <w:vAlign w:val="center"/>
          </w:tcPr>
          <w:p w14:paraId="4C9F01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890C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8311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178A3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9CF37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144CC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6242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0519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83C11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7C44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459C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83F93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376F5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2B06E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0DD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F7BD10">
            <w:pPr>
              <w:widowControl/>
              <w:jc w:val="left"/>
              <w:rPr>
                <w:rFonts w:ascii="仿宋" w:hAnsi="仿宋" w:eastAsia="仿宋" w:cs="仿宋"/>
                <w:color w:val="auto"/>
                <w:kern w:val="0"/>
                <w:sz w:val="24"/>
                <w:highlight w:val="none"/>
              </w:rPr>
            </w:pPr>
          </w:p>
        </w:tc>
        <w:tc>
          <w:tcPr>
            <w:tcW w:w="1560" w:type="dxa"/>
            <w:vAlign w:val="center"/>
          </w:tcPr>
          <w:p w14:paraId="2C4E40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0701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5930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D7E1C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27456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C3907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B806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BC14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E0F4D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B63A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F383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D6FB3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34C81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3F407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A14F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5DE705">
            <w:pPr>
              <w:widowControl/>
              <w:jc w:val="left"/>
              <w:rPr>
                <w:rFonts w:ascii="仿宋" w:hAnsi="仿宋" w:eastAsia="仿宋" w:cs="仿宋"/>
                <w:color w:val="auto"/>
                <w:kern w:val="0"/>
                <w:sz w:val="24"/>
                <w:highlight w:val="none"/>
              </w:rPr>
            </w:pPr>
          </w:p>
        </w:tc>
        <w:tc>
          <w:tcPr>
            <w:tcW w:w="1560" w:type="dxa"/>
            <w:vAlign w:val="center"/>
          </w:tcPr>
          <w:p w14:paraId="6E116B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D9CE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85E9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676BC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9A630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B5239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BFC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0142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11C85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8218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2F9A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041EE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B9C99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B361C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267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45F384">
            <w:pPr>
              <w:widowControl/>
              <w:jc w:val="left"/>
              <w:rPr>
                <w:rFonts w:ascii="仿宋" w:hAnsi="仿宋" w:eastAsia="仿宋" w:cs="仿宋"/>
                <w:color w:val="auto"/>
                <w:kern w:val="0"/>
                <w:sz w:val="24"/>
                <w:highlight w:val="none"/>
              </w:rPr>
            </w:pPr>
          </w:p>
        </w:tc>
        <w:tc>
          <w:tcPr>
            <w:tcW w:w="1560" w:type="dxa"/>
            <w:vAlign w:val="center"/>
          </w:tcPr>
          <w:p w14:paraId="6CD4A2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1461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5A5F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6CF40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3B79C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344DE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FC58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025C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42D17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C712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45D2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F84F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415C6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C58F9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E8D4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C824BA">
            <w:pPr>
              <w:widowControl/>
              <w:jc w:val="left"/>
              <w:rPr>
                <w:rFonts w:ascii="仿宋" w:hAnsi="仿宋" w:eastAsia="仿宋" w:cs="仿宋"/>
                <w:color w:val="auto"/>
                <w:kern w:val="0"/>
                <w:sz w:val="24"/>
                <w:highlight w:val="none"/>
              </w:rPr>
            </w:pPr>
          </w:p>
        </w:tc>
        <w:tc>
          <w:tcPr>
            <w:tcW w:w="1560" w:type="dxa"/>
            <w:vAlign w:val="center"/>
          </w:tcPr>
          <w:p w14:paraId="1AC9D7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D747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4ECC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BE9D3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38C9F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E3803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A78F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9F45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B9499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239C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FBCE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275A6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CFB6E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D11AD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FA3B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615B51">
            <w:pPr>
              <w:widowControl/>
              <w:jc w:val="left"/>
              <w:rPr>
                <w:rFonts w:ascii="仿宋" w:hAnsi="仿宋" w:eastAsia="仿宋" w:cs="仿宋"/>
                <w:color w:val="auto"/>
                <w:kern w:val="0"/>
                <w:sz w:val="24"/>
                <w:highlight w:val="none"/>
              </w:rPr>
            </w:pPr>
          </w:p>
        </w:tc>
        <w:tc>
          <w:tcPr>
            <w:tcW w:w="1560" w:type="dxa"/>
            <w:vAlign w:val="center"/>
          </w:tcPr>
          <w:p w14:paraId="64E39E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1E79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8DB6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054D6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7D76A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6A25E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AC3C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38AF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095D6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CD41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F9CA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37B47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2905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36B59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376C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197BAD">
            <w:pPr>
              <w:widowControl/>
              <w:jc w:val="left"/>
              <w:rPr>
                <w:rFonts w:ascii="仿宋" w:hAnsi="仿宋" w:eastAsia="仿宋" w:cs="仿宋"/>
                <w:color w:val="auto"/>
                <w:kern w:val="0"/>
                <w:sz w:val="24"/>
                <w:highlight w:val="none"/>
              </w:rPr>
            </w:pPr>
          </w:p>
        </w:tc>
        <w:tc>
          <w:tcPr>
            <w:tcW w:w="1560" w:type="dxa"/>
            <w:vAlign w:val="center"/>
          </w:tcPr>
          <w:p w14:paraId="66B03C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2C49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9B14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63F3D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542DE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54BFB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0382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0DC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B0923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7DC9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EEB3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6196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97E0E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15771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141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5A177">
            <w:pPr>
              <w:widowControl/>
              <w:jc w:val="left"/>
              <w:rPr>
                <w:rFonts w:ascii="仿宋" w:hAnsi="仿宋" w:eastAsia="仿宋" w:cs="仿宋"/>
                <w:color w:val="auto"/>
                <w:kern w:val="0"/>
                <w:sz w:val="24"/>
                <w:highlight w:val="none"/>
              </w:rPr>
            </w:pPr>
          </w:p>
        </w:tc>
        <w:tc>
          <w:tcPr>
            <w:tcW w:w="1560" w:type="dxa"/>
            <w:vAlign w:val="center"/>
          </w:tcPr>
          <w:p w14:paraId="18B2E7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629F7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C8BC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8BA1A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A7DF3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62D31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23F8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440D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72E8C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C7CD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C64F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A8E4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4B61F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892EE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CE5E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422176">
            <w:pPr>
              <w:widowControl/>
              <w:jc w:val="left"/>
              <w:rPr>
                <w:rFonts w:ascii="仿宋" w:hAnsi="仿宋" w:eastAsia="仿宋" w:cs="仿宋"/>
                <w:color w:val="auto"/>
                <w:kern w:val="0"/>
                <w:sz w:val="24"/>
                <w:highlight w:val="none"/>
              </w:rPr>
            </w:pPr>
          </w:p>
        </w:tc>
        <w:tc>
          <w:tcPr>
            <w:tcW w:w="1560" w:type="dxa"/>
            <w:vAlign w:val="center"/>
          </w:tcPr>
          <w:p w14:paraId="06BE90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76CE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6256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F1D5C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C9EE2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B08F0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0177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BBD6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0C0432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944A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7C6C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BD284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635A5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ECEB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0839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3655DD">
            <w:pPr>
              <w:widowControl/>
              <w:jc w:val="left"/>
              <w:rPr>
                <w:rFonts w:ascii="仿宋" w:hAnsi="仿宋" w:eastAsia="仿宋" w:cs="仿宋"/>
                <w:color w:val="auto"/>
                <w:kern w:val="0"/>
                <w:sz w:val="24"/>
                <w:highlight w:val="none"/>
              </w:rPr>
            </w:pPr>
          </w:p>
        </w:tc>
        <w:tc>
          <w:tcPr>
            <w:tcW w:w="1560" w:type="dxa"/>
            <w:vAlign w:val="center"/>
          </w:tcPr>
          <w:p w14:paraId="4E88E0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72513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E670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B45B1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3430C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B8C99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D666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19114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87F65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6F0FB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62E2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18795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78EBA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CB276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B46554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7524F3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89DBEF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66495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F34836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E10717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FF5D6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87F0E8F">
      <w:pPr>
        <w:widowControl/>
        <w:jc w:val="left"/>
        <w:rPr>
          <w:rFonts w:ascii="仿宋" w:hAnsi="仿宋" w:eastAsia="仿宋" w:cs="仿宋"/>
          <w:color w:val="auto"/>
          <w:kern w:val="0"/>
          <w:sz w:val="24"/>
          <w:highlight w:val="none"/>
        </w:rPr>
      </w:pPr>
    </w:p>
    <w:p w14:paraId="116D8F8B">
      <w:pPr>
        <w:widowControl/>
        <w:jc w:val="left"/>
        <w:rPr>
          <w:rFonts w:ascii="仿宋" w:hAnsi="仿宋" w:eastAsia="仿宋" w:cs="仿宋"/>
          <w:color w:val="auto"/>
          <w:kern w:val="0"/>
          <w:sz w:val="24"/>
          <w:highlight w:val="none"/>
        </w:rPr>
      </w:pPr>
    </w:p>
    <w:p w14:paraId="5473F46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C8B7C01">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709B5D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655B2B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CC63139">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C97739F">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18C66C7">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37581261">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6D0E562F">
      <w:pPr>
        <w:widowControl/>
        <w:jc w:val="left"/>
        <w:rPr>
          <w:rFonts w:ascii="仿宋" w:hAnsi="仿宋" w:eastAsia="仿宋" w:cs="仿宋"/>
          <w:color w:val="auto"/>
          <w:kern w:val="0"/>
          <w:sz w:val="18"/>
          <w:szCs w:val="18"/>
          <w:highlight w:val="none"/>
        </w:rPr>
      </w:pPr>
    </w:p>
    <w:p w14:paraId="2ABE6B65">
      <w:pPr>
        <w:widowControl/>
        <w:jc w:val="left"/>
        <w:rPr>
          <w:rFonts w:ascii="仿宋" w:hAnsi="仿宋" w:eastAsia="仿宋" w:cs="仿宋"/>
          <w:color w:val="auto"/>
          <w:kern w:val="0"/>
          <w:sz w:val="18"/>
          <w:szCs w:val="18"/>
          <w:highlight w:val="none"/>
        </w:rPr>
      </w:pPr>
    </w:p>
    <w:p w14:paraId="701E7E11">
      <w:pPr>
        <w:widowControl/>
        <w:jc w:val="left"/>
        <w:rPr>
          <w:rFonts w:ascii="仿宋" w:hAnsi="仿宋" w:eastAsia="仿宋" w:cs="仿宋"/>
          <w:color w:val="auto"/>
          <w:kern w:val="0"/>
          <w:sz w:val="18"/>
          <w:szCs w:val="18"/>
          <w:highlight w:val="none"/>
        </w:rPr>
      </w:pPr>
    </w:p>
    <w:p w14:paraId="647F21BC">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BCA65DC">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77161DD">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EE7086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C753D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88BE01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9D235A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DF64DC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27901E2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4624022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AB81AA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5D6E247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59F1960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4AB4D8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3FA56F5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25204D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66D55E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44D7D5C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80FC77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A14B5D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27B33B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046F76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1899262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43E6AB0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4813825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2C2312E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十一、本规定自发布之日起实施。</w:t>
      </w:r>
    </w:p>
    <w:p w14:paraId="40C3CF5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A883DD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FCF4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AEA432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927A84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BBF525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C102F2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6400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9152A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ABF52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C466D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09094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33659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2C6F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8FC148">
            <w:pPr>
              <w:widowControl/>
              <w:jc w:val="left"/>
              <w:rPr>
                <w:rFonts w:ascii="仿宋" w:hAnsi="仿宋" w:eastAsia="仿宋" w:cs="仿宋"/>
                <w:color w:val="auto"/>
                <w:kern w:val="0"/>
                <w:sz w:val="24"/>
                <w:highlight w:val="none"/>
              </w:rPr>
            </w:pPr>
          </w:p>
        </w:tc>
        <w:tc>
          <w:tcPr>
            <w:tcW w:w="1025" w:type="dxa"/>
            <w:vMerge w:val="continue"/>
            <w:vAlign w:val="center"/>
          </w:tcPr>
          <w:p w14:paraId="7B06340C">
            <w:pPr>
              <w:widowControl/>
              <w:jc w:val="left"/>
              <w:rPr>
                <w:rFonts w:ascii="仿宋" w:hAnsi="仿宋" w:eastAsia="仿宋" w:cs="仿宋"/>
                <w:color w:val="auto"/>
                <w:kern w:val="0"/>
                <w:sz w:val="24"/>
                <w:highlight w:val="none"/>
              </w:rPr>
            </w:pPr>
          </w:p>
        </w:tc>
        <w:tc>
          <w:tcPr>
            <w:tcW w:w="2836" w:type="dxa"/>
            <w:vMerge w:val="continue"/>
            <w:vAlign w:val="center"/>
          </w:tcPr>
          <w:p w14:paraId="6A39D92A">
            <w:pPr>
              <w:widowControl/>
              <w:jc w:val="left"/>
              <w:rPr>
                <w:rFonts w:ascii="仿宋" w:hAnsi="仿宋" w:eastAsia="仿宋" w:cs="仿宋"/>
                <w:color w:val="auto"/>
                <w:kern w:val="0"/>
                <w:sz w:val="24"/>
                <w:highlight w:val="none"/>
              </w:rPr>
            </w:pPr>
          </w:p>
        </w:tc>
        <w:tc>
          <w:tcPr>
            <w:tcW w:w="606" w:type="dxa"/>
            <w:vAlign w:val="center"/>
          </w:tcPr>
          <w:p w14:paraId="1F0C48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A496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08DB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89418B">
            <w:pPr>
              <w:widowControl/>
              <w:jc w:val="left"/>
              <w:rPr>
                <w:rFonts w:ascii="仿宋" w:hAnsi="仿宋" w:eastAsia="仿宋" w:cs="仿宋"/>
                <w:color w:val="auto"/>
                <w:kern w:val="0"/>
                <w:sz w:val="24"/>
                <w:highlight w:val="none"/>
              </w:rPr>
            </w:pPr>
          </w:p>
        </w:tc>
        <w:tc>
          <w:tcPr>
            <w:tcW w:w="1025" w:type="dxa"/>
            <w:vMerge w:val="continue"/>
            <w:vAlign w:val="center"/>
          </w:tcPr>
          <w:p w14:paraId="1734E239">
            <w:pPr>
              <w:widowControl/>
              <w:jc w:val="left"/>
              <w:rPr>
                <w:rFonts w:ascii="仿宋" w:hAnsi="仿宋" w:eastAsia="仿宋" w:cs="仿宋"/>
                <w:color w:val="auto"/>
                <w:kern w:val="0"/>
                <w:sz w:val="24"/>
                <w:highlight w:val="none"/>
              </w:rPr>
            </w:pPr>
          </w:p>
        </w:tc>
        <w:tc>
          <w:tcPr>
            <w:tcW w:w="2836" w:type="dxa"/>
            <w:vMerge w:val="continue"/>
            <w:vAlign w:val="center"/>
          </w:tcPr>
          <w:p w14:paraId="60BBF340">
            <w:pPr>
              <w:widowControl/>
              <w:jc w:val="left"/>
              <w:rPr>
                <w:rFonts w:ascii="仿宋" w:hAnsi="仿宋" w:eastAsia="仿宋" w:cs="仿宋"/>
                <w:color w:val="auto"/>
                <w:kern w:val="0"/>
                <w:sz w:val="24"/>
                <w:highlight w:val="none"/>
              </w:rPr>
            </w:pPr>
          </w:p>
        </w:tc>
        <w:tc>
          <w:tcPr>
            <w:tcW w:w="606" w:type="dxa"/>
            <w:vAlign w:val="center"/>
          </w:tcPr>
          <w:p w14:paraId="21AADB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8AF9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E20E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12A470">
            <w:pPr>
              <w:widowControl/>
              <w:jc w:val="left"/>
              <w:rPr>
                <w:rFonts w:ascii="仿宋" w:hAnsi="仿宋" w:eastAsia="仿宋" w:cs="仿宋"/>
                <w:color w:val="auto"/>
                <w:kern w:val="0"/>
                <w:sz w:val="24"/>
                <w:highlight w:val="none"/>
              </w:rPr>
            </w:pPr>
          </w:p>
        </w:tc>
        <w:tc>
          <w:tcPr>
            <w:tcW w:w="1025" w:type="dxa"/>
            <w:vMerge w:val="restart"/>
            <w:vAlign w:val="center"/>
          </w:tcPr>
          <w:p w14:paraId="338EA1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EE4D8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18591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C802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B46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F3F29C">
            <w:pPr>
              <w:widowControl/>
              <w:jc w:val="left"/>
              <w:rPr>
                <w:rFonts w:ascii="仿宋" w:hAnsi="仿宋" w:eastAsia="仿宋" w:cs="仿宋"/>
                <w:color w:val="auto"/>
                <w:kern w:val="0"/>
                <w:sz w:val="24"/>
                <w:highlight w:val="none"/>
              </w:rPr>
            </w:pPr>
          </w:p>
        </w:tc>
        <w:tc>
          <w:tcPr>
            <w:tcW w:w="1025" w:type="dxa"/>
            <w:vMerge w:val="continue"/>
            <w:vAlign w:val="center"/>
          </w:tcPr>
          <w:p w14:paraId="243D4778">
            <w:pPr>
              <w:widowControl/>
              <w:jc w:val="left"/>
              <w:rPr>
                <w:rFonts w:ascii="仿宋" w:hAnsi="仿宋" w:eastAsia="仿宋" w:cs="仿宋"/>
                <w:color w:val="auto"/>
                <w:kern w:val="0"/>
                <w:sz w:val="24"/>
                <w:highlight w:val="none"/>
              </w:rPr>
            </w:pPr>
          </w:p>
        </w:tc>
        <w:tc>
          <w:tcPr>
            <w:tcW w:w="2836" w:type="dxa"/>
            <w:vMerge w:val="continue"/>
            <w:vAlign w:val="center"/>
          </w:tcPr>
          <w:p w14:paraId="14D897A4">
            <w:pPr>
              <w:widowControl/>
              <w:jc w:val="left"/>
              <w:rPr>
                <w:rFonts w:ascii="仿宋" w:hAnsi="仿宋" w:eastAsia="仿宋" w:cs="仿宋"/>
                <w:color w:val="auto"/>
                <w:kern w:val="0"/>
                <w:sz w:val="24"/>
                <w:highlight w:val="none"/>
              </w:rPr>
            </w:pPr>
          </w:p>
        </w:tc>
        <w:tc>
          <w:tcPr>
            <w:tcW w:w="606" w:type="dxa"/>
            <w:vAlign w:val="center"/>
          </w:tcPr>
          <w:p w14:paraId="0EDF84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3FC74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17C4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639700">
            <w:pPr>
              <w:widowControl/>
              <w:jc w:val="left"/>
              <w:rPr>
                <w:rFonts w:ascii="仿宋" w:hAnsi="仿宋" w:eastAsia="仿宋" w:cs="仿宋"/>
                <w:color w:val="auto"/>
                <w:kern w:val="0"/>
                <w:sz w:val="24"/>
                <w:highlight w:val="none"/>
              </w:rPr>
            </w:pPr>
          </w:p>
        </w:tc>
        <w:tc>
          <w:tcPr>
            <w:tcW w:w="1025" w:type="dxa"/>
            <w:vMerge w:val="continue"/>
            <w:vAlign w:val="center"/>
          </w:tcPr>
          <w:p w14:paraId="7388CDDB">
            <w:pPr>
              <w:widowControl/>
              <w:jc w:val="left"/>
              <w:rPr>
                <w:rFonts w:ascii="仿宋" w:hAnsi="仿宋" w:eastAsia="仿宋" w:cs="仿宋"/>
                <w:color w:val="auto"/>
                <w:kern w:val="0"/>
                <w:sz w:val="24"/>
                <w:highlight w:val="none"/>
              </w:rPr>
            </w:pPr>
          </w:p>
        </w:tc>
        <w:tc>
          <w:tcPr>
            <w:tcW w:w="2836" w:type="dxa"/>
            <w:vMerge w:val="continue"/>
            <w:vAlign w:val="center"/>
          </w:tcPr>
          <w:p w14:paraId="4051BE06">
            <w:pPr>
              <w:widowControl/>
              <w:jc w:val="left"/>
              <w:rPr>
                <w:rFonts w:ascii="仿宋" w:hAnsi="仿宋" w:eastAsia="仿宋" w:cs="仿宋"/>
                <w:color w:val="auto"/>
                <w:kern w:val="0"/>
                <w:sz w:val="24"/>
                <w:highlight w:val="none"/>
              </w:rPr>
            </w:pPr>
          </w:p>
        </w:tc>
        <w:tc>
          <w:tcPr>
            <w:tcW w:w="606" w:type="dxa"/>
            <w:vAlign w:val="center"/>
          </w:tcPr>
          <w:p w14:paraId="6ECBC3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D6C9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2EFD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4E6474">
            <w:pPr>
              <w:widowControl/>
              <w:jc w:val="left"/>
              <w:rPr>
                <w:rFonts w:ascii="仿宋" w:hAnsi="仿宋" w:eastAsia="仿宋" w:cs="仿宋"/>
                <w:color w:val="auto"/>
                <w:kern w:val="0"/>
                <w:sz w:val="24"/>
                <w:highlight w:val="none"/>
              </w:rPr>
            </w:pPr>
          </w:p>
        </w:tc>
        <w:tc>
          <w:tcPr>
            <w:tcW w:w="1025" w:type="dxa"/>
            <w:vMerge w:val="continue"/>
            <w:vAlign w:val="center"/>
          </w:tcPr>
          <w:p w14:paraId="51982A8A">
            <w:pPr>
              <w:widowControl/>
              <w:jc w:val="left"/>
              <w:rPr>
                <w:rFonts w:ascii="仿宋" w:hAnsi="仿宋" w:eastAsia="仿宋" w:cs="仿宋"/>
                <w:color w:val="auto"/>
                <w:kern w:val="0"/>
                <w:sz w:val="24"/>
                <w:highlight w:val="none"/>
              </w:rPr>
            </w:pPr>
          </w:p>
        </w:tc>
        <w:tc>
          <w:tcPr>
            <w:tcW w:w="2836" w:type="dxa"/>
            <w:vMerge w:val="restart"/>
            <w:vAlign w:val="center"/>
          </w:tcPr>
          <w:p w14:paraId="19C0EB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DDD5F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E13B3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0620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893464">
            <w:pPr>
              <w:widowControl/>
              <w:jc w:val="left"/>
              <w:rPr>
                <w:rFonts w:ascii="仿宋" w:hAnsi="仿宋" w:eastAsia="仿宋" w:cs="仿宋"/>
                <w:color w:val="auto"/>
                <w:kern w:val="0"/>
                <w:sz w:val="24"/>
                <w:highlight w:val="none"/>
              </w:rPr>
            </w:pPr>
          </w:p>
        </w:tc>
        <w:tc>
          <w:tcPr>
            <w:tcW w:w="1025" w:type="dxa"/>
            <w:vMerge w:val="continue"/>
            <w:vAlign w:val="center"/>
          </w:tcPr>
          <w:p w14:paraId="314DF289">
            <w:pPr>
              <w:widowControl/>
              <w:jc w:val="left"/>
              <w:rPr>
                <w:rFonts w:ascii="仿宋" w:hAnsi="仿宋" w:eastAsia="仿宋" w:cs="仿宋"/>
                <w:color w:val="auto"/>
                <w:kern w:val="0"/>
                <w:sz w:val="24"/>
                <w:highlight w:val="none"/>
              </w:rPr>
            </w:pPr>
          </w:p>
        </w:tc>
        <w:tc>
          <w:tcPr>
            <w:tcW w:w="2836" w:type="dxa"/>
            <w:vMerge w:val="continue"/>
            <w:vAlign w:val="center"/>
          </w:tcPr>
          <w:p w14:paraId="4B5160DF">
            <w:pPr>
              <w:widowControl/>
              <w:jc w:val="left"/>
              <w:rPr>
                <w:rFonts w:ascii="仿宋" w:hAnsi="仿宋" w:eastAsia="仿宋" w:cs="仿宋"/>
                <w:color w:val="auto"/>
                <w:kern w:val="0"/>
                <w:sz w:val="24"/>
                <w:highlight w:val="none"/>
              </w:rPr>
            </w:pPr>
          </w:p>
        </w:tc>
        <w:tc>
          <w:tcPr>
            <w:tcW w:w="606" w:type="dxa"/>
            <w:vAlign w:val="center"/>
          </w:tcPr>
          <w:p w14:paraId="23E106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BA72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89B5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9E19AD">
            <w:pPr>
              <w:widowControl/>
              <w:jc w:val="left"/>
              <w:rPr>
                <w:rFonts w:ascii="仿宋" w:hAnsi="仿宋" w:eastAsia="仿宋" w:cs="仿宋"/>
                <w:color w:val="auto"/>
                <w:kern w:val="0"/>
                <w:sz w:val="24"/>
                <w:highlight w:val="none"/>
              </w:rPr>
            </w:pPr>
          </w:p>
        </w:tc>
        <w:tc>
          <w:tcPr>
            <w:tcW w:w="1025" w:type="dxa"/>
            <w:vMerge w:val="continue"/>
            <w:vAlign w:val="center"/>
          </w:tcPr>
          <w:p w14:paraId="5EA527DF">
            <w:pPr>
              <w:widowControl/>
              <w:jc w:val="left"/>
              <w:rPr>
                <w:rFonts w:ascii="仿宋" w:hAnsi="仿宋" w:eastAsia="仿宋" w:cs="仿宋"/>
                <w:color w:val="auto"/>
                <w:kern w:val="0"/>
                <w:sz w:val="24"/>
                <w:highlight w:val="none"/>
              </w:rPr>
            </w:pPr>
          </w:p>
        </w:tc>
        <w:tc>
          <w:tcPr>
            <w:tcW w:w="2836" w:type="dxa"/>
            <w:vMerge w:val="continue"/>
            <w:vAlign w:val="center"/>
          </w:tcPr>
          <w:p w14:paraId="5FED5C9B">
            <w:pPr>
              <w:widowControl/>
              <w:jc w:val="left"/>
              <w:rPr>
                <w:rFonts w:ascii="仿宋" w:hAnsi="仿宋" w:eastAsia="仿宋" w:cs="仿宋"/>
                <w:color w:val="auto"/>
                <w:kern w:val="0"/>
                <w:sz w:val="24"/>
                <w:highlight w:val="none"/>
              </w:rPr>
            </w:pPr>
          </w:p>
        </w:tc>
        <w:tc>
          <w:tcPr>
            <w:tcW w:w="606" w:type="dxa"/>
            <w:vAlign w:val="center"/>
          </w:tcPr>
          <w:p w14:paraId="510CA0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D15B5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F592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CDE39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2A622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9C8C4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B6843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E947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5526535">
            <w:pPr>
              <w:widowControl/>
              <w:jc w:val="left"/>
              <w:rPr>
                <w:rFonts w:ascii="仿宋" w:hAnsi="仿宋" w:eastAsia="仿宋" w:cs="仿宋"/>
                <w:color w:val="auto"/>
                <w:kern w:val="0"/>
                <w:sz w:val="24"/>
                <w:highlight w:val="none"/>
              </w:rPr>
            </w:pPr>
          </w:p>
        </w:tc>
        <w:tc>
          <w:tcPr>
            <w:tcW w:w="2836" w:type="dxa"/>
            <w:vMerge w:val="continue"/>
            <w:vAlign w:val="center"/>
          </w:tcPr>
          <w:p w14:paraId="4D5E1F55">
            <w:pPr>
              <w:widowControl/>
              <w:jc w:val="left"/>
              <w:rPr>
                <w:rFonts w:ascii="仿宋" w:hAnsi="仿宋" w:eastAsia="仿宋" w:cs="仿宋"/>
                <w:color w:val="auto"/>
                <w:kern w:val="0"/>
                <w:sz w:val="24"/>
                <w:highlight w:val="none"/>
              </w:rPr>
            </w:pPr>
          </w:p>
        </w:tc>
        <w:tc>
          <w:tcPr>
            <w:tcW w:w="606" w:type="dxa"/>
            <w:vAlign w:val="center"/>
          </w:tcPr>
          <w:p w14:paraId="330954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134FE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295B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8BA14E">
            <w:pPr>
              <w:widowControl/>
              <w:jc w:val="left"/>
              <w:rPr>
                <w:rFonts w:ascii="仿宋" w:hAnsi="仿宋" w:eastAsia="仿宋" w:cs="仿宋"/>
                <w:color w:val="auto"/>
                <w:kern w:val="0"/>
                <w:sz w:val="24"/>
                <w:highlight w:val="none"/>
              </w:rPr>
            </w:pPr>
          </w:p>
        </w:tc>
        <w:tc>
          <w:tcPr>
            <w:tcW w:w="2836" w:type="dxa"/>
            <w:vMerge w:val="continue"/>
            <w:vAlign w:val="center"/>
          </w:tcPr>
          <w:p w14:paraId="137C6F35">
            <w:pPr>
              <w:widowControl/>
              <w:jc w:val="left"/>
              <w:rPr>
                <w:rFonts w:ascii="仿宋" w:hAnsi="仿宋" w:eastAsia="仿宋" w:cs="仿宋"/>
                <w:color w:val="auto"/>
                <w:kern w:val="0"/>
                <w:sz w:val="24"/>
                <w:highlight w:val="none"/>
              </w:rPr>
            </w:pPr>
          </w:p>
        </w:tc>
        <w:tc>
          <w:tcPr>
            <w:tcW w:w="606" w:type="dxa"/>
            <w:vAlign w:val="center"/>
          </w:tcPr>
          <w:p w14:paraId="530E3A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B63BF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5ED0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E13F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65218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9A8BA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6736F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8856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1B4DC7">
            <w:pPr>
              <w:widowControl/>
              <w:jc w:val="left"/>
              <w:rPr>
                <w:rFonts w:ascii="仿宋" w:hAnsi="仿宋" w:eastAsia="仿宋" w:cs="仿宋"/>
                <w:color w:val="auto"/>
                <w:kern w:val="0"/>
                <w:sz w:val="24"/>
                <w:highlight w:val="none"/>
              </w:rPr>
            </w:pPr>
          </w:p>
        </w:tc>
        <w:tc>
          <w:tcPr>
            <w:tcW w:w="2836" w:type="dxa"/>
            <w:vMerge w:val="continue"/>
            <w:vAlign w:val="center"/>
          </w:tcPr>
          <w:p w14:paraId="0D987770">
            <w:pPr>
              <w:widowControl/>
              <w:jc w:val="left"/>
              <w:rPr>
                <w:rFonts w:ascii="仿宋" w:hAnsi="仿宋" w:eastAsia="仿宋" w:cs="仿宋"/>
                <w:color w:val="auto"/>
                <w:kern w:val="0"/>
                <w:sz w:val="24"/>
                <w:highlight w:val="none"/>
              </w:rPr>
            </w:pPr>
          </w:p>
        </w:tc>
        <w:tc>
          <w:tcPr>
            <w:tcW w:w="606" w:type="dxa"/>
            <w:vAlign w:val="center"/>
          </w:tcPr>
          <w:p w14:paraId="6AD7FB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0534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4BCB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D128E8">
            <w:pPr>
              <w:widowControl/>
              <w:jc w:val="left"/>
              <w:rPr>
                <w:rFonts w:ascii="仿宋" w:hAnsi="仿宋" w:eastAsia="仿宋" w:cs="仿宋"/>
                <w:color w:val="auto"/>
                <w:kern w:val="0"/>
                <w:sz w:val="24"/>
                <w:highlight w:val="none"/>
              </w:rPr>
            </w:pPr>
          </w:p>
        </w:tc>
        <w:tc>
          <w:tcPr>
            <w:tcW w:w="2836" w:type="dxa"/>
            <w:vMerge w:val="continue"/>
            <w:vAlign w:val="center"/>
          </w:tcPr>
          <w:p w14:paraId="6969E2A7">
            <w:pPr>
              <w:widowControl/>
              <w:jc w:val="left"/>
              <w:rPr>
                <w:rFonts w:ascii="仿宋" w:hAnsi="仿宋" w:eastAsia="仿宋" w:cs="仿宋"/>
                <w:color w:val="auto"/>
                <w:kern w:val="0"/>
                <w:sz w:val="24"/>
                <w:highlight w:val="none"/>
              </w:rPr>
            </w:pPr>
          </w:p>
        </w:tc>
        <w:tc>
          <w:tcPr>
            <w:tcW w:w="606" w:type="dxa"/>
            <w:vAlign w:val="center"/>
          </w:tcPr>
          <w:p w14:paraId="450D0F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8650E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EA07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F6BEE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14EDC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A2AB6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15ABA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5362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B928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EC3888">
            <w:pPr>
              <w:widowControl/>
              <w:jc w:val="left"/>
              <w:rPr>
                <w:rFonts w:ascii="仿宋" w:hAnsi="仿宋" w:eastAsia="仿宋" w:cs="仿宋"/>
                <w:color w:val="auto"/>
                <w:kern w:val="0"/>
                <w:sz w:val="24"/>
                <w:highlight w:val="none"/>
              </w:rPr>
            </w:pPr>
          </w:p>
        </w:tc>
        <w:tc>
          <w:tcPr>
            <w:tcW w:w="1025" w:type="dxa"/>
            <w:vMerge w:val="continue"/>
            <w:vAlign w:val="center"/>
          </w:tcPr>
          <w:p w14:paraId="4907923D">
            <w:pPr>
              <w:widowControl/>
              <w:jc w:val="left"/>
              <w:rPr>
                <w:rFonts w:ascii="仿宋" w:hAnsi="仿宋" w:eastAsia="仿宋" w:cs="仿宋"/>
                <w:color w:val="auto"/>
                <w:kern w:val="0"/>
                <w:sz w:val="24"/>
                <w:highlight w:val="none"/>
              </w:rPr>
            </w:pPr>
          </w:p>
        </w:tc>
        <w:tc>
          <w:tcPr>
            <w:tcW w:w="2836" w:type="dxa"/>
            <w:vMerge w:val="continue"/>
            <w:vAlign w:val="center"/>
          </w:tcPr>
          <w:p w14:paraId="62CE1D31">
            <w:pPr>
              <w:widowControl/>
              <w:jc w:val="left"/>
              <w:rPr>
                <w:rFonts w:ascii="仿宋" w:hAnsi="仿宋" w:eastAsia="仿宋" w:cs="仿宋"/>
                <w:color w:val="auto"/>
                <w:kern w:val="0"/>
                <w:sz w:val="24"/>
                <w:highlight w:val="none"/>
              </w:rPr>
            </w:pPr>
          </w:p>
        </w:tc>
        <w:tc>
          <w:tcPr>
            <w:tcW w:w="606" w:type="dxa"/>
            <w:vAlign w:val="center"/>
          </w:tcPr>
          <w:p w14:paraId="66F4F3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53EFD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DFA0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C956B8">
            <w:pPr>
              <w:widowControl/>
              <w:jc w:val="left"/>
              <w:rPr>
                <w:rFonts w:ascii="仿宋" w:hAnsi="仿宋" w:eastAsia="仿宋" w:cs="仿宋"/>
                <w:color w:val="auto"/>
                <w:kern w:val="0"/>
                <w:sz w:val="24"/>
                <w:highlight w:val="none"/>
              </w:rPr>
            </w:pPr>
          </w:p>
        </w:tc>
        <w:tc>
          <w:tcPr>
            <w:tcW w:w="1025" w:type="dxa"/>
            <w:vMerge w:val="continue"/>
            <w:vAlign w:val="center"/>
          </w:tcPr>
          <w:p w14:paraId="52C0D324">
            <w:pPr>
              <w:widowControl/>
              <w:jc w:val="left"/>
              <w:rPr>
                <w:rFonts w:ascii="仿宋" w:hAnsi="仿宋" w:eastAsia="仿宋" w:cs="仿宋"/>
                <w:color w:val="auto"/>
                <w:kern w:val="0"/>
                <w:sz w:val="24"/>
                <w:highlight w:val="none"/>
              </w:rPr>
            </w:pPr>
          </w:p>
        </w:tc>
        <w:tc>
          <w:tcPr>
            <w:tcW w:w="2836" w:type="dxa"/>
            <w:vMerge w:val="continue"/>
            <w:vAlign w:val="center"/>
          </w:tcPr>
          <w:p w14:paraId="316CA13B">
            <w:pPr>
              <w:widowControl/>
              <w:jc w:val="left"/>
              <w:rPr>
                <w:rFonts w:ascii="仿宋" w:hAnsi="仿宋" w:eastAsia="仿宋" w:cs="仿宋"/>
                <w:color w:val="auto"/>
                <w:kern w:val="0"/>
                <w:sz w:val="24"/>
                <w:highlight w:val="none"/>
              </w:rPr>
            </w:pPr>
          </w:p>
        </w:tc>
        <w:tc>
          <w:tcPr>
            <w:tcW w:w="606" w:type="dxa"/>
            <w:vAlign w:val="center"/>
          </w:tcPr>
          <w:p w14:paraId="06131F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5506A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AC7D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CCDF9D">
            <w:pPr>
              <w:widowControl/>
              <w:jc w:val="left"/>
              <w:rPr>
                <w:rFonts w:ascii="仿宋" w:hAnsi="仿宋" w:eastAsia="仿宋" w:cs="仿宋"/>
                <w:color w:val="auto"/>
                <w:kern w:val="0"/>
                <w:sz w:val="24"/>
                <w:highlight w:val="none"/>
              </w:rPr>
            </w:pPr>
          </w:p>
        </w:tc>
        <w:tc>
          <w:tcPr>
            <w:tcW w:w="1025" w:type="dxa"/>
            <w:vMerge w:val="restart"/>
            <w:vAlign w:val="center"/>
          </w:tcPr>
          <w:p w14:paraId="10E252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F764D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ECBB0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0D7FE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25F3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22A931">
            <w:pPr>
              <w:widowControl/>
              <w:jc w:val="left"/>
              <w:rPr>
                <w:rFonts w:ascii="仿宋" w:hAnsi="仿宋" w:eastAsia="仿宋" w:cs="仿宋"/>
                <w:color w:val="auto"/>
                <w:kern w:val="0"/>
                <w:sz w:val="24"/>
                <w:highlight w:val="none"/>
              </w:rPr>
            </w:pPr>
          </w:p>
        </w:tc>
        <w:tc>
          <w:tcPr>
            <w:tcW w:w="1025" w:type="dxa"/>
            <w:vMerge w:val="continue"/>
            <w:vAlign w:val="center"/>
          </w:tcPr>
          <w:p w14:paraId="660AE0BD">
            <w:pPr>
              <w:widowControl/>
              <w:jc w:val="left"/>
              <w:rPr>
                <w:rFonts w:ascii="仿宋" w:hAnsi="仿宋" w:eastAsia="仿宋" w:cs="仿宋"/>
                <w:color w:val="auto"/>
                <w:kern w:val="0"/>
                <w:sz w:val="24"/>
                <w:highlight w:val="none"/>
              </w:rPr>
            </w:pPr>
          </w:p>
        </w:tc>
        <w:tc>
          <w:tcPr>
            <w:tcW w:w="2836" w:type="dxa"/>
            <w:vMerge w:val="continue"/>
            <w:vAlign w:val="center"/>
          </w:tcPr>
          <w:p w14:paraId="329BAB1C">
            <w:pPr>
              <w:widowControl/>
              <w:jc w:val="left"/>
              <w:rPr>
                <w:rFonts w:ascii="仿宋" w:hAnsi="仿宋" w:eastAsia="仿宋" w:cs="仿宋"/>
                <w:color w:val="auto"/>
                <w:kern w:val="0"/>
                <w:sz w:val="24"/>
                <w:highlight w:val="none"/>
              </w:rPr>
            </w:pPr>
          </w:p>
        </w:tc>
        <w:tc>
          <w:tcPr>
            <w:tcW w:w="606" w:type="dxa"/>
            <w:vAlign w:val="center"/>
          </w:tcPr>
          <w:p w14:paraId="4DA582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21F7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6EE2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5691E4">
            <w:pPr>
              <w:widowControl/>
              <w:jc w:val="left"/>
              <w:rPr>
                <w:rFonts w:ascii="仿宋" w:hAnsi="仿宋" w:eastAsia="仿宋" w:cs="仿宋"/>
                <w:color w:val="auto"/>
                <w:kern w:val="0"/>
                <w:sz w:val="24"/>
                <w:highlight w:val="none"/>
              </w:rPr>
            </w:pPr>
          </w:p>
        </w:tc>
        <w:tc>
          <w:tcPr>
            <w:tcW w:w="1025" w:type="dxa"/>
            <w:vMerge w:val="continue"/>
            <w:vAlign w:val="center"/>
          </w:tcPr>
          <w:p w14:paraId="12266772">
            <w:pPr>
              <w:widowControl/>
              <w:jc w:val="left"/>
              <w:rPr>
                <w:rFonts w:ascii="仿宋" w:hAnsi="仿宋" w:eastAsia="仿宋" w:cs="仿宋"/>
                <w:color w:val="auto"/>
                <w:kern w:val="0"/>
                <w:sz w:val="24"/>
                <w:highlight w:val="none"/>
              </w:rPr>
            </w:pPr>
          </w:p>
        </w:tc>
        <w:tc>
          <w:tcPr>
            <w:tcW w:w="2836" w:type="dxa"/>
            <w:vMerge w:val="continue"/>
            <w:vAlign w:val="center"/>
          </w:tcPr>
          <w:p w14:paraId="63872E55">
            <w:pPr>
              <w:widowControl/>
              <w:jc w:val="left"/>
              <w:rPr>
                <w:rFonts w:ascii="仿宋" w:hAnsi="仿宋" w:eastAsia="仿宋" w:cs="仿宋"/>
                <w:color w:val="auto"/>
                <w:kern w:val="0"/>
                <w:sz w:val="24"/>
                <w:highlight w:val="none"/>
              </w:rPr>
            </w:pPr>
          </w:p>
        </w:tc>
        <w:tc>
          <w:tcPr>
            <w:tcW w:w="606" w:type="dxa"/>
            <w:vAlign w:val="center"/>
          </w:tcPr>
          <w:p w14:paraId="5B6A80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5EFCC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FD80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041864">
            <w:pPr>
              <w:widowControl/>
              <w:jc w:val="left"/>
              <w:rPr>
                <w:rFonts w:ascii="仿宋" w:hAnsi="仿宋" w:eastAsia="仿宋" w:cs="仿宋"/>
                <w:color w:val="auto"/>
                <w:kern w:val="0"/>
                <w:sz w:val="24"/>
                <w:highlight w:val="none"/>
              </w:rPr>
            </w:pPr>
          </w:p>
        </w:tc>
        <w:tc>
          <w:tcPr>
            <w:tcW w:w="1025" w:type="dxa"/>
            <w:vMerge w:val="restart"/>
            <w:vAlign w:val="center"/>
          </w:tcPr>
          <w:p w14:paraId="50E908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78DC6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DB418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BB801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4B28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A2069A">
            <w:pPr>
              <w:widowControl/>
              <w:jc w:val="left"/>
              <w:rPr>
                <w:rFonts w:ascii="仿宋" w:hAnsi="仿宋" w:eastAsia="仿宋" w:cs="仿宋"/>
                <w:color w:val="auto"/>
                <w:kern w:val="0"/>
                <w:sz w:val="24"/>
                <w:highlight w:val="none"/>
              </w:rPr>
            </w:pPr>
          </w:p>
        </w:tc>
        <w:tc>
          <w:tcPr>
            <w:tcW w:w="1025" w:type="dxa"/>
            <w:vMerge w:val="continue"/>
            <w:vAlign w:val="center"/>
          </w:tcPr>
          <w:p w14:paraId="4A49F8D3">
            <w:pPr>
              <w:widowControl/>
              <w:jc w:val="left"/>
              <w:rPr>
                <w:rFonts w:ascii="仿宋" w:hAnsi="仿宋" w:eastAsia="仿宋" w:cs="仿宋"/>
                <w:color w:val="auto"/>
                <w:kern w:val="0"/>
                <w:sz w:val="24"/>
                <w:highlight w:val="none"/>
              </w:rPr>
            </w:pPr>
          </w:p>
        </w:tc>
        <w:tc>
          <w:tcPr>
            <w:tcW w:w="2836" w:type="dxa"/>
            <w:vMerge w:val="continue"/>
            <w:vAlign w:val="center"/>
          </w:tcPr>
          <w:p w14:paraId="495B7753">
            <w:pPr>
              <w:widowControl/>
              <w:jc w:val="left"/>
              <w:rPr>
                <w:rFonts w:ascii="仿宋" w:hAnsi="仿宋" w:eastAsia="仿宋" w:cs="仿宋"/>
                <w:color w:val="auto"/>
                <w:kern w:val="0"/>
                <w:sz w:val="24"/>
                <w:highlight w:val="none"/>
              </w:rPr>
            </w:pPr>
          </w:p>
        </w:tc>
        <w:tc>
          <w:tcPr>
            <w:tcW w:w="606" w:type="dxa"/>
            <w:vAlign w:val="center"/>
          </w:tcPr>
          <w:p w14:paraId="4F86B6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8890B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1BD0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2CEB19">
            <w:pPr>
              <w:widowControl/>
              <w:jc w:val="left"/>
              <w:rPr>
                <w:rFonts w:ascii="仿宋" w:hAnsi="仿宋" w:eastAsia="仿宋" w:cs="仿宋"/>
                <w:color w:val="auto"/>
                <w:kern w:val="0"/>
                <w:sz w:val="24"/>
                <w:highlight w:val="none"/>
              </w:rPr>
            </w:pPr>
          </w:p>
        </w:tc>
        <w:tc>
          <w:tcPr>
            <w:tcW w:w="1025" w:type="dxa"/>
            <w:vMerge w:val="continue"/>
            <w:vAlign w:val="center"/>
          </w:tcPr>
          <w:p w14:paraId="218F84BF">
            <w:pPr>
              <w:widowControl/>
              <w:jc w:val="left"/>
              <w:rPr>
                <w:rFonts w:ascii="仿宋" w:hAnsi="仿宋" w:eastAsia="仿宋" w:cs="仿宋"/>
                <w:color w:val="auto"/>
                <w:kern w:val="0"/>
                <w:sz w:val="24"/>
                <w:highlight w:val="none"/>
              </w:rPr>
            </w:pPr>
          </w:p>
        </w:tc>
        <w:tc>
          <w:tcPr>
            <w:tcW w:w="2836" w:type="dxa"/>
            <w:vMerge w:val="continue"/>
            <w:vAlign w:val="center"/>
          </w:tcPr>
          <w:p w14:paraId="5DC03A3F">
            <w:pPr>
              <w:widowControl/>
              <w:jc w:val="left"/>
              <w:rPr>
                <w:rFonts w:ascii="仿宋" w:hAnsi="仿宋" w:eastAsia="仿宋" w:cs="仿宋"/>
                <w:color w:val="auto"/>
                <w:kern w:val="0"/>
                <w:sz w:val="24"/>
                <w:highlight w:val="none"/>
              </w:rPr>
            </w:pPr>
          </w:p>
        </w:tc>
        <w:tc>
          <w:tcPr>
            <w:tcW w:w="606" w:type="dxa"/>
            <w:vAlign w:val="center"/>
          </w:tcPr>
          <w:p w14:paraId="4AA3B2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9A568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AA140A5">
      <w:pPr>
        <w:rPr>
          <w:rFonts w:ascii="仿宋" w:hAnsi="仿宋" w:eastAsia="仿宋" w:cs="仿宋"/>
          <w:color w:val="auto"/>
          <w:sz w:val="24"/>
          <w:highlight w:val="none"/>
        </w:rPr>
      </w:pPr>
    </w:p>
    <w:p w14:paraId="7B599C50">
      <w:pPr>
        <w:ind w:firstLine="420" w:firstLineChars="200"/>
        <w:rPr>
          <w:rFonts w:ascii="仿宋" w:hAnsi="仿宋" w:eastAsia="仿宋" w:cs="仿宋"/>
          <w:color w:val="auto"/>
          <w:highlight w:val="none"/>
        </w:rPr>
      </w:pPr>
    </w:p>
    <w:p w14:paraId="07FEAF9C">
      <w:pPr>
        <w:spacing w:line="360" w:lineRule="auto"/>
        <w:ind w:right="420"/>
        <w:rPr>
          <w:rFonts w:ascii="仿宋" w:hAnsi="仿宋" w:eastAsia="仿宋" w:cs="仿宋"/>
          <w:color w:val="auto"/>
          <w:highlight w:val="none"/>
        </w:rPr>
      </w:pPr>
    </w:p>
    <w:p w14:paraId="77E2E6C5">
      <w:pPr>
        <w:spacing w:line="360" w:lineRule="auto"/>
        <w:jc w:val="center"/>
        <w:rPr>
          <w:rFonts w:ascii="宋体" w:hAnsi="宋体" w:cs="宋体"/>
          <w:b/>
          <w:color w:val="auto"/>
          <w:sz w:val="32"/>
          <w:szCs w:val="32"/>
          <w:highlight w:val="none"/>
        </w:rPr>
      </w:pPr>
    </w:p>
    <w:p w14:paraId="74C269BB">
      <w:pPr>
        <w:spacing w:line="360" w:lineRule="auto"/>
        <w:rPr>
          <w:rFonts w:ascii="宋体" w:hAnsi="宋体" w:cs="宋体"/>
          <w:bCs/>
          <w:color w:val="auto"/>
          <w:sz w:val="24"/>
          <w:highlight w:val="none"/>
        </w:rPr>
      </w:pPr>
    </w:p>
    <w:sectPr>
      <w:headerReference r:id="rId24" w:type="first"/>
      <w:footerReference r:id="rId27" w:type="first"/>
      <w:headerReference r:id="rId23" w:type="default"/>
      <w:footerReference r:id="rId25" w:type="default"/>
      <w:footerReference r:id="rId26" w:type="even"/>
      <w:pgSz w:w="11906" w:h="16838"/>
      <w:pgMar w:top="1276" w:right="1417" w:bottom="1247" w:left="141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楷体_GB2312"/>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PGothic">
    <w:panose1 w:val="020B0600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EC18D">
    <w:pPr>
      <w:pStyle w:val="41"/>
      <w:framePr w:wrap="around" w:vAnchor="text" w:hAnchor="margin" w:xAlign="right" w:y="1"/>
      <w:rPr>
        <w:rStyle w:val="72"/>
      </w:rPr>
    </w:pPr>
    <w:r>
      <w:fldChar w:fldCharType="begin"/>
    </w:r>
    <w:r>
      <w:rPr>
        <w:rStyle w:val="72"/>
      </w:rPr>
      <w:instrText xml:space="preserve">PAGE  </w:instrText>
    </w:r>
    <w:r>
      <w:fldChar w:fldCharType="end"/>
    </w:r>
  </w:p>
  <w:p w14:paraId="798B4590">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CFE1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14:paraId="02BEA27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ECF4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14:paraId="65DB728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1111D">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AAF2F">
    <w:pPr>
      <w:pStyle w:val="41"/>
      <w:framePr w:wrap="around" w:vAnchor="text" w:hAnchor="margin" w:xAlign="right" w:y="1"/>
      <w:rPr>
        <w:rStyle w:val="72"/>
      </w:rPr>
    </w:pPr>
    <w:r>
      <w:fldChar w:fldCharType="begin"/>
    </w:r>
    <w:r>
      <w:rPr>
        <w:rStyle w:val="72"/>
      </w:rPr>
      <w:instrText xml:space="preserve">PAGE  </w:instrText>
    </w:r>
    <w:r>
      <w:fldChar w:fldCharType="end"/>
    </w:r>
  </w:p>
  <w:p w14:paraId="048355DC">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B3014">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bookmarkStart w:id="80" w:name="_Toc131845147"/>
    <w:bookmarkStart w:id="81" w:name="_Toc36110187"/>
    <w:bookmarkStart w:id="82" w:name="_Toc91899912"/>
    <w:bookmarkStart w:id="83" w:name="_Toc164085800"/>
    <w:r>
      <w:rPr>
        <w:rFonts w:hint="eastAsia" w:ascii="仿宋_GB2312" w:eastAsia="仿宋_GB2312"/>
        <w:kern w:val="0"/>
        <w:szCs w:val="21"/>
      </w:rPr>
      <w:t xml:space="preserve"> 页</w:t>
    </w:r>
    <w:bookmarkEnd w:id="80"/>
    <w:bookmarkEnd w:id="81"/>
    <w:bookmarkEnd w:id="82"/>
    <w:bookmarkEnd w:id="8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2AAFC">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E0B41">
    <w:pPr>
      <w:pStyle w:val="41"/>
      <w:framePr w:wrap="around" w:vAnchor="text" w:hAnchor="margin" w:xAlign="right" w:y="1"/>
      <w:rPr>
        <w:rStyle w:val="72"/>
      </w:rPr>
    </w:pPr>
    <w:r>
      <w:fldChar w:fldCharType="begin"/>
    </w:r>
    <w:r>
      <w:rPr>
        <w:rStyle w:val="72"/>
      </w:rPr>
      <w:instrText xml:space="preserve">PAGE  </w:instrText>
    </w:r>
    <w:r>
      <w:fldChar w:fldCharType="end"/>
    </w:r>
  </w:p>
  <w:p w14:paraId="22CBE289">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AC3CF">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FC374">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0555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5418F">
    <w:pPr>
      <w:snapToGrid w:val="0"/>
      <w:jc w:val="left"/>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E6DE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14:paraId="22D2212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D2832">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14:paraId="73C3E13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6D9D7">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1B14A">
    <w:pPr>
      <w:pStyle w:val="42"/>
      <w:jc w:val="left"/>
      <w:rPr>
        <w:rFonts w:hint="eastAsia" w:ascii="仿宋_GB2312" w:eastAsia="仿宋"/>
        <w:i/>
        <w:u w:val="single"/>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绍柯采[2025]1142号</w:t>
    </w:r>
  </w:p>
  <w:p w14:paraId="3572D140">
    <w:pPr>
      <w:pStyle w:val="42"/>
      <w:pBdr>
        <w:bottom w:val="none" w:color="auto" w:sz="0" w:space="1"/>
      </w:pBdr>
      <w:jc w:val="both"/>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354F7">
    <w:pPr>
      <w:pStyle w:val="42"/>
      <w:jc w:val="left"/>
    </w:pPr>
    <w:r>
      <w:rPr>
        <w:rFonts w:hint="eastAsia" w:ascii="仿宋" w:hAnsi="仿宋" w:eastAsia="仿宋" w:cs="仿宋"/>
      </w:rPr>
      <w:t xml:space="preserve">绍兴市柯桥区公共资源交易中心                                               </w:t>
    </w:r>
    <w:r>
      <w:rPr>
        <w:rFonts w:hint="eastAsia" w:ascii="仿宋" w:hAnsi="仿宋" w:eastAsia="仿宋" w:cs="仿宋"/>
        <w:lang w:eastAsia="zh-CN"/>
      </w:rPr>
      <w:t>绍柯采[2025]   号</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EB0AD">
    <w:pPr>
      <w:pStyle w:val="42"/>
      <w:jc w:val="left"/>
      <w:rPr>
        <w:rFonts w:hint="eastAsia" w:ascii="仿宋_GB2312" w:eastAsia="仿宋"/>
        <w:i/>
        <w:u w:val="single"/>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绍柯采[2025]1142号</w:t>
    </w:r>
  </w:p>
  <w:p w14:paraId="226D8D47">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32387">
    <w:pPr>
      <w:pStyle w:val="42"/>
      <w:jc w:val="left"/>
      <w:rPr>
        <w:rFonts w:hint="eastAsia" w:ascii="仿宋_GB2312" w:eastAsia="仿宋"/>
        <w:i/>
        <w:u w:val="single"/>
        <w:lang w:eastAsia="zh-CN"/>
      </w:rPr>
    </w:pPr>
    <w:r>
      <w:rPr>
        <w:rFonts w:hint="eastAsia" w:ascii="仿宋" w:hAnsi="仿宋" w:eastAsia="仿宋" w:cs="仿宋"/>
        <w:lang w:eastAsia="zh-CN"/>
      </w:rPr>
      <w:t>浙江中兴工程项目管理有限公司                                   绍柯采[2025]1142号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D9447">
    <w:pPr>
      <w:pStyle w:val="42"/>
      <w:jc w:val="left"/>
      <w:rPr>
        <w:rFonts w:hint="eastAsia" w:ascii="仿宋_GB2312" w:eastAsia="仿宋"/>
        <w:i/>
        <w:u w:val="single"/>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绍柯采[2025]1142号</w:t>
    </w:r>
  </w:p>
  <w:p w14:paraId="4E9D4BB6">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19E7B">
    <w:pPr>
      <w:pStyle w:val="42"/>
      <w:jc w:val="left"/>
      <w:rPr>
        <w:rFonts w:hint="eastAsia" w:eastAsia="仿宋"/>
        <w:sz w:val="18"/>
        <w:szCs w:val="18"/>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绍柯采[2025]1142号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AE561">
    <w:pPr>
      <w:pStyle w:val="42"/>
      <w:jc w:val="left"/>
      <w:rPr>
        <w:rFonts w:hint="eastAsia" w:eastAsia="仿宋"/>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绍柯采[2025]1142号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4DD85">
    <w:pPr>
      <w:pStyle w:val="42"/>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12EB1">
    <w:pPr>
      <w:pStyle w:val="42"/>
      <w:jc w:val="left"/>
      <w:rPr>
        <w:rFonts w:ascii="仿宋_GB2312" w:eastAsia="仿宋_GB2312"/>
        <w:i/>
        <w:u w:val="single"/>
      </w:rPr>
    </w:pPr>
    <w:r>
      <w:rPr>
        <w:rFonts w:hint="eastAsia" w:ascii="仿宋" w:hAnsi="仿宋" w:eastAsia="仿宋" w:cs="仿宋"/>
      </w:rPr>
      <w:t xml:space="preserve">绍兴市柯桥区公共资源交易中心                                               </w:t>
    </w:r>
    <w:r>
      <w:rPr>
        <w:rFonts w:hint="eastAsia" w:ascii="仿宋" w:hAnsi="仿宋" w:eastAsia="仿宋" w:cs="仿宋"/>
        <w:lang w:eastAsia="zh-CN"/>
      </w:rPr>
      <w:t>绍柯采[2025]   号</w:t>
    </w:r>
    <w:r>
      <w:rPr>
        <w:rFonts w:hint="eastAsia" w:ascii="仿宋" w:hAnsi="仿宋" w:eastAsia="仿宋" w:cs="仿宋"/>
      </w:rPr>
      <w:t xml:space="preserve"> </w:t>
    </w:r>
  </w:p>
  <w:p w14:paraId="657BEA5E">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97908">
    <w:pPr>
      <w:pStyle w:val="42"/>
      <w:jc w:val="left"/>
      <w:rPr>
        <w:rFonts w:ascii="仿宋_GB2312" w:eastAsia="仿宋_GB2312"/>
        <w:i/>
        <w:u w:val="single"/>
      </w:rPr>
    </w:pPr>
    <w:r>
      <w:rPr>
        <w:rFonts w:hint="eastAsia" w:ascii="仿宋" w:hAnsi="仿宋" w:eastAsia="仿宋" w:cs="仿宋"/>
      </w:rPr>
      <w:t xml:space="preserve">绍兴市柯桥区公共资源交易中心                                               </w:t>
    </w:r>
    <w:r>
      <w:rPr>
        <w:rFonts w:hint="eastAsia" w:ascii="仿宋" w:hAnsi="仿宋" w:eastAsia="仿宋" w:cs="仿宋"/>
        <w:lang w:eastAsia="zh-CN"/>
      </w:rPr>
      <w:t>绍柯采[2025]   号</w:t>
    </w:r>
    <w:r>
      <w:rPr>
        <w:rFonts w:hint="eastAsia" w:ascii="仿宋" w:hAnsi="仿宋" w:eastAsia="仿宋" w:cs="仿宋"/>
      </w:rPr>
      <w:t xml:space="preserve"> </w:t>
    </w:r>
  </w:p>
  <w:p w14:paraId="75666DE5">
    <w:pPr>
      <w:pStyle w:val="42"/>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77C653"/>
    <w:multiLevelType w:val="singleLevel"/>
    <w:tmpl w:val="8E77C653"/>
    <w:lvl w:ilvl="0" w:tentative="0">
      <w:start w:val="1"/>
      <w:numFmt w:val="decimal"/>
      <w:lvlText w:val="%1."/>
      <w:lvlJc w:val="left"/>
      <w:pPr>
        <w:tabs>
          <w:tab w:val="left" w:pos="312"/>
        </w:tabs>
      </w:pPr>
    </w:lvl>
  </w:abstractNum>
  <w:abstractNum w:abstractNumId="1">
    <w:nsid w:val="CAC837B0"/>
    <w:multiLevelType w:val="singleLevel"/>
    <w:tmpl w:val="CAC837B0"/>
    <w:lvl w:ilvl="0" w:tentative="0">
      <w:start w:val="1"/>
      <w:numFmt w:val="decimal"/>
      <w:suff w:val="nothing"/>
      <w:lvlText w:val="%1、"/>
      <w:lvlJc w:val="left"/>
    </w:lvl>
  </w:abstractNum>
  <w:abstractNum w:abstractNumId="2">
    <w:nsid w:val="D1659224"/>
    <w:multiLevelType w:val="singleLevel"/>
    <w:tmpl w:val="D1659224"/>
    <w:lvl w:ilvl="0" w:tentative="0">
      <w:start w:val="2"/>
      <w:numFmt w:val="decimal"/>
      <w:suff w:val="nothing"/>
      <w:lvlText w:val="（%1）"/>
      <w:lvlJc w:val="left"/>
    </w:lvl>
  </w:abstractNum>
  <w:abstractNum w:abstractNumId="3">
    <w:nsid w:val="E6FA47D0"/>
    <w:multiLevelType w:val="singleLevel"/>
    <w:tmpl w:val="E6FA47D0"/>
    <w:lvl w:ilvl="0" w:tentative="0">
      <w:start w:val="23"/>
      <w:numFmt w:val="decimal"/>
      <w:lvlText w:val="%1."/>
      <w:lvlJc w:val="left"/>
      <w:pPr>
        <w:tabs>
          <w:tab w:val="left" w:pos="312"/>
        </w:tabs>
      </w:pPr>
    </w:lvl>
  </w:abstractNum>
  <w:abstractNum w:abstractNumId="4">
    <w:nsid w:val="F46FD020"/>
    <w:multiLevelType w:val="singleLevel"/>
    <w:tmpl w:val="F46FD020"/>
    <w:lvl w:ilvl="0" w:tentative="0">
      <w:start w:val="2"/>
      <w:numFmt w:val="chineseCounting"/>
      <w:suff w:val="space"/>
      <w:lvlText w:val="第%1节"/>
      <w:lvlJc w:val="left"/>
      <w:rPr>
        <w:rFonts w:hint="eastAsia"/>
      </w:rPr>
    </w:lvl>
  </w:abstractNum>
  <w:abstractNum w:abstractNumId="5">
    <w:nsid w:val="FBB40AB4"/>
    <w:multiLevelType w:val="singleLevel"/>
    <w:tmpl w:val="FBB40AB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118A1D40"/>
    <w:multiLevelType w:val="singleLevel"/>
    <w:tmpl w:val="118A1D40"/>
    <w:lvl w:ilvl="0" w:tentative="0">
      <w:start w:val="1"/>
      <w:numFmt w:val="decimal"/>
      <w:suff w:val="nothing"/>
      <w:lvlText w:val="（%1）"/>
      <w:lvlJc w:val="left"/>
    </w:lvl>
  </w:abstractNum>
  <w:abstractNum w:abstractNumId="8">
    <w:nsid w:val="1AF0FF50"/>
    <w:multiLevelType w:val="singleLevel"/>
    <w:tmpl w:val="1AF0FF50"/>
    <w:lvl w:ilvl="0" w:tentative="0">
      <w:start w:val="1"/>
      <w:numFmt w:val="decimal"/>
      <w:suff w:val="nothing"/>
      <w:lvlText w:val="%1、"/>
      <w:lvlJc w:val="left"/>
    </w:lvl>
  </w:abstractNum>
  <w:abstractNum w:abstractNumId="9">
    <w:nsid w:val="244822CD"/>
    <w:multiLevelType w:val="singleLevel"/>
    <w:tmpl w:val="244822CD"/>
    <w:lvl w:ilvl="0" w:tentative="0">
      <w:start w:val="1"/>
      <w:numFmt w:val="decimal"/>
      <w:suff w:val="nothing"/>
      <w:lvlText w:val="%1、"/>
      <w:lvlJc w:val="left"/>
    </w:lvl>
  </w:abstractNum>
  <w:abstractNum w:abstractNumId="10">
    <w:nsid w:val="3660AA54"/>
    <w:multiLevelType w:val="singleLevel"/>
    <w:tmpl w:val="3660AA54"/>
    <w:lvl w:ilvl="0" w:tentative="0">
      <w:start w:val="1"/>
      <w:numFmt w:val="decimal"/>
      <w:lvlText w:val="%1."/>
      <w:lvlJc w:val="left"/>
      <w:pPr>
        <w:tabs>
          <w:tab w:val="left" w:pos="312"/>
        </w:tabs>
      </w:pPr>
    </w:lvl>
  </w:abstractNum>
  <w:abstractNum w:abstractNumId="11">
    <w:nsid w:val="3C9C213C"/>
    <w:multiLevelType w:val="singleLevel"/>
    <w:tmpl w:val="3C9C213C"/>
    <w:lvl w:ilvl="0" w:tentative="0">
      <w:start w:val="1"/>
      <w:numFmt w:val="decimal"/>
      <w:lvlText w:val="%1."/>
      <w:lvlJc w:val="left"/>
      <w:pPr>
        <w:tabs>
          <w:tab w:val="left" w:pos="312"/>
        </w:tabs>
      </w:pPr>
    </w:lvl>
  </w:abstractNum>
  <w:abstractNum w:abstractNumId="12">
    <w:nsid w:val="5B8CEA15"/>
    <w:multiLevelType w:val="singleLevel"/>
    <w:tmpl w:val="5B8CEA15"/>
    <w:lvl w:ilvl="0" w:tentative="0">
      <w:start w:val="3"/>
      <w:numFmt w:val="chineseCounting"/>
      <w:suff w:val="space"/>
      <w:lvlText w:val="第%1部分"/>
      <w:lvlJc w:val="left"/>
      <w:rPr>
        <w:rFonts w:hint="eastAsia"/>
      </w:rPr>
    </w:lvl>
  </w:abstractNum>
  <w:abstractNum w:abstractNumId="13">
    <w:nsid w:val="78FA9A07"/>
    <w:multiLevelType w:val="singleLevel"/>
    <w:tmpl w:val="78FA9A07"/>
    <w:lvl w:ilvl="0" w:tentative="0">
      <w:start w:val="1"/>
      <w:numFmt w:val="decimal"/>
      <w:lvlText w:val="%1."/>
      <w:lvlJc w:val="left"/>
      <w:pPr>
        <w:tabs>
          <w:tab w:val="left" w:pos="312"/>
        </w:tabs>
      </w:pPr>
    </w:lvl>
  </w:abstractNum>
  <w:num w:numId="1">
    <w:abstractNumId w:val="12"/>
  </w:num>
  <w:num w:numId="2">
    <w:abstractNumId w:val="10"/>
  </w:num>
  <w:num w:numId="3">
    <w:abstractNumId w:val="0"/>
  </w:num>
  <w:num w:numId="4">
    <w:abstractNumId w:val="9"/>
  </w:num>
  <w:num w:numId="5">
    <w:abstractNumId w:val="1"/>
  </w:num>
  <w:num w:numId="6">
    <w:abstractNumId w:val="3"/>
  </w:num>
  <w:num w:numId="7">
    <w:abstractNumId w:val="11"/>
  </w:num>
  <w:num w:numId="8">
    <w:abstractNumId w:val="5"/>
  </w:num>
  <w:num w:numId="9">
    <w:abstractNumId w:val="8"/>
  </w:num>
  <w:num w:numId="10">
    <w:abstractNumId w:val="13"/>
  </w:num>
  <w:num w:numId="11">
    <w:abstractNumId w:val="2"/>
  </w:num>
  <w:num w:numId="12">
    <w:abstractNumId w:val="4"/>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4410C5"/>
    <w:rsid w:val="000327FB"/>
    <w:rsid w:val="00075E71"/>
    <w:rsid w:val="000A5835"/>
    <w:rsid w:val="000E14B5"/>
    <w:rsid w:val="001A7954"/>
    <w:rsid w:val="00304661"/>
    <w:rsid w:val="00323D52"/>
    <w:rsid w:val="00382F54"/>
    <w:rsid w:val="003964E3"/>
    <w:rsid w:val="004410C5"/>
    <w:rsid w:val="00461FBB"/>
    <w:rsid w:val="004B7AFE"/>
    <w:rsid w:val="00676888"/>
    <w:rsid w:val="006844A1"/>
    <w:rsid w:val="006A2C67"/>
    <w:rsid w:val="006D1D83"/>
    <w:rsid w:val="006D4270"/>
    <w:rsid w:val="006F567C"/>
    <w:rsid w:val="00725B6C"/>
    <w:rsid w:val="008125A9"/>
    <w:rsid w:val="00822B88"/>
    <w:rsid w:val="008C7660"/>
    <w:rsid w:val="008D7518"/>
    <w:rsid w:val="009327ED"/>
    <w:rsid w:val="00942D82"/>
    <w:rsid w:val="00967820"/>
    <w:rsid w:val="009C0417"/>
    <w:rsid w:val="009D3003"/>
    <w:rsid w:val="00A41DFA"/>
    <w:rsid w:val="00A84BBF"/>
    <w:rsid w:val="00AA4A41"/>
    <w:rsid w:val="00B5457F"/>
    <w:rsid w:val="00B60435"/>
    <w:rsid w:val="00BB366A"/>
    <w:rsid w:val="00BE1AE2"/>
    <w:rsid w:val="00BE5DDC"/>
    <w:rsid w:val="00BF1ADE"/>
    <w:rsid w:val="00C726B4"/>
    <w:rsid w:val="00EB35B6"/>
    <w:rsid w:val="00F0608C"/>
    <w:rsid w:val="00F135D1"/>
    <w:rsid w:val="00FC0679"/>
    <w:rsid w:val="018442E7"/>
    <w:rsid w:val="019B347B"/>
    <w:rsid w:val="01ED10D6"/>
    <w:rsid w:val="025C7268"/>
    <w:rsid w:val="02F05C02"/>
    <w:rsid w:val="03101E00"/>
    <w:rsid w:val="033E089E"/>
    <w:rsid w:val="03C24B8A"/>
    <w:rsid w:val="04275653"/>
    <w:rsid w:val="04A171B4"/>
    <w:rsid w:val="04BC223F"/>
    <w:rsid w:val="05086229"/>
    <w:rsid w:val="057C377D"/>
    <w:rsid w:val="063D115E"/>
    <w:rsid w:val="06B07B82"/>
    <w:rsid w:val="06D74677"/>
    <w:rsid w:val="07112BCD"/>
    <w:rsid w:val="0725297C"/>
    <w:rsid w:val="07965E1F"/>
    <w:rsid w:val="07C02047"/>
    <w:rsid w:val="082A3A50"/>
    <w:rsid w:val="08514A4D"/>
    <w:rsid w:val="087B5F6E"/>
    <w:rsid w:val="08986F03"/>
    <w:rsid w:val="08FC7008"/>
    <w:rsid w:val="0983157E"/>
    <w:rsid w:val="0A626F6C"/>
    <w:rsid w:val="0A8740E8"/>
    <w:rsid w:val="0ABF0394"/>
    <w:rsid w:val="0AD25911"/>
    <w:rsid w:val="0ADF0A36"/>
    <w:rsid w:val="0B9B2395"/>
    <w:rsid w:val="0BF61C8F"/>
    <w:rsid w:val="0C2A5B0C"/>
    <w:rsid w:val="0C64575F"/>
    <w:rsid w:val="0C6D153E"/>
    <w:rsid w:val="0C73715D"/>
    <w:rsid w:val="0CA02447"/>
    <w:rsid w:val="0D9964CF"/>
    <w:rsid w:val="0DE97BB3"/>
    <w:rsid w:val="0E4806A0"/>
    <w:rsid w:val="0EEB2276"/>
    <w:rsid w:val="0F102FA9"/>
    <w:rsid w:val="0F1B6EB1"/>
    <w:rsid w:val="0F740C53"/>
    <w:rsid w:val="0F9067A2"/>
    <w:rsid w:val="0FA0239A"/>
    <w:rsid w:val="111D1D3F"/>
    <w:rsid w:val="11274EE5"/>
    <w:rsid w:val="11322FE8"/>
    <w:rsid w:val="12473F06"/>
    <w:rsid w:val="12555A81"/>
    <w:rsid w:val="1292209E"/>
    <w:rsid w:val="12B02CB8"/>
    <w:rsid w:val="12D7672C"/>
    <w:rsid w:val="12F2507E"/>
    <w:rsid w:val="13037D42"/>
    <w:rsid w:val="132A2A6A"/>
    <w:rsid w:val="134B45F5"/>
    <w:rsid w:val="139E2CE4"/>
    <w:rsid w:val="13D425A7"/>
    <w:rsid w:val="13D824C6"/>
    <w:rsid w:val="14127BE9"/>
    <w:rsid w:val="14A17F4C"/>
    <w:rsid w:val="152B41D7"/>
    <w:rsid w:val="169E17AF"/>
    <w:rsid w:val="17716EB9"/>
    <w:rsid w:val="17EA0A1A"/>
    <w:rsid w:val="185216F6"/>
    <w:rsid w:val="193E101D"/>
    <w:rsid w:val="196D6BEC"/>
    <w:rsid w:val="19C37096"/>
    <w:rsid w:val="1A7C55D5"/>
    <w:rsid w:val="1AF0D45A"/>
    <w:rsid w:val="1B425841"/>
    <w:rsid w:val="1B8D2DC6"/>
    <w:rsid w:val="1C4F52EF"/>
    <w:rsid w:val="1CE103E1"/>
    <w:rsid w:val="1CED3A46"/>
    <w:rsid w:val="1D11777D"/>
    <w:rsid w:val="1D1B7BF3"/>
    <w:rsid w:val="1DD41F50"/>
    <w:rsid w:val="1E642A5C"/>
    <w:rsid w:val="1E953657"/>
    <w:rsid w:val="1EB663BA"/>
    <w:rsid w:val="1EB83620"/>
    <w:rsid w:val="1F014EEF"/>
    <w:rsid w:val="1F143E81"/>
    <w:rsid w:val="1F6707C5"/>
    <w:rsid w:val="1F980D5B"/>
    <w:rsid w:val="1FA80104"/>
    <w:rsid w:val="1FBF3881"/>
    <w:rsid w:val="1FCBC4A9"/>
    <w:rsid w:val="1FD402A0"/>
    <w:rsid w:val="1FDF64A5"/>
    <w:rsid w:val="203E60EF"/>
    <w:rsid w:val="20FA3653"/>
    <w:rsid w:val="21893052"/>
    <w:rsid w:val="21E44B37"/>
    <w:rsid w:val="22215F9A"/>
    <w:rsid w:val="22335A5E"/>
    <w:rsid w:val="228201CD"/>
    <w:rsid w:val="22BD7C47"/>
    <w:rsid w:val="23754AA7"/>
    <w:rsid w:val="238F65C2"/>
    <w:rsid w:val="23F8626D"/>
    <w:rsid w:val="24413208"/>
    <w:rsid w:val="2507454D"/>
    <w:rsid w:val="25243F0A"/>
    <w:rsid w:val="254B65D3"/>
    <w:rsid w:val="25AB3597"/>
    <w:rsid w:val="25EF71CB"/>
    <w:rsid w:val="267329FC"/>
    <w:rsid w:val="26866A58"/>
    <w:rsid w:val="275D3041"/>
    <w:rsid w:val="28817C3A"/>
    <w:rsid w:val="28926B9F"/>
    <w:rsid w:val="29E03A2B"/>
    <w:rsid w:val="29EE439A"/>
    <w:rsid w:val="2A24600D"/>
    <w:rsid w:val="2A943D8F"/>
    <w:rsid w:val="2AD27817"/>
    <w:rsid w:val="2B884FA0"/>
    <w:rsid w:val="2CB71FC9"/>
    <w:rsid w:val="2CB73FBB"/>
    <w:rsid w:val="2CDA6E57"/>
    <w:rsid w:val="2CF84537"/>
    <w:rsid w:val="2D4973F6"/>
    <w:rsid w:val="2D8017AD"/>
    <w:rsid w:val="2DBC448F"/>
    <w:rsid w:val="2DEC6E42"/>
    <w:rsid w:val="2E071037"/>
    <w:rsid w:val="2F416D1A"/>
    <w:rsid w:val="2FEE71D8"/>
    <w:rsid w:val="3075311F"/>
    <w:rsid w:val="30C419B0"/>
    <w:rsid w:val="312863E3"/>
    <w:rsid w:val="312C5ACF"/>
    <w:rsid w:val="31684E79"/>
    <w:rsid w:val="31C36CF8"/>
    <w:rsid w:val="3242018E"/>
    <w:rsid w:val="32440AF8"/>
    <w:rsid w:val="32480A17"/>
    <w:rsid w:val="328B3676"/>
    <w:rsid w:val="32943604"/>
    <w:rsid w:val="3309693A"/>
    <w:rsid w:val="333336CB"/>
    <w:rsid w:val="33C918FA"/>
    <w:rsid w:val="34413EB1"/>
    <w:rsid w:val="348012D0"/>
    <w:rsid w:val="34A82BBE"/>
    <w:rsid w:val="35834610"/>
    <w:rsid w:val="35D97593"/>
    <w:rsid w:val="35E553F5"/>
    <w:rsid w:val="369C290D"/>
    <w:rsid w:val="370945C1"/>
    <w:rsid w:val="370E5D48"/>
    <w:rsid w:val="37331A94"/>
    <w:rsid w:val="37453A22"/>
    <w:rsid w:val="374D6BA3"/>
    <w:rsid w:val="37A4248B"/>
    <w:rsid w:val="37D80F43"/>
    <w:rsid w:val="37F80C39"/>
    <w:rsid w:val="38D63484"/>
    <w:rsid w:val="38DD64AE"/>
    <w:rsid w:val="391F00CC"/>
    <w:rsid w:val="399737E3"/>
    <w:rsid w:val="39A405D1"/>
    <w:rsid w:val="3A035551"/>
    <w:rsid w:val="3A704DDE"/>
    <w:rsid w:val="3A79072A"/>
    <w:rsid w:val="3A7E0E22"/>
    <w:rsid w:val="3A872634"/>
    <w:rsid w:val="3AC3717D"/>
    <w:rsid w:val="3AE570F3"/>
    <w:rsid w:val="3AF80546"/>
    <w:rsid w:val="3B135A0E"/>
    <w:rsid w:val="3B293484"/>
    <w:rsid w:val="3B7D508D"/>
    <w:rsid w:val="3C542228"/>
    <w:rsid w:val="3C614B27"/>
    <w:rsid w:val="3D0015AA"/>
    <w:rsid w:val="3D39666C"/>
    <w:rsid w:val="3DB22CC1"/>
    <w:rsid w:val="3DF3849B"/>
    <w:rsid w:val="3E79027E"/>
    <w:rsid w:val="3F326AC0"/>
    <w:rsid w:val="3F345568"/>
    <w:rsid w:val="3F6D7804"/>
    <w:rsid w:val="3F817BE4"/>
    <w:rsid w:val="3FA2524A"/>
    <w:rsid w:val="3FEFF7E8"/>
    <w:rsid w:val="3FF7BB55"/>
    <w:rsid w:val="3FFCE84F"/>
    <w:rsid w:val="3FFE25DA"/>
    <w:rsid w:val="3FFF5138"/>
    <w:rsid w:val="401C35B6"/>
    <w:rsid w:val="40D52048"/>
    <w:rsid w:val="41016491"/>
    <w:rsid w:val="41395AA3"/>
    <w:rsid w:val="41AD023F"/>
    <w:rsid w:val="41AF652E"/>
    <w:rsid w:val="41B13C08"/>
    <w:rsid w:val="41F5553B"/>
    <w:rsid w:val="429B0386"/>
    <w:rsid w:val="42FA32A1"/>
    <w:rsid w:val="43FB6126"/>
    <w:rsid w:val="4412691D"/>
    <w:rsid w:val="44435D96"/>
    <w:rsid w:val="4508235C"/>
    <w:rsid w:val="45394A3E"/>
    <w:rsid w:val="45C83899"/>
    <w:rsid w:val="45CD0EAF"/>
    <w:rsid w:val="45DE61D5"/>
    <w:rsid w:val="45E15F17"/>
    <w:rsid w:val="45FF8421"/>
    <w:rsid w:val="46064DC8"/>
    <w:rsid w:val="463158E2"/>
    <w:rsid w:val="463F1DAD"/>
    <w:rsid w:val="466E1765"/>
    <w:rsid w:val="46BF4C9C"/>
    <w:rsid w:val="476A5071"/>
    <w:rsid w:val="47AA76FA"/>
    <w:rsid w:val="48967A43"/>
    <w:rsid w:val="48E00EFA"/>
    <w:rsid w:val="49141074"/>
    <w:rsid w:val="491F6EE2"/>
    <w:rsid w:val="4930182A"/>
    <w:rsid w:val="496D09DF"/>
    <w:rsid w:val="4A315FE0"/>
    <w:rsid w:val="4A5023A5"/>
    <w:rsid w:val="4A631737"/>
    <w:rsid w:val="4B117A90"/>
    <w:rsid w:val="4B5C107E"/>
    <w:rsid w:val="4B707823"/>
    <w:rsid w:val="4B8B339F"/>
    <w:rsid w:val="4BF947AC"/>
    <w:rsid w:val="4C583BC9"/>
    <w:rsid w:val="4C7F1DD7"/>
    <w:rsid w:val="4D491763"/>
    <w:rsid w:val="4DD16963"/>
    <w:rsid w:val="4DE4148C"/>
    <w:rsid w:val="4E316358"/>
    <w:rsid w:val="4E39442C"/>
    <w:rsid w:val="4E742810"/>
    <w:rsid w:val="4EB93929"/>
    <w:rsid w:val="4EDC17B3"/>
    <w:rsid w:val="4EE554BC"/>
    <w:rsid w:val="4F3855EC"/>
    <w:rsid w:val="4F3FEEA3"/>
    <w:rsid w:val="4FAE554B"/>
    <w:rsid w:val="4FB86A79"/>
    <w:rsid w:val="4FEEF1CF"/>
    <w:rsid w:val="50812078"/>
    <w:rsid w:val="50B46D6B"/>
    <w:rsid w:val="50C301CB"/>
    <w:rsid w:val="515F3303"/>
    <w:rsid w:val="5174109B"/>
    <w:rsid w:val="517C6466"/>
    <w:rsid w:val="519D1468"/>
    <w:rsid w:val="520A5070"/>
    <w:rsid w:val="5294086D"/>
    <w:rsid w:val="52E04FF4"/>
    <w:rsid w:val="530E12FC"/>
    <w:rsid w:val="53226CDE"/>
    <w:rsid w:val="5371731E"/>
    <w:rsid w:val="54527990"/>
    <w:rsid w:val="54B5148C"/>
    <w:rsid w:val="55081F04"/>
    <w:rsid w:val="55134D44"/>
    <w:rsid w:val="55220438"/>
    <w:rsid w:val="553D42DE"/>
    <w:rsid w:val="559E5B2A"/>
    <w:rsid w:val="55C62DB3"/>
    <w:rsid w:val="55FE26FE"/>
    <w:rsid w:val="55FF50B5"/>
    <w:rsid w:val="56552F27"/>
    <w:rsid w:val="566FF3A5"/>
    <w:rsid w:val="56BA5480"/>
    <w:rsid w:val="56CD6F61"/>
    <w:rsid w:val="56E61DD1"/>
    <w:rsid w:val="56FC0DCA"/>
    <w:rsid w:val="57CC79AB"/>
    <w:rsid w:val="57DAE6E1"/>
    <w:rsid w:val="5A5128F5"/>
    <w:rsid w:val="5A558E99"/>
    <w:rsid w:val="5A9463AF"/>
    <w:rsid w:val="5AF70A51"/>
    <w:rsid w:val="5B026E9E"/>
    <w:rsid w:val="5BC053A2"/>
    <w:rsid w:val="5BDF3378"/>
    <w:rsid w:val="5C1D6295"/>
    <w:rsid w:val="5C294C3A"/>
    <w:rsid w:val="5C877BB2"/>
    <w:rsid w:val="5CFEE2CC"/>
    <w:rsid w:val="5D0F0551"/>
    <w:rsid w:val="5D7F1DB6"/>
    <w:rsid w:val="5D850D37"/>
    <w:rsid w:val="5E8D7FDA"/>
    <w:rsid w:val="5F66367D"/>
    <w:rsid w:val="5F665FB3"/>
    <w:rsid w:val="5FB95226"/>
    <w:rsid w:val="5FBC3B8E"/>
    <w:rsid w:val="602D281F"/>
    <w:rsid w:val="602F33AA"/>
    <w:rsid w:val="60C51BF1"/>
    <w:rsid w:val="60C74A21"/>
    <w:rsid w:val="60F33A68"/>
    <w:rsid w:val="6126799A"/>
    <w:rsid w:val="6162196E"/>
    <w:rsid w:val="6175345D"/>
    <w:rsid w:val="61BB6CC8"/>
    <w:rsid w:val="61CA737D"/>
    <w:rsid w:val="620C31B2"/>
    <w:rsid w:val="62402CDD"/>
    <w:rsid w:val="624772E2"/>
    <w:rsid w:val="631303F2"/>
    <w:rsid w:val="6347009B"/>
    <w:rsid w:val="63950E07"/>
    <w:rsid w:val="642152E2"/>
    <w:rsid w:val="6426760F"/>
    <w:rsid w:val="64754794"/>
    <w:rsid w:val="64835103"/>
    <w:rsid w:val="64C01EB3"/>
    <w:rsid w:val="64C31955"/>
    <w:rsid w:val="64CA1556"/>
    <w:rsid w:val="64E75692"/>
    <w:rsid w:val="65077AE2"/>
    <w:rsid w:val="650E70C3"/>
    <w:rsid w:val="652C12F7"/>
    <w:rsid w:val="65491EA9"/>
    <w:rsid w:val="65D26342"/>
    <w:rsid w:val="67105195"/>
    <w:rsid w:val="67184DEA"/>
    <w:rsid w:val="67FC8C85"/>
    <w:rsid w:val="68817B86"/>
    <w:rsid w:val="68DC1286"/>
    <w:rsid w:val="693B100A"/>
    <w:rsid w:val="695D5489"/>
    <w:rsid w:val="69E95A08"/>
    <w:rsid w:val="6A720342"/>
    <w:rsid w:val="6A7554EE"/>
    <w:rsid w:val="6A841BD5"/>
    <w:rsid w:val="6AA47B81"/>
    <w:rsid w:val="6AEF1016"/>
    <w:rsid w:val="6BBFC6AF"/>
    <w:rsid w:val="6BD72A22"/>
    <w:rsid w:val="6BEFF7E4"/>
    <w:rsid w:val="6C10076A"/>
    <w:rsid w:val="6C6D0B73"/>
    <w:rsid w:val="6C8A3423"/>
    <w:rsid w:val="6C8E3869"/>
    <w:rsid w:val="6D304F54"/>
    <w:rsid w:val="6D41178C"/>
    <w:rsid w:val="6D6A20E4"/>
    <w:rsid w:val="6EF235B1"/>
    <w:rsid w:val="6F5079E2"/>
    <w:rsid w:val="70026607"/>
    <w:rsid w:val="70616401"/>
    <w:rsid w:val="70912956"/>
    <w:rsid w:val="70CB1323"/>
    <w:rsid w:val="712447AC"/>
    <w:rsid w:val="71B02FC6"/>
    <w:rsid w:val="71C23301"/>
    <w:rsid w:val="72803E6B"/>
    <w:rsid w:val="729E74BD"/>
    <w:rsid w:val="72CB5037"/>
    <w:rsid w:val="733221CE"/>
    <w:rsid w:val="73A84956"/>
    <w:rsid w:val="73AC26D2"/>
    <w:rsid w:val="740A7D83"/>
    <w:rsid w:val="74253AE1"/>
    <w:rsid w:val="742A7349"/>
    <w:rsid w:val="74642285"/>
    <w:rsid w:val="748A428C"/>
    <w:rsid w:val="74B86703"/>
    <w:rsid w:val="74D81140"/>
    <w:rsid w:val="75053E40"/>
    <w:rsid w:val="750B1619"/>
    <w:rsid w:val="75216216"/>
    <w:rsid w:val="757271FA"/>
    <w:rsid w:val="75CC43C5"/>
    <w:rsid w:val="76054946"/>
    <w:rsid w:val="763D210E"/>
    <w:rsid w:val="768676A8"/>
    <w:rsid w:val="76FBAFF1"/>
    <w:rsid w:val="771D13E7"/>
    <w:rsid w:val="77253DF8"/>
    <w:rsid w:val="774569C7"/>
    <w:rsid w:val="77533239"/>
    <w:rsid w:val="776155EB"/>
    <w:rsid w:val="776E0A3D"/>
    <w:rsid w:val="77B84C6C"/>
    <w:rsid w:val="77C33BE9"/>
    <w:rsid w:val="77C70E30"/>
    <w:rsid w:val="77FE5760"/>
    <w:rsid w:val="77FF1645"/>
    <w:rsid w:val="780E074A"/>
    <w:rsid w:val="78361C89"/>
    <w:rsid w:val="78507213"/>
    <w:rsid w:val="786055C7"/>
    <w:rsid w:val="78822056"/>
    <w:rsid w:val="78B537F0"/>
    <w:rsid w:val="79083BF1"/>
    <w:rsid w:val="7919784F"/>
    <w:rsid w:val="79472DEF"/>
    <w:rsid w:val="79652345"/>
    <w:rsid w:val="7A262361"/>
    <w:rsid w:val="7AE00602"/>
    <w:rsid w:val="7B34AC69"/>
    <w:rsid w:val="7B922555"/>
    <w:rsid w:val="7BBB2A32"/>
    <w:rsid w:val="7BBB4093"/>
    <w:rsid w:val="7BE67FFA"/>
    <w:rsid w:val="7BF1113A"/>
    <w:rsid w:val="7BFB4F84"/>
    <w:rsid w:val="7BFDEE39"/>
    <w:rsid w:val="7BFF9D14"/>
    <w:rsid w:val="7CA13F21"/>
    <w:rsid w:val="7D3038A0"/>
    <w:rsid w:val="7D77A84C"/>
    <w:rsid w:val="7D933277"/>
    <w:rsid w:val="7E265B09"/>
    <w:rsid w:val="7E640695"/>
    <w:rsid w:val="7EB7B118"/>
    <w:rsid w:val="7EE92B2C"/>
    <w:rsid w:val="7F4DBC21"/>
    <w:rsid w:val="7F8578BE"/>
    <w:rsid w:val="7FB85676"/>
    <w:rsid w:val="7FBF8578"/>
    <w:rsid w:val="7FC270A8"/>
    <w:rsid w:val="7FC960B3"/>
    <w:rsid w:val="7FCA3D25"/>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1"/>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2"/>
    <w:basedOn w:val="26"/>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Body Text First Indent 21"/>
    <w:basedOn w:val="1"/>
    <w:qFormat/>
    <w:uiPriority w:val="0"/>
    <w:pPr>
      <w:widowControl w:val="0"/>
      <w:autoSpaceDE w:val="0"/>
      <w:autoSpaceDN w:val="0"/>
      <w:adjustRightInd w:val="0"/>
      <w:spacing w:after="120"/>
      <w:ind w:left="200" w:leftChars="200" w:firstLine="420"/>
      <w:jc w:val="both"/>
    </w:pPr>
    <w:rPr>
      <w:rFonts w:ascii="宋体" w:hAnsi="Calibri" w:eastAsia="宋体" w:cs="宋体"/>
      <w:color w:val="auto"/>
      <w:kern w:val="2"/>
      <w:sz w:val="24"/>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basedOn w:val="69"/>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69"/>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character" w:customStyle="1" w:styleId="965">
    <w:name w:val="repla"/>
    <w:basedOn w:val="69"/>
    <w:qFormat/>
    <w:uiPriority w:val="0"/>
  </w:style>
  <w:style w:type="character" w:customStyle="1" w:styleId="966">
    <w:name w:val="font121"/>
    <w:basedOn w:val="69"/>
    <w:qFormat/>
    <w:uiPriority w:val="0"/>
    <w:rPr>
      <w:rFonts w:hint="eastAsia" w:ascii="宋体" w:hAnsi="宋体" w:eastAsia="宋体" w:cs="宋体"/>
      <w:b/>
      <w:bCs/>
      <w:color w:val="000000"/>
      <w:sz w:val="22"/>
      <w:szCs w:val="22"/>
      <w:u w:val="none"/>
    </w:rPr>
  </w:style>
  <w:style w:type="character" w:customStyle="1" w:styleId="967">
    <w:name w:val="font141"/>
    <w:basedOn w:val="69"/>
    <w:qFormat/>
    <w:uiPriority w:val="0"/>
    <w:rPr>
      <w:rFonts w:hint="eastAsia" w:ascii="宋体" w:hAnsi="宋体" w:eastAsia="宋体" w:cs="宋体"/>
      <w:b/>
      <w:bCs/>
      <w:color w:val="000000"/>
      <w:sz w:val="24"/>
      <w:szCs w:val="24"/>
      <w:u w:val="none"/>
    </w:rPr>
  </w:style>
  <w:style w:type="paragraph" w:styleId="96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4.emf"/><Relationship Id="rId33" Type="http://schemas.openxmlformats.org/officeDocument/2006/relationships/oleObject" Target="embeddings/oleObject2.bin"/><Relationship Id="rId32" Type="http://schemas.openxmlformats.org/officeDocument/2006/relationships/image" Target="media/image3.emf"/><Relationship Id="rId31" Type="http://schemas.openxmlformats.org/officeDocument/2006/relationships/oleObject" Target="embeddings/oleObject1.bin"/><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180</Pages>
  <Words>26035</Words>
  <Characters>28175</Characters>
  <Lines>533</Lines>
  <Paragraphs>150</Paragraphs>
  <TotalTime>33</TotalTime>
  <ScaleCrop>false</ScaleCrop>
  <LinksUpToDate>false</LinksUpToDate>
  <CharactersWithSpaces>29828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JCY</cp:lastModifiedBy>
  <cp:lastPrinted>2025-04-09T02:54:00Z</cp:lastPrinted>
  <dcterms:modified xsi:type="dcterms:W3CDTF">2025-07-21T05:42:01Z</dcterms:modified>
  <dc:title>杭州市市民卡扩大发卡工程</dc:title>
  <cp:revision>368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DBB3DEFEB10A4A3A8DCDB4BC80239CB1_13</vt:lpwstr>
  </property>
  <property fmtid="{D5CDD505-2E9C-101B-9397-08002B2CF9AE}" pid="5" name="KSOTemplateDocerSaveRecord">
    <vt:lpwstr>eyJoZGlkIjoiMTYwYmI0ODVkM2FiMDU1MGE4OWY5NGQzNTg2MzQyMTkiLCJ1c2VySWQiOiIyMzE1MTYzNjQifQ==</vt:lpwstr>
  </property>
</Properties>
</file>