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111A3">
      <w:pPr>
        <w:adjustRightInd/>
        <w:spacing w:line="360" w:lineRule="auto"/>
        <w:rPr>
          <w:rFonts w:ascii="宋体" w:hAnsi="宋体" w:cs="宋体"/>
          <w:b/>
          <w:color w:val="auto"/>
          <w:sz w:val="48"/>
          <w:szCs w:val="48"/>
          <w:highlight w:val="none"/>
        </w:rPr>
      </w:pPr>
    </w:p>
    <w:p w14:paraId="1BB10138">
      <w:pPr>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bCs/>
          <w:color w:val="auto"/>
          <w:sz w:val="56"/>
          <w:szCs w:val="56"/>
          <w:highlight w:val="none"/>
          <w:lang w:eastAsia="zh-CN"/>
        </w:rPr>
        <w:t>医共体信息化运维项目</w:t>
      </w:r>
    </w:p>
    <w:p w14:paraId="0A866BE1">
      <w:pPr>
        <w:jc w:val="center"/>
        <w:outlineLvl w:val="0"/>
        <w:rPr>
          <w:rFonts w:hint="eastAsia" w:ascii="仿宋" w:hAnsi="仿宋" w:eastAsia="仿宋" w:cs="仿宋"/>
          <w:b/>
          <w:color w:val="auto"/>
          <w:sz w:val="72"/>
          <w:szCs w:val="72"/>
          <w:highlight w:val="none"/>
        </w:rPr>
      </w:pPr>
    </w:p>
    <w:p w14:paraId="06F9049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B4E5D3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81D0267">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431D67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2F7262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3C53D60">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E670405">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31B9D28">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96AFE8B">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[2025]1876号</w:t>
      </w:r>
    </w:p>
    <w:tbl>
      <w:tblPr>
        <w:tblStyle w:val="62"/>
        <w:tblW w:w="7801" w:type="dxa"/>
        <w:jc w:val="center"/>
        <w:tblLayout w:type="fixed"/>
        <w:tblCellMar>
          <w:top w:w="0" w:type="dxa"/>
          <w:left w:w="108" w:type="dxa"/>
          <w:bottom w:w="0" w:type="dxa"/>
          <w:right w:w="108" w:type="dxa"/>
        </w:tblCellMar>
      </w:tblPr>
      <w:tblGrid>
        <w:gridCol w:w="2356"/>
        <w:gridCol w:w="5445"/>
      </w:tblGrid>
      <w:tr w14:paraId="7B983F7A">
        <w:tblPrEx>
          <w:tblCellMar>
            <w:top w:w="0" w:type="dxa"/>
            <w:left w:w="108" w:type="dxa"/>
            <w:bottom w:w="0" w:type="dxa"/>
            <w:right w:w="108" w:type="dxa"/>
          </w:tblCellMar>
        </w:tblPrEx>
        <w:trPr>
          <w:trHeight w:val="443" w:hRule="atLeast"/>
          <w:jc w:val="center"/>
        </w:trPr>
        <w:tc>
          <w:tcPr>
            <w:tcW w:w="2356" w:type="dxa"/>
          </w:tcPr>
          <w:p w14:paraId="4C2BE2FA">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C9CE7A6">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绍兴市柯桥区卫生健康局</w:t>
            </w:r>
          </w:p>
        </w:tc>
      </w:tr>
      <w:tr w14:paraId="1B62C6B5">
        <w:tblPrEx>
          <w:tblCellMar>
            <w:top w:w="0" w:type="dxa"/>
            <w:left w:w="108" w:type="dxa"/>
            <w:bottom w:w="0" w:type="dxa"/>
            <w:right w:w="108" w:type="dxa"/>
          </w:tblCellMar>
        </w:tblPrEx>
        <w:trPr>
          <w:trHeight w:val="494" w:hRule="atLeast"/>
          <w:jc w:val="center"/>
        </w:trPr>
        <w:tc>
          <w:tcPr>
            <w:tcW w:w="2356" w:type="dxa"/>
          </w:tcPr>
          <w:p w14:paraId="37A3512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769D375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4D6A4751">
        <w:tblPrEx>
          <w:tblCellMar>
            <w:top w:w="0" w:type="dxa"/>
            <w:left w:w="108" w:type="dxa"/>
            <w:bottom w:w="0" w:type="dxa"/>
            <w:right w:w="108" w:type="dxa"/>
          </w:tblCellMar>
        </w:tblPrEx>
        <w:trPr>
          <w:trHeight w:val="397" w:hRule="atLeast"/>
          <w:jc w:val="center"/>
        </w:trPr>
        <w:tc>
          <w:tcPr>
            <w:tcW w:w="2356" w:type="dxa"/>
            <w:vAlign w:val="center"/>
          </w:tcPr>
          <w:p w14:paraId="132CC29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01ABC42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B75C01E">
        <w:tblPrEx>
          <w:tblCellMar>
            <w:top w:w="0" w:type="dxa"/>
            <w:left w:w="108" w:type="dxa"/>
            <w:bottom w:w="0" w:type="dxa"/>
            <w:right w:w="108" w:type="dxa"/>
          </w:tblCellMar>
        </w:tblPrEx>
        <w:trPr>
          <w:trHeight w:val="333" w:hRule="atLeast"/>
          <w:jc w:val="center"/>
        </w:trPr>
        <w:tc>
          <w:tcPr>
            <w:tcW w:w="7801" w:type="dxa"/>
            <w:gridSpan w:val="2"/>
          </w:tcPr>
          <w:p w14:paraId="3E63FCA9">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二十日</w:t>
            </w:r>
          </w:p>
        </w:tc>
      </w:tr>
    </w:tbl>
    <w:p w14:paraId="7F21EC81">
      <w:pPr>
        <w:pStyle w:val="635"/>
        <w:rPr>
          <w:rFonts w:ascii="仿宋" w:hAnsi="仿宋" w:eastAsia="仿宋" w:cs="仿宋"/>
          <w:color w:val="auto"/>
          <w:highlight w:val="none"/>
        </w:rPr>
        <w:sectPr>
          <w:headerReference r:id="rId4" w:type="first"/>
          <w:headerReference r:id="rId3" w:type="default"/>
          <w:footerReference r:id="rId5" w:type="default"/>
          <w:footerReference r:id="rId6" w:type="even"/>
          <w:pgSz w:w="11905" w:h="16838"/>
          <w:pgMar w:top="1474" w:right="1587" w:bottom="1474" w:left="1587" w:header="851" w:footer="992" w:gutter="0"/>
          <w:pgNumType w:start="1"/>
          <w:cols w:space="0" w:num="1"/>
          <w:docGrid w:linePitch="312" w:charSpace="0"/>
        </w:sectPr>
      </w:pPr>
    </w:p>
    <w:p w14:paraId="2EFE8ED5">
      <w:pPr>
        <w:pStyle w:val="635"/>
        <w:spacing w:before="0" w:after="0" w:line="360" w:lineRule="auto"/>
        <w:ind w:left="0" w:firstLine="0"/>
        <w:rPr>
          <w:rFonts w:ascii="仿宋" w:hAnsi="仿宋" w:eastAsia="仿宋" w:cs="仿宋"/>
          <w:color w:val="auto"/>
          <w:highlight w:val="none"/>
        </w:rPr>
      </w:pPr>
    </w:p>
    <w:p w14:paraId="03F981CB">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AD98D0F">
      <w:pPr>
        <w:spacing w:line="360" w:lineRule="auto"/>
        <w:jc w:val="center"/>
        <w:rPr>
          <w:rFonts w:ascii="仿宋" w:hAnsi="仿宋" w:eastAsia="仿宋" w:cs="仿宋"/>
          <w:b/>
          <w:color w:val="auto"/>
          <w:sz w:val="44"/>
          <w:szCs w:val="44"/>
          <w:highlight w:val="none"/>
        </w:rPr>
      </w:pPr>
    </w:p>
    <w:p w14:paraId="07796114">
      <w:pPr>
        <w:spacing w:line="360" w:lineRule="auto"/>
        <w:jc w:val="center"/>
        <w:rPr>
          <w:rFonts w:ascii="仿宋" w:hAnsi="仿宋" w:eastAsia="仿宋" w:cs="仿宋"/>
          <w:color w:val="auto"/>
          <w:highlight w:val="none"/>
        </w:rPr>
      </w:pPr>
    </w:p>
    <w:p w14:paraId="73030A7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C6570B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335D2E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20330C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158D01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DBF18A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449D2F4">
      <w:pPr>
        <w:spacing w:line="360" w:lineRule="auto"/>
        <w:ind w:firstLine="549" w:firstLineChars="229"/>
        <w:rPr>
          <w:rFonts w:ascii="仿宋" w:hAnsi="仿宋" w:eastAsia="仿宋" w:cs="仿宋"/>
          <w:color w:val="auto"/>
          <w:sz w:val="24"/>
          <w:highlight w:val="none"/>
        </w:rPr>
      </w:pPr>
    </w:p>
    <w:p w14:paraId="3B5F4156">
      <w:pPr>
        <w:spacing w:line="360" w:lineRule="auto"/>
        <w:ind w:firstLine="549" w:firstLineChars="229"/>
        <w:rPr>
          <w:rFonts w:ascii="仿宋" w:hAnsi="仿宋" w:eastAsia="仿宋" w:cs="仿宋"/>
          <w:color w:val="auto"/>
          <w:sz w:val="24"/>
          <w:highlight w:val="none"/>
        </w:rPr>
      </w:pPr>
    </w:p>
    <w:p w14:paraId="6BCB67F3">
      <w:pPr>
        <w:spacing w:line="360" w:lineRule="auto"/>
        <w:ind w:firstLine="549" w:firstLineChars="229"/>
        <w:rPr>
          <w:rFonts w:ascii="仿宋" w:hAnsi="仿宋" w:eastAsia="仿宋" w:cs="仿宋"/>
          <w:color w:val="auto"/>
          <w:sz w:val="24"/>
          <w:highlight w:val="none"/>
        </w:rPr>
      </w:pPr>
    </w:p>
    <w:p w14:paraId="36540179">
      <w:pPr>
        <w:spacing w:line="360" w:lineRule="auto"/>
        <w:ind w:firstLine="549" w:firstLineChars="229"/>
        <w:rPr>
          <w:rFonts w:ascii="仿宋" w:hAnsi="仿宋" w:eastAsia="仿宋" w:cs="仿宋"/>
          <w:color w:val="auto"/>
          <w:sz w:val="24"/>
          <w:highlight w:val="none"/>
        </w:rPr>
      </w:pPr>
    </w:p>
    <w:p w14:paraId="736FF756">
      <w:pPr>
        <w:spacing w:line="360" w:lineRule="auto"/>
        <w:ind w:firstLine="549" w:firstLineChars="229"/>
        <w:rPr>
          <w:rFonts w:ascii="仿宋" w:hAnsi="仿宋" w:eastAsia="仿宋" w:cs="仿宋"/>
          <w:color w:val="auto"/>
          <w:sz w:val="24"/>
          <w:highlight w:val="none"/>
        </w:rPr>
      </w:pPr>
    </w:p>
    <w:p w14:paraId="0C1AB9B8">
      <w:pPr>
        <w:spacing w:line="360" w:lineRule="auto"/>
        <w:ind w:firstLine="549" w:firstLineChars="229"/>
        <w:rPr>
          <w:rFonts w:ascii="仿宋" w:hAnsi="仿宋" w:eastAsia="仿宋" w:cs="仿宋"/>
          <w:color w:val="auto"/>
          <w:sz w:val="24"/>
          <w:highlight w:val="none"/>
        </w:rPr>
      </w:pPr>
    </w:p>
    <w:p w14:paraId="29F2EAEA">
      <w:pPr>
        <w:spacing w:line="360" w:lineRule="auto"/>
        <w:ind w:firstLine="549" w:firstLineChars="229"/>
        <w:rPr>
          <w:rFonts w:ascii="仿宋" w:hAnsi="仿宋" w:eastAsia="仿宋" w:cs="仿宋"/>
          <w:color w:val="auto"/>
          <w:sz w:val="24"/>
          <w:highlight w:val="none"/>
        </w:rPr>
      </w:pPr>
    </w:p>
    <w:p w14:paraId="4F48A944">
      <w:pPr>
        <w:spacing w:line="360" w:lineRule="auto"/>
        <w:ind w:firstLine="549" w:firstLineChars="229"/>
        <w:rPr>
          <w:rFonts w:ascii="仿宋" w:hAnsi="仿宋" w:eastAsia="仿宋" w:cs="仿宋"/>
          <w:color w:val="auto"/>
          <w:sz w:val="24"/>
          <w:highlight w:val="none"/>
        </w:rPr>
      </w:pPr>
    </w:p>
    <w:p w14:paraId="5B05D844">
      <w:pPr>
        <w:spacing w:line="360" w:lineRule="auto"/>
        <w:ind w:firstLine="549" w:firstLineChars="229"/>
        <w:rPr>
          <w:rFonts w:ascii="仿宋" w:hAnsi="仿宋" w:eastAsia="仿宋" w:cs="仿宋"/>
          <w:color w:val="auto"/>
          <w:sz w:val="24"/>
          <w:highlight w:val="none"/>
        </w:rPr>
      </w:pPr>
    </w:p>
    <w:p w14:paraId="57CA8832">
      <w:pPr>
        <w:spacing w:line="360" w:lineRule="auto"/>
        <w:ind w:firstLine="549" w:firstLineChars="229"/>
        <w:rPr>
          <w:rFonts w:ascii="仿宋" w:hAnsi="仿宋" w:eastAsia="仿宋" w:cs="仿宋"/>
          <w:color w:val="auto"/>
          <w:sz w:val="24"/>
          <w:highlight w:val="none"/>
        </w:rPr>
      </w:pPr>
    </w:p>
    <w:p w14:paraId="4F760B9E">
      <w:pPr>
        <w:spacing w:line="360" w:lineRule="auto"/>
        <w:ind w:firstLine="549" w:firstLineChars="229"/>
        <w:rPr>
          <w:rFonts w:ascii="仿宋" w:hAnsi="仿宋" w:eastAsia="仿宋" w:cs="仿宋"/>
          <w:color w:val="auto"/>
          <w:sz w:val="24"/>
          <w:highlight w:val="none"/>
        </w:rPr>
      </w:pPr>
    </w:p>
    <w:p w14:paraId="29E18F68">
      <w:pPr>
        <w:spacing w:line="360" w:lineRule="auto"/>
        <w:rPr>
          <w:rFonts w:ascii="仿宋" w:hAnsi="仿宋" w:eastAsia="仿宋" w:cs="仿宋"/>
          <w:color w:val="auto"/>
          <w:sz w:val="24"/>
          <w:highlight w:val="none"/>
        </w:rPr>
      </w:pPr>
    </w:p>
    <w:bookmarkEnd w:id="1"/>
    <w:p w14:paraId="7531480B">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61ACE9BD">
      <w:pPr>
        <w:adjustRightInd/>
        <w:spacing w:line="360" w:lineRule="auto"/>
        <w:jc w:val="center"/>
        <w:outlineLvl w:val="0"/>
        <w:rPr>
          <w:rFonts w:ascii="仿宋" w:hAnsi="仿宋" w:eastAsia="仿宋" w:cs="仿宋"/>
          <w:b/>
          <w:color w:val="auto"/>
          <w:sz w:val="36"/>
          <w:szCs w:val="20"/>
          <w:highlight w:val="none"/>
        </w:rPr>
      </w:pPr>
    </w:p>
    <w:p w14:paraId="4D7EFF36">
      <w:pPr>
        <w:adjustRightInd/>
        <w:spacing w:line="360" w:lineRule="auto"/>
        <w:jc w:val="center"/>
        <w:outlineLvl w:val="0"/>
        <w:rPr>
          <w:rFonts w:ascii="仿宋" w:hAnsi="仿宋" w:eastAsia="仿宋" w:cs="仿宋"/>
          <w:b/>
          <w:color w:val="auto"/>
          <w:sz w:val="36"/>
          <w:szCs w:val="20"/>
          <w:highlight w:val="none"/>
        </w:rPr>
        <w:sectPr>
          <w:footerReference r:id="rId7" w:type="default"/>
          <w:pgSz w:w="11905" w:h="16838"/>
          <w:pgMar w:top="1474" w:right="1587" w:bottom="1474" w:left="1587" w:header="851" w:footer="992" w:gutter="0"/>
          <w:cols w:space="0" w:num="1"/>
          <w:docGrid w:linePitch="312" w:charSpace="0"/>
        </w:sectPr>
      </w:pPr>
    </w:p>
    <w:p w14:paraId="39C7CD19">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48DFCB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3509BB2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医共体信息化运维项目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10</w:t>
      </w:r>
      <w:r>
        <w:rPr>
          <w:rStyle w:val="76"/>
          <w:rFonts w:hint="eastAsia" w:ascii="仿宋" w:hAnsi="仿宋" w:eastAsia="仿宋" w:cs="仿宋"/>
          <w:snapToGrid/>
          <w:color w:val="auto"/>
          <w:kern w:val="2"/>
          <w:sz w:val="24"/>
          <w:szCs w:val="24"/>
          <w:highlight w:val="none"/>
        </w:rPr>
        <w:t>日 09点30分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C1A070D">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7E2DF36">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[2025]1876号</w:t>
      </w:r>
    </w:p>
    <w:p w14:paraId="05649957">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医共体信息化运维项目</w:t>
      </w:r>
      <w:r>
        <w:rPr>
          <w:rFonts w:hint="eastAsia" w:ascii="仿宋" w:hAnsi="仿宋" w:eastAsia="仿宋" w:cs="仿宋"/>
          <w:color w:val="auto"/>
          <w:sz w:val="24"/>
          <w:highlight w:val="none"/>
        </w:rPr>
        <w:t xml:space="preserve"> </w:t>
      </w:r>
    </w:p>
    <w:p w14:paraId="4F8AB42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szCs w:val="28"/>
          <w:highlight w:val="none"/>
          <w:lang w:eastAsia="zh-CN"/>
        </w:rPr>
        <w:t>1300000</w:t>
      </w:r>
      <w:r>
        <w:rPr>
          <w:rFonts w:hint="eastAsia" w:ascii="仿宋" w:hAnsi="仿宋" w:eastAsia="仿宋" w:cs="仿宋"/>
          <w:b/>
          <w:color w:val="auto"/>
          <w:sz w:val="24"/>
          <w:highlight w:val="none"/>
        </w:rPr>
        <w:t xml:space="preserve"> </w:t>
      </w:r>
    </w:p>
    <w:p w14:paraId="634D1A0A">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szCs w:val="28"/>
          <w:highlight w:val="none"/>
          <w:lang w:eastAsia="zh-CN"/>
        </w:rPr>
        <w:t>1</w:t>
      </w:r>
      <w:r>
        <w:rPr>
          <w:rFonts w:hint="eastAsia" w:ascii="仿宋" w:hAnsi="仿宋" w:eastAsia="仿宋" w:cs="仿宋"/>
          <w:color w:val="auto"/>
          <w:sz w:val="24"/>
          <w:szCs w:val="28"/>
          <w:highlight w:val="none"/>
          <w:lang w:val="en-US" w:eastAsia="zh-CN"/>
        </w:rPr>
        <w:t>29</w:t>
      </w:r>
      <w:r>
        <w:rPr>
          <w:rFonts w:hint="eastAsia" w:ascii="仿宋" w:hAnsi="仿宋" w:eastAsia="仿宋" w:cs="仿宋"/>
          <w:color w:val="auto"/>
          <w:sz w:val="24"/>
          <w:szCs w:val="28"/>
          <w:highlight w:val="none"/>
          <w:lang w:eastAsia="zh-CN"/>
        </w:rPr>
        <w:t>0000</w:t>
      </w:r>
      <w:r>
        <w:rPr>
          <w:rFonts w:hint="eastAsia" w:ascii="仿宋" w:hAnsi="仿宋" w:eastAsia="仿宋" w:cs="仿宋"/>
          <w:b/>
          <w:color w:val="auto"/>
          <w:sz w:val="24"/>
          <w:highlight w:val="none"/>
        </w:rPr>
        <w:t xml:space="preserve"> </w:t>
      </w:r>
    </w:p>
    <w:p w14:paraId="2C06BE1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CB221E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27E3655">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医共体信息化运维项目</w:t>
      </w:r>
    </w:p>
    <w:p w14:paraId="08D634F0">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0C48144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color w:val="auto"/>
          <w:sz w:val="24"/>
          <w:szCs w:val="28"/>
          <w:highlight w:val="none"/>
          <w:lang w:eastAsia="zh-CN"/>
        </w:rPr>
        <w:t>1300000</w:t>
      </w:r>
    </w:p>
    <w:p w14:paraId="7E8AD7D4">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4F125F11">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14:paraId="1216F4A4">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否。</w:t>
      </w:r>
    </w:p>
    <w:p w14:paraId="1C830731">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3D37554A">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7900242B">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10657BF">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A2FC1A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3363F0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2F7C2EE">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295632D7">
      <w:pPr>
        <w:spacing w:line="440" w:lineRule="exact"/>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597C0A86">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155F7C0">
      <w:pPr>
        <w:spacing w:line="440" w:lineRule="exact"/>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EDB8A9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0C44381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78F9721">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65B8E71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14EB26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EC2BD2F">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A6B0744">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3B547BE">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5B3F1696">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日09点30分00秒</w:t>
      </w:r>
      <w:r>
        <w:rPr>
          <w:rFonts w:hint="eastAsia" w:ascii="仿宋" w:hAnsi="仿宋" w:eastAsia="仿宋" w:cs="仿宋"/>
          <w:color w:val="auto"/>
          <w:sz w:val="24"/>
          <w:highlight w:val="none"/>
        </w:rPr>
        <w:t>（北京时间）</w:t>
      </w:r>
    </w:p>
    <w:p w14:paraId="626C46D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0FFCF07">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日09点30分00秒</w:t>
      </w:r>
    </w:p>
    <w:p w14:paraId="6FF28A41">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开标地点（网址）：绍兴市柯桥区卫生健康行政执法队5楼开标室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1B6155A4">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0B926C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BAA35DC">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699164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C9F72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6D1B2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A1F2A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0F059ED">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5424A890">
      <w:pPr>
        <w:pStyle w:val="3"/>
        <w:spacing w:line="440" w:lineRule="exact"/>
        <w:ind w:left="0" w:firstLine="482" w:firstLineChars="200"/>
        <w:rPr>
          <w:rFonts w:ascii="仿宋" w:eastAsia="仿宋" w:cs="仿宋"/>
          <w:color w:val="auto"/>
          <w:sz w:val="24"/>
          <w:szCs w:val="24"/>
          <w:highlight w:val="none"/>
        </w:rPr>
      </w:pPr>
      <w:bookmarkStart w:id="5" w:name="_Toc35393637"/>
      <w:bookmarkStart w:id="6" w:name="_Toc28359019"/>
      <w:bookmarkStart w:id="7" w:name="_Toc28359096"/>
      <w:bookmarkStart w:id="8" w:name="_Toc3539380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0F9204E3">
      <w:pPr>
        <w:widowControl/>
        <w:spacing w:line="360" w:lineRule="auto"/>
        <w:ind w:firstLine="480" w:firstLineChars="200"/>
        <w:jc w:val="left"/>
        <w:rPr>
          <w:rFonts w:hint="eastAsia" w:ascii="仿宋" w:hAnsi="仿宋" w:eastAsia="仿宋" w:cs="宋体"/>
          <w:color w:val="auto"/>
          <w:sz w:val="24"/>
          <w:szCs w:val="28"/>
          <w:highlight w:val="none"/>
          <w:lang w:eastAsia="zh-CN"/>
        </w:rPr>
      </w:pPr>
      <w:bookmarkStart w:id="9" w:name="_Toc28359097"/>
      <w:bookmarkStart w:id="10" w:name="_Toc35393807"/>
      <w:bookmarkStart w:id="11" w:name="_Toc35393638"/>
      <w:bookmarkStart w:id="12" w:name="_Toc28359020"/>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绍兴市柯桥区卫生健康局</w:t>
      </w:r>
    </w:p>
    <w:p w14:paraId="514C0AA5">
      <w:pPr>
        <w:widowControl/>
        <w:spacing w:line="360" w:lineRule="auto"/>
        <w:jc w:val="left"/>
        <w:rPr>
          <w:rFonts w:hint="eastAsia" w:ascii="仿宋" w:hAnsi="仿宋" w:eastAsia="仿宋"/>
          <w:color w:val="auto"/>
          <w:sz w:val="24"/>
          <w:szCs w:val="28"/>
          <w:highlight w:val="none"/>
        </w:rPr>
      </w:pPr>
      <w:r>
        <w:rPr>
          <w:rFonts w:ascii="Calibri" w:hAnsi="Calibri" w:eastAsia="仿宋" w:cs="Calibri"/>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绍兴市柯桥区</w:t>
      </w:r>
    </w:p>
    <w:p w14:paraId="5F9ADB7C">
      <w:pPr>
        <w:widowControl/>
        <w:spacing w:line="360" w:lineRule="auto"/>
        <w:jc w:val="left"/>
        <w:rPr>
          <w:rFonts w:hint="eastAsia" w:ascii="仿宋" w:hAnsi="仿宋" w:eastAsia="仿宋"/>
          <w:color w:val="auto"/>
          <w:sz w:val="24"/>
          <w:szCs w:val="28"/>
          <w:highlight w:val="none"/>
        </w:rPr>
      </w:pPr>
      <w:r>
        <w:rPr>
          <w:rFonts w:ascii="Calibri" w:hAnsi="Calibri" w:eastAsia="仿宋" w:cs="Calibri"/>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rPr>
        <w:t>/</w:t>
      </w:r>
    </w:p>
    <w:p w14:paraId="2F1622CB">
      <w:pPr>
        <w:widowControl/>
        <w:spacing w:line="360" w:lineRule="auto"/>
        <w:jc w:val="left"/>
        <w:rPr>
          <w:rFonts w:hint="eastAsia" w:ascii="仿宋" w:hAnsi="仿宋" w:eastAsia="仿宋" w:cs="宋体"/>
          <w:color w:val="auto"/>
          <w:sz w:val="24"/>
          <w:szCs w:val="28"/>
          <w:highlight w:val="none"/>
          <w:lang w:val="en-US" w:eastAsia="zh-CN"/>
        </w:rPr>
      </w:pPr>
      <w:r>
        <w:rPr>
          <w:rFonts w:ascii="Calibri" w:hAnsi="Calibri" w:eastAsia="仿宋" w:cs="Calibri"/>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lang w:eastAsia="zh-CN"/>
        </w:rPr>
        <w:t>王亚莎</w:t>
      </w:r>
    </w:p>
    <w:p w14:paraId="746793EE">
      <w:pPr>
        <w:widowControl/>
        <w:spacing w:line="360" w:lineRule="auto"/>
        <w:jc w:val="left"/>
        <w:rPr>
          <w:rFonts w:ascii="仿宋" w:hAnsi="仿宋" w:eastAsia="仿宋" w:cs="宋体"/>
          <w:color w:val="auto"/>
          <w:sz w:val="24"/>
          <w:szCs w:val="28"/>
          <w:highlight w:val="none"/>
        </w:rPr>
      </w:pPr>
      <w:r>
        <w:rPr>
          <w:rFonts w:ascii="Calibri" w:hAnsi="Calibri" w:eastAsia="仿宋" w:cs="Calibri"/>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rPr>
        <w:t xml:space="preserve">15757590761 </w:t>
      </w:r>
    </w:p>
    <w:p w14:paraId="21A273CE">
      <w:pPr>
        <w:widowControl/>
        <w:spacing w:line="360" w:lineRule="auto"/>
        <w:jc w:val="left"/>
        <w:rPr>
          <w:rFonts w:hint="eastAsia" w:ascii="仿宋" w:hAnsi="仿宋" w:eastAsia="仿宋" w:cs="宋体"/>
          <w:color w:val="auto"/>
          <w:sz w:val="24"/>
          <w:szCs w:val="28"/>
          <w:highlight w:val="none"/>
        </w:rPr>
      </w:pPr>
      <w:r>
        <w:rPr>
          <w:rFonts w:ascii="Calibri" w:hAnsi="Calibri" w:eastAsia="仿宋" w:cs="Calibri"/>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rPr>
        <w:t>王涛</w:t>
      </w:r>
    </w:p>
    <w:p w14:paraId="643DC29C">
      <w:pPr>
        <w:widowControl/>
        <w:adjustRightInd/>
        <w:spacing w:line="360" w:lineRule="auto"/>
        <w:ind w:firstLine="480" w:firstLineChars="200"/>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质疑联系方式：0575-84126113</w:t>
      </w:r>
    </w:p>
    <w:p w14:paraId="5F4BCAD8">
      <w:pPr>
        <w:pStyle w:val="3"/>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6150C7CC">
      <w:pPr>
        <w:spacing w:line="440" w:lineRule="exact"/>
        <w:ind w:firstLine="480" w:firstLineChars="200"/>
        <w:rPr>
          <w:rFonts w:ascii="仿宋" w:hAnsi="仿宋" w:eastAsia="仿宋" w:cs="仿宋"/>
          <w:color w:val="auto"/>
          <w:sz w:val="24"/>
          <w:highlight w:val="none"/>
        </w:rPr>
      </w:pPr>
      <w:bookmarkStart w:id="13" w:name="_Toc35393808"/>
      <w:bookmarkStart w:id="14" w:name="_Toc35393639"/>
      <w:bookmarkStart w:id="15" w:name="_Toc28359021"/>
      <w:bookmarkStart w:id="16" w:name="_Toc28359098"/>
      <w:r>
        <w:rPr>
          <w:rFonts w:hint="eastAsia" w:ascii="仿宋" w:hAnsi="仿宋" w:eastAsia="仿宋" w:cs="仿宋"/>
          <w:color w:val="auto"/>
          <w:sz w:val="24"/>
          <w:highlight w:val="none"/>
        </w:rPr>
        <w:t xml:space="preserve">名    称：浙江中兴工程项目管理有限公司             </w:t>
      </w:r>
    </w:p>
    <w:p w14:paraId="3927689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绍兴市凤林西路172号亿兆大厦1405</w:t>
      </w:r>
    </w:p>
    <w:p w14:paraId="276F1A4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20936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项目联系人（询问）：蒋春英</w:t>
      </w:r>
    </w:p>
    <w:p w14:paraId="4799927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13957591430</w:t>
      </w:r>
    </w:p>
    <w:p w14:paraId="3EE08EA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质疑联系人：余工             </w:t>
      </w:r>
    </w:p>
    <w:p w14:paraId="56CF3B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质疑联系方式：0575-88365529</w:t>
      </w:r>
    </w:p>
    <w:p w14:paraId="1E31AA4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20738E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3C2434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址：绍兴市柯桥区育才路财税大楼  </w:t>
      </w:r>
    </w:p>
    <w:p w14:paraId="6CF399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D9B98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：王涛  </w:t>
      </w:r>
    </w:p>
    <w:p w14:paraId="4CB03B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w:t>
      </w:r>
      <w:r>
        <w:rPr>
          <w:rFonts w:hint="eastAsia" w:ascii="仿宋" w:hAnsi="仿宋" w:eastAsia="仿宋" w:cs="仿宋"/>
          <w:color w:val="auto"/>
          <w:sz w:val="24"/>
          <w:highlight w:val="none"/>
          <w:lang w:val="en-US" w:eastAsia="zh-CN"/>
        </w:rPr>
        <w:t>5672135</w:t>
      </w:r>
      <w:r>
        <w:rPr>
          <w:rFonts w:hint="eastAsia" w:ascii="仿宋" w:hAnsi="仿宋" w:eastAsia="仿宋" w:cs="仿宋"/>
          <w:color w:val="auto"/>
          <w:sz w:val="24"/>
          <w:highlight w:val="none"/>
        </w:rPr>
        <w:t xml:space="preserve">     </w:t>
      </w:r>
    </w:p>
    <w:p w14:paraId="39765D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72866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965255A">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91B73E7">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45126EAF">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0DD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AFE63F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898710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CF0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E10476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B36DBD7">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41A1C73">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9C7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976B8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p>
        </w:tc>
        <w:tc>
          <w:tcPr>
            <w:tcW w:w="8370" w:type="dxa"/>
            <w:gridSpan w:val="2"/>
            <w:vAlign w:val="center"/>
          </w:tcPr>
          <w:p w14:paraId="4FA8ADD2">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0E94DA8E">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8"/>
                <w:highlight w:val="none"/>
              </w:rPr>
              <w:t>有关本项目开展所需的劳务支出、安全保险、劳保福利、住宿、材料、</w:t>
            </w:r>
            <w:r>
              <w:rPr>
                <w:rFonts w:hint="eastAsia" w:ascii="仿宋" w:hAnsi="仿宋" w:eastAsia="仿宋" w:cs="仿宋"/>
                <w:color w:val="auto"/>
                <w:sz w:val="24"/>
                <w:szCs w:val="28"/>
                <w:highlight w:val="none"/>
                <w:lang w:eastAsia="zh-CN"/>
              </w:rPr>
              <w:t>维护保养</w:t>
            </w:r>
            <w:r>
              <w:rPr>
                <w:rFonts w:hint="eastAsia" w:ascii="仿宋" w:hAnsi="仿宋" w:eastAsia="仿宋" w:cs="仿宋"/>
                <w:color w:val="auto"/>
                <w:sz w:val="24"/>
                <w:szCs w:val="28"/>
                <w:highlight w:val="none"/>
              </w:rPr>
              <w:t>、税收、管理费、社会保险等费用均计入报价。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571F3CAA">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FA05B30">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投标文件出现不是唯一的、有选择性投标报价的；</w:t>
            </w:r>
          </w:p>
          <w:p w14:paraId="7F5C831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报价超过招标文件中规定的预算金额或最高限价的;</w:t>
            </w:r>
          </w:p>
          <w:p w14:paraId="0E2B5C34">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6E020B02">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视为投标人不能证明其报价合理性</w:t>
            </w:r>
            <w:r>
              <w:rPr>
                <w:rFonts w:hint="eastAsia" w:ascii="宋体" w:hAnsi="宋体" w:eastAsia="宋体" w:cs="宋体"/>
                <w:b/>
                <w:bCs/>
                <w:color w:val="auto"/>
                <w:sz w:val="24"/>
                <w:highlight w:val="none"/>
                <w:lang w:eastAsia="zh-CN"/>
              </w:rPr>
              <w:t>；</w:t>
            </w:r>
          </w:p>
          <w:p w14:paraId="02946EC2">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《开标一览表(报价表)》填写不完整或字迹不能辨认或有漏项的,经评标委员会认定属于重大偏差的；</w:t>
            </w:r>
          </w:p>
          <w:p w14:paraId="092B80B1">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投标人对根据修正原则修正后的报价不确认的。</w:t>
            </w:r>
          </w:p>
        </w:tc>
      </w:tr>
      <w:tr w14:paraId="5F9C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EA81AC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195B1A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B6B9BC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BD008E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4A7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FE3844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B657A24">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16B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432E53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468109B">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AC0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499F48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B9FF6A0">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33BFCC1">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54E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A65C6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C139653">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EF1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CE6BBB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C1F9792">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F7D9566">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EAD8A70">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9A9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04686B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7988C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D438835">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CF05A49">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B6AE1E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BB0AE00">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C91D89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1F9DEB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154081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EDFE70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F952463">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D573806">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4D90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0780C5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186EC3A3">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055D568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287C213D">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4ECF672E">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1736108D">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3657FE83">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82EB30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DE9225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3A4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CD9A61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AB46EFB">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51B57C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59EA47F4">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768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00030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28D8848">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CB1EADA">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536028E">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1D1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C8DAC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04B6A394">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21BEEBB">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医共体信息化运维项目</w:t>
            </w:r>
            <w:r>
              <w:rPr>
                <w:rFonts w:hint="eastAsia" w:ascii="仿宋" w:hAnsi="仿宋" w:eastAsia="仿宋" w:cs="仿宋"/>
                <w:color w:val="auto"/>
                <w:kern w:val="0"/>
                <w:sz w:val="24"/>
                <w:highlight w:val="none"/>
              </w:rPr>
              <w:t>，属于</w:t>
            </w:r>
            <w:r>
              <w:rPr>
                <w:rFonts w:hint="eastAsia" w:ascii="仿宋" w:hAnsi="仿宋" w:eastAsia="仿宋" w:cs="仿宋_GB2312"/>
                <w:color w:val="auto"/>
                <w:sz w:val="24"/>
                <w:highlight w:val="none"/>
                <w:u w:val="single"/>
                <w:lang w:eastAsia="zh-CN"/>
              </w:rPr>
              <w:t>软件和信息技术服务业</w:t>
            </w:r>
            <w:r>
              <w:rPr>
                <w:rFonts w:hint="eastAsia" w:ascii="仿宋" w:hAnsi="仿宋" w:eastAsia="仿宋" w:cs="仿宋"/>
                <w:color w:val="auto"/>
                <w:kern w:val="0"/>
                <w:sz w:val="24"/>
                <w:highlight w:val="none"/>
              </w:rPr>
              <w:t>；</w:t>
            </w:r>
          </w:p>
        </w:tc>
      </w:tr>
      <w:tr w14:paraId="7517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BB33D4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55" w:type="dxa"/>
            <w:vMerge w:val="restart"/>
            <w:vAlign w:val="center"/>
          </w:tcPr>
          <w:p w14:paraId="3CA5EB8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F2BCF3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287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46D2D6">
            <w:pPr>
              <w:spacing w:line="440" w:lineRule="exact"/>
              <w:jc w:val="center"/>
              <w:rPr>
                <w:rFonts w:ascii="仿宋" w:hAnsi="仿宋" w:eastAsia="仿宋" w:cs="仿宋"/>
                <w:color w:val="auto"/>
                <w:sz w:val="24"/>
                <w:highlight w:val="none"/>
              </w:rPr>
            </w:pPr>
          </w:p>
        </w:tc>
        <w:tc>
          <w:tcPr>
            <w:tcW w:w="855" w:type="dxa"/>
            <w:vMerge w:val="continue"/>
            <w:vAlign w:val="center"/>
          </w:tcPr>
          <w:p w14:paraId="7DB808B9">
            <w:pPr>
              <w:snapToGrid w:val="0"/>
              <w:spacing w:line="440" w:lineRule="exact"/>
              <w:rPr>
                <w:rFonts w:ascii="仿宋" w:hAnsi="仿宋" w:eastAsia="仿宋" w:cs="仿宋"/>
                <w:b/>
                <w:color w:val="auto"/>
                <w:sz w:val="24"/>
                <w:highlight w:val="none"/>
              </w:rPr>
            </w:pPr>
          </w:p>
        </w:tc>
        <w:tc>
          <w:tcPr>
            <w:tcW w:w="7515" w:type="dxa"/>
            <w:vAlign w:val="center"/>
          </w:tcPr>
          <w:p w14:paraId="7AF013C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6DF3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B5F6DEB">
            <w:pPr>
              <w:spacing w:line="440" w:lineRule="exact"/>
              <w:jc w:val="center"/>
              <w:rPr>
                <w:rFonts w:ascii="仿宋" w:hAnsi="仿宋" w:eastAsia="仿宋" w:cs="仿宋"/>
                <w:color w:val="auto"/>
                <w:sz w:val="24"/>
                <w:highlight w:val="none"/>
              </w:rPr>
            </w:pPr>
          </w:p>
        </w:tc>
        <w:tc>
          <w:tcPr>
            <w:tcW w:w="855" w:type="dxa"/>
            <w:vMerge w:val="continue"/>
            <w:vAlign w:val="center"/>
          </w:tcPr>
          <w:p w14:paraId="30F52D79">
            <w:pPr>
              <w:snapToGrid w:val="0"/>
              <w:spacing w:line="440" w:lineRule="exact"/>
              <w:rPr>
                <w:rFonts w:ascii="仿宋" w:hAnsi="仿宋" w:eastAsia="仿宋" w:cs="仿宋"/>
                <w:b/>
                <w:color w:val="auto"/>
                <w:sz w:val="24"/>
                <w:highlight w:val="none"/>
              </w:rPr>
            </w:pPr>
          </w:p>
        </w:tc>
        <w:tc>
          <w:tcPr>
            <w:tcW w:w="7515" w:type="dxa"/>
            <w:vAlign w:val="center"/>
          </w:tcPr>
          <w:p w14:paraId="436D95DC">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6E591000">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53C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7BAA40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4ECF9EE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92F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14666A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                                                                                                                                                                                                                                                                                                                                                                                                                                                                                                                                                                                                                                                                                                                                                                                                                                                                                                                                                                                                                                                                                                                                                                                                                                                                                                                                        </w:t>
            </w:r>
          </w:p>
        </w:tc>
        <w:tc>
          <w:tcPr>
            <w:tcW w:w="8370" w:type="dxa"/>
            <w:gridSpan w:val="2"/>
            <w:vAlign w:val="center"/>
          </w:tcPr>
          <w:p w14:paraId="180CBB8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更正补充公告请自行登录浙江政府采购网或绍兴市柯桥区公共资源交易中心查看下载。</w:t>
            </w:r>
          </w:p>
        </w:tc>
      </w:tr>
      <w:tr w14:paraId="5193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5E9DE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14:paraId="45E0552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B65A0E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657E09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910CCA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注：供应商CA相关操作可参考政采云平台https://www.zcygov.cn/《CA申领操作指南》和《CA管理操作指南》。完成CA数字证书办理在资料齐全的情况下预计7个工作日左右，建议供应商获取招标文件后立即办理。</w:t>
            </w:r>
          </w:p>
          <w:p w14:paraId="2AD37D0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2A3CE0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64E7623">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217FDD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F12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3CAA3F8">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12E0C44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D82FDE2">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C88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57D7E69">
            <w:pPr>
              <w:spacing w:line="440" w:lineRule="exact"/>
              <w:rPr>
                <w:rFonts w:ascii="仿宋" w:hAnsi="仿宋" w:eastAsia="仿宋" w:cs="仿宋"/>
                <w:color w:val="auto"/>
                <w:sz w:val="24"/>
                <w:highlight w:val="none"/>
              </w:rPr>
            </w:pPr>
          </w:p>
        </w:tc>
        <w:tc>
          <w:tcPr>
            <w:tcW w:w="8370" w:type="dxa"/>
            <w:gridSpan w:val="2"/>
            <w:vAlign w:val="center"/>
          </w:tcPr>
          <w:p w14:paraId="052AC83B">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7A9C172">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FB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88C0478">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19</w:t>
            </w:r>
          </w:p>
        </w:tc>
        <w:tc>
          <w:tcPr>
            <w:tcW w:w="8370" w:type="dxa"/>
            <w:gridSpan w:val="2"/>
            <w:vAlign w:val="center"/>
          </w:tcPr>
          <w:p w14:paraId="1E72291F">
            <w:pPr>
              <w:spacing w:line="336" w:lineRule="auto"/>
              <w:rPr>
                <w:rFonts w:hint="eastAsia" w:ascii="仿宋" w:hAnsi="仿宋" w:eastAsia="仿宋" w:cs="仿宋"/>
                <w:color w:val="auto"/>
                <w:kern w:val="0"/>
                <w:sz w:val="24"/>
                <w:highlight w:val="none"/>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：无</w:t>
            </w:r>
          </w:p>
        </w:tc>
      </w:tr>
      <w:tr w14:paraId="4A38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88EEC14">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20</w:t>
            </w:r>
          </w:p>
        </w:tc>
        <w:tc>
          <w:tcPr>
            <w:tcW w:w="8370" w:type="dxa"/>
            <w:gridSpan w:val="2"/>
            <w:vAlign w:val="center"/>
          </w:tcPr>
          <w:p w14:paraId="07ACD73E">
            <w:pPr>
              <w:spacing w:line="336" w:lineRule="auto"/>
              <w:rPr>
                <w:rFonts w:ascii="仿宋" w:hAnsi="仿宋" w:eastAsia="仿宋" w:cs="仿宋"/>
                <w:color w:val="auto"/>
                <w:highlight w:val="none"/>
              </w:rPr>
            </w:pPr>
            <w:r>
              <w:rPr>
                <w:rFonts w:hint="eastAsia" w:ascii="仿宋" w:hAnsi="仿宋" w:eastAsia="仿宋" w:cs="仿宋"/>
                <w:b/>
                <w:color w:val="auto"/>
                <w:sz w:val="24"/>
                <w:highlight w:val="none"/>
              </w:rPr>
              <w:t>采购代理服务费：费用由采购人支付，具体以双方签订的合同为准。</w:t>
            </w:r>
          </w:p>
        </w:tc>
      </w:tr>
      <w:tr w14:paraId="169F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10CCF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2E8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A05D70">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4629A50">
      <w:pPr>
        <w:adjustRightInd/>
        <w:spacing w:line="360" w:lineRule="auto"/>
        <w:jc w:val="center"/>
        <w:outlineLvl w:val="0"/>
        <w:rPr>
          <w:rFonts w:ascii="仿宋" w:hAnsi="仿宋" w:eastAsia="仿宋" w:cs="仿宋"/>
          <w:b/>
          <w:color w:val="auto"/>
          <w:sz w:val="32"/>
          <w:szCs w:val="32"/>
          <w:highlight w:val="none"/>
        </w:rPr>
      </w:pPr>
      <w:bookmarkStart w:id="17" w:name="_Toc164416483"/>
      <w:bookmarkStart w:id="18" w:name="第三部分"/>
    </w:p>
    <w:p w14:paraId="648E9A0B">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E8E361B">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84FEA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A289EA3">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6D517A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468FCFA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51C5EF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BAF0B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1B5D178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24EDEE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EE066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38C8AE4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40B3FE8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35A793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A0D696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1F06C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44CF4A4">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70C6D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1E921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32160E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04769F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DFD845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B53581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6F74A2A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B9625F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E090A4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40A032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C9E51C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3425C05">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1143E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5356F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E32EE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449ECD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A8B09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102393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AE5739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952A5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7EACB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F984AB6">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BF08F9">
      <w:pPr>
        <w:adjustRightInd/>
        <w:spacing w:line="360" w:lineRule="auto"/>
        <w:jc w:val="center"/>
        <w:outlineLvl w:val="0"/>
        <w:rPr>
          <w:rFonts w:ascii="仿宋" w:hAnsi="仿宋" w:eastAsia="仿宋" w:cs="仿宋"/>
          <w:b/>
          <w:color w:val="auto"/>
          <w:sz w:val="32"/>
          <w:szCs w:val="32"/>
          <w:highlight w:val="none"/>
        </w:rPr>
      </w:pPr>
    </w:p>
    <w:p w14:paraId="681E27F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F8E2FE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6D5B9E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A44F9B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6ECC6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15A02AD">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3340BA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3C50E9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E0DC8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0F4D7EE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12B7F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E85D5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BB0F9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7B08F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2E019F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4EFD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F3AAF4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23283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04BBD2F">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5E06F5B">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31D07B0B">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0E37D4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0CF946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1E9C6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1B257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D46C2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ACD7DA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336F5BC3">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8504E34">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7A7CF39">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123955F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0C942485">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C22FCD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C30CAD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688404C">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E2C82E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4F34319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0A1721E9">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3434A4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4A533D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EA3ACE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1752030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289580E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156788E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F4DD8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0BDEFDA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F97DA2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21A8EC0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62768D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5D800A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FE60A7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756EE10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D137BB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75F04A6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AC685E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4FA54F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6853C96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47C4842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78592E1D">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6DEEC4F4">
      <w:pPr>
        <w:snapToGrid w:val="0"/>
        <w:spacing w:line="440" w:lineRule="exact"/>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234DC178">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F4BDAFE">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46EFDD0B">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中小企业声明函（如有）；</w:t>
      </w:r>
    </w:p>
    <w:p w14:paraId="5FCE6077">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残疾人福利性单位声明函（如有）。</w:t>
      </w:r>
    </w:p>
    <w:p w14:paraId="2FF6166D">
      <w:pPr>
        <w:pStyle w:val="24"/>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2855D3B4">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2A3AA115">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3.2报价为采购人可以合格使用产品的价格，包括劳务、福利、工具、机械、仪器、设备、配件、交通费、检验费、利润、税金、保险及不可预见等一切费用。</w:t>
      </w:r>
    </w:p>
    <w:p w14:paraId="264A8550">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12ED6836">
      <w:pPr>
        <w:pStyle w:val="24"/>
        <w:autoSpaceDE/>
        <w:autoSpaceDN/>
        <w:snapToGrid w:val="0"/>
        <w:spacing w:line="440" w:lineRule="exact"/>
        <w:ind w:firstLine="482" w:firstLineChars="200"/>
        <w:rPr>
          <w:rFonts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14:paraId="1F45344F">
      <w:pPr>
        <w:pStyle w:val="24"/>
        <w:autoSpaceDE/>
        <w:autoSpaceDN/>
        <w:snapToGrid w:val="0"/>
        <w:spacing w:line="440" w:lineRule="exact"/>
        <w:ind w:firstLine="482" w:firstLineChars="20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0FF275CE">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659AED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4C4D58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F6D5E0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85FB43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4B630A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C5EEAD9">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8F2CFB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FB85E0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B69A94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932BB34">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49E598EA">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6975FD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1D31EF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1F1FD429">
      <w:pPr>
        <w:pStyle w:val="130"/>
        <w:spacing w:before="0"/>
        <w:ind w:firstLine="643"/>
        <w:rPr>
          <w:rFonts w:ascii="仿宋" w:hAnsi="仿宋" w:eastAsia="仿宋" w:cs="仿宋"/>
          <w:b/>
          <w:color w:val="auto"/>
          <w:sz w:val="32"/>
          <w:highlight w:val="none"/>
        </w:rPr>
      </w:pPr>
    </w:p>
    <w:p w14:paraId="4FAA6864">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087C37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FCF16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3A4F01D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9BCEA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521FE2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29AF7C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6E4923A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6B2CAD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31253EF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6D32538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3CCF8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EC070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7FBC0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535901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0023B6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B421F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C1516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E583B0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EFA44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827AD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3.2评标委员会由采购人代表和有关方面的专家组成，成员人数为七人以上单数。</w:t>
      </w:r>
    </w:p>
    <w:p w14:paraId="53F165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D0183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6FA1B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FB1453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97D814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1FCBAE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791C60C1">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10CAB3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C150B4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8D1E89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E956E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47D215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4AE340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F94ABB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FDF7DA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AE5037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0357C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16DEF3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EECDC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1C8DA55">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A08F81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5432E49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DC777A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4D87C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B3137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A6D0A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73657F2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1502D8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F5A90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C26A2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0706DC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7EDC340">
      <w:pPr>
        <w:pStyle w:val="15"/>
        <w:widowControl w:val="0"/>
        <w:tabs>
          <w:tab w:val="clear" w:pos="390"/>
          <w:tab w:val="clear" w:pos="454"/>
        </w:tabs>
        <w:spacing w:afterLines="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684D5E23">
      <w:pPr>
        <w:pStyle w:val="15"/>
        <w:widowControl w:val="0"/>
        <w:tabs>
          <w:tab w:val="clear" w:pos="390"/>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0A24B7C">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9C1BD87">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2466D1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8E0D5F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0CACA3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42D0CA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406D05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E59EA3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0219826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107F40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63100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CB94A1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FA8F5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1CCFA53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3F1E44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B63B8F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C7C9CB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3D9C3C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6C85A81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5A7A49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1810FFF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32F64B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E6F9299">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1CBD15F">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85F109A">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C83BA94">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163F7E7">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1B1DC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74DB9E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6FCE1A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63EF33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7E69BF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E8AC3D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E48CA2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424526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879032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474097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3AD2A5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42156E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553F58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709398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A4A5A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0FCE1D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47A16C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0054F27D">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1404995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7D325B7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7C7DAFBA">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7EB9BA5E">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62659B38">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2F6B07FE">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719CA181">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6F0B393">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B9AB02C">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664A424">
      <w:pPr>
        <w:snapToGrid w:val="0"/>
        <w:spacing w:line="360" w:lineRule="auto"/>
        <w:ind w:firstLine="482" w:firstLineChars="150"/>
        <w:jc w:val="center"/>
        <w:rPr>
          <w:rFonts w:ascii="仿宋" w:hAnsi="仿宋" w:eastAsia="仿宋" w:cs="仿宋"/>
          <w:b/>
          <w:color w:val="auto"/>
          <w:sz w:val="32"/>
          <w:highlight w:val="none"/>
        </w:rPr>
      </w:pPr>
    </w:p>
    <w:bookmarkEnd w:id="19"/>
    <w:p w14:paraId="4CB5DC85">
      <w:pPr>
        <w:pStyle w:val="33"/>
        <w:spacing w:line="360" w:lineRule="auto"/>
        <w:ind w:firstLine="726"/>
        <w:jc w:val="center"/>
        <w:rPr>
          <w:rFonts w:ascii="仿宋" w:hAnsi="仿宋" w:eastAsia="仿宋" w:cs="仿宋"/>
          <w:b/>
          <w:color w:val="auto"/>
          <w:sz w:val="32"/>
          <w:szCs w:val="32"/>
          <w:highlight w:val="none"/>
        </w:rPr>
      </w:pPr>
      <w:bookmarkStart w:id="20" w:name="_Hlt68403820"/>
      <w:bookmarkEnd w:id="20"/>
      <w:bookmarkStart w:id="21" w:name="_Hlt74707468"/>
      <w:bookmarkEnd w:id="21"/>
      <w:bookmarkStart w:id="22" w:name="_Hlt74730295"/>
      <w:bookmarkEnd w:id="22"/>
      <w:bookmarkStart w:id="23" w:name="_Hlt75236290"/>
      <w:bookmarkEnd w:id="23"/>
      <w:bookmarkStart w:id="24" w:name="_Hlt68057669"/>
      <w:bookmarkEnd w:id="24"/>
      <w:bookmarkStart w:id="25" w:name="_Hlt68073093"/>
      <w:bookmarkEnd w:id="25"/>
      <w:bookmarkStart w:id="26" w:name="_Hlt74714665"/>
      <w:bookmarkEnd w:id="26"/>
      <w:bookmarkStart w:id="27" w:name="_Hlt68072990"/>
      <w:bookmarkEnd w:id="27"/>
      <w:bookmarkStart w:id="28" w:name="_Hlt75236011"/>
      <w:bookmarkEnd w:id="28"/>
      <w:bookmarkStart w:id="29" w:name="_Hlt75236101"/>
      <w:bookmarkEnd w:id="29"/>
      <w:bookmarkStart w:id="30" w:name="_Hlt68072998"/>
      <w:bookmarkEnd w:id="30"/>
      <w:bookmarkStart w:id="31" w:name="_Hlt74729768"/>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434E0E5E">
      <w:pPr>
        <w:pStyle w:val="15"/>
        <w:tabs>
          <w:tab w:val="clear" w:pos="390"/>
          <w:tab w:val="clear" w:pos="454"/>
        </w:tabs>
        <w:spacing w:afterLines="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1D7D03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4ECB1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CDE15D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5B4897A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7C1BF9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326BB85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DE3051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5C2BE0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7953E3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37024F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7CB5C2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、绍兴市柯桥区公共资源交易中心http://www.kq.gov.cn/col/col1658072/index.html）发布中标公告，中标公告期限为1个工作日。</w:t>
      </w:r>
    </w:p>
    <w:p w14:paraId="18584193">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E14D2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4173C61">
      <w:pPr>
        <w:pStyle w:val="25"/>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0C6A3556">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2799E360">
      <w:pPr>
        <w:pStyle w:val="3"/>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3DB12F2">
      <w:pPr>
        <w:pStyle w:val="25"/>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198D7A1">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B7361C6">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318A4E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65F27E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81E2BF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6EFACB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E2CF3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39A40C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93FCB6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226C93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45F9459">
      <w:pPr>
        <w:tabs>
          <w:tab w:val="left" w:pos="0"/>
        </w:tabs>
        <w:spacing w:line="360" w:lineRule="auto"/>
        <w:ind w:firstLine="480"/>
        <w:rPr>
          <w:rFonts w:ascii="仿宋" w:hAnsi="仿宋" w:eastAsia="仿宋" w:cs="仿宋"/>
          <w:color w:val="auto"/>
          <w:kern w:val="0"/>
          <w:sz w:val="24"/>
          <w:highlight w:val="none"/>
        </w:rPr>
      </w:pPr>
    </w:p>
    <w:p w14:paraId="5F8181C5">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01E6F15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F416CC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4E7A35A3">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486A9ED5">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69EC724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1648B923">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07EA1F4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EBCF22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04A52AA">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8CA78D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3DB066F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05D7088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000612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28007F50">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1D15B35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B56AE9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76FE46C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55FB70D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79CE7E7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1262741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561C18E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84FD73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7078FA92">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6D2992D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10DB9F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3B43A06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580C4DC0">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0700D838">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61CD7DBA">
      <w:pPr>
        <w:pStyle w:val="23"/>
        <w:spacing w:line="440" w:lineRule="exact"/>
        <w:ind w:firstLine="480" w:firstLineChars="200"/>
        <w:rPr>
          <w:rFonts w:ascii="仿宋" w:hAnsi="仿宋" w:eastAsia="仿宋" w:cs="仿宋"/>
          <w:color w:val="auto"/>
          <w:highlight w:val="none"/>
        </w:rPr>
        <w:sectPr>
          <w:footerReference r:id="rId8" w:type="default"/>
          <w:pgSz w:w="11905" w:h="16838"/>
          <w:pgMar w:top="1474" w:right="1587" w:bottom="1474" w:left="1587" w:header="851" w:footer="992" w:gutter="0"/>
          <w:cols w:space="0" w:num="1"/>
          <w:docGrid w:linePitch="312" w:charSpace="0"/>
        </w:sectPr>
      </w:pPr>
    </w:p>
    <w:bookmarkEnd w:id="17"/>
    <w:bookmarkEnd w:id="18"/>
    <w:p w14:paraId="63DD3F27">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4D35860">
      <w:pPr>
        <w:jc w:val="center"/>
        <w:rPr>
          <w:rFonts w:hint="eastAsia" w:ascii="宋体" w:hAnsi="宋体" w:eastAsia="宋体"/>
          <w:b/>
          <w:bCs/>
          <w:color w:val="auto"/>
          <w:sz w:val="24"/>
          <w:szCs w:val="24"/>
          <w:highlight w:val="none"/>
        </w:rPr>
      </w:pPr>
      <w:bookmarkStart w:id="36" w:name="第五部分"/>
      <w:bookmarkStart w:id="37" w:name="_Toc86217003"/>
    </w:p>
    <w:p w14:paraId="02E2F180">
      <w:pPr>
        <w:pStyle w:val="3"/>
        <w:rPr>
          <w:rFonts w:hint="eastAsia"/>
          <w:color w:val="auto"/>
          <w:highlight w:val="none"/>
        </w:rPr>
      </w:pPr>
      <w:r>
        <w:rPr>
          <w:rFonts w:hint="eastAsia"/>
          <w:color w:val="auto"/>
          <w:highlight w:val="none"/>
        </w:rPr>
        <w:t>项目背景</w:t>
      </w:r>
    </w:p>
    <w:p w14:paraId="067F0BEF">
      <w:pPr>
        <w:spacing w:line="360" w:lineRule="auto"/>
        <w:ind w:firstLine="480" w:firstLineChars="200"/>
        <w:rPr>
          <w:rFonts w:hint="eastAsia" w:ascii="仿宋" w:hAnsi="仿宋" w:eastAsia="仿宋"/>
          <w:color w:val="auto"/>
          <w:sz w:val="24"/>
          <w:szCs w:val="24"/>
          <w:highlight w:val="none"/>
        </w:rPr>
      </w:pPr>
      <w:r>
        <w:rPr>
          <w:rFonts w:ascii="仿宋" w:hAnsi="仿宋" w:eastAsia="仿宋"/>
          <w:color w:val="auto"/>
          <w:sz w:val="24"/>
          <w:szCs w:val="24"/>
          <w:highlight w:val="none"/>
        </w:rPr>
        <w:t>2018</w:t>
      </w:r>
      <w:r>
        <w:rPr>
          <w:rFonts w:hint="eastAsia" w:ascii="仿宋" w:hAnsi="仿宋" w:eastAsia="仿宋"/>
          <w:color w:val="auto"/>
          <w:sz w:val="24"/>
          <w:szCs w:val="24"/>
          <w:highlight w:val="none"/>
        </w:rPr>
        <w:t>年柯桥区启动医共体信息化建设项目，建设包括健康柯桥A</w:t>
      </w:r>
      <w:r>
        <w:rPr>
          <w:rFonts w:ascii="仿宋" w:hAnsi="仿宋" w:eastAsia="仿宋"/>
          <w:color w:val="auto"/>
          <w:sz w:val="24"/>
          <w:szCs w:val="24"/>
          <w:highlight w:val="none"/>
        </w:rPr>
        <w:t>PP</w:t>
      </w:r>
      <w:r>
        <w:rPr>
          <w:rFonts w:hint="eastAsia" w:ascii="仿宋" w:hAnsi="仿宋" w:eastAsia="仿宋"/>
          <w:color w:val="auto"/>
          <w:sz w:val="24"/>
          <w:szCs w:val="24"/>
          <w:highlight w:val="none"/>
        </w:rPr>
        <w:t>和微信公众号、统一支付平台、区域基层医院信息系统、区域检验系统、区域体检系统、基层补偿机制改革绩效考核信息系统等业务应用系统，为全区</w:t>
      </w:r>
      <w:r>
        <w:rPr>
          <w:rFonts w:ascii="仿宋" w:hAnsi="仿宋" w:eastAsia="仿宋"/>
          <w:color w:val="auto"/>
          <w:sz w:val="24"/>
          <w:szCs w:val="24"/>
          <w:highlight w:val="none"/>
        </w:rPr>
        <w:t>16</w:t>
      </w:r>
      <w:r>
        <w:rPr>
          <w:rFonts w:hint="eastAsia" w:ascii="仿宋" w:hAnsi="仿宋" w:eastAsia="仿宋"/>
          <w:color w:val="auto"/>
          <w:sz w:val="24"/>
          <w:szCs w:val="24"/>
          <w:highlight w:val="none"/>
        </w:rPr>
        <w:t>家社区卫生服务中心/乡镇卫生院，</w:t>
      </w:r>
      <w:r>
        <w:rPr>
          <w:rFonts w:ascii="仿宋" w:hAnsi="仿宋" w:eastAsia="仿宋"/>
          <w:color w:val="auto"/>
          <w:sz w:val="24"/>
          <w:szCs w:val="24"/>
          <w:highlight w:val="none"/>
        </w:rPr>
        <w:t>368</w:t>
      </w:r>
      <w:r>
        <w:rPr>
          <w:rFonts w:hint="eastAsia" w:ascii="仿宋" w:hAnsi="仿宋" w:eastAsia="仿宋"/>
          <w:color w:val="auto"/>
          <w:sz w:val="24"/>
          <w:szCs w:val="24"/>
          <w:highlight w:val="none"/>
        </w:rPr>
        <w:t>家社区卫生服务站/村卫生室，约1200多</w:t>
      </w:r>
      <w:r>
        <w:rPr>
          <w:rFonts w:ascii="仿宋" w:hAnsi="仿宋" w:eastAsia="仿宋"/>
          <w:color w:val="auto"/>
          <w:sz w:val="24"/>
          <w:szCs w:val="24"/>
          <w:highlight w:val="none"/>
        </w:rPr>
        <w:t>名医生</w:t>
      </w:r>
      <w:r>
        <w:rPr>
          <w:rFonts w:hint="eastAsia" w:ascii="仿宋" w:hAnsi="仿宋" w:eastAsia="仿宋"/>
          <w:color w:val="auto"/>
          <w:sz w:val="24"/>
          <w:szCs w:val="24"/>
          <w:highlight w:val="none"/>
        </w:rPr>
        <w:t>，</w:t>
      </w:r>
      <w:r>
        <w:rPr>
          <w:rFonts w:ascii="仿宋" w:hAnsi="仿宋" w:eastAsia="仿宋"/>
          <w:color w:val="auto"/>
          <w:sz w:val="24"/>
          <w:szCs w:val="24"/>
          <w:highlight w:val="none"/>
        </w:rPr>
        <w:t>109.89万</w:t>
      </w:r>
      <w:r>
        <w:rPr>
          <w:rFonts w:hint="eastAsia" w:ascii="仿宋" w:hAnsi="仿宋" w:eastAsia="仿宋"/>
          <w:color w:val="auto"/>
          <w:sz w:val="24"/>
          <w:szCs w:val="24"/>
          <w:highlight w:val="none"/>
        </w:rPr>
        <w:t>常住居民，提供卫生综合管理、健康服务、医疗服务等信息化应用，并在2</w:t>
      </w:r>
      <w:r>
        <w:rPr>
          <w:rFonts w:ascii="仿宋" w:hAnsi="仿宋" w:eastAsia="仿宋"/>
          <w:color w:val="auto"/>
          <w:sz w:val="24"/>
          <w:szCs w:val="24"/>
          <w:highlight w:val="none"/>
        </w:rPr>
        <w:t>022</w:t>
      </w:r>
      <w:r>
        <w:rPr>
          <w:rFonts w:hint="eastAsia" w:ascii="仿宋" w:hAnsi="仿宋" w:eastAsia="仿宋"/>
          <w:color w:val="auto"/>
          <w:sz w:val="24"/>
          <w:szCs w:val="24"/>
          <w:highlight w:val="none"/>
        </w:rPr>
        <w:t>年通过区域全民健康信息互联互通四甲测评。</w:t>
      </w:r>
    </w:p>
    <w:p w14:paraId="16FE2DCF">
      <w:pPr>
        <w:pStyle w:val="3"/>
        <w:rPr>
          <w:rFonts w:hint="eastAsia"/>
          <w:color w:val="auto"/>
          <w:highlight w:val="none"/>
        </w:rPr>
      </w:pPr>
      <w:r>
        <w:rPr>
          <w:rFonts w:hint="eastAsia"/>
          <w:color w:val="auto"/>
          <w:highlight w:val="none"/>
        </w:rPr>
        <w:t>建设原则</w:t>
      </w:r>
    </w:p>
    <w:p w14:paraId="6BD76795">
      <w:pPr>
        <w:spacing w:line="360" w:lineRule="auto"/>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1）遵守</w:t>
      </w:r>
      <w:r>
        <w:rPr>
          <w:rFonts w:hint="eastAsia" w:ascii="仿宋" w:hAnsi="仿宋" w:eastAsia="仿宋"/>
          <w:color w:val="auto"/>
          <w:sz w:val="24"/>
          <w:szCs w:val="24"/>
          <w:highlight w:val="none"/>
        </w:rPr>
        <w:t>柯桥区医共体信息化建设项目</w:t>
      </w:r>
      <w:r>
        <w:rPr>
          <w:rFonts w:ascii="仿宋" w:hAnsi="仿宋" w:eastAsia="仿宋"/>
          <w:color w:val="auto"/>
          <w:sz w:val="24"/>
          <w:szCs w:val="24"/>
          <w:highlight w:val="none"/>
        </w:rPr>
        <w:t>维护的有关规定，特别是保密和安全规定。</w:t>
      </w:r>
    </w:p>
    <w:p w14:paraId="05E6B44B">
      <w:pPr>
        <w:spacing w:line="360" w:lineRule="auto"/>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2）做到高效、快速、可靠地保障</w:t>
      </w:r>
      <w:r>
        <w:rPr>
          <w:rFonts w:hint="eastAsia" w:ascii="仿宋" w:hAnsi="仿宋" w:eastAsia="仿宋"/>
          <w:color w:val="auto"/>
          <w:sz w:val="24"/>
          <w:szCs w:val="24"/>
          <w:highlight w:val="none"/>
        </w:rPr>
        <w:t>柯桥区卫生健康局医共体信息化建设项目</w:t>
      </w:r>
      <w:r>
        <w:rPr>
          <w:rFonts w:ascii="仿宋" w:hAnsi="仿宋" w:eastAsia="仿宋"/>
          <w:color w:val="auto"/>
          <w:sz w:val="24"/>
          <w:szCs w:val="24"/>
          <w:highlight w:val="none"/>
        </w:rPr>
        <w:t>应用软件正常运转。</w:t>
      </w:r>
    </w:p>
    <w:p w14:paraId="15AAC951">
      <w:pPr>
        <w:pStyle w:val="3"/>
        <w:rPr>
          <w:rFonts w:hint="eastAsia"/>
          <w:color w:val="auto"/>
          <w:highlight w:val="none"/>
        </w:rPr>
      </w:pPr>
      <w:r>
        <w:rPr>
          <w:rFonts w:hint="eastAsia"/>
          <w:color w:val="auto"/>
          <w:highlight w:val="none"/>
        </w:rPr>
        <w:t>建设目标</w:t>
      </w:r>
    </w:p>
    <w:p w14:paraId="516B011C">
      <w:pPr>
        <w:spacing w:line="360" w:lineRule="auto"/>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以保障</w:t>
      </w:r>
      <w:bookmarkStart w:id="38" w:name="_Hlk146106663"/>
      <w:r>
        <w:rPr>
          <w:rFonts w:hint="eastAsia" w:ascii="仿宋" w:hAnsi="仿宋" w:eastAsia="仿宋"/>
          <w:color w:val="auto"/>
          <w:sz w:val="24"/>
          <w:szCs w:val="24"/>
          <w:highlight w:val="none"/>
        </w:rPr>
        <w:t>柯桥医共体信息化建设系统</w:t>
      </w:r>
      <w:bookmarkEnd w:id="38"/>
      <w:r>
        <w:rPr>
          <w:rFonts w:hint="eastAsia" w:ascii="仿宋" w:hAnsi="仿宋" w:eastAsia="仿宋"/>
          <w:color w:val="auto"/>
          <w:sz w:val="24"/>
          <w:szCs w:val="24"/>
          <w:highlight w:val="none"/>
        </w:rPr>
        <w:t>高效持续运行为核心，通过非现场服务及现场服务两种服务方式提供技术支持、故障处理、数据处理、服务保障、定期巡检等运维服务，在用户操作、系统功能、系统稳定性等方面满足用户业务的需要，为柯桥卫生综合管理及居民医疗健康应用提供支撑。</w:t>
      </w:r>
    </w:p>
    <w:p w14:paraId="163F850F">
      <w:pPr>
        <w:pStyle w:val="3"/>
        <w:rPr>
          <w:rFonts w:hint="eastAsia"/>
          <w:color w:val="auto"/>
          <w:highlight w:val="none"/>
        </w:rPr>
      </w:pPr>
      <w:r>
        <w:rPr>
          <w:rFonts w:hint="eastAsia"/>
          <w:color w:val="auto"/>
          <w:highlight w:val="none"/>
        </w:rPr>
        <w:t>服务内容</w:t>
      </w:r>
    </w:p>
    <w:p w14:paraId="42CD2F90">
      <w:pPr>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主要对柯桥医共体信息化建设系统开展运行维护，保障应用系统的安全、稳定、高效、准确运行。</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076"/>
        <w:gridCol w:w="2435"/>
        <w:gridCol w:w="3761"/>
      </w:tblGrid>
      <w:tr w14:paraId="6F70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top"/>
          </w:tcPr>
          <w:p w14:paraId="428C01E6">
            <w:pPr>
              <w:spacing w:line="360" w:lineRule="auto"/>
              <w:jc w:val="center"/>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序号</w:t>
            </w:r>
          </w:p>
        </w:tc>
        <w:tc>
          <w:tcPr>
            <w:tcW w:w="2521" w:type="pct"/>
            <w:gridSpan w:val="2"/>
            <w:noWrap w:val="0"/>
            <w:vAlign w:val="center"/>
          </w:tcPr>
          <w:p w14:paraId="6B397A66">
            <w:pPr>
              <w:spacing w:line="360" w:lineRule="auto"/>
              <w:jc w:val="center"/>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系统名称</w:t>
            </w:r>
          </w:p>
        </w:tc>
        <w:tc>
          <w:tcPr>
            <w:tcW w:w="2102" w:type="pct"/>
            <w:noWrap w:val="0"/>
            <w:vAlign w:val="center"/>
          </w:tcPr>
          <w:p w14:paraId="7057E2DD">
            <w:pPr>
              <w:spacing w:line="360" w:lineRule="auto"/>
              <w:jc w:val="center"/>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功能模块</w:t>
            </w:r>
          </w:p>
        </w:tc>
      </w:tr>
      <w:tr w14:paraId="6B6A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18070FF9">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w:t>
            </w:r>
          </w:p>
        </w:tc>
        <w:tc>
          <w:tcPr>
            <w:tcW w:w="1160" w:type="pct"/>
            <w:vMerge w:val="restart"/>
            <w:noWrap w:val="0"/>
            <w:vAlign w:val="center"/>
          </w:tcPr>
          <w:p w14:paraId="6EA1F9A4">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全民健康信息平台</w:t>
            </w:r>
          </w:p>
        </w:tc>
        <w:tc>
          <w:tcPr>
            <w:tcW w:w="1361" w:type="pct"/>
            <w:noWrap w:val="0"/>
            <w:vAlign w:val="top"/>
          </w:tcPr>
          <w:p w14:paraId="1AA22F55">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集成平台</w:t>
            </w:r>
          </w:p>
        </w:tc>
        <w:tc>
          <w:tcPr>
            <w:tcW w:w="2102" w:type="pct"/>
            <w:noWrap w:val="0"/>
            <w:vAlign w:val="top"/>
          </w:tcPr>
          <w:p w14:paraId="2A1DEF31">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单点登录、门户首页、统一认证</w:t>
            </w:r>
          </w:p>
        </w:tc>
      </w:tr>
      <w:tr w14:paraId="52F8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08D119DE">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w:t>
            </w:r>
          </w:p>
        </w:tc>
        <w:tc>
          <w:tcPr>
            <w:tcW w:w="1160" w:type="pct"/>
            <w:vMerge w:val="continue"/>
            <w:noWrap w:val="0"/>
            <w:vAlign w:val="top"/>
          </w:tcPr>
          <w:p w14:paraId="1CFD4BFB">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center"/>
          </w:tcPr>
          <w:p w14:paraId="6BF16E0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协同管理平台</w:t>
            </w:r>
          </w:p>
        </w:tc>
        <w:tc>
          <w:tcPr>
            <w:tcW w:w="2102" w:type="pct"/>
            <w:noWrap w:val="0"/>
            <w:vAlign w:val="top"/>
          </w:tcPr>
          <w:p w14:paraId="1D547E4F">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协同管理后台（应用集成管理，对接管理、系统监控），协同插件</w:t>
            </w:r>
          </w:p>
        </w:tc>
      </w:tr>
      <w:tr w14:paraId="7893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019D2BAF">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w:t>
            </w:r>
          </w:p>
        </w:tc>
        <w:tc>
          <w:tcPr>
            <w:tcW w:w="1160" w:type="pct"/>
            <w:vMerge w:val="continue"/>
            <w:noWrap w:val="0"/>
            <w:vAlign w:val="top"/>
          </w:tcPr>
          <w:p w14:paraId="4409C183">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center"/>
          </w:tcPr>
          <w:p w14:paraId="6827FDE9">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基础管理系统</w:t>
            </w:r>
          </w:p>
        </w:tc>
        <w:tc>
          <w:tcPr>
            <w:tcW w:w="2102" w:type="pct"/>
            <w:noWrap w:val="0"/>
            <w:vAlign w:val="top"/>
          </w:tcPr>
          <w:p w14:paraId="3182843B">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主数据管理、标准管理、居民主索引信息安全、日志管理及消息中心、注册服务、EMPI主索引服务、健康档案存储服务、全程健康档案服务、信息安全与隐私服务、资源目标管理、系统管理</w:t>
            </w:r>
          </w:p>
        </w:tc>
      </w:tr>
      <w:tr w14:paraId="15A2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46FBF682">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4</w:t>
            </w:r>
          </w:p>
        </w:tc>
        <w:tc>
          <w:tcPr>
            <w:tcW w:w="1160" w:type="pct"/>
            <w:vMerge w:val="continue"/>
            <w:noWrap w:val="0"/>
            <w:vAlign w:val="top"/>
          </w:tcPr>
          <w:p w14:paraId="1436FF71">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center"/>
          </w:tcPr>
          <w:p w14:paraId="15FE0138">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综合管理平台</w:t>
            </w:r>
          </w:p>
        </w:tc>
        <w:tc>
          <w:tcPr>
            <w:tcW w:w="2102" w:type="pct"/>
            <w:noWrap w:val="0"/>
            <w:vAlign w:val="top"/>
          </w:tcPr>
          <w:p w14:paraId="43759353">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概况分析、公共卫生监管、医疗服务监管、应用效果监管</w:t>
            </w:r>
          </w:p>
        </w:tc>
      </w:tr>
      <w:tr w14:paraId="4836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3BF282A8">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5</w:t>
            </w:r>
          </w:p>
        </w:tc>
        <w:tc>
          <w:tcPr>
            <w:tcW w:w="1160" w:type="pct"/>
            <w:vMerge w:val="continue"/>
            <w:noWrap w:val="0"/>
            <w:vAlign w:val="top"/>
          </w:tcPr>
          <w:p w14:paraId="34488538">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center"/>
          </w:tcPr>
          <w:p w14:paraId="0ECC56C0">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综管大屏</w:t>
            </w:r>
          </w:p>
        </w:tc>
        <w:tc>
          <w:tcPr>
            <w:tcW w:w="2102" w:type="pct"/>
            <w:noWrap w:val="0"/>
            <w:vAlign w:val="top"/>
          </w:tcPr>
          <w:p w14:paraId="78CDD9E7">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组织架构、区级医疗服务、基层医疗服务公共卫生、财务监管</w:t>
            </w:r>
          </w:p>
        </w:tc>
      </w:tr>
      <w:tr w14:paraId="61F0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7BE8A520">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6</w:t>
            </w:r>
          </w:p>
        </w:tc>
        <w:tc>
          <w:tcPr>
            <w:tcW w:w="1160" w:type="pct"/>
            <w:vMerge w:val="continue"/>
            <w:noWrap w:val="0"/>
            <w:vAlign w:val="top"/>
          </w:tcPr>
          <w:p w14:paraId="3A5AE099">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top"/>
          </w:tcPr>
          <w:p w14:paraId="6B40CE7E">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数据质量管理系统</w:t>
            </w:r>
          </w:p>
        </w:tc>
        <w:tc>
          <w:tcPr>
            <w:tcW w:w="2102" w:type="pct"/>
            <w:noWrap w:val="0"/>
            <w:vAlign w:val="top"/>
          </w:tcPr>
          <w:p w14:paraId="5C25583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标准管理、质量管理、规则管理</w:t>
            </w:r>
          </w:p>
        </w:tc>
      </w:tr>
      <w:tr w14:paraId="63CA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17ECF14A">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7</w:t>
            </w:r>
          </w:p>
        </w:tc>
        <w:tc>
          <w:tcPr>
            <w:tcW w:w="1160" w:type="pct"/>
            <w:vMerge w:val="continue"/>
            <w:noWrap w:val="0"/>
            <w:vAlign w:val="top"/>
          </w:tcPr>
          <w:p w14:paraId="2F15DCC0">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center"/>
          </w:tcPr>
          <w:p w14:paraId="081A53C1">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任务调度系统</w:t>
            </w:r>
          </w:p>
        </w:tc>
        <w:tc>
          <w:tcPr>
            <w:tcW w:w="2102" w:type="pct"/>
            <w:noWrap w:val="0"/>
            <w:vAlign w:val="top"/>
          </w:tcPr>
          <w:p w14:paraId="589525B9">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实时监测、采集监管、作业执行明细、远程节点配置</w:t>
            </w:r>
          </w:p>
        </w:tc>
      </w:tr>
      <w:tr w14:paraId="77B4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5EAA597A">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8</w:t>
            </w:r>
          </w:p>
        </w:tc>
        <w:tc>
          <w:tcPr>
            <w:tcW w:w="1160" w:type="pct"/>
            <w:vMerge w:val="continue"/>
            <w:noWrap w:val="0"/>
            <w:vAlign w:val="top"/>
          </w:tcPr>
          <w:p w14:paraId="4BF46EE1">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center"/>
          </w:tcPr>
          <w:p w14:paraId="49B6F8B7">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服务管理系统</w:t>
            </w:r>
          </w:p>
        </w:tc>
        <w:tc>
          <w:tcPr>
            <w:tcW w:w="2102" w:type="pct"/>
            <w:noWrap w:val="0"/>
            <w:vAlign w:val="top"/>
          </w:tcPr>
          <w:p w14:paraId="08988F76">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服务注册、服务监控、服务权限、服务报警、基础配置</w:t>
            </w:r>
          </w:p>
        </w:tc>
      </w:tr>
      <w:tr w14:paraId="4ADB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58FC4147">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9</w:t>
            </w:r>
          </w:p>
        </w:tc>
        <w:tc>
          <w:tcPr>
            <w:tcW w:w="1160" w:type="pct"/>
            <w:vMerge w:val="continue"/>
            <w:noWrap w:val="0"/>
            <w:vAlign w:val="top"/>
          </w:tcPr>
          <w:p w14:paraId="48AE050C">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top"/>
          </w:tcPr>
          <w:p w14:paraId="6530E6E9">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共享文档关联系统</w:t>
            </w:r>
          </w:p>
        </w:tc>
        <w:tc>
          <w:tcPr>
            <w:tcW w:w="2102" w:type="pct"/>
            <w:noWrap w:val="0"/>
            <w:vAlign w:val="center"/>
          </w:tcPr>
          <w:p w14:paraId="05AF2CC3">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标准化管理、共享文档管理</w:t>
            </w:r>
          </w:p>
        </w:tc>
      </w:tr>
      <w:tr w14:paraId="5BCB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2A160DB9">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10</w:t>
            </w:r>
          </w:p>
        </w:tc>
        <w:tc>
          <w:tcPr>
            <w:tcW w:w="1160" w:type="pct"/>
            <w:vMerge w:val="restart"/>
            <w:noWrap w:val="0"/>
            <w:vAlign w:val="center"/>
          </w:tcPr>
          <w:p w14:paraId="397F6EE1">
            <w:pPr>
              <w:spacing w:line="360" w:lineRule="auto"/>
              <w:rPr>
                <w:rFonts w:hint="eastAsia" w:ascii="仿宋" w:hAnsi="仿宋" w:eastAsia="仿宋" w:cs="Times New Roman"/>
                <w:color w:val="auto"/>
                <w:kern w:val="0"/>
                <w:sz w:val="24"/>
                <w:szCs w:val="24"/>
                <w:highlight w:val="none"/>
              </w:rPr>
            </w:pPr>
            <w:bookmarkStart w:id="39" w:name="_Hlk161925332"/>
            <w:r>
              <w:rPr>
                <w:rFonts w:ascii="仿宋" w:hAnsi="仿宋" w:eastAsia="仿宋" w:cs="Times New Roman"/>
                <w:color w:val="auto"/>
                <w:kern w:val="0"/>
                <w:sz w:val="24"/>
                <w:szCs w:val="24"/>
                <w:highlight w:val="none"/>
              </w:rPr>
              <w:t>基层医疗卫生综合业务系统类</w:t>
            </w:r>
            <w:bookmarkEnd w:id="39"/>
          </w:p>
        </w:tc>
        <w:tc>
          <w:tcPr>
            <w:tcW w:w="1361" w:type="pct"/>
            <w:noWrap w:val="0"/>
            <w:vAlign w:val="center"/>
          </w:tcPr>
          <w:p w14:paraId="34920697">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lang w:eastAsia="zh-CN"/>
              </w:rPr>
              <w:t>基层</w:t>
            </w:r>
            <w:r>
              <w:rPr>
                <w:rFonts w:hint="eastAsia" w:ascii="仿宋" w:hAnsi="仿宋" w:eastAsia="仿宋" w:cs="Times New Roman"/>
                <w:color w:val="auto"/>
                <w:kern w:val="0"/>
                <w:sz w:val="24"/>
                <w:szCs w:val="24"/>
                <w:highlight w:val="none"/>
              </w:rPr>
              <w:t>his系统</w:t>
            </w:r>
          </w:p>
        </w:tc>
        <w:tc>
          <w:tcPr>
            <w:tcW w:w="2102" w:type="pct"/>
            <w:noWrap w:val="0"/>
            <w:vAlign w:val="top"/>
          </w:tcPr>
          <w:p w14:paraId="6D020115">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门急诊挂号、门诊费用管理、门诊医生工作站、门诊护士工作站、出入院管理、病区管理、住院医生工作站、住院护士工作站、住院费用管理、药库管理、药房管理、物资管理、医保管理、抗菌管理、院长查询</w:t>
            </w:r>
          </w:p>
        </w:tc>
      </w:tr>
      <w:tr w14:paraId="59FD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10089CE7">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11</w:t>
            </w:r>
          </w:p>
        </w:tc>
        <w:tc>
          <w:tcPr>
            <w:tcW w:w="1160" w:type="pct"/>
            <w:vMerge w:val="continue"/>
            <w:noWrap w:val="0"/>
            <w:vAlign w:val="center"/>
          </w:tcPr>
          <w:p w14:paraId="640CF8C3">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1097A649">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区域电子病历系统</w:t>
            </w:r>
          </w:p>
        </w:tc>
        <w:tc>
          <w:tcPr>
            <w:tcW w:w="2102" w:type="pct"/>
            <w:noWrap w:val="0"/>
            <w:vAlign w:val="top"/>
          </w:tcPr>
          <w:p w14:paraId="2BE20F1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基础（权限）配置、病历设置、元素管理、模板管理、门诊病历、住院病历、医技申请管理、病历日志、综合统计</w:t>
            </w:r>
          </w:p>
        </w:tc>
      </w:tr>
      <w:tr w14:paraId="084C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0881DE81">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12</w:t>
            </w:r>
          </w:p>
        </w:tc>
        <w:tc>
          <w:tcPr>
            <w:tcW w:w="1160" w:type="pct"/>
            <w:vMerge w:val="continue"/>
            <w:noWrap w:val="0"/>
            <w:vAlign w:val="center"/>
          </w:tcPr>
          <w:p w14:paraId="740CAD9B">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610E8D2A">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电子健康档案</w:t>
            </w:r>
          </w:p>
        </w:tc>
        <w:tc>
          <w:tcPr>
            <w:tcW w:w="2102" w:type="pct"/>
            <w:noWrap w:val="0"/>
            <w:vAlign w:val="top"/>
          </w:tcPr>
          <w:p w14:paraId="5A553929">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健康档案、健康体检、妇女保健、儿童保健、传染病管理、慢病管理、老年管理、人口信息、高危人群、中医药管理、签约服务、质控、疾病报卡、统计分析</w:t>
            </w:r>
          </w:p>
        </w:tc>
      </w:tr>
      <w:tr w14:paraId="2FE5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2176FFC5">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13</w:t>
            </w:r>
          </w:p>
        </w:tc>
        <w:tc>
          <w:tcPr>
            <w:tcW w:w="1160" w:type="pct"/>
            <w:vMerge w:val="continue"/>
            <w:noWrap w:val="0"/>
            <w:vAlign w:val="top"/>
          </w:tcPr>
          <w:p w14:paraId="2ADF2127">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3E51940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档案质控</w:t>
            </w:r>
          </w:p>
        </w:tc>
        <w:tc>
          <w:tcPr>
            <w:tcW w:w="2102" w:type="pct"/>
            <w:noWrap w:val="0"/>
            <w:vAlign w:val="top"/>
          </w:tcPr>
          <w:p w14:paraId="31F3D8CD">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配置管理、系统管理、质控查询、统计分析</w:t>
            </w:r>
          </w:p>
        </w:tc>
      </w:tr>
      <w:tr w14:paraId="39E5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22A7FFF3">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14</w:t>
            </w:r>
          </w:p>
        </w:tc>
        <w:tc>
          <w:tcPr>
            <w:tcW w:w="1160" w:type="pct"/>
            <w:vMerge w:val="continue"/>
            <w:noWrap w:val="0"/>
            <w:vAlign w:val="center"/>
          </w:tcPr>
          <w:p w14:paraId="3B2016BC">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270A8155">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区域体检系统</w:t>
            </w:r>
          </w:p>
        </w:tc>
        <w:tc>
          <w:tcPr>
            <w:tcW w:w="2102" w:type="pct"/>
            <w:noWrap w:val="0"/>
            <w:vAlign w:val="top"/>
          </w:tcPr>
          <w:p w14:paraId="601B5D14">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数据维护、体检登记、医生工作站、总检工作站、健康证发放、体检报告、费用管理、预约登记、统计查询</w:t>
            </w:r>
          </w:p>
        </w:tc>
      </w:tr>
      <w:tr w14:paraId="76BC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33FABB18">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15</w:t>
            </w:r>
          </w:p>
        </w:tc>
        <w:tc>
          <w:tcPr>
            <w:tcW w:w="1160" w:type="pct"/>
            <w:vMerge w:val="continue"/>
            <w:noWrap w:val="0"/>
            <w:vAlign w:val="center"/>
          </w:tcPr>
          <w:p w14:paraId="779111BB">
            <w:pPr>
              <w:spacing w:line="360" w:lineRule="auto"/>
              <w:rPr>
                <w:rFonts w:hint="eastAsia" w:ascii="仿宋" w:hAnsi="仿宋" w:eastAsia="仿宋" w:cs="Times New Roman"/>
                <w:color w:val="auto"/>
                <w:kern w:val="0"/>
                <w:sz w:val="24"/>
                <w:szCs w:val="24"/>
                <w:highlight w:val="none"/>
              </w:rPr>
            </w:pPr>
          </w:p>
        </w:tc>
        <w:tc>
          <w:tcPr>
            <w:tcW w:w="1361" w:type="pct"/>
            <w:noWrap w:val="0"/>
            <w:vAlign w:val="top"/>
          </w:tcPr>
          <w:p w14:paraId="5F372C6A">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区域绩效补偿机制改革系统</w:t>
            </w:r>
          </w:p>
        </w:tc>
        <w:tc>
          <w:tcPr>
            <w:tcW w:w="2102" w:type="pct"/>
            <w:noWrap w:val="0"/>
            <w:vAlign w:val="top"/>
          </w:tcPr>
          <w:p w14:paraId="2458D487">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绩效考核、考核分析、基础管理、系统管理、服务管理</w:t>
            </w:r>
          </w:p>
        </w:tc>
      </w:tr>
      <w:tr w14:paraId="059E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6C376FEC">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16</w:t>
            </w:r>
          </w:p>
        </w:tc>
        <w:tc>
          <w:tcPr>
            <w:tcW w:w="1160" w:type="pct"/>
            <w:vMerge w:val="continue"/>
            <w:noWrap w:val="0"/>
            <w:vAlign w:val="top"/>
          </w:tcPr>
          <w:p w14:paraId="4630F80F">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center"/>
          </w:tcPr>
          <w:p w14:paraId="062A21F1">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家庭医生签约系统</w:t>
            </w:r>
          </w:p>
        </w:tc>
        <w:tc>
          <w:tcPr>
            <w:tcW w:w="2102" w:type="pct"/>
            <w:noWrap w:val="0"/>
            <w:vAlign w:val="top"/>
          </w:tcPr>
          <w:p w14:paraId="0889D02B">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居民管理、签约服务、续约服务、解约服务、履约计划、服务记录</w:t>
            </w:r>
          </w:p>
        </w:tc>
      </w:tr>
      <w:tr w14:paraId="7D62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57BBB40A">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17</w:t>
            </w:r>
          </w:p>
        </w:tc>
        <w:tc>
          <w:tcPr>
            <w:tcW w:w="1160" w:type="pct"/>
            <w:vMerge w:val="continue"/>
            <w:noWrap w:val="0"/>
            <w:vAlign w:val="top"/>
          </w:tcPr>
          <w:p w14:paraId="52E6EBC7">
            <w:pPr>
              <w:spacing w:line="360" w:lineRule="auto"/>
              <w:jc w:val="left"/>
              <w:rPr>
                <w:rFonts w:hint="eastAsia" w:ascii="仿宋" w:hAnsi="仿宋" w:eastAsia="仿宋" w:cs="Times New Roman"/>
                <w:color w:val="auto"/>
                <w:kern w:val="0"/>
                <w:sz w:val="24"/>
                <w:szCs w:val="24"/>
                <w:highlight w:val="none"/>
              </w:rPr>
            </w:pPr>
          </w:p>
        </w:tc>
        <w:tc>
          <w:tcPr>
            <w:tcW w:w="1361" w:type="pct"/>
            <w:noWrap w:val="0"/>
            <w:vAlign w:val="center"/>
          </w:tcPr>
          <w:p w14:paraId="5C35A1DB">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合理用药系统</w:t>
            </w:r>
          </w:p>
        </w:tc>
        <w:tc>
          <w:tcPr>
            <w:tcW w:w="2102" w:type="pct"/>
            <w:noWrap w:val="0"/>
            <w:vAlign w:val="top"/>
          </w:tcPr>
          <w:p w14:paraId="18ED3674">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选药注意事项提醒、皮试提醒、药品过敏信息提醒等</w:t>
            </w:r>
          </w:p>
        </w:tc>
      </w:tr>
      <w:tr w14:paraId="26EF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46AFCFF0">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18</w:t>
            </w:r>
          </w:p>
        </w:tc>
        <w:tc>
          <w:tcPr>
            <w:tcW w:w="1160" w:type="pct"/>
            <w:vMerge w:val="restart"/>
            <w:noWrap w:val="0"/>
            <w:vAlign w:val="center"/>
          </w:tcPr>
          <w:p w14:paraId="56B7AAE4">
            <w:pPr>
              <w:spacing w:line="360" w:lineRule="auto"/>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医疗协同应用</w:t>
            </w:r>
          </w:p>
        </w:tc>
        <w:tc>
          <w:tcPr>
            <w:tcW w:w="1361" w:type="pct"/>
            <w:noWrap w:val="0"/>
            <w:vAlign w:val="center"/>
          </w:tcPr>
          <w:p w14:paraId="3310348B">
            <w:pPr>
              <w:spacing w:line="360" w:lineRule="auto"/>
              <w:rPr>
                <w:rFonts w:hint="eastAsia" w:ascii="仿宋" w:hAnsi="仿宋" w:eastAsia="仿宋" w:cs="Times New Roman"/>
                <w:color w:val="auto"/>
                <w:kern w:val="0"/>
                <w:sz w:val="24"/>
                <w:szCs w:val="24"/>
                <w:highlight w:val="none"/>
              </w:rPr>
            </w:pPr>
            <w:bookmarkStart w:id="40" w:name="_Hlk161925812"/>
            <w:r>
              <w:rPr>
                <w:rFonts w:hint="eastAsia" w:ascii="仿宋" w:hAnsi="仿宋" w:eastAsia="仿宋" w:cs="Times New Roman"/>
                <w:color w:val="auto"/>
                <w:kern w:val="0"/>
                <w:sz w:val="24"/>
                <w:szCs w:val="24"/>
                <w:highlight w:val="none"/>
              </w:rPr>
              <w:t>区域心电系统</w:t>
            </w:r>
            <w:bookmarkEnd w:id="40"/>
          </w:p>
        </w:tc>
        <w:tc>
          <w:tcPr>
            <w:tcW w:w="2102" w:type="pct"/>
            <w:noWrap w:val="0"/>
            <w:vAlign w:val="top"/>
          </w:tcPr>
          <w:p w14:paraId="5F84C14C">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心电数据统一存储和管理、心电数据采集与交换应用、区域心电数据共享应用、检查登记工作站、科室预算管理、检查报告工作站、危急值管理、报告打印/发布、统计/查询、心电图文报告接口</w:t>
            </w:r>
          </w:p>
        </w:tc>
      </w:tr>
      <w:tr w14:paraId="1927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63E2E55A">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19</w:t>
            </w:r>
          </w:p>
        </w:tc>
        <w:tc>
          <w:tcPr>
            <w:tcW w:w="1160" w:type="pct"/>
            <w:vMerge w:val="continue"/>
            <w:noWrap w:val="0"/>
            <w:vAlign w:val="center"/>
          </w:tcPr>
          <w:p w14:paraId="61079BD9">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113D155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区域医学检验系统</w:t>
            </w:r>
          </w:p>
        </w:tc>
        <w:tc>
          <w:tcPr>
            <w:tcW w:w="2102" w:type="pct"/>
            <w:noWrap w:val="0"/>
            <w:vAlign w:val="top"/>
          </w:tcPr>
          <w:p w14:paraId="4AA4759B">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检验数据采集与交换、区域检验信息共享、区域检验质控管理、样本采集、报告管理、样本签收</w:t>
            </w:r>
            <w:r>
              <w:rPr>
                <w:rFonts w:ascii="仿宋" w:hAnsi="仿宋" w:eastAsia="仿宋" w:cs="Times New Roman"/>
                <w:color w:val="auto"/>
                <w:kern w:val="0"/>
                <w:sz w:val="24"/>
                <w:szCs w:val="24"/>
                <w:highlight w:val="none"/>
              </w:rPr>
              <w:t>/入库、仪器数据采集、报告管理、危急值管理、报告打印/发布、查询/统计</w:t>
            </w:r>
          </w:p>
        </w:tc>
      </w:tr>
      <w:tr w14:paraId="570D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6FB73C48">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20</w:t>
            </w:r>
          </w:p>
        </w:tc>
        <w:tc>
          <w:tcPr>
            <w:tcW w:w="1160" w:type="pct"/>
            <w:noWrap w:val="0"/>
            <w:vAlign w:val="center"/>
          </w:tcPr>
          <w:p w14:paraId="6497556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便民服务应用</w:t>
            </w:r>
          </w:p>
        </w:tc>
        <w:tc>
          <w:tcPr>
            <w:tcW w:w="1361" w:type="pct"/>
            <w:noWrap w:val="0"/>
            <w:vAlign w:val="center"/>
          </w:tcPr>
          <w:p w14:paraId="67437B37">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统一支付平台</w:t>
            </w:r>
          </w:p>
        </w:tc>
        <w:tc>
          <w:tcPr>
            <w:tcW w:w="2102" w:type="pct"/>
            <w:noWrap w:val="0"/>
            <w:vAlign w:val="top"/>
          </w:tcPr>
          <w:p w14:paraId="6118AA45">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门诊窗口扫码支付、自助机支付、诊间支付、对账服务</w:t>
            </w:r>
          </w:p>
        </w:tc>
      </w:tr>
      <w:tr w14:paraId="49DD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59238C7F">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21</w:t>
            </w:r>
          </w:p>
        </w:tc>
        <w:tc>
          <w:tcPr>
            <w:tcW w:w="1160" w:type="pct"/>
            <w:vMerge w:val="restart"/>
            <w:noWrap w:val="0"/>
            <w:vAlign w:val="center"/>
          </w:tcPr>
          <w:p w14:paraId="60C5B65C">
            <w:pPr>
              <w:spacing w:line="360" w:lineRule="auto"/>
              <w:rPr>
                <w:rFonts w:hint="eastAsia" w:ascii="仿宋" w:hAnsi="仿宋" w:eastAsia="仿宋" w:cs="Times New Roman"/>
                <w:color w:val="auto"/>
                <w:kern w:val="0"/>
                <w:sz w:val="24"/>
                <w:szCs w:val="24"/>
                <w:highlight w:val="none"/>
              </w:rPr>
            </w:pPr>
            <w:bookmarkStart w:id="41" w:name="_Hlk161926267"/>
            <w:r>
              <w:rPr>
                <w:rFonts w:hint="eastAsia" w:ascii="仿宋" w:hAnsi="仿宋" w:eastAsia="仿宋" w:cs="Times New Roman"/>
                <w:color w:val="auto"/>
                <w:kern w:val="0"/>
                <w:sz w:val="24"/>
                <w:szCs w:val="24"/>
                <w:highlight w:val="none"/>
              </w:rPr>
              <w:t>其他应用</w:t>
            </w:r>
            <w:bookmarkEnd w:id="41"/>
          </w:p>
        </w:tc>
        <w:tc>
          <w:tcPr>
            <w:tcW w:w="1361" w:type="pct"/>
            <w:noWrap w:val="0"/>
            <w:vAlign w:val="center"/>
          </w:tcPr>
          <w:p w14:paraId="7E67E2AA">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局内网系统</w:t>
            </w:r>
          </w:p>
        </w:tc>
        <w:tc>
          <w:tcPr>
            <w:tcW w:w="2102" w:type="pct"/>
            <w:noWrap w:val="0"/>
            <w:vAlign w:val="top"/>
          </w:tcPr>
          <w:p w14:paraId="13F50C23">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局况信息、工作动态、科室信息、文件公开、今日值班、每日交流、政策法规、三重一大等栏目</w:t>
            </w:r>
          </w:p>
        </w:tc>
      </w:tr>
      <w:tr w14:paraId="67BD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528467C6">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22</w:t>
            </w:r>
          </w:p>
        </w:tc>
        <w:tc>
          <w:tcPr>
            <w:tcW w:w="1160" w:type="pct"/>
            <w:vMerge w:val="continue"/>
            <w:noWrap w:val="0"/>
            <w:vAlign w:val="center"/>
          </w:tcPr>
          <w:p w14:paraId="329E9981">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68C6EF1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数据全量备份（采集）</w:t>
            </w:r>
          </w:p>
        </w:tc>
        <w:tc>
          <w:tcPr>
            <w:tcW w:w="2102" w:type="pct"/>
            <w:noWrap w:val="0"/>
            <w:vAlign w:val="top"/>
          </w:tcPr>
          <w:p w14:paraId="3A94E07D">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绍兴市中心医院、绍兴第二医院、绍兴市柯桥区中医医院和柯桥区妇幼保健院业务系统（</w:t>
            </w:r>
            <w:r>
              <w:rPr>
                <w:rFonts w:ascii="仿宋" w:hAnsi="仿宋" w:eastAsia="仿宋" w:cs="Times New Roman"/>
                <w:color w:val="auto"/>
                <w:kern w:val="0"/>
                <w:sz w:val="24"/>
                <w:szCs w:val="24"/>
                <w:highlight w:val="none"/>
              </w:rPr>
              <w:t>HIS、LIS、EMR和体检）数据同步运维服务</w:t>
            </w:r>
          </w:p>
        </w:tc>
      </w:tr>
      <w:tr w14:paraId="4FC5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40171B54">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23</w:t>
            </w:r>
          </w:p>
        </w:tc>
        <w:tc>
          <w:tcPr>
            <w:tcW w:w="1160" w:type="pct"/>
            <w:vMerge w:val="restart"/>
            <w:noWrap w:val="0"/>
            <w:vAlign w:val="center"/>
          </w:tcPr>
          <w:p w14:paraId="60D28234">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硬件集成类</w:t>
            </w:r>
          </w:p>
        </w:tc>
        <w:tc>
          <w:tcPr>
            <w:tcW w:w="1361" w:type="pct"/>
            <w:noWrap w:val="0"/>
            <w:vAlign w:val="center"/>
          </w:tcPr>
          <w:p w14:paraId="7396DFD1">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数据库服务器</w:t>
            </w:r>
          </w:p>
        </w:tc>
        <w:tc>
          <w:tcPr>
            <w:tcW w:w="2102" w:type="pct"/>
            <w:noWrap w:val="0"/>
            <w:vAlign w:val="center"/>
          </w:tcPr>
          <w:p w14:paraId="10D9DE24">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曙光天阔I840-G20服务器 8台</w:t>
            </w:r>
          </w:p>
        </w:tc>
      </w:tr>
      <w:tr w14:paraId="0F1E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28640978">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24</w:t>
            </w:r>
          </w:p>
        </w:tc>
        <w:tc>
          <w:tcPr>
            <w:tcW w:w="1160" w:type="pct"/>
            <w:vMerge w:val="continue"/>
            <w:noWrap w:val="0"/>
            <w:vAlign w:val="center"/>
          </w:tcPr>
          <w:p w14:paraId="62DAE2C1">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53366C09">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虚拟化服务器</w:t>
            </w:r>
          </w:p>
        </w:tc>
        <w:tc>
          <w:tcPr>
            <w:tcW w:w="2102" w:type="pct"/>
            <w:noWrap w:val="0"/>
            <w:vAlign w:val="center"/>
          </w:tcPr>
          <w:p w14:paraId="0E989F76">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曙光天阔I840-G20服务器  8台</w:t>
            </w:r>
          </w:p>
        </w:tc>
      </w:tr>
      <w:tr w14:paraId="1393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1829B816">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25</w:t>
            </w:r>
          </w:p>
        </w:tc>
        <w:tc>
          <w:tcPr>
            <w:tcW w:w="1160" w:type="pct"/>
            <w:vMerge w:val="continue"/>
            <w:noWrap w:val="0"/>
            <w:vAlign w:val="center"/>
          </w:tcPr>
          <w:p w14:paraId="12180DB2">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5B69B88D">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管理服务器（域控、Vcenter）</w:t>
            </w:r>
          </w:p>
        </w:tc>
        <w:tc>
          <w:tcPr>
            <w:tcW w:w="2102" w:type="pct"/>
            <w:noWrap w:val="0"/>
            <w:vAlign w:val="center"/>
          </w:tcPr>
          <w:p w14:paraId="3324DE31">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曙光天阔I620-G20  3台</w:t>
            </w:r>
          </w:p>
        </w:tc>
      </w:tr>
      <w:tr w14:paraId="1DDD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7A492EA3">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26</w:t>
            </w:r>
          </w:p>
        </w:tc>
        <w:tc>
          <w:tcPr>
            <w:tcW w:w="1160" w:type="pct"/>
            <w:vMerge w:val="continue"/>
            <w:noWrap w:val="0"/>
            <w:vAlign w:val="center"/>
          </w:tcPr>
          <w:p w14:paraId="747AA5B9">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446CA3FB">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 xml:space="preserve">微信/门户/APP服务器 </w:t>
            </w:r>
          </w:p>
        </w:tc>
        <w:tc>
          <w:tcPr>
            <w:tcW w:w="2102" w:type="pct"/>
            <w:noWrap w:val="0"/>
            <w:vAlign w:val="center"/>
          </w:tcPr>
          <w:p w14:paraId="179C2ED4">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曙光天阔I620-G20 3台</w:t>
            </w:r>
          </w:p>
        </w:tc>
      </w:tr>
      <w:tr w14:paraId="5E7B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34BC678F">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27</w:t>
            </w:r>
          </w:p>
        </w:tc>
        <w:tc>
          <w:tcPr>
            <w:tcW w:w="1160" w:type="pct"/>
            <w:vMerge w:val="continue"/>
            <w:noWrap w:val="0"/>
            <w:vAlign w:val="center"/>
          </w:tcPr>
          <w:p w14:paraId="38C0D7D2">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43E4D06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核心存储</w:t>
            </w:r>
          </w:p>
        </w:tc>
        <w:tc>
          <w:tcPr>
            <w:tcW w:w="2102" w:type="pct"/>
            <w:noWrap w:val="0"/>
            <w:vAlign w:val="center"/>
          </w:tcPr>
          <w:p w14:paraId="454D7545">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曙光DS800-G35 2台</w:t>
            </w:r>
          </w:p>
        </w:tc>
      </w:tr>
      <w:tr w14:paraId="1103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66589E34">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28</w:t>
            </w:r>
          </w:p>
        </w:tc>
        <w:tc>
          <w:tcPr>
            <w:tcW w:w="1160" w:type="pct"/>
            <w:vMerge w:val="continue"/>
            <w:noWrap w:val="0"/>
            <w:vAlign w:val="center"/>
          </w:tcPr>
          <w:p w14:paraId="66586E4B">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4F50B2D9">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SAN交换机</w:t>
            </w:r>
          </w:p>
        </w:tc>
        <w:tc>
          <w:tcPr>
            <w:tcW w:w="2102" w:type="pct"/>
            <w:noWrap w:val="0"/>
            <w:vAlign w:val="center"/>
          </w:tcPr>
          <w:p w14:paraId="20A2C126">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曙光6505光纤交换机：6505-12-16G-R 24口交换机 2台</w:t>
            </w:r>
          </w:p>
        </w:tc>
      </w:tr>
      <w:tr w14:paraId="78F2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0B52AF5E">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29</w:t>
            </w:r>
          </w:p>
        </w:tc>
        <w:tc>
          <w:tcPr>
            <w:tcW w:w="1160" w:type="pct"/>
            <w:vMerge w:val="continue"/>
            <w:noWrap w:val="0"/>
            <w:vAlign w:val="center"/>
          </w:tcPr>
          <w:p w14:paraId="3F73F08B">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1B2F5672">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备份一体机</w:t>
            </w:r>
          </w:p>
        </w:tc>
        <w:tc>
          <w:tcPr>
            <w:tcW w:w="2102" w:type="pct"/>
            <w:noWrap w:val="0"/>
            <w:vAlign w:val="center"/>
          </w:tcPr>
          <w:p w14:paraId="42FD1214">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Veritas备份一体机：NETBACKUP APPLIANCE 5240 14TB 4 1GB ETHERNET - 2 10GBT CU ETHERNET STANDARD APPLIANCE + STANDARD MAINTENANCE BUNDLE INITIAL 12MO CORPORATE  1台</w:t>
            </w:r>
          </w:p>
        </w:tc>
      </w:tr>
      <w:tr w14:paraId="15AB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3401A348">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30</w:t>
            </w:r>
          </w:p>
        </w:tc>
        <w:tc>
          <w:tcPr>
            <w:tcW w:w="1160" w:type="pct"/>
            <w:vMerge w:val="continue"/>
            <w:noWrap w:val="0"/>
            <w:vAlign w:val="center"/>
          </w:tcPr>
          <w:p w14:paraId="2A2D28D1">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0EF017DB">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网络核心交换机</w:t>
            </w:r>
          </w:p>
        </w:tc>
        <w:tc>
          <w:tcPr>
            <w:tcW w:w="2102" w:type="pct"/>
            <w:noWrap w:val="0"/>
            <w:vAlign w:val="center"/>
          </w:tcPr>
          <w:p w14:paraId="4BC91BBD">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华为S12708 2台</w:t>
            </w:r>
          </w:p>
        </w:tc>
      </w:tr>
      <w:tr w14:paraId="124C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57FAA05C">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31</w:t>
            </w:r>
          </w:p>
        </w:tc>
        <w:tc>
          <w:tcPr>
            <w:tcW w:w="1160" w:type="pct"/>
            <w:vMerge w:val="continue"/>
            <w:noWrap w:val="0"/>
            <w:vAlign w:val="center"/>
          </w:tcPr>
          <w:p w14:paraId="5BCC01BA">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67D4B637">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网络管理及心跳交换机</w:t>
            </w:r>
          </w:p>
        </w:tc>
        <w:tc>
          <w:tcPr>
            <w:tcW w:w="2102" w:type="pct"/>
            <w:noWrap w:val="0"/>
            <w:vAlign w:val="center"/>
          </w:tcPr>
          <w:p w14:paraId="5B684996">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华为S5720-36PC-EI-AC 3台</w:t>
            </w:r>
          </w:p>
        </w:tc>
      </w:tr>
      <w:tr w14:paraId="2099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5C087FDD">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32</w:t>
            </w:r>
          </w:p>
        </w:tc>
        <w:tc>
          <w:tcPr>
            <w:tcW w:w="1160" w:type="pct"/>
            <w:vMerge w:val="continue"/>
            <w:noWrap w:val="0"/>
            <w:vAlign w:val="center"/>
          </w:tcPr>
          <w:p w14:paraId="2E592329">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690D2580">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应用负载均衡</w:t>
            </w:r>
          </w:p>
        </w:tc>
        <w:tc>
          <w:tcPr>
            <w:tcW w:w="2102" w:type="pct"/>
            <w:noWrap w:val="0"/>
            <w:vAlign w:val="center"/>
          </w:tcPr>
          <w:p w14:paraId="590AB7F4">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Array APV2600v5 2台</w:t>
            </w:r>
          </w:p>
        </w:tc>
      </w:tr>
      <w:tr w14:paraId="1CB7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4C410C72">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33</w:t>
            </w:r>
          </w:p>
        </w:tc>
        <w:tc>
          <w:tcPr>
            <w:tcW w:w="1160" w:type="pct"/>
            <w:vMerge w:val="continue"/>
            <w:noWrap w:val="0"/>
            <w:vAlign w:val="center"/>
          </w:tcPr>
          <w:p w14:paraId="3E7AC5FA">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49613407">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专网接入防火墙</w:t>
            </w:r>
          </w:p>
        </w:tc>
        <w:tc>
          <w:tcPr>
            <w:tcW w:w="2102" w:type="pct"/>
            <w:noWrap w:val="0"/>
            <w:vAlign w:val="center"/>
          </w:tcPr>
          <w:p w14:paraId="683BDFC9">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天融信NGFW4000-UF TG-51230 2台</w:t>
            </w:r>
          </w:p>
        </w:tc>
      </w:tr>
      <w:tr w14:paraId="5105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734577E1">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34</w:t>
            </w:r>
          </w:p>
        </w:tc>
        <w:tc>
          <w:tcPr>
            <w:tcW w:w="1160" w:type="pct"/>
            <w:vMerge w:val="continue"/>
            <w:noWrap w:val="0"/>
            <w:vAlign w:val="center"/>
          </w:tcPr>
          <w:p w14:paraId="2AB907FF">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1BD82B18">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互联网出口防火墙</w:t>
            </w:r>
          </w:p>
        </w:tc>
        <w:tc>
          <w:tcPr>
            <w:tcW w:w="2102" w:type="pct"/>
            <w:noWrap w:val="0"/>
            <w:vAlign w:val="center"/>
          </w:tcPr>
          <w:p w14:paraId="0BF1B49C">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天融信NGFW4000-UF TG-41406-WN 1台</w:t>
            </w:r>
          </w:p>
        </w:tc>
      </w:tr>
      <w:tr w14:paraId="38BA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32D76CFE">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35</w:t>
            </w:r>
          </w:p>
        </w:tc>
        <w:tc>
          <w:tcPr>
            <w:tcW w:w="1160" w:type="pct"/>
            <w:vMerge w:val="continue"/>
            <w:noWrap w:val="0"/>
            <w:vAlign w:val="center"/>
          </w:tcPr>
          <w:p w14:paraId="51C9EF3A">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723399F6">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网闸</w:t>
            </w:r>
          </w:p>
        </w:tc>
        <w:tc>
          <w:tcPr>
            <w:tcW w:w="2102" w:type="pct"/>
            <w:noWrap w:val="0"/>
            <w:vAlign w:val="center"/>
          </w:tcPr>
          <w:p w14:paraId="10FE9069">
            <w:pPr>
              <w:spacing w:line="360" w:lineRule="auto"/>
              <w:jc w:val="left"/>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 xml:space="preserve">天融信TopRules 7000 TR-71288-WN </w:t>
            </w:r>
          </w:p>
          <w:p w14:paraId="66052948">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1台</w:t>
            </w:r>
          </w:p>
        </w:tc>
      </w:tr>
      <w:tr w14:paraId="3C07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716301EA">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36</w:t>
            </w:r>
          </w:p>
        </w:tc>
        <w:tc>
          <w:tcPr>
            <w:tcW w:w="1160" w:type="pct"/>
            <w:vMerge w:val="continue"/>
            <w:noWrap w:val="0"/>
            <w:vAlign w:val="center"/>
          </w:tcPr>
          <w:p w14:paraId="511FBC94">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6E8B47A6">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存储设备</w:t>
            </w:r>
          </w:p>
        </w:tc>
        <w:tc>
          <w:tcPr>
            <w:tcW w:w="2102" w:type="pct"/>
            <w:noWrap w:val="0"/>
            <w:vAlign w:val="center"/>
          </w:tcPr>
          <w:p w14:paraId="3363EA56">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曙光DS800-G35磁盘阵列 1台</w:t>
            </w:r>
          </w:p>
        </w:tc>
      </w:tr>
      <w:tr w14:paraId="78F1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6D67C7B3">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37</w:t>
            </w:r>
          </w:p>
        </w:tc>
        <w:tc>
          <w:tcPr>
            <w:tcW w:w="1160" w:type="pct"/>
            <w:vMerge w:val="continue"/>
            <w:noWrap w:val="0"/>
            <w:vAlign w:val="center"/>
          </w:tcPr>
          <w:p w14:paraId="260029FF">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184D9A4F">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专网汇聚交换机（医院端）</w:t>
            </w:r>
          </w:p>
        </w:tc>
        <w:tc>
          <w:tcPr>
            <w:tcW w:w="2102" w:type="pct"/>
            <w:noWrap w:val="0"/>
            <w:vAlign w:val="center"/>
          </w:tcPr>
          <w:p w14:paraId="27D60FD0">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华三S7503E-M 1台</w:t>
            </w:r>
          </w:p>
        </w:tc>
      </w:tr>
      <w:tr w14:paraId="4ACD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noWrap w:val="0"/>
            <w:vAlign w:val="center"/>
          </w:tcPr>
          <w:p w14:paraId="70C4175E">
            <w:pPr>
              <w:spacing w:line="360" w:lineRule="auto"/>
              <w:jc w:val="center"/>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38</w:t>
            </w:r>
          </w:p>
        </w:tc>
        <w:tc>
          <w:tcPr>
            <w:tcW w:w="1160" w:type="pct"/>
            <w:vMerge w:val="continue"/>
            <w:noWrap w:val="0"/>
            <w:vAlign w:val="center"/>
          </w:tcPr>
          <w:p w14:paraId="7A0EB213">
            <w:pPr>
              <w:spacing w:line="360" w:lineRule="auto"/>
              <w:rPr>
                <w:rFonts w:hint="eastAsia" w:ascii="仿宋" w:hAnsi="仿宋" w:eastAsia="仿宋" w:cs="Times New Roman"/>
                <w:color w:val="auto"/>
                <w:kern w:val="0"/>
                <w:sz w:val="24"/>
                <w:szCs w:val="24"/>
                <w:highlight w:val="none"/>
              </w:rPr>
            </w:pPr>
          </w:p>
        </w:tc>
        <w:tc>
          <w:tcPr>
            <w:tcW w:w="1361" w:type="pct"/>
            <w:noWrap w:val="0"/>
            <w:vAlign w:val="center"/>
          </w:tcPr>
          <w:p w14:paraId="6243379B">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专网接入交换机（医院端）</w:t>
            </w:r>
          </w:p>
        </w:tc>
        <w:tc>
          <w:tcPr>
            <w:tcW w:w="2102" w:type="pct"/>
            <w:noWrap w:val="0"/>
            <w:vAlign w:val="center"/>
          </w:tcPr>
          <w:p w14:paraId="3B10AE4C">
            <w:pPr>
              <w:spacing w:line="360" w:lineRule="auto"/>
              <w:rPr>
                <w:rFonts w:hint="eastAsia" w:ascii="仿宋" w:hAnsi="仿宋" w:eastAsia="仿宋" w:cs="Times New Roman"/>
                <w:color w:val="auto"/>
                <w:kern w:val="0"/>
                <w:sz w:val="24"/>
                <w:szCs w:val="24"/>
                <w:highlight w:val="none"/>
              </w:rPr>
            </w:pPr>
            <w:r>
              <w:rPr>
                <w:rFonts w:hint="eastAsia" w:ascii="仿宋" w:hAnsi="仿宋" w:eastAsia="仿宋" w:cs="宋体"/>
                <w:color w:val="auto"/>
                <w:sz w:val="24"/>
                <w:szCs w:val="24"/>
                <w:highlight w:val="none"/>
              </w:rPr>
              <w:t>华三S5130-28S-EI 16台</w:t>
            </w:r>
          </w:p>
        </w:tc>
      </w:tr>
    </w:tbl>
    <w:p w14:paraId="2176225E">
      <w:pPr>
        <w:rPr>
          <w:rFonts w:hint="eastAsia" w:ascii="宋体" w:hAnsi="宋体" w:eastAsia="宋体"/>
          <w:color w:val="auto"/>
          <w:sz w:val="24"/>
          <w:szCs w:val="24"/>
          <w:highlight w:val="none"/>
        </w:rPr>
      </w:pPr>
    </w:p>
    <w:p w14:paraId="6EABB0DA">
      <w:pPr>
        <w:pStyle w:val="2"/>
        <w:rPr>
          <w:rFonts w:hint="eastAsia"/>
          <w:color w:val="auto"/>
          <w:highlight w:val="none"/>
        </w:rPr>
      </w:pPr>
      <w:r>
        <w:rPr>
          <w:rFonts w:hint="eastAsia"/>
          <w:color w:val="auto"/>
          <w:highlight w:val="none"/>
        </w:rPr>
        <w:t>系统维护内容</w:t>
      </w:r>
    </w:p>
    <w:p w14:paraId="4386B51A">
      <w:pPr>
        <w:pStyle w:val="3"/>
        <w:rPr>
          <w:rFonts w:hint="eastAsia"/>
          <w:color w:val="auto"/>
          <w:highlight w:val="none"/>
        </w:rPr>
      </w:pPr>
      <w:r>
        <w:rPr>
          <w:rFonts w:hint="eastAsia"/>
          <w:color w:val="auto"/>
          <w:highlight w:val="none"/>
        </w:rPr>
        <w:t>运维服务响应要求</w:t>
      </w:r>
    </w:p>
    <w:p w14:paraId="7BA25DFF">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为柯桥区医共体信息化系统提供日常运维服务工作，提供非现场服务及现场服务两种服务方式，同时对服务响应级别分为一般、紧急、重大三种情况。对非现场类一般问题1小时内响应，2小时内解决；紧急问题实时响应，实时远程解决；重大问题直接转现场服务处理。对现场类一般问题1小时内响应，</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rPr>
        <w:t>小时内解决；紧急问题1小时内响应，</w:t>
      </w:r>
      <w:r>
        <w:rPr>
          <w:rFonts w:hint="eastAsia" w:ascii="仿宋" w:hAnsi="仿宋" w:eastAsia="仿宋" w:cs="Times New Roman"/>
          <w:color w:val="auto"/>
          <w:sz w:val="24"/>
          <w:szCs w:val="24"/>
          <w:highlight w:val="none"/>
          <w:lang w:val="en-US" w:eastAsia="zh-CN"/>
        </w:rPr>
        <w:t>2</w:t>
      </w:r>
      <w:r>
        <w:rPr>
          <w:rFonts w:hint="eastAsia" w:ascii="仿宋" w:hAnsi="仿宋" w:eastAsia="仿宋" w:cs="Times New Roman"/>
          <w:color w:val="auto"/>
          <w:sz w:val="24"/>
          <w:szCs w:val="24"/>
          <w:highlight w:val="none"/>
        </w:rPr>
        <w:t>小时内解决；重大问题1小时内</w:t>
      </w:r>
      <w:r>
        <w:rPr>
          <w:rFonts w:hint="eastAsia" w:ascii="仿宋" w:hAnsi="仿宋" w:eastAsia="仿宋" w:cs="Times New Roman"/>
          <w:color w:val="auto"/>
          <w:sz w:val="24"/>
          <w:szCs w:val="24"/>
          <w:highlight w:val="none"/>
          <w:lang w:eastAsia="zh-CN"/>
        </w:rPr>
        <w:t>解决</w:t>
      </w:r>
      <w:r>
        <w:rPr>
          <w:rFonts w:hint="eastAsia" w:ascii="仿宋" w:hAnsi="仿宋" w:eastAsia="仿宋" w:cs="Times New Roman"/>
          <w:color w:val="auto"/>
          <w:sz w:val="24"/>
          <w:szCs w:val="24"/>
          <w:highlight w:val="none"/>
        </w:rPr>
        <w:t>。</w:t>
      </w:r>
    </w:p>
    <w:p w14:paraId="1518F888">
      <w:pPr>
        <w:spacing w:line="360" w:lineRule="auto"/>
        <w:ind w:firstLine="480" w:firstLineChars="200"/>
        <w:rPr>
          <w:rFonts w:hint="eastAsia" w:ascii="仿宋" w:hAnsi="仿宋" w:eastAsia="仿宋" w:cs="Times New Roman"/>
          <w:color w:val="auto"/>
          <w:sz w:val="24"/>
          <w:szCs w:val="24"/>
          <w:highlight w:val="none"/>
        </w:rPr>
      </w:pPr>
    </w:p>
    <w:p w14:paraId="476A9DE0">
      <w:pPr>
        <w:spacing w:line="360" w:lineRule="auto"/>
        <w:ind w:firstLine="482" w:firstLineChars="200"/>
        <w:rPr>
          <w:rFonts w:hint="eastAsia" w:ascii="仿宋" w:hAnsi="仿宋" w:eastAsia="仿宋" w:cs="Times New Roman"/>
          <w:b/>
          <w:color w:val="auto"/>
          <w:sz w:val="24"/>
          <w:szCs w:val="24"/>
          <w:highlight w:val="none"/>
        </w:rPr>
      </w:pPr>
      <w:r>
        <w:rPr>
          <w:rFonts w:ascii="仿宋" w:hAnsi="仿宋" w:eastAsia="仿宋" w:cs="Times New Roman"/>
          <w:b/>
          <w:color w:val="auto"/>
          <w:sz w:val="24"/>
          <w:szCs w:val="24"/>
          <w:highlight w:val="none"/>
        </w:rPr>
        <w:t>1.</w:t>
      </w:r>
      <w:r>
        <w:rPr>
          <w:rFonts w:hint="eastAsia" w:ascii="仿宋" w:hAnsi="仿宋" w:eastAsia="仿宋" w:cs="Times New Roman"/>
          <w:b/>
          <w:color w:val="auto"/>
          <w:sz w:val="24"/>
          <w:szCs w:val="24"/>
          <w:highlight w:val="none"/>
        </w:rPr>
        <w:t>非现场服务级别</w:t>
      </w:r>
    </w:p>
    <w:p w14:paraId="420271C0">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分为一般、紧急、重大三种情况：</w:t>
      </w:r>
    </w:p>
    <w:p w14:paraId="540A4C90">
      <w:pPr>
        <w:numPr>
          <w:ilvl w:val="0"/>
          <w:numId w:val="1"/>
        </w:numPr>
        <w:adjustRightIn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一般问题包含用户答疑、用户操作类指导、数据等维护；</w:t>
      </w:r>
    </w:p>
    <w:p w14:paraId="26EA1A20">
      <w:pPr>
        <w:numPr>
          <w:ilvl w:val="0"/>
          <w:numId w:val="1"/>
        </w:numPr>
        <w:adjustRightIn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紧急问题包含档案数据采集、数据质量处理、系统故障等问题；</w:t>
      </w:r>
    </w:p>
    <w:p w14:paraId="3A6D07AF">
      <w:pPr>
        <w:numPr>
          <w:ilvl w:val="0"/>
          <w:numId w:val="1"/>
        </w:numPr>
        <w:adjustRightIn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重大问题直接转入现场服务流程进行处理；</w:t>
      </w:r>
    </w:p>
    <w:p w14:paraId="081BC1D6">
      <w:pPr>
        <w:spacing w:line="360" w:lineRule="auto"/>
        <w:ind w:firstLine="482" w:firstLineChars="200"/>
        <w:rPr>
          <w:rFonts w:hint="eastAsia" w:ascii="仿宋" w:hAnsi="仿宋" w:eastAsia="仿宋" w:cs="Times New Roman"/>
          <w:b/>
          <w:color w:val="auto"/>
          <w:sz w:val="24"/>
          <w:szCs w:val="24"/>
          <w:highlight w:val="none"/>
        </w:rPr>
      </w:pPr>
      <w:r>
        <w:rPr>
          <w:rFonts w:ascii="仿宋" w:hAnsi="仿宋" w:eastAsia="仿宋" w:cs="Times New Roman"/>
          <w:b/>
          <w:color w:val="auto"/>
          <w:sz w:val="24"/>
          <w:szCs w:val="24"/>
          <w:highlight w:val="none"/>
        </w:rPr>
        <w:t>2.</w:t>
      </w:r>
      <w:r>
        <w:rPr>
          <w:rFonts w:hint="eastAsia" w:ascii="仿宋" w:hAnsi="仿宋" w:eastAsia="仿宋" w:cs="Times New Roman"/>
          <w:b/>
          <w:color w:val="auto"/>
          <w:sz w:val="24"/>
          <w:szCs w:val="24"/>
          <w:highlight w:val="none"/>
        </w:rPr>
        <w:t>现场服务级别</w:t>
      </w:r>
    </w:p>
    <w:p w14:paraId="2F277E1B">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分为一般、紧急、重大三种情况：</w:t>
      </w:r>
    </w:p>
    <w:p w14:paraId="20FF565A">
      <w:pPr>
        <w:numPr>
          <w:ilvl w:val="0"/>
          <w:numId w:val="2"/>
        </w:numPr>
        <w:adjustRightIn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一般问题包含用户答疑、用户操作类指导、数据等维护、系统升级、系统优化、系统巡检、操作培训、系统应急演练等问题；</w:t>
      </w:r>
    </w:p>
    <w:p w14:paraId="69C931F6">
      <w:pPr>
        <w:numPr>
          <w:ilvl w:val="0"/>
          <w:numId w:val="2"/>
        </w:numPr>
        <w:adjustRightIn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紧急问题包含档案数据采集、数据质量处理、系统运行故障（包含卡顿与系统服务故障）等问题；</w:t>
      </w:r>
    </w:p>
    <w:p w14:paraId="5D5656D8">
      <w:pPr>
        <w:numPr>
          <w:ilvl w:val="0"/>
          <w:numId w:val="2"/>
        </w:numPr>
        <w:adjustRightIn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重大问题包含用户系统服务终止；</w:t>
      </w:r>
    </w:p>
    <w:p w14:paraId="3C4B28B8">
      <w:pPr>
        <w:keepNext/>
        <w:keepLines/>
        <w:spacing w:before="260" w:after="260" w:line="360" w:lineRule="auto"/>
        <w:outlineLvl w:val="1"/>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2.2全民健康信息平台要求</w:t>
      </w:r>
    </w:p>
    <w:p w14:paraId="16930A40">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包含对集成平台、协同管理平台、基础管理系统、综合管理平台、综管大屏、数据质量管理系统、任务调度系统、服务管理系统、共享文档关联系统的维护工作。</w:t>
      </w:r>
    </w:p>
    <w:p w14:paraId="2418CF1F">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2.2.1</w:t>
      </w:r>
      <w:r>
        <w:rPr>
          <w:rFonts w:ascii="仿宋" w:hAnsi="仿宋" w:eastAsia="仿宋" w:cs="Times New Roman"/>
          <w:b/>
          <w:bCs/>
          <w:color w:val="auto"/>
          <w:sz w:val="24"/>
          <w:szCs w:val="24"/>
          <w:highlight w:val="none"/>
        </w:rPr>
        <w:t>操作性错误导致数据出错的修正</w:t>
      </w:r>
    </w:p>
    <w:p w14:paraId="541D3E78">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供应商需对业务系统出现的操作性错误导致数据出错的内容进行修正，保证数据的正确，维护业务系统的日常运营。</w:t>
      </w:r>
    </w:p>
    <w:p w14:paraId="6FB4A8F3">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2.2.2</w:t>
      </w:r>
      <w:r>
        <w:rPr>
          <w:rFonts w:ascii="仿宋" w:hAnsi="仿宋" w:eastAsia="仿宋" w:cs="Times New Roman"/>
          <w:b/>
          <w:bCs/>
          <w:color w:val="auto"/>
          <w:sz w:val="24"/>
          <w:szCs w:val="24"/>
          <w:highlight w:val="none"/>
        </w:rPr>
        <w:t>应用程序bug的处理</w:t>
      </w:r>
    </w:p>
    <w:p w14:paraId="49F24A35">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供应商需对应用程序</w:t>
      </w:r>
      <w:r>
        <w:rPr>
          <w:rFonts w:ascii="仿宋" w:hAnsi="仿宋" w:eastAsia="仿宋" w:cs="Times New Roman"/>
          <w:color w:val="auto"/>
          <w:sz w:val="24"/>
          <w:szCs w:val="24"/>
          <w:highlight w:val="none"/>
        </w:rPr>
        <w:t>bug进行查找，发现漏洞，立马解决，保证最大程度减少应用程序的漏洞，维护应用程序的安全。</w:t>
      </w:r>
    </w:p>
    <w:p w14:paraId="61B5FDEE">
      <w:pPr>
        <w:keepNext/>
        <w:keepLines/>
        <w:tabs>
          <w:tab w:val="left" w:pos="900"/>
        </w:tabs>
        <w:adjustRightInd w:val="0"/>
        <w:spacing w:before="260" w:after="260" w:line="360" w:lineRule="auto"/>
        <w:ind w:left="900" w:hanging="720"/>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2.2.3</w:t>
      </w:r>
      <w:r>
        <w:rPr>
          <w:rFonts w:ascii="仿宋" w:hAnsi="仿宋" w:eastAsia="仿宋" w:cs="Times New Roman"/>
          <w:b/>
          <w:bCs/>
          <w:color w:val="auto"/>
          <w:sz w:val="24"/>
          <w:szCs w:val="24"/>
          <w:highlight w:val="none"/>
        </w:rPr>
        <w:t>卫生综管数据核对</w:t>
      </w:r>
    </w:p>
    <w:p w14:paraId="3E11C6B6">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供应商需定期核对卫生综合管理指标与业务系统一致性。</w:t>
      </w:r>
    </w:p>
    <w:p w14:paraId="4335C086">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2.2.4</w:t>
      </w:r>
      <w:r>
        <w:rPr>
          <w:rFonts w:ascii="仿宋" w:hAnsi="仿宋" w:eastAsia="仿宋" w:cs="Times New Roman"/>
          <w:b/>
          <w:bCs/>
          <w:color w:val="auto"/>
          <w:sz w:val="24"/>
          <w:szCs w:val="24"/>
          <w:highlight w:val="none"/>
        </w:rPr>
        <w:t>定期检查数据库作业执行情况</w:t>
      </w:r>
    </w:p>
    <w:p w14:paraId="6480387E">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供应商需对数据库作业执行情况进行定期检查，排除故障，解决问题，保障数据库的正常有序运行。</w:t>
      </w:r>
    </w:p>
    <w:p w14:paraId="3EA68BA3">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2.2.5</w:t>
      </w:r>
      <w:r>
        <w:rPr>
          <w:rFonts w:ascii="仿宋" w:hAnsi="仿宋" w:eastAsia="仿宋" w:cs="Times New Roman"/>
          <w:b/>
          <w:bCs/>
          <w:color w:val="auto"/>
          <w:sz w:val="24"/>
          <w:szCs w:val="24"/>
          <w:highlight w:val="none"/>
        </w:rPr>
        <w:t>数据上传定期检查</w:t>
      </w:r>
    </w:p>
    <w:p w14:paraId="6E225361">
      <w:pPr>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w:t>
      </w:r>
      <w:r>
        <w:rPr>
          <w:rFonts w:hint="eastAsia" w:ascii="仿宋" w:hAnsi="仿宋" w:eastAsia="仿宋" w:cs="Times New Roman"/>
          <w:color w:val="auto"/>
          <w:sz w:val="24"/>
          <w:szCs w:val="24"/>
          <w:highlight w:val="none"/>
        </w:rPr>
        <w:t xml:space="preserve">  </w:t>
      </w:r>
      <w:r>
        <w:rPr>
          <w:rFonts w:ascii="仿宋" w:hAnsi="仿宋" w:eastAsia="仿宋" w:cs="Times New Roman"/>
          <w:color w:val="auto"/>
          <w:sz w:val="24"/>
          <w:szCs w:val="24"/>
          <w:highlight w:val="none"/>
        </w:rPr>
        <w:tab/>
      </w:r>
      <w:r>
        <w:rPr>
          <w:rFonts w:ascii="仿宋" w:hAnsi="仿宋" w:eastAsia="仿宋" w:cs="Times New Roman"/>
          <w:color w:val="auto"/>
          <w:sz w:val="24"/>
          <w:szCs w:val="24"/>
          <w:highlight w:val="none"/>
        </w:rPr>
        <w:t>供应商需定期检查各家医院的基层医疗业务系统数据上传至平台、医疗运行日报数据的数据质量、上传作业运行情况，如发现数据未上传至平台，及时追溯并查看错误详情，定位到具体错误的数据，查找原因，并尽量在当日解决问题。</w:t>
      </w:r>
    </w:p>
    <w:p w14:paraId="7C25A6EC">
      <w:pPr>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w:t>
      </w:r>
      <w:r>
        <w:rPr>
          <w:rFonts w:ascii="仿宋" w:hAnsi="仿宋" w:eastAsia="仿宋" w:cs="Times New Roman"/>
          <w:color w:val="auto"/>
          <w:sz w:val="24"/>
          <w:szCs w:val="24"/>
          <w:highlight w:val="none"/>
        </w:rPr>
        <w:tab/>
      </w:r>
      <w:r>
        <w:rPr>
          <w:rFonts w:hint="eastAsia" w:ascii="仿宋" w:hAnsi="仿宋" w:eastAsia="仿宋" w:cs="Times New Roman"/>
          <w:color w:val="auto"/>
          <w:sz w:val="24"/>
          <w:szCs w:val="24"/>
          <w:highlight w:val="none"/>
        </w:rPr>
        <w:t xml:space="preserve">  </w:t>
      </w:r>
      <w:r>
        <w:rPr>
          <w:rFonts w:ascii="仿宋" w:hAnsi="仿宋" w:eastAsia="仿宋" w:cs="Times New Roman"/>
          <w:color w:val="auto"/>
          <w:sz w:val="24"/>
          <w:szCs w:val="24"/>
          <w:highlight w:val="none"/>
        </w:rPr>
        <w:t>供应商需保证平台高质量运行，确保各接入机构需保证数据质量的完整性、规范性、及时性、一致性，达到卫健</w:t>
      </w:r>
      <w:r>
        <w:rPr>
          <w:rFonts w:hint="eastAsia" w:ascii="仿宋" w:hAnsi="仿宋" w:eastAsia="仿宋" w:cs="Times New Roman"/>
          <w:color w:val="auto"/>
          <w:sz w:val="24"/>
          <w:szCs w:val="24"/>
          <w:highlight w:val="none"/>
        </w:rPr>
        <w:t>局</w:t>
      </w:r>
      <w:r>
        <w:rPr>
          <w:rFonts w:ascii="仿宋" w:hAnsi="仿宋" w:eastAsia="仿宋" w:cs="Times New Roman"/>
          <w:color w:val="auto"/>
          <w:sz w:val="24"/>
          <w:szCs w:val="24"/>
          <w:highlight w:val="none"/>
        </w:rPr>
        <w:t>的要求，发现问题及时整改。</w:t>
      </w:r>
    </w:p>
    <w:p w14:paraId="7FF7F981">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2.2.6</w:t>
      </w:r>
      <w:r>
        <w:rPr>
          <w:rFonts w:ascii="仿宋" w:hAnsi="仿宋" w:eastAsia="仿宋" w:cs="Times New Roman"/>
          <w:b/>
          <w:bCs/>
          <w:color w:val="auto"/>
          <w:sz w:val="24"/>
          <w:szCs w:val="24"/>
          <w:highlight w:val="none"/>
        </w:rPr>
        <w:t>定期检查数据库备份情况</w:t>
      </w:r>
    </w:p>
    <w:p w14:paraId="721383F8">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供应商需对数据库备份情况进行定期检查，确保数据的安全备份，保障数据库的正常有序运行。</w:t>
      </w:r>
    </w:p>
    <w:p w14:paraId="584C4E29">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2.2.7</w:t>
      </w:r>
      <w:r>
        <w:rPr>
          <w:rFonts w:ascii="仿宋" w:hAnsi="仿宋" w:eastAsia="仿宋" w:cs="Times New Roman"/>
          <w:b/>
          <w:bCs/>
          <w:color w:val="auto"/>
          <w:sz w:val="24"/>
          <w:szCs w:val="24"/>
          <w:highlight w:val="none"/>
        </w:rPr>
        <w:t>每月服务器巡检</w:t>
      </w:r>
    </w:p>
    <w:p w14:paraId="00BF477A">
      <w:pPr>
        <w:numPr>
          <w:ilvl w:val="0"/>
          <w:numId w:val="3"/>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应用服务器检查</w:t>
      </w:r>
    </w:p>
    <w:p w14:paraId="502BA033">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供应商需每月安排专人对应用服务器检查，检查项目包括日志检查、空间存储、网络连接、</w:t>
      </w:r>
      <w:r>
        <w:rPr>
          <w:rFonts w:ascii="仿宋" w:hAnsi="仿宋" w:eastAsia="仿宋" w:cs="Times New Roman"/>
          <w:color w:val="auto"/>
          <w:sz w:val="24"/>
          <w:szCs w:val="24"/>
          <w:highlight w:val="none"/>
        </w:rPr>
        <w:t>CPU平均利用率、内存平均利用率、磁盘使用情况、网口等；</w:t>
      </w:r>
    </w:p>
    <w:p w14:paraId="3A248CC7">
      <w:pPr>
        <w:numPr>
          <w:ilvl w:val="0"/>
          <w:numId w:val="3"/>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数据库服务器检查</w:t>
      </w:r>
    </w:p>
    <w:p w14:paraId="21CB1521">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供应商需每月安排专人对数据库服务器检查，检查内容包括数据库机构、初始化参数、配置文件、数据库磁盘空间使用情况、数据库备份是否异常、日常作业执行情况、定时清理日志等；</w:t>
      </w:r>
    </w:p>
    <w:p w14:paraId="412CC2A0">
      <w:pPr>
        <w:numPr>
          <w:ilvl w:val="0"/>
          <w:numId w:val="3"/>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前置机服务器检查</w:t>
      </w:r>
    </w:p>
    <w:p w14:paraId="252B6DC8">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供应商需每月安排专人对前置机服务器检查，检查内容包括前置机服务器数据上传运行情况、内存、磁盘空间、存储、数据上传作业等；</w:t>
      </w:r>
    </w:p>
    <w:p w14:paraId="0C38C51B">
      <w:pPr>
        <w:numPr>
          <w:ilvl w:val="0"/>
          <w:numId w:val="3"/>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检查问题反馈</w:t>
      </w:r>
    </w:p>
    <w:p w14:paraId="303B1D37">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项目运维专员及时报告所发现的服务器运行问题，分析和鉴定问题产生的原因，记录问题处理过程，形成服务器巡检报告。并以巡检报告的形式及时提交给卫健局，并对巡检报告中的问题，做优化建议，提供防止再次发生的补救措施，过程形成的所有问题和记录均应妥善保存、存档。</w:t>
      </w:r>
    </w:p>
    <w:p w14:paraId="2D13E474">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2.2.8</w:t>
      </w:r>
      <w:r>
        <w:rPr>
          <w:rFonts w:ascii="仿宋" w:hAnsi="仿宋" w:eastAsia="仿宋" w:cs="Times New Roman"/>
          <w:b/>
          <w:bCs/>
          <w:color w:val="auto"/>
          <w:sz w:val="24"/>
          <w:szCs w:val="24"/>
          <w:highlight w:val="none"/>
        </w:rPr>
        <w:t>提供7*24响应服务支持</w:t>
      </w:r>
    </w:p>
    <w:p w14:paraId="40420D07">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供应商需提供</w:t>
      </w:r>
      <w:r>
        <w:rPr>
          <w:rFonts w:ascii="仿宋" w:hAnsi="仿宋" w:eastAsia="仿宋" w:cs="Times New Roman"/>
          <w:color w:val="auto"/>
          <w:sz w:val="24"/>
          <w:szCs w:val="24"/>
          <w:highlight w:val="none"/>
        </w:rPr>
        <w:t>7*24（H）故障处理响应，经评估发现确因质量问题造成工作影响，将对此软件缺陷问题无条件进行修改维护，修复时间视影响情况而定，或由甲乙双方友好协商决定。</w:t>
      </w:r>
    </w:p>
    <w:p w14:paraId="24DE615E">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2.2.9</w:t>
      </w:r>
      <w:r>
        <w:rPr>
          <w:rFonts w:ascii="仿宋" w:hAnsi="仿宋" w:eastAsia="仿宋" w:cs="Times New Roman"/>
          <w:b/>
          <w:bCs/>
          <w:color w:val="auto"/>
          <w:sz w:val="24"/>
          <w:szCs w:val="24"/>
          <w:highlight w:val="none"/>
        </w:rPr>
        <w:t xml:space="preserve">问题工作底稿梳理 </w:t>
      </w:r>
    </w:p>
    <w:p w14:paraId="09DF8B17">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项目运维期间，供应商需每周梳理问题工作底稿，编制工作日记，反馈给开发、测试人员；制定问题解决方案时间计划表，及时与项目开发、测试人员沟通，解决亟需处理的</w:t>
      </w:r>
      <w:r>
        <w:rPr>
          <w:rFonts w:ascii="仿宋" w:hAnsi="仿宋" w:eastAsia="仿宋" w:cs="Times New Roman"/>
          <w:color w:val="auto"/>
          <w:sz w:val="24"/>
          <w:szCs w:val="24"/>
          <w:highlight w:val="none"/>
        </w:rPr>
        <w:t>bug、升级等问题。问题解决后，编写问题汇总报告，向</w:t>
      </w:r>
      <w:r>
        <w:rPr>
          <w:rFonts w:hint="eastAsia" w:ascii="仿宋" w:hAnsi="仿宋" w:eastAsia="仿宋" w:cs="Times New Roman"/>
          <w:color w:val="auto"/>
          <w:sz w:val="24"/>
          <w:szCs w:val="24"/>
          <w:highlight w:val="none"/>
        </w:rPr>
        <w:t>卫健局</w:t>
      </w:r>
      <w:r>
        <w:rPr>
          <w:rFonts w:ascii="仿宋" w:hAnsi="仿宋" w:eastAsia="仿宋" w:cs="Times New Roman"/>
          <w:color w:val="auto"/>
          <w:sz w:val="24"/>
          <w:szCs w:val="24"/>
          <w:highlight w:val="none"/>
        </w:rPr>
        <w:t>提交问题工作底稿文档，用户签字、盖章、存档。</w:t>
      </w:r>
    </w:p>
    <w:p w14:paraId="49E557F2">
      <w:pPr>
        <w:keepNext/>
        <w:keepLines/>
        <w:spacing w:before="260" w:after="260" w:line="360" w:lineRule="auto"/>
        <w:outlineLvl w:val="1"/>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2.3基层医疗卫生综合业务系统类要求</w:t>
      </w:r>
    </w:p>
    <w:p w14:paraId="1CEB556F">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包含对</w:t>
      </w:r>
      <w:r>
        <w:rPr>
          <w:rFonts w:hint="eastAsia" w:ascii="仿宋" w:hAnsi="仿宋" w:eastAsia="仿宋" w:cs="Times New Roman"/>
          <w:color w:val="auto"/>
          <w:sz w:val="24"/>
          <w:szCs w:val="24"/>
          <w:highlight w:val="none"/>
          <w:lang w:eastAsia="zh-CN"/>
        </w:rPr>
        <w:t>基层</w:t>
      </w:r>
      <w:r>
        <w:rPr>
          <w:rFonts w:ascii="仿宋" w:hAnsi="仿宋" w:eastAsia="仿宋" w:cs="Times New Roman"/>
          <w:color w:val="auto"/>
          <w:sz w:val="24"/>
          <w:szCs w:val="24"/>
          <w:highlight w:val="none"/>
        </w:rPr>
        <w:t>his系统</w:t>
      </w:r>
      <w:r>
        <w:rPr>
          <w:rFonts w:hint="eastAsia" w:ascii="仿宋" w:hAnsi="仿宋" w:eastAsia="仿宋" w:cs="Times New Roman"/>
          <w:color w:val="auto"/>
          <w:sz w:val="24"/>
          <w:szCs w:val="24"/>
          <w:highlight w:val="none"/>
        </w:rPr>
        <w:t>、区域电子病历系统、电子健康档案、档案质控、区域体检系统、区域绩效补偿机制改革系统、家庭医生签约系统、合理用药系统的维护工作。</w:t>
      </w:r>
    </w:p>
    <w:p w14:paraId="3FCAB463">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2.3.1</w:t>
      </w:r>
      <w:r>
        <w:rPr>
          <w:rFonts w:ascii="仿宋" w:hAnsi="仿宋" w:eastAsia="仿宋" w:cs="Times New Roman"/>
          <w:b/>
          <w:bCs/>
          <w:color w:val="auto"/>
          <w:sz w:val="24"/>
          <w:szCs w:val="24"/>
          <w:highlight w:val="none"/>
        </w:rPr>
        <w:t>应用程序使用指导</w:t>
      </w:r>
    </w:p>
    <w:p w14:paraId="56D890CD">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供应商需对应用程序功能进行改进，并且可对相关业务人员进行针对性指导培训。</w:t>
      </w:r>
    </w:p>
    <w:p w14:paraId="07E0A190">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2.3.2</w:t>
      </w:r>
      <w:r>
        <w:rPr>
          <w:rFonts w:ascii="仿宋" w:hAnsi="仿宋" w:eastAsia="仿宋" w:cs="Times New Roman"/>
          <w:b/>
          <w:bCs/>
          <w:color w:val="auto"/>
          <w:sz w:val="24"/>
          <w:szCs w:val="24"/>
          <w:highlight w:val="none"/>
        </w:rPr>
        <w:t>操作性错误导致数据出错的修正</w:t>
      </w:r>
    </w:p>
    <w:p w14:paraId="6535BFDE">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供应商需对业务系统出现的操作性错误导致数据出错的内容进行修正，保证数据的正确，维护业务系统的日常运营。</w:t>
      </w:r>
    </w:p>
    <w:p w14:paraId="1158C827">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2.3.3</w:t>
      </w:r>
      <w:r>
        <w:rPr>
          <w:rFonts w:ascii="仿宋" w:hAnsi="仿宋" w:eastAsia="仿宋" w:cs="Times New Roman"/>
          <w:b/>
          <w:bCs/>
          <w:color w:val="auto"/>
          <w:sz w:val="24"/>
          <w:szCs w:val="24"/>
          <w:highlight w:val="none"/>
        </w:rPr>
        <w:t>应用程序bug的处理</w:t>
      </w:r>
    </w:p>
    <w:p w14:paraId="202DD537">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供应商需对应用程序</w:t>
      </w:r>
      <w:r>
        <w:rPr>
          <w:rFonts w:ascii="仿宋" w:hAnsi="仿宋" w:eastAsia="仿宋" w:cs="Times New Roman"/>
          <w:color w:val="auto"/>
          <w:sz w:val="24"/>
          <w:szCs w:val="24"/>
          <w:highlight w:val="none"/>
        </w:rPr>
        <w:t>bug进行查找，发现漏洞，立马解决，保证最大程度减少应用程序的漏洞，维护应用程序的安全。</w:t>
      </w:r>
    </w:p>
    <w:p w14:paraId="5E648BB1">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2.3.4</w:t>
      </w:r>
      <w:r>
        <w:rPr>
          <w:rFonts w:ascii="仿宋" w:hAnsi="仿宋" w:eastAsia="仿宋" w:cs="Times New Roman"/>
          <w:b/>
          <w:bCs/>
          <w:color w:val="auto"/>
          <w:sz w:val="24"/>
          <w:szCs w:val="24"/>
          <w:highlight w:val="none"/>
        </w:rPr>
        <w:t>原有统计报表数据纠错</w:t>
      </w:r>
    </w:p>
    <w:p w14:paraId="25D539E9">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供应商需对原有院内统计报表的数据进行核查，纠正院内报表数据，保障院内统计报表的正确。</w:t>
      </w:r>
    </w:p>
    <w:p w14:paraId="12E11B0D">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2.3.5</w:t>
      </w:r>
      <w:r>
        <w:rPr>
          <w:rFonts w:ascii="仿宋" w:hAnsi="仿宋" w:eastAsia="仿宋" w:cs="Times New Roman"/>
          <w:b/>
          <w:bCs/>
          <w:color w:val="auto"/>
          <w:sz w:val="24"/>
          <w:szCs w:val="24"/>
          <w:highlight w:val="none"/>
        </w:rPr>
        <w:t>定期检查数据库作业执行情况</w:t>
      </w:r>
    </w:p>
    <w:p w14:paraId="465B4A34">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供应商需对数据库作业执行情况进行定期检查，排除故障，解决问题，保障数据库的正常有序运行。</w:t>
      </w:r>
    </w:p>
    <w:p w14:paraId="4EC5461E">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2.3.6</w:t>
      </w:r>
      <w:r>
        <w:rPr>
          <w:rFonts w:ascii="仿宋" w:hAnsi="仿宋" w:eastAsia="仿宋" w:cs="Times New Roman"/>
          <w:b/>
          <w:bCs/>
          <w:color w:val="auto"/>
          <w:sz w:val="24"/>
          <w:szCs w:val="24"/>
          <w:highlight w:val="none"/>
        </w:rPr>
        <w:t>定期检查数据库备份情况</w:t>
      </w:r>
    </w:p>
    <w:p w14:paraId="7F7ECEDD">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供应商需对数据库备份情况进行定期检查，确保数据的安全备份，保障数据库的正常有序运行。</w:t>
      </w:r>
    </w:p>
    <w:p w14:paraId="56EDC531">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2.3.7</w:t>
      </w:r>
      <w:r>
        <w:rPr>
          <w:rFonts w:ascii="仿宋" w:hAnsi="仿宋" w:eastAsia="仿宋" w:cs="Times New Roman"/>
          <w:b/>
          <w:bCs/>
          <w:color w:val="auto"/>
          <w:sz w:val="24"/>
          <w:szCs w:val="24"/>
          <w:highlight w:val="none"/>
        </w:rPr>
        <w:t>提供7*24响应服务支持</w:t>
      </w:r>
    </w:p>
    <w:p w14:paraId="5FC8B5CC">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供应商需提供</w:t>
      </w:r>
      <w:r>
        <w:rPr>
          <w:rFonts w:ascii="仿宋" w:hAnsi="仿宋" w:eastAsia="仿宋" w:cs="Times New Roman"/>
          <w:color w:val="auto"/>
          <w:sz w:val="24"/>
          <w:szCs w:val="24"/>
          <w:highlight w:val="none"/>
        </w:rPr>
        <w:t>7*24（H）故障处理响应，经评估发现确因质量问题造成工作影响，将对此软件缺陷问题无条件进行修改维护，修复时间视影响情况而定，或由甲乙双方友好协商决定</w:t>
      </w:r>
    </w:p>
    <w:p w14:paraId="626AC5B3">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2.3.8</w:t>
      </w:r>
      <w:r>
        <w:rPr>
          <w:rFonts w:ascii="仿宋" w:hAnsi="仿宋" w:eastAsia="仿宋" w:cs="Times New Roman"/>
          <w:b/>
          <w:bCs/>
          <w:color w:val="auto"/>
          <w:sz w:val="24"/>
          <w:szCs w:val="24"/>
          <w:highlight w:val="none"/>
        </w:rPr>
        <w:t>问题工作底稿梳理</w:t>
      </w:r>
    </w:p>
    <w:p w14:paraId="2F9FA298">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项目运维期间，供应商需每周梳理问题工作底稿，编制工作日记，反馈给开发、测试人员；制定问题解决方案时间计划表，及时与项目开发、测试人员沟通，解决亟需处理的</w:t>
      </w:r>
      <w:r>
        <w:rPr>
          <w:rFonts w:ascii="仿宋" w:hAnsi="仿宋" w:eastAsia="仿宋" w:cs="Times New Roman"/>
          <w:color w:val="auto"/>
          <w:sz w:val="24"/>
          <w:szCs w:val="24"/>
          <w:highlight w:val="none"/>
        </w:rPr>
        <w:t>bug、升级等问题。问题解决后，编写问题汇总报告，向</w:t>
      </w:r>
      <w:r>
        <w:rPr>
          <w:rFonts w:hint="eastAsia" w:ascii="仿宋" w:hAnsi="仿宋" w:eastAsia="仿宋" w:cs="Times New Roman"/>
          <w:color w:val="auto"/>
          <w:sz w:val="24"/>
          <w:szCs w:val="24"/>
          <w:highlight w:val="none"/>
        </w:rPr>
        <w:t>卫健局</w:t>
      </w:r>
      <w:r>
        <w:rPr>
          <w:rFonts w:ascii="仿宋" w:hAnsi="仿宋" w:eastAsia="仿宋" w:cs="Times New Roman"/>
          <w:color w:val="auto"/>
          <w:sz w:val="24"/>
          <w:szCs w:val="24"/>
          <w:highlight w:val="none"/>
        </w:rPr>
        <w:t>提交问题工作底稿文档，用户签字、盖章、存档。</w:t>
      </w:r>
    </w:p>
    <w:p w14:paraId="1B308D7F">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2.3.9</w:t>
      </w:r>
      <w:r>
        <w:rPr>
          <w:rFonts w:ascii="仿宋" w:hAnsi="仿宋" w:eastAsia="仿宋" w:cs="Times New Roman"/>
          <w:b/>
          <w:bCs/>
          <w:color w:val="auto"/>
          <w:sz w:val="24"/>
          <w:szCs w:val="24"/>
          <w:highlight w:val="none"/>
        </w:rPr>
        <w:t>每月服务器巡检</w:t>
      </w:r>
    </w:p>
    <w:p w14:paraId="113909F4">
      <w:pPr>
        <w:numPr>
          <w:ilvl w:val="0"/>
          <w:numId w:val="3"/>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应用服务器检查</w:t>
      </w:r>
    </w:p>
    <w:p w14:paraId="43B80B73">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供应商需每月安排专人对应用服务器检查，检查项目包括日志检查、空间存储、网络连接、</w:t>
      </w:r>
      <w:r>
        <w:rPr>
          <w:rFonts w:ascii="仿宋" w:hAnsi="仿宋" w:eastAsia="仿宋" w:cs="Times New Roman"/>
          <w:color w:val="auto"/>
          <w:sz w:val="24"/>
          <w:szCs w:val="24"/>
          <w:highlight w:val="none"/>
        </w:rPr>
        <w:t>CPU平均利用率、内存平均利用率、磁盘使用情况、网口等；</w:t>
      </w:r>
    </w:p>
    <w:p w14:paraId="7864DB91">
      <w:pPr>
        <w:numPr>
          <w:ilvl w:val="0"/>
          <w:numId w:val="3"/>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数据库服务器检查</w:t>
      </w:r>
    </w:p>
    <w:p w14:paraId="55F2689E">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供应商需每月安排专人对数据库服务器检查，检查内容包括数据库机构、初始化参数、配置文件、数据库磁盘空间使用情况、数据库备份是否异常、日常作业执行情况、定时清理日志等；</w:t>
      </w:r>
    </w:p>
    <w:p w14:paraId="51E2BB11">
      <w:pPr>
        <w:numPr>
          <w:ilvl w:val="0"/>
          <w:numId w:val="3"/>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前置机服务器检查</w:t>
      </w:r>
    </w:p>
    <w:p w14:paraId="7B525875">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供应商需每月安排专人对前置机服务器检查，检查内容包括前置机服务器数据上传运行情况、内存、磁盘空间、存储、数据上传作业等；</w:t>
      </w:r>
    </w:p>
    <w:p w14:paraId="6F4B53D7">
      <w:pPr>
        <w:numPr>
          <w:ilvl w:val="0"/>
          <w:numId w:val="3"/>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检查问题反馈</w:t>
      </w:r>
    </w:p>
    <w:p w14:paraId="43A0B827">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项目运维专员及时报告所发现的服务器运行问题，分析和鉴定问题产生的原因，记录问题处理过程，形成服务器巡检报告。并以巡检报告的形式及时提交给卫健局，并对巡检报告中的问题，做优化建议，提供防止再次发生的补救措施，过程形成的所有问题和记录均应妥善保存、存档。</w:t>
      </w:r>
    </w:p>
    <w:p w14:paraId="18191A45">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2.3.10</w:t>
      </w:r>
      <w:r>
        <w:rPr>
          <w:rFonts w:ascii="仿宋" w:hAnsi="仿宋" w:eastAsia="仿宋" w:cs="Times New Roman"/>
          <w:b/>
          <w:bCs/>
          <w:color w:val="auto"/>
          <w:sz w:val="24"/>
          <w:szCs w:val="24"/>
          <w:highlight w:val="none"/>
        </w:rPr>
        <w:t>每周数据库备份核查</w:t>
      </w:r>
    </w:p>
    <w:p w14:paraId="5B86611C">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供应商需对项目涉及到的系统进行数据库第三方备份情况进行核查确认。</w:t>
      </w:r>
    </w:p>
    <w:p w14:paraId="044520A0">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2.3.11</w:t>
      </w:r>
      <w:r>
        <w:rPr>
          <w:rFonts w:ascii="仿宋" w:hAnsi="仿宋" w:eastAsia="仿宋" w:cs="Times New Roman"/>
          <w:b/>
          <w:bCs/>
          <w:color w:val="auto"/>
          <w:sz w:val="24"/>
          <w:szCs w:val="24"/>
          <w:highlight w:val="none"/>
        </w:rPr>
        <w:t>每月管理员月度例会</w:t>
      </w:r>
    </w:p>
    <w:p w14:paraId="4FFF7A32">
      <w:pPr>
        <w:spacing w:line="360" w:lineRule="auto"/>
        <w:ind w:firstLine="480" w:firstLineChars="20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ab/>
      </w:r>
      <w:r>
        <w:rPr>
          <w:rFonts w:ascii="仿宋" w:hAnsi="仿宋" w:eastAsia="仿宋" w:cs="Times New Roman"/>
          <w:color w:val="auto"/>
          <w:sz w:val="24"/>
          <w:szCs w:val="24"/>
          <w:highlight w:val="none"/>
        </w:rPr>
        <w:t>运维人员每月对医疗、公卫管理员开月度例会，每月两次；</w:t>
      </w:r>
    </w:p>
    <w:p w14:paraId="32DE73D3">
      <w:pPr>
        <w:spacing w:line="360" w:lineRule="auto"/>
        <w:ind w:firstLine="480" w:firstLineChars="20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供应商需每月对管理员做业务系统功能培训，培训内容主要包括：功能组成、系统业务流程、软件结构、信息采集/报送、业务管理/配置、数据库、中间件、备份系统、网络安全、功能操作运行管理、用户权限配置管理、常见问题的解决维护等有关内容的培训，并提供全套培训教材和培训课程计划表，确保管理员能熟练操作系统；</w:t>
      </w:r>
    </w:p>
    <w:p w14:paraId="51F437D1">
      <w:pPr>
        <w:spacing w:line="360" w:lineRule="auto"/>
        <w:ind w:firstLine="480" w:firstLineChars="20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供应商需在业务系统培训过程中，收集管理员提出的新问题，形成问题底稿文档，反馈给开发、测试人员做问题修改；</w:t>
      </w:r>
    </w:p>
    <w:p w14:paraId="1721ACFE">
      <w:pPr>
        <w:spacing w:line="360" w:lineRule="auto"/>
        <w:ind w:firstLine="480" w:firstLineChars="20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供应商需针对提出的问题，修改完成后，再有效组织管理员例会，做操作系统培训；</w:t>
      </w:r>
    </w:p>
    <w:p w14:paraId="5D3624B9">
      <w:pPr>
        <w:spacing w:line="360" w:lineRule="auto"/>
        <w:ind w:firstLine="480" w:firstLineChars="20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供应商需将月度例会中的培训资料、培训会议记录、问题反馈、问题解决方案、问题修改后的意见及建设等文档做备份存档，并提交给卫健</w:t>
      </w:r>
      <w:r>
        <w:rPr>
          <w:rFonts w:hint="eastAsia" w:ascii="仿宋" w:hAnsi="仿宋" w:eastAsia="仿宋" w:cs="Times New Roman"/>
          <w:color w:val="auto"/>
          <w:sz w:val="24"/>
          <w:szCs w:val="24"/>
          <w:highlight w:val="none"/>
        </w:rPr>
        <w:t>局</w:t>
      </w:r>
      <w:r>
        <w:rPr>
          <w:rFonts w:ascii="仿宋" w:hAnsi="仿宋" w:eastAsia="仿宋" w:cs="Times New Roman"/>
          <w:color w:val="auto"/>
          <w:sz w:val="24"/>
          <w:szCs w:val="24"/>
          <w:highlight w:val="none"/>
        </w:rPr>
        <w:t>签字、盖章。</w:t>
      </w:r>
    </w:p>
    <w:p w14:paraId="4ED8862F">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2.3.12</w:t>
      </w:r>
      <w:r>
        <w:rPr>
          <w:rFonts w:ascii="仿宋" w:hAnsi="仿宋" w:eastAsia="仿宋" w:cs="Times New Roman"/>
          <w:b/>
          <w:bCs/>
          <w:color w:val="auto"/>
          <w:sz w:val="24"/>
          <w:szCs w:val="24"/>
          <w:highlight w:val="none"/>
        </w:rPr>
        <w:t>回访医院</w:t>
      </w:r>
    </w:p>
    <w:p w14:paraId="29A590E7">
      <w:pPr>
        <w:spacing w:line="360" w:lineRule="auto"/>
        <w:ind w:firstLine="480" w:firstLineChars="20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供应商需每季度至少回访2家基层单位，一年需将</w:t>
      </w:r>
      <w:r>
        <w:rPr>
          <w:rFonts w:hint="eastAsia" w:ascii="仿宋" w:hAnsi="仿宋" w:eastAsia="仿宋" w:cs="Times New Roman"/>
          <w:color w:val="auto"/>
          <w:sz w:val="24"/>
          <w:szCs w:val="24"/>
          <w:highlight w:val="none"/>
        </w:rPr>
        <w:t>所有基层医疗机构</w:t>
      </w:r>
      <w:r>
        <w:rPr>
          <w:rFonts w:ascii="仿宋" w:hAnsi="仿宋" w:eastAsia="仿宋" w:cs="Times New Roman"/>
          <w:color w:val="auto"/>
          <w:sz w:val="24"/>
          <w:szCs w:val="24"/>
          <w:highlight w:val="none"/>
        </w:rPr>
        <w:t>做完回访工作。回访医院每个业务科室，查看业务科室系统运行情况，询问业务科室人员系统操作情况，用户满意度记录。</w:t>
      </w:r>
    </w:p>
    <w:p w14:paraId="796D02C4">
      <w:pPr>
        <w:spacing w:line="360" w:lineRule="auto"/>
        <w:ind w:firstLine="480" w:firstLineChars="20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供应商需对科室人员提出的问题，做检查，并做系统操作演示，若出现难以现场解决的问题，着重标记，反馈给开发、测试人员，做问题处理跟踪；</w:t>
      </w:r>
    </w:p>
    <w:p w14:paraId="1FF6054B">
      <w:pPr>
        <w:spacing w:line="360" w:lineRule="auto"/>
        <w:ind w:firstLine="480" w:firstLineChars="20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供应商需在各科室回访后，将回访记录和问题，向医院院长汇报，当场形成回访报告，由医院领导签字、存储，备份带回。</w:t>
      </w:r>
    </w:p>
    <w:p w14:paraId="499A1D61">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2.3.13</w:t>
      </w:r>
      <w:r>
        <w:rPr>
          <w:rFonts w:ascii="仿宋" w:hAnsi="仿宋" w:eastAsia="仿宋" w:cs="Times New Roman"/>
          <w:b/>
          <w:bCs/>
          <w:color w:val="auto"/>
          <w:sz w:val="24"/>
          <w:szCs w:val="24"/>
          <w:highlight w:val="none"/>
        </w:rPr>
        <w:t>完成业务部门提出的临时性数据统计工作</w:t>
      </w:r>
    </w:p>
    <w:p w14:paraId="3D50900D">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运维人员在运维期间，应对业务部门提出的临时性数据报表、指标做处理，运维人员通过分析统计算法，后台算存储过程，统计相关数据，并</w:t>
      </w:r>
      <w:r>
        <w:rPr>
          <w:rFonts w:ascii="仿宋" w:hAnsi="仿宋" w:eastAsia="仿宋" w:cs="Times New Roman"/>
          <w:color w:val="auto"/>
          <w:sz w:val="24"/>
          <w:szCs w:val="24"/>
          <w:highlight w:val="none"/>
        </w:rPr>
        <w:t>excel表格导出给卫健</w:t>
      </w:r>
      <w:r>
        <w:rPr>
          <w:rFonts w:hint="eastAsia" w:ascii="仿宋" w:hAnsi="仿宋" w:eastAsia="仿宋" w:cs="Times New Roman"/>
          <w:color w:val="auto"/>
          <w:sz w:val="24"/>
          <w:szCs w:val="24"/>
          <w:highlight w:val="none"/>
        </w:rPr>
        <w:t>局</w:t>
      </w:r>
      <w:r>
        <w:rPr>
          <w:rFonts w:ascii="仿宋" w:hAnsi="仿宋" w:eastAsia="仿宋" w:cs="Times New Roman"/>
          <w:color w:val="auto"/>
          <w:sz w:val="24"/>
          <w:szCs w:val="24"/>
          <w:highlight w:val="none"/>
        </w:rPr>
        <w:t>管理人员，并做跟踪反馈，回访等工作。</w:t>
      </w:r>
    </w:p>
    <w:p w14:paraId="7ACF5241">
      <w:pPr>
        <w:keepNext/>
        <w:keepLines/>
        <w:spacing w:before="260" w:after="260" w:line="360" w:lineRule="auto"/>
        <w:outlineLvl w:val="1"/>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2.4医疗协同应用要求</w:t>
      </w:r>
    </w:p>
    <w:p w14:paraId="3ED13944">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2.4.1区域心电系统</w:t>
      </w:r>
    </w:p>
    <w:p w14:paraId="208D89DF">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Arial"/>
          <w:snapToGrid w:val="0"/>
          <w:color w:val="auto"/>
          <w:kern w:val="0"/>
          <w:sz w:val="24"/>
          <w:szCs w:val="24"/>
          <w:highlight w:val="none"/>
        </w:rPr>
        <w:t xml:space="preserve"> </w:t>
      </w:r>
      <w:r>
        <w:rPr>
          <w:rFonts w:ascii="仿宋" w:hAnsi="仿宋" w:eastAsia="仿宋" w:cs="Times New Roman"/>
          <w:color w:val="auto"/>
          <w:kern w:val="0"/>
          <w:sz w:val="24"/>
          <w:szCs w:val="24"/>
          <w:highlight w:val="none"/>
        </w:rPr>
        <w:t>1.</w:t>
      </w:r>
      <w:r>
        <w:rPr>
          <w:rFonts w:hint="eastAsia" w:ascii="仿宋" w:hAnsi="仿宋" w:eastAsia="仿宋" w:cs="Times New Roman"/>
          <w:color w:val="auto"/>
          <w:kern w:val="0"/>
          <w:sz w:val="24"/>
          <w:szCs w:val="24"/>
          <w:highlight w:val="none"/>
        </w:rPr>
        <w:t>日常系统维护</w:t>
      </w:r>
    </w:p>
    <w:p w14:paraId="3728A090">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主要包括：系统本身bug的修改，参数的配置、报表的添加以及常规问题的解决；</w:t>
      </w:r>
    </w:p>
    <w:p w14:paraId="26A07B58">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2.</w:t>
      </w:r>
      <w:r>
        <w:rPr>
          <w:rFonts w:hint="eastAsia" w:ascii="仿宋" w:hAnsi="仿宋" w:eastAsia="仿宋" w:cs="Times New Roman"/>
          <w:color w:val="auto"/>
          <w:kern w:val="0"/>
          <w:sz w:val="24"/>
          <w:szCs w:val="24"/>
          <w:highlight w:val="none"/>
        </w:rPr>
        <w:t>垃圾数据的清理</w:t>
      </w:r>
    </w:p>
    <w:p w14:paraId="4BB3241E">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供应商需对垃圾数据将定期清理，以充分保证系统运行的快捷和稳定。</w:t>
      </w:r>
    </w:p>
    <w:p w14:paraId="3117D573">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3.</w:t>
      </w:r>
      <w:r>
        <w:rPr>
          <w:rFonts w:hint="eastAsia" w:ascii="仿宋" w:hAnsi="仿宋" w:eastAsia="仿宋" w:cs="Times New Roman"/>
          <w:color w:val="auto"/>
          <w:kern w:val="0"/>
          <w:sz w:val="24"/>
          <w:szCs w:val="24"/>
          <w:highlight w:val="none"/>
        </w:rPr>
        <w:t>数据备份服务</w:t>
      </w:r>
    </w:p>
    <w:p w14:paraId="31402F1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供应商需提供数据的备份服务，比如异地备份等服务以及其他新技术备份服务的使用等，随时提供。</w:t>
      </w:r>
    </w:p>
    <w:p w14:paraId="6768274F">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4.</w:t>
      </w:r>
      <w:r>
        <w:rPr>
          <w:rFonts w:hint="eastAsia" w:ascii="仿宋" w:hAnsi="仿宋" w:eastAsia="仿宋" w:cs="Times New Roman"/>
          <w:color w:val="auto"/>
          <w:kern w:val="0"/>
          <w:sz w:val="24"/>
          <w:szCs w:val="24"/>
          <w:highlight w:val="none"/>
        </w:rPr>
        <w:t>新需求的响应</w:t>
      </w:r>
    </w:p>
    <w:p w14:paraId="328B34CE">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供应商需在规定的时间内响应需求，包括：新需求的受理或不受理以及原因的回答和其他解决方案的回答。</w:t>
      </w:r>
    </w:p>
    <w:p w14:paraId="40C1B4FA">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5.</w:t>
      </w:r>
      <w:r>
        <w:rPr>
          <w:rFonts w:hint="eastAsia" w:ascii="仿宋" w:hAnsi="仿宋" w:eastAsia="仿宋" w:cs="Times New Roman"/>
          <w:color w:val="auto"/>
          <w:kern w:val="0"/>
          <w:sz w:val="24"/>
          <w:szCs w:val="24"/>
          <w:highlight w:val="none"/>
        </w:rPr>
        <w:t>服务方式</w:t>
      </w:r>
    </w:p>
    <w:p w14:paraId="2D1F3591">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供应商需提供</w:t>
      </w:r>
      <w:r>
        <w:rPr>
          <w:rFonts w:ascii="仿宋" w:hAnsi="仿宋" w:eastAsia="仿宋" w:cs="Times New Roman"/>
          <w:color w:val="auto"/>
          <w:kern w:val="0"/>
          <w:sz w:val="24"/>
          <w:szCs w:val="24"/>
          <w:highlight w:val="none"/>
        </w:rPr>
        <w:t>7</w:t>
      </w:r>
      <w:r>
        <w:rPr>
          <w:rFonts w:hint="eastAsia" w:ascii="仿宋" w:hAnsi="仿宋" w:eastAsia="仿宋" w:cs="Times New Roman"/>
          <w:color w:val="auto"/>
          <w:kern w:val="0"/>
          <w:sz w:val="24"/>
          <w:szCs w:val="24"/>
          <w:highlight w:val="none"/>
        </w:rPr>
        <w:t>天</w:t>
      </w:r>
      <w:r>
        <w:rPr>
          <w:rFonts w:ascii="仿宋" w:hAnsi="仿宋" w:eastAsia="仿宋" w:cs="Times New Roman"/>
          <w:color w:val="auto"/>
          <w:kern w:val="0"/>
          <w:sz w:val="24"/>
          <w:szCs w:val="24"/>
          <w:highlight w:val="none"/>
        </w:rPr>
        <w:t>*24</w:t>
      </w:r>
      <w:r>
        <w:rPr>
          <w:rFonts w:hint="eastAsia" w:ascii="仿宋" w:hAnsi="仿宋" w:eastAsia="仿宋" w:cs="Times New Roman"/>
          <w:color w:val="auto"/>
          <w:kern w:val="0"/>
          <w:sz w:val="24"/>
          <w:szCs w:val="24"/>
          <w:highlight w:val="none"/>
        </w:rPr>
        <w:t>小时服务、上门服务、电话咨询服务。</w:t>
      </w:r>
    </w:p>
    <w:p w14:paraId="50A72A80">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6.</w:t>
      </w:r>
      <w:r>
        <w:rPr>
          <w:rFonts w:hint="eastAsia" w:ascii="仿宋" w:hAnsi="仿宋" w:eastAsia="仿宋" w:cs="Times New Roman"/>
          <w:color w:val="auto"/>
          <w:kern w:val="0"/>
          <w:sz w:val="24"/>
          <w:szCs w:val="24"/>
          <w:highlight w:val="none"/>
        </w:rPr>
        <w:t>重大技术问题处理</w:t>
      </w:r>
    </w:p>
    <w:p w14:paraId="1F9346C6">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供应商需对于系统在运行过程中发生的重大技术问题，组织相关技术支持部门及时协调组织技术专家小组进行会议沟通，个案分析，以确保系统的及时正常运行。</w:t>
      </w:r>
    </w:p>
    <w:p w14:paraId="3AEEB201">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7.回访医院</w:t>
      </w:r>
    </w:p>
    <w:p w14:paraId="23EF7354">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对科室人员提出的问题，做现场检查，并做系统操作演示，若出现难以现场解决的问题，着重标记，反馈给开发、测试人员，做问题处理跟踪；</w:t>
      </w:r>
    </w:p>
    <w:p w14:paraId="42BF4D9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各科室回访后，将回访记录和问题，向医院院长汇报，当场形成回访报告，由医院领导签字、存储，备份带回。</w:t>
      </w:r>
    </w:p>
    <w:p w14:paraId="17A724F4">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8.辅助服务</w:t>
      </w:r>
    </w:p>
    <w:p w14:paraId="4216AA6F">
      <w:pPr>
        <w:widowControl/>
        <w:numPr>
          <w:ilvl w:val="0"/>
          <w:numId w:val="3"/>
        </w:numPr>
        <w:adjustRightInd w:val="0"/>
        <w:spacing w:before="120" w:after="120" w:line="360" w:lineRule="auto"/>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集中问题培训</w:t>
      </w:r>
    </w:p>
    <w:p w14:paraId="1A89EA26">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供应商需按现场实际每季度可提供一次集中问题培训，提高业务人员的工作效率，提高系统的利用度，提供培训资料。</w:t>
      </w:r>
    </w:p>
    <w:p w14:paraId="123EAB5D">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运维人员不定期组织各医疗机构的管理人员、医生、护士做系统的新功能点培训，确定培训日期、时间、地点；</w:t>
      </w:r>
    </w:p>
    <w:p w14:paraId="17BD1293">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培训过程中，对经常运用到的复杂功能、操作流程做系统演示，并现场一对一辅导业务人员具体流程操作步骤；</w:t>
      </w:r>
    </w:p>
    <w:p w14:paraId="133F7B0D">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培训后，收集不同业务角色人员提出的问题，记录并反馈，形成整改意见；</w:t>
      </w:r>
    </w:p>
    <w:p w14:paraId="0BB5113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培训中的培训记录、培训签到表、培训考核表备份保存，并提交给卫健局人员盖章、存档。</w:t>
      </w:r>
    </w:p>
    <w:p w14:paraId="588F7827">
      <w:pPr>
        <w:widowControl/>
        <w:numPr>
          <w:ilvl w:val="0"/>
          <w:numId w:val="3"/>
        </w:numPr>
        <w:adjustRightInd w:val="0"/>
        <w:spacing w:before="120" w:after="120" w:line="360" w:lineRule="auto"/>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常见问题汇编通报</w:t>
      </w:r>
    </w:p>
    <w:p w14:paraId="04AC7F80">
      <w:pPr>
        <w:adjustRightInd w:val="0"/>
        <w:spacing w:line="360" w:lineRule="auto"/>
        <w:ind w:firstLine="480" w:firstLineChars="200"/>
        <w:rPr>
          <w:rFonts w:hint="eastAsia" w:ascii="仿宋" w:hAnsi="仿宋" w:eastAsia="仿宋" w:cs="Arial"/>
          <w:snapToGrid w:val="0"/>
          <w:color w:val="auto"/>
          <w:kern w:val="0"/>
          <w:sz w:val="24"/>
          <w:szCs w:val="24"/>
          <w:highlight w:val="none"/>
        </w:rPr>
      </w:pPr>
      <w:r>
        <w:rPr>
          <w:rFonts w:hint="eastAsia" w:ascii="仿宋" w:hAnsi="仿宋" w:eastAsia="仿宋" w:cs="Times New Roman"/>
          <w:color w:val="auto"/>
          <w:kern w:val="0"/>
          <w:sz w:val="24"/>
          <w:szCs w:val="24"/>
          <w:highlight w:val="none"/>
        </w:rPr>
        <w:t>供应商需每季度会进行一次常见问题汇编，对这些问题进行统一解答，并且进行通报，可以及时全面的解决问题。</w:t>
      </w:r>
    </w:p>
    <w:p w14:paraId="512BAF95">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2.4.2区域医学检验系统</w:t>
      </w:r>
    </w:p>
    <w:p w14:paraId="783A7E99">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bookmarkStart w:id="42" w:name="_Hlk166588763"/>
      <w:r>
        <w:rPr>
          <w:rFonts w:ascii="仿宋" w:hAnsi="仿宋" w:eastAsia="仿宋" w:cs="Times New Roman"/>
          <w:color w:val="auto"/>
          <w:kern w:val="0"/>
          <w:sz w:val="24"/>
          <w:szCs w:val="24"/>
          <w:highlight w:val="none"/>
        </w:rPr>
        <w:t>1.</w:t>
      </w:r>
      <w:r>
        <w:rPr>
          <w:rFonts w:hint="eastAsia" w:ascii="仿宋" w:hAnsi="仿宋" w:eastAsia="仿宋" w:cs="Times New Roman"/>
          <w:color w:val="auto"/>
          <w:kern w:val="0"/>
          <w:sz w:val="24"/>
          <w:szCs w:val="24"/>
          <w:highlight w:val="none"/>
        </w:rPr>
        <w:t>日常系统维护</w:t>
      </w:r>
    </w:p>
    <w:p w14:paraId="496F945C">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主要包括：系统本身bug的修改，参数的配置、报表的添加以及常规问题的解决；</w:t>
      </w:r>
    </w:p>
    <w:p w14:paraId="4B0CC02A">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2.</w:t>
      </w:r>
      <w:r>
        <w:rPr>
          <w:rFonts w:hint="eastAsia" w:ascii="仿宋" w:hAnsi="仿宋" w:eastAsia="仿宋" w:cs="Times New Roman"/>
          <w:color w:val="auto"/>
          <w:kern w:val="0"/>
          <w:sz w:val="24"/>
          <w:szCs w:val="24"/>
          <w:highlight w:val="none"/>
        </w:rPr>
        <w:t>垃圾数据的清理</w:t>
      </w:r>
    </w:p>
    <w:p w14:paraId="4100222B">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供应商需对垃圾数据将定期清理，以充分保证系统运行的快捷和稳定。</w:t>
      </w:r>
    </w:p>
    <w:p w14:paraId="269CEBBC">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3.</w:t>
      </w:r>
      <w:r>
        <w:rPr>
          <w:rFonts w:hint="eastAsia" w:ascii="仿宋" w:hAnsi="仿宋" w:eastAsia="仿宋" w:cs="Times New Roman"/>
          <w:color w:val="auto"/>
          <w:kern w:val="0"/>
          <w:sz w:val="24"/>
          <w:szCs w:val="24"/>
          <w:highlight w:val="none"/>
        </w:rPr>
        <w:t>数据备份服务</w:t>
      </w:r>
    </w:p>
    <w:p w14:paraId="1F91D5F0">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供应商需提供数据的备份服务，比如异地备份等服务以及其他新技术备份服务的使用等，随时提供。</w:t>
      </w:r>
    </w:p>
    <w:p w14:paraId="1EC73A75">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4.</w:t>
      </w:r>
      <w:r>
        <w:rPr>
          <w:rFonts w:hint="eastAsia" w:ascii="仿宋" w:hAnsi="仿宋" w:eastAsia="仿宋" w:cs="Times New Roman"/>
          <w:color w:val="auto"/>
          <w:kern w:val="0"/>
          <w:sz w:val="24"/>
          <w:szCs w:val="24"/>
          <w:highlight w:val="none"/>
        </w:rPr>
        <w:t>新需求的响应</w:t>
      </w:r>
    </w:p>
    <w:p w14:paraId="5DBD25AA">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供应商需在规定的时间内响应需求，包括：新需求的受理或不受理以及原因的回答和其他解决方案的回答。</w:t>
      </w:r>
    </w:p>
    <w:p w14:paraId="120B7319">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5.</w:t>
      </w:r>
      <w:r>
        <w:rPr>
          <w:rFonts w:hint="eastAsia" w:ascii="仿宋" w:hAnsi="仿宋" w:eastAsia="仿宋" w:cs="Times New Roman"/>
          <w:color w:val="auto"/>
          <w:kern w:val="0"/>
          <w:sz w:val="24"/>
          <w:szCs w:val="24"/>
          <w:highlight w:val="none"/>
        </w:rPr>
        <w:t>服务方式</w:t>
      </w:r>
    </w:p>
    <w:p w14:paraId="404375B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供应商需提供</w:t>
      </w:r>
      <w:r>
        <w:rPr>
          <w:rFonts w:ascii="仿宋" w:hAnsi="仿宋" w:eastAsia="仿宋" w:cs="Times New Roman"/>
          <w:color w:val="auto"/>
          <w:kern w:val="0"/>
          <w:sz w:val="24"/>
          <w:szCs w:val="24"/>
          <w:highlight w:val="none"/>
        </w:rPr>
        <w:t>7</w:t>
      </w:r>
      <w:r>
        <w:rPr>
          <w:rFonts w:hint="eastAsia" w:ascii="仿宋" w:hAnsi="仿宋" w:eastAsia="仿宋" w:cs="Times New Roman"/>
          <w:color w:val="auto"/>
          <w:kern w:val="0"/>
          <w:sz w:val="24"/>
          <w:szCs w:val="24"/>
          <w:highlight w:val="none"/>
        </w:rPr>
        <w:t>天</w:t>
      </w:r>
      <w:r>
        <w:rPr>
          <w:rFonts w:ascii="仿宋" w:hAnsi="仿宋" w:eastAsia="仿宋" w:cs="Times New Roman"/>
          <w:color w:val="auto"/>
          <w:kern w:val="0"/>
          <w:sz w:val="24"/>
          <w:szCs w:val="24"/>
          <w:highlight w:val="none"/>
        </w:rPr>
        <w:t>*24</w:t>
      </w:r>
      <w:r>
        <w:rPr>
          <w:rFonts w:hint="eastAsia" w:ascii="仿宋" w:hAnsi="仿宋" w:eastAsia="仿宋" w:cs="Times New Roman"/>
          <w:color w:val="auto"/>
          <w:kern w:val="0"/>
          <w:sz w:val="24"/>
          <w:szCs w:val="24"/>
          <w:highlight w:val="none"/>
        </w:rPr>
        <w:t>小时服务、上门服务、电话咨询服务。</w:t>
      </w:r>
    </w:p>
    <w:p w14:paraId="395F1538">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6.</w:t>
      </w:r>
      <w:r>
        <w:rPr>
          <w:rFonts w:hint="eastAsia" w:ascii="仿宋" w:hAnsi="仿宋" w:eastAsia="仿宋" w:cs="Times New Roman"/>
          <w:color w:val="auto"/>
          <w:kern w:val="0"/>
          <w:sz w:val="24"/>
          <w:szCs w:val="24"/>
          <w:highlight w:val="none"/>
        </w:rPr>
        <w:t>重大技术问题处理</w:t>
      </w:r>
    </w:p>
    <w:p w14:paraId="1680758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供应商需对于系统在运行过程中发生的重大技术问题，组织相关技术支持部门及时协调组织技术专家小组进行会议沟通，个案分析，以确保系统的及时正常运行。</w:t>
      </w:r>
    </w:p>
    <w:p w14:paraId="214943CA">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7.回访医院</w:t>
      </w:r>
    </w:p>
    <w:p w14:paraId="153775BA">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对科室人员提出的问题，做现场检查，并做系统操作演示，若出现难以现场解决的问题，着重标记，反馈给开发、测试人员，做问题处理跟踪；</w:t>
      </w:r>
    </w:p>
    <w:p w14:paraId="25DA03EA">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各科室回访后，将回访记录和问题，向医院院长汇报，当场形成回访报告，由医院领导签字、存储，备份带回。</w:t>
      </w:r>
    </w:p>
    <w:p w14:paraId="56D60BC5">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8.辅助服务</w:t>
      </w:r>
    </w:p>
    <w:p w14:paraId="3E1B1054">
      <w:pPr>
        <w:widowControl/>
        <w:numPr>
          <w:ilvl w:val="0"/>
          <w:numId w:val="3"/>
        </w:numPr>
        <w:adjustRightInd w:val="0"/>
        <w:spacing w:before="120" w:after="120" w:line="360" w:lineRule="auto"/>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集中问题培训</w:t>
      </w:r>
    </w:p>
    <w:p w14:paraId="3FCEB22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供应商需按现场实际每季度可提供一次集中问题培训，提高业务人员的工作效率，提高系统的利用度，提供培训资料。</w:t>
      </w:r>
    </w:p>
    <w:p w14:paraId="7E6DEC20">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运维人员不定期组织各医疗机构的管理人员、医生、护士做系统的新功能点培训，确定培训日期、时间、地点；</w:t>
      </w:r>
    </w:p>
    <w:p w14:paraId="3F0C1526">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培训过程中，对经常运用到的复杂功能、操作流程做系统演示，并现场一对一辅导业务人员具体流程操作步骤；</w:t>
      </w:r>
    </w:p>
    <w:p w14:paraId="6CE4DD9B">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培训后，收集不同业务角色人员提出的问题，记录并反馈，形成整改意见；</w:t>
      </w:r>
    </w:p>
    <w:p w14:paraId="37456AD9">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培训中的培训记录、培训签到表、培训考核表备份保存，并提交给卫健局人员盖章、存档。</w:t>
      </w:r>
    </w:p>
    <w:p w14:paraId="2DE49BC6">
      <w:pPr>
        <w:widowControl/>
        <w:numPr>
          <w:ilvl w:val="0"/>
          <w:numId w:val="3"/>
        </w:numPr>
        <w:adjustRightInd w:val="0"/>
        <w:spacing w:before="120" w:after="120" w:line="360" w:lineRule="auto"/>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常见问题汇编通报</w:t>
      </w:r>
    </w:p>
    <w:p w14:paraId="151BF726">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供应商需每季度会进行一次常见问题汇编，对这些问题进行统一解答，并且进行通报，可以及时全面的解决问题。</w:t>
      </w:r>
      <w:bookmarkEnd w:id="42"/>
    </w:p>
    <w:p w14:paraId="2D995F0B">
      <w:pPr>
        <w:keepNext/>
        <w:keepLines/>
        <w:tabs>
          <w:tab w:val="left" w:pos="900"/>
        </w:tabs>
        <w:adjustRightInd w:val="0"/>
        <w:spacing w:before="260" w:after="260" w:line="416"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2.4.4便民服务应用（</w:t>
      </w:r>
      <w:r>
        <w:rPr>
          <w:rFonts w:hint="eastAsia" w:ascii="仿宋" w:hAnsi="仿宋" w:eastAsia="仿宋" w:cs="Times New Roman"/>
          <w:b/>
          <w:bCs/>
          <w:color w:val="auto"/>
          <w:kern w:val="0"/>
          <w:sz w:val="24"/>
          <w:szCs w:val="32"/>
          <w:highlight w:val="none"/>
        </w:rPr>
        <w:t>统一支付平台）</w:t>
      </w:r>
    </w:p>
    <w:p w14:paraId="5F1E9181">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1.日常系统维护</w:t>
      </w:r>
    </w:p>
    <w:p w14:paraId="1D69A091">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主要包括：系统本身bug的修改，参数的配置、报表的添加以及常规问题的解决；</w:t>
      </w:r>
    </w:p>
    <w:p w14:paraId="711C1110">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2.垃圾数据的清理</w:t>
      </w:r>
    </w:p>
    <w:p w14:paraId="0C2C6EEB">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供应商需对垃圾数据将定期清理，以充分保证系统运行的快捷和稳定。</w:t>
      </w:r>
    </w:p>
    <w:p w14:paraId="39823D8B">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3.数据备份服务</w:t>
      </w:r>
    </w:p>
    <w:p w14:paraId="4B33413C">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供应商需提供数据的备份服务，比如异地备份等服务以及其他新技术备份服务的使用等，随时提供。</w:t>
      </w:r>
    </w:p>
    <w:p w14:paraId="2B39CD1E">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4.新需求的响应</w:t>
      </w:r>
    </w:p>
    <w:p w14:paraId="5949B8D0">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供应商需在规定的时间内响应需求，包括：新需求的受理或不受理以及原因的回答和其他解决方案的回答。</w:t>
      </w:r>
    </w:p>
    <w:p w14:paraId="1814C98A">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5.服务方式</w:t>
      </w:r>
    </w:p>
    <w:p w14:paraId="40AAAFA9">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供应商需提供7天*24小时服务、上门服务、电话咨询服务。</w:t>
      </w:r>
    </w:p>
    <w:p w14:paraId="606270FE">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6.重大技术问题处理</w:t>
      </w:r>
    </w:p>
    <w:p w14:paraId="5C17ACDA">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供应商需对于系统在运行过程中发生的重大技术问题，组织相关技术支持部门及时协调组织技术专家小组进行会议沟通，个案分析，以确保系统的及时正常运行。</w:t>
      </w:r>
    </w:p>
    <w:p w14:paraId="7CE4E49C">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7.回访医院</w:t>
      </w:r>
    </w:p>
    <w:p w14:paraId="1485201F">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对科室人员提出的问题，做现场检查，并做系统操作演示，若出现难以现场解决的问题，着重标记，反馈给开发、测试人员，做问题处理跟踪；</w:t>
      </w:r>
    </w:p>
    <w:p w14:paraId="1F02A3DC">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各科室回访后，将回访记录和问题，向医院院长汇报，当场形成回访报告，由医院领导签字、存储，备份带回。</w:t>
      </w:r>
    </w:p>
    <w:p w14:paraId="2C092B78">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8.辅助服务</w:t>
      </w:r>
    </w:p>
    <w:p w14:paraId="20EE9F97">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集中问题培训</w:t>
      </w:r>
    </w:p>
    <w:p w14:paraId="7FC91B7B">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供应商需按现场实际每季度可提供一次集中问题培训，提高业务人员的工作效率，提高系统的利用度，提供培训资料。</w:t>
      </w:r>
    </w:p>
    <w:p w14:paraId="096CF3C5">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运维人员不定期组织各医疗机构的管理人员、医生、护士做系统的新功能点培训，确定培训日期、时间、地点；</w:t>
      </w:r>
    </w:p>
    <w:p w14:paraId="3E9825B4">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培训过程中，对经常运用到的复杂功能、操作流程做系统演示，并现场一对一辅导业务人员具体流程操作步骤；</w:t>
      </w:r>
    </w:p>
    <w:p w14:paraId="009E6A90">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培训后，收集不同业务角色人员提出的问题，记录并反馈，形成整改意见；</w:t>
      </w:r>
    </w:p>
    <w:p w14:paraId="120D2E79">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培训中的培训记录、培训签到表、培训考核表备份保存，并提交给卫健委人员盖章、存档。</w:t>
      </w:r>
    </w:p>
    <w:p w14:paraId="4A241142">
      <w:pPr>
        <w:widowControl/>
        <w:adjustRightInd w:val="0"/>
        <w:spacing w:before="120" w:line="360" w:lineRule="auto"/>
        <w:ind w:firstLine="48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常见问题汇编通报</w:t>
      </w:r>
    </w:p>
    <w:p w14:paraId="2C870FF8">
      <w:pPr>
        <w:widowControl/>
        <w:adjustRightInd w:val="0"/>
        <w:spacing w:before="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供应商需每季度会进行一次常见问题汇编，对这些问题进行统一解答，并且进行通报，可以及时全面的解决问题。</w:t>
      </w:r>
    </w:p>
    <w:p w14:paraId="5E09C0FC">
      <w:pPr>
        <w:keepNext/>
        <w:keepLines/>
        <w:spacing w:before="260" w:after="260" w:line="360" w:lineRule="auto"/>
        <w:outlineLvl w:val="1"/>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2.5其他应用要求</w:t>
      </w:r>
    </w:p>
    <w:p w14:paraId="216A095F">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2.5.1局内网系统</w:t>
      </w:r>
    </w:p>
    <w:p w14:paraId="39F00557">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ab/>
      </w:r>
      <w:r>
        <w:rPr>
          <w:rFonts w:ascii="仿宋" w:hAnsi="仿宋" w:eastAsia="仿宋" w:cs="Times New Roman"/>
          <w:color w:val="auto"/>
          <w:kern w:val="0"/>
          <w:sz w:val="24"/>
          <w:szCs w:val="24"/>
          <w:highlight w:val="none"/>
        </w:rPr>
        <w:t>1.在服务周期内，乙方确保甲方网站功能正常、稳定运行，对甲方网站存在或发生的技术故障及时有效解决</w:t>
      </w:r>
    </w:p>
    <w:p w14:paraId="5ACE0C77">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2.乙方负责甲方的网站运行维护以及其它技术问题指导.</w:t>
      </w:r>
    </w:p>
    <w:p w14:paraId="3AC1C57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3.官网的数据文件定期备份，每个星期一次，保留最近一个月数据。</w:t>
      </w:r>
    </w:p>
    <w:p w14:paraId="03D4749C">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4.对标准服务内容之外的功能模块设计开发，由甲乙双方另行协商，并支付相关费用。</w:t>
      </w:r>
    </w:p>
    <w:p w14:paraId="268C7B95">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2.5.2数据全量备份（采集）</w:t>
      </w:r>
    </w:p>
    <w:p w14:paraId="5561ED68">
      <w:pPr>
        <w:widowControl/>
        <w:spacing w:before="120" w:after="120" w:line="360" w:lineRule="auto"/>
        <w:ind w:firstLine="482" w:firstLineChars="200"/>
        <w:jc w:val="left"/>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1.预防性定期巡检服务</w:t>
      </w:r>
    </w:p>
    <w:p w14:paraId="2000A9BC">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以数据同步软件作为巡检对象，将柯桥区卫健局下属四家区级医院业务系统（</w:t>
      </w:r>
      <w:r>
        <w:rPr>
          <w:rFonts w:ascii="仿宋" w:hAnsi="仿宋" w:eastAsia="仿宋" w:cs="Times New Roman"/>
          <w:color w:val="auto"/>
          <w:kern w:val="0"/>
          <w:sz w:val="24"/>
          <w:szCs w:val="24"/>
          <w:highlight w:val="none"/>
        </w:rPr>
        <w:t>HIS、LIS、EMR和体检）数据同步到数据中心仓库，对数据同步任务进行定期的完整检查，检查服务器，数据库，还有同步是否正常，保障数据中心的数据同步稳定，准确。数据同步运维需要详细了解当前各医院的架构体系，数据流转方向，定期对给医院所有业务进行巡检。</w:t>
      </w:r>
    </w:p>
    <w:p w14:paraId="40FC400C">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主要巡检工作内容如下：</w:t>
      </w:r>
    </w:p>
    <w:p w14:paraId="3249A70F">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ab/>
      </w:r>
      <w:r>
        <w:rPr>
          <w:rFonts w:ascii="仿宋" w:hAnsi="仿宋" w:eastAsia="仿宋" w:cs="Times New Roman"/>
          <w:color w:val="auto"/>
          <w:kern w:val="0"/>
          <w:sz w:val="24"/>
          <w:szCs w:val="24"/>
          <w:highlight w:val="none"/>
        </w:rPr>
        <w:t>针对ETL服务器，查看服务器的性能情况，磁盘使用情况。</w:t>
      </w:r>
    </w:p>
    <w:p w14:paraId="556F64F9">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针对数据同步软件，查看每个数据流的运行情况，查看运行日志。</w:t>
      </w:r>
    </w:p>
    <w:p w14:paraId="2E32ACF8">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检查告警是否正常。（非常重要，告警是我们提前知道问题解决问题的重要途径）</w:t>
      </w:r>
    </w:p>
    <w:p w14:paraId="1A2F5E31">
      <w:pPr>
        <w:widowControl/>
        <w:spacing w:before="120" w:after="120" w:line="360" w:lineRule="auto"/>
        <w:ind w:firstLine="482" w:firstLineChars="200"/>
        <w:jc w:val="left"/>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2.远程咨询服务</w:t>
      </w:r>
    </w:p>
    <w:p w14:paraId="73A15118">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以数据同步软件作为咨询对象，将柯桥区卫健局下属四家区级医院业务系统（</w:t>
      </w:r>
      <w:r>
        <w:rPr>
          <w:rFonts w:ascii="仿宋" w:hAnsi="仿宋" w:eastAsia="仿宋" w:cs="Times New Roman"/>
          <w:color w:val="auto"/>
          <w:kern w:val="0"/>
          <w:sz w:val="24"/>
          <w:szCs w:val="24"/>
          <w:highlight w:val="none"/>
        </w:rPr>
        <w:t>HIS、LIS、EMR和体检）数据同步构成数据中心仓，对甲方提出的问题，进行电话，微信或邮件的问题解答，确保甲方的问题得到第一时间的解答。</w:t>
      </w:r>
    </w:p>
    <w:p w14:paraId="53B08B51">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数据同步运维是相对复杂的工作，需要使用很多技术（包括数据库，</w:t>
      </w:r>
      <w:r>
        <w:rPr>
          <w:rFonts w:ascii="仿宋" w:hAnsi="仿宋" w:eastAsia="仿宋" w:cs="Times New Roman"/>
          <w:color w:val="auto"/>
          <w:kern w:val="0"/>
          <w:sz w:val="24"/>
          <w:szCs w:val="24"/>
          <w:highlight w:val="none"/>
        </w:rPr>
        <w:t>ETL，网络，服务器，还有同步工具和大数据平台），当柯桥区卫健局在遇到数据同步问题无法定位时，要求第一时间可以联系到运维的工程师，如运维工程</w:t>
      </w:r>
      <w:r>
        <w:rPr>
          <w:rFonts w:hint="eastAsia" w:ascii="仿宋" w:hAnsi="仿宋" w:eastAsia="仿宋" w:cs="Times New Roman"/>
          <w:color w:val="auto"/>
          <w:kern w:val="0"/>
          <w:sz w:val="24"/>
          <w:szCs w:val="24"/>
          <w:highlight w:val="none"/>
        </w:rPr>
        <w:t>师</w:t>
      </w:r>
      <w:r>
        <w:rPr>
          <w:rFonts w:ascii="仿宋" w:hAnsi="仿宋" w:eastAsia="仿宋" w:cs="Times New Roman"/>
          <w:color w:val="auto"/>
          <w:kern w:val="0"/>
          <w:sz w:val="24"/>
          <w:szCs w:val="24"/>
          <w:highlight w:val="none"/>
        </w:rPr>
        <w:t>解答不了，运维主管需要第一时间进</w:t>
      </w:r>
      <w:r>
        <w:rPr>
          <w:rFonts w:hint="eastAsia" w:ascii="仿宋" w:hAnsi="仿宋" w:eastAsia="仿宋" w:cs="Times New Roman"/>
          <w:color w:val="auto"/>
          <w:kern w:val="0"/>
          <w:sz w:val="24"/>
          <w:szCs w:val="24"/>
          <w:highlight w:val="none"/>
        </w:rPr>
        <w:t>行</w:t>
      </w:r>
      <w:r>
        <w:rPr>
          <w:rFonts w:ascii="仿宋" w:hAnsi="仿宋" w:eastAsia="仿宋" w:cs="Times New Roman"/>
          <w:color w:val="auto"/>
          <w:kern w:val="0"/>
          <w:sz w:val="24"/>
          <w:szCs w:val="24"/>
          <w:highlight w:val="none"/>
        </w:rPr>
        <w:t>远程服务，确保问题得到第一时间的解答，要求提供7X24的远程咨询服务。</w:t>
      </w:r>
    </w:p>
    <w:p w14:paraId="31C7AC54">
      <w:pPr>
        <w:widowControl/>
        <w:spacing w:before="120" w:after="120" w:line="360" w:lineRule="auto"/>
        <w:ind w:firstLine="482" w:firstLineChars="200"/>
        <w:jc w:val="left"/>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3.高级远程应急技术支持服务</w:t>
      </w:r>
    </w:p>
    <w:p w14:paraId="0357F1C6">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以数据同步软件为应急支持对象，将柯桥区卫健局下属四家区级医院业务系统（</w:t>
      </w:r>
      <w:r>
        <w:rPr>
          <w:rFonts w:ascii="仿宋" w:hAnsi="仿宋" w:eastAsia="仿宋" w:cs="Times New Roman"/>
          <w:color w:val="auto"/>
          <w:kern w:val="0"/>
          <w:sz w:val="24"/>
          <w:szCs w:val="24"/>
          <w:highlight w:val="none"/>
        </w:rPr>
        <w:t>HIS、LIS、EMR和体检）数据同步构成数据中心仓，当数据同步软件出现紧急故障情况时，如数据流程中断、源端生产库锁表、生产库XML文件无法插入、数据中心数据插入慢、数据同步软件无法登入、数据支撑平台授权到期、数据同步软件本身的BUG等，要求运维方提供应急保障技术支持，协助快速定位问题，解决问题。当运维方在针对性能出现严重瓶颈，无法解决等问题时，要求运维费高级运维工程师和数据库DBA专家第一时间介入进行分析，协助解决数据同步的问题，确保数据流的</w:t>
      </w:r>
      <w:r>
        <w:rPr>
          <w:rFonts w:hint="eastAsia" w:ascii="仿宋" w:hAnsi="仿宋" w:eastAsia="仿宋" w:cs="Times New Roman"/>
          <w:color w:val="auto"/>
          <w:kern w:val="0"/>
          <w:sz w:val="24"/>
          <w:szCs w:val="24"/>
          <w:highlight w:val="none"/>
        </w:rPr>
        <w:t>稳定。</w:t>
      </w:r>
    </w:p>
    <w:p w14:paraId="4C5DA24A">
      <w:pPr>
        <w:widowControl/>
        <w:spacing w:before="120" w:after="120" w:line="360" w:lineRule="auto"/>
        <w:ind w:firstLine="482" w:firstLineChars="200"/>
        <w:jc w:val="left"/>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4.高级客户管理服务</w:t>
      </w:r>
    </w:p>
    <w:p w14:paraId="64BDB60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要求运维方按照要求建立柯桥区卫健局客户关系管理文档、客户关系维护、定期的客户拜访和客户的服务满意度调查。其中客户关系管理文档需要详细介绍本项目的内容以及对应的负责人，以便于甲方可以全面了解柯桥区卫健局下属四家区级医院的数据同步业务，同时要求通过文档可以第一时间联系到相应的运维工程师。</w:t>
      </w:r>
    </w:p>
    <w:p w14:paraId="3825C39F">
      <w:pPr>
        <w:widowControl/>
        <w:spacing w:before="120" w:after="120" w:line="360" w:lineRule="auto"/>
        <w:ind w:firstLine="482" w:firstLineChars="200"/>
        <w:jc w:val="left"/>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5.数据同步告警主动响应服务</w:t>
      </w:r>
    </w:p>
    <w:p w14:paraId="398DF339">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以数据同步软件作为服务对象，在有数据同步告警的前提下，要求运维工程师第一时间登入甲方的环境，检查并定位问题，且在第一时间修复以保证数据中断的时间最小化。要求运维方提供</w:t>
      </w:r>
      <w:r>
        <w:rPr>
          <w:rFonts w:ascii="仿宋" w:hAnsi="仿宋" w:eastAsia="仿宋" w:cs="Times New Roman"/>
          <w:color w:val="auto"/>
          <w:kern w:val="0"/>
          <w:sz w:val="24"/>
          <w:szCs w:val="24"/>
          <w:highlight w:val="none"/>
        </w:rPr>
        <w:t>7X24的告警处理，确保告警处理的时效性。</w:t>
      </w:r>
    </w:p>
    <w:p w14:paraId="3A801AFA">
      <w:pPr>
        <w:widowControl/>
        <w:spacing w:before="120" w:after="120" w:line="360" w:lineRule="auto"/>
        <w:ind w:firstLine="482" w:firstLineChars="200"/>
        <w:jc w:val="left"/>
        <w:rPr>
          <w:rFonts w:hint="eastAsia" w:ascii="仿宋" w:hAnsi="仿宋" w:eastAsia="仿宋" w:cs="Times New Roman"/>
          <w:b/>
          <w:bCs/>
          <w:color w:val="auto"/>
          <w:kern w:val="0"/>
          <w:sz w:val="24"/>
          <w:szCs w:val="24"/>
          <w:highlight w:val="none"/>
        </w:rPr>
      </w:pPr>
      <w:r>
        <w:rPr>
          <w:rFonts w:hint="eastAsia" w:ascii="仿宋" w:hAnsi="仿宋" w:eastAsia="仿宋" w:cs="Times New Roman"/>
          <w:b/>
          <w:bCs/>
          <w:color w:val="auto"/>
          <w:kern w:val="0"/>
          <w:sz w:val="24"/>
          <w:szCs w:val="24"/>
          <w:highlight w:val="none"/>
        </w:rPr>
        <w:t>6.数据同步软件版本的升级迭代服务</w:t>
      </w:r>
    </w:p>
    <w:p w14:paraId="0A48FA91">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以数据同步软件作为升级对象，当老版本无法满足柯桥区卫健局的要求，或出现同步问题且无法修复，或老版本存在不稳定因素。要求运维方升级大数据同步软件版本，确保柯桥区卫健局下属四家区级医院的数据同步任务正常稳定运行。</w:t>
      </w:r>
    </w:p>
    <w:p w14:paraId="65FA8D81">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升级主要包含以下内容：</w:t>
      </w:r>
    </w:p>
    <w:p w14:paraId="1619A5D5">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沟通需要升级的产品和业务，以及升级涉及到的服务器信息，还有升级会带来的影响。</w:t>
      </w:r>
    </w:p>
    <w:p w14:paraId="56BFC773">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安装最新的产品并配置对应的数据流程。</w:t>
      </w:r>
    </w:p>
    <w:p w14:paraId="176CC462">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完成数据的全量和增量业务。</w:t>
      </w:r>
    </w:p>
    <w:p w14:paraId="5CBF0586">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ascii="仿宋" w:hAnsi="仿宋" w:eastAsia="仿宋" w:cs="Times New Roman"/>
          <w:color w:val="auto"/>
          <w:kern w:val="0"/>
          <w:sz w:val="24"/>
          <w:szCs w:val="24"/>
          <w:highlight w:val="none"/>
        </w:rPr>
        <w:t>对数据质量进行检查，确保客户下游使用正常。</w:t>
      </w:r>
    </w:p>
    <w:p w14:paraId="43BDD343">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7.数据质量分析服务</w:t>
      </w:r>
    </w:p>
    <w:p w14:paraId="49AB8AE6">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以数据同步软件作为分析对象，要求运维方对运维范围内所有</w:t>
      </w:r>
      <w:r>
        <w:rPr>
          <w:rFonts w:ascii="仿宋" w:hAnsi="仿宋" w:eastAsia="仿宋" w:cs="Times New Roman"/>
          <w:color w:val="auto"/>
          <w:kern w:val="0"/>
          <w:sz w:val="24"/>
          <w:szCs w:val="24"/>
          <w:highlight w:val="none"/>
        </w:rPr>
        <w:t>ETL工具或者同步到数据中心的数据进行定期的数据质量检查，对不准确的数据进行深入的分析，并修改造成数据不一致的BUG,确保数据的完整性和一致性。</w:t>
      </w:r>
    </w:p>
    <w:p w14:paraId="4D3A1310">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8.数据业务修改服务</w:t>
      </w:r>
    </w:p>
    <w:p w14:paraId="22BEACD9">
      <w:pPr>
        <w:widowControl/>
        <w:spacing w:before="120" w:after="120" w:line="360" w:lineRule="auto"/>
        <w:ind w:firstLine="480" w:firstLineChars="200"/>
        <w:jc w:val="left"/>
        <w:rPr>
          <w:rFonts w:hint="eastAsia" w:ascii="仿宋" w:hAnsi="仿宋" w:eastAsia="仿宋" w:cs="Times New Roman"/>
          <w:color w:val="auto"/>
          <w:kern w:val="0"/>
          <w:sz w:val="24"/>
          <w:szCs w:val="24"/>
          <w:highlight w:val="none"/>
        </w:rPr>
      </w:pPr>
      <w:r>
        <w:rPr>
          <w:rFonts w:hint="eastAsia" w:ascii="仿宋" w:hAnsi="仿宋" w:eastAsia="仿宋" w:cs="Times New Roman"/>
          <w:color w:val="auto"/>
          <w:kern w:val="0"/>
          <w:sz w:val="24"/>
          <w:szCs w:val="24"/>
          <w:highlight w:val="none"/>
        </w:rPr>
        <w:t>因绍兴第二医院</w:t>
      </w:r>
      <w:r>
        <w:rPr>
          <w:rFonts w:ascii="仿宋" w:hAnsi="仿宋" w:eastAsia="仿宋" w:cs="Times New Roman"/>
          <w:color w:val="auto"/>
          <w:kern w:val="0"/>
          <w:sz w:val="24"/>
          <w:szCs w:val="24"/>
          <w:highlight w:val="none"/>
        </w:rPr>
        <w:t>HIS系统升级迭代，要求重新配置HIS系统数据同步任务，并进行数据业务逻辑的修改和优化。</w:t>
      </w:r>
    </w:p>
    <w:p w14:paraId="3913DF8E">
      <w:pPr>
        <w:keepNext/>
        <w:keepLines/>
        <w:spacing w:before="260" w:after="260" w:line="360" w:lineRule="auto"/>
        <w:outlineLvl w:val="1"/>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2.6硬件集成维护服务内容要求</w:t>
      </w:r>
    </w:p>
    <w:p w14:paraId="2477577B">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2.6.1信息资产统计服务</w:t>
      </w:r>
    </w:p>
    <w:p w14:paraId="2A8BBEA8">
      <w:pPr>
        <w:numPr>
          <w:ilvl w:val="0"/>
          <w:numId w:val="4"/>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对服务范围内业务服务器设备型号、配置、系统版本、业务用途等信息统计记录</w:t>
      </w:r>
    </w:p>
    <w:p w14:paraId="7F61D981">
      <w:pPr>
        <w:numPr>
          <w:ilvl w:val="0"/>
          <w:numId w:val="4"/>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对服务范围内软件产品型号、版本和补丁等信息统计记录</w:t>
      </w:r>
      <w:r>
        <w:rPr>
          <w:rFonts w:ascii="仿宋" w:hAnsi="仿宋" w:eastAsia="仿宋" w:cs="Times New Roman"/>
          <w:color w:val="auto"/>
          <w:sz w:val="24"/>
          <w:szCs w:val="24"/>
          <w:highlight w:val="none"/>
        </w:rPr>
        <w:tab/>
      </w:r>
    </w:p>
    <w:p w14:paraId="4C657008">
      <w:pPr>
        <w:numPr>
          <w:ilvl w:val="0"/>
          <w:numId w:val="4"/>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对服务范围内设备提供互连拓扑图，容灾架构图</w:t>
      </w:r>
    </w:p>
    <w:p w14:paraId="553080E8">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2.6.2服务器存储系统检查服务</w:t>
      </w:r>
      <w:r>
        <w:rPr>
          <w:rFonts w:ascii="仿宋" w:hAnsi="仿宋" w:eastAsia="仿宋" w:cs="Times New Roman"/>
          <w:b/>
          <w:bCs/>
          <w:color w:val="auto"/>
          <w:sz w:val="24"/>
          <w:szCs w:val="24"/>
          <w:highlight w:val="none"/>
        </w:rPr>
        <w:tab/>
      </w:r>
    </w:p>
    <w:p w14:paraId="098D501F">
      <w:pPr>
        <w:numPr>
          <w:ilvl w:val="0"/>
          <w:numId w:val="5"/>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场地环境检查</w:t>
      </w:r>
      <w:r>
        <w:rPr>
          <w:rFonts w:ascii="仿宋" w:hAnsi="仿宋" w:eastAsia="仿宋" w:cs="Times New Roman"/>
          <w:color w:val="auto"/>
          <w:sz w:val="24"/>
          <w:szCs w:val="24"/>
          <w:highlight w:val="none"/>
        </w:rPr>
        <w:tab/>
      </w:r>
    </w:p>
    <w:p w14:paraId="13904028">
      <w:pPr>
        <w:numPr>
          <w:ilvl w:val="0"/>
          <w:numId w:val="5"/>
        </w:numPr>
        <w:adjustRightIn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系统日志检查</w:t>
      </w:r>
      <w:r>
        <w:rPr>
          <w:rFonts w:ascii="仿宋" w:hAnsi="仿宋" w:eastAsia="仿宋" w:cs="Times New Roman"/>
          <w:color w:val="auto"/>
          <w:sz w:val="24"/>
          <w:szCs w:val="24"/>
          <w:highlight w:val="none"/>
        </w:rPr>
        <w:tab/>
      </w:r>
    </w:p>
    <w:p w14:paraId="3D38ABB3">
      <w:pPr>
        <w:numPr>
          <w:ilvl w:val="0"/>
          <w:numId w:val="5"/>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虚拟化及集群检查</w:t>
      </w:r>
      <w:r>
        <w:rPr>
          <w:rFonts w:ascii="仿宋" w:hAnsi="仿宋" w:eastAsia="仿宋" w:cs="Times New Roman"/>
          <w:color w:val="auto"/>
          <w:sz w:val="24"/>
          <w:szCs w:val="24"/>
          <w:highlight w:val="none"/>
        </w:rPr>
        <w:tab/>
      </w:r>
    </w:p>
    <w:p w14:paraId="2C1128DC">
      <w:pPr>
        <w:numPr>
          <w:ilvl w:val="0"/>
          <w:numId w:val="5"/>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存储外设检查</w:t>
      </w:r>
      <w:r>
        <w:rPr>
          <w:rFonts w:ascii="仿宋" w:hAnsi="仿宋" w:eastAsia="仿宋" w:cs="Times New Roman"/>
          <w:color w:val="auto"/>
          <w:sz w:val="24"/>
          <w:szCs w:val="24"/>
          <w:highlight w:val="none"/>
        </w:rPr>
        <w:tab/>
      </w:r>
    </w:p>
    <w:p w14:paraId="35F98326">
      <w:pPr>
        <w:numPr>
          <w:ilvl w:val="0"/>
          <w:numId w:val="5"/>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系统配置检查</w:t>
      </w:r>
      <w:r>
        <w:rPr>
          <w:rFonts w:ascii="仿宋" w:hAnsi="仿宋" w:eastAsia="仿宋" w:cs="Times New Roman"/>
          <w:color w:val="auto"/>
          <w:sz w:val="24"/>
          <w:szCs w:val="24"/>
          <w:highlight w:val="none"/>
        </w:rPr>
        <w:tab/>
      </w:r>
    </w:p>
    <w:p w14:paraId="47E8B003">
      <w:pPr>
        <w:numPr>
          <w:ilvl w:val="0"/>
          <w:numId w:val="5"/>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系统备份检查</w:t>
      </w:r>
      <w:r>
        <w:rPr>
          <w:rFonts w:ascii="仿宋" w:hAnsi="仿宋" w:eastAsia="仿宋" w:cs="Times New Roman"/>
          <w:color w:val="auto"/>
          <w:sz w:val="24"/>
          <w:szCs w:val="24"/>
          <w:highlight w:val="none"/>
        </w:rPr>
        <w:tab/>
      </w:r>
    </w:p>
    <w:p w14:paraId="30E0D8C1">
      <w:pPr>
        <w:numPr>
          <w:ilvl w:val="0"/>
          <w:numId w:val="5"/>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系统运行状况分析</w:t>
      </w:r>
      <w:r>
        <w:rPr>
          <w:rFonts w:ascii="仿宋" w:hAnsi="仿宋" w:eastAsia="仿宋" w:cs="Times New Roman"/>
          <w:color w:val="auto"/>
          <w:sz w:val="24"/>
          <w:szCs w:val="24"/>
          <w:highlight w:val="none"/>
        </w:rPr>
        <w:tab/>
      </w:r>
    </w:p>
    <w:p w14:paraId="1C8582E4">
      <w:pPr>
        <w:numPr>
          <w:ilvl w:val="0"/>
          <w:numId w:val="5"/>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数据转储处理</w:t>
      </w:r>
      <w:r>
        <w:rPr>
          <w:rFonts w:ascii="仿宋" w:hAnsi="仿宋" w:eastAsia="仿宋" w:cs="Times New Roman"/>
          <w:color w:val="auto"/>
          <w:sz w:val="24"/>
          <w:szCs w:val="24"/>
          <w:highlight w:val="none"/>
        </w:rPr>
        <w:tab/>
      </w:r>
    </w:p>
    <w:p w14:paraId="5E702C34">
      <w:pPr>
        <w:numPr>
          <w:ilvl w:val="0"/>
          <w:numId w:val="5"/>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运行状况的简要分析，进行必要的启停等日常维护操作</w:t>
      </w:r>
      <w:r>
        <w:rPr>
          <w:rFonts w:ascii="仿宋" w:hAnsi="仿宋" w:eastAsia="仿宋" w:cs="Times New Roman"/>
          <w:color w:val="auto"/>
          <w:sz w:val="24"/>
          <w:szCs w:val="24"/>
          <w:highlight w:val="none"/>
        </w:rPr>
        <w:tab/>
      </w:r>
    </w:p>
    <w:p w14:paraId="4AE5D1F5">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2.6.3网络及安全设备服务</w:t>
      </w:r>
    </w:p>
    <w:p w14:paraId="51A527E5">
      <w:pPr>
        <w:numPr>
          <w:ilvl w:val="0"/>
          <w:numId w:val="6"/>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网络及安全设备运行状态检查</w:t>
      </w:r>
    </w:p>
    <w:p w14:paraId="051681FF">
      <w:pPr>
        <w:numPr>
          <w:ilvl w:val="0"/>
          <w:numId w:val="6"/>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网络及安全故障检测、故障判断以及系统故障解决</w:t>
      </w:r>
    </w:p>
    <w:p w14:paraId="40B9903C">
      <w:pPr>
        <w:numPr>
          <w:ilvl w:val="0"/>
          <w:numId w:val="6"/>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网络及安全的配置管理，包括配置的变更，配置备份与恢复</w:t>
      </w:r>
      <w:r>
        <w:rPr>
          <w:rFonts w:ascii="仿宋" w:hAnsi="仿宋" w:eastAsia="仿宋" w:cs="Times New Roman"/>
          <w:color w:val="auto"/>
          <w:sz w:val="24"/>
          <w:szCs w:val="24"/>
          <w:highlight w:val="none"/>
        </w:rPr>
        <w:tab/>
      </w:r>
    </w:p>
    <w:p w14:paraId="78813FF2">
      <w:pPr>
        <w:numPr>
          <w:ilvl w:val="0"/>
          <w:numId w:val="6"/>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评估网络整体运行和安全情况，提出优化和整改建议</w:t>
      </w:r>
    </w:p>
    <w:p w14:paraId="49BD9643">
      <w:pPr>
        <w:numPr>
          <w:ilvl w:val="0"/>
          <w:numId w:val="6"/>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其他相关问题技术咨询和支持</w:t>
      </w:r>
    </w:p>
    <w:p w14:paraId="5798E20F">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2.6.4操作系统检查服务</w:t>
      </w:r>
    </w:p>
    <w:p w14:paraId="7E5769B7">
      <w:pPr>
        <w:numPr>
          <w:ilvl w:val="0"/>
          <w:numId w:val="7"/>
        </w:numPr>
        <w:adjustRightInd w:val="0"/>
        <w:spacing w:line="360" w:lineRule="auto"/>
        <w:ind w:left="0" w:firstLine="420" w:firstLineChars="175"/>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根据应用的需求和系统软件的需求，检查系统软件补丁安装情况</w:t>
      </w:r>
      <w:r>
        <w:rPr>
          <w:rFonts w:hint="eastAsia" w:ascii="仿宋" w:hAnsi="仿宋" w:eastAsia="仿宋" w:cs="Times New Roman"/>
          <w:color w:val="auto"/>
          <w:sz w:val="24"/>
          <w:szCs w:val="24"/>
          <w:highlight w:val="none"/>
        </w:rPr>
        <w:t>根据平时收集的数据，对系统的</w:t>
      </w:r>
      <w:r>
        <w:rPr>
          <w:rFonts w:ascii="仿宋" w:hAnsi="仿宋" w:eastAsia="仿宋" w:cs="Times New Roman"/>
          <w:color w:val="auto"/>
          <w:sz w:val="24"/>
          <w:szCs w:val="24"/>
          <w:highlight w:val="none"/>
        </w:rPr>
        <w:t>CPU、内存、I/O资源的性能进行分析，做出负荷分析报告</w:t>
      </w:r>
      <w:r>
        <w:rPr>
          <w:rFonts w:hint="eastAsia" w:ascii="仿宋" w:hAnsi="仿宋" w:eastAsia="仿宋" w:cs="Times New Roman"/>
          <w:color w:val="auto"/>
          <w:sz w:val="24"/>
          <w:szCs w:val="24"/>
          <w:highlight w:val="none"/>
        </w:rPr>
        <w:t>。</w:t>
      </w:r>
    </w:p>
    <w:p w14:paraId="1376CB90">
      <w:pPr>
        <w:numPr>
          <w:ilvl w:val="0"/>
          <w:numId w:val="7"/>
        </w:numPr>
        <w:adjustRightInd w:val="0"/>
        <w:spacing w:line="360" w:lineRule="auto"/>
        <w:ind w:left="0" w:firstLine="42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根据用户的点检情况和主机系统的性能报告对主机系统参数、磁盘空间进行调整，对系统的性能进行优化</w:t>
      </w:r>
      <w:r>
        <w:rPr>
          <w:rFonts w:hint="eastAsia" w:ascii="仿宋" w:hAnsi="仿宋" w:eastAsia="仿宋" w:cs="Times New Roman"/>
          <w:color w:val="auto"/>
          <w:sz w:val="24"/>
          <w:szCs w:val="24"/>
          <w:highlight w:val="none"/>
        </w:rPr>
        <w:t>。</w:t>
      </w:r>
    </w:p>
    <w:p w14:paraId="3A810673">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检查备份策略的完整性，根据应用变动情况进行调整</w:t>
      </w:r>
      <w:r>
        <w:rPr>
          <w:rFonts w:hint="eastAsia" w:ascii="仿宋" w:hAnsi="仿宋" w:eastAsia="仿宋" w:cs="Times New Roman"/>
          <w:color w:val="auto"/>
          <w:sz w:val="24"/>
          <w:szCs w:val="24"/>
          <w:highlight w:val="none"/>
        </w:rPr>
        <w:t>。</w:t>
      </w:r>
    </w:p>
    <w:p w14:paraId="798118F0">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完善操作系统方面的点检操作规程</w:t>
      </w:r>
      <w:r>
        <w:rPr>
          <w:rFonts w:hint="eastAsia" w:ascii="仿宋" w:hAnsi="仿宋" w:eastAsia="仿宋" w:cs="Times New Roman"/>
          <w:color w:val="auto"/>
          <w:sz w:val="24"/>
          <w:szCs w:val="24"/>
          <w:highlight w:val="none"/>
        </w:rPr>
        <w:t>。</w:t>
      </w:r>
    </w:p>
    <w:p w14:paraId="4D245FC2">
      <w:pPr>
        <w:numPr>
          <w:ilvl w:val="0"/>
          <w:numId w:val="7"/>
        </w:numPr>
        <w:adjustRightInd w:val="0"/>
        <w:spacing w:line="360" w:lineRule="auto"/>
        <w:ind w:left="0" w:firstLine="42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数据库健康检查服务</w:t>
      </w:r>
      <w:r>
        <w:rPr>
          <w:rFonts w:ascii="仿宋" w:hAnsi="仿宋" w:eastAsia="仿宋" w:cs="Times New Roman"/>
          <w:color w:val="auto"/>
          <w:sz w:val="24"/>
          <w:szCs w:val="24"/>
          <w:highlight w:val="none"/>
        </w:rPr>
        <w:t>检查并分析系统日志及跟踪文件，发现并排除数据库系统错误隐患</w:t>
      </w:r>
      <w:r>
        <w:rPr>
          <w:rFonts w:hint="eastAsia" w:ascii="仿宋" w:hAnsi="仿宋" w:eastAsia="仿宋" w:cs="Times New Roman"/>
          <w:color w:val="auto"/>
          <w:sz w:val="24"/>
          <w:szCs w:val="24"/>
          <w:highlight w:val="none"/>
        </w:rPr>
        <w:t>。</w:t>
      </w:r>
    </w:p>
    <w:p w14:paraId="3A483703">
      <w:pPr>
        <w:numPr>
          <w:ilvl w:val="0"/>
          <w:numId w:val="7"/>
        </w:numPr>
        <w:adjustRightIn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检查数据库系统是否需要应用最新的补丁。</w:t>
      </w:r>
    </w:p>
    <w:p w14:paraId="7901D79F">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检查数据库空间的使用情况</w:t>
      </w:r>
      <w:r>
        <w:rPr>
          <w:rFonts w:hint="eastAsia" w:ascii="仿宋" w:hAnsi="仿宋" w:eastAsia="仿宋" w:cs="Times New Roman"/>
          <w:color w:val="auto"/>
          <w:sz w:val="24"/>
          <w:szCs w:val="24"/>
          <w:highlight w:val="none"/>
        </w:rPr>
        <w:t>。</w:t>
      </w:r>
    </w:p>
    <w:p w14:paraId="0F1E1776">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检查数据库备份的完整性</w:t>
      </w:r>
      <w:r>
        <w:rPr>
          <w:rFonts w:hint="eastAsia" w:ascii="仿宋" w:hAnsi="仿宋" w:eastAsia="仿宋" w:cs="Times New Roman"/>
          <w:color w:val="auto"/>
          <w:sz w:val="24"/>
          <w:szCs w:val="24"/>
          <w:highlight w:val="none"/>
        </w:rPr>
        <w:t>。</w:t>
      </w:r>
    </w:p>
    <w:p w14:paraId="55362944">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确认系统的资源</w:t>
      </w:r>
      <w:r>
        <w:rPr>
          <w:rFonts w:hint="eastAsia" w:ascii="仿宋" w:hAnsi="仿宋" w:eastAsia="仿宋" w:cs="Times New Roman"/>
          <w:color w:val="auto"/>
          <w:sz w:val="24"/>
          <w:szCs w:val="24"/>
          <w:highlight w:val="none"/>
        </w:rPr>
        <w:t>需求。</w:t>
      </w:r>
    </w:p>
    <w:p w14:paraId="01EA4201">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检查数据库应急环境</w:t>
      </w:r>
      <w:r>
        <w:rPr>
          <w:rFonts w:hint="eastAsia" w:ascii="仿宋" w:hAnsi="仿宋" w:eastAsia="仿宋" w:cs="Times New Roman"/>
          <w:color w:val="auto"/>
          <w:sz w:val="24"/>
          <w:szCs w:val="24"/>
          <w:highlight w:val="none"/>
        </w:rPr>
        <w:t>。</w:t>
      </w:r>
    </w:p>
    <w:p w14:paraId="6D260535">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业务数据库系统错误日志的审查</w:t>
      </w:r>
      <w:r>
        <w:rPr>
          <w:rFonts w:hint="eastAsia" w:ascii="仿宋" w:hAnsi="仿宋" w:eastAsia="仿宋" w:cs="Times New Roman"/>
          <w:color w:val="auto"/>
          <w:sz w:val="24"/>
          <w:szCs w:val="24"/>
          <w:highlight w:val="none"/>
        </w:rPr>
        <w:t>。</w:t>
      </w:r>
    </w:p>
    <w:p w14:paraId="650CECC8">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业务数据库连接数检查分析</w:t>
      </w:r>
      <w:r>
        <w:rPr>
          <w:rFonts w:hint="eastAsia" w:ascii="仿宋" w:hAnsi="仿宋" w:eastAsia="仿宋" w:cs="Times New Roman"/>
          <w:color w:val="auto"/>
          <w:sz w:val="24"/>
          <w:szCs w:val="24"/>
          <w:highlight w:val="none"/>
        </w:rPr>
        <w:t>。</w:t>
      </w:r>
    </w:p>
    <w:p w14:paraId="353D045C">
      <w:pPr>
        <w:numPr>
          <w:ilvl w:val="0"/>
          <w:numId w:val="7"/>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数据库初始化参数设置检查</w:t>
      </w:r>
      <w:r>
        <w:rPr>
          <w:rFonts w:ascii="仿宋" w:hAnsi="仿宋" w:eastAsia="仿宋" w:cs="Times New Roman"/>
          <w:color w:val="auto"/>
          <w:sz w:val="24"/>
          <w:szCs w:val="24"/>
          <w:highlight w:val="none"/>
        </w:rPr>
        <w:tab/>
      </w:r>
      <w:r>
        <w:rPr>
          <w:rFonts w:hint="eastAsia" w:ascii="仿宋" w:hAnsi="仿宋" w:eastAsia="仿宋" w:cs="Times New Roman"/>
          <w:color w:val="auto"/>
          <w:sz w:val="24"/>
          <w:szCs w:val="24"/>
          <w:highlight w:val="none"/>
        </w:rPr>
        <w:t>。</w:t>
      </w:r>
    </w:p>
    <w:p w14:paraId="4C988A8F">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2.6.5数据库优化服务</w:t>
      </w:r>
    </w:p>
    <w:p w14:paraId="60CCE361">
      <w:pPr>
        <w:numPr>
          <w:ilvl w:val="0"/>
          <w:numId w:val="8"/>
        </w:numPr>
        <w:adjustRightInd w:val="0"/>
        <w:spacing w:line="360" w:lineRule="auto"/>
        <w:ind w:left="0" w:firstLine="42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根据平时收集的数据，对系统的CPU、内存、I/O资源的性能进行分析，做出负荷分析报告</w:t>
      </w:r>
      <w:r>
        <w:rPr>
          <w:rFonts w:hint="eastAsia" w:ascii="仿宋" w:hAnsi="仿宋" w:eastAsia="仿宋" w:cs="Times New Roman"/>
          <w:color w:val="auto"/>
          <w:sz w:val="24"/>
          <w:szCs w:val="24"/>
          <w:highlight w:val="none"/>
        </w:rPr>
        <w:t>。</w:t>
      </w:r>
    </w:p>
    <w:p w14:paraId="09C504E6">
      <w:pPr>
        <w:numPr>
          <w:ilvl w:val="0"/>
          <w:numId w:val="8"/>
        </w:numPr>
        <w:adjustRightInd w:val="0"/>
        <w:spacing w:line="360" w:lineRule="auto"/>
        <w:ind w:left="0" w:firstLine="42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根据用户的点检情况和主机系统的性能报告对主机系统参数、磁盘空间进行调整，对系统的性能进行优化</w:t>
      </w:r>
      <w:r>
        <w:rPr>
          <w:rFonts w:hint="eastAsia" w:ascii="仿宋" w:hAnsi="仿宋" w:eastAsia="仿宋" w:cs="Times New Roman"/>
          <w:color w:val="auto"/>
          <w:sz w:val="24"/>
          <w:szCs w:val="24"/>
          <w:highlight w:val="none"/>
        </w:rPr>
        <w:t>。</w:t>
      </w:r>
    </w:p>
    <w:p w14:paraId="62299FA9">
      <w:pPr>
        <w:numPr>
          <w:ilvl w:val="0"/>
          <w:numId w:val="8"/>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数据库大小检查及对数据文件和日志文件进行收缩</w:t>
      </w:r>
      <w:r>
        <w:rPr>
          <w:rFonts w:hint="eastAsia" w:ascii="仿宋" w:hAnsi="仿宋" w:eastAsia="仿宋" w:cs="Times New Roman"/>
          <w:color w:val="auto"/>
          <w:sz w:val="24"/>
          <w:szCs w:val="24"/>
          <w:highlight w:val="none"/>
        </w:rPr>
        <w:t>。</w:t>
      </w:r>
    </w:p>
    <w:p w14:paraId="26336D7C">
      <w:pPr>
        <w:numPr>
          <w:ilvl w:val="0"/>
          <w:numId w:val="8"/>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业务数据库相关属性设置优化（数据文件个数、增长方式等</w:t>
      </w:r>
      <w:r>
        <w:rPr>
          <w:rFonts w:hint="eastAsia" w:ascii="仿宋" w:hAnsi="仿宋" w:eastAsia="仿宋" w:cs="Times New Roman"/>
          <w:color w:val="auto"/>
          <w:sz w:val="24"/>
          <w:szCs w:val="24"/>
          <w:highlight w:val="none"/>
        </w:rPr>
        <w:t>）。</w:t>
      </w:r>
    </w:p>
    <w:p w14:paraId="433582A6">
      <w:pPr>
        <w:numPr>
          <w:ilvl w:val="0"/>
          <w:numId w:val="8"/>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检查备份策略的完整性，根据应用变动情况进行调整</w:t>
      </w:r>
      <w:r>
        <w:rPr>
          <w:rFonts w:hint="eastAsia" w:ascii="仿宋" w:hAnsi="仿宋" w:eastAsia="仿宋" w:cs="Times New Roman"/>
          <w:color w:val="auto"/>
          <w:sz w:val="24"/>
          <w:szCs w:val="24"/>
          <w:highlight w:val="none"/>
        </w:rPr>
        <w:t>。</w:t>
      </w:r>
    </w:p>
    <w:p w14:paraId="33A30386">
      <w:pPr>
        <w:numPr>
          <w:ilvl w:val="0"/>
          <w:numId w:val="8"/>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定期检查配置情况，进行高可用性模拟切换测试</w:t>
      </w:r>
      <w:r>
        <w:rPr>
          <w:rFonts w:hint="eastAsia" w:ascii="仿宋" w:hAnsi="仿宋" w:eastAsia="仿宋" w:cs="Times New Roman"/>
          <w:color w:val="auto"/>
          <w:sz w:val="24"/>
          <w:szCs w:val="24"/>
          <w:highlight w:val="none"/>
        </w:rPr>
        <w:t>。</w:t>
      </w:r>
    </w:p>
    <w:p w14:paraId="0B2D9287">
      <w:pPr>
        <w:numPr>
          <w:ilvl w:val="0"/>
          <w:numId w:val="8"/>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进行数据库碎片整理、数据库表空间调整</w:t>
      </w:r>
      <w:r>
        <w:rPr>
          <w:rFonts w:hint="eastAsia" w:ascii="仿宋" w:hAnsi="仿宋" w:eastAsia="仿宋" w:cs="Times New Roman"/>
          <w:color w:val="auto"/>
          <w:sz w:val="24"/>
          <w:szCs w:val="24"/>
          <w:highlight w:val="none"/>
        </w:rPr>
        <w:t>。</w:t>
      </w:r>
    </w:p>
    <w:p w14:paraId="601E5C64">
      <w:pPr>
        <w:numPr>
          <w:ilvl w:val="0"/>
          <w:numId w:val="8"/>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针对应用软件特点对应用数据库定期优化和性能调整</w:t>
      </w:r>
      <w:r>
        <w:rPr>
          <w:rFonts w:hint="eastAsia" w:ascii="仿宋" w:hAnsi="仿宋" w:eastAsia="仿宋" w:cs="Times New Roman"/>
          <w:color w:val="auto"/>
          <w:sz w:val="24"/>
          <w:szCs w:val="24"/>
          <w:highlight w:val="none"/>
        </w:rPr>
        <w:t>。</w:t>
      </w:r>
    </w:p>
    <w:p w14:paraId="3559F729">
      <w:pPr>
        <w:numPr>
          <w:ilvl w:val="0"/>
          <w:numId w:val="8"/>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检查数据库备份程序的完整性，根据应用变动情况进行调整</w:t>
      </w:r>
      <w:r>
        <w:rPr>
          <w:rFonts w:ascii="仿宋" w:hAnsi="仿宋" w:eastAsia="仿宋" w:cs="Times New Roman"/>
          <w:color w:val="auto"/>
          <w:sz w:val="24"/>
          <w:szCs w:val="24"/>
          <w:highlight w:val="none"/>
        </w:rPr>
        <w:tab/>
      </w:r>
    </w:p>
    <w:p w14:paraId="68D2595F">
      <w:pPr>
        <w:numPr>
          <w:ilvl w:val="0"/>
          <w:numId w:val="8"/>
        </w:numPr>
        <w:adjustRightInd w:val="0"/>
        <w:spacing w:line="360" w:lineRule="auto"/>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完善数据库方面的点检操作规程</w:t>
      </w:r>
      <w:r>
        <w:rPr>
          <w:rFonts w:ascii="仿宋" w:hAnsi="仿宋" w:eastAsia="仿宋" w:cs="Times New Roman"/>
          <w:color w:val="auto"/>
          <w:sz w:val="24"/>
          <w:szCs w:val="24"/>
          <w:highlight w:val="none"/>
        </w:rPr>
        <w:tab/>
      </w:r>
    </w:p>
    <w:p w14:paraId="189F4C0C">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2.6.6等保复测加固服务</w:t>
      </w:r>
      <w:r>
        <w:rPr>
          <w:rFonts w:ascii="仿宋" w:hAnsi="仿宋" w:eastAsia="仿宋" w:cs="Times New Roman"/>
          <w:b/>
          <w:bCs/>
          <w:color w:val="auto"/>
          <w:sz w:val="24"/>
          <w:szCs w:val="24"/>
          <w:highlight w:val="none"/>
        </w:rPr>
        <w:tab/>
      </w:r>
    </w:p>
    <w:p w14:paraId="234DD378">
      <w:pPr>
        <w:numPr>
          <w:ilvl w:val="0"/>
          <w:numId w:val="9"/>
        </w:numPr>
        <w:adjustRightInd w:val="0"/>
        <w:spacing w:line="360" w:lineRule="auto"/>
        <w:ind w:hanging="2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根据等保复测的要求对操作系统及卫宁数据库提供补丁升级等加固服务</w:t>
      </w:r>
      <w:r>
        <w:rPr>
          <w:rFonts w:hint="eastAsia" w:ascii="仿宋" w:hAnsi="仿宋" w:eastAsia="仿宋" w:cs="Times New Roman"/>
          <w:color w:val="auto"/>
          <w:sz w:val="24"/>
          <w:szCs w:val="24"/>
          <w:highlight w:val="none"/>
        </w:rPr>
        <w:t>。</w:t>
      </w:r>
    </w:p>
    <w:p w14:paraId="0D04EE0E">
      <w:pPr>
        <w:numPr>
          <w:ilvl w:val="0"/>
          <w:numId w:val="9"/>
        </w:numPr>
        <w:adjustRightInd w:val="0"/>
        <w:spacing w:line="360" w:lineRule="auto"/>
        <w:ind w:hanging="2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根据等保复测的要求对网络及安全设备提供整改加固服务。</w:t>
      </w:r>
    </w:p>
    <w:p w14:paraId="18E536C3">
      <w:pPr>
        <w:keepNext/>
        <w:keepLines/>
        <w:tabs>
          <w:tab w:val="left" w:pos="900"/>
        </w:tabs>
        <w:adjustRightInd w:val="0"/>
        <w:spacing w:before="260" w:after="260" w:line="360" w:lineRule="auto"/>
        <w:outlineLvl w:val="2"/>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2.6.7其他服务</w:t>
      </w:r>
      <w:r>
        <w:rPr>
          <w:rFonts w:ascii="仿宋" w:hAnsi="仿宋" w:eastAsia="仿宋" w:cs="Times New Roman"/>
          <w:b/>
          <w:bCs/>
          <w:color w:val="auto"/>
          <w:sz w:val="24"/>
          <w:szCs w:val="24"/>
          <w:highlight w:val="none"/>
        </w:rPr>
        <w:tab/>
      </w:r>
    </w:p>
    <w:p w14:paraId="38827180">
      <w:pPr>
        <w:numPr>
          <w:ilvl w:val="0"/>
          <w:numId w:val="10"/>
        </w:numPr>
        <w:adjustRightInd w:val="0"/>
        <w:spacing w:line="360" w:lineRule="auto"/>
        <w:ind w:left="0" w:firstLine="42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保障服务：</w:t>
      </w:r>
      <w:r>
        <w:rPr>
          <w:rFonts w:ascii="仿宋" w:hAnsi="仿宋" w:eastAsia="仿宋" w:cs="Times New Roman"/>
          <w:color w:val="auto"/>
          <w:sz w:val="24"/>
          <w:szCs w:val="24"/>
          <w:highlight w:val="none"/>
        </w:rPr>
        <w:t>配合重大检查时的保障及协助服务</w:t>
      </w:r>
      <w:r>
        <w:rPr>
          <w:rFonts w:hint="eastAsia" w:ascii="仿宋" w:hAnsi="仿宋" w:eastAsia="仿宋" w:cs="Times New Roman"/>
          <w:color w:val="auto"/>
          <w:sz w:val="24"/>
          <w:szCs w:val="24"/>
          <w:highlight w:val="none"/>
        </w:rPr>
        <w:t>。</w:t>
      </w:r>
    </w:p>
    <w:p w14:paraId="5EE769A8">
      <w:pPr>
        <w:numPr>
          <w:ilvl w:val="0"/>
          <w:numId w:val="10"/>
        </w:numPr>
        <w:adjustRightInd w:val="0"/>
        <w:spacing w:line="360" w:lineRule="auto"/>
        <w:ind w:left="0" w:firstLine="42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方案咨询服务：</w:t>
      </w:r>
      <w:r>
        <w:rPr>
          <w:rFonts w:ascii="仿宋" w:hAnsi="仿宋" w:eastAsia="仿宋" w:cs="Times New Roman"/>
          <w:color w:val="auto"/>
          <w:sz w:val="24"/>
          <w:szCs w:val="24"/>
          <w:highlight w:val="none"/>
        </w:rPr>
        <w:t>针对应用对现有系统的不足提出建议方案供参考</w:t>
      </w:r>
      <w:r>
        <w:rPr>
          <w:rFonts w:ascii="仿宋" w:hAnsi="仿宋" w:eastAsia="仿宋" w:cs="Times New Roman"/>
          <w:color w:val="auto"/>
          <w:sz w:val="24"/>
          <w:szCs w:val="24"/>
          <w:highlight w:val="none"/>
        </w:rPr>
        <w:tab/>
      </w:r>
    </w:p>
    <w:p w14:paraId="3576ADD8">
      <w:pPr>
        <w:numPr>
          <w:ilvl w:val="0"/>
          <w:numId w:val="10"/>
        </w:numPr>
        <w:adjustRightInd w:val="0"/>
        <w:spacing w:line="360" w:lineRule="auto"/>
        <w:ind w:left="0" w:firstLine="42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培训服务；</w:t>
      </w:r>
      <w:r>
        <w:rPr>
          <w:rFonts w:ascii="仿宋" w:hAnsi="仿宋" w:eastAsia="仿宋" w:cs="Times New Roman"/>
          <w:color w:val="auto"/>
          <w:sz w:val="24"/>
          <w:szCs w:val="24"/>
          <w:highlight w:val="none"/>
        </w:rPr>
        <w:t>提供理论讲授、案例分析、动手实验、问题讨论等培训服务</w:t>
      </w:r>
      <w:r>
        <w:rPr>
          <w:rFonts w:ascii="仿宋" w:hAnsi="仿宋" w:eastAsia="仿宋" w:cs="Times New Roman"/>
          <w:color w:val="auto"/>
          <w:sz w:val="24"/>
          <w:szCs w:val="24"/>
          <w:highlight w:val="none"/>
        </w:rPr>
        <w:tab/>
      </w:r>
    </w:p>
    <w:p w14:paraId="5B62E9C5">
      <w:pPr>
        <w:numPr>
          <w:ilvl w:val="0"/>
          <w:numId w:val="10"/>
        </w:numPr>
        <w:adjustRightInd w:val="0"/>
        <w:spacing w:line="360" w:lineRule="auto"/>
        <w:ind w:left="0" w:firstLine="42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巡检服务：</w:t>
      </w:r>
      <w:r>
        <w:rPr>
          <w:rFonts w:ascii="仿宋" w:hAnsi="仿宋" w:eastAsia="仿宋" w:cs="Times New Roman"/>
          <w:color w:val="auto"/>
          <w:sz w:val="24"/>
          <w:szCs w:val="24"/>
          <w:highlight w:val="none"/>
        </w:rPr>
        <w:t>每月定期现场巡检，对服务模块内的系统进行定期巡检：系统运行状况、分析和统计，汇总成巡检报告提交用户</w:t>
      </w:r>
      <w:r>
        <w:rPr>
          <w:rFonts w:ascii="仿宋" w:hAnsi="仿宋" w:eastAsia="仿宋" w:cs="Times New Roman"/>
          <w:color w:val="auto"/>
          <w:sz w:val="24"/>
          <w:szCs w:val="24"/>
          <w:highlight w:val="none"/>
        </w:rPr>
        <w:tab/>
      </w:r>
    </w:p>
    <w:p w14:paraId="791806B7">
      <w:pPr>
        <w:numPr>
          <w:ilvl w:val="0"/>
          <w:numId w:val="10"/>
        </w:numPr>
        <w:adjustRightInd w:val="0"/>
        <w:spacing w:line="360" w:lineRule="auto"/>
        <w:ind w:left="0" w:firstLine="42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紧急服务：</w:t>
      </w:r>
      <w:r>
        <w:rPr>
          <w:rFonts w:ascii="仿宋" w:hAnsi="仿宋" w:eastAsia="仿宋" w:cs="Times New Roman"/>
          <w:color w:val="auto"/>
          <w:sz w:val="24"/>
          <w:szCs w:val="24"/>
          <w:highlight w:val="none"/>
        </w:rPr>
        <w:t>及时响应和受理用户关于数据库及系统故障的报修，就故障原因作出诊断，如为系统故障则排除故障</w:t>
      </w:r>
      <w:r>
        <w:rPr>
          <w:rFonts w:hint="eastAsia" w:ascii="仿宋" w:hAnsi="仿宋" w:eastAsia="仿宋" w:cs="Times New Roman"/>
          <w:color w:val="auto"/>
          <w:sz w:val="24"/>
          <w:szCs w:val="24"/>
          <w:highlight w:val="none"/>
        </w:rPr>
        <w:t>。</w:t>
      </w:r>
    </w:p>
    <w:p w14:paraId="5082AD34">
      <w:pPr>
        <w:keepNext/>
        <w:keepLines/>
        <w:spacing w:before="260" w:after="260" w:line="360" w:lineRule="auto"/>
        <w:outlineLvl w:val="1"/>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2.7</w:t>
      </w:r>
      <w:r>
        <w:rPr>
          <w:rFonts w:ascii="仿宋" w:hAnsi="仿宋" w:eastAsia="仿宋" w:cs="Times New Roman"/>
          <w:b/>
          <w:bCs/>
          <w:color w:val="auto"/>
          <w:sz w:val="24"/>
          <w:szCs w:val="24"/>
          <w:highlight w:val="none"/>
        </w:rPr>
        <w:t>应急故障维护要求</w:t>
      </w:r>
    </w:p>
    <w:p w14:paraId="57F28247">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投标人必须考虑各种故障类型，分别给出解决方案，解决方案至少包括具体人员构成、工作内容、详细的应急处理流程等内容。</w:t>
      </w:r>
    </w:p>
    <w:p w14:paraId="49786AF5">
      <w:pPr>
        <w:numPr>
          <w:ilvl w:val="0"/>
          <w:numId w:val="11"/>
        </w:numPr>
        <w:adjustRightInd w:val="0"/>
        <w:spacing w:line="360" w:lineRule="auto"/>
        <w:ind w:left="0" w:firstLine="42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人员构成：投标人应成立项目应急处理小组，需明确小组内各岗位人员及职责，用来处理由于系统故障导致的应急事件；</w:t>
      </w:r>
    </w:p>
    <w:p w14:paraId="7D8CCF76">
      <w:pPr>
        <w:numPr>
          <w:ilvl w:val="0"/>
          <w:numId w:val="11"/>
        </w:numPr>
        <w:adjustRightInd w:val="0"/>
        <w:spacing w:line="360" w:lineRule="auto"/>
        <w:ind w:left="0" w:firstLine="42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工作内容：应急工作内容应与本次项目维护内容相关；</w:t>
      </w:r>
    </w:p>
    <w:p w14:paraId="151CC96F">
      <w:pPr>
        <w:numPr>
          <w:ilvl w:val="0"/>
          <w:numId w:val="11"/>
        </w:numPr>
        <w:adjustRightInd w:val="0"/>
        <w:spacing w:line="360" w:lineRule="auto"/>
        <w:ind w:left="0" w:firstLine="420"/>
        <w:rPr>
          <w:rFonts w:hint="eastAsia" w:ascii="仿宋" w:hAnsi="仿宋" w:eastAsia="仿宋" w:cs="Times New Roman"/>
          <w:color w:val="auto"/>
          <w:sz w:val="24"/>
          <w:szCs w:val="24"/>
          <w:highlight w:val="none"/>
        </w:rPr>
      </w:pPr>
      <w:r>
        <w:rPr>
          <w:rFonts w:ascii="仿宋" w:hAnsi="仿宋" w:eastAsia="仿宋" w:cs="Times New Roman"/>
          <w:color w:val="auto"/>
          <w:sz w:val="24"/>
          <w:szCs w:val="24"/>
          <w:highlight w:val="none"/>
        </w:rPr>
        <w:t>应急处理流程：投标人具备明确的应急处理流程，可保障在紧急情况下快速响应并处理故障问题。</w:t>
      </w:r>
    </w:p>
    <w:p w14:paraId="1BDC004F">
      <w:pPr>
        <w:keepNext/>
        <w:keepLines/>
        <w:spacing w:before="260" w:after="260" w:line="360" w:lineRule="auto"/>
        <w:outlineLvl w:val="1"/>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2.8</w:t>
      </w:r>
      <w:r>
        <w:rPr>
          <w:rFonts w:ascii="仿宋" w:hAnsi="仿宋" w:eastAsia="仿宋" w:cs="Times New Roman"/>
          <w:b/>
          <w:bCs/>
          <w:color w:val="auto"/>
          <w:sz w:val="24"/>
          <w:szCs w:val="24"/>
          <w:highlight w:val="none"/>
        </w:rPr>
        <w:t>其他要求</w:t>
      </w:r>
    </w:p>
    <w:p w14:paraId="75254F81">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运维服务内容需要包括业务支持与咨询、状态报告和故障预测、现场故障解决、巡检服务、突发事件应急响应、电话热线支持、远程故障处理、资料提供等，投标人根据运维服务内容要求提供具体可行的解决方案。</w:t>
      </w:r>
    </w:p>
    <w:p w14:paraId="66C5B1C2">
      <w:pPr>
        <w:keepNext/>
        <w:keepLines/>
        <w:spacing w:before="260" w:after="260" w:line="360" w:lineRule="auto"/>
        <w:outlineLvl w:val="1"/>
        <w:rPr>
          <w:rFonts w:hint="eastAsia" w:ascii="仿宋" w:hAnsi="仿宋" w:eastAsia="仿宋" w:cs="Times New Roman"/>
          <w:b/>
          <w:bCs/>
          <w:color w:val="auto"/>
          <w:sz w:val="24"/>
          <w:szCs w:val="24"/>
          <w:highlight w:val="none"/>
        </w:rPr>
      </w:pPr>
      <w:r>
        <w:rPr>
          <w:rFonts w:hint="eastAsia" w:ascii="仿宋" w:hAnsi="仿宋" w:eastAsia="仿宋" w:cs="Times New Roman"/>
          <w:b/>
          <w:bCs/>
          <w:color w:val="auto"/>
          <w:sz w:val="24"/>
          <w:szCs w:val="24"/>
          <w:highlight w:val="none"/>
        </w:rPr>
        <w:t>2.</w:t>
      </w:r>
      <w:r>
        <w:rPr>
          <w:rFonts w:hint="eastAsia" w:ascii="仿宋" w:hAnsi="仿宋" w:eastAsia="仿宋" w:cs="Times New Roman"/>
          <w:b/>
          <w:bCs/>
          <w:color w:val="auto"/>
          <w:sz w:val="24"/>
          <w:szCs w:val="24"/>
          <w:highlight w:val="none"/>
          <w:lang w:val="en-US" w:eastAsia="zh-CN"/>
        </w:rPr>
        <w:t>9</w:t>
      </w:r>
      <w:r>
        <w:rPr>
          <w:rFonts w:hint="eastAsia" w:ascii="仿宋" w:hAnsi="仿宋" w:eastAsia="仿宋" w:cs="Times New Roman"/>
          <w:b/>
          <w:bCs/>
          <w:color w:val="auto"/>
          <w:sz w:val="24"/>
          <w:szCs w:val="24"/>
          <w:highlight w:val="none"/>
        </w:rPr>
        <w:t>实施团队要求</w:t>
      </w:r>
    </w:p>
    <w:p w14:paraId="6A87449E">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供应商需为本次维护项目成立专门的服务团队，包括项目经理，运维工程师，远程售后人员。</w:t>
      </w:r>
    </w:p>
    <w:p w14:paraId="2B1CB3AB">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（1）指定专门的项目经理全程负责项目的实施维护；</w:t>
      </w:r>
    </w:p>
    <w:p w14:paraId="008E79A0">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（2）承诺在合同期内，更换项目经理需首先向甲方提出书面申请并获得甲方的同意；</w:t>
      </w:r>
    </w:p>
    <w:p w14:paraId="78A7478C">
      <w:pPr>
        <w:spacing w:line="360" w:lineRule="auto"/>
        <w:ind w:firstLine="480" w:firstLineChars="200"/>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（3）项目组需要配备专职各类技术人员，确保维护项目的顺利实施。</w:t>
      </w:r>
    </w:p>
    <w:p w14:paraId="460E31E8">
      <w:pPr>
        <w:widowControl/>
        <w:snapToGrid w:val="0"/>
        <w:spacing w:line="440" w:lineRule="exac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lang w:val="en-US" w:eastAsia="zh-CN"/>
        </w:rPr>
        <w:t>3</w:t>
      </w:r>
      <w:r>
        <w:rPr>
          <w:rFonts w:hint="eastAsia" w:ascii="仿宋" w:eastAsia="仿宋"/>
          <w:b/>
          <w:bCs/>
          <w:color w:val="auto"/>
          <w:kern w:val="0"/>
          <w:sz w:val="24"/>
          <w:highlight w:val="none"/>
        </w:rPr>
        <w:t>.服务期限</w:t>
      </w:r>
    </w:p>
    <w:p w14:paraId="5A344798">
      <w:pPr>
        <w:widowControl/>
        <w:snapToGrid w:val="0"/>
        <w:spacing w:line="440" w:lineRule="exact"/>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项目周期为合同签订起一年期。</w:t>
      </w:r>
    </w:p>
    <w:p w14:paraId="5E6AE93E">
      <w:pPr>
        <w:widowControl/>
        <w:snapToGrid w:val="0"/>
        <w:spacing w:line="440" w:lineRule="exact"/>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sz w:val="24"/>
          <w:highlight w:val="none"/>
          <w:lang w:val="en-US" w:eastAsia="zh-CN"/>
        </w:rPr>
        <w:t>4</w:t>
      </w:r>
      <w:r>
        <w:rPr>
          <w:rFonts w:hint="eastAsia" w:ascii="仿宋" w:hAnsi="仿宋" w:eastAsia="仿宋"/>
          <w:b/>
          <w:bCs/>
          <w:color w:val="auto"/>
          <w:sz w:val="24"/>
          <w:highlight w:val="none"/>
        </w:rPr>
        <w:t>.</w:t>
      </w:r>
      <w:r>
        <w:rPr>
          <w:rFonts w:hint="eastAsia" w:ascii="仿宋" w:eastAsia="仿宋"/>
          <w:b/>
          <w:bCs/>
          <w:color w:val="auto"/>
          <w:sz w:val="24"/>
          <w:highlight w:val="none"/>
        </w:rPr>
        <w:t>数量调整</w:t>
      </w:r>
    </w:p>
    <w:p w14:paraId="0CDF6719">
      <w:pPr>
        <w:widowControl/>
        <w:snapToGrid w:val="0"/>
        <w:spacing w:line="44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0549ABAE">
      <w:pPr>
        <w:widowControl/>
        <w:snapToGrid w:val="0"/>
        <w:spacing w:line="440" w:lineRule="exact"/>
        <w:rPr>
          <w:rFonts w:hint="eastAsia" w:ascii="仿宋" w:hAnsi="仿宋" w:eastAsia="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sz w:val="24"/>
          <w:highlight w:val="none"/>
          <w:lang w:val="en-US" w:eastAsia="zh-CN"/>
        </w:rPr>
        <w:t>5</w:t>
      </w:r>
      <w:r>
        <w:rPr>
          <w:rFonts w:hint="eastAsia" w:ascii="仿宋" w:hAnsi="仿宋" w:eastAsia="仿宋"/>
          <w:b/>
          <w:bCs/>
          <w:color w:val="auto"/>
          <w:sz w:val="24"/>
          <w:highlight w:val="none"/>
        </w:rPr>
        <w:t>.技术支持服务要求</w:t>
      </w:r>
    </w:p>
    <w:p w14:paraId="4A6F79D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运维工作应根据系统自身特点，在不改变原有技术体系框架前提下，开展技术支持服务工作，定期对系统运行的主机、数据库、中间件等进行日常检查和评估，根据系统运行情况进行资源优化、定期备份数据，最大程度地预防系统故障发生。</w:t>
      </w:r>
    </w:p>
    <w:p w14:paraId="0CCAAF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（1）定期巡检服务</w:t>
      </w:r>
    </w:p>
    <w:p w14:paraId="570504E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定期对核心设备/软件进行预防性维护服务，排查故障和隐患，保证系统设备/软件的正常运行，服务内容包括但不限于：</w:t>
      </w:r>
    </w:p>
    <w:p w14:paraId="5AE57E1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①中标单位应对本系统每月巡检一次，查看设备硬件、软件系统及数据库是否运行良好；</w:t>
      </w:r>
    </w:p>
    <w:p w14:paraId="2E2FFB8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②建立维护档案，填写设备/软件维护记录；</w:t>
      </w:r>
    </w:p>
    <w:p w14:paraId="5D04DAD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③备份系统日志，登记错误日志。</w:t>
      </w:r>
    </w:p>
    <w:p w14:paraId="231C6D7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（2）服务质量要求</w:t>
      </w:r>
    </w:p>
    <w:p w14:paraId="5E928B1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①系统发生的影响正常使用1小时及以上的故障，维护服务期内不多于2次；短时间（1小时以内）影响正常使用的故障，维护服务期内不多于5次；累计运行维护服务时间内的故障时间不超过10小时。</w:t>
      </w:r>
    </w:p>
    <w:p w14:paraId="3983765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③中标方应建立完善的运行维护服务台帐，认真详实填报有关维护资料；对服务期间发生的各项运行维护事宜，做好相应的详细工作情况记录；每月及时上报运行维护月报。</w:t>
      </w:r>
    </w:p>
    <w:p w14:paraId="168BD35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（3）重大活动保障</w:t>
      </w:r>
    </w:p>
    <w:p w14:paraId="469C4E0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投标人应具备重大活动保障能力，包括重大节假日、重大活动保障方案，要做好运维及节假日的值班服务，处理突发事件，确保信息系统稳定运行。</w:t>
      </w:r>
    </w:p>
    <w:p w14:paraId="61E841A3">
      <w:pPr>
        <w:widowControl/>
        <w:snapToGrid w:val="0"/>
        <w:spacing w:line="440" w:lineRule="exac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sz w:val="24"/>
          <w:highlight w:val="none"/>
          <w:lang w:val="en-US" w:eastAsia="zh-CN"/>
        </w:rPr>
        <w:t>6</w:t>
      </w:r>
      <w:r>
        <w:rPr>
          <w:rFonts w:hint="eastAsia" w:ascii="仿宋" w:hAnsi="仿宋" w:eastAsia="仿宋"/>
          <w:b/>
          <w:bCs/>
          <w:color w:val="auto"/>
          <w:sz w:val="24"/>
          <w:highlight w:val="none"/>
        </w:rPr>
        <w:t>.</w:t>
      </w:r>
      <w:r>
        <w:rPr>
          <w:rFonts w:hint="eastAsia" w:ascii="仿宋" w:eastAsia="仿宋"/>
          <w:b/>
          <w:bCs/>
          <w:color w:val="auto"/>
          <w:kern w:val="0"/>
          <w:sz w:val="24"/>
          <w:highlight w:val="none"/>
        </w:rPr>
        <w:t>付款方式</w:t>
      </w:r>
    </w:p>
    <w:p w14:paraId="13DCCCFE">
      <w:pPr>
        <w:spacing w:line="440" w:lineRule="exact"/>
        <w:ind w:firstLine="480" w:firstLineChars="200"/>
        <w:rPr>
          <w:rFonts w:ascii="仿宋" w:eastAsia="仿宋"/>
          <w:color w:val="auto"/>
          <w:sz w:val="24"/>
          <w:highlight w:val="none"/>
        </w:rPr>
      </w:pPr>
      <w:r>
        <w:rPr>
          <w:rFonts w:hint="eastAsia" w:ascii="仿宋" w:eastAsia="仿宋"/>
          <w:color w:val="auto"/>
          <w:sz w:val="24"/>
          <w:highlight w:val="none"/>
        </w:rPr>
        <w:t>合同签订后支付合同价的50%，2025年12月底前支付合同价的20%，项目验收合格后，支付合同价的30%。如涉及中小企业合同的，按《浙江省财政厅关于进一步发挥政府采购政策功能全力推动经济稳进提质的通知》（浙财采监〔2022〕3号）等文件要求执行。</w:t>
      </w:r>
    </w:p>
    <w:p w14:paraId="67AE105B">
      <w:pPr>
        <w:spacing w:line="440" w:lineRule="exac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sz w:val="24"/>
          <w:highlight w:val="none"/>
          <w:lang w:val="en-US" w:eastAsia="zh-CN"/>
        </w:rPr>
        <w:t>7</w:t>
      </w:r>
      <w:r>
        <w:rPr>
          <w:rFonts w:hint="eastAsia" w:ascii="仿宋" w:hAnsi="仿宋" w:eastAsia="仿宋"/>
          <w:b/>
          <w:bCs/>
          <w:color w:val="auto"/>
          <w:sz w:val="24"/>
          <w:highlight w:val="none"/>
        </w:rPr>
        <w:t>.</w:t>
      </w:r>
      <w:r>
        <w:rPr>
          <w:rFonts w:hint="eastAsia" w:ascii="仿宋" w:eastAsia="仿宋"/>
          <w:b/>
          <w:bCs/>
          <w:color w:val="auto"/>
          <w:kern w:val="0"/>
          <w:sz w:val="24"/>
          <w:highlight w:val="none"/>
        </w:rPr>
        <w:t>结算原则</w:t>
      </w:r>
    </w:p>
    <w:p w14:paraId="279CF7CB">
      <w:pPr>
        <w:spacing w:line="440" w:lineRule="exact"/>
        <w:ind w:firstLine="480" w:firstLineChars="200"/>
        <w:rPr>
          <w:rFonts w:ascii="仿宋" w:eastAsia="仿宋"/>
          <w:color w:val="auto"/>
          <w:kern w:val="0"/>
          <w:sz w:val="24"/>
          <w:highlight w:val="none"/>
        </w:rPr>
      </w:pPr>
      <w:r>
        <w:rPr>
          <w:rFonts w:hint="eastAsia" w:ascii="仿宋" w:eastAsia="仿宋"/>
          <w:color w:val="auto"/>
          <w:kern w:val="0"/>
          <w:sz w:val="24"/>
          <w:highlight w:val="none"/>
          <w:lang w:val="en-US" w:eastAsia="zh-CN"/>
        </w:rPr>
        <w:t>7</w:t>
      </w:r>
      <w:r>
        <w:rPr>
          <w:rFonts w:hint="eastAsia" w:ascii="仿宋" w:eastAsia="仿宋"/>
          <w:color w:val="auto"/>
          <w:kern w:val="0"/>
          <w:sz w:val="24"/>
          <w:highlight w:val="none"/>
        </w:rPr>
        <w:t>.1招标文件、更正公告、中标单位的中标报价等作为结算依据；</w:t>
      </w:r>
    </w:p>
    <w:p w14:paraId="72C0F016">
      <w:pPr>
        <w:pStyle w:val="3"/>
        <w:keepNext w:val="0"/>
        <w:keepLines w:val="0"/>
        <w:spacing w:line="440" w:lineRule="exact"/>
        <w:ind w:left="0" w:firstLine="480" w:firstLineChars="200"/>
        <w:rPr>
          <w:rFonts w:ascii="仿宋" w:eastAsia="仿宋" w:cs="仿宋"/>
          <w:color w:val="auto"/>
          <w:sz w:val="36"/>
          <w:szCs w:val="36"/>
          <w:highlight w:val="none"/>
        </w:rPr>
      </w:pPr>
      <w:r>
        <w:rPr>
          <w:rFonts w:hint="eastAsia" w:ascii="仿宋" w:eastAsia="仿宋"/>
          <w:b w:val="0"/>
          <w:bCs w:val="0"/>
          <w:color w:val="auto"/>
          <w:kern w:val="0"/>
          <w:sz w:val="24"/>
          <w:highlight w:val="none"/>
          <w:lang w:val="en-US" w:eastAsia="zh-CN"/>
        </w:rPr>
        <w:t>7</w:t>
      </w:r>
      <w:r>
        <w:rPr>
          <w:rFonts w:hint="eastAsia" w:ascii="仿宋" w:eastAsia="仿宋"/>
          <w:b w:val="0"/>
          <w:bCs w:val="0"/>
          <w:color w:val="auto"/>
          <w:kern w:val="0"/>
          <w:sz w:val="24"/>
          <w:highlight w:val="none"/>
        </w:rPr>
        <w:t>.2中标单价一次性包死，不再调整，经招标人分级审批认可的数量增减，在结算时按中标单价按实调整。</w:t>
      </w:r>
    </w:p>
    <w:p w14:paraId="551C09A0">
      <w:pPr>
        <w:spacing w:line="440" w:lineRule="exac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sz w:val="24"/>
          <w:highlight w:val="none"/>
          <w:lang w:val="en-US" w:eastAsia="zh-CN"/>
        </w:rPr>
        <w:t>8</w:t>
      </w:r>
      <w:r>
        <w:rPr>
          <w:rFonts w:hint="eastAsia" w:ascii="仿宋" w:hAnsi="仿宋" w:eastAsia="仿宋"/>
          <w:b/>
          <w:bCs/>
          <w:color w:val="auto"/>
          <w:sz w:val="24"/>
          <w:highlight w:val="none"/>
        </w:rPr>
        <w:t>.</w:t>
      </w:r>
      <w:r>
        <w:rPr>
          <w:rFonts w:hint="eastAsia" w:ascii="仿宋" w:eastAsia="仿宋"/>
          <w:b/>
          <w:bCs/>
          <w:color w:val="auto"/>
          <w:kern w:val="0"/>
          <w:sz w:val="24"/>
          <w:highlight w:val="none"/>
        </w:rPr>
        <w:t>验收要求</w:t>
      </w:r>
    </w:p>
    <w:p w14:paraId="35780816">
      <w:pPr>
        <w:pStyle w:val="3"/>
        <w:keepNext w:val="0"/>
        <w:keepLines w:val="0"/>
        <w:spacing w:line="440" w:lineRule="exact"/>
        <w:ind w:left="0" w:firstLine="480" w:firstLineChars="200"/>
        <w:rPr>
          <w:rFonts w:hint="eastAsia" w:ascii="仿宋" w:eastAsia="仿宋" w:cs="Times New Roman"/>
          <w:b w:val="0"/>
          <w:bCs w:val="0"/>
          <w:color w:val="auto"/>
          <w:kern w:val="0"/>
          <w:sz w:val="24"/>
          <w:highlight w:val="none"/>
        </w:rPr>
      </w:pPr>
      <w:r>
        <w:rPr>
          <w:rFonts w:hint="eastAsia" w:ascii="仿宋" w:eastAsia="仿宋" w:cs="Times New Roman"/>
          <w:b w:val="0"/>
          <w:bCs w:val="0"/>
          <w:color w:val="auto"/>
          <w:kern w:val="0"/>
          <w:sz w:val="24"/>
          <w:highlight w:val="none"/>
          <w:lang w:val="en-US" w:eastAsia="zh-CN"/>
        </w:rPr>
        <w:t>完成年度维护任务，并提供相应的验收材料。</w:t>
      </w:r>
    </w:p>
    <w:p w14:paraId="0D786AA5">
      <w:pPr>
        <w:spacing w:line="440" w:lineRule="exact"/>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sz w:val="24"/>
          <w:highlight w:val="none"/>
          <w:lang w:val="en-US" w:eastAsia="zh-CN"/>
        </w:rPr>
        <w:t>9</w:t>
      </w:r>
      <w:r>
        <w:rPr>
          <w:rFonts w:hint="eastAsia" w:ascii="仿宋" w:hAnsi="仿宋" w:eastAsia="仿宋"/>
          <w:b/>
          <w:bCs/>
          <w:color w:val="auto"/>
          <w:sz w:val="24"/>
          <w:highlight w:val="none"/>
        </w:rPr>
        <w:t>.</w:t>
      </w:r>
      <w:r>
        <w:rPr>
          <w:rFonts w:hint="eastAsia" w:ascii="仿宋" w:eastAsia="仿宋"/>
          <w:b/>
          <w:bCs/>
          <w:color w:val="auto"/>
          <w:kern w:val="0"/>
          <w:sz w:val="24"/>
          <w:highlight w:val="none"/>
        </w:rPr>
        <w:t>其他要求</w:t>
      </w:r>
    </w:p>
    <w:p w14:paraId="2E2E1AAC">
      <w:pPr>
        <w:pStyle w:val="3"/>
        <w:keepNext w:val="0"/>
        <w:keepLines w:val="0"/>
        <w:spacing w:line="440" w:lineRule="exact"/>
        <w:ind w:left="0" w:firstLine="480" w:firstLineChars="200"/>
        <w:rPr>
          <w:rFonts w:hint="eastAsia" w:ascii="仿宋" w:eastAsia="仿宋" w:cs="Times New Roman"/>
          <w:b w:val="0"/>
          <w:bCs w:val="0"/>
          <w:color w:val="auto"/>
          <w:kern w:val="0"/>
          <w:sz w:val="24"/>
          <w:highlight w:val="none"/>
        </w:rPr>
      </w:pPr>
      <w:r>
        <w:rPr>
          <w:rFonts w:hint="eastAsia" w:ascii="仿宋" w:eastAsia="仿宋" w:cs="Times New Roman"/>
          <w:b w:val="0"/>
          <w:bCs w:val="0"/>
          <w:color w:val="auto"/>
          <w:kern w:val="0"/>
          <w:sz w:val="24"/>
          <w:highlight w:val="none"/>
          <w:lang w:val="en-US" w:eastAsia="zh-CN"/>
        </w:rPr>
        <w:t>重要业务系统（HIS、检验系统、体检系统和心电系统）业务停摆超过1小时，扣1万元，超过2小时，扣2万元，以此类推。</w:t>
      </w:r>
    </w:p>
    <w:p w14:paraId="60DFD9C5">
      <w:pPr>
        <w:spacing w:line="360" w:lineRule="auto"/>
        <w:jc w:val="center"/>
        <w:outlineLvl w:val="0"/>
        <w:rPr>
          <w:rFonts w:ascii="仿宋" w:hAnsi="仿宋" w:eastAsia="仿宋" w:cs="仿宋"/>
          <w:b/>
          <w:color w:val="auto"/>
          <w:sz w:val="36"/>
          <w:szCs w:val="36"/>
          <w:highlight w:val="none"/>
        </w:rPr>
      </w:pPr>
    </w:p>
    <w:p w14:paraId="0B3FFD4B">
      <w:pPr>
        <w:pStyle w:val="23"/>
        <w:rPr>
          <w:rFonts w:ascii="仿宋" w:hAnsi="仿宋" w:eastAsia="仿宋" w:cs="仿宋"/>
          <w:b/>
          <w:color w:val="auto"/>
          <w:sz w:val="36"/>
          <w:szCs w:val="36"/>
          <w:highlight w:val="none"/>
        </w:rPr>
      </w:pPr>
    </w:p>
    <w:p w14:paraId="780CC8A7">
      <w:pPr>
        <w:pStyle w:val="23"/>
        <w:rPr>
          <w:rFonts w:ascii="仿宋" w:hAnsi="仿宋" w:eastAsia="仿宋" w:cs="仿宋"/>
          <w:b/>
          <w:color w:val="auto"/>
          <w:sz w:val="36"/>
          <w:szCs w:val="36"/>
          <w:highlight w:val="none"/>
        </w:rPr>
      </w:pPr>
    </w:p>
    <w:p w14:paraId="0E945A21">
      <w:pPr>
        <w:pStyle w:val="23"/>
        <w:rPr>
          <w:rFonts w:ascii="仿宋" w:hAnsi="仿宋" w:eastAsia="仿宋" w:cs="仿宋"/>
          <w:b/>
          <w:color w:val="auto"/>
          <w:sz w:val="36"/>
          <w:szCs w:val="36"/>
          <w:highlight w:val="none"/>
        </w:rPr>
      </w:pPr>
    </w:p>
    <w:p w14:paraId="311890A3">
      <w:pPr>
        <w:pStyle w:val="23"/>
        <w:rPr>
          <w:rFonts w:ascii="仿宋" w:hAnsi="仿宋" w:eastAsia="仿宋" w:cs="仿宋"/>
          <w:b/>
          <w:color w:val="auto"/>
          <w:sz w:val="36"/>
          <w:szCs w:val="36"/>
          <w:highlight w:val="none"/>
        </w:rPr>
      </w:pPr>
    </w:p>
    <w:p w14:paraId="5322B366">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3A1E792">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69F28B2B">
      <w:pPr>
        <w:spacing w:line="480" w:lineRule="auto"/>
        <w:jc w:val="center"/>
        <w:rPr>
          <w:rFonts w:ascii="仿宋" w:hAnsi="仿宋" w:eastAsia="仿宋" w:cs="仿宋"/>
          <w:b/>
          <w:color w:val="auto"/>
          <w:sz w:val="28"/>
          <w:szCs w:val="28"/>
          <w:highlight w:val="none"/>
        </w:rPr>
      </w:pPr>
    </w:p>
    <w:p w14:paraId="7FF66FCD">
      <w:pPr>
        <w:spacing w:line="480" w:lineRule="auto"/>
        <w:jc w:val="center"/>
        <w:rPr>
          <w:rFonts w:ascii="仿宋" w:hAnsi="仿宋" w:eastAsia="仿宋" w:cs="仿宋"/>
          <w:b/>
          <w:color w:val="auto"/>
          <w:sz w:val="24"/>
          <w:highlight w:val="none"/>
        </w:rPr>
      </w:pPr>
    </w:p>
    <w:p w14:paraId="729892B7">
      <w:pPr>
        <w:spacing w:line="480" w:lineRule="auto"/>
        <w:jc w:val="center"/>
        <w:rPr>
          <w:rFonts w:ascii="仿宋" w:hAnsi="仿宋" w:eastAsia="仿宋" w:cs="仿宋"/>
          <w:b/>
          <w:color w:val="auto"/>
          <w:sz w:val="24"/>
          <w:highlight w:val="none"/>
        </w:rPr>
      </w:pPr>
    </w:p>
    <w:p w14:paraId="3B8A3D5E">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58E454F">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739F369">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3AD920C">
      <w:pPr>
        <w:spacing w:before="120" w:line="22" w:lineRule="atLeast"/>
        <w:rPr>
          <w:rFonts w:ascii="仿宋" w:hAnsi="仿宋" w:eastAsia="仿宋" w:cs="仿宋"/>
          <w:color w:val="auto"/>
          <w:sz w:val="24"/>
          <w:highlight w:val="none"/>
        </w:rPr>
      </w:pPr>
    </w:p>
    <w:p w14:paraId="681F5858">
      <w:pPr>
        <w:pStyle w:val="3"/>
        <w:rPr>
          <w:rFonts w:ascii="仿宋" w:eastAsia="仿宋" w:cs="仿宋"/>
          <w:color w:val="auto"/>
          <w:highlight w:val="none"/>
        </w:rPr>
      </w:pPr>
    </w:p>
    <w:p w14:paraId="41E588A9">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B1EFE54">
      <w:pPr>
        <w:pStyle w:val="597"/>
        <w:spacing w:before="120" w:line="22" w:lineRule="atLeast"/>
        <w:rPr>
          <w:rFonts w:ascii="仿宋" w:hAnsi="仿宋" w:eastAsia="仿宋" w:cs="仿宋"/>
          <w:color w:val="auto"/>
          <w:szCs w:val="24"/>
          <w:highlight w:val="none"/>
        </w:rPr>
      </w:pPr>
    </w:p>
    <w:p w14:paraId="78490A68">
      <w:pPr>
        <w:pStyle w:val="597"/>
        <w:spacing w:before="120" w:line="22" w:lineRule="atLeast"/>
        <w:rPr>
          <w:rFonts w:ascii="仿宋" w:hAnsi="仿宋" w:eastAsia="仿宋" w:cs="仿宋"/>
          <w:color w:val="auto"/>
          <w:szCs w:val="24"/>
          <w:highlight w:val="none"/>
        </w:rPr>
      </w:pPr>
    </w:p>
    <w:p w14:paraId="66CD6F54">
      <w:pPr>
        <w:rPr>
          <w:rFonts w:ascii="仿宋" w:hAnsi="仿宋" w:eastAsia="仿宋" w:cs="仿宋"/>
          <w:color w:val="auto"/>
          <w:sz w:val="24"/>
          <w:highlight w:val="none"/>
        </w:rPr>
      </w:pPr>
    </w:p>
    <w:p w14:paraId="34A6BC28">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EA038C1">
      <w:pPr>
        <w:spacing w:before="120" w:line="22" w:lineRule="atLeast"/>
        <w:rPr>
          <w:rFonts w:ascii="仿宋" w:hAnsi="仿宋" w:eastAsia="仿宋" w:cs="仿宋"/>
          <w:color w:val="auto"/>
          <w:sz w:val="24"/>
          <w:highlight w:val="none"/>
        </w:rPr>
      </w:pPr>
    </w:p>
    <w:p w14:paraId="49788408">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9556D5D">
      <w:pPr>
        <w:spacing w:before="120" w:line="22" w:lineRule="atLeast"/>
        <w:rPr>
          <w:rFonts w:ascii="仿宋" w:hAnsi="仿宋" w:eastAsia="仿宋" w:cs="仿宋"/>
          <w:color w:val="auto"/>
          <w:sz w:val="24"/>
          <w:highlight w:val="none"/>
        </w:rPr>
      </w:pPr>
    </w:p>
    <w:p w14:paraId="5E4DABB9">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7B272F5">
      <w:pPr>
        <w:spacing w:before="120" w:line="22" w:lineRule="atLeast"/>
        <w:rPr>
          <w:rFonts w:ascii="仿宋" w:hAnsi="仿宋" w:eastAsia="仿宋" w:cs="仿宋"/>
          <w:color w:val="auto"/>
          <w:sz w:val="24"/>
          <w:highlight w:val="none"/>
        </w:rPr>
      </w:pPr>
    </w:p>
    <w:p w14:paraId="1EADB24E">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59D6566">
      <w:pPr>
        <w:widowControl/>
        <w:jc w:val="left"/>
        <w:rPr>
          <w:rFonts w:ascii="仿宋" w:hAnsi="仿宋" w:eastAsia="仿宋" w:cs="仿宋"/>
          <w:color w:val="auto"/>
          <w:kern w:val="0"/>
          <w:sz w:val="24"/>
          <w:highlight w:val="none"/>
        </w:rPr>
        <w:sectPr>
          <w:pgSz w:w="11905" w:h="16838"/>
          <w:pgMar w:top="1474" w:right="1587" w:bottom="1474" w:left="1587" w:header="851" w:footer="992" w:gutter="0"/>
          <w:cols w:space="0" w:num="1"/>
        </w:sectPr>
      </w:pPr>
    </w:p>
    <w:p w14:paraId="6924B318">
      <w:pPr>
        <w:rPr>
          <w:rFonts w:ascii="仿宋" w:hAnsi="仿宋" w:eastAsia="仿宋" w:cs="仿宋"/>
          <w:b/>
          <w:color w:val="auto"/>
          <w:sz w:val="24"/>
          <w:highlight w:val="none"/>
        </w:rPr>
      </w:pPr>
    </w:p>
    <w:p w14:paraId="772B952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5576F3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655E19C">
      <w:pPr>
        <w:spacing w:line="440" w:lineRule="exact"/>
        <w:ind w:firstLine="482" w:firstLineChars="200"/>
        <w:outlineLvl w:val="0"/>
        <w:rPr>
          <w:rFonts w:ascii="仿宋" w:hAnsi="仿宋" w:eastAsia="仿宋" w:cs="仿宋"/>
          <w:color w:val="auto"/>
          <w:sz w:val="24"/>
          <w:highlight w:val="none"/>
        </w:rPr>
      </w:pPr>
      <w:bookmarkStart w:id="43" w:name="_Toc19273"/>
      <w:bookmarkStart w:id="44" w:name="_Toc28855"/>
      <w:bookmarkStart w:id="45" w:name="_Toc22967"/>
      <w:bookmarkStart w:id="46" w:name="_Toc20421"/>
      <w:bookmarkStart w:id="47" w:name="_Toc15367"/>
      <w:r>
        <w:rPr>
          <w:rFonts w:hint="eastAsia" w:ascii="仿宋" w:hAnsi="仿宋" w:eastAsia="仿宋" w:cs="仿宋"/>
          <w:b/>
          <w:color w:val="auto"/>
          <w:sz w:val="24"/>
          <w:highlight w:val="none"/>
        </w:rPr>
        <w:t>1.1 合同组成部分</w:t>
      </w:r>
      <w:bookmarkEnd w:id="43"/>
      <w:bookmarkEnd w:id="44"/>
      <w:bookmarkEnd w:id="45"/>
      <w:bookmarkEnd w:id="46"/>
      <w:bookmarkEnd w:id="47"/>
    </w:p>
    <w:p w14:paraId="567445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EBEC3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A777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5CBE78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DE2CC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7C117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1B76AF3">
      <w:pPr>
        <w:spacing w:line="440" w:lineRule="exact"/>
        <w:ind w:firstLine="482" w:firstLineChars="200"/>
        <w:outlineLvl w:val="0"/>
        <w:rPr>
          <w:rFonts w:ascii="仿宋" w:hAnsi="仿宋" w:eastAsia="仿宋" w:cs="仿宋"/>
          <w:b/>
          <w:color w:val="auto"/>
          <w:sz w:val="24"/>
          <w:highlight w:val="none"/>
        </w:rPr>
      </w:pPr>
      <w:bookmarkStart w:id="48" w:name="_Toc6311"/>
      <w:bookmarkStart w:id="49" w:name="_Toc6773"/>
      <w:bookmarkStart w:id="50" w:name="_Toc2918"/>
      <w:bookmarkStart w:id="51" w:name="_Toc22185"/>
      <w:bookmarkStart w:id="52" w:name="_Toc18585"/>
      <w:r>
        <w:rPr>
          <w:rFonts w:hint="eastAsia" w:ascii="仿宋" w:hAnsi="仿宋" w:eastAsia="仿宋" w:cs="仿宋"/>
          <w:b/>
          <w:color w:val="auto"/>
          <w:sz w:val="24"/>
          <w:highlight w:val="none"/>
        </w:rPr>
        <w:t>1.2 标的</w:t>
      </w:r>
      <w:bookmarkEnd w:id="48"/>
      <w:bookmarkEnd w:id="49"/>
      <w:bookmarkEnd w:id="50"/>
      <w:bookmarkEnd w:id="51"/>
      <w:bookmarkEnd w:id="52"/>
    </w:p>
    <w:p w14:paraId="032D945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32F87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BA1CA2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8371020">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16BF934">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D351755">
      <w:pPr>
        <w:spacing w:line="440" w:lineRule="exact"/>
        <w:ind w:firstLine="480" w:firstLineChars="200"/>
        <w:rPr>
          <w:rFonts w:ascii="仿宋" w:hAnsi="仿宋" w:eastAsia="仿宋" w:cs="仿宋"/>
          <w:color w:val="auto"/>
          <w:sz w:val="24"/>
          <w:highlight w:val="none"/>
          <w:u w:val="single"/>
        </w:rPr>
      </w:pPr>
      <w:bookmarkStart w:id="53" w:name="_Toc21124"/>
      <w:bookmarkStart w:id="54" w:name="_Toc5635"/>
      <w:bookmarkStart w:id="55" w:name="_Toc13918"/>
      <w:bookmarkStart w:id="56" w:name="_Toc1386"/>
      <w:bookmarkStart w:id="57"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ECF464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03E088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E4DDFA8">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3"/>
      <w:bookmarkEnd w:id="54"/>
      <w:bookmarkEnd w:id="55"/>
      <w:bookmarkEnd w:id="56"/>
      <w:bookmarkEnd w:id="57"/>
    </w:p>
    <w:p w14:paraId="090D6E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B4D86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C182EA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E3C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1F9062">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24798498">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E5F32F3">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16F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84B2B4">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BB52DD1">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268D451">
            <w:pPr>
              <w:pStyle w:val="318"/>
              <w:spacing w:line="440" w:lineRule="exact"/>
              <w:ind w:firstLine="480" w:firstLineChars="200"/>
              <w:jc w:val="center"/>
              <w:rPr>
                <w:rFonts w:ascii="仿宋" w:hAnsi="仿宋" w:eastAsia="仿宋" w:cs="仿宋"/>
                <w:color w:val="auto"/>
                <w:sz w:val="24"/>
                <w:szCs w:val="24"/>
                <w:highlight w:val="none"/>
              </w:rPr>
            </w:pPr>
          </w:p>
        </w:tc>
      </w:tr>
      <w:tr w14:paraId="10C7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EDE544">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95B0DB4">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AC143E8">
            <w:pPr>
              <w:pStyle w:val="318"/>
              <w:spacing w:line="440" w:lineRule="exact"/>
              <w:ind w:firstLine="480" w:firstLineChars="200"/>
              <w:jc w:val="center"/>
              <w:rPr>
                <w:rFonts w:ascii="仿宋" w:hAnsi="仿宋" w:eastAsia="仿宋" w:cs="仿宋"/>
                <w:color w:val="auto"/>
                <w:sz w:val="24"/>
                <w:szCs w:val="24"/>
                <w:highlight w:val="none"/>
              </w:rPr>
            </w:pPr>
          </w:p>
        </w:tc>
      </w:tr>
      <w:tr w14:paraId="4C69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64E988">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0FF65FB">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B6505B6">
            <w:pPr>
              <w:pStyle w:val="318"/>
              <w:spacing w:line="440" w:lineRule="exact"/>
              <w:ind w:firstLine="480" w:firstLineChars="200"/>
              <w:jc w:val="center"/>
              <w:rPr>
                <w:rFonts w:ascii="仿宋" w:hAnsi="仿宋" w:eastAsia="仿宋" w:cs="仿宋"/>
                <w:color w:val="auto"/>
                <w:sz w:val="24"/>
                <w:szCs w:val="24"/>
                <w:highlight w:val="none"/>
              </w:rPr>
            </w:pPr>
          </w:p>
        </w:tc>
      </w:tr>
      <w:tr w14:paraId="5E3A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34A251">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C07FDB0">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3C7A955C">
            <w:pPr>
              <w:pStyle w:val="318"/>
              <w:spacing w:line="440" w:lineRule="exact"/>
              <w:ind w:firstLine="480" w:firstLineChars="200"/>
              <w:jc w:val="center"/>
              <w:rPr>
                <w:rFonts w:ascii="仿宋" w:hAnsi="仿宋" w:eastAsia="仿宋" w:cs="仿宋"/>
                <w:color w:val="auto"/>
                <w:sz w:val="24"/>
                <w:szCs w:val="24"/>
                <w:highlight w:val="none"/>
              </w:rPr>
            </w:pPr>
          </w:p>
        </w:tc>
      </w:tr>
      <w:tr w14:paraId="79D8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CD3AC8F">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623F21B">
            <w:pPr>
              <w:pStyle w:val="318"/>
              <w:spacing w:line="440" w:lineRule="exact"/>
              <w:ind w:firstLine="480" w:firstLineChars="200"/>
              <w:jc w:val="center"/>
              <w:rPr>
                <w:rFonts w:ascii="仿宋" w:hAnsi="仿宋" w:eastAsia="仿宋" w:cs="仿宋"/>
                <w:color w:val="auto"/>
                <w:sz w:val="24"/>
                <w:szCs w:val="24"/>
                <w:highlight w:val="none"/>
              </w:rPr>
            </w:pPr>
          </w:p>
        </w:tc>
      </w:tr>
    </w:tbl>
    <w:p w14:paraId="5F2058E7">
      <w:pPr>
        <w:spacing w:line="440" w:lineRule="exact"/>
        <w:ind w:firstLine="480" w:firstLineChars="200"/>
        <w:rPr>
          <w:rFonts w:ascii="仿宋" w:hAnsi="仿宋" w:eastAsia="仿宋" w:cs="仿宋"/>
          <w:color w:val="auto"/>
          <w:sz w:val="24"/>
          <w:highlight w:val="none"/>
        </w:rPr>
      </w:pPr>
      <w:bookmarkStart w:id="58" w:name="_Toc26916"/>
      <w:bookmarkStart w:id="59" w:name="_Toc14993"/>
      <w:bookmarkStart w:id="60" w:name="_Toc30158"/>
      <w:bookmarkStart w:id="61" w:name="_Toc3654"/>
      <w:bookmarkStart w:id="62"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171F064">
      <w:pPr>
        <w:pStyle w:val="3"/>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8"/>
    <w:bookmarkEnd w:id="59"/>
    <w:bookmarkEnd w:id="60"/>
    <w:bookmarkEnd w:id="61"/>
    <w:bookmarkEnd w:id="62"/>
    <w:p w14:paraId="03C34D02">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63" w:name="_Toc1814"/>
      <w:bookmarkStart w:id="64" w:name="_Toc10340"/>
      <w:bookmarkStart w:id="65" w:name="_Toc22618"/>
      <w:bookmarkStart w:id="66" w:name="_Toc31421"/>
      <w:bookmarkStart w:id="67" w:name="_Toc8772"/>
      <w:bookmarkStart w:id="68" w:name="_Toc11108"/>
      <w:bookmarkStart w:id="69" w:name="_Toc4760"/>
      <w:bookmarkStart w:id="70" w:name="_Toc3625"/>
      <w:r>
        <w:rPr>
          <w:rFonts w:hint="eastAsia" w:ascii="仿宋" w:hAnsi="仿宋" w:eastAsia="仿宋" w:cs="仿宋"/>
          <w:b/>
          <w:color w:val="auto"/>
          <w:highlight w:val="none"/>
        </w:rPr>
        <w:t>1.4履约保证金</w:t>
      </w:r>
    </w:p>
    <w:p w14:paraId="5DFDE4A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CBCD763">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6D88907">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DA142FC">
      <w:pPr>
        <w:pStyle w:val="3"/>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24FD6BC">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7223FB0">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3"/>
      <w:bookmarkEnd w:id="64"/>
      <w:bookmarkEnd w:id="65"/>
      <w:r>
        <w:rPr>
          <w:rFonts w:hint="eastAsia" w:ascii="仿宋" w:hAnsi="仿宋" w:eastAsia="仿宋" w:cs="仿宋"/>
          <w:b/>
          <w:color w:val="auto"/>
          <w:sz w:val="24"/>
          <w:highlight w:val="none"/>
        </w:rPr>
        <w:t>预付款</w:t>
      </w:r>
    </w:p>
    <w:p w14:paraId="17DEF535">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CCA25D2">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62C4591">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9BFD8B4">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F6BABC8">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67B5AA08">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BF3B174">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793137C">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6"/>
      <w:bookmarkEnd w:id="67"/>
      <w:bookmarkEnd w:id="68"/>
      <w:bookmarkEnd w:id="69"/>
      <w:bookmarkEnd w:id="70"/>
    </w:p>
    <w:p w14:paraId="10F0569A">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A36AB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64E53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D49853">
      <w:pPr>
        <w:spacing w:line="440" w:lineRule="exact"/>
        <w:ind w:firstLine="480" w:firstLineChars="200"/>
        <w:outlineLvl w:val="0"/>
        <w:rPr>
          <w:rFonts w:ascii="仿宋" w:hAnsi="仿宋" w:eastAsia="仿宋" w:cs="仿宋"/>
          <w:bCs/>
          <w:color w:val="auto"/>
          <w:sz w:val="24"/>
          <w:highlight w:val="none"/>
        </w:rPr>
      </w:pPr>
      <w:bookmarkStart w:id="71" w:name="_Toc24662"/>
      <w:bookmarkStart w:id="72" w:name="_Toc3079"/>
      <w:bookmarkStart w:id="73" w:name="_Toc8586"/>
      <w:bookmarkStart w:id="74" w:name="_Toc5698"/>
      <w:bookmarkStart w:id="75" w:name="_Toc2375"/>
      <w:r>
        <w:rPr>
          <w:rFonts w:hint="eastAsia" w:ascii="仿宋" w:hAnsi="仿宋" w:eastAsia="仿宋" w:cs="仿宋"/>
          <w:bCs/>
          <w:color w:val="auto"/>
          <w:sz w:val="24"/>
          <w:highlight w:val="none"/>
        </w:rPr>
        <w:t>1.7.4若服务涉及货物的，则货物的：</w:t>
      </w:r>
    </w:p>
    <w:p w14:paraId="279C724E">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3AB3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C92CF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1BD6A0">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1"/>
      <w:bookmarkEnd w:id="72"/>
      <w:bookmarkEnd w:id="73"/>
      <w:bookmarkEnd w:id="74"/>
      <w:bookmarkEnd w:id="75"/>
    </w:p>
    <w:p w14:paraId="2150C5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49A4B39">
      <w:pPr>
        <w:pStyle w:val="3"/>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D34DC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57260C8">
      <w:pPr>
        <w:spacing w:line="440" w:lineRule="exact"/>
        <w:ind w:firstLine="480" w:firstLineChars="200"/>
        <w:rPr>
          <w:rFonts w:ascii="仿宋" w:hAnsi="仿宋" w:eastAsia="仿宋" w:cs="仿宋"/>
          <w:color w:val="auto"/>
          <w:sz w:val="24"/>
          <w:highlight w:val="none"/>
        </w:rPr>
      </w:pPr>
      <w:bookmarkStart w:id="76" w:name="_Toc18683"/>
      <w:bookmarkStart w:id="77" w:name="_Toc9497"/>
      <w:bookmarkStart w:id="78" w:name="_Toc26807"/>
      <w:bookmarkStart w:id="79" w:name="_Toc32454"/>
      <w:bookmarkStart w:id="80"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10CD90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CEFF68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47D7522">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6"/>
    <w:bookmarkEnd w:id="77"/>
    <w:bookmarkEnd w:id="78"/>
    <w:bookmarkEnd w:id="79"/>
    <w:bookmarkEnd w:id="80"/>
    <w:p w14:paraId="6D87DF1F">
      <w:pPr>
        <w:spacing w:line="440" w:lineRule="exact"/>
        <w:ind w:firstLine="482" w:firstLineChars="200"/>
        <w:outlineLvl w:val="0"/>
        <w:rPr>
          <w:rFonts w:ascii="仿宋" w:hAnsi="仿宋" w:eastAsia="仿宋" w:cs="仿宋"/>
          <w:b/>
          <w:color w:val="auto"/>
          <w:sz w:val="24"/>
          <w:highlight w:val="none"/>
        </w:rPr>
      </w:pPr>
      <w:bookmarkStart w:id="81" w:name="_Toc28375"/>
      <w:bookmarkStart w:id="82" w:name="_Toc15583"/>
      <w:bookmarkStart w:id="83" w:name="_Toc16021"/>
      <w:r>
        <w:rPr>
          <w:rFonts w:hint="eastAsia" w:ascii="仿宋" w:hAnsi="仿宋" w:eastAsia="仿宋" w:cs="仿宋"/>
          <w:b/>
          <w:color w:val="auto"/>
          <w:sz w:val="24"/>
          <w:highlight w:val="none"/>
        </w:rPr>
        <w:t>1.9合同争议的解决</w:t>
      </w:r>
      <w:bookmarkEnd w:id="81"/>
      <w:bookmarkEnd w:id="82"/>
      <w:bookmarkEnd w:id="83"/>
    </w:p>
    <w:p w14:paraId="536942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740DEEB6">
      <w:pPr>
        <w:spacing w:line="440" w:lineRule="exact"/>
        <w:ind w:firstLine="482" w:firstLineChars="200"/>
        <w:outlineLvl w:val="0"/>
        <w:rPr>
          <w:rFonts w:ascii="仿宋" w:hAnsi="仿宋" w:eastAsia="仿宋" w:cs="仿宋"/>
          <w:b/>
          <w:color w:val="auto"/>
          <w:sz w:val="24"/>
          <w:highlight w:val="none"/>
        </w:rPr>
      </w:pPr>
      <w:bookmarkStart w:id="84" w:name="_Toc11173"/>
      <w:bookmarkStart w:id="85" w:name="_Toc15322"/>
      <w:bookmarkStart w:id="86" w:name="_Toc7245"/>
      <w:r>
        <w:rPr>
          <w:rFonts w:hint="eastAsia" w:ascii="仿宋" w:hAnsi="仿宋" w:eastAsia="仿宋" w:cs="仿宋"/>
          <w:b/>
          <w:color w:val="auto"/>
          <w:sz w:val="24"/>
          <w:highlight w:val="none"/>
        </w:rPr>
        <w:t>2.0 合同生效</w:t>
      </w:r>
      <w:bookmarkEnd w:id="84"/>
      <w:bookmarkEnd w:id="85"/>
      <w:bookmarkEnd w:id="86"/>
    </w:p>
    <w:p w14:paraId="21CB627A">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9B90A2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51F5D8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20A01E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3584E2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4AFED67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1544B29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2D80D0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D39B4A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F22C2A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7D87E7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2EBDD79">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BBB490">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BFE709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E610B3B">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7152F1C">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4A219804">
      <w:pPr>
        <w:pStyle w:val="700"/>
        <w:spacing w:after="0" w:line="44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C113CB0">
      <w:pPr>
        <w:spacing w:line="440" w:lineRule="exact"/>
        <w:ind w:firstLine="482" w:firstLineChars="200"/>
        <w:outlineLvl w:val="0"/>
        <w:rPr>
          <w:rFonts w:ascii="仿宋" w:hAnsi="仿宋" w:eastAsia="仿宋" w:cs="仿宋"/>
          <w:b/>
          <w:color w:val="auto"/>
          <w:sz w:val="24"/>
          <w:highlight w:val="none"/>
        </w:rPr>
      </w:pPr>
      <w:bookmarkStart w:id="87" w:name="_Toc14021"/>
      <w:bookmarkStart w:id="88" w:name="_Toc25079"/>
      <w:bookmarkStart w:id="89" w:name="_Toc5228"/>
      <w:bookmarkStart w:id="90" w:name="_Toc19680"/>
      <w:bookmarkStart w:id="91" w:name="_Toc31297"/>
      <w:r>
        <w:rPr>
          <w:rFonts w:hint="eastAsia" w:ascii="仿宋" w:hAnsi="仿宋" w:eastAsia="仿宋" w:cs="仿宋"/>
          <w:b/>
          <w:color w:val="auto"/>
          <w:sz w:val="24"/>
          <w:highlight w:val="none"/>
        </w:rPr>
        <w:t>2.1 定义</w:t>
      </w:r>
      <w:bookmarkEnd w:id="87"/>
      <w:bookmarkEnd w:id="88"/>
      <w:bookmarkEnd w:id="89"/>
      <w:bookmarkEnd w:id="90"/>
      <w:bookmarkEnd w:id="91"/>
    </w:p>
    <w:p w14:paraId="4D70412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1D6F59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3A0360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2DCD24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98DF8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C6532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1464F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98969F8">
      <w:pPr>
        <w:spacing w:line="440" w:lineRule="exact"/>
        <w:ind w:firstLine="482" w:firstLineChars="200"/>
        <w:outlineLvl w:val="0"/>
        <w:rPr>
          <w:rFonts w:ascii="仿宋" w:hAnsi="仿宋" w:eastAsia="仿宋" w:cs="仿宋"/>
          <w:b/>
          <w:color w:val="auto"/>
          <w:sz w:val="24"/>
          <w:highlight w:val="none"/>
        </w:rPr>
      </w:pPr>
      <w:bookmarkStart w:id="92" w:name="_Toc3769"/>
      <w:bookmarkStart w:id="93" w:name="_Toc31402"/>
      <w:bookmarkStart w:id="94" w:name="_Toc23289"/>
      <w:bookmarkStart w:id="95" w:name="_Toc19539"/>
      <w:bookmarkStart w:id="96" w:name="_Toc16752"/>
      <w:r>
        <w:rPr>
          <w:rFonts w:hint="eastAsia" w:ascii="仿宋" w:hAnsi="仿宋" w:eastAsia="仿宋" w:cs="仿宋"/>
          <w:b/>
          <w:color w:val="auto"/>
          <w:sz w:val="24"/>
          <w:highlight w:val="none"/>
        </w:rPr>
        <w:t>2.2 技术规范</w:t>
      </w:r>
      <w:bookmarkEnd w:id="92"/>
      <w:bookmarkEnd w:id="93"/>
      <w:bookmarkEnd w:id="94"/>
      <w:bookmarkEnd w:id="95"/>
      <w:bookmarkEnd w:id="96"/>
    </w:p>
    <w:p w14:paraId="5D7CC5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C50D5E2">
      <w:pPr>
        <w:spacing w:line="440" w:lineRule="exact"/>
        <w:ind w:firstLine="482" w:firstLineChars="200"/>
        <w:outlineLvl w:val="0"/>
        <w:rPr>
          <w:rFonts w:ascii="仿宋" w:hAnsi="仿宋" w:eastAsia="仿宋" w:cs="仿宋"/>
          <w:b/>
          <w:color w:val="auto"/>
          <w:sz w:val="24"/>
          <w:highlight w:val="none"/>
        </w:rPr>
      </w:pPr>
      <w:bookmarkStart w:id="97" w:name="_Toc12412"/>
      <w:bookmarkStart w:id="98" w:name="_Toc13673"/>
      <w:bookmarkStart w:id="99" w:name="_Toc4133"/>
      <w:bookmarkStart w:id="100" w:name="_Toc9161"/>
      <w:bookmarkStart w:id="101" w:name="_Toc27945"/>
      <w:r>
        <w:rPr>
          <w:rFonts w:hint="eastAsia" w:ascii="仿宋" w:hAnsi="仿宋" w:eastAsia="仿宋" w:cs="仿宋"/>
          <w:b/>
          <w:color w:val="auto"/>
          <w:sz w:val="24"/>
          <w:highlight w:val="none"/>
        </w:rPr>
        <w:t>2.3 知识产权</w:t>
      </w:r>
      <w:bookmarkEnd w:id="97"/>
      <w:bookmarkEnd w:id="98"/>
      <w:bookmarkEnd w:id="99"/>
      <w:bookmarkEnd w:id="100"/>
      <w:bookmarkEnd w:id="101"/>
    </w:p>
    <w:p w14:paraId="4D11A2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82AA1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540C43">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163DF1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4C55EB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C9E347B">
      <w:pPr>
        <w:spacing w:line="440" w:lineRule="exact"/>
        <w:ind w:firstLine="482" w:firstLineChars="200"/>
        <w:outlineLvl w:val="0"/>
        <w:rPr>
          <w:rFonts w:ascii="仿宋" w:hAnsi="仿宋" w:eastAsia="仿宋" w:cs="仿宋"/>
          <w:b/>
          <w:color w:val="auto"/>
          <w:sz w:val="24"/>
          <w:highlight w:val="none"/>
        </w:rPr>
      </w:pPr>
      <w:bookmarkStart w:id="102" w:name="_Toc26555"/>
      <w:bookmarkStart w:id="103" w:name="_Toc31233"/>
      <w:bookmarkStart w:id="104" w:name="_Toc15447"/>
      <w:bookmarkStart w:id="105" w:name="_Toc32670"/>
      <w:bookmarkStart w:id="106" w:name="_Toc22011"/>
      <w:r>
        <w:rPr>
          <w:rFonts w:hint="eastAsia" w:ascii="仿宋" w:hAnsi="仿宋" w:eastAsia="仿宋" w:cs="仿宋"/>
          <w:b/>
          <w:color w:val="auto"/>
          <w:sz w:val="24"/>
          <w:highlight w:val="none"/>
        </w:rPr>
        <w:t>2.5 结算方式和付款条件</w:t>
      </w:r>
      <w:bookmarkEnd w:id="102"/>
      <w:bookmarkEnd w:id="103"/>
      <w:bookmarkEnd w:id="104"/>
      <w:bookmarkEnd w:id="105"/>
      <w:bookmarkEnd w:id="106"/>
    </w:p>
    <w:p w14:paraId="2D1B010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99CB3BD">
      <w:pPr>
        <w:spacing w:line="440" w:lineRule="exact"/>
        <w:ind w:firstLine="482" w:firstLineChars="200"/>
        <w:outlineLvl w:val="0"/>
        <w:rPr>
          <w:rFonts w:ascii="仿宋" w:hAnsi="仿宋" w:eastAsia="仿宋" w:cs="仿宋"/>
          <w:b/>
          <w:color w:val="auto"/>
          <w:sz w:val="24"/>
          <w:highlight w:val="none"/>
        </w:rPr>
      </w:pPr>
      <w:bookmarkStart w:id="107" w:name="_Toc16163"/>
      <w:bookmarkStart w:id="108" w:name="_Toc13467"/>
      <w:bookmarkStart w:id="109" w:name="_Toc30507"/>
      <w:bookmarkStart w:id="110" w:name="_Toc13154"/>
      <w:bookmarkStart w:id="111" w:name="_Toc18990"/>
      <w:r>
        <w:rPr>
          <w:rFonts w:hint="eastAsia" w:ascii="仿宋" w:hAnsi="仿宋" w:eastAsia="仿宋" w:cs="仿宋"/>
          <w:b/>
          <w:color w:val="auto"/>
          <w:sz w:val="24"/>
          <w:highlight w:val="none"/>
        </w:rPr>
        <w:t>2.6 技术资料和保密义务</w:t>
      </w:r>
      <w:bookmarkEnd w:id="107"/>
      <w:bookmarkEnd w:id="108"/>
      <w:bookmarkEnd w:id="109"/>
      <w:bookmarkEnd w:id="110"/>
      <w:bookmarkEnd w:id="111"/>
    </w:p>
    <w:p w14:paraId="378AC03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DE3E89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240D58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E9371D">
      <w:pPr>
        <w:spacing w:line="440" w:lineRule="exact"/>
        <w:ind w:firstLine="482" w:firstLineChars="200"/>
        <w:outlineLvl w:val="0"/>
        <w:rPr>
          <w:rFonts w:ascii="仿宋" w:hAnsi="仿宋" w:eastAsia="仿宋" w:cs="仿宋"/>
          <w:b/>
          <w:color w:val="auto"/>
          <w:sz w:val="24"/>
          <w:highlight w:val="none"/>
        </w:rPr>
      </w:pPr>
      <w:bookmarkStart w:id="112" w:name="_Toc19069"/>
      <w:r>
        <w:rPr>
          <w:rFonts w:hint="eastAsia" w:ascii="仿宋" w:hAnsi="仿宋" w:eastAsia="仿宋" w:cs="仿宋"/>
          <w:b/>
          <w:color w:val="auto"/>
          <w:sz w:val="24"/>
          <w:highlight w:val="none"/>
        </w:rPr>
        <w:t>2.7 质量保证</w:t>
      </w:r>
      <w:bookmarkEnd w:id="112"/>
    </w:p>
    <w:p w14:paraId="5DD0A1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659B4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AA7BBD1">
      <w:pPr>
        <w:spacing w:line="440" w:lineRule="exact"/>
        <w:ind w:firstLine="482" w:firstLineChars="200"/>
        <w:outlineLvl w:val="0"/>
        <w:rPr>
          <w:rFonts w:ascii="仿宋" w:hAnsi="仿宋" w:eastAsia="仿宋" w:cs="仿宋"/>
          <w:b/>
          <w:color w:val="auto"/>
          <w:sz w:val="24"/>
          <w:highlight w:val="none"/>
        </w:rPr>
      </w:pPr>
      <w:bookmarkStart w:id="113" w:name="_Toc22267"/>
      <w:r>
        <w:rPr>
          <w:rFonts w:hint="eastAsia" w:ascii="仿宋" w:hAnsi="仿宋" w:eastAsia="仿宋" w:cs="仿宋"/>
          <w:b/>
          <w:color w:val="auto"/>
          <w:sz w:val="24"/>
          <w:highlight w:val="none"/>
        </w:rPr>
        <w:t>2.8 延迟履行</w:t>
      </w:r>
      <w:bookmarkEnd w:id="113"/>
    </w:p>
    <w:p w14:paraId="7C19194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E2EBFA9">
      <w:pPr>
        <w:spacing w:line="440" w:lineRule="exact"/>
        <w:ind w:firstLine="482" w:firstLineChars="200"/>
        <w:outlineLvl w:val="0"/>
        <w:rPr>
          <w:rFonts w:ascii="仿宋" w:hAnsi="仿宋" w:eastAsia="仿宋" w:cs="仿宋"/>
          <w:b/>
          <w:color w:val="auto"/>
          <w:sz w:val="24"/>
          <w:highlight w:val="none"/>
        </w:rPr>
      </w:pPr>
      <w:bookmarkStart w:id="114" w:name="_Toc10611"/>
      <w:r>
        <w:rPr>
          <w:rFonts w:hint="eastAsia" w:ascii="仿宋" w:hAnsi="仿宋" w:eastAsia="仿宋" w:cs="仿宋"/>
          <w:b/>
          <w:color w:val="auto"/>
          <w:sz w:val="24"/>
          <w:highlight w:val="none"/>
        </w:rPr>
        <w:t>2.9 合同变更</w:t>
      </w:r>
      <w:bookmarkEnd w:id="114"/>
    </w:p>
    <w:p w14:paraId="578444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8DD7C6B">
      <w:pPr>
        <w:spacing w:line="440" w:lineRule="exact"/>
        <w:ind w:firstLine="482" w:firstLineChars="200"/>
        <w:outlineLvl w:val="0"/>
        <w:rPr>
          <w:rFonts w:ascii="仿宋" w:hAnsi="仿宋" w:eastAsia="仿宋" w:cs="仿宋"/>
          <w:b/>
          <w:color w:val="auto"/>
          <w:sz w:val="24"/>
          <w:highlight w:val="none"/>
        </w:rPr>
      </w:pPr>
      <w:bookmarkStart w:id="115" w:name="_Toc21830"/>
      <w:bookmarkStart w:id="116" w:name="_Toc42"/>
      <w:bookmarkStart w:id="117" w:name="_Toc23368"/>
      <w:bookmarkStart w:id="118" w:name="_Toc10663"/>
      <w:bookmarkStart w:id="119" w:name="_Toc26689"/>
      <w:r>
        <w:rPr>
          <w:rFonts w:hint="eastAsia" w:ascii="仿宋" w:hAnsi="仿宋" w:eastAsia="仿宋" w:cs="仿宋"/>
          <w:b/>
          <w:color w:val="auto"/>
          <w:sz w:val="24"/>
          <w:highlight w:val="none"/>
        </w:rPr>
        <w:t>2.10 合同转让和分包</w:t>
      </w:r>
      <w:bookmarkEnd w:id="115"/>
      <w:bookmarkEnd w:id="116"/>
      <w:bookmarkEnd w:id="117"/>
      <w:bookmarkEnd w:id="118"/>
      <w:bookmarkEnd w:id="119"/>
    </w:p>
    <w:p w14:paraId="2FF498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094F0A6">
      <w:pPr>
        <w:spacing w:line="440" w:lineRule="exact"/>
        <w:ind w:firstLine="482" w:firstLineChars="200"/>
        <w:outlineLvl w:val="0"/>
        <w:rPr>
          <w:rFonts w:ascii="仿宋" w:hAnsi="仿宋" w:eastAsia="仿宋" w:cs="仿宋"/>
          <w:b/>
          <w:color w:val="auto"/>
          <w:sz w:val="24"/>
          <w:highlight w:val="none"/>
        </w:rPr>
      </w:pPr>
      <w:bookmarkStart w:id="120" w:name="_Toc14371"/>
      <w:bookmarkStart w:id="121" w:name="_Toc25571"/>
      <w:bookmarkStart w:id="122" w:name="_Toc4720"/>
      <w:bookmarkStart w:id="123" w:name="_Toc26633"/>
      <w:bookmarkStart w:id="124" w:name="_Toc32494"/>
      <w:r>
        <w:rPr>
          <w:rFonts w:hint="eastAsia" w:ascii="仿宋" w:hAnsi="仿宋" w:eastAsia="仿宋" w:cs="仿宋"/>
          <w:b/>
          <w:color w:val="auto"/>
          <w:sz w:val="24"/>
          <w:highlight w:val="none"/>
        </w:rPr>
        <w:t>2.11 不可抗力</w:t>
      </w:r>
      <w:bookmarkEnd w:id="120"/>
      <w:bookmarkEnd w:id="121"/>
      <w:bookmarkEnd w:id="122"/>
      <w:bookmarkEnd w:id="123"/>
      <w:bookmarkEnd w:id="124"/>
    </w:p>
    <w:p w14:paraId="6CC374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07666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E5321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EE991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6C1735A">
      <w:pPr>
        <w:spacing w:line="440" w:lineRule="exact"/>
        <w:ind w:firstLine="482" w:firstLineChars="200"/>
        <w:outlineLvl w:val="0"/>
        <w:rPr>
          <w:rFonts w:ascii="仿宋" w:hAnsi="仿宋" w:eastAsia="仿宋" w:cs="仿宋"/>
          <w:b/>
          <w:color w:val="auto"/>
          <w:sz w:val="24"/>
          <w:highlight w:val="none"/>
        </w:rPr>
      </w:pPr>
      <w:bookmarkStart w:id="125" w:name="_Toc14115"/>
      <w:bookmarkStart w:id="126" w:name="_Toc3638"/>
      <w:bookmarkStart w:id="127" w:name="_Toc25783"/>
      <w:bookmarkStart w:id="128" w:name="_Toc23854"/>
      <w:bookmarkStart w:id="129" w:name="_Toc24465"/>
      <w:r>
        <w:rPr>
          <w:rFonts w:hint="eastAsia" w:ascii="仿宋" w:hAnsi="仿宋" w:eastAsia="仿宋" w:cs="仿宋"/>
          <w:b/>
          <w:color w:val="auto"/>
          <w:sz w:val="24"/>
          <w:highlight w:val="none"/>
        </w:rPr>
        <w:t>2.12 税费</w:t>
      </w:r>
      <w:bookmarkEnd w:id="125"/>
      <w:bookmarkEnd w:id="126"/>
      <w:bookmarkEnd w:id="127"/>
      <w:bookmarkEnd w:id="128"/>
      <w:bookmarkEnd w:id="129"/>
    </w:p>
    <w:p w14:paraId="5B5FED4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AC5687D">
      <w:pPr>
        <w:spacing w:line="440" w:lineRule="exact"/>
        <w:ind w:firstLine="482" w:firstLineChars="200"/>
        <w:outlineLvl w:val="0"/>
        <w:rPr>
          <w:rFonts w:ascii="仿宋" w:hAnsi="仿宋" w:eastAsia="仿宋" w:cs="仿宋"/>
          <w:b/>
          <w:color w:val="auto"/>
          <w:sz w:val="24"/>
          <w:highlight w:val="none"/>
        </w:rPr>
      </w:pPr>
      <w:bookmarkStart w:id="130" w:name="_Toc26883"/>
      <w:bookmarkStart w:id="131" w:name="_Toc30105"/>
      <w:bookmarkStart w:id="132" w:name="_Toc7315"/>
      <w:bookmarkStart w:id="133" w:name="_Toc25525"/>
      <w:bookmarkStart w:id="134" w:name="_Toc14814"/>
      <w:r>
        <w:rPr>
          <w:rFonts w:hint="eastAsia" w:ascii="仿宋" w:hAnsi="仿宋" w:eastAsia="仿宋" w:cs="仿宋"/>
          <w:b/>
          <w:color w:val="auto"/>
          <w:sz w:val="24"/>
          <w:highlight w:val="none"/>
        </w:rPr>
        <w:t>2.13 乙方破产</w:t>
      </w:r>
      <w:bookmarkEnd w:id="130"/>
      <w:bookmarkEnd w:id="131"/>
      <w:bookmarkEnd w:id="132"/>
      <w:bookmarkEnd w:id="133"/>
      <w:bookmarkEnd w:id="134"/>
    </w:p>
    <w:p w14:paraId="336C38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46E9731">
      <w:pPr>
        <w:spacing w:line="440" w:lineRule="exact"/>
        <w:ind w:firstLine="482" w:firstLineChars="200"/>
        <w:outlineLvl w:val="0"/>
        <w:rPr>
          <w:rFonts w:ascii="仿宋" w:hAnsi="仿宋" w:eastAsia="仿宋" w:cs="仿宋"/>
          <w:b/>
          <w:color w:val="auto"/>
          <w:sz w:val="24"/>
          <w:highlight w:val="none"/>
        </w:rPr>
      </w:pPr>
      <w:bookmarkStart w:id="135" w:name="_Toc1123"/>
      <w:bookmarkStart w:id="136" w:name="_Toc23323"/>
      <w:bookmarkStart w:id="137" w:name="_Toc2016"/>
      <w:r>
        <w:rPr>
          <w:rFonts w:hint="eastAsia" w:ascii="仿宋" w:hAnsi="仿宋" w:eastAsia="仿宋" w:cs="仿宋"/>
          <w:b/>
          <w:color w:val="auto"/>
          <w:sz w:val="24"/>
          <w:highlight w:val="none"/>
        </w:rPr>
        <w:t>2.14 合同中止、终止</w:t>
      </w:r>
      <w:bookmarkEnd w:id="135"/>
      <w:bookmarkEnd w:id="136"/>
      <w:bookmarkEnd w:id="137"/>
    </w:p>
    <w:p w14:paraId="4481615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07C64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C8C27F9">
      <w:pPr>
        <w:spacing w:line="440" w:lineRule="exact"/>
        <w:ind w:firstLine="482" w:firstLineChars="200"/>
        <w:outlineLvl w:val="0"/>
        <w:rPr>
          <w:rFonts w:ascii="仿宋" w:hAnsi="仿宋" w:eastAsia="仿宋" w:cs="仿宋"/>
          <w:b/>
          <w:color w:val="auto"/>
          <w:sz w:val="24"/>
          <w:highlight w:val="none"/>
        </w:rPr>
      </w:pPr>
      <w:bookmarkStart w:id="138" w:name="_Toc17363"/>
      <w:bookmarkStart w:id="139" w:name="_Toc1969"/>
      <w:bookmarkStart w:id="140" w:name="_Toc14525"/>
      <w:r>
        <w:rPr>
          <w:rFonts w:hint="eastAsia" w:ascii="仿宋" w:hAnsi="仿宋" w:eastAsia="仿宋" w:cs="仿宋"/>
          <w:b/>
          <w:color w:val="auto"/>
          <w:sz w:val="24"/>
          <w:highlight w:val="none"/>
        </w:rPr>
        <w:t>2.15 检验和验收</w:t>
      </w:r>
      <w:bookmarkEnd w:id="138"/>
      <w:bookmarkEnd w:id="139"/>
      <w:bookmarkEnd w:id="140"/>
    </w:p>
    <w:p w14:paraId="1673BE92">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02195340">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722C51D">
      <w:pPr>
        <w:tabs>
          <w:tab w:val="left" w:pos="360"/>
          <w:tab w:val="left" w:pos="540"/>
          <w:tab w:val="left" w:pos="108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3655A4D">
      <w:pPr>
        <w:spacing w:line="440" w:lineRule="exact"/>
        <w:ind w:firstLine="482" w:firstLineChars="200"/>
        <w:outlineLvl w:val="0"/>
        <w:rPr>
          <w:rFonts w:ascii="仿宋" w:hAnsi="仿宋" w:eastAsia="仿宋" w:cs="仿宋"/>
          <w:b/>
          <w:color w:val="auto"/>
          <w:sz w:val="24"/>
          <w:highlight w:val="none"/>
        </w:rPr>
      </w:pPr>
      <w:bookmarkStart w:id="141" w:name="_Toc2308"/>
      <w:bookmarkStart w:id="142" w:name="_Toc9808"/>
      <w:bookmarkStart w:id="143" w:name="_Toc12666"/>
      <w:bookmarkStart w:id="144" w:name="_Toc31892"/>
      <w:bookmarkStart w:id="145" w:name="_Toc25198"/>
      <w:r>
        <w:rPr>
          <w:rFonts w:hint="eastAsia" w:ascii="仿宋" w:hAnsi="仿宋" w:eastAsia="仿宋" w:cs="仿宋"/>
          <w:b/>
          <w:color w:val="auto"/>
          <w:sz w:val="24"/>
          <w:highlight w:val="none"/>
        </w:rPr>
        <w:t>2.16 通知和送达</w:t>
      </w:r>
      <w:bookmarkEnd w:id="141"/>
      <w:bookmarkEnd w:id="142"/>
      <w:bookmarkEnd w:id="143"/>
      <w:bookmarkEnd w:id="144"/>
      <w:bookmarkEnd w:id="145"/>
    </w:p>
    <w:p w14:paraId="3A8622FC">
      <w:pPr>
        <w:spacing w:line="440" w:lineRule="exact"/>
        <w:ind w:firstLine="480" w:firstLineChars="200"/>
        <w:rPr>
          <w:rFonts w:ascii="仿宋" w:hAnsi="仿宋" w:eastAsia="仿宋" w:cs="仿宋"/>
          <w:color w:val="auto"/>
          <w:sz w:val="24"/>
          <w:highlight w:val="none"/>
        </w:rPr>
      </w:pPr>
      <w:bookmarkStart w:id="146" w:name="_Toc27674"/>
      <w:bookmarkStart w:id="147"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E5799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797D9B58">
      <w:pPr>
        <w:spacing w:line="440" w:lineRule="exact"/>
        <w:ind w:firstLine="482" w:firstLineChars="200"/>
        <w:outlineLvl w:val="0"/>
        <w:rPr>
          <w:rFonts w:ascii="仿宋" w:hAnsi="仿宋" w:eastAsia="仿宋" w:cs="仿宋"/>
          <w:b/>
          <w:color w:val="auto"/>
          <w:sz w:val="24"/>
          <w:highlight w:val="none"/>
        </w:rPr>
      </w:pPr>
      <w:bookmarkStart w:id="148" w:name="_Toc27644"/>
      <w:bookmarkStart w:id="149" w:name="_Toc12254"/>
      <w:bookmarkStart w:id="150" w:name="_Toc20808"/>
      <w:bookmarkStart w:id="151" w:name="_Toc5063"/>
      <w:bookmarkStart w:id="152" w:name="_Toc28906"/>
      <w:r>
        <w:rPr>
          <w:rFonts w:hint="eastAsia" w:ascii="仿宋" w:hAnsi="仿宋" w:eastAsia="仿宋" w:cs="仿宋"/>
          <w:b/>
          <w:color w:val="auto"/>
          <w:sz w:val="24"/>
          <w:highlight w:val="none"/>
        </w:rPr>
        <w:t>2.17 合同使用的文字和适用的法律</w:t>
      </w:r>
      <w:bookmarkEnd w:id="148"/>
      <w:bookmarkEnd w:id="149"/>
      <w:bookmarkEnd w:id="150"/>
      <w:bookmarkEnd w:id="151"/>
      <w:bookmarkEnd w:id="152"/>
    </w:p>
    <w:p w14:paraId="561BCA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70CEF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0BF9AD9">
      <w:pPr>
        <w:spacing w:line="440" w:lineRule="exact"/>
        <w:ind w:firstLine="482" w:firstLineChars="200"/>
        <w:outlineLvl w:val="0"/>
        <w:rPr>
          <w:rFonts w:ascii="仿宋" w:hAnsi="仿宋" w:eastAsia="仿宋" w:cs="仿宋"/>
          <w:b/>
          <w:color w:val="auto"/>
          <w:sz w:val="24"/>
          <w:highlight w:val="none"/>
        </w:rPr>
      </w:pPr>
      <w:bookmarkStart w:id="153" w:name="_Toc30599"/>
      <w:bookmarkStart w:id="154" w:name="_Toc4355"/>
      <w:bookmarkStart w:id="155" w:name="_Toc18540"/>
      <w:r>
        <w:rPr>
          <w:rFonts w:hint="eastAsia" w:ascii="仿宋" w:hAnsi="仿宋" w:eastAsia="仿宋" w:cs="仿宋"/>
          <w:b/>
          <w:color w:val="auto"/>
          <w:sz w:val="24"/>
          <w:highlight w:val="none"/>
        </w:rPr>
        <w:t>2.18 计量单位</w:t>
      </w:r>
      <w:bookmarkEnd w:id="153"/>
      <w:bookmarkEnd w:id="154"/>
      <w:bookmarkEnd w:id="155"/>
    </w:p>
    <w:p w14:paraId="0B4C15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04B62B4">
      <w:pPr>
        <w:spacing w:line="440" w:lineRule="exact"/>
        <w:ind w:firstLine="482" w:firstLineChars="200"/>
        <w:outlineLvl w:val="0"/>
        <w:rPr>
          <w:rFonts w:ascii="仿宋" w:hAnsi="仿宋" w:eastAsia="仿宋" w:cs="仿宋"/>
          <w:b/>
          <w:color w:val="auto"/>
          <w:sz w:val="24"/>
          <w:highlight w:val="none"/>
        </w:rPr>
      </w:pPr>
      <w:bookmarkStart w:id="156" w:name="_Toc487900373"/>
      <w:bookmarkStart w:id="157" w:name="_Toc12773"/>
      <w:bookmarkStart w:id="158" w:name="_Toc10330"/>
      <w:bookmarkStart w:id="159" w:name="_Toc279701263"/>
      <w:bookmarkStart w:id="160" w:name="_Toc18567"/>
      <w:bookmarkStart w:id="161" w:name="_Toc259093692"/>
      <w:r>
        <w:rPr>
          <w:rFonts w:hint="eastAsia" w:ascii="仿宋" w:hAnsi="仿宋" w:eastAsia="仿宋" w:cs="仿宋"/>
          <w:b/>
          <w:color w:val="auto"/>
          <w:sz w:val="24"/>
          <w:highlight w:val="none"/>
        </w:rPr>
        <w:t>2.19 合同使用的文字和适用的法律</w:t>
      </w:r>
      <w:bookmarkEnd w:id="156"/>
      <w:bookmarkEnd w:id="157"/>
      <w:bookmarkEnd w:id="158"/>
      <w:bookmarkEnd w:id="159"/>
      <w:bookmarkEnd w:id="160"/>
      <w:bookmarkEnd w:id="161"/>
    </w:p>
    <w:p w14:paraId="6814DB0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BEC5F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FDB64D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301E6BE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732449B">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2" w:name="_Toc331685784"/>
      <w:r>
        <w:rPr>
          <w:rFonts w:hint="eastAsia" w:ascii="仿宋" w:hAnsi="仿宋" w:eastAsia="仿宋" w:cs="仿宋"/>
          <w:b/>
          <w:color w:val="auto"/>
          <w:sz w:val="24"/>
          <w:highlight w:val="none"/>
        </w:rPr>
        <w:t xml:space="preserve"> </w:t>
      </w:r>
      <w:bookmarkEnd w:id="162"/>
      <w:r>
        <w:rPr>
          <w:rFonts w:hint="eastAsia" w:ascii="仿宋" w:hAnsi="仿宋" w:eastAsia="仿宋" w:cs="仿宋"/>
          <w:b/>
          <w:color w:val="auto"/>
          <w:sz w:val="24"/>
          <w:highlight w:val="none"/>
        </w:rPr>
        <w:t>第三部分  合同专用条款</w:t>
      </w:r>
    </w:p>
    <w:p w14:paraId="156B065D">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D0F1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FE427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E54D5D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3A06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9020E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46B9980C">
            <w:pPr>
              <w:spacing w:line="360" w:lineRule="auto"/>
              <w:rPr>
                <w:rFonts w:ascii="仿宋" w:hAnsi="仿宋" w:eastAsia="仿宋" w:cs="仿宋"/>
                <w:color w:val="auto"/>
                <w:sz w:val="24"/>
                <w:highlight w:val="none"/>
              </w:rPr>
            </w:pPr>
          </w:p>
        </w:tc>
      </w:tr>
      <w:tr w14:paraId="7BF59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9C389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3BD02D6">
            <w:pPr>
              <w:spacing w:line="360" w:lineRule="auto"/>
              <w:rPr>
                <w:rFonts w:ascii="仿宋" w:hAnsi="仿宋" w:eastAsia="仿宋" w:cs="仿宋"/>
                <w:color w:val="auto"/>
                <w:sz w:val="24"/>
                <w:highlight w:val="none"/>
              </w:rPr>
            </w:pPr>
          </w:p>
        </w:tc>
      </w:tr>
      <w:tr w14:paraId="6DE7F0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F578D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6DA95E0">
            <w:pPr>
              <w:spacing w:line="360" w:lineRule="auto"/>
              <w:rPr>
                <w:rFonts w:ascii="仿宋" w:hAnsi="仿宋" w:eastAsia="仿宋" w:cs="仿宋"/>
                <w:color w:val="auto"/>
                <w:sz w:val="24"/>
                <w:highlight w:val="none"/>
              </w:rPr>
            </w:pPr>
          </w:p>
        </w:tc>
      </w:tr>
      <w:tr w14:paraId="46617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39892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0E565CB">
            <w:pPr>
              <w:spacing w:line="360" w:lineRule="auto"/>
              <w:rPr>
                <w:rFonts w:ascii="仿宋" w:hAnsi="仿宋" w:eastAsia="仿宋" w:cs="仿宋"/>
                <w:color w:val="auto"/>
                <w:sz w:val="24"/>
                <w:highlight w:val="none"/>
              </w:rPr>
            </w:pPr>
          </w:p>
        </w:tc>
      </w:tr>
      <w:tr w14:paraId="41D57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2DB7D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2AA2B072">
            <w:pPr>
              <w:spacing w:line="360" w:lineRule="auto"/>
              <w:rPr>
                <w:rFonts w:ascii="仿宋" w:hAnsi="仿宋" w:eastAsia="仿宋" w:cs="仿宋"/>
                <w:color w:val="auto"/>
                <w:sz w:val="24"/>
                <w:highlight w:val="none"/>
              </w:rPr>
            </w:pPr>
          </w:p>
        </w:tc>
      </w:tr>
      <w:tr w14:paraId="6E615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3482C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56197C27">
            <w:pPr>
              <w:spacing w:line="360" w:lineRule="auto"/>
              <w:rPr>
                <w:rFonts w:ascii="仿宋" w:hAnsi="仿宋" w:eastAsia="仿宋" w:cs="仿宋"/>
                <w:color w:val="auto"/>
                <w:sz w:val="24"/>
                <w:highlight w:val="none"/>
              </w:rPr>
            </w:pPr>
          </w:p>
        </w:tc>
      </w:tr>
      <w:tr w14:paraId="25031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AE20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08574072">
            <w:pPr>
              <w:spacing w:line="360" w:lineRule="auto"/>
              <w:rPr>
                <w:rFonts w:ascii="仿宋" w:hAnsi="仿宋" w:eastAsia="仿宋" w:cs="仿宋"/>
                <w:color w:val="auto"/>
                <w:sz w:val="24"/>
                <w:highlight w:val="none"/>
              </w:rPr>
            </w:pPr>
          </w:p>
        </w:tc>
      </w:tr>
      <w:tr w14:paraId="43F72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6B119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77924D78">
            <w:pPr>
              <w:spacing w:line="360" w:lineRule="auto"/>
              <w:rPr>
                <w:rFonts w:ascii="仿宋" w:hAnsi="仿宋" w:eastAsia="仿宋" w:cs="仿宋"/>
                <w:color w:val="auto"/>
                <w:sz w:val="24"/>
                <w:highlight w:val="none"/>
              </w:rPr>
            </w:pPr>
          </w:p>
        </w:tc>
      </w:tr>
      <w:tr w14:paraId="7B70D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8AD06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61C87DDB">
            <w:pPr>
              <w:spacing w:line="360" w:lineRule="auto"/>
              <w:rPr>
                <w:rFonts w:ascii="仿宋" w:hAnsi="仿宋" w:eastAsia="仿宋" w:cs="仿宋"/>
                <w:color w:val="auto"/>
                <w:sz w:val="24"/>
                <w:highlight w:val="none"/>
              </w:rPr>
            </w:pPr>
          </w:p>
        </w:tc>
      </w:tr>
      <w:tr w14:paraId="3715D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AE4B2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CAC2BA7">
            <w:pPr>
              <w:spacing w:line="360" w:lineRule="auto"/>
              <w:rPr>
                <w:rFonts w:ascii="仿宋" w:hAnsi="仿宋" w:eastAsia="仿宋" w:cs="仿宋"/>
                <w:color w:val="auto"/>
                <w:sz w:val="24"/>
                <w:highlight w:val="none"/>
              </w:rPr>
            </w:pPr>
          </w:p>
        </w:tc>
      </w:tr>
      <w:tr w14:paraId="0F126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B298A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DA34374">
            <w:pPr>
              <w:spacing w:line="360" w:lineRule="auto"/>
              <w:rPr>
                <w:rFonts w:ascii="仿宋" w:hAnsi="仿宋" w:eastAsia="仿宋" w:cs="仿宋"/>
                <w:color w:val="auto"/>
                <w:sz w:val="24"/>
                <w:highlight w:val="none"/>
              </w:rPr>
            </w:pPr>
          </w:p>
        </w:tc>
      </w:tr>
      <w:tr w14:paraId="24ACD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9ADA6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51D7CA4D">
            <w:pPr>
              <w:spacing w:line="360" w:lineRule="auto"/>
              <w:rPr>
                <w:rFonts w:ascii="仿宋" w:hAnsi="仿宋" w:eastAsia="仿宋" w:cs="仿宋"/>
                <w:color w:val="auto"/>
                <w:sz w:val="24"/>
                <w:highlight w:val="none"/>
              </w:rPr>
            </w:pPr>
          </w:p>
        </w:tc>
      </w:tr>
      <w:tr w14:paraId="4DF7A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E9A5C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57CCA8A4">
            <w:pPr>
              <w:spacing w:line="360" w:lineRule="auto"/>
              <w:rPr>
                <w:rFonts w:ascii="仿宋" w:hAnsi="仿宋" w:eastAsia="仿宋" w:cs="仿宋"/>
                <w:color w:val="auto"/>
                <w:sz w:val="24"/>
                <w:highlight w:val="none"/>
              </w:rPr>
            </w:pPr>
          </w:p>
        </w:tc>
      </w:tr>
      <w:tr w14:paraId="11C05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E5EBC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0514E1D9">
            <w:pPr>
              <w:spacing w:line="360" w:lineRule="auto"/>
              <w:rPr>
                <w:rFonts w:ascii="仿宋" w:hAnsi="仿宋" w:eastAsia="仿宋" w:cs="仿宋"/>
                <w:color w:val="auto"/>
                <w:sz w:val="24"/>
                <w:highlight w:val="none"/>
              </w:rPr>
            </w:pPr>
          </w:p>
        </w:tc>
      </w:tr>
      <w:tr w14:paraId="37D46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0BEC9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4C30F5B">
            <w:pPr>
              <w:spacing w:line="360" w:lineRule="auto"/>
              <w:rPr>
                <w:rFonts w:ascii="仿宋" w:hAnsi="仿宋" w:eastAsia="仿宋" w:cs="仿宋"/>
                <w:color w:val="auto"/>
                <w:sz w:val="24"/>
                <w:highlight w:val="none"/>
              </w:rPr>
            </w:pPr>
          </w:p>
        </w:tc>
      </w:tr>
      <w:tr w14:paraId="3C8B7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BC279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24E6DCD">
            <w:pPr>
              <w:spacing w:line="360" w:lineRule="auto"/>
              <w:ind w:left="-420" w:leftChars="-200" w:right="-420" w:rightChars="-200" w:firstLine="480" w:firstLineChars="200"/>
              <w:rPr>
                <w:rFonts w:ascii="仿宋" w:hAnsi="仿宋" w:eastAsia="仿宋" w:cs="仿宋"/>
                <w:color w:val="auto"/>
                <w:sz w:val="24"/>
                <w:highlight w:val="none"/>
              </w:rPr>
            </w:pPr>
          </w:p>
        </w:tc>
      </w:tr>
      <w:tr w14:paraId="3C585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91488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C101924">
            <w:pPr>
              <w:spacing w:line="360" w:lineRule="auto"/>
              <w:ind w:left="-420" w:leftChars="-200" w:right="-420" w:rightChars="-200" w:firstLine="480" w:firstLineChars="200"/>
              <w:rPr>
                <w:rFonts w:ascii="仿宋" w:hAnsi="仿宋" w:eastAsia="仿宋" w:cs="仿宋"/>
                <w:color w:val="auto"/>
                <w:sz w:val="24"/>
                <w:highlight w:val="none"/>
              </w:rPr>
            </w:pPr>
          </w:p>
        </w:tc>
      </w:tr>
      <w:tr w14:paraId="7C598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357B9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558CF8DE">
            <w:pPr>
              <w:spacing w:line="360" w:lineRule="auto"/>
              <w:rPr>
                <w:rFonts w:ascii="仿宋" w:hAnsi="仿宋" w:eastAsia="仿宋" w:cs="仿宋"/>
                <w:color w:val="auto"/>
                <w:sz w:val="24"/>
                <w:highlight w:val="none"/>
              </w:rPr>
            </w:pPr>
          </w:p>
        </w:tc>
      </w:tr>
      <w:tr w14:paraId="04943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8AA9EA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AD229C4">
            <w:pPr>
              <w:spacing w:line="360" w:lineRule="auto"/>
              <w:rPr>
                <w:rFonts w:ascii="仿宋" w:hAnsi="仿宋" w:eastAsia="仿宋" w:cs="仿宋"/>
                <w:color w:val="auto"/>
                <w:sz w:val="24"/>
                <w:highlight w:val="none"/>
              </w:rPr>
            </w:pPr>
          </w:p>
        </w:tc>
      </w:tr>
      <w:tr w14:paraId="40924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1DAEF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C14B0A">
            <w:pPr>
              <w:spacing w:line="360" w:lineRule="auto"/>
              <w:rPr>
                <w:rFonts w:ascii="仿宋" w:hAnsi="仿宋" w:eastAsia="仿宋" w:cs="仿宋"/>
                <w:color w:val="auto"/>
                <w:sz w:val="24"/>
                <w:highlight w:val="none"/>
              </w:rPr>
            </w:pPr>
          </w:p>
        </w:tc>
      </w:tr>
      <w:tr w14:paraId="2ABCB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75603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27DEADD0">
            <w:pPr>
              <w:spacing w:line="360" w:lineRule="auto"/>
              <w:rPr>
                <w:rFonts w:ascii="仿宋" w:hAnsi="仿宋" w:eastAsia="仿宋" w:cs="仿宋"/>
                <w:color w:val="auto"/>
                <w:sz w:val="24"/>
                <w:highlight w:val="none"/>
              </w:rPr>
            </w:pPr>
          </w:p>
        </w:tc>
      </w:tr>
      <w:tr w14:paraId="3DA7F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22D1CF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6CF89D81">
            <w:pPr>
              <w:spacing w:line="360" w:lineRule="auto"/>
              <w:rPr>
                <w:rFonts w:ascii="仿宋" w:hAnsi="仿宋" w:eastAsia="仿宋" w:cs="仿宋"/>
                <w:color w:val="auto"/>
                <w:sz w:val="24"/>
                <w:highlight w:val="none"/>
              </w:rPr>
            </w:pPr>
          </w:p>
        </w:tc>
      </w:tr>
    </w:tbl>
    <w:p w14:paraId="76BC583B">
      <w:pPr>
        <w:spacing w:line="360" w:lineRule="auto"/>
        <w:ind w:left="-420" w:leftChars="-200" w:right="-420" w:rightChars="-200" w:firstLine="480" w:firstLineChars="200"/>
        <w:rPr>
          <w:rFonts w:ascii="仿宋" w:hAnsi="仿宋" w:eastAsia="仿宋" w:cs="仿宋"/>
          <w:color w:val="auto"/>
          <w:sz w:val="24"/>
          <w:highlight w:val="none"/>
        </w:rPr>
      </w:pPr>
    </w:p>
    <w:p w14:paraId="5F6BB2B8">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6C929F0A">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D30623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DDEE90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C84E45F">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07036FC">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AD3C275">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分。评分依下述所列为评标打分依据，分值如下（计算分值时，按其算术平均值保留小数2位）。</w:t>
      </w:r>
    </w:p>
    <w:p w14:paraId="322B0568">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6</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696"/>
        <w:gridCol w:w="6272"/>
        <w:gridCol w:w="491"/>
      </w:tblGrid>
      <w:tr w14:paraId="393C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73" w:type="pct"/>
            <w:shd w:val="clear" w:color="000000" w:fill="FFFFFF"/>
            <w:noWrap w:val="0"/>
            <w:vAlign w:val="top"/>
          </w:tcPr>
          <w:p w14:paraId="14701E54">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947" w:type="pct"/>
            <w:shd w:val="clear" w:color="000000" w:fill="FFFFFF"/>
            <w:noWrap w:val="0"/>
            <w:vAlign w:val="center"/>
          </w:tcPr>
          <w:p w14:paraId="0F13DF9C">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评审项目</w:t>
            </w:r>
          </w:p>
        </w:tc>
        <w:tc>
          <w:tcPr>
            <w:tcW w:w="3503" w:type="pct"/>
            <w:shd w:val="clear" w:color="000000" w:fill="FFFFFF"/>
            <w:noWrap w:val="0"/>
            <w:vAlign w:val="center"/>
          </w:tcPr>
          <w:p w14:paraId="726C5C08">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评分细则</w:t>
            </w:r>
          </w:p>
        </w:tc>
        <w:tc>
          <w:tcPr>
            <w:tcW w:w="274" w:type="pct"/>
            <w:shd w:val="clear" w:color="000000" w:fill="FFFFFF"/>
            <w:noWrap w:val="0"/>
            <w:vAlign w:val="top"/>
          </w:tcPr>
          <w:p w14:paraId="6E83B270">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分值</w:t>
            </w:r>
          </w:p>
        </w:tc>
      </w:tr>
      <w:tr w14:paraId="21D8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73" w:type="pct"/>
            <w:shd w:val="clear" w:color="000000" w:fill="FFFFFF"/>
            <w:noWrap w:val="0"/>
            <w:vAlign w:val="center"/>
          </w:tcPr>
          <w:p w14:paraId="0C776416">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947" w:type="pct"/>
            <w:shd w:val="clear" w:color="000000" w:fill="FFFFFF"/>
            <w:noWrap w:val="0"/>
            <w:vAlign w:val="center"/>
          </w:tcPr>
          <w:p w14:paraId="0B3EA4D0">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企业综合实力</w:t>
            </w:r>
          </w:p>
        </w:tc>
        <w:tc>
          <w:tcPr>
            <w:tcW w:w="3503" w:type="pct"/>
            <w:shd w:val="clear" w:color="000000" w:fill="FFFFFF"/>
            <w:noWrap w:val="0"/>
            <w:vAlign w:val="top"/>
          </w:tcPr>
          <w:p w14:paraId="0C72C76A">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投标人具有有效期内的ISO9001质量管理体系认证证书、ISO20000信息技术服务管理体系认证证书。每个得1分，最高</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w:t>
            </w:r>
          </w:p>
          <w:p w14:paraId="2FA720E1">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提供证书复印件和全国认证认可公共服务平台http://www.cnca.gov.cn/的查询截图并加盖公章，证明材料不齐全不得分</w:t>
            </w:r>
            <w:r>
              <w:rPr>
                <w:rFonts w:hint="eastAsia" w:ascii="仿宋" w:hAnsi="仿宋" w:eastAsia="仿宋" w:cs="仿宋"/>
                <w:color w:val="auto"/>
                <w:kern w:val="0"/>
                <w:sz w:val="24"/>
                <w:szCs w:val="24"/>
                <w:highlight w:val="none"/>
                <w:lang w:eastAsia="zh-CN"/>
              </w:rPr>
              <w:t>。</w:t>
            </w:r>
          </w:p>
        </w:tc>
        <w:tc>
          <w:tcPr>
            <w:tcW w:w="274" w:type="pct"/>
            <w:shd w:val="clear" w:color="000000" w:fill="FFFFFF"/>
            <w:noWrap w:val="0"/>
            <w:vAlign w:val="center"/>
          </w:tcPr>
          <w:p w14:paraId="78B5B938">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w:t>
            </w:r>
          </w:p>
        </w:tc>
      </w:tr>
      <w:tr w14:paraId="375B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73" w:type="pct"/>
            <w:shd w:val="clear" w:color="000000" w:fill="FFFFFF"/>
            <w:noWrap w:val="0"/>
            <w:vAlign w:val="center"/>
          </w:tcPr>
          <w:p w14:paraId="5E841D24">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w:t>
            </w:r>
          </w:p>
        </w:tc>
        <w:tc>
          <w:tcPr>
            <w:tcW w:w="947" w:type="pct"/>
            <w:shd w:val="clear" w:color="000000" w:fill="FFFFFF"/>
            <w:noWrap w:val="0"/>
            <w:vAlign w:val="center"/>
          </w:tcPr>
          <w:p w14:paraId="35721DA9">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投标人业绩</w:t>
            </w:r>
          </w:p>
        </w:tc>
        <w:tc>
          <w:tcPr>
            <w:tcW w:w="3503" w:type="pct"/>
            <w:shd w:val="clear" w:color="000000" w:fill="FFFFFF"/>
            <w:noWrap w:val="0"/>
            <w:vAlign w:val="top"/>
          </w:tcPr>
          <w:p w14:paraId="11C9F3CC">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2021年1月1日至今（以合同最终签订时间为准），投标人具有同类项目业绩，每提供1个得1分，最高2分。</w:t>
            </w:r>
          </w:p>
          <w:p w14:paraId="4E002939">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提供合同扫描件，否则不得分。</w:t>
            </w:r>
          </w:p>
        </w:tc>
        <w:tc>
          <w:tcPr>
            <w:tcW w:w="274" w:type="pct"/>
            <w:shd w:val="clear" w:color="000000" w:fill="FFFFFF"/>
            <w:noWrap w:val="0"/>
            <w:vAlign w:val="center"/>
          </w:tcPr>
          <w:p w14:paraId="6121EB94">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5723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73" w:type="pct"/>
            <w:shd w:val="clear" w:color="000000" w:fill="FFFFFF"/>
            <w:noWrap w:val="0"/>
            <w:vAlign w:val="center"/>
          </w:tcPr>
          <w:p w14:paraId="2D0034D1">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3</w:t>
            </w:r>
          </w:p>
        </w:tc>
        <w:tc>
          <w:tcPr>
            <w:tcW w:w="947" w:type="pct"/>
            <w:shd w:val="clear" w:color="000000" w:fill="FFFFFF"/>
            <w:noWrap w:val="0"/>
            <w:vAlign w:val="center"/>
          </w:tcPr>
          <w:p w14:paraId="11B97628">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投标人服务成熟度</w:t>
            </w:r>
          </w:p>
        </w:tc>
        <w:tc>
          <w:tcPr>
            <w:tcW w:w="3503" w:type="pct"/>
            <w:shd w:val="clear" w:color="000000" w:fill="FFFFFF"/>
            <w:noWrap w:val="0"/>
            <w:vAlign w:val="top"/>
          </w:tcPr>
          <w:p w14:paraId="6E9C441B">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投标人具有运维平台软件、运维监控管理平台软件、数据质量监管软件、全民健康信息平台软件、区域医疗协同应用软件著作权得，每个得1分，最高得5分。</w:t>
            </w:r>
          </w:p>
          <w:p w14:paraId="6DDC80C8">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注：提供软件著作权证书复印件加盖公章，软件著作权获取日期应早于招标日期，不提供不得分。</w:t>
            </w:r>
          </w:p>
        </w:tc>
        <w:tc>
          <w:tcPr>
            <w:tcW w:w="274" w:type="pct"/>
            <w:shd w:val="clear" w:color="000000" w:fill="FFFFFF"/>
            <w:noWrap w:val="0"/>
            <w:vAlign w:val="center"/>
          </w:tcPr>
          <w:p w14:paraId="0CD9683A">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r>
      <w:tr w14:paraId="10AA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3" w:type="pct"/>
            <w:shd w:val="clear" w:color="000000" w:fill="FFFFFF"/>
            <w:noWrap w:val="0"/>
            <w:vAlign w:val="center"/>
          </w:tcPr>
          <w:p w14:paraId="5973DFC9">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4</w:t>
            </w:r>
          </w:p>
        </w:tc>
        <w:tc>
          <w:tcPr>
            <w:tcW w:w="947" w:type="pct"/>
            <w:shd w:val="clear" w:color="000000" w:fill="FFFFFF"/>
            <w:noWrap w:val="0"/>
            <w:vAlign w:val="center"/>
          </w:tcPr>
          <w:p w14:paraId="556A7F21">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项目团队人员能力要求</w:t>
            </w:r>
          </w:p>
        </w:tc>
        <w:tc>
          <w:tcPr>
            <w:tcW w:w="3503" w:type="pct"/>
            <w:shd w:val="clear" w:color="000000" w:fill="FFFFFF"/>
            <w:noWrap w:val="0"/>
            <w:vAlign w:val="top"/>
          </w:tcPr>
          <w:p w14:paraId="495C1FF9">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1、投标人拟派的项目负责人</w:t>
            </w:r>
          </w:p>
          <w:p w14:paraId="778E187F">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具有信息系统项目管理师（高级）证书，得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分，否则不得分。</w:t>
            </w:r>
          </w:p>
          <w:p w14:paraId="0675E2ED">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宋体"/>
                <w:bCs/>
                <w:color w:val="auto"/>
                <w:kern w:val="0"/>
                <w:sz w:val="24"/>
                <w:szCs w:val="24"/>
                <w:highlight w:val="none"/>
              </w:rPr>
              <w:t>【证明材料：提供项目负责人相关证书及</w:t>
            </w:r>
            <w:r>
              <w:rPr>
                <w:rFonts w:hint="eastAsia" w:ascii="仿宋" w:hAnsi="仿宋" w:eastAsia="仿宋" w:cs="仿宋"/>
                <w:color w:val="auto"/>
                <w:kern w:val="0"/>
                <w:sz w:val="24"/>
                <w:szCs w:val="24"/>
                <w:highlight w:val="none"/>
              </w:rPr>
              <w:t>投标人为其缴纳的近三个月中任意一个月的社保证明，否则不得分</w:t>
            </w:r>
            <w:r>
              <w:rPr>
                <w:rFonts w:hint="eastAsia" w:ascii="仿宋" w:hAnsi="仿宋" w:eastAsia="仿宋" w:cs="宋体"/>
                <w:bCs/>
                <w:color w:val="auto"/>
                <w:kern w:val="0"/>
                <w:sz w:val="24"/>
                <w:szCs w:val="24"/>
                <w:highlight w:val="none"/>
              </w:rPr>
              <w:t>】</w:t>
            </w:r>
          </w:p>
          <w:p w14:paraId="31695720">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2、投标人拟派的项目组成员（除项目负责人以外）：</w:t>
            </w:r>
          </w:p>
          <w:p w14:paraId="4853EBDF">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项目团队成员（不含项目负责人）具有有效的计算机技术与软件专业技术资格证书（中级或以上），每提供1人得1.5分，最高计3分。</w:t>
            </w:r>
          </w:p>
          <w:p w14:paraId="2D0AD1E0">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请提供：中级或以上的计算机技术与软件专业技术资格证书的复印件及投标人为其缴纳的近三个月中任意一个月的社保证明，否则不得分。</w:t>
            </w:r>
          </w:p>
        </w:tc>
        <w:tc>
          <w:tcPr>
            <w:tcW w:w="274" w:type="pct"/>
            <w:shd w:val="clear" w:color="000000" w:fill="FFFFFF"/>
            <w:noWrap w:val="0"/>
            <w:vAlign w:val="center"/>
          </w:tcPr>
          <w:p w14:paraId="335253CE">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5</w:t>
            </w:r>
          </w:p>
        </w:tc>
      </w:tr>
      <w:tr w14:paraId="7426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73" w:type="pct"/>
            <w:shd w:val="clear" w:color="000000" w:fill="FFFFFF"/>
            <w:noWrap w:val="0"/>
            <w:vAlign w:val="center"/>
          </w:tcPr>
          <w:p w14:paraId="70342F75">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5</w:t>
            </w:r>
          </w:p>
        </w:tc>
        <w:tc>
          <w:tcPr>
            <w:tcW w:w="947" w:type="pct"/>
            <w:shd w:val="clear" w:color="000000" w:fill="FFFFFF"/>
            <w:noWrap w:val="0"/>
            <w:vAlign w:val="center"/>
          </w:tcPr>
          <w:p w14:paraId="4139BF71">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运维服务内容要求</w:t>
            </w:r>
          </w:p>
        </w:tc>
        <w:tc>
          <w:tcPr>
            <w:tcW w:w="3503" w:type="pct"/>
            <w:shd w:val="clear" w:color="000000" w:fill="FFFFFF"/>
            <w:noWrap w:val="0"/>
            <w:vAlign w:val="top"/>
          </w:tcPr>
          <w:p w14:paraId="29316A19">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投标人完全满足或优于招标文件中全民健康信息平台、基层医疗卫生综合业务系统、医疗协同应用、其他应用、硬件集成维护服务内容五部分运维服务要求得</w:t>
            </w:r>
            <w:r>
              <w:rPr>
                <w:rFonts w:hint="eastAsia" w:ascii="仿宋" w:hAnsi="仿宋" w:eastAsia="仿宋" w:cs="仿宋"/>
                <w:color w:val="auto"/>
                <w:kern w:val="0"/>
                <w:sz w:val="24"/>
                <w:szCs w:val="24"/>
                <w:highlight w:val="none"/>
                <w:lang w:val="en-US" w:eastAsia="zh-CN"/>
              </w:rPr>
              <w:t>17</w:t>
            </w:r>
            <w:r>
              <w:rPr>
                <w:rFonts w:hint="eastAsia" w:ascii="仿宋" w:hAnsi="仿宋" w:eastAsia="仿宋" w:cs="仿宋"/>
                <w:color w:val="auto"/>
                <w:kern w:val="0"/>
                <w:sz w:val="24"/>
                <w:szCs w:val="24"/>
                <w:highlight w:val="none"/>
              </w:rPr>
              <w:t>分，每项未应答、应答不满足或应答满足但实际提供的方案与招标需求不符的扣1分，扣完为止。</w:t>
            </w:r>
          </w:p>
          <w:p w14:paraId="16DEA3C4">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评标专家根据投标人点对点应答情况及提供的详细维护内容响应方案进行逐项评分。</w:t>
            </w:r>
          </w:p>
        </w:tc>
        <w:tc>
          <w:tcPr>
            <w:tcW w:w="274" w:type="pct"/>
            <w:shd w:val="clear" w:color="000000" w:fill="FFFFFF"/>
            <w:noWrap w:val="0"/>
            <w:vAlign w:val="center"/>
          </w:tcPr>
          <w:p w14:paraId="298CE13F">
            <w:pPr>
              <w:widowControl/>
              <w:spacing w:line="360" w:lineRule="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w:t>
            </w:r>
          </w:p>
        </w:tc>
      </w:tr>
      <w:tr w14:paraId="7457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73" w:type="pct"/>
            <w:shd w:val="clear" w:color="000000" w:fill="FFFFFF"/>
            <w:noWrap w:val="0"/>
            <w:vAlign w:val="center"/>
          </w:tcPr>
          <w:p w14:paraId="1C5E8FE3">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6</w:t>
            </w:r>
          </w:p>
        </w:tc>
        <w:tc>
          <w:tcPr>
            <w:tcW w:w="947" w:type="pct"/>
            <w:shd w:val="clear" w:color="000000" w:fill="FFFFFF"/>
            <w:noWrap w:val="0"/>
            <w:vAlign w:val="center"/>
          </w:tcPr>
          <w:p w14:paraId="26D07516">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应急服务要求</w:t>
            </w:r>
          </w:p>
        </w:tc>
        <w:tc>
          <w:tcPr>
            <w:tcW w:w="3503" w:type="pct"/>
            <w:shd w:val="clear" w:color="000000" w:fill="FFFFFF"/>
            <w:noWrap w:val="0"/>
            <w:vAlign w:val="top"/>
          </w:tcPr>
          <w:p w14:paraId="15B1C71A">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投标人以保障系统正常稳定运行为目标，提供有针对性的应急方案。</w:t>
            </w:r>
          </w:p>
          <w:p w14:paraId="4EA11AED">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应急方案具有较强的针对性，有完善的应急措施，得7.1-10分。</w:t>
            </w:r>
          </w:p>
          <w:p w14:paraId="7DC9A029">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应急方案针对性一般，应急措施不够完善，得3.1-7分。</w:t>
            </w:r>
          </w:p>
          <w:p w14:paraId="433707EA">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应急方案没有针对性，不具有可执行性，得0.1-3分。</w:t>
            </w:r>
          </w:p>
          <w:p w14:paraId="2F7DBA1C">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未提供应急方案不得分。</w:t>
            </w:r>
          </w:p>
        </w:tc>
        <w:tc>
          <w:tcPr>
            <w:tcW w:w="274" w:type="pct"/>
            <w:shd w:val="clear" w:color="000000" w:fill="FFFFFF"/>
            <w:noWrap w:val="0"/>
            <w:vAlign w:val="center"/>
          </w:tcPr>
          <w:p w14:paraId="0E45C020">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w:t>
            </w:r>
          </w:p>
        </w:tc>
      </w:tr>
      <w:tr w14:paraId="3373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73" w:type="pct"/>
            <w:shd w:val="clear" w:color="000000" w:fill="FFFFFF"/>
            <w:noWrap w:val="0"/>
            <w:vAlign w:val="center"/>
          </w:tcPr>
          <w:p w14:paraId="1CD22275">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7</w:t>
            </w:r>
          </w:p>
        </w:tc>
        <w:tc>
          <w:tcPr>
            <w:tcW w:w="947" w:type="pct"/>
            <w:shd w:val="clear" w:color="000000" w:fill="FFFFFF"/>
            <w:noWrap w:val="0"/>
            <w:vAlign w:val="center"/>
          </w:tcPr>
          <w:p w14:paraId="18984631">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技术支持服务要求</w:t>
            </w:r>
          </w:p>
        </w:tc>
        <w:tc>
          <w:tcPr>
            <w:tcW w:w="3503" w:type="pct"/>
            <w:shd w:val="clear" w:color="000000" w:fill="FFFFFF"/>
            <w:noWrap w:val="0"/>
            <w:vAlign w:val="top"/>
          </w:tcPr>
          <w:p w14:paraId="25B61F4C">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根据招标文件技术支持服务要求，投标人提供有针对性的定期巡检服务方案、质量管理方案和重大活动保障方案</w:t>
            </w:r>
          </w:p>
          <w:p w14:paraId="701CF47E">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方案具有较强的针对性，有完善的应急措施，得6.1-</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w:t>
            </w:r>
          </w:p>
          <w:p w14:paraId="0C04DDA7">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方案针对性一般，应急措施不够完善，得3.1-6分。</w:t>
            </w:r>
          </w:p>
          <w:p w14:paraId="4A7D3D5F">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方案没有针对性，不具有可执行性，得0.1-3分。</w:t>
            </w:r>
          </w:p>
          <w:p w14:paraId="674C4A7A">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未提供方案不得分。</w:t>
            </w:r>
          </w:p>
        </w:tc>
        <w:tc>
          <w:tcPr>
            <w:tcW w:w="274" w:type="pct"/>
            <w:shd w:val="clear" w:color="000000" w:fill="FFFFFF"/>
            <w:noWrap w:val="0"/>
            <w:vAlign w:val="center"/>
          </w:tcPr>
          <w:p w14:paraId="42DE7E42">
            <w:pPr>
              <w:widowControl/>
              <w:spacing w:line="360" w:lineRule="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19B0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73" w:type="pct"/>
            <w:shd w:val="clear" w:color="000000" w:fill="FFFFFF"/>
            <w:noWrap w:val="0"/>
            <w:vAlign w:val="center"/>
          </w:tcPr>
          <w:p w14:paraId="05ECE6E6">
            <w:pPr>
              <w:widowControl/>
              <w:spacing w:line="36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8</w:t>
            </w:r>
          </w:p>
        </w:tc>
        <w:tc>
          <w:tcPr>
            <w:tcW w:w="947" w:type="pct"/>
            <w:shd w:val="clear" w:color="000000" w:fill="FFFFFF"/>
            <w:noWrap w:val="0"/>
            <w:vAlign w:val="center"/>
          </w:tcPr>
          <w:p w14:paraId="75169B6C">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培训服务要求</w:t>
            </w:r>
          </w:p>
        </w:tc>
        <w:tc>
          <w:tcPr>
            <w:tcW w:w="3503" w:type="pct"/>
            <w:shd w:val="clear" w:color="000000" w:fill="FFFFFF"/>
            <w:noWrap w:val="0"/>
            <w:vAlign w:val="top"/>
          </w:tcPr>
          <w:p w14:paraId="6A033132">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根据投标人提供的培训方案，包括但不限于：培训计划、培训内容、培训时间、培训方式等进行综合评分。</w:t>
            </w:r>
          </w:p>
          <w:p w14:paraId="435C9239">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培训方案全面合理有效，具有详细的培训计划、培训内容、培训时间、培训方式，得6.1-9分。</w:t>
            </w:r>
          </w:p>
          <w:p w14:paraId="265734A2">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培训方案较全面，有效性较强，培训计划、培训内容、培训时间、培训方式较详细，得3.1-6分。</w:t>
            </w:r>
          </w:p>
          <w:p w14:paraId="673632B9">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培训方案片面，不具有执行有效性，培训计划、培训内容、培训时间、培训方式不详细，得0.1-3分。</w:t>
            </w:r>
          </w:p>
          <w:p w14:paraId="27997906">
            <w:pPr>
              <w:widowControl/>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未提供培训方案不得分。</w:t>
            </w:r>
          </w:p>
        </w:tc>
        <w:tc>
          <w:tcPr>
            <w:tcW w:w="274" w:type="pct"/>
            <w:shd w:val="clear" w:color="000000" w:fill="FFFFFF"/>
            <w:noWrap w:val="0"/>
            <w:vAlign w:val="center"/>
          </w:tcPr>
          <w:p w14:paraId="01737A3F">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w:t>
            </w:r>
          </w:p>
        </w:tc>
      </w:tr>
    </w:tbl>
    <w:p w14:paraId="757AE051">
      <w:pPr>
        <w:pStyle w:val="130"/>
        <w:snapToGrid w:val="0"/>
        <w:spacing w:before="0"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w:t>
      </w:r>
      <w:r>
        <w:rPr>
          <w:rFonts w:hint="eastAsia" w:ascii="仿宋" w:hAnsi="仿宋" w:eastAsia="仿宋" w:cs="仿宋_GB2312"/>
          <w:b/>
          <w:bCs/>
          <w:color w:val="auto"/>
          <w:highlight w:val="none"/>
          <w:lang w:val="en-US" w:eastAsia="zh-CN"/>
        </w:rPr>
        <w:t>36</w:t>
      </w:r>
      <w:r>
        <w:rPr>
          <w:rFonts w:hint="eastAsia" w:ascii="仿宋" w:hAnsi="仿宋" w:eastAsia="仿宋" w:cs="仿宋_GB2312"/>
          <w:b/>
          <w:bCs/>
          <w:color w:val="auto"/>
          <w:highlight w:val="none"/>
        </w:rPr>
        <w:t>分的，</w:t>
      </w:r>
      <w:r>
        <w:rPr>
          <w:rFonts w:hint="eastAsia" w:ascii="仿宋" w:hAnsi="仿宋" w:eastAsia="仿宋"/>
          <w:b/>
          <w:bCs/>
          <w:color w:val="auto"/>
          <w:highlight w:val="none"/>
        </w:rPr>
        <w:t>视为采购人不能接受的附加条件。</w:t>
      </w:r>
    </w:p>
    <w:p w14:paraId="0B77B024">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6E7176">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4</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354CF4E9">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05A2B8F">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6EDD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E61E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4</w:t>
      </w:r>
      <w:r>
        <w:rPr>
          <w:rFonts w:hint="eastAsia" w:ascii="仿宋" w:hAnsi="仿宋" w:eastAsia="仿宋" w:cs="仿宋"/>
          <w:bCs/>
          <w:iCs/>
          <w:color w:val="auto"/>
          <w:sz w:val="24"/>
          <w:highlight w:val="none"/>
          <w:u w:val="single"/>
        </w:rPr>
        <w:t>0</w:t>
      </w:r>
    </w:p>
    <w:p w14:paraId="277931E7">
      <w:pPr>
        <w:rPr>
          <w:color w:val="auto"/>
          <w:highlight w:val="none"/>
        </w:rPr>
      </w:pPr>
    </w:p>
    <w:p w14:paraId="6229D421">
      <w:pPr>
        <w:widowControl/>
        <w:adjustRightInd/>
        <w:jc w:val="center"/>
        <w:rPr>
          <w:rFonts w:hint="eastAsia" w:ascii="仿宋" w:hAnsi="仿宋" w:eastAsia="仿宋" w:cs="仿宋"/>
          <w:b/>
          <w:color w:val="auto"/>
          <w:sz w:val="36"/>
          <w:szCs w:val="20"/>
          <w:highlight w:val="none"/>
        </w:rPr>
      </w:pPr>
    </w:p>
    <w:p w14:paraId="0C1DFC5C">
      <w:pPr>
        <w:widowControl/>
        <w:adjustRightInd/>
        <w:jc w:val="center"/>
        <w:rPr>
          <w:rFonts w:hint="eastAsia" w:ascii="仿宋" w:hAnsi="仿宋" w:eastAsia="仿宋" w:cs="仿宋"/>
          <w:b/>
          <w:color w:val="auto"/>
          <w:sz w:val="36"/>
          <w:szCs w:val="20"/>
          <w:highlight w:val="none"/>
        </w:rPr>
      </w:pPr>
    </w:p>
    <w:p w14:paraId="2482510C">
      <w:pPr>
        <w:widowControl/>
        <w:adjustRightInd/>
        <w:jc w:val="center"/>
        <w:rPr>
          <w:rFonts w:hint="eastAsia" w:ascii="仿宋" w:hAnsi="仿宋" w:eastAsia="仿宋" w:cs="仿宋"/>
          <w:b/>
          <w:color w:val="auto"/>
          <w:sz w:val="36"/>
          <w:szCs w:val="20"/>
          <w:highlight w:val="none"/>
        </w:rPr>
      </w:pPr>
    </w:p>
    <w:p w14:paraId="085EC563">
      <w:pPr>
        <w:widowControl/>
        <w:adjustRightInd/>
        <w:jc w:val="center"/>
        <w:rPr>
          <w:rFonts w:hint="eastAsia" w:ascii="仿宋" w:hAnsi="仿宋" w:eastAsia="仿宋" w:cs="仿宋"/>
          <w:b/>
          <w:color w:val="auto"/>
          <w:sz w:val="36"/>
          <w:szCs w:val="20"/>
          <w:highlight w:val="none"/>
          <w:lang w:eastAsia="zh-CN"/>
        </w:rPr>
      </w:pPr>
    </w:p>
    <w:p w14:paraId="242A6E34">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C780E94">
      <w:pPr>
        <w:spacing w:line="360" w:lineRule="auto"/>
        <w:jc w:val="center"/>
        <w:outlineLvl w:val="0"/>
        <w:rPr>
          <w:rFonts w:ascii="仿宋" w:hAnsi="仿宋" w:eastAsia="仿宋" w:cs="仿宋"/>
          <w:b/>
          <w:color w:val="auto"/>
          <w:kern w:val="0"/>
          <w:sz w:val="36"/>
          <w:szCs w:val="36"/>
          <w:highlight w:val="none"/>
        </w:rPr>
      </w:pPr>
    </w:p>
    <w:p w14:paraId="7F92496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D83B39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1E4BD5F">
      <w:pPr>
        <w:spacing w:line="360" w:lineRule="auto"/>
        <w:jc w:val="center"/>
        <w:outlineLvl w:val="0"/>
        <w:rPr>
          <w:rFonts w:ascii="仿宋" w:hAnsi="仿宋" w:eastAsia="仿宋" w:cs="仿宋"/>
          <w:b/>
          <w:color w:val="auto"/>
          <w:kern w:val="0"/>
          <w:sz w:val="36"/>
          <w:szCs w:val="36"/>
          <w:highlight w:val="none"/>
        </w:rPr>
      </w:pPr>
    </w:p>
    <w:p w14:paraId="7D80AD3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715B416">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ECA9760">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67F8981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0E5DD0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72337B3">
      <w:pPr>
        <w:snapToGrid w:val="0"/>
        <w:spacing w:line="360" w:lineRule="auto"/>
        <w:ind w:firstLine="480" w:firstLineChars="200"/>
        <w:rPr>
          <w:rFonts w:ascii="仿宋" w:hAnsi="仿宋" w:eastAsia="仿宋" w:cs="仿宋"/>
          <w:color w:val="auto"/>
          <w:sz w:val="24"/>
          <w:highlight w:val="none"/>
        </w:rPr>
      </w:pPr>
    </w:p>
    <w:p w14:paraId="34DE7C59">
      <w:pPr>
        <w:spacing w:line="360" w:lineRule="auto"/>
        <w:ind w:firstLine="480" w:firstLineChars="200"/>
        <w:rPr>
          <w:rFonts w:ascii="仿宋" w:hAnsi="仿宋" w:eastAsia="仿宋" w:cs="仿宋"/>
          <w:color w:val="auto"/>
          <w:sz w:val="24"/>
          <w:highlight w:val="none"/>
        </w:rPr>
      </w:pPr>
    </w:p>
    <w:p w14:paraId="4EC5AC87">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1918BB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00CD6D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6F07B774">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7124DE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529CBE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7D3458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C9733E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AF9272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417CD7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E170E6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E9B72C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09995B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319294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2411517">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95EE1B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28CD98F">
      <w:pPr>
        <w:snapToGrid w:val="0"/>
        <w:spacing w:line="360" w:lineRule="auto"/>
        <w:ind w:right="480"/>
        <w:jc w:val="center"/>
        <w:rPr>
          <w:rFonts w:ascii="仿宋" w:hAnsi="仿宋" w:eastAsia="仿宋" w:cs="仿宋"/>
          <w:b/>
          <w:color w:val="auto"/>
          <w:kern w:val="0"/>
          <w:sz w:val="32"/>
          <w:szCs w:val="32"/>
          <w:highlight w:val="none"/>
        </w:rPr>
      </w:pPr>
    </w:p>
    <w:p w14:paraId="4C3482FD">
      <w:pPr>
        <w:snapToGrid w:val="0"/>
        <w:spacing w:line="360" w:lineRule="auto"/>
        <w:ind w:right="480"/>
        <w:jc w:val="center"/>
        <w:rPr>
          <w:rFonts w:ascii="仿宋" w:hAnsi="仿宋" w:eastAsia="仿宋" w:cs="仿宋"/>
          <w:b/>
          <w:color w:val="auto"/>
          <w:kern w:val="0"/>
          <w:sz w:val="32"/>
          <w:szCs w:val="32"/>
          <w:highlight w:val="none"/>
        </w:rPr>
      </w:pPr>
    </w:p>
    <w:p w14:paraId="3822948E">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BE3DFE3">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0489ED6">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6987E8BE">
      <w:pPr>
        <w:snapToGrid w:val="0"/>
        <w:spacing w:line="360" w:lineRule="auto"/>
        <w:ind w:right="480"/>
        <w:jc w:val="center"/>
        <w:rPr>
          <w:rFonts w:ascii="仿宋" w:hAnsi="仿宋" w:eastAsia="仿宋" w:cs="仿宋"/>
          <w:b/>
          <w:color w:val="auto"/>
          <w:kern w:val="0"/>
          <w:sz w:val="32"/>
          <w:szCs w:val="32"/>
          <w:highlight w:val="none"/>
        </w:rPr>
      </w:pPr>
    </w:p>
    <w:p w14:paraId="723F22E7">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B715B0F">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1A96D5C0">
      <w:pPr>
        <w:snapToGrid w:val="0"/>
        <w:spacing w:line="360" w:lineRule="auto"/>
        <w:ind w:right="480"/>
        <w:jc w:val="center"/>
        <w:rPr>
          <w:rFonts w:ascii="仿宋" w:hAnsi="仿宋" w:eastAsia="仿宋" w:cs="仿宋"/>
          <w:b/>
          <w:color w:val="auto"/>
          <w:kern w:val="0"/>
          <w:sz w:val="32"/>
          <w:szCs w:val="32"/>
          <w:highlight w:val="none"/>
        </w:rPr>
      </w:pPr>
    </w:p>
    <w:p w14:paraId="758DF0B7">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F9BEB7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C53CC83">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7D46E71">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A9F992F">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A4AEFC6">
      <w:pPr>
        <w:widowControl/>
        <w:spacing w:line="360" w:lineRule="auto"/>
        <w:ind w:left="150"/>
        <w:jc w:val="center"/>
        <w:rPr>
          <w:rFonts w:ascii="仿宋" w:hAnsi="仿宋" w:eastAsia="仿宋" w:cs="仿宋"/>
          <w:b/>
          <w:color w:val="auto"/>
          <w:kern w:val="0"/>
          <w:sz w:val="32"/>
          <w:szCs w:val="32"/>
          <w:highlight w:val="none"/>
        </w:rPr>
      </w:pPr>
    </w:p>
    <w:p w14:paraId="1B934CAD">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EBB98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8E10BE4">
      <w:pPr>
        <w:spacing w:line="360" w:lineRule="auto"/>
        <w:jc w:val="center"/>
        <w:outlineLvl w:val="0"/>
        <w:rPr>
          <w:rFonts w:ascii="仿宋" w:hAnsi="仿宋" w:eastAsia="仿宋" w:cs="仿宋"/>
          <w:b/>
          <w:color w:val="auto"/>
          <w:kern w:val="0"/>
          <w:sz w:val="24"/>
          <w:highlight w:val="none"/>
        </w:rPr>
      </w:pPr>
    </w:p>
    <w:p w14:paraId="3A840D22">
      <w:pPr>
        <w:spacing w:line="336" w:lineRule="auto"/>
        <w:jc w:val="center"/>
        <w:rPr>
          <w:rFonts w:ascii="仿宋" w:hAnsi="仿宋" w:eastAsia="仿宋" w:cs="仿宋"/>
          <w:b/>
          <w:color w:val="auto"/>
          <w:kern w:val="0"/>
          <w:sz w:val="36"/>
          <w:szCs w:val="36"/>
          <w:highlight w:val="none"/>
        </w:rPr>
      </w:pPr>
    </w:p>
    <w:p w14:paraId="1244413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D57A957">
      <w:pPr>
        <w:spacing w:line="336" w:lineRule="auto"/>
        <w:jc w:val="center"/>
        <w:outlineLvl w:val="0"/>
        <w:rPr>
          <w:rFonts w:ascii="仿宋" w:hAnsi="仿宋" w:eastAsia="仿宋" w:cs="仿宋"/>
          <w:b/>
          <w:color w:val="auto"/>
          <w:kern w:val="0"/>
          <w:sz w:val="24"/>
          <w:highlight w:val="none"/>
        </w:rPr>
      </w:pPr>
    </w:p>
    <w:p w14:paraId="3E58A08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D0EFF13">
      <w:pPr>
        <w:pStyle w:val="904"/>
        <w:numPr>
          <w:ilvl w:val="0"/>
          <w:numId w:val="1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38A4C18C">
      <w:pPr>
        <w:pStyle w:val="904"/>
        <w:numPr>
          <w:ilvl w:val="0"/>
          <w:numId w:val="1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0FC3F2C4">
      <w:pPr>
        <w:pStyle w:val="904"/>
        <w:numPr>
          <w:ilvl w:val="0"/>
          <w:numId w:val="1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40E1C7A9">
      <w:pPr>
        <w:pStyle w:val="904"/>
        <w:numPr>
          <w:ilvl w:val="0"/>
          <w:numId w:val="1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3040D031">
      <w:pPr>
        <w:pStyle w:val="904"/>
        <w:numPr>
          <w:ilvl w:val="0"/>
          <w:numId w:val="1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3C47DA5C">
      <w:pPr>
        <w:pStyle w:val="904"/>
        <w:numPr>
          <w:ilvl w:val="0"/>
          <w:numId w:val="1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4C1DB933">
      <w:pPr>
        <w:pStyle w:val="904"/>
        <w:numPr>
          <w:ilvl w:val="0"/>
          <w:numId w:val="1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74D8C571">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16F3F5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D9AF54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ACD44A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509F7533">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712CEF5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AF5EFC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8B8092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52A85BA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……………………………………………………………………（页</w:t>
      </w:r>
      <w:r>
        <w:rPr>
          <w:rFonts w:hint="eastAsia" w:ascii="仿宋" w:hAnsi="仿宋" w:eastAsia="仿宋" w:cs="仿宋"/>
          <w:color w:val="auto"/>
          <w:kern w:val="0"/>
          <w:sz w:val="24"/>
          <w:highlight w:val="none"/>
        </w:rPr>
        <w:t>码）</w:t>
      </w:r>
    </w:p>
    <w:p w14:paraId="2FD9710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3F7E511E">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C823B0C">
      <w:pPr>
        <w:snapToGrid w:val="0"/>
        <w:spacing w:line="360" w:lineRule="auto"/>
        <w:jc w:val="center"/>
        <w:rPr>
          <w:rFonts w:ascii="仿宋" w:hAnsi="仿宋" w:eastAsia="仿宋" w:cs="仿宋"/>
          <w:b/>
          <w:color w:val="auto"/>
          <w:kern w:val="0"/>
          <w:sz w:val="32"/>
          <w:szCs w:val="32"/>
          <w:highlight w:val="none"/>
          <w:lang w:val="zh-CN"/>
        </w:rPr>
      </w:pPr>
    </w:p>
    <w:p w14:paraId="34CFBBF9">
      <w:pPr>
        <w:snapToGrid w:val="0"/>
        <w:spacing w:line="360" w:lineRule="auto"/>
        <w:jc w:val="center"/>
        <w:rPr>
          <w:rFonts w:ascii="仿宋" w:hAnsi="仿宋" w:eastAsia="仿宋" w:cs="仿宋"/>
          <w:b/>
          <w:color w:val="auto"/>
          <w:kern w:val="0"/>
          <w:sz w:val="32"/>
          <w:szCs w:val="32"/>
          <w:highlight w:val="none"/>
          <w:lang w:val="zh-CN"/>
        </w:rPr>
      </w:pPr>
    </w:p>
    <w:p w14:paraId="082EFF90">
      <w:pPr>
        <w:snapToGrid w:val="0"/>
        <w:spacing w:line="360" w:lineRule="auto"/>
        <w:jc w:val="center"/>
        <w:rPr>
          <w:rFonts w:ascii="仿宋" w:hAnsi="仿宋" w:eastAsia="仿宋" w:cs="仿宋"/>
          <w:b/>
          <w:color w:val="auto"/>
          <w:kern w:val="0"/>
          <w:sz w:val="32"/>
          <w:szCs w:val="32"/>
          <w:highlight w:val="none"/>
          <w:lang w:val="zh-CN"/>
        </w:rPr>
      </w:pPr>
    </w:p>
    <w:p w14:paraId="6879A1DA">
      <w:pPr>
        <w:snapToGrid w:val="0"/>
        <w:spacing w:line="360" w:lineRule="auto"/>
        <w:rPr>
          <w:rFonts w:ascii="仿宋" w:hAnsi="仿宋" w:eastAsia="仿宋" w:cs="仿宋"/>
          <w:b/>
          <w:color w:val="auto"/>
          <w:kern w:val="0"/>
          <w:sz w:val="32"/>
          <w:szCs w:val="32"/>
          <w:highlight w:val="none"/>
          <w:lang w:val="zh-CN"/>
        </w:rPr>
      </w:pPr>
    </w:p>
    <w:p w14:paraId="16C9F9B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5118FD0">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5E56393">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1FACFFF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C91AA0F">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DA2053E">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563710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6C56570">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DF5E61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C7C6969">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7CB0D4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FFAD9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84A0E8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270F60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9F410C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719CA9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E12962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5CEF693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7E0E3B04">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40518A25">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4567E88">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0B8E33D7">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2F64AFD">
      <w:pPr>
        <w:snapToGrid w:val="0"/>
        <w:spacing w:line="336" w:lineRule="auto"/>
        <w:ind w:firstLine="480" w:firstLineChars="200"/>
        <w:jc w:val="left"/>
        <w:rPr>
          <w:rFonts w:ascii="仿宋" w:hAnsi="仿宋" w:eastAsia="仿宋" w:cs="仿宋"/>
          <w:color w:val="auto"/>
          <w:sz w:val="24"/>
          <w:highlight w:val="none"/>
        </w:rPr>
      </w:pPr>
    </w:p>
    <w:p w14:paraId="40689DCC">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D83BF4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65CC506D">
      <w:pPr>
        <w:jc w:val="center"/>
        <w:rPr>
          <w:rFonts w:ascii="仿宋" w:hAnsi="仿宋" w:eastAsia="仿宋" w:cs="仿宋"/>
          <w:b/>
          <w:color w:val="auto"/>
          <w:sz w:val="24"/>
          <w:highlight w:val="none"/>
        </w:rPr>
      </w:pPr>
    </w:p>
    <w:p w14:paraId="0C24769F">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84FD6E1">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40A65D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79ACC21">
      <w:pPr>
        <w:snapToGrid w:val="0"/>
        <w:spacing w:line="600" w:lineRule="exact"/>
        <w:jc w:val="left"/>
        <w:rPr>
          <w:rFonts w:ascii="仿宋" w:hAnsi="仿宋" w:eastAsia="仿宋" w:cs="仿宋"/>
          <w:color w:val="auto"/>
          <w:sz w:val="24"/>
          <w:highlight w:val="none"/>
        </w:rPr>
      </w:pPr>
    </w:p>
    <w:p w14:paraId="52A64F9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4FF958E">
      <w:pPr>
        <w:spacing w:line="360" w:lineRule="exact"/>
        <w:rPr>
          <w:rFonts w:ascii="仿宋" w:hAnsi="仿宋" w:eastAsia="仿宋" w:cs="仿宋"/>
          <w:color w:val="auto"/>
          <w:sz w:val="24"/>
          <w:highlight w:val="none"/>
        </w:rPr>
      </w:pPr>
    </w:p>
    <w:p w14:paraId="2349607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C1A5815">
      <w:pPr>
        <w:spacing w:line="360" w:lineRule="exact"/>
        <w:rPr>
          <w:rFonts w:ascii="仿宋" w:hAnsi="仿宋" w:eastAsia="仿宋" w:cs="仿宋"/>
          <w:color w:val="auto"/>
          <w:sz w:val="24"/>
          <w:highlight w:val="none"/>
        </w:rPr>
      </w:pPr>
    </w:p>
    <w:p w14:paraId="61B07CD6">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6AE463F">
      <w:pPr>
        <w:spacing w:line="360" w:lineRule="exact"/>
        <w:rPr>
          <w:rFonts w:ascii="仿宋" w:hAnsi="仿宋" w:eastAsia="仿宋" w:cs="仿宋"/>
          <w:color w:val="auto"/>
          <w:sz w:val="24"/>
          <w:highlight w:val="none"/>
        </w:rPr>
      </w:pPr>
    </w:p>
    <w:p w14:paraId="7CECC5CB">
      <w:pPr>
        <w:spacing w:line="360" w:lineRule="exact"/>
        <w:rPr>
          <w:rFonts w:ascii="仿宋" w:hAnsi="仿宋" w:eastAsia="仿宋" w:cs="仿宋"/>
          <w:color w:val="auto"/>
          <w:sz w:val="24"/>
          <w:highlight w:val="none"/>
        </w:rPr>
      </w:pPr>
    </w:p>
    <w:p w14:paraId="2476899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55362D0">
      <w:pPr>
        <w:spacing w:line="360" w:lineRule="exact"/>
        <w:rPr>
          <w:rFonts w:ascii="仿宋" w:hAnsi="仿宋" w:eastAsia="仿宋" w:cs="仿宋"/>
          <w:color w:val="auto"/>
          <w:sz w:val="24"/>
          <w:highlight w:val="none"/>
        </w:rPr>
      </w:pPr>
    </w:p>
    <w:p w14:paraId="688B3F5D">
      <w:pPr>
        <w:spacing w:line="360" w:lineRule="exact"/>
        <w:rPr>
          <w:rFonts w:ascii="仿宋" w:hAnsi="仿宋" w:eastAsia="仿宋" w:cs="仿宋"/>
          <w:color w:val="auto"/>
          <w:sz w:val="24"/>
          <w:highlight w:val="none"/>
        </w:rPr>
      </w:pPr>
    </w:p>
    <w:p w14:paraId="6BE9A02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BDDC7A8">
      <w:pPr>
        <w:spacing w:line="360" w:lineRule="exact"/>
        <w:rPr>
          <w:rFonts w:ascii="仿宋" w:hAnsi="仿宋" w:eastAsia="仿宋" w:cs="仿宋"/>
          <w:color w:val="auto"/>
          <w:sz w:val="24"/>
          <w:highlight w:val="none"/>
        </w:rPr>
      </w:pPr>
    </w:p>
    <w:p w14:paraId="156C84D7">
      <w:pPr>
        <w:spacing w:line="360" w:lineRule="exact"/>
        <w:rPr>
          <w:rFonts w:ascii="仿宋" w:hAnsi="仿宋" w:eastAsia="仿宋" w:cs="仿宋"/>
          <w:color w:val="auto"/>
          <w:sz w:val="24"/>
          <w:highlight w:val="none"/>
        </w:rPr>
      </w:pPr>
    </w:p>
    <w:p w14:paraId="01E91BDF">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BCFF4C4">
      <w:pPr>
        <w:ind w:firstLine="4920" w:firstLineChars="2050"/>
        <w:jc w:val="left"/>
        <w:rPr>
          <w:rFonts w:ascii="仿宋" w:hAnsi="仿宋" w:eastAsia="仿宋" w:cs="仿宋"/>
          <w:color w:val="auto"/>
          <w:sz w:val="24"/>
          <w:highlight w:val="none"/>
        </w:rPr>
      </w:pPr>
    </w:p>
    <w:p w14:paraId="17097721">
      <w:pPr>
        <w:spacing w:line="800" w:lineRule="exact"/>
        <w:rPr>
          <w:rFonts w:ascii="仿宋" w:hAnsi="仿宋" w:eastAsia="仿宋" w:cs="仿宋"/>
          <w:b/>
          <w:color w:val="auto"/>
          <w:sz w:val="24"/>
          <w:highlight w:val="none"/>
        </w:rPr>
      </w:pPr>
    </w:p>
    <w:p w14:paraId="2F1258CB">
      <w:pPr>
        <w:spacing w:line="800" w:lineRule="exact"/>
        <w:rPr>
          <w:rFonts w:ascii="仿宋" w:hAnsi="仿宋" w:eastAsia="仿宋" w:cs="仿宋"/>
          <w:b/>
          <w:color w:val="auto"/>
          <w:sz w:val="24"/>
          <w:highlight w:val="none"/>
        </w:rPr>
      </w:pPr>
    </w:p>
    <w:p w14:paraId="7E8B79DC">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E0E3232">
      <w:pPr>
        <w:jc w:val="center"/>
        <w:rPr>
          <w:rFonts w:ascii="仿宋" w:hAnsi="仿宋" w:eastAsia="仿宋" w:cs="仿宋"/>
          <w:b/>
          <w:color w:val="auto"/>
          <w:sz w:val="24"/>
          <w:highlight w:val="none"/>
        </w:rPr>
      </w:pPr>
    </w:p>
    <w:p w14:paraId="3F24409F">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05B70FD">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4261B9">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A4C062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5DC8917">
      <w:pPr>
        <w:snapToGrid w:val="0"/>
        <w:spacing w:line="600" w:lineRule="exact"/>
        <w:jc w:val="left"/>
        <w:rPr>
          <w:rFonts w:ascii="仿宋" w:hAnsi="仿宋" w:eastAsia="仿宋" w:cs="仿宋"/>
          <w:color w:val="auto"/>
          <w:sz w:val="24"/>
          <w:highlight w:val="none"/>
        </w:rPr>
      </w:pPr>
    </w:p>
    <w:p w14:paraId="2BA5730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31FC80">
      <w:pPr>
        <w:spacing w:line="360" w:lineRule="exact"/>
        <w:rPr>
          <w:rFonts w:ascii="仿宋" w:hAnsi="仿宋" w:eastAsia="仿宋" w:cs="仿宋"/>
          <w:color w:val="auto"/>
          <w:sz w:val="24"/>
          <w:highlight w:val="none"/>
        </w:rPr>
      </w:pPr>
    </w:p>
    <w:p w14:paraId="38FA589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48B1881">
      <w:pPr>
        <w:spacing w:line="360" w:lineRule="exact"/>
        <w:rPr>
          <w:rFonts w:ascii="仿宋" w:hAnsi="仿宋" w:eastAsia="仿宋" w:cs="仿宋"/>
          <w:color w:val="auto"/>
          <w:sz w:val="24"/>
          <w:highlight w:val="none"/>
        </w:rPr>
      </w:pPr>
    </w:p>
    <w:p w14:paraId="1F1CD9A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6831FDF">
      <w:pPr>
        <w:spacing w:line="360" w:lineRule="exact"/>
        <w:rPr>
          <w:rFonts w:ascii="仿宋" w:hAnsi="仿宋" w:eastAsia="仿宋" w:cs="仿宋"/>
          <w:color w:val="auto"/>
          <w:sz w:val="24"/>
          <w:highlight w:val="none"/>
        </w:rPr>
      </w:pPr>
    </w:p>
    <w:p w14:paraId="100BBBBD">
      <w:pPr>
        <w:spacing w:line="360" w:lineRule="exact"/>
        <w:rPr>
          <w:rFonts w:ascii="仿宋" w:hAnsi="仿宋" w:eastAsia="仿宋" w:cs="仿宋"/>
          <w:color w:val="auto"/>
          <w:sz w:val="24"/>
          <w:highlight w:val="none"/>
        </w:rPr>
      </w:pPr>
    </w:p>
    <w:p w14:paraId="3A231AF2">
      <w:pPr>
        <w:jc w:val="center"/>
        <w:rPr>
          <w:rFonts w:ascii="仿宋" w:hAnsi="仿宋" w:eastAsia="仿宋" w:cs="仿宋"/>
          <w:b/>
          <w:color w:val="auto"/>
          <w:kern w:val="0"/>
          <w:sz w:val="32"/>
          <w:szCs w:val="32"/>
          <w:highlight w:val="none"/>
        </w:rPr>
      </w:pPr>
    </w:p>
    <w:p w14:paraId="71B6C9C4">
      <w:pPr>
        <w:rPr>
          <w:rFonts w:ascii="仿宋" w:hAnsi="仿宋" w:eastAsia="仿宋" w:cs="仿宋"/>
          <w:color w:val="auto"/>
          <w:highlight w:val="none"/>
        </w:rPr>
      </w:pPr>
    </w:p>
    <w:p w14:paraId="1E1BC6C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8B7DB39">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59B156D">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7B7F64E">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DBA7BAE">
      <w:pPr>
        <w:autoSpaceDE w:val="0"/>
        <w:autoSpaceDN w:val="0"/>
        <w:spacing w:line="360" w:lineRule="auto"/>
        <w:jc w:val="center"/>
        <w:rPr>
          <w:rFonts w:ascii="仿宋" w:hAnsi="仿宋" w:eastAsia="仿宋" w:cs="仿宋"/>
          <w:b/>
          <w:color w:val="auto"/>
          <w:kern w:val="0"/>
          <w:sz w:val="32"/>
          <w:szCs w:val="32"/>
          <w:highlight w:val="none"/>
          <w:lang w:val="zh-CN"/>
        </w:rPr>
      </w:pPr>
    </w:p>
    <w:p w14:paraId="76C966C9">
      <w:pPr>
        <w:autoSpaceDE w:val="0"/>
        <w:autoSpaceDN w:val="0"/>
        <w:spacing w:line="360" w:lineRule="auto"/>
        <w:jc w:val="center"/>
        <w:rPr>
          <w:rFonts w:ascii="仿宋" w:hAnsi="仿宋" w:eastAsia="仿宋" w:cs="仿宋"/>
          <w:b/>
          <w:color w:val="auto"/>
          <w:kern w:val="0"/>
          <w:sz w:val="32"/>
          <w:szCs w:val="32"/>
          <w:highlight w:val="none"/>
          <w:lang w:val="zh-CN"/>
        </w:rPr>
      </w:pPr>
    </w:p>
    <w:p w14:paraId="016D936A">
      <w:pPr>
        <w:autoSpaceDE w:val="0"/>
        <w:autoSpaceDN w:val="0"/>
        <w:spacing w:line="360" w:lineRule="auto"/>
        <w:jc w:val="center"/>
        <w:rPr>
          <w:rFonts w:ascii="仿宋" w:hAnsi="仿宋" w:eastAsia="仿宋" w:cs="仿宋"/>
          <w:b/>
          <w:color w:val="auto"/>
          <w:kern w:val="0"/>
          <w:sz w:val="32"/>
          <w:szCs w:val="32"/>
          <w:highlight w:val="none"/>
          <w:lang w:val="zh-CN"/>
        </w:rPr>
      </w:pPr>
    </w:p>
    <w:p w14:paraId="4881A8EF">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5B49AF8">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92DF38E">
      <w:pPr>
        <w:spacing w:line="800" w:lineRule="exact"/>
        <w:rPr>
          <w:rFonts w:ascii="仿宋" w:hAnsi="仿宋" w:eastAsia="仿宋" w:cs="仿宋"/>
          <w:b/>
          <w:color w:val="auto"/>
          <w:sz w:val="24"/>
          <w:highlight w:val="none"/>
        </w:rPr>
      </w:pPr>
    </w:p>
    <w:p w14:paraId="10BED365">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B5E756D">
      <w:pPr>
        <w:spacing w:line="800" w:lineRule="exact"/>
        <w:rPr>
          <w:rFonts w:ascii="仿宋" w:hAnsi="仿宋" w:eastAsia="仿宋" w:cs="仿宋"/>
          <w:b/>
          <w:color w:val="auto"/>
          <w:sz w:val="24"/>
          <w:highlight w:val="none"/>
        </w:rPr>
      </w:pPr>
    </w:p>
    <w:p w14:paraId="7ECC38E8">
      <w:pPr>
        <w:spacing w:line="800" w:lineRule="exact"/>
        <w:rPr>
          <w:rFonts w:ascii="仿宋" w:hAnsi="仿宋" w:eastAsia="仿宋" w:cs="仿宋"/>
          <w:b/>
          <w:color w:val="auto"/>
          <w:sz w:val="24"/>
          <w:highlight w:val="none"/>
        </w:rPr>
      </w:pPr>
    </w:p>
    <w:p w14:paraId="08CC6D49">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D5DBFB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800855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4149EC6">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EF80CEA">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C619946">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D73E1F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CA08D5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C17C808">
      <w:pPr>
        <w:spacing w:line="440" w:lineRule="exact"/>
        <w:rPr>
          <w:rFonts w:ascii="仿宋" w:hAnsi="仿宋" w:eastAsia="仿宋" w:cs="仿宋"/>
          <w:color w:val="auto"/>
          <w:sz w:val="24"/>
          <w:highlight w:val="none"/>
        </w:rPr>
      </w:pPr>
    </w:p>
    <w:p w14:paraId="0128760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66CAF623">
      <w:pPr>
        <w:spacing w:line="440" w:lineRule="exact"/>
        <w:ind w:right="480"/>
        <w:rPr>
          <w:rFonts w:ascii="仿宋" w:hAnsi="仿宋" w:eastAsia="仿宋" w:cs="仿宋"/>
          <w:color w:val="auto"/>
          <w:sz w:val="24"/>
          <w:highlight w:val="none"/>
        </w:rPr>
      </w:pPr>
    </w:p>
    <w:p w14:paraId="41E7351D">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013BC699">
      <w:pPr>
        <w:jc w:val="center"/>
        <w:rPr>
          <w:rFonts w:ascii="仿宋" w:hAnsi="仿宋" w:eastAsia="仿宋" w:cs="仿宋"/>
          <w:b/>
          <w:color w:val="auto"/>
          <w:kern w:val="0"/>
          <w:sz w:val="32"/>
          <w:szCs w:val="32"/>
          <w:highlight w:val="none"/>
        </w:rPr>
      </w:pPr>
    </w:p>
    <w:p w14:paraId="5048A509">
      <w:pPr>
        <w:jc w:val="center"/>
        <w:rPr>
          <w:rFonts w:ascii="仿宋" w:hAnsi="仿宋" w:eastAsia="仿宋" w:cs="仿宋"/>
          <w:b/>
          <w:color w:val="auto"/>
          <w:kern w:val="0"/>
          <w:sz w:val="32"/>
          <w:szCs w:val="32"/>
          <w:highlight w:val="none"/>
        </w:rPr>
      </w:pPr>
    </w:p>
    <w:p w14:paraId="5EF0190A">
      <w:pPr>
        <w:rPr>
          <w:rFonts w:ascii="仿宋" w:hAnsi="仿宋" w:eastAsia="仿宋" w:cs="仿宋"/>
          <w:b/>
          <w:color w:val="auto"/>
          <w:kern w:val="0"/>
          <w:sz w:val="32"/>
          <w:szCs w:val="32"/>
          <w:highlight w:val="none"/>
        </w:rPr>
      </w:pPr>
    </w:p>
    <w:p w14:paraId="793BD8D8">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6C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8F135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371673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FB27AF1">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AF0BBD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472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7448A8">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FAC9487">
            <w:pPr>
              <w:jc w:val="center"/>
              <w:rPr>
                <w:rFonts w:ascii="仿宋" w:hAnsi="仿宋" w:eastAsia="仿宋" w:cs="仿宋"/>
                <w:b/>
                <w:color w:val="auto"/>
                <w:kern w:val="0"/>
                <w:sz w:val="32"/>
                <w:szCs w:val="32"/>
                <w:highlight w:val="none"/>
              </w:rPr>
            </w:pPr>
          </w:p>
        </w:tc>
        <w:tc>
          <w:tcPr>
            <w:tcW w:w="3546" w:type="dxa"/>
          </w:tcPr>
          <w:p w14:paraId="430E2AF8">
            <w:pPr>
              <w:jc w:val="center"/>
              <w:rPr>
                <w:rFonts w:ascii="仿宋" w:hAnsi="仿宋" w:eastAsia="仿宋" w:cs="仿宋"/>
                <w:b/>
                <w:color w:val="auto"/>
                <w:kern w:val="0"/>
                <w:sz w:val="32"/>
                <w:szCs w:val="32"/>
                <w:highlight w:val="none"/>
              </w:rPr>
            </w:pPr>
          </w:p>
        </w:tc>
        <w:tc>
          <w:tcPr>
            <w:tcW w:w="1276" w:type="dxa"/>
          </w:tcPr>
          <w:p w14:paraId="42F694A4">
            <w:pPr>
              <w:jc w:val="center"/>
              <w:rPr>
                <w:rFonts w:ascii="仿宋" w:hAnsi="仿宋" w:eastAsia="仿宋" w:cs="仿宋"/>
                <w:b/>
                <w:color w:val="auto"/>
                <w:kern w:val="0"/>
                <w:sz w:val="32"/>
                <w:szCs w:val="32"/>
                <w:highlight w:val="none"/>
              </w:rPr>
            </w:pPr>
          </w:p>
        </w:tc>
      </w:tr>
      <w:tr w14:paraId="57DE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1273E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A260DEE">
            <w:pPr>
              <w:jc w:val="center"/>
              <w:rPr>
                <w:rFonts w:ascii="仿宋" w:hAnsi="仿宋" w:eastAsia="仿宋" w:cs="仿宋"/>
                <w:b/>
                <w:color w:val="auto"/>
                <w:kern w:val="0"/>
                <w:sz w:val="32"/>
                <w:szCs w:val="32"/>
                <w:highlight w:val="none"/>
              </w:rPr>
            </w:pPr>
          </w:p>
        </w:tc>
        <w:tc>
          <w:tcPr>
            <w:tcW w:w="3546" w:type="dxa"/>
          </w:tcPr>
          <w:p w14:paraId="081DFF8D">
            <w:pPr>
              <w:jc w:val="center"/>
              <w:rPr>
                <w:rFonts w:ascii="仿宋" w:hAnsi="仿宋" w:eastAsia="仿宋" w:cs="仿宋"/>
                <w:b/>
                <w:color w:val="auto"/>
                <w:kern w:val="0"/>
                <w:sz w:val="32"/>
                <w:szCs w:val="32"/>
                <w:highlight w:val="none"/>
              </w:rPr>
            </w:pPr>
          </w:p>
        </w:tc>
        <w:tc>
          <w:tcPr>
            <w:tcW w:w="1276" w:type="dxa"/>
          </w:tcPr>
          <w:p w14:paraId="12FA1792">
            <w:pPr>
              <w:jc w:val="center"/>
              <w:rPr>
                <w:rFonts w:ascii="仿宋" w:hAnsi="仿宋" w:eastAsia="仿宋" w:cs="仿宋"/>
                <w:b/>
                <w:color w:val="auto"/>
                <w:kern w:val="0"/>
                <w:sz w:val="32"/>
                <w:szCs w:val="32"/>
                <w:highlight w:val="none"/>
              </w:rPr>
            </w:pPr>
          </w:p>
        </w:tc>
      </w:tr>
      <w:tr w14:paraId="4DE1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2A054A">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0FC0C50">
            <w:pPr>
              <w:jc w:val="center"/>
              <w:rPr>
                <w:rFonts w:ascii="仿宋" w:hAnsi="仿宋" w:eastAsia="仿宋" w:cs="仿宋"/>
                <w:b/>
                <w:color w:val="auto"/>
                <w:kern w:val="0"/>
                <w:sz w:val="32"/>
                <w:szCs w:val="32"/>
                <w:highlight w:val="none"/>
              </w:rPr>
            </w:pPr>
          </w:p>
        </w:tc>
        <w:tc>
          <w:tcPr>
            <w:tcW w:w="3546" w:type="dxa"/>
          </w:tcPr>
          <w:p w14:paraId="13E6BC10">
            <w:pPr>
              <w:jc w:val="center"/>
              <w:rPr>
                <w:rFonts w:ascii="仿宋" w:hAnsi="仿宋" w:eastAsia="仿宋" w:cs="仿宋"/>
                <w:b/>
                <w:color w:val="auto"/>
                <w:kern w:val="0"/>
                <w:sz w:val="32"/>
                <w:szCs w:val="32"/>
                <w:highlight w:val="none"/>
              </w:rPr>
            </w:pPr>
          </w:p>
        </w:tc>
        <w:tc>
          <w:tcPr>
            <w:tcW w:w="1276" w:type="dxa"/>
          </w:tcPr>
          <w:p w14:paraId="7FFA0549">
            <w:pPr>
              <w:jc w:val="center"/>
              <w:rPr>
                <w:rFonts w:ascii="仿宋" w:hAnsi="仿宋" w:eastAsia="仿宋" w:cs="仿宋"/>
                <w:b/>
                <w:color w:val="auto"/>
                <w:kern w:val="0"/>
                <w:sz w:val="32"/>
                <w:szCs w:val="32"/>
                <w:highlight w:val="none"/>
              </w:rPr>
            </w:pPr>
          </w:p>
        </w:tc>
      </w:tr>
    </w:tbl>
    <w:p w14:paraId="7900B6CB">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1BD5E4D">
      <w:pPr>
        <w:jc w:val="center"/>
        <w:rPr>
          <w:rFonts w:ascii="仿宋" w:hAnsi="仿宋" w:eastAsia="仿宋" w:cs="仿宋"/>
          <w:b/>
          <w:color w:val="auto"/>
          <w:kern w:val="0"/>
          <w:sz w:val="32"/>
          <w:szCs w:val="32"/>
          <w:highlight w:val="none"/>
        </w:rPr>
      </w:pPr>
    </w:p>
    <w:p w14:paraId="21CB68A8">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0F49171">
      <w:pPr>
        <w:widowControl/>
        <w:adjustRightInd/>
        <w:jc w:val="left"/>
        <w:rPr>
          <w:rFonts w:ascii="仿宋" w:hAnsi="仿宋" w:eastAsia="仿宋" w:cs="仿宋"/>
          <w:b/>
          <w:bCs/>
          <w:color w:val="auto"/>
          <w:sz w:val="32"/>
          <w:szCs w:val="32"/>
          <w:highlight w:val="none"/>
        </w:rPr>
      </w:pPr>
    </w:p>
    <w:p w14:paraId="3D3E2599">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2B92D33">
      <w:pPr>
        <w:snapToGrid w:val="0"/>
        <w:spacing w:line="360" w:lineRule="auto"/>
        <w:rPr>
          <w:rFonts w:ascii="仿宋" w:hAnsi="仿宋" w:eastAsia="仿宋" w:cs="仿宋"/>
          <w:color w:val="auto"/>
          <w:sz w:val="24"/>
          <w:highlight w:val="none"/>
        </w:rPr>
      </w:pPr>
    </w:p>
    <w:p w14:paraId="321FD08E">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78A1C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BC2F62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5FB571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2E2EB2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8EC61E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03444E0">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A80E311">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6C7FB46">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F747D7F">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9028F2">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CBBF34F">
      <w:pPr>
        <w:autoSpaceDE w:val="0"/>
        <w:autoSpaceDN w:val="0"/>
        <w:spacing w:line="360" w:lineRule="auto"/>
        <w:ind w:left="2"/>
        <w:jc w:val="left"/>
        <w:rPr>
          <w:rFonts w:ascii="仿宋" w:hAnsi="仿宋" w:eastAsia="仿宋" w:cs="仿宋"/>
          <w:color w:val="auto"/>
          <w:kern w:val="0"/>
          <w:sz w:val="24"/>
          <w:highlight w:val="none"/>
          <w:lang w:val="zh-CN"/>
        </w:rPr>
      </w:pPr>
    </w:p>
    <w:p w14:paraId="29572304">
      <w:pPr>
        <w:autoSpaceDE w:val="0"/>
        <w:autoSpaceDN w:val="0"/>
        <w:spacing w:line="360" w:lineRule="auto"/>
        <w:ind w:left="2"/>
        <w:jc w:val="left"/>
        <w:rPr>
          <w:rFonts w:ascii="仿宋" w:hAnsi="仿宋" w:eastAsia="仿宋" w:cs="仿宋"/>
          <w:color w:val="auto"/>
          <w:kern w:val="0"/>
          <w:sz w:val="24"/>
          <w:highlight w:val="none"/>
          <w:lang w:val="zh-CN"/>
        </w:rPr>
      </w:pPr>
    </w:p>
    <w:p w14:paraId="7FA5DFC4">
      <w:pPr>
        <w:autoSpaceDE w:val="0"/>
        <w:autoSpaceDN w:val="0"/>
        <w:spacing w:line="360" w:lineRule="auto"/>
        <w:ind w:left="2"/>
        <w:jc w:val="left"/>
        <w:rPr>
          <w:rFonts w:ascii="仿宋" w:hAnsi="仿宋" w:eastAsia="仿宋" w:cs="仿宋"/>
          <w:color w:val="auto"/>
          <w:kern w:val="0"/>
          <w:sz w:val="24"/>
          <w:highlight w:val="none"/>
          <w:lang w:val="zh-CN"/>
        </w:rPr>
      </w:pPr>
    </w:p>
    <w:p w14:paraId="73F74E24">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6CEBE3F">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09E124E">
      <w:pPr>
        <w:spacing w:line="360" w:lineRule="auto"/>
        <w:jc w:val="center"/>
        <w:rPr>
          <w:rFonts w:ascii="仿宋" w:hAnsi="仿宋" w:eastAsia="仿宋" w:cs="仿宋"/>
          <w:b/>
          <w:bCs/>
          <w:color w:val="auto"/>
          <w:sz w:val="24"/>
          <w:highlight w:val="none"/>
        </w:rPr>
      </w:pPr>
    </w:p>
    <w:p w14:paraId="1BBB296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AF08B18">
      <w:pPr>
        <w:spacing w:line="360" w:lineRule="auto"/>
        <w:jc w:val="center"/>
        <w:rPr>
          <w:rFonts w:ascii="仿宋" w:hAnsi="仿宋" w:eastAsia="仿宋" w:cs="仿宋"/>
          <w:b/>
          <w:bCs/>
          <w:color w:val="auto"/>
          <w:sz w:val="24"/>
          <w:highlight w:val="none"/>
        </w:rPr>
      </w:pPr>
    </w:p>
    <w:p w14:paraId="2D7B584C">
      <w:pPr>
        <w:pStyle w:val="79"/>
        <w:jc w:val="center"/>
        <w:rPr>
          <w:rFonts w:ascii="仿宋" w:hAnsi="仿宋" w:eastAsia="仿宋" w:cs="仿宋"/>
          <w:b/>
          <w:bCs/>
          <w:color w:val="auto"/>
          <w:highlight w:val="none"/>
        </w:rPr>
      </w:pPr>
    </w:p>
    <w:p w14:paraId="3D149DA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96B838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5F1963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40F70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D1F2D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A8964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1B6CB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52E41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9C458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0573E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CB68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095D2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62C79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CEE00C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F5043C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4F8E0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ABD930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6A1109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DEB6F6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A5804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BFFDA42">
            <w:pPr>
              <w:autoSpaceDE w:val="0"/>
              <w:autoSpaceDN w:val="0"/>
              <w:spacing w:line="360" w:lineRule="auto"/>
              <w:rPr>
                <w:rFonts w:ascii="仿宋_GB2312" w:hAnsi="仿宋_GB2312" w:eastAsia="仿宋_GB2312" w:cs="仿宋_GB2312"/>
                <w:color w:val="auto"/>
                <w:sz w:val="24"/>
                <w:highlight w:val="none"/>
              </w:rPr>
            </w:pPr>
          </w:p>
        </w:tc>
      </w:tr>
      <w:tr w14:paraId="3D9DAF7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CD9C7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C0101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31ED7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EB1F8D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3078C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486FB4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33231A2">
            <w:pPr>
              <w:autoSpaceDE w:val="0"/>
              <w:autoSpaceDN w:val="0"/>
              <w:spacing w:line="360" w:lineRule="auto"/>
              <w:rPr>
                <w:rFonts w:ascii="仿宋_GB2312" w:hAnsi="仿宋_GB2312" w:eastAsia="仿宋_GB2312" w:cs="仿宋_GB2312"/>
                <w:color w:val="auto"/>
                <w:sz w:val="24"/>
                <w:highlight w:val="none"/>
              </w:rPr>
            </w:pPr>
          </w:p>
        </w:tc>
      </w:tr>
      <w:tr w14:paraId="4173F9D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FA23AA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7BBDE3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AD0638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AC9A8F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F5D49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C647B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F792301">
            <w:pPr>
              <w:autoSpaceDE w:val="0"/>
              <w:autoSpaceDN w:val="0"/>
              <w:spacing w:line="360" w:lineRule="auto"/>
              <w:rPr>
                <w:rFonts w:ascii="仿宋_GB2312" w:hAnsi="仿宋_GB2312" w:eastAsia="仿宋_GB2312" w:cs="仿宋_GB2312"/>
                <w:color w:val="auto"/>
                <w:sz w:val="24"/>
                <w:highlight w:val="none"/>
              </w:rPr>
            </w:pPr>
          </w:p>
        </w:tc>
      </w:tr>
    </w:tbl>
    <w:p w14:paraId="3D845E4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注：供应商可按上述的格式自行编制，须随表提交相应的合同复印件和用户单位验收证明（如有）并注明页码。</w:t>
      </w:r>
    </w:p>
    <w:p w14:paraId="0DB9B347">
      <w:pPr>
        <w:autoSpaceDE w:val="0"/>
        <w:autoSpaceDN w:val="0"/>
        <w:spacing w:line="360" w:lineRule="auto"/>
        <w:rPr>
          <w:rFonts w:ascii="仿宋_GB2312" w:hAnsi="仿宋_GB2312" w:eastAsia="仿宋_GB2312" w:cs="仿宋_GB2312"/>
          <w:b/>
          <w:color w:val="auto"/>
          <w:sz w:val="24"/>
          <w:highlight w:val="none"/>
        </w:rPr>
      </w:pPr>
    </w:p>
    <w:p w14:paraId="6B8FCBE6">
      <w:pPr>
        <w:autoSpaceDE w:val="0"/>
        <w:autoSpaceDN w:val="0"/>
        <w:spacing w:line="360" w:lineRule="auto"/>
        <w:rPr>
          <w:rFonts w:ascii="仿宋_GB2312" w:hAnsi="仿宋_GB2312" w:eastAsia="仿宋_GB2312" w:cs="仿宋_GB2312"/>
          <w:color w:val="auto"/>
          <w:sz w:val="24"/>
          <w:highlight w:val="none"/>
        </w:rPr>
      </w:pPr>
    </w:p>
    <w:p w14:paraId="56E7AC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9193E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1C8942">
      <w:pPr>
        <w:pStyle w:val="647"/>
        <w:ind w:firstLine="0"/>
        <w:jc w:val="both"/>
        <w:rPr>
          <w:rFonts w:hAnsi="仿宋_GB2312" w:cs="仿宋_GB2312"/>
          <w:color w:val="auto"/>
          <w:highlight w:val="none"/>
        </w:rPr>
      </w:pPr>
    </w:p>
    <w:p w14:paraId="792F1BC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44CEB81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856F695">
      <w:pPr>
        <w:spacing w:line="360" w:lineRule="auto"/>
        <w:jc w:val="center"/>
        <w:rPr>
          <w:rFonts w:ascii="仿宋_GB2312" w:hAnsi="仿宋_GB2312" w:eastAsia="仿宋_GB2312" w:cs="仿宋_GB2312"/>
          <w:color w:val="auto"/>
          <w:sz w:val="24"/>
          <w:highlight w:val="none"/>
        </w:rPr>
      </w:pPr>
    </w:p>
    <w:p w14:paraId="7D26EF4D">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E5A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8CE70B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27C15B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E597AD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7D25FF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053D72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4B0471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E0E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98E30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D39227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8421F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DC69F40">
            <w:pPr>
              <w:spacing w:line="360" w:lineRule="auto"/>
              <w:jc w:val="center"/>
              <w:rPr>
                <w:rFonts w:ascii="仿宋_GB2312" w:hAnsi="仿宋_GB2312" w:eastAsia="仿宋_GB2312" w:cs="仿宋_GB2312"/>
                <w:color w:val="auto"/>
                <w:sz w:val="24"/>
                <w:highlight w:val="none"/>
              </w:rPr>
            </w:pPr>
          </w:p>
        </w:tc>
        <w:tc>
          <w:tcPr>
            <w:tcW w:w="1080" w:type="dxa"/>
            <w:vAlign w:val="center"/>
          </w:tcPr>
          <w:p w14:paraId="732FB76C">
            <w:pPr>
              <w:spacing w:line="360" w:lineRule="auto"/>
              <w:jc w:val="center"/>
              <w:rPr>
                <w:rFonts w:ascii="仿宋_GB2312" w:hAnsi="仿宋_GB2312" w:eastAsia="仿宋_GB2312" w:cs="仿宋_GB2312"/>
                <w:color w:val="auto"/>
                <w:sz w:val="24"/>
                <w:highlight w:val="none"/>
              </w:rPr>
            </w:pPr>
          </w:p>
        </w:tc>
        <w:tc>
          <w:tcPr>
            <w:tcW w:w="1332" w:type="dxa"/>
            <w:vAlign w:val="center"/>
          </w:tcPr>
          <w:p w14:paraId="017823DC">
            <w:pPr>
              <w:spacing w:line="360" w:lineRule="auto"/>
              <w:jc w:val="center"/>
              <w:rPr>
                <w:rFonts w:ascii="仿宋_GB2312" w:hAnsi="仿宋_GB2312" w:eastAsia="仿宋_GB2312" w:cs="仿宋_GB2312"/>
                <w:color w:val="auto"/>
                <w:sz w:val="24"/>
                <w:highlight w:val="none"/>
              </w:rPr>
            </w:pPr>
          </w:p>
        </w:tc>
      </w:tr>
      <w:tr w14:paraId="783E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EF0C2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D13FCE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5B8F9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9BF3D3F">
            <w:pPr>
              <w:spacing w:line="360" w:lineRule="auto"/>
              <w:jc w:val="center"/>
              <w:rPr>
                <w:rFonts w:ascii="仿宋_GB2312" w:hAnsi="仿宋_GB2312" w:eastAsia="仿宋_GB2312" w:cs="仿宋_GB2312"/>
                <w:color w:val="auto"/>
                <w:sz w:val="24"/>
                <w:highlight w:val="none"/>
              </w:rPr>
            </w:pPr>
          </w:p>
        </w:tc>
        <w:tc>
          <w:tcPr>
            <w:tcW w:w="1080" w:type="dxa"/>
            <w:vAlign w:val="center"/>
          </w:tcPr>
          <w:p w14:paraId="22E20A33">
            <w:pPr>
              <w:spacing w:line="360" w:lineRule="auto"/>
              <w:jc w:val="center"/>
              <w:rPr>
                <w:rFonts w:ascii="仿宋_GB2312" w:hAnsi="仿宋_GB2312" w:eastAsia="仿宋_GB2312" w:cs="仿宋_GB2312"/>
                <w:color w:val="auto"/>
                <w:sz w:val="24"/>
                <w:highlight w:val="none"/>
              </w:rPr>
            </w:pPr>
          </w:p>
        </w:tc>
        <w:tc>
          <w:tcPr>
            <w:tcW w:w="1332" w:type="dxa"/>
            <w:vAlign w:val="center"/>
          </w:tcPr>
          <w:p w14:paraId="791306C4">
            <w:pPr>
              <w:spacing w:line="360" w:lineRule="auto"/>
              <w:jc w:val="center"/>
              <w:rPr>
                <w:rFonts w:ascii="仿宋_GB2312" w:hAnsi="仿宋_GB2312" w:eastAsia="仿宋_GB2312" w:cs="仿宋_GB2312"/>
                <w:color w:val="auto"/>
                <w:sz w:val="24"/>
                <w:highlight w:val="none"/>
              </w:rPr>
            </w:pPr>
          </w:p>
        </w:tc>
      </w:tr>
      <w:tr w14:paraId="28FC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FC053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455654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44E301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00EA501">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714E4A">
            <w:pPr>
              <w:spacing w:line="360" w:lineRule="auto"/>
              <w:jc w:val="center"/>
              <w:rPr>
                <w:rFonts w:ascii="仿宋_GB2312" w:hAnsi="仿宋_GB2312" w:eastAsia="仿宋_GB2312" w:cs="仿宋_GB2312"/>
                <w:color w:val="auto"/>
                <w:sz w:val="24"/>
                <w:highlight w:val="none"/>
              </w:rPr>
            </w:pPr>
          </w:p>
        </w:tc>
        <w:tc>
          <w:tcPr>
            <w:tcW w:w="1332" w:type="dxa"/>
            <w:vAlign w:val="center"/>
          </w:tcPr>
          <w:p w14:paraId="2911A85C">
            <w:pPr>
              <w:spacing w:line="360" w:lineRule="auto"/>
              <w:jc w:val="center"/>
              <w:rPr>
                <w:rFonts w:ascii="仿宋_GB2312" w:hAnsi="仿宋_GB2312" w:eastAsia="仿宋_GB2312" w:cs="仿宋_GB2312"/>
                <w:color w:val="auto"/>
                <w:sz w:val="24"/>
                <w:highlight w:val="none"/>
              </w:rPr>
            </w:pPr>
          </w:p>
        </w:tc>
      </w:tr>
      <w:tr w14:paraId="0701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52A95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86D00A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51D2B8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7DD5D42">
            <w:pPr>
              <w:spacing w:line="360" w:lineRule="auto"/>
              <w:jc w:val="center"/>
              <w:rPr>
                <w:rFonts w:ascii="仿宋_GB2312" w:hAnsi="仿宋_GB2312" w:eastAsia="仿宋_GB2312" w:cs="仿宋_GB2312"/>
                <w:color w:val="auto"/>
                <w:sz w:val="24"/>
                <w:highlight w:val="none"/>
              </w:rPr>
            </w:pPr>
          </w:p>
        </w:tc>
        <w:tc>
          <w:tcPr>
            <w:tcW w:w="1080" w:type="dxa"/>
            <w:vAlign w:val="center"/>
          </w:tcPr>
          <w:p w14:paraId="56FF2CB3">
            <w:pPr>
              <w:spacing w:line="360" w:lineRule="auto"/>
              <w:jc w:val="center"/>
              <w:rPr>
                <w:rFonts w:ascii="仿宋_GB2312" w:hAnsi="仿宋_GB2312" w:eastAsia="仿宋_GB2312" w:cs="仿宋_GB2312"/>
                <w:color w:val="auto"/>
                <w:sz w:val="24"/>
                <w:highlight w:val="none"/>
              </w:rPr>
            </w:pPr>
          </w:p>
        </w:tc>
        <w:tc>
          <w:tcPr>
            <w:tcW w:w="1332" w:type="dxa"/>
            <w:vAlign w:val="center"/>
          </w:tcPr>
          <w:p w14:paraId="11437AD5">
            <w:pPr>
              <w:spacing w:line="360" w:lineRule="auto"/>
              <w:jc w:val="center"/>
              <w:rPr>
                <w:rFonts w:ascii="仿宋_GB2312" w:hAnsi="仿宋_GB2312" w:eastAsia="仿宋_GB2312" w:cs="仿宋_GB2312"/>
                <w:color w:val="auto"/>
                <w:sz w:val="24"/>
                <w:highlight w:val="none"/>
              </w:rPr>
            </w:pPr>
          </w:p>
        </w:tc>
      </w:tr>
      <w:tr w14:paraId="17A9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8604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36BC0F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AFEEA5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564C32B">
            <w:pPr>
              <w:spacing w:line="360" w:lineRule="auto"/>
              <w:jc w:val="center"/>
              <w:rPr>
                <w:rFonts w:ascii="仿宋_GB2312" w:hAnsi="仿宋_GB2312" w:eastAsia="仿宋_GB2312" w:cs="仿宋_GB2312"/>
                <w:color w:val="auto"/>
                <w:sz w:val="24"/>
                <w:highlight w:val="none"/>
              </w:rPr>
            </w:pPr>
          </w:p>
        </w:tc>
        <w:tc>
          <w:tcPr>
            <w:tcW w:w="1080" w:type="dxa"/>
            <w:vAlign w:val="center"/>
          </w:tcPr>
          <w:p w14:paraId="1416AAB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D3E6B81">
            <w:pPr>
              <w:spacing w:line="360" w:lineRule="auto"/>
              <w:jc w:val="center"/>
              <w:rPr>
                <w:rFonts w:ascii="仿宋_GB2312" w:hAnsi="仿宋_GB2312" w:eastAsia="仿宋_GB2312" w:cs="仿宋_GB2312"/>
                <w:color w:val="auto"/>
                <w:sz w:val="24"/>
                <w:highlight w:val="none"/>
              </w:rPr>
            </w:pPr>
          </w:p>
        </w:tc>
      </w:tr>
    </w:tbl>
    <w:p w14:paraId="7861C86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567E7F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9CFD0E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59652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514F72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1B8C69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8C61C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9A8857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982A7B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05E4DB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17F726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41E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C3C22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EF4D6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401BF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8F651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D59AB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1E8205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6DDE9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3D770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08C67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F5DEA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5C1869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88EAEE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397188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766E3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5850F7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91EE9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27D19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93A59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DC5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346B4721">
            <w:pPr>
              <w:spacing w:line="360" w:lineRule="auto"/>
              <w:rPr>
                <w:rFonts w:ascii="仿宋_GB2312" w:hAnsi="仿宋_GB2312" w:eastAsia="仿宋_GB2312" w:cs="仿宋_GB2312"/>
                <w:color w:val="auto"/>
                <w:sz w:val="24"/>
                <w:highlight w:val="none"/>
              </w:rPr>
            </w:pPr>
          </w:p>
        </w:tc>
        <w:tc>
          <w:tcPr>
            <w:tcW w:w="552" w:type="dxa"/>
          </w:tcPr>
          <w:p w14:paraId="67F7511D">
            <w:pPr>
              <w:spacing w:line="360" w:lineRule="auto"/>
              <w:rPr>
                <w:rFonts w:ascii="仿宋_GB2312" w:hAnsi="仿宋_GB2312" w:eastAsia="仿宋_GB2312" w:cs="仿宋_GB2312"/>
                <w:color w:val="auto"/>
                <w:sz w:val="24"/>
                <w:highlight w:val="none"/>
              </w:rPr>
            </w:pPr>
          </w:p>
        </w:tc>
        <w:tc>
          <w:tcPr>
            <w:tcW w:w="552" w:type="dxa"/>
          </w:tcPr>
          <w:p w14:paraId="114EF987">
            <w:pPr>
              <w:spacing w:line="360" w:lineRule="auto"/>
              <w:rPr>
                <w:rFonts w:ascii="仿宋_GB2312" w:hAnsi="仿宋_GB2312" w:eastAsia="仿宋_GB2312" w:cs="仿宋_GB2312"/>
                <w:color w:val="auto"/>
                <w:sz w:val="24"/>
                <w:highlight w:val="none"/>
              </w:rPr>
            </w:pPr>
          </w:p>
        </w:tc>
        <w:tc>
          <w:tcPr>
            <w:tcW w:w="552" w:type="dxa"/>
          </w:tcPr>
          <w:p w14:paraId="286BF041">
            <w:pPr>
              <w:spacing w:line="360" w:lineRule="auto"/>
              <w:rPr>
                <w:rFonts w:ascii="仿宋_GB2312" w:hAnsi="仿宋_GB2312" w:eastAsia="仿宋_GB2312" w:cs="仿宋_GB2312"/>
                <w:color w:val="auto"/>
                <w:sz w:val="24"/>
                <w:highlight w:val="none"/>
              </w:rPr>
            </w:pPr>
          </w:p>
        </w:tc>
        <w:tc>
          <w:tcPr>
            <w:tcW w:w="552" w:type="dxa"/>
          </w:tcPr>
          <w:p w14:paraId="70128A2D">
            <w:pPr>
              <w:spacing w:line="360" w:lineRule="auto"/>
              <w:rPr>
                <w:rFonts w:ascii="仿宋_GB2312" w:hAnsi="仿宋_GB2312" w:eastAsia="仿宋_GB2312" w:cs="仿宋_GB2312"/>
                <w:color w:val="auto"/>
                <w:sz w:val="24"/>
                <w:highlight w:val="none"/>
              </w:rPr>
            </w:pPr>
          </w:p>
        </w:tc>
        <w:tc>
          <w:tcPr>
            <w:tcW w:w="552" w:type="dxa"/>
          </w:tcPr>
          <w:p w14:paraId="497B54CB">
            <w:pPr>
              <w:spacing w:line="360" w:lineRule="auto"/>
              <w:rPr>
                <w:rFonts w:ascii="仿宋_GB2312" w:hAnsi="仿宋_GB2312" w:eastAsia="仿宋_GB2312" w:cs="仿宋_GB2312"/>
                <w:color w:val="auto"/>
                <w:sz w:val="24"/>
                <w:highlight w:val="none"/>
              </w:rPr>
            </w:pPr>
          </w:p>
        </w:tc>
        <w:tc>
          <w:tcPr>
            <w:tcW w:w="552" w:type="dxa"/>
          </w:tcPr>
          <w:p w14:paraId="66E9B7AD">
            <w:pPr>
              <w:spacing w:line="360" w:lineRule="auto"/>
              <w:rPr>
                <w:rFonts w:ascii="仿宋_GB2312" w:hAnsi="仿宋_GB2312" w:eastAsia="仿宋_GB2312" w:cs="仿宋_GB2312"/>
                <w:color w:val="auto"/>
                <w:sz w:val="24"/>
                <w:highlight w:val="none"/>
              </w:rPr>
            </w:pPr>
          </w:p>
        </w:tc>
        <w:tc>
          <w:tcPr>
            <w:tcW w:w="553" w:type="dxa"/>
          </w:tcPr>
          <w:p w14:paraId="1E61022F">
            <w:pPr>
              <w:spacing w:line="360" w:lineRule="auto"/>
              <w:rPr>
                <w:rFonts w:ascii="仿宋_GB2312" w:hAnsi="仿宋_GB2312" w:eastAsia="仿宋_GB2312" w:cs="仿宋_GB2312"/>
                <w:color w:val="auto"/>
                <w:sz w:val="24"/>
                <w:highlight w:val="none"/>
              </w:rPr>
            </w:pPr>
          </w:p>
        </w:tc>
        <w:tc>
          <w:tcPr>
            <w:tcW w:w="553" w:type="dxa"/>
          </w:tcPr>
          <w:p w14:paraId="3A6D3258">
            <w:pPr>
              <w:spacing w:line="360" w:lineRule="auto"/>
              <w:rPr>
                <w:rFonts w:ascii="仿宋_GB2312" w:hAnsi="仿宋_GB2312" w:eastAsia="仿宋_GB2312" w:cs="仿宋_GB2312"/>
                <w:color w:val="auto"/>
                <w:sz w:val="24"/>
                <w:highlight w:val="none"/>
              </w:rPr>
            </w:pPr>
          </w:p>
        </w:tc>
        <w:tc>
          <w:tcPr>
            <w:tcW w:w="553" w:type="dxa"/>
          </w:tcPr>
          <w:p w14:paraId="0C3126F0">
            <w:pPr>
              <w:spacing w:line="360" w:lineRule="auto"/>
              <w:rPr>
                <w:rFonts w:ascii="仿宋_GB2312" w:hAnsi="仿宋_GB2312" w:eastAsia="仿宋_GB2312" w:cs="仿宋_GB2312"/>
                <w:color w:val="auto"/>
                <w:sz w:val="24"/>
                <w:highlight w:val="none"/>
              </w:rPr>
            </w:pPr>
          </w:p>
        </w:tc>
        <w:tc>
          <w:tcPr>
            <w:tcW w:w="553" w:type="dxa"/>
          </w:tcPr>
          <w:p w14:paraId="6AB6E41F">
            <w:pPr>
              <w:spacing w:line="360" w:lineRule="auto"/>
              <w:rPr>
                <w:rFonts w:ascii="仿宋_GB2312" w:hAnsi="仿宋_GB2312" w:eastAsia="仿宋_GB2312" w:cs="仿宋_GB2312"/>
                <w:color w:val="auto"/>
                <w:sz w:val="24"/>
                <w:highlight w:val="none"/>
              </w:rPr>
            </w:pPr>
          </w:p>
        </w:tc>
        <w:tc>
          <w:tcPr>
            <w:tcW w:w="553" w:type="dxa"/>
          </w:tcPr>
          <w:p w14:paraId="05584DBB">
            <w:pPr>
              <w:spacing w:line="360" w:lineRule="auto"/>
              <w:rPr>
                <w:rFonts w:ascii="仿宋_GB2312" w:hAnsi="仿宋_GB2312" w:eastAsia="仿宋_GB2312" w:cs="仿宋_GB2312"/>
                <w:color w:val="auto"/>
                <w:sz w:val="24"/>
                <w:highlight w:val="none"/>
              </w:rPr>
            </w:pPr>
          </w:p>
        </w:tc>
        <w:tc>
          <w:tcPr>
            <w:tcW w:w="553" w:type="dxa"/>
          </w:tcPr>
          <w:p w14:paraId="66CBFE53">
            <w:pPr>
              <w:spacing w:line="360" w:lineRule="auto"/>
              <w:rPr>
                <w:rFonts w:ascii="仿宋_GB2312" w:hAnsi="仿宋_GB2312" w:eastAsia="仿宋_GB2312" w:cs="仿宋_GB2312"/>
                <w:color w:val="auto"/>
                <w:sz w:val="24"/>
                <w:highlight w:val="none"/>
              </w:rPr>
            </w:pPr>
          </w:p>
        </w:tc>
        <w:tc>
          <w:tcPr>
            <w:tcW w:w="553" w:type="dxa"/>
          </w:tcPr>
          <w:p w14:paraId="48382D01">
            <w:pPr>
              <w:spacing w:line="360" w:lineRule="auto"/>
              <w:rPr>
                <w:rFonts w:ascii="仿宋_GB2312" w:hAnsi="仿宋_GB2312" w:eastAsia="仿宋_GB2312" w:cs="仿宋_GB2312"/>
                <w:color w:val="auto"/>
                <w:sz w:val="24"/>
                <w:highlight w:val="none"/>
              </w:rPr>
            </w:pPr>
          </w:p>
        </w:tc>
        <w:tc>
          <w:tcPr>
            <w:tcW w:w="553" w:type="dxa"/>
          </w:tcPr>
          <w:p w14:paraId="73B942B0">
            <w:pPr>
              <w:spacing w:line="360" w:lineRule="auto"/>
              <w:rPr>
                <w:rFonts w:ascii="仿宋_GB2312" w:hAnsi="仿宋_GB2312" w:eastAsia="仿宋_GB2312" w:cs="仿宋_GB2312"/>
                <w:color w:val="auto"/>
                <w:sz w:val="24"/>
                <w:highlight w:val="none"/>
              </w:rPr>
            </w:pPr>
          </w:p>
        </w:tc>
        <w:tc>
          <w:tcPr>
            <w:tcW w:w="553" w:type="dxa"/>
          </w:tcPr>
          <w:p w14:paraId="5D24C7C1">
            <w:pPr>
              <w:spacing w:line="360" w:lineRule="auto"/>
              <w:rPr>
                <w:rFonts w:ascii="仿宋_GB2312" w:hAnsi="仿宋_GB2312" w:eastAsia="仿宋_GB2312" w:cs="仿宋_GB2312"/>
                <w:color w:val="auto"/>
                <w:sz w:val="24"/>
                <w:highlight w:val="none"/>
              </w:rPr>
            </w:pPr>
          </w:p>
        </w:tc>
        <w:tc>
          <w:tcPr>
            <w:tcW w:w="553" w:type="dxa"/>
          </w:tcPr>
          <w:p w14:paraId="7466E5C1">
            <w:pPr>
              <w:spacing w:line="360" w:lineRule="auto"/>
              <w:rPr>
                <w:rFonts w:ascii="仿宋_GB2312" w:hAnsi="仿宋_GB2312" w:eastAsia="仿宋_GB2312" w:cs="仿宋_GB2312"/>
                <w:color w:val="auto"/>
                <w:sz w:val="24"/>
                <w:highlight w:val="none"/>
              </w:rPr>
            </w:pPr>
          </w:p>
        </w:tc>
      </w:tr>
      <w:tr w14:paraId="1AE5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043FF3">
            <w:pPr>
              <w:spacing w:line="360" w:lineRule="auto"/>
              <w:rPr>
                <w:rFonts w:ascii="仿宋_GB2312" w:hAnsi="仿宋_GB2312" w:eastAsia="仿宋_GB2312" w:cs="仿宋_GB2312"/>
                <w:color w:val="auto"/>
                <w:sz w:val="24"/>
                <w:highlight w:val="none"/>
              </w:rPr>
            </w:pPr>
          </w:p>
        </w:tc>
        <w:tc>
          <w:tcPr>
            <w:tcW w:w="552" w:type="dxa"/>
          </w:tcPr>
          <w:p w14:paraId="3FDD4139">
            <w:pPr>
              <w:spacing w:line="360" w:lineRule="auto"/>
              <w:rPr>
                <w:rFonts w:ascii="仿宋_GB2312" w:hAnsi="仿宋_GB2312" w:eastAsia="仿宋_GB2312" w:cs="仿宋_GB2312"/>
                <w:color w:val="auto"/>
                <w:sz w:val="24"/>
                <w:highlight w:val="none"/>
              </w:rPr>
            </w:pPr>
          </w:p>
        </w:tc>
        <w:tc>
          <w:tcPr>
            <w:tcW w:w="552" w:type="dxa"/>
          </w:tcPr>
          <w:p w14:paraId="16D3D526">
            <w:pPr>
              <w:spacing w:line="360" w:lineRule="auto"/>
              <w:rPr>
                <w:rFonts w:ascii="仿宋_GB2312" w:hAnsi="仿宋_GB2312" w:eastAsia="仿宋_GB2312" w:cs="仿宋_GB2312"/>
                <w:color w:val="auto"/>
                <w:sz w:val="24"/>
                <w:highlight w:val="none"/>
              </w:rPr>
            </w:pPr>
          </w:p>
        </w:tc>
        <w:tc>
          <w:tcPr>
            <w:tcW w:w="552" w:type="dxa"/>
          </w:tcPr>
          <w:p w14:paraId="28617BC0">
            <w:pPr>
              <w:spacing w:line="360" w:lineRule="auto"/>
              <w:rPr>
                <w:rFonts w:ascii="仿宋_GB2312" w:hAnsi="仿宋_GB2312" w:eastAsia="仿宋_GB2312" w:cs="仿宋_GB2312"/>
                <w:color w:val="auto"/>
                <w:sz w:val="24"/>
                <w:highlight w:val="none"/>
              </w:rPr>
            </w:pPr>
          </w:p>
        </w:tc>
        <w:tc>
          <w:tcPr>
            <w:tcW w:w="552" w:type="dxa"/>
          </w:tcPr>
          <w:p w14:paraId="1197C0A9">
            <w:pPr>
              <w:spacing w:line="360" w:lineRule="auto"/>
              <w:rPr>
                <w:rFonts w:ascii="仿宋_GB2312" w:hAnsi="仿宋_GB2312" w:eastAsia="仿宋_GB2312" w:cs="仿宋_GB2312"/>
                <w:color w:val="auto"/>
                <w:sz w:val="24"/>
                <w:highlight w:val="none"/>
              </w:rPr>
            </w:pPr>
          </w:p>
        </w:tc>
        <w:tc>
          <w:tcPr>
            <w:tcW w:w="552" w:type="dxa"/>
          </w:tcPr>
          <w:p w14:paraId="2866F933">
            <w:pPr>
              <w:spacing w:line="360" w:lineRule="auto"/>
              <w:rPr>
                <w:rFonts w:ascii="仿宋_GB2312" w:hAnsi="仿宋_GB2312" w:eastAsia="仿宋_GB2312" w:cs="仿宋_GB2312"/>
                <w:color w:val="auto"/>
                <w:sz w:val="24"/>
                <w:highlight w:val="none"/>
              </w:rPr>
            </w:pPr>
          </w:p>
        </w:tc>
        <w:tc>
          <w:tcPr>
            <w:tcW w:w="552" w:type="dxa"/>
          </w:tcPr>
          <w:p w14:paraId="41921979">
            <w:pPr>
              <w:spacing w:line="360" w:lineRule="auto"/>
              <w:rPr>
                <w:rFonts w:ascii="仿宋_GB2312" w:hAnsi="仿宋_GB2312" w:eastAsia="仿宋_GB2312" w:cs="仿宋_GB2312"/>
                <w:color w:val="auto"/>
                <w:sz w:val="24"/>
                <w:highlight w:val="none"/>
              </w:rPr>
            </w:pPr>
          </w:p>
        </w:tc>
        <w:tc>
          <w:tcPr>
            <w:tcW w:w="553" w:type="dxa"/>
          </w:tcPr>
          <w:p w14:paraId="1ECBEBCE">
            <w:pPr>
              <w:spacing w:line="360" w:lineRule="auto"/>
              <w:rPr>
                <w:rFonts w:ascii="仿宋_GB2312" w:hAnsi="仿宋_GB2312" w:eastAsia="仿宋_GB2312" w:cs="仿宋_GB2312"/>
                <w:color w:val="auto"/>
                <w:sz w:val="24"/>
                <w:highlight w:val="none"/>
              </w:rPr>
            </w:pPr>
          </w:p>
        </w:tc>
        <w:tc>
          <w:tcPr>
            <w:tcW w:w="553" w:type="dxa"/>
          </w:tcPr>
          <w:p w14:paraId="4E16953A">
            <w:pPr>
              <w:spacing w:line="360" w:lineRule="auto"/>
              <w:rPr>
                <w:rFonts w:ascii="仿宋_GB2312" w:hAnsi="仿宋_GB2312" w:eastAsia="仿宋_GB2312" w:cs="仿宋_GB2312"/>
                <w:color w:val="auto"/>
                <w:sz w:val="24"/>
                <w:highlight w:val="none"/>
              </w:rPr>
            </w:pPr>
          </w:p>
        </w:tc>
        <w:tc>
          <w:tcPr>
            <w:tcW w:w="553" w:type="dxa"/>
          </w:tcPr>
          <w:p w14:paraId="05D6A8EC">
            <w:pPr>
              <w:spacing w:line="360" w:lineRule="auto"/>
              <w:rPr>
                <w:rFonts w:ascii="仿宋_GB2312" w:hAnsi="仿宋_GB2312" w:eastAsia="仿宋_GB2312" w:cs="仿宋_GB2312"/>
                <w:color w:val="auto"/>
                <w:sz w:val="24"/>
                <w:highlight w:val="none"/>
              </w:rPr>
            </w:pPr>
          </w:p>
        </w:tc>
        <w:tc>
          <w:tcPr>
            <w:tcW w:w="553" w:type="dxa"/>
          </w:tcPr>
          <w:p w14:paraId="2988636A">
            <w:pPr>
              <w:spacing w:line="360" w:lineRule="auto"/>
              <w:rPr>
                <w:rFonts w:ascii="仿宋_GB2312" w:hAnsi="仿宋_GB2312" w:eastAsia="仿宋_GB2312" w:cs="仿宋_GB2312"/>
                <w:color w:val="auto"/>
                <w:sz w:val="24"/>
                <w:highlight w:val="none"/>
              </w:rPr>
            </w:pPr>
          </w:p>
        </w:tc>
        <w:tc>
          <w:tcPr>
            <w:tcW w:w="553" w:type="dxa"/>
          </w:tcPr>
          <w:p w14:paraId="29F12898">
            <w:pPr>
              <w:spacing w:line="360" w:lineRule="auto"/>
              <w:rPr>
                <w:rFonts w:ascii="仿宋_GB2312" w:hAnsi="仿宋_GB2312" w:eastAsia="仿宋_GB2312" w:cs="仿宋_GB2312"/>
                <w:color w:val="auto"/>
                <w:sz w:val="24"/>
                <w:highlight w:val="none"/>
              </w:rPr>
            </w:pPr>
          </w:p>
        </w:tc>
        <w:tc>
          <w:tcPr>
            <w:tcW w:w="553" w:type="dxa"/>
          </w:tcPr>
          <w:p w14:paraId="7EDDF7E0">
            <w:pPr>
              <w:spacing w:line="360" w:lineRule="auto"/>
              <w:rPr>
                <w:rFonts w:ascii="仿宋_GB2312" w:hAnsi="仿宋_GB2312" w:eastAsia="仿宋_GB2312" w:cs="仿宋_GB2312"/>
                <w:color w:val="auto"/>
                <w:sz w:val="24"/>
                <w:highlight w:val="none"/>
              </w:rPr>
            </w:pPr>
          </w:p>
        </w:tc>
        <w:tc>
          <w:tcPr>
            <w:tcW w:w="553" w:type="dxa"/>
          </w:tcPr>
          <w:p w14:paraId="55D71AF4">
            <w:pPr>
              <w:spacing w:line="360" w:lineRule="auto"/>
              <w:rPr>
                <w:rFonts w:ascii="仿宋_GB2312" w:hAnsi="仿宋_GB2312" w:eastAsia="仿宋_GB2312" w:cs="仿宋_GB2312"/>
                <w:color w:val="auto"/>
                <w:sz w:val="24"/>
                <w:highlight w:val="none"/>
              </w:rPr>
            </w:pPr>
          </w:p>
        </w:tc>
        <w:tc>
          <w:tcPr>
            <w:tcW w:w="553" w:type="dxa"/>
          </w:tcPr>
          <w:p w14:paraId="058B36AF">
            <w:pPr>
              <w:spacing w:line="360" w:lineRule="auto"/>
              <w:rPr>
                <w:rFonts w:ascii="仿宋_GB2312" w:hAnsi="仿宋_GB2312" w:eastAsia="仿宋_GB2312" w:cs="仿宋_GB2312"/>
                <w:color w:val="auto"/>
                <w:sz w:val="24"/>
                <w:highlight w:val="none"/>
              </w:rPr>
            </w:pPr>
          </w:p>
        </w:tc>
        <w:tc>
          <w:tcPr>
            <w:tcW w:w="553" w:type="dxa"/>
          </w:tcPr>
          <w:p w14:paraId="1B9DEEBA">
            <w:pPr>
              <w:spacing w:line="360" w:lineRule="auto"/>
              <w:rPr>
                <w:rFonts w:ascii="仿宋_GB2312" w:hAnsi="仿宋_GB2312" w:eastAsia="仿宋_GB2312" w:cs="仿宋_GB2312"/>
                <w:color w:val="auto"/>
                <w:sz w:val="24"/>
                <w:highlight w:val="none"/>
              </w:rPr>
            </w:pPr>
          </w:p>
        </w:tc>
        <w:tc>
          <w:tcPr>
            <w:tcW w:w="553" w:type="dxa"/>
          </w:tcPr>
          <w:p w14:paraId="52DC52C8">
            <w:pPr>
              <w:spacing w:line="360" w:lineRule="auto"/>
              <w:rPr>
                <w:rFonts w:ascii="仿宋_GB2312" w:hAnsi="仿宋_GB2312" w:eastAsia="仿宋_GB2312" w:cs="仿宋_GB2312"/>
                <w:color w:val="auto"/>
                <w:sz w:val="24"/>
                <w:highlight w:val="none"/>
              </w:rPr>
            </w:pPr>
          </w:p>
        </w:tc>
      </w:tr>
      <w:tr w14:paraId="4984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A4E23E">
            <w:pPr>
              <w:spacing w:line="360" w:lineRule="auto"/>
              <w:rPr>
                <w:rFonts w:ascii="仿宋_GB2312" w:hAnsi="仿宋_GB2312" w:eastAsia="仿宋_GB2312" w:cs="仿宋_GB2312"/>
                <w:color w:val="auto"/>
                <w:sz w:val="24"/>
                <w:highlight w:val="none"/>
              </w:rPr>
            </w:pPr>
          </w:p>
        </w:tc>
        <w:tc>
          <w:tcPr>
            <w:tcW w:w="552" w:type="dxa"/>
          </w:tcPr>
          <w:p w14:paraId="2B061259">
            <w:pPr>
              <w:spacing w:line="360" w:lineRule="auto"/>
              <w:rPr>
                <w:rFonts w:ascii="仿宋_GB2312" w:hAnsi="仿宋_GB2312" w:eastAsia="仿宋_GB2312" w:cs="仿宋_GB2312"/>
                <w:color w:val="auto"/>
                <w:sz w:val="24"/>
                <w:highlight w:val="none"/>
              </w:rPr>
            </w:pPr>
          </w:p>
        </w:tc>
        <w:tc>
          <w:tcPr>
            <w:tcW w:w="552" w:type="dxa"/>
          </w:tcPr>
          <w:p w14:paraId="3CD9A703">
            <w:pPr>
              <w:spacing w:line="360" w:lineRule="auto"/>
              <w:rPr>
                <w:rFonts w:ascii="仿宋_GB2312" w:hAnsi="仿宋_GB2312" w:eastAsia="仿宋_GB2312" w:cs="仿宋_GB2312"/>
                <w:color w:val="auto"/>
                <w:sz w:val="24"/>
                <w:highlight w:val="none"/>
              </w:rPr>
            </w:pPr>
          </w:p>
        </w:tc>
        <w:tc>
          <w:tcPr>
            <w:tcW w:w="552" w:type="dxa"/>
          </w:tcPr>
          <w:p w14:paraId="3860A31C">
            <w:pPr>
              <w:spacing w:line="360" w:lineRule="auto"/>
              <w:rPr>
                <w:rFonts w:ascii="仿宋_GB2312" w:hAnsi="仿宋_GB2312" w:eastAsia="仿宋_GB2312" w:cs="仿宋_GB2312"/>
                <w:color w:val="auto"/>
                <w:sz w:val="24"/>
                <w:highlight w:val="none"/>
              </w:rPr>
            </w:pPr>
          </w:p>
        </w:tc>
        <w:tc>
          <w:tcPr>
            <w:tcW w:w="552" w:type="dxa"/>
          </w:tcPr>
          <w:p w14:paraId="1B5D53E9">
            <w:pPr>
              <w:spacing w:line="360" w:lineRule="auto"/>
              <w:rPr>
                <w:rFonts w:ascii="仿宋_GB2312" w:hAnsi="仿宋_GB2312" w:eastAsia="仿宋_GB2312" w:cs="仿宋_GB2312"/>
                <w:color w:val="auto"/>
                <w:sz w:val="24"/>
                <w:highlight w:val="none"/>
              </w:rPr>
            </w:pPr>
          </w:p>
        </w:tc>
        <w:tc>
          <w:tcPr>
            <w:tcW w:w="552" w:type="dxa"/>
          </w:tcPr>
          <w:p w14:paraId="3CD4F8A5">
            <w:pPr>
              <w:spacing w:line="360" w:lineRule="auto"/>
              <w:rPr>
                <w:rFonts w:ascii="仿宋_GB2312" w:hAnsi="仿宋_GB2312" w:eastAsia="仿宋_GB2312" w:cs="仿宋_GB2312"/>
                <w:color w:val="auto"/>
                <w:sz w:val="24"/>
                <w:highlight w:val="none"/>
              </w:rPr>
            </w:pPr>
          </w:p>
        </w:tc>
        <w:tc>
          <w:tcPr>
            <w:tcW w:w="552" w:type="dxa"/>
          </w:tcPr>
          <w:p w14:paraId="088D5E8F">
            <w:pPr>
              <w:spacing w:line="360" w:lineRule="auto"/>
              <w:rPr>
                <w:rFonts w:ascii="仿宋_GB2312" w:hAnsi="仿宋_GB2312" w:eastAsia="仿宋_GB2312" w:cs="仿宋_GB2312"/>
                <w:color w:val="auto"/>
                <w:sz w:val="24"/>
                <w:highlight w:val="none"/>
              </w:rPr>
            </w:pPr>
          </w:p>
        </w:tc>
        <w:tc>
          <w:tcPr>
            <w:tcW w:w="553" w:type="dxa"/>
          </w:tcPr>
          <w:p w14:paraId="3F26601B">
            <w:pPr>
              <w:spacing w:line="360" w:lineRule="auto"/>
              <w:rPr>
                <w:rFonts w:ascii="仿宋_GB2312" w:hAnsi="仿宋_GB2312" w:eastAsia="仿宋_GB2312" w:cs="仿宋_GB2312"/>
                <w:color w:val="auto"/>
                <w:sz w:val="24"/>
                <w:highlight w:val="none"/>
              </w:rPr>
            </w:pPr>
          </w:p>
        </w:tc>
        <w:tc>
          <w:tcPr>
            <w:tcW w:w="553" w:type="dxa"/>
          </w:tcPr>
          <w:p w14:paraId="312B516D">
            <w:pPr>
              <w:spacing w:line="360" w:lineRule="auto"/>
              <w:rPr>
                <w:rFonts w:ascii="仿宋_GB2312" w:hAnsi="仿宋_GB2312" w:eastAsia="仿宋_GB2312" w:cs="仿宋_GB2312"/>
                <w:color w:val="auto"/>
                <w:sz w:val="24"/>
                <w:highlight w:val="none"/>
              </w:rPr>
            </w:pPr>
          </w:p>
        </w:tc>
        <w:tc>
          <w:tcPr>
            <w:tcW w:w="553" w:type="dxa"/>
          </w:tcPr>
          <w:p w14:paraId="69DC3E0A">
            <w:pPr>
              <w:spacing w:line="360" w:lineRule="auto"/>
              <w:rPr>
                <w:rFonts w:ascii="仿宋_GB2312" w:hAnsi="仿宋_GB2312" w:eastAsia="仿宋_GB2312" w:cs="仿宋_GB2312"/>
                <w:color w:val="auto"/>
                <w:sz w:val="24"/>
                <w:highlight w:val="none"/>
              </w:rPr>
            </w:pPr>
          </w:p>
        </w:tc>
        <w:tc>
          <w:tcPr>
            <w:tcW w:w="553" w:type="dxa"/>
          </w:tcPr>
          <w:p w14:paraId="5875803C">
            <w:pPr>
              <w:spacing w:line="360" w:lineRule="auto"/>
              <w:rPr>
                <w:rFonts w:ascii="仿宋_GB2312" w:hAnsi="仿宋_GB2312" w:eastAsia="仿宋_GB2312" w:cs="仿宋_GB2312"/>
                <w:color w:val="auto"/>
                <w:sz w:val="24"/>
                <w:highlight w:val="none"/>
              </w:rPr>
            </w:pPr>
          </w:p>
        </w:tc>
        <w:tc>
          <w:tcPr>
            <w:tcW w:w="553" w:type="dxa"/>
          </w:tcPr>
          <w:p w14:paraId="404ABA8D">
            <w:pPr>
              <w:spacing w:line="360" w:lineRule="auto"/>
              <w:rPr>
                <w:rFonts w:ascii="仿宋_GB2312" w:hAnsi="仿宋_GB2312" w:eastAsia="仿宋_GB2312" w:cs="仿宋_GB2312"/>
                <w:color w:val="auto"/>
                <w:sz w:val="24"/>
                <w:highlight w:val="none"/>
              </w:rPr>
            </w:pPr>
          </w:p>
        </w:tc>
        <w:tc>
          <w:tcPr>
            <w:tcW w:w="553" w:type="dxa"/>
          </w:tcPr>
          <w:p w14:paraId="3F377DC0">
            <w:pPr>
              <w:spacing w:line="360" w:lineRule="auto"/>
              <w:rPr>
                <w:rFonts w:ascii="仿宋_GB2312" w:hAnsi="仿宋_GB2312" w:eastAsia="仿宋_GB2312" w:cs="仿宋_GB2312"/>
                <w:color w:val="auto"/>
                <w:sz w:val="24"/>
                <w:highlight w:val="none"/>
              </w:rPr>
            </w:pPr>
          </w:p>
        </w:tc>
        <w:tc>
          <w:tcPr>
            <w:tcW w:w="553" w:type="dxa"/>
          </w:tcPr>
          <w:p w14:paraId="63FA6513">
            <w:pPr>
              <w:spacing w:line="360" w:lineRule="auto"/>
              <w:rPr>
                <w:rFonts w:ascii="仿宋_GB2312" w:hAnsi="仿宋_GB2312" w:eastAsia="仿宋_GB2312" w:cs="仿宋_GB2312"/>
                <w:color w:val="auto"/>
                <w:sz w:val="24"/>
                <w:highlight w:val="none"/>
              </w:rPr>
            </w:pPr>
          </w:p>
        </w:tc>
        <w:tc>
          <w:tcPr>
            <w:tcW w:w="553" w:type="dxa"/>
          </w:tcPr>
          <w:p w14:paraId="5B2700AA">
            <w:pPr>
              <w:spacing w:line="360" w:lineRule="auto"/>
              <w:rPr>
                <w:rFonts w:ascii="仿宋_GB2312" w:hAnsi="仿宋_GB2312" w:eastAsia="仿宋_GB2312" w:cs="仿宋_GB2312"/>
                <w:color w:val="auto"/>
                <w:sz w:val="24"/>
                <w:highlight w:val="none"/>
              </w:rPr>
            </w:pPr>
          </w:p>
        </w:tc>
        <w:tc>
          <w:tcPr>
            <w:tcW w:w="553" w:type="dxa"/>
          </w:tcPr>
          <w:p w14:paraId="29DA08D5">
            <w:pPr>
              <w:spacing w:line="360" w:lineRule="auto"/>
              <w:rPr>
                <w:rFonts w:ascii="仿宋_GB2312" w:hAnsi="仿宋_GB2312" w:eastAsia="仿宋_GB2312" w:cs="仿宋_GB2312"/>
                <w:color w:val="auto"/>
                <w:sz w:val="24"/>
                <w:highlight w:val="none"/>
              </w:rPr>
            </w:pPr>
          </w:p>
        </w:tc>
        <w:tc>
          <w:tcPr>
            <w:tcW w:w="553" w:type="dxa"/>
          </w:tcPr>
          <w:p w14:paraId="0C7B21DF">
            <w:pPr>
              <w:spacing w:line="360" w:lineRule="auto"/>
              <w:rPr>
                <w:rFonts w:ascii="仿宋_GB2312" w:hAnsi="仿宋_GB2312" w:eastAsia="仿宋_GB2312" w:cs="仿宋_GB2312"/>
                <w:color w:val="auto"/>
                <w:sz w:val="24"/>
                <w:highlight w:val="none"/>
              </w:rPr>
            </w:pPr>
          </w:p>
        </w:tc>
      </w:tr>
    </w:tbl>
    <w:p w14:paraId="1D8120B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119FA3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13BB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631D69">
      <w:pPr>
        <w:spacing w:line="360" w:lineRule="auto"/>
        <w:rPr>
          <w:rFonts w:ascii="仿宋_GB2312" w:hAnsi="仿宋_GB2312" w:eastAsia="仿宋_GB2312" w:cs="仿宋_GB2312"/>
          <w:color w:val="auto"/>
          <w:kern w:val="0"/>
          <w:sz w:val="24"/>
          <w:highlight w:val="none"/>
        </w:rPr>
      </w:pPr>
    </w:p>
    <w:p w14:paraId="5667FC27">
      <w:pPr>
        <w:spacing w:line="360" w:lineRule="auto"/>
        <w:rPr>
          <w:rFonts w:ascii="仿宋_GB2312" w:hAnsi="仿宋_GB2312" w:eastAsia="仿宋_GB2312" w:cs="仿宋_GB2312"/>
          <w:b/>
          <w:bCs/>
          <w:color w:val="auto"/>
          <w:sz w:val="32"/>
          <w:szCs w:val="32"/>
          <w:highlight w:val="none"/>
        </w:rPr>
      </w:pPr>
    </w:p>
    <w:p w14:paraId="124B031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2CC64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A76CFF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CC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4BD69A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B018DF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E37FF8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77094F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F712DC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7B9D80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369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5E536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C64D29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8808B3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04AE2B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B35E80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489EE89">
            <w:pPr>
              <w:autoSpaceDE w:val="0"/>
              <w:autoSpaceDN w:val="0"/>
              <w:spacing w:line="360" w:lineRule="auto"/>
              <w:jc w:val="center"/>
              <w:rPr>
                <w:rFonts w:ascii="仿宋_GB2312" w:hAnsi="仿宋_GB2312" w:eastAsia="仿宋_GB2312" w:cs="仿宋_GB2312"/>
                <w:color w:val="auto"/>
                <w:sz w:val="24"/>
                <w:highlight w:val="none"/>
              </w:rPr>
            </w:pPr>
          </w:p>
        </w:tc>
      </w:tr>
      <w:tr w14:paraId="4475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273EF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12B2DB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21668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3B93E5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FB7288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255F18B">
            <w:pPr>
              <w:autoSpaceDE w:val="0"/>
              <w:autoSpaceDN w:val="0"/>
              <w:spacing w:line="360" w:lineRule="auto"/>
              <w:jc w:val="center"/>
              <w:rPr>
                <w:rFonts w:ascii="仿宋_GB2312" w:hAnsi="仿宋_GB2312" w:eastAsia="仿宋_GB2312" w:cs="仿宋_GB2312"/>
                <w:color w:val="auto"/>
                <w:sz w:val="24"/>
                <w:highlight w:val="none"/>
              </w:rPr>
            </w:pPr>
          </w:p>
        </w:tc>
      </w:tr>
      <w:tr w14:paraId="7CBF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53BFC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65327C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19DCB1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0919F1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5D1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8CE4FF2">
            <w:pPr>
              <w:autoSpaceDE w:val="0"/>
              <w:autoSpaceDN w:val="0"/>
              <w:spacing w:line="360" w:lineRule="auto"/>
              <w:jc w:val="center"/>
              <w:rPr>
                <w:rFonts w:ascii="仿宋_GB2312" w:hAnsi="仿宋_GB2312" w:eastAsia="仿宋_GB2312" w:cs="仿宋_GB2312"/>
                <w:color w:val="auto"/>
                <w:sz w:val="24"/>
                <w:highlight w:val="none"/>
              </w:rPr>
            </w:pPr>
          </w:p>
        </w:tc>
      </w:tr>
    </w:tbl>
    <w:p w14:paraId="03B00D3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90F2448">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855F0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D591DF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5E4052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10175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F016D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085513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10BD0F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BF6038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88C7D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7EA4BE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E0D95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10E243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E6627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EAD52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898A84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421EDB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95197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F9AE0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649B6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23A8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1C9FC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68692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CA82A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43EA8CD">
            <w:pPr>
              <w:autoSpaceDE w:val="0"/>
              <w:autoSpaceDN w:val="0"/>
              <w:spacing w:line="240" w:lineRule="exact"/>
              <w:rPr>
                <w:rFonts w:ascii="仿宋_GB2312" w:hAnsi="仿宋_GB2312" w:eastAsia="仿宋_GB2312" w:cs="仿宋_GB2312"/>
                <w:color w:val="auto"/>
                <w:sz w:val="24"/>
                <w:highlight w:val="none"/>
              </w:rPr>
            </w:pPr>
          </w:p>
        </w:tc>
      </w:tr>
      <w:tr w14:paraId="22AB71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7943B0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060FAD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FAFB7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224D1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7AD8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5CFE4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4B7BC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6E8FD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66B49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5EE87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7E55AE">
            <w:pPr>
              <w:autoSpaceDE w:val="0"/>
              <w:autoSpaceDN w:val="0"/>
              <w:spacing w:line="240" w:lineRule="exact"/>
              <w:rPr>
                <w:rFonts w:ascii="仿宋_GB2312" w:hAnsi="仿宋_GB2312" w:eastAsia="仿宋_GB2312" w:cs="仿宋_GB2312"/>
                <w:color w:val="auto"/>
                <w:sz w:val="24"/>
                <w:highlight w:val="none"/>
              </w:rPr>
            </w:pPr>
          </w:p>
        </w:tc>
      </w:tr>
      <w:tr w14:paraId="0262800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59D45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704B23C">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529442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D5AB0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7C02E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6440A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BF101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94DCB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FCF135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56283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0F25474">
            <w:pPr>
              <w:autoSpaceDE w:val="0"/>
              <w:autoSpaceDN w:val="0"/>
              <w:spacing w:line="240" w:lineRule="exact"/>
              <w:rPr>
                <w:rFonts w:ascii="仿宋_GB2312" w:hAnsi="仿宋_GB2312" w:eastAsia="仿宋_GB2312" w:cs="仿宋_GB2312"/>
                <w:color w:val="auto"/>
                <w:sz w:val="24"/>
                <w:highlight w:val="none"/>
              </w:rPr>
            </w:pPr>
          </w:p>
        </w:tc>
      </w:tr>
    </w:tbl>
    <w:p w14:paraId="60BB5AB2">
      <w:pPr>
        <w:spacing w:line="360" w:lineRule="auto"/>
        <w:ind w:firstLine="480" w:firstLineChars="200"/>
        <w:rPr>
          <w:rFonts w:ascii="仿宋_GB2312" w:hAnsi="仿宋_GB2312" w:eastAsia="仿宋_GB2312" w:cs="仿宋_GB2312"/>
          <w:color w:val="auto"/>
          <w:sz w:val="24"/>
          <w:szCs w:val="20"/>
          <w:highlight w:val="none"/>
        </w:rPr>
      </w:pPr>
    </w:p>
    <w:p w14:paraId="24BC308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AB94A5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05502C">
      <w:pPr>
        <w:spacing w:line="360" w:lineRule="auto"/>
        <w:rPr>
          <w:rFonts w:ascii="仿宋_GB2312" w:hAnsi="仿宋_GB2312" w:eastAsia="仿宋_GB2312" w:cs="仿宋_GB2312"/>
          <w:b/>
          <w:color w:val="auto"/>
          <w:sz w:val="30"/>
          <w:szCs w:val="30"/>
          <w:highlight w:val="none"/>
        </w:rPr>
      </w:pPr>
    </w:p>
    <w:p w14:paraId="50FEF315">
      <w:pPr>
        <w:pStyle w:val="79"/>
        <w:rPr>
          <w:color w:val="auto"/>
          <w:highlight w:val="none"/>
        </w:rPr>
      </w:pPr>
    </w:p>
    <w:p w14:paraId="711CF8D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04F38B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FD1A78F">
      <w:pPr>
        <w:spacing w:line="336" w:lineRule="auto"/>
        <w:ind w:firstLine="3600" w:firstLineChars="1500"/>
        <w:rPr>
          <w:rFonts w:ascii="仿宋" w:hAnsi="仿宋" w:eastAsia="仿宋" w:cs="仿宋"/>
          <w:color w:val="auto"/>
          <w:sz w:val="24"/>
          <w:highlight w:val="none"/>
        </w:rPr>
      </w:pPr>
    </w:p>
    <w:p w14:paraId="35C0CD8F">
      <w:pPr>
        <w:pStyle w:val="79"/>
        <w:rPr>
          <w:color w:val="auto"/>
          <w:highlight w:val="none"/>
        </w:rPr>
      </w:pPr>
    </w:p>
    <w:p w14:paraId="10E8710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30409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F87F8D">
      <w:pPr>
        <w:pStyle w:val="79"/>
        <w:rPr>
          <w:color w:val="auto"/>
          <w:highlight w:val="none"/>
        </w:rPr>
      </w:pPr>
    </w:p>
    <w:p w14:paraId="3BD8D7C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16BA47D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2ACECC">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01E19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7E8C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CE83E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E789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B709F7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5D3BF5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F599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CE6CF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653C94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2F848EC">
            <w:pPr>
              <w:autoSpaceDE w:val="0"/>
              <w:autoSpaceDN w:val="0"/>
              <w:spacing w:line="360" w:lineRule="auto"/>
              <w:jc w:val="center"/>
              <w:rPr>
                <w:rFonts w:ascii="仿宋_GB2312" w:hAnsi="仿宋_GB2312" w:eastAsia="仿宋_GB2312" w:cs="仿宋_GB2312"/>
                <w:color w:val="auto"/>
                <w:sz w:val="24"/>
                <w:highlight w:val="none"/>
              </w:rPr>
            </w:pPr>
          </w:p>
        </w:tc>
      </w:tr>
      <w:tr w14:paraId="688465A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08F2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6A55E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218F8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D16C35">
            <w:pPr>
              <w:autoSpaceDE w:val="0"/>
              <w:autoSpaceDN w:val="0"/>
              <w:spacing w:line="360" w:lineRule="auto"/>
              <w:jc w:val="center"/>
              <w:rPr>
                <w:rFonts w:ascii="仿宋_GB2312" w:hAnsi="仿宋_GB2312" w:eastAsia="仿宋_GB2312" w:cs="仿宋_GB2312"/>
                <w:color w:val="auto"/>
                <w:sz w:val="24"/>
                <w:highlight w:val="none"/>
              </w:rPr>
            </w:pPr>
          </w:p>
        </w:tc>
      </w:tr>
      <w:tr w14:paraId="696CF60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FA390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AC14C3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FBB55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7A13B6">
            <w:pPr>
              <w:autoSpaceDE w:val="0"/>
              <w:autoSpaceDN w:val="0"/>
              <w:spacing w:line="360" w:lineRule="auto"/>
              <w:jc w:val="center"/>
              <w:rPr>
                <w:rFonts w:ascii="仿宋_GB2312" w:hAnsi="仿宋_GB2312" w:eastAsia="仿宋_GB2312" w:cs="仿宋_GB2312"/>
                <w:color w:val="auto"/>
                <w:sz w:val="24"/>
                <w:highlight w:val="none"/>
              </w:rPr>
            </w:pPr>
          </w:p>
        </w:tc>
      </w:tr>
      <w:tr w14:paraId="634F94C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E243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70FA9E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2775D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DB27CA">
            <w:pPr>
              <w:autoSpaceDE w:val="0"/>
              <w:autoSpaceDN w:val="0"/>
              <w:spacing w:line="360" w:lineRule="auto"/>
              <w:jc w:val="center"/>
              <w:rPr>
                <w:rFonts w:ascii="仿宋_GB2312" w:hAnsi="仿宋_GB2312" w:eastAsia="仿宋_GB2312" w:cs="仿宋_GB2312"/>
                <w:color w:val="auto"/>
                <w:sz w:val="24"/>
                <w:highlight w:val="none"/>
              </w:rPr>
            </w:pPr>
          </w:p>
        </w:tc>
      </w:tr>
      <w:tr w14:paraId="3344391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93148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7C5EF5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D475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EC8F11">
            <w:pPr>
              <w:autoSpaceDE w:val="0"/>
              <w:autoSpaceDN w:val="0"/>
              <w:spacing w:line="360" w:lineRule="auto"/>
              <w:jc w:val="center"/>
              <w:rPr>
                <w:rFonts w:ascii="仿宋_GB2312" w:hAnsi="仿宋_GB2312" w:eastAsia="仿宋_GB2312" w:cs="仿宋_GB2312"/>
                <w:color w:val="auto"/>
                <w:sz w:val="24"/>
                <w:highlight w:val="none"/>
              </w:rPr>
            </w:pPr>
          </w:p>
        </w:tc>
      </w:tr>
      <w:tr w14:paraId="78B6897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DF867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56360E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B005C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026562">
            <w:pPr>
              <w:autoSpaceDE w:val="0"/>
              <w:autoSpaceDN w:val="0"/>
              <w:spacing w:line="360" w:lineRule="auto"/>
              <w:jc w:val="center"/>
              <w:rPr>
                <w:rFonts w:ascii="仿宋_GB2312" w:hAnsi="仿宋_GB2312" w:eastAsia="仿宋_GB2312" w:cs="仿宋_GB2312"/>
                <w:color w:val="auto"/>
                <w:sz w:val="24"/>
                <w:highlight w:val="none"/>
              </w:rPr>
            </w:pPr>
          </w:p>
        </w:tc>
      </w:tr>
      <w:tr w14:paraId="75B20E5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B395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3D917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E40FD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7BC611">
            <w:pPr>
              <w:autoSpaceDE w:val="0"/>
              <w:autoSpaceDN w:val="0"/>
              <w:spacing w:line="360" w:lineRule="auto"/>
              <w:jc w:val="center"/>
              <w:rPr>
                <w:rFonts w:ascii="仿宋_GB2312" w:hAnsi="仿宋_GB2312" w:eastAsia="仿宋_GB2312" w:cs="仿宋_GB2312"/>
                <w:color w:val="auto"/>
                <w:sz w:val="24"/>
                <w:highlight w:val="none"/>
              </w:rPr>
            </w:pPr>
          </w:p>
        </w:tc>
      </w:tr>
      <w:tr w14:paraId="51F1890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1998B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AD13CA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53E86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9718D6">
            <w:pPr>
              <w:autoSpaceDE w:val="0"/>
              <w:autoSpaceDN w:val="0"/>
              <w:spacing w:line="360" w:lineRule="auto"/>
              <w:jc w:val="center"/>
              <w:rPr>
                <w:rFonts w:ascii="仿宋_GB2312" w:hAnsi="仿宋_GB2312" w:eastAsia="仿宋_GB2312" w:cs="仿宋_GB2312"/>
                <w:color w:val="auto"/>
                <w:sz w:val="24"/>
                <w:highlight w:val="none"/>
              </w:rPr>
            </w:pPr>
          </w:p>
        </w:tc>
      </w:tr>
      <w:tr w14:paraId="2ED6288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6690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B3849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8DDC4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3FB74F">
            <w:pPr>
              <w:autoSpaceDE w:val="0"/>
              <w:autoSpaceDN w:val="0"/>
              <w:spacing w:line="360" w:lineRule="auto"/>
              <w:jc w:val="center"/>
              <w:rPr>
                <w:rFonts w:ascii="仿宋_GB2312" w:hAnsi="仿宋_GB2312" w:eastAsia="仿宋_GB2312" w:cs="仿宋_GB2312"/>
                <w:color w:val="auto"/>
                <w:sz w:val="24"/>
                <w:highlight w:val="none"/>
              </w:rPr>
            </w:pPr>
          </w:p>
        </w:tc>
      </w:tr>
    </w:tbl>
    <w:p w14:paraId="753F98E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9E8EC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CFC0A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48E89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D7E90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19BC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E1E8E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CED06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1C915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E3C64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4FF3E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CE24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89BAB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22D61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984CD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A741D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0F3722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E6E5FB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F60086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A53BA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A6D65B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417AC2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55530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2941C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5A046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A5F22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8BA25F6">
            <w:pPr>
              <w:autoSpaceDE w:val="0"/>
              <w:autoSpaceDN w:val="0"/>
              <w:spacing w:line="360" w:lineRule="auto"/>
              <w:rPr>
                <w:rFonts w:ascii="仿宋_GB2312" w:hAnsi="仿宋_GB2312" w:eastAsia="仿宋_GB2312" w:cs="仿宋_GB2312"/>
                <w:color w:val="auto"/>
                <w:sz w:val="24"/>
                <w:highlight w:val="none"/>
              </w:rPr>
            </w:pPr>
          </w:p>
        </w:tc>
      </w:tr>
      <w:tr w14:paraId="343B489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EFB7C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4A32FF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DF0B4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06A6E97">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AA35D0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EF452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02D3BB">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35D74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ACD82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AA6C333">
            <w:pPr>
              <w:autoSpaceDE w:val="0"/>
              <w:autoSpaceDN w:val="0"/>
              <w:spacing w:line="360" w:lineRule="auto"/>
              <w:rPr>
                <w:rFonts w:ascii="仿宋_GB2312" w:hAnsi="仿宋_GB2312" w:eastAsia="仿宋_GB2312" w:cs="仿宋_GB2312"/>
                <w:color w:val="auto"/>
                <w:sz w:val="24"/>
                <w:highlight w:val="none"/>
              </w:rPr>
            </w:pPr>
          </w:p>
        </w:tc>
      </w:tr>
    </w:tbl>
    <w:p w14:paraId="07BA9DF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6E8345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2A049B3">
      <w:pPr>
        <w:spacing w:line="360" w:lineRule="auto"/>
        <w:ind w:firstLine="480" w:firstLineChars="200"/>
        <w:rPr>
          <w:rFonts w:ascii="仿宋_GB2312" w:hAnsi="仿宋_GB2312" w:eastAsia="仿宋_GB2312" w:cs="仿宋_GB2312"/>
          <w:color w:val="auto"/>
          <w:sz w:val="24"/>
          <w:szCs w:val="20"/>
          <w:highlight w:val="none"/>
        </w:rPr>
      </w:pPr>
    </w:p>
    <w:p w14:paraId="741C7ED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231B9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163B04">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2FBBB2A5">
      <w:pPr>
        <w:snapToGrid w:val="0"/>
        <w:spacing w:line="360" w:lineRule="auto"/>
        <w:ind w:right="960"/>
        <w:rPr>
          <w:rFonts w:ascii="仿宋_GB2312" w:hAnsi="仿宋_GB2312" w:eastAsia="仿宋_GB2312" w:cs="仿宋_GB2312"/>
          <w:color w:val="auto"/>
          <w:kern w:val="0"/>
          <w:sz w:val="24"/>
          <w:highlight w:val="none"/>
          <w:lang w:val="zh-CN"/>
        </w:rPr>
      </w:pPr>
    </w:p>
    <w:p w14:paraId="2B5BA7F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1E693DF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76A151A">
      <w:pPr>
        <w:spacing w:line="360" w:lineRule="auto"/>
        <w:rPr>
          <w:rFonts w:ascii="仿宋_GB2312" w:hAnsi="仿宋_GB2312" w:eastAsia="仿宋_GB2312" w:cs="仿宋_GB2312"/>
          <w:color w:val="auto"/>
          <w:sz w:val="18"/>
          <w:szCs w:val="18"/>
          <w:highlight w:val="none"/>
        </w:rPr>
      </w:pPr>
    </w:p>
    <w:p w14:paraId="70BFC768">
      <w:pPr>
        <w:pStyle w:val="79"/>
        <w:rPr>
          <w:color w:val="auto"/>
          <w:highlight w:val="none"/>
        </w:rPr>
      </w:pPr>
    </w:p>
    <w:p w14:paraId="7E5D33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FE41D8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307973">
      <w:pPr>
        <w:spacing w:line="360" w:lineRule="auto"/>
        <w:rPr>
          <w:rFonts w:ascii="仿宋_GB2312" w:hAnsi="仿宋_GB2312" w:eastAsia="仿宋_GB2312" w:cs="仿宋_GB2312"/>
          <w:b/>
          <w:bCs/>
          <w:color w:val="auto"/>
          <w:sz w:val="18"/>
          <w:szCs w:val="18"/>
          <w:highlight w:val="none"/>
        </w:rPr>
      </w:pPr>
    </w:p>
    <w:p w14:paraId="1DE63B2E">
      <w:pPr>
        <w:spacing w:line="360" w:lineRule="auto"/>
        <w:rPr>
          <w:rFonts w:ascii="仿宋_GB2312" w:hAnsi="仿宋_GB2312" w:eastAsia="仿宋_GB2312" w:cs="仿宋_GB2312"/>
          <w:b/>
          <w:bCs/>
          <w:color w:val="auto"/>
          <w:sz w:val="32"/>
          <w:szCs w:val="32"/>
          <w:highlight w:val="none"/>
        </w:rPr>
      </w:pPr>
    </w:p>
    <w:p w14:paraId="4EB20B81">
      <w:pPr>
        <w:spacing w:line="360" w:lineRule="auto"/>
        <w:rPr>
          <w:rFonts w:ascii="仿宋_GB2312" w:hAnsi="仿宋_GB2312" w:eastAsia="仿宋_GB2312" w:cs="仿宋_GB2312"/>
          <w:b/>
          <w:bCs/>
          <w:color w:val="auto"/>
          <w:sz w:val="32"/>
          <w:szCs w:val="32"/>
          <w:highlight w:val="none"/>
        </w:rPr>
      </w:pPr>
    </w:p>
    <w:p w14:paraId="44E7D318">
      <w:pPr>
        <w:spacing w:line="360" w:lineRule="auto"/>
        <w:rPr>
          <w:rFonts w:ascii="仿宋_GB2312" w:hAnsi="仿宋_GB2312" w:eastAsia="仿宋_GB2312" w:cs="仿宋_GB2312"/>
          <w:b/>
          <w:bCs/>
          <w:color w:val="auto"/>
          <w:sz w:val="32"/>
          <w:szCs w:val="32"/>
          <w:highlight w:val="none"/>
        </w:rPr>
      </w:pPr>
    </w:p>
    <w:p w14:paraId="2D16CC8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48FB1AA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FCC95DC">
      <w:pPr>
        <w:snapToGrid w:val="0"/>
        <w:spacing w:line="360" w:lineRule="auto"/>
        <w:ind w:right="960"/>
        <w:jc w:val="right"/>
        <w:rPr>
          <w:rFonts w:ascii="仿宋_GB2312" w:hAnsi="仿宋_GB2312" w:eastAsia="仿宋_GB2312" w:cs="仿宋_GB2312"/>
          <w:color w:val="auto"/>
          <w:kern w:val="0"/>
          <w:sz w:val="24"/>
          <w:highlight w:val="none"/>
          <w:lang w:val="zh-CN"/>
        </w:rPr>
      </w:pPr>
    </w:p>
    <w:p w14:paraId="3780CC2D">
      <w:pPr>
        <w:snapToGrid w:val="0"/>
        <w:spacing w:line="360" w:lineRule="auto"/>
        <w:ind w:right="960"/>
        <w:jc w:val="right"/>
        <w:rPr>
          <w:rFonts w:ascii="仿宋_GB2312" w:hAnsi="仿宋_GB2312" w:eastAsia="仿宋_GB2312" w:cs="仿宋_GB2312"/>
          <w:color w:val="auto"/>
          <w:kern w:val="0"/>
          <w:sz w:val="24"/>
          <w:highlight w:val="none"/>
          <w:lang w:val="zh-CN"/>
        </w:rPr>
      </w:pPr>
    </w:p>
    <w:p w14:paraId="61A5642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7BAAB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3F6D78">
      <w:pPr>
        <w:spacing w:line="360" w:lineRule="auto"/>
        <w:rPr>
          <w:rFonts w:ascii="仿宋_GB2312" w:hAnsi="仿宋_GB2312" w:eastAsia="仿宋_GB2312" w:cs="仿宋_GB2312"/>
          <w:b/>
          <w:bCs/>
          <w:color w:val="auto"/>
          <w:sz w:val="32"/>
          <w:szCs w:val="32"/>
          <w:highlight w:val="none"/>
        </w:rPr>
      </w:pPr>
    </w:p>
    <w:p w14:paraId="15D81BAD">
      <w:pPr>
        <w:spacing w:line="360" w:lineRule="auto"/>
        <w:rPr>
          <w:rFonts w:ascii="仿宋_GB2312" w:hAnsi="仿宋_GB2312" w:eastAsia="仿宋_GB2312" w:cs="仿宋_GB2312"/>
          <w:b/>
          <w:bCs/>
          <w:color w:val="auto"/>
          <w:sz w:val="32"/>
          <w:szCs w:val="32"/>
          <w:highlight w:val="none"/>
        </w:rPr>
      </w:pPr>
    </w:p>
    <w:p w14:paraId="1FF72723">
      <w:pPr>
        <w:spacing w:line="360" w:lineRule="auto"/>
        <w:rPr>
          <w:rFonts w:ascii="仿宋_GB2312" w:hAnsi="仿宋_GB2312" w:eastAsia="仿宋_GB2312" w:cs="仿宋_GB2312"/>
          <w:b/>
          <w:bCs/>
          <w:color w:val="auto"/>
          <w:sz w:val="32"/>
          <w:szCs w:val="32"/>
          <w:highlight w:val="none"/>
        </w:rPr>
      </w:pPr>
    </w:p>
    <w:p w14:paraId="40FCAAD4">
      <w:pPr>
        <w:spacing w:line="360" w:lineRule="auto"/>
        <w:rPr>
          <w:rFonts w:ascii="仿宋_GB2312" w:hAnsi="仿宋_GB2312" w:eastAsia="仿宋_GB2312" w:cs="仿宋_GB2312"/>
          <w:b/>
          <w:bCs/>
          <w:color w:val="auto"/>
          <w:sz w:val="32"/>
          <w:szCs w:val="32"/>
          <w:highlight w:val="none"/>
        </w:rPr>
      </w:pPr>
    </w:p>
    <w:p w14:paraId="145CACF0">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65AC503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FDDC6CD">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14BEE9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4A53EE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F3619B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368191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1B3020B">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AD8734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732D9A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73B0109">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B193A1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521598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8F2015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7659FC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D89E61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0639EE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E7FC2E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817EECC">
            <w:pPr>
              <w:suppressAutoHyphens/>
              <w:autoSpaceDE w:val="0"/>
              <w:autoSpaceDN w:val="0"/>
              <w:spacing w:line="360" w:lineRule="auto"/>
              <w:rPr>
                <w:rFonts w:ascii="仿宋_GB2312" w:hAnsi="仿宋_GB2312" w:eastAsia="仿宋_GB2312" w:cs="仿宋_GB2312"/>
                <w:color w:val="auto"/>
                <w:sz w:val="24"/>
                <w:highlight w:val="none"/>
              </w:rPr>
            </w:pPr>
          </w:p>
        </w:tc>
      </w:tr>
      <w:tr w14:paraId="2D77521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29DF85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450A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1AA7A3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F131A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EAE54A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F178C7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79D3E00">
            <w:pPr>
              <w:suppressAutoHyphens/>
              <w:autoSpaceDE w:val="0"/>
              <w:autoSpaceDN w:val="0"/>
              <w:spacing w:line="360" w:lineRule="auto"/>
              <w:rPr>
                <w:rFonts w:ascii="仿宋_GB2312" w:hAnsi="仿宋_GB2312" w:eastAsia="仿宋_GB2312" w:cs="仿宋_GB2312"/>
                <w:color w:val="auto"/>
                <w:sz w:val="24"/>
                <w:highlight w:val="none"/>
              </w:rPr>
            </w:pPr>
          </w:p>
        </w:tc>
      </w:tr>
    </w:tbl>
    <w:p w14:paraId="01EA57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CFC42E1">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BC659D2">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9EA14B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47667B3">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E492183">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BD3753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73D52C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E528E62">
      <w:pPr>
        <w:spacing w:line="360" w:lineRule="auto"/>
        <w:ind w:firstLine="480" w:firstLineChars="200"/>
        <w:rPr>
          <w:rFonts w:ascii="仿宋_GB2312" w:hAnsi="仿宋_GB2312" w:eastAsia="仿宋_GB2312" w:cs="仿宋_GB2312"/>
          <w:color w:val="auto"/>
          <w:sz w:val="24"/>
          <w:szCs w:val="20"/>
          <w:highlight w:val="none"/>
        </w:rPr>
      </w:pPr>
    </w:p>
    <w:p w14:paraId="68415AE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7196A8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60CB6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D9FFA7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23D067C">
      <w:pPr>
        <w:spacing w:line="360" w:lineRule="auto"/>
        <w:jc w:val="center"/>
        <w:rPr>
          <w:rFonts w:ascii="仿宋_GB2312" w:hAnsi="仿宋_GB2312" w:eastAsia="仿宋_GB2312" w:cs="仿宋_GB2312"/>
          <w:color w:val="auto"/>
          <w:sz w:val="24"/>
          <w:highlight w:val="none"/>
        </w:rPr>
      </w:pPr>
    </w:p>
    <w:p w14:paraId="24C4504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48323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55D36F">
      <w:pPr>
        <w:spacing w:line="360" w:lineRule="auto"/>
        <w:jc w:val="center"/>
        <w:rPr>
          <w:rFonts w:ascii="仿宋_GB2312" w:hAnsi="仿宋_GB2312" w:eastAsia="仿宋_GB2312" w:cs="仿宋_GB2312"/>
          <w:b/>
          <w:bCs/>
          <w:color w:val="auto"/>
          <w:sz w:val="30"/>
          <w:szCs w:val="30"/>
          <w:highlight w:val="none"/>
        </w:rPr>
      </w:pPr>
    </w:p>
    <w:p w14:paraId="0BC7151C">
      <w:pPr>
        <w:spacing w:line="360" w:lineRule="auto"/>
        <w:jc w:val="center"/>
        <w:rPr>
          <w:rFonts w:ascii="仿宋_GB2312" w:hAnsi="仿宋_GB2312" w:eastAsia="仿宋_GB2312" w:cs="仿宋_GB2312"/>
          <w:b/>
          <w:bCs/>
          <w:color w:val="auto"/>
          <w:sz w:val="30"/>
          <w:szCs w:val="30"/>
          <w:highlight w:val="none"/>
        </w:rPr>
      </w:pPr>
    </w:p>
    <w:p w14:paraId="7307235F">
      <w:pPr>
        <w:spacing w:line="360" w:lineRule="auto"/>
        <w:jc w:val="center"/>
        <w:rPr>
          <w:rFonts w:ascii="仿宋_GB2312" w:hAnsi="仿宋_GB2312" w:eastAsia="仿宋_GB2312" w:cs="仿宋_GB2312"/>
          <w:b/>
          <w:bCs/>
          <w:color w:val="auto"/>
          <w:sz w:val="24"/>
          <w:highlight w:val="none"/>
        </w:rPr>
      </w:pPr>
    </w:p>
    <w:p w14:paraId="1CAB6693">
      <w:pPr>
        <w:spacing w:line="360" w:lineRule="auto"/>
        <w:jc w:val="center"/>
        <w:rPr>
          <w:rFonts w:ascii="仿宋_GB2312" w:hAnsi="仿宋_GB2312" w:eastAsia="仿宋_GB2312" w:cs="仿宋_GB2312"/>
          <w:b/>
          <w:bCs/>
          <w:color w:val="auto"/>
          <w:sz w:val="24"/>
          <w:highlight w:val="none"/>
        </w:rPr>
      </w:pPr>
    </w:p>
    <w:p w14:paraId="7EE3DFA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96A3B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65805B5">
      <w:pPr>
        <w:spacing w:line="360" w:lineRule="auto"/>
        <w:rPr>
          <w:rFonts w:ascii="仿宋_GB2312" w:hAnsi="仿宋_GB2312" w:eastAsia="仿宋_GB2312" w:cs="仿宋_GB2312"/>
          <w:color w:val="auto"/>
          <w:sz w:val="24"/>
          <w:highlight w:val="none"/>
        </w:rPr>
      </w:pPr>
    </w:p>
    <w:p w14:paraId="156B30E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4F11C8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428AD2">
      <w:pPr>
        <w:pStyle w:val="80"/>
        <w:rPr>
          <w:color w:val="auto"/>
          <w:highlight w:val="none"/>
        </w:rPr>
        <w:sectPr>
          <w:headerReference r:id="rId10" w:type="first"/>
          <w:footerReference r:id="rId12" w:type="first"/>
          <w:headerReference r:id="rId9" w:type="default"/>
          <w:footerReference r:id="rId11" w:type="default"/>
          <w:pgSz w:w="11905" w:h="16838"/>
          <w:pgMar w:top="1474" w:right="1587" w:bottom="1474" w:left="1587" w:header="851" w:footer="992" w:gutter="0"/>
          <w:cols w:space="0" w:num="1"/>
          <w:docGrid w:linePitch="312" w:charSpace="0"/>
        </w:sectPr>
      </w:pPr>
    </w:p>
    <w:p w14:paraId="424927D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6F0B0B4">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CA76E3B">
      <w:pPr>
        <w:spacing w:line="360" w:lineRule="auto"/>
        <w:jc w:val="center"/>
        <w:outlineLvl w:val="0"/>
        <w:rPr>
          <w:rFonts w:ascii="仿宋" w:hAnsi="仿宋" w:eastAsia="仿宋" w:cs="仿宋"/>
          <w:b/>
          <w:color w:val="auto"/>
          <w:kern w:val="0"/>
          <w:sz w:val="36"/>
          <w:szCs w:val="36"/>
          <w:highlight w:val="none"/>
        </w:rPr>
      </w:pPr>
    </w:p>
    <w:p w14:paraId="11C209B4">
      <w:pPr>
        <w:pStyle w:val="23"/>
        <w:snapToGrid w:val="0"/>
        <w:rPr>
          <w:rFonts w:ascii="仿宋" w:hAnsi="仿宋" w:eastAsia="仿宋" w:cs="仿宋"/>
          <w:b/>
          <w:color w:val="auto"/>
          <w:kern w:val="0"/>
          <w:sz w:val="32"/>
          <w:szCs w:val="32"/>
          <w:highlight w:val="none"/>
        </w:rPr>
      </w:pPr>
      <w:r>
        <w:rPr>
          <w:rFonts w:hint="eastAsia" w:ascii="仿宋" w:hAnsi="仿宋" w:eastAsia="仿宋" w:cs="仿宋"/>
          <w:color w:val="auto"/>
          <w:highlight w:val="none"/>
        </w:rPr>
        <w:t>（1）开标一览表（报价表）………………………………………………………（页码）</w:t>
      </w:r>
    </w:p>
    <w:p w14:paraId="34218BB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……………………………………………………（页码）</w:t>
      </w:r>
    </w:p>
    <w:p w14:paraId="0F52693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…………………………………………（页码）</w:t>
      </w:r>
    </w:p>
    <w:p w14:paraId="73315C6A">
      <w:pPr>
        <w:snapToGrid w:val="0"/>
        <w:spacing w:line="360" w:lineRule="auto"/>
        <w:ind w:right="480"/>
        <w:jc w:val="center"/>
        <w:rPr>
          <w:rFonts w:ascii="仿宋" w:hAnsi="仿宋" w:eastAsia="仿宋" w:cs="仿宋"/>
          <w:b/>
          <w:color w:val="auto"/>
          <w:kern w:val="0"/>
          <w:sz w:val="32"/>
          <w:szCs w:val="32"/>
          <w:highlight w:val="none"/>
        </w:rPr>
      </w:pPr>
    </w:p>
    <w:p w14:paraId="393FBF4E">
      <w:pPr>
        <w:snapToGrid w:val="0"/>
        <w:spacing w:line="360" w:lineRule="auto"/>
        <w:ind w:right="480"/>
        <w:jc w:val="center"/>
        <w:rPr>
          <w:rFonts w:ascii="仿宋" w:hAnsi="仿宋" w:eastAsia="仿宋" w:cs="仿宋"/>
          <w:b/>
          <w:color w:val="auto"/>
          <w:kern w:val="0"/>
          <w:sz w:val="32"/>
          <w:szCs w:val="32"/>
          <w:highlight w:val="none"/>
        </w:rPr>
      </w:pPr>
    </w:p>
    <w:p w14:paraId="55B9BE5E">
      <w:pPr>
        <w:snapToGrid w:val="0"/>
        <w:spacing w:line="360" w:lineRule="auto"/>
        <w:ind w:right="480"/>
        <w:jc w:val="center"/>
        <w:rPr>
          <w:rFonts w:ascii="仿宋" w:hAnsi="仿宋" w:eastAsia="仿宋" w:cs="仿宋"/>
          <w:b/>
          <w:color w:val="auto"/>
          <w:kern w:val="0"/>
          <w:sz w:val="32"/>
          <w:szCs w:val="32"/>
          <w:highlight w:val="none"/>
        </w:rPr>
      </w:pPr>
    </w:p>
    <w:p w14:paraId="32F073EB">
      <w:pPr>
        <w:snapToGrid w:val="0"/>
        <w:spacing w:line="360" w:lineRule="auto"/>
        <w:ind w:right="480"/>
        <w:jc w:val="center"/>
        <w:rPr>
          <w:rFonts w:ascii="仿宋" w:hAnsi="仿宋" w:eastAsia="仿宋" w:cs="仿宋"/>
          <w:b/>
          <w:color w:val="auto"/>
          <w:kern w:val="0"/>
          <w:sz w:val="32"/>
          <w:szCs w:val="32"/>
          <w:highlight w:val="none"/>
        </w:rPr>
      </w:pPr>
    </w:p>
    <w:p w14:paraId="302E5CE0">
      <w:pPr>
        <w:snapToGrid w:val="0"/>
        <w:spacing w:line="360" w:lineRule="auto"/>
        <w:ind w:right="480"/>
        <w:jc w:val="center"/>
        <w:rPr>
          <w:rFonts w:ascii="仿宋" w:hAnsi="仿宋" w:eastAsia="仿宋" w:cs="仿宋"/>
          <w:b/>
          <w:color w:val="auto"/>
          <w:kern w:val="0"/>
          <w:sz w:val="32"/>
          <w:szCs w:val="32"/>
          <w:highlight w:val="none"/>
        </w:rPr>
      </w:pPr>
    </w:p>
    <w:p w14:paraId="28A18CC7">
      <w:pPr>
        <w:snapToGrid w:val="0"/>
        <w:spacing w:line="360" w:lineRule="auto"/>
        <w:ind w:right="480"/>
        <w:jc w:val="center"/>
        <w:rPr>
          <w:rFonts w:ascii="仿宋" w:hAnsi="仿宋" w:eastAsia="仿宋" w:cs="仿宋"/>
          <w:b/>
          <w:color w:val="auto"/>
          <w:kern w:val="0"/>
          <w:sz w:val="32"/>
          <w:szCs w:val="32"/>
          <w:highlight w:val="none"/>
        </w:rPr>
      </w:pPr>
    </w:p>
    <w:p w14:paraId="405EA1A4">
      <w:pPr>
        <w:snapToGrid w:val="0"/>
        <w:spacing w:line="360" w:lineRule="auto"/>
        <w:ind w:right="480"/>
        <w:jc w:val="center"/>
        <w:rPr>
          <w:rFonts w:ascii="仿宋" w:hAnsi="仿宋" w:eastAsia="仿宋" w:cs="仿宋"/>
          <w:b/>
          <w:color w:val="auto"/>
          <w:kern w:val="0"/>
          <w:sz w:val="32"/>
          <w:szCs w:val="32"/>
          <w:highlight w:val="none"/>
        </w:rPr>
      </w:pPr>
    </w:p>
    <w:p w14:paraId="4112EFA5">
      <w:pPr>
        <w:snapToGrid w:val="0"/>
        <w:spacing w:line="360" w:lineRule="auto"/>
        <w:ind w:right="480"/>
        <w:jc w:val="center"/>
        <w:rPr>
          <w:rFonts w:ascii="仿宋" w:hAnsi="仿宋" w:eastAsia="仿宋" w:cs="仿宋"/>
          <w:b/>
          <w:color w:val="auto"/>
          <w:kern w:val="0"/>
          <w:sz w:val="32"/>
          <w:szCs w:val="32"/>
          <w:highlight w:val="none"/>
        </w:rPr>
      </w:pPr>
    </w:p>
    <w:p w14:paraId="03397238">
      <w:pPr>
        <w:snapToGrid w:val="0"/>
        <w:spacing w:line="360" w:lineRule="auto"/>
        <w:ind w:right="480"/>
        <w:jc w:val="center"/>
        <w:rPr>
          <w:rFonts w:ascii="仿宋" w:hAnsi="仿宋" w:eastAsia="仿宋" w:cs="仿宋"/>
          <w:b/>
          <w:color w:val="auto"/>
          <w:kern w:val="0"/>
          <w:sz w:val="32"/>
          <w:szCs w:val="32"/>
          <w:highlight w:val="none"/>
        </w:rPr>
      </w:pPr>
    </w:p>
    <w:p w14:paraId="3F1BCDF3">
      <w:pPr>
        <w:snapToGrid w:val="0"/>
        <w:spacing w:line="360" w:lineRule="auto"/>
        <w:ind w:right="480"/>
        <w:jc w:val="center"/>
        <w:rPr>
          <w:rFonts w:ascii="仿宋" w:hAnsi="仿宋" w:eastAsia="仿宋" w:cs="仿宋"/>
          <w:b/>
          <w:color w:val="auto"/>
          <w:kern w:val="0"/>
          <w:sz w:val="32"/>
          <w:szCs w:val="32"/>
          <w:highlight w:val="none"/>
        </w:rPr>
      </w:pPr>
    </w:p>
    <w:p w14:paraId="496EF27C">
      <w:pPr>
        <w:pStyle w:val="691"/>
        <w:keepNext w:val="0"/>
        <w:pageBreakBefore w:val="0"/>
        <w:tabs>
          <w:tab w:val="clear" w:pos="720"/>
        </w:tabs>
        <w:snapToGrid w:val="0"/>
        <w:spacing w:before="120" w:after="120"/>
        <w:jc w:val="both"/>
        <w:outlineLvl w:val="9"/>
        <w:rPr>
          <w:rFonts w:ascii="仿宋" w:hAnsi="仿宋" w:eastAsia="仿宋" w:cs="仿宋"/>
          <w:color w:val="auto"/>
          <w:kern w:val="2"/>
          <w:sz w:val="32"/>
          <w:szCs w:val="32"/>
          <w:highlight w:val="none"/>
        </w:rPr>
        <w:sectPr>
          <w:headerReference r:id="rId13" w:type="default"/>
          <w:footerReference r:id="rId14" w:type="default"/>
          <w:pgSz w:w="11905" w:h="16838"/>
          <w:pgMar w:top="1474" w:right="1587" w:bottom="1474" w:left="1587" w:header="851" w:footer="992" w:gutter="0"/>
          <w:cols w:space="0" w:num="1"/>
          <w:docGrid w:linePitch="312" w:charSpace="0"/>
        </w:sectPr>
      </w:pPr>
    </w:p>
    <w:p w14:paraId="17EC87A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4CE854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F786076">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2E4AA71">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737"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67"/>
        <w:gridCol w:w="2580"/>
        <w:gridCol w:w="1276"/>
        <w:gridCol w:w="1205"/>
        <w:gridCol w:w="1528"/>
      </w:tblGrid>
      <w:tr w14:paraId="4EE1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81" w:type="dxa"/>
            <w:noWrap w:val="0"/>
            <w:vAlign w:val="center"/>
          </w:tcPr>
          <w:p w14:paraId="2BEBB5F7">
            <w:pPr>
              <w:spacing w:line="360" w:lineRule="auto"/>
              <w:jc w:val="center"/>
              <w:rPr>
                <w:rFonts w:ascii="仿宋" w:hAnsi="仿宋" w:eastAsia="仿宋"/>
                <w:b/>
                <w:color w:val="auto"/>
                <w:sz w:val="24"/>
                <w:highlight w:val="none"/>
              </w:rPr>
            </w:pPr>
            <w:r>
              <w:rPr>
                <w:rFonts w:hint="eastAsia" w:ascii="仿宋" w:hAnsi="仿宋" w:eastAsia="仿宋" w:cs="宋体"/>
                <w:b/>
                <w:bCs/>
                <w:color w:val="auto"/>
                <w:kern w:val="0"/>
                <w:sz w:val="24"/>
                <w:highlight w:val="none"/>
              </w:rPr>
              <w:t>序号</w:t>
            </w:r>
          </w:p>
        </w:tc>
        <w:tc>
          <w:tcPr>
            <w:tcW w:w="1467" w:type="dxa"/>
            <w:noWrap w:val="0"/>
            <w:vAlign w:val="center"/>
          </w:tcPr>
          <w:p w14:paraId="07438C14">
            <w:pPr>
              <w:snapToGrid w:val="0"/>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服务项目</w:t>
            </w:r>
          </w:p>
        </w:tc>
        <w:tc>
          <w:tcPr>
            <w:tcW w:w="2580" w:type="dxa"/>
            <w:noWrap w:val="0"/>
            <w:vAlign w:val="center"/>
          </w:tcPr>
          <w:p w14:paraId="022B7985">
            <w:pPr>
              <w:snapToGrid w:val="0"/>
              <w:spacing w:line="360" w:lineRule="auto"/>
              <w:jc w:val="center"/>
              <w:rPr>
                <w:rFonts w:ascii="仿宋" w:hAnsi="仿宋" w:eastAsia="仿宋" w:cs="仿宋_GB2312"/>
                <w:color w:val="auto"/>
                <w:sz w:val="24"/>
                <w:highlight w:val="none"/>
              </w:rPr>
            </w:pPr>
            <w:r>
              <w:rPr>
                <w:rFonts w:hint="eastAsia" w:ascii="仿宋" w:hAnsi="仿宋" w:eastAsia="仿宋" w:cs="宋体"/>
                <w:b/>
                <w:bCs/>
                <w:color w:val="auto"/>
                <w:kern w:val="0"/>
                <w:sz w:val="24"/>
                <w:highlight w:val="none"/>
              </w:rPr>
              <w:t>功能、参数</w:t>
            </w:r>
          </w:p>
        </w:tc>
        <w:tc>
          <w:tcPr>
            <w:tcW w:w="1276" w:type="dxa"/>
            <w:noWrap w:val="0"/>
            <w:vAlign w:val="center"/>
          </w:tcPr>
          <w:p w14:paraId="3D3CAF6C">
            <w:pPr>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数量</w:t>
            </w:r>
          </w:p>
        </w:tc>
        <w:tc>
          <w:tcPr>
            <w:tcW w:w="1205" w:type="dxa"/>
            <w:noWrap w:val="0"/>
            <w:vAlign w:val="center"/>
          </w:tcPr>
          <w:p w14:paraId="3EAE15CA">
            <w:pPr>
              <w:spacing w:line="360" w:lineRule="auto"/>
              <w:jc w:val="center"/>
              <w:rPr>
                <w:rFonts w:ascii="仿宋" w:hAnsi="仿宋" w:eastAsia="仿宋" w:cs="仿宋_GB2312"/>
                <w:color w:val="auto"/>
                <w:sz w:val="24"/>
                <w:highlight w:val="none"/>
              </w:rPr>
            </w:pPr>
            <w:r>
              <w:rPr>
                <w:rFonts w:hint="eastAsia" w:ascii="仿宋" w:hAnsi="仿宋" w:eastAsia="仿宋"/>
                <w:b/>
                <w:color w:val="auto"/>
                <w:sz w:val="24"/>
                <w:highlight w:val="none"/>
              </w:rPr>
              <w:t>单价</w:t>
            </w:r>
          </w:p>
        </w:tc>
        <w:tc>
          <w:tcPr>
            <w:tcW w:w="1528" w:type="dxa"/>
            <w:noWrap w:val="0"/>
            <w:vAlign w:val="center"/>
          </w:tcPr>
          <w:p w14:paraId="3EDC4AB4">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总价（元）</w:t>
            </w:r>
          </w:p>
        </w:tc>
      </w:tr>
      <w:tr w14:paraId="764F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1" w:type="dxa"/>
            <w:noWrap w:val="0"/>
            <w:vAlign w:val="center"/>
          </w:tcPr>
          <w:p w14:paraId="4A9A748C">
            <w:pPr>
              <w:spacing w:line="360" w:lineRule="auto"/>
              <w:jc w:val="center"/>
              <w:rPr>
                <w:rFonts w:ascii="仿宋" w:hAnsi="仿宋" w:eastAsia="仿宋"/>
                <w:b/>
                <w:color w:val="auto"/>
                <w:sz w:val="24"/>
                <w:highlight w:val="none"/>
              </w:rPr>
            </w:pPr>
          </w:p>
        </w:tc>
        <w:tc>
          <w:tcPr>
            <w:tcW w:w="1467" w:type="dxa"/>
            <w:noWrap w:val="0"/>
            <w:vAlign w:val="center"/>
          </w:tcPr>
          <w:p w14:paraId="6FE8D7CD">
            <w:pPr>
              <w:snapToGrid w:val="0"/>
              <w:spacing w:line="360" w:lineRule="auto"/>
              <w:jc w:val="center"/>
              <w:rPr>
                <w:rFonts w:ascii="仿宋" w:hAnsi="仿宋" w:eastAsia="仿宋" w:cs="仿宋_GB2312"/>
                <w:color w:val="auto"/>
                <w:sz w:val="24"/>
                <w:highlight w:val="none"/>
              </w:rPr>
            </w:pPr>
          </w:p>
        </w:tc>
        <w:tc>
          <w:tcPr>
            <w:tcW w:w="2580" w:type="dxa"/>
            <w:noWrap w:val="0"/>
            <w:vAlign w:val="center"/>
          </w:tcPr>
          <w:p w14:paraId="4E692A5D">
            <w:pPr>
              <w:snapToGrid w:val="0"/>
              <w:spacing w:line="360" w:lineRule="auto"/>
              <w:jc w:val="center"/>
              <w:rPr>
                <w:rFonts w:ascii="仿宋" w:hAnsi="仿宋" w:eastAsia="仿宋" w:cs="仿宋_GB2312"/>
                <w:color w:val="auto"/>
                <w:sz w:val="24"/>
                <w:highlight w:val="none"/>
              </w:rPr>
            </w:pPr>
          </w:p>
        </w:tc>
        <w:tc>
          <w:tcPr>
            <w:tcW w:w="1276" w:type="dxa"/>
            <w:noWrap w:val="0"/>
            <w:vAlign w:val="center"/>
          </w:tcPr>
          <w:p w14:paraId="238FF299">
            <w:pPr>
              <w:spacing w:line="360" w:lineRule="auto"/>
              <w:jc w:val="center"/>
              <w:rPr>
                <w:rFonts w:ascii="仿宋" w:hAnsi="仿宋" w:eastAsia="仿宋" w:cs="仿宋_GB2312"/>
                <w:color w:val="auto"/>
                <w:sz w:val="24"/>
                <w:highlight w:val="none"/>
              </w:rPr>
            </w:pPr>
          </w:p>
        </w:tc>
        <w:tc>
          <w:tcPr>
            <w:tcW w:w="1205" w:type="dxa"/>
            <w:noWrap w:val="0"/>
            <w:vAlign w:val="center"/>
          </w:tcPr>
          <w:p w14:paraId="49C170E9">
            <w:pPr>
              <w:spacing w:line="360" w:lineRule="auto"/>
              <w:jc w:val="center"/>
              <w:rPr>
                <w:rFonts w:ascii="仿宋" w:hAnsi="仿宋" w:eastAsia="仿宋" w:cs="仿宋_GB2312"/>
                <w:color w:val="auto"/>
                <w:sz w:val="24"/>
                <w:highlight w:val="none"/>
              </w:rPr>
            </w:pPr>
          </w:p>
        </w:tc>
        <w:tc>
          <w:tcPr>
            <w:tcW w:w="1528" w:type="dxa"/>
            <w:noWrap w:val="0"/>
            <w:vAlign w:val="center"/>
          </w:tcPr>
          <w:p w14:paraId="515B6CE7">
            <w:pPr>
              <w:spacing w:line="360" w:lineRule="auto"/>
              <w:jc w:val="center"/>
              <w:rPr>
                <w:rFonts w:ascii="仿宋" w:hAnsi="仿宋" w:eastAsia="仿宋" w:cs="仿宋_GB2312"/>
                <w:color w:val="auto"/>
                <w:sz w:val="24"/>
                <w:highlight w:val="none"/>
              </w:rPr>
            </w:pPr>
          </w:p>
        </w:tc>
      </w:tr>
      <w:tr w14:paraId="73C4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1" w:type="dxa"/>
            <w:noWrap w:val="0"/>
            <w:vAlign w:val="center"/>
          </w:tcPr>
          <w:p w14:paraId="03D5505F">
            <w:pPr>
              <w:spacing w:line="360" w:lineRule="auto"/>
              <w:jc w:val="center"/>
              <w:rPr>
                <w:rFonts w:ascii="仿宋" w:hAnsi="仿宋" w:eastAsia="仿宋"/>
                <w:b/>
                <w:color w:val="auto"/>
                <w:sz w:val="24"/>
                <w:highlight w:val="none"/>
              </w:rPr>
            </w:pPr>
          </w:p>
        </w:tc>
        <w:tc>
          <w:tcPr>
            <w:tcW w:w="1467" w:type="dxa"/>
            <w:noWrap w:val="0"/>
            <w:vAlign w:val="center"/>
          </w:tcPr>
          <w:p w14:paraId="49779340">
            <w:pPr>
              <w:snapToGrid w:val="0"/>
              <w:spacing w:line="360" w:lineRule="auto"/>
              <w:jc w:val="center"/>
              <w:rPr>
                <w:rFonts w:ascii="仿宋" w:hAnsi="仿宋" w:eastAsia="仿宋" w:cs="仿宋_GB2312"/>
                <w:color w:val="auto"/>
                <w:sz w:val="24"/>
                <w:highlight w:val="none"/>
              </w:rPr>
            </w:pPr>
          </w:p>
        </w:tc>
        <w:tc>
          <w:tcPr>
            <w:tcW w:w="2580" w:type="dxa"/>
            <w:noWrap w:val="0"/>
            <w:vAlign w:val="center"/>
          </w:tcPr>
          <w:p w14:paraId="38148216">
            <w:pPr>
              <w:snapToGrid w:val="0"/>
              <w:spacing w:line="360" w:lineRule="auto"/>
              <w:jc w:val="center"/>
              <w:rPr>
                <w:rFonts w:ascii="仿宋" w:hAnsi="仿宋" w:eastAsia="仿宋" w:cs="仿宋_GB2312"/>
                <w:color w:val="auto"/>
                <w:sz w:val="24"/>
                <w:highlight w:val="none"/>
              </w:rPr>
            </w:pPr>
          </w:p>
        </w:tc>
        <w:tc>
          <w:tcPr>
            <w:tcW w:w="1276" w:type="dxa"/>
            <w:noWrap w:val="0"/>
            <w:vAlign w:val="center"/>
          </w:tcPr>
          <w:p w14:paraId="7755E642">
            <w:pPr>
              <w:spacing w:line="360" w:lineRule="auto"/>
              <w:jc w:val="center"/>
              <w:rPr>
                <w:rFonts w:ascii="仿宋" w:hAnsi="仿宋" w:eastAsia="仿宋" w:cs="仿宋_GB2312"/>
                <w:color w:val="auto"/>
                <w:sz w:val="24"/>
                <w:highlight w:val="none"/>
              </w:rPr>
            </w:pPr>
          </w:p>
        </w:tc>
        <w:tc>
          <w:tcPr>
            <w:tcW w:w="1205" w:type="dxa"/>
            <w:noWrap w:val="0"/>
            <w:vAlign w:val="center"/>
          </w:tcPr>
          <w:p w14:paraId="3CCB98E7">
            <w:pPr>
              <w:spacing w:line="360" w:lineRule="auto"/>
              <w:jc w:val="center"/>
              <w:rPr>
                <w:rFonts w:ascii="仿宋" w:hAnsi="仿宋" w:eastAsia="仿宋" w:cs="仿宋_GB2312"/>
                <w:color w:val="auto"/>
                <w:sz w:val="24"/>
                <w:highlight w:val="none"/>
              </w:rPr>
            </w:pPr>
          </w:p>
        </w:tc>
        <w:tc>
          <w:tcPr>
            <w:tcW w:w="1528" w:type="dxa"/>
            <w:noWrap w:val="0"/>
            <w:vAlign w:val="center"/>
          </w:tcPr>
          <w:p w14:paraId="103BB848">
            <w:pPr>
              <w:spacing w:line="360" w:lineRule="auto"/>
              <w:jc w:val="center"/>
              <w:rPr>
                <w:rFonts w:ascii="仿宋" w:hAnsi="仿宋" w:eastAsia="仿宋" w:cs="仿宋_GB2312"/>
                <w:color w:val="auto"/>
                <w:sz w:val="24"/>
                <w:highlight w:val="none"/>
              </w:rPr>
            </w:pPr>
          </w:p>
        </w:tc>
      </w:tr>
      <w:tr w14:paraId="04CA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1" w:type="dxa"/>
            <w:noWrap w:val="0"/>
            <w:vAlign w:val="center"/>
          </w:tcPr>
          <w:p w14:paraId="432BAD79">
            <w:pPr>
              <w:spacing w:line="360" w:lineRule="auto"/>
              <w:jc w:val="center"/>
              <w:rPr>
                <w:rFonts w:ascii="仿宋" w:hAnsi="仿宋" w:eastAsia="仿宋"/>
                <w:b/>
                <w:color w:val="auto"/>
                <w:sz w:val="24"/>
                <w:highlight w:val="none"/>
              </w:rPr>
            </w:pPr>
          </w:p>
        </w:tc>
        <w:tc>
          <w:tcPr>
            <w:tcW w:w="1467" w:type="dxa"/>
            <w:noWrap w:val="0"/>
            <w:vAlign w:val="center"/>
          </w:tcPr>
          <w:p w14:paraId="79A226F2">
            <w:pPr>
              <w:snapToGrid w:val="0"/>
              <w:spacing w:line="360" w:lineRule="auto"/>
              <w:jc w:val="center"/>
              <w:rPr>
                <w:rFonts w:ascii="仿宋" w:hAnsi="仿宋" w:eastAsia="仿宋" w:cs="仿宋_GB2312"/>
                <w:color w:val="auto"/>
                <w:sz w:val="24"/>
                <w:highlight w:val="none"/>
              </w:rPr>
            </w:pPr>
          </w:p>
        </w:tc>
        <w:tc>
          <w:tcPr>
            <w:tcW w:w="2580" w:type="dxa"/>
            <w:noWrap w:val="0"/>
            <w:vAlign w:val="center"/>
          </w:tcPr>
          <w:p w14:paraId="2F56FFB1">
            <w:pPr>
              <w:snapToGrid w:val="0"/>
              <w:spacing w:line="360" w:lineRule="auto"/>
              <w:jc w:val="center"/>
              <w:rPr>
                <w:rFonts w:ascii="仿宋" w:hAnsi="仿宋" w:eastAsia="仿宋" w:cs="仿宋_GB2312"/>
                <w:color w:val="auto"/>
                <w:sz w:val="24"/>
                <w:highlight w:val="none"/>
              </w:rPr>
            </w:pPr>
          </w:p>
        </w:tc>
        <w:tc>
          <w:tcPr>
            <w:tcW w:w="1276" w:type="dxa"/>
            <w:noWrap w:val="0"/>
            <w:vAlign w:val="center"/>
          </w:tcPr>
          <w:p w14:paraId="513554A9">
            <w:pPr>
              <w:spacing w:line="360" w:lineRule="auto"/>
              <w:jc w:val="center"/>
              <w:rPr>
                <w:rFonts w:ascii="仿宋" w:hAnsi="仿宋" w:eastAsia="仿宋" w:cs="仿宋_GB2312"/>
                <w:color w:val="auto"/>
                <w:sz w:val="24"/>
                <w:highlight w:val="none"/>
              </w:rPr>
            </w:pPr>
          </w:p>
        </w:tc>
        <w:tc>
          <w:tcPr>
            <w:tcW w:w="1205" w:type="dxa"/>
            <w:noWrap w:val="0"/>
            <w:vAlign w:val="center"/>
          </w:tcPr>
          <w:p w14:paraId="01CDEC41">
            <w:pPr>
              <w:spacing w:line="360" w:lineRule="auto"/>
              <w:jc w:val="center"/>
              <w:rPr>
                <w:rFonts w:ascii="仿宋" w:hAnsi="仿宋" w:eastAsia="仿宋" w:cs="仿宋_GB2312"/>
                <w:color w:val="auto"/>
                <w:sz w:val="24"/>
                <w:highlight w:val="none"/>
              </w:rPr>
            </w:pPr>
          </w:p>
        </w:tc>
        <w:tc>
          <w:tcPr>
            <w:tcW w:w="1528" w:type="dxa"/>
            <w:noWrap w:val="0"/>
            <w:vAlign w:val="center"/>
          </w:tcPr>
          <w:p w14:paraId="52E8764B">
            <w:pPr>
              <w:spacing w:line="360" w:lineRule="auto"/>
              <w:jc w:val="center"/>
              <w:rPr>
                <w:rFonts w:ascii="仿宋" w:hAnsi="仿宋" w:eastAsia="仿宋" w:cs="仿宋_GB2312"/>
                <w:color w:val="auto"/>
                <w:sz w:val="24"/>
                <w:highlight w:val="none"/>
              </w:rPr>
            </w:pPr>
          </w:p>
        </w:tc>
      </w:tr>
      <w:tr w14:paraId="257E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1" w:type="dxa"/>
            <w:noWrap w:val="0"/>
            <w:vAlign w:val="center"/>
          </w:tcPr>
          <w:p w14:paraId="475C91B8">
            <w:pPr>
              <w:spacing w:line="360" w:lineRule="auto"/>
              <w:jc w:val="center"/>
              <w:rPr>
                <w:rFonts w:ascii="仿宋" w:hAnsi="仿宋" w:eastAsia="仿宋"/>
                <w:b/>
                <w:color w:val="auto"/>
                <w:sz w:val="24"/>
                <w:highlight w:val="none"/>
              </w:rPr>
            </w:pPr>
          </w:p>
        </w:tc>
        <w:tc>
          <w:tcPr>
            <w:tcW w:w="1467" w:type="dxa"/>
            <w:noWrap w:val="0"/>
            <w:vAlign w:val="center"/>
          </w:tcPr>
          <w:p w14:paraId="44244D2A">
            <w:pPr>
              <w:snapToGrid w:val="0"/>
              <w:spacing w:line="360" w:lineRule="auto"/>
              <w:jc w:val="center"/>
              <w:rPr>
                <w:rFonts w:ascii="仿宋" w:hAnsi="仿宋" w:eastAsia="仿宋" w:cs="仿宋_GB2312"/>
                <w:color w:val="auto"/>
                <w:sz w:val="24"/>
                <w:highlight w:val="none"/>
              </w:rPr>
            </w:pPr>
          </w:p>
        </w:tc>
        <w:tc>
          <w:tcPr>
            <w:tcW w:w="2580" w:type="dxa"/>
            <w:noWrap w:val="0"/>
            <w:vAlign w:val="center"/>
          </w:tcPr>
          <w:p w14:paraId="60344586">
            <w:pPr>
              <w:snapToGrid w:val="0"/>
              <w:spacing w:line="360" w:lineRule="auto"/>
              <w:jc w:val="center"/>
              <w:rPr>
                <w:rFonts w:ascii="仿宋" w:hAnsi="仿宋" w:eastAsia="仿宋" w:cs="仿宋_GB2312"/>
                <w:color w:val="auto"/>
                <w:sz w:val="24"/>
                <w:highlight w:val="none"/>
              </w:rPr>
            </w:pPr>
          </w:p>
        </w:tc>
        <w:tc>
          <w:tcPr>
            <w:tcW w:w="1276" w:type="dxa"/>
            <w:noWrap w:val="0"/>
            <w:vAlign w:val="center"/>
          </w:tcPr>
          <w:p w14:paraId="6C5F2548">
            <w:pPr>
              <w:spacing w:line="360" w:lineRule="auto"/>
              <w:jc w:val="center"/>
              <w:rPr>
                <w:rFonts w:ascii="仿宋" w:hAnsi="仿宋" w:eastAsia="仿宋" w:cs="仿宋_GB2312"/>
                <w:color w:val="auto"/>
                <w:sz w:val="24"/>
                <w:highlight w:val="none"/>
              </w:rPr>
            </w:pPr>
          </w:p>
        </w:tc>
        <w:tc>
          <w:tcPr>
            <w:tcW w:w="1205" w:type="dxa"/>
            <w:noWrap w:val="0"/>
            <w:vAlign w:val="center"/>
          </w:tcPr>
          <w:p w14:paraId="0E0AFF20">
            <w:pPr>
              <w:spacing w:line="360" w:lineRule="auto"/>
              <w:jc w:val="center"/>
              <w:rPr>
                <w:rFonts w:ascii="仿宋" w:hAnsi="仿宋" w:eastAsia="仿宋" w:cs="仿宋_GB2312"/>
                <w:color w:val="auto"/>
                <w:sz w:val="24"/>
                <w:highlight w:val="none"/>
              </w:rPr>
            </w:pPr>
          </w:p>
        </w:tc>
        <w:tc>
          <w:tcPr>
            <w:tcW w:w="1528" w:type="dxa"/>
            <w:noWrap w:val="0"/>
            <w:vAlign w:val="center"/>
          </w:tcPr>
          <w:p w14:paraId="23B788DB">
            <w:pPr>
              <w:spacing w:line="360" w:lineRule="auto"/>
              <w:jc w:val="center"/>
              <w:rPr>
                <w:rFonts w:ascii="仿宋" w:hAnsi="仿宋" w:eastAsia="仿宋" w:cs="仿宋_GB2312"/>
                <w:color w:val="auto"/>
                <w:sz w:val="24"/>
                <w:highlight w:val="none"/>
              </w:rPr>
            </w:pPr>
          </w:p>
        </w:tc>
      </w:tr>
      <w:tr w14:paraId="259C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1" w:type="dxa"/>
            <w:noWrap w:val="0"/>
            <w:vAlign w:val="center"/>
          </w:tcPr>
          <w:p w14:paraId="7EC9A1CD">
            <w:pPr>
              <w:spacing w:line="360" w:lineRule="auto"/>
              <w:jc w:val="center"/>
              <w:rPr>
                <w:rFonts w:ascii="仿宋" w:hAnsi="仿宋" w:eastAsia="仿宋"/>
                <w:b/>
                <w:color w:val="auto"/>
                <w:sz w:val="24"/>
                <w:highlight w:val="none"/>
              </w:rPr>
            </w:pPr>
          </w:p>
        </w:tc>
        <w:tc>
          <w:tcPr>
            <w:tcW w:w="1467" w:type="dxa"/>
            <w:noWrap w:val="0"/>
            <w:vAlign w:val="center"/>
          </w:tcPr>
          <w:p w14:paraId="2408EBD0">
            <w:pPr>
              <w:snapToGrid w:val="0"/>
              <w:spacing w:line="360" w:lineRule="auto"/>
              <w:jc w:val="center"/>
              <w:rPr>
                <w:rFonts w:ascii="仿宋" w:hAnsi="仿宋" w:eastAsia="仿宋" w:cs="仿宋_GB2312"/>
                <w:color w:val="auto"/>
                <w:sz w:val="24"/>
                <w:highlight w:val="none"/>
              </w:rPr>
            </w:pPr>
          </w:p>
        </w:tc>
        <w:tc>
          <w:tcPr>
            <w:tcW w:w="2580" w:type="dxa"/>
            <w:noWrap w:val="0"/>
            <w:vAlign w:val="center"/>
          </w:tcPr>
          <w:p w14:paraId="18E2D684">
            <w:pPr>
              <w:snapToGrid w:val="0"/>
              <w:spacing w:line="360" w:lineRule="auto"/>
              <w:jc w:val="center"/>
              <w:rPr>
                <w:rFonts w:ascii="仿宋" w:hAnsi="仿宋" w:eastAsia="仿宋" w:cs="仿宋_GB2312"/>
                <w:color w:val="auto"/>
                <w:sz w:val="24"/>
                <w:highlight w:val="none"/>
              </w:rPr>
            </w:pPr>
          </w:p>
        </w:tc>
        <w:tc>
          <w:tcPr>
            <w:tcW w:w="1276" w:type="dxa"/>
            <w:noWrap w:val="0"/>
            <w:vAlign w:val="center"/>
          </w:tcPr>
          <w:p w14:paraId="35C99282">
            <w:pPr>
              <w:spacing w:line="360" w:lineRule="auto"/>
              <w:jc w:val="center"/>
              <w:rPr>
                <w:rFonts w:ascii="仿宋" w:hAnsi="仿宋" w:eastAsia="仿宋" w:cs="仿宋_GB2312"/>
                <w:color w:val="auto"/>
                <w:sz w:val="24"/>
                <w:highlight w:val="none"/>
              </w:rPr>
            </w:pPr>
          </w:p>
        </w:tc>
        <w:tc>
          <w:tcPr>
            <w:tcW w:w="1205" w:type="dxa"/>
            <w:noWrap w:val="0"/>
            <w:vAlign w:val="center"/>
          </w:tcPr>
          <w:p w14:paraId="15FD3B13">
            <w:pPr>
              <w:spacing w:line="360" w:lineRule="auto"/>
              <w:jc w:val="center"/>
              <w:rPr>
                <w:rFonts w:ascii="仿宋" w:hAnsi="仿宋" w:eastAsia="仿宋" w:cs="仿宋_GB2312"/>
                <w:color w:val="auto"/>
                <w:sz w:val="24"/>
                <w:highlight w:val="none"/>
              </w:rPr>
            </w:pPr>
          </w:p>
        </w:tc>
        <w:tc>
          <w:tcPr>
            <w:tcW w:w="1528" w:type="dxa"/>
            <w:noWrap w:val="0"/>
            <w:vAlign w:val="center"/>
          </w:tcPr>
          <w:p w14:paraId="04872D19">
            <w:pPr>
              <w:spacing w:line="360" w:lineRule="auto"/>
              <w:jc w:val="center"/>
              <w:rPr>
                <w:rFonts w:ascii="仿宋" w:hAnsi="仿宋" w:eastAsia="仿宋" w:cs="仿宋_GB2312"/>
                <w:color w:val="auto"/>
                <w:sz w:val="24"/>
                <w:highlight w:val="none"/>
              </w:rPr>
            </w:pPr>
          </w:p>
        </w:tc>
      </w:tr>
      <w:tr w14:paraId="33F2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737" w:type="dxa"/>
            <w:gridSpan w:val="6"/>
            <w:noWrap w:val="0"/>
            <w:vAlign w:val="center"/>
          </w:tcPr>
          <w:p w14:paraId="49038754">
            <w:pPr>
              <w:spacing w:line="360" w:lineRule="auto"/>
              <w:jc w:val="left"/>
              <w:rPr>
                <w:rFonts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21B6676E">
      <w:pPr>
        <w:snapToGrid w:val="0"/>
        <w:spacing w:line="360" w:lineRule="auto"/>
        <w:ind w:left="480"/>
        <w:rPr>
          <w:rFonts w:ascii="仿宋" w:hAnsi="仿宋" w:eastAsia="仿宋" w:cs="仿宋"/>
          <w:b/>
          <w:color w:val="auto"/>
          <w:kern w:val="0"/>
          <w:sz w:val="24"/>
          <w:highlight w:val="none"/>
          <w:lang w:val="zh-CN"/>
        </w:rPr>
      </w:pPr>
    </w:p>
    <w:p w14:paraId="7BC518DB">
      <w:pPr>
        <w:snapToGrid w:val="0"/>
        <w:spacing w:line="360" w:lineRule="auto"/>
        <w:jc w:val="right"/>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0F61AD3C">
      <w:pPr>
        <w:snapToGrid w:val="0"/>
        <w:spacing w:line="360" w:lineRule="auto"/>
        <w:jc w:val="righ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32BAD85">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D3B5B7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279DFC8F">
      <w:pPr>
        <w:spacing w:line="360" w:lineRule="auto"/>
        <w:ind w:firstLine="480" w:firstLineChars="200"/>
        <w:rPr>
          <w:rFonts w:ascii="仿宋" w:hAnsi="仿宋" w:eastAsia="仿宋" w:cs="仿宋"/>
          <w:b/>
          <w:color w:val="auto"/>
          <w:sz w:val="24"/>
          <w:highlight w:val="none"/>
        </w:rPr>
        <w:sectPr>
          <w:pgSz w:w="11905" w:h="16838"/>
          <w:pgMar w:top="1474" w:right="1587" w:bottom="1474" w:left="1587" w:header="851" w:footer="992" w:gutter="0"/>
          <w:cols w:space="0" w:num="1"/>
          <w:docGrid w:linePitch="312" w:charSpace="0"/>
        </w:sect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w:t>
      </w:r>
    </w:p>
    <w:p w14:paraId="0E92CDE8">
      <w:pPr>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不能接受的附加条件的，投标无效。</w:t>
      </w:r>
    </w:p>
    <w:p w14:paraId="0969C0BF">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2EFB95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65096D7">
      <w:pPr>
        <w:spacing w:line="360" w:lineRule="auto"/>
        <w:ind w:firstLine="482" w:firstLineChars="200"/>
        <w:rPr>
          <w:rFonts w:ascii="仿宋" w:hAnsi="仿宋" w:eastAsia="仿宋" w:cs="仿宋"/>
          <w:b/>
          <w:color w:val="auto"/>
          <w:kern w:val="0"/>
          <w:sz w:val="24"/>
          <w:highlight w:val="none"/>
        </w:rPr>
      </w:pPr>
    </w:p>
    <w:p w14:paraId="38591FB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7A4FC952">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5" w:h="16838"/>
          <w:pgMar w:top="1474" w:right="1587" w:bottom="1474" w:left="1587" w:header="851" w:footer="992" w:gutter="0"/>
          <w:cols w:space="0" w:num="1"/>
          <w:docGrid w:linePitch="312" w:charSpace="0"/>
        </w:sectPr>
      </w:pPr>
    </w:p>
    <w:p w14:paraId="27C5B5EC">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63" w:name="_Hlk101259491"/>
      <w:r>
        <w:rPr>
          <w:rFonts w:hint="eastAsia" w:ascii="仿宋" w:hAnsi="仿宋" w:eastAsia="仿宋" w:cs="仿宋"/>
          <w:color w:val="auto"/>
          <w:sz w:val="32"/>
          <w:szCs w:val="32"/>
          <w:highlight w:val="none"/>
        </w:rPr>
        <w:t>（如有）</w:t>
      </w:r>
      <w:bookmarkEnd w:id="163"/>
    </w:p>
    <w:p w14:paraId="41E667EC">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C9BAB9B">
      <w:pPr>
        <w:pStyle w:val="79"/>
        <w:rPr>
          <w:rFonts w:ascii="仿宋" w:hAnsi="仿宋" w:eastAsia="仿宋" w:cs="仿宋"/>
          <w:b/>
          <w:color w:val="auto"/>
          <w:highlight w:val="none"/>
        </w:rPr>
      </w:pPr>
    </w:p>
    <w:p w14:paraId="0578B675">
      <w:pPr>
        <w:pStyle w:val="80"/>
        <w:rPr>
          <w:rFonts w:ascii="仿宋" w:hAnsi="仿宋" w:eastAsia="仿宋" w:cs="仿宋"/>
          <w:b/>
          <w:color w:val="auto"/>
          <w:sz w:val="24"/>
          <w:highlight w:val="none"/>
        </w:rPr>
      </w:pPr>
    </w:p>
    <w:p w14:paraId="7C441948">
      <w:pPr>
        <w:rPr>
          <w:rFonts w:ascii="仿宋" w:hAnsi="仿宋" w:eastAsia="仿宋" w:cs="仿宋"/>
          <w:b/>
          <w:color w:val="auto"/>
          <w:sz w:val="24"/>
          <w:highlight w:val="none"/>
        </w:rPr>
      </w:pPr>
    </w:p>
    <w:p w14:paraId="7C275680">
      <w:pPr>
        <w:pStyle w:val="79"/>
        <w:rPr>
          <w:rFonts w:ascii="仿宋" w:hAnsi="仿宋" w:eastAsia="仿宋" w:cs="仿宋"/>
          <w:b/>
          <w:color w:val="auto"/>
          <w:highlight w:val="none"/>
        </w:rPr>
      </w:pPr>
    </w:p>
    <w:p w14:paraId="55AC0C55">
      <w:pPr>
        <w:pStyle w:val="80"/>
        <w:rPr>
          <w:color w:val="auto"/>
          <w:highlight w:val="none"/>
        </w:rPr>
      </w:pPr>
    </w:p>
    <w:p w14:paraId="130524FF">
      <w:pPr>
        <w:pStyle w:val="80"/>
        <w:rPr>
          <w:color w:val="auto"/>
          <w:highlight w:val="none"/>
        </w:rPr>
      </w:pPr>
    </w:p>
    <w:p w14:paraId="1332F9CF">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2A12C73F">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2C603118">
      <w:pPr>
        <w:pStyle w:val="79"/>
        <w:widowControl/>
        <w:spacing w:line="360" w:lineRule="auto"/>
        <w:ind w:firstLine="120" w:firstLineChars="50"/>
        <w:rPr>
          <w:rFonts w:ascii="仿宋" w:hAnsi="仿宋" w:eastAsia="仿宋" w:cs="仿宋"/>
          <w:b/>
          <w:color w:val="auto"/>
          <w:highlight w:val="none"/>
        </w:rPr>
      </w:pPr>
    </w:p>
    <w:p w14:paraId="3AFA77A6">
      <w:pPr>
        <w:pStyle w:val="80"/>
        <w:spacing w:line="360" w:lineRule="auto"/>
        <w:ind w:left="0" w:firstLine="120" w:firstLineChars="50"/>
        <w:jc w:val="left"/>
        <w:rPr>
          <w:rFonts w:ascii="仿宋" w:hAnsi="仿宋" w:eastAsia="仿宋" w:cs="仿宋"/>
          <w:b/>
          <w:color w:val="auto"/>
          <w:sz w:val="24"/>
          <w:highlight w:val="none"/>
        </w:rPr>
      </w:pPr>
    </w:p>
    <w:p w14:paraId="3407526B">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4E547ADD">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41D6CE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DED4A74">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BD5321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734C16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47A2B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A71C1E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A1099E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89EE45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61C63C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A1341F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6638CD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703CAE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3B6EA0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8B1A17A">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E8E0A0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F5E88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5D93BA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B7C7AC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E6284D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B52BB2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EA9394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858CD7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9061C9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12FD5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D6A08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0A12013">
      <w:pPr>
        <w:spacing w:line="360" w:lineRule="auto"/>
        <w:jc w:val="center"/>
        <w:rPr>
          <w:rFonts w:ascii="仿宋" w:hAnsi="仿宋" w:eastAsia="仿宋" w:cs="仿宋"/>
          <w:b/>
          <w:bCs/>
          <w:color w:val="auto"/>
          <w:sz w:val="24"/>
          <w:highlight w:val="none"/>
        </w:rPr>
      </w:pPr>
    </w:p>
    <w:p w14:paraId="4D2A1869">
      <w:pPr>
        <w:spacing w:line="360" w:lineRule="auto"/>
        <w:rPr>
          <w:rFonts w:ascii="仿宋" w:hAnsi="仿宋" w:eastAsia="仿宋" w:cs="仿宋"/>
          <w:b/>
          <w:color w:val="auto"/>
          <w:sz w:val="24"/>
          <w:highlight w:val="none"/>
        </w:rPr>
      </w:pPr>
    </w:p>
    <w:p w14:paraId="507F0402">
      <w:pPr>
        <w:spacing w:line="360" w:lineRule="auto"/>
        <w:rPr>
          <w:rFonts w:ascii="仿宋" w:hAnsi="仿宋" w:eastAsia="仿宋" w:cs="仿宋"/>
          <w:b/>
          <w:color w:val="auto"/>
          <w:sz w:val="24"/>
          <w:highlight w:val="none"/>
        </w:rPr>
      </w:pPr>
    </w:p>
    <w:p w14:paraId="005D1062">
      <w:pPr>
        <w:spacing w:line="360" w:lineRule="auto"/>
        <w:rPr>
          <w:rFonts w:ascii="仿宋" w:hAnsi="仿宋" w:eastAsia="仿宋" w:cs="仿宋"/>
          <w:b/>
          <w:color w:val="auto"/>
          <w:sz w:val="24"/>
          <w:highlight w:val="none"/>
        </w:rPr>
      </w:pPr>
    </w:p>
    <w:p w14:paraId="571D4FFE">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9C0EA6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C4DAA6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400926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0050DF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9FD54D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16EABF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2B60426">
      <w:pPr>
        <w:widowControl/>
        <w:spacing w:line="360" w:lineRule="auto"/>
        <w:ind w:firstLine="600" w:firstLineChars="200"/>
        <w:jc w:val="left"/>
        <w:rPr>
          <w:rFonts w:ascii="仿宋" w:hAnsi="仿宋" w:eastAsia="仿宋" w:cs="仿宋"/>
          <w:color w:val="auto"/>
          <w:sz w:val="30"/>
          <w:szCs w:val="30"/>
          <w:highlight w:val="none"/>
        </w:rPr>
      </w:pPr>
    </w:p>
    <w:p w14:paraId="7E3081E9">
      <w:pPr>
        <w:spacing w:line="360" w:lineRule="auto"/>
        <w:jc w:val="center"/>
        <w:rPr>
          <w:rFonts w:ascii="仿宋" w:hAnsi="仿宋" w:eastAsia="仿宋" w:cs="仿宋"/>
          <w:b/>
          <w:color w:val="auto"/>
          <w:spacing w:val="6"/>
          <w:sz w:val="32"/>
          <w:szCs w:val="32"/>
          <w:highlight w:val="none"/>
        </w:rPr>
      </w:pPr>
    </w:p>
    <w:p w14:paraId="080F9A8C">
      <w:pPr>
        <w:spacing w:line="360" w:lineRule="auto"/>
        <w:jc w:val="center"/>
        <w:rPr>
          <w:rFonts w:ascii="仿宋" w:hAnsi="仿宋" w:eastAsia="仿宋" w:cs="仿宋"/>
          <w:b/>
          <w:color w:val="auto"/>
          <w:spacing w:val="6"/>
          <w:sz w:val="32"/>
          <w:szCs w:val="32"/>
          <w:highlight w:val="none"/>
        </w:rPr>
      </w:pPr>
    </w:p>
    <w:p w14:paraId="0CD82161">
      <w:pPr>
        <w:spacing w:line="360" w:lineRule="auto"/>
        <w:jc w:val="center"/>
        <w:rPr>
          <w:rFonts w:ascii="仿宋" w:hAnsi="仿宋" w:eastAsia="仿宋" w:cs="仿宋"/>
          <w:b/>
          <w:color w:val="auto"/>
          <w:spacing w:val="6"/>
          <w:sz w:val="32"/>
          <w:szCs w:val="32"/>
          <w:highlight w:val="none"/>
        </w:rPr>
      </w:pPr>
    </w:p>
    <w:p w14:paraId="00E27D30">
      <w:pPr>
        <w:spacing w:line="360" w:lineRule="auto"/>
        <w:jc w:val="center"/>
        <w:rPr>
          <w:rFonts w:ascii="仿宋" w:hAnsi="仿宋" w:eastAsia="仿宋" w:cs="仿宋"/>
          <w:b/>
          <w:color w:val="auto"/>
          <w:spacing w:val="6"/>
          <w:sz w:val="32"/>
          <w:szCs w:val="32"/>
          <w:highlight w:val="none"/>
        </w:rPr>
      </w:pPr>
    </w:p>
    <w:p w14:paraId="57D34400">
      <w:pPr>
        <w:spacing w:line="360" w:lineRule="auto"/>
        <w:jc w:val="center"/>
        <w:rPr>
          <w:rFonts w:ascii="仿宋" w:hAnsi="仿宋" w:eastAsia="仿宋" w:cs="仿宋"/>
          <w:b/>
          <w:color w:val="auto"/>
          <w:spacing w:val="6"/>
          <w:sz w:val="32"/>
          <w:szCs w:val="32"/>
          <w:highlight w:val="none"/>
        </w:rPr>
      </w:pPr>
    </w:p>
    <w:p w14:paraId="79D054D7">
      <w:pPr>
        <w:spacing w:line="360" w:lineRule="auto"/>
        <w:jc w:val="center"/>
        <w:rPr>
          <w:rFonts w:ascii="仿宋" w:hAnsi="仿宋" w:eastAsia="仿宋" w:cs="仿宋"/>
          <w:b/>
          <w:color w:val="auto"/>
          <w:spacing w:val="6"/>
          <w:sz w:val="32"/>
          <w:szCs w:val="32"/>
          <w:highlight w:val="none"/>
        </w:rPr>
      </w:pPr>
    </w:p>
    <w:p w14:paraId="68993716">
      <w:pPr>
        <w:spacing w:line="360" w:lineRule="auto"/>
        <w:jc w:val="center"/>
        <w:rPr>
          <w:rFonts w:ascii="仿宋" w:hAnsi="仿宋" w:eastAsia="仿宋" w:cs="仿宋"/>
          <w:b/>
          <w:color w:val="auto"/>
          <w:spacing w:val="6"/>
          <w:sz w:val="32"/>
          <w:szCs w:val="32"/>
          <w:highlight w:val="none"/>
        </w:rPr>
      </w:pPr>
    </w:p>
    <w:p w14:paraId="2F84AB21">
      <w:pPr>
        <w:spacing w:line="360" w:lineRule="auto"/>
        <w:jc w:val="left"/>
        <w:rPr>
          <w:rFonts w:ascii="仿宋" w:hAnsi="仿宋" w:eastAsia="仿宋" w:cs="仿宋"/>
          <w:b/>
          <w:color w:val="auto"/>
          <w:spacing w:val="6"/>
          <w:sz w:val="32"/>
          <w:szCs w:val="32"/>
          <w:highlight w:val="none"/>
        </w:rPr>
      </w:pPr>
    </w:p>
    <w:p w14:paraId="506183F5">
      <w:pPr>
        <w:spacing w:line="360" w:lineRule="auto"/>
        <w:jc w:val="left"/>
        <w:rPr>
          <w:rFonts w:ascii="仿宋" w:hAnsi="仿宋" w:eastAsia="仿宋" w:cs="仿宋"/>
          <w:b/>
          <w:color w:val="auto"/>
          <w:spacing w:val="6"/>
          <w:sz w:val="32"/>
          <w:szCs w:val="32"/>
          <w:highlight w:val="none"/>
        </w:rPr>
      </w:pPr>
    </w:p>
    <w:p w14:paraId="77C69E16">
      <w:pPr>
        <w:spacing w:line="360" w:lineRule="auto"/>
        <w:jc w:val="left"/>
        <w:rPr>
          <w:rFonts w:ascii="仿宋" w:hAnsi="仿宋" w:eastAsia="仿宋" w:cs="仿宋"/>
          <w:b/>
          <w:color w:val="auto"/>
          <w:spacing w:val="6"/>
          <w:sz w:val="32"/>
          <w:szCs w:val="32"/>
          <w:highlight w:val="none"/>
        </w:rPr>
      </w:pPr>
    </w:p>
    <w:p w14:paraId="77BCF3D7">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6E07F6B">
      <w:pPr>
        <w:spacing w:line="360" w:lineRule="auto"/>
        <w:jc w:val="center"/>
        <w:rPr>
          <w:rFonts w:ascii="仿宋" w:hAnsi="仿宋" w:eastAsia="仿宋" w:cs="仿宋"/>
          <w:b/>
          <w:color w:val="auto"/>
          <w:sz w:val="24"/>
          <w:highlight w:val="none"/>
        </w:rPr>
      </w:pPr>
    </w:p>
    <w:p w14:paraId="5E202F6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EDF0FF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4B0974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70C477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589DE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B74F29C">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3F2F9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9C24E2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0D3326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56F67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10C24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F29E8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A56CF2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601FB9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4F2E4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193FE8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C0D3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ABB631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16986E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002323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BB385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38F60A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2AA778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497CF9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51686D4">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E42580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ED7FC9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7FCFDF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462D32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EA9FBA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E48343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CDFFBC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8A6ADC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4A1EF8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F46FC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69223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1414CE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26E06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745A3BC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A481AE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8F28E2">
      <w:pPr>
        <w:spacing w:line="360" w:lineRule="auto"/>
        <w:rPr>
          <w:rFonts w:ascii="仿宋" w:hAnsi="仿宋" w:eastAsia="仿宋" w:cs="仿宋"/>
          <w:b/>
          <w:color w:val="auto"/>
          <w:sz w:val="24"/>
          <w:highlight w:val="none"/>
        </w:rPr>
      </w:pPr>
    </w:p>
    <w:p w14:paraId="00A5387E">
      <w:pPr>
        <w:spacing w:line="360" w:lineRule="auto"/>
        <w:rPr>
          <w:rFonts w:ascii="仿宋" w:hAnsi="仿宋" w:eastAsia="仿宋" w:cs="仿宋"/>
          <w:b/>
          <w:color w:val="auto"/>
          <w:sz w:val="24"/>
          <w:highlight w:val="none"/>
        </w:rPr>
      </w:pPr>
    </w:p>
    <w:p w14:paraId="1EE8C738">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E696DC4">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FEA0FB7">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6E0531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0FDDDA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C6C3EE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406D19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81B4D8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5F2799F">
      <w:pPr>
        <w:spacing w:line="360" w:lineRule="auto"/>
        <w:rPr>
          <w:rFonts w:ascii="仿宋" w:hAnsi="仿宋" w:eastAsia="仿宋" w:cs="仿宋"/>
          <w:b/>
          <w:color w:val="auto"/>
          <w:sz w:val="24"/>
          <w:highlight w:val="none"/>
        </w:rPr>
      </w:pPr>
    </w:p>
    <w:p w14:paraId="751336ED">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E603A74">
      <w:pPr>
        <w:spacing w:line="360" w:lineRule="auto"/>
        <w:rPr>
          <w:rFonts w:ascii="仿宋" w:hAnsi="仿宋" w:eastAsia="仿宋" w:cs="仿宋"/>
          <w:color w:val="auto"/>
          <w:sz w:val="24"/>
          <w:highlight w:val="none"/>
          <w:u w:val="single"/>
        </w:rPr>
      </w:pPr>
    </w:p>
    <w:p w14:paraId="735BF0D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3E3CB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DBAA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91E3787">
      <w:pPr>
        <w:spacing w:line="360" w:lineRule="auto"/>
        <w:ind w:firstLine="494"/>
        <w:rPr>
          <w:rFonts w:ascii="仿宋" w:hAnsi="仿宋" w:eastAsia="仿宋" w:cs="仿宋"/>
          <w:color w:val="auto"/>
          <w:sz w:val="24"/>
          <w:highlight w:val="none"/>
        </w:rPr>
      </w:pPr>
    </w:p>
    <w:p w14:paraId="0C50385C">
      <w:pPr>
        <w:spacing w:line="360" w:lineRule="auto"/>
        <w:ind w:firstLine="494"/>
        <w:rPr>
          <w:rFonts w:ascii="仿宋" w:hAnsi="仿宋" w:eastAsia="仿宋" w:cs="仿宋"/>
          <w:color w:val="auto"/>
          <w:sz w:val="24"/>
          <w:highlight w:val="none"/>
        </w:rPr>
      </w:pPr>
    </w:p>
    <w:p w14:paraId="3F6DA6CB">
      <w:pPr>
        <w:spacing w:line="360" w:lineRule="auto"/>
        <w:ind w:firstLine="494"/>
        <w:rPr>
          <w:rFonts w:ascii="仿宋" w:hAnsi="仿宋" w:eastAsia="仿宋" w:cs="仿宋"/>
          <w:color w:val="auto"/>
          <w:sz w:val="24"/>
          <w:highlight w:val="none"/>
        </w:rPr>
      </w:pPr>
    </w:p>
    <w:p w14:paraId="52FCFF2E">
      <w:pPr>
        <w:spacing w:line="360" w:lineRule="auto"/>
        <w:ind w:firstLine="494"/>
        <w:rPr>
          <w:rFonts w:ascii="仿宋" w:hAnsi="仿宋" w:eastAsia="仿宋" w:cs="仿宋"/>
          <w:color w:val="auto"/>
          <w:sz w:val="24"/>
          <w:highlight w:val="none"/>
        </w:rPr>
      </w:pPr>
    </w:p>
    <w:p w14:paraId="79B19A90">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896540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6907DB">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76F9FAA6">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48E4219">
      <w:pPr>
        <w:autoSpaceDE w:val="0"/>
        <w:autoSpaceDN w:val="0"/>
        <w:jc w:val="center"/>
        <w:rPr>
          <w:rFonts w:ascii="仿宋" w:hAnsi="仿宋" w:eastAsia="仿宋" w:cs="仿宋"/>
          <w:b/>
          <w:color w:val="auto"/>
          <w:spacing w:val="6"/>
          <w:sz w:val="32"/>
          <w:szCs w:val="32"/>
          <w:highlight w:val="none"/>
        </w:rPr>
      </w:pPr>
    </w:p>
    <w:p w14:paraId="06521FAB">
      <w:pPr>
        <w:autoSpaceDE w:val="0"/>
        <w:autoSpaceDN w:val="0"/>
        <w:jc w:val="center"/>
        <w:rPr>
          <w:rFonts w:ascii="仿宋" w:hAnsi="仿宋" w:eastAsia="仿宋" w:cs="仿宋"/>
          <w:b/>
          <w:color w:val="auto"/>
          <w:spacing w:val="6"/>
          <w:sz w:val="32"/>
          <w:szCs w:val="32"/>
          <w:highlight w:val="none"/>
        </w:rPr>
      </w:pPr>
    </w:p>
    <w:p w14:paraId="35CA68F6">
      <w:pPr>
        <w:autoSpaceDE w:val="0"/>
        <w:autoSpaceDN w:val="0"/>
        <w:jc w:val="center"/>
        <w:rPr>
          <w:rFonts w:ascii="仿宋" w:hAnsi="仿宋" w:eastAsia="仿宋" w:cs="仿宋"/>
          <w:b/>
          <w:color w:val="auto"/>
          <w:spacing w:val="6"/>
          <w:sz w:val="32"/>
          <w:szCs w:val="32"/>
          <w:highlight w:val="none"/>
        </w:rPr>
      </w:pPr>
    </w:p>
    <w:p w14:paraId="435A4530">
      <w:pPr>
        <w:autoSpaceDE w:val="0"/>
        <w:autoSpaceDN w:val="0"/>
        <w:jc w:val="center"/>
        <w:rPr>
          <w:rFonts w:ascii="仿宋" w:hAnsi="仿宋" w:eastAsia="仿宋" w:cs="仿宋"/>
          <w:b/>
          <w:color w:val="auto"/>
          <w:spacing w:val="6"/>
          <w:sz w:val="32"/>
          <w:szCs w:val="32"/>
          <w:highlight w:val="none"/>
        </w:rPr>
      </w:pPr>
    </w:p>
    <w:p w14:paraId="523066B1">
      <w:pPr>
        <w:autoSpaceDE w:val="0"/>
        <w:autoSpaceDN w:val="0"/>
        <w:jc w:val="center"/>
        <w:rPr>
          <w:rFonts w:ascii="仿宋" w:hAnsi="仿宋" w:eastAsia="仿宋" w:cs="仿宋"/>
          <w:b/>
          <w:color w:val="auto"/>
          <w:spacing w:val="6"/>
          <w:sz w:val="32"/>
          <w:szCs w:val="32"/>
          <w:highlight w:val="none"/>
        </w:rPr>
      </w:pPr>
    </w:p>
    <w:p w14:paraId="247CD326">
      <w:pPr>
        <w:autoSpaceDE w:val="0"/>
        <w:autoSpaceDN w:val="0"/>
        <w:jc w:val="center"/>
        <w:rPr>
          <w:rFonts w:ascii="仿宋" w:hAnsi="仿宋" w:eastAsia="仿宋" w:cs="仿宋"/>
          <w:b/>
          <w:color w:val="auto"/>
          <w:spacing w:val="6"/>
          <w:sz w:val="32"/>
          <w:szCs w:val="32"/>
          <w:highlight w:val="none"/>
        </w:rPr>
      </w:pPr>
    </w:p>
    <w:p w14:paraId="266E9EF2">
      <w:pPr>
        <w:autoSpaceDE w:val="0"/>
        <w:autoSpaceDN w:val="0"/>
        <w:jc w:val="center"/>
        <w:rPr>
          <w:rFonts w:ascii="仿宋" w:hAnsi="仿宋" w:eastAsia="仿宋" w:cs="仿宋"/>
          <w:b/>
          <w:color w:val="auto"/>
          <w:spacing w:val="6"/>
          <w:sz w:val="32"/>
          <w:szCs w:val="32"/>
          <w:highlight w:val="none"/>
        </w:rPr>
      </w:pPr>
    </w:p>
    <w:p w14:paraId="15900B24">
      <w:pPr>
        <w:autoSpaceDE w:val="0"/>
        <w:autoSpaceDN w:val="0"/>
        <w:jc w:val="center"/>
        <w:rPr>
          <w:rFonts w:ascii="仿宋" w:hAnsi="仿宋" w:eastAsia="仿宋" w:cs="仿宋"/>
          <w:b/>
          <w:color w:val="auto"/>
          <w:spacing w:val="6"/>
          <w:sz w:val="32"/>
          <w:szCs w:val="32"/>
          <w:highlight w:val="none"/>
        </w:rPr>
      </w:pPr>
    </w:p>
    <w:p w14:paraId="33928C4B">
      <w:pPr>
        <w:autoSpaceDE w:val="0"/>
        <w:autoSpaceDN w:val="0"/>
        <w:jc w:val="center"/>
        <w:rPr>
          <w:rFonts w:ascii="仿宋" w:hAnsi="仿宋" w:eastAsia="仿宋" w:cs="仿宋"/>
          <w:b/>
          <w:color w:val="auto"/>
          <w:spacing w:val="6"/>
          <w:sz w:val="32"/>
          <w:szCs w:val="32"/>
          <w:highlight w:val="none"/>
        </w:rPr>
      </w:pPr>
    </w:p>
    <w:p w14:paraId="29CB9FCC">
      <w:pPr>
        <w:autoSpaceDE w:val="0"/>
        <w:autoSpaceDN w:val="0"/>
        <w:jc w:val="center"/>
        <w:rPr>
          <w:rFonts w:ascii="仿宋" w:hAnsi="仿宋" w:eastAsia="仿宋" w:cs="仿宋"/>
          <w:b/>
          <w:color w:val="auto"/>
          <w:spacing w:val="6"/>
          <w:sz w:val="32"/>
          <w:szCs w:val="32"/>
          <w:highlight w:val="none"/>
        </w:rPr>
      </w:pPr>
    </w:p>
    <w:p w14:paraId="525667DC">
      <w:pPr>
        <w:autoSpaceDE w:val="0"/>
        <w:autoSpaceDN w:val="0"/>
        <w:jc w:val="center"/>
        <w:rPr>
          <w:rFonts w:ascii="仿宋" w:hAnsi="仿宋" w:eastAsia="仿宋" w:cs="仿宋"/>
          <w:b/>
          <w:color w:val="auto"/>
          <w:spacing w:val="6"/>
          <w:sz w:val="32"/>
          <w:szCs w:val="32"/>
          <w:highlight w:val="none"/>
        </w:rPr>
      </w:pPr>
    </w:p>
    <w:p w14:paraId="66D0C52C">
      <w:pPr>
        <w:autoSpaceDE w:val="0"/>
        <w:autoSpaceDN w:val="0"/>
        <w:jc w:val="center"/>
        <w:rPr>
          <w:rFonts w:ascii="仿宋" w:hAnsi="仿宋" w:eastAsia="仿宋" w:cs="仿宋"/>
          <w:b/>
          <w:color w:val="auto"/>
          <w:spacing w:val="6"/>
          <w:sz w:val="32"/>
          <w:szCs w:val="32"/>
          <w:highlight w:val="none"/>
        </w:rPr>
      </w:pPr>
    </w:p>
    <w:p w14:paraId="7C19828D">
      <w:pPr>
        <w:autoSpaceDE w:val="0"/>
        <w:autoSpaceDN w:val="0"/>
        <w:jc w:val="center"/>
        <w:rPr>
          <w:rFonts w:ascii="仿宋" w:hAnsi="仿宋" w:eastAsia="仿宋" w:cs="仿宋"/>
          <w:b/>
          <w:color w:val="auto"/>
          <w:spacing w:val="6"/>
          <w:sz w:val="32"/>
          <w:szCs w:val="32"/>
          <w:highlight w:val="none"/>
        </w:rPr>
      </w:pPr>
    </w:p>
    <w:p w14:paraId="4BC9FCB7">
      <w:pPr>
        <w:autoSpaceDE w:val="0"/>
        <w:autoSpaceDN w:val="0"/>
        <w:jc w:val="center"/>
        <w:rPr>
          <w:rFonts w:ascii="仿宋" w:hAnsi="仿宋" w:eastAsia="仿宋" w:cs="仿宋"/>
          <w:b/>
          <w:color w:val="auto"/>
          <w:spacing w:val="6"/>
          <w:sz w:val="32"/>
          <w:szCs w:val="32"/>
          <w:highlight w:val="none"/>
        </w:rPr>
      </w:pPr>
    </w:p>
    <w:p w14:paraId="7808D90D">
      <w:pPr>
        <w:autoSpaceDE w:val="0"/>
        <w:autoSpaceDN w:val="0"/>
        <w:jc w:val="center"/>
        <w:rPr>
          <w:rFonts w:ascii="仿宋" w:hAnsi="仿宋" w:eastAsia="仿宋" w:cs="仿宋"/>
          <w:b/>
          <w:color w:val="auto"/>
          <w:spacing w:val="6"/>
          <w:sz w:val="32"/>
          <w:szCs w:val="32"/>
          <w:highlight w:val="none"/>
        </w:rPr>
      </w:pPr>
    </w:p>
    <w:p w14:paraId="3652A4C2">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03A21585">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F0668F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630DBE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5B6995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8A7711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66C568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F5983F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6E9FEB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915A6F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D9E9FBB">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4" w:name="_Hlk101131882"/>
      <w:r>
        <w:rPr>
          <w:rFonts w:hint="eastAsia" w:ascii="仿宋" w:hAnsi="仿宋" w:eastAsia="仿宋" w:cs="仿宋"/>
          <w:color w:val="auto"/>
          <w:kern w:val="0"/>
          <w:sz w:val="24"/>
          <w:highlight w:val="none"/>
          <w:u w:val="single"/>
        </w:rPr>
        <w:t>联合体成员X,……</w:t>
      </w:r>
      <w:bookmarkEnd w:id="16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5"/>
      <w:r>
        <w:rPr>
          <w:rFonts w:hint="eastAsia" w:ascii="仿宋" w:hAnsi="仿宋" w:eastAsia="仿宋" w:cs="仿宋"/>
          <w:b/>
          <w:color w:val="auto"/>
          <w:kern w:val="0"/>
          <w:sz w:val="24"/>
          <w:highlight w:val="none"/>
          <w:lang w:val="zh-CN"/>
        </w:rPr>
        <w:t>）</w:t>
      </w:r>
    </w:p>
    <w:p w14:paraId="335E04F1">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6"/>
    </w:p>
    <w:p w14:paraId="00450DC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362567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61E228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4998C8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5CBEDB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1F734C5">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A92033">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FB72727">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F251720">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8962CB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CE7CDCD">
      <w:pPr>
        <w:autoSpaceDE w:val="0"/>
        <w:autoSpaceDN w:val="0"/>
        <w:jc w:val="center"/>
        <w:rPr>
          <w:rFonts w:ascii="仿宋" w:hAnsi="仿宋" w:eastAsia="仿宋" w:cs="仿宋"/>
          <w:b/>
          <w:color w:val="auto"/>
          <w:spacing w:val="6"/>
          <w:sz w:val="32"/>
          <w:szCs w:val="32"/>
          <w:highlight w:val="none"/>
        </w:rPr>
      </w:pPr>
    </w:p>
    <w:p w14:paraId="1DC7580C">
      <w:pPr>
        <w:autoSpaceDE w:val="0"/>
        <w:autoSpaceDN w:val="0"/>
        <w:jc w:val="center"/>
        <w:rPr>
          <w:rFonts w:ascii="仿宋" w:hAnsi="仿宋" w:eastAsia="仿宋" w:cs="仿宋"/>
          <w:b/>
          <w:color w:val="auto"/>
          <w:spacing w:val="6"/>
          <w:sz w:val="32"/>
          <w:szCs w:val="32"/>
          <w:highlight w:val="none"/>
        </w:rPr>
      </w:pPr>
    </w:p>
    <w:p w14:paraId="113ED913">
      <w:pPr>
        <w:autoSpaceDE w:val="0"/>
        <w:autoSpaceDN w:val="0"/>
        <w:jc w:val="center"/>
        <w:rPr>
          <w:rFonts w:ascii="仿宋" w:hAnsi="仿宋" w:eastAsia="仿宋" w:cs="仿宋"/>
          <w:b/>
          <w:color w:val="auto"/>
          <w:spacing w:val="6"/>
          <w:sz w:val="32"/>
          <w:szCs w:val="32"/>
          <w:highlight w:val="none"/>
        </w:rPr>
      </w:pPr>
    </w:p>
    <w:p w14:paraId="23EF4CED">
      <w:pPr>
        <w:autoSpaceDE w:val="0"/>
        <w:autoSpaceDN w:val="0"/>
        <w:jc w:val="center"/>
        <w:rPr>
          <w:rFonts w:ascii="仿宋" w:hAnsi="仿宋" w:eastAsia="仿宋" w:cs="仿宋"/>
          <w:b/>
          <w:color w:val="auto"/>
          <w:spacing w:val="6"/>
          <w:sz w:val="32"/>
          <w:szCs w:val="32"/>
          <w:highlight w:val="none"/>
        </w:rPr>
      </w:pPr>
    </w:p>
    <w:p w14:paraId="1378054A">
      <w:pPr>
        <w:autoSpaceDE w:val="0"/>
        <w:autoSpaceDN w:val="0"/>
        <w:jc w:val="center"/>
        <w:rPr>
          <w:rFonts w:ascii="仿宋" w:hAnsi="仿宋" w:eastAsia="仿宋" w:cs="仿宋"/>
          <w:b/>
          <w:color w:val="auto"/>
          <w:spacing w:val="6"/>
          <w:sz w:val="32"/>
          <w:szCs w:val="32"/>
          <w:highlight w:val="none"/>
        </w:rPr>
      </w:pPr>
    </w:p>
    <w:p w14:paraId="4D26F4FB">
      <w:pPr>
        <w:autoSpaceDE w:val="0"/>
        <w:autoSpaceDN w:val="0"/>
        <w:jc w:val="center"/>
        <w:rPr>
          <w:rFonts w:ascii="仿宋" w:hAnsi="仿宋" w:eastAsia="仿宋" w:cs="仿宋"/>
          <w:b/>
          <w:color w:val="auto"/>
          <w:spacing w:val="6"/>
          <w:sz w:val="32"/>
          <w:szCs w:val="32"/>
          <w:highlight w:val="none"/>
        </w:rPr>
      </w:pPr>
    </w:p>
    <w:p w14:paraId="1D886BE0">
      <w:pPr>
        <w:autoSpaceDE w:val="0"/>
        <w:autoSpaceDN w:val="0"/>
        <w:jc w:val="center"/>
        <w:rPr>
          <w:rFonts w:ascii="仿宋" w:hAnsi="仿宋" w:eastAsia="仿宋" w:cs="仿宋"/>
          <w:b/>
          <w:color w:val="auto"/>
          <w:spacing w:val="6"/>
          <w:sz w:val="32"/>
          <w:szCs w:val="32"/>
          <w:highlight w:val="none"/>
        </w:rPr>
      </w:pPr>
    </w:p>
    <w:p w14:paraId="7E9596B8">
      <w:pPr>
        <w:autoSpaceDE w:val="0"/>
        <w:autoSpaceDN w:val="0"/>
        <w:jc w:val="center"/>
        <w:rPr>
          <w:rFonts w:ascii="仿宋" w:hAnsi="仿宋" w:eastAsia="仿宋" w:cs="仿宋"/>
          <w:b/>
          <w:color w:val="auto"/>
          <w:spacing w:val="6"/>
          <w:sz w:val="32"/>
          <w:szCs w:val="32"/>
          <w:highlight w:val="none"/>
        </w:rPr>
      </w:pPr>
    </w:p>
    <w:p w14:paraId="577E8A2F">
      <w:pPr>
        <w:autoSpaceDE w:val="0"/>
        <w:autoSpaceDN w:val="0"/>
        <w:jc w:val="center"/>
        <w:rPr>
          <w:rFonts w:ascii="仿宋" w:hAnsi="仿宋" w:eastAsia="仿宋" w:cs="仿宋"/>
          <w:b/>
          <w:color w:val="auto"/>
          <w:spacing w:val="6"/>
          <w:sz w:val="32"/>
          <w:szCs w:val="32"/>
          <w:highlight w:val="none"/>
        </w:rPr>
      </w:pPr>
    </w:p>
    <w:p w14:paraId="697F3693">
      <w:pPr>
        <w:autoSpaceDE w:val="0"/>
        <w:autoSpaceDN w:val="0"/>
        <w:jc w:val="center"/>
        <w:rPr>
          <w:rFonts w:ascii="仿宋" w:hAnsi="仿宋" w:eastAsia="仿宋" w:cs="仿宋"/>
          <w:b/>
          <w:color w:val="auto"/>
          <w:spacing w:val="6"/>
          <w:sz w:val="32"/>
          <w:szCs w:val="32"/>
          <w:highlight w:val="none"/>
        </w:rPr>
      </w:pPr>
    </w:p>
    <w:p w14:paraId="24EFC9B9">
      <w:pPr>
        <w:autoSpaceDE w:val="0"/>
        <w:autoSpaceDN w:val="0"/>
        <w:jc w:val="center"/>
        <w:rPr>
          <w:rFonts w:ascii="仿宋" w:hAnsi="仿宋" w:eastAsia="仿宋" w:cs="仿宋"/>
          <w:b/>
          <w:color w:val="auto"/>
          <w:spacing w:val="6"/>
          <w:sz w:val="32"/>
          <w:szCs w:val="32"/>
          <w:highlight w:val="none"/>
        </w:rPr>
      </w:pPr>
    </w:p>
    <w:p w14:paraId="4E7FEEE4">
      <w:pPr>
        <w:autoSpaceDE w:val="0"/>
        <w:autoSpaceDN w:val="0"/>
        <w:jc w:val="center"/>
        <w:rPr>
          <w:rFonts w:ascii="仿宋" w:hAnsi="仿宋" w:eastAsia="仿宋" w:cs="仿宋"/>
          <w:b/>
          <w:color w:val="auto"/>
          <w:spacing w:val="6"/>
          <w:sz w:val="32"/>
          <w:szCs w:val="32"/>
          <w:highlight w:val="none"/>
        </w:rPr>
      </w:pPr>
    </w:p>
    <w:p w14:paraId="007B634E">
      <w:pPr>
        <w:autoSpaceDE w:val="0"/>
        <w:autoSpaceDN w:val="0"/>
        <w:jc w:val="center"/>
        <w:rPr>
          <w:rFonts w:ascii="仿宋" w:hAnsi="仿宋" w:eastAsia="仿宋" w:cs="仿宋"/>
          <w:b/>
          <w:color w:val="auto"/>
          <w:spacing w:val="6"/>
          <w:sz w:val="32"/>
          <w:szCs w:val="32"/>
          <w:highlight w:val="none"/>
        </w:rPr>
      </w:pPr>
    </w:p>
    <w:p w14:paraId="0C64EE07">
      <w:pPr>
        <w:autoSpaceDE w:val="0"/>
        <w:autoSpaceDN w:val="0"/>
        <w:jc w:val="center"/>
        <w:rPr>
          <w:rFonts w:ascii="仿宋" w:hAnsi="仿宋" w:eastAsia="仿宋" w:cs="仿宋"/>
          <w:b/>
          <w:color w:val="auto"/>
          <w:spacing w:val="6"/>
          <w:sz w:val="32"/>
          <w:szCs w:val="32"/>
          <w:highlight w:val="none"/>
        </w:rPr>
      </w:pPr>
    </w:p>
    <w:p w14:paraId="60A861A5">
      <w:pPr>
        <w:autoSpaceDE w:val="0"/>
        <w:autoSpaceDN w:val="0"/>
        <w:jc w:val="center"/>
        <w:rPr>
          <w:rFonts w:ascii="仿宋" w:hAnsi="仿宋" w:eastAsia="仿宋" w:cs="仿宋"/>
          <w:b/>
          <w:color w:val="auto"/>
          <w:spacing w:val="6"/>
          <w:sz w:val="32"/>
          <w:szCs w:val="32"/>
          <w:highlight w:val="none"/>
        </w:rPr>
      </w:pPr>
    </w:p>
    <w:p w14:paraId="206B45FA">
      <w:pPr>
        <w:autoSpaceDE w:val="0"/>
        <w:autoSpaceDN w:val="0"/>
        <w:jc w:val="center"/>
        <w:rPr>
          <w:rFonts w:ascii="仿宋" w:hAnsi="仿宋" w:eastAsia="仿宋" w:cs="仿宋"/>
          <w:b/>
          <w:color w:val="auto"/>
          <w:spacing w:val="6"/>
          <w:sz w:val="32"/>
          <w:szCs w:val="32"/>
          <w:highlight w:val="none"/>
        </w:rPr>
      </w:pPr>
    </w:p>
    <w:p w14:paraId="73FEB4F0">
      <w:pPr>
        <w:autoSpaceDE w:val="0"/>
        <w:autoSpaceDN w:val="0"/>
        <w:jc w:val="center"/>
        <w:rPr>
          <w:rFonts w:ascii="仿宋" w:hAnsi="仿宋" w:eastAsia="仿宋" w:cs="仿宋"/>
          <w:b/>
          <w:color w:val="auto"/>
          <w:spacing w:val="6"/>
          <w:sz w:val="32"/>
          <w:szCs w:val="32"/>
          <w:highlight w:val="none"/>
        </w:rPr>
      </w:pPr>
    </w:p>
    <w:p w14:paraId="74D9F1A0">
      <w:pPr>
        <w:autoSpaceDE w:val="0"/>
        <w:autoSpaceDN w:val="0"/>
        <w:jc w:val="center"/>
        <w:rPr>
          <w:rFonts w:ascii="仿宋" w:hAnsi="仿宋" w:eastAsia="仿宋" w:cs="仿宋"/>
          <w:b/>
          <w:color w:val="auto"/>
          <w:spacing w:val="6"/>
          <w:sz w:val="32"/>
          <w:szCs w:val="32"/>
          <w:highlight w:val="none"/>
        </w:rPr>
      </w:pPr>
    </w:p>
    <w:p w14:paraId="742B6265">
      <w:pPr>
        <w:autoSpaceDE w:val="0"/>
        <w:autoSpaceDN w:val="0"/>
        <w:jc w:val="center"/>
        <w:rPr>
          <w:rFonts w:ascii="仿宋" w:hAnsi="仿宋" w:eastAsia="仿宋" w:cs="仿宋"/>
          <w:b/>
          <w:color w:val="auto"/>
          <w:spacing w:val="6"/>
          <w:sz w:val="32"/>
          <w:szCs w:val="32"/>
          <w:highlight w:val="none"/>
        </w:rPr>
      </w:pPr>
    </w:p>
    <w:p w14:paraId="6304FA0A">
      <w:pPr>
        <w:autoSpaceDE w:val="0"/>
        <w:autoSpaceDN w:val="0"/>
        <w:jc w:val="center"/>
        <w:rPr>
          <w:rFonts w:ascii="仿宋" w:hAnsi="仿宋" w:eastAsia="仿宋" w:cs="仿宋"/>
          <w:b/>
          <w:color w:val="auto"/>
          <w:spacing w:val="6"/>
          <w:sz w:val="32"/>
          <w:szCs w:val="32"/>
          <w:highlight w:val="none"/>
        </w:rPr>
      </w:pPr>
    </w:p>
    <w:p w14:paraId="3C7E7046">
      <w:pPr>
        <w:autoSpaceDE w:val="0"/>
        <w:autoSpaceDN w:val="0"/>
        <w:jc w:val="center"/>
        <w:rPr>
          <w:rFonts w:ascii="仿宋" w:hAnsi="仿宋" w:eastAsia="仿宋" w:cs="仿宋"/>
          <w:b/>
          <w:color w:val="auto"/>
          <w:spacing w:val="6"/>
          <w:sz w:val="32"/>
          <w:szCs w:val="32"/>
          <w:highlight w:val="none"/>
        </w:rPr>
      </w:pPr>
    </w:p>
    <w:p w14:paraId="06B7865D">
      <w:pPr>
        <w:autoSpaceDE w:val="0"/>
        <w:autoSpaceDN w:val="0"/>
        <w:jc w:val="center"/>
        <w:rPr>
          <w:rFonts w:ascii="仿宋" w:hAnsi="仿宋" w:eastAsia="仿宋" w:cs="仿宋"/>
          <w:b/>
          <w:color w:val="auto"/>
          <w:spacing w:val="6"/>
          <w:sz w:val="32"/>
          <w:szCs w:val="32"/>
          <w:highlight w:val="none"/>
        </w:rPr>
      </w:pPr>
    </w:p>
    <w:p w14:paraId="43A10212">
      <w:pPr>
        <w:autoSpaceDE w:val="0"/>
        <w:autoSpaceDN w:val="0"/>
        <w:jc w:val="center"/>
        <w:rPr>
          <w:rFonts w:ascii="仿宋" w:hAnsi="仿宋" w:eastAsia="仿宋" w:cs="仿宋"/>
          <w:b/>
          <w:color w:val="auto"/>
          <w:spacing w:val="6"/>
          <w:sz w:val="32"/>
          <w:szCs w:val="32"/>
          <w:highlight w:val="none"/>
        </w:rPr>
      </w:pPr>
    </w:p>
    <w:p w14:paraId="367E38E4">
      <w:pPr>
        <w:snapToGrid w:val="0"/>
        <w:spacing w:line="360" w:lineRule="auto"/>
        <w:ind w:firstLine="3666" w:firstLineChars="1100"/>
        <w:rPr>
          <w:rFonts w:ascii="仿宋" w:hAnsi="仿宋" w:eastAsia="仿宋" w:cs="仿宋"/>
          <w:b/>
          <w:color w:val="auto"/>
          <w:spacing w:val="6"/>
          <w:sz w:val="32"/>
          <w:szCs w:val="32"/>
          <w:highlight w:val="none"/>
        </w:rPr>
      </w:pPr>
    </w:p>
    <w:p w14:paraId="7CBDA82B">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FD16093">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BEF2DE6">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E2564E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CF89BA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AE6DD5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0649740">
      <w:pPr>
        <w:pStyle w:val="3"/>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7CACF2C8">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6D2D391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D4DF3DF">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773FB8C">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14EC36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100AC3E">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0A0D2A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438F1F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9E7108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4C806D9">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46CDF69">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543C21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45B08C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793165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DECDAF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3E34013">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499E83B">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75559BC">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1A0124F">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086BF8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DCAB47E">
      <w:pPr>
        <w:autoSpaceDE w:val="0"/>
        <w:autoSpaceDN w:val="0"/>
        <w:jc w:val="center"/>
        <w:rPr>
          <w:rFonts w:ascii="仿宋" w:hAnsi="仿宋" w:eastAsia="仿宋" w:cs="仿宋"/>
          <w:b/>
          <w:color w:val="auto"/>
          <w:spacing w:val="6"/>
          <w:sz w:val="32"/>
          <w:szCs w:val="32"/>
          <w:highlight w:val="none"/>
        </w:rPr>
      </w:pPr>
    </w:p>
    <w:p w14:paraId="2DD82F83">
      <w:pPr>
        <w:autoSpaceDE w:val="0"/>
        <w:autoSpaceDN w:val="0"/>
        <w:jc w:val="center"/>
        <w:rPr>
          <w:rFonts w:ascii="仿宋" w:hAnsi="仿宋" w:eastAsia="仿宋" w:cs="仿宋"/>
          <w:b/>
          <w:color w:val="auto"/>
          <w:spacing w:val="6"/>
          <w:sz w:val="32"/>
          <w:szCs w:val="32"/>
          <w:highlight w:val="none"/>
        </w:rPr>
      </w:pPr>
    </w:p>
    <w:p w14:paraId="3E677DE8">
      <w:pPr>
        <w:autoSpaceDE w:val="0"/>
        <w:autoSpaceDN w:val="0"/>
        <w:jc w:val="center"/>
        <w:rPr>
          <w:rFonts w:ascii="仿宋" w:hAnsi="仿宋" w:eastAsia="仿宋" w:cs="仿宋"/>
          <w:b/>
          <w:color w:val="auto"/>
          <w:spacing w:val="6"/>
          <w:sz w:val="32"/>
          <w:szCs w:val="32"/>
          <w:highlight w:val="none"/>
        </w:rPr>
      </w:pPr>
    </w:p>
    <w:p w14:paraId="3BD7803B">
      <w:pPr>
        <w:pStyle w:val="79"/>
        <w:rPr>
          <w:rFonts w:ascii="仿宋" w:hAnsi="仿宋" w:eastAsia="仿宋" w:cs="仿宋"/>
          <w:b/>
          <w:color w:val="auto"/>
          <w:spacing w:val="6"/>
          <w:sz w:val="32"/>
          <w:szCs w:val="32"/>
          <w:highlight w:val="none"/>
        </w:rPr>
      </w:pPr>
    </w:p>
    <w:p w14:paraId="319235CD">
      <w:pPr>
        <w:pStyle w:val="80"/>
        <w:rPr>
          <w:rFonts w:ascii="仿宋" w:hAnsi="仿宋" w:eastAsia="仿宋" w:cs="仿宋"/>
          <w:b/>
          <w:color w:val="auto"/>
          <w:spacing w:val="6"/>
          <w:sz w:val="32"/>
          <w:szCs w:val="32"/>
          <w:highlight w:val="none"/>
        </w:rPr>
      </w:pPr>
    </w:p>
    <w:p w14:paraId="5E1FCDAE">
      <w:pPr>
        <w:rPr>
          <w:rFonts w:ascii="仿宋" w:hAnsi="仿宋" w:eastAsia="仿宋" w:cs="仿宋"/>
          <w:b/>
          <w:color w:val="auto"/>
          <w:spacing w:val="6"/>
          <w:sz w:val="32"/>
          <w:szCs w:val="32"/>
          <w:highlight w:val="none"/>
        </w:rPr>
      </w:pPr>
    </w:p>
    <w:p w14:paraId="201718C9">
      <w:pPr>
        <w:pStyle w:val="79"/>
        <w:rPr>
          <w:rFonts w:ascii="仿宋" w:hAnsi="仿宋" w:eastAsia="仿宋" w:cs="仿宋"/>
          <w:b/>
          <w:color w:val="auto"/>
          <w:spacing w:val="6"/>
          <w:sz w:val="32"/>
          <w:szCs w:val="32"/>
          <w:highlight w:val="none"/>
        </w:rPr>
      </w:pPr>
    </w:p>
    <w:p w14:paraId="652C7795">
      <w:pPr>
        <w:pStyle w:val="80"/>
        <w:rPr>
          <w:rFonts w:ascii="仿宋" w:hAnsi="仿宋" w:eastAsia="仿宋" w:cs="仿宋"/>
          <w:b/>
          <w:color w:val="auto"/>
          <w:spacing w:val="6"/>
          <w:sz w:val="32"/>
          <w:szCs w:val="32"/>
          <w:highlight w:val="none"/>
        </w:rPr>
      </w:pPr>
    </w:p>
    <w:p w14:paraId="59C0D4D7">
      <w:pPr>
        <w:rPr>
          <w:rFonts w:ascii="仿宋" w:hAnsi="仿宋" w:eastAsia="仿宋" w:cs="仿宋"/>
          <w:b/>
          <w:color w:val="auto"/>
          <w:spacing w:val="6"/>
          <w:sz w:val="32"/>
          <w:szCs w:val="32"/>
          <w:highlight w:val="none"/>
        </w:rPr>
      </w:pPr>
    </w:p>
    <w:p w14:paraId="223A8F50">
      <w:pPr>
        <w:pStyle w:val="79"/>
        <w:rPr>
          <w:rFonts w:ascii="仿宋" w:hAnsi="仿宋" w:eastAsia="仿宋" w:cs="仿宋"/>
          <w:b/>
          <w:color w:val="auto"/>
          <w:spacing w:val="6"/>
          <w:sz w:val="32"/>
          <w:szCs w:val="32"/>
          <w:highlight w:val="none"/>
        </w:rPr>
      </w:pPr>
    </w:p>
    <w:p w14:paraId="017351CE">
      <w:pPr>
        <w:pStyle w:val="80"/>
        <w:rPr>
          <w:rFonts w:ascii="仿宋" w:hAnsi="仿宋" w:eastAsia="仿宋" w:cs="仿宋"/>
          <w:b/>
          <w:color w:val="auto"/>
          <w:spacing w:val="6"/>
          <w:sz w:val="32"/>
          <w:szCs w:val="32"/>
          <w:highlight w:val="none"/>
        </w:rPr>
      </w:pPr>
    </w:p>
    <w:p w14:paraId="120D0C55">
      <w:pPr>
        <w:rPr>
          <w:rFonts w:ascii="仿宋" w:hAnsi="仿宋" w:eastAsia="仿宋" w:cs="仿宋"/>
          <w:b/>
          <w:color w:val="auto"/>
          <w:spacing w:val="6"/>
          <w:sz w:val="32"/>
          <w:szCs w:val="32"/>
          <w:highlight w:val="none"/>
        </w:rPr>
      </w:pPr>
    </w:p>
    <w:p w14:paraId="75145568">
      <w:pPr>
        <w:pStyle w:val="79"/>
        <w:rPr>
          <w:rFonts w:ascii="仿宋" w:hAnsi="仿宋" w:eastAsia="仿宋" w:cs="仿宋"/>
          <w:b/>
          <w:color w:val="auto"/>
          <w:spacing w:val="6"/>
          <w:sz w:val="32"/>
          <w:szCs w:val="32"/>
          <w:highlight w:val="none"/>
        </w:rPr>
      </w:pPr>
    </w:p>
    <w:p w14:paraId="46471EBA">
      <w:pPr>
        <w:pStyle w:val="80"/>
        <w:rPr>
          <w:rFonts w:ascii="仿宋" w:hAnsi="仿宋" w:eastAsia="仿宋" w:cs="仿宋"/>
          <w:b/>
          <w:color w:val="auto"/>
          <w:spacing w:val="6"/>
          <w:sz w:val="32"/>
          <w:szCs w:val="32"/>
          <w:highlight w:val="none"/>
        </w:rPr>
      </w:pPr>
    </w:p>
    <w:p w14:paraId="7347C321">
      <w:pPr>
        <w:rPr>
          <w:rFonts w:ascii="仿宋" w:hAnsi="仿宋" w:eastAsia="仿宋" w:cs="仿宋"/>
          <w:b/>
          <w:color w:val="auto"/>
          <w:spacing w:val="6"/>
          <w:sz w:val="32"/>
          <w:szCs w:val="32"/>
          <w:highlight w:val="none"/>
        </w:rPr>
      </w:pPr>
    </w:p>
    <w:p w14:paraId="29C180BC">
      <w:pPr>
        <w:pStyle w:val="79"/>
        <w:rPr>
          <w:rFonts w:ascii="仿宋" w:hAnsi="仿宋" w:eastAsia="仿宋" w:cs="仿宋"/>
          <w:b/>
          <w:color w:val="auto"/>
          <w:spacing w:val="6"/>
          <w:sz w:val="32"/>
          <w:szCs w:val="32"/>
          <w:highlight w:val="none"/>
        </w:rPr>
      </w:pPr>
    </w:p>
    <w:p w14:paraId="76787CAC">
      <w:pPr>
        <w:pStyle w:val="80"/>
        <w:rPr>
          <w:rFonts w:ascii="仿宋" w:hAnsi="仿宋" w:eastAsia="仿宋" w:cs="仿宋"/>
          <w:b/>
          <w:color w:val="auto"/>
          <w:spacing w:val="6"/>
          <w:sz w:val="32"/>
          <w:szCs w:val="32"/>
          <w:highlight w:val="none"/>
        </w:rPr>
      </w:pPr>
    </w:p>
    <w:p w14:paraId="10217A21">
      <w:pPr>
        <w:rPr>
          <w:rFonts w:ascii="仿宋" w:hAnsi="仿宋" w:eastAsia="仿宋" w:cs="仿宋"/>
          <w:b/>
          <w:color w:val="auto"/>
          <w:spacing w:val="6"/>
          <w:sz w:val="32"/>
          <w:szCs w:val="32"/>
          <w:highlight w:val="none"/>
        </w:rPr>
      </w:pPr>
    </w:p>
    <w:p w14:paraId="56D1995F">
      <w:pPr>
        <w:pStyle w:val="79"/>
        <w:rPr>
          <w:rFonts w:ascii="仿宋" w:hAnsi="仿宋" w:eastAsia="仿宋" w:cs="仿宋"/>
          <w:b/>
          <w:color w:val="auto"/>
          <w:spacing w:val="6"/>
          <w:sz w:val="32"/>
          <w:szCs w:val="32"/>
          <w:highlight w:val="none"/>
        </w:rPr>
      </w:pPr>
    </w:p>
    <w:p w14:paraId="18F5AE70">
      <w:pPr>
        <w:pStyle w:val="80"/>
        <w:rPr>
          <w:rFonts w:ascii="仿宋" w:hAnsi="仿宋" w:eastAsia="仿宋" w:cs="仿宋"/>
          <w:b/>
          <w:color w:val="auto"/>
          <w:spacing w:val="6"/>
          <w:sz w:val="32"/>
          <w:szCs w:val="32"/>
          <w:highlight w:val="none"/>
        </w:rPr>
      </w:pPr>
    </w:p>
    <w:p w14:paraId="2251CA84">
      <w:pPr>
        <w:rPr>
          <w:rFonts w:ascii="仿宋" w:hAnsi="仿宋" w:eastAsia="仿宋" w:cs="仿宋"/>
          <w:b/>
          <w:color w:val="auto"/>
          <w:spacing w:val="6"/>
          <w:sz w:val="32"/>
          <w:szCs w:val="32"/>
          <w:highlight w:val="none"/>
        </w:rPr>
      </w:pPr>
    </w:p>
    <w:p w14:paraId="1837F970">
      <w:pPr>
        <w:pStyle w:val="79"/>
        <w:rPr>
          <w:color w:val="auto"/>
          <w:highlight w:val="none"/>
        </w:rPr>
      </w:pPr>
    </w:p>
    <w:p w14:paraId="755C9CAD">
      <w:pPr>
        <w:autoSpaceDE w:val="0"/>
        <w:autoSpaceDN w:val="0"/>
        <w:jc w:val="center"/>
        <w:rPr>
          <w:rFonts w:ascii="仿宋" w:hAnsi="仿宋" w:eastAsia="仿宋" w:cs="仿宋"/>
          <w:b/>
          <w:color w:val="auto"/>
          <w:spacing w:val="6"/>
          <w:sz w:val="32"/>
          <w:szCs w:val="32"/>
          <w:highlight w:val="none"/>
        </w:rPr>
      </w:pPr>
    </w:p>
    <w:p w14:paraId="28D56CF7">
      <w:pPr>
        <w:autoSpaceDE w:val="0"/>
        <w:autoSpaceDN w:val="0"/>
        <w:jc w:val="center"/>
        <w:rPr>
          <w:rFonts w:ascii="仿宋" w:hAnsi="仿宋" w:eastAsia="仿宋" w:cs="仿宋"/>
          <w:b/>
          <w:color w:val="auto"/>
          <w:spacing w:val="6"/>
          <w:sz w:val="32"/>
          <w:szCs w:val="32"/>
          <w:highlight w:val="none"/>
        </w:rPr>
      </w:pPr>
    </w:p>
    <w:p w14:paraId="609578C6">
      <w:pPr>
        <w:autoSpaceDE w:val="0"/>
        <w:autoSpaceDN w:val="0"/>
        <w:jc w:val="center"/>
        <w:rPr>
          <w:rFonts w:ascii="仿宋" w:hAnsi="仿宋" w:eastAsia="仿宋" w:cs="仿宋"/>
          <w:b/>
          <w:color w:val="auto"/>
          <w:spacing w:val="6"/>
          <w:sz w:val="32"/>
          <w:szCs w:val="32"/>
          <w:highlight w:val="none"/>
        </w:rPr>
      </w:pPr>
    </w:p>
    <w:p w14:paraId="2643750E">
      <w:pPr>
        <w:autoSpaceDE w:val="0"/>
        <w:autoSpaceDN w:val="0"/>
        <w:jc w:val="center"/>
        <w:rPr>
          <w:rFonts w:ascii="仿宋" w:hAnsi="仿宋" w:eastAsia="仿宋" w:cs="仿宋"/>
          <w:b/>
          <w:color w:val="auto"/>
          <w:spacing w:val="6"/>
          <w:sz w:val="32"/>
          <w:szCs w:val="32"/>
          <w:highlight w:val="none"/>
        </w:rPr>
      </w:pPr>
    </w:p>
    <w:p w14:paraId="7EE4A1E4">
      <w:pPr>
        <w:spacing w:line="360" w:lineRule="auto"/>
        <w:jc w:val="center"/>
        <w:rPr>
          <w:rFonts w:ascii="仿宋" w:hAnsi="仿宋" w:eastAsia="仿宋" w:cs="仿宋"/>
          <w:b/>
          <w:color w:val="auto"/>
          <w:spacing w:val="6"/>
          <w:sz w:val="32"/>
          <w:szCs w:val="32"/>
          <w:highlight w:val="none"/>
        </w:rPr>
      </w:pPr>
    </w:p>
    <w:p w14:paraId="7131651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7" w:name="OLE_LINK14"/>
      <w:bookmarkStart w:id="168" w:name="OLE_LINK13"/>
      <w:r>
        <w:rPr>
          <w:rFonts w:hint="eastAsia" w:ascii="仿宋" w:hAnsi="仿宋" w:eastAsia="仿宋" w:cs="仿宋"/>
          <w:b/>
          <w:color w:val="auto"/>
          <w:spacing w:val="6"/>
          <w:sz w:val="32"/>
          <w:szCs w:val="32"/>
          <w:highlight w:val="none"/>
        </w:rPr>
        <w:t>残疾人福利性单位声明函</w:t>
      </w:r>
    </w:p>
    <w:bookmarkEnd w:id="167"/>
    <w:bookmarkEnd w:id="168"/>
    <w:p w14:paraId="241825E6">
      <w:pPr>
        <w:spacing w:line="360" w:lineRule="auto"/>
        <w:rPr>
          <w:rFonts w:ascii="仿宋" w:hAnsi="仿宋" w:eastAsia="仿宋" w:cs="仿宋"/>
          <w:b/>
          <w:color w:val="auto"/>
          <w:spacing w:val="6"/>
          <w:sz w:val="30"/>
          <w:szCs w:val="30"/>
          <w:highlight w:val="none"/>
        </w:rPr>
      </w:pPr>
    </w:p>
    <w:p w14:paraId="3D82576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FF2CBB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851F56E">
      <w:pPr>
        <w:spacing w:line="360" w:lineRule="auto"/>
        <w:ind w:firstLine="480" w:firstLineChars="200"/>
        <w:rPr>
          <w:rFonts w:ascii="仿宋" w:hAnsi="仿宋" w:eastAsia="仿宋" w:cs="仿宋"/>
          <w:color w:val="auto"/>
          <w:sz w:val="24"/>
          <w:highlight w:val="none"/>
        </w:rPr>
      </w:pPr>
    </w:p>
    <w:p w14:paraId="79206EEA">
      <w:pPr>
        <w:spacing w:line="360" w:lineRule="auto"/>
        <w:ind w:firstLine="480" w:firstLineChars="200"/>
        <w:rPr>
          <w:rFonts w:ascii="仿宋" w:hAnsi="仿宋" w:eastAsia="仿宋" w:cs="仿宋"/>
          <w:color w:val="auto"/>
          <w:sz w:val="24"/>
          <w:highlight w:val="none"/>
        </w:rPr>
      </w:pPr>
    </w:p>
    <w:p w14:paraId="479FF255">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19E7D7F">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131FA0A">
      <w:pPr>
        <w:autoSpaceDE w:val="0"/>
        <w:autoSpaceDN w:val="0"/>
        <w:jc w:val="center"/>
        <w:rPr>
          <w:rFonts w:ascii="仿宋" w:hAnsi="仿宋" w:eastAsia="仿宋" w:cs="仿宋"/>
          <w:b/>
          <w:color w:val="auto"/>
          <w:spacing w:val="6"/>
          <w:sz w:val="32"/>
          <w:szCs w:val="32"/>
          <w:highlight w:val="none"/>
        </w:rPr>
      </w:pPr>
    </w:p>
    <w:p w14:paraId="7B17FAC8">
      <w:pPr>
        <w:autoSpaceDE w:val="0"/>
        <w:autoSpaceDN w:val="0"/>
        <w:jc w:val="center"/>
        <w:rPr>
          <w:rFonts w:ascii="仿宋" w:hAnsi="仿宋" w:eastAsia="仿宋" w:cs="仿宋"/>
          <w:b/>
          <w:color w:val="auto"/>
          <w:spacing w:val="6"/>
          <w:sz w:val="32"/>
          <w:szCs w:val="32"/>
          <w:highlight w:val="none"/>
        </w:rPr>
      </w:pPr>
    </w:p>
    <w:p w14:paraId="5C9EB122">
      <w:pPr>
        <w:autoSpaceDE w:val="0"/>
        <w:autoSpaceDN w:val="0"/>
        <w:jc w:val="center"/>
        <w:rPr>
          <w:rFonts w:ascii="仿宋" w:hAnsi="仿宋" w:eastAsia="仿宋" w:cs="仿宋"/>
          <w:b/>
          <w:color w:val="auto"/>
          <w:spacing w:val="6"/>
          <w:sz w:val="32"/>
          <w:szCs w:val="32"/>
          <w:highlight w:val="none"/>
        </w:rPr>
      </w:pPr>
    </w:p>
    <w:p w14:paraId="29A18A8B">
      <w:pPr>
        <w:autoSpaceDE w:val="0"/>
        <w:autoSpaceDN w:val="0"/>
        <w:jc w:val="center"/>
        <w:rPr>
          <w:rFonts w:ascii="仿宋" w:hAnsi="仿宋" w:eastAsia="仿宋" w:cs="仿宋"/>
          <w:b/>
          <w:color w:val="auto"/>
          <w:spacing w:val="6"/>
          <w:sz w:val="32"/>
          <w:szCs w:val="32"/>
          <w:highlight w:val="none"/>
        </w:rPr>
      </w:pPr>
    </w:p>
    <w:p w14:paraId="54A5AD3D">
      <w:pPr>
        <w:autoSpaceDE w:val="0"/>
        <w:autoSpaceDN w:val="0"/>
        <w:jc w:val="center"/>
        <w:rPr>
          <w:rFonts w:ascii="仿宋" w:hAnsi="仿宋" w:eastAsia="仿宋" w:cs="仿宋"/>
          <w:b/>
          <w:color w:val="auto"/>
          <w:spacing w:val="6"/>
          <w:sz w:val="32"/>
          <w:szCs w:val="32"/>
          <w:highlight w:val="none"/>
        </w:rPr>
      </w:pPr>
    </w:p>
    <w:p w14:paraId="17430D45">
      <w:pPr>
        <w:autoSpaceDE w:val="0"/>
        <w:autoSpaceDN w:val="0"/>
        <w:jc w:val="center"/>
        <w:rPr>
          <w:rFonts w:ascii="仿宋" w:hAnsi="仿宋" w:eastAsia="仿宋" w:cs="仿宋"/>
          <w:b/>
          <w:color w:val="auto"/>
          <w:spacing w:val="6"/>
          <w:sz w:val="32"/>
          <w:szCs w:val="32"/>
          <w:highlight w:val="none"/>
        </w:rPr>
      </w:pPr>
    </w:p>
    <w:p w14:paraId="182D9598">
      <w:pPr>
        <w:autoSpaceDE w:val="0"/>
        <w:autoSpaceDN w:val="0"/>
        <w:jc w:val="center"/>
        <w:rPr>
          <w:rFonts w:ascii="仿宋" w:hAnsi="仿宋" w:eastAsia="仿宋" w:cs="仿宋"/>
          <w:b/>
          <w:color w:val="auto"/>
          <w:spacing w:val="6"/>
          <w:sz w:val="32"/>
          <w:szCs w:val="32"/>
          <w:highlight w:val="none"/>
        </w:rPr>
      </w:pPr>
    </w:p>
    <w:p w14:paraId="18FE9E23">
      <w:pPr>
        <w:autoSpaceDE w:val="0"/>
        <w:autoSpaceDN w:val="0"/>
        <w:jc w:val="center"/>
        <w:rPr>
          <w:rFonts w:ascii="仿宋" w:hAnsi="仿宋" w:eastAsia="仿宋" w:cs="仿宋"/>
          <w:b/>
          <w:color w:val="auto"/>
          <w:spacing w:val="6"/>
          <w:sz w:val="32"/>
          <w:szCs w:val="32"/>
          <w:highlight w:val="none"/>
        </w:rPr>
      </w:pPr>
    </w:p>
    <w:p w14:paraId="487AC263">
      <w:pPr>
        <w:autoSpaceDE w:val="0"/>
        <w:autoSpaceDN w:val="0"/>
        <w:jc w:val="center"/>
        <w:rPr>
          <w:rFonts w:ascii="仿宋" w:hAnsi="仿宋" w:eastAsia="仿宋" w:cs="仿宋"/>
          <w:b/>
          <w:color w:val="auto"/>
          <w:spacing w:val="6"/>
          <w:sz w:val="32"/>
          <w:szCs w:val="32"/>
          <w:highlight w:val="none"/>
        </w:rPr>
      </w:pPr>
    </w:p>
    <w:p w14:paraId="5F78973C">
      <w:pPr>
        <w:autoSpaceDE w:val="0"/>
        <w:autoSpaceDN w:val="0"/>
        <w:jc w:val="center"/>
        <w:rPr>
          <w:rFonts w:ascii="仿宋" w:hAnsi="仿宋" w:eastAsia="仿宋" w:cs="仿宋"/>
          <w:b/>
          <w:color w:val="auto"/>
          <w:spacing w:val="6"/>
          <w:sz w:val="32"/>
          <w:szCs w:val="32"/>
          <w:highlight w:val="none"/>
        </w:rPr>
      </w:pPr>
    </w:p>
    <w:p w14:paraId="6E2AEBC3">
      <w:pPr>
        <w:autoSpaceDE w:val="0"/>
        <w:autoSpaceDN w:val="0"/>
        <w:jc w:val="center"/>
        <w:rPr>
          <w:rFonts w:ascii="仿宋" w:hAnsi="仿宋" w:eastAsia="仿宋" w:cs="仿宋"/>
          <w:b/>
          <w:color w:val="auto"/>
          <w:spacing w:val="6"/>
          <w:sz w:val="32"/>
          <w:szCs w:val="32"/>
          <w:highlight w:val="none"/>
        </w:rPr>
      </w:pPr>
    </w:p>
    <w:p w14:paraId="5FEF91F0">
      <w:pPr>
        <w:autoSpaceDE w:val="0"/>
        <w:autoSpaceDN w:val="0"/>
        <w:jc w:val="center"/>
        <w:rPr>
          <w:rFonts w:ascii="仿宋" w:hAnsi="仿宋" w:eastAsia="仿宋" w:cs="仿宋"/>
          <w:b/>
          <w:color w:val="auto"/>
          <w:spacing w:val="6"/>
          <w:sz w:val="32"/>
          <w:szCs w:val="32"/>
          <w:highlight w:val="none"/>
        </w:rPr>
      </w:pPr>
    </w:p>
    <w:p w14:paraId="6D433D73">
      <w:pPr>
        <w:autoSpaceDE w:val="0"/>
        <w:autoSpaceDN w:val="0"/>
        <w:jc w:val="center"/>
        <w:rPr>
          <w:rFonts w:ascii="仿宋" w:hAnsi="仿宋" w:eastAsia="仿宋" w:cs="仿宋"/>
          <w:b/>
          <w:color w:val="auto"/>
          <w:spacing w:val="6"/>
          <w:sz w:val="32"/>
          <w:szCs w:val="32"/>
          <w:highlight w:val="none"/>
        </w:rPr>
      </w:pPr>
    </w:p>
    <w:p w14:paraId="248330A4">
      <w:pPr>
        <w:autoSpaceDE w:val="0"/>
        <w:autoSpaceDN w:val="0"/>
        <w:jc w:val="center"/>
        <w:rPr>
          <w:rFonts w:ascii="仿宋" w:hAnsi="仿宋" w:eastAsia="仿宋" w:cs="仿宋"/>
          <w:b/>
          <w:color w:val="auto"/>
          <w:spacing w:val="6"/>
          <w:sz w:val="32"/>
          <w:szCs w:val="32"/>
          <w:highlight w:val="none"/>
        </w:rPr>
      </w:pPr>
    </w:p>
    <w:p w14:paraId="216061F4">
      <w:pPr>
        <w:autoSpaceDE w:val="0"/>
        <w:autoSpaceDN w:val="0"/>
        <w:jc w:val="center"/>
        <w:rPr>
          <w:rFonts w:ascii="仿宋" w:hAnsi="仿宋" w:eastAsia="仿宋" w:cs="仿宋"/>
          <w:b/>
          <w:color w:val="auto"/>
          <w:spacing w:val="6"/>
          <w:sz w:val="32"/>
          <w:szCs w:val="32"/>
          <w:highlight w:val="none"/>
        </w:rPr>
      </w:pPr>
    </w:p>
    <w:p w14:paraId="6487330A">
      <w:pPr>
        <w:pStyle w:val="23"/>
        <w:rPr>
          <w:rFonts w:ascii="仿宋" w:hAnsi="仿宋" w:eastAsia="仿宋" w:cs="仿宋"/>
          <w:color w:val="auto"/>
          <w:highlight w:val="none"/>
        </w:rPr>
      </w:pPr>
    </w:p>
    <w:p w14:paraId="52FBB866">
      <w:pPr>
        <w:snapToGrid w:val="0"/>
        <w:spacing w:line="360" w:lineRule="auto"/>
        <w:rPr>
          <w:rFonts w:ascii="仿宋" w:hAnsi="仿宋" w:eastAsia="仿宋" w:cs="仿宋"/>
          <w:b/>
          <w:color w:val="auto"/>
          <w:kern w:val="0"/>
          <w:sz w:val="32"/>
          <w:szCs w:val="32"/>
          <w:highlight w:val="none"/>
        </w:rPr>
      </w:pPr>
    </w:p>
    <w:p w14:paraId="20B75D68">
      <w:pPr>
        <w:snapToGrid w:val="0"/>
        <w:spacing w:line="360" w:lineRule="auto"/>
        <w:rPr>
          <w:rFonts w:ascii="仿宋" w:hAnsi="仿宋" w:eastAsia="仿宋" w:cs="仿宋"/>
          <w:b/>
          <w:color w:val="auto"/>
          <w:kern w:val="0"/>
          <w:sz w:val="32"/>
          <w:szCs w:val="32"/>
          <w:highlight w:val="none"/>
        </w:rPr>
      </w:pPr>
    </w:p>
    <w:p w14:paraId="58E8B166">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0C941502">
      <w:pPr>
        <w:spacing w:line="360" w:lineRule="auto"/>
        <w:jc w:val="center"/>
        <w:rPr>
          <w:rFonts w:ascii="仿宋" w:hAnsi="仿宋" w:eastAsia="仿宋" w:cs="仿宋"/>
          <w:color w:val="auto"/>
          <w:sz w:val="24"/>
          <w:highlight w:val="none"/>
          <w:u w:val="single"/>
        </w:rPr>
      </w:pPr>
    </w:p>
    <w:p w14:paraId="6C7064DB">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B7B469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0CAA23D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5B9AD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6FC4B7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24C485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566E98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C684E49">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C8CCFF4">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14B67FE1">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864D5AE">
      <w:pPr>
        <w:spacing w:line="360" w:lineRule="auto"/>
        <w:ind w:right="420"/>
        <w:rPr>
          <w:rFonts w:ascii="仿宋" w:hAnsi="仿宋" w:eastAsia="仿宋" w:cs="仿宋"/>
          <w:color w:val="auto"/>
          <w:sz w:val="24"/>
          <w:highlight w:val="none"/>
        </w:rPr>
      </w:pPr>
    </w:p>
    <w:p w14:paraId="5F014FB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0C06A30E">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8B8142D">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FE5F48">
      <w:pPr>
        <w:pStyle w:val="3"/>
        <w:rPr>
          <w:rFonts w:ascii="仿宋" w:eastAsia="仿宋" w:cs="仿宋"/>
          <w:color w:val="auto"/>
          <w:highlight w:val="none"/>
          <w:lang w:val="en-US"/>
        </w:rPr>
      </w:pPr>
    </w:p>
    <w:p w14:paraId="3F811853">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CE97B0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5F20182">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15A3B40">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436247B">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EDC58E8">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4B0CB01">
      <w:pPr>
        <w:pStyle w:val="23"/>
        <w:rPr>
          <w:color w:val="auto"/>
          <w:highlight w:val="none"/>
          <w:lang w:val="en-US"/>
        </w:rPr>
      </w:pPr>
    </w:p>
    <w:p w14:paraId="1302BE0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FE949F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5D867C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A29C98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2E990D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09D03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729FBB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2DE4F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5215B7A">
      <w:pPr>
        <w:widowControl/>
        <w:jc w:val="left"/>
        <w:rPr>
          <w:rFonts w:ascii="仿宋" w:hAnsi="仿宋" w:eastAsia="仿宋" w:cs="仿宋"/>
          <w:color w:val="auto"/>
          <w:kern w:val="0"/>
          <w:sz w:val="24"/>
          <w:highlight w:val="none"/>
        </w:rPr>
      </w:pPr>
    </w:p>
    <w:p w14:paraId="7CB018A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A261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9CF33B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78C872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C3C70C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CBE37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D0AF67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215A87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39EEC2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C3DB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B745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6D431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DEE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7EC3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93501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427E5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81469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2728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30AB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D6AC4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F7DE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58AC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F02E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E75D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C71A7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B21D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BE2C2C">
            <w:pPr>
              <w:widowControl/>
              <w:jc w:val="left"/>
              <w:rPr>
                <w:rFonts w:ascii="仿宋" w:hAnsi="仿宋" w:eastAsia="仿宋" w:cs="仿宋"/>
                <w:color w:val="auto"/>
                <w:kern w:val="0"/>
                <w:sz w:val="24"/>
                <w:highlight w:val="none"/>
              </w:rPr>
            </w:pPr>
          </w:p>
        </w:tc>
        <w:tc>
          <w:tcPr>
            <w:tcW w:w="1560" w:type="dxa"/>
            <w:vAlign w:val="center"/>
          </w:tcPr>
          <w:p w14:paraId="0521B1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C61E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E0E5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AF015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F590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E04A6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1352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F4E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C0977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E754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D392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212D7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8EE6F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544DA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CEE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D5A125">
            <w:pPr>
              <w:widowControl/>
              <w:jc w:val="left"/>
              <w:rPr>
                <w:rFonts w:ascii="仿宋" w:hAnsi="仿宋" w:eastAsia="仿宋" w:cs="仿宋"/>
                <w:color w:val="auto"/>
                <w:kern w:val="0"/>
                <w:sz w:val="24"/>
                <w:highlight w:val="none"/>
              </w:rPr>
            </w:pPr>
          </w:p>
        </w:tc>
        <w:tc>
          <w:tcPr>
            <w:tcW w:w="1560" w:type="dxa"/>
            <w:vAlign w:val="center"/>
          </w:tcPr>
          <w:p w14:paraId="69C101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0288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6C9A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7A840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12F89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86700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7533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15E6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F2D08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435C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5462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282B5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D0148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D918B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AA6B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C468E">
            <w:pPr>
              <w:widowControl/>
              <w:jc w:val="left"/>
              <w:rPr>
                <w:rFonts w:ascii="仿宋" w:hAnsi="仿宋" w:eastAsia="仿宋" w:cs="仿宋"/>
                <w:color w:val="auto"/>
                <w:kern w:val="0"/>
                <w:sz w:val="24"/>
                <w:highlight w:val="none"/>
              </w:rPr>
            </w:pPr>
          </w:p>
        </w:tc>
        <w:tc>
          <w:tcPr>
            <w:tcW w:w="1560" w:type="dxa"/>
            <w:vAlign w:val="center"/>
          </w:tcPr>
          <w:p w14:paraId="23104D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7DBF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36D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F35B2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FB880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9A639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E0E9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142A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E1ED3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CA4A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19EA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5D3A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CB2E7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E7525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855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1E2A78">
            <w:pPr>
              <w:widowControl/>
              <w:jc w:val="left"/>
              <w:rPr>
                <w:rFonts w:ascii="仿宋" w:hAnsi="仿宋" w:eastAsia="仿宋" w:cs="仿宋"/>
                <w:color w:val="auto"/>
                <w:kern w:val="0"/>
                <w:sz w:val="24"/>
                <w:highlight w:val="none"/>
              </w:rPr>
            </w:pPr>
          </w:p>
        </w:tc>
        <w:tc>
          <w:tcPr>
            <w:tcW w:w="1560" w:type="dxa"/>
            <w:vAlign w:val="center"/>
          </w:tcPr>
          <w:p w14:paraId="26A28D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CFE3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A806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8D5E2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02907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14CAB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C82A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14ED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C6C0B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1CAF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907E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3FE7A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3B1ED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6474A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8B5D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770F90">
            <w:pPr>
              <w:widowControl/>
              <w:jc w:val="left"/>
              <w:rPr>
                <w:rFonts w:ascii="仿宋" w:hAnsi="仿宋" w:eastAsia="仿宋" w:cs="仿宋"/>
                <w:color w:val="auto"/>
                <w:kern w:val="0"/>
                <w:sz w:val="24"/>
                <w:highlight w:val="none"/>
              </w:rPr>
            </w:pPr>
          </w:p>
        </w:tc>
        <w:tc>
          <w:tcPr>
            <w:tcW w:w="1560" w:type="dxa"/>
            <w:vAlign w:val="center"/>
          </w:tcPr>
          <w:p w14:paraId="4EA159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43D1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43A6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70DC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1DAFA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9AE4E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38A2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8DB5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11C97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7B37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066E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CA186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EB2BA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40A6E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182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FFADE0">
            <w:pPr>
              <w:widowControl/>
              <w:jc w:val="left"/>
              <w:rPr>
                <w:rFonts w:ascii="仿宋" w:hAnsi="仿宋" w:eastAsia="仿宋" w:cs="仿宋"/>
                <w:color w:val="auto"/>
                <w:kern w:val="0"/>
                <w:sz w:val="24"/>
                <w:highlight w:val="none"/>
              </w:rPr>
            </w:pPr>
          </w:p>
        </w:tc>
        <w:tc>
          <w:tcPr>
            <w:tcW w:w="1560" w:type="dxa"/>
            <w:vAlign w:val="center"/>
          </w:tcPr>
          <w:p w14:paraId="669C8E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7471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BB59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3E3F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32452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5D43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6E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B39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B776D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492C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2062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7137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5B92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1B47F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35B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2064D">
            <w:pPr>
              <w:widowControl/>
              <w:jc w:val="left"/>
              <w:rPr>
                <w:rFonts w:ascii="仿宋" w:hAnsi="仿宋" w:eastAsia="仿宋" w:cs="仿宋"/>
                <w:color w:val="auto"/>
                <w:kern w:val="0"/>
                <w:sz w:val="24"/>
                <w:highlight w:val="none"/>
              </w:rPr>
            </w:pPr>
          </w:p>
        </w:tc>
        <w:tc>
          <w:tcPr>
            <w:tcW w:w="1560" w:type="dxa"/>
            <w:vAlign w:val="center"/>
          </w:tcPr>
          <w:p w14:paraId="489CF0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C3FF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68B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9506A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9C911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8EC1F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3B41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26B7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F0659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50DF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B4A7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E965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7CFC0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440F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2A2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AA383D">
            <w:pPr>
              <w:widowControl/>
              <w:jc w:val="left"/>
              <w:rPr>
                <w:rFonts w:ascii="仿宋" w:hAnsi="仿宋" w:eastAsia="仿宋" w:cs="仿宋"/>
                <w:color w:val="auto"/>
                <w:kern w:val="0"/>
                <w:sz w:val="24"/>
                <w:highlight w:val="none"/>
              </w:rPr>
            </w:pPr>
          </w:p>
        </w:tc>
        <w:tc>
          <w:tcPr>
            <w:tcW w:w="1560" w:type="dxa"/>
            <w:vAlign w:val="center"/>
          </w:tcPr>
          <w:p w14:paraId="71B9DC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02CE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B5F9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3EECC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0D5DE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A3718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B0D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9543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687C7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1064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40AC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C0EE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F816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EDA3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F94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2BA3EC">
            <w:pPr>
              <w:widowControl/>
              <w:jc w:val="left"/>
              <w:rPr>
                <w:rFonts w:ascii="仿宋" w:hAnsi="仿宋" w:eastAsia="仿宋" w:cs="仿宋"/>
                <w:color w:val="auto"/>
                <w:kern w:val="0"/>
                <w:sz w:val="24"/>
                <w:highlight w:val="none"/>
              </w:rPr>
            </w:pPr>
          </w:p>
        </w:tc>
        <w:tc>
          <w:tcPr>
            <w:tcW w:w="1560" w:type="dxa"/>
            <w:vAlign w:val="center"/>
          </w:tcPr>
          <w:p w14:paraId="642010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7CC5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5CAD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3DB0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B3D51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41B31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CFD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9C62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1759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DBE7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DB5E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FAC6D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B5136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9E28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C38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AB2401">
            <w:pPr>
              <w:widowControl/>
              <w:jc w:val="left"/>
              <w:rPr>
                <w:rFonts w:ascii="仿宋" w:hAnsi="仿宋" w:eastAsia="仿宋" w:cs="仿宋"/>
                <w:color w:val="auto"/>
                <w:kern w:val="0"/>
                <w:sz w:val="24"/>
                <w:highlight w:val="none"/>
              </w:rPr>
            </w:pPr>
          </w:p>
        </w:tc>
        <w:tc>
          <w:tcPr>
            <w:tcW w:w="1560" w:type="dxa"/>
            <w:vAlign w:val="center"/>
          </w:tcPr>
          <w:p w14:paraId="69E270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34E0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C260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3F564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ABC6E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92671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9D5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59B5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89257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560D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7BB6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7528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9CA4F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FAADA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A70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93ED6C">
            <w:pPr>
              <w:widowControl/>
              <w:jc w:val="left"/>
              <w:rPr>
                <w:rFonts w:ascii="仿宋" w:hAnsi="仿宋" w:eastAsia="仿宋" w:cs="仿宋"/>
                <w:color w:val="auto"/>
                <w:kern w:val="0"/>
                <w:sz w:val="24"/>
                <w:highlight w:val="none"/>
              </w:rPr>
            </w:pPr>
          </w:p>
        </w:tc>
        <w:tc>
          <w:tcPr>
            <w:tcW w:w="1560" w:type="dxa"/>
            <w:vAlign w:val="center"/>
          </w:tcPr>
          <w:p w14:paraId="51BCF6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780F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56EF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D56E7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E98D1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FCE3A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2B65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23EF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948BD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2E27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05F4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18330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F513C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27079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EEA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B9031">
            <w:pPr>
              <w:widowControl/>
              <w:jc w:val="left"/>
              <w:rPr>
                <w:rFonts w:ascii="仿宋" w:hAnsi="仿宋" w:eastAsia="仿宋" w:cs="仿宋"/>
                <w:color w:val="auto"/>
                <w:kern w:val="0"/>
                <w:sz w:val="24"/>
                <w:highlight w:val="none"/>
              </w:rPr>
            </w:pPr>
          </w:p>
        </w:tc>
        <w:tc>
          <w:tcPr>
            <w:tcW w:w="1560" w:type="dxa"/>
            <w:vAlign w:val="center"/>
          </w:tcPr>
          <w:p w14:paraId="330736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372F3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6532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51829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F8DB2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D771E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1A27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3DEC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426BE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EF5A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DF6E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B33E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6BF4D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6548D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B886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904830">
            <w:pPr>
              <w:widowControl/>
              <w:jc w:val="left"/>
              <w:rPr>
                <w:rFonts w:ascii="仿宋" w:hAnsi="仿宋" w:eastAsia="仿宋" w:cs="仿宋"/>
                <w:color w:val="auto"/>
                <w:kern w:val="0"/>
                <w:sz w:val="24"/>
                <w:highlight w:val="none"/>
              </w:rPr>
            </w:pPr>
          </w:p>
        </w:tc>
        <w:tc>
          <w:tcPr>
            <w:tcW w:w="1560" w:type="dxa"/>
            <w:vAlign w:val="center"/>
          </w:tcPr>
          <w:p w14:paraId="75CAF4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22F0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79C3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503C2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3CEF1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A8FC3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4A50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AD90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442C0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3C3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F4E4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0C847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0C1B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414B5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DA00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E9EC96">
            <w:pPr>
              <w:widowControl/>
              <w:jc w:val="left"/>
              <w:rPr>
                <w:rFonts w:ascii="仿宋" w:hAnsi="仿宋" w:eastAsia="仿宋" w:cs="仿宋"/>
                <w:color w:val="auto"/>
                <w:kern w:val="0"/>
                <w:sz w:val="24"/>
                <w:highlight w:val="none"/>
              </w:rPr>
            </w:pPr>
          </w:p>
        </w:tc>
        <w:tc>
          <w:tcPr>
            <w:tcW w:w="1560" w:type="dxa"/>
            <w:vAlign w:val="center"/>
          </w:tcPr>
          <w:p w14:paraId="6ED04E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70C13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5A9F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F4363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7CB4C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89767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1043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9CF9D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0B104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7E98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A0AC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501E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7CE22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90BD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6A2437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23412E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4C8A1A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56452B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16A449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1CFCA0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013900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0753604">
      <w:pPr>
        <w:widowControl/>
        <w:jc w:val="left"/>
        <w:rPr>
          <w:rFonts w:ascii="仿宋" w:hAnsi="仿宋" w:eastAsia="仿宋" w:cs="仿宋"/>
          <w:color w:val="auto"/>
          <w:kern w:val="0"/>
          <w:sz w:val="24"/>
          <w:highlight w:val="none"/>
        </w:rPr>
      </w:pPr>
    </w:p>
    <w:p w14:paraId="70A9E13F">
      <w:pPr>
        <w:widowControl/>
        <w:jc w:val="left"/>
        <w:rPr>
          <w:rFonts w:ascii="仿宋" w:hAnsi="仿宋" w:eastAsia="仿宋" w:cs="仿宋"/>
          <w:color w:val="auto"/>
          <w:kern w:val="0"/>
          <w:sz w:val="24"/>
          <w:highlight w:val="none"/>
        </w:rPr>
      </w:pPr>
    </w:p>
    <w:p w14:paraId="46A9438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A729F23">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37DE58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59F5D9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5DC18D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EA6871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28E7A7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EFC6AD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F0BD0C4">
      <w:pPr>
        <w:widowControl/>
        <w:jc w:val="left"/>
        <w:rPr>
          <w:rFonts w:ascii="仿宋" w:hAnsi="仿宋" w:eastAsia="仿宋" w:cs="仿宋"/>
          <w:color w:val="auto"/>
          <w:kern w:val="0"/>
          <w:sz w:val="18"/>
          <w:szCs w:val="18"/>
          <w:highlight w:val="none"/>
        </w:rPr>
      </w:pPr>
    </w:p>
    <w:p w14:paraId="4FE2CFAB">
      <w:pPr>
        <w:widowControl/>
        <w:jc w:val="left"/>
        <w:rPr>
          <w:rFonts w:ascii="仿宋" w:hAnsi="仿宋" w:eastAsia="仿宋" w:cs="仿宋"/>
          <w:color w:val="auto"/>
          <w:kern w:val="0"/>
          <w:sz w:val="18"/>
          <w:szCs w:val="18"/>
          <w:highlight w:val="none"/>
        </w:rPr>
      </w:pPr>
    </w:p>
    <w:p w14:paraId="6A0AA637">
      <w:pPr>
        <w:widowControl/>
        <w:jc w:val="left"/>
        <w:rPr>
          <w:rFonts w:ascii="仿宋" w:hAnsi="仿宋" w:eastAsia="仿宋" w:cs="仿宋"/>
          <w:color w:val="auto"/>
          <w:kern w:val="0"/>
          <w:sz w:val="18"/>
          <w:szCs w:val="18"/>
          <w:highlight w:val="none"/>
        </w:rPr>
      </w:pPr>
    </w:p>
    <w:p w14:paraId="2F1808B2">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AE05C9D">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5308C4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61B6FC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AD1FB8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D8F665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BB8121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5A90D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76A418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0407C3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EB6D28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1AA86C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6B8679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781E29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C700FF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0D2CEB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2BF73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3B9A5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EAB5FE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B826AF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BE072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B5FF68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4A3ED9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657F780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5417A04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346600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E6CD61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3EFEAB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CDB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D9228B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8FBFE8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D59C80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F38F23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162B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9BD89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ABC1D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C7753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0DA48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CAC0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F301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C0E189">
            <w:pPr>
              <w:widowControl/>
              <w:jc w:val="left"/>
              <w:rPr>
                <w:rFonts w:ascii="仿宋" w:hAnsi="仿宋" w:eastAsia="仿宋" w:cs="仿宋"/>
                <w:color w:val="auto"/>
                <w:kern w:val="0"/>
                <w:sz w:val="24"/>
                <w:highlight w:val="none"/>
              </w:rPr>
            </w:pPr>
          </w:p>
        </w:tc>
        <w:tc>
          <w:tcPr>
            <w:tcW w:w="1025" w:type="dxa"/>
            <w:vMerge w:val="continue"/>
            <w:vAlign w:val="center"/>
          </w:tcPr>
          <w:p w14:paraId="2928EFCD">
            <w:pPr>
              <w:widowControl/>
              <w:jc w:val="left"/>
              <w:rPr>
                <w:rFonts w:ascii="仿宋" w:hAnsi="仿宋" w:eastAsia="仿宋" w:cs="仿宋"/>
                <w:color w:val="auto"/>
                <w:kern w:val="0"/>
                <w:sz w:val="24"/>
                <w:highlight w:val="none"/>
              </w:rPr>
            </w:pPr>
          </w:p>
        </w:tc>
        <w:tc>
          <w:tcPr>
            <w:tcW w:w="2836" w:type="dxa"/>
            <w:vMerge w:val="continue"/>
            <w:vAlign w:val="center"/>
          </w:tcPr>
          <w:p w14:paraId="552AA8C4">
            <w:pPr>
              <w:widowControl/>
              <w:jc w:val="left"/>
              <w:rPr>
                <w:rFonts w:ascii="仿宋" w:hAnsi="仿宋" w:eastAsia="仿宋" w:cs="仿宋"/>
                <w:color w:val="auto"/>
                <w:kern w:val="0"/>
                <w:sz w:val="24"/>
                <w:highlight w:val="none"/>
              </w:rPr>
            </w:pPr>
          </w:p>
        </w:tc>
        <w:tc>
          <w:tcPr>
            <w:tcW w:w="606" w:type="dxa"/>
            <w:vAlign w:val="center"/>
          </w:tcPr>
          <w:p w14:paraId="322368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4334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8963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44F8EB">
            <w:pPr>
              <w:widowControl/>
              <w:jc w:val="left"/>
              <w:rPr>
                <w:rFonts w:ascii="仿宋" w:hAnsi="仿宋" w:eastAsia="仿宋" w:cs="仿宋"/>
                <w:color w:val="auto"/>
                <w:kern w:val="0"/>
                <w:sz w:val="24"/>
                <w:highlight w:val="none"/>
              </w:rPr>
            </w:pPr>
          </w:p>
        </w:tc>
        <w:tc>
          <w:tcPr>
            <w:tcW w:w="1025" w:type="dxa"/>
            <w:vMerge w:val="continue"/>
            <w:vAlign w:val="center"/>
          </w:tcPr>
          <w:p w14:paraId="2A845BA3">
            <w:pPr>
              <w:widowControl/>
              <w:jc w:val="left"/>
              <w:rPr>
                <w:rFonts w:ascii="仿宋" w:hAnsi="仿宋" w:eastAsia="仿宋" w:cs="仿宋"/>
                <w:color w:val="auto"/>
                <w:kern w:val="0"/>
                <w:sz w:val="24"/>
                <w:highlight w:val="none"/>
              </w:rPr>
            </w:pPr>
          </w:p>
        </w:tc>
        <w:tc>
          <w:tcPr>
            <w:tcW w:w="2836" w:type="dxa"/>
            <w:vMerge w:val="continue"/>
            <w:vAlign w:val="center"/>
          </w:tcPr>
          <w:p w14:paraId="4B9FE087">
            <w:pPr>
              <w:widowControl/>
              <w:jc w:val="left"/>
              <w:rPr>
                <w:rFonts w:ascii="仿宋" w:hAnsi="仿宋" w:eastAsia="仿宋" w:cs="仿宋"/>
                <w:color w:val="auto"/>
                <w:kern w:val="0"/>
                <w:sz w:val="24"/>
                <w:highlight w:val="none"/>
              </w:rPr>
            </w:pPr>
          </w:p>
        </w:tc>
        <w:tc>
          <w:tcPr>
            <w:tcW w:w="606" w:type="dxa"/>
            <w:vAlign w:val="center"/>
          </w:tcPr>
          <w:p w14:paraId="4EC6F7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1C77C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F25B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4D3493">
            <w:pPr>
              <w:widowControl/>
              <w:jc w:val="left"/>
              <w:rPr>
                <w:rFonts w:ascii="仿宋" w:hAnsi="仿宋" w:eastAsia="仿宋" w:cs="仿宋"/>
                <w:color w:val="auto"/>
                <w:kern w:val="0"/>
                <w:sz w:val="24"/>
                <w:highlight w:val="none"/>
              </w:rPr>
            </w:pPr>
          </w:p>
        </w:tc>
        <w:tc>
          <w:tcPr>
            <w:tcW w:w="1025" w:type="dxa"/>
            <w:vMerge w:val="restart"/>
            <w:vAlign w:val="center"/>
          </w:tcPr>
          <w:p w14:paraId="327874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2091E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5B7E9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1C6B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FB37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FA583C">
            <w:pPr>
              <w:widowControl/>
              <w:jc w:val="left"/>
              <w:rPr>
                <w:rFonts w:ascii="仿宋" w:hAnsi="仿宋" w:eastAsia="仿宋" w:cs="仿宋"/>
                <w:color w:val="auto"/>
                <w:kern w:val="0"/>
                <w:sz w:val="24"/>
                <w:highlight w:val="none"/>
              </w:rPr>
            </w:pPr>
          </w:p>
        </w:tc>
        <w:tc>
          <w:tcPr>
            <w:tcW w:w="1025" w:type="dxa"/>
            <w:vMerge w:val="continue"/>
            <w:vAlign w:val="center"/>
          </w:tcPr>
          <w:p w14:paraId="20861A25">
            <w:pPr>
              <w:widowControl/>
              <w:jc w:val="left"/>
              <w:rPr>
                <w:rFonts w:ascii="仿宋" w:hAnsi="仿宋" w:eastAsia="仿宋" w:cs="仿宋"/>
                <w:color w:val="auto"/>
                <w:kern w:val="0"/>
                <w:sz w:val="24"/>
                <w:highlight w:val="none"/>
              </w:rPr>
            </w:pPr>
          </w:p>
        </w:tc>
        <w:tc>
          <w:tcPr>
            <w:tcW w:w="2836" w:type="dxa"/>
            <w:vMerge w:val="continue"/>
            <w:vAlign w:val="center"/>
          </w:tcPr>
          <w:p w14:paraId="14FEE57B">
            <w:pPr>
              <w:widowControl/>
              <w:jc w:val="left"/>
              <w:rPr>
                <w:rFonts w:ascii="仿宋" w:hAnsi="仿宋" w:eastAsia="仿宋" w:cs="仿宋"/>
                <w:color w:val="auto"/>
                <w:kern w:val="0"/>
                <w:sz w:val="24"/>
                <w:highlight w:val="none"/>
              </w:rPr>
            </w:pPr>
          </w:p>
        </w:tc>
        <w:tc>
          <w:tcPr>
            <w:tcW w:w="606" w:type="dxa"/>
            <w:vAlign w:val="center"/>
          </w:tcPr>
          <w:p w14:paraId="2C675C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9C35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6569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25229">
            <w:pPr>
              <w:widowControl/>
              <w:jc w:val="left"/>
              <w:rPr>
                <w:rFonts w:ascii="仿宋" w:hAnsi="仿宋" w:eastAsia="仿宋" w:cs="仿宋"/>
                <w:color w:val="auto"/>
                <w:kern w:val="0"/>
                <w:sz w:val="24"/>
                <w:highlight w:val="none"/>
              </w:rPr>
            </w:pPr>
          </w:p>
        </w:tc>
        <w:tc>
          <w:tcPr>
            <w:tcW w:w="1025" w:type="dxa"/>
            <w:vMerge w:val="continue"/>
            <w:vAlign w:val="center"/>
          </w:tcPr>
          <w:p w14:paraId="1D74ED74">
            <w:pPr>
              <w:widowControl/>
              <w:jc w:val="left"/>
              <w:rPr>
                <w:rFonts w:ascii="仿宋" w:hAnsi="仿宋" w:eastAsia="仿宋" w:cs="仿宋"/>
                <w:color w:val="auto"/>
                <w:kern w:val="0"/>
                <w:sz w:val="24"/>
                <w:highlight w:val="none"/>
              </w:rPr>
            </w:pPr>
          </w:p>
        </w:tc>
        <w:tc>
          <w:tcPr>
            <w:tcW w:w="2836" w:type="dxa"/>
            <w:vMerge w:val="continue"/>
            <w:vAlign w:val="center"/>
          </w:tcPr>
          <w:p w14:paraId="590D53AC">
            <w:pPr>
              <w:widowControl/>
              <w:jc w:val="left"/>
              <w:rPr>
                <w:rFonts w:ascii="仿宋" w:hAnsi="仿宋" w:eastAsia="仿宋" w:cs="仿宋"/>
                <w:color w:val="auto"/>
                <w:kern w:val="0"/>
                <w:sz w:val="24"/>
                <w:highlight w:val="none"/>
              </w:rPr>
            </w:pPr>
          </w:p>
        </w:tc>
        <w:tc>
          <w:tcPr>
            <w:tcW w:w="606" w:type="dxa"/>
            <w:vAlign w:val="center"/>
          </w:tcPr>
          <w:p w14:paraId="5AF7E5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84687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E73C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519ED7">
            <w:pPr>
              <w:widowControl/>
              <w:jc w:val="left"/>
              <w:rPr>
                <w:rFonts w:ascii="仿宋" w:hAnsi="仿宋" w:eastAsia="仿宋" w:cs="仿宋"/>
                <w:color w:val="auto"/>
                <w:kern w:val="0"/>
                <w:sz w:val="24"/>
                <w:highlight w:val="none"/>
              </w:rPr>
            </w:pPr>
          </w:p>
        </w:tc>
        <w:tc>
          <w:tcPr>
            <w:tcW w:w="1025" w:type="dxa"/>
            <w:vMerge w:val="continue"/>
            <w:vAlign w:val="center"/>
          </w:tcPr>
          <w:p w14:paraId="2C3CA60D">
            <w:pPr>
              <w:widowControl/>
              <w:jc w:val="left"/>
              <w:rPr>
                <w:rFonts w:ascii="仿宋" w:hAnsi="仿宋" w:eastAsia="仿宋" w:cs="仿宋"/>
                <w:color w:val="auto"/>
                <w:kern w:val="0"/>
                <w:sz w:val="24"/>
                <w:highlight w:val="none"/>
              </w:rPr>
            </w:pPr>
          </w:p>
        </w:tc>
        <w:tc>
          <w:tcPr>
            <w:tcW w:w="2836" w:type="dxa"/>
            <w:vMerge w:val="restart"/>
            <w:vAlign w:val="center"/>
          </w:tcPr>
          <w:p w14:paraId="0B180F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E7CA2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04F1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4482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7980F8">
            <w:pPr>
              <w:widowControl/>
              <w:jc w:val="left"/>
              <w:rPr>
                <w:rFonts w:ascii="仿宋" w:hAnsi="仿宋" w:eastAsia="仿宋" w:cs="仿宋"/>
                <w:color w:val="auto"/>
                <w:kern w:val="0"/>
                <w:sz w:val="24"/>
                <w:highlight w:val="none"/>
              </w:rPr>
            </w:pPr>
          </w:p>
        </w:tc>
        <w:tc>
          <w:tcPr>
            <w:tcW w:w="1025" w:type="dxa"/>
            <w:vMerge w:val="continue"/>
            <w:vAlign w:val="center"/>
          </w:tcPr>
          <w:p w14:paraId="5B6A1EFA">
            <w:pPr>
              <w:widowControl/>
              <w:jc w:val="left"/>
              <w:rPr>
                <w:rFonts w:ascii="仿宋" w:hAnsi="仿宋" w:eastAsia="仿宋" w:cs="仿宋"/>
                <w:color w:val="auto"/>
                <w:kern w:val="0"/>
                <w:sz w:val="24"/>
                <w:highlight w:val="none"/>
              </w:rPr>
            </w:pPr>
          </w:p>
        </w:tc>
        <w:tc>
          <w:tcPr>
            <w:tcW w:w="2836" w:type="dxa"/>
            <w:vMerge w:val="continue"/>
            <w:vAlign w:val="center"/>
          </w:tcPr>
          <w:p w14:paraId="79AD86FA">
            <w:pPr>
              <w:widowControl/>
              <w:jc w:val="left"/>
              <w:rPr>
                <w:rFonts w:ascii="仿宋" w:hAnsi="仿宋" w:eastAsia="仿宋" w:cs="仿宋"/>
                <w:color w:val="auto"/>
                <w:kern w:val="0"/>
                <w:sz w:val="24"/>
                <w:highlight w:val="none"/>
              </w:rPr>
            </w:pPr>
          </w:p>
        </w:tc>
        <w:tc>
          <w:tcPr>
            <w:tcW w:w="606" w:type="dxa"/>
            <w:vAlign w:val="center"/>
          </w:tcPr>
          <w:p w14:paraId="077B0B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4291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93E3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8D1A80">
            <w:pPr>
              <w:widowControl/>
              <w:jc w:val="left"/>
              <w:rPr>
                <w:rFonts w:ascii="仿宋" w:hAnsi="仿宋" w:eastAsia="仿宋" w:cs="仿宋"/>
                <w:color w:val="auto"/>
                <w:kern w:val="0"/>
                <w:sz w:val="24"/>
                <w:highlight w:val="none"/>
              </w:rPr>
            </w:pPr>
          </w:p>
        </w:tc>
        <w:tc>
          <w:tcPr>
            <w:tcW w:w="1025" w:type="dxa"/>
            <w:vMerge w:val="continue"/>
            <w:vAlign w:val="center"/>
          </w:tcPr>
          <w:p w14:paraId="360D2A0D">
            <w:pPr>
              <w:widowControl/>
              <w:jc w:val="left"/>
              <w:rPr>
                <w:rFonts w:ascii="仿宋" w:hAnsi="仿宋" w:eastAsia="仿宋" w:cs="仿宋"/>
                <w:color w:val="auto"/>
                <w:kern w:val="0"/>
                <w:sz w:val="24"/>
                <w:highlight w:val="none"/>
              </w:rPr>
            </w:pPr>
          </w:p>
        </w:tc>
        <w:tc>
          <w:tcPr>
            <w:tcW w:w="2836" w:type="dxa"/>
            <w:vMerge w:val="continue"/>
            <w:vAlign w:val="center"/>
          </w:tcPr>
          <w:p w14:paraId="59C6B01B">
            <w:pPr>
              <w:widowControl/>
              <w:jc w:val="left"/>
              <w:rPr>
                <w:rFonts w:ascii="仿宋" w:hAnsi="仿宋" w:eastAsia="仿宋" w:cs="仿宋"/>
                <w:color w:val="auto"/>
                <w:kern w:val="0"/>
                <w:sz w:val="24"/>
                <w:highlight w:val="none"/>
              </w:rPr>
            </w:pPr>
          </w:p>
        </w:tc>
        <w:tc>
          <w:tcPr>
            <w:tcW w:w="606" w:type="dxa"/>
            <w:vAlign w:val="center"/>
          </w:tcPr>
          <w:p w14:paraId="60E318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F064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BF31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029A0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7F2C2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651E9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B77A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F7BC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736A49">
            <w:pPr>
              <w:widowControl/>
              <w:jc w:val="left"/>
              <w:rPr>
                <w:rFonts w:ascii="仿宋" w:hAnsi="仿宋" w:eastAsia="仿宋" w:cs="仿宋"/>
                <w:color w:val="auto"/>
                <w:kern w:val="0"/>
                <w:sz w:val="24"/>
                <w:highlight w:val="none"/>
              </w:rPr>
            </w:pPr>
          </w:p>
        </w:tc>
        <w:tc>
          <w:tcPr>
            <w:tcW w:w="2836" w:type="dxa"/>
            <w:vMerge w:val="continue"/>
            <w:vAlign w:val="center"/>
          </w:tcPr>
          <w:p w14:paraId="517A3753">
            <w:pPr>
              <w:widowControl/>
              <w:jc w:val="left"/>
              <w:rPr>
                <w:rFonts w:ascii="仿宋" w:hAnsi="仿宋" w:eastAsia="仿宋" w:cs="仿宋"/>
                <w:color w:val="auto"/>
                <w:kern w:val="0"/>
                <w:sz w:val="24"/>
                <w:highlight w:val="none"/>
              </w:rPr>
            </w:pPr>
          </w:p>
        </w:tc>
        <w:tc>
          <w:tcPr>
            <w:tcW w:w="606" w:type="dxa"/>
            <w:vAlign w:val="center"/>
          </w:tcPr>
          <w:p w14:paraId="642389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2C2F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4689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A2A8BB">
            <w:pPr>
              <w:widowControl/>
              <w:jc w:val="left"/>
              <w:rPr>
                <w:rFonts w:ascii="仿宋" w:hAnsi="仿宋" w:eastAsia="仿宋" w:cs="仿宋"/>
                <w:color w:val="auto"/>
                <w:kern w:val="0"/>
                <w:sz w:val="24"/>
                <w:highlight w:val="none"/>
              </w:rPr>
            </w:pPr>
          </w:p>
        </w:tc>
        <w:tc>
          <w:tcPr>
            <w:tcW w:w="2836" w:type="dxa"/>
            <w:vMerge w:val="continue"/>
            <w:vAlign w:val="center"/>
          </w:tcPr>
          <w:p w14:paraId="2C5B7397">
            <w:pPr>
              <w:widowControl/>
              <w:jc w:val="left"/>
              <w:rPr>
                <w:rFonts w:ascii="仿宋" w:hAnsi="仿宋" w:eastAsia="仿宋" w:cs="仿宋"/>
                <w:color w:val="auto"/>
                <w:kern w:val="0"/>
                <w:sz w:val="24"/>
                <w:highlight w:val="none"/>
              </w:rPr>
            </w:pPr>
          </w:p>
        </w:tc>
        <w:tc>
          <w:tcPr>
            <w:tcW w:w="606" w:type="dxa"/>
            <w:vAlign w:val="center"/>
          </w:tcPr>
          <w:p w14:paraId="655FE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89A9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80A1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D6812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E2818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F8DCC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6C2C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5BF6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519C19">
            <w:pPr>
              <w:widowControl/>
              <w:jc w:val="left"/>
              <w:rPr>
                <w:rFonts w:ascii="仿宋" w:hAnsi="仿宋" w:eastAsia="仿宋" w:cs="仿宋"/>
                <w:color w:val="auto"/>
                <w:kern w:val="0"/>
                <w:sz w:val="24"/>
                <w:highlight w:val="none"/>
              </w:rPr>
            </w:pPr>
          </w:p>
        </w:tc>
        <w:tc>
          <w:tcPr>
            <w:tcW w:w="2836" w:type="dxa"/>
            <w:vMerge w:val="continue"/>
            <w:vAlign w:val="center"/>
          </w:tcPr>
          <w:p w14:paraId="37824263">
            <w:pPr>
              <w:widowControl/>
              <w:jc w:val="left"/>
              <w:rPr>
                <w:rFonts w:ascii="仿宋" w:hAnsi="仿宋" w:eastAsia="仿宋" w:cs="仿宋"/>
                <w:color w:val="auto"/>
                <w:kern w:val="0"/>
                <w:sz w:val="24"/>
                <w:highlight w:val="none"/>
              </w:rPr>
            </w:pPr>
          </w:p>
        </w:tc>
        <w:tc>
          <w:tcPr>
            <w:tcW w:w="606" w:type="dxa"/>
            <w:vAlign w:val="center"/>
          </w:tcPr>
          <w:p w14:paraId="46D840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6159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5EC1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7D5D175">
            <w:pPr>
              <w:widowControl/>
              <w:jc w:val="left"/>
              <w:rPr>
                <w:rFonts w:ascii="仿宋" w:hAnsi="仿宋" w:eastAsia="仿宋" w:cs="仿宋"/>
                <w:color w:val="auto"/>
                <w:kern w:val="0"/>
                <w:sz w:val="24"/>
                <w:highlight w:val="none"/>
              </w:rPr>
            </w:pPr>
          </w:p>
        </w:tc>
        <w:tc>
          <w:tcPr>
            <w:tcW w:w="2836" w:type="dxa"/>
            <w:vMerge w:val="continue"/>
            <w:vAlign w:val="center"/>
          </w:tcPr>
          <w:p w14:paraId="33C16287">
            <w:pPr>
              <w:widowControl/>
              <w:jc w:val="left"/>
              <w:rPr>
                <w:rFonts w:ascii="仿宋" w:hAnsi="仿宋" w:eastAsia="仿宋" w:cs="仿宋"/>
                <w:color w:val="auto"/>
                <w:kern w:val="0"/>
                <w:sz w:val="24"/>
                <w:highlight w:val="none"/>
              </w:rPr>
            </w:pPr>
          </w:p>
        </w:tc>
        <w:tc>
          <w:tcPr>
            <w:tcW w:w="606" w:type="dxa"/>
            <w:vAlign w:val="center"/>
          </w:tcPr>
          <w:p w14:paraId="6CB87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31DF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06B1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7ACC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34F89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F399A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D9E86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C824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3307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10D12C">
            <w:pPr>
              <w:widowControl/>
              <w:jc w:val="left"/>
              <w:rPr>
                <w:rFonts w:ascii="仿宋" w:hAnsi="仿宋" w:eastAsia="仿宋" w:cs="仿宋"/>
                <w:color w:val="auto"/>
                <w:kern w:val="0"/>
                <w:sz w:val="24"/>
                <w:highlight w:val="none"/>
              </w:rPr>
            </w:pPr>
          </w:p>
        </w:tc>
        <w:tc>
          <w:tcPr>
            <w:tcW w:w="1025" w:type="dxa"/>
            <w:vMerge w:val="continue"/>
            <w:vAlign w:val="center"/>
          </w:tcPr>
          <w:p w14:paraId="6DF206DB">
            <w:pPr>
              <w:widowControl/>
              <w:jc w:val="left"/>
              <w:rPr>
                <w:rFonts w:ascii="仿宋" w:hAnsi="仿宋" w:eastAsia="仿宋" w:cs="仿宋"/>
                <w:color w:val="auto"/>
                <w:kern w:val="0"/>
                <w:sz w:val="24"/>
                <w:highlight w:val="none"/>
              </w:rPr>
            </w:pPr>
          </w:p>
        </w:tc>
        <w:tc>
          <w:tcPr>
            <w:tcW w:w="2836" w:type="dxa"/>
            <w:vMerge w:val="continue"/>
            <w:vAlign w:val="center"/>
          </w:tcPr>
          <w:p w14:paraId="36B62DCD">
            <w:pPr>
              <w:widowControl/>
              <w:jc w:val="left"/>
              <w:rPr>
                <w:rFonts w:ascii="仿宋" w:hAnsi="仿宋" w:eastAsia="仿宋" w:cs="仿宋"/>
                <w:color w:val="auto"/>
                <w:kern w:val="0"/>
                <w:sz w:val="24"/>
                <w:highlight w:val="none"/>
              </w:rPr>
            </w:pPr>
          </w:p>
        </w:tc>
        <w:tc>
          <w:tcPr>
            <w:tcW w:w="606" w:type="dxa"/>
            <w:vAlign w:val="center"/>
          </w:tcPr>
          <w:p w14:paraId="6A3612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1324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0AB3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8546C7">
            <w:pPr>
              <w:widowControl/>
              <w:jc w:val="left"/>
              <w:rPr>
                <w:rFonts w:ascii="仿宋" w:hAnsi="仿宋" w:eastAsia="仿宋" w:cs="仿宋"/>
                <w:color w:val="auto"/>
                <w:kern w:val="0"/>
                <w:sz w:val="24"/>
                <w:highlight w:val="none"/>
              </w:rPr>
            </w:pPr>
          </w:p>
        </w:tc>
        <w:tc>
          <w:tcPr>
            <w:tcW w:w="1025" w:type="dxa"/>
            <w:vMerge w:val="continue"/>
            <w:vAlign w:val="center"/>
          </w:tcPr>
          <w:p w14:paraId="64824E17">
            <w:pPr>
              <w:widowControl/>
              <w:jc w:val="left"/>
              <w:rPr>
                <w:rFonts w:ascii="仿宋" w:hAnsi="仿宋" w:eastAsia="仿宋" w:cs="仿宋"/>
                <w:color w:val="auto"/>
                <w:kern w:val="0"/>
                <w:sz w:val="24"/>
                <w:highlight w:val="none"/>
              </w:rPr>
            </w:pPr>
          </w:p>
        </w:tc>
        <w:tc>
          <w:tcPr>
            <w:tcW w:w="2836" w:type="dxa"/>
            <w:vMerge w:val="continue"/>
            <w:vAlign w:val="center"/>
          </w:tcPr>
          <w:p w14:paraId="253B9AD2">
            <w:pPr>
              <w:widowControl/>
              <w:jc w:val="left"/>
              <w:rPr>
                <w:rFonts w:ascii="仿宋" w:hAnsi="仿宋" w:eastAsia="仿宋" w:cs="仿宋"/>
                <w:color w:val="auto"/>
                <w:kern w:val="0"/>
                <w:sz w:val="24"/>
                <w:highlight w:val="none"/>
              </w:rPr>
            </w:pPr>
          </w:p>
        </w:tc>
        <w:tc>
          <w:tcPr>
            <w:tcW w:w="606" w:type="dxa"/>
            <w:vAlign w:val="center"/>
          </w:tcPr>
          <w:p w14:paraId="6E2C8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61EB9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9A94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9FECDF">
            <w:pPr>
              <w:widowControl/>
              <w:jc w:val="left"/>
              <w:rPr>
                <w:rFonts w:ascii="仿宋" w:hAnsi="仿宋" w:eastAsia="仿宋" w:cs="仿宋"/>
                <w:color w:val="auto"/>
                <w:kern w:val="0"/>
                <w:sz w:val="24"/>
                <w:highlight w:val="none"/>
              </w:rPr>
            </w:pPr>
          </w:p>
        </w:tc>
        <w:tc>
          <w:tcPr>
            <w:tcW w:w="1025" w:type="dxa"/>
            <w:vMerge w:val="restart"/>
            <w:vAlign w:val="center"/>
          </w:tcPr>
          <w:p w14:paraId="03F9BF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0AE41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E8AB6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9BB7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B639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A71B38">
            <w:pPr>
              <w:widowControl/>
              <w:jc w:val="left"/>
              <w:rPr>
                <w:rFonts w:ascii="仿宋" w:hAnsi="仿宋" w:eastAsia="仿宋" w:cs="仿宋"/>
                <w:color w:val="auto"/>
                <w:kern w:val="0"/>
                <w:sz w:val="24"/>
                <w:highlight w:val="none"/>
              </w:rPr>
            </w:pPr>
          </w:p>
        </w:tc>
        <w:tc>
          <w:tcPr>
            <w:tcW w:w="1025" w:type="dxa"/>
            <w:vMerge w:val="continue"/>
            <w:vAlign w:val="center"/>
          </w:tcPr>
          <w:p w14:paraId="5723341B">
            <w:pPr>
              <w:widowControl/>
              <w:jc w:val="left"/>
              <w:rPr>
                <w:rFonts w:ascii="仿宋" w:hAnsi="仿宋" w:eastAsia="仿宋" w:cs="仿宋"/>
                <w:color w:val="auto"/>
                <w:kern w:val="0"/>
                <w:sz w:val="24"/>
                <w:highlight w:val="none"/>
              </w:rPr>
            </w:pPr>
          </w:p>
        </w:tc>
        <w:tc>
          <w:tcPr>
            <w:tcW w:w="2836" w:type="dxa"/>
            <w:vMerge w:val="continue"/>
            <w:vAlign w:val="center"/>
          </w:tcPr>
          <w:p w14:paraId="4B6BFE6E">
            <w:pPr>
              <w:widowControl/>
              <w:jc w:val="left"/>
              <w:rPr>
                <w:rFonts w:ascii="仿宋" w:hAnsi="仿宋" w:eastAsia="仿宋" w:cs="仿宋"/>
                <w:color w:val="auto"/>
                <w:kern w:val="0"/>
                <w:sz w:val="24"/>
                <w:highlight w:val="none"/>
              </w:rPr>
            </w:pPr>
          </w:p>
        </w:tc>
        <w:tc>
          <w:tcPr>
            <w:tcW w:w="606" w:type="dxa"/>
            <w:vAlign w:val="center"/>
          </w:tcPr>
          <w:p w14:paraId="187536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CDFF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DBF9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FEF028">
            <w:pPr>
              <w:widowControl/>
              <w:jc w:val="left"/>
              <w:rPr>
                <w:rFonts w:ascii="仿宋" w:hAnsi="仿宋" w:eastAsia="仿宋" w:cs="仿宋"/>
                <w:color w:val="auto"/>
                <w:kern w:val="0"/>
                <w:sz w:val="24"/>
                <w:highlight w:val="none"/>
              </w:rPr>
            </w:pPr>
          </w:p>
        </w:tc>
        <w:tc>
          <w:tcPr>
            <w:tcW w:w="1025" w:type="dxa"/>
            <w:vMerge w:val="continue"/>
            <w:vAlign w:val="center"/>
          </w:tcPr>
          <w:p w14:paraId="36C78ECC">
            <w:pPr>
              <w:widowControl/>
              <w:jc w:val="left"/>
              <w:rPr>
                <w:rFonts w:ascii="仿宋" w:hAnsi="仿宋" w:eastAsia="仿宋" w:cs="仿宋"/>
                <w:color w:val="auto"/>
                <w:kern w:val="0"/>
                <w:sz w:val="24"/>
                <w:highlight w:val="none"/>
              </w:rPr>
            </w:pPr>
          </w:p>
        </w:tc>
        <w:tc>
          <w:tcPr>
            <w:tcW w:w="2836" w:type="dxa"/>
            <w:vMerge w:val="continue"/>
            <w:vAlign w:val="center"/>
          </w:tcPr>
          <w:p w14:paraId="34E87204">
            <w:pPr>
              <w:widowControl/>
              <w:jc w:val="left"/>
              <w:rPr>
                <w:rFonts w:ascii="仿宋" w:hAnsi="仿宋" w:eastAsia="仿宋" w:cs="仿宋"/>
                <w:color w:val="auto"/>
                <w:kern w:val="0"/>
                <w:sz w:val="24"/>
                <w:highlight w:val="none"/>
              </w:rPr>
            </w:pPr>
          </w:p>
        </w:tc>
        <w:tc>
          <w:tcPr>
            <w:tcW w:w="606" w:type="dxa"/>
            <w:vAlign w:val="center"/>
          </w:tcPr>
          <w:p w14:paraId="755F50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EC28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DEE7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B2CC4">
            <w:pPr>
              <w:widowControl/>
              <w:jc w:val="left"/>
              <w:rPr>
                <w:rFonts w:ascii="仿宋" w:hAnsi="仿宋" w:eastAsia="仿宋" w:cs="仿宋"/>
                <w:color w:val="auto"/>
                <w:kern w:val="0"/>
                <w:sz w:val="24"/>
                <w:highlight w:val="none"/>
              </w:rPr>
            </w:pPr>
          </w:p>
        </w:tc>
        <w:tc>
          <w:tcPr>
            <w:tcW w:w="1025" w:type="dxa"/>
            <w:vMerge w:val="restart"/>
            <w:vAlign w:val="center"/>
          </w:tcPr>
          <w:p w14:paraId="39BA9A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40BF2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DB389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1225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ACF8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8211C1">
            <w:pPr>
              <w:widowControl/>
              <w:jc w:val="left"/>
              <w:rPr>
                <w:rFonts w:ascii="仿宋" w:hAnsi="仿宋" w:eastAsia="仿宋" w:cs="仿宋"/>
                <w:color w:val="auto"/>
                <w:kern w:val="0"/>
                <w:sz w:val="24"/>
                <w:highlight w:val="none"/>
              </w:rPr>
            </w:pPr>
          </w:p>
        </w:tc>
        <w:tc>
          <w:tcPr>
            <w:tcW w:w="1025" w:type="dxa"/>
            <w:vMerge w:val="continue"/>
            <w:vAlign w:val="center"/>
          </w:tcPr>
          <w:p w14:paraId="02886647">
            <w:pPr>
              <w:widowControl/>
              <w:jc w:val="left"/>
              <w:rPr>
                <w:rFonts w:ascii="仿宋" w:hAnsi="仿宋" w:eastAsia="仿宋" w:cs="仿宋"/>
                <w:color w:val="auto"/>
                <w:kern w:val="0"/>
                <w:sz w:val="24"/>
                <w:highlight w:val="none"/>
              </w:rPr>
            </w:pPr>
          </w:p>
        </w:tc>
        <w:tc>
          <w:tcPr>
            <w:tcW w:w="2836" w:type="dxa"/>
            <w:vMerge w:val="continue"/>
            <w:vAlign w:val="center"/>
          </w:tcPr>
          <w:p w14:paraId="1BA5C03A">
            <w:pPr>
              <w:widowControl/>
              <w:jc w:val="left"/>
              <w:rPr>
                <w:rFonts w:ascii="仿宋" w:hAnsi="仿宋" w:eastAsia="仿宋" w:cs="仿宋"/>
                <w:color w:val="auto"/>
                <w:kern w:val="0"/>
                <w:sz w:val="24"/>
                <w:highlight w:val="none"/>
              </w:rPr>
            </w:pPr>
          </w:p>
        </w:tc>
        <w:tc>
          <w:tcPr>
            <w:tcW w:w="606" w:type="dxa"/>
            <w:vAlign w:val="center"/>
          </w:tcPr>
          <w:p w14:paraId="02E995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F244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C19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5E052C">
            <w:pPr>
              <w:widowControl/>
              <w:jc w:val="left"/>
              <w:rPr>
                <w:rFonts w:ascii="仿宋" w:hAnsi="仿宋" w:eastAsia="仿宋" w:cs="仿宋"/>
                <w:color w:val="auto"/>
                <w:kern w:val="0"/>
                <w:sz w:val="24"/>
                <w:highlight w:val="none"/>
              </w:rPr>
            </w:pPr>
          </w:p>
        </w:tc>
        <w:tc>
          <w:tcPr>
            <w:tcW w:w="1025" w:type="dxa"/>
            <w:vMerge w:val="continue"/>
            <w:vAlign w:val="center"/>
          </w:tcPr>
          <w:p w14:paraId="4BA650AE">
            <w:pPr>
              <w:widowControl/>
              <w:jc w:val="left"/>
              <w:rPr>
                <w:rFonts w:ascii="仿宋" w:hAnsi="仿宋" w:eastAsia="仿宋" w:cs="仿宋"/>
                <w:color w:val="auto"/>
                <w:kern w:val="0"/>
                <w:sz w:val="24"/>
                <w:highlight w:val="none"/>
              </w:rPr>
            </w:pPr>
          </w:p>
        </w:tc>
        <w:tc>
          <w:tcPr>
            <w:tcW w:w="2836" w:type="dxa"/>
            <w:vMerge w:val="continue"/>
            <w:vAlign w:val="center"/>
          </w:tcPr>
          <w:p w14:paraId="775F0AB6">
            <w:pPr>
              <w:widowControl/>
              <w:jc w:val="left"/>
              <w:rPr>
                <w:rFonts w:ascii="仿宋" w:hAnsi="仿宋" w:eastAsia="仿宋" w:cs="仿宋"/>
                <w:color w:val="auto"/>
                <w:kern w:val="0"/>
                <w:sz w:val="24"/>
                <w:highlight w:val="none"/>
              </w:rPr>
            </w:pPr>
          </w:p>
        </w:tc>
        <w:tc>
          <w:tcPr>
            <w:tcW w:w="606" w:type="dxa"/>
            <w:vAlign w:val="center"/>
          </w:tcPr>
          <w:p w14:paraId="33C4C8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2019B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1D8CD11">
      <w:pPr>
        <w:rPr>
          <w:rFonts w:ascii="仿宋" w:hAnsi="仿宋" w:eastAsia="仿宋" w:cs="仿宋"/>
          <w:color w:val="auto"/>
          <w:sz w:val="24"/>
          <w:highlight w:val="none"/>
        </w:rPr>
      </w:pPr>
    </w:p>
    <w:p w14:paraId="116A7854">
      <w:pPr>
        <w:ind w:firstLine="420" w:firstLineChars="200"/>
        <w:rPr>
          <w:rFonts w:ascii="仿宋" w:hAnsi="仿宋" w:eastAsia="仿宋" w:cs="仿宋"/>
          <w:color w:val="auto"/>
          <w:highlight w:val="none"/>
        </w:rPr>
      </w:pPr>
    </w:p>
    <w:p w14:paraId="19CC4110">
      <w:pPr>
        <w:spacing w:line="360" w:lineRule="auto"/>
        <w:ind w:right="420"/>
        <w:rPr>
          <w:rFonts w:ascii="仿宋" w:hAnsi="仿宋" w:eastAsia="仿宋" w:cs="仿宋"/>
          <w:color w:val="auto"/>
          <w:highlight w:val="none"/>
        </w:rPr>
      </w:pPr>
    </w:p>
    <w:p w14:paraId="28B3673C">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5" w:h="16838"/>
      <w:pgMar w:top="1474" w:right="1587" w:bottom="1474"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00000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4251A">
    <w:pPr>
      <w:pStyle w:val="4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5D0F1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755D0F1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3E710">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C470C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9" w:name="_Toc164085800"/>
                          <w:bookmarkStart w:id="170" w:name="_Toc91899912"/>
                          <w:bookmarkStart w:id="171" w:name="_Toc131845147"/>
                          <w:bookmarkStart w:id="172" w:name="_Toc36110187"/>
                          <w:r>
                            <w:rPr>
                              <w:rFonts w:hint="eastAsia" w:ascii="仿宋_GB2312" w:eastAsia="仿宋_GB2312"/>
                              <w:kern w:val="0"/>
                              <w:szCs w:val="21"/>
                            </w:rPr>
                            <w:t xml:space="preserve"> 页</w:t>
                          </w:r>
                          <w:bookmarkEnd w:id="169"/>
                          <w:bookmarkEnd w:id="170"/>
                          <w:bookmarkEnd w:id="171"/>
                          <w:bookmarkEnd w:id="172"/>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38C470C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9" w:name="_Toc164085800"/>
                    <w:bookmarkStart w:id="170" w:name="_Toc91899912"/>
                    <w:bookmarkStart w:id="171" w:name="_Toc131845147"/>
                    <w:bookmarkStart w:id="172" w:name="_Toc36110187"/>
                    <w:r>
                      <w:rPr>
                        <w:rFonts w:hint="eastAsia" w:ascii="仿宋_GB2312" w:eastAsia="仿宋_GB2312"/>
                        <w:kern w:val="0"/>
                        <w:szCs w:val="21"/>
                      </w:rPr>
                      <w:t xml:space="preserve"> 页</w:t>
                    </w:r>
                    <w:bookmarkEnd w:id="169"/>
                    <w:bookmarkEnd w:id="170"/>
                    <w:bookmarkEnd w:id="171"/>
                    <w:bookmarkEnd w:id="172"/>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A062E">
    <w:pPr>
      <w:pStyle w:val="40"/>
      <w:framePr w:wrap="around" w:vAnchor="text" w:hAnchor="margin" w:xAlign="right" w:y="1"/>
      <w:rPr>
        <w:rStyle w:val="72"/>
      </w:rPr>
    </w:pPr>
    <w:r>
      <w:fldChar w:fldCharType="begin"/>
    </w:r>
    <w:r>
      <w:rPr>
        <w:rStyle w:val="72"/>
      </w:rPr>
      <w:instrText xml:space="preserve">PAGE  </w:instrText>
    </w:r>
    <w:r>
      <w:fldChar w:fldCharType="end"/>
    </w:r>
  </w:p>
  <w:p w14:paraId="4F06842B">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BE67A">
    <w:pPr>
      <w:pStyle w:val="40"/>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E0CC62">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7BE0CC62">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384E1">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285F41">
                          <w:pPr>
                            <w:pStyle w:val="40"/>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33285F41">
                    <w:pPr>
                      <w:pStyle w:val="40"/>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9DFD4">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D2EA62">
                          <w:pPr>
                            <w:pStyle w:val="40"/>
                            <w:jc w:val="center"/>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72D2EA62">
                    <w:pPr>
                      <w:pStyle w:val="40"/>
                      <w:jc w:val="center"/>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2C5EE46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792CE">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BDEAF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21BDEAF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80255C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DBC6F">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DFC5FC">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37DFC5FC">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01B7B99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42A38">
    <w:pPr>
      <w:pStyle w:val="40"/>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2E31FFC">
                          <w:pPr>
                            <w:pStyle w:val="40"/>
                            <w:jc w:val="center"/>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32E31FFC">
                    <w:pPr>
                      <w:pStyle w:val="40"/>
                      <w:jc w:val="center"/>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07227">
    <w:pPr>
      <w:pStyle w:val="40"/>
      <w:framePr w:wrap="around" w:vAnchor="text" w:hAnchor="margin" w:xAlign="right" w:y="1"/>
      <w:rPr>
        <w:rStyle w:val="72"/>
      </w:rPr>
    </w:pPr>
    <w:r>
      <w:fldChar w:fldCharType="begin"/>
    </w:r>
    <w:r>
      <w:rPr>
        <w:rStyle w:val="72"/>
      </w:rPr>
      <w:instrText xml:space="preserve">PAGE  </w:instrText>
    </w:r>
    <w:r>
      <w:fldChar w:fldCharType="end"/>
    </w:r>
  </w:p>
  <w:p w14:paraId="6781A524">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F7154">
    <w:pPr>
      <w:pStyle w:val="41"/>
      <w:jc w:val="left"/>
    </w:pPr>
    <w:r>
      <w:rPr>
        <w:rFonts w:hint="eastAsia" w:ascii="仿宋" w:hAnsi="仿宋" w:eastAsia="仿宋" w:cs="仿宋"/>
      </w:rPr>
      <w:t xml:space="preserve">浙江中兴工程项目管理有限公司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[2025]1876号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898FF">
    <w:pPr>
      <w:pStyle w:val="41"/>
      <w:jc w:val="left"/>
      <w:rPr>
        <w:rFonts w:ascii="仿宋_GB2312" w:eastAsia="仿宋_GB2312"/>
        <w:i/>
        <w:u w:val="single"/>
      </w:rPr>
    </w:pPr>
    <w:r>
      <w:rPr>
        <w:rFonts w:hint="eastAsia" w:ascii="仿宋" w:hAnsi="仿宋" w:eastAsia="仿宋" w:cs="仿宋"/>
      </w:rPr>
      <w:t xml:space="preserve">浙江中兴工程项目管理有限公司                                                     文件编号:  </w:t>
    </w:r>
  </w:p>
  <w:p w14:paraId="42BFD940">
    <w:pPr>
      <w:pStyle w:val="41"/>
      <w:pBdr>
        <w:bottom w:val="none" w:color="auto" w:sz="0" w:space="0"/>
      </w:pBdr>
      <w:tabs>
        <w:tab w:val="clear" w:pos="4153"/>
        <w:tab w:val="clear" w:pos="8306"/>
      </w:tabs>
      <w:jc w:val="both"/>
    </w:pPr>
  </w:p>
  <w:p w14:paraId="553D8791">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31FB3">
    <w:pPr>
      <w:pStyle w:val="41"/>
      <w:jc w:val="left"/>
      <w:rPr>
        <w:rFonts w:ascii="仿宋_GB2312" w:eastAsia="仿宋_GB2312"/>
        <w:i/>
        <w:u w:val="single"/>
      </w:rPr>
    </w:pPr>
    <w:r>
      <w:rPr>
        <w:rFonts w:hint="eastAsia" w:ascii="仿宋" w:hAnsi="仿宋" w:eastAsia="仿宋" w:cs="仿宋"/>
      </w:rPr>
      <w:t xml:space="preserve">浙江中兴工程项目管理有限公司                                         文件编号: [2025]1876号 </w:t>
    </w:r>
  </w:p>
  <w:p w14:paraId="3FBD2FF2">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E79C2">
    <w:pPr>
      <w:pStyle w:val="41"/>
      <w:jc w:val="left"/>
      <w:rPr>
        <w:rFonts w:ascii="仿宋_GB2312" w:eastAsia="仿宋_GB2312"/>
        <w:i/>
        <w:u w:val="single"/>
      </w:rPr>
    </w:pPr>
    <w:r>
      <w:t></w:t>
    </w:r>
    <w:r>
      <w:rPr>
        <w:rFonts w:hint="eastAsia" w:ascii="仿宋" w:hAnsi="仿宋" w:eastAsia="仿宋" w:cs="仿宋"/>
      </w:rPr>
      <w:t xml:space="preserve">（代理机构）                                                           文件编号:  </w:t>
    </w:r>
  </w:p>
  <w:p w14:paraId="1FAD8AE4">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C9BB7">
    <w:pPr>
      <w:pStyle w:val="41"/>
      <w:jc w:val="left"/>
      <w:rPr>
        <w:rFonts w:ascii="仿宋_GB2312" w:eastAsia="仿宋_GB2312"/>
        <w:b/>
        <w:i/>
        <w:u w:val="single"/>
      </w:rPr>
    </w:pPr>
    <w:r>
      <w:rPr>
        <w:rFonts w:hint="eastAsia" w:ascii="仿宋" w:hAnsi="仿宋" w:eastAsia="仿宋" w:cs="仿宋"/>
      </w:rPr>
      <w:t xml:space="preserve">浙江中兴工程项目管理有限公司                                          文件编号:绍柯采[2025]596号  </w:t>
    </w:r>
  </w:p>
  <w:p w14:paraId="21ED578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D122E">
    <w:pPr>
      <w:pStyle w:val="41"/>
      <w:jc w:val="left"/>
      <w:rPr>
        <w:rFonts w:ascii="仿宋_GB2312" w:eastAsia="仿宋_GB2312"/>
        <w:i/>
        <w:u w:val="single"/>
      </w:rPr>
    </w:pPr>
    <w:r>
      <w:rPr>
        <w:rFonts w:hint="eastAsia" w:ascii="仿宋" w:hAnsi="仿宋" w:eastAsia="仿宋" w:cs="仿宋"/>
      </w:rPr>
      <w:t>浙江中兴工程项目管理有限公司                                         文件编号: [2025]1876号</w:t>
    </w:r>
    <w:bookmarkStart w:id="173" w:name="_GoBack"/>
    <w:bookmarkEnd w:id="173"/>
    <w:r>
      <w:rPr>
        <w:rFonts w:hint="eastAsia" w:ascii="仿宋" w:hAnsi="仿宋" w:eastAsia="仿宋" w:cs="仿宋"/>
      </w:rPr>
      <w:t xml:space="preserve"> </w:t>
    </w:r>
  </w:p>
  <w:p w14:paraId="57A0F3F6">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EEEA6">
    <w:pPr>
      <w:pStyle w:val="41"/>
      <w:jc w:val="left"/>
      <w:rPr>
        <w:rFonts w:ascii="仿宋_GB2312" w:eastAsia="仿宋_GB2312"/>
        <w:i/>
        <w:u w:val="single"/>
      </w:rPr>
    </w:pPr>
    <w:r>
      <w:rPr>
        <w:rFonts w:hint="eastAsia" w:ascii="仿宋" w:hAnsi="仿宋" w:eastAsia="仿宋" w:cs="仿宋"/>
      </w:rPr>
      <w:t xml:space="preserve">（代理机构）                                                           文件编号:  </w:t>
    </w:r>
  </w:p>
  <w:p w14:paraId="4A25C4FD">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11A10B0C"/>
    <w:multiLevelType w:val="multilevel"/>
    <w:tmpl w:val="11A10B0C"/>
    <w:lvl w:ilvl="0" w:tentative="0">
      <w:start w:val="1"/>
      <w:numFmt w:val="decimal"/>
      <w:lvlText w:val="%1."/>
      <w:lvlJc w:val="left"/>
      <w:pPr>
        <w:ind w:left="860" w:hanging="440"/>
      </w:pPr>
      <w:rPr>
        <w:rFonts w:hint="default"/>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3">
    <w:nsid w:val="152E3196"/>
    <w:multiLevelType w:val="multilevel"/>
    <w:tmpl w:val="152E3196"/>
    <w:lvl w:ilvl="0" w:tentative="0">
      <w:start w:val="1"/>
      <w:numFmt w:val="decimal"/>
      <w:lvlText w:val="%1."/>
      <w:lvlJc w:val="left"/>
      <w:pPr>
        <w:ind w:left="860" w:hanging="440"/>
      </w:pPr>
      <w:rPr>
        <w:rFonts w:hint="default"/>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4">
    <w:nsid w:val="1ED80CCB"/>
    <w:multiLevelType w:val="multilevel"/>
    <w:tmpl w:val="1ED80CCB"/>
    <w:lvl w:ilvl="0" w:tentative="0">
      <w:start w:val="1"/>
      <w:numFmt w:val="decimal"/>
      <w:lvlText w:val="%1."/>
      <w:lvlJc w:val="left"/>
      <w:pPr>
        <w:ind w:left="860" w:hanging="440"/>
      </w:pPr>
      <w:rPr>
        <w:rFonts w:hint="default"/>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5">
    <w:nsid w:val="2BB90E94"/>
    <w:multiLevelType w:val="multilevel"/>
    <w:tmpl w:val="2BB90E9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4B78100A"/>
    <w:multiLevelType w:val="multilevel"/>
    <w:tmpl w:val="4B78100A"/>
    <w:lvl w:ilvl="0" w:tentative="0">
      <w:start w:val="1"/>
      <w:numFmt w:val="decimal"/>
      <w:lvlText w:val="%1."/>
      <w:lvlJc w:val="left"/>
      <w:pPr>
        <w:ind w:left="860" w:hanging="440"/>
      </w:pPr>
      <w:rPr>
        <w:rFonts w:hint="default"/>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7">
    <w:nsid w:val="4E7051AB"/>
    <w:multiLevelType w:val="multilevel"/>
    <w:tmpl w:val="4E7051A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5D1A6E0E"/>
    <w:multiLevelType w:val="multilevel"/>
    <w:tmpl w:val="5D1A6E0E"/>
    <w:lvl w:ilvl="0" w:tentative="0">
      <w:start w:val="1"/>
      <w:numFmt w:val="decimal"/>
      <w:lvlText w:val="%1."/>
      <w:lvlJc w:val="left"/>
      <w:pPr>
        <w:ind w:left="860" w:hanging="440"/>
      </w:pPr>
      <w:rPr>
        <w:rFonts w:hint="default"/>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9">
    <w:nsid w:val="68820F89"/>
    <w:multiLevelType w:val="multilevel"/>
    <w:tmpl w:val="68820F89"/>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0">
    <w:nsid w:val="6EDB0E99"/>
    <w:multiLevelType w:val="multilevel"/>
    <w:tmpl w:val="6EDB0E99"/>
    <w:lvl w:ilvl="0" w:tentative="0">
      <w:start w:val="1"/>
      <w:numFmt w:val="decimal"/>
      <w:lvlText w:val="%1."/>
      <w:lvlJc w:val="left"/>
      <w:pPr>
        <w:ind w:left="860" w:hanging="440"/>
      </w:pPr>
      <w:rPr>
        <w:rFonts w:hint="default"/>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1">
    <w:nsid w:val="73B6537F"/>
    <w:multiLevelType w:val="multilevel"/>
    <w:tmpl w:val="73B6537F"/>
    <w:lvl w:ilvl="0" w:tentative="0">
      <w:start w:val="1"/>
      <w:numFmt w:val="decimal"/>
      <w:lvlText w:val="%1."/>
      <w:lvlJc w:val="left"/>
      <w:pPr>
        <w:ind w:left="440" w:hanging="440"/>
      </w:pPr>
      <w:rPr>
        <w:rFonts w:hint="default"/>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7A667B65"/>
    <w:multiLevelType w:val="multilevel"/>
    <w:tmpl w:val="7A667B65"/>
    <w:lvl w:ilvl="0" w:tentative="0">
      <w:start w:val="1"/>
      <w:numFmt w:val="decimal"/>
      <w:lvlText w:val="%1."/>
      <w:lvlJc w:val="left"/>
      <w:pPr>
        <w:ind w:left="440" w:hanging="440"/>
      </w:pPr>
      <w:rPr>
        <w:rFonts w:hint="default"/>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5"/>
  </w:num>
  <w:num w:numId="2">
    <w:abstractNumId w:val="7"/>
  </w:num>
  <w:num w:numId="3">
    <w:abstractNumId w:val="9"/>
  </w:num>
  <w:num w:numId="4">
    <w:abstractNumId w:val="8"/>
  </w:num>
  <w:num w:numId="5">
    <w:abstractNumId w:val="6"/>
  </w:num>
  <w:num w:numId="6">
    <w:abstractNumId w:val="4"/>
  </w:num>
  <w:num w:numId="7">
    <w:abstractNumId w:val="10"/>
  </w:num>
  <w:num w:numId="8">
    <w:abstractNumId w:val="3"/>
  </w:num>
  <w:num w:numId="9">
    <w:abstractNumId w:val="12"/>
  </w:num>
  <w:num w:numId="10">
    <w:abstractNumId w:val="11"/>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5EB8"/>
    <w:rsid w:val="00045D32"/>
    <w:rsid w:val="00172A27"/>
    <w:rsid w:val="0041324B"/>
    <w:rsid w:val="00534324"/>
    <w:rsid w:val="00986BDF"/>
    <w:rsid w:val="00A91EFC"/>
    <w:rsid w:val="00B34AC1"/>
    <w:rsid w:val="00CC00F6"/>
    <w:rsid w:val="00D46745"/>
    <w:rsid w:val="035BEF8B"/>
    <w:rsid w:val="03EC0DE0"/>
    <w:rsid w:val="04B57AFE"/>
    <w:rsid w:val="0F096B8F"/>
    <w:rsid w:val="0F63063F"/>
    <w:rsid w:val="10872763"/>
    <w:rsid w:val="18E60774"/>
    <w:rsid w:val="1D2F1C3B"/>
    <w:rsid w:val="1E1F1F14"/>
    <w:rsid w:val="1FBFFEB0"/>
    <w:rsid w:val="206A21E0"/>
    <w:rsid w:val="22982199"/>
    <w:rsid w:val="22BF6683"/>
    <w:rsid w:val="26510D86"/>
    <w:rsid w:val="275DFFED"/>
    <w:rsid w:val="2A6A7ABC"/>
    <w:rsid w:val="2B0D2AB6"/>
    <w:rsid w:val="2EA61AA8"/>
    <w:rsid w:val="2F0C0A43"/>
    <w:rsid w:val="30CD01D9"/>
    <w:rsid w:val="3205287A"/>
    <w:rsid w:val="326F4556"/>
    <w:rsid w:val="354229B1"/>
    <w:rsid w:val="368B28D0"/>
    <w:rsid w:val="3E6DF6DC"/>
    <w:rsid w:val="3FCFDA4A"/>
    <w:rsid w:val="40EA6325"/>
    <w:rsid w:val="427E60E8"/>
    <w:rsid w:val="4DC95BA6"/>
    <w:rsid w:val="4E530E23"/>
    <w:rsid w:val="4F4B3D85"/>
    <w:rsid w:val="5B73EE39"/>
    <w:rsid w:val="5B9E6B0A"/>
    <w:rsid w:val="5C412FAD"/>
    <w:rsid w:val="5CFAC9C4"/>
    <w:rsid w:val="5F561B6F"/>
    <w:rsid w:val="5F57E5CA"/>
    <w:rsid w:val="63F52088"/>
    <w:rsid w:val="64AFCBD0"/>
    <w:rsid w:val="66135F11"/>
    <w:rsid w:val="669C35D3"/>
    <w:rsid w:val="68566687"/>
    <w:rsid w:val="6AFF2A6C"/>
    <w:rsid w:val="6D7959A6"/>
    <w:rsid w:val="6EBAEEF7"/>
    <w:rsid w:val="6FC37AD4"/>
    <w:rsid w:val="778CFDC4"/>
    <w:rsid w:val="77EDE09C"/>
    <w:rsid w:val="788E059B"/>
    <w:rsid w:val="78AD1F79"/>
    <w:rsid w:val="7CF61D6E"/>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basedOn w:val="69"/>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106</Pages>
  <Words>368</Words>
  <Characters>433</Characters>
  <Lines>390</Lines>
  <Paragraphs>109</Paragraphs>
  <TotalTime>3</TotalTime>
  <ScaleCrop>false</ScaleCrop>
  <LinksUpToDate>false</LinksUpToDate>
  <CharactersWithSpaces>507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JCY</cp:lastModifiedBy>
  <cp:lastPrinted>2021-12-31T19:06:00Z</cp:lastPrinted>
  <dcterms:modified xsi:type="dcterms:W3CDTF">2025-06-20T09:10:00Z</dcterms:modified>
  <dc:title>杭州市市民卡扩大发卡工程</dc:title>
  <cp:revision>319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356D5C0CEBF54D04A021BBE69B82266A</vt:lpwstr>
  </property>
  <property fmtid="{D5CDD505-2E9C-101B-9397-08002B2CF9AE}" pid="5" name="KSOTemplateDocerSaveRecord">
    <vt:lpwstr>eyJoZGlkIjoiMTYwYmI0ODVkM2FiMDU1MGE4OWY5NGQzNTg2MzQyMTkiLCJ1c2VySWQiOiIyMzE1MTYzNjQifQ==</vt:lpwstr>
  </property>
</Properties>
</file>