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kern w:val="0"/>
          <w:sz w:val="52"/>
          <w:szCs w:val="52"/>
          <w:highlight w:val="none"/>
          <w:lang w:val="en-US" w:eastAsia="zh-CN" w:bidi="ar"/>
        </w:rPr>
        <w:t>绍兴市客运船舶停靠站点安全营运标准制定项目</w:t>
      </w:r>
    </w:p>
    <w:p>
      <w:pPr>
        <w:adjustRightInd/>
        <w:spacing w:line="360" w:lineRule="auto"/>
        <w:jc w:val="center"/>
        <w:rPr>
          <w:rFonts w:hint="eastAsia" w:ascii="仿宋" w:hAnsi="仿宋" w:eastAsia="仿宋" w:cs="仿宋"/>
          <w:b/>
          <w:bCs/>
          <w:color w:val="auto"/>
          <w:sz w:val="56"/>
          <w:szCs w:val="56"/>
          <w:highlight w:val="none"/>
          <w:lang w:eastAsia="zh-CN"/>
        </w:rPr>
      </w:pPr>
    </w:p>
    <w:p>
      <w:pPr>
        <w:pStyle w:val="2"/>
        <w:ind w:left="0" w:leftChars="0" w:firstLine="0" w:firstLineChars="0"/>
        <w:rPr>
          <w:rFonts w:hint="eastAsia"/>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招标编号:ZJDT-R-24013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_GB2312"/>
                <w:color w:val="auto"/>
                <w:sz w:val="28"/>
                <w:szCs w:val="28"/>
                <w:highlight w:val="none"/>
              </w:rPr>
              <w:t>浙江东腾利成招标代理有限公司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_GB2312"/>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二○二四年四月</w:t>
            </w:r>
          </w:p>
        </w:tc>
      </w:tr>
    </w:tbl>
    <w:p>
      <w:pPr>
        <w:pStyle w:val="636"/>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bookmarkStart w:id="167" w:name="_GoBack"/>
      <w:bookmarkEnd w:id="167"/>
      <w:r>
        <w:rPr>
          <w:rFonts w:hint="eastAsia" w:ascii="仿宋" w:hAnsi="仿宋" w:eastAsia="仿宋" w:cs="仿宋"/>
          <w:color w:val="auto"/>
          <w:sz w:val="24"/>
          <w:highlight w:val="none"/>
          <w:u w:val="single"/>
          <w:lang w:val="en-US" w:eastAsia="zh-CN"/>
        </w:rPr>
        <w:t>绍兴市客运船舶停靠站点安全营运标准制定项目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ZJDT-R-24013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u w:val="none"/>
          <w:lang w:val="en-US" w:eastAsia="zh-CN"/>
        </w:rPr>
        <w:t xml:space="preserve">绍兴市客运船舶停靠站点安全营运标准制定项目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300000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300000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u w:val="none"/>
          <w:lang w:val="en-US" w:eastAsia="zh-CN"/>
        </w:rPr>
        <w:t xml:space="preserve">绍兴市客运船舶停靠站点安全营运标准制定项目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预算金额：300000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主要内容：</w:t>
      </w:r>
      <w:r>
        <w:rPr>
          <w:rFonts w:hint="eastAsia" w:ascii="仿宋" w:hAnsi="仿宋" w:eastAsia="仿宋"/>
          <w:color w:val="auto"/>
          <w:sz w:val="24"/>
          <w:szCs w:val="24"/>
          <w:highlight w:val="none"/>
        </w:rPr>
        <w:t>简要规格描述、项目基本概况介绍、用途详见采购文件</w:t>
      </w:r>
      <w:r>
        <w:rPr>
          <w:rFonts w:hint="eastAsia" w:ascii="仿宋" w:hAnsi="仿宋" w:eastAsia="仿宋" w:cs="仿宋"/>
          <w:b/>
          <w:color w:val="auto"/>
          <w:sz w:val="24"/>
          <w:szCs w:val="24"/>
          <w:highlight w:val="none"/>
        </w:rPr>
        <w:t>。</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u w:val="single"/>
          <w:lang w:eastAsia="zh-CN"/>
        </w:rPr>
      </w:pPr>
      <w:r>
        <w:rPr>
          <w:rFonts w:hint="eastAsia" w:ascii="仿宋" w:hAnsi="仿宋" w:eastAsia="仿宋" w:cs="仿宋"/>
          <w:b/>
          <w:color w:val="auto"/>
          <w:sz w:val="24"/>
          <w:szCs w:val="24"/>
          <w:highlight w:val="none"/>
        </w:rPr>
        <w:t>合同履行期限</w:t>
      </w:r>
      <w:r>
        <w:rPr>
          <w:rFonts w:hint="eastAsia" w:ascii="仿宋" w:hAnsi="仿宋" w:eastAsia="仿宋" w:cs="仿宋"/>
          <w:color w:val="auto"/>
          <w:sz w:val="24"/>
          <w:szCs w:val="24"/>
          <w:highlight w:val="none"/>
        </w:rPr>
        <w:t>：</w:t>
      </w:r>
      <w:r>
        <w:rPr>
          <w:rFonts w:hint="eastAsia" w:ascii="仿宋" w:hAnsi="仿宋" w:eastAsia="仿宋"/>
          <w:color w:val="auto"/>
          <w:sz w:val="24"/>
          <w:szCs w:val="24"/>
          <w:highlight w:val="none"/>
        </w:rPr>
        <w:t>按双方合同约定条款执行</w:t>
      </w:r>
      <w:r>
        <w:rPr>
          <w:rFonts w:hint="eastAsia" w:ascii="仿宋" w:hAnsi="仿宋" w:eastAsia="仿宋"/>
          <w:color w:val="auto"/>
          <w:sz w:val="24"/>
          <w:szCs w:val="24"/>
          <w:highlight w:val="none"/>
          <w:lang w:eastAsia="zh-CN"/>
        </w:rPr>
        <w:t>。</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sdt>
        <w:sdtPr>
          <w:rPr>
            <w:rFonts w:hint="eastAsia" w:ascii="仿宋" w:hAnsi="仿宋" w:eastAsia="仿宋" w:cs="Arial"/>
            <w:color w:val="auto"/>
            <w:highlight w:val="none"/>
          </w:rPr>
          <w:id w:val="863252859"/>
        </w:sdtPr>
        <w:sdtEndPr>
          <w:rPr>
            <w:rFonts w:hint="eastAsia" w:ascii="仿宋" w:hAnsi="仿宋" w:eastAsia="仿宋" w:cs="Arial"/>
            <w:color w:val="auto"/>
            <w:highlight w:val="none"/>
          </w:rPr>
        </w:sdtEndPr>
        <w:sdtContent>
          <w:r>
            <w:rPr>
              <w:rFonts w:ascii="仿宋" w:hAnsi="仿宋" w:eastAsia="仿宋" w:cs="Arial"/>
              <w:color w:val="auto"/>
              <w:highlight w:val="none"/>
            </w:rPr>
            <w:sym w:font="Wingdings" w:char="F0FE"/>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本项目不接受联合体投标；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Style w:val="77"/>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color w:val="auto"/>
          <w:highlight w:val="none"/>
        </w:rPr>
        <w:fldChar w:fldCharType="begin"/>
      </w:r>
      <w:r>
        <w:rPr>
          <w:color w:val="auto"/>
          <w:highlight w:val="none"/>
        </w:rPr>
        <w:instrText xml:space="preserve"> HYPERLINK "http://www.baidu.com/link?url=foKiCXR7E8XgXJnCUc-T6Q-W5TPLZndf5IbmSYR79KwSFudWEd15Ec101Six4YtsVJG2MhsbNU8hoCqGaSZ55OVPy41xLp2j285v66JmTR0HEeavwsRxrKvKyTyOT5AL3puMmutq0VUTzG3o1EvI2ijfPhab3OtpvgH2vldLB4i5nNvUeH_7uzSjAHgfWF0syLRfckyxJyFIBRs3PpYGTtiB9RxXUOLNA-edwFYs2CxzxB_tAzcavZIMUC069SmJ_tnnndQaimUNVA0MhuszHq" \t "https://www.baidu.com/_blank" </w:instrText>
      </w:r>
      <w:r>
        <w:rPr>
          <w:color w:val="auto"/>
          <w:highlight w:val="none"/>
        </w:rPr>
        <w:fldChar w:fldCharType="separate"/>
      </w:r>
      <w:r>
        <w:rPr>
          <w:rFonts w:hint="eastAsia" w:ascii="仿宋" w:hAnsi="仿宋" w:eastAsia="仿宋" w:cs="仿宋"/>
          <w:color w:val="auto"/>
          <w:sz w:val="24"/>
          <w:highlight w:val="none"/>
        </w:rPr>
        <w:t>绍兴市交通运输行政执法队</w:t>
      </w:r>
      <w:r>
        <w:rPr>
          <w:rFonts w:hint="eastAsia" w:ascii="仿宋" w:hAnsi="仿宋" w:eastAsia="仿宋" w:cs="仿宋"/>
          <w:color w:val="auto"/>
          <w:sz w:val="24"/>
          <w:highlight w:val="none"/>
        </w:rPr>
        <w:fldChar w:fldCharType="end"/>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址：浙江省绍兴市越城区中兴大道155号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 裘青清</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项目联系方式（询问）：0575-88002530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张云</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88002510</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20"/>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名称：浙江东腾利成招标代理有限公司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地址：绍兴市人民东路1187号伟丰文化产业园藏品楼304室</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项目联系人（询问）：茹丽萍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项目联系方式（询问）：13777344612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质疑联系人：冯莹洁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3" w:name="_Toc35393639"/>
      <w:bookmarkStart w:id="14" w:name="_Toc28359021"/>
      <w:bookmarkStart w:id="15" w:name="_Toc28359098"/>
      <w:bookmarkStart w:id="16" w:name="_Toc35393808"/>
      <w:r>
        <w:rPr>
          <w:rFonts w:hint="eastAsia" w:ascii="仿宋" w:hAnsi="仿宋" w:eastAsia="仿宋" w:cs="仿宋"/>
          <w:color w:val="auto"/>
          <w:sz w:val="24"/>
          <w:highlight w:val="none"/>
        </w:rPr>
        <w:t>13757590582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：沈灿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其他未列明行业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中标人须向招标代理机构按如下标准和规定交纳中标服务费：</w:t>
            </w:r>
          </w:p>
          <w:p>
            <w:pPr>
              <w:numPr>
                <w:ilvl w:val="0"/>
                <w:numId w:val="1"/>
              </w:num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以中标通知中确定的中标总金额作为服务费的计算基数，具体比例按《国家计委关于印发&lt;招标代理服务收费管理暂行办法&gt;的通知》（计价格[2002]1980号）执行。收费标准：中标金额在100万以下部分为1.5%，</w:t>
            </w:r>
            <w:r>
              <w:rPr>
                <w:rFonts w:hint="eastAsia" w:ascii="仿宋" w:hAnsi="仿宋" w:eastAsia="仿宋" w:cs="仿宋_GB2312"/>
                <w:color w:val="auto"/>
                <w:sz w:val="24"/>
                <w:highlight w:val="none"/>
                <w:lang w:val="en-US" w:eastAsia="zh-CN"/>
              </w:rPr>
              <w:t>不足5000元收5000元。</w:t>
            </w:r>
          </w:p>
          <w:p>
            <w:pPr>
              <w:numPr>
                <w:ilvl w:val="0"/>
                <w:numId w:val="0"/>
              </w:num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（2）服务费的交纳方式：</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用银行支票、汇票、电汇、现金等付款方式直接交纳中标服务费。</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公司名称：浙江东腾利成招标代理有限公司</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账    号：19545201040012508</w:t>
            </w:r>
          </w:p>
          <w:p>
            <w:pPr>
              <w:spacing w:line="360" w:lineRule="auto"/>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开 户 行：中国农业银行股份有限公司绍兴广场支行</w:t>
            </w:r>
          </w:p>
          <w:p>
            <w:pPr>
              <w:pStyle w:val="26"/>
              <w:ind w:firstLine="0"/>
              <w:rPr>
                <w:color w:val="auto"/>
                <w:highlight w:val="none"/>
              </w:rPr>
            </w:pPr>
            <w:r>
              <w:rPr>
                <w:rFonts w:hint="eastAsia" w:ascii="仿宋" w:hAnsi="仿宋" w:eastAsia="仿宋" w:cs="仿宋_GB2312"/>
                <w:color w:val="auto"/>
                <w:highlight w:val="none"/>
              </w:rPr>
              <w:t>（3）以上费用在领取中标通知书前交纳。</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szCs w:val="21"/>
                <w:highlight w:val="none"/>
              </w:rPr>
              <w:t>（4）评审费由采购人支付。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68072998"/>
      <w:bookmarkEnd w:id="21"/>
      <w:bookmarkStart w:id="22" w:name="_Hlt75236011"/>
      <w:bookmarkEnd w:id="22"/>
      <w:bookmarkStart w:id="23" w:name="_Hlt74707468"/>
      <w:bookmarkEnd w:id="23"/>
      <w:bookmarkStart w:id="24" w:name="_Hlt74714665"/>
      <w:bookmarkEnd w:id="24"/>
      <w:bookmarkStart w:id="25" w:name="_Hlt68073093"/>
      <w:bookmarkEnd w:id="25"/>
      <w:bookmarkStart w:id="26" w:name="_Hlt68403820"/>
      <w:bookmarkEnd w:id="26"/>
      <w:bookmarkStart w:id="27" w:name="_Hlt75236101"/>
      <w:bookmarkEnd w:id="27"/>
      <w:bookmarkStart w:id="28" w:name="_Hlt68072990"/>
      <w:bookmarkEnd w:id="28"/>
      <w:bookmarkStart w:id="29" w:name="_Hlt74730295"/>
      <w:bookmarkEnd w:id="29"/>
      <w:bookmarkStart w:id="30" w:name="_Hlt68057669"/>
      <w:bookmarkEnd w:id="30"/>
      <w:bookmarkStart w:id="31" w:name="_Hlt7472976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kinsoku/>
        <w:wordWrap/>
        <w:overflowPunct/>
        <w:topLinePunct w:val="0"/>
        <w:autoSpaceDE/>
        <w:autoSpaceDN/>
        <w:bidi w:val="0"/>
        <w:adjustRightInd w:val="0"/>
        <w:spacing w:line="440" w:lineRule="exact"/>
        <w:ind w:firstLine="240" w:firstLineChars="1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headerReference r:id="rId7" w:type="default"/>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spacing w:line="360" w:lineRule="auto"/>
        <w:jc w:val="left"/>
        <w:rPr>
          <w:rFonts w:hint="eastAsia" w:ascii="仿宋" w:hAnsi="仿宋" w:eastAsia="仿宋" w:cs="仿宋"/>
          <w:b/>
          <w:color w:val="auto"/>
          <w:sz w:val="28"/>
          <w:szCs w:val="28"/>
          <w:highlight w:val="none"/>
        </w:rPr>
      </w:pPr>
      <w:bookmarkStart w:id="36" w:name="第五部分"/>
      <w:bookmarkStart w:id="37" w:name="_Toc86217003"/>
    </w:p>
    <w:p>
      <w:pPr>
        <w:spacing w:line="360" w:lineRule="auto"/>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一、项目背景</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根据《安全生产法》《港口法》《内河交通安全管理条例》《国内水路运输管理条例》等法律法规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交通运输部《关于规范水路客运船舶船岸靠泊问题的通知》交办水函</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2023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492号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《省港航管理中心关于转发规范水路客运船舶船岸靠泊问题相关文件的通知》</w:t>
      </w:r>
      <w:r>
        <w:rPr>
          <w:rFonts w:hint="eastAsia" w:ascii="仿宋" w:hAnsi="仿宋" w:eastAsia="仿宋" w:cs="仿宋"/>
          <w:color w:val="auto"/>
          <w:sz w:val="24"/>
          <w:szCs w:val="24"/>
          <w:highlight w:val="none"/>
          <w:lang w:eastAsia="zh-CN"/>
        </w:rPr>
        <w:t>等文件要求</w:t>
      </w:r>
      <w:r>
        <w:rPr>
          <w:rFonts w:hint="eastAsia" w:ascii="仿宋" w:hAnsi="仿宋" w:eastAsia="仿宋" w:cs="仿宋"/>
          <w:color w:val="auto"/>
          <w:sz w:val="24"/>
          <w:szCs w:val="24"/>
          <w:highlight w:val="none"/>
          <w:lang w:val="en-US" w:eastAsia="zh-CN"/>
        </w:rPr>
        <w:t>,就</w:t>
      </w:r>
      <w:r>
        <w:rPr>
          <w:rFonts w:hint="eastAsia" w:ascii="仿宋" w:hAnsi="仿宋" w:eastAsia="仿宋" w:cs="仿宋"/>
          <w:color w:val="auto"/>
          <w:sz w:val="24"/>
          <w:szCs w:val="24"/>
          <w:highlight w:val="none"/>
          <w:lang w:eastAsia="zh-CN"/>
        </w:rPr>
        <w:t>绍兴市</w:t>
      </w:r>
      <w:r>
        <w:rPr>
          <w:rFonts w:hint="eastAsia" w:ascii="仿宋" w:hAnsi="仿宋" w:eastAsia="仿宋" w:cs="仿宋"/>
          <w:color w:val="auto"/>
          <w:sz w:val="24"/>
          <w:szCs w:val="24"/>
          <w:highlight w:val="none"/>
        </w:rPr>
        <w:t>客运船舶停靠站点开展</w:t>
      </w:r>
      <w:r>
        <w:rPr>
          <w:rFonts w:hint="eastAsia" w:ascii="仿宋" w:hAnsi="仿宋" w:eastAsia="仿宋" w:cs="仿宋"/>
          <w:color w:val="auto"/>
          <w:sz w:val="24"/>
          <w:szCs w:val="24"/>
          <w:highlight w:val="none"/>
          <w:lang w:val="en-US" w:eastAsia="zh-CN"/>
        </w:rPr>
        <w:t>管理服务规范内容编制, 全面</w:t>
      </w:r>
      <w:r>
        <w:rPr>
          <w:rFonts w:hint="eastAsia" w:ascii="仿宋" w:hAnsi="仿宋" w:eastAsia="仿宋" w:cs="仿宋"/>
          <w:color w:val="auto"/>
          <w:sz w:val="24"/>
          <w:szCs w:val="24"/>
          <w:highlight w:val="none"/>
          <w:lang w:eastAsia="zh-CN"/>
        </w:rPr>
        <w:t>落实全市</w:t>
      </w:r>
      <w:r>
        <w:rPr>
          <w:rFonts w:hint="eastAsia" w:ascii="仿宋" w:hAnsi="仿宋" w:eastAsia="仿宋" w:cs="仿宋"/>
          <w:color w:val="auto"/>
          <w:sz w:val="24"/>
          <w:szCs w:val="24"/>
          <w:highlight w:val="none"/>
        </w:rPr>
        <w:t>港口外客运船舶停靠站点规范</w:t>
      </w:r>
      <w:r>
        <w:rPr>
          <w:rFonts w:hint="eastAsia" w:ascii="仿宋" w:hAnsi="仿宋" w:eastAsia="仿宋" w:cs="仿宋"/>
          <w:color w:val="auto"/>
          <w:sz w:val="24"/>
          <w:szCs w:val="24"/>
          <w:highlight w:val="none"/>
          <w:lang w:eastAsia="zh-CN"/>
        </w:rPr>
        <w:t>工作。</w:t>
      </w:r>
    </w:p>
    <w:p>
      <w:pPr>
        <w:spacing w:line="360" w:lineRule="auto"/>
        <w:jc w:val="left"/>
        <w:rPr>
          <w:rFonts w:hint="eastAsia" w:ascii="仿宋" w:hAnsi="仿宋" w:eastAsia="仿宋" w:cs="仿宋"/>
          <w:b/>
          <w:color w:val="auto"/>
          <w:sz w:val="28"/>
          <w:szCs w:val="28"/>
          <w:highlight w:val="none"/>
        </w:rPr>
      </w:pPr>
    </w:p>
    <w:p>
      <w:pPr>
        <w:spacing w:line="360" w:lineRule="auto"/>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二、项目编制期限</w:t>
      </w:r>
    </w:p>
    <w:p>
      <w:pPr>
        <w:spacing w:line="360" w:lineRule="auto"/>
        <w:ind w:firstLine="480" w:firstLineChars="200"/>
        <w:jc w:val="left"/>
        <w:rPr>
          <w:rFonts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2024年9月底前完成内容编制。</w:t>
      </w:r>
    </w:p>
    <w:p>
      <w:pPr>
        <w:spacing w:line="360" w:lineRule="auto"/>
        <w:jc w:val="left"/>
        <w:rPr>
          <w:rFonts w:hint="eastAsia" w:ascii="仿宋" w:hAnsi="仿宋" w:eastAsia="仿宋" w:cs="仿宋"/>
          <w:b/>
          <w:color w:val="auto"/>
          <w:sz w:val="28"/>
          <w:szCs w:val="28"/>
          <w:highlight w:val="none"/>
        </w:rPr>
      </w:pPr>
    </w:p>
    <w:p>
      <w:pPr>
        <w:spacing w:line="360" w:lineRule="auto"/>
        <w:jc w:val="left"/>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三、项目</w:t>
      </w:r>
      <w:r>
        <w:rPr>
          <w:rFonts w:hint="eastAsia" w:ascii="仿宋" w:hAnsi="仿宋" w:eastAsia="仿宋" w:cs="仿宋"/>
          <w:b/>
          <w:color w:val="auto"/>
          <w:sz w:val="28"/>
          <w:szCs w:val="28"/>
          <w:highlight w:val="none"/>
          <w:lang w:val="en-US" w:eastAsia="zh-CN"/>
        </w:rPr>
        <w:t>编制内容及要求</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项目以绍兴水域水上客运船舶停靠站点的研究为基础，结合国内其他地区水上客运实际情况，编制符合绍兴水域和文化特点、具有推广价值的客运船舶停靠站点管理服务规范内容，解决我市水上客运发展过程中的痛点难点，加速绍兴水城旅游的进一步发展提供服务和保障。</w:t>
      </w:r>
    </w:p>
    <w:p>
      <w:pPr>
        <w:numPr>
          <w:ilvl w:val="0"/>
          <w:numId w:val="0"/>
        </w:numPr>
        <w:spacing w:line="360" w:lineRule="auto"/>
        <w:jc w:val="left"/>
        <w:rPr>
          <w:rFonts w:hint="eastAsia" w:ascii="仿宋" w:hAnsi="仿宋" w:eastAsia="仿宋" w:cs="仿宋"/>
          <w:b/>
          <w:color w:val="auto"/>
          <w:sz w:val="28"/>
          <w:szCs w:val="28"/>
          <w:highlight w:val="none"/>
        </w:rPr>
      </w:pPr>
    </w:p>
    <w:p>
      <w:pPr>
        <w:numPr>
          <w:ilvl w:val="0"/>
          <w:numId w:val="2"/>
        </w:numPr>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付款方式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本项目自合同签订后</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个工作日内，向中标的服务单位支付</w:t>
      </w:r>
      <w:r>
        <w:rPr>
          <w:rFonts w:hint="eastAsia" w:ascii="仿宋" w:hAnsi="仿宋" w:eastAsia="仿宋" w:cs="仿宋"/>
          <w:color w:val="auto"/>
          <w:sz w:val="24"/>
          <w:szCs w:val="24"/>
          <w:highlight w:val="none"/>
          <w:lang w:val="en-US" w:eastAsia="zh-CN"/>
        </w:rPr>
        <w:t>合同价的60%，2024年9月底前支付合同款项剩余的40%。</w:t>
      </w:r>
    </w:p>
    <w:p>
      <w:pPr>
        <w:keepNext w:val="0"/>
        <w:keepLines w:val="0"/>
        <w:pageBreakBefore w:val="0"/>
        <w:widowControl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lang w:val="en-US" w:eastAsia="zh-CN"/>
        </w:rPr>
      </w:pPr>
    </w:p>
    <w:p>
      <w:pPr>
        <w:keepNext w:val="0"/>
        <w:keepLines w:val="0"/>
        <w:pageBreakBefore w:val="0"/>
        <w:widowControl w:val="0"/>
        <w:kinsoku/>
        <w:wordWrap/>
        <w:overflowPunct/>
        <w:topLinePunct w:val="0"/>
        <w:bidi w:val="0"/>
        <w:snapToGrid/>
        <w:spacing w:line="500" w:lineRule="exact"/>
        <w:textAlignment w:val="auto"/>
        <w:rPr>
          <w:color w:val="auto"/>
          <w:sz w:val="24"/>
          <w:szCs w:val="24"/>
          <w:highlight w:val="none"/>
        </w:rPr>
      </w:pPr>
      <w:r>
        <w:rPr>
          <w:rFonts w:hint="eastAsia" w:ascii="仿宋" w:hAnsi="仿宋" w:eastAsia="仿宋" w:cs="仿宋"/>
          <w:b/>
          <w:bCs/>
          <w:color w:val="auto"/>
          <w:sz w:val="28"/>
          <w:szCs w:val="28"/>
          <w:highlight w:val="none"/>
          <w:lang w:val="en-US" w:eastAsia="zh-CN"/>
        </w:rPr>
        <w:t>五、服务地点：</w:t>
      </w:r>
      <w:r>
        <w:rPr>
          <w:rFonts w:hint="eastAsia" w:ascii="仿宋" w:hAnsi="仿宋" w:eastAsia="仿宋" w:cs="仿宋"/>
          <w:b/>
          <w:bCs/>
          <w:color w:val="auto"/>
          <w:sz w:val="24"/>
          <w:szCs w:val="24"/>
          <w:highlight w:val="none"/>
          <w:lang w:val="en-US" w:eastAsia="zh-CN"/>
        </w:rPr>
        <w:t>业主指定地点。</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jc w:val="cente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both"/>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0421"/>
      <w:bookmarkStart w:id="39" w:name="_Toc19273"/>
      <w:bookmarkStart w:id="40" w:name="_Toc22967"/>
      <w:bookmarkStart w:id="41" w:name="_Toc15367"/>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18585"/>
      <w:bookmarkStart w:id="45" w:name="_Toc2918"/>
      <w:bookmarkStart w:id="46" w:name="_Toc6773"/>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21124"/>
      <w:bookmarkStart w:id="50" w:name="_Toc13918"/>
      <w:bookmarkStart w:id="51" w:name="_Toc4929"/>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654"/>
      <w:bookmarkStart w:id="54" w:name="_Toc30506"/>
      <w:bookmarkStart w:id="55" w:name="_Toc30158"/>
      <w:bookmarkStart w:id="56" w:name="_Toc14993"/>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31421"/>
      <w:bookmarkStart w:id="62" w:name="_Toc4760"/>
      <w:bookmarkStart w:id="63" w:name="_Toc11108"/>
      <w:bookmarkStart w:id="64" w:name="_Toc8772"/>
      <w:bookmarkStart w:id="65" w:name="_Toc3625"/>
      <w:r>
        <w:rPr>
          <w:rFonts w:hint="eastAsia" w:ascii="仿宋" w:hAnsi="仿宋" w:eastAsia="仿宋" w:cs="仿宋"/>
          <w:b/>
          <w:color w:val="auto"/>
          <w:highlight w:val="none"/>
        </w:rPr>
        <w:t>1.4履约保证金</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24662"/>
      <w:bookmarkStart w:id="68" w:name="_Toc2375"/>
      <w:bookmarkStart w:id="69" w:name="_Toc8586"/>
      <w:bookmarkStart w:id="70" w:name="_Toc3079"/>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18683"/>
      <w:bookmarkStart w:id="73" w:name="_Toc32454"/>
      <w:bookmarkStart w:id="74" w:name="_Toc9497"/>
      <w:bookmarkStart w:id="7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15322"/>
      <w:bookmarkStart w:id="81" w:name="_Toc7245"/>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31297"/>
      <w:bookmarkStart w:id="84" w:name="_Toc5228"/>
      <w:bookmarkStart w:id="85" w:name="_Toc14021"/>
      <w:bookmarkStart w:id="86" w:name="_Toc19680"/>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23289"/>
      <w:bookmarkStart w:id="88" w:name="_Toc31402"/>
      <w:bookmarkStart w:id="89" w:name="_Toc19539"/>
      <w:bookmarkStart w:id="90" w:name="_Toc16752"/>
      <w:bookmarkStart w:id="91" w:name="_Toc3769"/>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27945"/>
      <w:bookmarkStart w:id="93" w:name="_Toc4133"/>
      <w:bookmarkStart w:id="94" w:name="_Toc9161"/>
      <w:bookmarkStart w:id="95" w:name="_Toc13673"/>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15447"/>
      <w:bookmarkStart w:id="99" w:name="_Toc22011"/>
      <w:bookmarkStart w:id="100" w:name="_Toc32670"/>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18990"/>
      <w:bookmarkStart w:id="104" w:name="_Toc13154"/>
      <w:bookmarkStart w:id="105" w:name="_Toc30507"/>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10663"/>
      <w:bookmarkStart w:id="112" w:name="_Toc21830"/>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4720"/>
      <w:bookmarkStart w:id="116" w:name="_Toc26633"/>
      <w:bookmarkStart w:id="117" w:name="_Toc25571"/>
      <w:bookmarkStart w:id="118" w:name="_Toc32494"/>
      <w:bookmarkStart w:id="119" w:name="_Toc14371"/>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14115"/>
      <w:bookmarkStart w:id="121" w:name="_Toc23854"/>
      <w:bookmarkStart w:id="122" w:name="_Toc3638"/>
      <w:bookmarkStart w:id="123" w:name="_Toc24465"/>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7315"/>
      <w:bookmarkStart w:id="126" w:name="_Toc25525"/>
      <w:bookmarkStart w:id="127" w:name="_Toc14814"/>
      <w:bookmarkStart w:id="128" w:name="_Toc26883"/>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12666"/>
      <w:bookmarkStart w:id="138" w:name="_Toc9808"/>
      <w:bookmarkStart w:id="139" w:name="_Toc31892"/>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28906"/>
      <w:bookmarkStart w:id="145" w:name="_Toc12254"/>
      <w:bookmarkStart w:id="146" w:name="_Toc5063"/>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18540"/>
      <w:bookmarkStart w:id="150" w:name="_Toc4355"/>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0330"/>
      <w:bookmarkStart w:id="153" w:name="_Toc279701263"/>
      <w:bookmarkStart w:id="154" w:name="_Toc12773"/>
      <w:bookmarkStart w:id="155" w:name="_Toc259093692"/>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70" w:firstLineChars="196"/>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1.1本次评标采用综合评分法，投标文件满足招标文件全部实质性要求且评标得分最高的供应商为中标候选人；评标得分相同时，以投标报价低的优先；评标得分和投标报价均相同时，以服务方案得分高的优先。</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3"/>
        <w:tblW w:w="9838" w:type="dxa"/>
        <w:jc w:val="center"/>
        <w:tblLayout w:type="fixed"/>
        <w:tblCellMar>
          <w:top w:w="0" w:type="dxa"/>
          <w:left w:w="108" w:type="dxa"/>
          <w:bottom w:w="0" w:type="dxa"/>
          <w:right w:w="108" w:type="dxa"/>
        </w:tblCellMar>
      </w:tblPr>
      <w:tblGrid>
        <w:gridCol w:w="1220"/>
        <w:gridCol w:w="1220"/>
        <w:gridCol w:w="6162"/>
        <w:gridCol w:w="1236"/>
      </w:tblGrid>
      <w:tr>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项目业绩</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w:t>
            </w:r>
          </w:p>
        </w:tc>
        <w:tc>
          <w:tcPr>
            <w:tcW w:w="6162"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投标人近三年（自</w:t>
            </w:r>
            <w:r>
              <w:rPr>
                <w:rFonts w:hint="eastAsia" w:ascii="仿宋" w:hAnsi="仿宋" w:eastAsia="仿宋" w:cs="仿宋"/>
                <w:color w:val="auto"/>
                <w:kern w:val="0"/>
                <w:sz w:val="24"/>
                <w:szCs w:val="24"/>
                <w:highlight w:val="none"/>
                <w:lang w:val="en-US" w:eastAsia="zh-CN"/>
              </w:rPr>
              <w:t>2021</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日以来）承接过类似项目业绩，每个得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分，本项最高得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分（需提供合同协议书或委托书的复印件或扫描件</w:t>
            </w:r>
            <w:r>
              <w:rPr>
                <w:rFonts w:hint="eastAsia" w:ascii="仿宋" w:hAnsi="仿宋" w:eastAsia="仿宋" w:cs="仿宋"/>
                <w:color w:val="auto"/>
                <w:kern w:val="0"/>
                <w:sz w:val="24"/>
                <w:szCs w:val="24"/>
                <w:highlight w:val="none"/>
                <w:lang w:val="en-US" w:eastAsia="zh-CN"/>
              </w:rPr>
              <w:t>并加盖投标单位公章</w:t>
            </w:r>
            <w:r>
              <w:rPr>
                <w:rFonts w:hint="eastAsia" w:ascii="仿宋" w:hAnsi="仿宋" w:eastAsia="仿宋" w:cs="仿宋"/>
                <w:color w:val="auto"/>
                <w:kern w:val="0"/>
                <w:sz w:val="24"/>
                <w:szCs w:val="24"/>
                <w:highlight w:val="none"/>
              </w:rPr>
              <w:t>，业绩时间以合同签订时间为准）。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研究课题或奖励或专利</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（4分）</w:t>
            </w:r>
          </w:p>
        </w:tc>
        <w:tc>
          <w:tcPr>
            <w:tcW w:w="616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投标人承担过市级以上港航领域的研究课题得2分，省级以上得3分，国家级得4分或投标人获得市级以上港航服务奖励得2分，省级以上得3分，国家级得4分或投标人获得过港航经济方面的专利，每个得2分，</w:t>
            </w:r>
            <w:r>
              <w:rPr>
                <w:rFonts w:hint="eastAsia" w:ascii="仿宋" w:hAnsi="仿宋" w:eastAsia="仿宋" w:cs="仿宋"/>
                <w:color w:val="auto"/>
                <w:kern w:val="0"/>
                <w:sz w:val="24"/>
                <w:szCs w:val="24"/>
                <w:highlight w:val="none"/>
                <w:lang w:val="en-US" w:eastAsia="zh-CN"/>
              </w:rPr>
              <w:t>本项</w:t>
            </w:r>
            <w:r>
              <w:rPr>
                <w:rFonts w:hint="eastAsia" w:ascii="仿宋" w:hAnsi="仿宋" w:eastAsia="仿宋" w:cs="仿宋"/>
                <w:color w:val="auto"/>
                <w:kern w:val="0"/>
                <w:sz w:val="24"/>
                <w:szCs w:val="24"/>
                <w:highlight w:val="none"/>
              </w:rPr>
              <w:t>最多得4分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需提供相应证明材料</w:t>
            </w:r>
            <w:r>
              <w:rPr>
                <w:rFonts w:hint="eastAsia" w:ascii="仿宋" w:hAnsi="仿宋" w:eastAsia="仿宋" w:cs="仿宋"/>
                <w:color w:val="auto"/>
                <w:kern w:val="0"/>
                <w:sz w:val="24"/>
                <w:szCs w:val="24"/>
                <w:highlight w:val="none"/>
                <w:lang w:val="en-US" w:eastAsia="zh-CN"/>
              </w:rPr>
              <w:t>并加盖投标单位公章</w:t>
            </w:r>
            <w:r>
              <w:rPr>
                <w:rFonts w:hint="eastAsia" w:ascii="仿宋" w:hAnsi="仿宋" w:eastAsia="仿宋" w:cs="仿宋"/>
                <w:color w:val="auto"/>
                <w:kern w:val="0"/>
                <w:sz w:val="24"/>
                <w:szCs w:val="24"/>
                <w:highlight w:val="none"/>
              </w:rPr>
              <w:t>。</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4分</w:t>
            </w:r>
          </w:p>
        </w:tc>
      </w:tr>
      <w:tr>
        <w:tblPrEx>
          <w:tblCellMar>
            <w:top w:w="0" w:type="dxa"/>
            <w:left w:w="108" w:type="dxa"/>
            <w:bottom w:w="0" w:type="dxa"/>
            <w:right w:w="108" w:type="dxa"/>
          </w:tblCellMar>
        </w:tblPrEx>
        <w:trPr>
          <w:trHeight w:val="530"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项目负责人</w:t>
            </w:r>
          </w:p>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（8分）</w:t>
            </w:r>
          </w:p>
          <w:p>
            <w:pPr>
              <w:jc w:val="center"/>
              <w:rPr>
                <w:rFonts w:hint="eastAsia" w:ascii="仿宋" w:hAnsi="仿宋" w:eastAsia="仿宋" w:cs="仿宋"/>
                <w:color w:val="auto"/>
                <w:kern w:val="0"/>
                <w:sz w:val="24"/>
                <w:szCs w:val="24"/>
                <w:highlight w:val="none"/>
                <w:lang w:val="en-US" w:eastAsia="zh-CN" w:bidi="ar-SA"/>
              </w:rPr>
            </w:pPr>
          </w:p>
        </w:tc>
        <w:tc>
          <w:tcPr>
            <w:tcW w:w="6162" w:type="dxa"/>
            <w:tcBorders>
              <w:top w:val="single" w:color="auto" w:sz="4" w:space="0"/>
              <w:left w:val="single" w:color="auto" w:sz="4" w:space="0"/>
              <w:bottom w:val="single" w:color="auto" w:sz="4" w:space="0"/>
              <w:right w:val="single" w:color="auto" w:sz="4" w:space="0"/>
            </w:tcBorders>
            <w:vAlign w:val="center"/>
          </w:tcPr>
          <w:p>
            <w:pPr>
              <w:numPr>
                <w:ilvl w:val="0"/>
                <w:numId w:val="3"/>
              </w:numPr>
              <w:rPr>
                <w:rFonts w:hint="default"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rPr>
              <w:t>项目负责人具有交通运输专业高级及以上职称得4分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中</w:t>
            </w:r>
            <w:r>
              <w:rPr>
                <w:rFonts w:hint="eastAsia" w:ascii="仿宋" w:hAnsi="仿宋" w:eastAsia="仿宋" w:cs="仿宋"/>
                <w:color w:val="auto"/>
                <w:kern w:val="0"/>
                <w:sz w:val="24"/>
                <w:szCs w:val="24"/>
                <w:highlight w:val="none"/>
              </w:rPr>
              <w:t>级职称得</w:t>
            </w:r>
            <w:r>
              <w:rPr>
                <w:rFonts w:hint="eastAsia" w:ascii="仿宋" w:hAnsi="仿宋" w:eastAsia="仿宋" w:cs="仿宋"/>
                <w:color w:val="auto"/>
                <w:kern w:val="0"/>
                <w:sz w:val="24"/>
                <w:szCs w:val="24"/>
                <w:highlight w:val="none"/>
                <w:lang w:val="en-US" w:eastAsia="zh-CN"/>
              </w:rPr>
              <w:t>3分，初级职称得2分，不提供不得分</w:t>
            </w:r>
            <w:r>
              <w:rPr>
                <w:rFonts w:hint="eastAsia" w:ascii="仿宋" w:hAnsi="仿宋" w:eastAsia="仿宋" w:cs="仿宋"/>
                <w:color w:val="auto"/>
                <w:kern w:val="0"/>
                <w:sz w:val="24"/>
                <w:szCs w:val="24"/>
                <w:highlight w:val="none"/>
              </w:rPr>
              <w:t>；需提供</w:t>
            </w:r>
            <w:r>
              <w:rPr>
                <w:rFonts w:hint="eastAsia" w:ascii="仿宋" w:hAnsi="仿宋" w:eastAsia="仿宋" w:cs="仿宋"/>
                <w:color w:val="auto"/>
                <w:kern w:val="0"/>
                <w:sz w:val="24"/>
                <w:szCs w:val="24"/>
                <w:highlight w:val="none"/>
                <w:lang w:val="en-US" w:eastAsia="zh-CN"/>
              </w:rPr>
              <w:t>职称证书扫描件并加盖投标单位公章。</w:t>
            </w:r>
          </w:p>
          <w:p>
            <w:pPr>
              <w:numPr>
                <w:ilvl w:val="0"/>
                <w:numId w:val="3"/>
              </w:num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担任过类似项目的项目负责人，每个得2分，最多得4分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以上两项目最多得8分。</w:t>
            </w:r>
            <w:r>
              <w:rPr>
                <w:rFonts w:hint="eastAsia" w:ascii="仿宋" w:hAnsi="仿宋" w:eastAsia="仿宋" w:cs="仿宋"/>
                <w:color w:val="auto"/>
                <w:kern w:val="0"/>
                <w:sz w:val="24"/>
                <w:szCs w:val="24"/>
                <w:highlight w:val="none"/>
              </w:rPr>
              <w:t>需提供合同协议书或委托书和业主证明材料</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同时提供项目负责人在投标单位</w:t>
            </w:r>
            <w:r>
              <w:rPr>
                <w:rFonts w:hint="eastAsia" w:ascii="仿宋" w:hAnsi="仿宋" w:eastAsia="仿宋" w:cs="仿宋"/>
                <w:color w:val="auto"/>
                <w:kern w:val="0"/>
                <w:sz w:val="24"/>
                <w:szCs w:val="24"/>
                <w:highlight w:val="none"/>
                <w:lang w:val="en-US" w:eastAsia="zh-CN"/>
              </w:rPr>
              <w:t>2024</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1-3月</w:t>
            </w:r>
            <w:r>
              <w:rPr>
                <w:rFonts w:hint="eastAsia" w:ascii="仿宋" w:hAnsi="仿宋" w:eastAsia="仿宋" w:cs="仿宋"/>
                <w:color w:val="auto"/>
                <w:kern w:val="0"/>
                <w:sz w:val="24"/>
                <w:szCs w:val="24"/>
                <w:highlight w:val="none"/>
              </w:rPr>
              <w:t>的社保证明，否则本项得0分。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8分</w:t>
            </w:r>
          </w:p>
        </w:tc>
      </w:tr>
      <w:tr>
        <w:tblPrEx>
          <w:tblCellMar>
            <w:top w:w="0" w:type="dxa"/>
            <w:left w:w="108" w:type="dxa"/>
            <w:bottom w:w="0" w:type="dxa"/>
            <w:right w:w="108" w:type="dxa"/>
          </w:tblCellMar>
        </w:tblPrEx>
        <w:trPr>
          <w:trHeight w:val="1310"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项目组</w:t>
            </w:r>
          </w:p>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成员</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（10分）</w:t>
            </w:r>
          </w:p>
        </w:tc>
        <w:tc>
          <w:tcPr>
            <w:tcW w:w="616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项目组成员每有1人具有交通运输专业高级及以上职称得2分，中级得1分，</w:t>
            </w:r>
            <w:r>
              <w:rPr>
                <w:rFonts w:hint="eastAsia" w:ascii="仿宋" w:hAnsi="仿宋" w:eastAsia="仿宋" w:cs="仿宋"/>
                <w:color w:val="auto"/>
                <w:kern w:val="0"/>
                <w:sz w:val="24"/>
                <w:szCs w:val="24"/>
                <w:highlight w:val="none"/>
                <w:lang w:val="en-US" w:eastAsia="zh-CN"/>
              </w:rPr>
              <w:t>初级得0.5分，</w:t>
            </w:r>
            <w:r>
              <w:rPr>
                <w:rFonts w:hint="eastAsia" w:ascii="仿宋" w:hAnsi="仿宋" w:eastAsia="仿宋" w:cs="仿宋"/>
                <w:color w:val="auto"/>
                <w:kern w:val="0"/>
                <w:sz w:val="24"/>
                <w:szCs w:val="24"/>
                <w:highlight w:val="none"/>
              </w:rPr>
              <w:t>最多得10分</w:t>
            </w:r>
            <w:r>
              <w:rPr>
                <w:rFonts w:hint="eastAsia" w:ascii="仿宋" w:hAnsi="仿宋" w:eastAsia="仿宋" w:cs="仿宋"/>
                <w:color w:val="auto"/>
                <w:kern w:val="0"/>
                <w:sz w:val="24"/>
                <w:szCs w:val="24"/>
                <w:highlight w:val="none"/>
                <w:lang w:eastAsia="zh-CN"/>
              </w:rPr>
              <w:t>。</w:t>
            </w:r>
          </w:p>
          <w:p>
            <w:p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需提供职称证书的复印件或扫描件</w:t>
            </w:r>
            <w:r>
              <w:rPr>
                <w:rFonts w:hint="eastAsia" w:ascii="仿宋" w:hAnsi="仿宋" w:eastAsia="仿宋" w:cs="仿宋"/>
                <w:color w:val="auto"/>
                <w:kern w:val="0"/>
                <w:sz w:val="24"/>
                <w:szCs w:val="24"/>
                <w:highlight w:val="none"/>
                <w:lang w:val="en-US" w:eastAsia="zh-CN"/>
              </w:rPr>
              <w:t>并加盖投标单位公章</w:t>
            </w:r>
            <w:r>
              <w:rPr>
                <w:rFonts w:hint="eastAsia" w:ascii="仿宋" w:hAnsi="仿宋" w:eastAsia="仿宋" w:cs="仿宋"/>
                <w:color w:val="auto"/>
                <w:kern w:val="0"/>
                <w:sz w:val="24"/>
                <w:szCs w:val="24"/>
                <w:highlight w:val="none"/>
              </w:rPr>
              <w:t>，同时提供项</w:t>
            </w:r>
            <w:r>
              <w:rPr>
                <w:rFonts w:hint="eastAsia" w:ascii="仿宋" w:hAnsi="仿宋" w:eastAsia="仿宋" w:cs="仿宋"/>
                <w:color w:val="auto"/>
                <w:kern w:val="0"/>
                <w:sz w:val="24"/>
                <w:szCs w:val="24"/>
                <w:highlight w:val="none"/>
                <w:lang w:val="en-US" w:eastAsia="zh-CN"/>
              </w:rPr>
              <w:t>目组成员</w:t>
            </w:r>
            <w:r>
              <w:rPr>
                <w:rFonts w:hint="eastAsia" w:ascii="仿宋" w:hAnsi="仿宋" w:eastAsia="仿宋" w:cs="仿宋"/>
                <w:color w:val="auto"/>
                <w:kern w:val="0"/>
                <w:sz w:val="24"/>
                <w:szCs w:val="24"/>
                <w:highlight w:val="none"/>
              </w:rPr>
              <w:t>在投标单位</w:t>
            </w:r>
            <w:r>
              <w:rPr>
                <w:rFonts w:hint="eastAsia" w:ascii="仿宋" w:hAnsi="仿宋" w:eastAsia="仿宋" w:cs="仿宋"/>
                <w:color w:val="auto"/>
                <w:kern w:val="0"/>
                <w:sz w:val="24"/>
                <w:szCs w:val="24"/>
                <w:highlight w:val="none"/>
                <w:lang w:val="en-US" w:eastAsia="zh-CN"/>
              </w:rPr>
              <w:t>2024</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1-3月</w:t>
            </w:r>
            <w:r>
              <w:rPr>
                <w:rFonts w:hint="eastAsia" w:ascii="仿宋" w:hAnsi="仿宋" w:eastAsia="仿宋" w:cs="仿宋"/>
                <w:color w:val="auto"/>
                <w:kern w:val="0"/>
                <w:sz w:val="24"/>
                <w:szCs w:val="24"/>
                <w:highlight w:val="none"/>
              </w:rPr>
              <w:t>的社保证明，否则本项得0分。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restart"/>
            <w:tcBorders>
              <w:top w:val="single" w:color="auto" w:sz="4" w:space="0"/>
              <w:left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w:t>
            </w:r>
          </w:p>
        </w:tc>
        <w:tc>
          <w:tcPr>
            <w:tcW w:w="1220"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服务方案评价</w:t>
            </w:r>
            <w:r>
              <w:rPr>
                <w:rFonts w:hint="eastAsia" w:ascii="仿宋" w:hAnsi="仿宋" w:eastAsia="仿宋" w:cs="仿宋"/>
                <w:color w:val="auto"/>
                <w:kern w:val="0"/>
                <w:sz w:val="24"/>
                <w:szCs w:val="24"/>
                <w:highlight w:val="none"/>
                <w:lang w:val="en-US" w:eastAsia="zh-CN"/>
              </w:rPr>
              <w:t>(52分)</w:t>
            </w: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对招标项目的背景认识、总体理解和工作思路，优秀</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3.1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2.5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对招标项目的报告编制方案说明详细、完善、科学合理，优秀9.1-10分，良好7.1-9分，一般5-7分，未提供不得分。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10分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质量保证措施</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数据保密保证</w:t>
            </w:r>
            <w:r>
              <w:rPr>
                <w:rFonts w:hint="eastAsia" w:ascii="仿宋" w:hAnsi="仿宋" w:eastAsia="仿宋" w:cs="仿宋"/>
                <w:color w:val="auto"/>
                <w:kern w:val="0"/>
                <w:sz w:val="24"/>
                <w:szCs w:val="24"/>
                <w:highlight w:val="none"/>
              </w:rPr>
              <w:t>，优秀</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工作量及计划安排，9.1-10分，良好7.1-9分，一般5-7分，未提供不得分</w:t>
            </w:r>
            <w:r>
              <w:rPr>
                <w:rFonts w:hint="eastAsia" w:ascii="仿宋" w:hAnsi="仿宋" w:eastAsia="仿宋" w:cs="仿宋"/>
                <w:color w:val="auto"/>
                <w:kern w:val="0"/>
                <w:sz w:val="24"/>
                <w:szCs w:val="24"/>
                <w:highlight w:val="none"/>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项目重难点分析</w:t>
            </w:r>
            <w:r>
              <w:rPr>
                <w:rFonts w:hint="eastAsia" w:ascii="仿宋" w:hAnsi="仿宋" w:eastAsia="仿宋" w:cs="仿宋"/>
                <w:color w:val="auto"/>
                <w:kern w:val="0"/>
                <w:sz w:val="24"/>
                <w:szCs w:val="24"/>
                <w:highlight w:val="none"/>
                <w:lang w:eastAsia="zh-CN"/>
              </w:rPr>
              <w:t>，对项目重点难点分析及解决方案合理可行，符合实际情况，</w:t>
            </w:r>
            <w:r>
              <w:rPr>
                <w:rFonts w:hint="eastAsia" w:ascii="仿宋" w:hAnsi="仿宋" w:eastAsia="仿宋" w:cs="仿宋"/>
                <w:color w:val="auto"/>
                <w:kern w:val="0"/>
                <w:sz w:val="24"/>
                <w:szCs w:val="24"/>
                <w:highlight w:val="none"/>
              </w:rPr>
              <w:t>优秀</w:t>
            </w:r>
            <w:r>
              <w:rPr>
                <w:rFonts w:hint="eastAsia" w:ascii="仿宋" w:hAnsi="仿宋" w:eastAsia="仿宋" w:cs="仿宋"/>
                <w:color w:val="auto"/>
                <w:kern w:val="0"/>
                <w:sz w:val="24"/>
                <w:szCs w:val="24"/>
                <w:highlight w:val="none"/>
                <w:lang w:val="en-US" w:eastAsia="zh-CN"/>
              </w:rPr>
              <w:t>5.1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3.1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技术支持及售后服务承诺，优秀</w:t>
            </w:r>
            <w:r>
              <w:rPr>
                <w:rFonts w:hint="eastAsia" w:ascii="仿宋" w:hAnsi="仿宋" w:eastAsia="仿宋" w:cs="仿宋"/>
                <w:color w:val="auto"/>
                <w:kern w:val="0"/>
                <w:sz w:val="24"/>
                <w:szCs w:val="24"/>
                <w:highlight w:val="none"/>
                <w:lang w:val="en-US" w:eastAsia="zh-CN"/>
              </w:rPr>
              <w:t>5.1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3.1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投标人</w:t>
            </w:r>
            <w:r>
              <w:rPr>
                <w:rFonts w:hint="eastAsia" w:ascii="仿宋" w:hAnsi="仿宋" w:eastAsia="仿宋" w:cs="仿宋"/>
                <w:color w:val="auto"/>
                <w:kern w:val="0"/>
                <w:sz w:val="24"/>
                <w:szCs w:val="24"/>
                <w:highlight w:val="none"/>
                <w:lang w:eastAsia="zh-CN"/>
              </w:rPr>
              <w:t>开展研究准备和入企调研，优秀得</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3.1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2.5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5分</w:t>
            </w:r>
          </w:p>
        </w:tc>
      </w:tr>
      <w:tr>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优惠条件或对项目的建议意见</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根据投标人承诺的其他实质性优惠条件（如增加服务时间、服务量、服务范围等）或对该项目提出的建议意见进行酌情打分</w:t>
            </w:r>
            <w:r>
              <w:rPr>
                <w:rFonts w:hint="eastAsia" w:ascii="仿宋" w:hAnsi="仿宋" w:eastAsia="仿宋" w:cs="仿宋"/>
                <w:color w:val="auto"/>
                <w:kern w:val="0"/>
                <w:sz w:val="24"/>
                <w:szCs w:val="24"/>
                <w:highlight w:val="none"/>
                <w:lang w:val="en-US" w:eastAsia="zh-CN"/>
              </w:rPr>
              <w:t>0-4</w:t>
            </w:r>
            <w:r>
              <w:rPr>
                <w:rFonts w:hint="eastAsia" w:ascii="仿宋" w:hAnsi="仿宋" w:eastAsia="仿宋" w:cs="仿宋"/>
                <w:color w:val="auto"/>
                <w:kern w:val="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r>
    </w:tbl>
    <w:p>
      <w:pPr>
        <w:spacing w:line="281"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p>
    <w:p>
      <w:pPr>
        <w:spacing w:line="281"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1、招标人有权在标后对中标候选人进行原件核验，投标人对所提供的全部资料的真实性承担法律责任。</w:t>
      </w:r>
    </w:p>
    <w:p>
      <w:pPr>
        <w:spacing w:line="281" w:lineRule="auto"/>
        <w:rPr>
          <w:rFonts w:ascii="仿宋" w:hAnsi="仿宋" w:eastAsia="仿宋" w:cs="仿宋"/>
          <w:b/>
          <w:bCs/>
          <w:iCs/>
          <w:color w:val="auto"/>
          <w:sz w:val="24"/>
          <w:highlight w:val="none"/>
        </w:rPr>
      </w:pPr>
      <w:r>
        <w:rPr>
          <w:rFonts w:hint="eastAsia" w:ascii="仿宋" w:hAnsi="仿宋" w:eastAsia="仿宋" w:cs="仿宋"/>
          <w:b/>
          <w:color w:val="auto"/>
          <w:sz w:val="24"/>
          <w:highlight w:val="none"/>
        </w:rPr>
        <w:t>2、所有的证书必须在有效期内，不在有效期内的不得分。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pPr>
        <w:pStyle w:val="6"/>
        <w:snapToGrid w:val="0"/>
        <w:spacing w:line="360" w:lineRule="auto"/>
        <w:ind w:firstLine="0" w:firstLineChars="0"/>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pStyle w:val="25"/>
        <w:rPr>
          <w:rFonts w:hint="eastAsia" w:ascii="仿宋" w:hAnsi="仿宋" w:eastAsia="仿宋" w:cs="仿宋"/>
          <w:b/>
          <w:color w:val="auto"/>
          <w:sz w:val="36"/>
          <w:szCs w:val="20"/>
          <w:highlight w:val="none"/>
        </w:rPr>
      </w:pPr>
    </w:p>
    <w:p>
      <w:pPr>
        <w:pStyle w:val="26"/>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5"/>
        <w:rPr>
          <w:rFonts w:hint="eastAsia" w:ascii="仿宋" w:hAnsi="仿宋" w:eastAsia="仿宋" w:cs="仿宋"/>
          <w:b/>
          <w:color w:val="auto"/>
          <w:sz w:val="36"/>
          <w:szCs w:val="20"/>
          <w:highlight w:val="none"/>
        </w:rPr>
      </w:pPr>
    </w:p>
    <w:p>
      <w:pPr>
        <w:pStyle w:val="26"/>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5"/>
        <w:rPr>
          <w:rFonts w:hint="eastAsia" w:ascii="仿宋" w:hAnsi="仿宋" w:eastAsia="仿宋" w:cs="仿宋"/>
          <w:b/>
          <w:color w:val="auto"/>
          <w:sz w:val="36"/>
          <w:szCs w:val="20"/>
          <w:highlight w:val="none"/>
        </w:rPr>
      </w:pPr>
    </w:p>
    <w:p>
      <w:pPr>
        <w:pStyle w:val="26"/>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5"/>
        <w:rPr>
          <w:rFonts w:hint="eastAsia" w:ascii="仿宋" w:hAnsi="仿宋" w:eastAsia="仿宋" w:cs="仿宋"/>
          <w:b/>
          <w:color w:val="auto"/>
          <w:sz w:val="36"/>
          <w:szCs w:val="20"/>
          <w:highlight w:val="none"/>
        </w:rPr>
      </w:pPr>
    </w:p>
    <w:p>
      <w:pPr>
        <w:pStyle w:val="26"/>
        <w:rPr>
          <w:rFonts w:hint="eastAsia" w:ascii="仿宋" w:hAnsi="仿宋" w:eastAsia="仿宋" w:cs="仿宋"/>
          <w:b/>
          <w:color w:val="auto"/>
          <w:sz w:val="36"/>
          <w:szCs w:val="20"/>
          <w:highlight w:val="none"/>
        </w:rPr>
      </w:pPr>
    </w:p>
    <w:p>
      <w:pPr>
        <w:pStyle w:val="25"/>
        <w:rPr>
          <w:rFonts w:hint="eastAsia" w:ascii="仿宋" w:hAnsi="仿宋" w:eastAsia="仿宋" w:cs="仿宋"/>
          <w:b/>
          <w:color w:val="auto"/>
          <w:sz w:val="36"/>
          <w:szCs w:val="20"/>
          <w:highlight w:val="none"/>
        </w:rPr>
      </w:pPr>
    </w:p>
    <w:p>
      <w:pPr>
        <w:pStyle w:val="26"/>
        <w:rPr>
          <w:rFonts w:hint="eastAsia" w:ascii="仿宋" w:hAnsi="仿宋" w:eastAsia="仿宋" w:cs="仿宋"/>
          <w:b/>
          <w:color w:val="auto"/>
          <w:sz w:val="36"/>
          <w:szCs w:val="20"/>
          <w:highlight w:val="none"/>
        </w:rPr>
      </w:pPr>
    </w:p>
    <w:p>
      <w:pPr>
        <w:pStyle w:val="27"/>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rPr>
      </w:pPr>
    </w:p>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bidi w:val="0"/>
        <w:rPr>
          <w:rFonts w:hint="eastAsia"/>
          <w:color w:val="auto"/>
          <w:highlight w:val="none"/>
          <w:lang w:eastAsia="zh-CN"/>
        </w:rPr>
      </w:pPr>
    </w:p>
    <w:p>
      <w:pPr>
        <w:bidi w:val="0"/>
        <w:rPr>
          <w:rFonts w:hint="eastAsia"/>
          <w:color w:val="auto"/>
          <w:highlight w:val="none"/>
          <w:lang w:eastAsia="zh-CN"/>
        </w:rPr>
      </w:pPr>
    </w:p>
    <w:p>
      <w:pPr>
        <w:widowControl/>
        <w:adjustRightInd/>
        <w:jc w:val="both"/>
        <w:rPr>
          <w:rFonts w:hint="eastAsia" w:ascii="仿宋" w:hAnsi="仿宋" w:eastAsia="仿宋" w:cs="仿宋"/>
          <w:b/>
          <w:bCs/>
          <w:color w:val="auto"/>
          <w:sz w:val="32"/>
          <w:szCs w:val="32"/>
          <w:highlight w:val="none"/>
          <w:lang w:eastAsia="zh-CN"/>
        </w:rPr>
      </w:pPr>
    </w:p>
    <w:p>
      <w:pPr>
        <w:widowControl/>
        <w:adjustRightInd/>
        <w:jc w:val="both"/>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pStyle w:val="81"/>
        <w:rPr>
          <w:rFonts w:hint="eastAsia" w:ascii="仿宋" w:hAnsi="仿宋" w:eastAsia="仿宋" w:cs="仿宋"/>
          <w:b/>
          <w:bCs/>
          <w:color w:val="auto"/>
          <w:sz w:val="24"/>
          <w:highlight w:val="none"/>
        </w:rPr>
      </w:pPr>
    </w:p>
    <w:p>
      <w:pPr>
        <w:rPr>
          <w:rFonts w:hint="eastAsia" w:ascii="仿宋" w:hAnsi="仿宋" w:eastAsia="仿宋" w:cs="仿宋"/>
          <w:b/>
          <w:bCs/>
          <w:color w:val="auto"/>
          <w:sz w:val="24"/>
          <w:highlight w:val="none"/>
        </w:rPr>
      </w:pPr>
    </w:p>
    <w:p>
      <w:pPr>
        <w:bidi w:val="0"/>
        <w:rPr>
          <w:rFonts w:hint="eastAsia"/>
          <w:color w:val="auto"/>
          <w:highlight w:val="none"/>
        </w:rPr>
      </w:pPr>
    </w:p>
    <w:p>
      <w:pPr>
        <w:bidi w:val="0"/>
        <w:rPr>
          <w:rFonts w:hint="eastAsia"/>
          <w:color w:val="auto"/>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80"/>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bidi w:val="0"/>
        <w:rPr>
          <w:color w:val="auto"/>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_GB2312" w:hAnsi="仿宋_GB2312" w:eastAsia="仿宋_GB2312" w:cs="仿宋_GB2312"/>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5"/>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default"/>
          <w:footerReference r:id="rId18" w:type="default"/>
          <w:pgSz w:w="16838" w:h="11906" w:orient="landscape"/>
          <w:pgMar w:top="1418" w:right="1247" w:bottom="1418" w:left="1276" w:header="851" w:footer="992" w:gutter="0"/>
          <w:pgNumType w:fmt="decimal"/>
          <w:cols w:space="720" w:num="1"/>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bidi w:val="0"/>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5"/>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7F"/>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lang w:val="en-US"/>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 w:hAnsi="仿宋" w:eastAsia="仿宋" w:cs="仿宋"/>
        <w:lang w:val="en-US" w:eastAsia="zh-CN"/>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lang w:val="en-US"/>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招标文件编号:ZJDT-R-2401</w:t>
    </w:r>
    <w:r>
      <w:rPr>
        <w:rFonts w:hint="eastAsia" w:ascii="仿宋" w:hAnsi="仿宋" w:eastAsia="仿宋" w:cs="仿宋"/>
        <w:lang w:val="en-US" w:eastAsia="zh-CN"/>
      </w:rPr>
      <w:t>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招标文件编号:ZJDT-R-2401</w:t>
    </w:r>
    <w:r>
      <w:rPr>
        <w:rFonts w:hint="eastAsia" w:ascii="仿宋" w:hAnsi="仿宋" w:eastAsia="仿宋" w:cs="仿宋"/>
        <w:lang w:val="en-US" w:eastAsia="zh-CN"/>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lang w:val="en-US"/>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p>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9CABB"/>
    <w:multiLevelType w:val="singleLevel"/>
    <w:tmpl w:val="9899CAB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652F727"/>
    <w:multiLevelType w:val="singleLevel"/>
    <w:tmpl w:val="6652F727"/>
    <w:lvl w:ilvl="0" w:tentative="0">
      <w:start w:val="1"/>
      <w:numFmt w:val="decimal"/>
      <w:suff w:val="nothing"/>
      <w:lvlText w:val="（%1）"/>
      <w:lvlJc w:val="left"/>
    </w:lvl>
  </w:abstractNum>
  <w:abstractNum w:abstractNumId="4">
    <w:nsid w:val="6839D860"/>
    <w:multiLevelType w:val="singleLevel"/>
    <w:tmpl w:val="6839D860"/>
    <w:lvl w:ilvl="0" w:tentative="0">
      <w:start w:val="4"/>
      <w:numFmt w:val="chineseCounting"/>
      <w:suff w:val="nothing"/>
      <w:lvlText w:val="%1、"/>
      <w:lvlJc w:val="left"/>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hNmM0NDA0OGM1OWYwNzJjNjNiODUxNDgyMDA4ZjkifQ=="/>
  </w:docVars>
  <w:rsids>
    <w:rsidRoot w:val="00172A27"/>
    <w:rsid w:val="00B34AC1"/>
    <w:rsid w:val="010461FD"/>
    <w:rsid w:val="02CA019A"/>
    <w:rsid w:val="040F3E66"/>
    <w:rsid w:val="05D90485"/>
    <w:rsid w:val="06FF7873"/>
    <w:rsid w:val="0C913EDB"/>
    <w:rsid w:val="0D411DE7"/>
    <w:rsid w:val="0D417786"/>
    <w:rsid w:val="0F096B8F"/>
    <w:rsid w:val="0F63063F"/>
    <w:rsid w:val="105A05B1"/>
    <w:rsid w:val="14542881"/>
    <w:rsid w:val="14827148"/>
    <w:rsid w:val="151439D2"/>
    <w:rsid w:val="162A6E0A"/>
    <w:rsid w:val="17323584"/>
    <w:rsid w:val="18E60774"/>
    <w:rsid w:val="1A766272"/>
    <w:rsid w:val="1A835312"/>
    <w:rsid w:val="1C2879E3"/>
    <w:rsid w:val="1C3B557D"/>
    <w:rsid w:val="1D2F1C3B"/>
    <w:rsid w:val="1FAB6CE1"/>
    <w:rsid w:val="1FDE3C53"/>
    <w:rsid w:val="203D0806"/>
    <w:rsid w:val="22670B47"/>
    <w:rsid w:val="22AC524A"/>
    <w:rsid w:val="280C4F2E"/>
    <w:rsid w:val="29AE47EA"/>
    <w:rsid w:val="2BA01005"/>
    <w:rsid w:val="2CAB494C"/>
    <w:rsid w:val="2CF56A6B"/>
    <w:rsid w:val="2DA27F4F"/>
    <w:rsid w:val="2F2E5B06"/>
    <w:rsid w:val="2FF95846"/>
    <w:rsid w:val="30CD01D9"/>
    <w:rsid w:val="359D0A22"/>
    <w:rsid w:val="35E07A5A"/>
    <w:rsid w:val="3CFA3227"/>
    <w:rsid w:val="427E60E8"/>
    <w:rsid w:val="42AA04E2"/>
    <w:rsid w:val="45F0155E"/>
    <w:rsid w:val="46277C5E"/>
    <w:rsid w:val="4655654B"/>
    <w:rsid w:val="4D0B6A83"/>
    <w:rsid w:val="4E923E4B"/>
    <w:rsid w:val="4F4B3D85"/>
    <w:rsid w:val="51143E36"/>
    <w:rsid w:val="516F14F8"/>
    <w:rsid w:val="52542B28"/>
    <w:rsid w:val="5492709C"/>
    <w:rsid w:val="57E9601D"/>
    <w:rsid w:val="57ED39B7"/>
    <w:rsid w:val="5DDD39EF"/>
    <w:rsid w:val="5F561B6F"/>
    <w:rsid w:val="5F57E5CA"/>
    <w:rsid w:val="6212334E"/>
    <w:rsid w:val="63996275"/>
    <w:rsid w:val="65705687"/>
    <w:rsid w:val="669C35D3"/>
    <w:rsid w:val="66AE1070"/>
    <w:rsid w:val="677F7207"/>
    <w:rsid w:val="67F0048D"/>
    <w:rsid w:val="6FC37AD4"/>
    <w:rsid w:val="712808B6"/>
    <w:rsid w:val="731D5AAF"/>
    <w:rsid w:val="73A3131E"/>
    <w:rsid w:val="76772AF9"/>
    <w:rsid w:val="78AD1F79"/>
    <w:rsid w:val="7DCC6A66"/>
    <w:rsid w:val="7DFF3A1B"/>
    <w:rsid w:val="7FC4059F"/>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5">
    <w:name w:val="Normal Indent"/>
    <w:basedOn w:val="1"/>
    <w:next w:val="6"/>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7"/>
    <w:link w:val="264"/>
    <w:autoRedefine/>
    <w:qFormat/>
    <w:uiPriority w:val="0"/>
    <w:pPr>
      <w:spacing w:line="480" w:lineRule="exact"/>
      <w:ind w:firstLine="480" w:firstLineChars="200"/>
    </w:pPr>
    <w:rPr>
      <w:rFonts w:ascii="宋体" w:hAnsi="宋体"/>
      <w:sz w:val="24"/>
    </w:rPr>
  </w:style>
  <w:style w:type="paragraph" w:styleId="7">
    <w:name w:val="envelope return"/>
    <w:basedOn w:val="1"/>
    <w:autoRedefine/>
    <w:unhideWhenUsed/>
    <w:qFormat/>
    <w:uiPriority w:val="0"/>
    <w:pPr>
      <w:snapToGrid w:val="0"/>
      <w:spacing w:line="360" w:lineRule="auto"/>
    </w:pPr>
    <w:rPr>
      <w:rFonts w:ascii="Arial" w:hAnsi="Arial"/>
      <w:sz w:val="24"/>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2"/>
    <w:autoRedefine/>
    <w:qFormat/>
    <w:uiPriority w:val="0"/>
    <w:pPr>
      <w:shd w:val="clear" w:color="auto" w:fill="000080"/>
    </w:pPr>
  </w:style>
  <w:style w:type="paragraph" w:styleId="21">
    <w:name w:val="annotation text"/>
    <w:basedOn w:val="1"/>
    <w:link w:val="343"/>
    <w:autoRedefine/>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26"/>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autoRedefine/>
    <w:qFormat/>
    <w:uiPriority w:val="0"/>
    <w:pPr>
      <w:ind w:firstLine="420"/>
    </w:pPr>
    <w:rPr>
      <w:rFonts w:hAnsi="Calibri" w:cs="Times New Roman"/>
      <w:snapToGrid/>
      <w:szCs w:val="20"/>
    </w:rPr>
  </w:style>
  <w:style w:type="paragraph" w:styleId="27">
    <w:name w:val="toc 6"/>
    <w:basedOn w:val="1"/>
    <w:next w:val="1"/>
    <w:autoRedefine/>
    <w:qFormat/>
    <w:uiPriority w:val="0"/>
    <w:pPr>
      <w:ind w:left="2100" w:leftChars="1000"/>
    </w:p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1"/>
    <w:autoRedefine/>
    <w:qFormat/>
    <w:uiPriority w:val="0"/>
    <w:pPr>
      <w:ind w:left="100" w:leftChars="2500"/>
    </w:pPr>
    <w:rPr>
      <w:rFonts w:ascii="宋体"/>
      <w:sz w:val="24"/>
      <w:szCs w:val="21"/>
      <w:lang w:val="zh-CN"/>
    </w:rPr>
  </w:style>
  <w:style w:type="paragraph" w:styleId="39">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1"/>
    <w:autoRedefine/>
    <w:qFormat/>
    <w:uiPriority w:val="0"/>
    <w:rPr>
      <w:lang w:val="zh-CN"/>
    </w:rPr>
  </w:style>
  <w:style w:type="paragraph" w:styleId="41">
    <w:name w:val="Balloon Text"/>
    <w:basedOn w:val="1"/>
    <w:link w:val="188"/>
    <w:autoRedefine/>
    <w:qFormat/>
    <w:uiPriority w:val="0"/>
    <w:rPr>
      <w:sz w:val="18"/>
      <w:szCs w:val="18"/>
    </w:rPr>
  </w:style>
  <w:style w:type="paragraph" w:styleId="42">
    <w:name w:val="footer"/>
    <w:basedOn w:val="1"/>
    <w:link w:val="382"/>
    <w:autoRedefine/>
    <w:qFormat/>
    <w:uiPriority w:val="99"/>
    <w:pPr>
      <w:tabs>
        <w:tab w:val="center" w:pos="4153"/>
        <w:tab w:val="right" w:pos="8306"/>
      </w:tabs>
      <w:snapToGrid w:val="0"/>
      <w:jc w:val="left"/>
    </w:pPr>
    <w:rPr>
      <w:sz w:val="18"/>
      <w:szCs w:val="18"/>
    </w:rPr>
  </w:style>
  <w:style w:type="paragraph" w:styleId="43">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6"/>
    <w:autoRedefine/>
    <w:qFormat/>
    <w:uiPriority w:val="0"/>
    <w:rPr>
      <w:b/>
      <w:bCs/>
    </w:rPr>
  </w:style>
  <w:style w:type="paragraph" w:styleId="62">
    <w:name w:val="Body Text First Indent 2"/>
    <w:basedOn w:val="6"/>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1"/>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9"/>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10"/>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8"/>
    <w:autoRedefine/>
    <w:qFormat/>
    <w:uiPriority w:val="0"/>
    <w:rPr>
      <w:rFonts w:ascii="宋体"/>
      <w:kern w:val="2"/>
      <w:sz w:val="24"/>
      <w:szCs w:val="21"/>
      <w:lang w:val="zh-CN"/>
    </w:rPr>
  </w:style>
  <w:style w:type="character" w:customStyle="1" w:styleId="182">
    <w:name w:val="标题 9 Char"/>
    <w:link w:val="13"/>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41"/>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20"/>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70"/>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2"/>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8"/>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8"/>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6"/>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9"/>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2"/>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8"/>
    <w:autoRedefine/>
    <w:qFormat/>
    <w:uiPriority w:val="0"/>
    <w:rPr>
      <w:rFonts w:ascii="黑体" w:hAnsi="Courier New" w:eastAsia="黑体"/>
    </w:rPr>
  </w:style>
  <w:style w:type="character" w:customStyle="1" w:styleId="301">
    <w:name w:val="正文文本 2 Char1"/>
    <w:link w:val="57"/>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8"/>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1"/>
    <w:autoRedefine/>
    <w:qFormat/>
    <w:uiPriority w:val="0"/>
    <w:rPr>
      <w:b/>
      <w:bCs/>
      <w:kern w:val="2"/>
      <w:sz w:val="24"/>
      <w:szCs w:val="24"/>
    </w:rPr>
  </w:style>
  <w:style w:type="character" w:customStyle="1" w:styleId="307">
    <w:name w:val="正文文本缩进 2 Char"/>
    <w:link w:val="39"/>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2"/>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6"/>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8"/>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3"/>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autoRedefine/>
    <w:qFormat/>
    <w:uiPriority w:val="99"/>
    <w:rPr>
      <w:kern w:val="2"/>
      <w:sz w:val="21"/>
      <w:szCs w:val="24"/>
    </w:rPr>
  </w:style>
  <w:style w:type="character" w:customStyle="1" w:styleId="344">
    <w:name w:val="签名 Char"/>
    <w:link w:val="44"/>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4"/>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2"/>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3"/>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9"/>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20"/>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autoRedefine/>
    <w:qFormat/>
    <w:uiPriority w:val="0"/>
    <w:pPr>
      <w:tabs>
        <w:tab w:val="left" w:pos="1080"/>
      </w:tabs>
      <w:ind w:left="1080" w:hanging="1080"/>
    </w:pPr>
  </w:style>
  <w:style w:type="paragraph" w:customStyle="1" w:styleId="896">
    <w:name w:val="数字标题1"/>
    <w:basedOn w:val="2"/>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40"/>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40152</Words>
  <Characters>42752</Characters>
  <Paragraphs>1943</Paragraphs>
  <TotalTime>6</TotalTime>
  <ScaleCrop>false</ScaleCrop>
  <LinksUpToDate>false</LinksUpToDate>
  <CharactersWithSpaces>50218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矮脚恶龙</cp:lastModifiedBy>
  <cp:lastPrinted>2021-12-28T19:06:00Z</cp:lastPrinted>
  <dcterms:modified xsi:type="dcterms:W3CDTF">2024-04-24T05:58:18Z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